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0D8E4">
      <w:pPr>
        <w:pStyle w:val="18"/>
        <w:ind w:firstLine="420" w:firstLineChars="0"/>
        <w:jc w:val="center"/>
        <w:rPr>
          <w:rFonts w:hAnsi="宋体" w:cs="宋体"/>
          <w:color w:val="auto"/>
          <w:spacing w:val="30"/>
          <w:kern w:val="52"/>
          <w:sz w:val="64"/>
          <w:szCs w:val="64"/>
          <w:highlight w:val="none"/>
        </w:rPr>
      </w:pPr>
    </w:p>
    <w:p w14:paraId="7F06357A">
      <w:pPr>
        <w:pStyle w:val="18"/>
        <w:jc w:val="center"/>
        <w:rPr>
          <w:rFonts w:hint="eastAsia" w:hAnsi="宋体" w:eastAsia="宋体" w:cs="宋体"/>
          <w:color w:val="auto"/>
          <w:spacing w:val="30"/>
          <w:kern w:val="52"/>
          <w:sz w:val="64"/>
          <w:szCs w:val="64"/>
          <w:highlight w:val="none"/>
          <w:lang w:eastAsia="zh-CN"/>
        </w:rPr>
      </w:pPr>
      <w:r>
        <w:rPr>
          <w:rFonts w:hint="eastAsia" w:hAnsi="宋体" w:cs="宋体"/>
          <w:color w:val="auto"/>
          <w:spacing w:val="30"/>
          <w:kern w:val="52"/>
          <w:sz w:val="64"/>
          <w:szCs w:val="64"/>
          <w:highlight w:val="none"/>
          <w:lang w:eastAsia="zh-CN"/>
        </w:rPr>
        <w:t>广西科文招标有限公司</w:t>
      </w:r>
    </w:p>
    <w:p w14:paraId="4DE3C1FA">
      <w:pPr>
        <w:pStyle w:val="18"/>
        <w:jc w:val="center"/>
        <w:rPr>
          <w:rFonts w:hAnsi="宋体" w:cs="宋体"/>
          <w:b/>
          <w:color w:val="auto"/>
          <w:sz w:val="44"/>
          <w:szCs w:val="44"/>
          <w:highlight w:val="none"/>
        </w:rPr>
      </w:pPr>
      <w:r>
        <w:rPr>
          <w:rFonts w:hAnsi="宋体" w:cs="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线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awUM&#10;1AAAAAgBAAAPAAAAAAAAAAEAIAAAACIAAABkcnMvZG93bnJldi54bWxQSwECFAAUAAAACACHTuJA&#10;a+11dOwBAADqAwAADgAAAAAAAAABACAAAAAjAQAAZHJzL2Uyb0RvYy54bWxQSwUGAAAAAAYABgBZ&#10;AQAAgQUAAAAA&#10;">
                <v:fill on="f" focussize="0,0"/>
                <v:stroke weight="1pt" color="#000000" joinstyle="round"/>
                <v:imagedata o:title=""/>
                <o:lock v:ext="edit" aspectratio="f"/>
              </v:line>
            </w:pict>
          </mc:Fallback>
        </mc:AlternateContent>
      </w:r>
    </w:p>
    <w:p w14:paraId="020A2612">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6D77D24F">
      <w:pPr>
        <w:snapToGrid w:val="0"/>
        <w:spacing w:line="360" w:lineRule="auto"/>
        <w:rPr>
          <w:rFonts w:ascii="宋体" w:hAnsi="宋体" w:cs="宋体"/>
          <w:b/>
          <w:color w:val="auto"/>
          <w:sz w:val="48"/>
          <w:szCs w:val="48"/>
          <w:highlight w:val="none"/>
        </w:rPr>
      </w:pPr>
    </w:p>
    <w:p w14:paraId="526C70B5">
      <w:pPr>
        <w:pStyle w:val="18"/>
        <w:snapToGrid w:val="0"/>
        <w:spacing w:line="360" w:lineRule="auto"/>
        <w:ind w:firstLine="1205" w:firstLineChars="400"/>
        <w:rPr>
          <w:rFonts w:hAnsi="宋体" w:cs="宋体"/>
          <w:b/>
          <w:bCs/>
          <w:color w:val="auto"/>
          <w:sz w:val="30"/>
          <w:szCs w:val="30"/>
          <w:highlight w:val="none"/>
        </w:rPr>
      </w:pPr>
    </w:p>
    <w:p w14:paraId="5A6DBEE2">
      <w:pPr>
        <w:pStyle w:val="18"/>
        <w:snapToGrid w:val="0"/>
        <w:spacing w:line="360" w:lineRule="auto"/>
        <w:ind w:left="2997" w:leftChars="710" w:hanging="1506" w:hangingChars="500"/>
        <w:rPr>
          <w:rFonts w:hint="eastAsia" w:hAnsi="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钦州市武利江汛期污染强度</w:t>
      </w:r>
    </w:p>
    <w:p w14:paraId="037D86D4">
      <w:pPr>
        <w:pStyle w:val="18"/>
        <w:snapToGrid w:val="0"/>
        <w:spacing w:line="360" w:lineRule="auto"/>
        <w:ind w:firstLine="3012" w:firstLineChars="10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lang w:eastAsia="zh-CN"/>
        </w:rPr>
        <w:t>分析及污染精准溯源研究项目</w:t>
      </w:r>
    </w:p>
    <w:p w14:paraId="71909734">
      <w:pPr>
        <w:pStyle w:val="18"/>
        <w:snapToGrid w:val="0"/>
        <w:spacing w:line="360" w:lineRule="auto"/>
        <w:ind w:firstLine="1506" w:firstLine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color w:val="auto"/>
          <w:sz w:val="32"/>
          <w:szCs w:val="32"/>
          <w:highlight w:val="none"/>
          <w:lang w:eastAsia="zh-CN"/>
        </w:rPr>
        <w:t>QZZC2026-C3-990140-KWZB</w:t>
      </w:r>
    </w:p>
    <w:p w14:paraId="69C18B1A">
      <w:pPr>
        <w:pStyle w:val="18"/>
        <w:snapToGrid w:val="0"/>
        <w:spacing w:line="360" w:lineRule="auto"/>
        <w:ind w:firstLine="1205" w:firstLineChars="400"/>
        <w:rPr>
          <w:rFonts w:hAnsi="宋体" w:cs="宋体"/>
          <w:b/>
          <w:bCs/>
          <w:color w:val="auto"/>
          <w:sz w:val="30"/>
          <w:szCs w:val="30"/>
          <w:highlight w:val="none"/>
        </w:rPr>
      </w:pPr>
    </w:p>
    <w:p w14:paraId="5DDB2A66">
      <w:pPr>
        <w:snapToGrid w:val="0"/>
        <w:spacing w:line="360" w:lineRule="auto"/>
        <w:ind w:firstLine="1145" w:firstLineChars="400"/>
        <w:rPr>
          <w:rFonts w:ascii="宋体" w:hAnsi="宋体" w:cs="宋体"/>
          <w:b/>
          <w:bCs/>
          <w:color w:val="auto"/>
          <w:w w:val="95"/>
          <w:sz w:val="30"/>
          <w:szCs w:val="30"/>
          <w:highlight w:val="none"/>
        </w:rPr>
      </w:pPr>
    </w:p>
    <w:p w14:paraId="3AD968BC">
      <w:pPr>
        <w:pStyle w:val="2"/>
        <w:rPr>
          <w:color w:val="auto"/>
          <w:highlight w:val="none"/>
        </w:rPr>
      </w:pPr>
    </w:p>
    <w:p w14:paraId="12B50D99">
      <w:pPr>
        <w:snapToGrid w:val="0"/>
        <w:spacing w:line="360" w:lineRule="auto"/>
        <w:ind w:firstLine="1205" w:firstLineChars="400"/>
        <w:rPr>
          <w:rFonts w:ascii="宋体" w:hAnsi="宋体" w:cs="宋体"/>
          <w:color w:val="auto"/>
          <w:sz w:val="30"/>
          <w:szCs w:val="72"/>
          <w:highlight w:val="none"/>
        </w:rPr>
      </w:pPr>
      <w:r>
        <w:rPr>
          <w:rFonts w:hint="eastAsia" w:ascii="宋体" w:hAnsi="宋体" w:cs="宋体"/>
          <w:b/>
          <w:color w:val="auto"/>
          <w:sz w:val="30"/>
          <w:szCs w:val="48"/>
          <w:highlight w:val="none"/>
        </w:rPr>
        <w:t xml:space="preserve"> </w:t>
      </w:r>
    </w:p>
    <w:p w14:paraId="5E3068BD">
      <w:pPr>
        <w:pStyle w:val="18"/>
        <w:snapToGrid w:val="0"/>
        <w:spacing w:line="360" w:lineRule="auto"/>
        <w:ind w:firstLine="1431" w:firstLineChars="5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采购人：</w:t>
      </w:r>
      <w:r>
        <w:rPr>
          <w:rFonts w:hint="eastAsia" w:hAnsi="宋体" w:cs="宋体"/>
          <w:b/>
          <w:color w:val="auto"/>
          <w:sz w:val="32"/>
          <w:szCs w:val="32"/>
          <w:highlight w:val="none"/>
          <w:lang w:eastAsia="zh-CN"/>
        </w:rPr>
        <w:t>钦州市生态环境局</w:t>
      </w:r>
    </w:p>
    <w:p w14:paraId="5AAFAB27">
      <w:pPr>
        <w:pStyle w:val="18"/>
        <w:snapToGrid w:val="0"/>
        <w:spacing w:line="360" w:lineRule="auto"/>
        <w:ind w:firstLine="1431" w:firstLineChars="5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采购代理机构：</w:t>
      </w:r>
      <w:r>
        <w:rPr>
          <w:rFonts w:hint="eastAsia" w:hAnsi="宋体" w:cs="宋体"/>
          <w:b/>
          <w:color w:val="auto"/>
          <w:sz w:val="32"/>
          <w:szCs w:val="32"/>
          <w:highlight w:val="none"/>
          <w:lang w:eastAsia="zh-CN"/>
        </w:rPr>
        <w:t>广西科文招标有限公司</w:t>
      </w:r>
    </w:p>
    <w:p w14:paraId="3FDD2046">
      <w:pPr>
        <w:pStyle w:val="18"/>
        <w:snapToGrid w:val="0"/>
        <w:spacing w:line="360" w:lineRule="auto"/>
        <w:ind w:firstLine="1125" w:firstLineChars="393"/>
        <w:rPr>
          <w:rFonts w:hAnsi="宋体" w:cs="宋体"/>
          <w:b/>
          <w:bCs/>
          <w:color w:val="auto"/>
          <w:w w:val="95"/>
          <w:sz w:val="30"/>
          <w:szCs w:val="30"/>
          <w:highlight w:val="none"/>
        </w:rPr>
      </w:pPr>
    </w:p>
    <w:p w14:paraId="14DE6CBA">
      <w:pPr>
        <w:pStyle w:val="18"/>
        <w:snapToGrid w:val="0"/>
        <w:spacing w:line="360" w:lineRule="auto"/>
        <w:ind w:left="420" w:firstLine="841" w:firstLineChars="294"/>
        <w:rPr>
          <w:rFonts w:hint="eastAsia" w:hAnsi="宋体" w:eastAsia="宋体" w:cs="宋体"/>
          <w:b/>
          <w:bCs/>
          <w:color w:val="auto"/>
          <w:w w:val="95"/>
          <w:sz w:val="30"/>
          <w:szCs w:val="30"/>
          <w:highlight w:val="none"/>
          <w:lang w:val="en-US" w:eastAsia="zh-CN"/>
        </w:rPr>
      </w:pPr>
      <w:r>
        <w:rPr>
          <w:rFonts w:hint="eastAsia" w:hAnsi="宋体" w:cs="宋体"/>
          <w:b/>
          <w:bCs/>
          <w:color w:val="auto"/>
          <w:w w:val="95"/>
          <w:sz w:val="30"/>
          <w:szCs w:val="30"/>
          <w:highlight w:val="none"/>
        </w:rPr>
        <w:t xml:space="preserve">               </w:t>
      </w:r>
      <w:r>
        <w:rPr>
          <w:rFonts w:hint="eastAsia" w:hAnsi="宋体" w:cs="宋体"/>
          <w:b/>
          <w:bCs/>
          <w:color w:val="auto"/>
          <w:w w:val="95"/>
          <w:sz w:val="30"/>
          <w:szCs w:val="30"/>
          <w:highlight w:val="none"/>
          <w:lang w:eastAsia="zh-CN"/>
        </w:rPr>
        <w:t xml:space="preserve"> 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lang w:eastAsia="zh-CN"/>
        </w:rPr>
        <w:t>年</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lang w:eastAsia="zh-CN"/>
        </w:rPr>
        <w:t>月</w:t>
      </w:r>
      <w:r>
        <w:rPr>
          <w:rFonts w:hint="eastAsia" w:hAnsi="宋体" w:cs="宋体"/>
          <w:b/>
          <w:bCs/>
          <w:color w:val="auto"/>
          <w:w w:val="95"/>
          <w:sz w:val="30"/>
          <w:szCs w:val="30"/>
          <w:highlight w:val="none"/>
          <w:lang w:val="en-US" w:eastAsia="zh-CN"/>
        </w:rPr>
        <w:t>8</w:t>
      </w:r>
      <w:r>
        <w:rPr>
          <w:rFonts w:hint="eastAsia" w:hAnsi="宋体" w:cs="宋体"/>
          <w:b/>
          <w:bCs/>
          <w:color w:val="auto"/>
          <w:w w:val="95"/>
          <w:sz w:val="30"/>
          <w:szCs w:val="30"/>
          <w:highlight w:val="none"/>
          <w:lang w:eastAsia="zh-CN"/>
        </w:rPr>
        <w:t>日</w:t>
      </w:r>
    </w:p>
    <w:p w14:paraId="7084584B">
      <w:pPr>
        <w:tabs>
          <w:tab w:val="left" w:pos="1080"/>
        </w:tabs>
        <w:spacing w:line="360" w:lineRule="auto"/>
        <w:ind w:firstLine="883" w:firstLineChars="200"/>
        <w:rPr>
          <w:rFonts w:ascii="宋体" w:hAnsi="宋体" w:cs="宋体"/>
          <w:b/>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55A61CB4">
      <w:pPr>
        <w:pStyle w:val="53"/>
        <w:rPr>
          <w:color w:val="auto"/>
          <w:highlight w:val="none"/>
        </w:rPr>
      </w:pPr>
    </w:p>
    <w:p w14:paraId="4F41F16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A94FA2E">
      <w:pPr>
        <w:spacing w:line="400" w:lineRule="exact"/>
        <w:jc w:val="center"/>
        <w:rPr>
          <w:rFonts w:ascii="宋体" w:hAnsi="宋体" w:cs="宋体"/>
          <w:b/>
          <w:color w:val="auto"/>
          <w:sz w:val="44"/>
          <w:szCs w:val="44"/>
          <w:highlight w:val="none"/>
        </w:rPr>
      </w:pPr>
    </w:p>
    <w:p w14:paraId="7CD075FC">
      <w:pPr>
        <w:pStyle w:val="23"/>
        <w:tabs>
          <w:tab w:val="right" w:leader="dot" w:pos="8869"/>
        </w:tabs>
        <w:snapToGrid w:val="0"/>
        <w:spacing w:line="500" w:lineRule="atLeast"/>
        <w:rPr>
          <w:rFonts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36"/>
          <w:rFonts w:hint="eastAsia" w:ascii="宋体" w:hAnsi="宋体" w:cs="宋体"/>
          <w:b/>
          <w:color w:val="auto"/>
          <w:sz w:val="24"/>
          <w:highlight w:val="none"/>
        </w:rPr>
        <w:t>第一章 竞争性磋商公告</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_Toc74323456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1</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0BD4C6D7">
      <w:pPr>
        <w:pStyle w:val="23"/>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36"/>
          <w:rFonts w:hint="eastAsia" w:ascii="宋体" w:hAnsi="宋体" w:cs="宋体"/>
          <w:b/>
          <w:color w:val="auto"/>
          <w:sz w:val="24"/>
          <w:highlight w:val="none"/>
        </w:rPr>
        <w:t>第二章 供应</w:t>
      </w:r>
      <w:bookmarkStart w:id="0" w:name="_Hlt82161237"/>
      <w:r>
        <w:rPr>
          <w:rStyle w:val="36"/>
          <w:rFonts w:hint="eastAsia" w:ascii="宋体" w:hAnsi="宋体" w:cs="宋体"/>
          <w:b/>
          <w:color w:val="auto"/>
          <w:sz w:val="24"/>
          <w:highlight w:val="none"/>
        </w:rPr>
        <w:t>商</w:t>
      </w:r>
      <w:bookmarkEnd w:id="0"/>
      <w:r>
        <w:rPr>
          <w:rStyle w:val="36"/>
          <w:rFonts w:hint="eastAsia" w:ascii="宋体" w:hAnsi="宋体" w:cs="宋体"/>
          <w:b/>
          <w:color w:val="auto"/>
          <w:sz w:val="24"/>
          <w:highlight w:val="none"/>
        </w:rPr>
        <w:t>须知</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_Toc74323457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5</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43FE381">
      <w:pPr>
        <w:pStyle w:val="23"/>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36"/>
          <w:rFonts w:hint="eastAsia" w:ascii="宋体" w:hAnsi="宋体" w:cs="宋体"/>
          <w:b/>
          <w:color w:val="auto"/>
          <w:sz w:val="24"/>
          <w:highlight w:val="none"/>
        </w:rPr>
        <w:t>第三章 采购需</w:t>
      </w:r>
      <w:bookmarkStart w:id="1" w:name="_Hlt82166940"/>
      <w:r>
        <w:rPr>
          <w:rStyle w:val="36"/>
          <w:rFonts w:hint="eastAsia" w:ascii="宋体" w:hAnsi="宋体" w:cs="宋体"/>
          <w:b/>
          <w:color w:val="auto"/>
          <w:sz w:val="24"/>
          <w:highlight w:val="none"/>
        </w:rPr>
        <w:t>求</w:t>
      </w:r>
      <w:bookmarkEnd w:id="1"/>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_Toc74323458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21</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D3E0048">
      <w:pPr>
        <w:pStyle w:val="23"/>
        <w:tabs>
          <w:tab w:val="right" w:leader="dot" w:pos="8869"/>
        </w:tabs>
        <w:snapToGrid w:val="0"/>
        <w:spacing w:line="500" w:lineRule="atLeast"/>
        <w:rPr>
          <w:rFonts w:hint="eastAsia" w:ascii="宋体" w:hAnsi="宋体" w:eastAsia="宋体" w:cs="宋体"/>
          <w:b/>
          <w:color w:val="auto"/>
          <w:sz w:val="24"/>
          <w:highlight w:val="none"/>
          <w:lang w:val="en-US" w:eastAsia="zh-CN"/>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36"/>
          <w:rFonts w:hint="eastAsia" w:ascii="宋体" w:hAnsi="宋体" w:cs="宋体"/>
          <w:b/>
          <w:color w:val="auto"/>
          <w:sz w:val="24"/>
          <w:highlight w:val="none"/>
        </w:rPr>
        <w:t>第四章 评审程序、</w:t>
      </w:r>
      <w:bookmarkStart w:id="2" w:name="_Hlt82166000"/>
      <w:r>
        <w:rPr>
          <w:rStyle w:val="36"/>
          <w:rFonts w:hint="eastAsia" w:ascii="宋体" w:hAnsi="宋体" w:cs="宋体"/>
          <w:b/>
          <w:color w:val="auto"/>
          <w:sz w:val="24"/>
          <w:highlight w:val="none"/>
        </w:rPr>
        <w:t>评</w:t>
      </w:r>
      <w:bookmarkEnd w:id="2"/>
      <w:r>
        <w:rPr>
          <w:rStyle w:val="36"/>
          <w:rFonts w:hint="eastAsia" w:ascii="宋体" w:hAnsi="宋体" w:cs="宋体"/>
          <w:b/>
          <w:color w:val="auto"/>
          <w:sz w:val="24"/>
          <w:highlight w:val="none"/>
        </w:rPr>
        <w:t>审方法和评审标准</w:t>
      </w:r>
      <w:r>
        <w:rPr>
          <w:rFonts w:hint="eastAsia" w:ascii="宋体" w:hAnsi="宋体" w:cs="宋体"/>
          <w:b/>
          <w:color w:val="auto"/>
          <w:sz w:val="24"/>
          <w:highlight w:val="none"/>
        </w:rPr>
        <w:tab/>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fldChar w:fldCharType="end"/>
      </w:r>
      <w:r>
        <w:rPr>
          <w:rFonts w:hint="eastAsia" w:ascii="宋体" w:hAnsi="宋体" w:cs="宋体"/>
          <w:b/>
          <w:color w:val="auto"/>
          <w:sz w:val="24"/>
          <w:highlight w:val="none"/>
          <w:lang w:val="en-US" w:eastAsia="zh-CN"/>
        </w:rPr>
        <w:t>6</w:t>
      </w:r>
    </w:p>
    <w:p w14:paraId="562C316A">
      <w:pPr>
        <w:pStyle w:val="23"/>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36"/>
          <w:rFonts w:hint="eastAsia" w:ascii="宋体" w:hAnsi="宋体" w:cs="宋体"/>
          <w:b/>
          <w:color w:val="auto"/>
          <w:sz w:val="24"/>
          <w:highlight w:val="none"/>
        </w:rPr>
        <w:t>第五章 响应文件格式</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_Toc74323460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35</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B11A35F">
      <w:pPr>
        <w:pStyle w:val="23"/>
        <w:tabs>
          <w:tab w:val="right" w:leader="dot" w:pos="8869"/>
        </w:tabs>
        <w:snapToGrid w:val="0"/>
        <w:spacing w:line="500" w:lineRule="atLeast"/>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36"/>
          <w:rFonts w:hint="eastAsia" w:ascii="宋体" w:hAnsi="宋体" w:cs="宋体"/>
          <w:b/>
          <w:color w:val="auto"/>
          <w:sz w:val="24"/>
          <w:highlight w:val="none"/>
        </w:rPr>
        <w:t>第六章 合同文本</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_Toc74323461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58</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49D99F65">
      <w:pPr>
        <w:pStyle w:val="25"/>
        <w:tabs>
          <w:tab w:val="right" w:leader="dot" w:pos="8931"/>
          <w:tab w:val="clear" w:pos="8296"/>
        </w:tabs>
        <w:snapToGrid w:val="0"/>
        <w:spacing w:line="500" w:lineRule="atLeast"/>
        <w:ind w:left="0" w:leftChars="0"/>
        <w:rPr>
          <w:rFonts w:ascii="宋体" w:hAnsi="宋体" w:cs="宋体"/>
          <w:b/>
          <w:color w:val="auto"/>
          <w:sz w:val="24"/>
          <w:highlight w:val="none"/>
        </w:rPr>
      </w:pPr>
      <w:r>
        <w:rPr>
          <w:rFonts w:hint="eastAsia" w:ascii="宋体" w:hAnsi="宋体" w:cs="宋体"/>
          <w:b/>
          <w:color w:val="auto"/>
          <w:sz w:val="24"/>
          <w:highlight w:val="none"/>
        </w:rPr>
        <w:fldChar w:fldCharType="end"/>
      </w:r>
    </w:p>
    <w:p w14:paraId="18CD4346">
      <w:pPr>
        <w:spacing w:line="400" w:lineRule="exact"/>
        <w:jc w:val="left"/>
        <w:rPr>
          <w:rFonts w:ascii="宋体" w:hAnsi="宋体" w:cs="宋体"/>
          <w:b/>
          <w:color w:val="auto"/>
          <w:sz w:val="32"/>
          <w:szCs w:val="32"/>
          <w:highlight w:val="none"/>
        </w:rPr>
      </w:pPr>
    </w:p>
    <w:p w14:paraId="1E21FA11">
      <w:pPr>
        <w:spacing w:line="400" w:lineRule="exact"/>
        <w:jc w:val="center"/>
        <w:rPr>
          <w:rFonts w:ascii="宋体" w:hAnsi="宋体" w:cs="宋体"/>
          <w:b/>
          <w:color w:val="auto"/>
          <w:sz w:val="32"/>
          <w:szCs w:val="32"/>
          <w:highlight w:val="none"/>
        </w:rPr>
      </w:pPr>
    </w:p>
    <w:p w14:paraId="73A5571E">
      <w:pPr>
        <w:spacing w:line="400" w:lineRule="exact"/>
        <w:jc w:val="center"/>
        <w:rPr>
          <w:rFonts w:ascii="宋体" w:hAnsi="宋体" w:cs="宋体"/>
          <w:b/>
          <w:color w:val="auto"/>
          <w:sz w:val="32"/>
          <w:szCs w:val="32"/>
          <w:highlight w:val="none"/>
        </w:rPr>
      </w:pPr>
    </w:p>
    <w:p w14:paraId="50B64DDB">
      <w:pPr>
        <w:spacing w:line="400" w:lineRule="exact"/>
        <w:jc w:val="center"/>
        <w:rPr>
          <w:rFonts w:ascii="宋体" w:hAnsi="宋体" w:cs="宋体"/>
          <w:b/>
          <w:color w:val="auto"/>
          <w:sz w:val="32"/>
          <w:szCs w:val="32"/>
          <w:highlight w:val="none"/>
        </w:rPr>
      </w:pPr>
    </w:p>
    <w:p w14:paraId="1D3E3DD4">
      <w:pPr>
        <w:spacing w:line="400" w:lineRule="exact"/>
        <w:jc w:val="center"/>
        <w:rPr>
          <w:rFonts w:ascii="宋体" w:hAnsi="宋体" w:cs="宋体"/>
          <w:b/>
          <w:color w:val="auto"/>
          <w:sz w:val="32"/>
          <w:szCs w:val="32"/>
          <w:highlight w:val="none"/>
        </w:rPr>
      </w:pPr>
    </w:p>
    <w:p w14:paraId="4CA926CD">
      <w:pPr>
        <w:spacing w:line="400" w:lineRule="exact"/>
        <w:rPr>
          <w:rFonts w:ascii="宋体" w:hAnsi="宋体" w:cs="宋体"/>
          <w:b/>
          <w:color w:val="auto"/>
          <w:sz w:val="32"/>
          <w:szCs w:val="32"/>
          <w:highlight w:val="none"/>
        </w:rPr>
      </w:pPr>
    </w:p>
    <w:p w14:paraId="1135AEAF">
      <w:pPr>
        <w:rPr>
          <w:color w:val="auto"/>
          <w:highlight w:val="none"/>
        </w:rPr>
      </w:pPr>
    </w:p>
    <w:p w14:paraId="39FB6251">
      <w:pPr>
        <w:rPr>
          <w:color w:val="auto"/>
          <w:highlight w:val="none"/>
        </w:rPr>
      </w:pPr>
    </w:p>
    <w:p w14:paraId="0ADEF184">
      <w:pPr>
        <w:rPr>
          <w:color w:val="auto"/>
          <w:highlight w:val="none"/>
        </w:rPr>
      </w:pPr>
    </w:p>
    <w:p w14:paraId="384578CD">
      <w:pPr>
        <w:rPr>
          <w:color w:val="auto"/>
          <w:highlight w:val="none"/>
        </w:rPr>
      </w:pPr>
    </w:p>
    <w:p w14:paraId="631E15B9">
      <w:pPr>
        <w:rPr>
          <w:color w:val="auto"/>
          <w:highlight w:val="none"/>
        </w:rPr>
      </w:pPr>
    </w:p>
    <w:p w14:paraId="6BF2B337">
      <w:pPr>
        <w:rPr>
          <w:color w:val="auto"/>
          <w:highlight w:val="none"/>
        </w:rPr>
      </w:pPr>
    </w:p>
    <w:p w14:paraId="105A4CE5">
      <w:pPr>
        <w:rPr>
          <w:color w:val="auto"/>
          <w:highlight w:val="none"/>
        </w:rPr>
      </w:pPr>
    </w:p>
    <w:p w14:paraId="5EEE417E">
      <w:pPr>
        <w:rPr>
          <w:color w:val="auto"/>
          <w:highlight w:val="none"/>
        </w:rPr>
      </w:pPr>
    </w:p>
    <w:p w14:paraId="4E274065">
      <w:pPr>
        <w:rPr>
          <w:color w:val="auto"/>
          <w:highlight w:val="none"/>
        </w:rPr>
      </w:pPr>
    </w:p>
    <w:p w14:paraId="42D13F6B">
      <w:pPr>
        <w:rPr>
          <w:color w:val="auto"/>
          <w:highlight w:val="none"/>
        </w:rPr>
      </w:pPr>
    </w:p>
    <w:p w14:paraId="06F78591">
      <w:pPr>
        <w:rPr>
          <w:color w:val="auto"/>
          <w:highlight w:val="none"/>
        </w:rPr>
      </w:pPr>
    </w:p>
    <w:p w14:paraId="08F69B4A">
      <w:pPr>
        <w:rPr>
          <w:color w:val="auto"/>
          <w:highlight w:val="none"/>
        </w:rPr>
      </w:pPr>
    </w:p>
    <w:p w14:paraId="4EEA9D86">
      <w:pPr>
        <w:rPr>
          <w:color w:val="auto"/>
          <w:highlight w:val="none"/>
        </w:rPr>
      </w:pPr>
    </w:p>
    <w:p w14:paraId="70E06254">
      <w:pPr>
        <w:rPr>
          <w:color w:val="auto"/>
          <w:highlight w:val="none"/>
        </w:rPr>
      </w:pPr>
    </w:p>
    <w:p w14:paraId="15B1B274">
      <w:pPr>
        <w:rPr>
          <w:color w:val="auto"/>
          <w:highlight w:val="none"/>
        </w:rPr>
      </w:pPr>
    </w:p>
    <w:p w14:paraId="480721D9">
      <w:pPr>
        <w:rPr>
          <w:color w:val="auto"/>
          <w:highlight w:val="none"/>
        </w:rPr>
      </w:pPr>
    </w:p>
    <w:p w14:paraId="0D7D633D">
      <w:pPr>
        <w:rPr>
          <w:color w:val="auto"/>
          <w:highlight w:val="none"/>
        </w:rPr>
      </w:pPr>
    </w:p>
    <w:p w14:paraId="206FA0DA">
      <w:pPr>
        <w:rPr>
          <w:color w:val="auto"/>
          <w:highlight w:val="none"/>
        </w:rPr>
      </w:pPr>
    </w:p>
    <w:p w14:paraId="2A2474D3">
      <w:pPr>
        <w:rPr>
          <w:color w:val="auto"/>
          <w:highlight w:val="none"/>
        </w:rPr>
      </w:pPr>
    </w:p>
    <w:p w14:paraId="07ECCA0F">
      <w:pPr>
        <w:tabs>
          <w:tab w:val="center" w:pos="4439"/>
        </w:tabs>
        <w:jc w:val="left"/>
        <w:rPr>
          <w:color w:val="auto"/>
          <w:highlight w:val="none"/>
        </w:rPr>
        <w:sectPr>
          <w:footerReference r:id="rId10" w:type="first"/>
          <w:footerReference r:id="rId9" w:type="default"/>
          <w:pgSz w:w="11906" w:h="16838"/>
          <w:pgMar w:top="1440" w:right="1440" w:bottom="1440" w:left="1587" w:header="851" w:footer="992" w:gutter="0"/>
          <w:pgNumType w:start="0"/>
          <w:cols w:space="720" w:num="1"/>
          <w:titlePg/>
          <w:docGrid w:type="lines" w:linePitch="312" w:charSpace="0"/>
        </w:sectPr>
      </w:pPr>
      <w:r>
        <w:rPr>
          <w:rFonts w:hint="eastAsia"/>
          <w:color w:val="auto"/>
          <w:highlight w:val="none"/>
        </w:rPr>
        <w:tab/>
      </w:r>
    </w:p>
    <w:p w14:paraId="43AB4332">
      <w:pPr>
        <w:pStyle w:val="4"/>
        <w:rPr>
          <w:rFonts w:ascii="宋体" w:hAnsi="宋体" w:cs="宋体"/>
          <w:color w:val="auto"/>
          <w:highlight w:val="none"/>
        </w:rPr>
      </w:pPr>
      <w:bookmarkStart w:id="3" w:name="_Toc74323456"/>
      <w:r>
        <w:rPr>
          <w:rFonts w:hint="eastAsia"/>
          <w:color w:val="auto"/>
          <w:highlight w:val="none"/>
        </w:rPr>
        <w:t>第一章 竞争性磋商公告</w:t>
      </w:r>
      <w:bookmarkEnd w:id="3"/>
    </w:p>
    <w:p w14:paraId="06B3E33C">
      <w:pPr>
        <w:pStyle w:val="18"/>
        <w:jc w:val="center"/>
        <w:rPr>
          <w:rFonts w:hAnsi="宋体" w:cs="宋体"/>
          <w:b/>
          <w:color w:val="auto"/>
          <w:sz w:val="36"/>
          <w:szCs w:val="36"/>
          <w:highlight w:val="none"/>
        </w:rPr>
      </w:pPr>
      <w:r>
        <w:rPr>
          <w:rFonts w:hint="eastAsia" w:hAnsi="宋体" w:cs="宋体"/>
          <w:b/>
          <w:color w:val="auto"/>
          <w:sz w:val="32"/>
          <w:szCs w:val="32"/>
          <w:highlight w:val="none"/>
          <w:lang w:eastAsia="zh-CN"/>
        </w:rPr>
        <w:t>广西科文招标有限公司</w:t>
      </w:r>
      <w:r>
        <w:rPr>
          <w:rFonts w:hint="eastAsia" w:hAnsi="宋体" w:cs="宋体"/>
          <w:b/>
          <w:color w:val="auto"/>
          <w:sz w:val="32"/>
          <w:szCs w:val="32"/>
          <w:highlight w:val="none"/>
          <w:lang w:val="en-US" w:eastAsia="zh-CN"/>
        </w:rPr>
        <w:t>关于</w:t>
      </w:r>
      <w:r>
        <w:rPr>
          <w:rFonts w:hint="eastAsia" w:hAnsi="宋体" w:cs="宋体"/>
          <w:b/>
          <w:color w:val="auto"/>
          <w:sz w:val="32"/>
          <w:szCs w:val="32"/>
          <w:highlight w:val="none"/>
          <w:lang w:eastAsia="zh-CN"/>
        </w:rPr>
        <w:t>钦州市武利江汛期污染强度分析及污染精准溯源研究项目</w:t>
      </w:r>
      <w:r>
        <w:rPr>
          <w:rFonts w:hint="eastAsia" w:hAnsi="宋体" w:cs="宋体"/>
          <w:b/>
          <w:color w:val="auto"/>
          <w:sz w:val="32"/>
          <w:szCs w:val="32"/>
          <w:highlight w:val="none"/>
        </w:rPr>
        <w:t>（</w:t>
      </w:r>
      <w:r>
        <w:rPr>
          <w:rFonts w:hint="eastAsia" w:hAnsi="宋体" w:cs="宋体"/>
          <w:b/>
          <w:color w:val="auto"/>
          <w:sz w:val="32"/>
          <w:szCs w:val="32"/>
          <w:highlight w:val="none"/>
          <w:lang w:eastAsia="zh-CN"/>
        </w:rPr>
        <w:t>QZZC2026-C3-990140-KWZB</w:t>
      </w:r>
      <w:r>
        <w:rPr>
          <w:rFonts w:hint="eastAsia" w:hAnsi="宋体" w:cs="宋体"/>
          <w:b/>
          <w:color w:val="auto"/>
          <w:sz w:val="32"/>
          <w:szCs w:val="32"/>
          <w:highlight w:val="none"/>
        </w:rPr>
        <w:t>）竞争性磋商公告</w:t>
      </w:r>
    </w:p>
    <w:p w14:paraId="046567AC">
      <w:pPr>
        <w:spacing w:line="360" w:lineRule="auto"/>
        <w:jc w:val="center"/>
        <w:rPr>
          <w:rFonts w:ascii="宋体" w:hAnsi="宋体" w:cs="宋体"/>
          <w:color w:val="auto"/>
          <w:szCs w:val="21"/>
          <w:highlight w:val="none"/>
        </w:rPr>
      </w:pPr>
    </w:p>
    <w:p w14:paraId="3116C1F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bookmarkStart w:id="4" w:name="_Hlk37430271"/>
      <w:r>
        <w:rPr>
          <w:rFonts w:hint="eastAsia" w:ascii="宋体" w:hAnsi="宋体" w:cs="宋体"/>
          <w:color w:val="auto"/>
          <w:szCs w:val="21"/>
          <w:highlight w:val="none"/>
        </w:rPr>
        <w:t>项目概况</w:t>
      </w:r>
    </w:p>
    <w:p w14:paraId="4BB8071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钦州市武利江汛期污染强度分析及污染精准溯源研究项目</w:t>
      </w:r>
      <w:r>
        <w:rPr>
          <w:rFonts w:hint="eastAsia" w:ascii="宋体" w:hAnsi="宋体" w:cs="宋体"/>
          <w:color w:val="auto"/>
          <w:szCs w:val="21"/>
          <w:highlight w:val="none"/>
        </w:rPr>
        <w:t>的潜在供应商应在广西政府采购云平台（https://www.gcy.zfcg.gxzf.gov.cn/）获取采购文件，并于</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lang w:eastAsia="zh-CN"/>
        </w:rPr>
        <w:t>日09时30分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54B8D1A8">
      <w:pPr>
        <w:spacing w:line="360" w:lineRule="auto"/>
        <w:ind w:firstLine="354" w:firstLineChars="147"/>
        <w:rPr>
          <w:rFonts w:ascii="宋体" w:hAnsi="宋体" w:cs="宋体"/>
          <w:b/>
          <w:color w:val="auto"/>
          <w:sz w:val="24"/>
          <w:highlight w:val="none"/>
        </w:rPr>
      </w:pPr>
      <w:bookmarkStart w:id="5" w:name="_Toc71365905"/>
      <w:bookmarkStart w:id="6" w:name="_Toc35393798"/>
      <w:bookmarkStart w:id="7" w:name="_Toc44229878"/>
      <w:bookmarkStart w:id="8" w:name="_Toc28359012"/>
      <w:bookmarkStart w:id="9" w:name="_Toc35393629"/>
      <w:bookmarkStart w:id="10" w:name="_Toc28359089"/>
    </w:p>
    <w:bookmarkEnd w:id="5"/>
    <w:bookmarkEnd w:id="6"/>
    <w:bookmarkEnd w:id="7"/>
    <w:bookmarkEnd w:id="8"/>
    <w:bookmarkEnd w:id="9"/>
    <w:bookmarkEnd w:id="10"/>
    <w:p w14:paraId="7035C032">
      <w:pPr>
        <w:spacing w:line="360" w:lineRule="auto"/>
        <w:ind w:firstLine="354" w:firstLineChars="147"/>
        <w:rPr>
          <w:rFonts w:ascii="宋体" w:hAnsi="宋体" w:cs="宋体"/>
          <w:b/>
          <w:color w:val="auto"/>
          <w:sz w:val="24"/>
          <w:highlight w:val="none"/>
        </w:rPr>
      </w:pPr>
      <w:bookmarkStart w:id="11" w:name="_Hlk37429674"/>
      <w:bookmarkStart w:id="12" w:name="_Toc28359095"/>
      <w:bookmarkStart w:id="13" w:name="_Toc35393805"/>
      <w:bookmarkStart w:id="14" w:name="_Toc35393636"/>
      <w:bookmarkStart w:id="15" w:name="_Toc44229885"/>
      <w:bookmarkStart w:id="16" w:name="_Toc28359018"/>
      <w:r>
        <w:rPr>
          <w:rFonts w:hint="eastAsia" w:ascii="宋体" w:hAnsi="宋体" w:cs="宋体"/>
          <w:b/>
          <w:color w:val="auto"/>
          <w:sz w:val="24"/>
          <w:highlight w:val="none"/>
        </w:rPr>
        <w:t>一、项目基本情况</w:t>
      </w:r>
    </w:p>
    <w:p w14:paraId="05431D8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QZZC2026-C3-990140-KWZB</w:t>
      </w:r>
    </w:p>
    <w:p w14:paraId="169E6450">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钦州市武利江汛期污染强度分析及污染精准溯源研究项目</w:t>
      </w:r>
    </w:p>
    <w:p w14:paraId="05BA54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6C2E50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122.00万元</w:t>
      </w:r>
    </w:p>
    <w:p w14:paraId="2C9DDB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w:t>
      </w:r>
      <w:r>
        <w:rPr>
          <w:rFonts w:hint="eastAsia" w:ascii="宋体" w:hAnsi="宋体" w:cs="宋体"/>
          <w:color w:val="auto"/>
          <w:szCs w:val="21"/>
          <w:highlight w:val="none"/>
          <w:lang w:eastAsia="zh-CN"/>
        </w:rPr>
        <w:t>122.00万元</w:t>
      </w:r>
    </w:p>
    <w:p w14:paraId="1392C0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3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3361"/>
        <w:gridCol w:w="1113"/>
        <w:gridCol w:w="4894"/>
      </w:tblGrid>
      <w:tr w14:paraId="66C76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332CFE4E">
            <w:pPr>
              <w:snapToGrid w:val="0"/>
              <w:spacing w:line="360" w:lineRule="auto"/>
              <w:jc w:val="center"/>
              <w:rPr>
                <w:rFonts w:ascii="宋体" w:hAnsi="宋体"/>
                <w:color w:val="auto"/>
                <w:szCs w:val="21"/>
                <w:highlight w:val="none"/>
                <w:u w:val="single"/>
              </w:rPr>
            </w:pPr>
            <w:r>
              <w:rPr>
                <w:rFonts w:hint="eastAsia" w:ascii="宋体" w:hAnsi="宋体"/>
                <w:color w:val="auto"/>
                <w:szCs w:val="21"/>
                <w:highlight w:val="none"/>
              </w:rPr>
              <w:t>序号</w:t>
            </w:r>
          </w:p>
        </w:tc>
        <w:tc>
          <w:tcPr>
            <w:tcW w:w="1666" w:type="pct"/>
            <w:tcBorders>
              <w:top w:val="single" w:color="auto" w:sz="4" w:space="0"/>
              <w:left w:val="single" w:color="auto" w:sz="4" w:space="0"/>
              <w:bottom w:val="single" w:color="auto" w:sz="4" w:space="0"/>
              <w:right w:val="single" w:color="auto" w:sz="4" w:space="0"/>
            </w:tcBorders>
            <w:vAlign w:val="center"/>
          </w:tcPr>
          <w:p w14:paraId="52B717B4">
            <w:pPr>
              <w:snapToGrid w:val="0"/>
              <w:spacing w:line="360" w:lineRule="auto"/>
              <w:jc w:val="center"/>
              <w:rPr>
                <w:rFonts w:ascii="宋体" w:hAnsi="宋体"/>
                <w:color w:val="auto"/>
                <w:szCs w:val="21"/>
                <w:highlight w:val="none"/>
                <w:u w:val="single"/>
              </w:rPr>
            </w:pPr>
            <w:r>
              <w:rPr>
                <w:rFonts w:hint="eastAsia" w:ascii="宋体" w:hAnsi="宋体"/>
                <w:color w:val="auto"/>
                <w:szCs w:val="21"/>
                <w:highlight w:val="none"/>
              </w:rPr>
              <w:t>标的的名称</w:t>
            </w:r>
          </w:p>
        </w:tc>
        <w:tc>
          <w:tcPr>
            <w:tcW w:w="552" w:type="pct"/>
            <w:tcBorders>
              <w:top w:val="single" w:color="auto" w:sz="4" w:space="0"/>
              <w:left w:val="single" w:color="auto" w:sz="4" w:space="0"/>
              <w:bottom w:val="single" w:color="auto" w:sz="4" w:space="0"/>
              <w:right w:val="single" w:color="auto" w:sz="4" w:space="0"/>
            </w:tcBorders>
            <w:vAlign w:val="center"/>
          </w:tcPr>
          <w:p w14:paraId="24EEE0F0">
            <w:pPr>
              <w:snapToGrid w:val="0"/>
              <w:spacing w:line="360" w:lineRule="auto"/>
              <w:jc w:val="center"/>
              <w:rPr>
                <w:rFonts w:ascii="宋体" w:hAnsi="宋体"/>
                <w:color w:val="auto"/>
                <w:szCs w:val="21"/>
                <w:highlight w:val="none"/>
                <w:u w:val="single"/>
              </w:rPr>
            </w:pPr>
            <w:r>
              <w:rPr>
                <w:rFonts w:hint="eastAsia" w:ascii="宋体" w:hAnsi="宋体"/>
                <w:color w:val="auto"/>
                <w:szCs w:val="21"/>
                <w:highlight w:val="none"/>
              </w:rPr>
              <w:t>数量及单位</w:t>
            </w:r>
          </w:p>
        </w:tc>
        <w:tc>
          <w:tcPr>
            <w:tcW w:w="2426" w:type="pct"/>
            <w:tcBorders>
              <w:top w:val="single" w:color="auto" w:sz="4" w:space="0"/>
              <w:left w:val="single" w:color="auto" w:sz="4" w:space="0"/>
              <w:bottom w:val="single" w:color="auto" w:sz="4" w:space="0"/>
              <w:right w:val="single" w:color="auto" w:sz="4" w:space="0"/>
            </w:tcBorders>
            <w:vAlign w:val="center"/>
          </w:tcPr>
          <w:p w14:paraId="0DCF2F38">
            <w:pPr>
              <w:snapToGrid w:val="0"/>
              <w:spacing w:line="360" w:lineRule="auto"/>
              <w:jc w:val="center"/>
              <w:rPr>
                <w:rFonts w:ascii="宋体" w:hAnsi="宋体"/>
                <w:color w:val="auto"/>
                <w:szCs w:val="21"/>
                <w:highlight w:val="none"/>
                <w:u w:val="single"/>
              </w:rPr>
            </w:pPr>
            <w:r>
              <w:rPr>
                <w:rFonts w:hint="eastAsia" w:ascii="宋体" w:hAnsi="宋体"/>
                <w:color w:val="auto"/>
                <w:szCs w:val="21"/>
                <w:highlight w:val="none"/>
              </w:rPr>
              <w:t>简要技术需求或者服务要求</w:t>
            </w:r>
          </w:p>
        </w:tc>
      </w:tr>
      <w:tr w14:paraId="3674B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496CA74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666" w:type="pct"/>
            <w:tcBorders>
              <w:top w:val="single" w:color="auto" w:sz="4" w:space="0"/>
              <w:left w:val="single" w:color="auto" w:sz="4" w:space="0"/>
              <w:bottom w:val="single" w:color="auto" w:sz="4" w:space="0"/>
              <w:right w:val="single" w:color="auto" w:sz="4" w:space="0"/>
            </w:tcBorders>
            <w:vAlign w:val="center"/>
          </w:tcPr>
          <w:p w14:paraId="5FC6E2B7">
            <w:pPr>
              <w:snapToGrid w:val="0"/>
              <w:spacing w:line="360" w:lineRule="auto"/>
              <w:jc w:val="center"/>
              <w:rPr>
                <w:rFonts w:hint="eastAsia" w:eastAsia="宋体"/>
                <w:color w:val="auto"/>
                <w:highlight w:val="none"/>
                <w:lang w:eastAsia="zh-CN"/>
              </w:rPr>
            </w:pPr>
            <w:r>
              <w:rPr>
                <w:rFonts w:hint="eastAsia" w:ascii="宋体" w:hAnsi="宋体" w:cs="Times New Roman"/>
                <w:color w:val="auto"/>
                <w:kern w:val="2"/>
                <w:sz w:val="21"/>
                <w:szCs w:val="21"/>
                <w:highlight w:val="none"/>
                <w:lang w:val="en-US" w:eastAsia="zh-CN" w:bidi="ar-SA"/>
              </w:rPr>
              <w:t>钦州市武利江汛期污染强度分析及污染精准溯源研究项目</w:t>
            </w:r>
          </w:p>
        </w:tc>
        <w:tc>
          <w:tcPr>
            <w:tcW w:w="552" w:type="pct"/>
            <w:tcBorders>
              <w:top w:val="single" w:color="auto" w:sz="4" w:space="0"/>
              <w:left w:val="single" w:color="auto" w:sz="4" w:space="0"/>
              <w:bottom w:val="single" w:color="auto" w:sz="4" w:space="0"/>
              <w:right w:val="single" w:color="auto" w:sz="4" w:space="0"/>
            </w:tcBorders>
            <w:vAlign w:val="center"/>
          </w:tcPr>
          <w:p w14:paraId="2F38B42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2426" w:type="pct"/>
            <w:tcBorders>
              <w:top w:val="single" w:color="auto" w:sz="4" w:space="0"/>
              <w:left w:val="single" w:color="auto" w:sz="4" w:space="0"/>
              <w:bottom w:val="single" w:color="auto" w:sz="4" w:space="0"/>
              <w:right w:val="single" w:color="auto" w:sz="4" w:space="0"/>
            </w:tcBorders>
            <w:vAlign w:val="center"/>
          </w:tcPr>
          <w:p w14:paraId="2A2BA904">
            <w:pPr>
              <w:widowControl/>
              <w:adjustRightInd/>
              <w:spacing w:line="460" w:lineRule="exact"/>
              <w:ind w:firstLine="420" w:firstLineChars="200"/>
              <w:jc w:val="left"/>
              <w:textAlignment w:val="auto"/>
              <w:rPr>
                <w:rFonts w:ascii="宋体" w:hAnsi="宋体"/>
                <w:color w:val="auto"/>
                <w:szCs w:val="21"/>
                <w:highlight w:val="none"/>
              </w:rPr>
            </w:pPr>
            <w:r>
              <w:rPr>
                <w:rFonts w:hint="eastAsia" w:ascii="宋体" w:hAnsi="宋体" w:eastAsia="宋体" w:cs="宋体"/>
                <w:bCs/>
                <w:color w:val="auto"/>
                <w:szCs w:val="21"/>
                <w:highlight w:val="none"/>
                <w:lang w:val="en-US" w:eastAsia="zh-CN"/>
              </w:rPr>
              <w:t>通过对武利江流域污染物溯源，掌握河道、排污口、岸上污染通量平衡关系以及污染物迁移转化规律，开展手工监测相结合的加密监测，识别汛期城乡面源污染主要来源，分析污染成因，锁定污染责任主体，提出精细化监管措施，有针对性的提出污染治理方案以及汛期强度分析报告，开展环境保护宣传工作，有效支撑武利江的水质和水生态环境改善。开展国控断面、区控断面所在河流（湖库）近三年自然岸线调查，具体详见竞争性磋商采购文件第三章采购需求。</w:t>
            </w:r>
          </w:p>
        </w:tc>
      </w:tr>
    </w:tbl>
    <w:p w14:paraId="6C160891">
      <w:pPr>
        <w:spacing w:line="360" w:lineRule="auto"/>
        <w:ind w:firstLine="420" w:firstLineChars="200"/>
        <w:rPr>
          <w:color w:val="auto"/>
          <w:highlight w:val="none"/>
        </w:rPr>
      </w:pPr>
      <w:r>
        <w:rPr>
          <w:rFonts w:hint="eastAsia" w:ascii="宋体" w:hAnsi="宋体"/>
          <w:color w:val="auto"/>
          <w:szCs w:val="21"/>
          <w:highlight w:val="none"/>
        </w:rPr>
        <w:t>合同履行期限：202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月3</w:t>
      </w:r>
      <w:r>
        <w:rPr>
          <w:rFonts w:hint="eastAsia" w:ascii="宋体" w:hAnsi="宋体"/>
          <w:color w:val="auto"/>
          <w:szCs w:val="21"/>
          <w:highlight w:val="none"/>
          <w:lang w:val="en-US" w:eastAsia="zh-CN"/>
        </w:rPr>
        <w:t>1</w:t>
      </w:r>
      <w:r>
        <w:rPr>
          <w:rFonts w:hint="eastAsia" w:ascii="宋体" w:hAnsi="宋体"/>
          <w:color w:val="auto"/>
          <w:szCs w:val="21"/>
          <w:highlight w:val="none"/>
        </w:rPr>
        <w:t>日前完成</w:t>
      </w:r>
      <w:r>
        <w:rPr>
          <w:rFonts w:hint="eastAsia" w:ascii="宋体" w:hAnsi="宋体"/>
          <w:color w:val="auto"/>
          <w:szCs w:val="21"/>
          <w:highlight w:val="none"/>
          <w:lang w:val="en-US" w:eastAsia="zh-CN"/>
        </w:rPr>
        <w:t>各项成果编制、开展宣传活动、专家评审等</w:t>
      </w:r>
      <w:r>
        <w:rPr>
          <w:rFonts w:hint="eastAsia" w:ascii="宋体" w:hAnsi="宋体"/>
          <w:color w:val="auto"/>
          <w:szCs w:val="21"/>
          <w:highlight w:val="none"/>
        </w:rPr>
        <w:t>所有任务。</w:t>
      </w:r>
    </w:p>
    <w:p w14:paraId="39BF8927">
      <w:pPr>
        <w:spacing w:line="360" w:lineRule="auto"/>
        <w:ind w:firstLine="422" w:firstLineChars="200"/>
        <w:rPr>
          <w:rFonts w:ascii="宋体" w:hAnsi="宋体" w:cs="宋体"/>
          <w:b/>
          <w:bCs/>
          <w:color w:val="auto"/>
          <w:szCs w:val="21"/>
          <w:highlight w:val="none"/>
        </w:rPr>
      </w:pPr>
      <w:r>
        <w:rPr>
          <w:rFonts w:hint="eastAsia" w:ascii="宋体" w:hAnsi="宋体"/>
          <w:b/>
          <w:bCs/>
          <w:color w:val="auto"/>
          <w:szCs w:val="21"/>
          <w:highlight w:val="none"/>
        </w:rPr>
        <w:t>本项目</w:t>
      </w:r>
      <w:r>
        <w:rPr>
          <w:rFonts w:hint="eastAsia" w:ascii="宋体" w:hAnsi="宋体"/>
          <w:b/>
          <w:bCs/>
          <w:color w:val="auto"/>
          <w:szCs w:val="21"/>
          <w:highlight w:val="none"/>
          <w:lang w:eastAsia="zh-CN"/>
        </w:rPr>
        <w:t>不</w:t>
      </w:r>
      <w:r>
        <w:rPr>
          <w:rFonts w:hint="eastAsia" w:ascii="宋体" w:hAnsi="宋体"/>
          <w:b/>
          <w:bCs/>
          <w:color w:val="auto"/>
          <w:szCs w:val="21"/>
          <w:highlight w:val="none"/>
        </w:rPr>
        <w:t>接受联合体投标。</w:t>
      </w:r>
    </w:p>
    <w:p w14:paraId="4FB92AE2">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二、申请人的资格条件：</w:t>
      </w:r>
    </w:p>
    <w:p w14:paraId="771932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C01873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2、落实政府采购政策需满足的资格要求：</w:t>
      </w:r>
    </w:p>
    <w:p w14:paraId="6328DA02">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p>
    <w:p w14:paraId="22C41CB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27EFC76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none"/>
          <w:lang w:val="en-US" w:eastAsia="zh-CN"/>
        </w:rPr>
        <w:t>无</w:t>
      </w:r>
      <w:r>
        <w:rPr>
          <w:rFonts w:hint="eastAsia" w:ascii="宋体" w:hAnsi="宋体" w:cs="宋体"/>
          <w:bCs/>
          <w:color w:val="auto"/>
          <w:kern w:val="0"/>
          <w:szCs w:val="21"/>
          <w:highlight w:val="none"/>
        </w:rPr>
        <w:t>。</w:t>
      </w:r>
    </w:p>
    <w:p w14:paraId="6BAE5595">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三、获取竞争性磋商文件</w:t>
      </w:r>
    </w:p>
    <w:p w14:paraId="63F73507">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8</w:t>
      </w:r>
      <w:r>
        <w:rPr>
          <w:rFonts w:hint="eastAsia" w:ascii="宋体" w:hAnsi="宋体" w:cs="宋体"/>
          <w:color w:val="auto"/>
          <w:highlight w:val="none"/>
          <w:lang w:eastAsia="zh-CN"/>
        </w:rPr>
        <w:t>日至202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14</w:t>
      </w:r>
      <w:r>
        <w:rPr>
          <w:rFonts w:hint="eastAsia" w:ascii="宋体" w:hAnsi="宋体" w:cs="宋体"/>
          <w:color w:val="auto"/>
          <w:highlight w:val="none"/>
          <w:lang w:eastAsia="zh-CN"/>
        </w:rPr>
        <w:t>日</w:t>
      </w:r>
      <w:r>
        <w:rPr>
          <w:rFonts w:hint="eastAsia" w:ascii="宋体" w:hAnsi="宋体" w:cs="宋体"/>
          <w:color w:val="auto"/>
          <w:szCs w:val="21"/>
          <w:highlight w:val="none"/>
        </w:rPr>
        <w:t>，每天上午00:00-12:00；下午1</w:t>
      </w: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00</w:t>
      </w:r>
      <w:r>
        <w:rPr>
          <w:rFonts w:hint="eastAsia" w:ascii="宋体" w:hAnsi="宋体" w:cs="宋体"/>
          <w:color w:val="auto"/>
          <w:szCs w:val="21"/>
          <w:highlight w:val="none"/>
        </w:rPr>
        <w:t>-23:</w:t>
      </w:r>
      <w:r>
        <w:rPr>
          <w:rFonts w:hint="eastAsia" w:ascii="宋体" w:hAnsi="宋体" w:cs="宋体"/>
          <w:color w:val="auto"/>
          <w:highlight w:val="none"/>
        </w:rPr>
        <w:t>59</w:t>
      </w:r>
      <w:r>
        <w:rPr>
          <w:rFonts w:hint="eastAsia" w:ascii="宋体" w:hAnsi="宋体" w:cs="宋体"/>
          <w:color w:val="auto"/>
          <w:szCs w:val="21"/>
          <w:highlight w:val="none"/>
        </w:rPr>
        <w:t>（北京时间，法定节假日除外）</w:t>
      </w:r>
      <w:r>
        <w:rPr>
          <w:rFonts w:hint="eastAsia" w:ascii="宋体" w:hAnsi="宋体" w:cs="宋体"/>
          <w:bCs/>
          <w:color w:val="auto"/>
          <w:kern w:val="0"/>
          <w:szCs w:val="21"/>
          <w:highlight w:val="none"/>
        </w:rPr>
        <w:t>。</w:t>
      </w:r>
    </w:p>
    <w:p w14:paraId="6D8A0A4B">
      <w:pPr>
        <w:spacing w:line="360" w:lineRule="auto"/>
        <w:ind w:firstLine="420" w:firstLineChars="200"/>
        <w:rPr>
          <w:rFonts w:ascii="宋体" w:hAnsi="宋体" w:cs="宋体"/>
          <w:color w:val="auto"/>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4B6DDEDB">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方式：网上下载。供应商登录广西政府采购云平台https://www.gcy.zfcg.gxzf.gov.cn/在线申请获取采购文件（进入“项目采购”应用，在获取采购文件菜单中选择项目，申请获取采购文件）。</w:t>
      </w:r>
    </w:p>
    <w:p w14:paraId="04D4A7A4">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73764A9C">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四、响应文件提交</w:t>
      </w:r>
    </w:p>
    <w:p w14:paraId="1272D695">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1、首次响应文件提交截止时间：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19</w:t>
      </w:r>
      <w:r>
        <w:rPr>
          <w:rFonts w:hint="eastAsia" w:ascii="宋体" w:hAnsi="宋体" w:cs="宋体"/>
          <w:bCs/>
          <w:color w:val="auto"/>
          <w:kern w:val="0"/>
          <w:szCs w:val="21"/>
          <w:highlight w:val="none"/>
          <w:lang w:eastAsia="zh-CN"/>
        </w:rPr>
        <w:t>日09时30分</w:t>
      </w:r>
      <w:r>
        <w:rPr>
          <w:rFonts w:hint="eastAsia" w:ascii="宋体" w:hAnsi="宋体" w:cs="宋体"/>
          <w:bCs/>
          <w:color w:val="auto"/>
          <w:kern w:val="0"/>
          <w:szCs w:val="21"/>
          <w:highlight w:val="none"/>
        </w:rPr>
        <w:t>（北京时间）</w:t>
      </w:r>
      <w:r>
        <w:rPr>
          <w:rFonts w:hint="eastAsia" w:ascii="宋体" w:hAnsi="宋体" w:cs="宋体"/>
          <w:bCs/>
          <w:color w:val="auto"/>
          <w:kern w:val="0"/>
          <w:szCs w:val="21"/>
          <w:highlight w:val="none"/>
          <w:lang w:eastAsia="zh-CN"/>
        </w:rPr>
        <w:t>。</w:t>
      </w:r>
    </w:p>
    <w:p w14:paraId="7A20D9C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2、地点：通过广西政府采购云平台（https://www.gcy.zfcg.gxzf.gov.cn/）在线提交</w:t>
      </w:r>
      <w:r>
        <w:rPr>
          <w:rFonts w:hint="eastAsia" w:ascii="宋体" w:hAnsi="宋体" w:cs="宋体"/>
          <w:color w:val="auto"/>
          <w:szCs w:val="21"/>
          <w:highlight w:val="none"/>
          <w:lang w:eastAsia="zh-CN"/>
        </w:rPr>
        <w:t>。</w:t>
      </w:r>
    </w:p>
    <w:p w14:paraId="02F52323">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五、开启</w:t>
      </w:r>
    </w:p>
    <w:p w14:paraId="65FE0EAC">
      <w:pPr>
        <w:spacing w:line="360" w:lineRule="auto"/>
        <w:ind w:firstLine="420" w:firstLineChars="200"/>
        <w:rPr>
          <w:rFonts w:hint="eastAsia" w:ascii="宋体" w:hAnsi="宋体" w:eastAsia="宋体" w:cs="宋体"/>
          <w:bCs/>
          <w:color w:val="auto"/>
          <w:szCs w:val="21"/>
          <w:highlight w:val="none"/>
          <w:u w:val="single"/>
          <w:lang w:eastAsia="zh-CN"/>
        </w:rPr>
      </w:pPr>
      <w:r>
        <w:rPr>
          <w:rFonts w:hint="eastAsia" w:ascii="宋体" w:hAnsi="宋体" w:cs="宋体"/>
          <w:color w:val="auto"/>
          <w:szCs w:val="21"/>
          <w:highlight w:val="none"/>
        </w:rPr>
        <w:t>1、首次响应文件开启时间：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19</w:t>
      </w:r>
      <w:r>
        <w:rPr>
          <w:rFonts w:hint="eastAsia" w:ascii="宋体" w:hAnsi="宋体" w:cs="宋体"/>
          <w:bCs/>
          <w:color w:val="auto"/>
          <w:kern w:val="0"/>
          <w:szCs w:val="21"/>
          <w:highlight w:val="none"/>
          <w:lang w:eastAsia="zh-CN"/>
        </w:rPr>
        <w:t>日09时30分</w:t>
      </w:r>
      <w:r>
        <w:rPr>
          <w:rFonts w:hint="eastAsia" w:ascii="宋体" w:hAnsi="宋体" w:cs="宋体"/>
          <w:bCs/>
          <w:color w:val="auto"/>
          <w:kern w:val="0"/>
          <w:szCs w:val="21"/>
          <w:highlight w:val="none"/>
        </w:rPr>
        <w:t>（北京时间）</w:t>
      </w:r>
      <w:r>
        <w:rPr>
          <w:rFonts w:hint="eastAsia" w:ascii="宋体" w:hAnsi="宋体" w:cs="宋体"/>
          <w:bCs/>
          <w:color w:val="auto"/>
          <w:kern w:val="0"/>
          <w:szCs w:val="21"/>
          <w:highlight w:val="none"/>
          <w:lang w:eastAsia="zh-CN"/>
        </w:rPr>
        <w:t>。</w:t>
      </w:r>
    </w:p>
    <w:p w14:paraId="65D60B6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2、地点：本项目将在广西政府采购云平台电子开标大厅解密、开启</w:t>
      </w:r>
      <w:r>
        <w:rPr>
          <w:rFonts w:hint="eastAsia" w:ascii="宋体" w:hAnsi="宋体" w:cs="宋体"/>
          <w:color w:val="auto"/>
          <w:szCs w:val="21"/>
          <w:highlight w:val="none"/>
          <w:lang w:eastAsia="zh-CN"/>
        </w:rPr>
        <w:t>。</w:t>
      </w:r>
    </w:p>
    <w:p w14:paraId="0B271675">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六、公告期限</w:t>
      </w:r>
    </w:p>
    <w:p w14:paraId="5176F6A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69DE6F8D">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七、其他补充事宜</w:t>
      </w:r>
    </w:p>
    <w:p w14:paraId="1B399B5F">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1、本项目不收取磋商保证金。</w:t>
      </w:r>
    </w:p>
    <w:p w14:paraId="191AA568">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采购意向公开链接：</w:t>
      </w:r>
    </w:p>
    <w:p w14:paraId="604EF4AC">
      <w:pPr>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http://www.ccgp-guangxi.gov.cn/site/detail?categoryCode=reformColumn&amp;parentId=66601&amp;articleId=OHRTtWRU7kp7ceyveKDjiA==。</w:t>
      </w:r>
    </w:p>
    <w:p w14:paraId="133E2C04">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C37B149">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94D157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、网上查询地址：中国政府采购网（www.ccgp.gov.cn）、广西政府采购网（zfcg.gxzf.gov.cn）。</w:t>
      </w:r>
    </w:p>
    <w:p w14:paraId="0661A7AB">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、本项目需要落实的政府采购政策：</w:t>
      </w:r>
    </w:p>
    <w:p w14:paraId="294F9610">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119877FF">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0DA834A6">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13530052">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526643FA">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（5）政府采购支持监狱企业发展。</w:t>
      </w:r>
    </w:p>
    <w:p w14:paraId="304E853A">
      <w:pPr>
        <w:widowControl/>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（6）扶持不发达地区和少数民族地区政策</w:t>
      </w:r>
      <w:r>
        <w:rPr>
          <w:rFonts w:hint="eastAsia" w:ascii="宋体" w:hAnsi="宋体" w:cs="宋体"/>
          <w:color w:val="auto"/>
          <w:szCs w:val="21"/>
          <w:highlight w:val="none"/>
          <w:lang w:eastAsia="zh-CN"/>
        </w:rPr>
        <w:t>。</w:t>
      </w:r>
    </w:p>
    <w:p w14:paraId="14D0885D">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、磋商注意事项：</w:t>
      </w:r>
    </w:p>
    <w:bookmarkEnd w:id="11"/>
    <w:p w14:paraId="23DE0DE0">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新版客户端”（新版客户端下载路径：请自行前往广西政府采购网（访问地址http://zfcg.gxzf.gov.cn/）—办事服务—下载专区），并按照本项目竞争性磋商文件和“广西政府采购云平台”的要求编制、加密后在竞标截止时间前通过网络上传至 “广西政府采购云平台”，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w:t>
      </w:r>
      <w:r>
        <w:rPr>
          <w:rFonts w:hint="eastAsia" w:ascii="宋体" w:hAnsi="宋体" w:cs="宋体"/>
          <w:bCs/>
          <w:color w:val="auto"/>
          <w:kern w:val="0"/>
          <w:szCs w:val="21"/>
          <w:highlight w:val="none"/>
        </w:rPr>
        <w:t>广西政府采购云平台</w:t>
      </w:r>
      <w:r>
        <w:rPr>
          <w:rFonts w:hint="eastAsia" w:ascii="宋体" w:hAnsi="宋体" w:cs="宋体"/>
          <w:color w:val="auto"/>
          <w:szCs w:val="21"/>
          <w:highlight w:val="none"/>
        </w:rPr>
        <w:t>客服热线：95763）。</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（3）CA证书在线解密：供应商竞标时，需凭制作响应文件时用来加密的有效数字证书（CA认证）登录“广西政府采购云平台”电子开标大厅现场按规定时间对加密的响应文件进行解密，否则后果自负。</w:t>
      </w:r>
      <w:r>
        <w:rPr>
          <w:rFonts w:hint="eastAsia" w:ascii="宋体" w:hAnsi="宋体" w:cs="宋体"/>
          <w:color w:val="auto"/>
          <w:szCs w:val="21"/>
          <w:highlight w:val="none"/>
        </w:rPr>
        <w:br w:type="textWrapping"/>
      </w:r>
      <w:r>
        <w:rPr>
          <w:rFonts w:hint="eastAsia" w:ascii="宋体" w:hAnsi="宋体" w:eastAsia="宋体" w:cs="宋体"/>
          <w:color w:val="auto"/>
          <w:szCs w:val="21"/>
          <w:highlight w:val="none"/>
        </w:rPr>
        <w:t>注：</w:t>
      </w:r>
      <w:r>
        <w:rPr>
          <w:rFonts w:hint="default" w:ascii="宋体" w:hAnsi="宋体" w:eastAsia="宋体" w:cs="宋体"/>
          <w:color w:val="auto"/>
          <w:szCs w:val="21"/>
          <w:highlight w:val="none"/>
        </w:rPr>
        <w:t>①</w:t>
      </w:r>
      <w:r>
        <w:rPr>
          <w:rFonts w:hint="eastAsia" w:ascii="宋体" w:hAnsi="宋体" w:eastAsia="宋体" w:cs="宋体"/>
          <w:color w:val="auto"/>
          <w:szCs w:val="21"/>
          <w:highlight w:val="none"/>
        </w:rPr>
        <w:t>为确保网上操作合法、有效和安全，请供应商确保在电子投标过程中能够对相关数据电文进行加密和使用电子签章，妥善保管CA数字证书并使用有效的CA数字证书参与整个采购活动。</w:t>
      </w:r>
      <w:r>
        <w:rPr>
          <w:rFonts w:hint="default" w:ascii="宋体" w:hAnsi="宋体" w:eastAsia="宋体" w:cs="宋体"/>
          <w:color w:val="auto"/>
          <w:szCs w:val="21"/>
          <w:highlight w:val="none"/>
        </w:rPr>
        <w:t>②</w:t>
      </w:r>
      <w:r>
        <w:rPr>
          <w:rFonts w:hint="eastAsia" w:ascii="宋体" w:hAnsi="宋体" w:eastAsia="宋体" w:cs="宋体"/>
          <w:color w:val="auto"/>
          <w:szCs w:val="21"/>
          <w:highlight w:val="none"/>
        </w:rPr>
        <w:t>供应商应当在竞标截止时间前完成电子响应文件的上传、提交，竞标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（4）供应商需要在具备有摄像头及语音功能且互联网网络状况良好的电脑登录“广西政府采购云平台”远程开标大厅参与本次磋商，否则后果自负。</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6FBF8385">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12"/>
      <w:bookmarkEnd w:id="13"/>
      <w:bookmarkEnd w:id="14"/>
      <w:bookmarkEnd w:id="15"/>
      <w:bookmarkEnd w:id="16"/>
    </w:p>
    <w:p w14:paraId="73233C28">
      <w:pPr>
        <w:spacing w:line="360" w:lineRule="auto"/>
        <w:ind w:firstLine="567" w:firstLineChars="270"/>
        <w:jc w:val="left"/>
        <w:rPr>
          <w:rFonts w:ascii="宋体" w:hAnsi="宋体" w:cs="宋体"/>
          <w:color w:val="auto"/>
          <w:szCs w:val="21"/>
          <w:highlight w:val="none"/>
        </w:rPr>
      </w:pPr>
      <w:bookmarkStart w:id="17" w:name="_Toc28359096"/>
      <w:bookmarkStart w:id="18" w:name="_Toc28359019"/>
      <w:bookmarkStart w:id="19" w:name="_Toc35393637"/>
      <w:bookmarkStart w:id="20" w:name="_Toc35393806"/>
      <w:r>
        <w:rPr>
          <w:rFonts w:hint="eastAsia" w:ascii="宋体" w:hAnsi="宋体" w:cs="宋体"/>
          <w:color w:val="auto"/>
          <w:szCs w:val="21"/>
          <w:highlight w:val="none"/>
        </w:rPr>
        <w:t>1.采购人信息</w:t>
      </w:r>
    </w:p>
    <w:p w14:paraId="59BCD6AA">
      <w:pPr>
        <w:spacing w:line="360" w:lineRule="auto"/>
        <w:ind w:firstLine="567" w:firstLineChars="27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highlight w:val="none"/>
          <w:lang w:eastAsia="zh-CN"/>
        </w:rPr>
        <w:t>钦州市生态环境局</w:t>
      </w:r>
    </w:p>
    <w:p w14:paraId="6D41C483">
      <w:pPr>
        <w:spacing w:line="360" w:lineRule="auto"/>
        <w:ind w:firstLine="567" w:firstLineChars="27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Arial"/>
          <w:color w:val="auto"/>
          <w:szCs w:val="21"/>
          <w:highlight w:val="none"/>
          <w:lang w:eastAsia="zh-CN"/>
        </w:rPr>
        <w:t>钦州市钦北区富民路28号</w:t>
      </w:r>
    </w:p>
    <w:p w14:paraId="3B6070E6">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21" w:name="_Toc28359086"/>
      <w:bookmarkStart w:id="22" w:name="_Toc28359009"/>
      <w:r>
        <w:rPr>
          <w:rFonts w:hint="eastAsia" w:ascii="宋体" w:hAnsi="宋体" w:cs="宋体"/>
          <w:color w:val="auto"/>
          <w:szCs w:val="21"/>
          <w:highlight w:val="none"/>
          <w:lang w:eastAsia="zh-CN"/>
        </w:rPr>
        <w:t>邱绚</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0777-2825715</w:t>
      </w:r>
      <w:r>
        <w:rPr>
          <w:rFonts w:hint="eastAsia" w:ascii="宋体" w:hAnsi="宋体" w:cs="宋体"/>
          <w:color w:val="auto"/>
          <w:szCs w:val="21"/>
          <w:highlight w:val="none"/>
        </w:rPr>
        <w:t xml:space="preserve"> </w:t>
      </w:r>
    </w:p>
    <w:p w14:paraId="01338B32">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21"/>
      <w:bookmarkEnd w:id="22"/>
    </w:p>
    <w:p w14:paraId="0BF6AC0F">
      <w:pPr>
        <w:spacing w:line="360" w:lineRule="auto"/>
        <w:ind w:firstLine="567" w:firstLineChars="27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广西科文招标有限公司</w:t>
      </w:r>
    </w:p>
    <w:p w14:paraId="2CB1D972">
      <w:pPr>
        <w:spacing w:line="360" w:lineRule="auto"/>
        <w:ind w:firstLine="567" w:firstLineChars="27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钦州市钦南区桃园路五巷6号</w:t>
      </w:r>
    </w:p>
    <w:p w14:paraId="33CE4F06">
      <w:pPr>
        <w:spacing w:line="360" w:lineRule="auto"/>
        <w:ind w:firstLine="567" w:firstLineChars="27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bookmarkStart w:id="23" w:name="_Toc28359010"/>
      <w:bookmarkStart w:id="24" w:name="_Toc28359087"/>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陈上鹏</w:t>
      </w:r>
      <w:r>
        <w:rPr>
          <w:rFonts w:hint="eastAsia" w:ascii="宋体" w:hAnsi="宋体" w:cs="宋体"/>
          <w:color w:val="auto"/>
          <w:szCs w:val="21"/>
          <w:highlight w:val="none"/>
          <w:lang w:val="en-US" w:eastAsia="zh-CN"/>
        </w:rPr>
        <w:t>、</w:t>
      </w:r>
      <w:r>
        <w:rPr>
          <w:rFonts w:hint="eastAsia" w:hAnsi="宋体" w:cs="宋体"/>
          <w:color w:val="auto"/>
          <w:kern w:val="2"/>
          <w:sz w:val="21"/>
          <w:szCs w:val="21"/>
          <w:highlight w:val="none"/>
          <w:lang w:val="en-US" w:eastAsia="zh-CN" w:bidi="ar-SA"/>
        </w:rPr>
        <w:t>黄晴柯</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0777-3816558、0771-2023837</w:t>
      </w:r>
    </w:p>
    <w:p w14:paraId="6572760B">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3.项目联系方式</w:t>
      </w:r>
      <w:bookmarkEnd w:id="23"/>
      <w:bookmarkEnd w:id="24"/>
    </w:p>
    <w:p w14:paraId="456768DD">
      <w:pPr>
        <w:pStyle w:val="18"/>
        <w:spacing w:line="360" w:lineRule="auto"/>
        <w:ind w:firstLine="567" w:firstLineChars="270"/>
        <w:rPr>
          <w:rFonts w:hAnsi="宋体" w:cs="宋体"/>
          <w:color w:val="auto"/>
          <w:sz w:val="21"/>
          <w:highlight w:val="none"/>
        </w:rPr>
      </w:pPr>
      <w:r>
        <w:rPr>
          <w:rFonts w:hint="eastAsia" w:hAnsi="宋体" w:cs="宋体"/>
          <w:color w:val="auto"/>
          <w:sz w:val="21"/>
          <w:highlight w:val="none"/>
        </w:rPr>
        <w:t>项目联系人</w:t>
      </w:r>
      <w:r>
        <w:rPr>
          <w:rFonts w:hint="eastAsia"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lang w:val="en-US" w:eastAsia="zh-CN" w:bidi="ar-SA"/>
        </w:rPr>
        <w:t>陈上鹏、黄晴柯</w:t>
      </w:r>
      <w:r>
        <w:rPr>
          <w:rFonts w:hint="eastAsia" w:ascii="宋体" w:hAnsi="宋体" w:eastAsia="宋体" w:cs="宋体"/>
          <w:color w:val="auto"/>
          <w:kern w:val="2"/>
          <w:sz w:val="21"/>
          <w:szCs w:val="21"/>
          <w:highlight w:val="none"/>
          <w:lang w:val="en-US" w:eastAsia="zh-CN" w:bidi="ar-SA"/>
        </w:rPr>
        <w:t xml:space="preserve">   </w:t>
      </w:r>
      <w:r>
        <w:rPr>
          <w:rFonts w:hint="eastAsia" w:hAnsi="宋体" w:cs="宋体"/>
          <w:color w:val="auto"/>
          <w:sz w:val="21"/>
          <w:highlight w:val="none"/>
        </w:rPr>
        <w:t xml:space="preserve">  </w:t>
      </w:r>
    </w:p>
    <w:p w14:paraId="777640A5">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0777-3816558、0771-2023837</w:t>
      </w:r>
      <w:r>
        <w:rPr>
          <w:rFonts w:hint="eastAsia" w:ascii="宋体" w:hAnsi="宋体" w:cs="宋体"/>
          <w:color w:val="auto"/>
          <w:szCs w:val="21"/>
          <w:highlight w:val="none"/>
        </w:rPr>
        <w:t>　　　　　　　　　　</w:t>
      </w:r>
    </w:p>
    <w:p w14:paraId="13E7BDD3">
      <w:pPr>
        <w:spacing w:line="380" w:lineRule="exact"/>
        <w:ind w:firstLine="6195" w:firstLineChars="2950"/>
        <w:rPr>
          <w:rFonts w:ascii="宋体" w:hAnsi="宋体" w:cs="宋体"/>
          <w:color w:val="auto"/>
          <w:szCs w:val="21"/>
          <w:highlight w:val="none"/>
        </w:rPr>
      </w:pPr>
    </w:p>
    <w:p w14:paraId="4A71D277">
      <w:pPr>
        <w:spacing w:line="380" w:lineRule="exact"/>
        <w:ind w:firstLine="6195" w:firstLineChars="2950"/>
        <w:rPr>
          <w:rFonts w:ascii="宋体" w:hAnsi="宋体" w:cs="宋体"/>
          <w:color w:val="auto"/>
          <w:szCs w:val="21"/>
          <w:highlight w:val="none"/>
        </w:rPr>
      </w:pPr>
    </w:p>
    <w:p w14:paraId="7B10EF81">
      <w:pPr>
        <w:spacing w:line="360" w:lineRule="auto"/>
        <w:ind w:firstLine="6232" w:firstLineChars="2968"/>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广西科文招标有限公司</w:t>
      </w:r>
    </w:p>
    <w:bookmarkEnd w:id="4"/>
    <w:bookmarkEnd w:id="17"/>
    <w:bookmarkEnd w:id="18"/>
    <w:bookmarkEnd w:id="19"/>
    <w:bookmarkEnd w:id="20"/>
    <w:p w14:paraId="4D0EE5FF">
      <w:pPr>
        <w:spacing w:line="360" w:lineRule="auto"/>
        <w:ind w:firstLine="567" w:firstLineChars="270"/>
        <w:jc w:val="righ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8</w:t>
      </w:r>
      <w:bookmarkStart w:id="145" w:name="_GoBack"/>
      <w:bookmarkEnd w:id="145"/>
      <w:r>
        <w:rPr>
          <w:rFonts w:hint="eastAsia" w:ascii="宋体" w:hAnsi="宋体" w:cs="宋体"/>
          <w:color w:val="auto"/>
          <w:szCs w:val="21"/>
          <w:highlight w:val="none"/>
          <w:lang w:eastAsia="zh-CN"/>
        </w:rPr>
        <w:t>日</w:t>
      </w:r>
    </w:p>
    <w:p w14:paraId="55A44A4A">
      <w:pPr>
        <w:spacing w:line="360" w:lineRule="auto"/>
        <w:ind w:firstLine="867" w:firstLineChars="270"/>
        <w:jc w:val="center"/>
        <w:rPr>
          <w:rFonts w:ascii="宋体" w:hAnsi="宋体" w:cs="宋体"/>
          <w:color w:val="auto"/>
          <w:highlight w:val="none"/>
        </w:rPr>
      </w:pPr>
      <w:r>
        <w:rPr>
          <w:rFonts w:hint="eastAsia" w:ascii="宋体" w:hAnsi="宋体" w:cs="宋体"/>
          <w:b/>
          <w:bCs/>
          <w:color w:val="auto"/>
          <w:sz w:val="32"/>
          <w:szCs w:val="32"/>
          <w:highlight w:val="none"/>
        </w:rPr>
        <w:br w:type="page"/>
      </w:r>
      <w:bookmarkStart w:id="25" w:name="_Toc74323457"/>
      <w:r>
        <w:rPr>
          <w:rStyle w:val="39"/>
          <w:rFonts w:hint="eastAsia"/>
          <w:color w:val="auto"/>
          <w:highlight w:val="none"/>
        </w:rPr>
        <w:t>第二章 供应商须知</w:t>
      </w:r>
      <w:bookmarkEnd w:id="25"/>
    </w:p>
    <w:p w14:paraId="1B2439F0">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01982A05">
      <w:pPr>
        <w:spacing w:line="400" w:lineRule="exact"/>
        <w:jc w:val="center"/>
        <w:rPr>
          <w:rFonts w:ascii="宋体" w:hAnsi="宋体" w:cs="宋体"/>
          <w:b/>
          <w:color w:val="auto"/>
          <w:sz w:val="32"/>
          <w:szCs w:val="32"/>
          <w:highlight w:val="none"/>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7031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00B85EE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627" w:type="dxa"/>
          </w:tcPr>
          <w:p w14:paraId="31D6152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11B6D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EA5B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627" w:type="dxa"/>
            <w:vAlign w:val="center"/>
          </w:tcPr>
          <w:p w14:paraId="4B68E3E8">
            <w:pPr>
              <w:spacing w:line="360" w:lineRule="auto"/>
              <w:rPr>
                <w:rFonts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1F2DB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301C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8627" w:type="dxa"/>
            <w:vAlign w:val="center"/>
          </w:tcPr>
          <w:p w14:paraId="50E8BBB3">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51F9A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5DEB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27" w:type="dxa"/>
            <w:vAlign w:val="center"/>
          </w:tcPr>
          <w:p w14:paraId="10443E3C">
            <w:pPr>
              <w:pStyle w:val="14"/>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本项目（☑不允许；□ 允许）允许分包，供应商如选择以合同分包形式参与响应，须在响应文件中提供分包意向协议书</w:t>
            </w:r>
          </w:p>
        </w:tc>
      </w:tr>
      <w:tr w14:paraId="68AA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7B6FF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8627" w:type="dxa"/>
            <w:vAlign w:val="center"/>
          </w:tcPr>
          <w:p w14:paraId="3071AE9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08936A71">
            <w:pPr>
              <w:pStyle w:val="14"/>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0C4A378">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2、供应商依法缴纳税收的相关材料（响应文件提交截止时间前半年内任意连续3个月的依法缴纳税收的凭据复印件；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521FDB5">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eastAsia="宋体" w:cs="宋体"/>
                <w:color w:val="auto"/>
                <w:szCs w:val="21"/>
                <w:highlight w:val="none"/>
              </w:rPr>
              <w:t>响应文件提交截止时间前半年内任意连续3个月的依法缴纳社会保障资金的缴费凭证（专用收据或者社会保险缴纳清单）复印件；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C2190B">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4或2025</w:t>
            </w:r>
            <w:r>
              <w:rPr>
                <w:rFonts w:hint="eastAsia" w:ascii="宋体" w:hAnsi="宋体" w:cs="宋体"/>
                <w:color w:val="auto"/>
                <w:szCs w:val="21"/>
                <w:highlight w:val="none"/>
                <w:u w:val="single"/>
              </w:rPr>
              <w:t>年</w:t>
            </w:r>
            <w:r>
              <w:rPr>
                <w:rFonts w:hint="eastAsia" w:ascii="宋体" w:hAnsi="宋体" w:cs="宋体"/>
                <w:color w:val="auto"/>
                <w:szCs w:val="21"/>
                <w:highlight w:val="none"/>
              </w:rPr>
              <w:t>度</w:t>
            </w:r>
            <w:r>
              <w:rPr>
                <w:rStyle w:val="34"/>
                <w:rFonts w:ascii="宋体" w:hAnsi="宋体" w:eastAsia="宋体" w:cs="宋体"/>
                <w:b w:val="0"/>
                <w:color w:val="auto"/>
                <w:sz w:val="21"/>
                <w:szCs w:val="24"/>
                <w:highlight w:val="none"/>
              </w:rPr>
              <w:t>经会计师事务所审计的财务报表和审计报告</w:t>
            </w:r>
            <w:r>
              <w:rPr>
                <w:rFonts w:hint="eastAsia" w:ascii="宋体" w:hAnsi="宋体" w:cs="宋体"/>
                <w:color w:val="auto"/>
                <w:szCs w:val="21"/>
                <w:highlight w:val="none"/>
              </w:rPr>
              <w:t>或者银行出具的资信证明；供应商属于</w:t>
            </w:r>
            <w:r>
              <w:rPr>
                <w:rFonts w:hint="eastAsia" w:ascii="宋体" w:hAnsi="宋体" w:cs="宋体"/>
                <w:color w:val="auto"/>
                <w:highlight w:val="none"/>
              </w:rPr>
              <w:t>成立时间</w:t>
            </w:r>
            <w:r>
              <w:rPr>
                <w:rFonts w:hint="eastAsia" w:ascii="宋体" w:hAnsi="宋体" w:cs="宋体"/>
                <w:color w:val="auto"/>
                <w:kern w:val="0"/>
                <w:highlight w:val="none"/>
              </w:rPr>
              <w:t>在规定年度之后</w:t>
            </w:r>
            <w:r>
              <w:rPr>
                <w:rFonts w:hint="eastAsia" w:ascii="宋体" w:hAnsi="宋体" w:cs="宋体"/>
                <w:color w:val="auto"/>
                <w:highlight w:val="none"/>
              </w:rPr>
              <w:t>的</w:t>
            </w:r>
            <w:r>
              <w:rPr>
                <w:rFonts w:hint="eastAsia" w:ascii="宋体" w:hAnsi="宋体" w:cs="宋体"/>
                <w:color w:val="auto"/>
                <w:szCs w:val="21"/>
                <w:highlight w:val="none"/>
              </w:rPr>
              <w:t>法人或其他组织</w:t>
            </w:r>
            <w:r>
              <w:rPr>
                <w:rFonts w:hint="eastAsia" w:ascii="宋体" w:hAnsi="宋体" w:cs="宋体"/>
                <w:color w:val="auto"/>
                <w:highlight w:val="none"/>
              </w:rPr>
              <w:t>，需提供成立之日起至响应文件提交截止时间前的</w:t>
            </w:r>
            <w:r>
              <w:rPr>
                <w:rStyle w:val="34"/>
                <w:rFonts w:ascii="宋体" w:hAnsi="宋体" w:eastAsia="宋体" w:cs="宋体"/>
                <w:b w:val="0"/>
                <w:color w:val="auto"/>
                <w:sz w:val="21"/>
                <w:szCs w:val="24"/>
                <w:highlight w:val="none"/>
              </w:rPr>
              <w:t>经审计的财务报表</w:t>
            </w:r>
            <w:r>
              <w:rPr>
                <w:rFonts w:hint="eastAsia" w:ascii="宋体" w:hAnsi="宋体" w:cs="宋体"/>
                <w:color w:val="auto"/>
                <w:szCs w:val="21"/>
                <w:highlight w:val="none"/>
              </w:rPr>
              <w:t>或银行出具的资信证明；资信证明应在有效期内，未注明有效期的，银行出具时间至响应文件提交截止时间不超过一年）；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除自然人外必须提供，否则响应文件按无效响应处理</w:t>
            </w:r>
            <w:r>
              <w:rPr>
                <w:rFonts w:hint="eastAsia" w:ascii="宋体" w:hAnsi="宋体" w:cs="宋体"/>
                <w:bCs/>
                <w:color w:val="auto"/>
                <w:szCs w:val="21"/>
                <w:highlight w:val="none"/>
              </w:rPr>
              <w:t>）</w:t>
            </w:r>
          </w:p>
          <w:p w14:paraId="5A627DD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B46D6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60815B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、除磋商文件规定必须提供以外，供应商认为需要提供的其他证明材料；</w:t>
            </w:r>
          </w:p>
          <w:p w14:paraId="2E87D15E">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w:t>
            </w:r>
          </w:p>
          <w:p w14:paraId="3CF9D716">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1、以上标明“必须提供”的材料属于复印件的，必须加盖供应商公章，否则响应文件按无效响应处理。</w:t>
            </w:r>
          </w:p>
          <w:p w14:paraId="19894F37">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2、竞标声明必须由法定代表人在规定签章处签字并加盖供应商公章，否则响应文件按无效响应处理。</w:t>
            </w:r>
          </w:p>
          <w:p w14:paraId="2D3CC64C">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3、供应商直接控股、管理关系信息表必须由法定代表人或者委托代理人在规定签章处签字并加盖供应商公章，否则响应文件按无效响应处理。</w:t>
            </w:r>
          </w:p>
          <w:p w14:paraId="548930F4">
            <w:pPr>
              <w:pStyle w:val="14"/>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、分公司参加竞标的，应当取得总公司授权，否则响应文件按无效响应处理。</w:t>
            </w:r>
          </w:p>
        </w:tc>
      </w:tr>
      <w:tr w14:paraId="49A9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633E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627" w:type="dxa"/>
            <w:vAlign w:val="center"/>
          </w:tcPr>
          <w:p w14:paraId="7F524EA4">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报价商务技术文件</w:t>
            </w:r>
          </w:p>
          <w:p w14:paraId="7AA9C45D">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09A7CE4">
            <w:pPr>
              <w:spacing w:line="360" w:lineRule="auto"/>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F7733C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 xml:space="preserve">） </w:t>
            </w:r>
          </w:p>
          <w:p w14:paraId="169D1D10">
            <w:pPr>
              <w:spacing w:line="360" w:lineRule="auto"/>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 xml:space="preserve">） </w:t>
            </w:r>
          </w:p>
          <w:p w14:paraId="1E1E2BE9">
            <w:pPr>
              <w:spacing w:line="360" w:lineRule="auto"/>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b/>
                <w:color w:val="auto"/>
                <w:szCs w:val="21"/>
                <w:highlight w:val="none"/>
              </w:rPr>
              <w:t>如有，请提供</w:t>
            </w:r>
            <w:r>
              <w:rPr>
                <w:rFonts w:hint="eastAsia" w:ascii="宋体" w:hAnsi="宋体" w:cs="宋体"/>
                <w:color w:val="auto"/>
                <w:szCs w:val="21"/>
                <w:highlight w:val="none"/>
              </w:rPr>
              <w:t xml:space="preserve">） </w:t>
            </w:r>
          </w:p>
          <w:p w14:paraId="4D0501B3">
            <w:pPr>
              <w:spacing w:line="360" w:lineRule="auto"/>
              <w:rPr>
                <w:rFonts w:ascii="宋体" w:hAnsi="宋体" w:cs="宋体"/>
                <w:color w:val="auto"/>
                <w:szCs w:val="21"/>
                <w:highlight w:val="none"/>
              </w:rPr>
            </w:pPr>
            <w:r>
              <w:rPr>
                <w:rFonts w:hint="eastAsia" w:ascii="宋体" w:hAnsi="宋体" w:cs="宋体"/>
                <w:color w:val="auto"/>
                <w:szCs w:val="21"/>
                <w:highlight w:val="none"/>
              </w:rPr>
              <w:t>6、商务要求偏离表（格式后附）；（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 xml:space="preserve">） </w:t>
            </w:r>
          </w:p>
          <w:p w14:paraId="6C3D5E8E">
            <w:pPr>
              <w:spacing w:line="360" w:lineRule="auto"/>
              <w:rPr>
                <w:rFonts w:ascii="宋体" w:hAnsi="宋体" w:cs="宋体"/>
                <w:color w:val="auto"/>
                <w:szCs w:val="21"/>
                <w:highlight w:val="none"/>
              </w:rPr>
            </w:pPr>
            <w:r>
              <w:rPr>
                <w:rFonts w:hint="eastAsia" w:ascii="宋体" w:hAnsi="宋体" w:cs="宋体"/>
                <w:color w:val="auto"/>
                <w:szCs w:val="21"/>
                <w:highlight w:val="none"/>
              </w:rPr>
              <w:t>7、服务方案（格式自拟）；（</w:t>
            </w:r>
            <w:r>
              <w:rPr>
                <w:rFonts w:hint="eastAsia" w:ascii="宋体" w:hAnsi="宋体" w:cs="宋体"/>
                <w:b/>
                <w:color w:val="auto"/>
                <w:szCs w:val="21"/>
                <w:highlight w:val="none"/>
              </w:rPr>
              <w:t>根据竞争性磋商文件的要求提供</w:t>
            </w:r>
            <w:r>
              <w:rPr>
                <w:rFonts w:hint="eastAsia" w:ascii="宋体" w:hAnsi="宋体" w:cs="宋体"/>
                <w:color w:val="auto"/>
                <w:szCs w:val="21"/>
                <w:highlight w:val="none"/>
              </w:rPr>
              <w:t>）</w:t>
            </w:r>
          </w:p>
          <w:p w14:paraId="69C87FA4">
            <w:pPr>
              <w:spacing w:line="360" w:lineRule="auto"/>
              <w:rPr>
                <w:rFonts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 xml:space="preserve">） </w:t>
            </w:r>
          </w:p>
          <w:p w14:paraId="77A6CD1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9、项目实施人员一览表（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12A0C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、中小企业声明函或由省级以上监狱管理局、戒毒管理局（含新疆生产建设兵团）出具的属于监狱企业的证明文件或残疾人福利性单位声明函（格式后附）；</w:t>
            </w:r>
          </w:p>
          <w:p w14:paraId="274A38E8">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、对应采购需求的技术要求、商务要求提供的其他文件资料（格式自拟）</w:t>
            </w:r>
          </w:p>
          <w:p w14:paraId="70328A69">
            <w:pPr>
              <w:spacing w:line="360" w:lineRule="auto"/>
              <w:rPr>
                <w:rFonts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、供应商认为需要提供的其他有关资料。</w:t>
            </w:r>
          </w:p>
          <w:p w14:paraId="64E35FF0">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注：以上标明“必须提供”的材料属于复印件的，必须加盖供应商公章，否则响应文件按无效响应处理。</w:t>
            </w:r>
          </w:p>
        </w:tc>
      </w:tr>
      <w:tr w14:paraId="5F46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2C2CC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627" w:type="dxa"/>
            <w:vAlign w:val="center"/>
          </w:tcPr>
          <w:p w14:paraId="7FB884E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按</w:t>
            </w:r>
            <w:r>
              <w:rPr>
                <w:rFonts w:hint="eastAsia" w:ascii="宋体" w:hAnsi="宋体" w:cs="宋体"/>
                <w:color w:val="auto"/>
                <w:szCs w:val="21"/>
                <w:highlight w:val="none"/>
                <w:lang w:eastAsia="zh-CN"/>
              </w:rPr>
              <w:t>单价</w:t>
            </w:r>
            <w:r>
              <w:rPr>
                <w:rFonts w:hint="eastAsia" w:ascii="宋体" w:hAnsi="宋体" w:cs="宋体"/>
                <w:color w:val="auto"/>
                <w:szCs w:val="21"/>
                <w:highlight w:val="none"/>
              </w:rPr>
              <w:t>进行报价</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报价是履行合同的最终价格，即满足全部采购需求所应提供的服务的价格。包括竞标服务的成本、运输（含保险）、税费、车辆保险、乘客人身保险、车辆养护维修费用等所有费用，采购人不再另行支付任何费用。</w:t>
            </w:r>
          </w:p>
        </w:tc>
      </w:tr>
      <w:tr w14:paraId="3D5BC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C6F8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8627" w:type="dxa"/>
            <w:vAlign w:val="center"/>
          </w:tcPr>
          <w:p w14:paraId="4AB059F9">
            <w:pPr>
              <w:spacing w:line="360" w:lineRule="auto"/>
              <w:rPr>
                <w:rFonts w:ascii="宋体" w:hAnsi="宋体" w:cs="宋体"/>
                <w:color w:val="auto"/>
                <w:szCs w:val="21"/>
                <w:highlight w:val="none"/>
              </w:rPr>
            </w:pPr>
            <w:r>
              <w:rPr>
                <w:rFonts w:hint="eastAsia" w:ascii="宋体" w:hAnsi="宋体" w:cs="宋体"/>
                <w:color w:val="auto"/>
                <w:szCs w:val="21"/>
                <w:highlight w:val="none"/>
              </w:rPr>
              <w:t>竞标有效期：首次响应文件提交截止之日起60天内。</w:t>
            </w:r>
          </w:p>
        </w:tc>
      </w:tr>
      <w:tr w14:paraId="057C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D148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627" w:type="dxa"/>
            <w:vAlign w:val="center"/>
          </w:tcPr>
          <w:p w14:paraId="3DBC6490">
            <w:pPr>
              <w:autoSpaceDE w:val="0"/>
              <w:autoSpaceDN w:val="0"/>
              <w:snapToGrid w:val="0"/>
              <w:spacing w:line="360" w:lineRule="auto"/>
              <w:textAlignment w:val="bottom"/>
              <w:rPr>
                <w:rFonts w:hint="eastAsia" w:ascii="宋体" w:hAnsi="宋体" w:eastAsia="宋体" w:cs="宋体"/>
                <w:color w:val="auto"/>
                <w:szCs w:val="21"/>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133350" cy="118745"/>
                  <wp:effectExtent l="0" t="0" r="3810" b="317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4"/>
                          <a:stretch>
                            <a:fillRect/>
                          </a:stretch>
                        </pic:blipFill>
                        <pic:spPr>
                          <a:xfrm>
                            <a:off x="0" y="0"/>
                            <a:ext cx="133350" cy="118745"/>
                          </a:xfrm>
                          <a:prstGeom prst="rect">
                            <a:avLst/>
                          </a:prstGeom>
                          <a:noFill/>
                          <a:ln w="9525">
                            <a:noFill/>
                          </a:ln>
                        </pic:spPr>
                      </pic:pic>
                    </a:graphicData>
                  </a:graphic>
                </wp:inline>
              </w:drawing>
            </w:r>
            <w:r>
              <w:rPr>
                <w:rFonts w:hint="eastAsia" w:ascii="宋体" w:hAnsi="宋体" w:eastAsia="宋体" w:cs="宋体"/>
                <w:color w:val="auto"/>
                <w:szCs w:val="21"/>
                <w:highlight w:val="none"/>
              </w:rPr>
              <w:t>本项目不收取</w:t>
            </w:r>
            <w:r>
              <w:rPr>
                <w:rFonts w:hint="eastAsia" w:ascii="宋体" w:hAnsi="宋体" w:cs="宋体"/>
                <w:color w:val="auto"/>
                <w:szCs w:val="21"/>
                <w:highlight w:val="none"/>
              </w:rPr>
              <w:t>磋商保证金</w:t>
            </w:r>
            <w:r>
              <w:rPr>
                <w:rFonts w:hint="eastAsia" w:ascii="宋体" w:hAnsi="宋体" w:eastAsia="宋体" w:cs="宋体"/>
                <w:color w:val="auto"/>
                <w:szCs w:val="21"/>
                <w:highlight w:val="none"/>
              </w:rPr>
              <w:t>。</w:t>
            </w:r>
          </w:p>
          <w:p w14:paraId="5F720212">
            <w:pPr>
              <w:snapToGrid w:val="0"/>
              <w:spacing w:line="360" w:lineRule="auto"/>
              <w:rPr>
                <w:rFonts w:ascii="宋体" w:hAnsi="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cs="宋体"/>
                <w:color w:val="auto"/>
                <w:szCs w:val="21"/>
                <w:highlight w:val="none"/>
              </w:rPr>
              <w:t>本项目收取磋商保证金，具体规定如下：</w:t>
            </w:r>
          </w:p>
          <w:p w14:paraId="3AE77087">
            <w:pPr>
              <w:widowControl/>
              <w:spacing w:line="360" w:lineRule="auto"/>
              <w:rPr>
                <w:rFonts w:ascii="宋体" w:hAnsi="宋体" w:cs="宋体"/>
                <w:color w:val="auto"/>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w:t>
            </w:r>
          </w:p>
          <w:p w14:paraId="1FD15CB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磋商保证金的交纳方式：银行转账、支票、汇票、本票或者金融、担保金融、担保机构出具的保函，禁止采用现钞方式。采用银行转账方式的，在响应文件提交截止时间前交至指定账户并且到账（开户银行：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）；采用支票、汇票、本票或者保函等方式的，在响应文件提交截止时间前，供应商必须提交支票、汇票、本票或者保函原件。否则视为无效磋商保证金。</w:t>
            </w:r>
          </w:p>
          <w:p w14:paraId="3D2291B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199EE9A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3621078">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r>
              <w:rPr>
                <w:rFonts w:hint="eastAsia" w:ascii="宋体" w:hAnsi="宋体" w:cs="宋体"/>
                <w:b/>
                <w:color w:val="auto"/>
                <w:szCs w:val="21"/>
                <w:highlight w:val="none"/>
              </w:rPr>
              <w:t>供应商必须在首次响应文件提交截止时间前将支票、汇票、本票或者金融、担保机构出具的保函原件提交给采购代理机构，由采购代理机构向供应商出具回执，并妥善保管。</w:t>
            </w:r>
          </w:p>
          <w:p w14:paraId="5309327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46AE91E0">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0F9A1C6C">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1428E1C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171AF450">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6929F76D">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p w14:paraId="6DF68D75">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6、保证金凭证应注明正确的项目编号、分标号（如有）等信息，否则，信息不明确或有误的将可能被视为无效磋商保证金，并有可能影响保证金的及时退付。</w:t>
            </w:r>
          </w:p>
        </w:tc>
      </w:tr>
      <w:tr w14:paraId="13D46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7E552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18.2</w:t>
            </w:r>
          </w:p>
        </w:tc>
        <w:tc>
          <w:tcPr>
            <w:tcW w:w="8627" w:type="dxa"/>
            <w:vAlign w:val="center"/>
          </w:tcPr>
          <w:p w14:paraId="1F778BC0">
            <w:pPr>
              <w:spacing w:line="360" w:lineRule="auto"/>
              <w:rPr>
                <w:rFonts w:ascii="宋体" w:hAnsi="宋体" w:cs="宋体"/>
                <w:color w:val="auto"/>
                <w:szCs w:val="21"/>
                <w:highlight w:val="none"/>
              </w:rPr>
            </w:pPr>
            <w:r>
              <w:rPr>
                <w:rFonts w:hint="eastAsia" w:ascii="宋体" w:hAnsi="宋体" w:cs="宋体"/>
                <w:color w:val="auto"/>
                <w:szCs w:val="21"/>
                <w:highlight w:val="none"/>
              </w:rPr>
              <w:t>响应文件应按资格证明文件、报价商务技术文件分别编制，并按广西政府采购云平台的要求编制、加密、上传。</w:t>
            </w:r>
          </w:p>
        </w:tc>
      </w:tr>
      <w:tr w14:paraId="39DF9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9B1B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627" w:type="dxa"/>
            <w:vAlign w:val="center"/>
          </w:tcPr>
          <w:p w14:paraId="39B7033D">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首次响应文件提交截止时间：详见竞争性磋商公告。</w:t>
            </w:r>
          </w:p>
          <w:p w14:paraId="09D26436">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tc>
      </w:tr>
      <w:tr w14:paraId="0BF26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1963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627" w:type="dxa"/>
            <w:vAlign w:val="center"/>
          </w:tcPr>
          <w:p w14:paraId="0E5EE146">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磋商小组的人数：3人。</w:t>
            </w:r>
          </w:p>
        </w:tc>
      </w:tr>
      <w:tr w14:paraId="6300D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C42A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25.2</w:t>
            </w:r>
          </w:p>
        </w:tc>
        <w:tc>
          <w:tcPr>
            <w:tcW w:w="8627" w:type="dxa"/>
            <w:vAlign w:val="center"/>
          </w:tcPr>
          <w:p w14:paraId="32FD75A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p>
        </w:tc>
      </w:tr>
      <w:tr w14:paraId="29CA7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4AC0FD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8627" w:type="dxa"/>
            <w:vAlign w:val="center"/>
          </w:tcPr>
          <w:p w14:paraId="77DF1C4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w:t>
            </w:r>
            <w:r>
              <w:rPr>
                <w:rFonts w:hint="eastAsia" w:ascii="宋体" w:hAnsi="宋体" w:cs="宋体"/>
                <w:color w:val="auto"/>
                <w:szCs w:val="21"/>
                <w:highlight w:val="none"/>
                <w:lang w:val="en-US" w:eastAsia="zh-CN"/>
              </w:rPr>
              <w:t>非实质性条款</w:t>
            </w:r>
            <w:r>
              <w:rPr>
                <w:rFonts w:hint="eastAsia" w:ascii="宋体" w:hAnsi="宋体" w:cs="宋体"/>
                <w:color w:val="auto"/>
                <w:szCs w:val="21"/>
                <w:highlight w:val="none"/>
              </w:rPr>
              <w:t>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D8522A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w:t>
            </w:r>
            <w:r>
              <w:rPr>
                <w:rFonts w:hint="eastAsia" w:ascii="宋体" w:hAnsi="宋体" w:cs="宋体"/>
                <w:color w:val="auto"/>
                <w:szCs w:val="21"/>
                <w:highlight w:val="none"/>
                <w:lang w:val="en-US" w:eastAsia="zh-CN"/>
              </w:rPr>
              <w:t>非实质性条款</w:t>
            </w:r>
            <w:r>
              <w:rPr>
                <w:rFonts w:hint="eastAsia" w:ascii="宋体" w:hAnsi="宋体" w:cs="宋体"/>
                <w:color w:val="auto"/>
                <w:szCs w:val="21"/>
                <w:highlight w:val="none"/>
              </w:rPr>
              <w:t>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4FAF1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92" w:type="dxa"/>
            <w:vMerge w:val="continue"/>
            <w:vAlign w:val="center"/>
          </w:tcPr>
          <w:p w14:paraId="3A8B1581">
            <w:pPr>
              <w:spacing w:line="360" w:lineRule="auto"/>
              <w:jc w:val="center"/>
              <w:rPr>
                <w:rFonts w:ascii="宋体" w:hAnsi="宋体" w:cs="宋体"/>
                <w:color w:val="auto"/>
                <w:szCs w:val="21"/>
                <w:highlight w:val="none"/>
              </w:rPr>
            </w:pPr>
          </w:p>
        </w:tc>
        <w:tc>
          <w:tcPr>
            <w:tcW w:w="8627" w:type="dxa"/>
            <w:vAlign w:val="center"/>
          </w:tcPr>
          <w:p w14:paraId="2310BD52">
            <w:pPr>
              <w:pStyle w:val="14"/>
              <w:spacing w:line="320" w:lineRule="exact"/>
              <w:jc w:val="both"/>
              <w:rPr>
                <w:rFonts w:ascii="宋体" w:hAnsi="宋体" w:cs="宋体"/>
                <w:color w:val="auto"/>
                <w:szCs w:val="21"/>
                <w:highlight w:val="none"/>
              </w:rPr>
            </w:pPr>
            <w:r>
              <w:rPr>
                <w:rFonts w:hint="eastAsia" w:ascii="宋体" w:hAnsi="宋体" w:cs="宋体"/>
                <w:color w:val="auto"/>
                <w:szCs w:val="21"/>
                <w:highlight w:val="none"/>
              </w:rPr>
              <w:t>磋商的顺序：按“广西政府采购云平台”系统的编号顺序。</w:t>
            </w:r>
          </w:p>
          <w:p w14:paraId="62697FE8">
            <w:pPr>
              <w:pStyle w:val="14"/>
              <w:spacing w:line="360" w:lineRule="auto"/>
              <w:jc w:val="both"/>
              <w:rPr>
                <w:rFonts w:ascii="宋体" w:hAnsi="宋体" w:cs="宋体"/>
                <w:b/>
                <w:color w:val="auto"/>
                <w:szCs w:val="21"/>
                <w:highlight w:val="none"/>
              </w:rPr>
            </w:pPr>
            <w:r>
              <w:rPr>
                <w:rFonts w:hint="eastAsia" w:ascii="宋体" w:hAnsi="宋体" w:cs="宋体"/>
                <w:b/>
                <w:color w:val="auto"/>
                <w:szCs w:val="21"/>
                <w:highlight w:val="none"/>
              </w:rPr>
              <w:t>符合磋商资格的供应商必须在接到磋商通知后规定时间内参加磋商，未在规定时间内参加磋商的视同放弃参加磋商权利，其响应文件按无效响应处理。</w:t>
            </w:r>
          </w:p>
          <w:p w14:paraId="688A30FD">
            <w:pPr>
              <w:pStyle w:val="14"/>
              <w:spacing w:line="360" w:lineRule="auto"/>
              <w:jc w:val="both"/>
              <w:rPr>
                <w:rFonts w:ascii="宋体" w:hAnsi="宋体" w:cs="宋体"/>
                <w:b/>
                <w:color w:val="auto"/>
                <w:szCs w:val="21"/>
                <w:highlight w:val="none"/>
              </w:rPr>
            </w:pPr>
            <w:r>
              <w:rPr>
                <w:rFonts w:hint="eastAsia" w:ascii="宋体" w:hAnsi="宋体" w:cs="宋体"/>
                <w:b/>
                <w:color w:val="auto"/>
                <w:szCs w:val="21"/>
                <w:highlight w:val="none"/>
              </w:rPr>
              <w:t>注：参与磋商前，供应商法定代表人或者委托代理人向磋商小组出示本人有效证件原件[有效证件可以是身份证（含临时身份证明）或者护照的其中一项]。</w:t>
            </w:r>
          </w:p>
        </w:tc>
      </w:tr>
      <w:tr w14:paraId="3A7D3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E023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8627" w:type="dxa"/>
            <w:vAlign w:val="center"/>
          </w:tcPr>
          <w:p w14:paraId="3E6B93A4">
            <w:pPr>
              <w:pStyle w:val="38"/>
              <w:jc w:val="both"/>
              <w:rPr>
                <w:rFonts w:hint="default"/>
                <w:color w:val="auto"/>
                <w:highlight w:val="none"/>
                <w:lang w:val="en-US"/>
              </w:rPr>
            </w:pPr>
            <w:r>
              <w:rPr>
                <w:rFonts w:hint="eastAsia" w:ascii="宋体" w:hAnsi="宋体" w:eastAsia="宋体" w:cs="宋体"/>
                <w:b w:val="0"/>
                <w:color w:val="auto"/>
                <w:kern w:val="2"/>
                <w:sz w:val="21"/>
                <w:szCs w:val="21"/>
                <w:highlight w:val="none"/>
                <w:lang w:val="en-US" w:eastAsia="zh-CN" w:bidi="ar-SA"/>
              </w:rPr>
              <w:t>本项目不收取履约保证金。</w:t>
            </w:r>
          </w:p>
        </w:tc>
      </w:tr>
      <w:tr w14:paraId="4F6CF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6E18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8627" w:type="dxa"/>
            <w:vAlign w:val="center"/>
          </w:tcPr>
          <w:p w14:paraId="7DD054A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559B980">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1、委托代理人负责签订合同的，须携带授权委托书及委托代理人身份证原件等其他资格证件。</w:t>
            </w:r>
          </w:p>
          <w:p w14:paraId="28D416F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2、法定代表人负责签订合同的，须携带法定代表人身份证明原件及身份证原件等其他证明材料。</w:t>
            </w:r>
          </w:p>
        </w:tc>
      </w:tr>
      <w:tr w14:paraId="02794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73F7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8627" w:type="dxa"/>
            <w:vAlign w:val="center"/>
          </w:tcPr>
          <w:p w14:paraId="551F3B5A">
            <w:pPr>
              <w:pStyle w:val="18"/>
              <w:snapToGrid w:val="0"/>
              <w:spacing w:line="360" w:lineRule="auto"/>
              <w:rPr>
                <w:rFonts w:hAnsi="宋体" w:cs="宋体"/>
                <w:color w:val="auto"/>
                <w:sz w:val="21"/>
                <w:highlight w:val="none"/>
              </w:rPr>
            </w:pPr>
            <w:r>
              <w:rPr>
                <w:rFonts w:hint="eastAsia" w:hAnsi="宋体" w:cs="宋体"/>
                <w:color w:val="auto"/>
                <w:sz w:val="21"/>
                <w:highlight w:val="none"/>
              </w:rPr>
              <w:t>接收质疑函方式：以纸质书面形式。</w:t>
            </w:r>
          </w:p>
          <w:p w14:paraId="4DDA05B8">
            <w:pPr>
              <w:pStyle w:val="18"/>
              <w:snapToGrid w:val="0"/>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质疑联系部门及联系方式：</w:t>
            </w:r>
            <w:r>
              <w:rPr>
                <w:rFonts w:hint="eastAsia" w:hAnsi="宋体" w:cs="宋体"/>
                <w:color w:val="auto"/>
                <w:sz w:val="21"/>
                <w:highlight w:val="none"/>
                <w:lang w:eastAsia="zh-CN"/>
              </w:rPr>
              <w:t>广西科文招标有限公司</w:t>
            </w:r>
            <w:r>
              <w:rPr>
                <w:rFonts w:hint="eastAsia" w:hAnsi="宋体" w:cs="宋体"/>
                <w:color w:val="auto"/>
                <w:sz w:val="21"/>
                <w:highlight w:val="none"/>
              </w:rPr>
              <w:t>，质疑联系人：</w:t>
            </w:r>
            <w:r>
              <w:rPr>
                <w:rFonts w:hint="eastAsia" w:hAnsi="宋体" w:cs="宋体"/>
                <w:color w:val="auto"/>
                <w:sz w:val="21"/>
                <w:highlight w:val="none"/>
                <w:lang w:eastAsia="zh-CN"/>
              </w:rPr>
              <w:t>陈上鹏、</w:t>
            </w:r>
            <w:r>
              <w:rPr>
                <w:rFonts w:hint="eastAsia" w:hAnsi="宋体" w:cs="宋体"/>
                <w:color w:val="auto"/>
                <w:sz w:val="21"/>
                <w:highlight w:val="none"/>
                <w:lang w:val="en-US" w:eastAsia="zh-CN"/>
              </w:rPr>
              <w:t>黄晴柯</w:t>
            </w:r>
            <w:r>
              <w:rPr>
                <w:rFonts w:hint="eastAsia" w:hAnsi="宋体" w:cs="宋体"/>
                <w:color w:val="auto"/>
                <w:sz w:val="21"/>
                <w:highlight w:val="none"/>
              </w:rPr>
              <w:t xml:space="preserve"> 联系电话：</w:t>
            </w:r>
            <w:r>
              <w:rPr>
                <w:rFonts w:hint="eastAsia" w:hAnsi="宋体" w:cs="宋体"/>
                <w:color w:val="auto"/>
                <w:sz w:val="21"/>
                <w:highlight w:val="none"/>
                <w:lang w:eastAsia="zh-CN"/>
              </w:rPr>
              <w:t>0777-3816558、0771-2023837</w:t>
            </w:r>
            <w:r>
              <w:rPr>
                <w:rFonts w:hint="eastAsia" w:hAnsi="宋体" w:cs="宋体"/>
                <w:color w:val="auto"/>
                <w:sz w:val="21"/>
                <w:highlight w:val="none"/>
              </w:rPr>
              <w:t>，通讯地址：</w:t>
            </w:r>
            <w:r>
              <w:rPr>
                <w:rFonts w:hint="eastAsia" w:hAnsi="宋体" w:cs="宋体"/>
                <w:color w:val="auto"/>
                <w:sz w:val="21"/>
                <w:highlight w:val="none"/>
                <w:lang w:eastAsia="zh-CN"/>
              </w:rPr>
              <w:t>钦州市钦南区桃园路五巷6号</w:t>
            </w:r>
          </w:p>
          <w:p w14:paraId="037F63ED">
            <w:pPr>
              <w:pStyle w:val="18"/>
              <w:snapToGrid w:val="0"/>
              <w:spacing w:line="360" w:lineRule="auto"/>
              <w:rPr>
                <w:rFonts w:hAnsi="宋体" w:cs="宋体"/>
                <w:color w:val="auto"/>
                <w:highlight w:val="none"/>
              </w:rPr>
            </w:pPr>
            <w:r>
              <w:rPr>
                <w:rFonts w:hint="eastAsia" w:hAnsi="宋体" w:cs="宋体"/>
                <w:color w:val="auto"/>
                <w:sz w:val="21"/>
                <w:highlight w:val="none"/>
              </w:rPr>
              <w:t>现场提交质疑办理业务时间：工作日，上午8:00-12:00；下午15:00-18:00（北京时间）</w:t>
            </w:r>
          </w:p>
        </w:tc>
      </w:tr>
      <w:tr w14:paraId="0DF41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51F17C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8627" w:type="dxa"/>
            <w:vAlign w:val="center"/>
          </w:tcPr>
          <w:p w14:paraId="7E1B2F2F">
            <w:pPr>
              <w:pStyle w:val="18"/>
              <w:snapToGrid w:val="0"/>
              <w:spacing w:line="400" w:lineRule="exact"/>
              <w:rPr>
                <w:rFonts w:hAnsi="宋体" w:cs="宋体"/>
                <w:color w:val="auto"/>
                <w:sz w:val="21"/>
                <w:highlight w:val="none"/>
              </w:rPr>
            </w:pPr>
            <w:r>
              <w:rPr>
                <w:rFonts w:hint="eastAsia" w:hAnsi="宋体" w:cs="宋体"/>
                <w:b/>
                <w:bCs/>
                <w:color w:val="auto"/>
                <w:sz w:val="21"/>
                <w:highlight w:val="none"/>
                <w:lang w:val="en-US" w:eastAsia="zh-CN"/>
              </w:rPr>
              <w:t>1</w:t>
            </w:r>
            <w:r>
              <w:rPr>
                <w:rFonts w:hint="eastAsia" w:hAnsi="宋体" w:cs="宋体"/>
                <w:b/>
                <w:bCs/>
                <w:color w:val="auto"/>
                <w:sz w:val="21"/>
                <w:highlight w:val="none"/>
              </w:rPr>
              <w:t>、招标代理服务费：</w:t>
            </w:r>
            <w:r>
              <w:rPr>
                <w:rFonts w:hint="eastAsia" w:hAnsi="宋体" w:cs="宋体"/>
                <w:color w:val="auto"/>
                <w:sz w:val="21"/>
                <w:highlight w:val="none"/>
              </w:rPr>
              <w:t>本项目的招标代理服务费参照原《招标代理服务收费管理暂行办法》（计价格【2002】1980号）和《国家发展改革委关于降低部分建设项目收费标准规范收费行为等有关问题的通知》（发改价格[2011]534号）的规定标准（</w:t>
            </w:r>
            <w:r>
              <w:rPr>
                <w:rFonts w:hint="eastAsia" w:hAnsi="宋体" w:cs="宋体"/>
                <w:color w:val="auto"/>
                <w:sz w:val="21"/>
                <w:highlight w:val="none"/>
                <w:lang w:val="en-US" w:eastAsia="zh-CN"/>
              </w:rPr>
              <w:t>服务</w:t>
            </w:r>
            <w:r>
              <w:rPr>
                <w:rFonts w:hint="eastAsia" w:hAnsi="宋体" w:cs="宋体"/>
                <w:color w:val="auto"/>
                <w:sz w:val="21"/>
                <w:highlight w:val="none"/>
              </w:rPr>
              <w:t>类）计取向成交供应商收取，成交供应商应向采购代理机构一次付清代理服务费</w:t>
            </w:r>
            <w:r>
              <w:rPr>
                <w:rFonts w:hint="eastAsia" w:hAnsi="宋体"/>
                <w:color w:val="auto"/>
                <w:sz w:val="21"/>
                <w:highlight w:val="none"/>
              </w:rPr>
              <w:t>，否则采购代理机构有权不予以办理</w:t>
            </w:r>
            <w:r>
              <w:rPr>
                <w:rFonts w:hint="eastAsia" w:hAnsi="宋体" w:cs="宋体"/>
                <w:color w:val="auto"/>
                <w:sz w:val="21"/>
                <w:highlight w:val="none"/>
              </w:rPr>
              <w:t>。</w:t>
            </w:r>
          </w:p>
          <w:p w14:paraId="12B48939">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代理服务费收费标准：</w:t>
            </w:r>
          </w:p>
          <w:tbl>
            <w:tblPr>
              <w:tblStyle w:val="32"/>
              <w:tblW w:w="6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236"/>
              <w:gridCol w:w="1284"/>
              <w:gridCol w:w="1416"/>
            </w:tblGrid>
            <w:tr w14:paraId="6959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top"/>
                </w:tcPr>
                <w:p w14:paraId="547E11E4">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-6350</wp:posOffset>
                            </wp:positionV>
                            <wp:extent cx="1346835" cy="449580"/>
                            <wp:effectExtent l="1270" t="4445" r="8255" b="18415"/>
                            <wp:wrapNone/>
                            <wp:docPr id="2" name="直接连接符 2"/>
                            <wp:cNvGraphicFramePr/>
                            <a:graphic xmlns:a="http://schemas.openxmlformats.org/drawingml/2006/main">
                              <a:graphicData uri="http://schemas.microsoft.com/office/word/2010/wordprocessingShape">
                                <wps:wsp>
                                  <wps:cNvCnPr/>
                                  <wps:spPr>
                                    <a:xfrm>
                                      <a:off x="0" y="0"/>
                                      <a:ext cx="1803400" cy="480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4pt;margin-top:-0.5pt;height:35.4pt;width:106.05pt;z-index:251661312;mso-width-relative:page;mso-height-relative:page;" filled="f" stroked="t" coordsize="21600,21600" o:gfxdata="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uvu7dcAAAAJAQAADwAAAAAAAAABACAAAAAiAAAAZHJzL2Rvd25yZXYueG1sUEsB&#10;AhQAFAAAAAgAh07iQLfr2kP2AQAA6w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 xml:space="preserve">          费率</w:t>
                  </w:r>
                </w:p>
                <w:p w14:paraId="10E7B54A">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中标（成交）金额</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DD29149">
                  <w:pPr>
                    <w:spacing w:line="380" w:lineRule="exact"/>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货物类</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FE7DD8D">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服务类</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0FCAA3F3">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工程类</w:t>
                  </w:r>
                </w:p>
              </w:tc>
            </w:tr>
            <w:tr w14:paraId="1F17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7101071F">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100万元以下</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1821CB3A">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1.5%</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9CADB75">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1.5%</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698A4DE">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1.0%</w:t>
                  </w:r>
                </w:p>
              </w:tc>
            </w:tr>
            <w:tr w14:paraId="3A90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3DC42452">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100～500万元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904DDF9">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1.1%</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6D9FA41">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0.8%</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19E09253">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0.7%</w:t>
                  </w:r>
                </w:p>
              </w:tc>
            </w:tr>
            <w:tr w14:paraId="1502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76AE4326">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500～1000万元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5C35DF09">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0.8%</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F69B886">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0.45%</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A68EDD2">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0.55%</w:t>
                  </w:r>
                </w:p>
              </w:tc>
            </w:tr>
            <w:tr w14:paraId="1D11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5CA8D7F3">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1000～5000万元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55437117">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0.5%</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19C9CB5">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0.25%</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39E24DB8">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0.35%</w:t>
                  </w:r>
                </w:p>
              </w:tc>
            </w:tr>
            <w:tr w14:paraId="3585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3BFC5B9F">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5000万元～1亿元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0B87A67">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0.25%</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2E09907">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0.1%</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CBAD60F">
                  <w:pPr>
                    <w:spacing w:line="38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0.2%</w:t>
                  </w:r>
                </w:p>
              </w:tc>
            </w:tr>
            <w:tr w14:paraId="2DDD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5A9F36D2">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1～5亿元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4EA822B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8183999">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196C8C3B">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58D9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447AE08B">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5～10亿元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9BF9E83">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0.035%</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A91D73F">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0.035%</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13460C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0.035%</w:t>
                  </w:r>
                </w:p>
              </w:tc>
            </w:tr>
            <w:tr w14:paraId="4B5B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3F592985">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10～50亿元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794DB6E">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0.008%</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D844657">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0.008%</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62328D7">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0.008%</w:t>
                  </w:r>
                </w:p>
              </w:tc>
            </w:tr>
            <w:tr w14:paraId="3433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22F93503">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50～100亿元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933E90B">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0.006%</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D7E4535">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0.006%</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A8DC985">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0.006%</w:t>
                  </w:r>
                </w:p>
              </w:tc>
            </w:tr>
            <w:tr w14:paraId="6A39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5" w:type="dxa"/>
                  <w:tcBorders>
                    <w:top w:val="single" w:color="auto" w:sz="4" w:space="0"/>
                    <w:left w:val="single" w:color="auto" w:sz="4" w:space="0"/>
                    <w:bottom w:val="single" w:color="auto" w:sz="4" w:space="0"/>
                    <w:right w:val="single" w:color="auto" w:sz="4" w:space="0"/>
                  </w:tcBorders>
                  <w:noWrap w:val="0"/>
                  <w:vAlign w:val="center"/>
                </w:tcPr>
                <w:p w14:paraId="231A3BE2">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100亿以上</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B0B59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0.004%</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7D5842E">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0.004%</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9EF398D">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0.004%</w:t>
                  </w:r>
                </w:p>
              </w:tc>
            </w:tr>
          </w:tbl>
          <w:p w14:paraId="5917CECA">
            <w:pPr>
              <w:widowControl/>
              <w:tabs>
                <w:tab w:val="left" w:pos="540"/>
              </w:tabs>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注：1、按本表费率计算的收费为招标代理服务全过程的收费基准价格，单独提供编制采购文件（有标底的含标底）服务的，可按规定标准计收。</w:t>
            </w:r>
          </w:p>
          <w:p w14:paraId="2FF01776">
            <w:pPr>
              <w:widowControl/>
              <w:tabs>
                <w:tab w:val="left" w:pos="540"/>
              </w:tabs>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2、招标代理服务收费按差额定率累进法计算。例如：某工程招标代理业务中标金额为6000万元，计算招标代理服务收费额如下：</w:t>
            </w:r>
          </w:p>
          <w:p w14:paraId="58CF4476">
            <w:pPr>
              <w:widowControl/>
              <w:tabs>
                <w:tab w:val="left" w:pos="540"/>
              </w:tabs>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100万元×1.0%=1万元</w:t>
            </w:r>
          </w:p>
          <w:p w14:paraId="7B4EF6B0">
            <w:pPr>
              <w:widowControl/>
              <w:tabs>
                <w:tab w:val="left" w:pos="540"/>
              </w:tabs>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（500-100）万元×0.7%=2.8万元</w:t>
            </w:r>
          </w:p>
          <w:p w14:paraId="2611C53E">
            <w:pPr>
              <w:widowControl/>
              <w:tabs>
                <w:tab w:val="left" w:pos="540"/>
              </w:tabs>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(1000-500)万元×0.55%=2.75万元</w:t>
            </w:r>
          </w:p>
          <w:p w14:paraId="0D44A09F">
            <w:pPr>
              <w:widowControl/>
              <w:tabs>
                <w:tab w:val="left" w:pos="540"/>
              </w:tabs>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(5000-1000)万元×0.35%=14万元</w:t>
            </w:r>
          </w:p>
          <w:p w14:paraId="041722F1">
            <w:pPr>
              <w:widowControl/>
              <w:tabs>
                <w:tab w:val="left" w:pos="540"/>
              </w:tabs>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(6000-5000)万元×0.2%=2万元</w:t>
            </w:r>
          </w:p>
          <w:p w14:paraId="154EDAAE">
            <w:pPr>
              <w:widowControl/>
              <w:tabs>
                <w:tab w:val="left" w:pos="540"/>
              </w:tabs>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合计收费=1+2.8+2.75+14+2=22.55 (万元)</w:t>
            </w:r>
          </w:p>
          <w:p w14:paraId="1AE5A86D">
            <w:pPr>
              <w:pStyle w:val="18"/>
              <w:snapToGrid w:val="0"/>
              <w:spacing w:line="400" w:lineRule="exact"/>
              <w:rPr>
                <w:rFonts w:hAnsi="宋体" w:cs="宋体"/>
                <w:b/>
                <w:bCs/>
                <w:color w:val="auto"/>
                <w:sz w:val="21"/>
                <w:highlight w:val="none"/>
              </w:rPr>
            </w:pPr>
            <w:r>
              <w:rPr>
                <w:rFonts w:hint="eastAsia" w:hAnsi="宋体" w:cs="宋体"/>
                <w:b/>
                <w:bCs/>
                <w:color w:val="auto"/>
                <w:sz w:val="21"/>
                <w:highlight w:val="none"/>
                <w:lang w:val="en-US" w:eastAsia="zh-CN"/>
              </w:rPr>
              <w:t>2</w:t>
            </w:r>
            <w:r>
              <w:rPr>
                <w:rFonts w:hint="eastAsia" w:hAnsi="宋体" w:cs="宋体"/>
                <w:b/>
                <w:bCs/>
                <w:color w:val="auto"/>
                <w:sz w:val="21"/>
                <w:highlight w:val="none"/>
              </w:rPr>
              <w:t>、代理服务费缴费账户信息：</w:t>
            </w:r>
          </w:p>
          <w:p w14:paraId="49E8BD47">
            <w:pPr>
              <w:pStyle w:val="18"/>
              <w:snapToGrid w:val="0"/>
              <w:spacing w:line="400" w:lineRule="exact"/>
              <w:rPr>
                <w:rFonts w:hint="eastAsia" w:hAnsi="宋体" w:cs="宋体"/>
                <w:color w:val="auto"/>
                <w:sz w:val="21"/>
                <w:highlight w:val="none"/>
              </w:rPr>
            </w:pPr>
            <w:r>
              <w:rPr>
                <w:rFonts w:hint="eastAsia" w:hAnsi="宋体" w:cs="宋体"/>
                <w:color w:val="auto"/>
                <w:sz w:val="21"/>
                <w:highlight w:val="none"/>
              </w:rPr>
              <w:t>开户名称：广西科文招标有限公司钦州分公司</w:t>
            </w:r>
          </w:p>
          <w:p w14:paraId="3BCE88F8">
            <w:pPr>
              <w:pStyle w:val="18"/>
              <w:snapToGrid w:val="0"/>
              <w:spacing w:line="400" w:lineRule="exact"/>
              <w:rPr>
                <w:rFonts w:hint="eastAsia" w:hAnsi="宋体" w:cs="宋体"/>
                <w:color w:val="auto"/>
                <w:sz w:val="21"/>
                <w:highlight w:val="none"/>
              </w:rPr>
            </w:pPr>
            <w:r>
              <w:rPr>
                <w:rFonts w:hint="eastAsia" w:hAnsi="宋体" w:cs="宋体"/>
                <w:color w:val="auto"/>
                <w:sz w:val="21"/>
                <w:highlight w:val="none"/>
              </w:rPr>
              <w:t>开户银行：中国工商银行股份有限公司钦州市人和春天支行</w:t>
            </w:r>
          </w:p>
          <w:p w14:paraId="52FC50D4">
            <w:pPr>
              <w:pStyle w:val="18"/>
              <w:snapToGrid w:val="0"/>
              <w:spacing w:line="400" w:lineRule="exact"/>
              <w:rPr>
                <w:rFonts w:hAnsi="宋体" w:cs="宋体"/>
                <w:color w:val="auto"/>
                <w:sz w:val="21"/>
                <w:highlight w:val="none"/>
              </w:rPr>
            </w:pPr>
            <w:r>
              <w:rPr>
                <w:rFonts w:hint="eastAsia" w:hAnsi="宋体" w:cs="宋体"/>
                <w:color w:val="auto"/>
                <w:sz w:val="21"/>
                <w:highlight w:val="none"/>
              </w:rPr>
              <w:t>银行账号：2115590409100096496</w:t>
            </w:r>
          </w:p>
        </w:tc>
      </w:tr>
      <w:tr w14:paraId="6D2A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4E67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8627" w:type="dxa"/>
            <w:vAlign w:val="center"/>
          </w:tcPr>
          <w:p w14:paraId="67DF4B8C">
            <w:pPr>
              <w:pStyle w:val="18"/>
              <w:snapToGrid w:val="0"/>
              <w:spacing w:line="360" w:lineRule="auto"/>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B67D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3AD7AC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8627" w:type="dxa"/>
            <w:vAlign w:val="center"/>
          </w:tcPr>
          <w:p w14:paraId="073C02E4">
            <w:pPr>
              <w:pStyle w:val="18"/>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4A17DEF8">
            <w:pPr>
              <w:pStyle w:val="18"/>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7ED16B36">
            <w:pPr>
              <w:pStyle w:val="18"/>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3、本磋商文件中描述供应商的“签字”是指供应商的法定代表人或者委托代理人在文件规定签署处签名（含电子签名）的行为，私章、印鉴等其他形式均不能代替签字。</w:t>
            </w:r>
          </w:p>
          <w:p w14:paraId="2E358199">
            <w:pPr>
              <w:pStyle w:val="18"/>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317EBE18">
            <w:pPr>
              <w:pStyle w:val="18"/>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r w14:paraId="6120E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2" w:hRule="atLeast"/>
          <w:jc w:val="center"/>
        </w:trPr>
        <w:tc>
          <w:tcPr>
            <w:tcW w:w="9619" w:type="dxa"/>
            <w:gridSpan w:val="2"/>
            <w:vAlign w:val="center"/>
          </w:tcPr>
          <w:p w14:paraId="773A6FE6">
            <w:pPr>
              <w:pStyle w:val="18"/>
              <w:snapToGrid w:val="0"/>
              <w:spacing w:line="400" w:lineRule="exact"/>
              <w:rPr>
                <w:rFonts w:hint="eastAsia" w:hAnsi="宋体" w:cs="宋体"/>
                <w:b/>
                <w:bCs/>
                <w:color w:val="auto"/>
                <w:sz w:val="21"/>
                <w:highlight w:val="none"/>
                <w:lang w:eastAsia="zh-CN"/>
              </w:rPr>
            </w:pPr>
            <w:r>
              <w:rPr>
                <w:rFonts w:hint="eastAsia" w:hAnsi="宋体" w:cs="宋体"/>
                <w:b/>
                <w:bCs/>
                <w:color w:val="auto"/>
                <w:sz w:val="21"/>
                <w:highlight w:val="none"/>
                <w:lang w:eastAsia="zh-CN"/>
              </w:rPr>
              <w:t>成交</w:t>
            </w:r>
            <w:r>
              <w:rPr>
                <w:rFonts w:hint="eastAsia" w:hAnsi="宋体" w:cs="宋体"/>
                <w:b/>
                <w:bCs/>
                <w:color w:val="auto"/>
                <w:sz w:val="21"/>
                <w:highlight w:val="none"/>
              </w:rPr>
              <w:t>人可凭</w:t>
            </w:r>
            <w:r>
              <w:rPr>
                <w:rFonts w:hint="eastAsia" w:hAnsi="宋体" w:cs="宋体"/>
                <w:b/>
                <w:bCs/>
                <w:color w:val="auto"/>
                <w:sz w:val="21"/>
                <w:highlight w:val="none"/>
                <w:lang w:eastAsia="zh-CN"/>
              </w:rPr>
              <w:t>成交</w:t>
            </w:r>
            <w:r>
              <w:rPr>
                <w:rFonts w:hint="eastAsia" w:hAnsi="宋体" w:cs="宋体"/>
                <w:b/>
                <w:bCs/>
                <w:color w:val="auto"/>
                <w:sz w:val="21"/>
                <w:highlight w:val="none"/>
              </w:rPr>
              <w:t>通知书或政府采购合同等在内的相关材料、信息，通过中征应收账款融资服务平台向银行业金融机构在线申请“政采贷”融资</w:t>
            </w:r>
            <w:r>
              <w:rPr>
                <w:rFonts w:hint="eastAsia" w:hAnsi="宋体" w:cs="宋体"/>
                <w:b/>
                <w:bCs/>
                <w:color w:val="auto"/>
                <w:sz w:val="21"/>
                <w:highlight w:val="none"/>
                <w:lang w:eastAsia="zh-CN"/>
              </w:rPr>
              <w:t>，广西线上“政采贷”政策如下：</w:t>
            </w:r>
          </w:p>
          <w:p w14:paraId="090DE4CF">
            <w:pPr>
              <w:pStyle w:val="18"/>
              <w:snapToGrid w:val="0"/>
              <w:spacing w:line="360" w:lineRule="auto"/>
              <w:jc w:val="center"/>
              <w:rPr>
                <w:rFonts w:hint="eastAsia" w:hAnsi="宋体" w:cs="宋体"/>
                <w:color w:val="auto"/>
                <w:sz w:val="21"/>
                <w:highlight w:val="none"/>
              </w:rPr>
            </w:pPr>
            <w:r>
              <w:rPr>
                <w:color w:val="auto"/>
                <w:highlight w:val="none"/>
              </w:rPr>
              <w:drawing>
                <wp:inline distT="0" distB="0" distL="114300" distR="114300">
                  <wp:extent cx="4425950" cy="3764280"/>
                  <wp:effectExtent l="0" t="0" r="889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5"/>
                          <a:stretch>
                            <a:fillRect/>
                          </a:stretch>
                        </pic:blipFill>
                        <pic:spPr>
                          <a:xfrm>
                            <a:off x="0" y="0"/>
                            <a:ext cx="4425950" cy="3764280"/>
                          </a:xfrm>
                          <a:prstGeom prst="rect">
                            <a:avLst/>
                          </a:prstGeom>
                          <a:noFill/>
                          <a:ln>
                            <a:noFill/>
                          </a:ln>
                        </pic:spPr>
                      </pic:pic>
                    </a:graphicData>
                  </a:graphic>
                </wp:inline>
              </w:drawing>
            </w:r>
          </w:p>
        </w:tc>
      </w:tr>
    </w:tbl>
    <w:p w14:paraId="718FC1B2">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607D8B15">
      <w:pPr>
        <w:spacing w:line="400" w:lineRule="exact"/>
        <w:jc w:val="center"/>
        <w:rPr>
          <w:rFonts w:ascii="宋体" w:hAnsi="宋体" w:cs="宋体"/>
          <w:b/>
          <w:color w:val="auto"/>
          <w:sz w:val="32"/>
          <w:szCs w:val="32"/>
          <w:highlight w:val="none"/>
        </w:rPr>
      </w:pPr>
    </w:p>
    <w:p w14:paraId="13BC7E0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一、总则</w:t>
      </w:r>
    </w:p>
    <w:p w14:paraId="2CDD58C1">
      <w:pPr>
        <w:spacing w:line="400" w:lineRule="exact"/>
        <w:rPr>
          <w:rFonts w:ascii="宋体" w:hAnsi="宋体" w:cs="宋体"/>
          <w:color w:val="auto"/>
          <w:szCs w:val="21"/>
          <w:highlight w:val="none"/>
        </w:rPr>
      </w:pPr>
    </w:p>
    <w:p w14:paraId="3D09FC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0E41A7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《政府采购竞争性磋商采购方式管理暂行办法》</w:t>
      </w:r>
      <w:r>
        <w:rPr>
          <w:rFonts w:hint="eastAsia" w:ascii="宋体" w:hAnsi="宋体" w:cs="宋体"/>
          <w:color w:val="auto"/>
          <w:szCs w:val="21"/>
          <w:highlight w:val="none"/>
          <w:lang w:eastAsia="zh-CN"/>
        </w:rPr>
        <w:t>、</w:t>
      </w:r>
      <w:r>
        <w:rPr>
          <w:rFonts w:hint="eastAsia" w:ascii="宋体" w:hAnsi="宋体" w:cs="宋体"/>
          <w:color w:val="auto"/>
          <w:szCs w:val="21"/>
          <w:highlight w:val="none"/>
        </w:rPr>
        <w:t>《财政部关于政府采购竞争性磋商采购方式管理暂行办法有关问题的补充通知》及本项目本级和上级财政部门政府采购有关规定的约束和保护。</w:t>
      </w:r>
    </w:p>
    <w:p w14:paraId="1A5C8D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ED6055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31EA25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DE982A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05FF3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3ECFE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5C6A10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6806314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3E464E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798AA6D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6369795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2477F8F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3B52187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DDE315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6179F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75D24F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BFC12B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5005E3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ABDF3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477CCA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65EB31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63981587">
      <w:pPr>
        <w:pStyle w:val="8"/>
        <w:keepNext w:val="0"/>
        <w:keepLines w:val="0"/>
        <w:spacing w:before="0" w:after="0" w:line="360" w:lineRule="auto"/>
        <w:ind w:left="420" w:leftChars="200"/>
        <w:rPr>
          <w:rFonts w:ascii="宋体" w:hAnsi="宋体" w:cs="宋体"/>
          <w:b w:val="0"/>
          <w:bCs/>
          <w:color w:val="auto"/>
          <w:sz w:val="21"/>
          <w:szCs w:val="21"/>
          <w:highlight w:val="none"/>
        </w:rPr>
      </w:pPr>
      <w:bookmarkStart w:id="26" w:name="_Toc254970532"/>
      <w:bookmarkStart w:id="27" w:name="_Toc254970673"/>
      <w:r>
        <w:rPr>
          <w:rFonts w:hint="eastAsia" w:ascii="宋体" w:hAnsi="宋体" w:cs="宋体"/>
          <w:b w:val="0"/>
          <w:bCs/>
          <w:color w:val="auto"/>
          <w:sz w:val="21"/>
          <w:szCs w:val="21"/>
          <w:highlight w:val="none"/>
        </w:rPr>
        <w:t>6.1本项目不允许转包。</w:t>
      </w:r>
    </w:p>
    <w:p w14:paraId="2D373090">
      <w:pPr>
        <w:pStyle w:val="8"/>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C53F77F">
      <w:pPr>
        <w:pStyle w:val="8"/>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566CB8C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26"/>
      <w:bookmarkEnd w:id="27"/>
    </w:p>
    <w:p w14:paraId="7BDB45C2">
      <w:pPr>
        <w:spacing w:line="360" w:lineRule="auto"/>
        <w:ind w:firstLine="420" w:firstLineChars="200"/>
        <w:rPr>
          <w:rFonts w:ascii="宋体" w:hAnsi="宋体" w:cs="宋体"/>
          <w:color w:val="auto"/>
          <w:szCs w:val="21"/>
          <w:highlight w:val="none"/>
        </w:rPr>
      </w:pPr>
      <w:bookmarkStart w:id="28" w:name="_8.1提供相同品牌产品且通过资格审查、符合性审查的不同投标人参加同一合"/>
      <w:bookmarkEnd w:id="28"/>
      <w:r>
        <w:rPr>
          <w:rFonts w:hint="eastAsia" w:ascii="宋体" w:hAnsi="宋体" w:cs="宋体"/>
          <w:color w:val="auto"/>
          <w:szCs w:val="21"/>
          <w:highlight w:val="none"/>
        </w:rPr>
        <w:t>7.1</w:t>
      </w:r>
      <w:bookmarkStart w:id="29"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29"/>
    <w:p w14:paraId="12BA76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273F37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7.3供应商在竞标活动中提供任何疑似虚假材料，将报监管部门查处；签订合同后发现的，成交供应商须依法赔偿采购人，且民事赔偿并不免除违法供应商的行政与刑事责任。</w:t>
      </w:r>
    </w:p>
    <w:p w14:paraId="3A7119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7FB998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8A2FB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9798F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D427C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DA943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343B9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7E44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D1E91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AD4A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C7274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761BE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40A93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B7C6560">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4EDEE0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8AC63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D55DA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CBDDE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07009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B1B0B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04897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61BF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826DB92">
      <w:pPr>
        <w:spacing w:line="360" w:lineRule="auto"/>
        <w:ind w:firstLine="420" w:firstLineChars="200"/>
        <w:rPr>
          <w:rFonts w:ascii="宋体" w:hAnsi="宋体" w:cs="宋体"/>
          <w:color w:val="auto"/>
          <w:szCs w:val="21"/>
          <w:highlight w:val="none"/>
        </w:rPr>
      </w:pPr>
    </w:p>
    <w:p w14:paraId="1C5DE490">
      <w:pPr>
        <w:spacing w:line="360" w:lineRule="auto"/>
        <w:ind w:left="1" w:firstLine="417" w:firstLineChars="199"/>
        <w:jc w:val="center"/>
        <w:rPr>
          <w:rFonts w:ascii="宋体" w:hAnsi="宋体" w:cs="宋体"/>
          <w:color w:val="auto"/>
          <w:highlight w:val="none"/>
        </w:rPr>
      </w:pPr>
      <w:bookmarkStart w:id="30" w:name="_Toc254970675"/>
      <w:bookmarkStart w:id="31" w:name="_Toc254970534"/>
    </w:p>
    <w:p w14:paraId="62B7B663">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30"/>
      <w:bookmarkEnd w:id="31"/>
    </w:p>
    <w:p w14:paraId="63A97B06">
      <w:pPr>
        <w:spacing w:line="360" w:lineRule="auto"/>
        <w:ind w:firstLine="482" w:firstLineChars="200"/>
        <w:rPr>
          <w:rFonts w:ascii="宋体" w:hAnsi="宋体" w:cs="宋体"/>
          <w:b/>
          <w:bCs/>
          <w:color w:val="auto"/>
          <w:sz w:val="24"/>
          <w:highlight w:val="none"/>
        </w:rPr>
      </w:pPr>
    </w:p>
    <w:p w14:paraId="371351C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325E5BD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5EA40C2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686764B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5A3F3EE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160F086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57E5F32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24CBF6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128D3A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1A2FF20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25CF04E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6EF7C500">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10.2采购人和采购代理机构可以视采购具体情况，变更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，并</w:t>
      </w:r>
      <w:r>
        <w:rPr>
          <w:rFonts w:hint="eastAsia" w:ascii="宋体" w:hAnsi="宋体" w:cs="宋体"/>
          <w:color w:val="auto"/>
          <w:szCs w:val="21"/>
          <w:highlight w:val="none"/>
        </w:rPr>
        <w:t>在原公告发布媒体上发布更正公告。</w:t>
      </w:r>
    </w:p>
    <w:p w14:paraId="1E30B84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10.3</w:t>
      </w:r>
      <w:r>
        <w:rPr>
          <w:rFonts w:hint="eastAsia" w:ascii="宋体" w:hAnsi="宋体" w:cs="宋体"/>
          <w:color w:val="auto"/>
          <w:szCs w:val="21"/>
          <w:highlight w:val="none"/>
        </w:rPr>
        <w:t>磋商文件澄清、答复、修改、补充的内容为磋商文件的组成部分。</w:t>
      </w:r>
      <w:r>
        <w:rPr>
          <w:rFonts w:hint="eastAsia" w:ascii="宋体" w:hAnsi="宋体" w:cs="宋体"/>
          <w:b/>
          <w:color w:val="auto"/>
          <w:szCs w:val="21"/>
          <w:highlight w:val="none"/>
        </w:rPr>
        <w:t>当磋商文件与磋商文件的澄清、答复、修改、补充通知就同一内容的表述不一致时，以最后发出的文件为准。</w:t>
      </w:r>
    </w:p>
    <w:p w14:paraId="5B9C2E86">
      <w:pPr>
        <w:spacing w:line="400" w:lineRule="exact"/>
        <w:ind w:firstLine="422" w:firstLineChars="200"/>
        <w:rPr>
          <w:rFonts w:ascii="宋体" w:hAnsi="宋体" w:cs="宋体"/>
          <w:b/>
          <w:color w:val="auto"/>
          <w:szCs w:val="21"/>
          <w:highlight w:val="none"/>
        </w:rPr>
      </w:pPr>
      <w:r>
        <w:rPr>
          <w:rFonts w:hint="eastAsia" w:ascii="宋体" w:hAnsi="宋体" w:cs="宋体"/>
          <w:b/>
          <w:color w:val="auto"/>
          <w:highlight w:val="none"/>
        </w:rPr>
        <w:t>10.4</w:t>
      </w:r>
      <w:r>
        <w:rPr>
          <w:rFonts w:hint="eastAsia" w:ascii="宋体" w:hAnsi="宋体" w:cs="宋体"/>
          <w:b/>
          <w:color w:val="auto"/>
          <w:szCs w:val="21"/>
          <w:highlight w:val="none"/>
        </w:rPr>
        <w:t>响应文件未按磋商文件的澄清、修改后的内容编制的，其响应文件作无效响应处理。</w:t>
      </w:r>
    </w:p>
    <w:p w14:paraId="480CFEAA">
      <w:pPr>
        <w:spacing w:line="400" w:lineRule="exact"/>
        <w:ind w:firstLine="422" w:firstLineChars="200"/>
        <w:rPr>
          <w:rFonts w:ascii="宋体" w:hAnsi="宋体" w:cs="宋体"/>
          <w:b/>
          <w:color w:val="auto"/>
          <w:szCs w:val="21"/>
          <w:highlight w:val="none"/>
        </w:rPr>
      </w:pPr>
    </w:p>
    <w:p w14:paraId="337481F5">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三、响应文件的编制</w:t>
      </w:r>
    </w:p>
    <w:p w14:paraId="6A04D6F2">
      <w:pPr>
        <w:spacing w:line="360" w:lineRule="auto"/>
        <w:ind w:firstLine="482" w:firstLineChars="200"/>
        <w:rPr>
          <w:rFonts w:ascii="宋体" w:hAnsi="宋体" w:cs="宋体"/>
          <w:b/>
          <w:bCs/>
          <w:color w:val="auto"/>
          <w:sz w:val="24"/>
          <w:highlight w:val="none"/>
        </w:rPr>
      </w:pPr>
    </w:p>
    <w:p w14:paraId="0273147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42E5C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AC85E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5D626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00FC288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1C0EEC1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12.1.2报价商务技术文件：详见须知前附表</w:t>
      </w:r>
    </w:p>
    <w:p w14:paraId="2F4A3BA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3705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B8F378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2FBD1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41E5DF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1323D93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08CC93D1">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695D0BF8">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29663A5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15.3.1供应商的竞标报价应符合以下要求，否则响应文件按无效响应处理：</w:t>
      </w:r>
    </w:p>
    <w:p w14:paraId="76D259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0409E1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27D78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15.3.2最后报价超过所竞标分标规定的采购预算金额或者最高限价的，其响应文件将按无效响应处理。</w:t>
      </w:r>
      <w:bookmarkStart w:id="32" w:name="_Hlk42592874"/>
    </w:p>
    <w:bookmarkEnd w:id="32"/>
    <w:p w14:paraId="04C188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0D8E48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FC7E4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24A6D0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263FB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09D7117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9BFDD8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03D9FA4F">
      <w:pPr>
        <w:spacing w:line="360" w:lineRule="auto"/>
        <w:ind w:firstLine="420" w:firstLineChars="200"/>
        <w:rPr>
          <w:rFonts w:ascii="宋体" w:hAnsi="宋体" w:cs="宋体"/>
          <w:color w:val="auto"/>
          <w:szCs w:val="21"/>
          <w:highlight w:val="none"/>
        </w:rPr>
      </w:pPr>
      <w:bookmarkStart w:id="33"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成交供应商的磋商保证金自签订合同之日起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个工作日内退还。</w:t>
      </w:r>
      <w:bookmarkEnd w:id="33"/>
      <w:r>
        <w:rPr>
          <w:rFonts w:hint="eastAsia" w:ascii="宋体" w:hAnsi="宋体" w:cs="宋体"/>
          <w:color w:val="auto"/>
          <w:szCs w:val="21"/>
          <w:highlight w:val="none"/>
        </w:rPr>
        <w:t xml:space="preserve"> </w:t>
      </w:r>
    </w:p>
    <w:p w14:paraId="58DF0E5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6578CA0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145D79E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360388B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4656C00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4E611D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16A5C83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0C3FC9D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2215063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302E4E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18.1供应商应按本磋商文件规定的格式和顺序编制响应文件并标注页码，响应文件内容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pacing w:val="-6"/>
          <w:szCs w:val="21"/>
          <w:highlight w:val="none"/>
        </w:rPr>
        <w:t>后果由供应商承担。</w:t>
      </w:r>
    </w:p>
    <w:p w14:paraId="5A45DE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18.2响应文件应按资格证明文件、报价商务技术文件分别编制电子文件，并按“广西政府采购云平台”的要求编制、加密、上传。</w:t>
      </w:r>
    </w:p>
    <w:p w14:paraId="040D22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34" w:name="_Hlk65832699"/>
      <w:r>
        <w:rPr>
          <w:rFonts w:hint="eastAsia" w:ascii="宋体" w:hAnsi="宋体" w:cs="宋体"/>
          <w:color w:val="auto"/>
          <w:szCs w:val="21"/>
          <w:highlight w:val="none"/>
        </w:rPr>
        <w:t>3响应文件须由供应商在规定位置盖公章并签字</w:t>
      </w:r>
      <w:bookmarkStart w:id="35" w:name="_Hlk65832569"/>
      <w:r>
        <w:rPr>
          <w:rFonts w:hint="eastAsia" w:ascii="宋体" w:hAnsi="宋体" w:cs="宋体"/>
          <w:color w:val="auto"/>
          <w:szCs w:val="21"/>
          <w:highlight w:val="none"/>
        </w:rPr>
        <w:t>（具体以供应商须知前附表或响应文件格式规定为准）</w:t>
      </w:r>
      <w:bookmarkEnd w:id="34"/>
      <w:bookmarkEnd w:id="35"/>
      <w:r>
        <w:rPr>
          <w:rFonts w:hint="eastAsia" w:ascii="宋体" w:hAnsi="宋体" w:cs="宋体"/>
          <w:color w:val="auto"/>
          <w:szCs w:val="21"/>
          <w:highlight w:val="none"/>
        </w:rPr>
        <w:t>，否则其响应文件按无效响应处理。</w:t>
      </w:r>
    </w:p>
    <w:p w14:paraId="02F967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18.4响应文件中标注的供应商名称应与营业执照（事业单位法人证书、执业许可证、自然人身份证）及公章一致，否则其响应文件按无效响应处理。</w:t>
      </w:r>
    </w:p>
    <w:p w14:paraId="70EDEA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70C204E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19.响应文件的加密、解密</w:t>
      </w:r>
    </w:p>
    <w:p w14:paraId="3CD3AC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19.1电子响应文件编制完成后，供应商应按“广西政府采购云平台”的要求进行加密，并在规定时间内解密，否则，由此产生的后果由供应商自行负责。</w:t>
      </w:r>
    </w:p>
    <w:p w14:paraId="5A8D32A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4500EC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1B552835">
      <w:pPr>
        <w:widowControl/>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20.2本项目为全流程电子化采购项目，通过“广西政府采购云平台”（https://www.gcy.zfcg.gxzf.gov.cn/）实行在线电子竞标，供应商应先安装“广西政府采购云平台新版客户端”（新版客户端下载路径：请自行前往“广西政府采购云平台”（访问地址http://zfcg.gxzf.gov.cn/）—办事服务—下载专区），并按照本项目竞争性磋商文件和“广西政府采购云平台”的要求编制、加密后在竞标截止时间前通过网络上传至 “广西政府采购云平台”，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13D6BE43">
      <w:pPr>
        <w:pStyle w:val="8"/>
        <w:keepNext w:val="0"/>
        <w:keepLines w:val="0"/>
        <w:spacing w:before="0" w:after="0" w:line="360" w:lineRule="auto"/>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20.3未在规定时间内上传或者未按“广西政府采购云平台”的要求编制、加密的电子响应文件，“广西政府采购云平台”将拒收。</w:t>
      </w:r>
    </w:p>
    <w:p w14:paraId="63513D18">
      <w:pPr>
        <w:pStyle w:val="9"/>
        <w:rPr>
          <w:rFonts w:ascii="宋体" w:hAnsi="宋体" w:cs="宋体"/>
          <w:color w:val="auto"/>
          <w:szCs w:val="21"/>
          <w:highlight w:val="none"/>
        </w:rPr>
      </w:pPr>
      <w:r>
        <w:rPr>
          <w:rFonts w:hint="eastAsia" w:ascii="宋体" w:hAnsi="宋体" w:cs="宋体"/>
          <w:color w:val="auto"/>
          <w:szCs w:val="21"/>
          <w:highlight w:val="none"/>
        </w:rPr>
        <w:t>20.4电子响应文件提交方</w:t>
      </w:r>
      <w:r>
        <w:rPr>
          <w:rFonts w:hint="eastAsia" w:ascii="宋体" w:hAnsi="宋体" w:cs="宋体"/>
          <w:bCs/>
          <w:color w:val="auto"/>
          <w:szCs w:val="21"/>
          <w:highlight w:val="none"/>
        </w:rPr>
        <w:t>式见“竞争性磋商公告”</w:t>
      </w:r>
      <w:r>
        <w:rPr>
          <w:rFonts w:hint="eastAsia" w:ascii="宋体" w:hAnsi="宋体" w:cs="宋体"/>
          <w:color w:val="auto"/>
          <w:szCs w:val="21"/>
          <w:highlight w:val="none"/>
        </w:rPr>
        <w:t>中“四、响应文件提交”。</w:t>
      </w:r>
    </w:p>
    <w:p w14:paraId="722B3A7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1F9D5B3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34F2CB23">
      <w:pPr>
        <w:spacing w:line="360" w:lineRule="auto"/>
        <w:ind w:firstLine="482" w:firstLineChars="200"/>
        <w:rPr>
          <w:rFonts w:ascii="宋体" w:hAnsi="宋体" w:cs="宋体"/>
          <w:b/>
          <w:bCs/>
          <w:color w:val="auto"/>
          <w:sz w:val="24"/>
          <w:highlight w:val="none"/>
        </w:rPr>
      </w:pPr>
      <w:bookmarkStart w:id="36" w:name="_Hlk45702405"/>
      <w:r>
        <w:rPr>
          <w:rFonts w:hint="eastAsia" w:ascii="宋体" w:hAnsi="宋体" w:cs="宋体"/>
          <w:b/>
          <w:bCs/>
          <w:color w:val="auto"/>
          <w:sz w:val="24"/>
          <w:highlight w:val="none"/>
        </w:rPr>
        <w:t>22. 首次响应文件的退回</w:t>
      </w:r>
    </w:p>
    <w:p w14:paraId="30A3023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3971730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2CD791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23.1供应商在首次响应文件提交截止时间后书面通知采购人、采购代理机构书面撤回响应文件的，将根据本须知正文17.4的规定不予退还其磋商保证金。</w:t>
      </w:r>
    </w:p>
    <w:bookmarkEnd w:id="36"/>
    <w:p w14:paraId="71D352D1">
      <w:pPr>
        <w:spacing w:line="360" w:lineRule="auto"/>
        <w:rPr>
          <w:rFonts w:ascii="宋体" w:hAnsi="宋体" w:cs="宋体"/>
          <w:color w:val="auto"/>
          <w:szCs w:val="21"/>
          <w:highlight w:val="none"/>
        </w:rPr>
      </w:pPr>
    </w:p>
    <w:p w14:paraId="2276B05E">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0772D821">
      <w:pPr>
        <w:spacing w:line="360" w:lineRule="auto"/>
        <w:ind w:firstLine="482" w:firstLineChars="200"/>
        <w:rPr>
          <w:rFonts w:ascii="宋体" w:hAnsi="宋体" w:cs="宋体"/>
          <w:b/>
          <w:bCs/>
          <w:color w:val="auto"/>
          <w:sz w:val="24"/>
          <w:highlight w:val="none"/>
        </w:rPr>
      </w:pPr>
    </w:p>
    <w:p w14:paraId="7F5E56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6CD684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7C195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EDD01B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20D6F6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2207F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r>
        <w:rPr>
          <w:rFonts w:hint="eastAsia" w:ascii="宋体" w:hAnsi="宋体" w:cs="宋体"/>
          <w:color w:val="auto"/>
          <w:szCs w:val="21"/>
          <w:highlight w:val="none"/>
        </w:rPr>
        <w:t>（解密异常情况处理：详见本章26.2电子交易活动的中止。）</w:t>
      </w:r>
    </w:p>
    <w:p w14:paraId="500094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25.3成功解密响应文件的供应商不足3家的，不得磋商。</w:t>
      </w:r>
    </w:p>
    <w:p w14:paraId="5C96940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537790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1F41B6B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26.2电子交易活动的中止。采购过程中出现以下情形，导致电子交易平台无法正常运行，或者无法保证电子交易的公平、公正和安全时，采购机构可中止电子交易活动：</w:t>
      </w:r>
    </w:p>
    <w:p w14:paraId="6B6AC9E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200337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732D740">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32591C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3B106B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16392CE8">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26.3出现以上情形，不影响采购公平、公正性的，采购代理机构可以待上述情形消除后继续组织电子交易活动；影响或可能影响采购公平、公正性的，经采购代理机构确认后，应当重新采购。</w:t>
      </w:r>
    </w:p>
    <w:p w14:paraId="4747E5A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5B69E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DDD69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7"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37"/>
    </w:p>
    <w:p w14:paraId="0E8130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221E07F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63F5EF4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1710441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28.2在履约保证金退还日期前，若成交供应商的开户名称、开户银行、帐号有变动的，请以书面形式通知履约保证金收取单位，否则由此产生的后果由成交供应商自行承担。</w:t>
      </w:r>
    </w:p>
    <w:p w14:paraId="771197A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1319086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29.1成交供应商在收到成交通知书（书面或电子）后，应当在签订合同时向采购人出示相关证明材料，具体内容详见 “供应商须知前附表”，经采购人核验合格后方可签订合同（书面或电子）。</w:t>
      </w:r>
    </w:p>
    <w:p w14:paraId="719DDD9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 签订合同时间：按成交通知书规定的时间与采购人签订政府采购合同（最长不能超过25日）。</w:t>
      </w:r>
    </w:p>
    <w:p w14:paraId="46A22BC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29.3成交供应商拒绝与采购人签订合同的，按照本须知正文第27.3条的规定执行。</w:t>
      </w:r>
    </w:p>
    <w:p w14:paraId="25E319A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0054B8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FF1BB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1C72F0FF">
      <w:pPr>
        <w:pStyle w:val="9"/>
        <w:spacing w:line="360" w:lineRule="auto"/>
        <w:rPr>
          <w:rFonts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6C5494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7F400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7C82C6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184027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8C009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AA7EC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055F20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171C5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65FD8E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0E79FE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237A3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432F2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0D80EB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EC64C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7CC70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568447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0A8263D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4F8634E">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41EFC6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.需要补充的其他内容</w:t>
      </w:r>
    </w:p>
    <w:p w14:paraId="6860F5ED">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int="eastAsia" w:hAnsi="宋体" w:cs="宋体"/>
          <w:color w:val="auto"/>
          <w:kern w:val="2"/>
          <w:sz w:val="21"/>
          <w:highlight w:val="none"/>
          <w:lang w:val="en-US" w:eastAsia="zh-CN"/>
        </w:rPr>
        <w:t>2</w:t>
      </w:r>
      <w:r>
        <w:rPr>
          <w:rFonts w:hint="eastAsia" w:hAnsi="宋体" w:cs="宋体"/>
          <w:color w:val="auto"/>
          <w:kern w:val="2"/>
          <w:sz w:val="21"/>
          <w:highlight w:val="none"/>
        </w:rPr>
        <w:t>.1本磋商文件解释规则详见“供应商须知前附表”。</w:t>
      </w:r>
    </w:p>
    <w:p w14:paraId="7D158F42">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int="eastAsia" w:hAnsi="宋体" w:cs="宋体"/>
          <w:color w:val="auto"/>
          <w:kern w:val="2"/>
          <w:sz w:val="21"/>
          <w:highlight w:val="none"/>
          <w:lang w:val="en-US" w:eastAsia="zh-CN"/>
        </w:rPr>
        <w:t>2</w:t>
      </w:r>
      <w:r>
        <w:rPr>
          <w:rFonts w:hint="eastAsia" w:hAnsi="宋体" w:cs="宋体"/>
          <w:color w:val="auto"/>
          <w:kern w:val="2"/>
          <w:sz w:val="21"/>
          <w:highlight w:val="none"/>
        </w:rPr>
        <w:t>.2 其他事项详见“供应商须知前附表”。</w:t>
      </w:r>
    </w:p>
    <w:p w14:paraId="594C9EDA">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int="eastAsia" w:hAnsi="宋体" w:cs="宋体"/>
          <w:color w:val="auto"/>
          <w:kern w:val="2"/>
          <w:sz w:val="21"/>
          <w:highlight w:val="none"/>
          <w:lang w:val="en-US" w:eastAsia="zh-CN"/>
        </w:rPr>
        <w:t>2</w:t>
      </w:r>
      <w:r>
        <w:rPr>
          <w:rFonts w:hint="eastAsia" w:hAnsi="宋体" w:cs="宋体"/>
          <w:color w:val="auto"/>
          <w:kern w:val="2"/>
          <w:sz w:val="21"/>
          <w:highlight w:val="none"/>
        </w:rPr>
        <w:t>.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436DD20">
      <w:pPr>
        <w:pStyle w:val="18"/>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F0B1A56">
      <w:pPr>
        <w:pStyle w:val="18"/>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30B7A0D">
      <w:pPr>
        <w:pStyle w:val="18"/>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5F795A8">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31F213A">
      <w:pPr>
        <w:pStyle w:val="18"/>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45AAB1FD">
      <w:pPr>
        <w:pStyle w:val="4"/>
        <w:spacing w:line="360" w:lineRule="auto"/>
        <w:rPr>
          <w:rFonts w:ascii="宋体" w:hAnsi="宋体" w:cs="宋体"/>
          <w:color w:val="auto"/>
          <w:highlight w:val="none"/>
        </w:rPr>
      </w:pPr>
      <w:bookmarkStart w:id="38" w:name="_Toc74323458"/>
      <w:r>
        <w:rPr>
          <w:rFonts w:hint="eastAsia" w:ascii="宋体" w:hAnsi="宋体" w:cs="宋体"/>
          <w:color w:val="auto"/>
          <w:highlight w:val="none"/>
        </w:rPr>
        <w:br w:type="page"/>
      </w:r>
      <w:r>
        <w:rPr>
          <w:rFonts w:hint="eastAsia" w:ascii="宋体" w:hAnsi="宋体" w:cs="宋体"/>
          <w:color w:val="auto"/>
          <w:highlight w:val="none"/>
        </w:rPr>
        <w:t>第三章 采购需求</w:t>
      </w:r>
      <w:bookmarkEnd w:id="38"/>
    </w:p>
    <w:p w14:paraId="738AB4C0">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说明：</w:t>
      </w:r>
    </w:p>
    <w:p w14:paraId="0A6C13E5">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6F5FD5CF">
      <w:pPr>
        <w:spacing w:line="360" w:lineRule="exact"/>
        <w:ind w:left="-10" w:leftChars="-5" w:right="2" w:rightChars="1" w:firstLine="422" w:firstLineChars="200"/>
        <w:rPr>
          <w:rFonts w:hint="eastAsia" w:ascii="宋体" w:hAnsi="宋体" w:cs="宋体"/>
          <w:b/>
          <w:bCs/>
          <w:color w:val="auto"/>
          <w:highlight w:val="none"/>
        </w:rPr>
      </w:pPr>
      <w:r>
        <w:rPr>
          <w:rFonts w:hint="eastAsia" w:ascii="宋体" w:hAnsi="宋体" w:cs="宋体"/>
          <w:b/>
          <w:bCs/>
          <w:color w:val="auto"/>
          <w:highlight w:val="none"/>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号）的规定，采购需求中如有货物产品，且货物产品属于节能产品政府采购品目清单内标注“★”的，供应商的竞标货物必须使用政府强制采购的节能产品，否则响应文件作无效响应处理。</w:t>
      </w:r>
    </w:p>
    <w:p w14:paraId="7546973A">
      <w:pPr>
        <w:spacing w:line="360" w:lineRule="exact"/>
        <w:ind w:left="-10" w:leftChars="-5" w:right="2" w:rightChars="1" w:firstLine="422" w:firstLineChars="200"/>
        <w:rPr>
          <w:rFonts w:hint="eastAsia" w:ascii="宋体" w:hAnsi="宋体" w:cs="宋体"/>
          <w:b/>
          <w:bCs/>
          <w:color w:val="auto"/>
          <w:highlight w:val="none"/>
        </w:rPr>
      </w:pPr>
      <w:r>
        <w:rPr>
          <w:rFonts w:hint="eastAsia" w:ascii="宋体" w:hAnsi="宋体" w:cs="宋体"/>
          <w:b/>
          <w:bCs/>
          <w:color w:val="auto"/>
          <w:highlight w:val="none"/>
        </w:rPr>
        <w:t>3、如供应商竞标产品存在侵犯他人的知识产权或者专利成果行为的，由供应商自行承担相应法律责任。</w:t>
      </w:r>
    </w:p>
    <w:p w14:paraId="656F6C98">
      <w:pPr>
        <w:spacing w:line="360" w:lineRule="exact"/>
        <w:ind w:left="-10" w:leftChars="-5" w:right="2" w:rightChars="1" w:firstLine="422" w:firstLineChars="200"/>
        <w:rPr>
          <w:rFonts w:hint="eastAsia" w:ascii="宋体" w:hAnsi="宋体" w:cs="宋体"/>
          <w:b/>
          <w:bCs/>
          <w:color w:val="auto"/>
          <w:highlight w:val="none"/>
        </w:rPr>
      </w:pPr>
      <w:r>
        <w:rPr>
          <w:rFonts w:hint="eastAsia" w:ascii="宋体" w:hAnsi="宋体" w:cs="宋体"/>
          <w:b/>
          <w:bCs/>
          <w:color w:val="auto"/>
          <w:highlight w:val="none"/>
        </w:rPr>
        <w:t>4、“实质性要求”是指竞争性磋商文件中已经指明不满足则响应无效的条款，或者不能负偏离的条款，或者采购需求中带“▲”的条款。</w:t>
      </w:r>
      <w:bookmarkStart w:id="39" w:name="_Toc74323459"/>
    </w:p>
    <w:tbl>
      <w:tblPr>
        <w:tblStyle w:val="32"/>
        <w:tblW w:w="97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68"/>
        <w:gridCol w:w="934"/>
        <w:gridCol w:w="666"/>
        <w:gridCol w:w="5967"/>
      </w:tblGrid>
      <w:tr w14:paraId="3B460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670FC2B8">
            <w:pPr>
              <w:rPr>
                <w:rFonts w:ascii="宋体" w:hAnsi="宋体" w:cs="宋体"/>
                <w:color w:val="auto"/>
                <w:szCs w:val="21"/>
                <w:highlight w:val="none"/>
              </w:rPr>
            </w:pPr>
            <w:r>
              <w:rPr>
                <w:rFonts w:hint="eastAsia" w:ascii="宋体" w:hAnsi="宋体" w:cs="宋体"/>
                <w:color w:val="auto"/>
                <w:szCs w:val="21"/>
                <w:highlight w:val="none"/>
              </w:rPr>
              <w:t>序号</w:t>
            </w:r>
          </w:p>
        </w:tc>
        <w:tc>
          <w:tcPr>
            <w:tcW w:w="1513" w:type="dxa"/>
            <w:gridSpan w:val="2"/>
            <w:vAlign w:val="center"/>
          </w:tcPr>
          <w:p w14:paraId="7B41BE38">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34" w:type="dxa"/>
            <w:vAlign w:val="center"/>
          </w:tcPr>
          <w:p w14:paraId="05D77259">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666" w:type="dxa"/>
            <w:vAlign w:val="center"/>
          </w:tcPr>
          <w:p w14:paraId="1E2CC01A">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14:paraId="59E12BED">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5967" w:type="dxa"/>
            <w:vAlign w:val="center"/>
          </w:tcPr>
          <w:p w14:paraId="348E8F5B">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b/>
                <w:bCs/>
                <w:color w:val="auto"/>
                <w:highlight w:val="none"/>
              </w:rPr>
              <w:t>▲</w:t>
            </w:r>
            <w:r>
              <w:rPr>
                <w:rFonts w:hint="eastAsia" w:ascii="宋体" w:hAnsi="宋体" w:cs="宋体"/>
                <w:color w:val="auto"/>
                <w:szCs w:val="21"/>
                <w:highlight w:val="none"/>
              </w:rPr>
              <w:t>技术要求</w:t>
            </w:r>
          </w:p>
        </w:tc>
      </w:tr>
      <w:tr w14:paraId="780D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655" w:type="dxa"/>
            <w:vAlign w:val="center"/>
          </w:tcPr>
          <w:p w14:paraId="21E121AF">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513" w:type="dxa"/>
            <w:gridSpan w:val="2"/>
            <w:vAlign w:val="center"/>
          </w:tcPr>
          <w:p w14:paraId="151D425C">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钦州市武利江汛期污染强度分析及污染精准溯源研究项目</w:t>
            </w:r>
          </w:p>
        </w:tc>
        <w:tc>
          <w:tcPr>
            <w:tcW w:w="934" w:type="dxa"/>
            <w:vAlign w:val="center"/>
          </w:tcPr>
          <w:p w14:paraId="3C41C5FB">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6" w:type="dxa"/>
            <w:vAlign w:val="center"/>
          </w:tcPr>
          <w:p w14:paraId="6B77E559">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5967" w:type="dxa"/>
          </w:tcPr>
          <w:p w14:paraId="2D10D7CD">
            <w:pPr>
              <w:widowControl/>
              <w:ind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一、项目概况</w:t>
            </w:r>
          </w:p>
          <w:p w14:paraId="396BB4CF">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2021—2025年，考核钦州市的武利江东边埇断面连续5年比考核目标Ⅱ类低1个类别。期间，武利江东边埇断面因汛期污染强度较大被多次通报预警，汛期污染强度出现明显增大趋势。由于武利江流域存在污染源来源广、分布零散，各类污染来源对污染总量的贡献比例尚不明确，同时缺乏点源、面源污染物产生-输移-入江的时空连续监测的问题，因此，需开展武利江汛期污染强度调研分析，查找污染成因，精准确定污染源，明确目标责任主体，开展畜禽养殖污染防治宣传，全面提高武利江水污染治理精细化、现代化水平。</w:t>
            </w:r>
          </w:p>
          <w:p w14:paraId="010FBC1A">
            <w:pPr>
              <w:widowControl/>
              <w:ind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二、工作内容</w:t>
            </w:r>
          </w:p>
          <w:p w14:paraId="735CB59F">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通过对武利江流域污染物溯源，掌握河道、排污口、岸上污染通量平衡关系以及污染物迁移转化规律，开展手工监测相结合的加密监测，识别汛期城乡面源污染主要来源，分析污染成因，锁定污染责任主体，提出精细化监管措施，有针对性的提出污染治理方案以及汛期强度分析报告，开展环境保护宣传工作，有效支撑武利江的水质和水生态环境改善。开展国控断面、区控断面所在河流（湖库）近三年自然岸线调查。</w:t>
            </w:r>
          </w:p>
          <w:p w14:paraId="3C456806">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（一）现状调查</w:t>
            </w:r>
          </w:p>
          <w:p w14:paraId="6FAE8FE0">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主要收集流域社会生产经济资料、流域相关规划、土地利用情况、取水供水用水资料、环境保护情况、水文水利气象等资料。</w:t>
            </w:r>
          </w:p>
          <w:p w14:paraId="4457E239">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（1）社会经济资料：主要收集流域各镇（街）各行政村的人口地区生产总值、工业总产值等相关数据，用于污染源测算和供排水规模复核。</w:t>
            </w:r>
          </w:p>
          <w:p w14:paraId="1A7CDD0C">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（2）相关规划资料：主要收集流域相关规划，用于分析水体达标的严峻性、必要性和可能的整治措施。</w:t>
            </w:r>
          </w:p>
          <w:p w14:paraId="35128751">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（3）土地利用资料：主要收集流域土地利用情况，用于分析周边用地情况以及面源污染负荷。</w:t>
            </w:r>
          </w:p>
          <w:p w14:paraId="3E2DFB3A">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（4）取水供水用水资料：主要收集近几年供水情况用于分析污染源，收集最新供水规划用于确定水源保护、水质达标的重点。</w:t>
            </w:r>
          </w:p>
          <w:p w14:paraId="17760AB6">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（5）环境保护资料：主要收集近年水质资料用于说明研究区域环境现状，收集工业、生活、农业种植养殖等污染源资料用于分析水质目标可达性。</w:t>
            </w:r>
          </w:p>
          <w:p w14:paraId="27DC34A2">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（6）水利资料：主要包括武利江流域水系、水文站水位资料、水库出流量资料、水闸开关资料用于水动力模型建立；</w:t>
            </w:r>
          </w:p>
          <w:p w14:paraId="0CD6D2EA">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（7）气象部门资料：流域的气象数据，用于面源污染负荷估算。</w:t>
            </w:r>
          </w:p>
          <w:p w14:paraId="2B9A8C41">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（二）水系提取、水质状况及污染源统计</w:t>
            </w:r>
          </w:p>
          <w:p w14:paraId="63D0E252">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（1）利用无人机高精度勘察、航拍，结合水体信息提取技术，对钦州市武利江水系流域面提取，建立水系矢量文件，实现武利江流域水系图的更迭。</w:t>
            </w:r>
          </w:p>
          <w:p w14:paraId="25D18BE5">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对钦州市武利江及主要支流于枯水期及丰水期进行水文、水质补充监测，调查内容包括水位、流速、流量以及水体主要污染物指标等。水质补充监测主要污染物指标为为氨氮、化学需氧量（或高锰酸盐指数）、总磷、总氮。</w:t>
            </w:r>
          </w:p>
          <w:p w14:paraId="0EE9920A">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（3）采用人工调研以及无人机结合的方式，排查工业污染、城镇生活污染、农村生活污染、农业养殖污染、农业种植污染等污染源分布情况以及污染状况，测算各污染源排放情况。</w:t>
            </w:r>
          </w:p>
          <w:p w14:paraId="1D76924C">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（三）流域污染专项现场调查</w:t>
            </w:r>
          </w:p>
          <w:p w14:paraId="4ACDD43B">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确定研究范围内武利江及各支流的污水量和主要污染物质、主要污染行业以及重点污染源。同时，通过污染源现状分析，将结果与水文水质补充监测估算出来的污水量、污染物量进行对比分析，确定控制单元内的污水规模和污染物排放强度。</w:t>
            </w:r>
          </w:p>
          <w:p w14:paraId="5CF4409F">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（四）流域污染物精准溯源</w:t>
            </w:r>
          </w:p>
          <w:p w14:paraId="33E6A021">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采用的区域水环境污染源精准溯源与解析技术，全面、准确地识别出地表水中的污染来源，为区域水环境防治提供依据。通过研究区域的常规水质参数和重金属，结合地表水三维荧光光谱，利用多元统计学（聚类分析、PMF受体模型等）方法，快速、准确地掌握区域整体污染分布情况，从而筛选出重点研究区域，建立排水指纹信息数据库，对污染源进行筛选和总结，得到能够代表不同类型污染源的三维荧光特征峰，对水体的污染来源进行初步识别，通过计算地表水与污染源的荧光组分相似度，判定水体所受污染类型，得到重点区域的主要污染来源。在此基础上，利用三维荧光光谱解析方法计算各工业源、生活源及养殖业等污染源贡献率，从而实现高污染负荷、复杂污染源水环境体系中污染源的精准溯源。</w:t>
            </w:r>
          </w:p>
          <w:p w14:paraId="11FE947C">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（五）开展环境保护宣传活动</w:t>
            </w:r>
          </w:p>
          <w:p w14:paraId="4705CBB4">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制作畜禽养殖情况及典型案例视频，印制宣传资料，开展宣传活动。</w:t>
            </w:r>
          </w:p>
          <w:p w14:paraId="48D8DFE1">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（六）编制成果报告</w:t>
            </w:r>
          </w:p>
          <w:p w14:paraId="749E939E">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结合调研以及精准溯源的结果，编制《钦州市武利江汛期污染强度分析及污染精准溯源研究报告》。</w:t>
            </w:r>
          </w:p>
          <w:p w14:paraId="7228AA0C">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（七）国控、区控断面所在河流（湖库）自然岸线调查</w:t>
            </w:r>
          </w:p>
          <w:p w14:paraId="378BB79B">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按照《美丽河湖保护与建设参考指标（试行）》（环办水体函〔2022〕416号）中“自然岸线率”指标、《河湖岸线遥感提取与分类技术规定》（卫星环字〔2022〕6号）要求完成并提交近三年国控断面、区控断面所在河流（湖库）自然岸线调查成果。国控断面所在河流（湖库）：钦江、大风江、茅岭江、武思江、武利江、大榄江、洪潮江水库等7条（个）河湖，区控断面所在河流（湖库）：马江、灵东水库、金窝水库、小江水库等4条（个）河湖。</w:t>
            </w:r>
          </w:p>
          <w:p w14:paraId="6E4CE702">
            <w:pPr>
              <w:widowControl/>
              <w:ind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三、服务成果</w:t>
            </w:r>
          </w:p>
          <w:p w14:paraId="40BAB5F9">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1.《钦州市武利江汛期污染强度分析及污染精准溯源研究项目调查报告》及相关图件；</w:t>
            </w:r>
          </w:p>
          <w:p w14:paraId="1E64CB4E">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2.畜禽养殖情况及典型案例视频，印制宣传资料，开展宣传活动；</w:t>
            </w:r>
          </w:p>
          <w:p w14:paraId="3059EA44">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3.国控、区控断面所在河流（湖库）近三年自然岸线调查成果；</w:t>
            </w:r>
          </w:p>
          <w:p w14:paraId="1B9E698D">
            <w:pPr>
              <w:widowControl/>
              <w:adjustRightInd/>
              <w:spacing w:line="460" w:lineRule="exact"/>
              <w:ind w:firstLine="420" w:firstLineChars="200"/>
              <w:jc w:val="left"/>
              <w:textAlignment w:val="auto"/>
              <w:rPr>
                <w:rFonts w:hint="default" w:eastAsia="Arial Unicode MS"/>
                <w:color w:val="auto"/>
                <w:highlight w:val="none"/>
                <w:lang w:val="en-US" w:eastAsia="zh-CN"/>
              </w:rPr>
            </w:pPr>
            <w:r>
              <w:rPr>
                <w:rFonts w:hint="eastAsia" w:ascii="宋体" w:hAnsi="宋体" w:eastAsia="宋体" w:cs="宋体"/>
                <w:bCs/>
                <w:color w:val="auto"/>
                <w:szCs w:val="21"/>
                <w:highlight w:val="none"/>
                <w:lang w:val="en-US" w:eastAsia="zh-CN"/>
              </w:rPr>
              <w:t>4.专家评估意见。</w:t>
            </w:r>
          </w:p>
        </w:tc>
      </w:tr>
      <w:tr w14:paraId="0CF16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5" w:type="dxa"/>
            <w:gridSpan w:val="6"/>
            <w:tcBorders>
              <w:top w:val="single" w:color="auto" w:sz="4" w:space="0"/>
              <w:left w:val="single" w:color="auto" w:sz="4" w:space="0"/>
              <w:bottom w:val="single" w:color="auto" w:sz="4" w:space="0"/>
              <w:right w:val="single" w:color="auto" w:sz="4" w:space="0"/>
            </w:tcBorders>
          </w:tcPr>
          <w:p w14:paraId="0C4AD7E8">
            <w:pPr>
              <w:spacing w:line="360" w:lineRule="auto"/>
              <w:rPr>
                <w:rFonts w:ascii="宋体" w:hAnsi="宋体" w:cs="宋体"/>
                <w:color w:val="auto"/>
                <w:szCs w:val="21"/>
                <w:highlight w:val="none"/>
              </w:rPr>
            </w:pPr>
            <w:r>
              <w:rPr>
                <w:rFonts w:hint="eastAsia" w:ascii="宋体" w:hAnsi="宋体" w:cs="宋体"/>
                <w:b/>
                <w:bCs/>
                <w:color w:val="auto"/>
                <w:szCs w:val="21"/>
                <w:highlight w:val="none"/>
              </w:rPr>
              <w:t>▲商务条款</w:t>
            </w:r>
          </w:p>
        </w:tc>
      </w:tr>
      <w:tr w14:paraId="33BFA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189A8B2F">
            <w:pPr>
              <w:widowControl/>
              <w:adjustRightInd w:val="0"/>
              <w:spacing w:line="400" w:lineRule="exact"/>
              <w:ind w:firstLine="422" w:firstLineChars="200"/>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磋商报价要求</w:t>
            </w:r>
          </w:p>
        </w:tc>
        <w:tc>
          <w:tcPr>
            <w:tcW w:w="7635" w:type="dxa"/>
            <w:gridSpan w:val="4"/>
            <w:tcBorders>
              <w:top w:val="single" w:color="auto" w:sz="4" w:space="0"/>
              <w:left w:val="single" w:color="auto" w:sz="4" w:space="0"/>
              <w:bottom w:val="single" w:color="auto" w:sz="4" w:space="0"/>
              <w:right w:val="single" w:color="auto" w:sz="4" w:space="0"/>
            </w:tcBorders>
            <w:vAlign w:val="center"/>
          </w:tcPr>
          <w:p w14:paraId="61CC89D9">
            <w:pPr>
              <w:widowControl/>
              <w:adjustRightInd/>
              <w:spacing w:line="460" w:lineRule="exact"/>
              <w:ind w:firstLine="630" w:firstLineChars="3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lang w:val="en-US" w:eastAsia="zh-CN"/>
              </w:rPr>
              <w:t>本项目实行总承包报价；项目实施过程中的一切费用包括服务的价格、必要的保险费用和各项税金、调查与分析、编制费、报告、方案汇报及评审会议费用、专家评审费、成果载体（硬件、软件）费用、租赁交通工具、工作人员差旅和食宿费、办公费、人员工资、管理费、合理利润、税费等一切费用、招标代理服务费及其它所有成本费用的总和，采购人不再支付任何费用。不包含采购人外出考察费用。</w:t>
            </w:r>
          </w:p>
        </w:tc>
      </w:tr>
      <w:tr w14:paraId="29879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7D2081CB">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服务期限和服务地点</w:t>
            </w:r>
          </w:p>
        </w:tc>
        <w:tc>
          <w:tcPr>
            <w:tcW w:w="7635" w:type="dxa"/>
            <w:gridSpan w:val="4"/>
            <w:tcBorders>
              <w:top w:val="single" w:color="auto" w:sz="4" w:space="0"/>
              <w:left w:val="single" w:color="auto" w:sz="4" w:space="0"/>
              <w:bottom w:val="single" w:color="auto" w:sz="4" w:space="0"/>
              <w:right w:val="single" w:color="auto" w:sz="4" w:space="0"/>
            </w:tcBorders>
            <w:vAlign w:val="center"/>
          </w:tcPr>
          <w:p w14:paraId="49C5ACDB">
            <w:pPr>
              <w:spacing w:line="360" w:lineRule="auto"/>
              <w:rPr>
                <w:color w:val="auto"/>
                <w:szCs w:val="21"/>
                <w:highlight w:val="none"/>
              </w:rPr>
            </w:pP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12</w:t>
            </w:r>
            <w:r>
              <w:rPr>
                <w:rFonts w:hint="eastAsia"/>
                <w:color w:val="auto"/>
                <w:szCs w:val="21"/>
                <w:highlight w:val="none"/>
              </w:rPr>
              <w:t>月3</w:t>
            </w:r>
            <w:r>
              <w:rPr>
                <w:rFonts w:hint="eastAsia"/>
                <w:color w:val="auto"/>
                <w:szCs w:val="21"/>
                <w:highlight w:val="none"/>
                <w:lang w:val="en-US" w:eastAsia="zh-CN"/>
              </w:rPr>
              <w:t>1</w:t>
            </w:r>
            <w:r>
              <w:rPr>
                <w:rFonts w:hint="eastAsia"/>
                <w:color w:val="auto"/>
                <w:szCs w:val="21"/>
                <w:highlight w:val="none"/>
              </w:rPr>
              <w:t>日前完成</w:t>
            </w:r>
            <w:r>
              <w:rPr>
                <w:rFonts w:hint="eastAsia"/>
                <w:color w:val="auto"/>
                <w:szCs w:val="21"/>
                <w:highlight w:val="none"/>
                <w:lang w:val="en-US" w:eastAsia="zh-CN"/>
              </w:rPr>
              <w:t>各项成果编制、开展宣传活动、专家评审等</w:t>
            </w:r>
            <w:r>
              <w:rPr>
                <w:rFonts w:hint="eastAsia"/>
                <w:color w:val="auto"/>
                <w:szCs w:val="21"/>
                <w:highlight w:val="none"/>
              </w:rPr>
              <w:t>所有任务</w:t>
            </w:r>
            <w:r>
              <w:rPr>
                <w:rFonts w:hint="eastAsia"/>
                <w:color w:val="auto"/>
                <w:szCs w:val="21"/>
                <w:highlight w:val="none"/>
                <w:lang w:eastAsia="zh-CN"/>
              </w:rPr>
              <w:t>。</w:t>
            </w:r>
          </w:p>
        </w:tc>
      </w:tr>
      <w:tr w14:paraId="167B9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52066466">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付款条件</w:t>
            </w:r>
          </w:p>
        </w:tc>
        <w:tc>
          <w:tcPr>
            <w:tcW w:w="7635" w:type="dxa"/>
            <w:gridSpan w:val="4"/>
            <w:tcBorders>
              <w:top w:val="single" w:color="auto" w:sz="4" w:space="0"/>
              <w:left w:val="single" w:color="auto" w:sz="4" w:space="0"/>
              <w:bottom w:val="single" w:color="auto" w:sz="4" w:space="0"/>
              <w:right w:val="single" w:color="auto" w:sz="4" w:space="0"/>
            </w:tcBorders>
            <w:vAlign w:val="center"/>
          </w:tcPr>
          <w:p w14:paraId="68A06E6E">
            <w:pPr>
              <w:widowControl/>
              <w:adjustRightInd/>
              <w:spacing w:line="460" w:lineRule="exact"/>
              <w:jc w:val="left"/>
              <w:textAlignment w:val="auto"/>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1</w:t>
            </w:r>
            <w:r>
              <w:rPr>
                <w:rFonts w:hint="eastAsia" w:ascii="宋体" w:hAnsi="宋体" w:cs="宋体"/>
                <w:bCs/>
                <w:color w:val="auto"/>
                <w:szCs w:val="21"/>
                <w:highlight w:val="none"/>
                <w:lang w:val="en-US" w:eastAsia="zh-CN"/>
              </w:rPr>
              <w:t>.</w:t>
            </w:r>
            <w:r>
              <w:rPr>
                <w:rFonts w:hint="default" w:ascii="宋体" w:hAnsi="宋体" w:cs="宋体"/>
                <w:bCs/>
                <w:color w:val="auto"/>
                <w:szCs w:val="21"/>
                <w:highlight w:val="none"/>
                <w:lang w:val="en-US" w:eastAsia="zh-CN"/>
              </w:rPr>
              <w:t>由采购人分期支付成交供应商。具体支付方式和时间按以下原则双方商定：</w:t>
            </w:r>
          </w:p>
          <w:p w14:paraId="1C8C1AFE">
            <w:pPr>
              <w:widowControl/>
              <w:adjustRightInd/>
              <w:spacing w:line="460" w:lineRule="exact"/>
              <w:jc w:val="left"/>
              <w:textAlignment w:val="auto"/>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（1）正式签订合同后，采购人支付合同总价的30%给成交供应商。</w:t>
            </w:r>
          </w:p>
          <w:p w14:paraId="2D66D05C">
            <w:pPr>
              <w:widowControl/>
              <w:adjustRightInd/>
              <w:spacing w:line="460" w:lineRule="exact"/>
              <w:jc w:val="left"/>
              <w:textAlignment w:val="auto"/>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（2）成交供应商按合同要求完成项目研究，组织专家验收合格并</w:t>
            </w:r>
            <w:r>
              <w:rPr>
                <w:rFonts w:hint="eastAsia" w:ascii="宋体" w:hAnsi="宋体" w:cs="宋体"/>
                <w:bCs/>
                <w:color w:val="auto"/>
                <w:szCs w:val="21"/>
                <w:highlight w:val="none"/>
                <w:lang w:val="en-US" w:eastAsia="zh-CN"/>
              </w:rPr>
              <w:t>修改完善</w:t>
            </w:r>
            <w:r>
              <w:rPr>
                <w:rFonts w:hint="default" w:ascii="宋体" w:hAnsi="宋体" w:cs="宋体"/>
                <w:bCs/>
                <w:color w:val="auto"/>
                <w:szCs w:val="21"/>
                <w:highlight w:val="none"/>
                <w:lang w:val="en-US" w:eastAsia="zh-CN"/>
              </w:rPr>
              <w:t>后，采购人支付合同总价的</w:t>
            </w:r>
            <w:r>
              <w:rPr>
                <w:rFonts w:hint="eastAsia" w:ascii="宋体" w:hAnsi="宋体" w:cs="宋体"/>
                <w:bCs/>
                <w:color w:val="auto"/>
                <w:szCs w:val="21"/>
                <w:highlight w:val="none"/>
                <w:lang w:val="en-US" w:eastAsia="zh-CN"/>
              </w:rPr>
              <w:t>7</w:t>
            </w:r>
            <w:r>
              <w:rPr>
                <w:rFonts w:hint="default" w:ascii="宋体" w:hAnsi="宋体" w:cs="宋体"/>
                <w:bCs/>
                <w:color w:val="auto"/>
                <w:szCs w:val="21"/>
                <w:highlight w:val="none"/>
                <w:lang w:val="en-US" w:eastAsia="zh-CN"/>
              </w:rPr>
              <w:t>0%给成交供应商。</w:t>
            </w:r>
          </w:p>
          <w:p w14:paraId="19E1A513">
            <w:pPr>
              <w:widowControl/>
              <w:adjustRightInd/>
              <w:spacing w:line="460" w:lineRule="exact"/>
              <w:jc w:val="left"/>
              <w:textAlignment w:val="auto"/>
              <w:rPr>
                <w:rFonts w:ascii="宋体" w:hAnsi="宋体" w:cs="宋体"/>
                <w:bCs/>
                <w:color w:val="auto"/>
                <w:szCs w:val="21"/>
                <w:highlight w:val="none"/>
              </w:rPr>
            </w:pPr>
            <w:r>
              <w:rPr>
                <w:rFonts w:hint="default" w:ascii="宋体" w:hAnsi="宋体" w:cs="宋体"/>
                <w:bCs/>
                <w:color w:val="auto"/>
                <w:szCs w:val="21"/>
                <w:highlight w:val="none"/>
                <w:lang w:val="en-US" w:eastAsia="zh-CN"/>
              </w:rPr>
              <w:t>2</w:t>
            </w:r>
            <w:r>
              <w:rPr>
                <w:rFonts w:hint="eastAsia" w:ascii="宋体" w:hAnsi="宋体" w:cs="宋体"/>
                <w:bCs/>
                <w:color w:val="auto"/>
                <w:szCs w:val="21"/>
                <w:highlight w:val="none"/>
                <w:lang w:val="en-US" w:eastAsia="zh-CN"/>
              </w:rPr>
              <w:t>.</w:t>
            </w:r>
            <w:r>
              <w:rPr>
                <w:rFonts w:hint="default" w:ascii="宋体" w:hAnsi="宋体" w:cs="宋体"/>
                <w:bCs/>
                <w:color w:val="auto"/>
                <w:szCs w:val="21"/>
                <w:highlight w:val="none"/>
                <w:lang w:val="en-US" w:eastAsia="zh-CN"/>
              </w:rPr>
              <w:t>每次申请支付款项前，成交供应商必须向采购人提供与支付金额相符的有效发票等请款材料。</w:t>
            </w:r>
          </w:p>
        </w:tc>
      </w:tr>
      <w:tr w14:paraId="6B102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172B525F">
            <w:pPr>
              <w:spacing w:line="360" w:lineRule="auto"/>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服务</w:t>
            </w:r>
            <w:r>
              <w:rPr>
                <w:rFonts w:hint="eastAsia" w:ascii="宋体" w:hAnsi="宋体" w:cs="宋体"/>
                <w:b/>
                <w:bCs/>
                <w:color w:val="auto"/>
                <w:szCs w:val="21"/>
                <w:highlight w:val="none"/>
                <w:lang w:eastAsia="zh-CN"/>
              </w:rPr>
              <w:t>要求</w:t>
            </w:r>
          </w:p>
        </w:tc>
        <w:tc>
          <w:tcPr>
            <w:tcW w:w="7635" w:type="dxa"/>
            <w:gridSpan w:val="4"/>
            <w:tcBorders>
              <w:top w:val="single" w:color="auto" w:sz="4" w:space="0"/>
              <w:left w:val="single" w:color="auto" w:sz="4" w:space="0"/>
              <w:bottom w:val="single" w:color="auto" w:sz="4" w:space="0"/>
              <w:right w:val="single" w:color="auto" w:sz="4" w:space="0"/>
            </w:tcBorders>
            <w:vAlign w:val="center"/>
          </w:tcPr>
          <w:p w14:paraId="18C3FE6D">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1、项目组采取项目负责人负责制，设立专人跟踪项目进展，并定时组织协调会，能够全面、及时并迅速掌握项目实施过程中的各个关键节点及存在的问题，确保各项任务按照时间进度保质保量完成。</w:t>
            </w:r>
          </w:p>
          <w:p w14:paraId="694A4C67">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根据项目任务，编制项目实施方案，制定实施进度计划；严格按照计划组织项目实施，抓好项目实施过程中的关键工作和关键节点；定期根据计划执行情况，对项目实施进度计划进行调整；在项目实施过程中不断优化项目实施计划，确保按期按质完成。</w:t>
            </w:r>
          </w:p>
          <w:p w14:paraId="0D53489E">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3、成交人提交成果文件后，应提供相应的技术支持服务，直至项目验收工作完成。</w:t>
            </w:r>
          </w:p>
          <w:p w14:paraId="3F658084">
            <w:pPr>
              <w:widowControl/>
              <w:adjustRightInd/>
              <w:spacing w:line="460" w:lineRule="exact"/>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处理问题响应时间：接到采购人处理问题通知后在≤1小时内响应，在≤12小时内到达采购人指定现场，并采取实质性响应措施，到达现场后必须在≤24小时内解决问题向采购人提交正式书面可行的解决方案，并在采购人指定的时间和地点对方案进行解释说明。</w:t>
            </w:r>
          </w:p>
          <w:p w14:paraId="1044E83F">
            <w:pPr>
              <w:widowControl/>
              <w:adjustRightInd/>
              <w:spacing w:line="46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bCs/>
                <w:color w:val="auto"/>
                <w:szCs w:val="21"/>
                <w:highlight w:val="none"/>
                <w:lang w:val="en-US" w:eastAsia="zh-CN"/>
              </w:rPr>
              <w:t>5、供应商的专业技术队伍应具备的条件：①具有健全的技术和质量管理制度；②技术人员数量有保障，配备各专业人员、技术水平过硬；③设施设备完善。</w:t>
            </w:r>
          </w:p>
        </w:tc>
      </w:tr>
      <w:tr w14:paraId="35389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32861DC4">
            <w:pPr>
              <w:widowControl/>
              <w:spacing w:line="380" w:lineRule="exact"/>
              <w:jc w:val="center"/>
              <w:textAlignment w:val="center"/>
              <w:rPr>
                <w:rFonts w:ascii="宋体" w:hAnsi="宋体" w:cs="宋体"/>
                <w:b/>
                <w:bCs/>
                <w:color w:val="auto"/>
                <w:szCs w:val="21"/>
                <w:highlight w:val="none"/>
              </w:rPr>
            </w:pPr>
            <w:r>
              <w:rPr>
                <w:rFonts w:hint="eastAsia" w:ascii="宋体" w:hAnsi="宋体" w:eastAsia="宋体" w:cs="宋体"/>
                <w:b/>
                <w:bCs/>
                <w:color w:val="auto"/>
                <w:szCs w:val="21"/>
                <w:highlight w:val="none"/>
              </w:rPr>
              <w:t>验收标准、验收方法及方案</w:t>
            </w:r>
          </w:p>
        </w:tc>
        <w:tc>
          <w:tcPr>
            <w:tcW w:w="7635" w:type="dxa"/>
            <w:gridSpan w:val="4"/>
            <w:tcBorders>
              <w:top w:val="single" w:color="auto" w:sz="4" w:space="0"/>
              <w:left w:val="single" w:color="auto" w:sz="4" w:space="0"/>
              <w:bottom w:val="single" w:color="auto" w:sz="4" w:space="0"/>
              <w:right w:val="single" w:color="auto" w:sz="4" w:space="0"/>
            </w:tcBorders>
            <w:vAlign w:val="center"/>
          </w:tcPr>
          <w:p w14:paraId="57708CDF">
            <w:pPr>
              <w:widowControl/>
              <w:adjustRightInd w:val="0"/>
              <w:spacing w:line="400" w:lineRule="exact"/>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1、验收标准：符合国家标准、行业标准、地方标准或者其他标准、规范。</w:t>
            </w:r>
          </w:p>
          <w:p w14:paraId="2C835E22">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项目验收：</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必须严格按国家、行业和地方现行的质量标准及规范组织验收，并保证服务范围内的编制质量达到采购要求标准及规范规定的质量合格标准。由</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提交项目验收申请，项目验收由采购人、相关单位、</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共同参加。</w:t>
            </w:r>
          </w:p>
          <w:p w14:paraId="7AC6A034">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olor w:val="auto"/>
                <w:szCs w:val="21"/>
                <w:highlight w:val="none"/>
              </w:rPr>
              <w:t>由采购人组织评审验收，验收不通过的事项，</w:t>
            </w:r>
            <w:r>
              <w:rPr>
                <w:rFonts w:hint="eastAsia" w:ascii="宋体" w:hAnsi="宋体" w:eastAsia="宋体" w:cs="宋体"/>
                <w:color w:val="auto"/>
                <w:szCs w:val="21"/>
                <w:highlight w:val="none"/>
                <w:lang w:eastAsia="zh-CN"/>
              </w:rPr>
              <w:t>成交人</w:t>
            </w:r>
            <w:r>
              <w:rPr>
                <w:rFonts w:hint="eastAsia" w:ascii="宋体" w:hAnsi="宋体"/>
                <w:color w:val="auto"/>
                <w:szCs w:val="21"/>
                <w:highlight w:val="none"/>
              </w:rPr>
              <w:t>须在采购人指定的时限内完成。遇特殊情况的，可由双方依据客观事实商议完成时限</w:t>
            </w:r>
            <w:r>
              <w:rPr>
                <w:rFonts w:hint="eastAsia" w:ascii="宋体" w:hAnsi="宋体" w:eastAsia="宋体" w:cs="宋体"/>
                <w:color w:val="auto"/>
                <w:szCs w:val="21"/>
                <w:highlight w:val="none"/>
              </w:rPr>
              <w:t>。</w:t>
            </w:r>
          </w:p>
          <w:p w14:paraId="6B0B1E79">
            <w:pPr>
              <w:widowControl/>
              <w:adjustRightInd w:val="0"/>
              <w:spacing w:line="400" w:lineRule="exact"/>
              <w:ind w:firstLine="420" w:firstLineChars="200"/>
              <w:jc w:val="left"/>
              <w:textAlignment w:val="center"/>
              <w:rPr>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、其他未尽事宜应严格按照《关于印发广西壮族自治区政府采购项目履约验收管理办法的通知》[桂财采〔2015〕22 号]以及《财政部关于进一步加强政府采购需求和履约验收管理的指导意见》[财库〔2016〕205 号]规定执行。</w:t>
            </w:r>
          </w:p>
        </w:tc>
      </w:tr>
      <w:tr w14:paraId="677D4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3D1C4558">
            <w:pPr>
              <w:widowControl/>
              <w:spacing w:line="380" w:lineRule="exact"/>
              <w:jc w:val="center"/>
              <w:textAlignment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其他要求</w:t>
            </w:r>
          </w:p>
        </w:tc>
        <w:tc>
          <w:tcPr>
            <w:tcW w:w="7635" w:type="dxa"/>
            <w:gridSpan w:val="4"/>
            <w:tcBorders>
              <w:top w:val="single" w:color="auto" w:sz="4" w:space="0"/>
              <w:left w:val="single" w:color="auto" w:sz="4" w:space="0"/>
              <w:bottom w:val="single" w:color="auto" w:sz="4" w:space="0"/>
              <w:right w:val="single" w:color="auto" w:sz="4" w:space="0"/>
            </w:tcBorders>
            <w:vAlign w:val="center"/>
          </w:tcPr>
          <w:p w14:paraId="7B99A09A">
            <w:pPr>
              <w:widowControl/>
              <w:adjustRightInd/>
              <w:spacing w:line="460" w:lineRule="exact"/>
              <w:ind w:firstLine="420" w:firstLineChars="200"/>
              <w:jc w:val="lef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r>
              <w:rPr>
                <w:rFonts w:hint="eastAsia" w:ascii="宋体" w:hAnsi="宋体" w:eastAsia="宋体" w:cs="宋体"/>
                <w:color w:val="auto"/>
                <w:szCs w:val="21"/>
                <w:highlight w:val="none"/>
              </w:rPr>
              <w:t>、</w:t>
            </w:r>
            <w:r>
              <w:rPr>
                <w:rFonts w:hint="default" w:ascii="宋体" w:hAnsi="宋体" w:eastAsia="宋体" w:cs="宋体"/>
                <w:bCs/>
                <w:color w:val="auto"/>
                <w:szCs w:val="21"/>
                <w:highlight w:val="none"/>
                <w:lang w:val="en-US" w:eastAsia="zh-CN"/>
              </w:rPr>
              <w:t>本项目需要采用区域水环境污染源精准溯源与解析技术，结合地表水三维荧光光谱，利用多元统计学（聚类分析、PMF受体模型等）方法，建立排水指纹信息数据库，得到重点区域的主要污染来源。在此基础上，利用三维荧光光谱解析方法计算各工业源、生活源及养殖业等污染源贡献率，实现精准溯源。</w:t>
            </w:r>
          </w:p>
          <w:p w14:paraId="626CA6B5">
            <w:pPr>
              <w:widowControl/>
              <w:adjustRightInd/>
              <w:spacing w:line="460" w:lineRule="exact"/>
              <w:ind w:firstLine="420" w:firstLineChars="200"/>
              <w:jc w:val="left"/>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2、本项目为服务采购，不涉及货物，不执行政府采购中实施本国产品标准及相关政策通知的规定。</w:t>
            </w:r>
          </w:p>
        </w:tc>
      </w:tr>
    </w:tbl>
    <w:p w14:paraId="144B8EBF">
      <w:pPr>
        <w:spacing w:line="360" w:lineRule="exact"/>
        <w:ind w:right="2" w:rightChars="1"/>
        <w:rPr>
          <w:rFonts w:hint="eastAsia" w:ascii="宋体" w:hAnsi="宋体" w:cs="宋体"/>
          <w:b/>
          <w:bCs/>
          <w:color w:val="auto"/>
          <w:highlight w:val="none"/>
        </w:rPr>
      </w:pPr>
    </w:p>
    <w:p w14:paraId="62B99207">
      <w:pPr>
        <w:spacing w:line="360" w:lineRule="exact"/>
        <w:ind w:right="2" w:rightChars="1"/>
        <w:rPr>
          <w:rFonts w:hint="eastAsia" w:ascii="宋体" w:hAnsi="宋体" w:cs="宋体"/>
          <w:b/>
          <w:bCs/>
          <w:color w:val="auto"/>
          <w:highlight w:val="none"/>
        </w:rPr>
      </w:pPr>
    </w:p>
    <w:p w14:paraId="23BE8963">
      <w:pPr>
        <w:rPr>
          <w:rFonts w:hint="default" w:ascii="宋体" w:hAnsi="宋体" w:cs="宋体"/>
          <w:b/>
          <w:bCs/>
          <w:color w:val="auto"/>
          <w:highlight w:val="none"/>
          <w:lang w:val="en-US" w:eastAsia="zh-CN"/>
        </w:rPr>
      </w:pPr>
      <w:r>
        <w:rPr>
          <w:rFonts w:hint="eastAsia" w:ascii="宋体" w:hAnsi="宋体" w:cs="宋体"/>
          <w:b/>
          <w:bCs/>
          <w:color w:val="auto"/>
          <w:highlight w:val="none"/>
        </w:rPr>
        <w:br w:type="page"/>
      </w:r>
    </w:p>
    <w:p w14:paraId="79F144F1">
      <w:pPr>
        <w:pStyle w:val="4"/>
        <w:bidi w:val="0"/>
        <w:rPr>
          <w:color w:val="auto"/>
          <w:highlight w:val="none"/>
        </w:rPr>
      </w:pPr>
      <w:r>
        <w:rPr>
          <w:rFonts w:hint="eastAsia"/>
          <w:color w:val="auto"/>
          <w:highlight w:val="none"/>
          <w:lang w:val="en-US" w:eastAsia="zh-CN"/>
        </w:rPr>
        <w:t>第四章  评审程序、评审方法和评审标准</w:t>
      </w:r>
      <w:bookmarkEnd w:id="39"/>
    </w:p>
    <w:p w14:paraId="5988E61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78FEF248">
      <w:pPr>
        <w:spacing w:line="360" w:lineRule="auto"/>
        <w:ind w:firstLine="482" w:firstLineChars="200"/>
        <w:rPr>
          <w:rFonts w:ascii="宋体" w:hAnsi="宋体" w:cs="宋体"/>
          <w:b/>
          <w:bCs/>
          <w:color w:val="auto"/>
          <w:sz w:val="24"/>
          <w:highlight w:val="none"/>
        </w:rPr>
      </w:pPr>
    </w:p>
    <w:p w14:paraId="0AF688F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4E317BB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07D56FC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highlight w:val="none"/>
        </w:rPr>
        <w:t>www.ccgp.gov.cn</w:t>
      </w:r>
      <w:r>
        <w:rPr>
          <w:rFonts w:hint="eastAsia" w:ascii="宋体" w:hAnsi="宋体" w:cs="宋体"/>
          <w:color w:val="auto"/>
          <w:highlight w:val="none"/>
        </w:rPr>
        <w:fldChar w:fldCharType="end"/>
      </w:r>
      <w:r>
        <w:rPr>
          <w:rFonts w:hint="eastAsia" w:ascii="宋体" w:hAnsi="宋体" w:cs="宋体"/>
          <w:color w:val="auto"/>
          <w:szCs w:val="21"/>
          <w:highlight w:val="none"/>
        </w:rPr>
        <w:t>）</w:t>
      </w:r>
    </w:p>
    <w:p w14:paraId="06986EA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2CA494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（3）查询记录和证据留存方式：通过广西政府采购云平台链接到相关查询网站进行查询及记录。</w:t>
      </w:r>
    </w:p>
    <w:p w14:paraId="0B0C18D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DC8BE2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7D8A47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325075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12C3A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29E987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3E0F48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3DD716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60A83B1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448AE68E">
      <w:pPr>
        <w:spacing w:line="360" w:lineRule="auto"/>
        <w:ind w:firstLine="420" w:firstLineChars="200"/>
        <w:rPr>
          <w:rFonts w:ascii="宋体" w:hAnsi="宋体" w:cs="宋体"/>
          <w:color w:val="auto"/>
          <w:szCs w:val="21"/>
          <w:highlight w:val="none"/>
        </w:rPr>
      </w:pPr>
      <w:bookmarkStart w:id="40" w:name="_Hlk42528882"/>
      <w:r>
        <w:rPr>
          <w:rFonts w:hint="eastAsia" w:ascii="宋体" w:hAnsi="宋体" w:cs="宋体"/>
          <w:color w:val="auto"/>
          <w:szCs w:val="21"/>
          <w:highlight w:val="none"/>
        </w:rPr>
        <w:t>2.1由磋商小组对资格审查的合格供应商的响应文件的竞标报价、商务、技术等实质性要求进行符合性审查，以确定其是否满足磋商文件的实质性要求。</w:t>
      </w:r>
    </w:p>
    <w:bookmarkEnd w:id="40"/>
    <w:p w14:paraId="445D21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C34CC0">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Cs w:val="21"/>
          <w:highlight w:val="none"/>
        </w:rPr>
        <w:t>。供应商为自然人的，必须由本人签字并附身份证明。</w:t>
      </w:r>
    </w:p>
    <w:p w14:paraId="6C354D5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44286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D3046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53C53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70065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DB5BA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BEAF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1E65F6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733A4E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17F350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063DA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46D06B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1A34BD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0124F3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411077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0BF0A3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588093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14929C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6B68EC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5B1B90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11）技术要求中标“▲”的条款发生负偏离或允许负偏离的条款数超过“供应商须知前附表”规定项数的；</w:t>
      </w:r>
    </w:p>
    <w:p w14:paraId="2C8FBA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2EDD75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41"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41"/>
    </w:p>
    <w:p w14:paraId="74115B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2030BC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15）竞争性磋商文件明确不允许分包，响应文件拟分包的；</w:t>
      </w:r>
    </w:p>
    <w:p w14:paraId="35D80A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16）未响应磋商文件实质性要求；</w:t>
      </w:r>
    </w:p>
    <w:p w14:paraId="57A11D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0F3D45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2DB8A3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报价商务技术文件中规定的“竞标报价表”；</w:t>
      </w:r>
    </w:p>
    <w:p w14:paraId="7FAF4C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210F5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8462F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42" w:name="_Hlk42596405"/>
      <w:r>
        <w:rPr>
          <w:rFonts w:hint="eastAsia" w:ascii="宋体" w:hAnsi="宋体" w:cs="宋体"/>
          <w:color w:val="auto"/>
          <w:szCs w:val="21"/>
          <w:highlight w:val="none"/>
        </w:rPr>
        <w:t xml:space="preserve"> </w:t>
      </w:r>
      <w:bookmarkEnd w:id="42"/>
    </w:p>
    <w:p w14:paraId="30C752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381833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6）响应文件响应的标的数量及单位与竞争性磋商文件要求实质性不一致的。</w:t>
      </w:r>
    </w:p>
    <w:p w14:paraId="59E978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3439DB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CF981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0B5137D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DD0CD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22B42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3.3对磋商文件作出的实质性变动是磋商文件的有效组成部分，由磋商小组及时以电子磋商记录形式同时通知所有参加磋商的供应商。</w:t>
      </w:r>
    </w:p>
    <w:p w14:paraId="524D5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34470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6FFFEFD8">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3.6对磋商过程提交的响应文件进行有效性、完整性和响应程度审查，通过审查的合格供应商不足3家的，采购人或者采购代理机构应当重新开展采购活动。</w:t>
      </w:r>
    </w:p>
    <w:p w14:paraId="2E4795CC">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A0B3170">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48981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以电子文件形式提交最后报价，除本章第2.7、3.7、4.3条外，提交最后报价的供应商不得少于3家，否则必须重新采购。</w:t>
      </w:r>
    </w:p>
    <w:p w14:paraId="6FA900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09360F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本章第3.8条情形的，</w:t>
      </w:r>
      <w:r>
        <w:rPr>
          <w:rFonts w:hint="eastAsia" w:ascii="宋体" w:hAnsi="宋体" w:cs="宋体"/>
          <w:color w:val="auto"/>
          <w:szCs w:val="21"/>
          <w:highlight w:val="none"/>
        </w:rPr>
        <w:t>提交最后报价的供应商可以为2家。</w:t>
      </w:r>
    </w:p>
    <w:p w14:paraId="0F1DB7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F6139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3A08D4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4.6磋商小组收齐某一分标最后报价后或达到规定时间后统一开启，磋商小组对最后报价进行有效性、完整性和响应程度的审查。</w:t>
      </w:r>
    </w:p>
    <w:p w14:paraId="7C1B6F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00BCE8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4.8经供应商确认修正后的最后报价作为评审及签订合同的依据。</w:t>
      </w:r>
    </w:p>
    <w:p w14:paraId="4E7617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4.9供应商出现最后报价按无效响应处理或者响应文件按无效响应处理时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1176A7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4.10最后报价结束后，磋商小组不得再与供应商进行任何形式的商谈。</w:t>
      </w:r>
    </w:p>
    <w:p w14:paraId="0DFF6E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207DAA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59C6CB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17306C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25358B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48A97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E0A59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5.4评标价为供应商的最后报价进行政策性扣除后的价格，评标价只是作为评审时使用。最终成交供应商的成交金额等于最后报价（如有修正，以确认修正后的最后报价为准）。</w:t>
      </w:r>
    </w:p>
    <w:p w14:paraId="1DFA1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5.5</w:t>
      </w:r>
      <w:r>
        <w:rPr>
          <w:rFonts w:hint="eastAsia" w:ascii="宋体" w:hAnsi="宋体" w:cs="宋体"/>
          <w:color w:val="auto"/>
          <w:szCs w:val="21"/>
          <w:highlight w:val="none"/>
        </w:rPr>
        <w:t>异常低价响应审查</w:t>
      </w:r>
    </w:p>
    <w:p w14:paraId="667172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（1）磋商小组在评审中发现下列情形之一的，应当启动异常低价响应审查程序：</w:t>
      </w:r>
    </w:p>
    <w:p w14:paraId="6FC5BA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①响应报价低于全部通过符合性审查供应商响应报价平均值50% 的，即响应报价＜全部通过符合性审查供应商响应报价平均值× 50% ； </w:t>
      </w:r>
    </w:p>
    <w:p w14:paraId="06A58C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②响应报价低于通过符合性审查的次低报价供应商响应报价 50%的，即响应报价＜通过符合性审查的次低报价供应商响应报价× 50% ； </w:t>
      </w:r>
    </w:p>
    <w:p w14:paraId="7E755A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③响应报价低于采购项目最高限价 45% 的，即响应报价＜采购项目最高限价× 45% ； </w:t>
      </w:r>
    </w:p>
    <w:p w14:paraId="1FE881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2009FF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35D9A0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2F3588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B8740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7725938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w:t>
      </w:r>
      <w:r>
        <w:rPr>
          <w:rFonts w:hint="eastAsia" w:ascii="宋体" w:hAnsi="宋体" w:cs="宋体"/>
          <w:color w:val="auto"/>
          <w:szCs w:val="21"/>
          <w:highlight w:val="none"/>
        </w:rPr>
        <w:t>2.7、3.7、4.3</w:t>
      </w:r>
      <w:r>
        <w:rPr>
          <w:rFonts w:hint="eastAsia" w:ascii="宋体" w:hAnsi="宋体" w:cs="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6195735C">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036D6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68DFBAD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3"/>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068"/>
        <w:gridCol w:w="1092"/>
        <w:gridCol w:w="6852"/>
      </w:tblGrid>
      <w:tr w14:paraId="68F1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70" w:type="dxa"/>
            <w:vAlign w:val="center"/>
          </w:tcPr>
          <w:p w14:paraId="296FBF4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160" w:type="dxa"/>
            <w:gridSpan w:val="2"/>
            <w:vAlign w:val="center"/>
          </w:tcPr>
          <w:p w14:paraId="4652062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6852" w:type="dxa"/>
            <w:vAlign w:val="center"/>
          </w:tcPr>
          <w:p w14:paraId="6A25EBA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3BE5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8FDB2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160" w:type="dxa"/>
            <w:gridSpan w:val="2"/>
            <w:vAlign w:val="center"/>
          </w:tcPr>
          <w:p w14:paraId="78A620A1">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价格分（满分</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c>
          <w:tcPr>
            <w:tcW w:w="6852" w:type="dxa"/>
            <w:vAlign w:val="center"/>
          </w:tcPr>
          <w:p w14:paraId="67070398">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1、政府采购政策扣除</w:t>
            </w:r>
          </w:p>
          <w:p w14:paraId="768B7AAC">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根据《政府采购促进中小企业发展管理办法》的规定和桂财采〔2022〕31号 广西壮族自治区财政厅关于贯彻落实政府采购支持中小企业发展政策的通知，投标产品制造商全部属于《政府采购促进中小企业发展管理办法》规定的小微企业的，对投标报价给予20%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用扣除后的价格参加评审。符合上述规定对报价给予扣除的，扣除后的价格为评标价，即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价=</w:t>
            </w:r>
            <w:r>
              <w:rPr>
                <w:rFonts w:hint="eastAsia" w:ascii="宋体" w:hAnsi="宋体" w:eastAsia="宋体" w:cs="宋体"/>
                <w:color w:val="auto"/>
                <w:highlight w:val="none"/>
              </w:rPr>
              <w:t>供应商的</w:t>
            </w:r>
            <w:r>
              <w:rPr>
                <w:rFonts w:hint="eastAsia" w:ascii="宋体" w:hAnsi="宋体" w:eastAsia="宋体" w:cs="宋体"/>
                <w:color w:val="auto"/>
                <w:highlight w:val="none"/>
                <w:lang w:val="en-US" w:eastAsia="zh-CN"/>
              </w:rPr>
              <w:t>最终</w:t>
            </w: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×（1–扣除比例）；不符合上述给予扣除情形的，评</w:t>
            </w:r>
            <w:r>
              <w:rPr>
                <w:rFonts w:hint="eastAsia" w:ascii="宋体" w:hAnsi="宋体" w:cs="宋体"/>
                <w:color w:val="auto"/>
                <w:highlight w:val="none"/>
                <w:lang w:val="en-US" w:eastAsia="zh-CN"/>
              </w:rPr>
              <w:t>审</w:t>
            </w:r>
            <w:r>
              <w:rPr>
                <w:rFonts w:hint="eastAsia" w:ascii="宋体" w:hAnsi="宋体" w:eastAsia="宋体" w:cs="宋体"/>
                <w:color w:val="auto"/>
                <w:highlight w:val="none"/>
                <w:lang w:val="en-US" w:eastAsia="zh-CN"/>
              </w:rPr>
              <w:t>价=</w:t>
            </w:r>
            <w:r>
              <w:rPr>
                <w:rFonts w:hint="eastAsia" w:ascii="宋体" w:hAnsi="宋体" w:eastAsia="宋体" w:cs="宋体"/>
                <w:color w:val="auto"/>
                <w:highlight w:val="none"/>
              </w:rPr>
              <w:t>供应商的</w:t>
            </w:r>
            <w:r>
              <w:rPr>
                <w:rFonts w:hint="eastAsia" w:ascii="宋体" w:hAnsi="宋体" w:eastAsia="宋体" w:cs="宋体"/>
                <w:color w:val="auto"/>
                <w:highlight w:val="none"/>
                <w:lang w:val="en-US" w:eastAsia="zh-CN"/>
              </w:rPr>
              <w:t>最终</w:t>
            </w: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w:t>
            </w:r>
          </w:p>
          <w:p w14:paraId="394966B7">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FC16FB8">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2C4A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、报价分采用低价优先法计算，满足磋商文件要求且最后报价最低的有效供应商的报价为评标基准价，其报价分为满分。</w:t>
            </w:r>
          </w:p>
          <w:p w14:paraId="399EB6D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、其他供应商的价格分统一按照下列公式计算：</w:t>
            </w:r>
          </w:p>
          <w:p w14:paraId="3AAC4F18">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某有效供应商的报价分=（评标基准价／某有效供应商最后报价）×</w:t>
            </w:r>
            <w:r>
              <w:rPr>
                <w:rFonts w:hint="eastAsia" w:ascii="宋体" w:hAnsi="宋体" w:cs="宋体"/>
                <w:color w:val="auto"/>
                <w:highlight w:val="none"/>
                <w:lang w:val="en-US" w:eastAsia="zh-CN"/>
              </w:rPr>
              <w:t>30</w:t>
            </w:r>
            <w:r>
              <w:rPr>
                <w:rFonts w:hint="eastAsia" w:ascii="宋体" w:hAnsi="宋体" w:eastAsia="宋体" w:cs="宋体"/>
                <w:color w:val="auto"/>
                <w:highlight w:val="none"/>
              </w:rPr>
              <w:t>分</w:t>
            </w:r>
          </w:p>
        </w:tc>
      </w:tr>
      <w:tr w14:paraId="3C76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restart"/>
            <w:vAlign w:val="center"/>
          </w:tcPr>
          <w:p w14:paraId="5776C6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068" w:type="dxa"/>
            <w:vMerge w:val="restart"/>
            <w:vAlign w:val="center"/>
          </w:tcPr>
          <w:p w14:paraId="06C586E9">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技术方案（满分</w:t>
            </w:r>
            <w:r>
              <w:rPr>
                <w:rFonts w:hint="eastAsia" w:ascii="宋体" w:hAnsi="宋体" w:cs="宋体"/>
                <w:b/>
                <w:bCs/>
                <w:color w:val="auto"/>
                <w:szCs w:val="21"/>
                <w:highlight w:val="none"/>
                <w:lang w:val="en-US" w:eastAsia="zh-CN"/>
              </w:rPr>
              <w:t>60</w:t>
            </w:r>
            <w:r>
              <w:rPr>
                <w:rFonts w:hint="eastAsia" w:ascii="宋体" w:hAnsi="宋体" w:cs="宋体"/>
                <w:b/>
                <w:bCs/>
                <w:color w:val="auto"/>
                <w:szCs w:val="21"/>
                <w:highlight w:val="none"/>
              </w:rPr>
              <w:t>分）</w:t>
            </w:r>
          </w:p>
        </w:tc>
        <w:tc>
          <w:tcPr>
            <w:tcW w:w="1092" w:type="dxa"/>
            <w:vAlign w:val="center"/>
          </w:tcPr>
          <w:p w14:paraId="2842E23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技术服务方案（满分</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c>
          <w:tcPr>
            <w:tcW w:w="6852" w:type="dxa"/>
            <w:shd w:val="clear" w:color="auto" w:fill="auto"/>
            <w:vAlign w:val="center"/>
          </w:tcPr>
          <w:p w14:paraId="3C9CB6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由磋商小组在打分前根据各供应商提供的技术服务方案独立评定各供应商所属档次及分值</w:t>
            </w:r>
            <w:r>
              <w:rPr>
                <w:rFonts w:hint="eastAsia" w:ascii="宋体" w:hAnsi="宋体" w:eastAsia="宋体" w:cs="宋体"/>
                <w:color w:val="auto"/>
                <w:highlight w:val="none"/>
              </w:rPr>
              <w:t>，达不到一档要求的不得分。</w:t>
            </w:r>
          </w:p>
          <w:p w14:paraId="0518FD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8</w:t>
            </w:r>
            <w:r>
              <w:rPr>
                <w:rFonts w:hint="eastAsia" w:ascii="宋体" w:hAnsi="宋体" w:eastAsia="宋体" w:cs="宋体"/>
                <w:color w:val="auto"/>
                <w:highlight w:val="none"/>
              </w:rPr>
              <w:t>分）：技术服务方案不全面，技术服务思路不清晰；</w:t>
            </w:r>
            <w:r>
              <w:rPr>
                <w:rFonts w:hint="eastAsia" w:ascii="宋体" w:hAnsi="宋体" w:cs="宋体"/>
                <w:color w:val="auto"/>
                <w:highlight w:val="none"/>
                <w:lang w:eastAsia="zh-CN"/>
              </w:rPr>
              <w:t>有</w:t>
            </w:r>
            <w:r>
              <w:rPr>
                <w:rFonts w:hint="eastAsia" w:ascii="宋体" w:hAnsi="宋体" w:eastAsia="宋体" w:cs="宋体"/>
                <w:color w:val="auto"/>
                <w:highlight w:val="none"/>
              </w:rPr>
              <w:t>项目背景、目的和意义分析，现状情况了解与分析，排查的重点、难点分析不全面、具体；无溯源调查方案</w:t>
            </w:r>
            <w:r>
              <w:rPr>
                <w:rFonts w:hint="eastAsia" w:ascii="宋体" w:hAnsi="宋体" w:cs="宋体"/>
                <w:color w:val="auto"/>
                <w:highlight w:val="none"/>
                <w:lang w:eastAsia="zh-CN"/>
              </w:rPr>
              <w:t>，</w:t>
            </w:r>
            <w:r>
              <w:rPr>
                <w:rFonts w:hint="eastAsia" w:ascii="宋体" w:hAnsi="宋体" w:cs="宋体"/>
                <w:color w:val="auto"/>
                <w:highlight w:val="none"/>
              </w:rPr>
              <w:t>无进度计划</w:t>
            </w:r>
            <w:r>
              <w:rPr>
                <w:rFonts w:hint="eastAsia" w:ascii="宋体" w:hAnsi="宋体" w:cs="宋体"/>
                <w:color w:val="auto"/>
                <w:highlight w:val="none"/>
                <w:lang w:eastAsia="zh-CN"/>
              </w:rPr>
              <w:t>、</w:t>
            </w:r>
            <w:r>
              <w:rPr>
                <w:rFonts w:hint="eastAsia" w:ascii="宋体" w:hAnsi="宋体" w:cs="宋体"/>
                <w:color w:val="auto"/>
                <w:highlight w:val="none"/>
              </w:rPr>
              <w:t>进度保证措施和控制措施</w:t>
            </w:r>
            <w:r>
              <w:rPr>
                <w:rFonts w:hint="eastAsia" w:ascii="宋体" w:hAnsi="宋体" w:eastAsia="宋体" w:cs="宋体"/>
                <w:color w:val="auto"/>
                <w:highlight w:val="none"/>
              </w:rPr>
              <w:t>。</w:t>
            </w:r>
          </w:p>
          <w:p w14:paraId="58DB7B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16</w:t>
            </w:r>
            <w:r>
              <w:rPr>
                <w:rFonts w:hint="eastAsia" w:ascii="宋体" w:hAnsi="宋体" w:eastAsia="宋体" w:cs="宋体"/>
                <w:color w:val="auto"/>
                <w:highlight w:val="none"/>
              </w:rPr>
              <w:t>分）：技术服务方案内容全面但不具体、分析不深入，技术服务思路清晰；项目背景、目的和意义分析到位；作业技术依据引用合理；组织机构设置合理；人员和设备投入满足项目要求；排查的重点、难点分析不全面、到位；进度安排满足需求</w:t>
            </w:r>
            <w:r>
              <w:rPr>
                <w:rFonts w:hint="eastAsia" w:ascii="宋体" w:hAnsi="宋体" w:cs="宋体"/>
                <w:color w:val="auto"/>
                <w:highlight w:val="none"/>
                <w:lang w:eastAsia="zh-CN"/>
              </w:rPr>
              <w:t>，</w:t>
            </w:r>
            <w:r>
              <w:rPr>
                <w:rFonts w:hint="eastAsia" w:ascii="宋体" w:hAnsi="宋体" w:cs="宋体"/>
                <w:color w:val="auto"/>
                <w:highlight w:val="none"/>
              </w:rPr>
              <w:t>有进度保证措施</w:t>
            </w:r>
            <w:r>
              <w:rPr>
                <w:rFonts w:hint="eastAsia" w:ascii="宋体" w:hAnsi="宋体" w:cs="宋体"/>
                <w:color w:val="auto"/>
                <w:highlight w:val="none"/>
                <w:lang w:eastAsia="zh-CN"/>
              </w:rPr>
              <w:t>、</w:t>
            </w:r>
            <w:r>
              <w:rPr>
                <w:rFonts w:hint="eastAsia" w:ascii="宋体" w:hAnsi="宋体" w:cs="宋体"/>
                <w:color w:val="auto"/>
                <w:highlight w:val="none"/>
              </w:rPr>
              <w:t>控制措施</w:t>
            </w:r>
            <w:r>
              <w:rPr>
                <w:rFonts w:hint="eastAsia" w:ascii="宋体" w:hAnsi="宋体" w:eastAsia="宋体" w:cs="宋体"/>
                <w:color w:val="auto"/>
                <w:highlight w:val="none"/>
              </w:rPr>
              <w:t>。</w:t>
            </w:r>
          </w:p>
          <w:p w14:paraId="2456BA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24</w:t>
            </w:r>
            <w:r>
              <w:rPr>
                <w:rFonts w:hint="eastAsia" w:ascii="宋体" w:hAnsi="宋体" w:eastAsia="宋体" w:cs="宋体"/>
                <w:color w:val="auto"/>
                <w:highlight w:val="none"/>
              </w:rPr>
              <w:t>分）：技术服务方案内容全面、</w:t>
            </w:r>
            <w:r>
              <w:rPr>
                <w:rFonts w:hint="eastAsia" w:ascii="宋体" w:hAnsi="宋体" w:cs="宋体"/>
                <w:color w:val="auto"/>
                <w:highlight w:val="none"/>
                <w:lang w:eastAsia="zh-CN"/>
              </w:rPr>
              <w:t>详细、</w:t>
            </w:r>
            <w:r>
              <w:rPr>
                <w:rFonts w:hint="eastAsia" w:ascii="宋体" w:hAnsi="宋体" w:eastAsia="宋体" w:cs="宋体"/>
                <w:color w:val="auto"/>
                <w:highlight w:val="none"/>
              </w:rPr>
              <w:t>具体，分析到位。项目背景、目的和意义分析到位；作业技术依据引用合理；技术服务思路清晰；组织机构设置合理；人员投入充足，分工明确；投入设备齐全；现状情况了解，现状问题分析合理，排查的重点、难点分析到位；进度安排</w:t>
            </w:r>
            <w:r>
              <w:rPr>
                <w:rFonts w:hint="eastAsia" w:ascii="宋体" w:hAnsi="宋体" w:cs="宋体"/>
                <w:color w:val="auto"/>
                <w:highlight w:val="none"/>
                <w:lang w:eastAsia="zh-CN"/>
              </w:rPr>
              <w:t>、</w:t>
            </w:r>
            <w:r>
              <w:rPr>
                <w:rFonts w:hint="eastAsia" w:ascii="宋体" w:hAnsi="宋体" w:cs="宋体"/>
                <w:color w:val="auto"/>
                <w:highlight w:val="none"/>
              </w:rPr>
              <w:t>进度保证措施</w:t>
            </w:r>
            <w:r>
              <w:rPr>
                <w:rFonts w:hint="eastAsia" w:ascii="宋体" w:hAnsi="宋体" w:cs="宋体"/>
                <w:color w:val="auto"/>
                <w:highlight w:val="none"/>
                <w:lang w:eastAsia="zh-CN"/>
              </w:rPr>
              <w:t>、</w:t>
            </w:r>
            <w:r>
              <w:rPr>
                <w:rFonts w:hint="eastAsia" w:ascii="宋体" w:hAnsi="宋体" w:cs="宋体"/>
                <w:color w:val="auto"/>
                <w:highlight w:val="none"/>
              </w:rPr>
              <w:t>控制措施</w:t>
            </w:r>
            <w:r>
              <w:rPr>
                <w:rFonts w:hint="eastAsia" w:ascii="宋体" w:hAnsi="宋体" w:eastAsia="宋体" w:cs="宋体"/>
                <w:color w:val="auto"/>
                <w:highlight w:val="none"/>
              </w:rPr>
              <w:t>合理；溯源调查方案可行。</w:t>
            </w:r>
          </w:p>
          <w:p w14:paraId="705567C8">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四档（</w:t>
            </w:r>
            <w:r>
              <w:rPr>
                <w:rFonts w:hint="eastAsia" w:ascii="宋体" w:hAnsi="宋体" w:cs="宋体"/>
                <w:color w:val="auto"/>
                <w:highlight w:val="none"/>
                <w:lang w:val="en-US" w:eastAsia="zh-CN"/>
              </w:rPr>
              <w:t>30</w:t>
            </w:r>
            <w:r>
              <w:rPr>
                <w:rFonts w:hint="eastAsia" w:ascii="宋体" w:hAnsi="宋体" w:eastAsia="宋体" w:cs="宋体"/>
                <w:color w:val="auto"/>
                <w:highlight w:val="none"/>
              </w:rPr>
              <w:t>分）：技术服务方案全面、具体、合理，重点和难点分析到位，技术服务和售后服务有保障，可操作性强。项目背景、目的和意义分析到位；作业技术依据引用合理；技术服务思路清晰；组织机构设置合理；人员投入充足，分工明确；投入设备先进、齐全；现状情况了解全面、现状问题分析合理，排查的重点、难点分析到位；</w:t>
            </w:r>
            <w:r>
              <w:rPr>
                <w:rFonts w:hint="eastAsia" w:ascii="宋体" w:hAnsi="宋体" w:cs="宋体"/>
                <w:color w:val="auto"/>
                <w:highlight w:val="none"/>
              </w:rPr>
              <w:t>进度计划科学合理、安排紧凑，进度保证措施合理、可行，控制措施具体完整</w:t>
            </w:r>
            <w:r>
              <w:rPr>
                <w:rFonts w:hint="eastAsia" w:ascii="宋体" w:hAnsi="宋体" w:cs="宋体"/>
                <w:color w:val="auto"/>
                <w:highlight w:val="none"/>
                <w:lang w:val="en-US" w:eastAsia="zh-CN"/>
              </w:rPr>
              <w:t>有效</w:t>
            </w:r>
            <w:r>
              <w:rPr>
                <w:rFonts w:hint="eastAsia" w:ascii="宋体" w:hAnsi="宋体" w:eastAsia="宋体" w:cs="宋体"/>
                <w:color w:val="auto"/>
                <w:highlight w:val="none"/>
              </w:rPr>
              <w:t>；</w:t>
            </w:r>
            <w:r>
              <w:rPr>
                <w:rFonts w:hint="eastAsia" w:ascii="宋体" w:hAnsi="宋体" w:cs="宋体"/>
                <w:color w:val="auto"/>
                <w:highlight w:val="none"/>
                <w:lang w:eastAsia="zh-CN"/>
              </w:rPr>
              <w:t>能在</w:t>
            </w:r>
            <w:r>
              <w:rPr>
                <w:rFonts w:hint="eastAsia" w:ascii="宋体" w:hAnsi="宋体" w:eastAsia="宋体" w:cs="宋体"/>
                <w:color w:val="auto"/>
                <w:highlight w:val="none"/>
              </w:rPr>
              <w:t>溯源调查方案中以典型溯源事件为例进行具体描述；服务保障方</w:t>
            </w:r>
            <w:r>
              <w:rPr>
                <w:rFonts w:hint="eastAsia" w:ascii="宋体" w:hAnsi="宋体" w:cs="宋体"/>
                <w:color w:val="auto"/>
                <w:highlight w:val="none"/>
              </w:rPr>
              <w:t>措施</w:t>
            </w:r>
            <w:r>
              <w:rPr>
                <w:rFonts w:hint="eastAsia" w:ascii="宋体" w:hAnsi="宋体" w:eastAsia="宋体" w:cs="宋体"/>
                <w:color w:val="auto"/>
                <w:highlight w:val="none"/>
              </w:rPr>
              <w:t>；针对项目需求和特点能够提出合理化建议。</w:t>
            </w:r>
          </w:p>
        </w:tc>
      </w:tr>
      <w:tr w14:paraId="1CA2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vAlign w:val="center"/>
          </w:tcPr>
          <w:p w14:paraId="56AAA04C">
            <w:pPr>
              <w:spacing w:line="360" w:lineRule="auto"/>
              <w:jc w:val="center"/>
              <w:rPr>
                <w:rFonts w:ascii="宋体" w:hAnsi="宋体" w:cs="宋体"/>
                <w:color w:val="auto"/>
                <w:szCs w:val="21"/>
                <w:highlight w:val="none"/>
              </w:rPr>
            </w:pPr>
          </w:p>
        </w:tc>
        <w:tc>
          <w:tcPr>
            <w:tcW w:w="1068" w:type="dxa"/>
            <w:vMerge w:val="continue"/>
            <w:vAlign w:val="center"/>
          </w:tcPr>
          <w:p w14:paraId="3D462828">
            <w:pPr>
              <w:spacing w:line="360" w:lineRule="auto"/>
              <w:jc w:val="center"/>
              <w:rPr>
                <w:rFonts w:ascii="宋体" w:hAnsi="宋体" w:cs="宋体"/>
                <w:b/>
                <w:bCs/>
                <w:color w:val="auto"/>
                <w:szCs w:val="21"/>
                <w:highlight w:val="none"/>
              </w:rPr>
            </w:pPr>
          </w:p>
        </w:tc>
        <w:tc>
          <w:tcPr>
            <w:tcW w:w="1092" w:type="dxa"/>
            <w:vAlign w:val="center"/>
          </w:tcPr>
          <w:p w14:paraId="492415FC">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质量管理和控制、服务承诺方案（满分</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c>
          <w:tcPr>
            <w:tcW w:w="6852" w:type="dxa"/>
            <w:shd w:val="clear" w:color="auto" w:fill="auto"/>
            <w:vAlign w:val="center"/>
          </w:tcPr>
          <w:p w14:paraId="21DF142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lang w:eastAsia="zh-CN"/>
              </w:rPr>
              <w:t>由磋商小组在打分前根据各供应商</w:t>
            </w:r>
            <w:r>
              <w:rPr>
                <w:rFonts w:hint="eastAsia" w:ascii="宋体" w:hAnsi="宋体" w:eastAsia="宋体" w:cs="宋体"/>
                <w:color w:val="auto"/>
                <w:highlight w:val="none"/>
              </w:rPr>
              <w:t>的质量管理和控制、服务承诺方案</w:t>
            </w:r>
            <w:r>
              <w:rPr>
                <w:rFonts w:hint="eastAsia" w:ascii="宋体" w:hAnsi="宋体" w:cs="宋体"/>
                <w:color w:val="auto"/>
                <w:highlight w:val="none"/>
                <w:lang w:eastAsia="zh-CN"/>
              </w:rPr>
              <w:t>独立</w:t>
            </w:r>
            <w:r>
              <w:rPr>
                <w:rFonts w:hint="eastAsia" w:ascii="宋体" w:hAnsi="宋体" w:eastAsia="宋体" w:cs="宋体"/>
                <w:color w:val="auto"/>
                <w:highlight w:val="none"/>
              </w:rPr>
              <w:t>评定各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所属档次及分值，达不到一档要求的不得分。</w:t>
            </w:r>
          </w:p>
          <w:p w14:paraId="291BA8FD">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一档（</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分）：能提供质量管理体系和质量保证措施、进度计划安排，仅承诺服务方案满足采购文件要求的</w:t>
            </w:r>
            <w:r>
              <w:rPr>
                <w:rFonts w:hint="eastAsia" w:ascii="宋体" w:hAnsi="宋体" w:eastAsia="宋体" w:cs="宋体"/>
                <w:color w:val="auto"/>
                <w:kern w:val="0"/>
                <w:szCs w:val="21"/>
                <w:highlight w:val="none"/>
                <w:lang w:eastAsia="zh-CN"/>
              </w:rPr>
              <w:t>。</w:t>
            </w:r>
          </w:p>
          <w:p w14:paraId="7CC1106E">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二档（</w:t>
            </w:r>
            <w:r>
              <w:rPr>
                <w:rFonts w:hint="eastAsia" w:ascii="宋体" w:hAnsi="宋体" w:cs="宋体"/>
                <w:color w:val="auto"/>
                <w:kern w:val="0"/>
                <w:szCs w:val="21"/>
                <w:highlight w:val="none"/>
                <w:lang w:val="en-US" w:eastAsia="zh-CN"/>
              </w:rPr>
              <w:t>16</w:t>
            </w:r>
            <w:r>
              <w:rPr>
                <w:rFonts w:hint="eastAsia" w:ascii="宋体" w:hAnsi="宋体" w:eastAsia="宋体" w:cs="宋体"/>
                <w:color w:val="auto"/>
                <w:kern w:val="0"/>
                <w:szCs w:val="21"/>
                <w:highlight w:val="none"/>
              </w:rPr>
              <w:t>分）：能提供详细的质量管理体系和质量保证措施、进度计划安排，</w:t>
            </w:r>
            <w:r>
              <w:rPr>
                <w:rFonts w:hint="eastAsia" w:ascii="宋体" w:hAnsi="宋体" w:cs="宋体"/>
                <w:color w:val="auto"/>
                <w:kern w:val="0"/>
                <w:szCs w:val="21"/>
                <w:highlight w:val="none"/>
              </w:rPr>
              <w:t>针对本项目的考核及奖惩办法，</w:t>
            </w:r>
            <w:r>
              <w:rPr>
                <w:rFonts w:hint="eastAsia" w:ascii="宋体" w:hAnsi="宋体" w:cs="宋体"/>
                <w:color w:val="auto"/>
                <w:kern w:val="0"/>
                <w:szCs w:val="21"/>
                <w:highlight w:val="none"/>
                <w:lang w:val="en-US" w:eastAsia="zh-CN"/>
              </w:rPr>
              <w:t>制定</w:t>
            </w:r>
            <w:r>
              <w:rPr>
                <w:rFonts w:hint="eastAsia" w:ascii="宋体" w:hAnsi="宋体" w:cs="宋体"/>
                <w:color w:val="auto"/>
                <w:kern w:val="0"/>
                <w:szCs w:val="21"/>
                <w:highlight w:val="none"/>
              </w:rPr>
              <w:t>分工</w:t>
            </w:r>
            <w:r>
              <w:rPr>
                <w:rFonts w:hint="eastAsia" w:ascii="宋体" w:hAnsi="宋体" w:cs="宋体"/>
                <w:color w:val="auto"/>
                <w:kern w:val="0"/>
                <w:szCs w:val="21"/>
                <w:highlight w:val="none"/>
                <w:lang w:val="en-US" w:eastAsia="zh-CN"/>
              </w:rPr>
              <w:t>安排</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承诺服务方案中处理问题响应时间有1项优于采购文件要求的</w:t>
            </w:r>
            <w:r>
              <w:rPr>
                <w:rFonts w:hint="eastAsia" w:ascii="宋体" w:hAnsi="宋体" w:eastAsia="宋体" w:cs="宋体"/>
                <w:color w:val="auto"/>
                <w:kern w:val="0"/>
                <w:szCs w:val="21"/>
                <w:highlight w:val="none"/>
                <w:lang w:eastAsia="zh-CN"/>
              </w:rPr>
              <w:t>。</w:t>
            </w:r>
          </w:p>
          <w:p w14:paraId="44F9BBF7">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三</w:t>
            </w:r>
            <w:r>
              <w:rPr>
                <w:rFonts w:hint="eastAsia" w:ascii="宋体" w:hAnsi="宋体" w:eastAsia="宋体" w:cs="宋体"/>
                <w:color w:val="auto"/>
                <w:kern w:val="0"/>
                <w:szCs w:val="21"/>
                <w:highlight w:val="none"/>
              </w:rPr>
              <w:t>档（</w:t>
            </w:r>
            <w:r>
              <w:rPr>
                <w:rFonts w:hint="eastAsia" w:ascii="宋体" w:hAnsi="宋体" w:cs="宋体"/>
                <w:color w:val="auto"/>
                <w:kern w:val="0"/>
                <w:szCs w:val="21"/>
                <w:highlight w:val="none"/>
                <w:lang w:val="en-US" w:eastAsia="zh-CN"/>
              </w:rPr>
              <w:t>24</w:t>
            </w:r>
            <w:r>
              <w:rPr>
                <w:rFonts w:hint="eastAsia" w:ascii="宋体" w:hAnsi="宋体" w:eastAsia="宋体" w:cs="宋体"/>
                <w:color w:val="auto"/>
                <w:kern w:val="0"/>
                <w:szCs w:val="21"/>
                <w:highlight w:val="none"/>
              </w:rPr>
              <w:t>分）：能提供详细</w:t>
            </w:r>
            <w:r>
              <w:rPr>
                <w:rFonts w:hint="eastAsia" w:ascii="宋体" w:hAnsi="宋体" w:cs="宋体"/>
                <w:color w:val="auto"/>
                <w:kern w:val="0"/>
                <w:szCs w:val="21"/>
                <w:highlight w:val="none"/>
                <w:lang w:eastAsia="zh-CN"/>
              </w:rPr>
              <w:t>、全面</w:t>
            </w:r>
            <w:r>
              <w:rPr>
                <w:rFonts w:hint="eastAsia" w:ascii="宋体" w:hAnsi="宋体" w:eastAsia="宋体" w:cs="宋体"/>
                <w:color w:val="auto"/>
                <w:kern w:val="0"/>
                <w:szCs w:val="21"/>
                <w:highlight w:val="none"/>
              </w:rPr>
              <w:t>的质量管理体系和质量保证措施、进度计划安排，</w:t>
            </w:r>
            <w:r>
              <w:rPr>
                <w:rFonts w:hint="eastAsia" w:ascii="宋体" w:hAnsi="宋体" w:cs="宋体"/>
                <w:color w:val="auto"/>
                <w:kern w:val="0"/>
                <w:szCs w:val="21"/>
                <w:highlight w:val="none"/>
              </w:rPr>
              <w:t>针对本项目的考核及奖惩办法，分工合理、符合实施</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承诺服务方案中处理问题响应时间有1项优于采购文件要求的</w:t>
            </w:r>
            <w:r>
              <w:rPr>
                <w:rFonts w:hint="eastAsia" w:ascii="宋体" w:hAnsi="宋体" w:eastAsia="宋体" w:cs="宋体"/>
                <w:color w:val="auto"/>
                <w:kern w:val="0"/>
                <w:szCs w:val="21"/>
                <w:highlight w:val="none"/>
                <w:lang w:eastAsia="zh-CN"/>
              </w:rPr>
              <w:t>。</w:t>
            </w:r>
          </w:p>
          <w:p w14:paraId="466A0F1A">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rPr>
              <w:t>档（</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分）：具有完善、合理的项目质量管理体系和质量保证措施、进度计划安排，且具严密的保密管理制度的，</w:t>
            </w:r>
            <w:r>
              <w:rPr>
                <w:rFonts w:hint="eastAsia" w:ascii="宋体" w:hAnsi="宋体" w:cs="宋体"/>
                <w:color w:val="auto"/>
                <w:kern w:val="0"/>
                <w:szCs w:val="21"/>
                <w:highlight w:val="none"/>
              </w:rPr>
              <w:t>针对本项目的考核及奖惩办法，分工合理、科学管用、利于实施、奖罚分明全面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承诺服务方案中处理问题响应时间有2项优于采购文件要求的</w:t>
            </w:r>
            <w:r>
              <w:rPr>
                <w:rFonts w:hint="eastAsia" w:ascii="宋体" w:hAnsi="宋体" w:eastAsia="宋体" w:cs="宋体"/>
                <w:color w:val="auto"/>
                <w:highlight w:val="none"/>
              </w:rPr>
              <w:t>。</w:t>
            </w:r>
          </w:p>
        </w:tc>
      </w:tr>
      <w:tr w14:paraId="319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0F6488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160" w:type="dxa"/>
            <w:gridSpan w:val="2"/>
            <w:vAlign w:val="center"/>
          </w:tcPr>
          <w:p w14:paraId="06D43122">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配备项目组综合能力（满分</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0分）</w:t>
            </w:r>
          </w:p>
        </w:tc>
        <w:tc>
          <w:tcPr>
            <w:tcW w:w="6852" w:type="dxa"/>
            <w:vAlign w:val="center"/>
          </w:tcPr>
          <w:p w14:paraId="4575BF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（1）项目负责人从业经验及资历（</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p>
          <w:p w14:paraId="6F40C0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项目负责人具备环境类专业</w:t>
            </w:r>
            <w:r>
              <w:rPr>
                <w:rFonts w:hint="eastAsia" w:ascii="宋体" w:hAnsi="宋体" w:cs="宋体"/>
                <w:color w:val="auto"/>
                <w:highlight w:val="none"/>
                <w:lang w:val="en-US" w:eastAsia="zh-CN"/>
              </w:rPr>
              <w:t>副</w:t>
            </w:r>
            <w:r>
              <w:rPr>
                <w:rFonts w:hint="eastAsia" w:ascii="宋体" w:hAnsi="宋体" w:eastAsia="宋体" w:cs="宋体"/>
                <w:color w:val="auto"/>
                <w:highlight w:val="none"/>
              </w:rPr>
              <w:t>高级以上技术职称的得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分，具备</w:t>
            </w:r>
            <w:r>
              <w:rPr>
                <w:rFonts w:hint="eastAsia" w:ascii="宋体" w:hAnsi="宋体" w:cs="宋体"/>
                <w:color w:val="auto"/>
                <w:highlight w:val="none"/>
                <w:lang w:val="en-US" w:eastAsia="zh-CN"/>
              </w:rPr>
              <w:t>硕士</w:t>
            </w:r>
            <w:r>
              <w:rPr>
                <w:rFonts w:hint="eastAsia" w:ascii="宋体" w:hAnsi="宋体" w:eastAsia="宋体" w:cs="宋体"/>
                <w:color w:val="auto"/>
                <w:highlight w:val="none"/>
              </w:rPr>
              <w:t>学位</w:t>
            </w:r>
            <w:r>
              <w:rPr>
                <w:rFonts w:hint="eastAsia" w:ascii="宋体" w:hAnsi="宋体" w:cs="宋体"/>
                <w:color w:val="auto"/>
                <w:highlight w:val="none"/>
                <w:lang w:val="en-US" w:eastAsia="zh-CN"/>
              </w:rPr>
              <w:t>或注册类职业资格证书</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2</w:t>
            </w:r>
            <w:r>
              <w:rPr>
                <w:rFonts w:hint="eastAsia" w:ascii="宋体" w:hAnsi="宋体" w:eastAsia="宋体" w:cs="宋体"/>
                <w:color w:val="auto"/>
                <w:highlight w:val="none"/>
              </w:rPr>
              <w:t>分，满分</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分。（须提供职称复印件、学位证书复印件加盖公章，否则不得分</w:t>
            </w:r>
            <w:r>
              <w:rPr>
                <w:rFonts w:hint="eastAsia" w:ascii="宋体" w:hAnsi="宋体" w:cs="宋体"/>
                <w:color w:val="auto"/>
                <w:highlight w:val="none"/>
                <w:lang w:eastAsia="zh-CN"/>
              </w:rPr>
              <w:t>。</w:t>
            </w:r>
            <w:r>
              <w:rPr>
                <w:rFonts w:hint="eastAsia" w:ascii="宋体" w:hAnsi="宋体" w:eastAsia="宋体" w:cs="宋体"/>
                <w:color w:val="auto"/>
                <w:highlight w:val="none"/>
              </w:rPr>
              <w:t>）</w:t>
            </w:r>
          </w:p>
          <w:p w14:paraId="6391DD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（2）项目组其他成员（</w:t>
            </w:r>
            <w:r>
              <w:rPr>
                <w:rFonts w:hint="eastAsia" w:ascii="宋体" w:hAnsi="宋体" w:cs="宋体"/>
                <w:color w:val="auto"/>
                <w:highlight w:val="none"/>
                <w:lang w:val="en-US" w:eastAsia="zh-CN"/>
              </w:rPr>
              <w:t>7</w:t>
            </w:r>
            <w:r>
              <w:rPr>
                <w:rFonts w:hint="eastAsia" w:ascii="宋体" w:hAnsi="宋体" w:eastAsia="宋体" w:cs="宋体"/>
                <w:color w:val="auto"/>
                <w:highlight w:val="none"/>
              </w:rPr>
              <w:t>分）</w:t>
            </w:r>
          </w:p>
          <w:p w14:paraId="653FC6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①人员投入：拟投入项目团队成员（不含项目负责人）人数</w:t>
            </w:r>
            <w:r>
              <w:rPr>
                <w:rFonts w:hint="eastAsia" w:ascii="宋体" w:hAnsi="宋体" w:cs="宋体"/>
                <w:color w:val="auto"/>
                <w:highlight w:val="none"/>
                <w:lang w:val="en-US" w:eastAsia="zh-CN"/>
              </w:rPr>
              <w:t>12</w:t>
            </w:r>
            <w:r>
              <w:rPr>
                <w:rFonts w:hint="eastAsia" w:ascii="宋体" w:hAnsi="宋体" w:eastAsia="宋体" w:cs="宋体"/>
                <w:color w:val="auto"/>
                <w:highlight w:val="none"/>
              </w:rPr>
              <w:t>名</w:t>
            </w:r>
            <w:r>
              <w:rPr>
                <w:rFonts w:hint="eastAsia" w:ascii="宋体" w:hAnsi="宋体" w:cs="宋体"/>
                <w:color w:val="auto"/>
                <w:highlight w:val="none"/>
                <w:lang w:val="en-US" w:eastAsia="zh-CN"/>
              </w:rPr>
              <w:t>及</w:t>
            </w:r>
            <w:r>
              <w:rPr>
                <w:rFonts w:hint="eastAsia" w:ascii="宋体" w:hAnsi="宋体" w:eastAsia="宋体" w:cs="宋体"/>
                <w:color w:val="auto"/>
                <w:highlight w:val="none"/>
              </w:rPr>
              <w:t>以上，得</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11</w:t>
            </w:r>
            <w:r>
              <w:rPr>
                <w:rFonts w:hint="eastAsia" w:ascii="宋体" w:hAnsi="宋体" w:eastAsia="宋体" w:cs="宋体"/>
                <w:color w:val="auto"/>
                <w:highlight w:val="none"/>
              </w:rPr>
              <w:t>人，得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cs="宋体"/>
                <w:color w:val="auto"/>
                <w:highlight w:val="none"/>
                <w:lang w:val="en-US" w:eastAsia="zh-CN"/>
              </w:rPr>
              <w:t>7</w:t>
            </w:r>
            <w:r>
              <w:rPr>
                <w:rFonts w:hint="eastAsia" w:ascii="宋体" w:hAnsi="宋体" w:eastAsia="宋体" w:cs="宋体"/>
                <w:color w:val="auto"/>
                <w:highlight w:val="none"/>
              </w:rPr>
              <w:t>人</w:t>
            </w:r>
            <w:r>
              <w:rPr>
                <w:rFonts w:hint="eastAsia" w:ascii="宋体" w:hAnsi="宋体" w:cs="宋体"/>
                <w:color w:val="auto"/>
                <w:highlight w:val="none"/>
                <w:lang w:val="en-US" w:eastAsia="zh-CN"/>
              </w:rPr>
              <w:t>及</w:t>
            </w:r>
            <w:r>
              <w:rPr>
                <w:rFonts w:hint="eastAsia" w:ascii="宋体" w:hAnsi="宋体" w:eastAsia="宋体" w:cs="宋体"/>
                <w:color w:val="auto"/>
                <w:highlight w:val="none"/>
              </w:rPr>
              <w:t>以下得1分。</w:t>
            </w:r>
          </w:p>
          <w:p w14:paraId="5030C7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②人员水平：拟投入项目团队成员具有相关专业（如环境监测、环境保护、环境工程、环境科学）</w:t>
            </w:r>
            <w:r>
              <w:rPr>
                <w:rFonts w:hint="eastAsia" w:ascii="宋体" w:hAnsi="宋体" w:cs="宋体"/>
                <w:color w:val="auto"/>
                <w:highlight w:val="none"/>
                <w:lang w:val="en-US" w:eastAsia="zh-CN"/>
              </w:rPr>
              <w:t>副</w:t>
            </w:r>
            <w:r>
              <w:rPr>
                <w:rFonts w:hint="eastAsia" w:ascii="宋体" w:hAnsi="宋体" w:eastAsia="宋体" w:cs="宋体"/>
                <w:color w:val="auto"/>
                <w:highlight w:val="none"/>
              </w:rPr>
              <w:t>高级或以上职称，每1人得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分，中级职称的每人得0.5分，满分</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p>
        </w:tc>
      </w:tr>
      <w:tr w14:paraId="4358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4"/>
            <w:vAlign w:val="center"/>
          </w:tcPr>
          <w:p w14:paraId="312D78B0">
            <w:pPr>
              <w:spacing w:line="360" w:lineRule="auto"/>
              <w:rPr>
                <w:rFonts w:hint="eastAsia" w:ascii="宋体" w:hAnsi="宋体" w:eastAsia="宋体" w:cs="宋体"/>
                <w:color w:val="auto"/>
                <w:szCs w:val="21"/>
                <w:highlight w:val="none"/>
                <w:lang w:val="en-US" w:eastAsia="zh-CN"/>
              </w:rPr>
            </w:pPr>
            <w:r>
              <w:rPr>
                <w:rFonts w:hint="eastAsia" w:ascii="宋体" w:hAnsi="宋体" w:cs="宋体"/>
                <w:b/>
                <w:color w:val="auto"/>
                <w:highlight w:val="none"/>
              </w:rPr>
              <w:t>总得分=1+2+3</w:t>
            </w:r>
          </w:p>
        </w:tc>
      </w:tr>
    </w:tbl>
    <w:p w14:paraId="3E79945F">
      <w:pPr>
        <w:spacing w:line="360" w:lineRule="auto"/>
        <w:ind w:firstLine="420" w:firstLineChars="200"/>
        <w:rPr>
          <w:rFonts w:ascii="宋体" w:hAnsi="宋体" w:cs="宋体"/>
          <w:snapToGrid w:val="0"/>
          <w:color w:val="auto"/>
          <w:kern w:val="0"/>
          <w:sz w:val="24"/>
          <w:highlight w:val="none"/>
        </w:rPr>
      </w:pPr>
      <w:r>
        <w:rPr>
          <w:rFonts w:hint="eastAsia" w:ascii="宋体" w:hAnsi="宋体" w:cs="宋体"/>
          <w:bCs/>
          <w:color w:val="auto"/>
          <w:szCs w:val="21"/>
          <w:highlight w:val="none"/>
        </w:rPr>
        <w:t>7.由磋商小组根据综合评分情况，按照评审得分由高到低顺序推荐3名以上成交候选供应商，并编写评审报告。符合本章第</w:t>
      </w:r>
      <w:r>
        <w:rPr>
          <w:rFonts w:hint="eastAsia" w:ascii="宋体" w:hAnsi="宋体" w:cs="宋体"/>
          <w:color w:val="auto"/>
          <w:szCs w:val="21"/>
          <w:highlight w:val="none"/>
        </w:rPr>
        <w:t>2.7、3.8、4.3</w:t>
      </w:r>
      <w:r>
        <w:rPr>
          <w:rFonts w:hint="eastAsia" w:ascii="宋体" w:hAnsi="宋体" w:cs="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cs="宋体"/>
          <w:color w:val="auto"/>
          <w:szCs w:val="21"/>
          <w:highlight w:val="none"/>
        </w:rPr>
        <w:t>按综合评分中服务水平、履约能力得分高低依次确定</w:t>
      </w:r>
      <w:r>
        <w:rPr>
          <w:rFonts w:hint="eastAsia" w:ascii="宋体" w:hAnsi="宋体" w:cs="宋体"/>
          <w:bCs/>
          <w:color w:val="auto"/>
          <w:szCs w:val="21"/>
          <w:highlight w:val="none"/>
        </w:rPr>
        <w:t>）。</w:t>
      </w:r>
    </w:p>
    <w:p w14:paraId="32A4C908">
      <w:pPr>
        <w:spacing w:line="400" w:lineRule="exact"/>
        <w:ind w:firstLine="420" w:firstLineChars="200"/>
        <w:rPr>
          <w:rFonts w:ascii="宋体" w:hAnsi="宋体" w:cs="宋体"/>
          <w:color w:val="auto"/>
          <w:highlight w:val="none"/>
        </w:rPr>
      </w:pPr>
    </w:p>
    <w:p w14:paraId="044F2E68">
      <w:pPr>
        <w:rPr>
          <w:rFonts w:ascii="宋体" w:hAnsi="宋体" w:cs="宋体"/>
          <w:color w:val="auto"/>
          <w:highlight w:val="none"/>
        </w:rPr>
      </w:pPr>
    </w:p>
    <w:p w14:paraId="78A51CAA">
      <w:pPr>
        <w:rPr>
          <w:rFonts w:ascii="宋体" w:hAnsi="宋体" w:cs="宋体"/>
          <w:color w:val="auto"/>
          <w:highlight w:val="none"/>
        </w:rPr>
      </w:pPr>
    </w:p>
    <w:p w14:paraId="1BB69453">
      <w:pPr>
        <w:rPr>
          <w:rFonts w:ascii="宋体" w:hAnsi="宋体" w:cs="宋体"/>
          <w:color w:val="auto"/>
          <w:highlight w:val="none"/>
        </w:rPr>
      </w:pPr>
    </w:p>
    <w:p w14:paraId="20A44736">
      <w:pPr>
        <w:pStyle w:val="4"/>
        <w:rPr>
          <w:rFonts w:ascii="宋体" w:hAnsi="宋体" w:cs="宋体"/>
          <w:color w:val="auto"/>
          <w:highlight w:val="none"/>
        </w:rPr>
      </w:pPr>
      <w:bookmarkStart w:id="43" w:name="_Toc74323460"/>
      <w:r>
        <w:rPr>
          <w:rFonts w:hint="eastAsia" w:ascii="宋体" w:hAnsi="宋体" w:cs="宋体"/>
          <w:color w:val="auto"/>
          <w:highlight w:val="none"/>
        </w:rPr>
        <w:br w:type="page"/>
      </w:r>
      <w:r>
        <w:rPr>
          <w:rFonts w:hint="eastAsia" w:ascii="宋体" w:hAnsi="宋体" w:cs="宋体"/>
          <w:color w:val="auto"/>
          <w:highlight w:val="none"/>
        </w:rPr>
        <w:t>第五章 响应文件格式</w:t>
      </w:r>
      <w:bookmarkEnd w:id="43"/>
    </w:p>
    <w:p w14:paraId="642527D7">
      <w:pPr>
        <w:rPr>
          <w:rFonts w:ascii="宋体" w:hAnsi="宋体" w:cs="宋体"/>
          <w:b/>
          <w:color w:val="auto"/>
          <w:sz w:val="32"/>
          <w:szCs w:val="32"/>
          <w:highlight w:val="none"/>
        </w:rPr>
      </w:pPr>
      <w:bookmarkStart w:id="44" w:name="_Toc44229899"/>
      <w:bookmarkStart w:id="45" w:name="_Toc71365925"/>
      <w:bookmarkStart w:id="46" w:name="_Toc35611516"/>
      <w:bookmarkStart w:id="47" w:name="_Toc35611438"/>
      <w:bookmarkStart w:id="48" w:name="_Toc31728084"/>
      <w:bookmarkStart w:id="49" w:name="_Toc31723070"/>
      <w:r>
        <w:rPr>
          <w:rFonts w:hint="eastAsia" w:ascii="宋体" w:hAnsi="宋体" w:cs="宋体"/>
          <w:b/>
          <w:color w:val="auto"/>
          <w:sz w:val="32"/>
          <w:szCs w:val="32"/>
          <w:highlight w:val="none"/>
        </w:rPr>
        <w:t>一、资格证明文件格式</w:t>
      </w:r>
      <w:bookmarkEnd w:id="44"/>
      <w:bookmarkEnd w:id="45"/>
      <w:bookmarkEnd w:id="46"/>
      <w:bookmarkEnd w:id="47"/>
      <w:bookmarkEnd w:id="48"/>
      <w:bookmarkEnd w:id="49"/>
    </w:p>
    <w:p w14:paraId="2F99C403">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2538BCCC">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1A3770A">
      <w:pPr>
        <w:snapToGrid w:val="0"/>
        <w:spacing w:before="156" w:beforeLines="50" w:after="50"/>
        <w:rPr>
          <w:rFonts w:ascii="宋体" w:hAnsi="宋体" w:cs="宋体"/>
          <w:color w:val="auto"/>
          <w:sz w:val="24"/>
          <w:szCs w:val="20"/>
          <w:highlight w:val="none"/>
        </w:rPr>
      </w:pPr>
    </w:p>
    <w:p w14:paraId="3B6F491F">
      <w:pPr>
        <w:snapToGrid w:val="0"/>
        <w:spacing w:before="156"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45E1DD7C">
      <w:pPr>
        <w:snapToGrid w:val="0"/>
        <w:spacing w:before="156" w:beforeLines="50" w:after="50"/>
        <w:jc w:val="center"/>
        <w:rPr>
          <w:rFonts w:ascii="宋体" w:hAnsi="宋体" w:cs="宋体"/>
          <w:bCs/>
          <w:color w:val="auto"/>
          <w:sz w:val="44"/>
          <w:szCs w:val="44"/>
          <w:highlight w:val="none"/>
        </w:rPr>
      </w:pPr>
    </w:p>
    <w:p w14:paraId="645D69A5">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58CBFBEB">
      <w:pPr>
        <w:snapToGrid w:val="0"/>
        <w:spacing w:before="156" w:beforeLines="50" w:after="50"/>
        <w:rPr>
          <w:rFonts w:ascii="宋体" w:hAnsi="宋体" w:cs="宋体"/>
          <w:bCs/>
          <w:color w:val="auto"/>
          <w:sz w:val="24"/>
          <w:szCs w:val="20"/>
          <w:highlight w:val="none"/>
        </w:rPr>
      </w:pPr>
    </w:p>
    <w:p w14:paraId="5D22416A">
      <w:pPr>
        <w:snapToGrid w:val="0"/>
        <w:spacing w:before="156" w:beforeLines="50" w:after="50"/>
        <w:rPr>
          <w:rFonts w:ascii="宋体" w:hAnsi="宋体" w:cs="宋体"/>
          <w:bCs/>
          <w:color w:val="auto"/>
          <w:sz w:val="24"/>
          <w:szCs w:val="20"/>
          <w:highlight w:val="none"/>
        </w:rPr>
      </w:pPr>
    </w:p>
    <w:p w14:paraId="0B8BA5E3">
      <w:pPr>
        <w:snapToGrid w:val="0"/>
        <w:spacing w:before="156" w:beforeLines="50" w:after="50"/>
        <w:rPr>
          <w:rFonts w:ascii="宋体" w:hAnsi="宋体" w:cs="宋体"/>
          <w:bCs/>
          <w:color w:val="auto"/>
          <w:sz w:val="24"/>
          <w:szCs w:val="20"/>
          <w:highlight w:val="none"/>
        </w:rPr>
      </w:pPr>
    </w:p>
    <w:p w14:paraId="6B810974">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32193BA">
      <w:pPr>
        <w:snapToGrid w:val="0"/>
        <w:spacing w:before="156" w:beforeLines="50" w:after="50"/>
        <w:ind w:firstLine="720" w:firstLineChars="225"/>
        <w:rPr>
          <w:rFonts w:ascii="宋体" w:hAnsi="宋体" w:cs="宋体"/>
          <w:bCs/>
          <w:color w:val="auto"/>
          <w:sz w:val="32"/>
          <w:szCs w:val="32"/>
          <w:highlight w:val="none"/>
        </w:rPr>
      </w:pPr>
    </w:p>
    <w:p w14:paraId="67F7A0C5">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5DFFBC2">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CEFE45A">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w:t>
      </w:r>
    </w:p>
    <w:p w14:paraId="0D1FDCE1">
      <w:pPr>
        <w:snapToGrid w:val="0"/>
        <w:spacing w:before="156" w:beforeLines="50" w:after="50"/>
        <w:ind w:firstLine="720" w:firstLineChars="225"/>
        <w:rPr>
          <w:rFonts w:ascii="宋体" w:hAnsi="宋体" w:cs="宋体"/>
          <w:bCs/>
          <w:color w:val="auto"/>
          <w:sz w:val="32"/>
          <w:szCs w:val="32"/>
          <w:highlight w:val="none"/>
        </w:rPr>
      </w:pPr>
    </w:p>
    <w:p w14:paraId="5911E265">
      <w:pPr>
        <w:pStyle w:val="9"/>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D93D3F2">
      <w:pPr>
        <w:pStyle w:val="9"/>
        <w:snapToGrid w:val="0"/>
        <w:spacing w:before="50" w:after="50"/>
        <w:ind w:firstLine="720" w:firstLineChars="225"/>
        <w:rPr>
          <w:rFonts w:ascii="宋体" w:hAnsi="宋体" w:cs="宋体"/>
          <w:bCs/>
          <w:color w:val="auto"/>
          <w:sz w:val="32"/>
          <w:szCs w:val="32"/>
          <w:highlight w:val="none"/>
        </w:rPr>
      </w:pPr>
    </w:p>
    <w:p w14:paraId="6EC2B098">
      <w:pPr>
        <w:pStyle w:val="9"/>
        <w:snapToGrid w:val="0"/>
        <w:spacing w:before="50" w:after="50"/>
        <w:ind w:firstLine="720" w:firstLineChars="225"/>
        <w:rPr>
          <w:rFonts w:ascii="宋体" w:hAnsi="宋体" w:cs="宋体"/>
          <w:bCs/>
          <w:color w:val="auto"/>
          <w:sz w:val="32"/>
          <w:szCs w:val="32"/>
          <w:highlight w:val="none"/>
        </w:rPr>
      </w:pPr>
    </w:p>
    <w:p w14:paraId="4F21A673">
      <w:pPr>
        <w:pStyle w:val="9"/>
        <w:snapToGrid w:val="0"/>
        <w:spacing w:before="50" w:after="50"/>
        <w:ind w:firstLine="1280" w:firstLineChars="400"/>
        <w:rPr>
          <w:rFonts w:ascii="宋体" w:hAnsi="宋体" w:cs="宋体"/>
          <w:bCs/>
          <w:color w:val="auto"/>
          <w:sz w:val="32"/>
          <w:szCs w:val="32"/>
          <w:highlight w:val="none"/>
        </w:rPr>
      </w:pPr>
    </w:p>
    <w:p w14:paraId="108BA6E6">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826E028">
      <w:pPr>
        <w:snapToGrid w:val="0"/>
        <w:spacing w:before="156"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7A3F4A64">
      <w:pPr>
        <w:snapToGrid w:val="0"/>
        <w:spacing w:before="156"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D116E5C">
      <w:pPr>
        <w:snapToGrid w:val="0"/>
        <w:spacing w:before="156"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9085F20">
      <w:pPr>
        <w:spacing w:line="300" w:lineRule="auto"/>
        <w:rPr>
          <w:rFonts w:ascii="宋体" w:hAnsi="宋体" w:cs="宋体"/>
          <w:color w:val="auto"/>
          <w:szCs w:val="21"/>
          <w:highlight w:val="none"/>
        </w:rPr>
      </w:pPr>
    </w:p>
    <w:p w14:paraId="0E9D0FA4">
      <w:pPr>
        <w:spacing w:line="300" w:lineRule="auto"/>
        <w:rPr>
          <w:rFonts w:ascii="宋体" w:hAnsi="宋体" w:cs="宋体"/>
          <w:color w:val="auto"/>
          <w:szCs w:val="21"/>
          <w:highlight w:val="none"/>
        </w:rPr>
      </w:pPr>
    </w:p>
    <w:p w14:paraId="22582D75">
      <w:pPr>
        <w:spacing w:line="300" w:lineRule="auto"/>
        <w:rPr>
          <w:rFonts w:ascii="宋体" w:hAnsi="宋体" w:cs="宋体"/>
          <w:color w:val="auto"/>
          <w:szCs w:val="21"/>
          <w:highlight w:val="none"/>
        </w:rPr>
      </w:pPr>
    </w:p>
    <w:p w14:paraId="5B23E998">
      <w:pPr>
        <w:spacing w:line="300" w:lineRule="auto"/>
        <w:rPr>
          <w:rFonts w:ascii="宋体" w:hAnsi="宋体" w:cs="宋体"/>
          <w:color w:val="auto"/>
          <w:szCs w:val="21"/>
          <w:highlight w:val="none"/>
        </w:rPr>
      </w:pPr>
    </w:p>
    <w:p w14:paraId="3D6009AB">
      <w:pPr>
        <w:spacing w:line="300" w:lineRule="auto"/>
        <w:rPr>
          <w:rFonts w:ascii="宋体" w:hAnsi="宋体" w:cs="宋体"/>
          <w:color w:val="auto"/>
          <w:szCs w:val="21"/>
          <w:highlight w:val="none"/>
        </w:rPr>
      </w:pPr>
    </w:p>
    <w:p w14:paraId="53529EEC">
      <w:pPr>
        <w:spacing w:line="300" w:lineRule="auto"/>
        <w:rPr>
          <w:rFonts w:ascii="宋体" w:hAnsi="宋体" w:cs="宋体"/>
          <w:color w:val="auto"/>
          <w:szCs w:val="21"/>
          <w:highlight w:val="none"/>
        </w:rPr>
      </w:pPr>
    </w:p>
    <w:p w14:paraId="56116D07">
      <w:pPr>
        <w:spacing w:line="300" w:lineRule="auto"/>
        <w:rPr>
          <w:rFonts w:ascii="宋体" w:hAnsi="宋体" w:cs="宋体"/>
          <w:color w:val="auto"/>
          <w:szCs w:val="21"/>
          <w:highlight w:val="none"/>
        </w:rPr>
      </w:pPr>
    </w:p>
    <w:p w14:paraId="25BFD783">
      <w:pPr>
        <w:spacing w:line="300" w:lineRule="auto"/>
        <w:rPr>
          <w:rFonts w:ascii="宋体" w:hAnsi="宋体" w:cs="宋体"/>
          <w:color w:val="auto"/>
          <w:szCs w:val="21"/>
          <w:highlight w:val="none"/>
        </w:rPr>
      </w:pPr>
    </w:p>
    <w:p w14:paraId="33262C65">
      <w:pPr>
        <w:spacing w:line="300" w:lineRule="auto"/>
        <w:rPr>
          <w:rFonts w:ascii="宋体" w:hAnsi="宋体" w:cs="宋体"/>
          <w:color w:val="auto"/>
          <w:szCs w:val="21"/>
          <w:highlight w:val="none"/>
        </w:rPr>
      </w:pPr>
    </w:p>
    <w:p w14:paraId="14E73E92">
      <w:pPr>
        <w:spacing w:line="300" w:lineRule="auto"/>
        <w:rPr>
          <w:rFonts w:ascii="宋体" w:hAnsi="宋体" w:cs="宋体"/>
          <w:color w:val="auto"/>
          <w:szCs w:val="21"/>
          <w:highlight w:val="none"/>
        </w:rPr>
      </w:pPr>
    </w:p>
    <w:p w14:paraId="3326544F">
      <w:pPr>
        <w:spacing w:line="300" w:lineRule="auto"/>
        <w:rPr>
          <w:rFonts w:ascii="宋体" w:hAnsi="宋体" w:cs="宋体"/>
          <w:color w:val="auto"/>
          <w:szCs w:val="21"/>
          <w:highlight w:val="none"/>
        </w:rPr>
      </w:pPr>
    </w:p>
    <w:p w14:paraId="1F2230E9">
      <w:pPr>
        <w:spacing w:line="300" w:lineRule="auto"/>
        <w:rPr>
          <w:rFonts w:ascii="宋体" w:hAnsi="宋体" w:cs="宋体"/>
          <w:color w:val="auto"/>
          <w:szCs w:val="21"/>
          <w:highlight w:val="none"/>
        </w:rPr>
      </w:pPr>
    </w:p>
    <w:p w14:paraId="5B927B57">
      <w:pPr>
        <w:spacing w:line="300" w:lineRule="auto"/>
        <w:rPr>
          <w:rFonts w:ascii="宋体" w:hAnsi="宋体" w:cs="宋体"/>
          <w:color w:val="auto"/>
          <w:szCs w:val="21"/>
          <w:highlight w:val="none"/>
        </w:rPr>
      </w:pPr>
    </w:p>
    <w:p w14:paraId="165F5FE0">
      <w:pPr>
        <w:spacing w:line="300" w:lineRule="auto"/>
        <w:rPr>
          <w:rFonts w:ascii="宋体" w:hAnsi="宋体" w:cs="宋体"/>
          <w:color w:val="auto"/>
          <w:szCs w:val="21"/>
          <w:highlight w:val="none"/>
        </w:rPr>
      </w:pPr>
    </w:p>
    <w:p w14:paraId="3BD1DFE9">
      <w:pPr>
        <w:spacing w:line="300" w:lineRule="auto"/>
        <w:rPr>
          <w:rFonts w:ascii="宋体" w:hAnsi="宋体" w:cs="宋体"/>
          <w:color w:val="auto"/>
          <w:szCs w:val="21"/>
          <w:highlight w:val="none"/>
        </w:rPr>
      </w:pPr>
    </w:p>
    <w:p w14:paraId="5DEBB064">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w:t>
      </w:r>
    </w:p>
    <w:p w14:paraId="22A14B51">
      <w:pPr>
        <w:wordWrap w:val="0"/>
        <w:spacing w:before="156" w:beforeLines="50" w:after="50" w:line="320" w:lineRule="exact"/>
        <w:ind w:right="482" w:firstLine="210" w:firstLineChars="100"/>
        <w:contextualSpacing/>
        <w:jc w:val="center"/>
        <w:rPr>
          <w:rFonts w:ascii="宋体" w:hAnsi="宋体" w:cs="宋体"/>
          <w:color w:val="auto"/>
          <w:szCs w:val="21"/>
          <w:highlight w:val="none"/>
        </w:rPr>
      </w:pPr>
    </w:p>
    <w:p w14:paraId="47B8954B">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248F580A">
      <w:pPr>
        <w:snapToGrid w:val="0"/>
        <w:spacing w:before="156" w:beforeLines="50" w:after="50" w:line="360" w:lineRule="auto"/>
        <w:jc w:val="center"/>
        <w:rPr>
          <w:rFonts w:ascii="宋体" w:hAnsi="宋体" w:cs="宋体"/>
          <w:b/>
          <w:color w:val="auto"/>
          <w:sz w:val="24"/>
          <w:highlight w:val="none"/>
        </w:rPr>
      </w:pPr>
    </w:p>
    <w:p w14:paraId="6B11C0B2">
      <w:pPr>
        <w:spacing w:line="36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764A3738">
      <w:pPr>
        <w:spacing w:line="360" w:lineRule="auto"/>
        <w:contextualSpacing/>
        <w:jc w:val="center"/>
        <w:rPr>
          <w:rFonts w:ascii="宋体" w:hAnsi="宋体" w:cs="宋体"/>
          <w:b/>
          <w:color w:val="auto"/>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49724F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D4AD2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CC696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51DC2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75A70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620FB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6E5AF5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EF29E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B9521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4E99F8">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9B90BE">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4A146">
            <w:pPr>
              <w:widowControl/>
              <w:spacing w:line="360" w:lineRule="auto"/>
              <w:contextualSpacing/>
              <w:jc w:val="center"/>
              <w:rPr>
                <w:rFonts w:ascii="宋体" w:hAnsi="宋体" w:cs="宋体"/>
                <w:color w:val="auto"/>
                <w:kern w:val="0"/>
                <w:sz w:val="24"/>
                <w:highlight w:val="none"/>
              </w:rPr>
            </w:pPr>
          </w:p>
        </w:tc>
      </w:tr>
      <w:tr w14:paraId="6B8F39D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F6BFF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4C62CC">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480A1A">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40D8D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E166EB">
            <w:pPr>
              <w:widowControl/>
              <w:spacing w:line="360" w:lineRule="auto"/>
              <w:contextualSpacing/>
              <w:jc w:val="center"/>
              <w:rPr>
                <w:rFonts w:ascii="宋体" w:hAnsi="宋体" w:cs="宋体"/>
                <w:color w:val="auto"/>
                <w:kern w:val="0"/>
                <w:sz w:val="24"/>
                <w:highlight w:val="none"/>
              </w:rPr>
            </w:pPr>
          </w:p>
        </w:tc>
      </w:tr>
      <w:tr w14:paraId="49B04A4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FA326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63B319">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7A596F">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EEABC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981908">
            <w:pPr>
              <w:widowControl/>
              <w:spacing w:line="360" w:lineRule="auto"/>
              <w:contextualSpacing/>
              <w:jc w:val="center"/>
              <w:rPr>
                <w:rFonts w:ascii="宋体" w:hAnsi="宋体" w:cs="宋体"/>
                <w:color w:val="auto"/>
                <w:kern w:val="0"/>
                <w:sz w:val="24"/>
                <w:highlight w:val="none"/>
              </w:rPr>
            </w:pPr>
          </w:p>
        </w:tc>
      </w:tr>
      <w:tr w14:paraId="3867005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202A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0C2F8F">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B94003">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70F23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380BEE">
            <w:pPr>
              <w:widowControl/>
              <w:spacing w:line="360" w:lineRule="auto"/>
              <w:contextualSpacing/>
              <w:jc w:val="center"/>
              <w:rPr>
                <w:rFonts w:ascii="宋体" w:hAnsi="宋体" w:cs="宋体"/>
                <w:color w:val="auto"/>
                <w:kern w:val="0"/>
                <w:sz w:val="24"/>
                <w:highlight w:val="none"/>
              </w:rPr>
            </w:pPr>
          </w:p>
        </w:tc>
      </w:tr>
    </w:tbl>
    <w:p w14:paraId="51E6B1C4">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2D1D381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45AF2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C958E9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029372E">
      <w:pPr>
        <w:snapToGrid w:val="0"/>
        <w:spacing w:line="360" w:lineRule="auto"/>
        <w:jc w:val="left"/>
        <w:rPr>
          <w:rFonts w:ascii="宋体" w:hAnsi="宋体" w:cs="宋体"/>
          <w:color w:val="auto"/>
          <w:sz w:val="24"/>
          <w:highlight w:val="none"/>
        </w:rPr>
      </w:pPr>
    </w:p>
    <w:p w14:paraId="1A384231">
      <w:pPr>
        <w:snapToGrid w:val="0"/>
        <w:spacing w:line="360" w:lineRule="auto"/>
        <w:jc w:val="left"/>
        <w:rPr>
          <w:rFonts w:ascii="宋体" w:hAnsi="宋体" w:cs="宋体"/>
          <w:color w:val="auto"/>
          <w:sz w:val="24"/>
          <w:highlight w:val="none"/>
        </w:rPr>
      </w:pPr>
    </w:p>
    <w:p w14:paraId="153B8BB4">
      <w:pPr>
        <w:snapToGrid w:val="0"/>
        <w:spacing w:line="360" w:lineRule="auto"/>
        <w:jc w:val="left"/>
        <w:rPr>
          <w:rFonts w:ascii="宋体" w:hAnsi="宋体" w:cs="宋体"/>
          <w:color w:val="auto"/>
          <w:sz w:val="24"/>
          <w:highlight w:val="none"/>
        </w:rPr>
      </w:pPr>
    </w:p>
    <w:p w14:paraId="6AE46E58">
      <w:pPr>
        <w:snapToGrid w:val="0"/>
        <w:spacing w:before="156"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6F5C86D0">
      <w:pPr>
        <w:snapToGrid w:val="0"/>
        <w:spacing w:before="156"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供应商（盖公章 ）：</w:t>
      </w:r>
      <w:r>
        <w:rPr>
          <w:rFonts w:hint="eastAsia" w:ascii="宋体" w:hAnsi="宋体" w:cs="宋体"/>
          <w:color w:val="auto"/>
          <w:sz w:val="24"/>
          <w:highlight w:val="none"/>
          <w:u w:val="single"/>
        </w:rPr>
        <w:t xml:space="preserve">                           </w:t>
      </w:r>
    </w:p>
    <w:p w14:paraId="1F4597C5">
      <w:pPr>
        <w:snapToGrid w:val="0"/>
        <w:spacing w:before="156"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14:paraId="428C1CD4">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36DF4BE2">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068BA1A5">
      <w:pPr>
        <w:snapToGrid w:val="0"/>
        <w:spacing w:line="360" w:lineRule="auto"/>
        <w:jc w:val="center"/>
        <w:rPr>
          <w:rFonts w:ascii="宋体" w:hAnsi="宋体" w:cs="宋体"/>
          <w:b/>
          <w:color w:val="auto"/>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6943D6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05CCB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DADA9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06A24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69E1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C9E8ED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5B44C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DFECE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0D882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5B25B9">
            <w:pPr>
              <w:widowControl/>
              <w:spacing w:line="360" w:lineRule="auto"/>
              <w:contextualSpacing/>
              <w:jc w:val="center"/>
              <w:rPr>
                <w:rFonts w:ascii="宋体" w:hAnsi="宋体" w:cs="宋体"/>
                <w:color w:val="auto"/>
                <w:kern w:val="0"/>
                <w:sz w:val="24"/>
                <w:highlight w:val="none"/>
              </w:rPr>
            </w:pPr>
          </w:p>
        </w:tc>
      </w:tr>
      <w:tr w14:paraId="3F6F572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82A92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AE156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393EC8">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216CFE">
            <w:pPr>
              <w:widowControl/>
              <w:spacing w:line="360" w:lineRule="auto"/>
              <w:contextualSpacing/>
              <w:jc w:val="center"/>
              <w:rPr>
                <w:rFonts w:ascii="宋体" w:hAnsi="宋体" w:cs="宋体"/>
                <w:color w:val="auto"/>
                <w:kern w:val="0"/>
                <w:sz w:val="24"/>
                <w:highlight w:val="none"/>
              </w:rPr>
            </w:pPr>
          </w:p>
        </w:tc>
      </w:tr>
      <w:tr w14:paraId="6D33AE4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EF7DB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CAADEA">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5AA3A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9A7A23">
            <w:pPr>
              <w:widowControl/>
              <w:spacing w:line="360" w:lineRule="auto"/>
              <w:contextualSpacing/>
              <w:jc w:val="center"/>
              <w:rPr>
                <w:rFonts w:ascii="宋体" w:hAnsi="宋体" w:cs="宋体"/>
                <w:color w:val="auto"/>
                <w:kern w:val="0"/>
                <w:sz w:val="24"/>
                <w:highlight w:val="none"/>
              </w:rPr>
            </w:pPr>
          </w:p>
        </w:tc>
      </w:tr>
      <w:tr w14:paraId="12EE77F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45A1F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EB75B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53C2C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904D5D">
            <w:pPr>
              <w:widowControl/>
              <w:spacing w:line="360" w:lineRule="auto"/>
              <w:contextualSpacing/>
              <w:jc w:val="center"/>
              <w:rPr>
                <w:rFonts w:ascii="宋体" w:hAnsi="宋体" w:cs="宋体"/>
                <w:color w:val="auto"/>
                <w:kern w:val="0"/>
                <w:sz w:val="24"/>
                <w:highlight w:val="none"/>
              </w:rPr>
            </w:pPr>
          </w:p>
        </w:tc>
      </w:tr>
    </w:tbl>
    <w:p w14:paraId="7F0CC6B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2742E8B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09D3D73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407AD63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3C9234EF">
      <w:pPr>
        <w:spacing w:line="360" w:lineRule="auto"/>
        <w:contextualSpacing/>
        <w:jc w:val="left"/>
        <w:rPr>
          <w:rFonts w:ascii="宋体" w:hAnsi="宋体" w:cs="宋体"/>
          <w:color w:val="auto"/>
          <w:sz w:val="24"/>
          <w:highlight w:val="none"/>
        </w:rPr>
      </w:pPr>
    </w:p>
    <w:p w14:paraId="1257AF3D">
      <w:pPr>
        <w:spacing w:line="360" w:lineRule="auto"/>
        <w:contextualSpacing/>
        <w:jc w:val="left"/>
        <w:rPr>
          <w:rFonts w:ascii="宋体" w:hAnsi="宋体" w:cs="宋体"/>
          <w:color w:val="auto"/>
          <w:sz w:val="24"/>
          <w:highlight w:val="none"/>
        </w:rPr>
      </w:pPr>
    </w:p>
    <w:p w14:paraId="7744EE4A">
      <w:pPr>
        <w:spacing w:line="360" w:lineRule="auto"/>
        <w:contextualSpacing/>
        <w:jc w:val="left"/>
        <w:rPr>
          <w:rFonts w:ascii="宋体" w:hAnsi="宋体" w:cs="宋体"/>
          <w:color w:val="auto"/>
          <w:sz w:val="24"/>
          <w:highlight w:val="none"/>
        </w:rPr>
      </w:pPr>
    </w:p>
    <w:p w14:paraId="0113AC06">
      <w:pPr>
        <w:spacing w:line="360" w:lineRule="auto"/>
        <w:contextualSpacing/>
        <w:jc w:val="left"/>
        <w:rPr>
          <w:rFonts w:ascii="宋体" w:hAnsi="宋体" w:cs="宋体"/>
          <w:color w:val="auto"/>
          <w:sz w:val="24"/>
          <w:highlight w:val="none"/>
        </w:rPr>
      </w:pPr>
    </w:p>
    <w:p w14:paraId="05DFB0DF">
      <w:pPr>
        <w:spacing w:line="360" w:lineRule="auto"/>
        <w:contextualSpacing/>
        <w:jc w:val="left"/>
        <w:rPr>
          <w:rFonts w:ascii="宋体" w:hAnsi="宋体" w:cs="宋体"/>
          <w:color w:val="auto"/>
          <w:sz w:val="24"/>
          <w:highlight w:val="none"/>
        </w:rPr>
      </w:pPr>
    </w:p>
    <w:p w14:paraId="222C4F95">
      <w:pPr>
        <w:spacing w:line="360" w:lineRule="auto"/>
        <w:contextualSpacing/>
        <w:jc w:val="left"/>
        <w:rPr>
          <w:rFonts w:ascii="宋体" w:hAnsi="宋体" w:cs="宋体"/>
          <w:color w:val="auto"/>
          <w:sz w:val="24"/>
          <w:highlight w:val="none"/>
        </w:rPr>
      </w:pPr>
    </w:p>
    <w:p w14:paraId="24DCAD70">
      <w:pPr>
        <w:spacing w:line="360" w:lineRule="auto"/>
        <w:ind w:right="480" w:firstLine="3360" w:firstLineChars="1400"/>
        <w:contextualSpacing/>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18BC16A7">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245B6033">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年    月    日</w:t>
      </w:r>
    </w:p>
    <w:p w14:paraId="573AD6A4">
      <w:pPr>
        <w:spacing w:line="320" w:lineRule="exact"/>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6B5F52E9">
      <w:pPr>
        <w:spacing w:line="320" w:lineRule="exact"/>
        <w:jc w:val="center"/>
        <w:rPr>
          <w:rFonts w:ascii="宋体" w:hAnsi="宋体" w:cs="宋体"/>
          <w:color w:val="auto"/>
          <w:sz w:val="24"/>
          <w:szCs w:val="20"/>
          <w:highlight w:val="none"/>
        </w:rPr>
      </w:pPr>
    </w:p>
    <w:p w14:paraId="43B6773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A582D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35CDBD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EC375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50BF9D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4EC51A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CA988C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41B2A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369EFD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089D60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DCFD16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81A2FE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093AC2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C921D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F8D8F3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66FA0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10EE22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6334EA2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301268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90A34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49A2F8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E6AF326">
      <w:pPr>
        <w:pStyle w:val="18"/>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96FBB5F">
      <w:pPr>
        <w:pStyle w:val="18"/>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D6784E8">
      <w:pPr>
        <w:pStyle w:val="17"/>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74443CA7">
      <w:pPr>
        <w:pStyle w:val="17"/>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FB531C6">
      <w:pPr>
        <w:pStyle w:val="17"/>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0F02D3B">
      <w:pPr>
        <w:pStyle w:val="17"/>
        <w:tabs>
          <w:tab w:val="left" w:pos="939"/>
        </w:tabs>
        <w:spacing w:line="360" w:lineRule="auto"/>
        <w:ind w:left="0" w:leftChars="0" w:firstLine="480" w:firstLineChars="200"/>
        <w:rPr>
          <w:rFonts w:ascii="宋体" w:hAnsi="宋体" w:cs="宋体"/>
          <w:color w:val="auto"/>
          <w:sz w:val="24"/>
          <w:highlight w:val="none"/>
        </w:rPr>
      </w:pPr>
    </w:p>
    <w:p w14:paraId="271228A0">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9AB92F3">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5DECA3">
      <w:pPr>
        <w:spacing w:line="360" w:lineRule="auto"/>
        <w:ind w:right="480" w:firstLine="240" w:firstLineChars="1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6EEFFA6E">
      <w:pPr>
        <w:spacing w:line="360" w:lineRule="auto"/>
        <w:ind w:right="480" w:firstLine="240" w:firstLineChars="100"/>
        <w:contextualSpacing/>
        <w:jc w:val="center"/>
        <w:rPr>
          <w:rFonts w:ascii="宋体" w:hAnsi="宋体" w:cs="宋体"/>
          <w:b/>
          <w:bCs/>
          <w:color w:val="auto"/>
          <w:sz w:val="32"/>
          <w:szCs w:val="32"/>
          <w:highlight w:val="none"/>
        </w:rPr>
      </w:pPr>
      <w:r>
        <w:rPr>
          <w:rFonts w:hint="eastAsia" w:ascii="宋体" w:hAnsi="宋体" w:cs="宋体"/>
          <w:color w:val="auto"/>
          <w:sz w:val="24"/>
          <w:highlight w:val="none"/>
        </w:rPr>
        <w:br w:type="page"/>
      </w:r>
    </w:p>
    <w:p w14:paraId="649A1902">
      <w:pPr>
        <w:snapToGrid w:val="0"/>
        <w:spacing w:before="156" w:beforeLines="50" w:after="50" w:line="360" w:lineRule="auto"/>
        <w:ind w:right="480"/>
        <w:rPr>
          <w:rFonts w:ascii="宋体" w:hAnsi="宋体" w:cs="宋体"/>
          <w:b/>
          <w:color w:val="auto"/>
          <w:sz w:val="32"/>
          <w:szCs w:val="32"/>
          <w:highlight w:val="none"/>
        </w:rPr>
      </w:pP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6E77F254">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3FCB40E8">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39624CCD">
      <w:pPr>
        <w:snapToGrid w:val="0"/>
        <w:spacing w:before="156" w:beforeLines="50" w:after="50"/>
        <w:rPr>
          <w:rFonts w:ascii="宋体" w:hAnsi="宋体" w:cs="宋体"/>
          <w:color w:val="auto"/>
          <w:sz w:val="24"/>
          <w:szCs w:val="20"/>
          <w:highlight w:val="none"/>
        </w:rPr>
      </w:pPr>
    </w:p>
    <w:p w14:paraId="18B557B2">
      <w:pPr>
        <w:snapToGrid w:val="0"/>
        <w:spacing w:before="156"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389ABF05">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  价  商  务  技  术  文  件</w:t>
      </w:r>
    </w:p>
    <w:p w14:paraId="353B69EE">
      <w:pPr>
        <w:snapToGrid w:val="0"/>
        <w:spacing w:before="156" w:beforeLines="50" w:after="50"/>
        <w:rPr>
          <w:rFonts w:ascii="宋体" w:hAnsi="宋体" w:cs="宋体"/>
          <w:bCs/>
          <w:color w:val="auto"/>
          <w:sz w:val="24"/>
          <w:szCs w:val="20"/>
          <w:highlight w:val="none"/>
        </w:rPr>
      </w:pPr>
    </w:p>
    <w:p w14:paraId="6CFE125C">
      <w:pPr>
        <w:snapToGrid w:val="0"/>
        <w:spacing w:before="156" w:beforeLines="50" w:after="50"/>
        <w:rPr>
          <w:rFonts w:ascii="宋体" w:hAnsi="宋体" w:cs="宋体"/>
          <w:bCs/>
          <w:color w:val="auto"/>
          <w:sz w:val="24"/>
          <w:szCs w:val="20"/>
          <w:highlight w:val="none"/>
        </w:rPr>
      </w:pPr>
    </w:p>
    <w:p w14:paraId="01619D8E">
      <w:pPr>
        <w:snapToGrid w:val="0"/>
        <w:spacing w:before="156" w:beforeLines="50" w:after="50"/>
        <w:rPr>
          <w:rFonts w:ascii="宋体" w:hAnsi="宋体" w:cs="宋体"/>
          <w:bCs/>
          <w:color w:val="auto"/>
          <w:sz w:val="24"/>
          <w:szCs w:val="20"/>
          <w:highlight w:val="none"/>
        </w:rPr>
      </w:pPr>
    </w:p>
    <w:p w14:paraId="4DDFA44D">
      <w:pPr>
        <w:snapToGrid w:val="0"/>
        <w:spacing w:before="156" w:beforeLines="50" w:after="50"/>
        <w:rPr>
          <w:rFonts w:ascii="宋体" w:hAnsi="宋体" w:cs="宋体"/>
          <w:bCs/>
          <w:color w:val="auto"/>
          <w:sz w:val="24"/>
          <w:szCs w:val="20"/>
          <w:highlight w:val="none"/>
        </w:rPr>
      </w:pPr>
    </w:p>
    <w:p w14:paraId="2A445D0B">
      <w:pPr>
        <w:snapToGrid w:val="0"/>
        <w:spacing w:before="156" w:beforeLines="50" w:after="50"/>
        <w:rPr>
          <w:rFonts w:ascii="宋体" w:hAnsi="宋体" w:cs="宋体"/>
          <w:bCs/>
          <w:color w:val="auto"/>
          <w:sz w:val="24"/>
          <w:szCs w:val="20"/>
          <w:highlight w:val="none"/>
        </w:rPr>
      </w:pPr>
    </w:p>
    <w:p w14:paraId="7622EDE9">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DC39431">
      <w:pPr>
        <w:snapToGrid w:val="0"/>
        <w:spacing w:before="156" w:beforeLines="50" w:after="50"/>
        <w:ind w:firstLine="720" w:firstLineChars="225"/>
        <w:rPr>
          <w:rFonts w:ascii="宋体" w:hAnsi="宋体" w:cs="宋体"/>
          <w:bCs/>
          <w:color w:val="auto"/>
          <w:sz w:val="32"/>
          <w:szCs w:val="32"/>
          <w:highlight w:val="none"/>
        </w:rPr>
      </w:pPr>
    </w:p>
    <w:p w14:paraId="6A261234">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84BC453">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4A15A0E">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w:t>
      </w:r>
    </w:p>
    <w:p w14:paraId="5247B2A0">
      <w:pPr>
        <w:snapToGrid w:val="0"/>
        <w:spacing w:before="156" w:beforeLines="50" w:after="50"/>
        <w:ind w:firstLine="720" w:firstLineChars="225"/>
        <w:rPr>
          <w:rFonts w:ascii="宋体" w:hAnsi="宋体" w:cs="宋体"/>
          <w:bCs/>
          <w:color w:val="auto"/>
          <w:sz w:val="32"/>
          <w:szCs w:val="32"/>
          <w:highlight w:val="none"/>
        </w:rPr>
      </w:pPr>
    </w:p>
    <w:p w14:paraId="7D657963">
      <w:pPr>
        <w:pStyle w:val="9"/>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EB6B32E">
      <w:pPr>
        <w:pStyle w:val="9"/>
        <w:snapToGrid w:val="0"/>
        <w:spacing w:before="50" w:after="50"/>
        <w:ind w:firstLine="720" w:firstLineChars="225"/>
        <w:rPr>
          <w:rFonts w:ascii="宋体" w:hAnsi="宋体" w:cs="宋体"/>
          <w:bCs/>
          <w:color w:val="auto"/>
          <w:sz w:val="32"/>
          <w:szCs w:val="32"/>
          <w:highlight w:val="none"/>
        </w:rPr>
      </w:pPr>
    </w:p>
    <w:p w14:paraId="1266DD93">
      <w:pPr>
        <w:pStyle w:val="9"/>
        <w:snapToGrid w:val="0"/>
        <w:spacing w:before="50" w:after="50"/>
        <w:ind w:firstLine="720" w:firstLineChars="225"/>
        <w:rPr>
          <w:rFonts w:ascii="宋体" w:hAnsi="宋体" w:cs="宋体"/>
          <w:bCs/>
          <w:color w:val="auto"/>
          <w:sz w:val="32"/>
          <w:szCs w:val="32"/>
          <w:highlight w:val="none"/>
        </w:rPr>
      </w:pPr>
    </w:p>
    <w:p w14:paraId="0B26603F">
      <w:pPr>
        <w:pStyle w:val="9"/>
        <w:snapToGrid w:val="0"/>
        <w:spacing w:before="50" w:after="50"/>
        <w:ind w:firstLine="1280" w:firstLineChars="400"/>
        <w:rPr>
          <w:rFonts w:ascii="宋体" w:hAnsi="宋体" w:cs="宋体"/>
          <w:bCs/>
          <w:color w:val="auto"/>
          <w:sz w:val="32"/>
          <w:szCs w:val="32"/>
          <w:highlight w:val="none"/>
        </w:rPr>
      </w:pPr>
    </w:p>
    <w:p w14:paraId="555FA658">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89B2773">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1FC53076">
      <w:pPr>
        <w:snapToGrid w:val="0"/>
        <w:spacing w:before="156"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1DFD8749">
      <w:pPr>
        <w:spacing w:line="400" w:lineRule="exact"/>
        <w:rPr>
          <w:rFonts w:ascii="宋体" w:hAnsi="宋体" w:cs="宋体"/>
          <w:color w:val="auto"/>
          <w:sz w:val="32"/>
          <w:szCs w:val="32"/>
          <w:highlight w:val="none"/>
        </w:rPr>
      </w:pPr>
    </w:p>
    <w:p w14:paraId="12AF4089">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14B9DC41">
      <w:pPr>
        <w:spacing w:line="360" w:lineRule="auto"/>
        <w:ind w:firstLine="640" w:firstLineChars="200"/>
        <w:contextualSpacing/>
        <w:rPr>
          <w:rFonts w:ascii="宋体" w:hAnsi="宋体" w:cs="宋体"/>
          <w:color w:val="auto"/>
          <w:sz w:val="32"/>
          <w:szCs w:val="32"/>
          <w:highlight w:val="none"/>
        </w:rPr>
      </w:pPr>
    </w:p>
    <w:p w14:paraId="7601940A">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3302F1D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37DB75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1B99D81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3A55EA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65CE420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3744C9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33C6F028">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3A905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818E2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2F25BE9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85540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65D7729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67022D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5DBDC09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6075279B">
      <w:pPr>
        <w:spacing w:line="360" w:lineRule="auto"/>
        <w:ind w:firstLine="480" w:firstLineChars="200"/>
        <w:contextualSpacing/>
        <w:rPr>
          <w:rFonts w:ascii="宋体" w:hAnsi="宋体" w:cs="宋体"/>
          <w:color w:val="auto"/>
          <w:sz w:val="24"/>
          <w:highlight w:val="none"/>
        </w:rPr>
      </w:pPr>
    </w:p>
    <w:p w14:paraId="34BDAD70">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13904A09">
      <w:pPr>
        <w:spacing w:line="360" w:lineRule="auto"/>
        <w:contextualSpacing/>
        <w:rPr>
          <w:rFonts w:ascii="宋体" w:hAnsi="宋体" w:cs="宋体"/>
          <w:color w:val="auto"/>
          <w:sz w:val="24"/>
          <w:highlight w:val="none"/>
        </w:rPr>
      </w:pPr>
    </w:p>
    <w:p w14:paraId="45BF1CB4">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供应商（盖公章）：</w:t>
      </w:r>
    </w:p>
    <w:p w14:paraId="1C7FED88">
      <w:pPr>
        <w:spacing w:line="360" w:lineRule="auto"/>
        <w:ind w:firstLine="480" w:firstLineChars="200"/>
        <w:contextualSpacing/>
        <w:jc w:val="center"/>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2C0C3201">
      <w:pPr>
        <w:pStyle w:val="23"/>
        <w:tabs>
          <w:tab w:val="right" w:leader="dot" w:pos="8398"/>
        </w:tabs>
        <w:rPr>
          <w:color w:val="auto"/>
          <w:highlight w:val="none"/>
        </w:rPr>
      </w:pPr>
      <w:r>
        <w:rPr>
          <w:rFonts w:hint="eastAsia" w:ascii="宋体" w:hAnsi="宋体" w:cs="宋体"/>
          <w:bCs/>
          <w:color w:val="auto"/>
          <w:sz w:val="44"/>
          <w:szCs w:val="44"/>
          <w:highlight w:val="none"/>
        </w:rPr>
        <w:br w:type="page"/>
      </w:r>
    </w:p>
    <w:p w14:paraId="372CB71E">
      <w:pPr>
        <w:spacing w:line="5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磋商报价表（格式）</w:t>
      </w:r>
    </w:p>
    <w:p w14:paraId="33D59391">
      <w:pPr>
        <w:spacing w:line="500" w:lineRule="exact"/>
        <w:jc w:val="center"/>
        <w:rPr>
          <w:rFonts w:ascii="宋体" w:hAnsi="宋体" w:cs="宋体"/>
          <w:b/>
          <w:color w:val="auto"/>
          <w:sz w:val="32"/>
          <w:szCs w:val="32"/>
          <w:highlight w:val="none"/>
        </w:rPr>
      </w:pPr>
    </w:p>
    <w:p w14:paraId="697F982D">
      <w:pPr>
        <w:spacing w:line="300" w:lineRule="auto"/>
        <w:ind w:firstLine="210" w:firstLineChars="100"/>
        <w:rPr>
          <w:rFonts w:ascii="宋体" w:hAnsi="宋体"/>
          <w:color w:val="auto"/>
          <w:sz w:val="21"/>
          <w:szCs w:val="21"/>
          <w:highlight w:val="none"/>
          <w:u w:val="single"/>
        </w:rPr>
      </w:pPr>
      <w:r>
        <w:rPr>
          <w:rFonts w:ascii="宋体" w:hAnsi="宋体"/>
          <w:color w:val="auto"/>
          <w:sz w:val="21"/>
          <w:szCs w:val="21"/>
          <w:highlight w:val="none"/>
        </w:rPr>
        <w:t>采购项目编号:</w:t>
      </w:r>
      <w:r>
        <w:rPr>
          <w:rFonts w:ascii="宋体" w:hAnsi="宋体"/>
          <w:color w:val="auto"/>
          <w:sz w:val="21"/>
          <w:szCs w:val="21"/>
          <w:highlight w:val="none"/>
          <w:u w:val="single"/>
        </w:rPr>
        <w:t xml:space="preserve">                 </w:t>
      </w:r>
    </w:p>
    <w:p w14:paraId="6F8602DD">
      <w:pPr>
        <w:spacing w:line="300" w:lineRule="auto"/>
        <w:ind w:firstLine="210" w:firstLineChars="100"/>
        <w:rPr>
          <w:rFonts w:ascii="宋体" w:hAnsi="宋体"/>
          <w:color w:val="auto"/>
          <w:sz w:val="21"/>
          <w:szCs w:val="21"/>
          <w:highlight w:val="none"/>
          <w:u w:val="single"/>
        </w:rPr>
      </w:pPr>
      <w:r>
        <w:rPr>
          <w:rFonts w:ascii="宋体" w:hAnsi="宋体"/>
          <w:color w:val="auto"/>
          <w:sz w:val="21"/>
          <w:szCs w:val="21"/>
          <w:highlight w:val="none"/>
        </w:rPr>
        <w:t>采购项目名称:</w:t>
      </w:r>
      <w:r>
        <w:rPr>
          <w:rFonts w:ascii="宋体" w:hAnsi="宋体"/>
          <w:color w:val="auto"/>
          <w:sz w:val="21"/>
          <w:szCs w:val="21"/>
          <w:highlight w:val="none"/>
          <w:u w:val="single"/>
        </w:rPr>
        <w:t xml:space="preserve">                 </w:t>
      </w:r>
    </w:p>
    <w:tbl>
      <w:tblPr>
        <w:tblStyle w:val="32"/>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914"/>
      </w:tblGrid>
      <w:tr w14:paraId="7293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7D8008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E74CA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22E15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6B69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5F7A9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0FA8FB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单项合价（元）</w:t>
            </w:r>
          </w:p>
          <w:p w14:paraId="060CB9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③＝①×②</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62476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340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04E43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D4005A">
            <w:pPr>
              <w:rPr>
                <w:rFonts w:hint="eastAsia"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3B76615">
            <w:pPr>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643D07">
            <w:pPr>
              <w:rPr>
                <w:rFonts w:hint="eastAsia" w:ascii="宋体" w:hAnsi="宋体" w:eastAsia="宋体"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FA0321">
            <w:pPr>
              <w:rPr>
                <w:rFonts w:hint="eastAsia" w:ascii="宋体" w:hAnsi="宋体" w:eastAsia="宋体"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7B12214">
            <w:pPr>
              <w:rPr>
                <w:rFonts w:hint="eastAsia" w:ascii="宋体" w:hAnsi="宋体" w:eastAsia="宋体" w:cs="宋体"/>
                <w:color w:val="auto"/>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top"/>
          </w:tcPr>
          <w:p w14:paraId="06052B6A">
            <w:pPr>
              <w:rPr>
                <w:rFonts w:hint="eastAsia" w:ascii="宋体" w:hAnsi="宋体" w:eastAsia="宋体" w:cs="宋体"/>
                <w:color w:val="auto"/>
                <w:sz w:val="21"/>
                <w:szCs w:val="21"/>
                <w:highlight w:val="none"/>
              </w:rPr>
            </w:pPr>
          </w:p>
        </w:tc>
      </w:tr>
      <w:tr w14:paraId="61CE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23E98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577F89">
            <w:pPr>
              <w:rPr>
                <w:rFonts w:hint="eastAsia"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56E9379">
            <w:pPr>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C39478">
            <w:pPr>
              <w:rPr>
                <w:rFonts w:hint="eastAsia" w:ascii="宋体" w:hAnsi="宋体" w:eastAsia="宋体"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18A44D">
            <w:pPr>
              <w:rPr>
                <w:rFonts w:hint="eastAsia" w:ascii="宋体" w:hAnsi="宋体" w:eastAsia="宋体"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F890944">
            <w:pPr>
              <w:rPr>
                <w:rFonts w:hint="eastAsia" w:ascii="宋体" w:hAnsi="宋体" w:eastAsia="宋体" w:cs="宋体"/>
                <w:color w:val="auto"/>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top"/>
          </w:tcPr>
          <w:p w14:paraId="4A41DAC9">
            <w:pPr>
              <w:rPr>
                <w:rFonts w:hint="eastAsia" w:ascii="宋体" w:hAnsi="宋体" w:eastAsia="宋体" w:cs="宋体"/>
                <w:color w:val="auto"/>
                <w:sz w:val="21"/>
                <w:szCs w:val="21"/>
                <w:highlight w:val="none"/>
              </w:rPr>
            </w:pPr>
          </w:p>
        </w:tc>
      </w:tr>
      <w:tr w14:paraId="0AE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38150C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8C6889">
            <w:pPr>
              <w:rPr>
                <w:rFonts w:hint="eastAsia"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F3E2BC9">
            <w:pPr>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44DE13">
            <w:pPr>
              <w:rPr>
                <w:rFonts w:hint="eastAsia" w:ascii="宋体" w:hAnsi="宋体" w:eastAsia="宋体"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62477E">
            <w:pPr>
              <w:rPr>
                <w:rFonts w:hint="eastAsia" w:ascii="宋体" w:hAnsi="宋体" w:eastAsia="宋体"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C08F4DA">
            <w:pPr>
              <w:rPr>
                <w:rFonts w:hint="eastAsia" w:ascii="宋体" w:hAnsi="宋体" w:eastAsia="宋体" w:cs="宋体"/>
                <w:color w:val="auto"/>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top"/>
          </w:tcPr>
          <w:p w14:paraId="38676CDD">
            <w:pPr>
              <w:rPr>
                <w:rFonts w:hint="eastAsia" w:ascii="宋体" w:hAnsi="宋体" w:eastAsia="宋体" w:cs="宋体"/>
                <w:color w:val="auto"/>
                <w:sz w:val="21"/>
                <w:szCs w:val="21"/>
                <w:highlight w:val="none"/>
              </w:rPr>
            </w:pPr>
          </w:p>
        </w:tc>
      </w:tr>
      <w:tr w14:paraId="1A46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782C6D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报价合计（包含税费等所有费用）：（大写）人民币  （￥  元）</w:t>
            </w:r>
          </w:p>
        </w:tc>
      </w:tr>
      <w:tr w14:paraId="2B7D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CC9C60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分标（此处有分标时填写具体分标号，无分标时填写“无”）</w:t>
            </w:r>
          </w:p>
        </w:tc>
      </w:tr>
      <w:tr w14:paraId="58BB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425BCD66">
            <w:pPr>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服务</w:t>
            </w:r>
            <w:r>
              <w:rPr>
                <w:rFonts w:hint="eastAsia" w:ascii="宋体" w:hAnsi="宋体" w:cs="宋体"/>
                <w:color w:val="auto"/>
                <w:sz w:val="21"/>
                <w:szCs w:val="21"/>
                <w:highlight w:val="none"/>
              </w:rPr>
              <w:t>期限：</w:t>
            </w:r>
          </w:p>
        </w:tc>
      </w:tr>
    </w:tbl>
    <w:p w14:paraId="43663F26">
      <w:pPr>
        <w:bidi w:val="0"/>
        <w:rPr>
          <w:color w:val="auto"/>
          <w:sz w:val="21"/>
          <w:szCs w:val="21"/>
          <w:highlight w:val="none"/>
        </w:rPr>
      </w:pPr>
    </w:p>
    <w:p w14:paraId="3DB7BEF5">
      <w:pPr>
        <w:pStyle w:val="18"/>
        <w:spacing w:line="500" w:lineRule="exact"/>
        <w:rPr>
          <w:rFonts w:hAnsi="宋体" w:cs="宋体"/>
          <w:color w:val="auto"/>
          <w:sz w:val="21"/>
          <w:szCs w:val="21"/>
          <w:highlight w:val="none"/>
        </w:rPr>
      </w:pPr>
    </w:p>
    <w:p w14:paraId="03642273">
      <w:pPr>
        <w:pStyle w:val="18"/>
        <w:spacing w:line="500" w:lineRule="exact"/>
        <w:ind w:firstLine="210" w:firstLineChars="100"/>
        <w:rPr>
          <w:rFonts w:hAnsi="宋体" w:cs="宋体"/>
          <w:color w:val="auto"/>
          <w:sz w:val="21"/>
          <w:szCs w:val="21"/>
          <w:highlight w:val="none"/>
          <w:u w:val="single"/>
        </w:rPr>
      </w:pPr>
      <w:r>
        <w:rPr>
          <w:rFonts w:hint="eastAsia" w:hAnsi="宋体" w:cs="宋体"/>
          <w:color w:val="auto"/>
          <w:sz w:val="21"/>
          <w:szCs w:val="21"/>
          <w:highlight w:val="none"/>
        </w:rPr>
        <w:t>法定代表人或委托代理人（签字）：</w:t>
      </w:r>
      <w:r>
        <w:rPr>
          <w:rFonts w:hint="eastAsia" w:hAnsi="宋体" w:cs="宋体"/>
          <w:color w:val="auto"/>
          <w:sz w:val="21"/>
          <w:szCs w:val="21"/>
          <w:highlight w:val="none"/>
          <w:u w:val="single"/>
        </w:rPr>
        <w:t xml:space="preserve">                  </w:t>
      </w:r>
    </w:p>
    <w:p w14:paraId="5057CF4C">
      <w:pPr>
        <w:pStyle w:val="18"/>
        <w:spacing w:line="500" w:lineRule="exact"/>
        <w:ind w:firstLine="210" w:firstLineChars="100"/>
        <w:rPr>
          <w:rFonts w:hAnsi="宋体" w:cs="宋体"/>
          <w:color w:val="auto"/>
          <w:sz w:val="21"/>
          <w:szCs w:val="21"/>
          <w:highlight w:val="none"/>
          <w:u w:val="single"/>
        </w:rPr>
      </w:pPr>
      <w:r>
        <w:rPr>
          <w:rFonts w:hint="eastAsia" w:hAnsi="宋体" w:cs="宋体"/>
          <w:color w:val="auto"/>
          <w:sz w:val="21"/>
          <w:szCs w:val="21"/>
          <w:highlight w:val="none"/>
        </w:rPr>
        <w:t>供应商名称（盖章）：</w:t>
      </w:r>
      <w:r>
        <w:rPr>
          <w:rFonts w:hint="eastAsia" w:hAnsi="宋体" w:cs="宋体"/>
          <w:color w:val="auto"/>
          <w:sz w:val="21"/>
          <w:szCs w:val="21"/>
          <w:highlight w:val="none"/>
          <w:u w:val="single"/>
        </w:rPr>
        <w:t xml:space="preserve">                              </w:t>
      </w:r>
    </w:p>
    <w:p w14:paraId="61694799">
      <w:pPr>
        <w:pStyle w:val="18"/>
        <w:spacing w:line="500" w:lineRule="exact"/>
        <w:ind w:firstLine="210" w:firstLineChars="100"/>
        <w:rPr>
          <w:rFonts w:hAnsi="宋体" w:cs="宋体"/>
          <w:color w:val="auto"/>
          <w:sz w:val="21"/>
          <w:szCs w:val="21"/>
          <w:highlight w:val="none"/>
        </w:rPr>
      </w:pPr>
      <w:r>
        <w:rPr>
          <w:rFonts w:hint="eastAsia" w:hAnsi="宋体" w:cs="宋体"/>
          <w:color w:val="auto"/>
          <w:sz w:val="21"/>
          <w:szCs w:val="21"/>
          <w:highlight w:val="none"/>
        </w:rPr>
        <w:t>日期：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14:paraId="270E9B1F">
      <w:pPr>
        <w:spacing w:before="312" w:beforeLines="100" w:after="156" w:afterLines="50" w:line="520" w:lineRule="exact"/>
        <w:jc w:val="center"/>
        <w:rPr>
          <w:rFonts w:ascii="宋体" w:hAnsi="宋体" w:cs="宋体"/>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宋体" w:hAnsi="宋体" w:cs="宋体"/>
          <w:bCs/>
          <w:color w:val="auto"/>
          <w:sz w:val="44"/>
          <w:szCs w:val="44"/>
          <w:highlight w:val="none"/>
        </w:rPr>
        <w:t>法定代表人身份证明</w:t>
      </w:r>
    </w:p>
    <w:p w14:paraId="3CA94C64">
      <w:pPr>
        <w:spacing w:line="360" w:lineRule="auto"/>
        <w:ind w:left="540"/>
        <w:contextualSpacing/>
        <w:rPr>
          <w:rFonts w:ascii="宋体" w:hAnsi="宋体" w:cs="宋体"/>
          <w:color w:val="auto"/>
          <w:sz w:val="32"/>
          <w:szCs w:val="32"/>
          <w:highlight w:val="none"/>
        </w:rPr>
      </w:pPr>
    </w:p>
    <w:p w14:paraId="08FA956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06821B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32ADA8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08FAAAE">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6134A5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61B672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F5D4CA5">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E0A2227">
      <w:pPr>
        <w:spacing w:line="360" w:lineRule="auto"/>
        <w:ind w:left="540"/>
        <w:contextualSpacing/>
        <w:rPr>
          <w:rFonts w:ascii="宋体" w:hAnsi="宋体" w:cs="宋体"/>
          <w:color w:val="auto"/>
          <w:sz w:val="24"/>
          <w:highlight w:val="none"/>
        </w:rPr>
      </w:pPr>
    </w:p>
    <w:p w14:paraId="58AEC7D4">
      <w:pPr>
        <w:spacing w:line="360" w:lineRule="auto"/>
        <w:ind w:left="540"/>
        <w:contextualSpacing/>
        <w:rPr>
          <w:rFonts w:ascii="宋体" w:hAnsi="宋体" w:cs="宋体"/>
          <w:color w:val="auto"/>
          <w:sz w:val="24"/>
          <w:highlight w:val="none"/>
        </w:rPr>
      </w:pPr>
    </w:p>
    <w:p w14:paraId="60779E06">
      <w:pPr>
        <w:spacing w:line="360" w:lineRule="auto"/>
        <w:ind w:left="540"/>
        <w:contextualSpacing/>
        <w:rPr>
          <w:rFonts w:ascii="宋体" w:hAnsi="宋体" w:cs="宋体"/>
          <w:color w:val="auto"/>
          <w:sz w:val="24"/>
          <w:highlight w:val="none"/>
        </w:rPr>
      </w:pPr>
    </w:p>
    <w:p w14:paraId="20C040F5">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5C714B7">
      <w:pPr>
        <w:spacing w:line="360" w:lineRule="auto"/>
        <w:ind w:left="540"/>
        <w:contextualSpacing/>
        <w:rPr>
          <w:rFonts w:ascii="宋体" w:hAnsi="宋体" w:cs="宋体"/>
          <w:color w:val="auto"/>
          <w:sz w:val="24"/>
          <w:highlight w:val="none"/>
        </w:rPr>
      </w:pPr>
    </w:p>
    <w:p w14:paraId="555152D0">
      <w:pPr>
        <w:spacing w:line="360" w:lineRule="auto"/>
        <w:ind w:left="540"/>
        <w:contextualSpacing/>
        <w:jc w:val="center"/>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3ECABDBA">
      <w:pPr>
        <w:spacing w:line="360" w:lineRule="auto"/>
        <w:ind w:firstLine="6960" w:firstLineChars="29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9406135">
      <w:pPr>
        <w:spacing w:line="360" w:lineRule="auto"/>
        <w:contextualSpacing/>
        <w:jc w:val="center"/>
        <w:rPr>
          <w:rFonts w:ascii="宋体" w:hAnsi="宋体" w:cs="宋体"/>
          <w:b/>
          <w:color w:val="auto"/>
          <w:sz w:val="24"/>
          <w:highlight w:val="none"/>
        </w:rPr>
      </w:pPr>
    </w:p>
    <w:p w14:paraId="7C8A8124">
      <w:pPr>
        <w:spacing w:line="360" w:lineRule="auto"/>
        <w:contextualSpacing/>
        <w:jc w:val="left"/>
        <w:rPr>
          <w:rFonts w:ascii="宋体" w:hAnsi="宋体" w:cs="宋体"/>
          <w:color w:val="auto"/>
          <w:sz w:val="24"/>
          <w:highlight w:val="none"/>
        </w:rPr>
      </w:pPr>
    </w:p>
    <w:p w14:paraId="58352E6C">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w:t>
      </w:r>
    </w:p>
    <w:p w14:paraId="6E9CFF4C">
      <w:pPr>
        <w:adjustRightInd w:val="0"/>
        <w:snapToGrid w:val="0"/>
        <w:spacing w:line="300" w:lineRule="auto"/>
        <w:jc w:val="left"/>
        <w:rPr>
          <w:rFonts w:ascii="宋体" w:hAnsi="宋体" w:cs="宋体"/>
          <w:b/>
          <w:color w:val="auto"/>
          <w:szCs w:val="21"/>
          <w:highlight w:val="none"/>
        </w:rPr>
      </w:pPr>
    </w:p>
    <w:p w14:paraId="01FF0904">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4FAD47D9">
      <w:pPr>
        <w:spacing w:line="520" w:lineRule="exact"/>
        <w:jc w:val="center"/>
        <w:rPr>
          <w:rFonts w:ascii="宋体" w:hAnsi="宋体" w:cs="宋体"/>
          <w:color w:val="auto"/>
          <w:sz w:val="44"/>
          <w:szCs w:val="44"/>
          <w:highlight w:val="none"/>
        </w:rPr>
      </w:pPr>
      <w:bookmarkStart w:id="50" w:name="_Hlk65853643"/>
      <w:r>
        <w:rPr>
          <w:rFonts w:hint="eastAsia" w:ascii="宋体" w:hAnsi="宋体" w:cs="宋体"/>
          <w:color w:val="auto"/>
          <w:sz w:val="44"/>
          <w:szCs w:val="44"/>
          <w:highlight w:val="none"/>
        </w:rPr>
        <w:t>授权委托书</w:t>
      </w:r>
    </w:p>
    <w:p w14:paraId="70DBA3FA">
      <w:pPr>
        <w:spacing w:line="52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2BE28740">
      <w:pPr>
        <w:spacing w:line="520" w:lineRule="exact"/>
        <w:rPr>
          <w:rFonts w:ascii="宋体" w:hAnsi="宋体" w:cs="宋体"/>
          <w:color w:val="auto"/>
          <w:sz w:val="32"/>
          <w:szCs w:val="32"/>
          <w:highlight w:val="none"/>
        </w:rPr>
      </w:pPr>
    </w:p>
    <w:p w14:paraId="2A01D9D8">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E14C4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5FE88F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0C714D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B9B62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D6A72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3A8722DD">
      <w:pPr>
        <w:spacing w:line="360" w:lineRule="auto"/>
        <w:rPr>
          <w:rFonts w:ascii="宋体" w:hAnsi="宋体" w:cs="宋体"/>
          <w:color w:val="auto"/>
          <w:sz w:val="24"/>
          <w:highlight w:val="none"/>
        </w:rPr>
      </w:pPr>
    </w:p>
    <w:p w14:paraId="4B51D38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法定代表人（签字或者盖章）：                    </w:t>
      </w:r>
    </w:p>
    <w:p w14:paraId="62EDE96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E3E42C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4C0187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供应商（盖公章）：                      </w:t>
      </w:r>
    </w:p>
    <w:p w14:paraId="445CC74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54FE2EA1">
      <w:pPr>
        <w:spacing w:line="360" w:lineRule="auto"/>
        <w:rPr>
          <w:rFonts w:ascii="宋体" w:hAnsi="宋体" w:cs="宋体"/>
          <w:color w:val="auto"/>
          <w:sz w:val="24"/>
          <w:highlight w:val="none"/>
        </w:rPr>
      </w:pPr>
    </w:p>
    <w:p w14:paraId="7DDE0BFF">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4B94727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bookmarkStart w:id="51" w:name="_Hlk65853109"/>
      <w:bookmarkStart w:id="52" w:name="_Hlk65853542"/>
      <w:r>
        <w:rPr>
          <w:rFonts w:hint="eastAsia" w:ascii="宋体" w:hAnsi="宋体" w:cs="宋体"/>
          <w:color w:val="auto"/>
          <w:sz w:val="24"/>
          <w:highlight w:val="none"/>
        </w:rPr>
        <w:t>法人、其他组织竞标时“我方”是指“我单位”，自然人竞标时“我方”是指“本人”。</w:t>
      </w:r>
      <w:bookmarkEnd w:id="51"/>
    </w:p>
    <w:bookmarkEnd w:id="52"/>
    <w:p w14:paraId="12C0F882">
      <w:pPr>
        <w:spacing w:line="360" w:lineRule="auto"/>
        <w:ind w:firstLine="420" w:firstLineChars="200"/>
        <w:jc w:val="left"/>
        <w:rPr>
          <w:rFonts w:ascii="宋体" w:hAnsi="宋体" w:cs="宋体"/>
          <w:color w:val="auto"/>
          <w:szCs w:val="21"/>
          <w:highlight w:val="none"/>
        </w:rPr>
      </w:pPr>
    </w:p>
    <w:p w14:paraId="6CA2294F">
      <w:pPr>
        <w:spacing w:line="500" w:lineRule="exact"/>
        <w:jc w:val="center"/>
        <w:rPr>
          <w:rFonts w:ascii="宋体" w:hAnsi="宋体" w:cs="宋体"/>
          <w:bCs/>
          <w:color w:val="auto"/>
          <w:sz w:val="44"/>
          <w:szCs w:val="44"/>
          <w:highlight w:val="none"/>
        </w:rPr>
      </w:pPr>
      <w:r>
        <w:rPr>
          <w:rFonts w:hint="eastAsia" w:ascii="宋体" w:hAnsi="宋体" w:cs="宋体"/>
          <w:color w:val="auto"/>
          <w:szCs w:val="21"/>
          <w:highlight w:val="none"/>
        </w:rPr>
        <w:br w:type="page"/>
      </w:r>
      <w:bookmarkEnd w:id="50"/>
      <w:r>
        <w:rPr>
          <w:rFonts w:hint="eastAsia" w:ascii="宋体" w:hAnsi="宋体" w:cs="宋体"/>
          <w:bCs/>
          <w:color w:val="auto"/>
          <w:sz w:val="44"/>
          <w:szCs w:val="44"/>
          <w:highlight w:val="none"/>
        </w:rPr>
        <w:t>商务要求偏离表</w:t>
      </w:r>
    </w:p>
    <w:p w14:paraId="74A6770C">
      <w:pPr>
        <w:spacing w:line="360" w:lineRule="auto"/>
        <w:contextualSpacing/>
        <w:jc w:val="left"/>
        <w:rPr>
          <w:rFonts w:ascii="宋体" w:hAnsi="宋体" w:cs="宋体"/>
          <w:color w:val="auto"/>
          <w:sz w:val="24"/>
          <w:highlight w:val="none"/>
        </w:rPr>
      </w:pPr>
    </w:p>
    <w:p w14:paraId="29C93D9C">
      <w:pPr>
        <w:pStyle w:val="18"/>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p w14:paraId="2C27308E">
      <w:pPr>
        <w:spacing w:line="360" w:lineRule="auto"/>
        <w:contextualSpacing/>
        <w:jc w:val="left"/>
        <w:rPr>
          <w:rFonts w:ascii="宋体" w:hAnsi="宋体" w:cs="宋体"/>
          <w:color w:val="auto"/>
          <w:sz w:val="24"/>
          <w:highlight w:val="none"/>
          <w:u w:val="single"/>
        </w:rPr>
      </w:pPr>
    </w:p>
    <w:tbl>
      <w:tblPr>
        <w:tblStyle w:val="3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B9A1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67D7C55">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00DF20DB">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57A110A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669C5BBE">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2E605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8AE141F">
            <w:pPr>
              <w:jc w:val="center"/>
              <w:rPr>
                <w:rFonts w:ascii="宋体" w:hAnsi="宋体" w:cs="宋体"/>
                <w:color w:val="auto"/>
                <w:sz w:val="24"/>
                <w:highlight w:val="none"/>
              </w:rPr>
            </w:pPr>
            <w:r>
              <w:rPr>
                <w:rFonts w:hint="eastAsia" w:ascii="宋体" w:hAnsi="宋体" w:cs="宋体"/>
                <w:bCs/>
                <w:color w:val="auto"/>
                <w:szCs w:val="21"/>
                <w:highlight w:val="none"/>
              </w:rPr>
              <w:t>磋商报价要求</w:t>
            </w:r>
          </w:p>
        </w:tc>
        <w:tc>
          <w:tcPr>
            <w:tcW w:w="2668" w:type="dxa"/>
            <w:tcBorders>
              <w:top w:val="single" w:color="auto" w:sz="4" w:space="0"/>
              <w:left w:val="single" w:color="auto" w:sz="4" w:space="0"/>
              <w:bottom w:val="single" w:color="auto" w:sz="4" w:space="0"/>
              <w:right w:val="single" w:color="auto" w:sz="4" w:space="0"/>
            </w:tcBorders>
            <w:vAlign w:val="center"/>
          </w:tcPr>
          <w:p w14:paraId="04518918">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591238E">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35172AE">
            <w:pPr>
              <w:spacing w:line="360" w:lineRule="auto"/>
              <w:contextualSpacing/>
              <w:jc w:val="center"/>
              <w:rPr>
                <w:rFonts w:ascii="宋体" w:hAnsi="宋体" w:cs="宋体"/>
                <w:color w:val="auto"/>
                <w:sz w:val="24"/>
                <w:highlight w:val="none"/>
              </w:rPr>
            </w:pPr>
          </w:p>
        </w:tc>
      </w:tr>
      <w:tr w14:paraId="2DEE7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178" w:type="dxa"/>
            <w:tcBorders>
              <w:top w:val="single" w:color="auto" w:sz="4" w:space="0"/>
              <w:left w:val="single" w:color="auto" w:sz="4" w:space="0"/>
              <w:bottom w:val="single" w:color="auto" w:sz="4" w:space="0"/>
              <w:right w:val="single" w:color="auto" w:sz="4" w:space="0"/>
            </w:tcBorders>
            <w:vAlign w:val="center"/>
          </w:tcPr>
          <w:p w14:paraId="0DF413F6">
            <w:pPr>
              <w:jc w:val="center"/>
              <w:rPr>
                <w:rFonts w:ascii="宋体" w:hAnsi="宋体" w:cs="宋体"/>
                <w:color w:val="auto"/>
                <w:sz w:val="24"/>
                <w:highlight w:val="none"/>
              </w:rPr>
            </w:pPr>
            <w:r>
              <w:rPr>
                <w:rFonts w:hint="eastAsia" w:ascii="宋体" w:hAnsi="宋体" w:cs="宋体"/>
                <w:color w:val="auto"/>
                <w:szCs w:val="21"/>
                <w:highlight w:val="none"/>
              </w:rPr>
              <w:t>合同履约期限（服务期限）和服务地点</w:t>
            </w:r>
          </w:p>
        </w:tc>
        <w:tc>
          <w:tcPr>
            <w:tcW w:w="2668" w:type="dxa"/>
            <w:tcBorders>
              <w:top w:val="single" w:color="auto" w:sz="4" w:space="0"/>
              <w:left w:val="single" w:color="auto" w:sz="4" w:space="0"/>
              <w:bottom w:val="single" w:color="auto" w:sz="4" w:space="0"/>
              <w:right w:val="single" w:color="auto" w:sz="4" w:space="0"/>
            </w:tcBorders>
            <w:vAlign w:val="center"/>
          </w:tcPr>
          <w:p w14:paraId="74C6BEA1">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B6B2B81">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C1D2600">
            <w:pPr>
              <w:spacing w:line="360" w:lineRule="auto"/>
              <w:ind w:left="43"/>
              <w:contextualSpacing/>
              <w:jc w:val="center"/>
              <w:rPr>
                <w:rFonts w:ascii="宋体" w:hAnsi="宋体" w:cs="宋体"/>
                <w:color w:val="auto"/>
                <w:sz w:val="24"/>
                <w:highlight w:val="none"/>
              </w:rPr>
            </w:pPr>
          </w:p>
        </w:tc>
      </w:tr>
      <w:tr w14:paraId="7C94B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53A5123">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10F240A9">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E2AF664">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D58AC9A">
            <w:pPr>
              <w:spacing w:line="360" w:lineRule="auto"/>
              <w:contextualSpacing/>
              <w:jc w:val="center"/>
              <w:rPr>
                <w:rFonts w:ascii="宋体" w:hAnsi="宋体" w:cs="宋体"/>
                <w:color w:val="auto"/>
                <w:sz w:val="24"/>
                <w:highlight w:val="none"/>
              </w:rPr>
            </w:pPr>
          </w:p>
        </w:tc>
      </w:tr>
      <w:tr w14:paraId="72F08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C67F71B">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7F747ED6">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E4D2375">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DCD3CD6">
            <w:pPr>
              <w:spacing w:line="360" w:lineRule="auto"/>
              <w:contextualSpacing/>
              <w:jc w:val="center"/>
              <w:rPr>
                <w:rFonts w:ascii="宋体" w:hAnsi="宋体" w:cs="宋体"/>
                <w:color w:val="auto"/>
                <w:sz w:val="24"/>
                <w:highlight w:val="none"/>
              </w:rPr>
            </w:pPr>
          </w:p>
        </w:tc>
      </w:tr>
    </w:tbl>
    <w:p w14:paraId="0442E262">
      <w:pPr>
        <w:pStyle w:val="15"/>
        <w:spacing w:after="0" w:line="360" w:lineRule="auto"/>
        <w:ind w:firstLine="240" w:firstLineChars="1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768BF8A7">
      <w:pPr>
        <w:pStyle w:val="15"/>
        <w:spacing w:after="0" w:line="360" w:lineRule="auto"/>
        <w:ind w:firstLine="240" w:firstLineChars="100"/>
        <w:contextualSpacing/>
        <w:rPr>
          <w:rFonts w:ascii="宋体" w:hAnsi="宋体" w:cs="宋体"/>
          <w:color w:val="auto"/>
          <w:kern w:val="0"/>
          <w:sz w:val="24"/>
          <w:szCs w:val="24"/>
          <w:highlight w:val="none"/>
        </w:rPr>
      </w:pPr>
    </w:p>
    <w:p w14:paraId="4BFAF743">
      <w:pPr>
        <w:pStyle w:val="15"/>
        <w:spacing w:after="0" w:line="360" w:lineRule="auto"/>
        <w:ind w:firstLine="240" w:firstLineChars="100"/>
        <w:contextualSpacing/>
        <w:rPr>
          <w:rFonts w:ascii="宋体" w:hAnsi="宋体" w:cs="宋体"/>
          <w:color w:val="auto"/>
          <w:kern w:val="0"/>
          <w:sz w:val="24"/>
          <w:szCs w:val="24"/>
          <w:highlight w:val="none"/>
        </w:rPr>
      </w:pPr>
    </w:p>
    <w:p w14:paraId="6E7853FF">
      <w:pPr>
        <w:pStyle w:val="15"/>
        <w:spacing w:after="0" w:line="360" w:lineRule="auto"/>
        <w:ind w:firstLine="240" w:firstLineChars="100"/>
        <w:contextualSpacing/>
        <w:rPr>
          <w:rFonts w:ascii="宋体" w:hAnsi="宋体" w:cs="宋体"/>
          <w:color w:val="auto"/>
          <w:kern w:val="0"/>
          <w:sz w:val="24"/>
          <w:szCs w:val="24"/>
          <w:highlight w:val="none"/>
        </w:rPr>
      </w:pPr>
    </w:p>
    <w:p w14:paraId="7FDB52EF">
      <w:pPr>
        <w:pStyle w:val="15"/>
        <w:spacing w:after="0" w:line="360" w:lineRule="auto"/>
        <w:ind w:firstLine="240" w:firstLineChars="100"/>
        <w:contextualSpacing/>
        <w:rPr>
          <w:rFonts w:ascii="宋体" w:hAnsi="宋体" w:cs="宋体"/>
          <w:color w:val="auto"/>
          <w:kern w:val="0"/>
          <w:sz w:val="24"/>
          <w:szCs w:val="24"/>
          <w:highlight w:val="none"/>
        </w:rPr>
      </w:pPr>
    </w:p>
    <w:p w14:paraId="76BF6F5F">
      <w:pPr>
        <w:pStyle w:val="15"/>
        <w:spacing w:after="0" w:line="360" w:lineRule="auto"/>
        <w:ind w:firstLine="240" w:firstLineChars="100"/>
        <w:contextualSpacing/>
        <w:rPr>
          <w:rFonts w:ascii="宋体" w:hAnsi="宋体" w:cs="宋体"/>
          <w:color w:val="auto"/>
          <w:kern w:val="0"/>
          <w:sz w:val="24"/>
          <w:szCs w:val="24"/>
          <w:highlight w:val="none"/>
        </w:rPr>
      </w:pPr>
    </w:p>
    <w:p w14:paraId="75BEABE6">
      <w:pPr>
        <w:pStyle w:val="15"/>
        <w:spacing w:after="0" w:line="360" w:lineRule="auto"/>
        <w:ind w:firstLine="240" w:firstLineChars="1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2C22E1DE">
      <w:pPr>
        <w:pStyle w:val="15"/>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采购需求”中的商务要求逐条作出明确响应，并作出偏离说明。</w:t>
      </w:r>
    </w:p>
    <w:p w14:paraId="70FC7184">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20FF3E52">
      <w:pPr>
        <w:spacing w:line="360" w:lineRule="auto"/>
        <w:ind w:right="-817" w:rightChars="-389"/>
        <w:contextualSpacing/>
        <w:rPr>
          <w:rFonts w:ascii="宋体" w:hAnsi="宋体" w:cs="宋体"/>
          <w:color w:val="auto"/>
          <w:sz w:val="24"/>
          <w:highlight w:val="none"/>
        </w:rPr>
      </w:pPr>
    </w:p>
    <w:p w14:paraId="2D9115A2">
      <w:pPr>
        <w:spacing w:line="360" w:lineRule="auto"/>
        <w:ind w:right="-817" w:rightChars="-389" w:firstLine="4800" w:firstLineChars="20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1EA6F630">
      <w:pPr>
        <w:spacing w:line="360" w:lineRule="auto"/>
        <w:ind w:right="-817" w:rightChars="-389" w:firstLine="4800" w:firstLineChars="2000"/>
        <w:contextualSpacing/>
        <w:rPr>
          <w:rFonts w:ascii="宋体" w:hAnsi="宋体" w:cs="宋体"/>
          <w:color w:val="auto"/>
          <w:sz w:val="24"/>
          <w:highlight w:val="none"/>
        </w:rPr>
      </w:pPr>
      <w:r>
        <w:rPr>
          <w:rFonts w:hint="eastAsia" w:ascii="宋体" w:hAnsi="宋体" w:cs="宋体"/>
          <w:color w:val="auto"/>
          <w:sz w:val="24"/>
          <w:highlight w:val="none"/>
        </w:rPr>
        <w:t xml:space="preserve">供应商（盖公章）：      </w:t>
      </w:r>
    </w:p>
    <w:p w14:paraId="4461CD22">
      <w:pPr>
        <w:spacing w:line="360" w:lineRule="auto"/>
        <w:ind w:right="-817" w:rightChars="-389" w:firstLine="4800" w:firstLineChars="2000"/>
        <w:contextualSpacing/>
        <w:rPr>
          <w:rFonts w:ascii="宋体" w:hAnsi="宋体" w:cs="宋体"/>
          <w:b/>
          <w:color w:val="auto"/>
          <w:sz w:val="32"/>
          <w:szCs w:val="32"/>
          <w:highlight w:val="none"/>
        </w:rPr>
      </w:pPr>
      <w:r>
        <w:rPr>
          <w:rFonts w:hint="eastAsia" w:ascii="宋体" w:hAnsi="宋体" w:cs="宋体"/>
          <w:color w:val="auto"/>
          <w:sz w:val="24"/>
          <w:highlight w:val="none"/>
        </w:rPr>
        <w:t>日期：   年   月   日</w:t>
      </w:r>
    </w:p>
    <w:p w14:paraId="17524F1A">
      <w:pPr>
        <w:adjustRightInd w:val="0"/>
        <w:snapToGrid w:val="0"/>
        <w:spacing w:line="520" w:lineRule="exact"/>
        <w:ind w:firstLine="7040" w:firstLineChars="1600"/>
        <w:jc w:val="center"/>
        <w:rPr>
          <w:rFonts w:ascii="宋体" w:hAnsi="宋体" w:cs="宋体"/>
          <w:bCs/>
          <w:color w:val="auto"/>
          <w:sz w:val="44"/>
          <w:szCs w:val="44"/>
          <w:highlight w:val="none"/>
        </w:rPr>
      </w:pPr>
    </w:p>
    <w:p w14:paraId="67962B5B">
      <w:pPr>
        <w:adjustRightInd w:val="0"/>
        <w:snapToGrid w:val="0"/>
        <w:spacing w:line="520" w:lineRule="exact"/>
        <w:ind w:firstLine="7040" w:firstLineChars="1600"/>
        <w:jc w:val="center"/>
        <w:rPr>
          <w:rFonts w:ascii="宋体" w:hAnsi="宋体" w:cs="宋体"/>
          <w:bCs/>
          <w:color w:val="auto"/>
          <w:sz w:val="44"/>
          <w:szCs w:val="44"/>
          <w:highlight w:val="none"/>
        </w:rPr>
      </w:pPr>
    </w:p>
    <w:p w14:paraId="2CC5E026">
      <w:pPr>
        <w:adjustRightInd w:val="0"/>
        <w:snapToGrid w:val="0"/>
        <w:spacing w:line="520" w:lineRule="exact"/>
        <w:ind w:firstLine="7040" w:firstLineChars="1600"/>
        <w:jc w:val="center"/>
        <w:rPr>
          <w:rFonts w:ascii="宋体" w:hAnsi="宋体" w:cs="宋体"/>
          <w:bCs/>
          <w:color w:val="auto"/>
          <w:sz w:val="44"/>
          <w:szCs w:val="44"/>
          <w:highlight w:val="none"/>
        </w:rPr>
      </w:pPr>
    </w:p>
    <w:p w14:paraId="10127E8A">
      <w:pPr>
        <w:adjustRightInd w:val="0"/>
        <w:snapToGrid w:val="0"/>
        <w:spacing w:line="520" w:lineRule="exact"/>
        <w:ind w:firstLine="7040" w:firstLineChars="1600"/>
        <w:jc w:val="center"/>
        <w:rPr>
          <w:rFonts w:ascii="宋体" w:hAnsi="宋体" w:cs="宋体"/>
          <w:bCs/>
          <w:color w:val="auto"/>
          <w:sz w:val="44"/>
          <w:szCs w:val="44"/>
          <w:highlight w:val="none"/>
        </w:rPr>
      </w:pPr>
    </w:p>
    <w:p w14:paraId="06A5FAF0">
      <w:pPr>
        <w:adjustRightInd w:val="0"/>
        <w:snapToGrid w:val="0"/>
        <w:spacing w:line="520" w:lineRule="exact"/>
        <w:rPr>
          <w:rFonts w:ascii="宋体" w:hAnsi="宋体" w:cs="宋体"/>
          <w:color w:val="auto"/>
          <w:szCs w:val="21"/>
          <w:highlight w:val="none"/>
          <w:u w:val="single"/>
        </w:rPr>
      </w:pPr>
    </w:p>
    <w:p w14:paraId="64B317F7">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技术要求偏离表</w:t>
      </w:r>
    </w:p>
    <w:p w14:paraId="6BD58FD4">
      <w:pPr>
        <w:spacing w:line="520" w:lineRule="exact"/>
        <w:rPr>
          <w:rFonts w:ascii="宋体" w:hAnsi="宋体" w:cs="宋体"/>
          <w:color w:val="auto"/>
          <w:sz w:val="32"/>
          <w:szCs w:val="32"/>
          <w:highlight w:val="none"/>
        </w:rPr>
      </w:pPr>
    </w:p>
    <w:p w14:paraId="21B38122">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26CE30F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6C38A919">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14"/>
        <w:gridCol w:w="1014"/>
        <w:gridCol w:w="3368"/>
        <w:gridCol w:w="3031"/>
        <w:gridCol w:w="1655"/>
      </w:tblGrid>
      <w:tr w14:paraId="79DE7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25CF177">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53" w:name="_Toc301781611"/>
            <w:bookmarkStart w:id="54" w:name="_Toc297193185"/>
            <w:bookmarkStart w:id="55" w:name="_Toc373333689"/>
            <w:bookmarkStart w:id="56" w:name="_Toc173211900"/>
            <w:bookmarkStart w:id="57" w:name="_Toc383699906"/>
            <w:bookmarkStart w:id="58" w:name="_Toc254970588"/>
            <w:bookmarkStart w:id="59" w:name="_Toc295404981"/>
            <w:bookmarkStart w:id="60" w:name="_Toc173066401"/>
            <w:bookmarkStart w:id="61" w:name="_Toc254970729"/>
            <w:r>
              <w:rPr>
                <w:rFonts w:hint="eastAsia" w:ascii="宋体" w:hAnsi="宋体" w:eastAsia="宋体" w:cs="宋体"/>
                <w:color w:val="auto"/>
                <w:kern w:val="2"/>
                <w:sz w:val="24"/>
                <w:szCs w:val="24"/>
                <w:highlight w:val="none"/>
              </w:rPr>
              <w:t>序号</w:t>
            </w:r>
            <w:bookmarkEnd w:id="53"/>
            <w:bookmarkEnd w:id="54"/>
            <w:bookmarkEnd w:id="55"/>
            <w:bookmarkEnd w:id="56"/>
            <w:bookmarkEnd w:id="57"/>
            <w:bookmarkEnd w:id="58"/>
            <w:bookmarkEnd w:id="59"/>
            <w:bookmarkEnd w:id="60"/>
            <w:bookmarkEnd w:id="61"/>
          </w:p>
        </w:tc>
        <w:tc>
          <w:tcPr>
            <w:tcW w:w="503" w:type="pct"/>
            <w:tcBorders>
              <w:right w:val="single" w:color="auto" w:sz="4" w:space="0"/>
            </w:tcBorders>
            <w:vAlign w:val="center"/>
          </w:tcPr>
          <w:p w14:paraId="753AAD3B">
            <w:pPr>
              <w:pStyle w:val="16"/>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1670" w:type="pct"/>
            <w:tcBorders>
              <w:left w:val="single" w:color="auto" w:sz="4" w:space="0"/>
            </w:tcBorders>
            <w:vAlign w:val="center"/>
          </w:tcPr>
          <w:p w14:paraId="65DA5C11">
            <w:pPr>
              <w:pStyle w:val="16"/>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磋商文件技术要求</w:t>
            </w:r>
          </w:p>
        </w:tc>
        <w:tc>
          <w:tcPr>
            <w:tcW w:w="1503" w:type="pct"/>
            <w:vAlign w:val="center"/>
          </w:tcPr>
          <w:p w14:paraId="26BD30B5">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62" w:name="_Toc373333691"/>
            <w:bookmarkStart w:id="63" w:name="_Toc297193187"/>
            <w:bookmarkStart w:id="64" w:name="_Toc173066403"/>
            <w:bookmarkStart w:id="65" w:name="_Toc254970590"/>
            <w:bookmarkStart w:id="66" w:name="_Toc254970731"/>
            <w:bookmarkStart w:id="67" w:name="_Toc301781613"/>
            <w:bookmarkStart w:id="68" w:name="_Toc295404983"/>
            <w:bookmarkStart w:id="69" w:name="_Toc173211902"/>
            <w:bookmarkStart w:id="70" w:name="_Toc383699908"/>
            <w:r>
              <w:rPr>
                <w:rFonts w:hint="eastAsia" w:ascii="宋体" w:hAnsi="宋体" w:eastAsia="宋体" w:cs="宋体"/>
                <w:color w:val="auto"/>
                <w:kern w:val="2"/>
                <w:sz w:val="24"/>
                <w:szCs w:val="24"/>
                <w:highlight w:val="none"/>
              </w:rPr>
              <w:t>竞标响应</w:t>
            </w:r>
            <w:bookmarkEnd w:id="62"/>
            <w:bookmarkEnd w:id="63"/>
            <w:bookmarkEnd w:id="64"/>
            <w:bookmarkEnd w:id="65"/>
            <w:bookmarkEnd w:id="66"/>
            <w:bookmarkEnd w:id="67"/>
            <w:bookmarkEnd w:id="68"/>
            <w:bookmarkEnd w:id="69"/>
            <w:bookmarkEnd w:id="70"/>
          </w:p>
        </w:tc>
        <w:tc>
          <w:tcPr>
            <w:tcW w:w="820" w:type="pct"/>
            <w:vAlign w:val="center"/>
          </w:tcPr>
          <w:p w14:paraId="43BA4DF0">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71" w:name="_Toc297193188"/>
            <w:bookmarkStart w:id="72" w:name="_Toc301781614"/>
            <w:bookmarkStart w:id="73" w:name="_Toc295404984"/>
            <w:bookmarkStart w:id="74" w:name="_Toc173066404"/>
            <w:bookmarkStart w:id="75" w:name="_Toc373333692"/>
            <w:bookmarkStart w:id="76" w:name="_Toc173211903"/>
            <w:bookmarkStart w:id="77" w:name="_Toc254970732"/>
            <w:bookmarkStart w:id="78" w:name="_Toc383699909"/>
            <w:bookmarkStart w:id="79" w:name="_Toc254970591"/>
            <w:r>
              <w:rPr>
                <w:rFonts w:hint="eastAsia" w:ascii="宋体" w:hAnsi="宋体" w:eastAsia="宋体" w:cs="宋体"/>
                <w:color w:val="auto"/>
                <w:kern w:val="2"/>
                <w:sz w:val="24"/>
                <w:szCs w:val="24"/>
                <w:highlight w:val="none"/>
              </w:rPr>
              <w:t>偏离</w:t>
            </w:r>
            <w:bookmarkEnd w:id="71"/>
            <w:bookmarkEnd w:id="72"/>
            <w:bookmarkEnd w:id="73"/>
            <w:bookmarkEnd w:id="74"/>
            <w:bookmarkEnd w:id="75"/>
            <w:bookmarkEnd w:id="76"/>
            <w:bookmarkEnd w:id="77"/>
            <w:bookmarkEnd w:id="78"/>
            <w:bookmarkEnd w:id="79"/>
            <w:bookmarkStart w:id="80" w:name="_Toc254970592"/>
            <w:bookmarkStart w:id="81" w:name="_Toc297193189"/>
            <w:bookmarkStart w:id="82" w:name="_Toc301781615"/>
            <w:bookmarkStart w:id="83" w:name="_Toc383699910"/>
            <w:bookmarkStart w:id="84" w:name="_Toc295404985"/>
            <w:bookmarkStart w:id="85" w:name="_Toc173066405"/>
            <w:bookmarkStart w:id="86" w:name="_Toc373333693"/>
            <w:bookmarkStart w:id="87" w:name="_Toc173211904"/>
            <w:bookmarkStart w:id="88" w:name="_Toc254970733"/>
            <w:r>
              <w:rPr>
                <w:rFonts w:hint="eastAsia" w:ascii="宋体" w:hAnsi="宋体" w:eastAsia="宋体" w:cs="宋体"/>
                <w:color w:val="auto"/>
                <w:kern w:val="2"/>
                <w:sz w:val="24"/>
                <w:szCs w:val="24"/>
                <w:highlight w:val="none"/>
              </w:rPr>
              <w:t>说明</w:t>
            </w:r>
            <w:bookmarkEnd w:id="80"/>
            <w:bookmarkEnd w:id="81"/>
            <w:bookmarkEnd w:id="82"/>
            <w:bookmarkEnd w:id="83"/>
            <w:bookmarkEnd w:id="84"/>
            <w:bookmarkEnd w:id="85"/>
            <w:bookmarkEnd w:id="86"/>
            <w:bookmarkEnd w:id="87"/>
            <w:bookmarkEnd w:id="88"/>
          </w:p>
        </w:tc>
      </w:tr>
      <w:tr w14:paraId="03822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0EAE369">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89" w:name="_Toc173211905"/>
            <w:bookmarkStart w:id="90" w:name="_Toc301781616"/>
            <w:bookmarkStart w:id="91" w:name="_Toc254970734"/>
            <w:bookmarkStart w:id="92" w:name="_Toc173066406"/>
            <w:bookmarkStart w:id="93" w:name="_Toc373333694"/>
            <w:bookmarkStart w:id="94" w:name="_Toc383699911"/>
            <w:bookmarkStart w:id="95" w:name="_Toc297193190"/>
            <w:bookmarkStart w:id="96" w:name="_Toc295404986"/>
            <w:bookmarkStart w:id="97" w:name="_Toc254970593"/>
            <w:r>
              <w:rPr>
                <w:rFonts w:hint="eastAsia" w:ascii="宋体" w:hAnsi="宋体" w:eastAsia="宋体" w:cs="宋体"/>
                <w:color w:val="auto"/>
                <w:kern w:val="2"/>
                <w:sz w:val="24"/>
                <w:szCs w:val="24"/>
                <w:highlight w:val="none"/>
              </w:rPr>
              <w:t>1</w:t>
            </w:r>
            <w:bookmarkEnd w:id="89"/>
            <w:bookmarkEnd w:id="90"/>
            <w:bookmarkEnd w:id="91"/>
            <w:bookmarkEnd w:id="92"/>
            <w:bookmarkEnd w:id="93"/>
            <w:bookmarkEnd w:id="94"/>
            <w:bookmarkEnd w:id="95"/>
            <w:bookmarkEnd w:id="96"/>
            <w:bookmarkEnd w:id="97"/>
          </w:p>
        </w:tc>
        <w:tc>
          <w:tcPr>
            <w:tcW w:w="503" w:type="pct"/>
            <w:tcBorders>
              <w:right w:val="single" w:color="auto" w:sz="4" w:space="0"/>
            </w:tcBorders>
            <w:vAlign w:val="center"/>
          </w:tcPr>
          <w:p w14:paraId="01CC7FFF">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25DDD811">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6A1F1D3A">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73DEB411">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69109B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676400D">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98" w:name="_Toc373333695"/>
            <w:bookmarkStart w:id="99" w:name="_Toc254970594"/>
            <w:bookmarkStart w:id="100" w:name="_Toc297193191"/>
            <w:bookmarkStart w:id="101" w:name="_Toc301781617"/>
            <w:bookmarkStart w:id="102" w:name="_Toc173211906"/>
            <w:bookmarkStart w:id="103" w:name="_Toc383699912"/>
            <w:bookmarkStart w:id="104" w:name="_Toc254970735"/>
            <w:bookmarkStart w:id="105" w:name="_Toc295404987"/>
            <w:bookmarkStart w:id="106" w:name="_Toc173066407"/>
            <w:r>
              <w:rPr>
                <w:rFonts w:hint="eastAsia" w:ascii="宋体" w:hAnsi="宋体" w:eastAsia="宋体" w:cs="宋体"/>
                <w:color w:val="auto"/>
                <w:kern w:val="2"/>
                <w:sz w:val="24"/>
                <w:szCs w:val="24"/>
                <w:highlight w:val="none"/>
              </w:rPr>
              <w:t>2</w:t>
            </w:r>
            <w:bookmarkEnd w:id="98"/>
            <w:bookmarkEnd w:id="99"/>
            <w:bookmarkEnd w:id="100"/>
            <w:bookmarkEnd w:id="101"/>
            <w:bookmarkEnd w:id="102"/>
            <w:bookmarkEnd w:id="103"/>
            <w:bookmarkEnd w:id="104"/>
            <w:bookmarkEnd w:id="105"/>
            <w:bookmarkEnd w:id="106"/>
          </w:p>
        </w:tc>
        <w:tc>
          <w:tcPr>
            <w:tcW w:w="503" w:type="pct"/>
            <w:tcBorders>
              <w:right w:val="single" w:color="auto" w:sz="4" w:space="0"/>
            </w:tcBorders>
            <w:vAlign w:val="center"/>
          </w:tcPr>
          <w:p w14:paraId="3A7301BD">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1151844E">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50334EAF">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62F16495">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4BDD4D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B239732">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107" w:name="_Toc173066408"/>
            <w:bookmarkStart w:id="108" w:name="_Toc301781618"/>
            <w:bookmarkStart w:id="109" w:name="_Toc373333696"/>
            <w:bookmarkStart w:id="110" w:name="_Toc297193192"/>
            <w:bookmarkStart w:id="111" w:name="_Toc254970736"/>
            <w:bookmarkStart w:id="112" w:name="_Toc295404988"/>
            <w:bookmarkStart w:id="113" w:name="_Toc383699913"/>
            <w:bookmarkStart w:id="114" w:name="_Toc173211907"/>
            <w:bookmarkStart w:id="115" w:name="_Toc254970595"/>
            <w:r>
              <w:rPr>
                <w:rFonts w:hint="eastAsia" w:ascii="宋体" w:hAnsi="宋体" w:eastAsia="宋体" w:cs="宋体"/>
                <w:color w:val="auto"/>
                <w:kern w:val="2"/>
                <w:sz w:val="24"/>
                <w:szCs w:val="24"/>
                <w:highlight w:val="none"/>
              </w:rPr>
              <w:t>3</w:t>
            </w:r>
            <w:bookmarkEnd w:id="107"/>
            <w:bookmarkEnd w:id="108"/>
            <w:bookmarkEnd w:id="109"/>
            <w:bookmarkEnd w:id="110"/>
            <w:bookmarkEnd w:id="111"/>
            <w:bookmarkEnd w:id="112"/>
            <w:bookmarkEnd w:id="113"/>
            <w:bookmarkEnd w:id="114"/>
            <w:bookmarkEnd w:id="115"/>
          </w:p>
        </w:tc>
        <w:tc>
          <w:tcPr>
            <w:tcW w:w="503" w:type="pct"/>
            <w:tcBorders>
              <w:right w:val="single" w:color="auto" w:sz="4" w:space="0"/>
            </w:tcBorders>
            <w:vAlign w:val="center"/>
          </w:tcPr>
          <w:p w14:paraId="25F23A0E">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72A12F2F">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70B92FF9">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39369C1F">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523AD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A92C9F6">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116" w:name="_Toc254970737"/>
            <w:bookmarkStart w:id="117" w:name="_Toc383699914"/>
            <w:bookmarkStart w:id="118" w:name="_Toc173066409"/>
            <w:bookmarkStart w:id="119" w:name="_Toc301781619"/>
            <w:bookmarkStart w:id="120" w:name="_Toc254970596"/>
            <w:bookmarkStart w:id="121" w:name="_Toc295404989"/>
            <w:bookmarkStart w:id="122" w:name="_Toc297193193"/>
            <w:bookmarkStart w:id="123" w:name="_Toc173211908"/>
            <w:bookmarkStart w:id="124" w:name="_Toc373333697"/>
            <w:r>
              <w:rPr>
                <w:rFonts w:hint="eastAsia" w:ascii="宋体" w:hAnsi="宋体" w:eastAsia="宋体" w:cs="宋体"/>
                <w:color w:val="auto"/>
                <w:kern w:val="2"/>
                <w:sz w:val="24"/>
                <w:szCs w:val="24"/>
                <w:highlight w:val="none"/>
              </w:rPr>
              <w:t>4</w:t>
            </w:r>
            <w:bookmarkEnd w:id="116"/>
            <w:bookmarkEnd w:id="117"/>
            <w:bookmarkEnd w:id="118"/>
            <w:bookmarkEnd w:id="119"/>
            <w:bookmarkEnd w:id="120"/>
            <w:bookmarkEnd w:id="121"/>
            <w:bookmarkEnd w:id="122"/>
            <w:bookmarkEnd w:id="123"/>
            <w:bookmarkEnd w:id="124"/>
          </w:p>
        </w:tc>
        <w:tc>
          <w:tcPr>
            <w:tcW w:w="503" w:type="pct"/>
            <w:tcBorders>
              <w:right w:val="single" w:color="auto" w:sz="4" w:space="0"/>
            </w:tcBorders>
            <w:vAlign w:val="center"/>
          </w:tcPr>
          <w:p w14:paraId="7E44E3C6">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65A7E51E">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45679A96">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399E8672">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42696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64C2AD1">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125" w:name="_Toc373333698"/>
            <w:bookmarkStart w:id="126" w:name="_Toc301781620"/>
            <w:bookmarkStart w:id="127" w:name="_Toc173066410"/>
            <w:bookmarkStart w:id="128" w:name="_Toc383699915"/>
            <w:bookmarkStart w:id="129" w:name="_Toc297193194"/>
            <w:bookmarkStart w:id="130" w:name="_Toc254970738"/>
            <w:bookmarkStart w:id="131" w:name="_Toc254970597"/>
            <w:bookmarkStart w:id="132" w:name="_Toc295404990"/>
            <w:bookmarkStart w:id="133" w:name="_Toc173211909"/>
            <w:r>
              <w:rPr>
                <w:rFonts w:hint="eastAsia" w:ascii="宋体" w:hAnsi="宋体" w:eastAsia="宋体" w:cs="宋体"/>
                <w:color w:val="auto"/>
                <w:kern w:val="2"/>
                <w:sz w:val="24"/>
                <w:szCs w:val="24"/>
                <w:highlight w:val="none"/>
              </w:rPr>
              <w:t>5</w:t>
            </w:r>
            <w:bookmarkEnd w:id="125"/>
            <w:bookmarkEnd w:id="126"/>
            <w:bookmarkEnd w:id="127"/>
            <w:bookmarkEnd w:id="128"/>
            <w:bookmarkEnd w:id="129"/>
            <w:bookmarkEnd w:id="130"/>
            <w:bookmarkEnd w:id="131"/>
            <w:bookmarkEnd w:id="132"/>
            <w:bookmarkEnd w:id="133"/>
          </w:p>
        </w:tc>
        <w:tc>
          <w:tcPr>
            <w:tcW w:w="503" w:type="pct"/>
            <w:tcBorders>
              <w:right w:val="single" w:color="auto" w:sz="4" w:space="0"/>
            </w:tcBorders>
            <w:vAlign w:val="center"/>
          </w:tcPr>
          <w:p w14:paraId="42D24FBA">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79AECD33">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0B58CE57">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2609B545">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r w14:paraId="24743F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78BA89C8">
            <w:pPr>
              <w:pStyle w:val="16"/>
              <w:spacing w:line="360" w:lineRule="auto"/>
              <w:ind w:firstLine="0" w:firstLineChars="0"/>
              <w:contextualSpacing/>
              <w:jc w:val="center"/>
              <w:rPr>
                <w:rFonts w:ascii="宋体" w:hAnsi="宋体" w:eastAsia="宋体" w:cs="宋体"/>
                <w:color w:val="auto"/>
                <w:kern w:val="2"/>
                <w:sz w:val="24"/>
                <w:szCs w:val="24"/>
                <w:highlight w:val="none"/>
              </w:rPr>
            </w:pPr>
            <w:bookmarkStart w:id="134" w:name="_Toc383699916"/>
            <w:bookmarkStart w:id="135" w:name="_Toc373333699"/>
            <w:bookmarkStart w:id="136" w:name="_Toc295404991"/>
            <w:bookmarkStart w:id="137" w:name="_Toc301781621"/>
            <w:bookmarkStart w:id="138" w:name="_Toc173066415"/>
            <w:bookmarkStart w:id="139" w:name="_Toc254970602"/>
            <w:bookmarkStart w:id="140" w:name="_Toc173211914"/>
            <w:bookmarkStart w:id="141" w:name="_Toc254970743"/>
            <w:bookmarkStart w:id="142" w:name="_Toc297193195"/>
            <w:r>
              <w:rPr>
                <w:rFonts w:hint="eastAsia" w:ascii="宋体" w:hAnsi="宋体" w:eastAsia="宋体" w:cs="宋体"/>
                <w:color w:val="auto"/>
                <w:kern w:val="2"/>
                <w:sz w:val="24"/>
                <w:szCs w:val="24"/>
                <w:highlight w:val="none"/>
              </w:rPr>
              <w:t>…</w:t>
            </w:r>
            <w:bookmarkEnd w:id="134"/>
            <w:bookmarkEnd w:id="135"/>
            <w:bookmarkEnd w:id="136"/>
            <w:bookmarkEnd w:id="137"/>
            <w:bookmarkEnd w:id="138"/>
            <w:bookmarkEnd w:id="139"/>
            <w:bookmarkEnd w:id="140"/>
            <w:bookmarkEnd w:id="141"/>
            <w:bookmarkEnd w:id="142"/>
          </w:p>
        </w:tc>
        <w:tc>
          <w:tcPr>
            <w:tcW w:w="503" w:type="pct"/>
            <w:tcBorders>
              <w:right w:val="single" w:color="auto" w:sz="4" w:space="0"/>
            </w:tcBorders>
            <w:vAlign w:val="center"/>
          </w:tcPr>
          <w:p w14:paraId="6BE6A1BD">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4F3A5ACF">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6DBCF3AC">
            <w:pPr>
              <w:pStyle w:val="16"/>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tcBorders>
              <w:right w:val="single" w:color="auto" w:sz="4" w:space="0"/>
            </w:tcBorders>
            <w:vAlign w:val="center"/>
          </w:tcPr>
          <w:p w14:paraId="0952355E">
            <w:pPr>
              <w:pStyle w:val="16"/>
              <w:spacing w:line="360" w:lineRule="auto"/>
              <w:ind w:firstLine="0" w:firstLineChars="0"/>
              <w:contextualSpacing/>
              <w:jc w:val="center"/>
              <w:rPr>
                <w:rFonts w:ascii="宋体" w:hAnsi="宋体" w:eastAsia="宋体" w:cs="宋体"/>
                <w:color w:val="auto"/>
                <w:kern w:val="2"/>
                <w:sz w:val="24"/>
                <w:szCs w:val="24"/>
                <w:highlight w:val="none"/>
              </w:rPr>
            </w:pPr>
          </w:p>
        </w:tc>
      </w:tr>
    </w:tbl>
    <w:p w14:paraId="43764B07">
      <w:pPr>
        <w:adjustRightInd w:val="0"/>
        <w:spacing w:line="360" w:lineRule="auto"/>
        <w:contextualSpacing/>
        <w:rPr>
          <w:rFonts w:ascii="宋体" w:hAnsi="宋体" w:cs="宋体"/>
          <w:color w:val="auto"/>
          <w:sz w:val="24"/>
          <w:highlight w:val="none"/>
        </w:rPr>
      </w:pPr>
    </w:p>
    <w:p w14:paraId="2880307C">
      <w:pPr>
        <w:pStyle w:val="16"/>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D6E1291">
      <w:pPr>
        <w:pStyle w:val="16"/>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采购需求”中的技术要求逐条作出明确响应，并作出偏离说明。</w:t>
      </w:r>
    </w:p>
    <w:p w14:paraId="53A22CEB">
      <w:pPr>
        <w:pStyle w:val="16"/>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4CF295E7">
      <w:pPr>
        <w:spacing w:line="360" w:lineRule="auto"/>
        <w:ind w:right="-817" w:rightChars="-389"/>
        <w:contextualSpacing/>
        <w:rPr>
          <w:rFonts w:ascii="宋体" w:hAnsi="宋体" w:cs="宋体"/>
          <w:color w:val="auto"/>
          <w:sz w:val="24"/>
          <w:highlight w:val="none"/>
        </w:rPr>
      </w:pPr>
    </w:p>
    <w:p w14:paraId="2E7CE8EB">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30AB7E3C">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供应商（盖公章）：      </w:t>
      </w:r>
    </w:p>
    <w:p w14:paraId="05352D4D">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0839B789">
      <w:pPr>
        <w:snapToGrid w:val="0"/>
        <w:spacing w:before="156"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5EA3A7B8">
      <w:pPr>
        <w:snapToGrid w:val="0"/>
        <w:spacing w:before="156" w:beforeLines="50" w:after="50"/>
        <w:ind w:left="142"/>
        <w:jc w:val="left"/>
        <w:rPr>
          <w:rFonts w:ascii="宋体" w:hAnsi="宋体" w:cs="宋体"/>
          <w:b/>
          <w:color w:val="auto"/>
          <w:sz w:val="24"/>
          <w:highlight w:val="none"/>
        </w:rPr>
      </w:pPr>
    </w:p>
    <w:p w14:paraId="41523F3B">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68E8F50">
      <w:pPr>
        <w:pStyle w:val="18"/>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tbl>
      <w:tblPr>
        <w:tblStyle w:val="32"/>
        <w:tblW w:w="10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709"/>
        <w:gridCol w:w="2905"/>
        <w:gridCol w:w="1309"/>
        <w:gridCol w:w="2196"/>
        <w:gridCol w:w="1677"/>
      </w:tblGrid>
      <w:tr w14:paraId="7FB3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34AC66">
            <w:pPr>
              <w:spacing w:line="360" w:lineRule="auto"/>
              <w:contextualSpacing/>
              <w:jc w:val="center"/>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序号</w:t>
            </w:r>
          </w:p>
        </w:tc>
        <w:tc>
          <w:tcPr>
            <w:tcW w:w="817" w:type="dxa"/>
            <w:vAlign w:val="center"/>
          </w:tcPr>
          <w:p w14:paraId="5D763DC6">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5A66424">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2905" w:type="dxa"/>
            <w:vAlign w:val="center"/>
          </w:tcPr>
          <w:p w14:paraId="7FE11FA3">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309" w:type="dxa"/>
            <w:vAlign w:val="center"/>
          </w:tcPr>
          <w:p w14:paraId="3D23553A">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2196" w:type="dxa"/>
            <w:vAlign w:val="center"/>
          </w:tcPr>
          <w:p w14:paraId="02AF6FE7">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7AA518CB">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677" w:type="dxa"/>
            <w:vAlign w:val="center"/>
          </w:tcPr>
          <w:p w14:paraId="60FEDD52">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18C2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08D9B4">
            <w:pPr>
              <w:spacing w:line="360" w:lineRule="auto"/>
              <w:contextualSpacing/>
              <w:jc w:val="center"/>
              <w:rPr>
                <w:rFonts w:ascii="宋体" w:hAnsi="宋体" w:cs="宋体"/>
                <w:color w:val="auto"/>
                <w:sz w:val="24"/>
                <w:szCs w:val="20"/>
                <w:highlight w:val="none"/>
              </w:rPr>
            </w:pPr>
          </w:p>
        </w:tc>
        <w:tc>
          <w:tcPr>
            <w:tcW w:w="817" w:type="dxa"/>
            <w:vAlign w:val="center"/>
          </w:tcPr>
          <w:p w14:paraId="456197AD">
            <w:pPr>
              <w:spacing w:line="360" w:lineRule="auto"/>
              <w:contextualSpacing/>
              <w:jc w:val="center"/>
              <w:rPr>
                <w:rFonts w:ascii="宋体" w:hAnsi="宋体" w:cs="宋体"/>
                <w:color w:val="auto"/>
                <w:sz w:val="24"/>
                <w:szCs w:val="20"/>
                <w:highlight w:val="none"/>
              </w:rPr>
            </w:pPr>
          </w:p>
        </w:tc>
        <w:tc>
          <w:tcPr>
            <w:tcW w:w="709" w:type="dxa"/>
            <w:vAlign w:val="center"/>
          </w:tcPr>
          <w:p w14:paraId="46111362">
            <w:pPr>
              <w:spacing w:line="360" w:lineRule="auto"/>
              <w:contextualSpacing/>
              <w:jc w:val="center"/>
              <w:rPr>
                <w:rFonts w:ascii="宋体" w:hAnsi="宋体" w:cs="宋体"/>
                <w:color w:val="auto"/>
                <w:sz w:val="24"/>
                <w:szCs w:val="20"/>
                <w:highlight w:val="none"/>
              </w:rPr>
            </w:pPr>
          </w:p>
        </w:tc>
        <w:tc>
          <w:tcPr>
            <w:tcW w:w="2905" w:type="dxa"/>
            <w:vAlign w:val="center"/>
          </w:tcPr>
          <w:p w14:paraId="03C7C030">
            <w:pPr>
              <w:spacing w:line="360" w:lineRule="auto"/>
              <w:contextualSpacing/>
              <w:jc w:val="center"/>
              <w:rPr>
                <w:rFonts w:ascii="宋体" w:hAnsi="宋体" w:cs="宋体"/>
                <w:color w:val="auto"/>
                <w:sz w:val="24"/>
                <w:szCs w:val="20"/>
                <w:highlight w:val="none"/>
              </w:rPr>
            </w:pPr>
          </w:p>
        </w:tc>
        <w:tc>
          <w:tcPr>
            <w:tcW w:w="1309" w:type="dxa"/>
            <w:vAlign w:val="center"/>
          </w:tcPr>
          <w:p w14:paraId="13ED31A4">
            <w:pPr>
              <w:spacing w:line="360" w:lineRule="auto"/>
              <w:contextualSpacing/>
              <w:jc w:val="center"/>
              <w:rPr>
                <w:rFonts w:ascii="宋体" w:hAnsi="宋体" w:cs="宋体"/>
                <w:color w:val="auto"/>
                <w:sz w:val="24"/>
                <w:szCs w:val="20"/>
                <w:highlight w:val="none"/>
              </w:rPr>
            </w:pPr>
          </w:p>
        </w:tc>
        <w:tc>
          <w:tcPr>
            <w:tcW w:w="2196" w:type="dxa"/>
            <w:vAlign w:val="center"/>
          </w:tcPr>
          <w:p w14:paraId="3248DAB9">
            <w:pPr>
              <w:spacing w:line="360" w:lineRule="auto"/>
              <w:contextualSpacing/>
              <w:jc w:val="center"/>
              <w:rPr>
                <w:rFonts w:ascii="宋体" w:hAnsi="宋体" w:cs="宋体"/>
                <w:color w:val="auto"/>
                <w:sz w:val="24"/>
                <w:szCs w:val="20"/>
                <w:highlight w:val="none"/>
              </w:rPr>
            </w:pPr>
          </w:p>
        </w:tc>
        <w:tc>
          <w:tcPr>
            <w:tcW w:w="1677" w:type="dxa"/>
            <w:vAlign w:val="center"/>
          </w:tcPr>
          <w:p w14:paraId="4DE49D3B">
            <w:pPr>
              <w:spacing w:line="360" w:lineRule="auto"/>
              <w:contextualSpacing/>
              <w:jc w:val="center"/>
              <w:rPr>
                <w:rFonts w:ascii="宋体" w:hAnsi="宋体" w:cs="宋体"/>
                <w:color w:val="auto"/>
                <w:sz w:val="24"/>
                <w:szCs w:val="20"/>
                <w:highlight w:val="none"/>
              </w:rPr>
            </w:pPr>
          </w:p>
        </w:tc>
      </w:tr>
      <w:tr w14:paraId="100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A48BCD2">
            <w:pPr>
              <w:spacing w:line="360" w:lineRule="auto"/>
              <w:contextualSpacing/>
              <w:jc w:val="center"/>
              <w:rPr>
                <w:rFonts w:ascii="宋体" w:hAnsi="宋体" w:cs="宋体"/>
                <w:color w:val="auto"/>
                <w:sz w:val="24"/>
                <w:szCs w:val="20"/>
                <w:highlight w:val="none"/>
              </w:rPr>
            </w:pPr>
          </w:p>
        </w:tc>
        <w:tc>
          <w:tcPr>
            <w:tcW w:w="817" w:type="dxa"/>
            <w:vAlign w:val="center"/>
          </w:tcPr>
          <w:p w14:paraId="1E4128D0">
            <w:pPr>
              <w:spacing w:line="360" w:lineRule="auto"/>
              <w:contextualSpacing/>
              <w:jc w:val="center"/>
              <w:rPr>
                <w:rFonts w:ascii="宋体" w:hAnsi="宋体" w:cs="宋体"/>
                <w:color w:val="auto"/>
                <w:sz w:val="24"/>
                <w:szCs w:val="20"/>
                <w:highlight w:val="none"/>
              </w:rPr>
            </w:pPr>
          </w:p>
        </w:tc>
        <w:tc>
          <w:tcPr>
            <w:tcW w:w="709" w:type="dxa"/>
            <w:vAlign w:val="center"/>
          </w:tcPr>
          <w:p w14:paraId="4DE5387D">
            <w:pPr>
              <w:spacing w:line="360" w:lineRule="auto"/>
              <w:contextualSpacing/>
              <w:jc w:val="center"/>
              <w:rPr>
                <w:rFonts w:ascii="宋体" w:hAnsi="宋体" w:cs="宋体"/>
                <w:color w:val="auto"/>
                <w:sz w:val="24"/>
                <w:szCs w:val="20"/>
                <w:highlight w:val="none"/>
              </w:rPr>
            </w:pPr>
          </w:p>
        </w:tc>
        <w:tc>
          <w:tcPr>
            <w:tcW w:w="2905" w:type="dxa"/>
            <w:vAlign w:val="center"/>
          </w:tcPr>
          <w:p w14:paraId="1B3ABACC">
            <w:pPr>
              <w:spacing w:line="360" w:lineRule="auto"/>
              <w:contextualSpacing/>
              <w:jc w:val="center"/>
              <w:rPr>
                <w:rFonts w:ascii="宋体" w:hAnsi="宋体" w:cs="宋体"/>
                <w:color w:val="auto"/>
                <w:sz w:val="24"/>
                <w:szCs w:val="20"/>
                <w:highlight w:val="none"/>
              </w:rPr>
            </w:pPr>
          </w:p>
        </w:tc>
        <w:tc>
          <w:tcPr>
            <w:tcW w:w="1309" w:type="dxa"/>
            <w:vAlign w:val="center"/>
          </w:tcPr>
          <w:p w14:paraId="507AA93F">
            <w:pPr>
              <w:spacing w:line="360" w:lineRule="auto"/>
              <w:contextualSpacing/>
              <w:jc w:val="center"/>
              <w:rPr>
                <w:rFonts w:ascii="宋体" w:hAnsi="宋体" w:cs="宋体"/>
                <w:color w:val="auto"/>
                <w:sz w:val="24"/>
                <w:szCs w:val="20"/>
                <w:highlight w:val="none"/>
              </w:rPr>
            </w:pPr>
          </w:p>
        </w:tc>
        <w:tc>
          <w:tcPr>
            <w:tcW w:w="2196" w:type="dxa"/>
            <w:vAlign w:val="center"/>
          </w:tcPr>
          <w:p w14:paraId="11BCD672">
            <w:pPr>
              <w:spacing w:line="360" w:lineRule="auto"/>
              <w:contextualSpacing/>
              <w:jc w:val="center"/>
              <w:rPr>
                <w:rFonts w:ascii="宋体" w:hAnsi="宋体" w:cs="宋体"/>
                <w:color w:val="auto"/>
                <w:sz w:val="24"/>
                <w:szCs w:val="20"/>
                <w:highlight w:val="none"/>
              </w:rPr>
            </w:pPr>
          </w:p>
        </w:tc>
        <w:tc>
          <w:tcPr>
            <w:tcW w:w="1677" w:type="dxa"/>
            <w:vAlign w:val="center"/>
          </w:tcPr>
          <w:p w14:paraId="4DFA5FB0">
            <w:pPr>
              <w:spacing w:line="360" w:lineRule="auto"/>
              <w:contextualSpacing/>
              <w:jc w:val="center"/>
              <w:rPr>
                <w:rFonts w:ascii="宋体" w:hAnsi="宋体" w:cs="宋体"/>
                <w:color w:val="auto"/>
                <w:sz w:val="24"/>
                <w:szCs w:val="20"/>
                <w:highlight w:val="none"/>
              </w:rPr>
            </w:pPr>
          </w:p>
        </w:tc>
      </w:tr>
      <w:tr w14:paraId="378E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09668E">
            <w:pPr>
              <w:spacing w:line="360" w:lineRule="auto"/>
              <w:contextualSpacing/>
              <w:jc w:val="center"/>
              <w:rPr>
                <w:rFonts w:ascii="宋体" w:hAnsi="宋体" w:cs="宋体"/>
                <w:color w:val="auto"/>
                <w:sz w:val="24"/>
                <w:szCs w:val="20"/>
                <w:highlight w:val="none"/>
              </w:rPr>
            </w:pPr>
          </w:p>
        </w:tc>
        <w:tc>
          <w:tcPr>
            <w:tcW w:w="817" w:type="dxa"/>
            <w:vAlign w:val="center"/>
          </w:tcPr>
          <w:p w14:paraId="7390BD65">
            <w:pPr>
              <w:spacing w:line="360" w:lineRule="auto"/>
              <w:contextualSpacing/>
              <w:jc w:val="center"/>
              <w:rPr>
                <w:rFonts w:ascii="宋体" w:hAnsi="宋体" w:cs="宋体"/>
                <w:color w:val="auto"/>
                <w:sz w:val="24"/>
                <w:szCs w:val="20"/>
                <w:highlight w:val="none"/>
              </w:rPr>
            </w:pPr>
          </w:p>
        </w:tc>
        <w:tc>
          <w:tcPr>
            <w:tcW w:w="709" w:type="dxa"/>
            <w:vAlign w:val="center"/>
          </w:tcPr>
          <w:p w14:paraId="7DED5E98">
            <w:pPr>
              <w:spacing w:line="360" w:lineRule="auto"/>
              <w:contextualSpacing/>
              <w:jc w:val="center"/>
              <w:rPr>
                <w:rFonts w:ascii="宋体" w:hAnsi="宋体" w:cs="宋体"/>
                <w:color w:val="auto"/>
                <w:sz w:val="24"/>
                <w:szCs w:val="20"/>
                <w:highlight w:val="none"/>
              </w:rPr>
            </w:pPr>
          </w:p>
        </w:tc>
        <w:tc>
          <w:tcPr>
            <w:tcW w:w="2905" w:type="dxa"/>
            <w:vAlign w:val="center"/>
          </w:tcPr>
          <w:p w14:paraId="730038A7">
            <w:pPr>
              <w:spacing w:line="360" w:lineRule="auto"/>
              <w:contextualSpacing/>
              <w:jc w:val="center"/>
              <w:rPr>
                <w:rFonts w:ascii="宋体" w:hAnsi="宋体" w:cs="宋体"/>
                <w:color w:val="auto"/>
                <w:sz w:val="24"/>
                <w:szCs w:val="20"/>
                <w:highlight w:val="none"/>
              </w:rPr>
            </w:pPr>
          </w:p>
        </w:tc>
        <w:tc>
          <w:tcPr>
            <w:tcW w:w="1309" w:type="dxa"/>
            <w:vAlign w:val="center"/>
          </w:tcPr>
          <w:p w14:paraId="7B8E2615">
            <w:pPr>
              <w:spacing w:line="360" w:lineRule="auto"/>
              <w:contextualSpacing/>
              <w:jc w:val="center"/>
              <w:rPr>
                <w:rFonts w:ascii="宋体" w:hAnsi="宋体" w:cs="宋体"/>
                <w:color w:val="auto"/>
                <w:sz w:val="24"/>
                <w:szCs w:val="20"/>
                <w:highlight w:val="none"/>
              </w:rPr>
            </w:pPr>
          </w:p>
        </w:tc>
        <w:tc>
          <w:tcPr>
            <w:tcW w:w="2196" w:type="dxa"/>
            <w:vAlign w:val="center"/>
          </w:tcPr>
          <w:p w14:paraId="2097FA39">
            <w:pPr>
              <w:spacing w:line="360" w:lineRule="auto"/>
              <w:contextualSpacing/>
              <w:jc w:val="center"/>
              <w:rPr>
                <w:rFonts w:ascii="宋体" w:hAnsi="宋体" w:cs="宋体"/>
                <w:color w:val="auto"/>
                <w:sz w:val="24"/>
                <w:szCs w:val="20"/>
                <w:highlight w:val="none"/>
              </w:rPr>
            </w:pPr>
          </w:p>
        </w:tc>
        <w:tc>
          <w:tcPr>
            <w:tcW w:w="1677" w:type="dxa"/>
            <w:vAlign w:val="center"/>
          </w:tcPr>
          <w:p w14:paraId="0F680789">
            <w:pPr>
              <w:spacing w:line="360" w:lineRule="auto"/>
              <w:contextualSpacing/>
              <w:jc w:val="center"/>
              <w:rPr>
                <w:rFonts w:ascii="宋体" w:hAnsi="宋体" w:cs="宋体"/>
                <w:color w:val="auto"/>
                <w:sz w:val="24"/>
                <w:szCs w:val="20"/>
                <w:highlight w:val="none"/>
              </w:rPr>
            </w:pPr>
          </w:p>
        </w:tc>
      </w:tr>
    </w:tbl>
    <w:p w14:paraId="6861FD14">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740AB172">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39651C29">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2.供应商应当附本表所列证书的复印件并加盖供应商公章。</w:t>
      </w:r>
    </w:p>
    <w:p w14:paraId="0554EAD3">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5D188102">
      <w:pPr>
        <w:spacing w:line="360" w:lineRule="auto"/>
        <w:contextualSpacing/>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供应商（盖公章）：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9FF3547">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3A50E886">
      <w:pPr>
        <w:snapToGrid w:val="0"/>
        <w:spacing w:before="50" w:after="156" w:afterLines="50"/>
        <w:jc w:val="left"/>
        <w:rPr>
          <w:rFonts w:ascii="宋体" w:hAnsi="宋体" w:cs="宋体"/>
          <w:color w:val="auto"/>
          <w:sz w:val="24"/>
          <w:szCs w:val="20"/>
          <w:highlight w:val="none"/>
        </w:rPr>
      </w:pPr>
    </w:p>
    <w:p w14:paraId="7C09769F">
      <w:pPr>
        <w:snapToGrid w:val="0"/>
        <w:spacing w:before="50" w:after="50" w:line="360" w:lineRule="auto"/>
        <w:ind w:right="-817" w:rightChars="-389" w:firstLine="5461" w:firstLineChars="1700"/>
        <w:rPr>
          <w:rFonts w:ascii="宋体" w:hAnsi="宋体" w:cs="宋体"/>
          <w:b/>
          <w:color w:val="auto"/>
          <w:sz w:val="32"/>
          <w:szCs w:val="32"/>
          <w:highlight w:val="none"/>
        </w:rPr>
      </w:pPr>
    </w:p>
    <w:p w14:paraId="10137A2A">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367607B6">
      <w:pPr>
        <w:jc w:val="center"/>
        <w:rPr>
          <w:rFonts w:ascii="宋体" w:hAnsi="宋体" w:cs="宋体"/>
          <w:color w:val="auto"/>
          <w:sz w:val="44"/>
          <w:szCs w:val="44"/>
          <w:highlight w:val="none"/>
        </w:rPr>
      </w:pPr>
      <w:bookmarkStart w:id="143" w:name="_Toc71365926"/>
      <w:r>
        <w:rPr>
          <w:rFonts w:hint="eastAsia" w:ascii="宋体" w:hAnsi="宋体" w:cs="宋体"/>
          <w:color w:val="auto"/>
          <w:sz w:val="44"/>
          <w:szCs w:val="44"/>
          <w:highlight w:val="none"/>
        </w:rPr>
        <w:t>中小企业声明函（服务）</w:t>
      </w:r>
      <w:bookmarkEnd w:id="143"/>
    </w:p>
    <w:p w14:paraId="3140E76D">
      <w:pPr>
        <w:spacing w:before="2" w:line="500" w:lineRule="exact"/>
        <w:ind w:firstLine="708" w:firstLineChars="294"/>
        <w:rPr>
          <w:rFonts w:ascii="宋体" w:hAnsi="宋体" w:cs="宋体"/>
          <w:b/>
          <w:bCs/>
          <w:color w:val="auto"/>
          <w:sz w:val="24"/>
          <w:highlight w:val="none"/>
        </w:rPr>
      </w:pPr>
    </w:p>
    <w:p w14:paraId="02A3D77B">
      <w:pPr>
        <w:pStyle w:val="2"/>
        <w:spacing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本公司郑重声明，根据《政府采购促进中小企业发展管理办法》（财库﹝2020﹞46号）的规定，本公司参加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73DF4706">
      <w:pPr>
        <w:tabs>
          <w:tab w:val="left" w:pos="1384"/>
          <w:tab w:val="left" w:pos="4562"/>
          <w:tab w:val="left" w:pos="6803"/>
        </w:tabs>
        <w:spacing w:before="13" w:line="50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E936D3E">
      <w:pPr>
        <w:tabs>
          <w:tab w:val="left" w:pos="1065"/>
          <w:tab w:val="left" w:pos="4262"/>
          <w:tab w:val="left" w:pos="6477"/>
        </w:tabs>
        <w:spacing w:before="20" w:line="500" w:lineRule="exact"/>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084D189D">
      <w:pPr>
        <w:pStyle w:val="2"/>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 xml:space="preserve">…… </w:t>
      </w:r>
    </w:p>
    <w:p w14:paraId="3D0DCC68">
      <w:pPr>
        <w:pStyle w:val="2"/>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C6A2A53">
      <w:pPr>
        <w:pStyle w:val="2"/>
        <w:spacing w:before="25"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4C5D74D">
      <w:pPr>
        <w:pStyle w:val="2"/>
        <w:spacing w:before="56" w:line="500" w:lineRule="exact"/>
        <w:ind w:right="1808" w:firstLine="705" w:firstLineChars="294"/>
        <w:rPr>
          <w:rFonts w:ascii="宋体" w:hAnsi="宋体" w:cs="宋体"/>
          <w:color w:val="auto"/>
          <w:sz w:val="24"/>
          <w:highlight w:val="none"/>
        </w:rPr>
      </w:pPr>
    </w:p>
    <w:p w14:paraId="1E4C02DE">
      <w:pPr>
        <w:pStyle w:val="2"/>
        <w:spacing w:before="56" w:line="500" w:lineRule="exact"/>
        <w:ind w:right="650" w:firstLine="5625" w:firstLineChars="2344"/>
        <w:rPr>
          <w:rFonts w:ascii="宋体" w:hAnsi="宋体" w:cs="宋体"/>
          <w:color w:val="auto"/>
          <w:sz w:val="24"/>
          <w:highlight w:val="none"/>
        </w:rPr>
      </w:pPr>
      <w:r>
        <w:rPr>
          <w:rFonts w:hint="eastAsia" w:ascii="宋体" w:hAnsi="宋体" w:cs="宋体"/>
          <w:color w:val="auto"/>
          <w:sz w:val="24"/>
          <w:highlight w:val="none"/>
        </w:rPr>
        <w:t xml:space="preserve">企业名称（章）： </w:t>
      </w:r>
    </w:p>
    <w:p w14:paraId="445943B8">
      <w:pPr>
        <w:pStyle w:val="2"/>
        <w:spacing w:before="56" w:line="50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19F4B0CE">
      <w:pPr>
        <w:spacing w:line="520" w:lineRule="exact"/>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607C614">
      <w:pPr>
        <w:spacing w:line="520" w:lineRule="exact"/>
        <w:jc w:val="center"/>
        <w:rPr>
          <w:rFonts w:ascii="宋体" w:hAnsi="宋体" w:cs="宋体"/>
          <w:color w:val="auto"/>
          <w:sz w:val="24"/>
          <w:highlight w:val="none"/>
        </w:rPr>
      </w:pPr>
    </w:p>
    <w:p w14:paraId="64F38DE0">
      <w:pPr>
        <w:pStyle w:val="18"/>
        <w:jc w:val="left"/>
        <w:rPr>
          <w:rFonts w:hAnsi="宋体" w:cs="宋体"/>
          <w:color w:val="auto"/>
          <w:sz w:val="32"/>
          <w:szCs w:val="32"/>
          <w:highlight w:val="none"/>
        </w:rPr>
      </w:pPr>
      <w:r>
        <w:rPr>
          <w:rFonts w:hint="eastAsia" w:hAnsi="宋体" w:cs="宋体"/>
          <w:color w:val="auto"/>
          <w:sz w:val="24"/>
          <w:highlight w:val="none"/>
        </w:rPr>
        <w:br w:type="page"/>
      </w:r>
      <w:r>
        <w:rPr>
          <w:rFonts w:hint="eastAsia" w:hAnsi="宋体" w:cs="宋体"/>
          <w:color w:val="auto"/>
          <w:sz w:val="32"/>
          <w:szCs w:val="32"/>
          <w:highlight w:val="none"/>
        </w:rPr>
        <w:t>附：</w:t>
      </w:r>
    </w:p>
    <w:p w14:paraId="615DCED1">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1D898CB9">
      <w:pPr>
        <w:ind w:left="1871"/>
        <w:rPr>
          <w:rFonts w:ascii="宋体" w:hAnsi="宋体" w:cs="宋体"/>
          <w:color w:val="auto"/>
          <w:szCs w:val="21"/>
          <w:highlight w:val="none"/>
        </w:rPr>
      </w:pPr>
    </w:p>
    <w:tbl>
      <w:tblPr>
        <w:tblStyle w:val="32"/>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18C46B45">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1CF0F8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74DE80B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6DF4BD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6183189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0AE66B42">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7183F0B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E7B7F1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5C47A4B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CD93A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D5EE0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0CCC3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38CFAB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687EE5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28A46B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1552D6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0F033D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1BD49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7AB7F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94623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006FDB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796306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56FDFB0">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9D815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3234E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98EF3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699FB0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2EAA71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B2E5C3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871307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453821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82308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F84CD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1C0FED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2C6C88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DDB356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45C06F">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28BCF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48A09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75474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42732C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724E8B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D60959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DC68C5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6131D1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82052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AF6D4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7945C9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564BF7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BE7CD6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1897A6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81729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CE35E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51295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58069D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5A891E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C6C3FA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BFEC1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26A49B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BD5CD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A358C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11B22E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382060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7A62ED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4965EB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BC233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5E163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0B5F6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B8113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460BF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09AF31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E9E9F0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02FDD9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16C46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9BBAF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9BBC1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5E18C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0149D8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C88E660">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6CEFB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56935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B166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40DE5A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34AEF5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9950C7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798E53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584E83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ABA4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B2936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6F3794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81863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5F2165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4B678E9">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71639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CA743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BAD67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3B3C32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791CEB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EEA64E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1CAD8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6D3E71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83AE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33936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1ECB6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8C4D9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AA7934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49454D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21123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D565C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30C1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5F1102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F7526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DFBAB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E0CF38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FFDF5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05CA1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D81D9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95156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F2973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4F33B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DA8E3F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6DFDC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487FB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A9A87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AD67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6200D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1B895F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7CB8B2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7AECC8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D84E8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5782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9F1A0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3CA03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D51EB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FC80981">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31317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43033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B0E91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7A5BC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6587D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BA714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82BBD4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50F049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FB821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F2492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368F9A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9B3DB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F8AD59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4B93F8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E16BA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67EDE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A4B79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439741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B5112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7A38DF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A2B8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4BBB53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B4064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B825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D0E15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1A59F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B0563B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6EF881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1106B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FBD94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A469C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2414A5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54579C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CD70EA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F6797F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22FC48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AFF4C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5D7B3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787682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1FEC82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5C6C4C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F06860C">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0BD52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C195F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A9CF1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6FD9F1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D3E50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F1A9A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114151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540EDA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3F823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CEED4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9CD59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B5FF2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BD5210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812080A">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8390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E1A65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92B8B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4441B6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473BD2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13B7C8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8A028E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560BC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BFAE8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5EA6F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A186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C859F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18422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C92D4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09B8D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56E6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AB9F6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1FB23F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BF471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713CC1">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59618F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481A3D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39ABB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1C33E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E6A94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86E9A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CF4F567">
      <w:pPr>
        <w:spacing w:line="360" w:lineRule="auto"/>
        <w:ind w:firstLine="525" w:firstLineChars="250"/>
        <w:rPr>
          <w:rFonts w:ascii="宋体" w:hAnsi="宋体" w:cs="宋体"/>
          <w:color w:val="auto"/>
          <w:szCs w:val="21"/>
          <w:highlight w:val="none"/>
        </w:rPr>
      </w:pPr>
    </w:p>
    <w:p w14:paraId="73C55BE7">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CD77602">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7C0A82AD">
      <w:pPr>
        <w:spacing w:line="360" w:lineRule="auto"/>
        <w:contextualSpacing/>
        <w:rPr>
          <w:rFonts w:ascii="宋体" w:hAnsi="宋体" w:cs="宋体"/>
          <w:color w:val="auto"/>
          <w:sz w:val="32"/>
          <w:szCs w:val="32"/>
          <w:highlight w:val="none"/>
        </w:rPr>
      </w:pPr>
    </w:p>
    <w:p w14:paraId="60527BB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A937F3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CB41347">
      <w:pPr>
        <w:spacing w:line="360" w:lineRule="auto"/>
        <w:contextualSpacing/>
        <w:rPr>
          <w:rFonts w:ascii="宋体" w:hAnsi="宋体" w:cs="宋体"/>
          <w:color w:val="auto"/>
          <w:sz w:val="24"/>
          <w:highlight w:val="none"/>
        </w:rPr>
      </w:pPr>
    </w:p>
    <w:p w14:paraId="408BAB7F">
      <w:pPr>
        <w:spacing w:line="360" w:lineRule="auto"/>
        <w:contextualSpacing/>
        <w:rPr>
          <w:rFonts w:ascii="宋体" w:hAnsi="宋体" w:cs="宋体"/>
          <w:color w:val="auto"/>
          <w:sz w:val="24"/>
          <w:highlight w:val="none"/>
        </w:rPr>
      </w:pPr>
    </w:p>
    <w:p w14:paraId="6ADE1829">
      <w:pPr>
        <w:spacing w:line="360" w:lineRule="auto"/>
        <w:contextualSpacing/>
        <w:rPr>
          <w:rFonts w:ascii="宋体" w:hAnsi="宋体" w:cs="宋体"/>
          <w:color w:val="auto"/>
          <w:sz w:val="24"/>
          <w:highlight w:val="none"/>
        </w:rPr>
      </w:pPr>
    </w:p>
    <w:p w14:paraId="5FF1568D">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单位名称（盖章）：</w:t>
      </w:r>
    </w:p>
    <w:p w14:paraId="6C3166DC">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564CCA2A">
      <w:pPr>
        <w:spacing w:line="360" w:lineRule="auto"/>
        <w:contextualSpacing/>
        <w:rPr>
          <w:rFonts w:ascii="宋体" w:hAnsi="宋体" w:cs="宋体"/>
          <w:color w:val="auto"/>
          <w:sz w:val="24"/>
          <w:highlight w:val="none"/>
        </w:rPr>
      </w:pPr>
    </w:p>
    <w:p w14:paraId="64A97B59">
      <w:pPr>
        <w:spacing w:line="360" w:lineRule="auto"/>
        <w:contextualSpacing/>
        <w:rPr>
          <w:rFonts w:ascii="宋体" w:hAnsi="宋体" w:cs="宋体"/>
          <w:color w:val="auto"/>
          <w:sz w:val="24"/>
          <w:highlight w:val="none"/>
        </w:rPr>
      </w:pPr>
    </w:p>
    <w:p w14:paraId="6DFF2E81">
      <w:pPr>
        <w:spacing w:line="360" w:lineRule="auto"/>
        <w:contextualSpacing/>
        <w:rPr>
          <w:rFonts w:ascii="宋体" w:hAnsi="宋体" w:cs="宋体"/>
          <w:color w:val="auto"/>
          <w:sz w:val="24"/>
          <w:highlight w:val="none"/>
        </w:rPr>
      </w:pPr>
    </w:p>
    <w:p w14:paraId="0E36A593">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D9F1398">
      <w:pPr>
        <w:rPr>
          <w:rFonts w:hint="eastAsia" w:ascii="宋体" w:hAnsi="宋体" w:cs="宋体"/>
          <w:color w:val="auto"/>
          <w:sz w:val="24"/>
          <w:highlight w:val="none"/>
        </w:rPr>
      </w:pPr>
      <w:r>
        <w:rPr>
          <w:rFonts w:hint="eastAsia" w:ascii="宋体" w:hAnsi="宋体" w:cs="宋体"/>
          <w:color w:val="auto"/>
          <w:sz w:val="24"/>
          <w:highlight w:val="none"/>
        </w:rPr>
        <w:br w:type="page"/>
      </w:r>
    </w:p>
    <w:p w14:paraId="5F00722F">
      <w:pPr>
        <w:keepNext w:val="0"/>
        <w:keepLines w:val="0"/>
        <w:widowControl/>
        <w:suppressLineNumbers w:val="0"/>
        <w:jc w:val="left"/>
        <w:rPr>
          <w:b w:val="0"/>
          <w:bCs w:val="0"/>
          <w:color w:val="auto"/>
          <w:sz w:val="28"/>
          <w:szCs w:val="28"/>
          <w:highlight w:val="none"/>
        </w:rPr>
      </w:pPr>
      <w:r>
        <w:rPr>
          <w:rFonts w:ascii="HYShuSongErKW" w:hAnsi="HYShuSongErKW" w:eastAsia="HYShuSongErKW" w:cs="HYShuSongErKW"/>
          <w:b w:val="0"/>
          <w:bCs w:val="0"/>
          <w:color w:val="auto"/>
          <w:kern w:val="0"/>
          <w:sz w:val="28"/>
          <w:szCs w:val="28"/>
          <w:highlight w:val="none"/>
          <w:lang w:val="en-US" w:eastAsia="zh-CN" w:bidi="ar"/>
        </w:rPr>
        <w:t>供应商如选择以合同分包形式参与响应，按以下格式提供分包意向协议书</w:t>
      </w:r>
    </w:p>
    <w:p w14:paraId="5446D016">
      <w:pPr>
        <w:spacing w:line="520" w:lineRule="exact"/>
        <w:jc w:val="center"/>
        <w:rPr>
          <w:rFonts w:hint="eastAsia" w:ascii="宋体" w:hAnsi="宋体" w:eastAsia="宋体" w:cs="宋体"/>
          <w:color w:val="auto"/>
          <w:sz w:val="44"/>
          <w:szCs w:val="44"/>
          <w:highlight w:val="none"/>
          <w:lang w:val="en-US" w:eastAsia="zh-CN"/>
        </w:rPr>
      </w:pPr>
    </w:p>
    <w:p w14:paraId="3C7079D5">
      <w:pPr>
        <w:spacing w:line="520" w:lineRule="exact"/>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val="en-US" w:eastAsia="zh-CN"/>
        </w:rPr>
        <w:t>分包意向协议书</w:t>
      </w:r>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lang w:val="en-US" w:eastAsia="zh-CN"/>
        </w:rPr>
        <w:t>如有</w:t>
      </w:r>
      <w:r>
        <w:rPr>
          <w:rFonts w:hint="eastAsia" w:ascii="宋体" w:hAnsi="宋体" w:eastAsia="宋体" w:cs="宋体"/>
          <w:color w:val="auto"/>
          <w:sz w:val="44"/>
          <w:szCs w:val="44"/>
          <w:highlight w:val="none"/>
          <w:lang w:eastAsia="zh-CN"/>
        </w:rPr>
        <w:t>）</w:t>
      </w:r>
    </w:p>
    <w:p w14:paraId="16BA6A37">
      <w:pPr>
        <w:spacing w:before="73"/>
        <w:rPr>
          <w:color w:val="auto"/>
          <w:highlight w:val="none"/>
        </w:rPr>
      </w:pPr>
    </w:p>
    <w:p w14:paraId="7D27DA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b/>
          <w:bCs/>
          <w:color w:val="auto"/>
          <w:sz w:val="24"/>
          <w:szCs w:val="24"/>
          <w:highlight w:val="none"/>
        </w:rPr>
      </w:pPr>
      <w:r>
        <w:rPr>
          <w:rFonts w:hint="default" w:ascii="HYShuSongErKW" w:hAnsi="HYShuSongErKW" w:eastAsia="HYShuSongErKW" w:cs="HYShuSongErKW"/>
          <w:b/>
          <w:bCs/>
          <w:color w:val="auto"/>
          <w:kern w:val="0"/>
          <w:sz w:val="24"/>
          <w:szCs w:val="24"/>
          <w:highlight w:val="none"/>
          <w:lang w:val="en-US" w:eastAsia="zh-CN" w:bidi="ar"/>
        </w:rPr>
        <w:t>一、分包意向各方关系</w:t>
      </w:r>
      <w:r>
        <w:rPr>
          <w:rFonts w:hint="eastAsia" w:ascii="HYShuSongErKW" w:hAnsi="HYShuSongErKW" w:eastAsia="HYShuSongErKW" w:cs="HYShuSongErKW"/>
          <w:b/>
          <w:bCs/>
          <w:color w:val="auto"/>
          <w:kern w:val="0"/>
          <w:sz w:val="24"/>
          <w:szCs w:val="24"/>
          <w:highlight w:val="none"/>
          <w:lang w:val="en-US" w:eastAsia="zh-CN" w:bidi="ar"/>
        </w:rPr>
        <w:t>：</w:t>
      </w:r>
      <w:r>
        <w:rPr>
          <w:rFonts w:hint="default" w:ascii="HYShuSongErKW" w:hAnsi="HYShuSongErKW" w:eastAsia="HYShuSongErKW" w:cs="HYShuSongErKW"/>
          <w:b/>
          <w:bCs/>
          <w:color w:val="auto"/>
          <w:kern w:val="0"/>
          <w:sz w:val="24"/>
          <w:szCs w:val="24"/>
          <w:highlight w:val="none"/>
          <w:lang w:val="en-US" w:eastAsia="zh-CN" w:bidi="ar"/>
        </w:rPr>
        <w:t xml:space="preserve"> </w:t>
      </w:r>
    </w:p>
    <w:p w14:paraId="583E56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default" w:ascii="HYShuSongErKW" w:hAnsi="HYShuSongErKW" w:eastAsia="HYShuSongErKW" w:cs="HYShuSongErKW"/>
          <w:color w:val="auto"/>
          <w:kern w:val="0"/>
          <w:sz w:val="24"/>
          <w:szCs w:val="24"/>
          <w:highlight w:val="none"/>
          <w:u w:val="single"/>
          <w:lang w:val="en-US" w:eastAsia="zh-CN" w:bidi="ar"/>
        </w:rPr>
        <w:t>（甲公司全称）</w:t>
      </w:r>
      <w:r>
        <w:rPr>
          <w:rFonts w:hint="default" w:ascii="HYShuSongErKW" w:hAnsi="HYShuSongErKW" w:eastAsia="HYShuSongErKW" w:cs="HYShuSongErKW"/>
          <w:color w:val="auto"/>
          <w:kern w:val="0"/>
          <w:sz w:val="24"/>
          <w:szCs w:val="24"/>
          <w:highlight w:val="none"/>
          <w:lang w:val="en-US" w:eastAsia="zh-CN" w:bidi="ar"/>
        </w:rPr>
        <w:t>为响应方、</w:t>
      </w:r>
      <w:r>
        <w:rPr>
          <w:rFonts w:hint="default" w:ascii="HYShuSongErKW" w:hAnsi="HYShuSongErKW" w:eastAsia="HYShuSongErKW" w:cs="HYShuSongErKW"/>
          <w:color w:val="auto"/>
          <w:kern w:val="0"/>
          <w:sz w:val="24"/>
          <w:szCs w:val="24"/>
          <w:highlight w:val="none"/>
          <w:u w:val="single"/>
          <w:lang w:val="en-US" w:eastAsia="zh-CN" w:bidi="ar"/>
        </w:rPr>
        <w:t>（乙公司全称）、（</w:t>
      </w:r>
      <w:r>
        <w:rPr>
          <w:rFonts w:hint="default" w:ascii="Times New Roman" w:hAnsi="Times New Roman" w:eastAsia="宋体" w:cs="Times New Roman"/>
          <w:color w:val="auto"/>
          <w:kern w:val="0"/>
          <w:sz w:val="24"/>
          <w:szCs w:val="24"/>
          <w:highlight w:val="none"/>
          <w:u w:val="single"/>
          <w:lang w:val="en-US" w:eastAsia="zh-CN" w:bidi="ar"/>
        </w:rPr>
        <w:t>……</w:t>
      </w:r>
      <w:r>
        <w:rPr>
          <w:rFonts w:hint="default" w:ascii="HYShuSongErKW" w:hAnsi="HYShuSongErKW" w:eastAsia="HYShuSongErKW" w:cs="HYShuSongErKW"/>
          <w:color w:val="auto"/>
          <w:kern w:val="0"/>
          <w:sz w:val="24"/>
          <w:szCs w:val="24"/>
          <w:highlight w:val="none"/>
          <w:u w:val="single"/>
          <w:lang w:val="en-US" w:eastAsia="zh-CN" w:bidi="ar"/>
        </w:rPr>
        <w:t>公司全称）</w:t>
      </w:r>
      <w:r>
        <w:rPr>
          <w:rFonts w:hint="default" w:ascii="HYShuSongErKW" w:hAnsi="HYShuSongErKW" w:eastAsia="HYShuSongErKW" w:cs="HYShuSongErKW"/>
          <w:color w:val="auto"/>
          <w:kern w:val="0"/>
          <w:sz w:val="24"/>
          <w:szCs w:val="24"/>
          <w:highlight w:val="none"/>
          <w:lang w:val="en-US" w:eastAsia="zh-CN" w:bidi="ar"/>
        </w:rPr>
        <w:t>为分包意向供应商，</w:t>
      </w:r>
      <w:r>
        <w:rPr>
          <w:rFonts w:hint="default" w:ascii="HYShuSongErKW" w:hAnsi="HYShuSongErKW" w:eastAsia="HYShuSongErKW" w:cs="HYShuSongErKW"/>
          <w:color w:val="auto"/>
          <w:kern w:val="0"/>
          <w:sz w:val="24"/>
          <w:szCs w:val="24"/>
          <w:highlight w:val="none"/>
          <w:u w:val="single"/>
          <w:lang w:val="en-US" w:eastAsia="zh-CN" w:bidi="ar"/>
        </w:rPr>
        <w:t>（甲公司全称）</w:t>
      </w:r>
      <w:r>
        <w:rPr>
          <w:rFonts w:hint="default" w:ascii="HYShuSongErKW" w:hAnsi="HYShuSongErKW" w:eastAsia="HYShuSongErKW" w:cs="HYShuSongErKW"/>
          <w:color w:val="auto"/>
          <w:kern w:val="0"/>
          <w:sz w:val="24"/>
          <w:szCs w:val="24"/>
          <w:highlight w:val="none"/>
          <w:lang w:val="en-US" w:eastAsia="zh-CN" w:bidi="ar"/>
        </w:rPr>
        <w:t>以响应供应商的身份参加本项目的响应。若中标，</w:t>
      </w:r>
      <w:r>
        <w:rPr>
          <w:rFonts w:hint="default" w:ascii="HYShuSongErKW" w:hAnsi="HYShuSongErKW" w:eastAsia="HYShuSongErKW" w:cs="HYShuSongErKW"/>
          <w:color w:val="auto"/>
          <w:kern w:val="0"/>
          <w:sz w:val="24"/>
          <w:szCs w:val="24"/>
          <w:highlight w:val="none"/>
          <w:u w:val="single"/>
          <w:lang w:val="en-US" w:eastAsia="zh-CN" w:bidi="ar"/>
        </w:rPr>
        <w:t>（甲公司全称）</w:t>
      </w:r>
      <w:r>
        <w:rPr>
          <w:rFonts w:hint="default" w:ascii="HYShuSongErKW" w:hAnsi="HYShuSongErKW" w:eastAsia="HYShuSongErKW" w:cs="HYShuSongErKW"/>
          <w:color w:val="auto"/>
          <w:kern w:val="0"/>
          <w:sz w:val="24"/>
          <w:szCs w:val="24"/>
          <w:highlight w:val="none"/>
          <w:lang w:val="en-US" w:eastAsia="zh-CN" w:bidi="ar"/>
        </w:rPr>
        <w:t>与采购人签订政府采购合同。承接分包意向的各供应商与</w:t>
      </w:r>
      <w:r>
        <w:rPr>
          <w:rFonts w:hint="default" w:ascii="HYShuSongErKW" w:hAnsi="HYShuSongErKW" w:eastAsia="HYShuSongErKW" w:cs="HYShuSongErKW"/>
          <w:color w:val="auto"/>
          <w:kern w:val="0"/>
          <w:sz w:val="24"/>
          <w:szCs w:val="24"/>
          <w:highlight w:val="none"/>
          <w:u w:val="single"/>
          <w:lang w:val="en-US" w:eastAsia="zh-CN" w:bidi="ar"/>
        </w:rPr>
        <w:t>（甲公司全称）</w:t>
      </w:r>
      <w:r>
        <w:rPr>
          <w:rFonts w:hint="default" w:ascii="HYShuSongErKW" w:hAnsi="HYShuSongErKW" w:eastAsia="HYShuSongErKW" w:cs="HYShuSongErKW"/>
          <w:color w:val="auto"/>
          <w:kern w:val="0"/>
          <w:sz w:val="24"/>
          <w:szCs w:val="24"/>
          <w:highlight w:val="none"/>
          <w:lang w:val="en-US" w:eastAsia="zh-CN" w:bidi="ar"/>
        </w:rPr>
        <w:t>签订分包合同。</w:t>
      </w:r>
      <w:r>
        <w:rPr>
          <w:rFonts w:hint="default" w:ascii="HYShuSongErKW" w:hAnsi="HYShuSongErKW" w:eastAsia="HYShuSongErKW" w:cs="HYShuSongErKW"/>
          <w:color w:val="auto"/>
          <w:kern w:val="0"/>
          <w:sz w:val="24"/>
          <w:szCs w:val="24"/>
          <w:highlight w:val="none"/>
          <w:u w:val="single"/>
          <w:lang w:val="en-US" w:eastAsia="zh-CN" w:bidi="ar"/>
        </w:rPr>
        <w:t>（甲公司全称）</w:t>
      </w:r>
      <w:r>
        <w:rPr>
          <w:rFonts w:hint="default" w:ascii="HYShuSongErKW" w:hAnsi="HYShuSongErKW" w:eastAsia="HYShuSongErKW" w:cs="HYShuSongErKW"/>
          <w:color w:val="auto"/>
          <w:kern w:val="0"/>
          <w:sz w:val="24"/>
          <w:szCs w:val="24"/>
          <w:highlight w:val="none"/>
          <w:lang w:val="en-US" w:eastAsia="zh-CN" w:bidi="ar"/>
        </w:rPr>
        <w:t>就采购项目和分包项目向采购人</w:t>
      </w:r>
      <w:r>
        <w:rPr>
          <w:rFonts w:ascii="HYShuSongErKW" w:hAnsi="HYShuSongErKW" w:eastAsia="HYShuSongErKW" w:cs="HYShuSongErKW"/>
          <w:color w:val="auto"/>
          <w:kern w:val="0"/>
          <w:sz w:val="24"/>
          <w:szCs w:val="24"/>
          <w:highlight w:val="none"/>
          <w:lang w:val="en-US" w:eastAsia="zh-CN" w:bidi="ar"/>
        </w:rPr>
        <w:t xml:space="preserve">负责，分包供应商就分包项目承担责任。 </w:t>
      </w:r>
    </w:p>
    <w:p w14:paraId="3ADF85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HYShuSongErKW" w:hAnsi="HYShuSongErKW" w:eastAsia="HYShuSongErKW" w:cs="HYShuSongErKW"/>
          <w:b/>
          <w:bCs/>
          <w:color w:val="auto"/>
          <w:kern w:val="0"/>
          <w:sz w:val="24"/>
          <w:szCs w:val="24"/>
          <w:highlight w:val="none"/>
          <w:lang w:val="en-US" w:eastAsia="zh-CN" w:bidi="ar"/>
        </w:rPr>
      </w:pPr>
      <w:r>
        <w:rPr>
          <w:rFonts w:hint="default" w:ascii="HYShuSongErKW" w:hAnsi="HYShuSongErKW" w:eastAsia="HYShuSongErKW" w:cs="HYShuSongErKW"/>
          <w:b/>
          <w:bCs/>
          <w:color w:val="auto"/>
          <w:kern w:val="0"/>
          <w:sz w:val="24"/>
          <w:szCs w:val="24"/>
          <w:highlight w:val="none"/>
          <w:lang w:val="en-US" w:eastAsia="zh-CN" w:bidi="ar"/>
        </w:rPr>
        <w:t xml:space="preserve">二、有关事项约定如下： </w:t>
      </w:r>
    </w:p>
    <w:p w14:paraId="4FE743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default" w:ascii="HYShuSongErKW" w:hAnsi="HYShuSongErKW" w:eastAsia="HYShuSongErKW" w:cs="HYShuSongErKW"/>
          <w:color w:val="auto"/>
          <w:kern w:val="0"/>
          <w:sz w:val="24"/>
          <w:szCs w:val="24"/>
          <w:highlight w:val="none"/>
          <w:lang w:val="en-US" w:eastAsia="zh-CN" w:bidi="ar"/>
        </w:rPr>
        <w:t>如中标，分包意向供应商分别与</w:t>
      </w:r>
      <w:r>
        <w:rPr>
          <w:rFonts w:hint="default" w:ascii="HYShuSongErKW" w:hAnsi="HYShuSongErKW" w:eastAsia="HYShuSongErKW" w:cs="HYShuSongErKW"/>
          <w:color w:val="auto"/>
          <w:kern w:val="0"/>
          <w:sz w:val="24"/>
          <w:szCs w:val="24"/>
          <w:highlight w:val="none"/>
          <w:u w:val="single"/>
          <w:lang w:val="en-US" w:eastAsia="zh-CN" w:bidi="ar"/>
        </w:rPr>
        <w:t>（甲公司全称）</w:t>
      </w:r>
      <w:r>
        <w:rPr>
          <w:rFonts w:hint="default" w:ascii="HYShuSongErKW" w:hAnsi="HYShuSongErKW" w:eastAsia="HYShuSongErKW" w:cs="HYShuSongErKW"/>
          <w:color w:val="auto"/>
          <w:kern w:val="0"/>
          <w:sz w:val="24"/>
          <w:szCs w:val="24"/>
          <w:highlight w:val="none"/>
          <w:lang w:val="en-US" w:eastAsia="zh-CN" w:bidi="ar"/>
        </w:rPr>
        <w:t xml:space="preserve">签订合同，并就中标项目分包部分向采购人负责连带的和各自的法律责任； </w:t>
      </w:r>
    </w:p>
    <w:p w14:paraId="107A89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2.</w:t>
      </w:r>
      <w:r>
        <w:rPr>
          <w:rFonts w:hint="default" w:ascii="HYShuSongErKW" w:hAnsi="HYShuSongErKW" w:eastAsia="HYShuSongErKW" w:cs="HYShuSongErKW"/>
          <w:color w:val="auto"/>
          <w:kern w:val="0"/>
          <w:sz w:val="24"/>
          <w:szCs w:val="24"/>
          <w:highlight w:val="none"/>
          <w:lang w:val="en-US" w:eastAsia="zh-CN" w:bidi="ar"/>
        </w:rPr>
        <w:t>如因违约过失责任而导致采购人经济损失或被索赔时，</w:t>
      </w:r>
      <w:r>
        <w:rPr>
          <w:rFonts w:hint="default" w:ascii="HYShuSongErKW" w:hAnsi="HYShuSongErKW" w:eastAsia="HYShuSongErKW" w:cs="HYShuSongErKW"/>
          <w:color w:val="auto"/>
          <w:kern w:val="0"/>
          <w:sz w:val="24"/>
          <w:szCs w:val="24"/>
          <w:highlight w:val="none"/>
          <w:u w:val="single"/>
          <w:lang w:val="en-US" w:eastAsia="zh-CN" w:bidi="ar"/>
        </w:rPr>
        <w:t>（甲公司全称）</w:t>
      </w:r>
      <w:r>
        <w:rPr>
          <w:rFonts w:hint="default" w:ascii="HYShuSongErKW" w:hAnsi="HYShuSongErKW" w:eastAsia="HYShuSongErKW" w:cs="HYShuSongErKW"/>
          <w:color w:val="auto"/>
          <w:kern w:val="0"/>
          <w:sz w:val="24"/>
          <w:szCs w:val="24"/>
          <w:highlight w:val="none"/>
          <w:lang w:val="en-US" w:eastAsia="zh-CN" w:bidi="ar"/>
        </w:rPr>
        <w:t xml:space="preserve">同意无条件优先清偿采购人的一切债务和经济赔偿。 </w:t>
      </w:r>
    </w:p>
    <w:p w14:paraId="17A1E2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3.</w:t>
      </w:r>
      <w:r>
        <w:rPr>
          <w:rFonts w:hint="default" w:ascii="HYShuSongErKW" w:hAnsi="HYShuSongErKW" w:eastAsia="HYShuSongErKW" w:cs="HYShuSongErKW"/>
          <w:color w:val="auto"/>
          <w:kern w:val="0"/>
          <w:sz w:val="24"/>
          <w:szCs w:val="24"/>
          <w:highlight w:val="none"/>
          <w:lang w:val="en-US" w:eastAsia="zh-CN" w:bidi="ar"/>
        </w:rPr>
        <w:t xml:space="preserve">如中标，分包意向供应商不得以任何理由提出终止本意向协议。 </w:t>
      </w:r>
    </w:p>
    <w:p w14:paraId="51BD1F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HYShuSongErKW" w:hAnsi="HYShuSongErKW" w:eastAsia="HYShuSongErKW" w:cs="HYShuSongErKW"/>
          <w:b/>
          <w:bCs/>
          <w:color w:val="auto"/>
          <w:kern w:val="0"/>
          <w:sz w:val="24"/>
          <w:szCs w:val="24"/>
          <w:highlight w:val="none"/>
          <w:lang w:val="en-US" w:eastAsia="zh-CN" w:bidi="ar"/>
        </w:rPr>
      </w:pPr>
      <w:r>
        <w:rPr>
          <w:rFonts w:hint="default" w:ascii="HYShuSongErKW" w:hAnsi="HYShuSongErKW" w:eastAsia="HYShuSongErKW" w:cs="HYShuSongErKW"/>
          <w:b/>
          <w:bCs/>
          <w:color w:val="auto"/>
          <w:kern w:val="0"/>
          <w:sz w:val="24"/>
          <w:szCs w:val="24"/>
          <w:highlight w:val="none"/>
          <w:lang w:val="en-US" w:eastAsia="zh-CN" w:bidi="ar"/>
        </w:rPr>
        <w:t>三、合同份额声明：</w:t>
      </w:r>
    </w:p>
    <w:p w14:paraId="397425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1.</w:t>
      </w:r>
      <w:r>
        <w:rPr>
          <w:rFonts w:hint="default" w:ascii="HYShuSongErKW" w:hAnsi="HYShuSongErKW" w:eastAsia="HYShuSongErKW" w:cs="HYShuSongErKW"/>
          <w:color w:val="auto"/>
          <w:kern w:val="0"/>
          <w:sz w:val="24"/>
          <w:szCs w:val="24"/>
          <w:highlight w:val="none"/>
          <w:lang w:val="en-US" w:eastAsia="zh-CN" w:bidi="ar"/>
        </w:rPr>
        <w:t>中型或小型企业或微型企业承接的金额占合同总金额的</w:t>
      </w:r>
      <w:r>
        <w:rPr>
          <w:rFonts w:hint="eastAsia" w:ascii="HYShuSongErKW" w:hAnsi="HYShuSongErKW" w:eastAsia="HYShuSongErKW" w:cs="HYShuSongErKW"/>
          <w:color w:val="auto"/>
          <w:kern w:val="0"/>
          <w:sz w:val="24"/>
          <w:szCs w:val="24"/>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w:t>
      </w:r>
      <w:r>
        <w:rPr>
          <w:rFonts w:hint="default" w:ascii="HYShuSongErKW" w:hAnsi="HYShuSongErKW" w:eastAsia="HYShuSongErKW" w:cs="HYShuSongErKW"/>
          <w:color w:val="auto"/>
          <w:kern w:val="0"/>
          <w:sz w:val="24"/>
          <w:szCs w:val="24"/>
          <w:highlight w:val="none"/>
          <w:lang w:val="en-US" w:eastAsia="zh-CN" w:bidi="ar"/>
        </w:rPr>
        <w:t xml:space="preserve">； </w:t>
      </w:r>
    </w:p>
    <w:p w14:paraId="733545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default" w:ascii="HYShuSongErKW" w:hAnsi="HYShuSongErKW" w:eastAsia="HYShuSongErKW" w:cs="HYShuSongErKW"/>
          <w:color w:val="auto"/>
          <w:kern w:val="0"/>
          <w:sz w:val="24"/>
          <w:szCs w:val="24"/>
          <w:highlight w:val="none"/>
          <w:lang w:val="en-US" w:eastAsia="zh-CN" w:bidi="ar"/>
        </w:rPr>
        <w:t>小型企业或微型企业承接的金额占合同总金额的</w:t>
      </w:r>
      <w:r>
        <w:rPr>
          <w:rFonts w:hint="eastAsia" w:ascii="HYShuSongErKW" w:hAnsi="HYShuSongErKW" w:eastAsia="HYShuSongErKW" w:cs="HYShuSongErKW"/>
          <w:color w:val="auto"/>
          <w:kern w:val="0"/>
          <w:sz w:val="24"/>
          <w:szCs w:val="24"/>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w:t>
      </w:r>
      <w:r>
        <w:rPr>
          <w:rFonts w:hint="default" w:ascii="HYShuSongErKW" w:hAnsi="HYShuSongErKW" w:eastAsia="HYShuSongErKW" w:cs="HYShuSongErKW"/>
          <w:color w:val="auto"/>
          <w:kern w:val="0"/>
          <w:sz w:val="24"/>
          <w:szCs w:val="24"/>
          <w:highlight w:val="none"/>
          <w:lang w:val="en-US" w:eastAsia="zh-CN" w:bidi="ar"/>
        </w:rPr>
        <w:t xml:space="preserve">。 </w:t>
      </w:r>
    </w:p>
    <w:p w14:paraId="6EE45B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2.</w:t>
      </w:r>
      <w:r>
        <w:rPr>
          <w:color w:val="auto"/>
          <w:spacing w:val="-5"/>
          <w:sz w:val="21"/>
          <w:szCs w:val="21"/>
          <w:highlight w:val="none"/>
        </w:rPr>
        <w:t>拟分包</w:t>
      </w:r>
      <w:r>
        <w:rPr>
          <w:rFonts w:hint="eastAsia"/>
          <w:color w:val="auto"/>
          <w:spacing w:val="-5"/>
          <w:sz w:val="21"/>
          <w:szCs w:val="21"/>
          <w:highlight w:val="none"/>
          <w:lang w:val="en-US" w:eastAsia="zh-CN"/>
        </w:rPr>
        <w:t>内容为</w:t>
      </w:r>
      <w:r>
        <w:rPr>
          <w:rFonts w:hint="eastAsia" w:ascii="HYShuSongErKW" w:hAnsi="HYShuSongErKW" w:eastAsia="HYShuSongErKW" w:cs="HYShuSongErKW"/>
          <w:color w:val="auto"/>
          <w:kern w:val="0"/>
          <w:sz w:val="24"/>
          <w:szCs w:val="24"/>
          <w:highlight w:val="none"/>
          <w:u w:val="single"/>
          <w:lang w:val="en-US" w:eastAsia="zh-CN" w:bidi="ar"/>
        </w:rPr>
        <w:t xml:space="preserve">          </w:t>
      </w:r>
      <w:r>
        <w:rPr>
          <w:rFonts w:hint="eastAsia"/>
          <w:color w:val="auto"/>
          <w:spacing w:val="-5"/>
          <w:sz w:val="21"/>
          <w:szCs w:val="21"/>
          <w:highlight w:val="none"/>
          <w:lang w:eastAsia="zh-CN"/>
        </w:rPr>
        <w:t>，</w:t>
      </w:r>
      <w:r>
        <w:rPr>
          <w:rFonts w:hint="default" w:ascii="Times New Roman" w:hAnsi="Times New Roman" w:eastAsia="宋体" w:cs="Times New Roman"/>
          <w:color w:val="auto"/>
          <w:kern w:val="0"/>
          <w:sz w:val="24"/>
          <w:szCs w:val="24"/>
          <w:highlight w:val="none"/>
          <w:lang w:val="en-US" w:eastAsia="zh-CN" w:bidi="ar"/>
        </w:rPr>
        <w:t>拟分包金额</w:t>
      </w:r>
      <w:r>
        <w:rPr>
          <w:rFonts w:hint="eastAsia" w:ascii="HYShuSongErKW" w:hAnsi="HYShuSongErKW" w:eastAsia="HYShuSongErKW" w:cs="HYShuSongErKW"/>
          <w:color w:val="auto"/>
          <w:kern w:val="0"/>
          <w:sz w:val="24"/>
          <w:szCs w:val="24"/>
          <w:highlight w:val="none"/>
          <w:u w:val="single"/>
          <w:lang w:val="en-US" w:eastAsia="zh-CN" w:bidi="ar"/>
        </w:rPr>
        <w:t xml:space="preserve">          </w:t>
      </w:r>
      <w:r>
        <w:rPr>
          <w:rFonts w:hint="eastAsia" w:ascii="Times New Roman" w:hAnsi="Times New Roman" w:eastAsia="宋体" w:cs="Times New Roman"/>
          <w:color w:val="auto"/>
          <w:kern w:val="0"/>
          <w:sz w:val="24"/>
          <w:szCs w:val="24"/>
          <w:highlight w:val="none"/>
          <w:lang w:val="en-US" w:eastAsia="zh-CN" w:bidi="ar"/>
        </w:rPr>
        <w:t>元，</w:t>
      </w:r>
      <w:r>
        <w:rPr>
          <w:rFonts w:hint="default" w:ascii="HYShuSongErKW" w:hAnsi="HYShuSongErKW" w:eastAsia="HYShuSongErKW" w:cs="HYShuSongErKW"/>
          <w:color w:val="auto"/>
          <w:kern w:val="0"/>
          <w:sz w:val="24"/>
          <w:szCs w:val="24"/>
          <w:highlight w:val="none"/>
          <w:lang w:val="en-US" w:eastAsia="zh-CN" w:bidi="ar"/>
        </w:rPr>
        <w:t>金额占合同总金额的</w:t>
      </w:r>
      <w:r>
        <w:rPr>
          <w:rFonts w:hint="eastAsia" w:ascii="HYShuSongErKW" w:hAnsi="HYShuSongErKW" w:eastAsia="HYShuSongErKW" w:cs="HYShuSongErKW"/>
          <w:color w:val="auto"/>
          <w:kern w:val="0"/>
          <w:sz w:val="24"/>
          <w:szCs w:val="24"/>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w:t>
      </w:r>
    </w:p>
    <w:p w14:paraId="39008F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w:t>
      </w:r>
      <w:r>
        <w:rPr>
          <w:rFonts w:hint="default" w:ascii="HYShuSongErKW" w:hAnsi="HYShuSongErKW" w:eastAsia="HYShuSongErKW" w:cs="HYShuSongErKW"/>
          <w:color w:val="auto"/>
          <w:kern w:val="0"/>
          <w:sz w:val="24"/>
          <w:szCs w:val="24"/>
          <w:highlight w:val="none"/>
          <w:lang w:val="en-US" w:eastAsia="zh-CN" w:bidi="ar"/>
        </w:rPr>
        <w:t xml:space="preserve">若我方在本采购活动中已享受扶持中小企业发展的政策，我方承诺在合同履行阶段不改变小型企业和微型企业承担本合同的金额及比例。合同履行阶段的分包商与《中小企业声明函》中列明的分包商一致。 </w:t>
      </w:r>
    </w:p>
    <w:p w14:paraId="4E0FA9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HYShuSongErKW" w:hAnsi="HYShuSongErKW" w:eastAsia="HYShuSongErKW" w:cs="HYShuSongErKW"/>
          <w:b/>
          <w:bCs/>
          <w:color w:val="auto"/>
          <w:kern w:val="0"/>
          <w:sz w:val="24"/>
          <w:szCs w:val="24"/>
          <w:highlight w:val="none"/>
          <w:lang w:val="en-US" w:eastAsia="zh-CN" w:bidi="ar"/>
        </w:rPr>
      </w:pPr>
      <w:r>
        <w:rPr>
          <w:rFonts w:hint="default" w:ascii="HYShuSongErKW" w:hAnsi="HYShuSongErKW" w:eastAsia="HYShuSongErKW" w:cs="HYShuSongErKW"/>
          <w:b/>
          <w:bCs/>
          <w:color w:val="auto"/>
          <w:kern w:val="0"/>
          <w:sz w:val="24"/>
          <w:szCs w:val="24"/>
          <w:highlight w:val="none"/>
          <w:lang w:val="en-US" w:eastAsia="zh-CN" w:bidi="ar"/>
        </w:rPr>
        <w:t>四、本意向协议自签署之日起生效。</w:t>
      </w:r>
    </w:p>
    <w:p w14:paraId="7482DB36">
      <w:pPr>
        <w:spacing w:line="278" w:lineRule="auto"/>
        <w:rPr>
          <w:rFonts w:ascii="Arial"/>
          <w:color w:val="auto"/>
          <w:sz w:val="21"/>
          <w:highlight w:val="none"/>
        </w:rPr>
      </w:pPr>
    </w:p>
    <w:p w14:paraId="166EFDC2">
      <w:pPr>
        <w:keepNext w:val="0"/>
        <w:keepLines w:val="0"/>
        <w:pageBreakBefore w:val="0"/>
        <w:widowControl/>
        <w:suppressLineNumbers w:val="0"/>
        <w:kinsoku/>
        <w:wordWrap/>
        <w:overflowPunct/>
        <w:topLinePunct w:val="0"/>
        <w:autoSpaceDE/>
        <w:autoSpaceDN/>
        <w:bidi w:val="0"/>
        <w:adjustRightInd/>
        <w:snapToGrid/>
        <w:spacing w:line="360" w:lineRule="auto"/>
        <w:ind w:firstLine="5520" w:firstLineChars="2300"/>
        <w:jc w:val="left"/>
        <w:textAlignment w:val="auto"/>
        <w:rPr>
          <w:rFonts w:hint="default" w:ascii="HYShuSongErKW" w:hAnsi="HYShuSongErKW" w:eastAsia="HYShuSongErKW" w:cs="HYShuSongErKW"/>
          <w:color w:val="auto"/>
          <w:kern w:val="0"/>
          <w:sz w:val="24"/>
          <w:szCs w:val="24"/>
          <w:highlight w:val="none"/>
          <w:lang w:val="en-US" w:eastAsia="zh-CN" w:bidi="ar"/>
        </w:rPr>
      </w:pPr>
      <w:r>
        <w:rPr>
          <w:rFonts w:hint="eastAsia" w:ascii="HYShuSongErKW" w:hAnsi="HYShuSongErKW" w:eastAsia="HYShuSongErKW" w:cs="HYShuSongErKW"/>
          <w:color w:val="auto"/>
          <w:kern w:val="0"/>
          <w:sz w:val="24"/>
          <w:szCs w:val="24"/>
          <w:highlight w:val="none"/>
          <w:lang w:val="en-US" w:eastAsia="zh-CN" w:bidi="ar"/>
        </w:rPr>
        <w:t>单位名称（盖章）：</w:t>
      </w:r>
    </w:p>
    <w:p w14:paraId="3360AE77">
      <w:pPr>
        <w:keepNext w:val="0"/>
        <w:keepLines w:val="0"/>
        <w:pageBreakBefore w:val="0"/>
        <w:widowControl/>
        <w:suppressLineNumbers w:val="0"/>
        <w:kinsoku/>
        <w:wordWrap/>
        <w:overflowPunct/>
        <w:topLinePunct w:val="0"/>
        <w:autoSpaceDE/>
        <w:autoSpaceDN/>
        <w:bidi w:val="0"/>
        <w:adjustRightInd/>
        <w:snapToGrid/>
        <w:spacing w:line="360" w:lineRule="auto"/>
        <w:ind w:firstLine="5280" w:firstLineChars="2200"/>
        <w:jc w:val="left"/>
        <w:textAlignment w:val="auto"/>
        <w:rPr>
          <w:rFonts w:hint="default" w:ascii="HYShuSongErKW" w:hAnsi="HYShuSongErKW" w:eastAsia="HYShuSongErKW" w:cs="HYShuSongErKW"/>
          <w:color w:val="auto"/>
          <w:kern w:val="0"/>
          <w:sz w:val="24"/>
          <w:szCs w:val="24"/>
          <w:highlight w:val="none"/>
          <w:lang w:val="en-US" w:eastAsia="zh-CN" w:bidi="ar"/>
        </w:rPr>
      </w:pPr>
      <w:r>
        <w:rPr>
          <w:rFonts w:hint="default" w:ascii="HYShuSongErKW" w:hAnsi="HYShuSongErKW" w:eastAsia="HYShuSongErKW" w:cs="HYShuSongErKW"/>
          <w:color w:val="auto"/>
          <w:kern w:val="0"/>
          <w:sz w:val="24"/>
          <w:szCs w:val="24"/>
          <w:highlight w:val="none"/>
          <w:lang w:val="en-US" w:eastAsia="zh-CN" w:bidi="ar"/>
        </w:rPr>
        <w:t>签署日期：      年     月     日</w:t>
      </w:r>
    </w:p>
    <w:p w14:paraId="66262FA7">
      <w:pPr>
        <w:spacing w:line="360" w:lineRule="auto"/>
        <w:contextualSpacing/>
        <w:rPr>
          <w:rFonts w:hint="eastAsia" w:ascii="宋体" w:hAnsi="宋体" w:cs="宋体"/>
          <w:color w:val="auto"/>
          <w:sz w:val="24"/>
          <w:highlight w:val="none"/>
        </w:rPr>
      </w:pPr>
    </w:p>
    <w:p w14:paraId="1452A603">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14:paraId="37FC1FBE">
      <w:pPr>
        <w:spacing w:line="360" w:lineRule="auto"/>
        <w:jc w:val="center"/>
        <w:rPr>
          <w:rFonts w:ascii="宋体" w:hAnsi="宋体" w:cs="宋体"/>
          <w:b/>
          <w:bCs/>
          <w:color w:val="auto"/>
          <w:sz w:val="32"/>
          <w:szCs w:val="32"/>
          <w:highlight w:val="none"/>
        </w:rPr>
      </w:pPr>
      <w:r>
        <w:rPr>
          <w:rFonts w:hint="eastAsia" w:ascii="宋体" w:hAnsi="宋体" w:cs="宋体"/>
          <w:color w:val="auto"/>
          <w:sz w:val="44"/>
          <w:szCs w:val="44"/>
          <w:highlight w:val="none"/>
        </w:rPr>
        <w:t>质疑函</w:t>
      </w:r>
      <w:r>
        <w:rPr>
          <w:rFonts w:hint="eastAsia" w:ascii="宋体" w:hAnsi="宋体" w:cs="宋体"/>
          <w:color w:val="auto"/>
          <w:sz w:val="28"/>
          <w:szCs w:val="28"/>
          <w:highlight w:val="none"/>
        </w:rPr>
        <w:t>（格式）</w:t>
      </w:r>
    </w:p>
    <w:p w14:paraId="621575ED">
      <w:pPr>
        <w:pStyle w:val="18"/>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5F7B89CB">
      <w:pPr>
        <w:pStyle w:val="18"/>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DC3F07B">
      <w:pPr>
        <w:pStyle w:val="18"/>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035B782">
      <w:pPr>
        <w:pStyle w:val="18"/>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BC9494B">
      <w:pPr>
        <w:pStyle w:val="18"/>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E5AF0DE">
      <w:pPr>
        <w:pStyle w:val="18"/>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D370C82">
      <w:pPr>
        <w:pStyle w:val="18"/>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6B29A85">
      <w:pPr>
        <w:pStyle w:val="18"/>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415E178C">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DCA882E">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2E66F51">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2325526">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3AE5C870">
      <w:pPr>
        <w:pStyle w:val="18"/>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12C93818">
      <w:pPr>
        <w:pStyle w:val="18"/>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756E0954">
      <w:pPr>
        <w:pStyle w:val="18"/>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B3A6EC1">
      <w:pPr>
        <w:pStyle w:val="18"/>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5EF14A8">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ACDC9B4">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4A72BDC4">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E7DB994">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1FB7CCEC">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015B6A5">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04A1516C">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7FACC71">
      <w:pPr>
        <w:pStyle w:val="18"/>
        <w:spacing w:line="360" w:lineRule="auto"/>
        <w:ind w:left="25" w:leftChars="12" w:firstLine="352" w:firstLineChars="147"/>
        <w:contextualSpacing/>
        <w:rPr>
          <w:rFonts w:hAnsi="宋体" w:cs="宋体"/>
          <w:color w:val="auto"/>
          <w:sz w:val="24"/>
          <w:szCs w:val="24"/>
          <w:highlight w:val="none"/>
        </w:rPr>
      </w:pPr>
    </w:p>
    <w:p w14:paraId="47C74E62">
      <w:pPr>
        <w:pStyle w:val="18"/>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8B7933F">
      <w:pPr>
        <w:pStyle w:val="18"/>
        <w:spacing w:line="360" w:lineRule="auto"/>
        <w:ind w:firstLine="480" w:firstLineChars="200"/>
        <w:contextualSpacing/>
        <w:rPr>
          <w:rFonts w:hAnsi="宋体" w:cs="宋体"/>
          <w:b/>
          <w:color w:val="auto"/>
          <w:sz w:val="24"/>
          <w:szCs w:val="24"/>
          <w:highlight w:val="none"/>
        </w:rPr>
      </w:pPr>
      <w:r>
        <w:rPr>
          <w:rFonts w:hint="eastAsia" w:hAnsi="宋体" w:cs="宋体"/>
          <w:color w:val="auto"/>
          <w:sz w:val="24"/>
          <w:szCs w:val="24"/>
          <w:highlight w:val="none"/>
        </w:rPr>
        <w:t>日期：</w:t>
      </w:r>
    </w:p>
    <w:p w14:paraId="7E60EC84">
      <w:pPr>
        <w:pStyle w:val="18"/>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7B5F9F8B">
      <w:pPr>
        <w:pStyle w:val="18"/>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65B6AD3">
      <w:pPr>
        <w:pStyle w:val="18"/>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C2622E">
      <w:pPr>
        <w:pStyle w:val="18"/>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C74CD22">
      <w:pPr>
        <w:pStyle w:val="18"/>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120298E">
      <w:pPr>
        <w:pStyle w:val="18"/>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EA59C57">
      <w:pPr>
        <w:pStyle w:val="18"/>
        <w:snapToGrid w:val="0"/>
        <w:rPr>
          <w:rFonts w:hAnsi="宋体" w:cs="宋体"/>
          <w:b/>
          <w:color w:val="auto"/>
          <w:sz w:val="24"/>
          <w:szCs w:val="24"/>
          <w:highlight w:val="none"/>
        </w:rPr>
      </w:pPr>
    </w:p>
    <w:p w14:paraId="544BFA4A">
      <w:pPr>
        <w:rPr>
          <w:rFonts w:ascii="宋体" w:hAnsi="宋体" w:cs="宋体"/>
          <w:color w:val="auto"/>
          <w:sz w:val="32"/>
          <w:szCs w:val="40"/>
          <w:highlight w:val="none"/>
        </w:rPr>
      </w:pPr>
    </w:p>
    <w:p w14:paraId="71DB7E4F">
      <w:pPr>
        <w:rPr>
          <w:rFonts w:ascii="宋体" w:hAnsi="宋体" w:cs="宋体"/>
          <w:color w:val="auto"/>
          <w:sz w:val="32"/>
          <w:szCs w:val="40"/>
          <w:highlight w:val="none"/>
        </w:rPr>
      </w:pPr>
    </w:p>
    <w:p w14:paraId="33EBEF67">
      <w:pPr>
        <w:rPr>
          <w:rFonts w:ascii="宋体" w:hAnsi="宋体" w:cs="宋体"/>
          <w:color w:val="auto"/>
          <w:sz w:val="32"/>
          <w:szCs w:val="40"/>
          <w:highlight w:val="none"/>
        </w:rPr>
      </w:pPr>
    </w:p>
    <w:p w14:paraId="1D2627B1">
      <w:pPr>
        <w:rPr>
          <w:rFonts w:ascii="宋体" w:hAnsi="宋体" w:cs="宋体"/>
          <w:color w:val="auto"/>
          <w:sz w:val="32"/>
          <w:szCs w:val="40"/>
          <w:highlight w:val="none"/>
        </w:rPr>
      </w:pPr>
    </w:p>
    <w:p w14:paraId="39B5FD57">
      <w:pPr>
        <w:rPr>
          <w:rFonts w:ascii="宋体" w:hAnsi="宋体" w:cs="宋体"/>
          <w:color w:val="auto"/>
          <w:sz w:val="32"/>
          <w:szCs w:val="40"/>
          <w:highlight w:val="none"/>
        </w:rPr>
      </w:pPr>
    </w:p>
    <w:p w14:paraId="082F77A4">
      <w:pPr>
        <w:rPr>
          <w:rFonts w:ascii="宋体" w:hAnsi="宋体" w:cs="宋体"/>
          <w:color w:val="auto"/>
          <w:sz w:val="32"/>
          <w:szCs w:val="40"/>
          <w:highlight w:val="none"/>
        </w:rPr>
      </w:pPr>
    </w:p>
    <w:p w14:paraId="584AAAAB">
      <w:pPr>
        <w:rPr>
          <w:rFonts w:ascii="宋体" w:hAnsi="宋体" w:cs="宋体"/>
          <w:color w:val="auto"/>
          <w:sz w:val="32"/>
          <w:szCs w:val="40"/>
          <w:highlight w:val="none"/>
        </w:rPr>
      </w:pPr>
    </w:p>
    <w:p w14:paraId="1F1AB7CF">
      <w:pPr>
        <w:rPr>
          <w:rFonts w:ascii="宋体" w:hAnsi="宋体" w:cs="宋体"/>
          <w:color w:val="auto"/>
          <w:sz w:val="32"/>
          <w:szCs w:val="40"/>
          <w:highlight w:val="none"/>
        </w:rPr>
      </w:pPr>
    </w:p>
    <w:p w14:paraId="380FEC4F">
      <w:pPr>
        <w:rPr>
          <w:rFonts w:ascii="宋体" w:hAnsi="宋体" w:cs="宋体"/>
          <w:color w:val="auto"/>
          <w:sz w:val="32"/>
          <w:szCs w:val="40"/>
          <w:highlight w:val="none"/>
        </w:rPr>
      </w:pPr>
    </w:p>
    <w:p w14:paraId="38E55564">
      <w:pPr>
        <w:rPr>
          <w:rFonts w:ascii="宋体" w:hAnsi="宋体" w:cs="宋体"/>
          <w:color w:val="auto"/>
          <w:sz w:val="32"/>
          <w:szCs w:val="40"/>
          <w:highlight w:val="none"/>
        </w:rPr>
      </w:pPr>
    </w:p>
    <w:p w14:paraId="2F4F7813">
      <w:pPr>
        <w:rPr>
          <w:rFonts w:ascii="宋体" w:hAnsi="宋体" w:cs="宋体"/>
          <w:color w:val="auto"/>
          <w:sz w:val="32"/>
          <w:szCs w:val="40"/>
          <w:highlight w:val="none"/>
        </w:rPr>
      </w:pPr>
    </w:p>
    <w:p w14:paraId="0AE9FA06">
      <w:pPr>
        <w:rPr>
          <w:rFonts w:ascii="宋体" w:hAnsi="宋体" w:cs="宋体"/>
          <w:color w:val="auto"/>
          <w:sz w:val="32"/>
          <w:szCs w:val="40"/>
          <w:highlight w:val="none"/>
        </w:rPr>
      </w:pPr>
    </w:p>
    <w:p w14:paraId="35BB92C7">
      <w:pPr>
        <w:rPr>
          <w:rFonts w:ascii="宋体" w:hAnsi="宋体" w:cs="宋体"/>
          <w:color w:val="auto"/>
          <w:sz w:val="32"/>
          <w:szCs w:val="40"/>
          <w:highlight w:val="none"/>
        </w:rPr>
      </w:pPr>
    </w:p>
    <w:p w14:paraId="158FD09F">
      <w:pPr>
        <w:rPr>
          <w:rFonts w:ascii="宋体" w:hAnsi="宋体" w:cs="宋体"/>
          <w:color w:val="auto"/>
          <w:sz w:val="32"/>
          <w:szCs w:val="40"/>
          <w:highlight w:val="none"/>
        </w:rPr>
      </w:pPr>
    </w:p>
    <w:p w14:paraId="0D61329E">
      <w:pPr>
        <w:spacing w:line="360" w:lineRule="auto"/>
        <w:jc w:val="center"/>
        <w:rPr>
          <w:rFonts w:ascii="宋体" w:hAnsi="宋体" w:cs="宋体"/>
          <w:color w:val="auto"/>
          <w:sz w:val="2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4EAA35BD">
      <w:pPr>
        <w:pStyle w:val="18"/>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00B0048B">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62BCD88">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A903114">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749C696D">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CAC5DA4">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DF022AA">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14BF0F1">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7C7E30F">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282CDB15">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65D4C83">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1209D2E">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E78659C">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10E6574A">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C4821BB">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4F3D3771">
      <w:pPr>
        <w:pStyle w:val="18"/>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5F1E09A8">
      <w:pPr>
        <w:pStyle w:val="18"/>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CA316DD">
      <w:pPr>
        <w:pStyle w:val="18"/>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7BACC15">
      <w:pPr>
        <w:pStyle w:val="18"/>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6EC86EAA">
      <w:pPr>
        <w:pStyle w:val="18"/>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0297EABA">
      <w:pPr>
        <w:pStyle w:val="18"/>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21013941">
      <w:pPr>
        <w:pStyle w:val="18"/>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7C657CEC">
      <w:pPr>
        <w:pStyle w:val="18"/>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竞争性磋商文件公告：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BA98AFC">
      <w:pPr>
        <w:pStyle w:val="18"/>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74B1931B">
      <w:pPr>
        <w:pStyle w:val="18"/>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1E744A48">
      <w:pPr>
        <w:pStyle w:val="18"/>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2C03E2C2">
      <w:pPr>
        <w:pStyle w:val="18"/>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22D068E">
      <w:pPr>
        <w:pStyle w:val="18"/>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6759C9C0">
      <w:pPr>
        <w:pStyle w:val="18"/>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5D2A727">
      <w:pPr>
        <w:pStyle w:val="18"/>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4BC84C6">
      <w:pPr>
        <w:pStyle w:val="18"/>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5633EA4">
      <w:pPr>
        <w:pStyle w:val="18"/>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789ADC5">
      <w:pPr>
        <w:pStyle w:val="18"/>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47761AA">
      <w:pPr>
        <w:pStyle w:val="18"/>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BD4B090">
      <w:pPr>
        <w:pStyle w:val="18"/>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D9CE00B">
      <w:pPr>
        <w:pStyle w:val="18"/>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93A85E7">
      <w:pPr>
        <w:pStyle w:val="18"/>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1B2276B8">
      <w:pPr>
        <w:pStyle w:val="18"/>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14972CE">
      <w:pPr>
        <w:pStyle w:val="1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F7DBCE6">
      <w:pPr>
        <w:pStyle w:val="18"/>
        <w:spacing w:line="360" w:lineRule="auto"/>
        <w:ind w:left="25" w:leftChars="12" w:firstLine="352" w:firstLineChars="147"/>
        <w:rPr>
          <w:rFonts w:hAnsi="宋体" w:cs="宋体"/>
          <w:color w:val="auto"/>
          <w:sz w:val="24"/>
          <w:szCs w:val="24"/>
          <w:highlight w:val="none"/>
        </w:rPr>
      </w:pPr>
    </w:p>
    <w:p w14:paraId="426FA2A4">
      <w:pPr>
        <w:pStyle w:val="1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2A03C38">
      <w:pPr>
        <w:pStyle w:val="18"/>
        <w:spacing w:line="360" w:lineRule="auto"/>
        <w:ind w:left="25" w:leftChars="12" w:firstLine="352" w:firstLineChars="147"/>
        <w:rPr>
          <w:rFonts w:hAnsi="宋体" w:cs="宋体"/>
          <w:color w:val="auto"/>
          <w:sz w:val="24"/>
          <w:szCs w:val="24"/>
          <w:highlight w:val="none"/>
        </w:rPr>
      </w:pPr>
    </w:p>
    <w:p w14:paraId="7670E038">
      <w:pPr>
        <w:pStyle w:val="18"/>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26E38174">
      <w:pPr>
        <w:pStyle w:val="18"/>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p>
    <w:p w14:paraId="3C0E187F">
      <w:pPr>
        <w:pStyle w:val="18"/>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D539908">
      <w:pPr>
        <w:pStyle w:val="18"/>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2E56527">
      <w:pPr>
        <w:pStyle w:val="18"/>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402DA17">
      <w:pPr>
        <w:pStyle w:val="18"/>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6DC123BE">
      <w:pPr>
        <w:pStyle w:val="18"/>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4D659CA2">
      <w:pPr>
        <w:pStyle w:val="18"/>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90257FB">
      <w:pPr>
        <w:pStyle w:val="18"/>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0447F49B">
      <w:pPr>
        <w:pStyle w:val="4"/>
        <w:rPr>
          <w:rFonts w:ascii="宋体" w:hAnsi="宋体" w:cs="宋体"/>
          <w:color w:val="auto"/>
          <w:highlight w:val="none"/>
        </w:rPr>
      </w:pPr>
      <w:bookmarkStart w:id="144" w:name="_Toc74323461"/>
      <w:r>
        <w:rPr>
          <w:rFonts w:hint="eastAsia" w:ascii="宋体" w:hAnsi="宋体" w:cs="宋体"/>
          <w:color w:val="auto"/>
          <w:highlight w:val="none"/>
        </w:rPr>
        <w:t>第六章 合同文本</w:t>
      </w:r>
      <w:bookmarkEnd w:id="144"/>
    </w:p>
    <w:p w14:paraId="57C6E6FE">
      <w:pPr>
        <w:spacing w:line="360" w:lineRule="auto"/>
        <w:jc w:val="center"/>
        <w:rPr>
          <w:rFonts w:hint="eastAsia" w:ascii="宋体" w:hAnsi="宋体" w:eastAsia="宋体" w:cs="宋体"/>
          <w:b/>
          <w:bCs/>
          <w:color w:val="auto"/>
          <w:sz w:val="44"/>
          <w:highlight w:val="none"/>
        </w:rPr>
      </w:pPr>
      <w:r>
        <w:rPr>
          <w:rFonts w:hint="eastAsia" w:ascii="宋体" w:hAnsi="宋体" w:cs="宋体"/>
          <w:b/>
          <w:bCs/>
          <w:color w:val="auto"/>
          <w:sz w:val="44"/>
          <w:highlight w:val="none"/>
          <w:lang w:eastAsia="zh-CN"/>
        </w:rPr>
        <w:t>钦州市武利江汛期污染强度分析及污染精准溯源研究项目</w:t>
      </w:r>
      <w:r>
        <w:rPr>
          <w:rFonts w:hint="eastAsia" w:ascii="宋体" w:hAnsi="宋体" w:eastAsia="宋体" w:cs="宋体"/>
          <w:b/>
          <w:bCs/>
          <w:color w:val="auto"/>
          <w:sz w:val="44"/>
          <w:highlight w:val="none"/>
        </w:rPr>
        <w:t>采购合同</w:t>
      </w:r>
    </w:p>
    <w:p w14:paraId="42FDA09F">
      <w:pPr>
        <w:spacing w:line="360" w:lineRule="auto"/>
        <w:jc w:val="center"/>
        <w:rPr>
          <w:rFonts w:hint="eastAsia" w:ascii="宋体" w:hAnsi="宋体" w:eastAsia="宋体" w:cs="宋体"/>
          <w:b/>
          <w:bCs/>
          <w:color w:val="auto"/>
          <w:sz w:val="44"/>
          <w:highlight w:val="none"/>
        </w:rPr>
      </w:pPr>
    </w:p>
    <w:p w14:paraId="68E8E593">
      <w:pPr>
        <w:spacing w:line="360" w:lineRule="auto"/>
        <w:jc w:val="center"/>
        <w:rPr>
          <w:rFonts w:hint="eastAsia" w:ascii="宋体" w:hAnsi="宋体" w:eastAsia="宋体" w:cs="宋体"/>
          <w:b/>
          <w:bCs/>
          <w:color w:val="auto"/>
          <w:sz w:val="44"/>
          <w:highlight w:val="none"/>
        </w:rPr>
      </w:pPr>
    </w:p>
    <w:p w14:paraId="102B0EEB">
      <w:pPr>
        <w:spacing w:line="360" w:lineRule="auto"/>
        <w:ind w:firstLine="3507" w:firstLineChars="794"/>
        <w:rPr>
          <w:rFonts w:hint="eastAsia" w:ascii="宋体" w:hAnsi="宋体" w:eastAsia="宋体" w:cs="宋体"/>
          <w:b/>
          <w:bCs/>
          <w:color w:val="auto"/>
          <w:sz w:val="44"/>
          <w:highlight w:val="none"/>
        </w:rPr>
      </w:pPr>
    </w:p>
    <w:p w14:paraId="3C97FA2F">
      <w:pPr>
        <w:spacing w:line="360" w:lineRule="auto"/>
        <w:ind w:firstLine="3507" w:firstLineChars="794"/>
        <w:rPr>
          <w:rFonts w:hint="eastAsia" w:ascii="宋体" w:hAnsi="宋体" w:eastAsia="宋体" w:cs="宋体"/>
          <w:b/>
          <w:bCs/>
          <w:color w:val="auto"/>
          <w:sz w:val="44"/>
          <w:highlight w:val="none"/>
        </w:rPr>
      </w:pPr>
    </w:p>
    <w:p w14:paraId="131BDFA2">
      <w:pPr>
        <w:ind w:firstLine="1995" w:firstLineChars="552"/>
        <w:rPr>
          <w:rFonts w:hint="default" w:ascii="宋体" w:hAnsi="宋体" w:eastAsia="宋体" w:cs="宋体"/>
          <w:b/>
          <w:color w:val="auto"/>
          <w:sz w:val="36"/>
          <w:szCs w:val="36"/>
          <w:highlight w:val="none"/>
          <w:lang w:val="en-US"/>
        </w:rPr>
      </w:pPr>
      <w:r>
        <w:rPr>
          <w:rFonts w:hint="eastAsia" w:ascii="宋体" w:hAnsi="宋体" w:eastAsia="宋体" w:cs="宋体"/>
          <w:b/>
          <w:color w:val="auto"/>
          <w:sz w:val="36"/>
          <w:szCs w:val="36"/>
          <w:highlight w:val="none"/>
        </w:rPr>
        <w:t>项目编号：</w:t>
      </w:r>
      <w:r>
        <w:rPr>
          <w:rFonts w:hint="eastAsia" w:ascii="宋体" w:hAnsi="宋体" w:cs="宋体"/>
          <w:b/>
          <w:color w:val="auto"/>
          <w:sz w:val="36"/>
          <w:szCs w:val="36"/>
          <w:highlight w:val="none"/>
          <w:u w:val="single"/>
          <w:lang w:val="en-US" w:eastAsia="zh-CN"/>
        </w:rPr>
        <w:t xml:space="preserve">  QZZC2026-C3-990140-KWZB        </w:t>
      </w:r>
    </w:p>
    <w:p w14:paraId="0B755B95">
      <w:pPr>
        <w:ind w:firstLine="2168" w:firstLineChars="600"/>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采购</w:t>
      </w:r>
      <w:r>
        <w:rPr>
          <w:rFonts w:hint="eastAsia" w:ascii="宋体" w:hAnsi="宋体" w:eastAsia="宋体" w:cs="宋体"/>
          <w:b/>
          <w:color w:val="auto"/>
          <w:sz w:val="36"/>
          <w:szCs w:val="36"/>
          <w:highlight w:val="none"/>
        </w:rPr>
        <w:t>计划编号：</w:t>
      </w:r>
      <w:r>
        <w:rPr>
          <w:rFonts w:hint="eastAsia" w:ascii="宋体" w:hAnsi="宋体" w:cs="宋体"/>
          <w:b/>
          <w:color w:val="auto"/>
          <w:sz w:val="36"/>
          <w:szCs w:val="36"/>
          <w:highlight w:val="none"/>
          <w:u w:val="single"/>
          <w:lang w:val="en-US" w:eastAsia="zh-CN"/>
        </w:rPr>
        <w:t xml:space="preserve">                </w:t>
      </w:r>
    </w:p>
    <w:p w14:paraId="4CADF293">
      <w:pPr>
        <w:ind w:firstLine="1970" w:firstLineChars="545"/>
        <w:rPr>
          <w:rFonts w:hint="eastAsia" w:ascii="宋体" w:hAnsi="宋体" w:eastAsia="宋体" w:cs="宋体"/>
          <w:b/>
          <w:color w:val="auto"/>
          <w:sz w:val="36"/>
          <w:szCs w:val="36"/>
          <w:highlight w:val="none"/>
          <w:u w:val="single"/>
        </w:rPr>
      </w:pPr>
    </w:p>
    <w:p w14:paraId="1D84B359">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钦州市生态环境局</w:t>
      </w:r>
      <w:r>
        <w:rPr>
          <w:rFonts w:hint="eastAsia" w:ascii="宋体" w:hAnsi="宋体" w:eastAsia="宋体" w:cs="宋体"/>
          <w:b/>
          <w:color w:val="auto"/>
          <w:sz w:val="36"/>
          <w:szCs w:val="36"/>
          <w:highlight w:val="none"/>
          <w:u w:val="single"/>
        </w:rPr>
        <w:t xml:space="preserve">  </w:t>
      </w:r>
    </w:p>
    <w:p w14:paraId="6FA30BF1">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cs="宋体"/>
          <w:b/>
          <w:color w:val="auto"/>
          <w:sz w:val="36"/>
          <w:szCs w:val="36"/>
          <w:highlight w:val="none"/>
          <w:lang w:val="en-US"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69C91C7C">
      <w:pPr>
        <w:spacing w:before="120" w:line="360" w:lineRule="auto"/>
        <w:ind w:firstLine="960" w:firstLineChars="400"/>
        <w:rPr>
          <w:rFonts w:hint="eastAsia" w:ascii="宋体" w:hAnsi="宋体" w:eastAsia="宋体" w:cs="宋体"/>
          <w:color w:val="auto"/>
          <w:sz w:val="24"/>
          <w:highlight w:val="none"/>
        </w:rPr>
      </w:pPr>
    </w:p>
    <w:p w14:paraId="43D77D4E">
      <w:pPr>
        <w:spacing w:before="120" w:line="360" w:lineRule="auto"/>
        <w:ind w:firstLine="1800" w:firstLineChars="500"/>
        <w:rPr>
          <w:rFonts w:hint="eastAsia" w:ascii="宋体" w:hAnsi="宋体" w:eastAsia="宋体" w:cs="宋体"/>
          <w:b/>
          <w:bCs/>
          <w:color w:val="auto"/>
          <w:sz w:val="36"/>
          <w:szCs w:val="36"/>
          <w:highlight w:val="none"/>
        </w:rPr>
      </w:pPr>
      <w:r>
        <w:rPr>
          <w:rFonts w:hint="eastAsia" w:ascii="宋体" w:hAnsi="宋体" w:eastAsia="宋体" w:cs="宋体"/>
          <w:color w:val="auto"/>
          <w:sz w:val="36"/>
          <w:szCs w:val="36"/>
          <w:highlight w:val="none"/>
        </w:rPr>
        <w:t>签订日期：</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14:paraId="4F592002">
      <w:pPr>
        <w:spacing w:line="520" w:lineRule="exact"/>
        <w:rPr>
          <w:rFonts w:ascii="宋体" w:hAnsi="宋体" w:cs="宋体"/>
          <w:b/>
          <w:color w:val="auto"/>
          <w:sz w:val="32"/>
          <w:szCs w:val="32"/>
          <w:highlight w:val="none"/>
        </w:rPr>
      </w:pPr>
    </w:p>
    <w:p w14:paraId="264541D8">
      <w:pPr>
        <w:spacing w:line="360" w:lineRule="auto"/>
        <w:ind w:right="800"/>
        <w:rPr>
          <w:rFonts w:hint="eastAsia" w:ascii="宋体" w:hAnsi="宋体" w:cs="宋体"/>
          <w:color w:val="auto"/>
          <w:szCs w:val="21"/>
          <w:highlight w:val="none"/>
        </w:rPr>
      </w:pPr>
    </w:p>
    <w:p w14:paraId="69CCFDF6">
      <w:pPr>
        <w:pStyle w:val="25"/>
        <w:rPr>
          <w:rFonts w:hint="eastAsia" w:ascii="宋体" w:hAnsi="宋体" w:cs="宋体"/>
          <w:color w:val="auto"/>
          <w:szCs w:val="21"/>
          <w:highlight w:val="none"/>
        </w:rPr>
      </w:pPr>
    </w:p>
    <w:p w14:paraId="048BF6A1">
      <w:pPr>
        <w:rPr>
          <w:rFonts w:hint="eastAsia" w:ascii="宋体" w:hAnsi="宋体" w:cs="宋体"/>
          <w:color w:val="auto"/>
          <w:szCs w:val="21"/>
          <w:highlight w:val="none"/>
        </w:rPr>
      </w:pPr>
    </w:p>
    <w:p w14:paraId="0B4E229D">
      <w:pPr>
        <w:pStyle w:val="25"/>
        <w:rPr>
          <w:rFonts w:hint="eastAsia" w:ascii="宋体" w:hAnsi="宋体" w:cs="宋体"/>
          <w:color w:val="auto"/>
          <w:szCs w:val="21"/>
          <w:highlight w:val="none"/>
        </w:rPr>
      </w:pPr>
    </w:p>
    <w:p w14:paraId="5DA98868">
      <w:pPr>
        <w:rPr>
          <w:rFonts w:hint="eastAsia" w:ascii="宋体" w:hAnsi="宋体" w:cs="宋体"/>
          <w:color w:val="auto"/>
          <w:szCs w:val="21"/>
          <w:highlight w:val="none"/>
        </w:rPr>
      </w:pPr>
    </w:p>
    <w:p w14:paraId="20A79887">
      <w:pPr>
        <w:pStyle w:val="25"/>
        <w:rPr>
          <w:rFonts w:hint="eastAsia" w:ascii="宋体" w:hAnsi="宋体" w:cs="宋体"/>
          <w:color w:val="auto"/>
          <w:szCs w:val="21"/>
          <w:highlight w:val="none"/>
        </w:rPr>
      </w:pPr>
    </w:p>
    <w:p w14:paraId="01C3564C">
      <w:pPr>
        <w:rPr>
          <w:rFonts w:hint="eastAsia" w:ascii="宋体" w:hAnsi="宋体" w:cs="宋体"/>
          <w:color w:val="auto"/>
          <w:szCs w:val="21"/>
          <w:highlight w:val="none"/>
        </w:rPr>
      </w:pPr>
    </w:p>
    <w:p w14:paraId="6048C46D">
      <w:pPr>
        <w:pStyle w:val="25"/>
        <w:rPr>
          <w:rFonts w:hint="eastAsia" w:ascii="宋体" w:hAnsi="宋体" w:cs="宋体"/>
          <w:color w:val="auto"/>
          <w:szCs w:val="21"/>
          <w:highlight w:val="none"/>
        </w:rPr>
      </w:pPr>
    </w:p>
    <w:p w14:paraId="568B7058">
      <w:pPr>
        <w:rPr>
          <w:rFonts w:hint="eastAsia"/>
          <w:color w:val="auto"/>
          <w:highlight w:val="none"/>
        </w:rPr>
      </w:pPr>
    </w:p>
    <w:p w14:paraId="1B259BC6">
      <w:pPr>
        <w:rPr>
          <w:rFonts w:hint="eastAsia" w:ascii="宋体" w:hAnsi="宋体" w:cs="宋体"/>
          <w:color w:val="auto"/>
          <w:szCs w:val="21"/>
          <w:highlight w:val="none"/>
        </w:rPr>
      </w:pPr>
    </w:p>
    <w:p w14:paraId="2A81E5A1">
      <w:pPr>
        <w:pStyle w:val="25"/>
        <w:rPr>
          <w:rFonts w:hint="eastAsia" w:ascii="宋体" w:hAnsi="宋体" w:cs="宋体"/>
          <w:color w:val="auto"/>
          <w:szCs w:val="21"/>
          <w:highlight w:val="none"/>
        </w:rPr>
      </w:pPr>
    </w:p>
    <w:p w14:paraId="69F7D3D5">
      <w:pPr>
        <w:rPr>
          <w:rFonts w:hint="eastAsia" w:ascii="宋体" w:hAnsi="宋体" w:cs="宋体"/>
          <w:color w:val="auto"/>
          <w:szCs w:val="21"/>
          <w:highlight w:val="none"/>
        </w:rPr>
      </w:pPr>
    </w:p>
    <w:p w14:paraId="03F97737">
      <w:pPr>
        <w:pStyle w:val="25"/>
        <w:rPr>
          <w:rFonts w:hint="eastAsia" w:ascii="宋体" w:hAnsi="宋体" w:cs="宋体"/>
          <w:color w:val="auto"/>
          <w:szCs w:val="21"/>
          <w:highlight w:val="none"/>
        </w:rPr>
      </w:pPr>
    </w:p>
    <w:p w14:paraId="00C52662">
      <w:pPr>
        <w:rPr>
          <w:rFonts w:hint="eastAsia" w:ascii="宋体" w:hAnsi="宋体" w:cs="宋体"/>
          <w:color w:val="auto"/>
          <w:szCs w:val="21"/>
          <w:highlight w:val="none"/>
        </w:rPr>
      </w:pPr>
    </w:p>
    <w:p w14:paraId="6330E75B">
      <w:pPr>
        <w:spacing w:line="460" w:lineRule="exact"/>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合同目录</w:t>
      </w:r>
    </w:p>
    <w:p w14:paraId="115645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4"/>
          <w:highlight w:val="none"/>
          <w:lang w:val="en-US" w:eastAsia="zh-CN"/>
        </w:rPr>
        <w:t>一</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第一部分 合同书</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rPr>
        <w:t>（页码）</w:t>
      </w:r>
    </w:p>
    <w:p w14:paraId="546EFE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二、第二部分</w:t>
      </w:r>
      <w:r>
        <w:rPr>
          <w:rFonts w:hint="eastAsia" w:ascii="宋体" w:hAnsi="宋体" w:eastAsia="宋体" w:cs="宋体"/>
          <w:color w:val="auto"/>
          <w:sz w:val="21"/>
          <w:szCs w:val="21"/>
          <w:highlight w:val="none"/>
        </w:rPr>
        <w:t xml:space="preserve"> 合同附件</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rPr>
        <w:t>（页码）</w:t>
      </w:r>
    </w:p>
    <w:p w14:paraId="238E6C6E">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1、成交通知书 </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rPr>
        <w:t>（页码）</w:t>
      </w:r>
    </w:p>
    <w:p w14:paraId="4CC67459">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、采购需求</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rPr>
        <w:t>（页码）</w:t>
      </w:r>
    </w:p>
    <w:p w14:paraId="203BDEA4">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lang w:val="en-US" w:eastAsia="zh-CN"/>
        </w:rPr>
        <w:t>3、采购</w:t>
      </w:r>
      <w:r>
        <w:rPr>
          <w:rFonts w:hint="eastAsia" w:ascii="宋体" w:hAnsi="宋体" w:eastAsia="宋体" w:cs="宋体"/>
          <w:color w:val="auto"/>
          <w:kern w:val="0"/>
          <w:sz w:val="21"/>
          <w:szCs w:val="21"/>
          <w:highlight w:val="none"/>
        </w:rPr>
        <w:t>件的更改通知（如有）</w:t>
      </w:r>
      <w:r>
        <w:rPr>
          <w:rFonts w:hint="eastAsia" w:ascii="宋体" w:hAnsi="宋体" w:cs="宋体"/>
          <w:color w:val="auto"/>
          <w:sz w:val="21"/>
          <w:szCs w:val="21"/>
          <w:highlight w:val="none"/>
        </w:rPr>
        <w:t xml:space="preserve"> ………………………………………………………………（页码）</w:t>
      </w:r>
    </w:p>
    <w:p w14:paraId="6166B989">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、竞标声明 ……………………………………………………………………………………（页码）</w:t>
      </w:r>
    </w:p>
    <w:p w14:paraId="3DF8E1C3">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、竞标报价表和最终报价表 …………………………………………………………………（页码）</w:t>
      </w:r>
    </w:p>
    <w:p w14:paraId="7FE6E1B6">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、技术要求偏离表 ……………………………………………………………………………（页码）</w:t>
      </w:r>
    </w:p>
    <w:p w14:paraId="6A94CEB0">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、商务要求偏离表 ……………………………………………………………………………（页码）</w:t>
      </w:r>
    </w:p>
    <w:p w14:paraId="7C05E454">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8、成交</w:t>
      </w:r>
      <w:r>
        <w:rPr>
          <w:rFonts w:hint="eastAsia" w:ascii="宋体" w:hAnsi="宋体" w:cs="宋体"/>
          <w:color w:val="auto"/>
          <w:sz w:val="21"/>
          <w:szCs w:val="21"/>
          <w:highlight w:val="none"/>
        </w:rPr>
        <w:t>供应商澄清函（如有请提供） ………………………………………………………（页码）</w:t>
      </w:r>
    </w:p>
    <w:p w14:paraId="63F26FA3">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其他与本合同相关的资料（如有请提供） ……………………………………………（页码）</w:t>
      </w:r>
    </w:p>
    <w:p w14:paraId="11C154E3">
      <w:pPr>
        <w:bidi w:val="0"/>
        <w:jc w:val="center"/>
        <w:rPr>
          <w:rFonts w:hint="eastAsia" w:ascii="宋体" w:hAnsi="宋体" w:eastAsia="宋体" w:cs="宋体"/>
          <w:b/>
          <w:color w:val="auto"/>
          <w:sz w:val="28"/>
          <w:szCs w:val="28"/>
          <w:highlight w:val="none"/>
        </w:rPr>
      </w:pPr>
    </w:p>
    <w:p w14:paraId="04C0F1FC">
      <w:pPr>
        <w:bidi w:val="0"/>
        <w:jc w:val="center"/>
        <w:rPr>
          <w:rFonts w:hint="eastAsia" w:ascii="宋体" w:hAnsi="宋体" w:eastAsia="宋体" w:cs="宋体"/>
          <w:b/>
          <w:color w:val="auto"/>
          <w:sz w:val="28"/>
          <w:szCs w:val="28"/>
          <w:highlight w:val="none"/>
        </w:rPr>
      </w:pPr>
    </w:p>
    <w:p w14:paraId="7F45BB7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80A93D7">
      <w:pPr>
        <w:bidi w:val="0"/>
        <w:jc w:val="center"/>
        <w:rPr>
          <w:rFonts w:hint="eastAsia"/>
          <w:color w:val="auto"/>
          <w:highlight w:val="none"/>
        </w:rPr>
      </w:pPr>
      <w:r>
        <w:rPr>
          <w:rFonts w:hint="eastAsia" w:ascii="宋体" w:hAnsi="宋体" w:eastAsia="宋体" w:cs="宋体"/>
          <w:b/>
          <w:color w:val="auto"/>
          <w:sz w:val="28"/>
          <w:szCs w:val="28"/>
          <w:highlight w:val="none"/>
        </w:rPr>
        <w:t>合同书</w:t>
      </w:r>
    </w:p>
    <w:p w14:paraId="48DFD834">
      <w:pPr>
        <w:rPr>
          <w:rFonts w:hint="eastAsia" w:ascii="宋体" w:hAnsi="宋体" w:cs="宋体"/>
          <w:color w:val="auto"/>
          <w:szCs w:val="21"/>
          <w:highlight w:val="none"/>
        </w:rPr>
      </w:pPr>
    </w:p>
    <w:p w14:paraId="39E6EED7">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合同编号</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0EA53F92">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2CC9A3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624EEF2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63BB9AE7">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373983E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根据《中华人民共和国政府采购法》、《中华人民共和国民法典》等法律、法规规定，按照磋商文件规定条款和乙方响应文件及其承诺，甲乙双方签订本合同。</w:t>
      </w:r>
    </w:p>
    <w:p w14:paraId="5B74813D">
      <w:pPr>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第一条　合同标的</w:t>
      </w:r>
    </w:p>
    <w:p w14:paraId="02A8B8E2">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1、项目一览表</w:t>
      </w:r>
    </w:p>
    <w:tbl>
      <w:tblPr>
        <w:tblStyle w:val="32"/>
        <w:tblW w:w="91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91"/>
        <w:gridCol w:w="3041"/>
        <w:gridCol w:w="666"/>
        <w:gridCol w:w="654"/>
        <w:gridCol w:w="1330"/>
        <w:gridCol w:w="1418"/>
      </w:tblGrid>
      <w:tr w14:paraId="49FE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1" w:type="dxa"/>
            <w:tcBorders>
              <w:top w:val="single" w:color="auto" w:sz="4" w:space="0"/>
              <w:left w:val="single" w:color="auto" w:sz="4" w:space="0"/>
              <w:bottom w:val="single" w:color="auto" w:sz="4" w:space="0"/>
              <w:right w:val="single" w:color="auto" w:sz="4" w:space="0"/>
            </w:tcBorders>
            <w:vAlign w:val="center"/>
          </w:tcPr>
          <w:p w14:paraId="3D0601BB">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91" w:type="dxa"/>
            <w:tcBorders>
              <w:top w:val="single" w:color="auto" w:sz="4" w:space="0"/>
              <w:left w:val="single" w:color="auto" w:sz="4" w:space="0"/>
              <w:bottom w:val="single" w:color="auto" w:sz="4" w:space="0"/>
              <w:right w:val="single" w:color="auto" w:sz="4" w:space="0"/>
            </w:tcBorders>
            <w:vAlign w:val="center"/>
          </w:tcPr>
          <w:p w14:paraId="526B47F3">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lang w:eastAsia="zh-CN"/>
              </w:rPr>
              <w:t>服务</w:t>
            </w:r>
            <w:r>
              <w:rPr>
                <w:rFonts w:hint="eastAsia" w:ascii="宋体" w:hAnsi="宋体" w:cs="宋体"/>
                <w:b/>
                <w:color w:val="auto"/>
                <w:sz w:val="21"/>
                <w:szCs w:val="21"/>
                <w:highlight w:val="none"/>
              </w:rPr>
              <w:t>名称</w:t>
            </w:r>
          </w:p>
        </w:tc>
        <w:tc>
          <w:tcPr>
            <w:tcW w:w="3041" w:type="dxa"/>
            <w:tcBorders>
              <w:top w:val="single" w:color="auto" w:sz="4" w:space="0"/>
              <w:left w:val="single" w:color="auto" w:sz="4" w:space="0"/>
              <w:bottom w:val="single" w:color="auto" w:sz="4" w:space="0"/>
              <w:right w:val="single" w:color="auto" w:sz="4" w:space="0"/>
            </w:tcBorders>
            <w:vAlign w:val="center"/>
          </w:tcPr>
          <w:p w14:paraId="74F23748">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服务内容</w:t>
            </w:r>
          </w:p>
        </w:tc>
        <w:tc>
          <w:tcPr>
            <w:tcW w:w="666" w:type="dxa"/>
            <w:tcBorders>
              <w:top w:val="single" w:color="auto" w:sz="4" w:space="0"/>
              <w:left w:val="single" w:color="auto" w:sz="4" w:space="0"/>
              <w:bottom w:val="single" w:color="auto" w:sz="4" w:space="0"/>
              <w:right w:val="single" w:color="auto" w:sz="4" w:space="0"/>
            </w:tcBorders>
            <w:vAlign w:val="center"/>
          </w:tcPr>
          <w:p w14:paraId="62915A30">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654" w:type="dxa"/>
            <w:tcBorders>
              <w:top w:val="single" w:color="auto" w:sz="4" w:space="0"/>
              <w:left w:val="single" w:color="auto" w:sz="4" w:space="0"/>
              <w:bottom w:val="single" w:color="auto" w:sz="4" w:space="0"/>
              <w:right w:val="single" w:color="auto" w:sz="4" w:space="0"/>
            </w:tcBorders>
            <w:vAlign w:val="center"/>
          </w:tcPr>
          <w:p w14:paraId="6102D66A">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单位</w:t>
            </w:r>
          </w:p>
        </w:tc>
        <w:tc>
          <w:tcPr>
            <w:tcW w:w="1330" w:type="dxa"/>
            <w:tcBorders>
              <w:top w:val="single" w:color="auto" w:sz="4" w:space="0"/>
              <w:left w:val="single" w:color="auto" w:sz="4" w:space="0"/>
              <w:bottom w:val="single" w:color="auto" w:sz="4" w:space="0"/>
              <w:right w:val="single" w:color="auto" w:sz="4" w:space="0"/>
            </w:tcBorders>
            <w:vAlign w:val="center"/>
          </w:tcPr>
          <w:p w14:paraId="6E28931B">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p w14:paraId="71EBC566">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（元）</w:t>
            </w:r>
          </w:p>
        </w:tc>
        <w:tc>
          <w:tcPr>
            <w:tcW w:w="1418" w:type="dxa"/>
            <w:tcBorders>
              <w:top w:val="single" w:color="auto" w:sz="4" w:space="0"/>
              <w:left w:val="single" w:color="auto" w:sz="4" w:space="0"/>
              <w:bottom w:val="single" w:color="auto" w:sz="4" w:space="0"/>
              <w:right w:val="single" w:color="auto" w:sz="4" w:space="0"/>
            </w:tcBorders>
            <w:vAlign w:val="center"/>
          </w:tcPr>
          <w:p w14:paraId="2BC7AA5A">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总价</w:t>
            </w:r>
          </w:p>
          <w:p w14:paraId="395367A0">
            <w:pPr>
              <w:spacing w:line="46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（元）</w:t>
            </w:r>
          </w:p>
        </w:tc>
      </w:tr>
      <w:tr w14:paraId="4377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1" w:type="dxa"/>
            <w:tcBorders>
              <w:top w:val="single" w:color="auto" w:sz="4" w:space="0"/>
              <w:left w:val="single" w:color="auto" w:sz="4" w:space="0"/>
              <w:bottom w:val="single" w:color="auto" w:sz="4" w:space="0"/>
              <w:right w:val="single" w:color="auto" w:sz="4" w:space="0"/>
            </w:tcBorders>
            <w:vAlign w:val="center"/>
          </w:tcPr>
          <w:p w14:paraId="06C3819C">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291" w:type="dxa"/>
            <w:tcBorders>
              <w:top w:val="single" w:color="auto" w:sz="4" w:space="0"/>
              <w:left w:val="single" w:color="auto" w:sz="4" w:space="0"/>
              <w:bottom w:val="single" w:color="auto" w:sz="4" w:space="0"/>
              <w:right w:val="single" w:color="auto" w:sz="4" w:space="0"/>
            </w:tcBorders>
            <w:vAlign w:val="center"/>
          </w:tcPr>
          <w:p w14:paraId="1DB7DF64">
            <w:pPr>
              <w:spacing w:line="460" w:lineRule="exact"/>
              <w:jc w:val="center"/>
              <w:rPr>
                <w:rFonts w:ascii="宋体" w:hAnsi="宋体" w:cs="宋体"/>
                <w:color w:val="auto"/>
                <w:sz w:val="21"/>
                <w:szCs w:val="21"/>
                <w:highlight w:val="none"/>
              </w:rPr>
            </w:pPr>
          </w:p>
        </w:tc>
        <w:tc>
          <w:tcPr>
            <w:tcW w:w="3041" w:type="dxa"/>
            <w:tcBorders>
              <w:top w:val="single" w:color="auto" w:sz="4" w:space="0"/>
              <w:left w:val="single" w:color="auto" w:sz="4" w:space="0"/>
              <w:bottom w:val="single" w:color="auto" w:sz="4" w:space="0"/>
              <w:right w:val="single" w:color="auto" w:sz="4" w:space="0"/>
            </w:tcBorders>
            <w:vAlign w:val="center"/>
          </w:tcPr>
          <w:p w14:paraId="49ED1165">
            <w:pPr>
              <w:spacing w:line="460" w:lineRule="exact"/>
              <w:jc w:val="left"/>
              <w:rPr>
                <w:rFonts w:ascii="宋体" w:hAnsi="宋体" w:cs="宋体"/>
                <w:color w:val="auto"/>
                <w:sz w:val="21"/>
                <w:szCs w:val="21"/>
                <w:highlight w:val="none"/>
              </w:rPr>
            </w:pPr>
          </w:p>
        </w:tc>
        <w:tc>
          <w:tcPr>
            <w:tcW w:w="666" w:type="dxa"/>
            <w:tcBorders>
              <w:top w:val="single" w:color="auto" w:sz="4" w:space="0"/>
              <w:left w:val="single" w:color="auto" w:sz="4" w:space="0"/>
              <w:bottom w:val="single" w:color="auto" w:sz="4" w:space="0"/>
              <w:right w:val="single" w:color="auto" w:sz="4" w:space="0"/>
            </w:tcBorders>
            <w:vAlign w:val="center"/>
          </w:tcPr>
          <w:p w14:paraId="589BC6E8">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654" w:type="dxa"/>
            <w:tcBorders>
              <w:top w:val="single" w:color="auto" w:sz="4" w:space="0"/>
              <w:left w:val="single" w:color="auto" w:sz="4" w:space="0"/>
              <w:bottom w:val="single" w:color="auto" w:sz="4" w:space="0"/>
              <w:right w:val="single" w:color="auto" w:sz="4" w:space="0"/>
            </w:tcBorders>
            <w:vAlign w:val="center"/>
          </w:tcPr>
          <w:p w14:paraId="14CAEF27">
            <w:pPr>
              <w:spacing w:line="4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w:t>
            </w:r>
          </w:p>
        </w:tc>
        <w:tc>
          <w:tcPr>
            <w:tcW w:w="1330" w:type="dxa"/>
            <w:tcBorders>
              <w:top w:val="single" w:color="auto" w:sz="4" w:space="0"/>
              <w:left w:val="single" w:color="auto" w:sz="4" w:space="0"/>
              <w:bottom w:val="single" w:color="auto" w:sz="4" w:space="0"/>
              <w:right w:val="single" w:color="auto" w:sz="4" w:space="0"/>
            </w:tcBorders>
            <w:vAlign w:val="center"/>
          </w:tcPr>
          <w:p w14:paraId="4BB57551">
            <w:pPr>
              <w:spacing w:line="460" w:lineRule="exact"/>
              <w:jc w:val="center"/>
              <w:rPr>
                <w:rFonts w:ascii="宋体" w:hAnsi="宋体" w:cs="宋体"/>
                <w:color w:val="auto"/>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DE862F5">
            <w:pPr>
              <w:spacing w:line="460" w:lineRule="exact"/>
              <w:jc w:val="center"/>
              <w:rPr>
                <w:rFonts w:ascii="宋体" w:hAnsi="宋体" w:cs="宋体"/>
                <w:color w:val="auto"/>
                <w:sz w:val="21"/>
                <w:szCs w:val="21"/>
                <w:highlight w:val="none"/>
              </w:rPr>
            </w:pPr>
          </w:p>
        </w:tc>
      </w:tr>
      <w:tr w14:paraId="043F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111" w:type="dxa"/>
            <w:gridSpan w:val="7"/>
            <w:tcBorders>
              <w:top w:val="single" w:color="auto" w:sz="4" w:space="0"/>
              <w:left w:val="single" w:color="auto" w:sz="4" w:space="0"/>
              <w:bottom w:val="single" w:color="auto" w:sz="4" w:space="0"/>
              <w:right w:val="single" w:color="auto" w:sz="4" w:space="0"/>
            </w:tcBorders>
            <w:vAlign w:val="center"/>
          </w:tcPr>
          <w:p w14:paraId="1E1960F7">
            <w:pPr>
              <w:spacing w:line="460" w:lineRule="exact"/>
              <w:rPr>
                <w:rFonts w:ascii="宋体" w:hAnsi="宋体" w:cs="宋体"/>
                <w:color w:val="auto"/>
                <w:sz w:val="21"/>
                <w:szCs w:val="21"/>
                <w:highlight w:val="none"/>
              </w:rPr>
            </w:pPr>
            <w:r>
              <w:rPr>
                <w:rFonts w:hint="eastAsia" w:ascii="宋体" w:hAnsi="宋体" w:cs="宋体"/>
                <w:color w:val="auto"/>
                <w:sz w:val="21"/>
                <w:szCs w:val="21"/>
                <w:highlight w:val="none"/>
              </w:rPr>
              <w:t>人民币合计金额（大写）：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tc>
      </w:tr>
    </w:tbl>
    <w:p w14:paraId="1DD6E13A">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评审</w:t>
      </w:r>
      <w:r>
        <w:rPr>
          <w:rFonts w:hint="eastAsia" w:ascii="宋体" w:hAnsi="宋体" w:cs="宋体"/>
          <w:color w:val="auto"/>
          <w:sz w:val="21"/>
          <w:szCs w:val="21"/>
          <w:highlight w:val="none"/>
        </w:rPr>
        <w:t>等所有费用。如磋商文件对其另有规定的，从其规定。</w:t>
      </w:r>
    </w:p>
    <w:p w14:paraId="07631367">
      <w:pPr>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第二条　质量保证</w:t>
      </w:r>
    </w:p>
    <w:p w14:paraId="2E84F989">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54A80FD3">
      <w:pPr>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第三条　权利保证</w:t>
      </w:r>
    </w:p>
    <w:p w14:paraId="3261DC74">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1、乙方应保证所提供服务不得侵犯任何第三方的专利权、商标权、工业设计权等知识产权及其他合法权利，且所有权、处分权等没有受到任何限制。</w:t>
      </w:r>
    </w:p>
    <w:p w14:paraId="7CCECBB9">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36C6ED0">
      <w:pPr>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第四条　交付和验收</w:t>
      </w:r>
    </w:p>
    <w:p w14:paraId="195631FD">
      <w:pPr>
        <w:snapToGrid w:val="0"/>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服务</w:t>
      </w:r>
      <w:r>
        <w:rPr>
          <w:rFonts w:hint="eastAsia" w:ascii="宋体" w:hAnsi="宋体" w:cs="宋体"/>
          <w:color w:val="auto"/>
          <w:sz w:val="21"/>
          <w:szCs w:val="21"/>
          <w:highlight w:val="none"/>
        </w:rPr>
        <w:t>期限：</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。服务地点：</w:t>
      </w:r>
      <w:r>
        <w:rPr>
          <w:rFonts w:hint="eastAsia" w:ascii="宋体" w:hAnsi="宋体" w:cs="宋体"/>
          <w:color w:val="auto"/>
          <w:sz w:val="21"/>
          <w:szCs w:val="21"/>
          <w:highlight w:val="none"/>
          <w:u w:val="single"/>
        </w:rPr>
        <w:t>广西区内甲方指定地点</w:t>
      </w:r>
      <w:r>
        <w:rPr>
          <w:rFonts w:hint="eastAsia" w:ascii="宋体" w:hAnsi="宋体" w:cs="宋体"/>
          <w:color w:val="auto"/>
          <w:sz w:val="21"/>
          <w:szCs w:val="21"/>
          <w:highlight w:val="none"/>
        </w:rPr>
        <w:t>。</w:t>
      </w:r>
    </w:p>
    <w:p w14:paraId="7E9FB527">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2、乙方应按响应文件的承诺向甲方提供相应的服务，并提供所服务内容的相关技术资料。</w:t>
      </w:r>
    </w:p>
    <w:p w14:paraId="4D0C5B43">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3、乙方提供不符合响应文件和本合同规定的服务成果，甲方有权拒绝接受。</w:t>
      </w:r>
    </w:p>
    <w:p w14:paraId="502DC221">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4、乙方完成服务后应及时书面通知甲方进行验收，甲方应在收到通知后</w:t>
      </w:r>
      <w:r>
        <w:rPr>
          <w:rFonts w:hint="eastAsia" w:ascii="宋体" w:hAnsi="宋体" w:cs="宋体"/>
          <w:color w:val="auto"/>
          <w:sz w:val="21"/>
          <w:szCs w:val="21"/>
          <w:highlight w:val="none"/>
          <w:lang w:val="en-US" w:eastAsia="zh-CN"/>
        </w:rPr>
        <w:t>尽快组织</w:t>
      </w:r>
      <w:r>
        <w:rPr>
          <w:rFonts w:hint="eastAsia" w:ascii="宋体" w:hAnsi="宋体" w:cs="宋体"/>
          <w:color w:val="auto"/>
          <w:sz w:val="21"/>
          <w:szCs w:val="21"/>
          <w:highlight w:val="none"/>
        </w:rPr>
        <w:t>验收。验收合格后由甲乙双方签署验收单并加盖甲方公章，甲乙双方各执一份。</w:t>
      </w:r>
    </w:p>
    <w:p w14:paraId="0C76F17D">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5、甲乙双方应按照《广西壮族自治区政府采购项目履约验收管理办法》、双方合同、响应文件验收。</w:t>
      </w:r>
    </w:p>
    <w:p w14:paraId="145A8B27">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6、甲方在试运行、初步验收或者最终验收过程中如发现乙方提供的服务成果不满足响应文件及本合同规定的，可暂缓向乙方付款，直到乙方及时完善并提交相应的服务成果且经甲方验收合格后，方可办理付款。</w:t>
      </w:r>
    </w:p>
    <w:p w14:paraId="1BBFC79C">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7、甲方验收时以书面形式提出异议的，乙方应自收到甲方书面异议后五个工作日内及时予以解决，否则甲方有权不出具服务验收合格单。</w:t>
      </w:r>
    </w:p>
    <w:p w14:paraId="426E0C77">
      <w:pPr>
        <w:snapToGrid w:val="0"/>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第五条  售后服务及培训</w:t>
      </w:r>
    </w:p>
    <w:p w14:paraId="7B7A219E">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1、乙方应按照国家有关法律法规和本合同的附件要求为甲方提供相应的售后服务。</w:t>
      </w:r>
    </w:p>
    <w:p w14:paraId="54EEEDCE">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2、甲方应提供必要测试条件（如场地、电源、水源等）。</w:t>
      </w:r>
    </w:p>
    <w:p w14:paraId="2D89E7E3">
      <w:pPr>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3、乙方负责甲方有关人员的培训。培训时间、地点：</w:t>
      </w:r>
      <w:r>
        <w:rPr>
          <w:rFonts w:hint="eastAsia" w:ascii="宋体" w:hAnsi="宋体" w:cs="宋体"/>
          <w:color w:val="auto"/>
          <w:sz w:val="21"/>
          <w:szCs w:val="21"/>
          <w:highlight w:val="none"/>
          <w:u w:val="single"/>
        </w:rPr>
        <w:t>由甲方指定</w:t>
      </w:r>
      <w:r>
        <w:rPr>
          <w:rFonts w:hint="eastAsia" w:ascii="宋体" w:hAnsi="宋体" w:cs="宋体"/>
          <w:color w:val="auto"/>
          <w:sz w:val="21"/>
          <w:szCs w:val="21"/>
          <w:highlight w:val="none"/>
        </w:rPr>
        <w:t>。</w:t>
      </w:r>
    </w:p>
    <w:p w14:paraId="26B491E0">
      <w:pPr>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none"/>
          <w:lang w:val="en-US" w:eastAsia="zh-CN"/>
        </w:rPr>
        <w:t>项目负责人或主要经办技术人员出现调岗、离职等无法继续负责售后的，乙方应另行派人负责售后</w:t>
      </w:r>
      <w:r>
        <w:rPr>
          <w:rFonts w:hint="eastAsia" w:ascii="宋体" w:hAnsi="宋体" w:cs="宋体"/>
          <w:color w:val="auto"/>
          <w:szCs w:val="21"/>
          <w:highlight w:val="none"/>
        </w:rPr>
        <w:t>。</w:t>
      </w:r>
    </w:p>
    <w:p w14:paraId="34B56097">
      <w:pPr>
        <w:spacing w:line="360" w:lineRule="auto"/>
        <w:ind w:firstLine="316" w:firstLineChars="150"/>
        <w:jc w:val="left"/>
        <w:rPr>
          <w:rFonts w:ascii="宋体" w:hAnsi="宋体" w:cs="宋体"/>
          <w:b/>
          <w:color w:val="auto"/>
          <w:sz w:val="21"/>
          <w:szCs w:val="21"/>
          <w:highlight w:val="none"/>
        </w:rPr>
      </w:pPr>
      <w:r>
        <w:rPr>
          <w:rFonts w:hint="eastAsia" w:ascii="宋体" w:hAnsi="宋体" w:cs="宋体"/>
          <w:b/>
          <w:color w:val="auto"/>
          <w:sz w:val="21"/>
          <w:szCs w:val="21"/>
          <w:highlight w:val="none"/>
        </w:rPr>
        <w:t>第六条　付款方式</w:t>
      </w:r>
    </w:p>
    <w:p w14:paraId="3E532E49">
      <w:pPr>
        <w:snapToGrid w:val="0"/>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1.本项目合同金额人民币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)；合同金额为包干价，包含服务的价格、必要的保险费用和各项税金、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要求提供服务的各种费用、项目实施所需的人工费、服务费、税费及其他一切费用。合同金额由</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分期支付</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w:t>
      </w:r>
    </w:p>
    <w:p w14:paraId="366037FC">
      <w:pPr>
        <w:snapToGrid w:val="0"/>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（1）签订合同后，甲方支付第一笔款（合同金额的30%），即人民币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（小写：</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p w14:paraId="6A91295E">
      <w:pPr>
        <w:snapToGrid w:val="0"/>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按合同要求完成项目研究，</w:t>
      </w:r>
      <w:r>
        <w:rPr>
          <w:rFonts w:hint="eastAsia" w:ascii="宋体" w:hAnsi="宋体" w:cs="宋体"/>
          <w:color w:val="auto"/>
          <w:sz w:val="21"/>
          <w:szCs w:val="21"/>
          <w:highlight w:val="none"/>
          <w:lang w:val="en-US" w:eastAsia="zh-CN"/>
        </w:rPr>
        <w:t>成果通过</w:t>
      </w:r>
      <w:r>
        <w:rPr>
          <w:rFonts w:hint="eastAsia" w:ascii="宋体" w:hAnsi="宋体" w:eastAsia="宋体" w:cs="宋体"/>
          <w:color w:val="auto"/>
          <w:sz w:val="21"/>
          <w:szCs w:val="21"/>
          <w:highlight w:val="none"/>
          <w:lang w:val="en-US" w:eastAsia="zh-CN"/>
        </w:rPr>
        <w:t>专家验收合格并修改完善</w:t>
      </w:r>
      <w:r>
        <w:rPr>
          <w:rFonts w:hint="eastAsia" w:ascii="宋体" w:hAnsi="宋体" w:cs="宋体"/>
          <w:color w:val="auto"/>
          <w:sz w:val="21"/>
          <w:szCs w:val="21"/>
          <w:highlight w:val="none"/>
          <w:lang w:val="en-US" w:eastAsia="zh-CN"/>
        </w:rPr>
        <w:t>提交给甲方</w:t>
      </w:r>
      <w:r>
        <w:rPr>
          <w:rFonts w:hint="eastAsia" w:ascii="宋体" w:hAnsi="宋体" w:eastAsia="宋体" w:cs="宋体"/>
          <w:color w:val="auto"/>
          <w:sz w:val="21"/>
          <w:szCs w:val="21"/>
          <w:highlight w:val="none"/>
          <w:lang w:val="en-US" w:eastAsia="zh-CN"/>
        </w:rPr>
        <w:t>后，</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支付第二笔款（合同金额的</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0%），即人民币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（小写：</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p w14:paraId="4704F9BC">
      <w:pPr>
        <w:snapToGrid w:val="0"/>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2.每次申请支付款项前，</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必须向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提供与支付金额相符的有效发票等请款材料，否则，甲方有权顺延付款；本项目合同价款的支付前提为甲方支付合同价款流程已审批完成且财政已拨付。</w:t>
      </w:r>
    </w:p>
    <w:p w14:paraId="6FABA55A">
      <w:pPr>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第七条  税费</w:t>
      </w:r>
    </w:p>
    <w:p w14:paraId="7EF47C7A">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本合同执行中相关的一切税费均由乙方负担，合同另有约定的除外。</w:t>
      </w:r>
    </w:p>
    <w:p w14:paraId="46B28092">
      <w:pPr>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第八条　违约责任</w:t>
      </w:r>
    </w:p>
    <w:p w14:paraId="64F9059B">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除不可抗力原因外，乙方没有按照合同约定的时间提供服务的，甲方可要求乙方支付违约金。每逾期一天按合同金额的3‰支付违约金，该违约金累计不超过合同金额的10%；乙方未按期限完成项目工作超过30天以及项目工作经整改仍不符合约定的，甲方有权解除合同。 </w:t>
      </w:r>
    </w:p>
    <w:p w14:paraId="30672EC8">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2、乙方提供的服务如侵犯了第三方合法权益而引发的任何纠纷或者诉讼，均由乙方负责交涉并承担全部责任。</w:t>
      </w:r>
    </w:p>
    <w:p w14:paraId="21FC8908">
      <w:pPr>
        <w:widowControl/>
        <w:snapToGrid w:val="0"/>
        <w:spacing w:line="4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乙方不得将项目全部或部分进行转包、分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4A0424F8">
      <w:pPr>
        <w:widowControl/>
        <w:snapToGrid w:val="0"/>
        <w:spacing w:line="46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5、乙方支付的违约金不足以弥补甲方损失的，应承担赔偿责任，甲方有权继续向乙方追偿。</w:t>
      </w:r>
    </w:p>
    <w:p w14:paraId="011E6A41">
      <w:pPr>
        <w:widowControl/>
        <w:snapToGrid w:val="0"/>
        <w:spacing w:line="4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本合同所称的甲方经济损失或者甲方损失，包括甲方遭受的全部直接经济损失及为此支出的合理费用（包括不限于为此支出的调查费、诉讼费、保全费、律师费、差旅费等）。乙方应支付给甲方的违约金或赔偿金，甲方有权从任何应支付未支付给乙方的款项中直接抵扣。</w:t>
      </w:r>
    </w:p>
    <w:p w14:paraId="3FAA29C2">
      <w:pPr>
        <w:widowControl/>
        <w:snapToGrid w:val="0"/>
        <w:spacing w:line="46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7、甲方有权对乙方服务人员进行管理或要求更换。对于甲方要求更换服务人员的，乙方无条件更换；乙方拒绝更换的，甲方有权终止合同，追回已付款项，并按合同总价的10%计算违约金。</w:t>
      </w:r>
    </w:p>
    <w:p w14:paraId="3658CEAA">
      <w:pPr>
        <w:widowControl/>
        <w:snapToGrid w:val="0"/>
        <w:spacing w:line="460" w:lineRule="exact"/>
        <w:ind w:firstLine="420" w:firstLineChars="2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8、如乙方违反保密义务，甲方有权书面通知乙方解除咨询合同，且无需支付合同解除后的合同后续费用。同时，乙方必须退还甲方已付出的所有咨询费用，并赔偿由此给甲方造成的全部损失。</w:t>
      </w:r>
    </w:p>
    <w:p w14:paraId="309742C5">
      <w:pPr>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第九条  不可抗力事件处理</w:t>
      </w:r>
    </w:p>
    <w:p w14:paraId="5BFAD49C">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1、在合同有效期内，任何一方因不可抗力事件导致不能履行合同，则合同履行期可延长，其延长期与不可抗力影响期相同。</w:t>
      </w:r>
    </w:p>
    <w:p w14:paraId="0D4E4E3C">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2、不可抗力事件发生后，应立即通知对方，并寄送有关权威机构出具的证明。</w:t>
      </w:r>
    </w:p>
    <w:p w14:paraId="7A673F7D">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3、不可抗力事件延续一百二十天以上，双方应通过友好协商，确定是否继续履行合同。</w:t>
      </w:r>
    </w:p>
    <w:p w14:paraId="320F20ED">
      <w:pPr>
        <w:spacing w:line="460" w:lineRule="exact"/>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第十条  合同争议解决</w:t>
      </w:r>
    </w:p>
    <w:p w14:paraId="1CEFDC35">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1、因服务质量问题发生争议的，应邀请国家认可的质量检测机构进行鉴定，鉴定费由乙方承担。</w:t>
      </w:r>
    </w:p>
    <w:p w14:paraId="213EA264">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2、因履行本合同引起的或者与本合同有关的争议，甲乙双方应首先通过友好协商解决，如果协商不能解决，可向甲方所在地有管辖权的人民法院提起诉讼。</w:t>
      </w:r>
    </w:p>
    <w:p w14:paraId="0B7A6367">
      <w:pPr>
        <w:snapToGrid w:val="0"/>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3、诉讼期间，</w:t>
      </w:r>
      <w:r>
        <w:rPr>
          <w:rFonts w:hint="eastAsia" w:ascii="宋体" w:hAnsi="宋体" w:cs="宋体"/>
          <w:color w:val="auto"/>
          <w:sz w:val="21"/>
          <w:szCs w:val="21"/>
          <w:highlight w:val="none"/>
          <w:lang w:eastAsia="zh-CN"/>
        </w:rPr>
        <w:t>如甲方未主张解除的，</w:t>
      </w:r>
      <w:r>
        <w:rPr>
          <w:rFonts w:hint="eastAsia" w:ascii="宋体" w:hAnsi="宋体" w:cs="宋体"/>
          <w:color w:val="auto"/>
          <w:sz w:val="21"/>
          <w:szCs w:val="21"/>
          <w:highlight w:val="none"/>
        </w:rPr>
        <w:t>本合同继续履行。</w:t>
      </w:r>
    </w:p>
    <w:p w14:paraId="526A9FED">
      <w:pPr>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第十一条  合同生效及其它</w:t>
      </w:r>
    </w:p>
    <w:p w14:paraId="7C713F33">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1、合同经双方法定代表人或者授权代表签字并加盖单位公章后生效。</w:t>
      </w:r>
    </w:p>
    <w:p w14:paraId="3BB04422">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2、本合同未尽事宜，遵照《中华人民共和国民法典》有关条文执行。</w:t>
      </w:r>
    </w:p>
    <w:p w14:paraId="509BDAF8">
      <w:pPr>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第十二条　合同的变更、终止与转让</w:t>
      </w:r>
    </w:p>
    <w:p w14:paraId="76C4FF05">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1、除《中华人民共和国政府采购法》第五十条规定的情形外，本合同一经签订，甲乙双方不得擅自变更、中止或者终止。</w:t>
      </w:r>
    </w:p>
    <w:p w14:paraId="16E25E80">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2、乙方不得擅自转让其应履行的合同义务。</w:t>
      </w:r>
    </w:p>
    <w:p w14:paraId="30D607D4">
      <w:pPr>
        <w:spacing w:line="46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第十三条　签订本合同依据</w:t>
      </w:r>
    </w:p>
    <w:p w14:paraId="45F1A6BA">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1、成交通知书</w:t>
      </w:r>
    </w:p>
    <w:p w14:paraId="75D70797">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、采购需求</w:t>
      </w:r>
    </w:p>
    <w:p w14:paraId="31165BFC">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lang w:val="en-US" w:eastAsia="zh-CN"/>
        </w:rPr>
        <w:t>3、采购</w:t>
      </w:r>
      <w:r>
        <w:rPr>
          <w:rFonts w:hint="eastAsia" w:ascii="宋体" w:hAnsi="宋体" w:eastAsia="宋体" w:cs="宋体"/>
          <w:color w:val="auto"/>
          <w:kern w:val="0"/>
          <w:sz w:val="21"/>
          <w:szCs w:val="21"/>
          <w:highlight w:val="none"/>
        </w:rPr>
        <w:t>件的更改通知（如有）</w:t>
      </w:r>
    </w:p>
    <w:p w14:paraId="2E46A98E">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、竞标声明</w:t>
      </w:r>
    </w:p>
    <w:p w14:paraId="590904FB">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、竞标报价表和最终报价表</w:t>
      </w:r>
    </w:p>
    <w:p w14:paraId="354F9614">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、技术要求偏离表</w:t>
      </w:r>
    </w:p>
    <w:p w14:paraId="7877D72D">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、商务要求偏离表</w:t>
      </w:r>
    </w:p>
    <w:p w14:paraId="522EC65C">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8、成交</w:t>
      </w:r>
      <w:r>
        <w:rPr>
          <w:rFonts w:hint="eastAsia" w:ascii="宋体" w:hAnsi="宋体" w:cs="宋体"/>
          <w:color w:val="auto"/>
          <w:sz w:val="21"/>
          <w:szCs w:val="21"/>
          <w:highlight w:val="none"/>
        </w:rPr>
        <w:t>供应商澄清函</w:t>
      </w:r>
    </w:p>
    <w:p w14:paraId="24177A45">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其他与本合同相关的资料（如有请提供）。</w:t>
      </w:r>
    </w:p>
    <w:p w14:paraId="0167E54B">
      <w:pPr>
        <w:spacing w:line="4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、上述合同文件互相补充和解释。如果合同文件之间存在矛盾或者不一致之处，以上述文件的排列顺序在先者为准。</w:t>
      </w:r>
    </w:p>
    <w:p w14:paraId="52ED1DAC">
      <w:pPr>
        <w:spacing w:line="460" w:lineRule="exact"/>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第十四条　</w:t>
      </w:r>
      <w:r>
        <w:rPr>
          <w:rFonts w:hint="eastAsia" w:ascii="宋体" w:hAnsi="宋体" w:cs="宋体"/>
          <w:color w:val="auto"/>
          <w:sz w:val="21"/>
          <w:szCs w:val="21"/>
          <w:highlight w:val="none"/>
        </w:rPr>
        <w:t>本合同一式</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rPr>
        <w:t>份，具有同等法律效力，甲乙双方各贰份，采购代理机构各壹份（可根据需要另增加）。</w:t>
      </w:r>
    </w:p>
    <w:p w14:paraId="3814CC29">
      <w:pPr>
        <w:spacing w:line="46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本合同自签订之日起2个工作日内，甲方应当将采购合同在广西壮族自治区财政厅指定的媒体上公告</w:t>
      </w:r>
      <w:r>
        <w:rPr>
          <w:rFonts w:hint="eastAsia" w:ascii="宋体" w:hAnsi="宋体" w:cs="宋体"/>
          <w:color w:val="auto"/>
          <w:sz w:val="21"/>
          <w:szCs w:val="21"/>
          <w:highlight w:val="none"/>
          <w:lang w:eastAsia="zh-CN"/>
        </w:rPr>
        <w:t>。</w:t>
      </w:r>
    </w:p>
    <w:p w14:paraId="3415D3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highlight w:val="none"/>
        </w:rPr>
      </w:pPr>
    </w:p>
    <w:tbl>
      <w:tblPr>
        <w:tblStyle w:val="33"/>
        <w:tblW w:w="10192"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2"/>
        <w:gridCol w:w="4950"/>
      </w:tblGrid>
      <w:tr w14:paraId="2588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center"/>
          </w:tcPr>
          <w:p w14:paraId="40577220">
            <w:pPr>
              <w:adjustRightInd w:val="0"/>
              <w:snapToGrid w:val="0"/>
              <w:spacing w:before="165"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16036471">
            <w:pPr>
              <w:adjustRightInd w:val="0"/>
              <w:snapToGrid w:val="0"/>
              <w:spacing w:before="165" w:beforeLines="5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钦州市生态环境局</w:t>
            </w:r>
          </w:p>
          <w:p w14:paraId="25450E57">
            <w:pPr>
              <w:adjustRightInd w:val="0"/>
              <w:snapToGrid w:val="0"/>
              <w:spacing w:before="165" w:beforeLines="50"/>
              <w:ind w:firstLine="420" w:firstLineChars="200"/>
              <w:jc w:val="right"/>
              <w:rPr>
                <w:rFonts w:hint="eastAsia" w:ascii="宋体" w:hAnsi="宋体" w:eastAsia="宋体" w:cs="宋体"/>
                <w:color w:val="auto"/>
                <w:sz w:val="21"/>
                <w:szCs w:val="21"/>
                <w:highlight w:val="none"/>
                <w:vertAlign w:val="baseline"/>
                <w:lang w:val="zh-CN"/>
              </w:rPr>
            </w:pPr>
          </w:p>
        </w:tc>
        <w:tc>
          <w:tcPr>
            <w:tcW w:w="4950" w:type="dxa"/>
            <w:noWrap w:val="0"/>
            <w:vAlign w:val="center"/>
          </w:tcPr>
          <w:p w14:paraId="4C3E0781">
            <w:pPr>
              <w:adjustRightInd w:val="0"/>
              <w:snapToGrid w:val="0"/>
              <w:spacing w:before="165"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p w14:paraId="06F504CA">
            <w:pPr>
              <w:adjustRightInd w:val="0"/>
              <w:snapToGrid w:val="0"/>
              <w:spacing w:before="165" w:beforeLines="50"/>
              <w:ind w:firstLine="420" w:firstLineChars="200"/>
              <w:jc w:val="right"/>
              <w:rPr>
                <w:rFonts w:hint="eastAsia" w:ascii="宋体" w:hAnsi="宋体" w:eastAsia="宋体" w:cs="宋体"/>
                <w:color w:val="auto"/>
                <w:sz w:val="21"/>
                <w:szCs w:val="21"/>
                <w:highlight w:val="none"/>
                <w:vertAlign w:val="baseline"/>
                <w:lang w:val="zh-CN"/>
              </w:rPr>
            </w:pPr>
          </w:p>
        </w:tc>
      </w:tr>
      <w:tr w14:paraId="6A35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4AE61C81">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lang w:val="zh-CN"/>
              </w:rPr>
              <w:t>统一社会信用代码：</w:t>
            </w:r>
          </w:p>
        </w:tc>
        <w:tc>
          <w:tcPr>
            <w:tcW w:w="4950" w:type="dxa"/>
            <w:noWrap w:val="0"/>
            <w:vAlign w:val="top"/>
          </w:tcPr>
          <w:p w14:paraId="332F81B7">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w:t>
            </w:r>
          </w:p>
        </w:tc>
      </w:tr>
      <w:tr w14:paraId="6657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19C5233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地址：钦州市钦北区富民路28号</w:t>
            </w:r>
          </w:p>
        </w:tc>
        <w:tc>
          <w:tcPr>
            <w:tcW w:w="4950" w:type="dxa"/>
            <w:noWrap w:val="0"/>
            <w:vAlign w:val="top"/>
          </w:tcPr>
          <w:p w14:paraId="2178D2CA">
            <w:pPr>
              <w:pStyle w:val="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w:t>
            </w:r>
          </w:p>
        </w:tc>
      </w:tr>
      <w:tr w14:paraId="243E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79909827">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lang w:val="zh-CN"/>
              </w:rPr>
              <w:t>法定代表人或授权代表（签字）：</w:t>
            </w:r>
          </w:p>
        </w:tc>
        <w:tc>
          <w:tcPr>
            <w:tcW w:w="4950" w:type="dxa"/>
            <w:noWrap w:val="0"/>
            <w:vAlign w:val="top"/>
          </w:tcPr>
          <w:p w14:paraId="40CCAC5F">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lang w:val="zh-CN"/>
              </w:rPr>
              <w:t>法定代表人或授权代表（签字）：</w:t>
            </w:r>
          </w:p>
        </w:tc>
      </w:tr>
      <w:tr w14:paraId="1721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0F17CE2F">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lang w:val="zh-CN"/>
              </w:rPr>
              <w:t xml:space="preserve">联系人： </w:t>
            </w:r>
          </w:p>
        </w:tc>
        <w:tc>
          <w:tcPr>
            <w:tcW w:w="4950" w:type="dxa"/>
            <w:noWrap w:val="0"/>
            <w:vAlign w:val="top"/>
          </w:tcPr>
          <w:p w14:paraId="4450CAED">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lang w:val="zh-CN"/>
              </w:rPr>
              <w:t xml:space="preserve">联系人： </w:t>
            </w:r>
          </w:p>
        </w:tc>
      </w:tr>
      <w:tr w14:paraId="0EC1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532973E3">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lang w:val="zh-CN"/>
              </w:rPr>
              <w:t>约定送达地址：</w:t>
            </w:r>
          </w:p>
        </w:tc>
        <w:tc>
          <w:tcPr>
            <w:tcW w:w="4950" w:type="dxa"/>
            <w:noWrap w:val="0"/>
            <w:vAlign w:val="top"/>
          </w:tcPr>
          <w:p w14:paraId="6A3DD920">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lang w:val="zh-CN"/>
              </w:rPr>
              <w:t>约定送达地址：</w:t>
            </w:r>
          </w:p>
        </w:tc>
      </w:tr>
      <w:tr w14:paraId="3B0C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2932C772">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lang w:val="zh-CN"/>
              </w:rPr>
              <w:t>邮政编码：</w:t>
            </w:r>
          </w:p>
        </w:tc>
        <w:tc>
          <w:tcPr>
            <w:tcW w:w="4950" w:type="dxa"/>
            <w:noWrap w:val="0"/>
            <w:vAlign w:val="top"/>
          </w:tcPr>
          <w:p w14:paraId="7431E01C">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lang w:val="zh-CN"/>
              </w:rPr>
              <w:t>邮政编码：</w:t>
            </w:r>
          </w:p>
        </w:tc>
      </w:tr>
      <w:tr w14:paraId="6381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7FC560CF">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lang w:val="zh-CN"/>
              </w:rPr>
              <w:t xml:space="preserve">电话: </w:t>
            </w:r>
          </w:p>
        </w:tc>
        <w:tc>
          <w:tcPr>
            <w:tcW w:w="4950" w:type="dxa"/>
            <w:noWrap w:val="0"/>
            <w:vAlign w:val="top"/>
          </w:tcPr>
          <w:p w14:paraId="0A7DE90C">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lang w:val="zh-CN"/>
              </w:rPr>
              <w:t xml:space="preserve">电话: </w:t>
            </w:r>
          </w:p>
        </w:tc>
      </w:tr>
      <w:tr w14:paraId="460F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17749F22">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lang w:val="zh-CN"/>
              </w:rPr>
              <w:t xml:space="preserve">传真: </w:t>
            </w:r>
          </w:p>
        </w:tc>
        <w:tc>
          <w:tcPr>
            <w:tcW w:w="4950" w:type="dxa"/>
            <w:noWrap w:val="0"/>
            <w:vAlign w:val="top"/>
          </w:tcPr>
          <w:p w14:paraId="5A94AEF8">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lang w:val="zh-CN"/>
              </w:rPr>
              <w:t xml:space="preserve">传真: </w:t>
            </w:r>
          </w:p>
        </w:tc>
      </w:tr>
      <w:tr w14:paraId="76B0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360D70DE">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lang w:val="zh-CN"/>
              </w:rPr>
              <w:t>电子邮箱：</w:t>
            </w:r>
          </w:p>
        </w:tc>
        <w:tc>
          <w:tcPr>
            <w:tcW w:w="4950" w:type="dxa"/>
            <w:noWrap w:val="0"/>
            <w:vAlign w:val="top"/>
          </w:tcPr>
          <w:p w14:paraId="7CE6589F">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lang w:val="zh-CN"/>
              </w:rPr>
              <w:t>电子邮箱：</w:t>
            </w:r>
          </w:p>
        </w:tc>
      </w:tr>
      <w:tr w14:paraId="6ACA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69E2656F">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rPr>
              <w:t>开户银行：</w:t>
            </w:r>
          </w:p>
        </w:tc>
        <w:tc>
          <w:tcPr>
            <w:tcW w:w="4950" w:type="dxa"/>
            <w:noWrap w:val="0"/>
            <w:vAlign w:val="top"/>
          </w:tcPr>
          <w:p w14:paraId="4AF7EE1F">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rPr>
              <w:t>开户银行：</w:t>
            </w:r>
          </w:p>
        </w:tc>
      </w:tr>
      <w:tr w14:paraId="052F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70FEC92F">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rPr>
              <w:t>开户名称：</w:t>
            </w:r>
          </w:p>
        </w:tc>
        <w:tc>
          <w:tcPr>
            <w:tcW w:w="4950" w:type="dxa"/>
            <w:noWrap w:val="0"/>
            <w:vAlign w:val="top"/>
          </w:tcPr>
          <w:p w14:paraId="0BFB0923">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rPr>
              <w:t>开户名称：</w:t>
            </w:r>
          </w:p>
        </w:tc>
      </w:tr>
      <w:tr w14:paraId="7AF1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2" w:type="dxa"/>
            <w:noWrap w:val="0"/>
            <w:vAlign w:val="top"/>
          </w:tcPr>
          <w:p w14:paraId="4A13C822">
            <w:pPr>
              <w:spacing w:line="360" w:lineRule="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rPr>
              <w:t>开户账号：</w:t>
            </w:r>
          </w:p>
        </w:tc>
        <w:tc>
          <w:tcPr>
            <w:tcW w:w="4950" w:type="dxa"/>
            <w:noWrap w:val="0"/>
            <w:vAlign w:val="top"/>
          </w:tcPr>
          <w:p w14:paraId="65EF8D39">
            <w:pPr>
              <w:spacing w:line="360" w:lineRule="auto"/>
              <w:rPr>
                <w:rFonts w:hint="eastAsia" w:ascii="宋体" w:hAnsi="宋体" w:eastAsia="宋体" w:cs="宋体"/>
                <w:color w:val="auto"/>
                <w:kern w:val="2"/>
                <w:sz w:val="21"/>
                <w:szCs w:val="21"/>
                <w:highlight w:val="none"/>
                <w:vertAlign w:val="baseline"/>
                <w:lang w:val="zh-CN" w:eastAsia="zh-CN" w:bidi="ar-SA"/>
              </w:rPr>
            </w:pPr>
            <w:r>
              <w:rPr>
                <w:rFonts w:hint="eastAsia" w:ascii="宋体" w:hAnsi="宋体" w:eastAsia="宋体" w:cs="宋体"/>
                <w:color w:val="auto"/>
                <w:sz w:val="21"/>
                <w:szCs w:val="21"/>
                <w:highlight w:val="none"/>
              </w:rPr>
              <w:t>开户账号：</w:t>
            </w:r>
          </w:p>
        </w:tc>
      </w:tr>
      <w:tr w14:paraId="19C9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0192" w:type="dxa"/>
            <w:gridSpan w:val="2"/>
            <w:noWrap w:val="0"/>
            <w:vAlign w:val="center"/>
          </w:tcPr>
          <w:p w14:paraId="0AD6239F">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签订时间：         年        月       日</w:t>
            </w:r>
          </w:p>
        </w:tc>
      </w:tr>
    </w:tbl>
    <w:p w14:paraId="35A2AE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highlight w:val="none"/>
        </w:rPr>
      </w:pPr>
    </w:p>
    <w:p w14:paraId="0B5C88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 w:val="21"/>
          <w:szCs w:val="21"/>
          <w:highlight w:val="none"/>
        </w:rPr>
      </w:pPr>
    </w:p>
    <w:p w14:paraId="1D1A77EB">
      <w:pPr>
        <w:snapToGrid w:val="0"/>
        <w:spacing w:line="440" w:lineRule="exact"/>
        <w:jc w:val="center"/>
        <w:rPr>
          <w:rFonts w:ascii="宋体" w:hAnsi="宋体" w:cs="宋体"/>
          <w:b/>
          <w:color w:val="auto"/>
          <w:szCs w:val="21"/>
          <w:highlight w:val="none"/>
        </w:rPr>
      </w:pPr>
    </w:p>
    <w:p w14:paraId="4560C4AF">
      <w:pPr>
        <w:snapToGrid w:val="0"/>
        <w:spacing w:line="440" w:lineRule="exact"/>
        <w:jc w:val="center"/>
        <w:rPr>
          <w:rFonts w:ascii="宋体" w:hAnsi="宋体" w:cs="宋体"/>
          <w:b/>
          <w:color w:val="auto"/>
          <w:szCs w:val="21"/>
          <w:highlight w:val="none"/>
        </w:rPr>
      </w:pPr>
    </w:p>
    <w:p w14:paraId="367A187D">
      <w:pPr>
        <w:rPr>
          <w:rFonts w:ascii="宋体" w:hAnsi="宋体" w:cs="宋体"/>
          <w:b/>
          <w:color w:val="auto"/>
          <w:szCs w:val="21"/>
          <w:highlight w:val="none"/>
        </w:rPr>
      </w:pPr>
    </w:p>
    <w:p w14:paraId="0FEB8A2D">
      <w:pPr>
        <w:snapToGrid w:val="0"/>
        <w:spacing w:line="440" w:lineRule="exact"/>
        <w:jc w:val="center"/>
        <w:rPr>
          <w:rFonts w:ascii="宋体" w:hAnsi="宋体"/>
          <w:b/>
          <w:color w:val="auto"/>
          <w:szCs w:val="21"/>
          <w:highlight w:val="none"/>
        </w:rPr>
      </w:pPr>
      <w:r>
        <w:rPr>
          <w:rFonts w:hint="eastAsia" w:ascii="宋体" w:hAnsi="宋体" w:cs="宋体"/>
          <w:b/>
          <w:color w:val="auto"/>
          <w:szCs w:val="21"/>
          <w:highlight w:val="none"/>
        </w:rPr>
        <w:t>合 同 附 件</w:t>
      </w:r>
    </w:p>
    <w:p w14:paraId="0C2E62A5">
      <w:pPr>
        <w:snapToGrid w:val="0"/>
        <w:rPr>
          <w:rFonts w:ascii="宋体" w:hAnsi="宋体"/>
          <w:color w:val="auto"/>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725"/>
      </w:tblGrid>
      <w:tr w14:paraId="6AC6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540" w:type="dxa"/>
            <w:gridSpan w:val="2"/>
          </w:tcPr>
          <w:p w14:paraId="61D72FC2">
            <w:pPr>
              <w:snapToGrid w:val="0"/>
              <w:rPr>
                <w:rFonts w:ascii="宋体" w:hAnsi="宋体" w:cs="宋体"/>
                <w:snapToGrid w:val="0"/>
                <w:color w:val="auto"/>
                <w:kern w:val="0"/>
                <w:szCs w:val="21"/>
                <w:highlight w:val="none"/>
              </w:rPr>
            </w:pPr>
          </w:p>
          <w:p w14:paraId="785E59C4">
            <w:pPr>
              <w:snapToGrid w:val="0"/>
              <w:rPr>
                <w:rFonts w:ascii="宋体" w:hAnsi="宋体" w:cs="宋体"/>
                <w:color w:val="auto"/>
                <w:szCs w:val="21"/>
                <w:highlight w:val="none"/>
              </w:rPr>
            </w:pPr>
            <w:r>
              <w:rPr>
                <w:rFonts w:hint="eastAsia" w:ascii="宋体" w:hAnsi="宋体" w:cs="宋体"/>
                <w:snapToGrid w:val="0"/>
                <w:color w:val="auto"/>
                <w:kern w:val="0"/>
                <w:szCs w:val="21"/>
                <w:highlight w:val="none"/>
              </w:rPr>
              <w:t>1、供应商承诺具体事项：</w:t>
            </w:r>
          </w:p>
        </w:tc>
      </w:tr>
      <w:tr w14:paraId="2569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9540" w:type="dxa"/>
            <w:gridSpan w:val="2"/>
          </w:tcPr>
          <w:p w14:paraId="62A36AF5">
            <w:pPr>
              <w:snapToGrid w:val="0"/>
              <w:rPr>
                <w:rFonts w:ascii="宋体" w:hAnsi="宋体" w:cs="宋体"/>
                <w:snapToGrid w:val="0"/>
                <w:color w:val="auto"/>
                <w:kern w:val="0"/>
                <w:szCs w:val="21"/>
                <w:highlight w:val="none"/>
              </w:rPr>
            </w:pPr>
          </w:p>
          <w:p w14:paraId="2F151213">
            <w:pPr>
              <w:snapToGrid w:val="0"/>
              <w:rPr>
                <w:rFonts w:ascii="宋体" w:hAnsi="宋体" w:cs="宋体"/>
                <w:color w:val="auto"/>
                <w:szCs w:val="21"/>
                <w:highlight w:val="none"/>
              </w:rPr>
            </w:pPr>
            <w:r>
              <w:rPr>
                <w:rFonts w:hint="eastAsia" w:ascii="宋体" w:hAnsi="宋体" w:cs="宋体"/>
                <w:snapToGrid w:val="0"/>
                <w:color w:val="auto"/>
                <w:kern w:val="0"/>
                <w:szCs w:val="21"/>
                <w:highlight w:val="none"/>
              </w:rPr>
              <w:t>2、售后服务具体事项：</w:t>
            </w:r>
          </w:p>
        </w:tc>
      </w:tr>
      <w:tr w14:paraId="05E0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540" w:type="dxa"/>
            <w:gridSpan w:val="2"/>
          </w:tcPr>
          <w:p w14:paraId="7A2B0F59">
            <w:pPr>
              <w:snapToGrid w:val="0"/>
              <w:rPr>
                <w:rFonts w:ascii="宋体" w:hAnsi="宋体" w:cs="宋体"/>
                <w:snapToGrid w:val="0"/>
                <w:color w:val="auto"/>
                <w:kern w:val="0"/>
                <w:szCs w:val="21"/>
                <w:highlight w:val="none"/>
              </w:rPr>
            </w:pPr>
          </w:p>
          <w:p w14:paraId="2F528DB3">
            <w:pPr>
              <w:snapToGrid w:val="0"/>
              <w:rPr>
                <w:rFonts w:ascii="宋体" w:hAnsi="宋体" w:cs="宋体"/>
                <w:color w:val="auto"/>
                <w:szCs w:val="21"/>
                <w:highlight w:val="none"/>
              </w:rPr>
            </w:pPr>
            <w:r>
              <w:rPr>
                <w:rFonts w:hint="eastAsia" w:ascii="宋体" w:hAnsi="宋体" w:cs="宋体"/>
                <w:snapToGrid w:val="0"/>
                <w:color w:val="auto"/>
                <w:kern w:val="0"/>
                <w:szCs w:val="21"/>
                <w:highlight w:val="none"/>
              </w:rPr>
              <w:t>3、质保期责任：</w:t>
            </w:r>
          </w:p>
        </w:tc>
      </w:tr>
      <w:tr w14:paraId="253C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9540" w:type="dxa"/>
            <w:gridSpan w:val="2"/>
          </w:tcPr>
          <w:p w14:paraId="4D7E151A">
            <w:pPr>
              <w:snapToGrid w:val="0"/>
              <w:rPr>
                <w:rFonts w:ascii="宋体" w:hAnsi="宋体" w:cs="宋体"/>
                <w:snapToGrid w:val="0"/>
                <w:color w:val="auto"/>
                <w:kern w:val="0"/>
                <w:szCs w:val="21"/>
                <w:highlight w:val="none"/>
              </w:rPr>
            </w:pPr>
          </w:p>
          <w:p w14:paraId="32EAB0CE">
            <w:pPr>
              <w:snapToGrid w:val="0"/>
              <w:rPr>
                <w:rFonts w:ascii="宋体" w:hAnsi="宋体" w:cs="宋体"/>
                <w:color w:val="auto"/>
                <w:szCs w:val="21"/>
                <w:highlight w:val="none"/>
              </w:rPr>
            </w:pPr>
            <w:r>
              <w:rPr>
                <w:rFonts w:hint="eastAsia" w:ascii="宋体" w:hAnsi="宋体" w:cs="宋体"/>
                <w:snapToGrid w:val="0"/>
                <w:color w:val="auto"/>
                <w:kern w:val="0"/>
                <w:szCs w:val="21"/>
                <w:highlight w:val="none"/>
              </w:rPr>
              <w:t>4、其他具体事项：</w:t>
            </w:r>
          </w:p>
        </w:tc>
      </w:tr>
      <w:tr w14:paraId="1B06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4815" w:type="dxa"/>
            <w:vAlign w:val="center"/>
          </w:tcPr>
          <w:p w14:paraId="10A448B2">
            <w:pPr>
              <w:ind w:firstLine="482"/>
              <w:rPr>
                <w:rFonts w:ascii="宋体" w:hAnsi="宋体" w:cs="宋体"/>
                <w:color w:val="auto"/>
                <w:szCs w:val="21"/>
                <w:highlight w:val="none"/>
              </w:rPr>
            </w:pPr>
            <w:r>
              <w:rPr>
                <w:rFonts w:hint="eastAsia" w:ascii="宋体" w:hAnsi="宋体" w:cs="宋体"/>
                <w:color w:val="auto"/>
                <w:szCs w:val="21"/>
                <w:highlight w:val="none"/>
              </w:rPr>
              <w:t>甲方（章）</w:t>
            </w:r>
          </w:p>
          <w:p w14:paraId="0C278B79">
            <w:pPr>
              <w:ind w:firstLine="482"/>
              <w:rPr>
                <w:rFonts w:ascii="宋体" w:hAnsi="宋体" w:cs="宋体"/>
                <w:color w:val="auto"/>
                <w:szCs w:val="21"/>
                <w:highlight w:val="none"/>
              </w:rPr>
            </w:pPr>
          </w:p>
          <w:p w14:paraId="426B84F8">
            <w:pPr>
              <w:ind w:firstLine="482"/>
              <w:rPr>
                <w:rFonts w:ascii="宋体" w:hAnsi="宋体" w:cs="宋体"/>
                <w:color w:val="auto"/>
                <w:szCs w:val="21"/>
                <w:highlight w:val="none"/>
              </w:rPr>
            </w:pPr>
          </w:p>
          <w:p w14:paraId="17DA45DA">
            <w:pPr>
              <w:ind w:firstLine="482"/>
              <w:rPr>
                <w:rFonts w:ascii="宋体" w:hAnsi="宋体" w:cs="宋体"/>
                <w:color w:val="auto"/>
                <w:szCs w:val="21"/>
                <w:highlight w:val="none"/>
              </w:rPr>
            </w:pPr>
          </w:p>
          <w:p w14:paraId="393F8C3E">
            <w:pPr>
              <w:ind w:firstLine="482"/>
              <w:rPr>
                <w:rFonts w:ascii="宋体" w:hAnsi="宋体" w:cs="宋体"/>
                <w:color w:val="auto"/>
                <w:szCs w:val="21"/>
                <w:highlight w:val="none"/>
              </w:rPr>
            </w:pPr>
          </w:p>
          <w:p w14:paraId="7D8D7A3D">
            <w:pPr>
              <w:ind w:firstLine="482"/>
              <w:rPr>
                <w:rFonts w:ascii="宋体" w:hAnsi="宋体" w:cs="宋体"/>
                <w:color w:val="auto"/>
                <w:szCs w:val="21"/>
                <w:highlight w:val="none"/>
              </w:rPr>
            </w:pPr>
          </w:p>
          <w:p w14:paraId="5D08B79D">
            <w:pPr>
              <w:ind w:firstLine="482"/>
              <w:rPr>
                <w:rFonts w:ascii="宋体" w:hAnsi="宋体" w:cs="宋体"/>
                <w:color w:val="auto"/>
                <w:szCs w:val="21"/>
                <w:highlight w:val="none"/>
              </w:rPr>
            </w:pPr>
          </w:p>
          <w:p w14:paraId="44B51BCC">
            <w:pPr>
              <w:ind w:firstLine="482"/>
              <w:rPr>
                <w:rFonts w:ascii="宋体" w:hAnsi="宋体" w:cs="宋体"/>
                <w:color w:val="auto"/>
                <w:szCs w:val="21"/>
                <w:highlight w:val="none"/>
              </w:rPr>
            </w:pPr>
            <w:r>
              <w:rPr>
                <w:rFonts w:hint="eastAsia" w:ascii="宋体" w:hAnsi="宋体" w:cs="宋体"/>
                <w:color w:val="auto"/>
                <w:szCs w:val="21"/>
                <w:highlight w:val="none"/>
              </w:rPr>
              <w:t xml:space="preserve">                 年   月   日 </w:t>
            </w:r>
          </w:p>
        </w:tc>
        <w:tc>
          <w:tcPr>
            <w:tcW w:w="4725" w:type="dxa"/>
            <w:vAlign w:val="center"/>
          </w:tcPr>
          <w:p w14:paraId="4AA9E0FE">
            <w:pPr>
              <w:ind w:firstLine="482"/>
              <w:rPr>
                <w:rFonts w:ascii="宋体" w:hAnsi="宋体" w:cs="宋体"/>
                <w:color w:val="auto"/>
                <w:szCs w:val="21"/>
                <w:highlight w:val="none"/>
              </w:rPr>
            </w:pPr>
            <w:r>
              <w:rPr>
                <w:rFonts w:hint="eastAsia" w:ascii="宋体" w:hAnsi="宋体" w:cs="宋体"/>
                <w:color w:val="auto"/>
                <w:szCs w:val="21"/>
                <w:highlight w:val="none"/>
              </w:rPr>
              <w:t>乙方（章）</w:t>
            </w:r>
          </w:p>
          <w:p w14:paraId="78CE452F">
            <w:pPr>
              <w:ind w:firstLine="482"/>
              <w:rPr>
                <w:rFonts w:ascii="宋体" w:hAnsi="宋体" w:cs="宋体"/>
                <w:color w:val="auto"/>
                <w:szCs w:val="21"/>
                <w:highlight w:val="none"/>
              </w:rPr>
            </w:pPr>
          </w:p>
          <w:p w14:paraId="066D0F67">
            <w:pPr>
              <w:ind w:firstLine="482"/>
              <w:rPr>
                <w:rFonts w:ascii="宋体" w:hAnsi="宋体" w:cs="宋体"/>
                <w:color w:val="auto"/>
                <w:szCs w:val="21"/>
                <w:highlight w:val="none"/>
              </w:rPr>
            </w:pPr>
          </w:p>
          <w:p w14:paraId="420CA770">
            <w:pPr>
              <w:ind w:firstLine="482"/>
              <w:rPr>
                <w:rFonts w:ascii="宋体" w:hAnsi="宋体" w:cs="宋体"/>
                <w:color w:val="auto"/>
                <w:szCs w:val="21"/>
                <w:highlight w:val="none"/>
              </w:rPr>
            </w:pPr>
          </w:p>
          <w:p w14:paraId="48704277">
            <w:pPr>
              <w:ind w:firstLine="482"/>
              <w:rPr>
                <w:rFonts w:ascii="宋体" w:hAnsi="宋体" w:cs="宋体"/>
                <w:color w:val="auto"/>
                <w:szCs w:val="21"/>
                <w:highlight w:val="none"/>
              </w:rPr>
            </w:pPr>
          </w:p>
          <w:p w14:paraId="1C206AB7">
            <w:pPr>
              <w:ind w:firstLine="482"/>
              <w:rPr>
                <w:rFonts w:ascii="宋体" w:hAnsi="宋体" w:cs="宋体"/>
                <w:color w:val="auto"/>
                <w:szCs w:val="21"/>
                <w:highlight w:val="none"/>
              </w:rPr>
            </w:pPr>
          </w:p>
          <w:p w14:paraId="37D78CCF">
            <w:pPr>
              <w:ind w:firstLine="482"/>
              <w:rPr>
                <w:rFonts w:ascii="宋体" w:hAnsi="宋体" w:cs="宋体"/>
                <w:color w:val="auto"/>
                <w:szCs w:val="21"/>
                <w:highlight w:val="none"/>
              </w:rPr>
            </w:pPr>
          </w:p>
          <w:p w14:paraId="365B1193">
            <w:pPr>
              <w:ind w:firstLine="482"/>
              <w:rPr>
                <w:rFonts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45F00C8F">
      <w:pPr>
        <w:spacing w:before="4"/>
        <w:rPr>
          <w:rFonts w:ascii="宋体" w:hAnsi="宋体" w:cs="宋体"/>
          <w:color w:val="auto"/>
          <w:sz w:val="6"/>
          <w:szCs w:val="6"/>
          <w:highlight w:val="none"/>
        </w:rPr>
      </w:pPr>
    </w:p>
    <w:sectPr>
      <w:footerReference r:id="rId12" w:type="first"/>
      <w:footerReference r:id="rId11" w:type="default"/>
      <w:pgSz w:w="11906" w:h="16838"/>
      <w:pgMar w:top="1134" w:right="1020" w:bottom="1134" w:left="1020" w:header="851" w:footer="56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706E">
    <w:pPr>
      <w:pStyle w:val="2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58BD7F">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Dr9F+zwEAAKoDAAAOAAAAAAAAAAEAIAAAAB4BAABkcnMv&#10;ZTJvRG9jLnhtbFBLBQYAAAAABgAGAFkBAABfBQAAAAA=&#10;">
              <v:fill on="f" focussize="0,0"/>
              <v:stroke on="f"/>
              <v:imagedata o:title=""/>
              <o:lock v:ext="edit" aspectratio="f"/>
              <v:textbox inset="0mm,0mm,0mm,0mm" style="mso-fit-shape-to-text:t;">
                <w:txbxContent>
                  <w:p w14:paraId="7558BD7F">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3358BFC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9C6B6">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E192">
    <w:pPr>
      <w:pStyle w:val="2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965263"/>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fY+88BAACqAwAADgAAAGRycy9lMm9Eb2MueG1srVPNjtMwEL4j8Q6W&#10;7zRpBas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p+w5kTlh788v3b5cevy8+v7NVy&#10;9TIp1AesqPA+UGkc3viB9maOIwUT8aEFm75EiVGe9D1f9VVDZDJdWq/W65JSknKzQ/jFw/UAGN8q&#10;b1kyag70gFlXcXqPcSydS1I35++0MfkRjfsrQJhjROUtmG4nJuPEyYrDfpjo7X1zJnY9bULNHS0+&#10;Z+adI6HT0swGzMZ+No4B9KHLW5W6Y3h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Y19j7zwEAAKoDAAAOAAAAAAAAAAEAIAAAAB4BAABkcnMv&#10;ZTJvRG9jLnhtbFBLBQYAAAAABgAGAFkBAABfBQAAAAA=&#10;">
              <v:fill on="f" focussize="0,0"/>
              <v:stroke on="f"/>
              <v:imagedata o:title=""/>
              <o:lock v:ext="edit" aspectratio="f"/>
              <v:textbox inset="0mm,0mm,0mm,0mm" style="mso-fit-shape-to-text:t;">
                <w:txbxContent>
                  <w:p w14:paraId="63965263"/>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CEDC">
    <w:pPr>
      <w:pStyle w:val="21"/>
      <w:tabs>
        <w:tab w:val="center" w:pos="4439"/>
        <w:tab w:val="clear" w:pos="4153"/>
      </w:tabs>
      <w:jc w:val="both"/>
    </w:pPr>
  </w:p>
  <w:p w14:paraId="0E833ADA">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FA9A">
    <w:pPr>
      <w:pStyle w:val="21"/>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3BACB1"/>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iq0c8BAACqAwAADgAAAGRycy9lMm9Eb2MueG1srVPNjtMwEL4j8Q6W&#10;7zRpJ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r+ijMnLD345fu3y49fl59f2cvl&#10;6iYp1AesqPA+UGkc3viB9maOIwUT8aEFm75EiVGe9D1f9VVDZDJdWq/W65JSknKzQ/jFw/UAGN8q&#10;b1kyag70gFlXcXqPcSydS1I35++0MfkRjfsrQJhjROUtmG4nJuPEyYrDfpjo7X1zJnY9bULNHS0+&#10;Z+adI6HT0swGzMZ+No4B9KHLW5W6Y3h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6+KrRzwEAAKoDAAAOAAAAAAAAAAEAIAAAAB4BAABkcnMv&#10;ZTJvRG9jLnhtbFBLBQYAAAAABgAGAFkBAABfBQAAAAA=&#10;">
              <v:fill on="f" focussize="0,0"/>
              <v:stroke on="f"/>
              <v:imagedata o:title=""/>
              <o:lock v:ext="edit" aspectratio="f"/>
              <v:textbox inset="0mm,0mm,0mm,0mm" style="mso-fit-shape-to-text:t;">
                <w:txbxContent>
                  <w:p w14:paraId="0C3BACB1"/>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2861">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06F382">
                          <w:pPr>
                            <w:pStyle w:val="21"/>
                            <w:jc w:val="center"/>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sQRs8BAACqAwAADgAAAGRycy9lMm9Eb2MueG1srVPNjtMwEL4j8Q6W&#10;7zRpE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l4t&#10;V8ukUO+xosI7T6VxeAsD7c0cRwom4kMbbPoSJUZ50vd81VcNkcl0ab1ar0tKScrNDuEXD9d9wPhO&#10;gWXJqHmgB8y6itMHjGPpXJK6ObjVxuRHNO6vAGGOEZW3YLqdmIwTJysO+2Git4fmTOx62oSaO1p8&#10;zsx7R0KnpZmNMBv72Tj6oA9d3qrUHf2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uKxBGzwEAAKoDAAAOAAAAAAAAAAEAIAAAAB4BAABkcnMv&#10;ZTJvRG9jLnhtbFBLBQYAAAAABgAGAFkBAABfBQAAAAA=&#10;">
              <v:fill on="f" focussize="0,0"/>
              <v:stroke on="f"/>
              <v:imagedata o:title=""/>
              <o:lock v:ext="edit" aspectratio="f"/>
              <v:textbox inset="0mm,0mm,0mm,0mm" style="mso-fit-shape-to-text:t;">
                <w:txbxContent>
                  <w:p w14:paraId="6806F382">
                    <w:pPr>
                      <w:pStyle w:val="21"/>
                      <w:jc w:val="center"/>
                    </w:pPr>
                    <w:r>
                      <w:fldChar w:fldCharType="begin"/>
                    </w:r>
                    <w:r>
                      <w:instrText xml:space="preserve"> PAGE  \* MERGEFORMAT </w:instrText>
                    </w:r>
                    <w:r>
                      <w:fldChar w:fldCharType="separate"/>
                    </w:r>
                    <w:r>
                      <w:t>29</w:t>
                    </w:r>
                    <w:r>
                      <w:fldChar w:fldCharType="end"/>
                    </w:r>
                  </w:p>
                </w:txbxContent>
              </v:textbox>
            </v:shape>
          </w:pict>
        </mc:Fallback>
      </mc:AlternateContent>
    </w:r>
  </w:p>
  <w:p w14:paraId="2F69CF02">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D98F9">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12DD05">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9zg9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8lal7uDfHiKOlCdNHUZYZJgcfMLMdVq3tCN/+rnq6Rfb/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p59zg9ABAACqAwAADgAAAAAAAAABACAAAAAeAQAAZHJz&#10;L2Uyb0RvYy54bWxQSwUGAAAAAAYABgBZAQAAYAUAAAAA&#10;">
              <v:fill on="f" focussize="0,0"/>
              <v:stroke on="f"/>
              <v:imagedata o:title=""/>
              <o:lock v:ext="edit" aspectratio="f"/>
              <v:textbox inset="0mm,0mm,0mm,0mm" style="mso-fit-shape-to-text:t;">
                <w:txbxContent>
                  <w:p w14:paraId="2E12DD05">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E3A2">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C5A9">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7EAF">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MzVlYjRkNTdiOTRiNDJmY2FjMDRiYjdhYTRmYzcifQ=="/>
    <w:docVar w:name="KSO_WPS_MARK_KEY" w:val="b95ecb36-b825-4aab-a484-008294de2a68"/>
  </w:docVars>
  <w:rsids>
    <w:rsidRoot w:val="00F34B14"/>
    <w:rsid w:val="00000672"/>
    <w:rsid w:val="00001013"/>
    <w:rsid w:val="00001799"/>
    <w:rsid w:val="00001AF2"/>
    <w:rsid w:val="00001ECA"/>
    <w:rsid w:val="00002D29"/>
    <w:rsid w:val="00002EAF"/>
    <w:rsid w:val="00003B93"/>
    <w:rsid w:val="0000474D"/>
    <w:rsid w:val="00005164"/>
    <w:rsid w:val="00005FDF"/>
    <w:rsid w:val="00006851"/>
    <w:rsid w:val="00006AC0"/>
    <w:rsid w:val="000070B3"/>
    <w:rsid w:val="000076B8"/>
    <w:rsid w:val="000109DC"/>
    <w:rsid w:val="00010D39"/>
    <w:rsid w:val="0001172C"/>
    <w:rsid w:val="00011BC9"/>
    <w:rsid w:val="00011C99"/>
    <w:rsid w:val="00012854"/>
    <w:rsid w:val="00012EA6"/>
    <w:rsid w:val="00013359"/>
    <w:rsid w:val="000139CF"/>
    <w:rsid w:val="00013AA4"/>
    <w:rsid w:val="00013DFE"/>
    <w:rsid w:val="000141EA"/>
    <w:rsid w:val="00014CA1"/>
    <w:rsid w:val="00016ABC"/>
    <w:rsid w:val="00016DE6"/>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85D"/>
    <w:rsid w:val="000279F1"/>
    <w:rsid w:val="000307BE"/>
    <w:rsid w:val="000313DC"/>
    <w:rsid w:val="000329E0"/>
    <w:rsid w:val="000352E9"/>
    <w:rsid w:val="00035494"/>
    <w:rsid w:val="00036125"/>
    <w:rsid w:val="000365AC"/>
    <w:rsid w:val="00036A07"/>
    <w:rsid w:val="00036C95"/>
    <w:rsid w:val="0003780B"/>
    <w:rsid w:val="00040571"/>
    <w:rsid w:val="00040973"/>
    <w:rsid w:val="0004156E"/>
    <w:rsid w:val="00041713"/>
    <w:rsid w:val="00041C18"/>
    <w:rsid w:val="00044263"/>
    <w:rsid w:val="0004440C"/>
    <w:rsid w:val="000451F1"/>
    <w:rsid w:val="00046B5E"/>
    <w:rsid w:val="000470CB"/>
    <w:rsid w:val="000479FF"/>
    <w:rsid w:val="000509D9"/>
    <w:rsid w:val="000512AF"/>
    <w:rsid w:val="00051ACB"/>
    <w:rsid w:val="000533E7"/>
    <w:rsid w:val="00055D41"/>
    <w:rsid w:val="00056EF6"/>
    <w:rsid w:val="00057CD6"/>
    <w:rsid w:val="00060DCE"/>
    <w:rsid w:val="000610E3"/>
    <w:rsid w:val="000614F3"/>
    <w:rsid w:val="000623B4"/>
    <w:rsid w:val="00062405"/>
    <w:rsid w:val="00062B42"/>
    <w:rsid w:val="000634A7"/>
    <w:rsid w:val="00063B0B"/>
    <w:rsid w:val="00063F81"/>
    <w:rsid w:val="00064847"/>
    <w:rsid w:val="00064F9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7266"/>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BD"/>
    <w:rsid w:val="0008694B"/>
    <w:rsid w:val="000871B8"/>
    <w:rsid w:val="00087B0A"/>
    <w:rsid w:val="000904D2"/>
    <w:rsid w:val="0009075B"/>
    <w:rsid w:val="000916DA"/>
    <w:rsid w:val="00092442"/>
    <w:rsid w:val="000929EF"/>
    <w:rsid w:val="00092C26"/>
    <w:rsid w:val="000933BE"/>
    <w:rsid w:val="0009560F"/>
    <w:rsid w:val="0009588E"/>
    <w:rsid w:val="000959EE"/>
    <w:rsid w:val="00096DB9"/>
    <w:rsid w:val="00097183"/>
    <w:rsid w:val="000972CB"/>
    <w:rsid w:val="00097608"/>
    <w:rsid w:val="000A1175"/>
    <w:rsid w:val="000A13F3"/>
    <w:rsid w:val="000A23B1"/>
    <w:rsid w:val="000A2B0E"/>
    <w:rsid w:val="000A398F"/>
    <w:rsid w:val="000A448C"/>
    <w:rsid w:val="000A509C"/>
    <w:rsid w:val="000A54A7"/>
    <w:rsid w:val="000A5712"/>
    <w:rsid w:val="000A6007"/>
    <w:rsid w:val="000A65A6"/>
    <w:rsid w:val="000A70E3"/>
    <w:rsid w:val="000A7275"/>
    <w:rsid w:val="000A7A12"/>
    <w:rsid w:val="000A7A72"/>
    <w:rsid w:val="000B1202"/>
    <w:rsid w:val="000B13B8"/>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29A2"/>
    <w:rsid w:val="000D320C"/>
    <w:rsid w:val="000D341C"/>
    <w:rsid w:val="000D411D"/>
    <w:rsid w:val="000D4589"/>
    <w:rsid w:val="000D4809"/>
    <w:rsid w:val="000D73DD"/>
    <w:rsid w:val="000E1C51"/>
    <w:rsid w:val="000E28AB"/>
    <w:rsid w:val="000E2E3E"/>
    <w:rsid w:val="000E310E"/>
    <w:rsid w:val="000E3583"/>
    <w:rsid w:val="000E370E"/>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339"/>
    <w:rsid w:val="000F7AF4"/>
    <w:rsid w:val="000F7C33"/>
    <w:rsid w:val="000F7F0C"/>
    <w:rsid w:val="001004D6"/>
    <w:rsid w:val="00101D1B"/>
    <w:rsid w:val="00102676"/>
    <w:rsid w:val="001029C1"/>
    <w:rsid w:val="00103646"/>
    <w:rsid w:val="00103918"/>
    <w:rsid w:val="00104897"/>
    <w:rsid w:val="00104EDE"/>
    <w:rsid w:val="00105CDA"/>
    <w:rsid w:val="00106BEE"/>
    <w:rsid w:val="0010711C"/>
    <w:rsid w:val="00107BDF"/>
    <w:rsid w:val="00107C74"/>
    <w:rsid w:val="0011091C"/>
    <w:rsid w:val="00111266"/>
    <w:rsid w:val="001112EB"/>
    <w:rsid w:val="0011247D"/>
    <w:rsid w:val="00112FFB"/>
    <w:rsid w:val="00113678"/>
    <w:rsid w:val="00113A7D"/>
    <w:rsid w:val="00113C3E"/>
    <w:rsid w:val="00115132"/>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4DE"/>
    <w:rsid w:val="0014277F"/>
    <w:rsid w:val="00142A96"/>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342"/>
    <w:rsid w:val="00154518"/>
    <w:rsid w:val="00155512"/>
    <w:rsid w:val="00156303"/>
    <w:rsid w:val="00156359"/>
    <w:rsid w:val="00156DD6"/>
    <w:rsid w:val="0016086E"/>
    <w:rsid w:val="00160D0C"/>
    <w:rsid w:val="00160DD1"/>
    <w:rsid w:val="00161172"/>
    <w:rsid w:val="00161998"/>
    <w:rsid w:val="00161E65"/>
    <w:rsid w:val="00162597"/>
    <w:rsid w:val="001629AF"/>
    <w:rsid w:val="001629FD"/>
    <w:rsid w:val="001630EF"/>
    <w:rsid w:val="0016428A"/>
    <w:rsid w:val="001647C9"/>
    <w:rsid w:val="00165627"/>
    <w:rsid w:val="00165987"/>
    <w:rsid w:val="001661A3"/>
    <w:rsid w:val="00167226"/>
    <w:rsid w:val="001677C9"/>
    <w:rsid w:val="0016782B"/>
    <w:rsid w:val="0016784D"/>
    <w:rsid w:val="00167853"/>
    <w:rsid w:val="00167887"/>
    <w:rsid w:val="001720EF"/>
    <w:rsid w:val="00172CA8"/>
    <w:rsid w:val="00173256"/>
    <w:rsid w:val="00173B0E"/>
    <w:rsid w:val="00173E03"/>
    <w:rsid w:val="001747F4"/>
    <w:rsid w:val="0017512C"/>
    <w:rsid w:val="00175541"/>
    <w:rsid w:val="001756AF"/>
    <w:rsid w:val="0017586A"/>
    <w:rsid w:val="00175BA6"/>
    <w:rsid w:val="00175FDC"/>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3CA5"/>
    <w:rsid w:val="00193FD7"/>
    <w:rsid w:val="00195424"/>
    <w:rsid w:val="001955FF"/>
    <w:rsid w:val="00197EDD"/>
    <w:rsid w:val="001A02B3"/>
    <w:rsid w:val="001A04BB"/>
    <w:rsid w:val="001A08D0"/>
    <w:rsid w:val="001A0E82"/>
    <w:rsid w:val="001A1B39"/>
    <w:rsid w:val="001A2120"/>
    <w:rsid w:val="001A2256"/>
    <w:rsid w:val="001A28C6"/>
    <w:rsid w:val="001A2968"/>
    <w:rsid w:val="001A2E69"/>
    <w:rsid w:val="001A30F7"/>
    <w:rsid w:val="001A3C34"/>
    <w:rsid w:val="001A3EDE"/>
    <w:rsid w:val="001A4222"/>
    <w:rsid w:val="001A50EA"/>
    <w:rsid w:val="001A5E24"/>
    <w:rsid w:val="001A624D"/>
    <w:rsid w:val="001A6795"/>
    <w:rsid w:val="001A6B27"/>
    <w:rsid w:val="001A6D8B"/>
    <w:rsid w:val="001A6DAA"/>
    <w:rsid w:val="001A7717"/>
    <w:rsid w:val="001A793A"/>
    <w:rsid w:val="001B125A"/>
    <w:rsid w:val="001B1EBA"/>
    <w:rsid w:val="001B2142"/>
    <w:rsid w:val="001B2C23"/>
    <w:rsid w:val="001B2F2B"/>
    <w:rsid w:val="001B327A"/>
    <w:rsid w:val="001B35DE"/>
    <w:rsid w:val="001B3A13"/>
    <w:rsid w:val="001B3F5C"/>
    <w:rsid w:val="001B57C9"/>
    <w:rsid w:val="001B59FF"/>
    <w:rsid w:val="001B6512"/>
    <w:rsid w:val="001B65D7"/>
    <w:rsid w:val="001B6752"/>
    <w:rsid w:val="001B6768"/>
    <w:rsid w:val="001B6F1F"/>
    <w:rsid w:val="001B79E3"/>
    <w:rsid w:val="001B7ECC"/>
    <w:rsid w:val="001C025B"/>
    <w:rsid w:val="001C115F"/>
    <w:rsid w:val="001C1EAB"/>
    <w:rsid w:val="001C25A7"/>
    <w:rsid w:val="001C318C"/>
    <w:rsid w:val="001C35C4"/>
    <w:rsid w:val="001C4287"/>
    <w:rsid w:val="001C4479"/>
    <w:rsid w:val="001C5190"/>
    <w:rsid w:val="001C6081"/>
    <w:rsid w:val="001C73EB"/>
    <w:rsid w:val="001C7B48"/>
    <w:rsid w:val="001C7CFB"/>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2FDF"/>
    <w:rsid w:val="001F3356"/>
    <w:rsid w:val="001F3C63"/>
    <w:rsid w:val="001F4460"/>
    <w:rsid w:val="001F711A"/>
    <w:rsid w:val="001F75B0"/>
    <w:rsid w:val="0020057C"/>
    <w:rsid w:val="002008A0"/>
    <w:rsid w:val="00200CE5"/>
    <w:rsid w:val="00200F7C"/>
    <w:rsid w:val="002014DB"/>
    <w:rsid w:val="0020150B"/>
    <w:rsid w:val="00201E12"/>
    <w:rsid w:val="00202295"/>
    <w:rsid w:val="002033B5"/>
    <w:rsid w:val="0020382C"/>
    <w:rsid w:val="00203FBD"/>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0A95"/>
    <w:rsid w:val="0022107B"/>
    <w:rsid w:val="00223DDB"/>
    <w:rsid w:val="00223FA4"/>
    <w:rsid w:val="00223FB0"/>
    <w:rsid w:val="00224067"/>
    <w:rsid w:val="0022421C"/>
    <w:rsid w:val="00224C4A"/>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AEF"/>
    <w:rsid w:val="00240D75"/>
    <w:rsid w:val="002415AE"/>
    <w:rsid w:val="00241D3C"/>
    <w:rsid w:val="00242109"/>
    <w:rsid w:val="00243189"/>
    <w:rsid w:val="002439AB"/>
    <w:rsid w:val="00243C19"/>
    <w:rsid w:val="00244AE8"/>
    <w:rsid w:val="00244DC9"/>
    <w:rsid w:val="00245587"/>
    <w:rsid w:val="002459B4"/>
    <w:rsid w:val="00245F2B"/>
    <w:rsid w:val="002466CD"/>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57C5D"/>
    <w:rsid w:val="002603C1"/>
    <w:rsid w:val="002609A1"/>
    <w:rsid w:val="002612B1"/>
    <w:rsid w:val="00263BBE"/>
    <w:rsid w:val="00266165"/>
    <w:rsid w:val="00266F2C"/>
    <w:rsid w:val="0027125E"/>
    <w:rsid w:val="00271767"/>
    <w:rsid w:val="00272293"/>
    <w:rsid w:val="002723C8"/>
    <w:rsid w:val="00273C2A"/>
    <w:rsid w:val="00273CBE"/>
    <w:rsid w:val="002746B1"/>
    <w:rsid w:val="00274BAD"/>
    <w:rsid w:val="002756BF"/>
    <w:rsid w:val="00282D56"/>
    <w:rsid w:val="0028352B"/>
    <w:rsid w:val="002835B0"/>
    <w:rsid w:val="00283BD5"/>
    <w:rsid w:val="00283C74"/>
    <w:rsid w:val="0028407E"/>
    <w:rsid w:val="0028410F"/>
    <w:rsid w:val="00284572"/>
    <w:rsid w:val="002850AA"/>
    <w:rsid w:val="00285221"/>
    <w:rsid w:val="00286FB5"/>
    <w:rsid w:val="00287763"/>
    <w:rsid w:val="00290606"/>
    <w:rsid w:val="002909B2"/>
    <w:rsid w:val="0029198B"/>
    <w:rsid w:val="00291D6D"/>
    <w:rsid w:val="00291FF1"/>
    <w:rsid w:val="00292AA2"/>
    <w:rsid w:val="00293361"/>
    <w:rsid w:val="00294F10"/>
    <w:rsid w:val="002952B1"/>
    <w:rsid w:val="00295D11"/>
    <w:rsid w:val="00296FB6"/>
    <w:rsid w:val="002A0001"/>
    <w:rsid w:val="002A0BD9"/>
    <w:rsid w:val="002A0C3A"/>
    <w:rsid w:val="002A0DF8"/>
    <w:rsid w:val="002A1130"/>
    <w:rsid w:val="002A1880"/>
    <w:rsid w:val="002A23B7"/>
    <w:rsid w:val="002A3A57"/>
    <w:rsid w:val="002A4B4F"/>
    <w:rsid w:val="002A500F"/>
    <w:rsid w:val="002A57A8"/>
    <w:rsid w:val="002A6DEF"/>
    <w:rsid w:val="002A770B"/>
    <w:rsid w:val="002B013E"/>
    <w:rsid w:val="002B058D"/>
    <w:rsid w:val="002B0C16"/>
    <w:rsid w:val="002B2AC5"/>
    <w:rsid w:val="002B3528"/>
    <w:rsid w:val="002B3539"/>
    <w:rsid w:val="002B4532"/>
    <w:rsid w:val="002B5042"/>
    <w:rsid w:val="002B69CC"/>
    <w:rsid w:val="002B6D71"/>
    <w:rsid w:val="002C0145"/>
    <w:rsid w:val="002C03AE"/>
    <w:rsid w:val="002C0C1C"/>
    <w:rsid w:val="002C17CB"/>
    <w:rsid w:val="002C40E2"/>
    <w:rsid w:val="002C53AD"/>
    <w:rsid w:val="002C54C2"/>
    <w:rsid w:val="002C5D34"/>
    <w:rsid w:val="002C60BB"/>
    <w:rsid w:val="002C661A"/>
    <w:rsid w:val="002C71F0"/>
    <w:rsid w:val="002D0D6F"/>
    <w:rsid w:val="002D25FC"/>
    <w:rsid w:val="002D4AC6"/>
    <w:rsid w:val="002D5BF5"/>
    <w:rsid w:val="002D5EE8"/>
    <w:rsid w:val="002D7018"/>
    <w:rsid w:val="002D7360"/>
    <w:rsid w:val="002D7648"/>
    <w:rsid w:val="002D7C80"/>
    <w:rsid w:val="002E109C"/>
    <w:rsid w:val="002E193E"/>
    <w:rsid w:val="002E1A94"/>
    <w:rsid w:val="002E1D55"/>
    <w:rsid w:val="002E26C4"/>
    <w:rsid w:val="002E2734"/>
    <w:rsid w:val="002E30A5"/>
    <w:rsid w:val="002E4443"/>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CCB"/>
    <w:rsid w:val="00302EFC"/>
    <w:rsid w:val="00303243"/>
    <w:rsid w:val="00303BCC"/>
    <w:rsid w:val="00303F2B"/>
    <w:rsid w:val="00303F8D"/>
    <w:rsid w:val="00304840"/>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27E56"/>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E38"/>
    <w:rsid w:val="00342F99"/>
    <w:rsid w:val="0034575A"/>
    <w:rsid w:val="00345F57"/>
    <w:rsid w:val="00346A51"/>
    <w:rsid w:val="0034727B"/>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5579"/>
    <w:rsid w:val="003667B0"/>
    <w:rsid w:val="003667DD"/>
    <w:rsid w:val="00366B48"/>
    <w:rsid w:val="00367764"/>
    <w:rsid w:val="00370316"/>
    <w:rsid w:val="00370DC7"/>
    <w:rsid w:val="00371CBD"/>
    <w:rsid w:val="00371F20"/>
    <w:rsid w:val="003721E3"/>
    <w:rsid w:val="00372B98"/>
    <w:rsid w:val="003737B7"/>
    <w:rsid w:val="0037392D"/>
    <w:rsid w:val="003739D4"/>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3F7"/>
    <w:rsid w:val="00390429"/>
    <w:rsid w:val="00390666"/>
    <w:rsid w:val="003906A0"/>
    <w:rsid w:val="00391E03"/>
    <w:rsid w:val="003931AF"/>
    <w:rsid w:val="0039366C"/>
    <w:rsid w:val="00393EC8"/>
    <w:rsid w:val="00395E42"/>
    <w:rsid w:val="00396409"/>
    <w:rsid w:val="00396A2D"/>
    <w:rsid w:val="00396FC3"/>
    <w:rsid w:val="003A1A94"/>
    <w:rsid w:val="003A204E"/>
    <w:rsid w:val="003A2D25"/>
    <w:rsid w:val="003A5728"/>
    <w:rsid w:val="003A60AB"/>
    <w:rsid w:val="003A60E7"/>
    <w:rsid w:val="003A7092"/>
    <w:rsid w:val="003A72A1"/>
    <w:rsid w:val="003A7611"/>
    <w:rsid w:val="003A7D1F"/>
    <w:rsid w:val="003B0A61"/>
    <w:rsid w:val="003B0B6A"/>
    <w:rsid w:val="003B22F7"/>
    <w:rsid w:val="003B29CF"/>
    <w:rsid w:val="003B3A90"/>
    <w:rsid w:val="003B3D01"/>
    <w:rsid w:val="003B534F"/>
    <w:rsid w:val="003B751E"/>
    <w:rsid w:val="003B7A79"/>
    <w:rsid w:val="003C0659"/>
    <w:rsid w:val="003C0FE1"/>
    <w:rsid w:val="003C151A"/>
    <w:rsid w:val="003C350C"/>
    <w:rsid w:val="003C3903"/>
    <w:rsid w:val="003C3BA0"/>
    <w:rsid w:val="003C4580"/>
    <w:rsid w:val="003C5658"/>
    <w:rsid w:val="003C5C5E"/>
    <w:rsid w:val="003C6746"/>
    <w:rsid w:val="003C7555"/>
    <w:rsid w:val="003C7898"/>
    <w:rsid w:val="003C7B16"/>
    <w:rsid w:val="003D0FF5"/>
    <w:rsid w:val="003D104E"/>
    <w:rsid w:val="003D11A3"/>
    <w:rsid w:val="003D1537"/>
    <w:rsid w:val="003D183C"/>
    <w:rsid w:val="003D2D1B"/>
    <w:rsid w:val="003D48C7"/>
    <w:rsid w:val="003D4C27"/>
    <w:rsid w:val="003D7109"/>
    <w:rsid w:val="003D7C75"/>
    <w:rsid w:val="003D7CE8"/>
    <w:rsid w:val="003E0514"/>
    <w:rsid w:val="003E1032"/>
    <w:rsid w:val="003E12C8"/>
    <w:rsid w:val="003E1904"/>
    <w:rsid w:val="003E1E29"/>
    <w:rsid w:val="003E285E"/>
    <w:rsid w:val="003E3124"/>
    <w:rsid w:val="003E3300"/>
    <w:rsid w:val="003E43D3"/>
    <w:rsid w:val="003E458E"/>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9E9"/>
    <w:rsid w:val="003F6617"/>
    <w:rsid w:val="00402332"/>
    <w:rsid w:val="004025C2"/>
    <w:rsid w:val="00403195"/>
    <w:rsid w:val="004033A9"/>
    <w:rsid w:val="00403E55"/>
    <w:rsid w:val="0040407C"/>
    <w:rsid w:val="0040416C"/>
    <w:rsid w:val="00404681"/>
    <w:rsid w:val="00405445"/>
    <w:rsid w:val="00405AC1"/>
    <w:rsid w:val="00406923"/>
    <w:rsid w:val="00407198"/>
    <w:rsid w:val="0040763D"/>
    <w:rsid w:val="00410D17"/>
    <w:rsid w:val="00410EBA"/>
    <w:rsid w:val="00412039"/>
    <w:rsid w:val="004127AF"/>
    <w:rsid w:val="00412AA9"/>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4D17"/>
    <w:rsid w:val="00424F6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779"/>
    <w:rsid w:val="004360C8"/>
    <w:rsid w:val="00436823"/>
    <w:rsid w:val="004371D5"/>
    <w:rsid w:val="0044006B"/>
    <w:rsid w:val="0044033F"/>
    <w:rsid w:val="00440630"/>
    <w:rsid w:val="00440B89"/>
    <w:rsid w:val="00441F0F"/>
    <w:rsid w:val="00442965"/>
    <w:rsid w:val="004432B1"/>
    <w:rsid w:val="004432B6"/>
    <w:rsid w:val="00444157"/>
    <w:rsid w:val="0044417C"/>
    <w:rsid w:val="0044433F"/>
    <w:rsid w:val="00444DB3"/>
    <w:rsid w:val="00445617"/>
    <w:rsid w:val="00445A2F"/>
    <w:rsid w:val="0044684E"/>
    <w:rsid w:val="00446F22"/>
    <w:rsid w:val="0045019F"/>
    <w:rsid w:val="00450320"/>
    <w:rsid w:val="004503A4"/>
    <w:rsid w:val="0045052E"/>
    <w:rsid w:val="00450555"/>
    <w:rsid w:val="004506FA"/>
    <w:rsid w:val="00450DC6"/>
    <w:rsid w:val="004516A5"/>
    <w:rsid w:val="00451753"/>
    <w:rsid w:val="00451E9C"/>
    <w:rsid w:val="0045226B"/>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39AD"/>
    <w:rsid w:val="00464AB7"/>
    <w:rsid w:val="00465DE5"/>
    <w:rsid w:val="00467EF8"/>
    <w:rsid w:val="00472429"/>
    <w:rsid w:val="004725E5"/>
    <w:rsid w:val="00472751"/>
    <w:rsid w:val="00473128"/>
    <w:rsid w:val="00475078"/>
    <w:rsid w:val="00475767"/>
    <w:rsid w:val="004761F7"/>
    <w:rsid w:val="004779A0"/>
    <w:rsid w:val="004808E3"/>
    <w:rsid w:val="00481016"/>
    <w:rsid w:val="0048204C"/>
    <w:rsid w:val="004821BB"/>
    <w:rsid w:val="0048237A"/>
    <w:rsid w:val="00482698"/>
    <w:rsid w:val="004826FE"/>
    <w:rsid w:val="004827D5"/>
    <w:rsid w:val="00482AF2"/>
    <w:rsid w:val="004830C9"/>
    <w:rsid w:val="00483347"/>
    <w:rsid w:val="00483E2E"/>
    <w:rsid w:val="00484B69"/>
    <w:rsid w:val="00485406"/>
    <w:rsid w:val="0048590F"/>
    <w:rsid w:val="00486D60"/>
    <w:rsid w:val="00491049"/>
    <w:rsid w:val="00491FA1"/>
    <w:rsid w:val="00492A25"/>
    <w:rsid w:val="004938A3"/>
    <w:rsid w:val="0049558B"/>
    <w:rsid w:val="00496350"/>
    <w:rsid w:val="0049797C"/>
    <w:rsid w:val="004A0DAD"/>
    <w:rsid w:val="004A1405"/>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5DF"/>
    <w:rsid w:val="004B3627"/>
    <w:rsid w:val="004B4922"/>
    <w:rsid w:val="004B57DF"/>
    <w:rsid w:val="004B5976"/>
    <w:rsid w:val="004B60F7"/>
    <w:rsid w:val="004B6A0C"/>
    <w:rsid w:val="004B722E"/>
    <w:rsid w:val="004B72E8"/>
    <w:rsid w:val="004C01A5"/>
    <w:rsid w:val="004C0412"/>
    <w:rsid w:val="004C2138"/>
    <w:rsid w:val="004C3940"/>
    <w:rsid w:val="004C51FD"/>
    <w:rsid w:val="004C65A8"/>
    <w:rsid w:val="004C6689"/>
    <w:rsid w:val="004C691F"/>
    <w:rsid w:val="004D139A"/>
    <w:rsid w:val="004D14DC"/>
    <w:rsid w:val="004D17C6"/>
    <w:rsid w:val="004D2858"/>
    <w:rsid w:val="004D2E49"/>
    <w:rsid w:val="004D35BA"/>
    <w:rsid w:val="004D38E5"/>
    <w:rsid w:val="004D3C5A"/>
    <w:rsid w:val="004D449A"/>
    <w:rsid w:val="004D4701"/>
    <w:rsid w:val="004D47C7"/>
    <w:rsid w:val="004D4AD8"/>
    <w:rsid w:val="004D4B2B"/>
    <w:rsid w:val="004D4F35"/>
    <w:rsid w:val="004D51EE"/>
    <w:rsid w:val="004D5D45"/>
    <w:rsid w:val="004D618D"/>
    <w:rsid w:val="004D62A9"/>
    <w:rsid w:val="004D6FC3"/>
    <w:rsid w:val="004D7476"/>
    <w:rsid w:val="004D7716"/>
    <w:rsid w:val="004E0306"/>
    <w:rsid w:val="004E0572"/>
    <w:rsid w:val="004E1641"/>
    <w:rsid w:val="004E1686"/>
    <w:rsid w:val="004E1818"/>
    <w:rsid w:val="004E1990"/>
    <w:rsid w:val="004E25A8"/>
    <w:rsid w:val="004E3930"/>
    <w:rsid w:val="004E3ED9"/>
    <w:rsid w:val="004E5866"/>
    <w:rsid w:val="004E6097"/>
    <w:rsid w:val="004E61EF"/>
    <w:rsid w:val="004E63C6"/>
    <w:rsid w:val="004E67AC"/>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05DE"/>
    <w:rsid w:val="005113C9"/>
    <w:rsid w:val="00512050"/>
    <w:rsid w:val="00512055"/>
    <w:rsid w:val="0051280C"/>
    <w:rsid w:val="00512842"/>
    <w:rsid w:val="005128BE"/>
    <w:rsid w:val="0051356F"/>
    <w:rsid w:val="00513E7C"/>
    <w:rsid w:val="005140BB"/>
    <w:rsid w:val="005142C6"/>
    <w:rsid w:val="00514FBE"/>
    <w:rsid w:val="00514FD9"/>
    <w:rsid w:val="0051550A"/>
    <w:rsid w:val="0051608F"/>
    <w:rsid w:val="00516480"/>
    <w:rsid w:val="00520815"/>
    <w:rsid w:val="00520843"/>
    <w:rsid w:val="00520EF8"/>
    <w:rsid w:val="005210F7"/>
    <w:rsid w:val="00521753"/>
    <w:rsid w:val="00521F1C"/>
    <w:rsid w:val="0052239D"/>
    <w:rsid w:val="005224EE"/>
    <w:rsid w:val="00522879"/>
    <w:rsid w:val="00523BB1"/>
    <w:rsid w:val="00524B23"/>
    <w:rsid w:val="0052570E"/>
    <w:rsid w:val="005260CD"/>
    <w:rsid w:val="00526265"/>
    <w:rsid w:val="0052655D"/>
    <w:rsid w:val="005265E0"/>
    <w:rsid w:val="00526BC3"/>
    <w:rsid w:val="00531761"/>
    <w:rsid w:val="0053248F"/>
    <w:rsid w:val="00532561"/>
    <w:rsid w:val="005327AB"/>
    <w:rsid w:val="00532AB8"/>
    <w:rsid w:val="00532D98"/>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57FB"/>
    <w:rsid w:val="005458CD"/>
    <w:rsid w:val="00546F90"/>
    <w:rsid w:val="00547EFB"/>
    <w:rsid w:val="005522F2"/>
    <w:rsid w:val="005531DF"/>
    <w:rsid w:val="00553874"/>
    <w:rsid w:val="00554577"/>
    <w:rsid w:val="00554AD8"/>
    <w:rsid w:val="00554F78"/>
    <w:rsid w:val="00555DA1"/>
    <w:rsid w:val="00556366"/>
    <w:rsid w:val="005565DF"/>
    <w:rsid w:val="00556BF7"/>
    <w:rsid w:val="00556E53"/>
    <w:rsid w:val="00557F60"/>
    <w:rsid w:val="00561730"/>
    <w:rsid w:val="00561B97"/>
    <w:rsid w:val="00562149"/>
    <w:rsid w:val="005640EB"/>
    <w:rsid w:val="00567B5D"/>
    <w:rsid w:val="00570757"/>
    <w:rsid w:val="00573733"/>
    <w:rsid w:val="00573F8B"/>
    <w:rsid w:val="00574528"/>
    <w:rsid w:val="00574554"/>
    <w:rsid w:val="00574737"/>
    <w:rsid w:val="00574E06"/>
    <w:rsid w:val="005751BB"/>
    <w:rsid w:val="00576089"/>
    <w:rsid w:val="00576415"/>
    <w:rsid w:val="005764B1"/>
    <w:rsid w:val="00576852"/>
    <w:rsid w:val="00576D06"/>
    <w:rsid w:val="005779E4"/>
    <w:rsid w:val="00577A03"/>
    <w:rsid w:val="00580EC7"/>
    <w:rsid w:val="0058283D"/>
    <w:rsid w:val="0058289C"/>
    <w:rsid w:val="005835A5"/>
    <w:rsid w:val="005836C7"/>
    <w:rsid w:val="0058408E"/>
    <w:rsid w:val="00585374"/>
    <w:rsid w:val="005854CA"/>
    <w:rsid w:val="00585FAB"/>
    <w:rsid w:val="005901F7"/>
    <w:rsid w:val="00590B77"/>
    <w:rsid w:val="00590D9A"/>
    <w:rsid w:val="005913A3"/>
    <w:rsid w:val="005940D4"/>
    <w:rsid w:val="00594A7B"/>
    <w:rsid w:val="0059580E"/>
    <w:rsid w:val="00595D90"/>
    <w:rsid w:val="00596A6F"/>
    <w:rsid w:val="00596D75"/>
    <w:rsid w:val="00596FCE"/>
    <w:rsid w:val="005A11BC"/>
    <w:rsid w:val="005A11CC"/>
    <w:rsid w:val="005A1525"/>
    <w:rsid w:val="005A1E17"/>
    <w:rsid w:val="005A24EF"/>
    <w:rsid w:val="005A252B"/>
    <w:rsid w:val="005A2A8F"/>
    <w:rsid w:val="005A2FDF"/>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B"/>
    <w:rsid w:val="005C08D0"/>
    <w:rsid w:val="005C1AED"/>
    <w:rsid w:val="005C2136"/>
    <w:rsid w:val="005C2D8A"/>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CA0"/>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572D"/>
    <w:rsid w:val="005F6181"/>
    <w:rsid w:val="005F6338"/>
    <w:rsid w:val="005F6D58"/>
    <w:rsid w:val="005F7383"/>
    <w:rsid w:val="0060058E"/>
    <w:rsid w:val="00602A3C"/>
    <w:rsid w:val="00603EFD"/>
    <w:rsid w:val="0060475B"/>
    <w:rsid w:val="00604BED"/>
    <w:rsid w:val="00604FB6"/>
    <w:rsid w:val="00605387"/>
    <w:rsid w:val="00606302"/>
    <w:rsid w:val="00606D8C"/>
    <w:rsid w:val="006076FD"/>
    <w:rsid w:val="0061143F"/>
    <w:rsid w:val="006114D8"/>
    <w:rsid w:val="00613553"/>
    <w:rsid w:val="00613601"/>
    <w:rsid w:val="00613791"/>
    <w:rsid w:val="00614AF6"/>
    <w:rsid w:val="006150D6"/>
    <w:rsid w:val="00615245"/>
    <w:rsid w:val="0061590D"/>
    <w:rsid w:val="0061732A"/>
    <w:rsid w:val="00617EEE"/>
    <w:rsid w:val="00620A1F"/>
    <w:rsid w:val="0062169D"/>
    <w:rsid w:val="0062181E"/>
    <w:rsid w:val="0062211B"/>
    <w:rsid w:val="00622BB7"/>
    <w:rsid w:val="00622C1E"/>
    <w:rsid w:val="00623389"/>
    <w:rsid w:val="00623DAA"/>
    <w:rsid w:val="00623FAF"/>
    <w:rsid w:val="006265C4"/>
    <w:rsid w:val="0062670C"/>
    <w:rsid w:val="0062678A"/>
    <w:rsid w:val="006270AF"/>
    <w:rsid w:val="006311E2"/>
    <w:rsid w:val="00633C69"/>
    <w:rsid w:val="00634367"/>
    <w:rsid w:val="006359B3"/>
    <w:rsid w:val="00640082"/>
    <w:rsid w:val="00640291"/>
    <w:rsid w:val="00640EFE"/>
    <w:rsid w:val="00641D6D"/>
    <w:rsid w:val="00641FAC"/>
    <w:rsid w:val="00643664"/>
    <w:rsid w:val="00643CAA"/>
    <w:rsid w:val="00644F16"/>
    <w:rsid w:val="006453F1"/>
    <w:rsid w:val="006455EB"/>
    <w:rsid w:val="006456C2"/>
    <w:rsid w:val="00645A65"/>
    <w:rsid w:val="006477F0"/>
    <w:rsid w:val="006478E4"/>
    <w:rsid w:val="0065171A"/>
    <w:rsid w:val="00652680"/>
    <w:rsid w:val="00652E4A"/>
    <w:rsid w:val="00653CDE"/>
    <w:rsid w:val="00654585"/>
    <w:rsid w:val="0065566E"/>
    <w:rsid w:val="00655AB6"/>
    <w:rsid w:val="00656061"/>
    <w:rsid w:val="00656281"/>
    <w:rsid w:val="0065636A"/>
    <w:rsid w:val="00657003"/>
    <w:rsid w:val="00660238"/>
    <w:rsid w:val="006602EF"/>
    <w:rsid w:val="00661277"/>
    <w:rsid w:val="006619E0"/>
    <w:rsid w:val="00663AE1"/>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022"/>
    <w:rsid w:val="00690437"/>
    <w:rsid w:val="00690679"/>
    <w:rsid w:val="00690DC3"/>
    <w:rsid w:val="00690E65"/>
    <w:rsid w:val="00690FB5"/>
    <w:rsid w:val="006911B7"/>
    <w:rsid w:val="00691387"/>
    <w:rsid w:val="0069188E"/>
    <w:rsid w:val="00691974"/>
    <w:rsid w:val="00692BF6"/>
    <w:rsid w:val="00692CE6"/>
    <w:rsid w:val="00693186"/>
    <w:rsid w:val="00693381"/>
    <w:rsid w:val="00693B6C"/>
    <w:rsid w:val="006942AE"/>
    <w:rsid w:val="00695421"/>
    <w:rsid w:val="006956FF"/>
    <w:rsid w:val="00697BD3"/>
    <w:rsid w:val="00697DFA"/>
    <w:rsid w:val="006A16D5"/>
    <w:rsid w:val="006A1772"/>
    <w:rsid w:val="006A1780"/>
    <w:rsid w:val="006A21DD"/>
    <w:rsid w:val="006A26C6"/>
    <w:rsid w:val="006A3302"/>
    <w:rsid w:val="006A3B28"/>
    <w:rsid w:val="006A418C"/>
    <w:rsid w:val="006A4FEE"/>
    <w:rsid w:val="006A5549"/>
    <w:rsid w:val="006A703E"/>
    <w:rsid w:val="006A7BE3"/>
    <w:rsid w:val="006A7D32"/>
    <w:rsid w:val="006B01D1"/>
    <w:rsid w:val="006B0DF4"/>
    <w:rsid w:val="006B16EA"/>
    <w:rsid w:val="006B1780"/>
    <w:rsid w:val="006B224E"/>
    <w:rsid w:val="006B376E"/>
    <w:rsid w:val="006B4589"/>
    <w:rsid w:val="006B4A81"/>
    <w:rsid w:val="006B5157"/>
    <w:rsid w:val="006B610E"/>
    <w:rsid w:val="006B6805"/>
    <w:rsid w:val="006B6C07"/>
    <w:rsid w:val="006B6DE0"/>
    <w:rsid w:val="006C0132"/>
    <w:rsid w:val="006C16C3"/>
    <w:rsid w:val="006C2187"/>
    <w:rsid w:val="006C32F4"/>
    <w:rsid w:val="006C3C54"/>
    <w:rsid w:val="006C4B6B"/>
    <w:rsid w:val="006C4CE1"/>
    <w:rsid w:val="006C4F9F"/>
    <w:rsid w:val="006C653C"/>
    <w:rsid w:val="006C71A2"/>
    <w:rsid w:val="006C73EC"/>
    <w:rsid w:val="006C7E3D"/>
    <w:rsid w:val="006D0C1D"/>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D63"/>
    <w:rsid w:val="006E32B0"/>
    <w:rsid w:val="006E348E"/>
    <w:rsid w:val="006E396A"/>
    <w:rsid w:val="006E3D63"/>
    <w:rsid w:val="006E585E"/>
    <w:rsid w:val="006E58BF"/>
    <w:rsid w:val="006E5DD8"/>
    <w:rsid w:val="006E5EA1"/>
    <w:rsid w:val="006E6DEE"/>
    <w:rsid w:val="006E7D4B"/>
    <w:rsid w:val="006F0527"/>
    <w:rsid w:val="006F0760"/>
    <w:rsid w:val="006F11E2"/>
    <w:rsid w:val="006F2574"/>
    <w:rsid w:val="006F3231"/>
    <w:rsid w:val="006F3DE3"/>
    <w:rsid w:val="006F4787"/>
    <w:rsid w:val="006F4BE6"/>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1DA"/>
    <w:rsid w:val="007125A2"/>
    <w:rsid w:val="00712656"/>
    <w:rsid w:val="00713DD9"/>
    <w:rsid w:val="00713F79"/>
    <w:rsid w:val="007148A8"/>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6300"/>
    <w:rsid w:val="00727A43"/>
    <w:rsid w:val="00727FF2"/>
    <w:rsid w:val="00730550"/>
    <w:rsid w:val="00730C2A"/>
    <w:rsid w:val="00730FB4"/>
    <w:rsid w:val="00731434"/>
    <w:rsid w:val="00731E59"/>
    <w:rsid w:val="00731F63"/>
    <w:rsid w:val="007323E0"/>
    <w:rsid w:val="00732911"/>
    <w:rsid w:val="00732B4E"/>
    <w:rsid w:val="0073360F"/>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386"/>
    <w:rsid w:val="00747829"/>
    <w:rsid w:val="00747DE2"/>
    <w:rsid w:val="007502D0"/>
    <w:rsid w:val="007504BF"/>
    <w:rsid w:val="007506CD"/>
    <w:rsid w:val="0075267F"/>
    <w:rsid w:val="007526EC"/>
    <w:rsid w:val="00753C48"/>
    <w:rsid w:val="00754250"/>
    <w:rsid w:val="00754FE4"/>
    <w:rsid w:val="00755216"/>
    <w:rsid w:val="00756236"/>
    <w:rsid w:val="00756271"/>
    <w:rsid w:val="00756348"/>
    <w:rsid w:val="0075641E"/>
    <w:rsid w:val="00756521"/>
    <w:rsid w:val="00756AB7"/>
    <w:rsid w:val="00757053"/>
    <w:rsid w:val="00757673"/>
    <w:rsid w:val="0076106D"/>
    <w:rsid w:val="007623FB"/>
    <w:rsid w:val="00762517"/>
    <w:rsid w:val="00763240"/>
    <w:rsid w:val="0076354C"/>
    <w:rsid w:val="0076376A"/>
    <w:rsid w:val="007648AD"/>
    <w:rsid w:val="0076504E"/>
    <w:rsid w:val="00767BFD"/>
    <w:rsid w:val="00767EA0"/>
    <w:rsid w:val="0077068F"/>
    <w:rsid w:val="00771EDF"/>
    <w:rsid w:val="00771FEC"/>
    <w:rsid w:val="007724B4"/>
    <w:rsid w:val="00772A90"/>
    <w:rsid w:val="00772F8D"/>
    <w:rsid w:val="0077408D"/>
    <w:rsid w:val="00774270"/>
    <w:rsid w:val="007743F6"/>
    <w:rsid w:val="00775679"/>
    <w:rsid w:val="0077574F"/>
    <w:rsid w:val="00775823"/>
    <w:rsid w:val="00777153"/>
    <w:rsid w:val="007774D0"/>
    <w:rsid w:val="007777CC"/>
    <w:rsid w:val="00777B32"/>
    <w:rsid w:val="0078051E"/>
    <w:rsid w:val="00781089"/>
    <w:rsid w:val="00782B6A"/>
    <w:rsid w:val="007834AD"/>
    <w:rsid w:val="007838F3"/>
    <w:rsid w:val="00785184"/>
    <w:rsid w:val="007856FE"/>
    <w:rsid w:val="00785F46"/>
    <w:rsid w:val="007865F4"/>
    <w:rsid w:val="00786D5C"/>
    <w:rsid w:val="00786E96"/>
    <w:rsid w:val="00787BB6"/>
    <w:rsid w:val="00787DFF"/>
    <w:rsid w:val="00787F93"/>
    <w:rsid w:val="00791E6D"/>
    <w:rsid w:val="00791EB5"/>
    <w:rsid w:val="00793307"/>
    <w:rsid w:val="0079343F"/>
    <w:rsid w:val="00793696"/>
    <w:rsid w:val="007955DA"/>
    <w:rsid w:val="00796F65"/>
    <w:rsid w:val="007A11C2"/>
    <w:rsid w:val="007A18BB"/>
    <w:rsid w:val="007A27DD"/>
    <w:rsid w:val="007A41BF"/>
    <w:rsid w:val="007A490A"/>
    <w:rsid w:val="007A6268"/>
    <w:rsid w:val="007A7B95"/>
    <w:rsid w:val="007B0297"/>
    <w:rsid w:val="007B02FA"/>
    <w:rsid w:val="007B08C7"/>
    <w:rsid w:val="007B0F53"/>
    <w:rsid w:val="007B21AE"/>
    <w:rsid w:val="007B2570"/>
    <w:rsid w:val="007B3113"/>
    <w:rsid w:val="007B3304"/>
    <w:rsid w:val="007B3BF0"/>
    <w:rsid w:val="007B55FE"/>
    <w:rsid w:val="007B7490"/>
    <w:rsid w:val="007C0525"/>
    <w:rsid w:val="007C13F7"/>
    <w:rsid w:val="007C152F"/>
    <w:rsid w:val="007C218D"/>
    <w:rsid w:val="007C2D28"/>
    <w:rsid w:val="007C3E22"/>
    <w:rsid w:val="007C4E19"/>
    <w:rsid w:val="007C58C1"/>
    <w:rsid w:val="007C6218"/>
    <w:rsid w:val="007C6484"/>
    <w:rsid w:val="007C67C6"/>
    <w:rsid w:val="007C78BE"/>
    <w:rsid w:val="007C7A5D"/>
    <w:rsid w:val="007C7E59"/>
    <w:rsid w:val="007D0476"/>
    <w:rsid w:val="007D0B91"/>
    <w:rsid w:val="007D1452"/>
    <w:rsid w:val="007D1563"/>
    <w:rsid w:val="007D3DCB"/>
    <w:rsid w:val="007D460C"/>
    <w:rsid w:val="007D4996"/>
    <w:rsid w:val="007D4AD3"/>
    <w:rsid w:val="007D4B4D"/>
    <w:rsid w:val="007D5D19"/>
    <w:rsid w:val="007D5FDC"/>
    <w:rsid w:val="007D6176"/>
    <w:rsid w:val="007D69CD"/>
    <w:rsid w:val="007D6D68"/>
    <w:rsid w:val="007E1D01"/>
    <w:rsid w:val="007E32DA"/>
    <w:rsid w:val="007E4998"/>
    <w:rsid w:val="007E4A9C"/>
    <w:rsid w:val="007E6914"/>
    <w:rsid w:val="007E7F78"/>
    <w:rsid w:val="007F0179"/>
    <w:rsid w:val="007F2C13"/>
    <w:rsid w:val="007F2CEC"/>
    <w:rsid w:val="007F3327"/>
    <w:rsid w:val="007F3435"/>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A0B"/>
    <w:rsid w:val="00810BB6"/>
    <w:rsid w:val="00810E1F"/>
    <w:rsid w:val="00810E8E"/>
    <w:rsid w:val="00812C44"/>
    <w:rsid w:val="008135E1"/>
    <w:rsid w:val="00813779"/>
    <w:rsid w:val="00813E26"/>
    <w:rsid w:val="0081481D"/>
    <w:rsid w:val="00814BE8"/>
    <w:rsid w:val="00814F6E"/>
    <w:rsid w:val="00815B84"/>
    <w:rsid w:val="008166F6"/>
    <w:rsid w:val="00816BE9"/>
    <w:rsid w:val="00817D10"/>
    <w:rsid w:val="00822518"/>
    <w:rsid w:val="008226F5"/>
    <w:rsid w:val="00823109"/>
    <w:rsid w:val="00823FC6"/>
    <w:rsid w:val="00824306"/>
    <w:rsid w:val="00825C74"/>
    <w:rsid w:val="00825CFA"/>
    <w:rsid w:val="00826AB9"/>
    <w:rsid w:val="00826E0E"/>
    <w:rsid w:val="00827D11"/>
    <w:rsid w:val="00827E0F"/>
    <w:rsid w:val="00827F6E"/>
    <w:rsid w:val="00831758"/>
    <w:rsid w:val="008317D9"/>
    <w:rsid w:val="0083279F"/>
    <w:rsid w:val="00833250"/>
    <w:rsid w:val="008334DB"/>
    <w:rsid w:val="00833B7F"/>
    <w:rsid w:val="00833E8E"/>
    <w:rsid w:val="00834906"/>
    <w:rsid w:val="00836075"/>
    <w:rsid w:val="00836417"/>
    <w:rsid w:val="00837526"/>
    <w:rsid w:val="00837B5A"/>
    <w:rsid w:val="008407A7"/>
    <w:rsid w:val="0084322B"/>
    <w:rsid w:val="0084341D"/>
    <w:rsid w:val="00843711"/>
    <w:rsid w:val="00843F81"/>
    <w:rsid w:val="00844087"/>
    <w:rsid w:val="008448F1"/>
    <w:rsid w:val="0084519E"/>
    <w:rsid w:val="00845CAE"/>
    <w:rsid w:val="008462C5"/>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7CC"/>
    <w:rsid w:val="00863A8E"/>
    <w:rsid w:val="00863B59"/>
    <w:rsid w:val="00864025"/>
    <w:rsid w:val="0086407F"/>
    <w:rsid w:val="008645E3"/>
    <w:rsid w:val="00864E79"/>
    <w:rsid w:val="0086661F"/>
    <w:rsid w:val="00866A0D"/>
    <w:rsid w:val="00866DB5"/>
    <w:rsid w:val="0086701D"/>
    <w:rsid w:val="0086702B"/>
    <w:rsid w:val="008672E2"/>
    <w:rsid w:val="0086784E"/>
    <w:rsid w:val="0087063A"/>
    <w:rsid w:val="0087121C"/>
    <w:rsid w:val="008719D4"/>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1DEB"/>
    <w:rsid w:val="0089217C"/>
    <w:rsid w:val="00892790"/>
    <w:rsid w:val="00893671"/>
    <w:rsid w:val="00894D50"/>
    <w:rsid w:val="00895838"/>
    <w:rsid w:val="00895A1E"/>
    <w:rsid w:val="00895A72"/>
    <w:rsid w:val="00895CDF"/>
    <w:rsid w:val="00896679"/>
    <w:rsid w:val="00896D8C"/>
    <w:rsid w:val="008A0FC9"/>
    <w:rsid w:val="008A1956"/>
    <w:rsid w:val="008A1A7C"/>
    <w:rsid w:val="008A2CE2"/>
    <w:rsid w:val="008A30EB"/>
    <w:rsid w:val="008A40D3"/>
    <w:rsid w:val="008A469C"/>
    <w:rsid w:val="008A51D1"/>
    <w:rsid w:val="008A5DCE"/>
    <w:rsid w:val="008A75D3"/>
    <w:rsid w:val="008B04AE"/>
    <w:rsid w:val="008B05DD"/>
    <w:rsid w:val="008B07B8"/>
    <w:rsid w:val="008B17E8"/>
    <w:rsid w:val="008B2E7C"/>
    <w:rsid w:val="008B368E"/>
    <w:rsid w:val="008B399A"/>
    <w:rsid w:val="008B45F0"/>
    <w:rsid w:val="008B4A70"/>
    <w:rsid w:val="008B502F"/>
    <w:rsid w:val="008B6DFC"/>
    <w:rsid w:val="008B7227"/>
    <w:rsid w:val="008B7B00"/>
    <w:rsid w:val="008C02FB"/>
    <w:rsid w:val="008C04E0"/>
    <w:rsid w:val="008C191C"/>
    <w:rsid w:val="008C1DA4"/>
    <w:rsid w:val="008C2138"/>
    <w:rsid w:val="008C29B0"/>
    <w:rsid w:val="008C2CD5"/>
    <w:rsid w:val="008C3618"/>
    <w:rsid w:val="008C39E7"/>
    <w:rsid w:val="008C3E75"/>
    <w:rsid w:val="008C43AD"/>
    <w:rsid w:val="008C6118"/>
    <w:rsid w:val="008C6341"/>
    <w:rsid w:val="008C653D"/>
    <w:rsid w:val="008C731F"/>
    <w:rsid w:val="008C74D9"/>
    <w:rsid w:val="008C7B1D"/>
    <w:rsid w:val="008D1804"/>
    <w:rsid w:val="008D2050"/>
    <w:rsid w:val="008D337B"/>
    <w:rsid w:val="008D3B2D"/>
    <w:rsid w:val="008D58D9"/>
    <w:rsid w:val="008D5AD4"/>
    <w:rsid w:val="008D695E"/>
    <w:rsid w:val="008D6DD5"/>
    <w:rsid w:val="008D6E59"/>
    <w:rsid w:val="008D7155"/>
    <w:rsid w:val="008D76E0"/>
    <w:rsid w:val="008E0B29"/>
    <w:rsid w:val="008E141A"/>
    <w:rsid w:val="008E1A44"/>
    <w:rsid w:val="008E211F"/>
    <w:rsid w:val="008E28E6"/>
    <w:rsid w:val="008E3232"/>
    <w:rsid w:val="008E3674"/>
    <w:rsid w:val="008E3B6C"/>
    <w:rsid w:val="008E3DE7"/>
    <w:rsid w:val="008E5227"/>
    <w:rsid w:val="008E562C"/>
    <w:rsid w:val="008E6540"/>
    <w:rsid w:val="008E77D4"/>
    <w:rsid w:val="008E7ADD"/>
    <w:rsid w:val="008F0869"/>
    <w:rsid w:val="008F091F"/>
    <w:rsid w:val="008F17B2"/>
    <w:rsid w:val="008F22B3"/>
    <w:rsid w:val="008F357B"/>
    <w:rsid w:val="008F44CA"/>
    <w:rsid w:val="008F49D3"/>
    <w:rsid w:val="008F6519"/>
    <w:rsid w:val="008F7012"/>
    <w:rsid w:val="008F7ADA"/>
    <w:rsid w:val="008F7B17"/>
    <w:rsid w:val="00900042"/>
    <w:rsid w:val="0090008E"/>
    <w:rsid w:val="0090034B"/>
    <w:rsid w:val="0090087C"/>
    <w:rsid w:val="00901121"/>
    <w:rsid w:val="00901B35"/>
    <w:rsid w:val="00902623"/>
    <w:rsid w:val="00902A67"/>
    <w:rsid w:val="00902C5E"/>
    <w:rsid w:val="00902F6B"/>
    <w:rsid w:val="00903CF9"/>
    <w:rsid w:val="00904BE4"/>
    <w:rsid w:val="0090504A"/>
    <w:rsid w:val="009051F5"/>
    <w:rsid w:val="00905221"/>
    <w:rsid w:val="00905A7C"/>
    <w:rsid w:val="00905D7E"/>
    <w:rsid w:val="00907037"/>
    <w:rsid w:val="0091112C"/>
    <w:rsid w:val="0091160A"/>
    <w:rsid w:val="0091199D"/>
    <w:rsid w:val="00911B4E"/>
    <w:rsid w:val="00912E04"/>
    <w:rsid w:val="00913258"/>
    <w:rsid w:val="00913851"/>
    <w:rsid w:val="0091389B"/>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9A9"/>
    <w:rsid w:val="00936CF7"/>
    <w:rsid w:val="00937783"/>
    <w:rsid w:val="00937EAD"/>
    <w:rsid w:val="00937F28"/>
    <w:rsid w:val="00940FE1"/>
    <w:rsid w:val="00942306"/>
    <w:rsid w:val="009424B8"/>
    <w:rsid w:val="009432E2"/>
    <w:rsid w:val="00944668"/>
    <w:rsid w:val="00944DC6"/>
    <w:rsid w:val="00944F3C"/>
    <w:rsid w:val="009458B0"/>
    <w:rsid w:val="00945B52"/>
    <w:rsid w:val="00945B7A"/>
    <w:rsid w:val="00945F05"/>
    <w:rsid w:val="00946348"/>
    <w:rsid w:val="009463FF"/>
    <w:rsid w:val="00947224"/>
    <w:rsid w:val="00947797"/>
    <w:rsid w:val="009478A2"/>
    <w:rsid w:val="009533BD"/>
    <w:rsid w:val="00953808"/>
    <w:rsid w:val="009539A6"/>
    <w:rsid w:val="00953CC3"/>
    <w:rsid w:val="00954032"/>
    <w:rsid w:val="00954537"/>
    <w:rsid w:val="0095472D"/>
    <w:rsid w:val="00955342"/>
    <w:rsid w:val="00955FBB"/>
    <w:rsid w:val="0095694B"/>
    <w:rsid w:val="00956A73"/>
    <w:rsid w:val="00956BD5"/>
    <w:rsid w:val="00956D84"/>
    <w:rsid w:val="009577B5"/>
    <w:rsid w:val="00957B44"/>
    <w:rsid w:val="009608E6"/>
    <w:rsid w:val="00960F57"/>
    <w:rsid w:val="00961C90"/>
    <w:rsid w:val="00965443"/>
    <w:rsid w:val="00965954"/>
    <w:rsid w:val="00965A21"/>
    <w:rsid w:val="00965E55"/>
    <w:rsid w:val="0096608E"/>
    <w:rsid w:val="00966522"/>
    <w:rsid w:val="00966C33"/>
    <w:rsid w:val="00967F53"/>
    <w:rsid w:val="00970F18"/>
    <w:rsid w:val="00971CF1"/>
    <w:rsid w:val="00971F5D"/>
    <w:rsid w:val="009721E9"/>
    <w:rsid w:val="00973772"/>
    <w:rsid w:val="0097560A"/>
    <w:rsid w:val="00975E1E"/>
    <w:rsid w:val="00975E70"/>
    <w:rsid w:val="009761DE"/>
    <w:rsid w:val="009766FA"/>
    <w:rsid w:val="00977A95"/>
    <w:rsid w:val="00977CD6"/>
    <w:rsid w:val="0098048B"/>
    <w:rsid w:val="00980908"/>
    <w:rsid w:val="00980DF9"/>
    <w:rsid w:val="00981CD8"/>
    <w:rsid w:val="0098243D"/>
    <w:rsid w:val="00982D26"/>
    <w:rsid w:val="00983B6E"/>
    <w:rsid w:val="00983FE5"/>
    <w:rsid w:val="009849E9"/>
    <w:rsid w:val="00984AFF"/>
    <w:rsid w:val="00984E4B"/>
    <w:rsid w:val="009859E4"/>
    <w:rsid w:val="00987812"/>
    <w:rsid w:val="00990225"/>
    <w:rsid w:val="00991307"/>
    <w:rsid w:val="00992A13"/>
    <w:rsid w:val="00994AAD"/>
    <w:rsid w:val="00995150"/>
    <w:rsid w:val="00995475"/>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5BAA"/>
    <w:rsid w:val="009A6559"/>
    <w:rsid w:val="009A68FC"/>
    <w:rsid w:val="009A6CE4"/>
    <w:rsid w:val="009A6EC3"/>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43A"/>
    <w:rsid w:val="009B7DC0"/>
    <w:rsid w:val="009C079D"/>
    <w:rsid w:val="009C0D70"/>
    <w:rsid w:val="009C13D1"/>
    <w:rsid w:val="009C2913"/>
    <w:rsid w:val="009C2BD4"/>
    <w:rsid w:val="009C3E72"/>
    <w:rsid w:val="009C4AE8"/>
    <w:rsid w:val="009C5AFE"/>
    <w:rsid w:val="009C6606"/>
    <w:rsid w:val="009C6CE5"/>
    <w:rsid w:val="009C6D50"/>
    <w:rsid w:val="009C7547"/>
    <w:rsid w:val="009D05EC"/>
    <w:rsid w:val="009D18D4"/>
    <w:rsid w:val="009D1A1F"/>
    <w:rsid w:val="009D2F60"/>
    <w:rsid w:val="009D3A2E"/>
    <w:rsid w:val="009D5ADE"/>
    <w:rsid w:val="009D5BAC"/>
    <w:rsid w:val="009D5C56"/>
    <w:rsid w:val="009D6265"/>
    <w:rsid w:val="009D64BD"/>
    <w:rsid w:val="009D6CB1"/>
    <w:rsid w:val="009D7F34"/>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621A"/>
    <w:rsid w:val="00A0740B"/>
    <w:rsid w:val="00A07ED3"/>
    <w:rsid w:val="00A10CA8"/>
    <w:rsid w:val="00A10F9B"/>
    <w:rsid w:val="00A10FA1"/>
    <w:rsid w:val="00A11042"/>
    <w:rsid w:val="00A12579"/>
    <w:rsid w:val="00A12CDC"/>
    <w:rsid w:val="00A133D8"/>
    <w:rsid w:val="00A15655"/>
    <w:rsid w:val="00A160B0"/>
    <w:rsid w:val="00A1740C"/>
    <w:rsid w:val="00A17904"/>
    <w:rsid w:val="00A20069"/>
    <w:rsid w:val="00A2244D"/>
    <w:rsid w:val="00A2253D"/>
    <w:rsid w:val="00A2267F"/>
    <w:rsid w:val="00A22CDB"/>
    <w:rsid w:val="00A23AEC"/>
    <w:rsid w:val="00A23C18"/>
    <w:rsid w:val="00A23E0A"/>
    <w:rsid w:val="00A247B8"/>
    <w:rsid w:val="00A2495A"/>
    <w:rsid w:val="00A24C7A"/>
    <w:rsid w:val="00A24D8F"/>
    <w:rsid w:val="00A25B8B"/>
    <w:rsid w:val="00A266D3"/>
    <w:rsid w:val="00A2689F"/>
    <w:rsid w:val="00A26ECA"/>
    <w:rsid w:val="00A27461"/>
    <w:rsid w:val="00A27B4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2D36"/>
    <w:rsid w:val="00A531D4"/>
    <w:rsid w:val="00A54572"/>
    <w:rsid w:val="00A54DA4"/>
    <w:rsid w:val="00A575B8"/>
    <w:rsid w:val="00A61C60"/>
    <w:rsid w:val="00A61ECB"/>
    <w:rsid w:val="00A638A0"/>
    <w:rsid w:val="00A6410C"/>
    <w:rsid w:val="00A647B1"/>
    <w:rsid w:val="00A64DEF"/>
    <w:rsid w:val="00A654D2"/>
    <w:rsid w:val="00A665DF"/>
    <w:rsid w:val="00A6699F"/>
    <w:rsid w:val="00A67FCC"/>
    <w:rsid w:val="00A70AA5"/>
    <w:rsid w:val="00A70C03"/>
    <w:rsid w:val="00A70D0D"/>
    <w:rsid w:val="00A7103D"/>
    <w:rsid w:val="00A71256"/>
    <w:rsid w:val="00A7217B"/>
    <w:rsid w:val="00A73861"/>
    <w:rsid w:val="00A739A6"/>
    <w:rsid w:val="00A740ED"/>
    <w:rsid w:val="00A74C29"/>
    <w:rsid w:val="00A74C62"/>
    <w:rsid w:val="00A75EF9"/>
    <w:rsid w:val="00A7657C"/>
    <w:rsid w:val="00A81592"/>
    <w:rsid w:val="00A82486"/>
    <w:rsid w:val="00A8311C"/>
    <w:rsid w:val="00A835D0"/>
    <w:rsid w:val="00A84C5F"/>
    <w:rsid w:val="00A85930"/>
    <w:rsid w:val="00A863F7"/>
    <w:rsid w:val="00A86604"/>
    <w:rsid w:val="00A87519"/>
    <w:rsid w:val="00A9246D"/>
    <w:rsid w:val="00A92CCA"/>
    <w:rsid w:val="00A92F9F"/>
    <w:rsid w:val="00A93BD0"/>
    <w:rsid w:val="00A93CC2"/>
    <w:rsid w:val="00A94D4B"/>
    <w:rsid w:val="00A974CC"/>
    <w:rsid w:val="00AA2001"/>
    <w:rsid w:val="00AA2B5C"/>
    <w:rsid w:val="00AA32D2"/>
    <w:rsid w:val="00AA3B8B"/>
    <w:rsid w:val="00AA4016"/>
    <w:rsid w:val="00AA4B06"/>
    <w:rsid w:val="00AA4C1F"/>
    <w:rsid w:val="00AA4E80"/>
    <w:rsid w:val="00AA5328"/>
    <w:rsid w:val="00AA5393"/>
    <w:rsid w:val="00AA5D13"/>
    <w:rsid w:val="00AA63D4"/>
    <w:rsid w:val="00AB03FD"/>
    <w:rsid w:val="00AB2000"/>
    <w:rsid w:val="00AB38CB"/>
    <w:rsid w:val="00AB3BEC"/>
    <w:rsid w:val="00AB44E4"/>
    <w:rsid w:val="00AB499C"/>
    <w:rsid w:val="00AB4AEB"/>
    <w:rsid w:val="00AB4E5F"/>
    <w:rsid w:val="00AB5352"/>
    <w:rsid w:val="00AB56AE"/>
    <w:rsid w:val="00AB62D5"/>
    <w:rsid w:val="00AB65B5"/>
    <w:rsid w:val="00AB6DCD"/>
    <w:rsid w:val="00AB6EE0"/>
    <w:rsid w:val="00AB73DC"/>
    <w:rsid w:val="00AC17A2"/>
    <w:rsid w:val="00AC40B7"/>
    <w:rsid w:val="00AC4680"/>
    <w:rsid w:val="00AC516B"/>
    <w:rsid w:val="00AC531F"/>
    <w:rsid w:val="00AC5AAA"/>
    <w:rsid w:val="00AC5B36"/>
    <w:rsid w:val="00AC6377"/>
    <w:rsid w:val="00AC66A4"/>
    <w:rsid w:val="00AC6CB1"/>
    <w:rsid w:val="00AC75E9"/>
    <w:rsid w:val="00AC7D6D"/>
    <w:rsid w:val="00AD0091"/>
    <w:rsid w:val="00AD1A28"/>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10D"/>
    <w:rsid w:val="00AE3297"/>
    <w:rsid w:val="00AE33A6"/>
    <w:rsid w:val="00AE3729"/>
    <w:rsid w:val="00AE4CCE"/>
    <w:rsid w:val="00AE5C6A"/>
    <w:rsid w:val="00AE5DB7"/>
    <w:rsid w:val="00AE7280"/>
    <w:rsid w:val="00AF01FA"/>
    <w:rsid w:val="00AF033A"/>
    <w:rsid w:val="00AF082B"/>
    <w:rsid w:val="00AF1699"/>
    <w:rsid w:val="00AF1FD3"/>
    <w:rsid w:val="00AF2910"/>
    <w:rsid w:val="00AF34B8"/>
    <w:rsid w:val="00AF3896"/>
    <w:rsid w:val="00AF3FC2"/>
    <w:rsid w:val="00AF4D55"/>
    <w:rsid w:val="00AF4DEC"/>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43"/>
    <w:rsid w:val="00B12FE6"/>
    <w:rsid w:val="00B1303F"/>
    <w:rsid w:val="00B1364A"/>
    <w:rsid w:val="00B13859"/>
    <w:rsid w:val="00B13EC9"/>
    <w:rsid w:val="00B14319"/>
    <w:rsid w:val="00B14A06"/>
    <w:rsid w:val="00B158E1"/>
    <w:rsid w:val="00B15AEE"/>
    <w:rsid w:val="00B16715"/>
    <w:rsid w:val="00B1768E"/>
    <w:rsid w:val="00B17910"/>
    <w:rsid w:val="00B20F18"/>
    <w:rsid w:val="00B21516"/>
    <w:rsid w:val="00B21A37"/>
    <w:rsid w:val="00B21D23"/>
    <w:rsid w:val="00B21F62"/>
    <w:rsid w:val="00B22CE0"/>
    <w:rsid w:val="00B23738"/>
    <w:rsid w:val="00B23BEF"/>
    <w:rsid w:val="00B23F1F"/>
    <w:rsid w:val="00B247BB"/>
    <w:rsid w:val="00B2504A"/>
    <w:rsid w:val="00B25EE6"/>
    <w:rsid w:val="00B2685C"/>
    <w:rsid w:val="00B30CD6"/>
    <w:rsid w:val="00B3115A"/>
    <w:rsid w:val="00B31825"/>
    <w:rsid w:val="00B31A5C"/>
    <w:rsid w:val="00B32265"/>
    <w:rsid w:val="00B3276D"/>
    <w:rsid w:val="00B33B06"/>
    <w:rsid w:val="00B33C19"/>
    <w:rsid w:val="00B359E2"/>
    <w:rsid w:val="00B35A15"/>
    <w:rsid w:val="00B35B45"/>
    <w:rsid w:val="00B36A99"/>
    <w:rsid w:val="00B40143"/>
    <w:rsid w:val="00B42264"/>
    <w:rsid w:val="00B434B2"/>
    <w:rsid w:val="00B43D45"/>
    <w:rsid w:val="00B459AF"/>
    <w:rsid w:val="00B468F2"/>
    <w:rsid w:val="00B469DE"/>
    <w:rsid w:val="00B47286"/>
    <w:rsid w:val="00B47EB4"/>
    <w:rsid w:val="00B50234"/>
    <w:rsid w:val="00B51BF4"/>
    <w:rsid w:val="00B52C68"/>
    <w:rsid w:val="00B5372B"/>
    <w:rsid w:val="00B542FE"/>
    <w:rsid w:val="00B54566"/>
    <w:rsid w:val="00B55A1B"/>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679"/>
    <w:rsid w:val="00B70145"/>
    <w:rsid w:val="00B71A92"/>
    <w:rsid w:val="00B71B0A"/>
    <w:rsid w:val="00B721D8"/>
    <w:rsid w:val="00B730CA"/>
    <w:rsid w:val="00B732EA"/>
    <w:rsid w:val="00B7390A"/>
    <w:rsid w:val="00B747C5"/>
    <w:rsid w:val="00B74F2F"/>
    <w:rsid w:val="00B753ED"/>
    <w:rsid w:val="00B7665F"/>
    <w:rsid w:val="00B769BC"/>
    <w:rsid w:val="00B77167"/>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87712"/>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C0F"/>
    <w:rsid w:val="00BA3FC7"/>
    <w:rsid w:val="00BA4075"/>
    <w:rsid w:val="00BA478B"/>
    <w:rsid w:val="00BA5224"/>
    <w:rsid w:val="00BA575E"/>
    <w:rsid w:val="00BA76B7"/>
    <w:rsid w:val="00BA7DDB"/>
    <w:rsid w:val="00BA7E3B"/>
    <w:rsid w:val="00BB078D"/>
    <w:rsid w:val="00BB079C"/>
    <w:rsid w:val="00BB0D7A"/>
    <w:rsid w:val="00BB10E1"/>
    <w:rsid w:val="00BB186A"/>
    <w:rsid w:val="00BB1C05"/>
    <w:rsid w:val="00BB2471"/>
    <w:rsid w:val="00BB3035"/>
    <w:rsid w:val="00BB3633"/>
    <w:rsid w:val="00BB39C1"/>
    <w:rsid w:val="00BB3DF5"/>
    <w:rsid w:val="00BB3EA7"/>
    <w:rsid w:val="00BB5D16"/>
    <w:rsid w:val="00BB6180"/>
    <w:rsid w:val="00BB69E6"/>
    <w:rsid w:val="00BB7323"/>
    <w:rsid w:val="00BB7BE5"/>
    <w:rsid w:val="00BC0139"/>
    <w:rsid w:val="00BC08BD"/>
    <w:rsid w:val="00BC11E8"/>
    <w:rsid w:val="00BC1B7A"/>
    <w:rsid w:val="00BC2C17"/>
    <w:rsid w:val="00BC3ACD"/>
    <w:rsid w:val="00BC3B20"/>
    <w:rsid w:val="00BC3EE4"/>
    <w:rsid w:val="00BC588C"/>
    <w:rsid w:val="00BC67FF"/>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180B"/>
    <w:rsid w:val="00BE2260"/>
    <w:rsid w:val="00BE32F3"/>
    <w:rsid w:val="00BE3917"/>
    <w:rsid w:val="00BE50FD"/>
    <w:rsid w:val="00BE51CA"/>
    <w:rsid w:val="00BE537F"/>
    <w:rsid w:val="00BE5D77"/>
    <w:rsid w:val="00BE6D47"/>
    <w:rsid w:val="00BE7032"/>
    <w:rsid w:val="00BE7330"/>
    <w:rsid w:val="00BF01C5"/>
    <w:rsid w:val="00BF061A"/>
    <w:rsid w:val="00BF066A"/>
    <w:rsid w:val="00BF14CC"/>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47AB"/>
    <w:rsid w:val="00C04E43"/>
    <w:rsid w:val="00C058AF"/>
    <w:rsid w:val="00C05D1E"/>
    <w:rsid w:val="00C075B6"/>
    <w:rsid w:val="00C110FD"/>
    <w:rsid w:val="00C124C1"/>
    <w:rsid w:val="00C128AE"/>
    <w:rsid w:val="00C12BA8"/>
    <w:rsid w:val="00C13094"/>
    <w:rsid w:val="00C136D6"/>
    <w:rsid w:val="00C13D5B"/>
    <w:rsid w:val="00C141D7"/>
    <w:rsid w:val="00C154A3"/>
    <w:rsid w:val="00C16EB9"/>
    <w:rsid w:val="00C1711B"/>
    <w:rsid w:val="00C17AE2"/>
    <w:rsid w:val="00C20140"/>
    <w:rsid w:val="00C20F27"/>
    <w:rsid w:val="00C215CF"/>
    <w:rsid w:val="00C22250"/>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B19"/>
    <w:rsid w:val="00C37D56"/>
    <w:rsid w:val="00C40D4B"/>
    <w:rsid w:val="00C413CB"/>
    <w:rsid w:val="00C42752"/>
    <w:rsid w:val="00C42973"/>
    <w:rsid w:val="00C44206"/>
    <w:rsid w:val="00C44A36"/>
    <w:rsid w:val="00C46B95"/>
    <w:rsid w:val="00C4712A"/>
    <w:rsid w:val="00C47F88"/>
    <w:rsid w:val="00C5034F"/>
    <w:rsid w:val="00C50830"/>
    <w:rsid w:val="00C52479"/>
    <w:rsid w:val="00C5266E"/>
    <w:rsid w:val="00C52C59"/>
    <w:rsid w:val="00C5349E"/>
    <w:rsid w:val="00C539FF"/>
    <w:rsid w:val="00C544BD"/>
    <w:rsid w:val="00C54D3D"/>
    <w:rsid w:val="00C55A30"/>
    <w:rsid w:val="00C56384"/>
    <w:rsid w:val="00C568B6"/>
    <w:rsid w:val="00C60F8C"/>
    <w:rsid w:val="00C61794"/>
    <w:rsid w:val="00C61CB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3BA9"/>
    <w:rsid w:val="00C74035"/>
    <w:rsid w:val="00C748EA"/>
    <w:rsid w:val="00C75531"/>
    <w:rsid w:val="00C77818"/>
    <w:rsid w:val="00C8063F"/>
    <w:rsid w:val="00C80931"/>
    <w:rsid w:val="00C81282"/>
    <w:rsid w:val="00C827B4"/>
    <w:rsid w:val="00C82B40"/>
    <w:rsid w:val="00C83214"/>
    <w:rsid w:val="00C8329F"/>
    <w:rsid w:val="00C84F8A"/>
    <w:rsid w:val="00C85BA4"/>
    <w:rsid w:val="00C8618F"/>
    <w:rsid w:val="00C8625D"/>
    <w:rsid w:val="00C87F3F"/>
    <w:rsid w:val="00C90372"/>
    <w:rsid w:val="00C9041F"/>
    <w:rsid w:val="00C9112E"/>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1E61"/>
    <w:rsid w:val="00CA25C0"/>
    <w:rsid w:val="00CA3451"/>
    <w:rsid w:val="00CA35C6"/>
    <w:rsid w:val="00CA4948"/>
    <w:rsid w:val="00CA4FA3"/>
    <w:rsid w:val="00CA4FF9"/>
    <w:rsid w:val="00CA52F9"/>
    <w:rsid w:val="00CA5368"/>
    <w:rsid w:val="00CA568B"/>
    <w:rsid w:val="00CA573A"/>
    <w:rsid w:val="00CA584D"/>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40B"/>
    <w:rsid w:val="00CD5DAD"/>
    <w:rsid w:val="00CD7037"/>
    <w:rsid w:val="00CD72C5"/>
    <w:rsid w:val="00CD79A7"/>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0E12"/>
    <w:rsid w:val="00D01CF9"/>
    <w:rsid w:val="00D02BF7"/>
    <w:rsid w:val="00D02FFD"/>
    <w:rsid w:val="00D0334D"/>
    <w:rsid w:val="00D0374D"/>
    <w:rsid w:val="00D06851"/>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0C6"/>
    <w:rsid w:val="00D2438C"/>
    <w:rsid w:val="00D2585A"/>
    <w:rsid w:val="00D259B0"/>
    <w:rsid w:val="00D26C3F"/>
    <w:rsid w:val="00D27185"/>
    <w:rsid w:val="00D3028A"/>
    <w:rsid w:val="00D31CDD"/>
    <w:rsid w:val="00D33488"/>
    <w:rsid w:val="00D33AB3"/>
    <w:rsid w:val="00D33F24"/>
    <w:rsid w:val="00D34160"/>
    <w:rsid w:val="00D3466D"/>
    <w:rsid w:val="00D346B8"/>
    <w:rsid w:val="00D34DCA"/>
    <w:rsid w:val="00D3575F"/>
    <w:rsid w:val="00D35AC8"/>
    <w:rsid w:val="00D36F87"/>
    <w:rsid w:val="00D37E4E"/>
    <w:rsid w:val="00D4056F"/>
    <w:rsid w:val="00D417D8"/>
    <w:rsid w:val="00D41F78"/>
    <w:rsid w:val="00D42E6C"/>
    <w:rsid w:val="00D4351C"/>
    <w:rsid w:val="00D4353A"/>
    <w:rsid w:val="00D43B80"/>
    <w:rsid w:val="00D44988"/>
    <w:rsid w:val="00D45B4C"/>
    <w:rsid w:val="00D45BA4"/>
    <w:rsid w:val="00D45EF6"/>
    <w:rsid w:val="00D471AF"/>
    <w:rsid w:val="00D471E2"/>
    <w:rsid w:val="00D4724F"/>
    <w:rsid w:val="00D50519"/>
    <w:rsid w:val="00D50614"/>
    <w:rsid w:val="00D50622"/>
    <w:rsid w:val="00D51601"/>
    <w:rsid w:val="00D51ECB"/>
    <w:rsid w:val="00D5264C"/>
    <w:rsid w:val="00D52BBC"/>
    <w:rsid w:val="00D537FE"/>
    <w:rsid w:val="00D53CC9"/>
    <w:rsid w:val="00D53DC6"/>
    <w:rsid w:val="00D54A6A"/>
    <w:rsid w:val="00D54B8F"/>
    <w:rsid w:val="00D55848"/>
    <w:rsid w:val="00D55951"/>
    <w:rsid w:val="00D559F0"/>
    <w:rsid w:val="00D57EB6"/>
    <w:rsid w:val="00D608C0"/>
    <w:rsid w:val="00D60D6D"/>
    <w:rsid w:val="00D6128C"/>
    <w:rsid w:val="00D66D8B"/>
    <w:rsid w:val="00D672EF"/>
    <w:rsid w:val="00D70849"/>
    <w:rsid w:val="00D72297"/>
    <w:rsid w:val="00D72A1C"/>
    <w:rsid w:val="00D7308F"/>
    <w:rsid w:val="00D7313E"/>
    <w:rsid w:val="00D73580"/>
    <w:rsid w:val="00D73802"/>
    <w:rsid w:val="00D73C2C"/>
    <w:rsid w:val="00D73D52"/>
    <w:rsid w:val="00D745E7"/>
    <w:rsid w:val="00D7581F"/>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9C6"/>
    <w:rsid w:val="00DA2D3D"/>
    <w:rsid w:val="00DA3855"/>
    <w:rsid w:val="00DA4C30"/>
    <w:rsid w:val="00DA5C8A"/>
    <w:rsid w:val="00DA6A44"/>
    <w:rsid w:val="00DA7A3C"/>
    <w:rsid w:val="00DB0E38"/>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249"/>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617"/>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FB8"/>
    <w:rsid w:val="00E10913"/>
    <w:rsid w:val="00E10B87"/>
    <w:rsid w:val="00E121CE"/>
    <w:rsid w:val="00E12209"/>
    <w:rsid w:val="00E1478B"/>
    <w:rsid w:val="00E14FAC"/>
    <w:rsid w:val="00E15007"/>
    <w:rsid w:val="00E16277"/>
    <w:rsid w:val="00E16EC7"/>
    <w:rsid w:val="00E17DCC"/>
    <w:rsid w:val="00E219CE"/>
    <w:rsid w:val="00E21D93"/>
    <w:rsid w:val="00E23812"/>
    <w:rsid w:val="00E24071"/>
    <w:rsid w:val="00E24EBC"/>
    <w:rsid w:val="00E25149"/>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198D"/>
    <w:rsid w:val="00E43054"/>
    <w:rsid w:val="00E43655"/>
    <w:rsid w:val="00E44440"/>
    <w:rsid w:val="00E46013"/>
    <w:rsid w:val="00E47099"/>
    <w:rsid w:val="00E47284"/>
    <w:rsid w:val="00E477A9"/>
    <w:rsid w:val="00E477C3"/>
    <w:rsid w:val="00E51E16"/>
    <w:rsid w:val="00E52DED"/>
    <w:rsid w:val="00E53730"/>
    <w:rsid w:val="00E5438D"/>
    <w:rsid w:val="00E54511"/>
    <w:rsid w:val="00E54E50"/>
    <w:rsid w:val="00E54EC9"/>
    <w:rsid w:val="00E55288"/>
    <w:rsid w:val="00E57577"/>
    <w:rsid w:val="00E60A2E"/>
    <w:rsid w:val="00E60BD7"/>
    <w:rsid w:val="00E62043"/>
    <w:rsid w:val="00E626B9"/>
    <w:rsid w:val="00E627C9"/>
    <w:rsid w:val="00E630F3"/>
    <w:rsid w:val="00E6332F"/>
    <w:rsid w:val="00E637C9"/>
    <w:rsid w:val="00E639E6"/>
    <w:rsid w:val="00E6402D"/>
    <w:rsid w:val="00E6680A"/>
    <w:rsid w:val="00E66F0D"/>
    <w:rsid w:val="00E67741"/>
    <w:rsid w:val="00E67CAE"/>
    <w:rsid w:val="00E70615"/>
    <w:rsid w:val="00E7161E"/>
    <w:rsid w:val="00E71B40"/>
    <w:rsid w:val="00E7207B"/>
    <w:rsid w:val="00E7347A"/>
    <w:rsid w:val="00E75A47"/>
    <w:rsid w:val="00E75BB6"/>
    <w:rsid w:val="00E75D8C"/>
    <w:rsid w:val="00E777BB"/>
    <w:rsid w:val="00E777F2"/>
    <w:rsid w:val="00E802C9"/>
    <w:rsid w:val="00E80342"/>
    <w:rsid w:val="00E80BFB"/>
    <w:rsid w:val="00E80F0A"/>
    <w:rsid w:val="00E815D4"/>
    <w:rsid w:val="00E8291B"/>
    <w:rsid w:val="00E82E70"/>
    <w:rsid w:val="00E82F92"/>
    <w:rsid w:val="00E8395F"/>
    <w:rsid w:val="00E8410F"/>
    <w:rsid w:val="00E849D7"/>
    <w:rsid w:val="00E85E41"/>
    <w:rsid w:val="00E85EA1"/>
    <w:rsid w:val="00E86030"/>
    <w:rsid w:val="00E86703"/>
    <w:rsid w:val="00E900DA"/>
    <w:rsid w:val="00E91044"/>
    <w:rsid w:val="00E910D3"/>
    <w:rsid w:val="00E92154"/>
    <w:rsid w:val="00E923CF"/>
    <w:rsid w:val="00E93685"/>
    <w:rsid w:val="00E93B65"/>
    <w:rsid w:val="00E93C8C"/>
    <w:rsid w:val="00E95111"/>
    <w:rsid w:val="00E95FDF"/>
    <w:rsid w:val="00EA1198"/>
    <w:rsid w:val="00EA14C8"/>
    <w:rsid w:val="00EA2110"/>
    <w:rsid w:val="00EA283A"/>
    <w:rsid w:val="00EA2C90"/>
    <w:rsid w:val="00EA2E07"/>
    <w:rsid w:val="00EA383B"/>
    <w:rsid w:val="00EA48F3"/>
    <w:rsid w:val="00EA60BF"/>
    <w:rsid w:val="00EA6847"/>
    <w:rsid w:val="00EA7365"/>
    <w:rsid w:val="00EA763F"/>
    <w:rsid w:val="00EA77E9"/>
    <w:rsid w:val="00EB05D0"/>
    <w:rsid w:val="00EB1151"/>
    <w:rsid w:val="00EB1D49"/>
    <w:rsid w:val="00EB23D9"/>
    <w:rsid w:val="00EB39A0"/>
    <w:rsid w:val="00EB559F"/>
    <w:rsid w:val="00EB566C"/>
    <w:rsid w:val="00EB5A18"/>
    <w:rsid w:val="00EB5F3D"/>
    <w:rsid w:val="00EB6C97"/>
    <w:rsid w:val="00EC1CEB"/>
    <w:rsid w:val="00EC1DC0"/>
    <w:rsid w:val="00EC1DC2"/>
    <w:rsid w:val="00EC1E09"/>
    <w:rsid w:val="00EC21EC"/>
    <w:rsid w:val="00EC24B8"/>
    <w:rsid w:val="00EC268C"/>
    <w:rsid w:val="00EC3753"/>
    <w:rsid w:val="00EC4E71"/>
    <w:rsid w:val="00EC5F1C"/>
    <w:rsid w:val="00ED0365"/>
    <w:rsid w:val="00ED0865"/>
    <w:rsid w:val="00ED1C60"/>
    <w:rsid w:val="00ED2E25"/>
    <w:rsid w:val="00ED2EB9"/>
    <w:rsid w:val="00ED3722"/>
    <w:rsid w:val="00ED3A31"/>
    <w:rsid w:val="00ED4469"/>
    <w:rsid w:val="00ED44F6"/>
    <w:rsid w:val="00ED5424"/>
    <w:rsid w:val="00ED5F23"/>
    <w:rsid w:val="00ED6A63"/>
    <w:rsid w:val="00ED6DC0"/>
    <w:rsid w:val="00ED7A7A"/>
    <w:rsid w:val="00EE0327"/>
    <w:rsid w:val="00EE038C"/>
    <w:rsid w:val="00EE28C5"/>
    <w:rsid w:val="00EE2F09"/>
    <w:rsid w:val="00EE47C5"/>
    <w:rsid w:val="00EE490C"/>
    <w:rsid w:val="00EE4E57"/>
    <w:rsid w:val="00EE516C"/>
    <w:rsid w:val="00EE5415"/>
    <w:rsid w:val="00EE5738"/>
    <w:rsid w:val="00EE58BD"/>
    <w:rsid w:val="00EE5E59"/>
    <w:rsid w:val="00EE73D0"/>
    <w:rsid w:val="00EE7CB0"/>
    <w:rsid w:val="00EF08A8"/>
    <w:rsid w:val="00EF167B"/>
    <w:rsid w:val="00EF41A8"/>
    <w:rsid w:val="00EF44FB"/>
    <w:rsid w:val="00EF4DF5"/>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9EA"/>
    <w:rsid w:val="00F06E85"/>
    <w:rsid w:val="00F070E5"/>
    <w:rsid w:val="00F07DDE"/>
    <w:rsid w:val="00F11675"/>
    <w:rsid w:val="00F12557"/>
    <w:rsid w:val="00F13599"/>
    <w:rsid w:val="00F13B28"/>
    <w:rsid w:val="00F14542"/>
    <w:rsid w:val="00F1520A"/>
    <w:rsid w:val="00F156A0"/>
    <w:rsid w:val="00F15730"/>
    <w:rsid w:val="00F176A6"/>
    <w:rsid w:val="00F202C2"/>
    <w:rsid w:val="00F212A8"/>
    <w:rsid w:val="00F212F6"/>
    <w:rsid w:val="00F21905"/>
    <w:rsid w:val="00F22756"/>
    <w:rsid w:val="00F23248"/>
    <w:rsid w:val="00F23890"/>
    <w:rsid w:val="00F2504D"/>
    <w:rsid w:val="00F2637F"/>
    <w:rsid w:val="00F268F7"/>
    <w:rsid w:val="00F30B83"/>
    <w:rsid w:val="00F30BDB"/>
    <w:rsid w:val="00F30CF8"/>
    <w:rsid w:val="00F31EDF"/>
    <w:rsid w:val="00F32CDE"/>
    <w:rsid w:val="00F32D4C"/>
    <w:rsid w:val="00F3327E"/>
    <w:rsid w:val="00F337E0"/>
    <w:rsid w:val="00F338C3"/>
    <w:rsid w:val="00F34B14"/>
    <w:rsid w:val="00F34F58"/>
    <w:rsid w:val="00F35DA7"/>
    <w:rsid w:val="00F36A6A"/>
    <w:rsid w:val="00F40101"/>
    <w:rsid w:val="00F404F7"/>
    <w:rsid w:val="00F40CCA"/>
    <w:rsid w:val="00F40F46"/>
    <w:rsid w:val="00F42D97"/>
    <w:rsid w:val="00F436B2"/>
    <w:rsid w:val="00F43813"/>
    <w:rsid w:val="00F43FEE"/>
    <w:rsid w:val="00F4492F"/>
    <w:rsid w:val="00F45A72"/>
    <w:rsid w:val="00F46723"/>
    <w:rsid w:val="00F4703B"/>
    <w:rsid w:val="00F4706D"/>
    <w:rsid w:val="00F476E1"/>
    <w:rsid w:val="00F47D1D"/>
    <w:rsid w:val="00F47F29"/>
    <w:rsid w:val="00F50016"/>
    <w:rsid w:val="00F50451"/>
    <w:rsid w:val="00F50A80"/>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282"/>
    <w:rsid w:val="00F756DD"/>
    <w:rsid w:val="00F77518"/>
    <w:rsid w:val="00F77F4E"/>
    <w:rsid w:val="00F80047"/>
    <w:rsid w:val="00F800C7"/>
    <w:rsid w:val="00F8104D"/>
    <w:rsid w:val="00F8153F"/>
    <w:rsid w:val="00F81587"/>
    <w:rsid w:val="00F81769"/>
    <w:rsid w:val="00F8288F"/>
    <w:rsid w:val="00F8376E"/>
    <w:rsid w:val="00F84802"/>
    <w:rsid w:val="00F85B72"/>
    <w:rsid w:val="00F86540"/>
    <w:rsid w:val="00F865CE"/>
    <w:rsid w:val="00F8766F"/>
    <w:rsid w:val="00F90282"/>
    <w:rsid w:val="00F91082"/>
    <w:rsid w:val="00F9116D"/>
    <w:rsid w:val="00F91250"/>
    <w:rsid w:val="00F91342"/>
    <w:rsid w:val="00F91A9A"/>
    <w:rsid w:val="00F92634"/>
    <w:rsid w:val="00F933F3"/>
    <w:rsid w:val="00F93ABB"/>
    <w:rsid w:val="00F94D79"/>
    <w:rsid w:val="00F954FC"/>
    <w:rsid w:val="00F9658C"/>
    <w:rsid w:val="00F96E05"/>
    <w:rsid w:val="00F97A7F"/>
    <w:rsid w:val="00FA0889"/>
    <w:rsid w:val="00FA16E7"/>
    <w:rsid w:val="00FA31C7"/>
    <w:rsid w:val="00FA472D"/>
    <w:rsid w:val="00FA681F"/>
    <w:rsid w:val="00FB0CBF"/>
    <w:rsid w:val="00FB18F6"/>
    <w:rsid w:val="00FB2A52"/>
    <w:rsid w:val="00FB2B7B"/>
    <w:rsid w:val="00FB2CDD"/>
    <w:rsid w:val="00FB3F92"/>
    <w:rsid w:val="00FB52C7"/>
    <w:rsid w:val="00FB57DC"/>
    <w:rsid w:val="00FB6E19"/>
    <w:rsid w:val="00FB71F6"/>
    <w:rsid w:val="00FB78C5"/>
    <w:rsid w:val="00FB7CF2"/>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1A47"/>
    <w:rsid w:val="00FE24CB"/>
    <w:rsid w:val="00FE2FC2"/>
    <w:rsid w:val="00FE323F"/>
    <w:rsid w:val="00FE3473"/>
    <w:rsid w:val="00FE35CC"/>
    <w:rsid w:val="00FE4049"/>
    <w:rsid w:val="00FE4794"/>
    <w:rsid w:val="00FE480F"/>
    <w:rsid w:val="00FE4998"/>
    <w:rsid w:val="00FE56B7"/>
    <w:rsid w:val="00FE57DE"/>
    <w:rsid w:val="00FE7A68"/>
    <w:rsid w:val="00FF0231"/>
    <w:rsid w:val="00FF1C9B"/>
    <w:rsid w:val="00FF1D49"/>
    <w:rsid w:val="00FF203B"/>
    <w:rsid w:val="00FF2562"/>
    <w:rsid w:val="00FF2B6C"/>
    <w:rsid w:val="00FF3A41"/>
    <w:rsid w:val="00FF3E5B"/>
    <w:rsid w:val="00FF4C8E"/>
    <w:rsid w:val="00FF57E4"/>
    <w:rsid w:val="00FF62AA"/>
    <w:rsid w:val="00FF78E5"/>
    <w:rsid w:val="010827C0"/>
    <w:rsid w:val="0119677B"/>
    <w:rsid w:val="012C5FAF"/>
    <w:rsid w:val="01604952"/>
    <w:rsid w:val="01626374"/>
    <w:rsid w:val="01AF3D99"/>
    <w:rsid w:val="01B52C2D"/>
    <w:rsid w:val="01F66ABD"/>
    <w:rsid w:val="01F91C73"/>
    <w:rsid w:val="01F96404"/>
    <w:rsid w:val="01FD42EF"/>
    <w:rsid w:val="0201302D"/>
    <w:rsid w:val="021E06BD"/>
    <w:rsid w:val="02247ACE"/>
    <w:rsid w:val="023C4E17"/>
    <w:rsid w:val="024E4B4B"/>
    <w:rsid w:val="02511F9D"/>
    <w:rsid w:val="02816CCE"/>
    <w:rsid w:val="02A36C44"/>
    <w:rsid w:val="02DB6B5E"/>
    <w:rsid w:val="02EA5802"/>
    <w:rsid w:val="02FB6B16"/>
    <w:rsid w:val="032220C1"/>
    <w:rsid w:val="03497C46"/>
    <w:rsid w:val="036543A8"/>
    <w:rsid w:val="03654FA1"/>
    <w:rsid w:val="03A03330"/>
    <w:rsid w:val="03A314B8"/>
    <w:rsid w:val="03B7227C"/>
    <w:rsid w:val="03BB1D6C"/>
    <w:rsid w:val="03C5243A"/>
    <w:rsid w:val="03D82B98"/>
    <w:rsid w:val="03E47515"/>
    <w:rsid w:val="03F721BB"/>
    <w:rsid w:val="03F83E8B"/>
    <w:rsid w:val="03FF37B7"/>
    <w:rsid w:val="04037F47"/>
    <w:rsid w:val="04277DCB"/>
    <w:rsid w:val="04A91D2C"/>
    <w:rsid w:val="04BF763A"/>
    <w:rsid w:val="04CD61FB"/>
    <w:rsid w:val="04EF7F2B"/>
    <w:rsid w:val="050140F6"/>
    <w:rsid w:val="05067536"/>
    <w:rsid w:val="05243941"/>
    <w:rsid w:val="05305068"/>
    <w:rsid w:val="05684F0B"/>
    <w:rsid w:val="05A131E3"/>
    <w:rsid w:val="05AC1B2E"/>
    <w:rsid w:val="05C56868"/>
    <w:rsid w:val="05DC07B9"/>
    <w:rsid w:val="06112117"/>
    <w:rsid w:val="061C715B"/>
    <w:rsid w:val="06472F82"/>
    <w:rsid w:val="066F5090"/>
    <w:rsid w:val="06705FB0"/>
    <w:rsid w:val="068F128E"/>
    <w:rsid w:val="0693415D"/>
    <w:rsid w:val="06B70F10"/>
    <w:rsid w:val="06BA27AF"/>
    <w:rsid w:val="06EF31F8"/>
    <w:rsid w:val="06F21F49"/>
    <w:rsid w:val="06F2558C"/>
    <w:rsid w:val="06FD08ED"/>
    <w:rsid w:val="06FF6413"/>
    <w:rsid w:val="07017BB4"/>
    <w:rsid w:val="07131CDD"/>
    <w:rsid w:val="073E518E"/>
    <w:rsid w:val="076C485E"/>
    <w:rsid w:val="07754928"/>
    <w:rsid w:val="07A04753"/>
    <w:rsid w:val="07A33592"/>
    <w:rsid w:val="07B72767"/>
    <w:rsid w:val="07BB67DE"/>
    <w:rsid w:val="07C823E3"/>
    <w:rsid w:val="07D63618"/>
    <w:rsid w:val="07E43A81"/>
    <w:rsid w:val="07FB4E2D"/>
    <w:rsid w:val="08077E72"/>
    <w:rsid w:val="080F176C"/>
    <w:rsid w:val="0817778D"/>
    <w:rsid w:val="082C4F20"/>
    <w:rsid w:val="0832086E"/>
    <w:rsid w:val="083245C7"/>
    <w:rsid w:val="0843490A"/>
    <w:rsid w:val="08882DD0"/>
    <w:rsid w:val="08946FCA"/>
    <w:rsid w:val="08B80099"/>
    <w:rsid w:val="08C07E24"/>
    <w:rsid w:val="08D119D4"/>
    <w:rsid w:val="08E12275"/>
    <w:rsid w:val="08FA0AD1"/>
    <w:rsid w:val="09364131"/>
    <w:rsid w:val="093F3D8B"/>
    <w:rsid w:val="09666C3E"/>
    <w:rsid w:val="0981726F"/>
    <w:rsid w:val="098F7F12"/>
    <w:rsid w:val="09C23374"/>
    <w:rsid w:val="09CA084E"/>
    <w:rsid w:val="09CC2AAC"/>
    <w:rsid w:val="0A092713"/>
    <w:rsid w:val="0A1F722F"/>
    <w:rsid w:val="0A256191"/>
    <w:rsid w:val="0A3D797F"/>
    <w:rsid w:val="0A423A07"/>
    <w:rsid w:val="0A4A5BF8"/>
    <w:rsid w:val="0A652D3E"/>
    <w:rsid w:val="0A6E5D8A"/>
    <w:rsid w:val="0AA74DF8"/>
    <w:rsid w:val="0AD876A7"/>
    <w:rsid w:val="0AE06CE3"/>
    <w:rsid w:val="0AF73FD1"/>
    <w:rsid w:val="0B236999"/>
    <w:rsid w:val="0B305702"/>
    <w:rsid w:val="0B326F2A"/>
    <w:rsid w:val="0B372620"/>
    <w:rsid w:val="0B3E3044"/>
    <w:rsid w:val="0B5374D4"/>
    <w:rsid w:val="0BC34238"/>
    <w:rsid w:val="0BFE313E"/>
    <w:rsid w:val="0C0B585A"/>
    <w:rsid w:val="0C1E2888"/>
    <w:rsid w:val="0C3D1EB8"/>
    <w:rsid w:val="0C4C20FB"/>
    <w:rsid w:val="0C6531BD"/>
    <w:rsid w:val="0C7B653C"/>
    <w:rsid w:val="0C8E61AF"/>
    <w:rsid w:val="0C92213C"/>
    <w:rsid w:val="0CAF06D2"/>
    <w:rsid w:val="0CBE28CD"/>
    <w:rsid w:val="0CC2027E"/>
    <w:rsid w:val="0CEF2A86"/>
    <w:rsid w:val="0D7B16D9"/>
    <w:rsid w:val="0D84032B"/>
    <w:rsid w:val="0D860CD8"/>
    <w:rsid w:val="0DB13EEB"/>
    <w:rsid w:val="0DB735A4"/>
    <w:rsid w:val="0E1F1149"/>
    <w:rsid w:val="0E6454B7"/>
    <w:rsid w:val="0E7525BA"/>
    <w:rsid w:val="0E8A6F0A"/>
    <w:rsid w:val="0E9F560A"/>
    <w:rsid w:val="0EAC6E81"/>
    <w:rsid w:val="0ECE329B"/>
    <w:rsid w:val="0EE428AF"/>
    <w:rsid w:val="0EF645A0"/>
    <w:rsid w:val="0F000298"/>
    <w:rsid w:val="0F0071CD"/>
    <w:rsid w:val="0F032819"/>
    <w:rsid w:val="0F094436"/>
    <w:rsid w:val="0F1D7D7F"/>
    <w:rsid w:val="0F2A74C4"/>
    <w:rsid w:val="0F2F1860"/>
    <w:rsid w:val="0F384BB8"/>
    <w:rsid w:val="0F5A5D56"/>
    <w:rsid w:val="0F620A10"/>
    <w:rsid w:val="0F711E78"/>
    <w:rsid w:val="0F7729A5"/>
    <w:rsid w:val="0F7D3202"/>
    <w:rsid w:val="0FC11AFA"/>
    <w:rsid w:val="0FE8038D"/>
    <w:rsid w:val="10014FAA"/>
    <w:rsid w:val="101E5B5C"/>
    <w:rsid w:val="104A1F3F"/>
    <w:rsid w:val="104A4BA3"/>
    <w:rsid w:val="106D61C5"/>
    <w:rsid w:val="107240FA"/>
    <w:rsid w:val="108D4996"/>
    <w:rsid w:val="10A27F31"/>
    <w:rsid w:val="10DC1574"/>
    <w:rsid w:val="10F20BC2"/>
    <w:rsid w:val="11101D8E"/>
    <w:rsid w:val="115B4B8E"/>
    <w:rsid w:val="118916FB"/>
    <w:rsid w:val="11927058"/>
    <w:rsid w:val="11BA7B07"/>
    <w:rsid w:val="11BD2243"/>
    <w:rsid w:val="11BD57DB"/>
    <w:rsid w:val="11C14915"/>
    <w:rsid w:val="11F72B09"/>
    <w:rsid w:val="121045D6"/>
    <w:rsid w:val="122D02D9"/>
    <w:rsid w:val="12366DE6"/>
    <w:rsid w:val="12521AED"/>
    <w:rsid w:val="12743D83"/>
    <w:rsid w:val="128D0D77"/>
    <w:rsid w:val="128D3C2B"/>
    <w:rsid w:val="12957C2C"/>
    <w:rsid w:val="12AD3208"/>
    <w:rsid w:val="12B96010"/>
    <w:rsid w:val="130628D8"/>
    <w:rsid w:val="131928BF"/>
    <w:rsid w:val="131B727A"/>
    <w:rsid w:val="13482EF0"/>
    <w:rsid w:val="134B4B78"/>
    <w:rsid w:val="135B2B22"/>
    <w:rsid w:val="137D5290"/>
    <w:rsid w:val="13914897"/>
    <w:rsid w:val="13946135"/>
    <w:rsid w:val="13AF4F03"/>
    <w:rsid w:val="13E04CDB"/>
    <w:rsid w:val="144A092A"/>
    <w:rsid w:val="14704A54"/>
    <w:rsid w:val="14736E66"/>
    <w:rsid w:val="14771CDF"/>
    <w:rsid w:val="147F458F"/>
    <w:rsid w:val="14947BFE"/>
    <w:rsid w:val="149A00A4"/>
    <w:rsid w:val="14B10388"/>
    <w:rsid w:val="14C6340F"/>
    <w:rsid w:val="14CF38C9"/>
    <w:rsid w:val="14D174E6"/>
    <w:rsid w:val="14E44281"/>
    <w:rsid w:val="15033573"/>
    <w:rsid w:val="1534169A"/>
    <w:rsid w:val="156068E6"/>
    <w:rsid w:val="156D538C"/>
    <w:rsid w:val="15927144"/>
    <w:rsid w:val="159B506F"/>
    <w:rsid w:val="15C03E03"/>
    <w:rsid w:val="15E52C78"/>
    <w:rsid w:val="15EF3AF7"/>
    <w:rsid w:val="15F668AA"/>
    <w:rsid w:val="16140CAA"/>
    <w:rsid w:val="16290DB7"/>
    <w:rsid w:val="162A25EB"/>
    <w:rsid w:val="16353C00"/>
    <w:rsid w:val="163B1D08"/>
    <w:rsid w:val="167272EA"/>
    <w:rsid w:val="16735895"/>
    <w:rsid w:val="16816E45"/>
    <w:rsid w:val="16B54D41"/>
    <w:rsid w:val="16D01B7A"/>
    <w:rsid w:val="16ED6288"/>
    <w:rsid w:val="16F74B8C"/>
    <w:rsid w:val="16FD2A55"/>
    <w:rsid w:val="17001FDA"/>
    <w:rsid w:val="17067C1A"/>
    <w:rsid w:val="173619DD"/>
    <w:rsid w:val="17366761"/>
    <w:rsid w:val="173D7210"/>
    <w:rsid w:val="174D31CB"/>
    <w:rsid w:val="174E2EC4"/>
    <w:rsid w:val="17514A69"/>
    <w:rsid w:val="17567E8F"/>
    <w:rsid w:val="176F6C9D"/>
    <w:rsid w:val="177C01F0"/>
    <w:rsid w:val="179E3EFA"/>
    <w:rsid w:val="17A252C5"/>
    <w:rsid w:val="17CE6630"/>
    <w:rsid w:val="17D2722C"/>
    <w:rsid w:val="17E05DED"/>
    <w:rsid w:val="17F4641B"/>
    <w:rsid w:val="18001FEB"/>
    <w:rsid w:val="18155A97"/>
    <w:rsid w:val="181D494B"/>
    <w:rsid w:val="18291A50"/>
    <w:rsid w:val="1844637C"/>
    <w:rsid w:val="18452ED7"/>
    <w:rsid w:val="184B6E30"/>
    <w:rsid w:val="185F6D12"/>
    <w:rsid w:val="187F3D33"/>
    <w:rsid w:val="18820F70"/>
    <w:rsid w:val="18972950"/>
    <w:rsid w:val="189F35B2"/>
    <w:rsid w:val="18B21538"/>
    <w:rsid w:val="18E35B95"/>
    <w:rsid w:val="18F558C8"/>
    <w:rsid w:val="195474DE"/>
    <w:rsid w:val="195B507D"/>
    <w:rsid w:val="19C844D8"/>
    <w:rsid w:val="19EE7E5D"/>
    <w:rsid w:val="19EF056A"/>
    <w:rsid w:val="1A1D50D7"/>
    <w:rsid w:val="1A3A0E9F"/>
    <w:rsid w:val="1A5F0EA6"/>
    <w:rsid w:val="1A7B3BAB"/>
    <w:rsid w:val="1A8B76DB"/>
    <w:rsid w:val="1A952EBF"/>
    <w:rsid w:val="1A98650B"/>
    <w:rsid w:val="1AA94BBC"/>
    <w:rsid w:val="1AAA4452"/>
    <w:rsid w:val="1AC252C2"/>
    <w:rsid w:val="1AC63078"/>
    <w:rsid w:val="1AD11A1D"/>
    <w:rsid w:val="1AFF0AFE"/>
    <w:rsid w:val="1B1319D3"/>
    <w:rsid w:val="1B177D78"/>
    <w:rsid w:val="1B252495"/>
    <w:rsid w:val="1B412001"/>
    <w:rsid w:val="1B4F19F8"/>
    <w:rsid w:val="1B823581"/>
    <w:rsid w:val="1BA972F6"/>
    <w:rsid w:val="1BBD091F"/>
    <w:rsid w:val="1BE50DD1"/>
    <w:rsid w:val="1BEF4851"/>
    <w:rsid w:val="1C1F23FA"/>
    <w:rsid w:val="1C4306F9"/>
    <w:rsid w:val="1C4526C3"/>
    <w:rsid w:val="1C47468D"/>
    <w:rsid w:val="1C5D5C5E"/>
    <w:rsid w:val="1C6B432E"/>
    <w:rsid w:val="1C8101E5"/>
    <w:rsid w:val="1C8409D2"/>
    <w:rsid w:val="1C970A1D"/>
    <w:rsid w:val="1CCE2EE5"/>
    <w:rsid w:val="1CDA72AF"/>
    <w:rsid w:val="1CEF7146"/>
    <w:rsid w:val="1D0A6375"/>
    <w:rsid w:val="1D183933"/>
    <w:rsid w:val="1D2910FF"/>
    <w:rsid w:val="1D322C47"/>
    <w:rsid w:val="1D554B87"/>
    <w:rsid w:val="1D8A150F"/>
    <w:rsid w:val="1DAC622F"/>
    <w:rsid w:val="1DB7314C"/>
    <w:rsid w:val="1DBE272D"/>
    <w:rsid w:val="1DE1641B"/>
    <w:rsid w:val="1DE5046B"/>
    <w:rsid w:val="1E1F1D09"/>
    <w:rsid w:val="1E234C86"/>
    <w:rsid w:val="1E3E4FB4"/>
    <w:rsid w:val="1E4852D2"/>
    <w:rsid w:val="1E4F2A7A"/>
    <w:rsid w:val="1E546BED"/>
    <w:rsid w:val="1E694596"/>
    <w:rsid w:val="1E70765E"/>
    <w:rsid w:val="1E8219AC"/>
    <w:rsid w:val="1E905ED1"/>
    <w:rsid w:val="1E9621D4"/>
    <w:rsid w:val="1EB202A6"/>
    <w:rsid w:val="1EC76CCF"/>
    <w:rsid w:val="1ECC44FA"/>
    <w:rsid w:val="1EDB63FC"/>
    <w:rsid w:val="1EFA1543"/>
    <w:rsid w:val="1F063325"/>
    <w:rsid w:val="1F1617FB"/>
    <w:rsid w:val="1F1C1B35"/>
    <w:rsid w:val="1F1D18F8"/>
    <w:rsid w:val="1F1F5219"/>
    <w:rsid w:val="1F300115"/>
    <w:rsid w:val="1F3A0E0F"/>
    <w:rsid w:val="1F5642FC"/>
    <w:rsid w:val="1F5F3A9B"/>
    <w:rsid w:val="1F896D6A"/>
    <w:rsid w:val="1FAE057F"/>
    <w:rsid w:val="1FBC5DF5"/>
    <w:rsid w:val="1FDE3BD0"/>
    <w:rsid w:val="1FF90588"/>
    <w:rsid w:val="200D34F7"/>
    <w:rsid w:val="2018762F"/>
    <w:rsid w:val="202A22FB"/>
    <w:rsid w:val="202B5346"/>
    <w:rsid w:val="202C2386"/>
    <w:rsid w:val="203476BB"/>
    <w:rsid w:val="20514B81"/>
    <w:rsid w:val="2056255B"/>
    <w:rsid w:val="20574407"/>
    <w:rsid w:val="20BD452B"/>
    <w:rsid w:val="20C3623F"/>
    <w:rsid w:val="20DA182C"/>
    <w:rsid w:val="20F46465"/>
    <w:rsid w:val="210900A7"/>
    <w:rsid w:val="211126C5"/>
    <w:rsid w:val="212156C5"/>
    <w:rsid w:val="212D6803"/>
    <w:rsid w:val="2148258B"/>
    <w:rsid w:val="21611D4D"/>
    <w:rsid w:val="216B4602"/>
    <w:rsid w:val="21723F5A"/>
    <w:rsid w:val="21771E62"/>
    <w:rsid w:val="21781212"/>
    <w:rsid w:val="218617B3"/>
    <w:rsid w:val="21B83F86"/>
    <w:rsid w:val="21C4408A"/>
    <w:rsid w:val="21D249F9"/>
    <w:rsid w:val="21EA380F"/>
    <w:rsid w:val="21FC29F1"/>
    <w:rsid w:val="21FE1042"/>
    <w:rsid w:val="221178A8"/>
    <w:rsid w:val="221213CF"/>
    <w:rsid w:val="22327A92"/>
    <w:rsid w:val="223D23F1"/>
    <w:rsid w:val="2254540E"/>
    <w:rsid w:val="226C668D"/>
    <w:rsid w:val="229D737A"/>
    <w:rsid w:val="22AD188F"/>
    <w:rsid w:val="22B534D0"/>
    <w:rsid w:val="22CD6F6E"/>
    <w:rsid w:val="22FF181D"/>
    <w:rsid w:val="230063DC"/>
    <w:rsid w:val="23151AAF"/>
    <w:rsid w:val="231A4027"/>
    <w:rsid w:val="231D53A2"/>
    <w:rsid w:val="23447FE4"/>
    <w:rsid w:val="235B017B"/>
    <w:rsid w:val="235B5EFE"/>
    <w:rsid w:val="236D5383"/>
    <w:rsid w:val="23863CED"/>
    <w:rsid w:val="239A7798"/>
    <w:rsid w:val="239F377F"/>
    <w:rsid w:val="23A35E53"/>
    <w:rsid w:val="23B24AE2"/>
    <w:rsid w:val="23B7504C"/>
    <w:rsid w:val="23C16AD3"/>
    <w:rsid w:val="23C84DE9"/>
    <w:rsid w:val="23D7658D"/>
    <w:rsid w:val="240E3358"/>
    <w:rsid w:val="2419690F"/>
    <w:rsid w:val="24571307"/>
    <w:rsid w:val="24715ECA"/>
    <w:rsid w:val="24754E93"/>
    <w:rsid w:val="247E43DB"/>
    <w:rsid w:val="24967F5F"/>
    <w:rsid w:val="249B37C8"/>
    <w:rsid w:val="249C557D"/>
    <w:rsid w:val="24CD76F9"/>
    <w:rsid w:val="24F829C8"/>
    <w:rsid w:val="25110A2A"/>
    <w:rsid w:val="25145328"/>
    <w:rsid w:val="25240D0A"/>
    <w:rsid w:val="256C0944"/>
    <w:rsid w:val="25733194"/>
    <w:rsid w:val="25817CCB"/>
    <w:rsid w:val="258C1362"/>
    <w:rsid w:val="258C59D8"/>
    <w:rsid w:val="25967363"/>
    <w:rsid w:val="259F2E44"/>
    <w:rsid w:val="25B530D0"/>
    <w:rsid w:val="25E65E18"/>
    <w:rsid w:val="26190E48"/>
    <w:rsid w:val="26307F40"/>
    <w:rsid w:val="26446DE3"/>
    <w:rsid w:val="264834DB"/>
    <w:rsid w:val="26556842"/>
    <w:rsid w:val="267047E0"/>
    <w:rsid w:val="2674607E"/>
    <w:rsid w:val="267A740D"/>
    <w:rsid w:val="267E514F"/>
    <w:rsid w:val="269669E7"/>
    <w:rsid w:val="269E134D"/>
    <w:rsid w:val="26A270C1"/>
    <w:rsid w:val="26AB5818"/>
    <w:rsid w:val="26CE2F65"/>
    <w:rsid w:val="26D7485F"/>
    <w:rsid w:val="26D7699F"/>
    <w:rsid w:val="26FB054E"/>
    <w:rsid w:val="27174C5C"/>
    <w:rsid w:val="27235CCF"/>
    <w:rsid w:val="272C0399"/>
    <w:rsid w:val="275814FC"/>
    <w:rsid w:val="276B56D3"/>
    <w:rsid w:val="277A5AEB"/>
    <w:rsid w:val="27AF043B"/>
    <w:rsid w:val="27B87198"/>
    <w:rsid w:val="27BC5F2F"/>
    <w:rsid w:val="27DC037F"/>
    <w:rsid w:val="27DD7C53"/>
    <w:rsid w:val="280C22E7"/>
    <w:rsid w:val="28177609"/>
    <w:rsid w:val="281E1EFD"/>
    <w:rsid w:val="28215D92"/>
    <w:rsid w:val="284C0F6E"/>
    <w:rsid w:val="285C6DCA"/>
    <w:rsid w:val="286E1E5D"/>
    <w:rsid w:val="28870F4E"/>
    <w:rsid w:val="28A3717E"/>
    <w:rsid w:val="28BD6C68"/>
    <w:rsid w:val="28CB21A2"/>
    <w:rsid w:val="29283150"/>
    <w:rsid w:val="29316245"/>
    <w:rsid w:val="298104AD"/>
    <w:rsid w:val="2987256D"/>
    <w:rsid w:val="299802D6"/>
    <w:rsid w:val="29B11398"/>
    <w:rsid w:val="29B75078"/>
    <w:rsid w:val="29C63095"/>
    <w:rsid w:val="29D15596"/>
    <w:rsid w:val="29D75F7F"/>
    <w:rsid w:val="29DA08EE"/>
    <w:rsid w:val="29E22D43"/>
    <w:rsid w:val="29EE7EF6"/>
    <w:rsid w:val="29FB2613"/>
    <w:rsid w:val="2A002DDE"/>
    <w:rsid w:val="2A13795C"/>
    <w:rsid w:val="2A1E2D2D"/>
    <w:rsid w:val="2A353998"/>
    <w:rsid w:val="2A452C46"/>
    <w:rsid w:val="2A554419"/>
    <w:rsid w:val="2A9D41C3"/>
    <w:rsid w:val="2AA212FD"/>
    <w:rsid w:val="2AA607D0"/>
    <w:rsid w:val="2AD417E1"/>
    <w:rsid w:val="2AE80DE9"/>
    <w:rsid w:val="2AF61758"/>
    <w:rsid w:val="2B095AA2"/>
    <w:rsid w:val="2B6C7A10"/>
    <w:rsid w:val="2B724B56"/>
    <w:rsid w:val="2B774624"/>
    <w:rsid w:val="2B81687D"/>
    <w:rsid w:val="2B8608E2"/>
    <w:rsid w:val="2B876854"/>
    <w:rsid w:val="2BA03472"/>
    <w:rsid w:val="2BAA0794"/>
    <w:rsid w:val="2BD126E4"/>
    <w:rsid w:val="2BDD6474"/>
    <w:rsid w:val="2BE212DA"/>
    <w:rsid w:val="2BEC6A86"/>
    <w:rsid w:val="2BEE242F"/>
    <w:rsid w:val="2BF52B8C"/>
    <w:rsid w:val="2C35005E"/>
    <w:rsid w:val="2C4604BD"/>
    <w:rsid w:val="2C6170A5"/>
    <w:rsid w:val="2C730B86"/>
    <w:rsid w:val="2C7A72BE"/>
    <w:rsid w:val="2C864D5D"/>
    <w:rsid w:val="2C9A7D75"/>
    <w:rsid w:val="2CBF201D"/>
    <w:rsid w:val="2CC17412"/>
    <w:rsid w:val="2CC47634"/>
    <w:rsid w:val="2CCE60D2"/>
    <w:rsid w:val="2CD60BF4"/>
    <w:rsid w:val="2CD86C3B"/>
    <w:rsid w:val="2CE02CE0"/>
    <w:rsid w:val="2CEA6499"/>
    <w:rsid w:val="2D045C82"/>
    <w:rsid w:val="2D1063D5"/>
    <w:rsid w:val="2D183B14"/>
    <w:rsid w:val="2D283E6C"/>
    <w:rsid w:val="2D340315"/>
    <w:rsid w:val="2D5E35E4"/>
    <w:rsid w:val="2D67470F"/>
    <w:rsid w:val="2D6D3827"/>
    <w:rsid w:val="2D7C1E99"/>
    <w:rsid w:val="2DA505AE"/>
    <w:rsid w:val="2DC45B3D"/>
    <w:rsid w:val="2DDF4725"/>
    <w:rsid w:val="2DE735DA"/>
    <w:rsid w:val="2DF57CF0"/>
    <w:rsid w:val="2DF87595"/>
    <w:rsid w:val="2E1F795B"/>
    <w:rsid w:val="2E232138"/>
    <w:rsid w:val="2E3C1B78"/>
    <w:rsid w:val="2E426A62"/>
    <w:rsid w:val="2E4B4177"/>
    <w:rsid w:val="2E4C78E1"/>
    <w:rsid w:val="2E70537D"/>
    <w:rsid w:val="2E7B23A5"/>
    <w:rsid w:val="2E8452CD"/>
    <w:rsid w:val="2E9976CE"/>
    <w:rsid w:val="2E9A74E5"/>
    <w:rsid w:val="2EA60904"/>
    <w:rsid w:val="2EC35DF5"/>
    <w:rsid w:val="2EF01DEE"/>
    <w:rsid w:val="2F1877C3"/>
    <w:rsid w:val="2F3B2F8F"/>
    <w:rsid w:val="2F3E7229"/>
    <w:rsid w:val="2F401D3C"/>
    <w:rsid w:val="2F4800A8"/>
    <w:rsid w:val="2F4B1946"/>
    <w:rsid w:val="2F5051AF"/>
    <w:rsid w:val="2F5B24E1"/>
    <w:rsid w:val="2F80100D"/>
    <w:rsid w:val="2F8D1F5F"/>
    <w:rsid w:val="2F9C5CDB"/>
    <w:rsid w:val="2FA23C5C"/>
    <w:rsid w:val="2FA95C88"/>
    <w:rsid w:val="2FAB0637"/>
    <w:rsid w:val="2FBC149F"/>
    <w:rsid w:val="2FD01B93"/>
    <w:rsid w:val="2FD61B58"/>
    <w:rsid w:val="2FD86E9B"/>
    <w:rsid w:val="2FDE37A5"/>
    <w:rsid w:val="2FE14059"/>
    <w:rsid w:val="2FF80CC3"/>
    <w:rsid w:val="30221C48"/>
    <w:rsid w:val="3034687E"/>
    <w:rsid w:val="303B19BB"/>
    <w:rsid w:val="3041370F"/>
    <w:rsid w:val="3049232A"/>
    <w:rsid w:val="30570A65"/>
    <w:rsid w:val="3060369A"/>
    <w:rsid w:val="307517FF"/>
    <w:rsid w:val="308F3C80"/>
    <w:rsid w:val="30AC28B9"/>
    <w:rsid w:val="30B87FED"/>
    <w:rsid w:val="30CF0057"/>
    <w:rsid w:val="30D0332C"/>
    <w:rsid w:val="30E5141E"/>
    <w:rsid w:val="30ED0ABA"/>
    <w:rsid w:val="30FC114A"/>
    <w:rsid w:val="30FE2A72"/>
    <w:rsid w:val="31002774"/>
    <w:rsid w:val="312B50A3"/>
    <w:rsid w:val="313F18A3"/>
    <w:rsid w:val="31683980"/>
    <w:rsid w:val="31894FD2"/>
    <w:rsid w:val="318C3C26"/>
    <w:rsid w:val="318D6246"/>
    <w:rsid w:val="318F27BC"/>
    <w:rsid w:val="31903F88"/>
    <w:rsid w:val="319C0B7F"/>
    <w:rsid w:val="31A55C86"/>
    <w:rsid w:val="31F36FC7"/>
    <w:rsid w:val="31FF0F84"/>
    <w:rsid w:val="32057A20"/>
    <w:rsid w:val="3216448E"/>
    <w:rsid w:val="322A0A17"/>
    <w:rsid w:val="32453A27"/>
    <w:rsid w:val="32543208"/>
    <w:rsid w:val="3263064A"/>
    <w:rsid w:val="32A43132"/>
    <w:rsid w:val="32AC0C06"/>
    <w:rsid w:val="32DE0213"/>
    <w:rsid w:val="3330332D"/>
    <w:rsid w:val="33344EF5"/>
    <w:rsid w:val="333472C1"/>
    <w:rsid w:val="334868C9"/>
    <w:rsid w:val="335135AD"/>
    <w:rsid w:val="335C05C6"/>
    <w:rsid w:val="336B6733"/>
    <w:rsid w:val="3377502F"/>
    <w:rsid w:val="33843679"/>
    <w:rsid w:val="338C209D"/>
    <w:rsid w:val="33A45AC9"/>
    <w:rsid w:val="33BA709B"/>
    <w:rsid w:val="33C00B55"/>
    <w:rsid w:val="33CF3BCC"/>
    <w:rsid w:val="33DB65A1"/>
    <w:rsid w:val="3438197C"/>
    <w:rsid w:val="346F4329"/>
    <w:rsid w:val="349A203C"/>
    <w:rsid w:val="34AB094C"/>
    <w:rsid w:val="34C20BF6"/>
    <w:rsid w:val="34D20697"/>
    <w:rsid w:val="34F30AB6"/>
    <w:rsid w:val="350607E9"/>
    <w:rsid w:val="35066A3B"/>
    <w:rsid w:val="353177BD"/>
    <w:rsid w:val="3537750C"/>
    <w:rsid w:val="3537798C"/>
    <w:rsid w:val="355A6D87"/>
    <w:rsid w:val="356C32E1"/>
    <w:rsid w:val="35725E7F"/>
    <w:rsid w:val="35737CAC"/>
    <w:rsid w:val="35784B06"/>
    <w:rsid w:val="358E67B3"/>
    <w:rsid w:val="35A87AF3"/>
    <w:rsid w:val="35C13FC9"/>
    <w:rsid w:val="35EF127D"/>
    <w:rsid w:val="35F23290"/>
    <w:rsid w:val="35F66AB0"/>
    <w:rsid w:val="36032A68"/>
    <w:rsid w:val="36107446"/>
    <w:rsid w:val="361376DE"/>
    <w:rsid w:val="36154A5C"/>
    <w:rsid w:val="364257B6"/>
    <w:rsid w:val="36982A4D"/>
    <w:rsid w:val="36CC7811"/>
    <w:rsid w:val="36CD03FF"/>
    <w:rsid w:val="36D64360"/>
    <w:rsid w:val="36EB413B"/>
    <w:rsid w:val="36ED7342"/>
    <w:rsid w:val="36F01751"/>
    <w:rsid w:val="36FF1994"/>
    <w:rsid w:val="37021484"/>
    <w:rsid w:val="37205E40"/>
    <w:rsid w:val="37226CD7"/>
    <w:rsid w:val="37246F13"/>
    <w:rsid w:val="37374926"/>
    <w:rsid w:val="373D24BC"/>
    <w:rsid w:val="373D42AF"/>
    <w:rsid w:val="37517D16"/>
    <w:rsid w:val="37537F32"/>
    <w:rsid w:val="376D14AF"/>
    <w:rsid w:val="377F2AD5"/>
    <w:rsid w:val="37EA5922"/>
    <w:rsid w:val="37FC4126"/>
    <w:rsid w:val="381D69EA"/>
    <w:rsid w:val="38251228"/>
    <w:rsid w:val="38276B93"/>
    <w:rsid w:val="385E3A2C"/>
    <w:rsid w:val="38613F89"/>
    <w:rsid w:val="386F48F8"/>
    <w:rsid w:val="387A3C2D"/>
    <w:rsid w:val="388C36FB"/>
    <w:rsid w:val="38A8605B"/>
    <w:rsid w:val="38AC3431"/>
    <w:rsid w:val="38CA4224"/>
    <w:rsid w:val="38D66725"/>
    <w:rsid w:val="38E31989"/>
    <w:rsid w:val="38F82B3F"/>
    <w:rsid w:val="390A63CE"/>
    <w:rsid w:val="390F34B3"/>
    <w:rsid w:val="390F473E"/>
    <w:rsid w:val="392F2E16"/>
    <w:rsid w:val="39522A4F"/>
    <w:rsid w:val="39667958"/>
    <w:rsid w:val="3985065D"/>
    <w:rsid w:val="39B43358"/>
    <w:rsid w:val="39DE1D35"/>
    <w:rsid w:val="39E00529"/>
    <w:rsid w:val="3A0041A4"/>
    <w:rsid w:val="3A0B64A7"/>
    <w:rsid w:val="3A0B68A2"/>
    <w:rsid w:val="3A266CCC"/>
    <w:rsid w:val="3A2B2AA0"/>
    <w:rsid w:val="3A377697"/>
    <w:rsid w:val="3A40479E"/>
    <w:rsid w:val="3A4F77A4"/>
    <w:rsid w:val="3A574DDA"/>
    <w:rsid w:val="3A7E2CEE"/>
    <w:rsid w:val="3AC32CD9"/>
    <w:rsid w:val="3AD3075A"/>
    <w:rsid w:val="3AF74C02"/>
    <w:rsid w:val="3B08125F"/>
    <w:rsid w:val="3B117D69"/>
    <w:rsid w:val="3B143534"/>
    <w:rsid w:val="3B1B48C3"/>
    <w:rsid w:val="3B2C2F74"/>
    <w:rsid w:val="3B5318D6"/>
    <w:rsid w:val="3B535B37"/>
    <w:rsid w:val="3B657F1A"/>
    <w:rsid w:val="3B6C15C2"/>
    <w:rsid w:val="3B890DC1"/>
    <w:rsid w:val="3B9D55CE"/>
    <w:rsid w:val="3BA65070"/>
    <w:rsid w:val="3BEB550D"/>
    <w:rsid w:val="3C0059A5"/>
    <w:rsid w:val="3C134E78"/>
    <w:rsid w:val="3C1F4887"/>
    <w:rsid w:val="3C2D1349"/>
    <w:rsid w:val="3C4A1903"/>
    <w:rsid w:val="3C4D31A2"/>
    <w:rsid w:val="3C526A0A"/>
    <w:rsid w:val="3C5E0698"/>
    <w:rsid w:val="3C6436E5"/>
    <w:rsid w:val="3C683F6D"/>
    <w:rsid w:val="3C686A41"/>
    <w:rsid w:val="3C88242C"/>
    <w:rsid w:val="3C8B21EB"/>
    <w:rsid w:val="3C926E07"/>
    <w:rsid w:val="3CA24F0A"/>
    <w:rsid w:val="3CBD0327"/>
    <w:rsid w:val="3CCB6EDB"/>
    <w:rsid w:val="3CCD67ED"/>
    <w:rsid w:val="3D07507C"/>
    <w:rsid w:val="3D1141CF"/>
    <w:rsid w:val="3D1973EC"/>
    <w:rsid w:val="3D1E051B"/>
    <w:rsid w:val="3D3E18EB"/>
    <w:rsid w:val="3D42082D"/>
    <w:rsid w:val="3D566798"/>
    <w:rsid w:val="3D580050"/>
    <w:rsid w:val="3D7F5B5C"/>
    <w:rsid w:val="3D8E57A9"/>
    <w:rsid w:val="3D9B618F"/>
    <w:rsid w:val="3DA05553"/>
    <w:rsid w:val="3DCC6348"/>
    <w:rsid w:val="3DE9514C"/>
    <w:rsid w:val="3DF6345D"/>
    <w:rsid w:val="3E0D0E3B"/>
    <w:rsid w:val="3E2B5515"/>
    <w:rsid w:val="3E3F4D6C"/>
    <w:rsid w:val="3E4D4F28"/>
    <w:rsid w:val="3E524A9F"/>
    <w:rsid w:val="3E5D63A8"/>
    <w:rsid w:val="3E791ECC"/>
    <w:rsid w:val="3E817133"/>
    <w:rsid w:val="3E8E4943"/>
    <w:rsid w:val="3EAD43CC"/>
    <w:rsid w:val="3EB038F3"/>
    <w:rsid w:val="3EBC63BD"/>
    <w:rsid w:val="3ECB7CDF"/>
    <w:rsid w:val="3ECC7453"/>
    <w:rsid w:val="3ED61746"/>
    <w:rsid w:val="3ED92EC4"/>
    <w:rsid w:val="3EE13701"/>
    <w:rsid w:val="3F1A4BB3"/>
    <w:rsid w:val="3F3874BF"/>
    <w:rsid w:val="3F3E3276"/>
    <w:rsid w:val="3F5A2E5F"/>
    <w:rsid w:val="3F713622"/>
    <w:rsid w:val="3FB362C2"/>
    <w:rsid w:val="3FB45515"/>
    <w:rsid w:val="3FB6105E"/>
    <w:rsid w:val="3FB90C6E"/>
    <w:rsid w:val="3FC731E3"/>
    <w:rsid w:val="3FE0432D"/>
    <w:rsid w:val="3FEE07F8"/>
    <w:rsid w:val="400022D9"/>
    <w:rsid w:val="40153FD6"/>
    <w:rsid w:val="40192BA6"/>
    <w:rsid w:val="4089610E"/>
    <w:rsid w:val="40B22353"/>
    <w:rsid w:val="40D44BB8"/>
    <w:rsid w:val="40F63E08"/>
    <w:rsid w:val="40F8373D"/>
    <w:rsid w:val="41114D6F"/>
    <w:rsid w:val="41444489"/>
    <w:rsid w:val="415723CD"/>
    <w:rsid w:val="41605725"/>
    <w:rsid w:val="416274F1"/>
    <w:rsid w:val="416B088F"/>
    <w:rsid w:val="417271C0"/>
    <w:rsid w:val="41760AA5"/>
    <w:rsid w:val="41766EA9"/>
    <w:rsid w:val="41935450"/>
    <w:rsid w:val="41AD09C3"/>
    <w:rsid w:val="41B617E9"/>
    <w:rsid w:val="41C2018E"/>
    <w:rsid w:val="41DE664A"/>
    <w:rsid w:val="41E6725D"/>
    <w:rsid w:val="41F77652"/>
    <w:rsid w:val="420267DC"/>
    <w:rsid w:val="4217445F"/>
    <w:rsid w:val="423D5A66"/>
    <w:rsid w:val="42550A18"/>
    <w:rsid w:val="426E308D"/>
    <w:rsid w:val="42927B60"/>
    <w:rsid w:val="429D496A"/>
    <w:rsid w:val="42A038DB"/>
    <w:rsid w:val="42B15B0D"/>
    <w:rsid w:val="42B30DD5"/>
    <w:rsid w:val="42C4395D"/>
    <w:rsid w:val="42D77C69"/>
    <w:rsid w:val="42F473A1"/>
    <w:rsid w:val="431762B8"/>
    <w:rsid w:val="431A7B56"/>
    <w:rsid w:val="43362BE2"/>
    <w:rsid w:val="4368266F"/>
    <w:rsid w:val="437217EA"/>
    <w:rsid w:val="4392187A"/>
    <w:rsid w:val="439C056B"/>
    <w:rsid w:val="43AB7156"/>
    <w:rsid w:val="43B6162D"/>
    <w:rsid w:val="43DE0B83"/>
    <w:rsid w:val="441E62C0"/>
    <w:rsid w:val="441F5424"/>
    <w:rsid w:val="4420119C"/>
    <w:rsid w:val="442102EF"/>
    <w:rsid w:val="442D4712"/>
    <w:rsid w:val="44476729"/>
    <w:rsid w:val="445B0426"/>
    <w:rsid w:val="449D7506"/>
    <w:rsid w:val="44A71A4C"/>
    <w:rsid w:val="45062140"/>
    <w:rsid w:val="45325D14"/>
    <w:rsid w:val="45571063"/>
    <w:rsid w:val="456F23DB"/>
    <w:rsid w:val="45811C7C"/>
    <w:rsid w:val="458C4D3B"/>
    <w:rsid w:val="45906116"/>
    <w:rsid w:val="45917908"/>
    <w:rsid w:val="45931B8C"/>
    <w:rsid w:val="459B015E"/>
    <w:rsid w:val="459B6D2C"/>
    <w:rsid w:val="45A831F7"/>
    <w:rsid w:val="45D508CA"/>
    <w:rsid w:val="45E30C19"/>
    <w:rsid w:val="45EF2552"/>
    <w:rsid w:val="460B6AC0"/>
    <w:rsid w:val="4616585D"/>
    <w:rsid w:val="462B6C3D"/>
    <w:rsid w:val="462F4F0C"/>
    <w:rsid w:val="463B22BD"/>
    <w:rsid w:val="464C1EC6"/>
    <w:rsid w:val="466E61EE"/>
    <w:rsid w:val="46733CB9"/>
    <w:rsid w:val="46762820"/>
    <w:rsid w:val="46780E1B"/>
    <w:rsid w:val="468B3EFB"/>
    <w:rsid w:val="468E6891"/>
    <w:rsid w:val="46A74554"/>
    <w:rsid w:val="46C95B1B"/>
    <w:rsid w:val="470152B5"/>
    <w:rsid w:val="470A6193"/>
    <w:rsid w:val="471548BC"/>
    <w:rsid w:val="47385210"/>
    <w:rsid w:val="473D2C9F"/>
    <w:rsid w:val="47555600"/>
    <w:rsid w:val="47596E9F"/>
    <w:rsid w:val="475F1FDB"/>
    <w:rsid w:val="476D1D47"/>
    <w:rsid w:val="476D64A6"/>
    <w:rsid w:val="47956062"/>
    <w:rsid w:val="47A0743D"/>
    <w:rsid w:val="47BA3333"/>
    <w:rsid w:val="47C56F66"/>
    <w:rsid w:val="47D31E1A"/>
    <w:rsid w:val="47DC4F5C"/>
    <w:rsid w:val="47F15329"/>
    <w:rsid w:val="4840005F"/>
    <w:rsid w:val="48425B85"/>
    <w:rsid w:val="48552BC8"/>
    <w:rsid w:val="48A00B3C"/>
    <w:rsid w:val="48B2162B"/>
    <w:rsid w:val="48B40671"/>
    <w:rsid w:val="48BC6F7A"/>
    <w:rsid w:val="48F8074C"/>
    <w:rsid w:val="49042FF5"/>
    <w:rsid w:val="49076335"/>
    <w:rsid w:val="492B4C09"/>
    <w:rsid w:val="492B6619"/>
    <w:rsid w:val="49561CFC"/>
    <w:rsid w:val="49604478"/>
    <w:rsid w:val="496F62BB"/>
    <w:rsid w:val="499B5738"/>
    <w:rsid w:val="499F244D"/>
    <w:rsid w:val="49A247A8"/>
    <w:rsid w:val="49B900C8"/>
    <w:rsid w:val="49C564C6"/>
    <w:rsid w:val="49CF169A"/>
    <w:rsid w:val="49D35B4D"/>
    <w:rsid w:val="4A0B6D7E"/>
    <w:rsid w:val="4A1953E5"/>
    <w:rsid w:val="4A1E617D"/>
    <w:rsid w:val="4A7E670F"/>
    <w:rsid w:val="4A970798"/>
    <w:rsid w:val="4A973F3F"/>
    <w:rsid w:val="4A9D48C2"/>
    <w:rsid w:val="4AB32D6A"/>
    <w:rsid w:val="4ABB577A"/>
    <w:rsid w:val="4ABC3301"/>
    <w:rsid w:val="4AC31D20"/>
    <w:rsid w:val="4AC83F74"/>
    <w:rsid w:val="4ACC612E"/>
    <w:rsid w:val="4ACE1952"/>
    <w:rsid w:val="4ADE2588"/>
    <w:rsid w:val="4AF13892"/>
    <w:rsid w:val="4AF96BC7"/>
    <w:rsid w:val="4B0C003F"/>
    <w:rsid w:val="4B524331"/>
    <w:rsid w:val="4B643D98"/>
    <w:rsid w:val="4B702A09"/>
    <w:rsid w:val="4B821AE8"/>
    <w:rsid w:val="4B862A85"/>
    <w:rsid w:val="4B8F39AF"/>
    <w:rsid w:val="4BA53E30"/>
    <w:rsid w:val="4BB94F2D"/>
    <w:rsid w:val="4BDD0672"/>
    <w:rsid w:val="4BE33F9B"/>
    <w:rsid w:val="4BF36441"/>
    <w:rsid w:val="4C2537F3"/>
    <w:rsid w:val="4C2832E3"/>
    <w:rsid w:val="4C4D68A6"/>
    <w:rsid w:val="4C6E6CB7"/>
    <w:rsid w:val="4C7E1155"/>
    <w:rsid w:val="4C9F7D59"/>
    <w:rsid w:val="4CA010CC"/>
    <w:rsid w:val="4CB708CE"/>
    <w:rsid w:val="4CD55A4A"/>
    <w:rsid w:val="4CD7788D"/>
    <w:rsid w:val="4CD87552"/>
    <w:rsid w:val="4CDE5035"/>
    <w:rsid w:val="4CE54D31"/>
    <w:rsid w:val="4CEF36E2"/>
    <w:rsid w:val="4CEF4DC5"/>
    <w:rsid w:val="4CF27073"/>
    <w:rsid w:val="4D2E492A"/>
    <w:rsid w:val="4D317F76"/>
    <w:rsid w:val="4DA16EA9"/>
    <w:rsid w:val="4DAD1323"/>
    <w:rsid w:val="4DB43081"/>
    <w:rsid w:val="4DBA440F"/>
    <w:rsid w:val="4DCB03CA"/>
    <w:rsid w:val="4DCC61A3"/>
    <w:rsid w:val="4DDA7116"/>
    <w:rsid w:val="4E04568A"/>
    <w:rsid w:val="4E1E499E"/>
    <w:rsid w:val="4E257655"/>
    <w:rsid w:val="4E263853"/>
    <w:rsid w:val="4E2D4BE1"/>
    <w:rsid w:val="4E375A60"/>
    <w:rsid w:val="4E4A29CE"/>
    <w:rsid w:val="4E5B34FC"/>
    <w:rsid w:val="4E612ADD"/>
    <w:rsid w:val="4E854A1D"/>
    <w:rsid w:val="4E970CCA"/>
    <w:rsid w:val="4EA8070C"/>
    <w:rsid w:val="4ED01321"/>
    <w:rsid w:val="4EE01C53"/>
    <w:rsid w:val="4EF56E5A"/>
    <w:rsid w:val="4EFF09F2"/>
    <w:rsid w:val="4F017C92"/>
    <w:rsid w:val="4F372380"/>
    <w:rsid w:val="4F372FFB"/>
    <w:rsid w:val="4F552D33"/>
    <w:rsid w:val="4F5A1A06"/>
    <w:rsid w:val="4F604F02"/>
    <w:rsid w:val="4F6D6A9E"/>
    <w:rsid w:val="4F7F2792"/>
    <w:rsid w:val="4FAC106B"/>
    <w:rsid w:val="4FAD6032"/>
    <w:rsid w:val="4FDC1C12"/>
    <w:rsid w:val="4FDD1914"/>
    <w:rsid w:val="4FED287A"/>
    <w:rsid w:val="50137E07"/>
    <w:rsid w:val="501F792A"/>
    <w:rsid w:val="502320A0"/>
    <w:rsid w:val="5025116D"/>
    <w:rsid w:val="505C3744"/>
    <w:rsid w:val="505E5526"/>
    <w:rsid w:val="5067010A"/>
    <w:rsid w:val="50CE76FD"/>
    <w:rsid w:val="50E7594A"/>
    <w:rsid w:val="5119769F"/>
    <w:rsid w:val="511F7661"/>
    <w:rsid w:val="51262341"/>
    <w:rsid w:val="513E4D75"/>
    <w:rsid w:val="51630116"/>
    <w:rsid w:val="517F61AE"/>
    <w:rsid w:val="51990843"/>
    <w:rsid w:val="519C2EC4"/>
    <w:rsid w:val="51D07D5D"/>
    <w:rsid w:val="51DF6918"/>
    <w:rsid w:val="521B663F"/>
    <w:rsid w:val="52395ECD"/>
    <w:rsid w:val="52546633"/>
    <w:rsid w:val="52575E63"/>
    <w:rsid w:val="52650DED"/>
    <w:rsid w:val="52742DDF"/>
    <w:rsid w:val="52887E58"/>
    <w:rsid w:val="52A42F98"/>
    <w:rsid w:val="52BA27BB"/>
    <w:rsid w:val="52BD6456"/>
    <w:rsid w:val="52C10D75"/>
    <w:rsid w:val="52E71BFE"/>
    <w:rsid w:val="533F163E"/>
    <w:rsid w:val="53586243"/>
    <w:rsid w:val="53C27FF8"/>
    <w:rsid w:val="53D76A77"/>
    <w:rsid w:val="544246B9"/>
    <w:rsid w:val="54794B5F"/>
    <w:rsid w:val="54847C69"/>
    <w:rsid w:val="549E1A80"/>
    <w:rsid w:val="54A77640"/>
    <w:rsid w:val="54BA1986"/>
    <w:rsid w:val="54C658F4"/>
    <w:rsid w:val="54EB3100"/>
    <w:rsid w:val="5503044A"/>
    <w:rsid w:val="550C4BD7"/>
    <w:rsid w:val="55102A40"/>
    <w:rsid w:val="55110DB9"/>
    <w:rsid w:val="55275A0F"/>
    <w:rsid w:val="554B0C61"/>
    <w:rsid w:val="554C1D56"/>
    <w:rsid w:val="555109BF"/>
    <w:rsid w:val="555278AF"/>
    <w:rsid w:val="55572986"/>
    <w:rsid w:val="55757355"/>
    <w:rsid w:val="558E2819"/>
    <w:rsid w:val="55B17D0B"/>
    <w:rsid w:val="55B81234"/>
    <w:rsid w:val="55C37BD9"/>
    <w:rsid w:val="55CE6CAA"/>
    <w:rsid w:val="55D2686D"/>
    <w:rsid w:val="55E942E3"/>
    <w:rsid w:val="56204D1B"/>
    <w:rsid w:val="56233DAE"/>
    <w:rsid w:val="564E6D54"/>
    <w:rsid w:val="56507986"/>
    <w:rsid w:val="565340FA"/>
    <w:rsid w:val="565A22EB"/>
    <w:rsid w:val="565C6063"/>
    <w:rsid w:val="566841AB"/>
    <w:rsid w:val="568C38D5"/>
    <w:rsid w:val="568D27BB"/>
    <w:rsid w:val="56A52B5E"/>
    <w:rsid w:val="56AD5F59"/>
    <w:rsid w:val="56AE5057"/>
    <w:rsid w:val="56B04601"/>
    <w:rsid w:val="56E878F7"/>
    <w:rsid w:val="570C524E"/>
    <w:rsid w:val="575136EE"/>
    <w:rsid w:val="57645F73"/>
    <w:rsid w:val="576E2576"/>
    <w:rsid w:val="57792C45"/>
    <w:rsid w:val="579B0E0D"/>
    <w:rsid w:val="57A66625"/>
    <w:rsid w:val="57AB06F3"/>
    <w:rsid w:val="57B12A52"/>
    <w:rsid w:val="57BA1646"/>
    <w:rsid w:val="57BB4B36"/>
    <w:rsid w:val="57D52571"/>
    <w:rsid w:val="57E01845"/>
    <w:rsid w:val="57EE5248"/>
    <w:rsid w:val="581B3CFC"/>
    <w:rsid w:val="58777AE3"/>
    <w:rsid w:val="588602E3"/>
    <w:rsid w:val="588F4785"/>
    <w:rsid w:val="58C70DCE"/>
    <w:rsid w:val="58D86743"/>
    <w:rsid w:val="59080725"/>
    <w:rsid w:val="59114324"/>
    <w:rsid w:val="593C03CE"/>
    <w:rsid w:val="5952374E"/>
    <w:rsid w:val="59777658"/>
    <w:rsid w:val="597C6A1D"/>
    <w:rsid w:val="598F04FE"/>
    <w:rsid w:val="59A860E0"/>
    <w:rsid w:val="59B43CF0"/>
    <w:rsid w:val="59C4289D"/>
    <w:rsid w:val="59E30CB0"/>
    <w:rsid w:val="59F91D02"/>
    <w:rsid w:val="5A0208F9"/>
    <w:rsid w:val="5A1E62F5"/>
    <w:rsid w:val="5A2275C4"/>
    <w:rsid w:val="5A2F2CC8"/>
    <w:rsid w:val="5A5534F6"/>
    <w:rsid w:val="5A6516AD"/>
    <w:rsid w:val="5A725CCC"/>
    <w:rsid w:val="5A7F64E2"/>
    <w:rsid w:val="5A8D7AED"/>
    <w:rsid w:val="5A8E77E6"/>
    <w:rsid w:val="5A9473BA"/>
    <w:rsid w:val="5A981634"/>
    <w:rsid w:val="5A9E0BA0"/>
    <w:rsid w:val="5AB67D0C"/>
    <w:rsid w:val="5ABD6CE0"/>
    <w:rsid w:val="5AC50D8B"/>
    <w:rsid w:val="5AF947C9"/>
    <w:rsid w:val="5B060C94"/>
    <w:rsid w:val="5B1522A7"/>
    <w:rsid w:val="5B155C32"/>
    <w:rsid w:val="5B1E7E60"/>
    <w:rsid w:val="5B1F1D55"/>
    <w:rsid w:val="5B20432C"/>
    <w:rsid w:val="5B294982"/>
    <w:rsid w:val="5B317B51"/>
    <w:rsid w:val="5B4D68C3"/>
    <w:rsid w:val="5B556966"/>
    <w:rsid w:val="5B5E10B5"/>
    <w:rsid w:val="5B6657AD"/>
    <w:rsid w:val="5BD06439"/>
    <w:rsid w:val="5BFB4F4C"/>
    <w:rsid w:val="5C10702D"/>
    <w:rsid w:val="5C1212B5"/>
    <w:rsid w:val="5C152601"/>
    <w:rsid w:val="5C1954C9"/>
    <w:rsid w:val="5C2238AB"/>
    <w:rsid w:val="5C3D4C5F"/>
    <w:rsid w:val="5C563555"/>
    <w:rsid w:val="5C581F57"/>
    <w:rsid w:val="5C591F03"/>
    <w:rsid w:val="5C7C5373"/>
    <w:rsid w:val="5C877BB2"/>
    <w:rsid w:val="5C8A1B2F"/>
    <w:rsid w:val="5C9F4EFC"/>
    <w:rsid w:val="5CBB785C"/>
    <w:rsid w:val="5CCB58BF"/>
    <w:rsid w:val="5CE44ED9"/>
    <w:rsid w:val="5D2C3FDA"/>
    <w:rsid w:val="5D2C42B6"/>
    <w:rsid w:val="5D3F048D"/>
    <w:rsid w:val="5D501790"/>
    <w:rsid w:val="5D7142FE"/>
    <w:rsid w:val="5D79648E"/>
    <w:rsid w:val="5D7E58D3"/>
    <w:rsid w:val="5D7F6ADB"/>
    <w:rsid w:val="5D95186C"/>
    <w:rsid w:val="5DB744C7"/>
    <w:rsid w:val="5DE1109B"/>
    <w:rsid w:val="5DED477A"/>
    <w:rsid w:val="5DF66D9E"/>
    <w:rsid w:val="5DFB43B4"/>
    <w:rsid w:val="5DFC351B"/>
    <w:rsid w:val="5E251431"/>
    <w:rsid w:val="5E553C0B"/>
    <w:rsid w:val="5E6463FD"/>
    <w:rsid w:val="5E736640"/>
    <w:rsid w:val="5E954808"/>
    <w:rsid w:val="5EA22C56"/>
    <w:rsid w:val="5EBA0DC9"/>
    <w:rsid w:val="5EFA3FC9"/>
    <w:rsid w:val="5EFC6636"/>
    <w:rsid w:val="5F1A6ABC"/>
    <w:rsid w:val="5F3B73F3"/>
    <w:rsid w:val="5F447FDD"/>
    <w:rsid w:val="5F463F63"/>
    <w:rsid w:val="5F561B72"/>
    <w:rsid w:val="5F5924E9"/>
    <w:rsid w:val="5F5E5780"/>
    <w:rsid w:val="5FA12D39"/>
    <w:rsid w:val="5FCF5AF8"/>
    <w:rsid w:val="5FF44DA7"/>
    <w:rsid w:val="5FF75D1E"/>
    <w:rsid w:val="600D6620"/>
    <w:rsid w:val="6037544B"/>
    <w:rsid w:val="603B318E"/>
    <w:rsid w:val="6052125F"/>
    <w:rsid w:val="605F4603"/>
    <w:rsid w:val="606007BB"/>
    <w:rsid w:val="60771CEC"/>
    <w:rsid w:val="609E54CA"/>
    <w:rsid w:val="60AC7F66"/>
    <w:rsid w:val="60C50CA9"/>
    <w:rsid w:val="60C95281"/>
    <w:rsid w:val="60EE58F6"/>
    <w:rsid w:val="611F485D"/>
    <w:rsid w:val="61573FF7"/>
    <w:rsid w:val="61730EFA"/>
    <w:rsid w:val="6181445A"/>
    <w:rsid w:val="61AB60F1"/>
    <w:rsid w:val="61BF10D9"/>
    <w:rsid w:val="61C0140C"/>
    <w:rsid w:val="61D82583"/>
    <w:rsid w:val="61FC6D54"/>
    <w:rsid w:val="622540F5"/>
    <w:rsid w:val="623B56C7"/>
    <w:rsid w:val="62400F9F"/>
    <w:rsid w:val="625B6730"/>
    <w:rsid w:val="627209BD"/>
    <w:rsid w:val="628726BA"/>
    <w:rsid w:val="62AC22DC"/>
    <w:rsid w:val="62EF025F"/>
    <w:rsid w:val="630C7063"/>
    <w:rsid w:val="632838CD"/>
    <w:rsid w:val="633F20D9"/>
    <w:rsid w:val="638A3663"/>
    <w:rsid w:val="638E37D8"/>
    <w:rsid w:val="63960852"/>
    <w:rsid w:val="63972D7A"/>
    <w:rsid w:val="63A22BFD"/>
    <w:rsid w:val="63BA6ABF"/>
    <w:rsid w:val="63CB6517"/>
    <w:rsid w:val="63D30291"/>
    <w:rsid w:val="63D61FE2"/>
    <w:rsid w:val="63D803CD"/>
    <w:rsid w:val="63E35DF8"/>
    <w:rsid w:val="63F33C04"/>
    <w:rsid w:val="64055F8C"/>
    <w:rsid w:val="640F2781"/>
    <w:rsid w:val="641937E6"/>
    <w:rsid w:val="644757CC"/>
    <w:rsid w:val="645E744B"/>
    <w:rsid w:val="6472739A"/>
    <w:rsid w:val="64BB664B"/>
    <w:rsid w:val="64E45EF7"/>
    <w:rsid w:val="64F16511"/>
    <w:rsid w:val="64F56A29"/>
    <w:rsid w:val="64F91EF5"/>
    <w:rsid w:val="6507580D"/>
    <w:rsid w:val="6523128F"/>
    <w:rsid w:val="652A557F"/>
    <w:rsid w:val="65353AE7"/>
    <w:rsid w:val="654228F2"/>
    <w:rsid w:val="657038D9"/>
    <w:rsid w:val="657607C4"/>
    <w:rsid w:val="65A11CE5"/>
    <w:rsid w:val="65B216AC"/>
    <w:rsid w:val="65F659AF"/>
    <w:rsid w:val="660D1128"/>
    <w:rsid w:val="660E46E0"/>
    <w:rsid w:val="66236B9E"/>
    <w:rsid w:val="665C0356"/>
    <w:rsid w:val="6678773E"/>
    <w:rsid w:val="6691014E"/>
    <w:rsid w:val="66BA15B6"/>
    <w:rsid w:val="66C64D00"/>
    <w:rsid w:val="66C87CCE"/>
    <w:rsid w:val="66CC0FE3"/>
    <w:rsid w:val="66DF144C"/>
    <w:rsid w:val="66E4051F"/>
    <w:rsid w:val="67054A1D"/>
    <w:rsid w:val="670C5884"/>
    <w:rsid w:val="6713582E"/>
    <w:rsid w:val="6731217B"/>
    <w:rsid w:val="67424E02"/>
    <w:rsid w:val="674B0C82"/>
    <w:rsid w:val="674F5576"/>
    <w:rsid w:val="675D3EA4"/>
    <w:rsid w:val="677060D3"/>
    <w:rsid w:val="677243C5"/>
    <w:rsid w:val="677435B2"/>
    <w:rsid w:val="67902011"/>
    <w:rsid w:val="67C21F06"/>
    <w:rsid w:val="67EF75F1"/>
    <w:rsid w:val="6804655B"/>
    <w:rsid w:val="68352BB8"/>
    <w:rsid w:val="68412CE1"/>
    <w:rsid w:val="684F4F11"/>
    <w:rsid w:val="6859473E"/>
    <w:rsid w:val="68644A48"/>
    <w:rsid w:val="68774F7F"/>
    <w:rsid w:val="68B86521"/>
    <w:rsid w:val="68CF4DBB"/>
    <w:rsid w:val="68D128E1"/>
    <w:rsid w:val="68DD74D8"/>
    <w:rsid w:val="69034A64"/>
    <w:rsid w:val="69124F16"/>
    <w:rsid w:val="691D5D30"/>
    <w:rsid w:val="692C3C07"/>
    <w:rsid w:val="69540E1C"/>
    <w:rsid w:val="69572E09"/>
    <w:rsid w:val="696279DD"/>
    <w:rsid w:val="69881641"/>
    <w:rsid w:val="69BA15C7"/>
    <w:rsid w:val="69CD5C14"/>
    <w:rsid w:val="69CF0D33"/>
    <w:rsid w:val="69CF2482"/>
    <w:rsid w:val="69D72179"/>
    <w:rsid w:val="69FF347E"/>
    <w:rsid w:val="6A077EF9"/>
    <w:rsid w:val="6A093665"/>
    <w:rsid w:val="6A2B7301"/>
    <w:rsid w:val="6A4378D2"/>
    <w:rsid w:val="6A4D243B"/>
    <w:rsid w:val="6A503CD9"/>
    <w:rsid w:val="6A971908"/>
    <w:rsid w:val="6AB04778"/>
    <w:rsid w:val="6AB57FE0"/>
    <w:rsid w:val="6ACA3A8C"/>
    <w:rsid w:val="6ACD0E86"/>
    <w:rsid w:val="6ADB40DC"/>
    <w:rsid w:val="6B5670CE"/>
    <w:rsid w:val="6B8845FA"/>
    <w:rsid w:val="6B9946B3"/>
    <w:rsid w:val="6BAC13E3"/>
    <w:rsid w:val="6BC54CBE"/>
    <w:rsid w:val="6BDD0871"/>
    <w:rsid w:val="6BE217A4"/>
    <w:rsid w:val="6BEF1A8B"/>
    <w:rsid w:val="6BF131A4"/>
    <w:rsid w:val="6C1E27F0"/>
    <w:rsid w:val="6C276F3A"/>
    <w:rsid w:val="6C326A4D"/>
    <w:rsid w:val="6C437A1F"/>
    <w:rsid w:val="6C5C5C0D"/>
    <w:rsid w:val="6C7007C7"/>
    <w:rsid w:val="6C763D3D"/>
    <w:rsid w:val="6C844493"/>
    <w:rsid w:val="6C8549F4"/>
    <w:rsid w:val="6C8B2DA7"/>
    <w:rsid w:val="6C8E32FA"/>
    <w:rsid w:val="6CA81BAB"/>
    <w:rsid w:val="6CD26C28"/>
    <w:rsid w:val="6CE87F8C"/>
    <w:rsid w:val="6CEA5182"/>
    <w:rsid w:val="6CED5B4D"/>
    <w:rsid w:val="6D0372F6"/>
    <w:rsid w:val="6D0B5802"/>
    <w:rsid w:val="6D7361B0"/>
    <w:rsid w:val="6D741A8D"/>
    <w:rsid w:val="6D7636BA"/>
    <w:rsid w:val="6D7952F5"/>
    <w:rsid w:val="6D945A51"/>
    <w:rsid w:val="6DA32372"/>
    <w:rsid w:val="6DBC51E2"/>
    <w:rsid w:val="6DD96DB6"/>
    <w:rsid w:val="6DE76850"/>
    <w:rsid w:val="6E1C483C"/>
    <w:rsid w:val="6E296D1B"/>
    <w:rsid w:val="6E3F653F"/>
    <w:rsid w:val="6E66310E"/>
    <w:rsid w:val="6E731D44"/>
    <w:rsid w:val="6E932DE0"/>
    <w:rsid w:val="6EA7112B"/>
    <w:rsid w:val="6ECB392F"/>
    <w:rsid w:val="6ECE2FB7"/>
    <w:rsid w:val="6EE47802"/>
    <w:rsid w:val="6EE97C7B"/>
    <w:rsid w:val="6EF174B1"/>
    <w:rsid w:val="6EF86A03"/>
    <w:rsid w:val="6EF91340"/>
    <w:rsid w:val="6EFB3C2C"/>
    <w:rsid w:val="6EFC020C"/>
    <w:rsid w:val="6EFC1D3A"/>
    <w:rsid w:val="6EFD3419"/>
    <w:rsid w:val="6F1B6617"/>
    <w:rsid w:val="6F234695"/>
    <w:rsid w:val="6F4F27B2"/>
    <w:rsid w:val="6F5E1A6F"/>
    <w:rsid w:val="6F7E4E45"/>
    <w:rsid w:val="6F80296B"/>
    <w:rsid w:val="6FAF3250"/>
    <w:rsid w:val="6FB20BD4"/>
    <w:rsid w:val="6FB27657"/>
    <w:rsid w:val="6FBA59BE"/>
    <w:rsid w:val="6FE85134"/>
    <w:rsid w:val="6FE949B4"/>
    <w:rsid w:val="6FF623B0"/>
    <w:rsid w:val="700A21EE"/>
    <w:rsid w:val="70223A22"/>
    <w:rsid w:val="70296B3E"/>
    <w:rsid w:val="7049646A"/>
    <w:rsid w:val="70611204"/>
    <w:rsid w:val="708F6BDE"/>
    <w:rsid w:val="70980188"/>
    <w:rsid w:val="70A80E1F"/>
    <w:rsid w:val="70BC724E"/>
    <w:rsid w:val="70E656CB"/>
    <w:rsid w:val="710C6DC7"/>
    <w:rsid w:val="71607691"/>
    <w:rsid w:val="71621977"/>
    <w:rsid w:val="7165620F"/>
    <w:rsid w:val="717039F8"/>
    <w:rsid w:val="718F6E95"/>
    <w:rsid w:val="71995F66"/>
    <w:rsid w:val="71CF3736"/>
    <w:rsid w:val="71EC42E8"/>
    <w:rsid w:val="72186CC8"/>
    <w:rsid w:val="7219176C"/>
    <w:rsid w:val="721B697B"/>
    <w:rsid w:val="721C028A"/>
    <w:rsid w:val="72233A82"/>
    <w:rsid w:val="7242215A"/>
    <w:rsid w:val="72565C05"/>
    <w:rsid w:val="727367B7"/>
    <w:rsid w:val="728F2B81"/>
    <w:rsid w:val="72971B60"/>
    <w:rsid w:val="72C264DB"/>
    <w:rsid w:val="72C54B39"/>
    <w:rsid w:val="72C6616E"/>
    <w:rsid w:val="72D07765"/>
    <w:rsid w:val="72EB459F"/>
    <w:rsid w:val="72F35B4A"/>
    <w:rsid w:val="72FA0C86"/>
    <w:rsid w:val="73027B3B"/>
    <w:rsid w:val="730648A1"/>
    <w:rsid w:val="73092F32"/>
    <w:rsid w:val="733C2265"/>
    <w:rsid w:val="733C304D"/>
    <w:rsid w:val="734B6169"/>
    <w:rsid w:val="73504D4A"/>
    <w:rsid w:val="735E7467"/>
    <w:rsid w:val="736B56E0"/>
    <w:rsid w:val="737E5413"/>
    <w:rsid w:val="739268B3"/>
    <w:rsid w:val="73AE230F"/>
    <w:rsid w:val="73C951CB"/>
    <w:rsid w:val="74213FF1"/>
    <w:rsid w:val="74281823"/>
    <w:rsid w:val="74327C85"/>
    <w:rsid w:val="744C0855"/>
    <w:rsid w:val="74673DB7"/>
    <w:rsid w:val="747A3D00"/>
    <w:rsid w:val="747B1BB4"/>
    <w:rsid w:val="748B5F14"/>
    <w:rsid w:val="748E2EA1"/>
    <w:rsid w:val="74A0585D"/>
    <w:rsid w:val="74BA1345"/>
    <w:rsid w:val="74D13AD5"/>
    <w:rsid w:val="74E50DAE"/>
    <w:rsid w:val="74FA2C30"/>
    <w:rsid w:val="7521699E"/>
    <w:rsid w:val="752C4326"/>
    <w:rsid w:val="752D668A"/>
    <w:rsid w:val="754D5C4B"/>
    <w:rsid w:val="755723C0"/>
    <w:rsid w:val="75660855"/>
    <w:rsid w:val="75CD6496"/>
    <w:rsid w:val="75D27C98"/>
    <w:rsid w:val="75FB15A5"/>
    <w:rsid w:val="75FD6934"/>
    <w:rsid w:val="761024BB"/>
    <w:rsid w:val="76183420"/>
    <w:rsid w:val="7630676D"/>
    <w:rsid w:val="763B025C"/>
    <w:rsid w:val="766F3739"/>
    <w:rsid w:val="76B61C2D"/>
    <w:rsid w:val="76BA0E58"/>
    <w:rsid w:val="76C240A7"/>
    <w:rsid w:val="76CE33B8"/>
    <w:rsid w:val="76D637B8"/>
    <w:rsid w:val="76DA416A"/>
    <w:rsid w:val="76E2215D"/>
    <w:rsid w:val="76F229C2"/>
    <w:rsid w:val="770E33B0"/>
    <w:rsid w:val="771D13E7"/>
    <w:rsid w:val="77336515"/>
    <w:rsid w:val="775246B7"/>
    <w:rsid w:val="776D5ECB"/>
    <w:rsid w:val="77705C44"/>
    <w:rsid w:val="7772528F"/>
    <w:rsid w:val="77BA09E4"/>
    <w:rsid w:val="77DC4DFE"/>
    <w:rsid w:val="77EF68E0"/>
    <w:rsid w:val="781E69D1"/>
    <w:rsid w:val="78395DAD"/>
    <w:rsid w:val="78914753"/>
    <w:rsid w:val="789213A2"/>
    <w:rsid w:val="78A0668D"/>
    <w:rsid w:val="78B90C9C"/>
    <w:rsid w:val="78B95140"/>
    <w:rsid w:val="78BD30E4"/>
    <w:rsid w:val="78E81581"/>
    <w:rsid w:val="78FE006C"/>
    <w:rsid w:val="7901747F"/>
    <w:rsid w:val="7908420F"/>
    <w:rsid w:val="791F1447"/>
    <w:rsid w:val="794B223C"/>
    <w:rsid w:val="798E4CA2"/>
    <w:rsid w:val="79A87516"/>
    <w:rsid w:val="79AD7444"/>
    <w:rsid w:val="79C36276"/>
    <w:rsid w:val="79D7229C"/>
    <w:rsid w:val="79DB12C6"/>
    <w:rsid w:val="79E32474"/>
    <w:rsid w:val="79E60FBC"/>
    <w:rsid w:val="79ED50A1"/>
    <w:rsid w:val="79F41A84"/>
    <w:rsid w:val="7A0B6B44"/>
    <w:rsid w:val="7A263B6B"/>
    <w:rsid w:val="7A2B5BC9"/>
    <w:rsid w:val="7A3C7DD6"/>
    <w:rsid w:val="7A454EDD"/>
    <w:rsid w:val="7A650681"/>
    <w:rsid w:val="7A7A34B3"/>
    <w:rsid w:val="7A805F15"/>
    <w:rsid w:val="7A925C48"/>
    <w:rsid w:val="7AA1584C"/>
    <w:rsid w:val="7AAB2866"/>
    <w:rsid w:val="7AD87333"/>
    <w:rsid w:val="7AEF309B"/>
    <w:rsid w:val="7AF46346"/>
    <w:rsid w:val="7AF53DCD"/>
    <w:rsid w:val="7AF75AAB"/>
    <w:rsid w:val="7B09154F"/>
    <w:rsid w:val="7B0F5EBF"/>
    <w:rsid w:val="7B130FB9"/>
    <w:rsid w:val="7B1C796A"/>
    <w:rsid w:val="7B324450"/>
    <w:rsid w:val="7B4F1915"/>
    <w:rsid w:val="7B5A4FB8"/>
    <w:rsid w:val="7B5B0730"/>
    <w:rsid w:val="7B656EB9"/>
    <w:rsid w:val="7B705F89"/>
    <w:rsid w:val="7BA07EF1"/>
    <w:rsid w:val="7BC0387F"/>
    <w:rsid w:val="7BC81F33"/>
    <w:rsid w:val="7BD32BE2"/>
    <w:rsid w:val="7BD71E38"/>
    <w:rsid w:val="7BDF6C6B"/>
    <w:rsid w:val="7BE84708"/>
    <w:rsid w:val="7BEE62DE"/>
    <w:rsid w:val="7BF64EDE"/>
    <w:rsid w:val="7C09018C"/>
    <w:rsid w:val="7C1A7CA3"/>
    <w:rsid w:val="7C400C1E"/>
    <w:rsid w:val="7C4128C5"/>
    <w:rsid w:val="7C75137E"/>
    <w:rsid w:val="7CBE0F77"/>
    <w:rsid w:val="7CD24A22"/>
    <w:rsid w:val="7CE15DC8"/>
    <w:rsid w:val="7D181A6A"/>
    <w:rsid w:val="7D3D633F"/>
    <w:rsid w:val="7D513B99"/>
    <w:rsid w:val="7D537911"/>
    <w:rsid w:val="7D80675E"/>
    <w:rsid w:val="7D8F476B"/>
    <w:rsid w:val="7D951CD7"/>
    <w:rsid w:val="7DA03048"/>
    <w:rsid w:val="7DA37C8F"/>
    <w:rsid w:val="7DD11708"/>
    <w:rsid w:val="7DEE4A4F"/>
    <w:rsid w:val="7E036801"/>
    <w:rsid w:val="7E171E3C"/>
    <w:rsid w:val="7E2412AD"/>
    <w:rsid w:val="7E402F77"/>
    <w:rsid w:val="7E4C610E"/>
    <w:rsid w:val="7E5F5996"/>
    <w:rsid w:val="7EAE6230"/>
    <w:rsid w:val="7EBD579E"/>
    <w:rsid w:val="7EC167BD"/>
    <w:rsid w:val="7ECA3C03"/>
    <w:rsid w:val="7ED14F91"/>
    <w:rsid w:val="7EDF0370"/>
    <w:rsid w:val="7EFE4FFA"/>
    <w:rsid w:val="7F007624"/>
    <w:rsid w:val="7F0E3631"/>
    <w:rsid w:val="7F271055"/>
    <w:rsid w:val="7F272D9E"/>
    <w:rsid w:val="7F405C73"/>
    <w:rsid w:val="7F546FE2"/>
    <w:rsid w:val="7F7122D0"/>
    <w:rsid w:val="7F823E73"/>
    <w:rsid w:val="7F961332"/>
    <w:rsid w:val="7FA206DC"/>
    <w:rsid w:val="7FC90812"/>
    <w:rsid w:val="7FCF6FF7"/>
    <w:rsid w:val="7FE34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autoRedefine/>
    <w:qFormat/>
    <w:uiPriority w:val="9"/>
    <w:pPr>
      <w:keepNext/>
      <w:keepLines/>
      <w:spacing w:before="340" w:after="330" w:line="578" w:lineRule="auto"/>
      <w:jc w:val="center"/>
      <w:outlineLvl w:val="0"/>
    </w:pPr>
    <w:rPr>
      <w:b/>
      <w:bCs/>
      <w:kern w:val="44"/>
      <w:sz w:val="36"/>
      <w:szCs w:val="44"/>
    </w:rPr>
  </w:style>
  <w:style w:type="paragraph" w:styleId="5">
    <w:name w:val="heading 2"/>
    <w:basedOn w:val="1"/>
    <w:next w:val="1"/>
    <w:link w:val="40"/>
    <w:autoRedefine/>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autoRedefine/>
    <w:qFormat/>
    <w:uiPriority w:val="9"/>
    <w:pPr>
      <w:keepNext/>
      <w:keepLines/>
      <w:spacing w:before="280" w:after="290" w:line="376" w:lineRule="auto"/>
      <w:outlineLvl w:val="3"/>
    </w:pPr>
    <w:rPr>
      <w:rFonts w:ascii="Cambria" w:hAnsi="Cambria"/>
      <w:b/>
      <w:bCs/>
      <w:sz w:val="28"/>
      <w:szCs w:val="28"/>
    </w:rPr>
  </w:style>
  <w:style w:type="paragraph" w:styleId="8">
    <w:name w:val="heading 5"/>
    <w:basedOn w:val="1"/>
    <w:next w:val="9"/>
    <w:link w:val="41"/>
    <w:autoRedefine/>
    <w:qFormat/>
    <w:uiPriority w:val="9"/>
    <w:pPr>
      <w:keepNext/>
      <w:keepLines/>
      <w:spacing w:before="280" w:after="290" w:line="376" w:lineRule="auto"/>
      <w:outlineLvl w:val="4"/>
    </w:pPr>
    <w:rPr>
      <w:b/>
      <w:bCs/>
      <w:sz w:val="28"/>
      <w:szCs w:val="28"/>
    </w:rPr>
  </w:style>
  <w:style w:type="paragraph" w:styleId="10">
    <w:name w:val="heading 7"/>
    <w:basedOn w:val="1"/>
    <w:next w:val="1"/>
    <w:link w:val="42"/>
    <w:autoRedefine/>
    <w:qFormat/>
    <w:uiPriority w:val="0"/>
    <w:pPr>
      <w:keepNext/>
      <w:keepLines/>
      <w:spacing w:before="240" w:after="64" w:line="320" w:lineRule="auto"/>
      <w:outlineLvl w:val="6"/>
    </w:pPr>
    <w:rPr>
      <w:b/>
      <w:bCs/>
      <w:sz w:val="24"/>
    </w:rPr>
  </w:style>
  <w:style w:type="paragraph" w:styleId="11">
    <w:name w:val="heading 8"/>
    <w:basedOn w:val="1"/>
    <w:next w:val="1"/>
    <w:link w:val="43"/>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6"/>
    <w:autoRedefine/>
    <w:unhideWhenUsed/>
    <w:qFormat/>
    <w:uiPriority w:val="0"/>
    <w:pPr>
      <w:spacing w:after="120"/>
    </w:pPr>
  </w:style>
  <w:style w:type="paragraph" w:customStyle="1" w:styleId="3">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styleId="9">
    <w:name w:val="Normal Indent"/>
    <w:basedOn w:val="1"/>
    <w:autoRedefine/>
    <w:qFormat/>
    <w:uiPriority w:val="0"/>
    <w:pPr>
      <w:ind w:firstLine="420"/>
    </w:pPr>
    <w:rPr>
      <w:szCs w:val="20"/>
    </w:rPr>
  </w:style>
  <w:style w:type="paragraph" w:styleId="12">
    <w:name w:val="index 8"/>
    <w:basedOn w:val="1"/>
    <w:next w:val="1"/>
    <w:autoRedefine/>
    <w:qFormat/>
    <w:uiPriority w:val="0"/>
    <w:pPr>
      <w:ind w:left="2940"/>
    </w:pPr>
  </w:style>
  <w:style w:type="paragraph" w:styleId="13">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annotation text"/>
    <w:basedOn w:val="1"/>
    <w:link w:val="44"/>
    <w:autoRedefine/>
    <w:qFormat/>
    <w:uiPriority w:val="0"/>
    <w:pPr>
      <w:jc w:val="left"/>
    </w:pPr>
  </w:style>
  <w:style w:type="paragraph" w:styleId="15">
    <w:name w:val="Body Text 3"/>
    <w:basedOn w:val="1"/>
    <w:link w:val="45"/>
    <w:autoRedefine/>
    <w:unhideWhenUsed/>
    <w:qFormat/>
    <w:uiPriority w:val="99"/>
    <w:pPr>
      <w:spacing w:after="120"/>
    </w:pPr>
    <w:rPr>
      <w:sz w:val="16"/>
      <w:szCs w:val="16"/>
    </w:rPr>
  </w:style>
  <w:style w:type="paragraph" w:styleId="16">
    <w:name w:val="Body Text Indent"/>
    <w:basedOn w:val="1"/>
    <w:link w:val="47"/>
    <w:autoRedefine/>
    <w:qFormat/>
    <w:uiPriority w:val="0"/>
    <w:pPr>
      <w:ind w:firstLine="830" w:firstLineChars="352"/>
    </w:pPr>
    <w:rPr>
      <w:rFonts w:ascii="仿宋_GB2312" w:eastAsia="仿宋_GB2312"/>
      <w:kern w:val="0"/>
      <w:sz w:val="32"/>
      <w:szCs w:val="20"/>
    </w:rPr>
  </w:style>
  <w:style w:type="paragraph" w:styleId="17">
    <w:name w:val="List 2"/>
    <w:basedOn w:val="1"/>
    <w:autoRedefine/>
    <w:unhideWhenUsed/>
    <w:qFormat/>
    <w:uiPriority w:val="99"/>
    <w:pPr>
      <w:ind w:left="100" w:leftChars="200" w:hanging="200" w:hangingChars="200"/>
      <w:contextualSpacing/>
    </w:pPr>
  </w:style>
  <w:style w:type="paragraph" w:styleId="18">
    <w:name w:val="Plain Text"/>
    <w:basedOn w:val="1"/>
    <w:link w:val="48"/>
    <w:autoRedefine/>
    <w:qFormat/>
    <w:uiPriority w:val="0"/>
    <w:rPr>
      <w:rFonts w:ascii="宋体" w:hAnsi="Courier New"/>
      <w:kern w:val="0"/>
      <w:sz w:val="20"/>
      <w:szCs w:val="21"/>
    </w:rPr>
  </w:style>
  <w:style w:type="paragraph" w:styleId="19">
    <w:name w:val="Date"/>
    <w:basedOn w:val="1"/>
    <w:next w:val="1"/>
    <w:link w:val="49"/>
    <w:autoRedefine/>
    <w:unhideWhenUsed/>
    <w:qFormat/>
    <w:uiPriority w:val="99"/>
    <w:pPr>
      <w:ind w:left="100" w:leftChars="2500"/>
    </w:pPr>
  </w:style>
  <w:style w:type="paragraph" w:styleId="20">
    <w:name w:val="Balloon Text"/>
    <w:basedOn w:val="1"/>
    <w:autoRedefine/>
    <w:semiHidden/>
    <w:qFormat/>
    <w:uiPriority w:val="0"/>
    <w:rPr>
      <w:sz w:val="18"/>
      <w:szCs w:val="18"/>
    </w:rPr>
  </w:style>
  <w:style w:type="paragraph" w:styleId="21">
    <w:name w:val="footer"/>
    <w:basedOn w:val="1"/>
    <w:link w:val="50"/>
    <w:autoRedefine/>
    <w:unhideWhenUsed/>
    <w:qFormat/>
    <w:uiPriority w:val="99"/>
    <w:pPr>
      <w:tabs>
        <w:tab w:val="center" w:pos="4153"/>
        <w:tab w:val="right" w:pos="8306"/>
      </w:tabs>
      <w:snapToGrid w:val="0"/>
      <w:jc w:val="left"/>
    </w:pPr>
    <w:rPr>
      <w:kern w:val="0"/>
      <w:sz w:val="18"/>
      <w:szCs w:val="18"/>
    </w:rPr>
  </w:style>
  <w:style w:type="paragraph" w:styleId="22">
    <w:name w:val="header"/>
    <w:basedOn w:val="1"/>
    <w:link w:val="5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autoRedefine/>
    <w:unhideWhenUsed/>
    <w:qFormat/>
    <w:uiPriority w:val="39"/>
  </w:style>
  <w:style w:type="paragraph" w:styleId="24">
    <w:name w:val="toc 6"/>
    <w:basedOn w:val="1"/>
    <w:next w:val="1"/>
    <w:autoRedefine/>
    <w:semiHidden/>
    <w:qFormat/>
    <w:uiPriority w:val="99"/>
    <w:pPr>
      <w:ind w:left="2100" w:leftChars="1000"/>
    </w:pPr>
  </w:style>
  <w:style w:type="paragraph" w:styleId="25">
    <w:name w:val="toc 2"/>
    <w:basedOn w:val="1"/>
    <w:next w:val="1"/>
    <w:autoRedefine/>
    <w:unhideWhenUsed/>
    <w:qFormat/>
    <w:uiPriority w:val="39"/>
    <w:pPr>
      <w:tabs>
        <w:tab w:val="right" w:leader="dot" w:pos="8296"/>
      </w:tabs>
      <w:ind w:left="420" w:leftChars="200"/>
    </w:pPr>
  </w:style>
  <w:style w:type="paragraph" w:styleId="26">
    <w:name w:val="Body Text 2"/>
    <w:basedOn w:val="1"/>
    <w:next w:val="2"/>
    <w:autoRedefine/>
    <w:qFormat/>
    <w:uiPriority w:val="0"/>
    <w:pPr>
      <w:spacing w:line="480" w:lineRule="auto"/>
    </w:pPr>
    <w:rPr>
      <w:kern w:val="0"/>
      <w:sz w:val="20"/>
    </w:rPr>
  </w:style>
  <w:style w:type="paragraph" w:styleId="27">
    <w:name w:val="Normal (Web)"/>
    <w:basedOn w:val="1"/>
    <w:autoRedefine/>
    <w:unhideWhenUsed/>
    <w:qFormat/>
    <w:uiPriority w:val="99"/>
    <w:rPr>
      <w:rFonts w:ascii="Calibri" w:hAnsi="Calibri"/>
      <w:kern w:val="0"/>
      <w:sz w:val="24"/>
    </w:rPr>
  </w:style>
  <w:style w:type="paragraph" w:styleId="28">
    <w:name w:val="Title"/>
    <w:basedOn w:val="1"/>
    <w:next w:val="1"/>
    <w:autoRedefine/>
    <w:qFormat/>
    <w:uiPriority w:val="0"/>
    <w:pPr>
      <w:spacing w:before="60" w:after="120" w:line="560" w:lineRule="exact"/>
      <w:jc w:val="center"/>
      <w:outlineLvl w:val="0"/>
    </w:pPr>
    <w:rPr>
      <w:rFonts w:eastAsia="方正小标宋简体"/>
      <w:bCs/>
      <w:sz w:val="44"/>
      <w:szCs w:val="32"/>
    </w:rPr>
  </w:style>
  <w:style w:type="paragraph" w:styleId="29">
    <w:name w:val="annotation subject"/>
    <w:basedOn w:val="14"/>
    <w:next w:val="14"/>
    <w:link w:val="52"/>
    <w:autoRedefine/>
    <w:qFormat/>
    <w:uiPriority w:val="99"/>
    <w:rPr>
      <w:b/>
      <w:bCs/>
    </w:rPr>
  </w:style>
  <w:style w:type="paragraph" w:styleId="30">
    <w:name w:val="Body Text First Indent"/>
    <w:basedOn w:val="2"/>
    <w:next w:val="24"/>
    <w:autoRedefine/>
    <w:unhideWhenUsed/>
    <w:qFormat/>
    <w:uiPriority w:val="99"/>
    <w:pPr>
      <w:ind w:firstLine="420" w:firstLineChars="100"/>
    </w:pPr>
  </w:style>
  <w:style w:type="paragraph" w:styleId="31">
    <w:name w:val="Body Text First Indent 2"/>
    <w:basedOn w:val="16"/>
    <w:next w:val="1"/>
    <w:autoRedefine/>
    <w:qFormat/>
    <w:uiPriority w:val="0"/>
    <w:pPr>
      <w:spacing w:line="360" w:lineRule="auto"/>
      <w:ind w:firstLine="0"/>
    </w:pPr>
    <w:rPr>
      <w:sz w:val="24"/>
    </w:rPr>
  </w:style>
  <w:style w:type="table" w:styleId="33">
    <w:name w:val="Table Grid"/>
    <w:basedOn w:val="3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autoRedefine/>
    <w:unhideWhenUsed/>
    <w:qFormat/>
    <w:uiPriority w:val="99"/>
    <w:rPr>
      <w:vertAlign w:val="superscript"/>
    </w:rPr>
  </w:style>
  <w:style w:type="character" w:styleId="36">
    <w:name w:val="Hyperlink"/>
    <w:autoRedefine/>
    <w:unhideWhenUsed/>
    <w:qFormat/>
    <w:uiPriority w:val="99"/>
    <w:rPr>
      <w:color w:val="0000FF"/>
      <w:u w:val="single"/>
    </w:rPr>
  </w:style>
  <w:style w:type="character" w:styleId="37">
    <w:name w:val="annotation reference"/>
    <w:autoRedefine/>
    <w:qFormat/>
    <w:uiPriority w:val="0"/>
    <w:rPr>
      <w:sz w:val="21"/>
      <w:szCs w:val="21"/>
    </w:rPr>
  </w:style>
  <w:style w:type="paragraph" w:customStyle="1" w:styleId="38">
    <w:name w:val="Title1"/>
    <w:basedOn w:val="1"/>
    <w:next w:val="1"/>
    <w:autoRedefine/>
    <w:qFormat/>
    <w:uiPriority w:val="0"/>
    <w:pPr>
      <w:jc w:val="center"/>
      <w:outlineLvl w:val="0"/>
    </w:pPr>
    <w:rPr>
      <w:rFonts w:ascii="Calibri Light" w:hAnsi="Calibri Light" w:eastAsia="Arial Unicode MS"/>
      <w:b/>
    </w:rPr>
  </w:style>
  <w:style w:type="character" w:customStyle="1" w:styleId="39">
    <w:name w:val="标题 1 Char"/>
    <w:link w:val="4"/>
    <w:autoRedefine/>
    <w:qFormat/>
    <w:uiPriority w:val="9"/>
    <w:rPr>
      <w:rFonts w:ascii="Times New Roman" w:hAnsi="Times New Roman" w:eastAsia="宋体"/>
      <w:b/>
      <w:bCs/>
      <w:kern w:val="44"/>
      <w:sz w:val="36"/>
      <w:szCs w:val="44"/>
    </w:rPr>
  </w:style>
  <w:style w:type="character" w:customStyle="1" w:styleId="40">
    <w:name w:val="标题 2 Char1"/>
    <w:link w:val="5"/>
    <w:autoRedefine/>
    <w:qFormat/>
    <w:uiPriority w:val="9"/>
    <w:rPr>
      <w:rFonts w:ascii="Cambria" w:hAnsi="Cambria" w:eastAsia="宋体" w:cs="Times New Roman"/>
      <w:b/>
      <w:bCs/>
      <w:kern w:val="2"/>
      <w:sz w:val="32"/>
      <w:szCs w:val="32"/>
    </w:rPr>
  </w:style>
  <w:style w:type="character" w:customStyle="1" w:styleId="41">
    <w:name w:val="标题 5 Char"/>
    <w:link w:val="8"/>
    <w:autoRedefine/>
    <w:semiHidden/>
    <w:qFormat/>
    <w:uiPriority w:val="9"/>
    <w:rPr>
      <w:rFonts w:ascii="Times New Roman" w:hAnsi="Times New Roman"/>
      <w:b/>
      <w:bCs/>
      <w:kern w:val="2"/>
      <w:sz w:val="28"/>
      <w:szCs w:val="28"/>
    </w:rPr>
  </w:style>
  <w:style w:type="character" w:customStyle="1" w:styleId="42">
    <w:name w:val="标题 7 Char"/>
    <w:link w:val="10"/>
    <w:autoRedefine/>
    <w:qFormat/>
    <w:uiPriority w:val="0"/>
    <w:rPr>
      <w:b/>
      <w:bCs/>
      <w:kern w:val="2"/>
      <w:sz w:val="24"/>
      <w:szCs w:val="24"/>
    </w:rPr>
  </w:style>
  <w:style w:type="character" w:customStyle="1" w:styleId="43">
    <w:name w:val="标题 8 Char1"/>
    <w:link w:val="11"/>
    <w:autoRedefine/>
    <w:semiHidden/>
    <w:qFormat/>
    <w:uiPriority w:val="9"/>
    <w:rPr>
      <w:rFonts w:ascii="等线 Light" w:hAnsi="等线 Light" w:eastAsia="等线 Light" w:cs="Times New Roman"/>
      <w:kern w:val="2"/>
      <w:sz w:val="24"/>
      <w:szCs w:val="24"/>
    </w:rPr>
  </w:style>
  <w:style w:type="character" w:customStyle="1" w:styleId="44">
    <w:name w:val="批注文字 Char1"/>
    <w:link w:val="14"/>
    <w:autoRedefine/>
    <w:qFormat/>
    <w:uiPriority w:val="0"/>
    <w:rPr>
      <w:rFonts w:ascii="Times New Roman" w:hAnsi="Times New Roman"/>
      <w:kern w:val="2"/>
      <w:sz w:val="21"/>
      <w:szCs w:val="24"/>
    </w:rPr>
  </w:style>
  <w:style w:type="character" w:customStyle="1" w:styleId="45">
    <w:name w:val="正文文本 3 Char"/>
    <w:link w:val="15"/>
    <w:autoRedefine/>
    <w:semiHidden/>
    <w:qFormat/>
    <w:uiPriority w:val="99"/>
    <w:rPr>
      <w:kern w:val="2"/>
      <w:sz w:val="16"/>
      <w:szCs w:val="16"/>
    </w:rPr>
  </w:style>
  <w:style w:type="character" w:customStyle="1" w:styleId="46">
    <w:name w:val="正文文本 Char1"/>
    <w:link w:val="2"/>
    <w:autoRedefine/>
    <w:qFormat/>
    <w:uiPriority w:val="0"/>
    <w:rPr>
      <w:rFonts w:ascii="Times New Roman" w:hAnsi="Times New Roman"/>
      <w:kern w:val="2"/>
      <w:sz w:val="21"/>
      <w:szCs w:val="24"/>
    </w:rPr>
  </w:style>
  <w:style w:type="character" w:customStyle="1" w:styleId="47">
    <w:name w:val="正文文本缩进 Char"/>
    <w:link w:val="16"/>
    <w:autoRedefine/>
    <w:qFormat/>
    <w:uiPriority w:val="0"/>
    <w:rPr>
      <w:rFonts w:ascii="仿宋_GB2312" w:hAnsi="Times New Roman" w:eastAsia="仿宋_GB2312" w:cs="Times New Roman"/>
      <w:sz w:val="32"/>
      <w:szCs w:val="20"/>
    </w:rPr>
  </w:style>
  <w:style w:type="character" w:customStyle="1" w:styleId="48">
    <w:name w:val="纯文本 Char1"/>
    <w:link w:val="18"/>
    <w:autoRedefine/>
    <w:qFormat/>
    <w:uiPriority w:val="0"/>
    <w:rPr>
      <w:rFonts w:ascii="宋体" w:hAnsi="Courier New" w:eastAsia="宋体" w:cs="Courier New"/>
      <w:szCs w:val="21"/>
    </w:rPr>
  </w:style>
  <w:style w:type="character" w:customStyle="1" w:styleId="49">
    <w:name w:val="日期 Char"/>
    <w:link w:val="19"/>
    <w:autoRedefine/>
    <w:semiHidden/>
    <w:qFormat/>
    <w:uiPriority w:val="99"/>
    <w:rPr>
      <w:rFonts w:ascii="Times New Roman" w:hAnsi="Times New Roman"/>
      <w:kern w:val="2"/>
      <w:sz w:val="21"/>
      <w:szCs w:val="24"/>
    </w:rPr>
  </w:style>
  <w:style w:type="character" w:customStyle="1" w:styleId="50">
    <w:name w:val="页脚 Char"/>
    <w:link w:val="21"/>
    <w:autoRedefine/>
    <w:qFormat/>
    <w:uiPriority w:val="99"/>
    <w:rPr>
      <w:sz w:val="18"/>
      <w:szCs w:val="18"/>
    </w:rPr>
  </w:style>
  <w:style w:type="character" w:customStyle="1" w:styleId="51">
    <w:name w:val="页眉 Char"/>
    <w:link w:val="22"/>
    <w:autoRedefine/>
    <w:qFormat/>
    <w:uiPriority w:val="99"/>
    <w:rPr>
      <w:sz w:val="18"/>
      <w:szCs w:val="18"/>
    </w:rPr>
  </w:style>
  <w:style w:type="character" w:customStyle="1" w:styleId="52">
    <w:name w:val="批注主题 Char"/>
    <w:link w:val="29"/>
    <w:autoRedefine/>
    <w:qFormat/>
    <w:uiPriority w:val="99"/>
    <w:rPr>
      <w:rFonts w:ascii="Times New Roman" w:hAnsi="Times New Roman"/>
      <w:b/>
      <w:bCs/>
      <w:kern w:val="2"/>
      <w:sz w:val="21"/>
      <w:szCs w:val="24"/>
    </w:rPr>
  </w:style>
  <w:style w:type="paragraph" w:customStyle="1" w:styleId="53">
    <w:name w:val="表格文字"/>
    <w:basedOn w:val="1"/>
    <w:autoRedefine/>
    <w:qFormat/>
    <w:uiPriority w:val="99"/>
    <w:pPr>
      <w:spacing w:before="25" w:after="25"/>
      <w:jc w:val="left"/>
    </w:pPr>
    <w:rPr>
      <w:bCs/>
      <w:spacing w:val="10"/>
      <w:kern w:val="0"/>
      <w:sz w:val="24"/>
    </w:rPr>
  </w:style>
  <w:style w:type="character" w:customStyle="1" w:styleId="54">
    <w:name w:val="标题 1 字符1"/>
    <w:autoRedefine/>
    <w:qFormat/>
    <w:uiPriority w:val="0"/>
    <w:rPr>
      <w:b/>
      <w:bCs/>
      <w:kern w:val="44"/>
      <w:sz w:val="44"/>
      <w:szCs w:val="44"/>
    </w:rPr>
  </w:style>
  <w:style w:type="character" w:customStyle="1" w:styleId="55">
    <w:name w:val="textcontents"/>
    <w:autoRedefine/>
    <w:qFormat/>
    <w:uiPriority w:val="0"/>
  </w:style>
  <w:style w:type="character" w:customStyle="1" w:styleId="56">
    <w:name w:val="批注文字 Char"/>
    <w:autoRedefine/>
    <w:qFormat/>
    <w:uiPriority w:val="0"/>
    <w:rPr>
      <w:rFonts w:ascii="Times New Roman" w:hAnsi="Times New Roman"/>
      <w:kern w:val="2"/>
      <w:sz w:val="21"/>
      <w:szCs w:val="24"/>
    </w:rPr>
  </w:style>
  <w:style w:type="character" w:customStyle="1" w:styleId="57">
    <w:name w:val="纯文本 字符"/>
    <w:autoRedefine/>
    <w:qFormat/>
    <w:uiPriority w:val="0"/>
    <w:rPr>
      <w:rFonts w:ascii="宋体" w:hAnsi="Courier New" w:eastAsia="宋体" w:cs="Courier New"/>
      <w:szCs w:val="21"/>
    </w:rPr>
  </w:style>
  <w:style w:type="character" w:customStyle="1" w:styleId="58">
    <w:name w:val="纯文本 Char"/>
    <w:autoRedefine/>
    <w:qFormat/>
    <w:uiPriority w:val="0"/>
    <w:rPr>
      <w:rFonts w:ascii="宋体" w:hAnsi="Courier New" w:eastAsia="宋体" w:cs="Courier New"/>
      <w:szCs w:val="21"/>
    </w:rPr>
  </w:style>
  <w:style w:type="character" w:customStyle="1" w:styleId="59">
    <w:name w:val="纯文本 字符2"/>
    <w:autoRedefine/>
    <w:qFormat/>
    <w:uiPriority w:val="0"/>
    <w:rPr>
      <w:rFonts w:ascii="宋体" w:hAnsi="Courier New" w:eastAsia="宋体" w:cs="Courier New"/>
      <w:szCs w:val="21"/>
    </w:rPr>
  </w:style>
  <w:style w:type="character" w:customStyle="1" w:styleId="60">
    <w:name w:val="批注文字 字符1"/>
    <w:autoRedefine/>
    <w:qFormat/>
    <w:uiPriority w:val="0"/>
    <w:rPr>
      <w:rFonts w:ascii="Times New Roman" w:hAnsi="Times New Roman"/>
      <w:kern w:val="2"/>
      <w:sz w:val="21"/>
      <w:szCs w:val="24"/>
    </w:rPr>
  </w:style>
  <w:style w:type="character" w:customStyle="1" w:styleId="6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1"/>
    <w:autoRedefine/>
    <w:qFormat/>
    <w:uiPriority w:val="0"/>
    <w:rPr>
      <w:rFonts w:ascii="宋体" w:hAnsi="Courier New"/>
    </w:rPr>
  </w:style>
  <w:style w:type="character" w:customStyle="1" w:styleId="63">
    <w:name w:val="正文文本 Char"/>
    <w:autoRedefine/>
    <w:qFormat/>
    <w:uiPriority w:val="0"/>
    <w:rPr>
      <w:rFonts w:ascii="Times New Roman" w:hAnsi="Times New Roman"/>
      <w:kern w:val="2"/>
      <w:sz w:val="21"/>
      <w:szCs w:val="24"/>
    </w:rPr>
  </w:style>
  <w:style w:type="character" w:customStyle="1" w:styleId="64">
    <w:name w:val="批注文字 字符"/>
    <w:autoRedefine/>
    <w:qFormat/>
    <w:uiPriority w:val="0"/>
    <w:rPr>
      <w:rFonts w:ascii="Times New Roman" w:hAnsi="Times New Roman"/>
      <w:kern w:val="2"/>
      <w:sz w:val="21"/>
      <w:szCs w:val="24"/>
    </w:rPr>
  </w:style>
  <w:style w:type="character" w:customStyle="1" w:styleId="65">
    <w:name w:val="标题 2 Char"/>
    <w:autoRedefine/>
    <w:qFormat/>
    <w:uiPriority w:val="9"/>
    <w:rPr>
      <w:rFonts w:ascii="Cambria" w:hAnsi="Cambria" w:eastAsia="宋体" w:cs="Times New Roman"/>
      <w:b/>
      <w:bCs/>
      <w:kern w:val="2"/>
      <w:sz w:val="32"/>
      <w:szCs w:val="32"/>
    </w:rPr>
  </w:style>
  <w:style w:type="character" w:customStyle="1" w:styleId="66">
    <w:name w:val="标题 8 Char"/>
    <w:autoRedefine/>
    <w:qFormat/>
    <w:uiPriority w:val="0"/>
    <w:rPr>
      <w:rFonts w:ascii="Arial" w:hAnsi="Arial" w:eastAsia="黑体"/>
      <w:kern w:val="2"/>
      <w:sz w:val="24"/>
      <w:szCs w:val="24"/>
    </w:rPr>
  </w:style>
  <w:style w:type="character" w:customStyle="1" w:styleId="67">
    <w:name w:val="apple-style-span"/>
    <w:autoRedefine/>
    <w:qFormat/>
    <w:uiPriority w:val="0"/>
  </w:style>
  <w:style w:type="paragraph" w:customStyle="1" w:styleId="68">
    <w:name w:val="默认段落字体 Para Char Char Char Char Char Char Char Char Char1 Char Char Char Char"/>
    <w:basedOn w:val="1"/>
    <w:autoRedefine/>
    <w:qFormat/>
    <w:uiPriority w:val="0"/>
    <w:rPr>
      <w:rFonts w:ascii="Tahoma" w:hAnsi="Tahoma"/>
      <w:sz w:val="24"/>
      <w:szCs w:val="20"/>
    </w:rPr>
  </w:style>
  <w:style w:type="paragraph" w:customStyle="1" w:styleId="69">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70">
    <w:name w:val="List Paragraph"/>
    <w:basedOn w:val="1"/>
    <w:autoRedefine/>
    <w:qFormat/>
    <w:uiPriority w:val="34"/>
    <w:pPr>
      <w:ind w:firstLine="420" w:firstLineChars="200"/>
    </w:pPr>
  </w:style>
  <w:style w:type="paragraph" w:customStyle="1" w:styleId="71">
    <w:name w:val="Table Paragraph"/>
    <w:basedOn w:val="1"/>
    <w:autoRedefine/>
    <w:qFormat/>
    <w:uiPriority w:val="1"/>
    <w:pPr>
      <w:jc w:val="left"/>
    </w:pPr>
    <w:rPr>
      <w:rFonts w:ascii="Calibri" w:hAnsi="Calibri"/>
      <w:kern w:val="0"/>
      <w:sz w:val="22"/>
      <w:szCs w:val="22"/>
      <w:lang w:eastAsia="en-US"/>
    </w:rPr>
  </w:style>
  <w:style w:type="character" w:customStyle="1" w:styleId="72">
    <w:name w:val="正文文本 字符"/>
    <w:autoRedefine/>
    <w:qFormat/>
    <w:uiPriority w:val="0"/>
    <w:rPr>
      <w:rFonts w:ascii="Times New Roman" w:hAnsi="Times New Roman"/>
      <w:kern w:val="2"/>
      <w:sz w:val="21"/>
      <w:szCs w:val="24"/>
    </w:rPr>
  </w:style>
  <w:style w:type="character" w:customStyle="1" w:styleId="73">
    <w:name w:val="批注文字 Char2"/>
    <w:autoRedefine/>
    <w:qFormat/>
    <w:uiPriority w:val="0"/>
    <w:rPr>
      <w:rFonts w:ascii="Times New Roman" w:hAnsi="Times New Roman"/>
      <w:kern w:val="2"/>
      <w:sz w:val="21"/>
      <w:szCs w:val="24"/>
    </w:rPr>
  </w:style>
  <w:style w:type="paragraph" w:customStyle="1" w:styleId="74">
    <w:name w:val="样式 正文缩进正文（首行缩进两字）首行缩进两字 + 首行缩进:  2 字符1"/>
    <w:basedOn w:val="9"/>
    <w:autoRedefine/>
    <w:qFormat/>
    <w:uiPriority w:val="0"/>
    <w:pPr>
      <w:autoSpaceDE w:val="0"/>
      <w:autoSpaceDN w:val="0"/>
      <w:spacing w:beforeLines="50" w:afterLines="50" w:line="500" w:lineRule="exact"/>
      <w:ind w:firstLine="200"/>
      <w:jc w:val="left"/>
    </w:pPr>
    <w:rPr>
      <w:rFonts w:ascii="楷体_GB2312" w:eastAsia="楷体_GB2312"/>
      <w:color w:val="000000"/>
      <w:kern w:val="0"/>
      <w:sz w:val="28"/>
    </w:rPr>
  </w:style>
  <w:style w:type="paragraph" w:customStyle="1" w:styleId="75">
    <w:name w:val="列出段落3"/>
    <w:basedOn w:val="1"/>
    <w:autoRedefine/>
    <w:qFormat/>
    <w:uiPriority w:val="0"/>
    <w:pPr>
      <w:widowControl/>
      <w:spacing w:line="400" w:lineRule="exact"/>
      <w:ind w:firstLine="420" w:firstLineChars="200"/>
      <w:jc w:val="left"/>
    </w:pPr>
  </w:style>
  <w:style w:type="paragraph" w:customStyle="1" w:styleId="76">
    <w:name w:val="正文文本2"/>
    <w:basedOn w:val="1"/>
    <w:autoRedefine/>
    <w:qFormat/>
    <w:uiPriority w:val="0"/>
    <w:pPr>
      <w:shd w:val="clear" w:color="auto" w:fill="FFFFFF"/>
      <w:spacing w:after="300" w:line="0" w:lineRule="atLeast"/>
    </w:pPr>
    <w:rPr>
      <w:rFonts w:ascii="MingLiU" w:hAnsi="MingLiU" w:eastAsia="MingLiU"/>
      <w:color w:val="000000"/>
      <w:kern w:val="0"/>
      <w:sz w:val="22"/>
      <w:szCs w:val="22"/>
      <w:shd w:val="clear" w:color="auto" w:fill="FFFFFF"/>
      <w:lang w:val="zh-TW"/>
    </w:rPr>
  </w:style>
  <w:style w:type="paragraph" w:customStyle="1" w:styleId="77">
    <w:name w:val="列出段落1"/>
    <w:autoRedefine/>
    <w:qFormat/>
    <w:uiPriority w:val="0"/>
    <w:pPr>
      <w:ind w:firstLine="200" w:firstLineChars="200"/>
    </w:pPr>
    <w:rPr>
      <w:rFonts w:ascii="Calibri" w:hAnsi="Calibri" w:eastAsia="宋体" w:cs="Times New Roman"/>
      <w:kern w:val="2"/>
      <w:sz w:val="21"/>
      <w:szCs w:val="22"/>
      <w:lang w:val="en-US" w:eastAsia="zh-CN" w:bidi="ar-SA"/>
    </w:rPr>
  </w:style>
  <w:style w:type="table" w:customStyle="1" w:styleId="78">
    <w:name w:val="Table Normal"/>
    <w:autoRedefine/>
    <w:unhideWhenUsed/>
    <w:qFormat/>
    <w:uiPriority w:val="0"/>
    <w:tblPr>
      <w:tblCellMar>
        <w:top w:w="0" w:type="dxa"/>
        <w:left w:w="0" w:type="dxa"/>
        <w:bottom w:w="0" w:type="dxa"/>
        <w:right w:w="0" w:type="dxa"/>
      </w:tblCellMar>
    </w:tblPr>
  </w:style>
  <w:style w:type="paragraph" w:customStyle="1" w:styleId="79">
    <w:name w:val="正文文本首行缩进1"/>
    <w:basedOn w:val="2"/>
    <w:autoRedefine/>
    <w:qFormat/>
    <w:uiPriority w:val="0"/>
    <w:pPr>
      <w:ind w:firstLine="100" w:firstLineChars="100"/>
    </w:pPr>
  </w:style>
  <w:style w:type="paragraph" w:customStyle="1" w:styleId="80">
    <w:name w:val="Table Text"/>
    <w:basedOn w:val="1"/>
    <w:autoRedefine/>
    <w:semiHidden/>
    <w:qFormat/>
    <w:uiPriority w:val="0"/>
    <w:rPr>
      <w:rFonts w:ascii="宋体" w:hAnsi="宋体" w:cs="宋体"/>
      <w:sz w:val="24"/>
      <w:lang w:eastAsia="en-US"/>
    </w:rPr>
  </w:style>
  <w:style w:type="paragraph" w:customStyle="1" w:styleId="81">
    <w:name w:val="样式4"/>
    <w:basedOn w:val="5"/>
    <w:qFormat/>
    <w:uiPriority w:val="0"/>
    <w:pPr>
      <w:spacing w:line="416" w:lineRule="auto"/>
      <w:ind w:firstLine="640" w:firstLineChars="200"/>
      <w:jc w:val="lef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广西国泰招标</Company>
  <Pages>66</Pages>
  <Words>18272</Words>
  <Characters>19633</Characters>
  <Lines>348</Lines>
  <Paragraphs>98</Paragraphs>
  <TotalTime>2</TotalTime>
  <ScaleCrop>false</ScaleCrop>
  <LinksUpToDate>false</LinksUpToDate>
  <CharactersWithSpaces>19878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2023-08-02T08:56:00Z</dcterms:created>
  <dc:creator>广西国泰招标</dc:creator>
  <cp:lastModifiedBy>Administrator</cp:lastModifiedBy>
  <cp:lastPrinted>2026-03-03T02:18:00Z</cp:lastPrinted>
  <dcterms:modified xsi:type="dcterms:W3CDTF">2026-05-07T07:48:24Z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E28E7EBC230D4A1CA6E6770B8A56E155_13</vt:lpwstr>
  </property>
  <property fmtid="{D5CDD505-2E9C-101B-9397-08002B2CF9AE}" pid="4" name="KSOTemplateDocerSaveRecord">
    <vt:lpwstr>eyJoZGlkIjoiNGExZjljNjY3YzNjYWI2Zjk0ODQxNmI2ZmNhYTU2NDUiLCJ1c2VySWQiOiIxNTI4MTk2OTk5In0=</vt:lpwstr>
  </property>
</Properties>
</file>