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073A7">
      <w:pPr>
        <w:pStyle w:val="29"/>
        <w:rPr>
          <w:color w:val="auto"/>
        </w:rPr>
      </w:pPr>
      <w:bookmarkStart w:id="887" w:name="_GoBack"/>
      <w:bookmarkEnd w:id="887"/>
    </w:p>
    <w:p w14:paraId="19464F90">
      <w:pPr>
        <w:spacing w:line="360" w:lineRule="auto"/>
        <w:jc w:val="center"/>
        <w:rPr>
          <w:rFonts w:ascii="仿宋" w:hAnsi="仿宋" w:eastAsia="仿宋" w:cs="Arial"/>
          <w:b/>
          <w:color w:val="auto"/>
          <w:sz w:val="72"/>
          <w:szCs w:val="72"/>
        </w:rPr>
      </w:pPr>
    </w:p>
    <w:p w14:paraId="0C53CABF">
      <w:pPr>
        <w:spacing w:line="360" w:lineRule="auto"/>
        <w:jc w:val="center"/>
        <w:rPr>
          <w:rFonts w:ascii="仿宋" w:hAnsi="仿宋" w:eastAsia="仿宋" w:cs="方正小标宋简体"/>
          <w:b/>
          <w:color w:val="auto"/>
          <w:sz w:val="72"/>
          <w:szCs w:val="72"/>
        </w:rPr>
      </w:pPr>
      <w:r>
        <w:rPr>
          <w:rFonts w:hint="eastAsia" w:ascii="仿宋" w:hAnsi="仿宋" w:eastAsia="仿宋" w:cs="Arial"/>
          <w:b/>
          <w:color w:val="auto"/>
          <w:sz w:val="72"/>
          <w:szCs w:val="72"/>
        </w:rPr>
        <w:t>中昕国际项目管理有限公司</w:t>
      </w:r>
    </w:p>
    <w:p w14:paraId="0DB9EBBD">
      <w:pPr>
        <w:spacing w:line="360" w:lineRule="auto"/>
        <w:jc w:val="center"/>
        <w:rPr>
          <w:rFonts w:ascii="仿宋" w:hAnsi="仿宋" w:eastAsia="仿宋" w:cs="方正小标宋简体"/>
          <w:b/>
          <w:color w:val="auto"/>
          <w:sz w:val="44"/>
          <w:szCs w:val="44"/>
        </w:rPr>
      </w:pPr>
    </w:p>
    <w:p w14:paraId="3C15C646">
      <w:pPr>
        <w:snapToGrid w:val="0"/>
        <w:spacing w:beforeLines="50" w:line="360" w:lineRule="auto"/>
        <w:jc w:val="center"/>
        <w:rPr>
          <w:rFonts w:ascii="仿宋" w:hAnsi="仿宋" w:eastAsia="仿宋" w:cs="Arial"/>
          <w:b/>
          <w:color w:val="auto"/>
          <w:sz w:val="110"/>
          <w:szCs w:val="110"/>
        </w:rPr>
      </w:pPr>
      <w:r>
        <w:rPr>
          <w:rFonts w:hint="eastAsia" w:ascii="仿宋" w:hAnsi="仿宋" w:eastAsia="仿宋" w:cs="Arial"/>
          <w:b/>
          <w:color w:val="auto"/>
          <w:sz w:val="110"/>
          <w:szCs w:val="110"/>
        </w:rPr>
        <w:t>竞争性磋商文件</w:t>
      </w:r>
    </w:p>
    <w:p w14:paraId="21FCE459">
      <w:pPr>
        <w:snapToGrid w:val="0"/>
        <w:spacing w:beforeLines="50" w:line="360" w:lineRule="auto"/>
        <w:jc w:val="center"/>
        <w:rPr>
          <w:rFonts w:ascii="仿宋" w:hAnsi="仿宋" w:eastAsia="仿宋" w:cs="Arial"/>
          <w:b/>
          <w:color w:val="auto"/>
          <w:sz w:val="30"/>
          <w:szCs w:val="72"/>
        </w:rPr>
      </w:pPr>
      <w:r>
        <w:rPr>
          <w:rFonts w:hint="eastAsia" w:ascii="仿宋" w:hAnsi="仿宋" w:eastAsia="仿宋" w:cs="Arial"/>
          <w:b/>
          <w:color w:val="auto"/>
          <w:sz w:val="48"/>
          <w:szCs w:val="48"/>
        </w:rPr>
        <w:t>（全流程电子化采购）</w:t>
      </w:r>
    </w:p>
    <w:p w14:paraId="23CC43C1">
      <w:pPr>
        <w:snapToGrid w:val="0"/>
        <w:spacing w:line="360" w:lineRule="auto"/>
        <w:rPr>
          <w:rFonts w:ascii="仿宋" w:hAnsi="仿宋" w:eastAsia="仿宋" w:cs="Arial"/>
          <w:color w:val="auto"/>
          <w:sz w:val="30"/>
          <w:szCs w:val="72"/>
        </w:rPr>
      </w:pPr>
    </w:p>
    <w:p w14:paraId="3EB50A00">
      <w:pPr>
        <w:snapToGrid w:val="0"/>
        <w:spacing w:line="360" w:lineRule="auto"/>
        <w:rPr>
          <w:rFonts w:ascii="仿宋" w:hAnsi="仿宋" w:eastAsia="仿宋" w:cs="Arial"/>
          <w:color w:val="auto"/>
          <w:sz w:val="30"/>
          <w:szCs w:val="72"/>
        </w:rPr>
      </w:pPr>
    </w:p>
    <w:p w14:paraId="0945B884">
      <w:pPr>
        <w:snapToGrid w:val="0"/>
        <w:spacing w:line="360" w:lineRule="auto"/>
        <w:ind w:left="2702" w:leftChars="568" w:hanging="1509" w:hangingChars="501"/>
        <w:rPr>
          <w:rFonts w:ascii="仿宋" w:hAnsi="仿宋" w:eastAsia="仿宋" w:cs="Courier New"/>
          <w:b/>
          <w:bCs/>
          <w:color w:val="auto"/>
          <w:w w:val="95"/>
          <w:kern w:val="0"/>
          <w:sz w:val="30"/>
          <w:szCs w:val="30"/>
        </w:rPr>
      </w:pPr>
      <w:r>
        <w:rPr>
          <w:rFonts w:hint="eastAsia" w:ascii="仿宋" w:hAnsi="仿宋" w:eastAsia="仿宋"/>
          <w:b/>
          <w:bCs/>
          <w:color w:val="auto"/>
          <w:kern w:val="0"/>
          <w:sz w:val="30"/>
          <w:szCs w:val="30"/>
        </w:rPr>
        <w:t>项目</w:t>
      </w:r>
      <w:r>
        <w:rPr>
          <w:rFonts w:hint="eastAsia" w:ascii="仿宋" w:hAnsi="仿宋" w:eastAsia="仿宋" w:cs="Courier New"/>
          <w:b/>
          <w:bCs/>
          <w:color w:val="auto"/>
          <w:w w:val="95"/>
          <w:kern w:val="0"/>
          <w:sz w:val="30"/>
          <w:szCs w:val="30"/>
        </w:rPr>
        <w:t>名称</w:t>
      </w:r>
      <w:r>
        <w:rPr>
          <w:rFonts w:hint="eastAsia" w:ascii="仿宋" w:hAnsi="仿宋" w:eastAsia="仿宋"/>
          <w:b/>
          <w:bCs/>
          <w:color w:val="auto"/>
          <w:kern w:val="0"/>
          <w:sz w:val="30"/>
          <w:szCs w:val="30"/>
        </w:rPr>
        <w:t>：玉林市玉州区委党校食堂楼（原玉州区图书馆）修缮改造工程</w:t>
      </w:r>
    </w:p>
    <w:p w14:paraId="3D150334">
      <w:pPr>
        <w:snapToGrid w:val="0"/>
        <w:spacing w:line="360" w:lineRule="auto"/>
        <w:ind w:firstLine="1145" w:firstLineChars="400"/>
        <w:rPr>
          <w:rFonts w:ascii="仿宋" w:hAnsi="仿宋" w:eastAsia="仿宋" w:cs="Arial"/>
          <w:b/>
          <w:bCs/>
          <w:color w:val="auto"/>
          <w:w w:val="95"/>
          <w:sz w:val="30"/>
          <w:szCs w:val="30"/>
        </w:rPr>
      </w:pPr>
      <w:r>
        <w:rPr>
          <w:rFonts w:hint="eastAsia" w:ascii="仿宋" w:hAnsi="仿宋" w:eastAsia="仿宋" w:cs="Courier New"/>
          <w:b/>
          <w:bCs/>
          <w:color w:val="auto"/>
          <w:w w:val="95"/>
          <w:sz w:val="30"/>
          <w:szCs w:val="30"/>
        </w:rPr>
        <w:t>项目</w:t>
      </w:r>
      <w:r>
        <w:rPr>
          <w:rFonts w:hint="eastAsia" w:ascii="仿宋" w:hAnsi="仿宋" w:eastAsia="仿宋" w:cs="Arial"/>
          <w:b/>
          <w:bCs/>
          <w:color w:val="auto"/>
          <w:sz w:val="30"/>
          <w:szCs w:val="30"/>
        </w:rPr>
        <w:t>编号</w:t>
      </w:r>
      <w:r>
        <w:rPr>
          <w:rFonts w:hint="eastAsia" w:ascii="仿宋" w:hAnsi="仿宋" w:eastAsia="仿宋" w:cs="Courier New"/>
          <w:b/>
          <w:bCs/>
          <w:color w:val="auto"/>
          <w:w w:val="95"/>
          <w:sz w:val="30"/>
          <w:szCs w:val="30"/>
        </w:rPr>
        <w:t>：YLZC2026-C2-020082-ZXGJ</w:t>
      </w:r>
    </w:p>
    <w:p w14:paraId="40A0963D">
      <w:pPr>
        <w:snapToGrid w:val="0"/>
        <w:spacing w:line="360" w:lineRule="auto"/>
        <w:ind w:firstLine="1125" w:firstLineChars="393"/>
        <w:rPr>
          <w:rFonts w:ascii="仿宋" w:hAnsi="仿宋" w:eastAsia="仿宋"/>
          <w:b/>
          <w:bCs/>
          <w:color w:val="auto"/>
          <w:w w:val="95"/>
          <w:kern w:val="0"/>
          <w:sz w:val="30"/>
          <w:szCs w:val="30"/>
        </w:rPr>
      </w:pPr>
    </w:p>
    <w:p w14:paraId="710C8E15">
      <w:pPr>
        <w:snapToGrid w:val="0"/>
        <w:spacing w:line="360" w:lineRule="auto"/>
        <w:ind w:firstLine="1125" w:firstLineChars="393"/>
        <w:rPr>
          <w:rFonts w:ascii="仿宋" w:hAnsi="仿宋" w:eastAsia="仿宋"/>
          <w:b/>
          <w:bCs/>
          <w:color w:val="auto"/>
          <w:w w:val="95"/>
          <w:kern w:val="0"/>
          <w:sz w:val="30"/>
          <w:szCs w:val="30"/>
        </w:rPr>
      </w:pPr>
    </w:p>
    <w:p w14:paraId="6FBDCED3">
      <w:pPr>
        <w:pStyle w:val="60"/>
        <w:rPr>
          <w:color w:val="auto"/>
        </w:rPr>
      </w:pPr>
    </w:p>
    <w:p w14:paraId="7D62F304">
      <w:pPr>
        <w:snapToGrid w:val="0"/>
        <w:spacing w:line="360" w:lineRule="auto"/>
        <w:ind w:firstLine="1125" w:firstLineChars="393"/>
        <w:rPr>
          <w:rFonts w:ascii="仿宋" w:hAnsi="仿宋" w:eastAsia="仿宋"/>
          <w:b/>
          <w:bCs/>
          <w:color w:val="auto"/>
          <w:w w:val="95"/>
          <w:kern w:val="0"/>
          <w:sz w:val="30"/>
          <w:szCs w:val="30"/>
        </w:rPr>
      </w:pPr>
      <w:r>
        <w:rPr>
          <w:rFonts w:hint="eastAsia" w:ascii="仿宋" w:hAnsi="仿宋" w:eastAsia="仿宋"/>
          <w:b/>
          <w:bCs/>
          <w:color w:val="auto"/>
          <w:w w:val="95"/>
          <w:kern w:val="0"/>
          <w:sz w:val="30"/>
          <w:szCs w:val="30"/>
        </w:rPr>
        <w:t>采 购 人： 玉林市玉州区直属机关后勤服务中心</w:t>
      </w:r>
    </w:p>
    <w:p w14:paraId="56249DEC">
      <w:pPr>
        <w:snapToGrid w:val="0"/>
        <w:spacing w:line="360" w:lineRule="auto"/>
        <w:ind w:firstLine="1125" w:firstLineChars="393"/>
        <w:rPr>
          <w:rFonts w:ascii="仿宋" w:hAnsi="仿宋" w:eastAsia="仿宋"/>
          <w:b/>
          <w:bCs/>
          <w:color w:val="auto"/>
          <w:w w:val="95"/>
          <w:kern w:val="0"/>
          <w:sz w:val="30"/>
          <w:szCs w:val="30"/>
        </w:rPr>
      </w:pPr>
    </w:p>
    <w:p w14:paraId="5FD25EE9">
      <w:pPr>
        <w:snapToGrid w:val="0"/>
        <w:spacing w:line="360" w:lineRule="auto"/>
        <w:ind w:firstLine="1125" w:firstLineChars="393"/>
        <w:rPr>
          <w:rFonts w:ascii="仿宋" w:hAnsi="仿宋" w:eastAsia="仿宋"/>
          <w:b/>
          <w:bCs/>
          <w:color w:val="auto"/>
          <w:w w:val="95"/>
          <w:kern w:val="0"/>
          <w:sz w:val="30"/>
          <w:szCs w:val="30"/>
        </w:rPr>
      </w:pPr>
      <w:r>
        <w:rPr>
          <w:rFonts w:hint="eastAsia" w:ascii="仿宋" w:hAnsi="仿宋" w:eastAsia="仿宋"/>
          <w:b/>
          <w:bCs/>
          <w:color w:val="auto"/>
          <w:w w:val="95"/>
          <w:kern w:val="0"/>
          <w:sz w:val="30"/>
          <w:szCs w:val="30"/>
        </w:rPr>
        <w:t>采购代理机构：中昕国际项目管理有限公司</w:t>
      </w:r>
    </w:p>
    <w:p w14:paraId="054A12AE">
      <w:pPr>
        <w:snapToGrid w:val="0"/>
        <w:spacing w:line="360" w:lineRule="auto"/>
        <w:ind w:firstLine="1125" w:firstLineChars="393"/>
        <w:rPr>
          <w:rFonts w:ascii="仿宋" w:hAnsi="仿宋" w:eastAsia="仿宋"/>
          <w:b/>
          <w:bCs/>
          <w:color w:val="auto"/>
          <w:w w:val="95"/>
          <w:kern w:val="0"/>
          <w:sz w:val="30"/>
          <w:szCs w:val="30"/>
        </w:rPr>
      </w:pPr>
    </w:p>
    <w:p w14:paraId="7491E90A">
      <w:pPr>
        <w:snapToGrid w:val="0"/>
        <w:spacing w:line="360" w:lineRule="auto"/>
        <w:jc w:val="center"/>
        <w:rPr>
          <w:rFonts w:ascii="仿宋" w:hAnsi="仿宋" w:eastAsia="仿宋"/>
          <w:color w:val="auto"/>
          <w:kern w:val="0"/>
          <w:sz w:val="20"/>
          <w:szCs w:val="20"/>
        </w:rPr>
      </w:pPr>
      <w:r>
        <w:rPr>
          <w:rFonts w:hint="eastAsia" w:ascii="仿宋" w:hAnsi="仿宋" w:eastAsia="仿宋"/>
          <w:b/>
          <w:bCs/>
          <w:color w:val="auto"/>
          <w:w w:val="95"/>
          <w:kern w:val="0"/>
          <w:sz w:val="30"/>
          <w:szCs w:val="30"/>
        </w:rPr>
        <w:t>202</w:t>
      </w:r>
      <w:r>
        <w:rPr>
          <w:rFonts w:hint="eastAsia" w:ascii="仿宋" w:hAnsi="仿宋" w:eastAsia="仿宋"/>
          <w:b/>
          <w:bCs/>
          <w:color w:val="auto"/>
          <w:w w:val="95"/>
          <w:kern w:val="0"/>
          <w:sz w:val="30"/>
          <w:szCs w:val="30"/>
          <w:lang w:val="en-US" w:eastAsia="zh-CN"/>
        </w:rPr>
        <w:t>6</w:t>
      </w:r>
      <w:r>
        <w:rPr>
          <w:rFonts w:hint="eastAsia" w:ascii="仿宋" w:hAnsi="仿宋" w:eastAsia="仿宋"/>
          <w:b/>
          <w:bCs/>
          <w:color w:val="auto"/>
          <w:w w:val="95"/>
          <w:kern w:val="0"/>
          <w:sz w:val="30"/>
          <w:szCs w:val="30"/>
        </w:rPr>
        <w:t>年</w:t>
      </w:r>
      <w:r>
        <w:rPr>
          <w:rFonts w:hint="eastAsia" w:ascii="仿宋" w:hAnsi="仿宋" w:eastAsia="仿宋"/>
          <w:b/>
          <w:bCs/>
          <w:color w:val="auto"/>
          <w:w w:val="95"/>
          <w:kern w:val="0"/>
          <w:sz w:val="30"/>
          <w:szCs w:val="30"/>
          <w:lang w:val="en-US" w:eastAsia="zh-CN"/>
        </w:rPr>
        <w:t>6</w:t>
      </w:r>
      <w:r>
        <w:rPr>
          <w:rFonts w:hint="eastAsia" w:ascii="仿宋" w:hAnsi="仿宋" w:eastAsia="仿宋"/>
          <w:b/>
          <w:bCs/>
          <w:color w:val="auto"/>
          <w:w w:val="95"/>
          <w:kern w:val="0"/>
          <w:sz w:val="30"/>
          <w:szCs w:val="30"/>
        </w:rPr>
        <w:t>月</w:t>
      </w:r>
    </w:p>
    <w:p w14:paraId="27F9DBE4">
      <w:pPr>
        <w:widowControl/>
        <w:jc w:val="center"/>
        <w:rPr>
          <w:rFonts w:ascii="宋体" w:hAnsi="宋体"/>
          <w:b/>
          <w:color w:val="auto"/>
          <w:sz w:val="44"/>
        </w:rPr>
      </w:pPr>
      <w:r>
        <w:rPr>
          <w:rFonts w:ascii="宋体" w:hAnsi="宋体"/>
          <w:color w:val="auto"/>
          <w:sz w:val="52"/>
          <w:szCs w:val="52"/>
        </w:rPr>
        <w:br w:type="page"/>
      </w:r>
      <w:r>
        <w:rPr>
          <w:rFonts w:hint="eastAsia" w:ascii="宋体" w:hAnsi="宋体"/>
          <w:b/>
          <w:color w:val="auto"/>
          <w:sz w:val="44"/>
        </w:rPr>
        <w:t>目  录</w:t>
      </w:r>
    </w:p>
    <w:p w14:paraId="6179752D">
      <w:pPr>
        <w:spacing w:line="460" w:lineRule="exact"/>
        <w:jc w:val="center"/>
        <w:rPr>
          <w:rFonts w:ascii="宋体" w:hAnsi="宋体"/>
          <w:b/>
          <w:color w:val="auto"/>
          <w:sz w:val="30"/>
          <w:szCs w:val="30"/>
        </w:rPr>
      </w:pPr>
    </w:p>
    <w:p w14:paraId="67C3A3F5">
      <w:pPr>
        <w:pStyle w:val="37"/>
        <w:tabs>
          <w:tab w:val="right" w:leader="dot" w:pos="9356"/>
        </w:tabs>
        <w:ind w:left="0" w:leftChars="0"/>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TOC \o "1-3" \h \z \u </w:instrText>
      </w:r>
      <w:r>
        <w:rPr>
          <w:rFonts w:hint="eastAsia" w:asciiTheme="minorEastAsia" w:hAnsiTheme="minorEastAsia" w:eastAsiaTheme="minorEastAsia" w:cstheme="minorEastAsia"/>
          <w:color w:val="auto"/>
          <w:sz w:val="32"/>
          <w:szCs w:val="32"/>
        </w:rPr>
        <w:fldChar w:fldCharType="separate"/>
      </w:r>
      <w:r>
        <w:rPr>
          <w:color w:val="auto"/>
        </w:rPr>
        <w:fldChar w:fldCharType="begin"/>
      </w:r>
      <w:r>
        <w:rPr>
          <w:color w:val="auto"/>
        </w:rPr>
        <w:instrText xml:space="preserve"> HYPERLINK \l "_Toc7011" </w:instrText>
      </w:r>
      <w:r>
        <w:rPr>
          <w:color w:val="auto"/>
        </w:rPr>
        <w:fldChar w:fldCharType="separate"/>
      </w:r>
      <w:r>
        <w:rPr>
          <w:rFonts w:hint="eastAsia" w:asciiTheme="minorEastAsia" w:hAnsiTheme="minorEastAsia" w:eastAsiaTheme="minorEastAsia" w:cstheme="minorEastAsia"/>
          <w:color w:val="auto"/>
          <w:sz w:val="32"/>
          <w:szCs w:val="32"/>
        </w:rPr>
        <w:t>第一章 竞争性磋商公告</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_Toc7011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1</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5F886CFF">
      <w:pPr>
        <w:pStyle w:val="37"/>
        <w:tabs>
          <w:tab w:val="right" w:leader="dot" w:pos="9356"/>
        </w:tabs>
        <w:ind w:left="0" w:leftChars="0"/>
        <w:rPr>
          <w:rFonts w:asciiTheme="minorEastAsia" w:hAnsiTheme="minorEastAsia" w:eastAsiaTheme="minorEastAsia" w:cstheme="minorEastAsia"/>
          <w:color w:val="auto"/>
          <w:sz w:val="32"/>
          <w:szCs w:val="32"/>
        </w:rPr>
      </w:pPr>
      <w:r>
        <w:rPr>
          <w:color w:val="auto"/>
        </w:rPr>
        <w:fldChar w:fldCharType="begin"/>
      </w:r>
      <w:r>
        <w:rPr>
          <w:color w:val="auto"/>
        </w:rPr>
        <w:instrText xml:space="preserve"> HYPERLINK \l "_Toc13854" </w:instrText>
      </w:r>
      <w:r>
        <w:rPr>
          <w:color w:val="auto"/>
        </w:rPr>
        <w:fldChar w:fldCharType="separate"/>
      </w:r>
      <w:r>
        <w:rPr>
          <w:rFonts w:hint="eastAsia" w:asciiTheme="minorEastAsia" w:hAnsiTheme="minorEastAsia" w:eastAsiaTheme="minorEastAsia" w:cstheme="minorEastAsia"/>
          <w:color w:val="auto"/>
          <w:sz w:val="32"/>
          <w:szCs w:val="32"/>
        </w:rPr>
        <w:t>第二章 供应商须知及前附表</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_Toc13854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5</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0DCC7801">
      <w:pPr>
        <w:pStyle w:val="31"/>
        <w:tabs>
          <w:tab w:val="right" w:leader="dot" w:pos="9356"/>
          <w:tab w:val="clear" w:pos="840"/>
          <w:tab w:val="clear" w:pos="9628"/>
        </w:tabs>
        <w:rPr>
          <w:rFonts w:asciiTheme="minorEastAsia" w:hAnsiTheme="minorEastAsia" w:eastAsiaTheme="minorEastAsia" w:cstheme="minorEastAsia"/>
          <w:color w:val="auto"/>
          <w:sz w:val="32"/>
          <w:szCs w:val="32"/>
        </w:rPr>
      </w:pPr>
      <w:r>
        <w:rPr>
          <w:color w:val="auto"/>
        </w:rPr>
        <w:fldChar w:fldCharType="begin"/>
      </w:r>
      <w:r>
        <w:rPr>
          <w:color w:val="auto"/>
        </w:rPr>
        <w:instrText xml:space="preserve"> HYPERLINK \l "_Toc5524" </w:instrText>
      </w:r>
      <w:r>
        <w:rPr>
          <w:color w:val="auto"/>
        </w:rPr>
        <w:fldChar w:fldCharType="separate"/>
      </w:r>
      <w:r>
        <w:rPr>
          <w:rFonts w:hint="eastAsia" w:asciiTheme="minorEastAsia" w:hAnsiTheme="minorEastAsia" w:eastAsiaTheme="minorEastAsia" w:cstheme="minorEastAsia"/>
          <w:color w:val="auto"/>
          <w:sz w:val="32"/>
          <w:szCs w:val="32"/>
        </w:rPr>
        <w:t>第三章 合同条款及格式</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_Toc5524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21</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3461F73C">
      <w:pPr>
        <w:pStyle w:val="31"/>
        <w:tabs>
          <w:tab w:val="right" w:leader="dot" w:pos="9356"/>
          <w:tab w:val="clear" w:pos="840"/>
          <w:tab w:val="clear" w:pos="9628"/>
        </w:tabs>
        <w:rPr>
          <w:rFonts w:asciiTheme="minorEastAsia" w:hAnsiTheme="minorEastAsia" w:eastAsiaTheme="minorEastAsia" w:cstheme="minorEastAsia"/>
          <w:color w:val="auto"/>
          <w:sz w:val="32"/>
          <w:szCs w:val="32"/>
        </w:rPr>
      </w:pPr>
      <w:r>
        <w:rPr>
          <w:color w:val="auto"/>
        </w:rPr>
        <w:fldChar w:fldCharType="begin"/>
      </w:r>
      <w:r>
        <w:rPr>
          <w:color w:val="auto"/>
        </w:rPr>
        <w:instrText xml:space="preserve"> HYPERLINK \l "_Toc31109" </w:instrText>
      </w:r>
      <w:r>
        <w:rPr>
          <w:color w:val="auto"/>
        </w:rPr>
        <w:fldChar w:fldCharType="separate"/>
      </w:r>
      <w:r>
        <w:rPr>
          <w:rFonts w:hint="eastAsia" w:asciiTheme="minorEastAsia" w:hAnsiTheme="minorEastAsia" w:eastAsiaTheme="minorEastAsia" w:cstheme="minorEastAsia"/>
          <w:color w:val="auto"/>
          <w:sz w:val="32"/>
          <w:szCs w:val="32"/>
        </w:rPr>
        <w:t>第四章 图纸</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_Toc31109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116</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27B459FC">
      <w:pPr>
        <w:pStyle w:val="31"/>
        <w:tabs>
          <w:tab w:val="right" w:leader="dot" w:pos="9356"/>
          <w:tab w:val="clear" w:pos="840"/>
          <w:tab w:val="clear" w:pos="9628"/>
        </w:tabs>
        <w:rPr>
          <w:rFonts w:asciiTheme="minorEastAsia" w:hAnsiTheme="minorEastAsia" w:eastAsiaTheme="minorEastAsia" w:cstheme="minorEastAsia"/>
          <w:color w:val="auto"/>
          <w:sz w:val="32"/>
          <w:szCs w:val="32"/>
        </w:rPr>
      </w:pPr>
      <w:r>
        <w:rPr>
          <w:color w:val="auto"/>
        </w:rPr>
        <w:fldChar w:fldCharType="begin"/>
      </w:r>
      <w:r>
        <w:rPr>
          <w:color w:val="auto"/>
        </w:rPr>
        <w:instrText xml:space="preserve"> HYPERLINK \l "_Toc13346" </w:instrText>
      </w:r>
      <w:r>
        <w:rPr>
          <w:color w:val="auto"/>
        </w:rPr>
        <w:fldChar w:fldCharType="separate"/>
      </w:r>
      <w:r>
        <w:rPr>
          <w:rFonts w:hint="eastAsia" w:asciiTheme="minorEastAsia" w:hAnsiTheme="minorEastAsia" w:eastAsiaTheme="minorEastAsia" w:cstheme="minorEastAsia"/>
          <w:color w:val="auto"/>
          <w:sz w:val="32"/>
          <w:szCs w:val="32"/>
        </w:rPr>
        <w:t>第五章 采购需求</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_Toc13346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117</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4E6F528F">
      <w:pPr>
        <w:pStyle w:val="31"/>
        <w:tabs>
          <w:tab w:val="right" w:leader="dot" w:pos="9356"/>
          <w:tab w:val="clear" w:pos="840"/>
          <w:tab w:val="clear" w:pos="9628"/>
        </w:tabs>
        <w:rPr>
          <w:rFonts w:asciiTheme="minorEastAsia" w:hAnsiTheme="minorEastAsia" w:eastAsiaTheme="minorEastAsia" w:cstheme="minorEastAsia"/>
          <w:color w:val="auto"/>
          <w:sz w:val="32"/>
          <w:szCs w:val="32"/>
        </w:rPr>
      </w:pPr>
      <w:r>
        <w:rPr>
          <w:color w:val="auto"/>
        </w:rPr>
        <w:fldChar w:fldCharType="begin"/>
      </w:r>
      <w:r>
        <w:rPr>
          <w:color w:val="auto"/>
        </w:rPr>
        <w:instrText xml:space="preserve"> HYPERLINK \l "_Toc17697" </w:instrText>
      </w:r>
      <w:r>
        <w:rPr>
          <w:color w:val="auto"/>
        </w:rPr>
        <w:fldChar w:fldCharType="separate"/>
      </w:r>
      <w:r>
        <w:rPr>
          <w:rFonts w:hint="eastAsia" w:asciiTheme="minorEastAsia" w:hAnsiTheme="minorEastAsia" w:eastAsiaTheme="minorEastAsia" w:cstheme="minorEastAsia"/>
          <w:color w:val="auto"/>
          <w:sz w:val="32"/>
          <w:szCs w:val="32"/>
        </w:rPr>
        <w:t>第六章 工程量清单</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_Toc17697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118</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7B7C1812">
      <w:pPr>
        <w:pStyle w:val="31"/>
        <w:tabs>
          <w:tab w:val="right" w:leader="dot" w:pos="9356"/>
          <w:tab w:val="clear" w:pos="840"/>
          <w:tab w:val="clear" w:pos="9628"/>
        </w:tabs>
        <w:rPr>
          <w:rFonts w:asciiTheme="minorEastAsia" w:hAnsiTheme="minorEastAsia" w:eastAsiaTheme="minorEastAsia" w:cstheme="minorEastAsia"/>
          <w:color w:val="auto"/>
          <w:sz w:val="32"/>
          <w:szCs w:val="32"/>
        </w:rPr>
      </w:pPr>
      <w:r>
        <w:rPr>
          <w:color w:val="auto"/>
        </w:rPr>
        <w:fldChar w:fldCharType="begin"/>
      </w:r>
      <w:r>
        <w:rPr>
          <w:color w:val="auto"/>
        </w:rPr>
        <w:instrText xml:space="preserve"> HYPERLINK \l "_Toc29235" </w:instrText>
      </w:r>
      <w:r>
        <w:rPr>
          <w:color w:val="auto"/>
        </w:rPr>
        <w:fldChar w:fldCharType="separate"/>
      </w:r>
      <w:r>
        <w:rPr>
          <w:rFonts w:hint="eastAsia" w:asciiTheme="minorEastAsia" w:hAnsiTheme="minorEastAsia" w:eastAsiaTheme="minorEastAsia" w:cstheme="minorEastAsia"/>
          <w:color w:val="auto"/>
          <w:sz w:val="32"/>
          <w:szCs w:val="32"/>
        </w:rPr>
        <w:t>第七章 响应文件格式</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_Toc29235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119</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001BB86D">
      <w:pPr>
        <w:pStyle w:val="31"/>
        <w:tabs>
          <w:tab w:val="right" w:leader="dot" w:pos="9356"/>
          <w:tab w:val="clear" w:pos="840"/>
          <w:tab w:val="clear" w:pos="9628"/>
        </w:tabs>
        <w:rPr>
          <w:rFonts w:asciiTheme="minorEastAsia" w:hAnsiTheme="minorEastAsia" w:eastAsiaTheme="minorEastAsia" w:cstheme="minorEastAsia"/>
          <w:color w:val="auto"/>
          <w:sz w:val="32"/>
          <w:szCs w:val="32"/>
        </w:rPr>
      </w:pPr>
      <w:r>
        <w:rPr>
          <w:color w:val="auto"/>
        </w:rPr>
        <w:fldChar w:fldCharType="begin"/>
      </w:r>
      <w:r>
        <w:rPr>
          <w:color w:val="auto"/>
        </w:rPr>
        <w:instrText xml:space="preserve"> HYPERLINK \l "_Toc23013" </w:instrText>
      </w:r>
      <w:r>
        <w:rPr>
          <w:color w:val="auto"/>
        </w:rPr>
        <w:fldChar w:fldCharType="separate"/>
      </w:r>
      <w:r>
        <w:rPr>
          <w:rFonts w:hint="eastAsia" w:asciiTheme="minorEastAsia" w:hAnsiTheme="minorEastAsia" w:eastAsiaTheme="minorEastAsia" w:cstheme="minorEastAsia"/>
          <w:color w:val="auto"/>
          <w:sz w:val="32"/>
          <w:szCs w:val="32"/>
        </w:rPr>
        <w:t>第八章 评标办法</w:t>
      </w:r>
      <w:r>
        <w:rPr>
          <w:rFonts w:hint="eastAsia" w:asciiTheme="minorEastAsia" w:hAnsiTheme="minorEastAsia" w:eastAsiaTheme="minorEastAsia" w:cstheme="minorEastAsia"/>
          <w:color w:val="auto"/>
          <w:sz w:val="32"/>
          <w:szCs w:val="32"/>
        </w:rPr>
        <w:tab/>
      </w:r>
      <w:r>
        <w:rPr>
          <w:rFonts w:hint="eastAsia" w:asciiTheme="minorEastAsia" w:hAnsiTheme="minorEastAsia" w:eastAsiaTheme="minorEastAsia" w:cstheme="minorEastAsia"/>
          <w:color w:val="auto"/>
          <w:sz w:val="32"/>
          <w:szCs w:val="32"/>
        </w:rPr>
        <w:fldChar w:fldCharType="begin"/>
      </w:r>
      <w:r>
        <w:rPr>
          <w:rFonts w:hint="eastAsia" w:asciiTheme="minorEastAsia" w:hAnsiTheme="minorEastAsia" w:eastAsiaTheme="minorEastAsia" w:cstheme="minorEastAsia"/>
          <w:color w:val="auto"/>
          <w:sz w:val="32"/>
          <w:szCs w:val="32"/>
        </w:rPr>
        <w:instrText xml:space="preserve"> PAGEREF _Toc23013 \h </w:instrText>
      </w:r>
      <w:r>
        <w:rPr>
          <w:rFonts w:hint="eastAsia" w:asciiTheme="minorEastAsia" w:hAnsiTheme="minorEastAsia" w:eastAsiaTheme="minorEastAsia" w:cstheme="minorEastAsia"/>
          <w:color w:val="auto"/>
          <w:sz w:val="32"/>
          <w:szCs w:val="32"/>
        </w:rPr>
        <w:fldChar w:fldCharType="separate"/>
      </w:r>
      <w:r>
        <w:rPr>
          <w:rFonts w:hint="eastAsia" w:asciiTheme="minorEastAsia" w:hAnsiTheme="minorEastAsia" w:eastAsiaTheme="minorEastAsia" w:cstheme="minorEastAsia"/>
          <w:color w:val="auto"/>
          <w:sz w:val="32"/>
          <w:szCs w:val="32"/>
        </w:rPr>
        <w:t>131</w:t>
      </w:r>
      <w:r>
        <w:rPr>
          <w:rFonts w:hint="eastAsia" w:asciiTheme="minorEastAsia" w:hAnsiTheme="minorEastAsia" w:eastAsiaTheme="minorEastAsia" w:cstheme="minorEastAsia"/>
          <w:color w:val="auto"/>
          <w:sz w:val="32"/>
          <w:szCs w:val="32"/>
        </w:rPr>
        <w:fldChar w:fldCharType="end"/>
      </w:r>
      <w:r>
        <w:rPr>
          <w:rFonts w:hint="eastAsia" w:asciiTheme="minorEastAsia" w:hAnsiTheme="minorEastAsia" w:eastAsiaTheme="minorEastAsia" w:cstheme="minorEastAsia"/>
          <w:color w:val="auto"/>
          <w:sz w:val="32"/>
          <w:szCs w:val="32"/>
        </w:rPr>
        <w:fldChar w:fldCharType="end"/>
      </w:r>
    </w:p>
    <w:p w14:paraId="1600F0D6">
      <w:pPr>
        <w:pStyle w:val="31"/>
        <w:spacing w:line="460" w:lineRule="exact"/>
        <w:rPr>
          <w:rFonts w:ascii="宋体" w:hAnsi="宋体"/>
          <w:color w:val="auto"/>
          <w:sz w:val="30"/>
          <w:szCs w:val="30"/>
        </w:rPr>
      </w:pPr>
      <w:r>
        <w:rPr>
          <w:rFonts w:hint="eastAsia" w:asciiTheme="minorEastAsia" w:hAnsiTheme="minorEastAsia" w:eastAsiaTheme="minorEastAsia" w:cstheme="minorEastAsia"/>
          <w:color w:val="auto"/>
          <w:sz w:val="32"/>
          <w:szCs w:val="32"/>
        </w:rPr>
        <w:fldChar w:fldCharType="end"/>
      </w:r>
    </w:p>
    <w:p w14:paraId="4591F1B8">
      <w:pPr>
        <w:pStyle w:val="4"/>
        <w:spacing w:after="0" w:line="460" w:lineRule="exact"/>
        <w:jc w:val="center"/>
        <w:rPr>
          <w:rFonts w:ascii="宋体" w:hAnsi="宋体" w:eastAsia="宋体"/>
          <w:color w:val="auto"/>
          <w:sz w:val="36"/>
          <w:szCs w:val="24"/>
        </w:rPr>
        <w:sectPr>
          <w:headerReference r:id="rId3" w:type="first"/>
          <w:footerReference r:id="rId4" w:type="default"/>
          <w:pgSz w:w="11906" w:h="16838"/>
          <w:pgMar w:top="1418" w:right="1274" w:bottom="1418" w:left="1276" w:header="851" w:footer="992" w:gutter="0"/>
          <w:cols w:space="720" w:num="1"/>
          <w:titlePg/>
          <w:docGrid w:type="lines" w:linePitch="312" w:charSpace="0"/>
        </w:sectPr>
      </w:pPr>
    </w:p>
    <w:p w14:paraId="77F0C48F">
      <w:pPr>
        <w:pStyle w:val="4"/>
        <w:spacing w:after="0" w:line="460" w:lineRule="exact"/>
        <w:jc w:val="center"/>
        <w:rPr>
          <w:rFonts w:ascii="宋体" w:hAnsi="宋体" w:eastAsia="宋体"/>
          <w:color w:val="auto"/>
          <w:szCs w:val="24"/>
        </w:rPr>
      </w:pPr>
      <w:bookmarkStart w:id="0" w:name="_Toc7011"/>
      <w:r>
        <w:rPr>
          <w:rFonts w:hint="eastAsia" w:ascii="宋体" w:hAnsi="宋体" w:eastAsia="宋体"/>
          <w:color w:val="auto"/>
          <w:sz w:val="36"/>
          <w:szCs w:val="24"/>
        </w:rPr>
        <w:t>第一章 竞争性磋商公告</w:t>
      </w:r>
      <w:bookmarkEnd w:id="0"/>
    </w:p>
    <w:p w14:paraId="60602F5E">
      <w:pPr>
        <w:rPr>
          <w:rFonts w:ascii="宋体" w:hAnsi="宋体"/>
          <w:color w:val="auto"/>
        </w:rPr>
      </w:pPr>
    </w:p>
    <w:p w14:paraId="63A9E458">
      <w:pPr>
        <w:spacing w:line="540" w:lineRule="exact"/>
        <w:jc w:val="center"/>
        <w:rPr>
          <w:rFonts w:hint="eastAsia" w:ascii="宋体" w:hAnsi="宋体"/>
          <w:b/>
          <w:color w:val="auto"/>
          <w:sz w:val="28"/>
          <w:szCs w:val="28"/>
        </w:rPr>
      </w:pPr>
      <w:r>
        <w:rPr>
          <w:rFonts w:hint="eastAsia" w:ascii="宋体" w:hAnsi="宋体"/>
          <w:b/>
          <w:color w:val="auto"/>
          <w:sz w:val="28"/>
          <w:szCs w:val="28"/>
        </w:rPr>
        <w:t>玉林市玉州区委党校食堂楼（原玉州区图书馆）修缮改造工程</w:t>
      </w:r>
    </w:p>
    <w:p w14:paraId="18EFB5DF">
      <w:pPr>
        <w:spacing w:line="540" w:lineRule="exact"/>
        <w:jc w:val="center"/>
        <w:rPr>
          <w:rFonts w:ascii="宋体" w:hAnsi="宋体"/>
          <w:b/>
          <w:color w:val="auto"/>
          <w:sz w:val="28"/>
          <w:szCs w:val="28"/>
        </w:rPr>
      </w:pPr>
      <w:r>
        <w:rPr>
          <w:rFonts w:hint="eastAsia" w:ascii="宋体" w:hAnsi="宋体"/>
          <w:b/>
          <w:color w:val="auto"/>
          <w:sz w:val="28"/>
          <w:szCs w:val="28"/>
        </w:rPr>
        <w:t>（项目编号：YLZC2026-C2-020082-ZXGJ）</w:t>
      </w:r>
    </w:p>
    <w:p w14:paraId="23926C1C">
      <w:pPr>
        <w:spacing w:line="540" w:lineRule="exact"/>
        <w:jc w:val="center"/>
        <w:rPr>
          <w:rFonts w:ascii="宋体" w:hAnsi="宋体"/>
          <w:b/>
          <w:color w:val="auto"/>
          <w:sz w:val="28"/>
        </w:rPr>
      </w:pPr>
      <w:r>
        <w:rPr>
          <w:rFonts w:hint="eastAsia" w:ascii="宋体" w:hAnsi="宋体"/>
          <w:b/>
          <w:color w:val="auto"/>
          <w:sz w:val="28"/>
        </w:rPr>
        <w:t>竞争性磋商公告</w:t>
      </w:r>
    </w:p>
    <w:p w14:paraId="23CA2338">
      <w:pPr>
        <w:pBdr>
          <w:top w:val="single" w:color="auto" w:sz="4" w:space="0"/>
          <w:left w:val="single" w:color="auto" w:sz="4" w:space="0"/>
          <w:bottom w:val="single" w:color="auto" w:sz="4" w:space="0"/>
          <w:right w:val="single" w:color="auto" w:sz="4" w:space="0"/>
        </w:pBdr>
        <w:spacing w:line="380" w:lineRule="exact"/>
        <w:ind w:firstLine="442" w:firstLineChars="200"/>
        <w:rPr>
          <w:rFonts w:ascii="宋体" w:hAnsi="宋体"/>
          <w:color w:val="auto"/>
          <w:sz w:val="22"/>
          <w:szCs w:val="22"/>
        </w:rPr>
      </w:pPr>
      <w:r>
        <w:rPr>
          <w:rFonts w:hint="eastAsia" w:ascii="宋体" w:hAnsi="宋体"/>
          <w:b/>
          <w:bCs/>
          <w:color w:val="auto"/>
          <w:sz w:val="22"/>
          <w:szCs w:val="22"/>
        </w:rPr>
        <w:t>项目概况</w:t>
      </w:r>
    </w:p>
    <w:p w14:paraId="09E24AF9">
      <w:pPr>
        <w:pBdr>
          <w:top w:val="single" w:color="auto" w:sz="4" w:space="0"/>
          <w:left w:val="single" w:color="auto" w:sz="4" w:space="0"/>
          <w:bottom w:val="single" w:color="auto" w:sz="4" w:space="0"/>
          <w:right w:val="single" w:color="auto" w:sz="4" w:space="0"/>
        </w:pBdr>
        <w:spacing w:line="380" w:lineRule="exact"/>
        <w:ind w:firstLine="440" w:firstLineChars="200"/>
        <w:rPr>
          <w:rFonts w:ascii="宋体" w:hAnsi="宋体"/>
          <w:b/>
          <w:color w:val="auto"/>
          <w:sz w:val="20"/>
          <w:szCs w:val="20"/>
        </w:rPr>
      </w:pPr>
      <w:r>
        <w:rPr>
          <w:rFonts w:hint="eastAsia" w:ascii="宋体" w:hAnsi="宋体"/>
          <w:color w:val="auto"/>
          <w:sz w:val="22"/>
          <w:szCs w:val="22"/>
        </w:rPr>
        <w:t xml:space="preserve">  </w:t>
      </w:r>
      <w:r>
        <w:rPr>
          <w:rFonts w:hint="eastAsia" w:ascii="宋体" w:hAnsi="宋体"/>
          <w:color w:val="auto"/>
          <w:szCs w:val="21"/>
          <w:u w:val="single"/>
        </w:rPr>
        <w:t xml:space="preserve"> 玉林市玉州区委党校食堂楼（原玉州区图书馆）修缮改造工程</w:t>
      </w:r>
      <w:r>
        <w:rPr>
          <w:rFonts w:hint="eastAsia" w:ascii="宋体" w:hAnsi="宋体"/>
          <w:color w:val="auto"/>
          <w:szCs w:val="21"/>
          <w:u w:val="single"/>
          <w:lang w:val="en-US" w:eastAsia="zh-CN"/>
        </w:rPr>
        <w:t xml:space="preserve"> </w:t>
      </w:r>
      <w:r>
        <w:rPr>
          <w:rFonts w:hint="eastAsia" w:ascii="宋体" w:hAnsi="宋体"/>
          <w:color w:val="auto"/>
          <w:szCs w:val="21"/>
        </w:rPr>
        <w:t>的潜在供应商在</w:t>
      </w:r>
      <w:r>
        <w:rPr>
          <w:rFonts w:hint="eastAsia" w:ascii="宋体" w:hAnsi="宋体"/>
          <w:color w:val="auto"/>
          <w:szCs w:val="21"/>
          <w:u w:val="single"/>
        </w:rPr>
        <w:t>广西政府采购云平台（https://www.gcy.zfcg.gxzf.gov.cn/）</w:t>
      </w:r>
      <w:r>
        <w:rPr>
          <w:rFonts w:hint="eastAsia" w:ascii="宋体" w:hAnsi="宋体"/>
          <w:color w:val="auto"/>
          <w:szCs w:val="21"/>
        </w:rPr>
        <w:t>获取采购文件，并于</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u w:val="single"/>
        </w:rPr>
        <w:t>年</w:t>
      </w:r>
      <w:r>
        <w:rPr>
          <w:rFonts w:hint="eastAsia" w:ascii="宋体" w:hAnsi="宋体"/>
          <w:color w:val="auto"/>
          <w:szCs w:val="21"/>
          <w:u w:val="single"/>
          <w:lang w:val="en-US" w:eastAsia="zh-CN"/>
        </w:rPr>
        <w:t>7</w:t>
      </w:r>
      <w:r>
        <w:rPr>
          <w:rFonts w:hint="eastAsia" w:ascii="宋体" w:hAnsi="宋体"/>
          <w:color w:val="auto"/>
          <w:szCs w:val="21"/>
          <w:u w:val="single"/>
        </w:rPr>
        <w:t>月</w:t>
      </w:r>
      <w:r>
        <w:rPr>
          <w:rFonts w:hint="eastAsia" w:ascii="宋体" w:hAnsi="宋体"/>
          <w:color w:val="auto"/>
          <w:szCs w:val="21"/>
          <w:u w:val="single"/>
          <w:lang w:val="en-US" w:eastAsia="zh-CN"/>
        </w:rPr>
        <w:t>8</w:t>
      </w:r>
      <w:r>
        <w:rPr>
          <w:rFonts w:hint="eastAsia" w:ascii="宋体" w:hAnsi="宋体"/>
          <w:color w:val="auto"/>
          <w:szCs w:val="21"/>
          <w:u w:val="single"/>
        </w:rPr>
        <w:t>日 09时00分</w:t>
      </w:r>
      <w:r>
        <w:rPr>
          <w:rFonts w:hint="eastAsia" w:ascii="宋体" w:hAnsi="宋体"/>
          <w:color w:val="auto"/>
          <w:szCs w:val="21"/>
        </w:rPr>
        <w:t>（北京时间）前提交响应文件。</w:t>
      </w:r>
    </w:p>
    <w:p w14:paraId="011D3067">
      <w:pPr>
        <w:pStyle w:val="40"/>
        <w:spacing w:before="75" w:beforeAutospacing="0" w:after="75" w:afterAutospacing="0" w:line="405" w:lineRule="atLeast"/>
        <w:ind w:firstLine="420"/>
        <w:jc w:val="both"/>
        <w:rPr>
          <w:rFonts w:cs="宋体"/>
          <w:color w:val="auto"/>
          <w:sz w:val="21"/>
          <w:szCs w:val="21"/>
          <w:lang w:bidi="zh-CN"/>
        </w:rPr>
      </w:pPr>
      <w:r>
        <w:rPr>
          <w:rFonts w:hint="eastAsia" w:cs="宋体"/>
          <w:b/>
          <w:bCs/>
          <w:color w:val="auto"/>
          <w:sz w:val="21"/>
          <w:szCs w:val="21"/>
          <w:lang w:bidi="zh-CN"/>
        </w:rPr>
        <w:t>一、项目基本情况</w:t>
      </w:r>
    </w:p>
    <w:p w14:paraId="2D283FAA">
      <w:pPr>
        <w:spacing w:line="540" w:lineRule="exact"/>
        <w:ind w:firstLine="420" w:firstLineChars="200"/>
        <w:rPr>
          <w:rFonts w:ascii="宋体" w:hAnsi="宋体" w:cs="宋体"/>
          <w:color w:val="auto"/>
          <w:kern w:val="0"/>
          <w:szCs w:val="21"/>
          <w:lang w:bidi="zh-CN"/>
        </w:rPr>
      </w:pPr>
      <w:r>
        <w:rPr>
          <w:rFonts w:hint="eastAsia" w:ascii="宋体" w:hAnsi="宋体" w:cs="宋体"/>
          <w:color w:val="auto"/>
          <w:szCs w:val="21"/>
          <w:lang w:bidi="zh-CN"/>
        </w:rPr>
        <w:t>项目编号：YLZC2026-C2-020082-ZXGJ</w:t>
      </w:r>
    </w:p>
    <w:p w14:paraId="5F7B4941">
      <w:pPr>
        <w:pStyle w:val="40"/>
        <w:spacing w:before="75" w:beforeAutospacing="0" w:after="75" w:afterAutospacing="0" w:line="405" w:lineRule="atLeast"/>
        <w:ind w:firstLine="420"/>
        <w:jc w:val="both"/>
        <w:rPr>
          <w:rFonts w:hint="default" w:cs="宋体"/>
          <w:color w:val="auto"/>
          <w:sz w:val="21"/>
          <w:szCs w:val="21"/>
          <w:lang w:val="en-US" w:bidi="zh-CN"/>
        </w:rPr>
      </w:pPr>
      <w:r>
        <w:rPr>
          <w:rFonts w:hint="eastAsia" w:cs="宋体"/>
          <w:color w:val="auto"/>
          <w:sz w:val="21"/>
          <w:szCs w:val="21"/>
          <w:lang w:bidi="zh-CN"/>
        </w:rPr>
        <w:t>政府采购计划编号：YLZC2026-C2-20581</w:t>
      </w:r>
    </w:p>
    <w:p w14:paraId="6F14C883">
      <w:pPr>
        <w:pStyle w:val="40"/>
        <w:spacing w:before="75" w:beforeAutospacing="0" w:after="75" w:afterAutospacing="0" w:line="405" w:lineRule="atLeast"/>
        <w:ind w:firstLine="420"/>
        <w:jc w:val="both"/>
        <w:rPr>
          <w:rFonts w:cs="宋体"/>
          <w:color w:val="auto"/>
          <w:sz w:val="21"/>
          <w:szCs w:val="21"/>
          <w:lang w:bidi="zh-CN"/>
        </w:rPr>
      </w:pPr>
      <w:r>
        <w:rPr>
          <w:rFonts w:hint="eastAsia" w:cs="宋体"/>
          <w:color w:val="auto"/>
          <w:sz w:val="21"/>
          <w:szCs w:val="21"/>
          <w:lang w:bidi="zh-CN"/>
        </w:rPr>
        <w:t>项目名称：玉林市玉州区委党校食堂楼（原玉州区图书馆）修缮改造工程</w:t>
      </w:r>
      <w:r>
        <w:rPr>
          <w:rFonts w:cs="宋体"/>
          <w:color w:val="auto"/>
          <w:sz w:val="21"/>
          <w:szCs w:val="21"/>
          <w:lang w:bidi="zh-CN"/>
        </w:rPr>
        <w:t xml:space="preserve"> </w:t>
      </w:r>
    </w:p>
    <w:p w14:paraId="6ED16F3A">
      <w:pPr>
        <w:pStyle w:val="40"/>
        <w:spacing w:before="75" w:beforeAutospacing="0" w:after="75" w:afterAutospacing="0" w:line="405" w:lineRule="atLeast"/>
        <w:ind w:firstLine="420"/>
        <w:jc w:val="both"/>
        <w:rPr>
          <w:rFonts w:cs="宋体"/>
          <w:color w:val="auto"/>
          <w:sz w:val="21"/>
          <w:szCs w:val="21"/>
          <w:lang w:bidi="zh-CN"/>
        </w:rPr>
      </w:pPr>
      <w:r>
        <w:rPr>
          <w:rFonts w:hint="eastAsia" w:cs="宋体"/>
          <w:color w:val="auto"/>
          <w:sz w:val="21"/>
          <w:szCs w:val="21"/>
          <w:lang w:bidi="zh-CN"/>
        </w:rPr>
        <w:t xml:space="preserve">采购方式：竞争性磋商 </w:t>
      </w:r>
    </w:p>
    <w:p w14:paraId="7649D089">
      <w:pPr>
        <w:pStyle w:val="40"/>
        <w:spacing w:before="75" w:beforeAutospacing="0" w:after="75" w:afterAutospacing="0" w:line="405" w:lineRule="atLeast"/>
        <w:ind w:firstLine="420"/>
        <w:jc w:val="both"/>
        <w:rPr>
          <w:rFonts w:cs="宋体"/>
          <w:color w:val="auto"/>
          <w:sz w:val="21"/>
          <w:szCs w:val="21"/>
          <w:lang w:bidi="zh-CN"/>
        </w:rPr>
      </w:pPr>
      <w:r>
        <w:rPr>
          <w:rFonts w:hint="eastAsia" w:cs="宋体"/>
          <w:color w:val="auto"/>
          <w:sz w:val="21"/>
          <w:szCs w:val="21"/>
          <w:lang w:bidi="zh-CN"/>
        </w:rPr>
        <w:t>预算金额：591042.99元</w:t>
      </w:r>
    </w:p>
    <w:p w14:paraId="3BBE6201">
      <w:pPr>
        <w:pStyle w:val="40"/>
        <w:spacing w:before="75" w:beforeAutospacing="0" w:after="75" w:afterAutospacing="0" w:line="405" w:lineRule="atLeast"/>
        <w:ind w:firstLine="420"/>
        <w:jc w:val="both"/>
        <w:rPr>
          <w:rFonts w:cs="宋体"/>
          <w:color w:val="auto"/>
          <w:sz w:val="21"/>
          <w:szCs w:val="21"/>
          <w:lang w:bidi="zh-CN"/>
        </w:rPr>
      </w:pPr>
      <w:r>
        <w:rPr>
          <w:rFonts w:hint="eastAsia" w:cs="宋体"/>
          <w:color w:val="auto"/>
          <w:sz w:val="21"/>
          <w:szCs w:val="21"/>
          <w:lang w:bidi="zh-CN"/>
        </w:rPr>
        <w:t>最高限价：/</w:t>
      </w:r>
    </w:p>
    <w:p w14:paraId="4CE483EB">
      <w:pPr>
        <w:pStyle w:val="40"/>
        <w:spacing w:before="75" w:beforeAutospacing="0" w:after="75" w:afterAutospacing="0" w:line="405" w:lineRule="atLeast"/>
        <w:ind w:firstLine="420"/>
        <w:jc w:val="both"/>
        <w:rPr>
          <w:rFonts w:cs="宋体"/>
          <w:color w:val="auto"/>
          <w:sz w:val="21"/>
          <w:szCs w:val="21"/>
          <w:lang w:bidi="zh-CN"/>
        </w:rPr>
      </w:pPr>
      <w:r>
        <w:rPr>
          <w:rFonts w:hint="eastAsia" w:cs="宋体"/>
          <w:color w:val="auto"/>
          <w:sz w:val="21"/>
          <w:szCs w:val="21"/>
          <w:lang w:bidi="zh-CN"/>
        </w:rPr>
        <w:t>采购需求及采购内容：本项目包含拆除工程、装饰装修工程、水电及照明安装、厨房鲜风系统安装、厨房排烟系统安装、餐梯安装等修缮内容。具体以经审图合格的设计施工图纸、工程量清单所包含的内容为准。</w:t>
      </w:r>
    </w:p>
    <w:p w14:paraId="60E6CF3B">
      <w:pPr>
        <w:pStyle w:val="40"/>
        <w:spacing w:before="75" w:beforeAutospacing="0" w:after="75" w:afterAutospacing="0" w:line="405" w:lineRule="atLeast"/>
        <w:ind w:firstLine="420"/>
        <w:jc w:val="both"/>
        <w:rPr>
          <w:rFonts w:cs="宋体"/>
          <w:color w:val="auto"/>
          <w:sz w:val="21"/>
          <w:szCs w:val="21"/>
          <w:lang w:bidi="zh-CN"/>
        </w:rPr>
      </w:pPr>
      <w:r>
        <w:rPr>
          <w:rFonts w:hint="eastAsia" w:cs="宋体"/>
          <w:color w:val="auto"/>
          <w:sz w:val="21"/>
          <w:szCs w:val="21"/>
          <w:lang w:bidi="zh-CN"/>
        </w:rPr>
        <w:t>合同履约期限：</w:t>
      </w:r>
      <w:r>
        <w:rPr>
          <w:rFonts w:hint="eastAsia" w:cs="宋体"/>
          <w:color w:val="auto"/>
          <w:sz w:val="21"/>
          <w:szCs w:val="21"/>
          <w:lang w:val="en-US" w:bidi="zh-CN"/>
        </w:rPr>
        <w:t>60</w:t>
      </w:r>
      <w:r>
        <w:rPr>
          <w:rFonts w:hint="eastAsia" w:cs="宋体"/>
          <w:color w:val="auto"/>
          <w:sz w:val="21"/>
          <w:szCs w:val="21"/>
          <w:lang w:bidi="zh-CN"/>
        </w:rPr>
        <w:t>日历天。</w:t>
      </w:r>
    </w:p>
    <w:p w14:paraId="5377FABF">
      <w:pPr>
        <w:pStyle w:val="40"/>
        <w:spacing w:before="75" w:beforeAutospacing="0" w:after="75" w:afterAutospacing="0" w:line="405" w:lineRule="atLeast"/>
        <w:ind w:firstLine="420"/>
        <w:jc w:val="both"/>
        <w:rPr>
          <w:rFonts w:cs="宋体"/>
          <w:color w:val="auto"/>
          <w:sz w:val="21"/>
          <w:szCs w:val="21"/>
          <w:lang w:bidi="zh-CN"/>
        </w:rPr>
      </w:pPr>
      <w:r>
        <w:rPr>
          <w:rFonts w:hint="eastAsia" w:cs="宋体"/>
          <w:color w:val="auto"/>
          <w:sz w:val="21"/>
          <w:szCs w:val="21"/>
          <w:lang w:bidi="zh-CN"/>
        </w:rPr>
        <w:t>质量要求：达到国家施工验收规范合格标准。</w:t>
      </w:r>
    </w:p>
    <w:p w14:paraId="69F28060">
      <w:pPr>
        <w:spacing w:line="440" w:lineRule="exact"/>
        <w:ind w:firstLine="422" w:firstLineChars="200"/>
        <w:rPr>
          <w:rFonts w:ascii="宋体" w:hAnsi="宋体"/>
          <w:color w:val="auto"/>
          <w:szCs w:val="21"/>
        </w:rPr>
      </w:pPr>
      <w:r>
        <w:rPr>
          <w:rFonts w:hint="eastAsia" w:ascii="宋体" w:hAnsi="宋体"/>
          <w:b/>
          <w:color w:val="auto"/>
          <w:szCs w:val="21"/>
        </w:rPr>
        <w:t>二、申请人的资格要求</w:t>
      </w:r>
    </w:p>
    <w:p w14:paraId="193D27DD">
      <w:pPr>
        <w:spacing w:line="440" w:lineRule="exact"/>
        <w:ind w:firstLine="420" w:firstLineChars="200"/>
        <w:rPr>
          <w:rFonts w:ascii="宋体" w:hAnsi="宋体"/>
          <w:color w:val="auto"/>
          <w:szCs w:val="21"/>
        </w:rPr>
      </w:pPr>
      <w:r>
        <w:rPr>
          <w:rFonts w:hint="eastAsia" w:ascii="宋体" w:hAnsi="宋体"/>
          <w:color w:val="auto"/>
          <w:szCs w:val="21"/>
        </w:rPr>
        <w:t>1.满足《中华人民共和国政府采购法》第二十二条规定；</w:t>
      </w:r>
    </w:p>
    <w:p w14:paraId="055185B5">
      <w:pPr>
        <w:spacing w:line="44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.落实政府采购政策需满足的资格要求：专门面向中小企业采购的项目（供应商应为中小微企业、监狱企业、残疾人福利性单位）；</w:t>
      </w:r>
    </w:p>
    <w:p w14:paraId="52551C12">
      <w:pPr>
        <w:spacing w:line="440" w:lineRule="exact"/>
        <w:ind w:firstLine="420" w:firstLineChars="200"/>
        <w:rPr>
          <w:rFonts w:ascii="宋体" w:hAnsi="宋体"/>
          <w:color w:val="auto"/>
          <w:szCs w:val="21"/>
        </w:rPr>
      </w:pPr>
      <w:r>
        <w:rPr>
          <w:rFonts w:hint="eastAsia" w:ascii="宋体" w:hAnsi="宋体"/>
          <w:color w:val="auto"/>
          <w:szCs w:val="21"/>
        </w:rPr>
        <w:t>3.本项目的特定资格要求：</w:t>
      </w:r>
    </w:p>
    <w:p w14:paraId="492995D7">
      <w:pPr>
        <w:spacing w:line="440" w:lineRule="exact"/>
        <w:ind w:firstLine="421"/>
        <w:rPr>
          <w:rFonts w:ascii="宋体" w:hAnsi="宋体"/>
          <w:color w:val="auto"/>
          <w:szCs w:val="21"/>
        </w:rPr>
      </w:pPr>
      <w:r>
        <w:rPr>
          <w:rFonts w:hint="eastAsia" w:ascii="宋体" w:hAnsi="宋体"/>
          <w:color w:val="auto"/>
          <w:szCs w:val="21"/>
        </w:rPr>
        <w:t>3.1具有建筑施工总承包叁级以上（含叁级）或建筑装修装饰工程专业承包叁级以上（含叁级）资质的企业，并在人员、设备、资金等方面具备相应的施工能力。</w:t>
      </w:r>
    </w:p>
    <w:p w14:paraId="2F448A7A">
      <w:pPr>
        <w:spacing w:line="440" w:lineRule="exact"/>
        <w:ind w:firstLine="421"/>
        <w:rPr>
          <w:rFonts w:ascii="宋体" w:hAnsi="宋体"/>
          <w:color w:val="auto"/>
          <w:szCs w:val="21"/>
        </w:rPr>
      </w:pPr>
      <w:r>
        <w:rPr>
          <w:rFonts w:hint="eastAsia" w:ascii="宋体" w:hAnsi="宋体"/>
          <w:color w:val="auto"/>
          <w:szCs w:val="21"/>
        </w:rPr>
        <w:t>3.2拟派项目经理须具备建筑工程专业贰级以上（含贰级）注册建造师执业资格，具备有效的安全生产考核合格证书（B类）。</w:t>
      </w:r>
    </w:p>
    <w:p w14:paraId="51AD3221">
      <w:pPr>
        <w:spacing w:line="440" w:lineRule="exact"/>
        <w:ind w:firstLine="421"/>
        <w:rPr>
          <w:rFonts w:ascii="宋体" w:hAnsi="宋体"/>
          <w:color w:val="auto"/>
          <w:szCs w:val="21"/>
        </w:rPr>
      </w:pPr>
      <w:r>
        <w:rPr>
          <w:rFonts w:hint="eastAsia" w:ascii="宋体" w:hAnsi="宋体"/>
          <w:color w:val="auto"/>
          <w:szCs w:val="21"/>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2A7D3440">
      <w:pPr>
        <w:spacing w:line="440" w:lineRule="exact"/>
        <w:ind w:firstLine="420" w:firstLineChars="200"/>
        <w:rPr>
          <w:rFonts w:ascii="宋体" w:hAnsi="宋体"/>
          <w:color w:val="auto"/>
          <w:szCs w:val="21"/>
        </w:rPr>
      </w:pPr>
      <w:r>
        <w:rPr>
          <w:rFonts w:hint="eastAsia" w:ascii="宋体" w:hAnsi="宋体"/>
          <w:color w:val="auto"/>
          <w:szCs w:val="21"/>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A8D0024">
      <w:pPr>
        <w:spacing w:line="440" w:lineRule="exact"/>
        <w:ind w:left="420"/>
        <w:rPr>
          <w:rFonts w:ascii="宋体" w:hAnsi="宋体"/>
          <w:color w:val="auto"/>
          <w:szCs w:val="21"/>
          <w:lang w:val="zh-CN"/>
        </w:rPr>
      </w:pPr>
      <w:r>
        <w:rPr>
          <w:rFonts w:hint="eastAsia" w:ascii="宋体" w:hAnsi="宋体"/>
          <w:color w:val="auto"/>
          <w:szCs w:val="21"/>
        </w:rPr>
        <w:t>6.</w:t>
      </w:r>
      <w:r>
        <w:rPr>
          <w:rFonts w:hint="eastAsia" w:ascii="宋体" w:hAnsi="宋体"/>
          <w:color w:val="auto"/>
          <w:szCs w:val="21"/>
          <w:lang w:val="zh-CN"/>
        </w:rPr>
        <w:t>不接受未按本竞争性磋商公告要求获取采购文件的供应商竞标。</w:t>
      </w:r>
    </w:p>
    <w:p w14:paraId="5216C1F2">
      <w:pPr>
        <w:spacing w:line="440" w:lineRule="exact"/>
        <w:ind w:left="420"/>
        <w:rPr>
          <w:color w:val="auto"/>
        </w:rPr>
      </w:pPr>
      <w:r>
        <w:rPr>
          <w:rFonts w:hint="eastAsia" w:ascii="宋体" w:hAnsi="宋体"/>
          <w:color w:val="auto"/>
          <w:szCs w:val="21"/>
        </w:rPr>
        <w:t>7.</w:t>
      </w:r>
      <w:r>
        <w:rPr>
          <w:rFonts w:hint="eastAsia" w:ascii="宋体" w:hAnsi="宋体"/>
          <w:color w:val="auto"/>
          <w:szCs w:val="21"/>
          <w:lang w:val="zh-CN"/>
        </w:rPr>
        <w:t>本项目不接受联合体竞标,不允许转包和分包。</w:t>
      </w:r>
    </w:p>
    <w:p w14:paraId="1326AD80">
      <w:pPr>
        <w:spacing w:line="440" w:lineRule="exact"/>
        <w:ind w:firstLine="422" w:firstLineChars="200"/>
        <w:rPr>
          <w:rFonts w:ascii="宋体" w:hAnsi="宋体"/>
          <w:b/>
          <w:color w:val="auto"/>
          <w:szCs w:val="21"/>
        </w:rPr>
      </w:pPr>
      <w:r>
        <w:rPr>
          <w:rFonts w:hint="eastAsia" w:ascii="宋体" w:hAnsi="宋体"/>
          <w:b/>
          <w:color w:val="auto"/>
          <w:szCs w:val="21"/>
        </w:rPr>
        <w:t>三、获取采购文件</w:t>
      </w:r>
    </w:p>
    <w:p w14:paraId="1547AFB6">
      <w:pPr>
        <w:pStyle w:val="40"/>
        <w:spacing w:before="75" w:beforeAutospacing="0" w:after="75" w:afterAutospacing="0" w:line="405" w:lineRule="atLeast"/>
        <w:ind w:firstLine="420"/>
        <w:jc w:val="both"/>
        <w:rPr>
          <w:color w:val="auto"/>
          <w:kern w:val="2"/>
          <w:sz w:val="21"/>
          <w:szCs w:val="21"/>
          <w:lang w:val="zh-CN"/>
        </w:rPr>
      </w:pPr>
      <w:r>
        <w:rPr>
          <w:rFonts w:hint="eastAsia"/>
          <w:color w:val="auto"/>
          <w:kern w:val="2"/>
          <w:sz w:val="21"/>
          <w:szCs w:val="21"/>
          <w:lang w:val="zh-CN"/>
        </w:rPr>
        <w:t>时间：</w:t>
      </w:r>
      <w:r>
        <w:rPr>
          <w:rFonts w:hint="eastAsia"/>
          <w:color w:val="auto"/>
          <w:kern w:val="2"/>
          <w:sz w:val="21"/>
          <w:szCs w:val="21"/>
        </w:rPr>
        <w:t>自发布公告之日起</w:t>
      </w:r>
      <w:r>
        <w:rPr>
          <w:rFonts w:hint="eastAsia"/>
          <w:color w:val="auto"/>
          <w:kern w:val="2"/>
          <w:sz w:val="21"/>
          <w:szCs w:val="21"/>
          <w:lang w:val="zh-CN"/>
        </w:rPr>
        <w:t>至202</w:t>
      </w:r>
      <w:r>
        <w:rPr>
          <w:rFonts w:hint="eastAsia"/>
          <w:color w:val="auto"/>
          <w:kern w:val="2"/>
          <w:sz w:val="21"/>
          <w:szCs w:val="21"/>
          <w:lang w:val="en-US" w:eastAsia="zh-CN"/>
        </w:rPr>
        <w:t>6</w:t>
      </w:r>
      <w:r>
        <w:rPr>
          <w:rFonts w:hint="eastAsia"/>
          <w:color w:val="auto"/>
          <w:kern w:val="2"/>
          <w:sz w:val="21"/>
          <w:szCs w:val="21"/>
          <w:lang w:val="zh-CN"/>
        </w:rPr>
        <w:t>年</w:t>
      </w:r>
      <w:r>
        <w:rPr>
          <w:rFonts w:hint="eastAsia"/>
          <w:color w:val="auto"/>
          <w:kern w:val="2"/>
          <w:sz w:val="21"/>
          <w:szCs w:val="21"/>
          <w:lang w:val="en-US" w:eastAsia="zh-CN"/>
        </w:rPr>
        <w:t>7</w:t>
      </w:r>
      <w:r>
        <w:rPr>
          <w:rFonts w:hint="eastAsia"/>
          <w:color w:val="auto"/>
          <w:kern w:val="2"/>
          <w:sz w:val="21"/>
          <w:szCs w:val="21"/>
          <w:lang w:val="zh-CN"/>
        </w:rPr>
        <w:t>月</w:t>
      </w:r>
      <w:r>
        <w:rPr>
          <w:rFonts w:hint="eastAsia"/>
          <w:color w:val="auto"/>
          <w:kern w:val="2"/>
          <w:sz w:val="21"/>
          <w:szCs w:val="21"/>
          <w:lang w:val="en-US" w:eastAsia="zh-CN"/>
        </w:rPr>
        <w:t>3</w:t>
      </w:r>
      <w:r>
        <w:rPr>
          <w:rFonts w:hint="eastAsia"/>
          <w:color w:val="auto"/>
          <w:kern w:val="2"/>
          <w:sz w:val="21"/>
          <w:szCs w:val="21"/>
          <w:lang w:val="zh-CN"/>
        </w:rPr>
        <w:t>日止（工作日），每天上午8:00至12:00，下午</w:t>
      </w:r>
      <w:r>
        <w:rPr>
          <w:rFonts w:hint="eastAsia"/>
          <w:color w:val="auto"/>
          <w:kern w:val="2"/>
          <w:sz w:val="21"/>
          <w:szCs w:val="21"/>
          <w:lang w:val="en-US" w:eastAsia="zh-CN"/>
        </w:rPr>
        <w:t>3</w:t>
      </w:r>
      <w:r>
        <w:rPr>
          <w:rFonts w:hint="eastAsia"/>
          <w:color w:val="auto"/>
          <w:kern w:val="2"/>
          <w:sz w:val="21"/>
          <w:szCs w:val="21"/>
          <w:lang w:val="zh-CN"/>
        </w:rPr>
        <w:t>:00至</w:t>
      </w:r>
      <w:r>
        <w:rPr>
          <w:rFonts w:hint="eastAsia"/>
          <w:color w:val="auto"/>
          <w:kern w:val="2"/>
          <w:sz w:val="21"/>
          <w:szCs w:val="21"/>
          <w:lang w:val="en-US" w:eastAsia="zh-CN"/>
        </w:rPr>
        <w:t>6</w:t>
      </w:r>
      <w:r>
        <w:rPr>
          <w:rFonts w:hint="eastAsia"/>
          <w:color w:val="auto"/>
          <w:kern w:val="2"/>
          <w:sz w:val="21"/>
          <w:szCs w:val="21"/>
        </w:rPr>
        <w:t>:00</w:t>
      </w:r>
      <w:r>
        <w:rPr>
          <w:rFonts w:hint="eastAsia"/>
          <w:color w:val="auto"/>
          <w:kern w:val="2"/>
          <w:sz w:val="21"/>
          <w:szCs w:val="21"/>
          <w:lang w:val="zh-CN"/>
        </w:rPr>
        <w:t>（北京时间，法定节假日除外）</w:t>
      </w:r>
    </w:p>
    <w:p w14:paraId="7335DFE0">
      <w:pPr>
        <w:widowControl/>
        <w:wordWrap w:val="0"/>
        <w:spacing w:line="440" w:lineRule="exact"/>
        <w:ind w:firstLine="420" w:firstLineChars="200"/>
        <w:jc w:val="left"/>
        <w:rPr>
          <w:rFonts w:ascii="宋体" w:hAnsi="宋体" w:cs="宋体"/>
          <w:color w:val="auto"/>
          <w:kern w:val="0"/>
          <w:szCs w:val="21"/>
        </w:rPr>
      </w:pPr>
      <w:r>
        <w:rPr>
          <w:rFonts w:hint="eastAsia"/>
          <w:color w:val="auto"/>
          <w:szCs w:val="21"/>
          <w:lang w:val="zh-CN"/>
        </w:rPr>
        <w:t>获取方式：</w:t>
      </w:r>
      <w:r>
        <w:rPr>
          <w:rFonts w:hint="eastAsia" w:ascii="宋体" w:hAnsi="宋体" w:cs="宋体"/>
          <w:bCs/>
          <w:color w:val="auto"/>
          <w:kern w:val="0"/>
          <w:szCs w:val="21"/>
        </w:rPr>
        <w:t>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0A89F164">
      <w:pPr>
        <w:spacing w:line="440" w:lineRule="exact"/>
        <w:ind w:firstLine="422" w:firstLineChars="200"/>
        <w:rPr>
          <w:rFonts w:ascii="宋体" w:hAnsi="宋体"/>
          <w:b/>
          <w:color w:val="auto"/>
          <w:szCs w:val="21"/>
        </w:rPr>
      </w:pPr>
      <w:bookmarkStart w:id="1" w:name="_Hlk87630394"/>
      <w:r>
        <w:rPr>
          <w:rFonts w:hint="eastAsia" w:ascii="宋体" w:hAnsi="宋体"/>
          <w:b/>
          <w:color w:val="auto"/>
          <w:szCs w:val="21"/>
        </w:rPr>
        <w:t>四、响应文件提交</w:t>
      </w:r>
    </w:p>
    <w:p w14:paraId="48A10603">
      <w:pPr>
        <w:spacing w:line="440" w:lineRule="exact"/>
        <w:ind w:firstLine="420" w:firstLineChars="200"/>
        <w:rPr>
          <w:rFonts w:ascii="宋体" w:hAnsi="宋体"/>
          <w:color w:val="auto"/>
          <w:szCs w:val="21"/>
        </w:rPr>
      </w:pPr>
      <w:r>
        <w:rPr>
          <w:rFonts w:hint="eastAsia" w:ascii="宋体" w:hAnsi="宋体"/>
          <w:color w:val="auto"/>
          <w:szCs w:val="21"/>
        </w:rPr>
        <w:t>截止时间：</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u w:val="single"/>
        </w:rPr>
        <w:t>年</w:t>
      </w:r>
      <w:r>
        <w:rPr>
          <w:rFonts w:hint="eastAsia" w:ascii="宋体" w:hAnsi="宋体"/>
          <w:color w:val="auto"/>
          <w:szCs w:val="21"/>
          <w:u w:val="single"/>
          <w:lang w:val="en-US" w:eastAsia="zh-CN"/>
        </w:rPr>
        <w:t>7</w:t>
      </w:r>
      <w:r>
        <w:rPr>
          <w:rFonts w:hint="eastAsia" w:ascii="宋体" w:hAnsi="宋体"/>
          <w:color w:val="auto"/>
          <w:szCs w:val="21"/>
          <w:u w:val="single"/>
        </w:rPr>
        <w:t>月</w:t>
      </w:r>
      <w:r>
        <w:rPr>
          <w:rFonts w:hint="eastAsia" w:ascii="宋体" w:hAnsi="宋体"/>
          <w:color w:val="auto"/>
          <w:szCs w:val="21"/>
          <w:u w:val="single"/>
          <w:lang w:val="en-US" w:eastAsia="zh-CN"/>
        </w:rPr>
        <w:t>8</w:t>
      </w:r>
      <w:r>
        <w:rPr>
          <w:rFonts w:hint="eastAsia" w:ascii="宋体" w:hAnsi="宋体"/>
          <w:color w:val="auto"/>
          <w:szCs w:val="21"/>
          <w:u w:val="single"/>
        </w:rPr>
        <w:t>日 09时00分</w:t>
      </w:r>
      <w:r>
        <w:rPr>
          <w:rFonts w:hint="eastAsia" w:ascii="宋体" w:hAnsi="宋体"/>
          <w:color w:val="auto"/>
          <w:szCs w:val="21"/>
        </w:rPr>
        <w:t>（北京时间）。</w:t>
      </w:r>
    </w:p>
    <w:p w14:paraId="77E01CC6">
      <w:pPr>
        <w:spacing w:line="440" w:lineRule="exact"/>
        <w:ind w:firstLine="420" w:firstLineChars="200"/>
        <w:rPr>
          <w:rFonts w:ascii="宋体" w:hAnsi="宋体"/>
          <w:b/>
          <w:color w:val="auto"/>
          <w:szCs w:val="21"/>
        </w:rPr>
      </w:pPr>
      <w:r>
        <w:rPr>
          <w:rFonts w:hint="eastAsia" w:ascii="宋体" w:hAnsi="宋体"/>
          <w:color w:val="auto"/>
          <w:szCs w:val="21"/>
        </w:rPr>
        <w:t>地点</w:t>
      </w:r>
      <w:r>
        <w:rPr>
          <w:rFonts w:ascii="宋体" w:hAnsi="宋体"/>
          <w:color w:val="auto"/>
          <w:szCs w:val="21"/>
        </w:rPr>
        <w:t>：</w:t>
      </w:r>
      <w:r>
        <w:rPr>
          <w:rFonts w:hint="eastAsia" w:ascii="宋体" w:hAnsi="宋体"/>
          <w:color w:val="auto"/>
          <w:szCs w:val="21"/>
          <w:u w:val="single"/>
        </w:rPr>
        <w:t>广西政府采购云平台（https://www.gcy.zfcg.gxzf.gov.cn/）</w:t>
      </w:r>
      <w:r>
        <w:rPr>
          <w:rFonts w:hint="eastAsia" w:ascii="宋体" w:hAnsi="宋体"/>
          <w:color w:val="auto"/>
          <w:szCs w:val="21"/>
        </w:rPr>
        <w:t>。</w:t>
      </w:r>
    </w:p>
    <w:bookmarkEnd w:id="1"/>
    <w:p w14:paraId="5690CBF3">
      <w:pPr>
        <w:spacing w:line="440" w:lineRule="exact"/>
        <w:ind w:firstLine="422" w:firstLineChars="200"/>
        <w:rPr>
          <w:rFonts w:ascii="宋体" w:hAnsi="宋体"/>
          <w:b/>
          <w:color w:val="auto"/>
          <w:szCs w:val="21"/>
        </w:rPr>
      </w:pPr>
      <w:r>
        <w:rPr>
          <w:rFonts w:hint="eastAsia" w:ascii="宋体" w:hAnsi="宋体"/>
          <w:b/>
          <w:color w:val="auto"/>
          <w:szCs w:val="21"/>
        </w:rPr>
        <w:t>五、开启</w:t>
      </w:r>
    </w:p>
    <w:p w14:paraId="42BBFF03">
      <w:pPr>
        <w:spacing w:line="440" w:lineRule="exact"/>
        <w:ind w:firstLine="420" w:firstLineChars="200"/>
        <w:rPr>
          <w:rFonts w:ascii="宋体" w:hAnsi="宋体"/>
          <w:color w:val="auto"/>
          <w:szCs w:val="21"/>
        </w:rPr>
      </w:pPr>
      <w:r>
        <w:rPr>
          <w:rFonts w:hint="eastAsia" w:ascii="宋体" w:hAnsi="宋体"/>
          <w:color w:val="auto"/>
          <w:szCs w:val="21"/>
        </w:rPr>
        <w:t>时间：</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color w:val="auto"/>
          <w:szCs w:val="21"/>
          <w:u w:val="single"/>
        </w:rPr>
        <w:t>年</w:t>
      </w:r>
      <w:r>
        <w:rPr>
          <w:rFonts w:hint="eastAsia" w:ascii="宋体" w:hAnsi="宋体"/>
          <w:color w:val="auto"/>
          <w:szCs w:val="21"/>
          <w:u w:val="single"/>
          <w:lang w:val="en-US" w:eastAsia="zh-CN"/>
        </w:rPr>
        <w:t>7</w:t>
      </w:r>
      <w:r>
        <w:rPr>
          <w:rFonts w:hint="eastAsia" w:ascii="宋体" w:hAnsi="宋体"/>
          <w:color w:val="auto"/>
          <w:szCs w:val="21"/>
          <w:u w:val="single"/>
        </w:rPr>
        <w:t>月</w:t>
      </w:r>
      <w:r>
        <w:rPr>
          <w:rFonts w:hint="eastAsia" w:ascii="宋体" w:hAnsi="宋体"/>
          <w:color w:val="auto"/>
          <w:szCs w:val="21"/>
          <w:u w:val="single"/>
          <w:lang w:val="en-US" w:eastAsia="zh-CN"/>
        </w:rPr>
        <w:t>8</w:t>
      </w:r>
      <w:r>
        <w:rPr>
          <w:rFonts w:hint="eastAsia" w:ascii="宋体" w:hAnsi="宋体"/>
          <w:color w:val="auto"/>
          <w:szCs w:val="21"/>
          <w:u w:val="single"/>
        </w:rPr>
        <w:t>日 09时00分</w:t>
      </w:r>
      <w:r>
        <w:rPr>
          <w:rFonts w:hint="eastAsia" w:ascii="宋体" w:hAnsi="宋体"/>
          <w:color w:val="auto"/>
          <w:szCs w:val="21"/>
        </w:rPr>
        <w:t>（北京时间）后。</w:t>
      </w:r>
    </w:p>
    <w:p w14:paraId="582B45D5">
      <w:pPr>
        <w:spacing w:line="440" w:lineRule="exact"/>
        <w:ind w:firstLine="420" w:firstLineChars="200"/>
        <w:rPr>
          <w:rFonts w:ascii="宋体" w:hAnsi="宋体"/>
          <w:color w:val="auto"/>
          <w:kern w:val="0"/>
          <w:szCs w:val="21"/>
        </w:rPr>
      </w:pPr>
      <w:r>
        <w:rPr>
          <w:rFonts w:hint="eastAsia" w:ascii="宋体" w:hAnsi="宋体"/>
          <w:color w:val="auto"/>
          <w:szCs w:val="21"/>
        </w:rPr>
        <w:t>地点：</w:t>
      </w:r>
      <w:r>
        <w:rPr>
          <w:rFonts w:hint="eastAsia" w:ascii="宋体" w:hAnsi="宋体"/>
          <w:color w:val="auto"/>
          <w:szCs w:val="21"/>
          <w:u w:val="single"/>
        </w:rPr>
        <w:t>广西政府采购云平台（https://www.gcy.zfcg.gxzf.gov.cn/）</w:t>
      </w:r>
      <w:r>
        <w:rPr>
          <w:rFonts w:ascii="宋体" w:hAnsi="宋体"/>
          <w:color w:val="auto"/>
          <w:szCs w:val="21"/>
        </w:rPr>
        <w:t>。 </w:t>
      </w:r>
    </w:p>
    <w:p w14:paraId="1251170D">
      <w:pPr>
        <w:spacing w:line="440" w:lineRule="exact"/>
        <w:ind w:firstLine="422" w:firstLineChars="200"/>
        <w:rPr>
          <w:rFonts w:ascii="宋体" w:hAnsi="宋体"/>
          <w:b/>
          <w:color w:val="auto"/>
          <w:szCs w:val="21"/>
        </w:rPr>
      </w:pPr>
      <w:r>
        <w:rPr>
          <w:rFonts w:hint="eastAsia" w:ascii="宋体" w:hAnsi="宋体"/>
          <w:b/>
          <w:color w:val="auto"/>
          <w:szCs w:val="21"/>
        </w:rPr>
        <w:t>六、公告期限：</w:t>
      </w:r>
    </w:p>
    <w:p w14:paraId="4A30A86A">
      <w:pPr>
        <w:spacing w:line="440" w:lineRule="exact"/>
        <w:ind w:firstLine="420" w:firstLineChars="200"/>
        <w:rPr>
          <w:rFonts w:ascii="宋体" w:hAnsi="宋体"/>
          <w:color w:val="auto"/>
          <w:kern w:val="0"/>
          <w:szCs w:val="21"/>
        </w:rPr>
      </w:pPr>
      <w:r>
        <w:rPr>
          <w:rFonts w:hint="eastAsia" w:ascii="宋体" w:hAnsi="宋体"/>
          <w:color w:val="auto"/>
          <w:kern w:val="0"/>
          <w:szCs w:val="21"/>
        </w:rPr>
        <w:t>从磋商文件开始发出之日起至供应商提交首次响应文件截止之日止不得少于10日。</w:t>
      </w:r>
    </w:p>
    <w:p w14:paraId="371481F7">
      <w:pPr>
        <w:spacing w:line="440" w:lineRule="exact"/>
        <w:ind w:firstLine="422" w:firstLineChars="200"/>
        <w:rPr>
          <w:rFonts w:ascii="宋体" w:hAnsi="宋体"/>
          <w:b/>
          <w:color w:val="auto"/>
          <w:szCs w:val="21"/>
        </w:rPr>
      </w:pPr>
      <w:r>
        <w:rPr>
          <w:rFonts w:hint="eastAsia" w:ascii="宋体" w:hAnsi="宋体"/>
          <w:b/>
          <w:color w:val="auto"/>
          <w:szCs w:val="21"/>
        </w:rPr>
        <w:t>七、其他补充事宜：</w:t>
      </w:r>
    </w:p>
    <w:p w14:paraId="14650AA6">
      <w:pPr>
        <w:spacing w:line="440" w:lineRule="exact"/>
        <w:ind w:firstLine="420" w:firstLineChars="200"/>
        <w:rPr>
          <w:rFonts w:ascii="宋体" w:hAnsi="宋体"/>
          <w:color w:val="auto"/>
          <w:szCs w:val="21"/>
        </w:rPr>
      </w:pPr>
      <w:r>
        <w:rPr>
          <w:rFonts w:hint="eastAsia" w:ascii="宋体" w:hAnsi="宋体"/>
          <w:color w:val="auto"/>
          <w:szCs w:val="21"/>
        </w:rPr>
        <w:t>1.网上查询地址</w:t>
      </w:r>
    </w:p>
    <w:p w14:paraId="4806F604">
      <w:pPr>
        <w:spacing w:line="440" w:lineRule="exact"/>
        <w:ind w:firstLine="420" w:firstLineChars="200"/>
        <w:rPr>
          <w:rFonts w:ascii="宋体" w:hAnsi="宋体"/>
          <w:color w:val="auto"/>
          <w:szCs w:val="21"/>
        </w:rPr>
      </w:pPr>
      <w:r>
        <w:rPr>
          <w:rFonts w:hint="eastAsia" w:ascii="宋体" w:hAnsi="宋体"/>
          <w:color w:val="auto"/>
          <w:szCs w:val="21"/>
        </w:rPr>
        <w:t>中国政府采购网www.ccgp.gov.cn、广西壮族自治区政府采购网zfcg.gxzf.gov.cn、广西玉林玉州区人民政府门户网站</w:t>
      </w:r>
      <w:r>
        <w:rPr>
          <w:rFonts w:ascii="宋体" w:hAnsi="宋体"/>
          <w:color w:val="auto"/>
          <w:szCs w:val="21"/>
        </w:rPr>
        <w:t>http://www.ylyz.gov.cn/</w:t>
      </w:r>
    </w:p>
    <w:p w14:paraId="00BD009B">
      <w:pPr>
        <w:spacing w:line="440" w:lineRule="exact"/>
        <w:ind w:firstLine="420" w:firstLineChars="200"/>
        <w:rPr>
          <w:rFonts w:ascii="宋体" w:hAnsi="宋体"/>
          <w:color w:val="auto"/>
          <w:szCs w:val="21"/>
        </w:rPr>
      </w:pPr>
      <w:r>
        <w:rPr>
          <w:rFonts w:hint="eastAsia" w:ascii="宋体" w:hAnsi="宋体"/>
          <w:color w:val="auto"/>
          <w:szCs w:val="21"/>
        </w:rPr>
        <w:t>2.本项目需要落实的政府采购政策</w:t>
      </w:r>
    </w:p>
    <w:p w14:paraId="3F990173">
      <w:pPr>
        <w:spacing w:line="440" w:lineRule="exact"/>
        <w:ind w:firstLine="420" w:firstLineChars="200"/>
        <w:rPr>
          <w:rFonts w:ascii="宋体" w:hAnsi="宋体"/>
          <w:color w:val="auto"/>
          <w:szCs w:val="21"/>
        </w:rPr>
      </w:pPr>
      <w:r>
        <w:rPr>
          <w:rFonts w:hint="eastAsia" w:ascii="宋体" w:hAnsi="宋体"/>
          <w:color w:val="auto"/>
          <w:szCs w:val="21"/>
        </w:rPr>
        <w:t>(1)政府采购促进中小企业发展。</w:t>
      </w:r>
    </w:p>
    <w:p w14:paraId="0DC6B808">
      <w:pPr>
        <w:spacing w:line="440" w:lineRule="exact"/>
        <w:ind w:firstLine="420" w:firstLineChars="200"/>
        <w:rPr>
          <w:rFonts w:ascii="宋体" w:hAnsi="宋体"/>
          <w:color w:val="auto"/>
          <w:szCs w:val="21"/>
        </w:rPr>
      </w:pPr>
      <w:r>
        <w:rPr>
          <w:rFonts w:hint="eastAsia" w:ascii="宋体" w:hAnsi="宋体"/>
          <w:color w:val="auto"/>
          <w:szCs w:val="21"/>
        </w:rPr>
        <w:t>(2)政府采购促进残疾人就业政策。</w:t>
      </w:r>
    </w:p>
    <w:p w14:paraId="43FE3752">
      <w:pPr>
        <w:spacing w:line="440" w:lineRule="exact"/>
        <w:ind w:firstLine="420" w:firstLineChars="200"/>
        <w:rPr>
          <w:rFonts w:ascii="宋体" w:hAnsi="宋体"/>
          <w:color w:val="auto"/>
          <w:szCs w:val="21"/>
        </w:rPr>
      </w:pPr>
      <w:r>
        <w:rPr>
          <w:rFonts w:hint="eastAsia" w:ascii="宋体" w:hAnsi="宋体"/>
          <w:color w:val="auto"/>
          <w:szCs w:val="21"/>
        </w:rPr>
        <w:t>(3)政府采购支持监狱企业发展。</w:t>
      </w:r>
    </w:p>
    <w:p w14:paraId="665DF97E">
      <w:pPr>
        <w:spacing w:line="440" w:lineRule="exact"/>
        <w:ind w:firstLine="420" w:firstLineChars="200"/>
        <w:rPr>
          <w:rFonts w:ascii="宋体" w:hAnsi="宋体"/>
          <w:color w:val="auto"/>
          <w:szCs w:val="21"/>
        </w:rPr>
      </w:pPr>
      <w:r>
        <w:rPr>
          <w:rFonts w:hint="eastAsia" w:ascii="宋体" w:hAnsi="宋体"/>
          <w:color w:val="auto"/>
          <w:szCs w:val="21"/>
        </w:rPr>
        <w:t>(4)扶持不发达地区和少数民族地区政策。</w:t>
      </w:r>
    </w:p>
    <w:p w14:paraId="49EF9135">
      <w:pPr>
        <w:spacing w:line="440" w:lineRule="exact"/>
        <w:ind w:firstLine="420" w:firstLineChars="200"/>
        <w:rPr>
          <w:rFonts w:ascii="宋体" w:hAnsi="宋体"/>
          <w:color w:val="auto"/>
          <w:szCs w:val="21"/>
        </w:rPr>
      </w:pPr>
      <w:r>
        <w:rPr>
          <w:rFonts w:hint="eastAsia" w:ascii="宋体" w:hAnsi="宋体"/>
          <w:color w:val="auto"/>
          <w:szCs w:val="21"/>
        </w:rPr>
        <w:t>3.供应商竞标注意事项</w:t>
      </w:r>
    </w:p>
    <w:p w14:paraId="2D0E5B90">
      <w:pPr>
        <w:wordWrap w:val="0"/>
        <w:spacing w:line="440" w:lineRule="exact"/>
        <w:ind w:firstLine="420" w:firstLineChars="200"/>
        <w:rPr>
          <w:rFonts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08E582E4">
      <w:pPr>
        <w:wordWrap w:val="0"/>
        <w:spacing w:line="440" w:lineRule="exact"/>
        <w:ind w:firstLine="420" w:firstLineChars="200"/>
        <w:rPr>
          <w:rFonts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46AEB93A">
      <w:pPr>
        <w:wordWrap w:val="0"/>
        <w:spacing w:line="440" w:lineRule="exact"/>
        <w:ind w:firstLine="420" w:firstLineChars="200"/>
        <w:rPr>
          <w:rFonts w:ascii="宋体" w:hAnsi="宋体"/>
          <w:color w:val="auto"/>
          <w:szCs w:val="21"/>
        </w:rPr>
      </w:pPr>
      <w:r>
        <w:rPr>
          <w:rFonts w:hint="eastAsia" w:ascii="宋体" w:hAnsi="宋体"/>
          <w:color w:val="auto"/>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2346772E">
      <w:pPr>
        <w:wordWrap w:val="0"/>
        <w:spacing w:line="440" w:lineRule="exact"/>
        <w:ind w:firstLine="420" w:firstLineChars="200"/>
        <w:rPr>
          <w:rFonts w:ascii="宋体" w:hAnsi="宋体"/>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BCAC02D">
      <w:pPr>
        <w:numPr>
          <w:ilvl w:val="0"/>
          <w:numId w:val="2"/>
        </w:numPr>
        <w:wordWrap w:val="0"/>
        <w:spacing w:line="440" w:lineRule="exact"/>
        <w:ind w:firstLine="420" w:firstLineChars="200"/>
        <w:rPr>
          <w:rFonts w:hint="eastAsia" w:ascii="宋体" w:hAnsi="宋体"/>
          <w:color w:val="auto"/>
          <w:szCs w:val="21"/>
        </w:rPr>
      </w:pPr>
      <w:r>
        <w:rPr>
          <w:rFonts w:hint="eastAsia" w:ascii="宋体" w:hAnsi="宋体"/>
          <w:color w:val="auto"/>
          <w:szCs w:val="21"/>
        </w:rPr>
        <w:t>供应商需要在具备有摄像头及语音功能且互联网网络状况良好的电脑登录广西政府采购云平台远程开标大厅参与本次磋商，否则后果自负。</w:t>
      </w:r>
    </w:p>
    <w:p w14:paraId="1E862045">
      <w:pPr>
        <w:numPr>
          <w:ilvl w:val="0"/>
          <w:numId w:val="2"/>
        </w:numPr>
        <w:wordWrap w:val="0"/>
        <w:spacing w:line="440" w:lineRule="exact"/>
        <w:ind w:firstLine="420" w:firstLineChars="200"/>
        <w:rPr>
          <w:rFonts w:ascii="宋体" w:hAnsi="宋体"/>
          <w:color w:val="auto"/>
          <w:szCs w:val="21"/>
        </w:rPr>
      </w:pPr>
      <w:r>
        <w:rPr>
          <w:rFonts w:hint="eastAsia" w:ascii="宋体" w:hAnsi="宋体"/>
          <w:color w:val="auto"/>
          <w:szCs w:val="21"/>
        </w:rPr>
        <w:t xml:space="preserve">本项目为远程异地全流程电子评标。评标主会场地址：玉林市玉州区公共资源交易中心（主场地址）进行评审；评标副会场地址：蒙山县公共资源交易中心进行评审。 </w:t>
      </w:r>
    </w:p>
    <w:p w14:paraId="4F92C275">
      <w:pPr>
        <w:numPr>
          <w:ilvl w:val="0"/>
          <w:numId w:val="0"/>
        </w:numPr>
        <w:wordWrap w:val="0"/>
        <w:spacing w:line="440" w:lineRule="exact"/>
        <w:rPr>
          <w:rFonts w:ascii="宋体" w:hAnsi="宋体"/>
          <w:color w:val="auto"/>
          <w:szCs w:val="21"/>
        </w:rPr>
      </w:pPr>
      <w:r>
        <w:rPr>
          <w:rFonts w:hint="eastAsia" w:ascii="宋体" w:hAnsi="宋体"/>
          <w:color w:val="auto"/>
          <w:szCs w:val="21"/>
          <w:lang w:val="en-US" w:eastAsia="zh-CN"/>
        </w:rPr>
        <w:t xml:space="preserve">   4.0</w:t>
      </w:r>
      <w:r>
        <w:rPr>
          <w:rFonts w:hint="eastAsia" w:ascii="宋体" w:hAnsi="宋体"/>
          <w:color w:val="auto"/>
          <w:szCs w:val="21"/>
        </w:rPr>
        <w:t xml:space="preserve"> </w:t>
      </w:r>
    </w:p>
    <w:p w14:paraId="4AAF9EBC">
      <w:pPr>
        <w:ind w:firstLine="422" w:firstLineChars="200"/>
        <w:rPr>
          <w:rFonts w:ascii="宋体" w:hAnsi="宋体"/>
          <w:b/>
          <w:bCs/>
          <w:color w:val="auto"/>
          <w:szCs w:val="21"/>
        </w:rPr>
      </w:pPr>
      <w:r>
        <w:rPr>
          <w:rFonts w:hint="eastAsia" w:ascii="宋体" w:hAnsi="宋体"/>
          <w:b/>
          <w:bCs/>
          <w:color w:val="auto"/>
          <w:szCs w:val="21"/>
        </w:rPr>
        <w:t>八、凡对本次采购提出询问，请按以下方式联系。</w:t>
      </w:r>
    </w:p>
    <w:p w14:paraId="1253DE62">
      <w:pPr>
        <w:spacing w:line="440" w:lineRule="exact"/>
        <w:ind w:firstLine="420" w:firstLineChars="200"/>
        <w:rPr>
          <w:rFonts w:ascii="宋体" w:hAnsi="宋体"/>
          <w:color w:val="auto"/>
          <w:szCs w:val="21"/>
        </w:rPr>
      </w:pPr>
      <w:r>
        <w:rPr>
          <w:rFonts w:hint="eastAsia" w:ascii="宋体" w:hAnsi="宋体"/>
          <w:color w:val="auto"/>
          <w:szCs w:val="21"/>
        </w:rPr>
        <w:t>1.采购人信息</w:t>
      </w:r>
    </w:p>
    <w:p w14:paraId="05319743">
      <w:pPr>
        <w:spacing w:line="440" w:lineRule="exact"/>
        <w:ind w:firstLine="420" w:firstLineChars="200"/>
        <w:rPr>
          <w:rFonts w:ascii="宋体" w:hAnsi="宋体"/>
          <w:color w:val="auto"/>
          <w:szCs w:val="21"/>
        </w:rPr>
      </w:pPr>
      <w:r>
        <w:rPr>
          <w:rFonts w:hint="eastAsia" w:ascii="宋体" w:hAnsi="宋体"/>
          <w:color w:val="auto"/>
          <w:szCs w:val="21"/>
        </w:rPr>
        <w:t>名 称：玉林市玉州区直属机关后勤服务中心</w:t>
      </w:r>
    </w:p>
    <w:p w14:paraId="2B7DFDEB">
      <w:pPr>
        <w:spacing w:line="440" w:lineRule="exact"/>
        <w:ind w:firstLine="420" w:firstLineChars="200"/>
        <w:rPr>
          <w:rFonts w:ascii="宋体" w:hAnsi="宋体"/>
          <w:color w:val="auto"/>
          <w:szCs w:val="21"/>
        </w:rPr>
      </w:pPr>
      <w:r>
        <w:rPr>
          <w:rFonts w:hint="eastAsia" w:ascii="宋体" w:hAnsi="宋体"/>
          <w:color w:val="auto"/>
          <w:szCs w:val="21"/>
        </w:rPr>
        <w:t>地址：</w:t>
      </w:r>
      <w:r>
        <w:rPr>
          <w:rFonts w:hint="eastAsia" w:ascii="宋体" w:hAnsi="宋体"/>
          <w:color w:val="auto"/>
          <w:szCs w:val="21"/>
          <w:lang w:eastAsia="zh-CN"/>
        </w:rPr>
        <w:t>玉林市</w:t>
      </w:r>
      <w:r>
        <w:rPr>
          <w:rFonts w:hint="eastAsia" w:ascii="宋体" w:hAnsi="宋体"/>
          <w:color w:val="auto"/>
          <w:szCs w:val="21"/>
        </w:rPr>
        <w:t>玉州路1号</w:t>
      </w:r>
    </w:p>
    <w:p w14:paraId="278DD1EF">
      <w:pPr>
        <w:spacing w:line="440" w:lineRule="exact"/>
        <w:ind w:firstLine="420" w:firstLineChars="200"/>
        <w:rPr>
          <w:rFonts w:ascii="宋体" w:hAnsi="宋体"/>
          <w:color w:val="auto"/>
          <w:szCs w:val="21"/>
        </w:rPr>
      </w:pPr>
      <w:r>
        <w:rPr>
          <w:rFonts w:hint="eastAsia" w:ascii="宋体" w:hAnsi="宋体"/>
          <w:color w:val="auto"/>
          <w:szCs w:val="21"/>
        </w:rPr>
        <w:t>项目联系人：罗庆</w:t>
      </w:r>
    </w:p>
    <w:p w14:paraId="68A1516A">
      <w:pPr>
        <w:spacing w:line="440" w:lineRule="exact"/>
        <w:ind w:firstLine="420" w:firstLineChars="200"/>
        <w:rPr>
          <w:rFonts w:hint="eastAsia" w:ascii="宋体" w:hAnsi="宋体"/>
          <w:color w:val="auto"/>
          <w:szCs w:val="21"/>
          <w:lang w:val="en-US" w:eastAsia="zh-CN"/>
        </w:rPr>
      </w:pPr>
      <w:r>
        <w:rPr>
          <w:rFonts w:hint="eastAsia" w:ascii="宋体" w:hAnsi="宋体"/>
          <w:color w:val="auto"/>
          <w:szCs w:val="21"/>
        </w:rPr>
        <w:t>联系电话：</w:t>
      </w:r>
      <w:r>
        <w:rPr>
          <w:rFonts w:ascii="宋体" w:hAnsi="宋体"/>
          <w:color w:val="auto"/>
          <w:szCs w:val="21"/>
        </w:rPr>
        <w:t>0775-</w:t>
      </w:r>
      <w:r>
        <w:rPr>
          <w:rFonts w:hint="eastAsia" w:ascii="宋体" w:hAnsi="宋体"/>
          <w:color w:val="auto"/>
          <w:szCs w:val="21"/>
          <w:lang w:val="en-US" w:eastAsia="zh-CN"/>
        </w:rPr>
        <w:t>2339767</w:t>
      </w:r>
    </w:p>
    <w:p w14:paraId="278730C7">
      <w:pPr>
        <w:spacing w:line="440" w:lineRule="exact"/>
        <w:ind w:firstLine="420" w:firstLineChars="200"/>
        <w:rPr>
          <w:rFonts w:ascii="宋体" w:hAnsi="宋体"/>
          <w:color w:val="auto"/>
          <w:szCs w:val="21"/>
        </w:rPr>
      </w:pPr>
      <w:r>
        <w:rPr>
          <w:rFonts w:hint="eastAsia" w:ascii="宋体" w:hAnsi="宋体"/>
          <w:color w:val="auto"/>
          <w:szCs w:val="21"/>
        </w:rPr>
        <w:t>2.采购代理机构信息</w:t>
      </w:r>
    </w:p>
    <w:p w14:paraId="21DB1AA6">
      <w:pPr>
        <w:spacing w:line="440" w:lineRule="exact"/>
        <w:ind w:firstLine="420" w:firstLineChars="200"/>
        <w:rPr>
          <w:rFonts w:ascii="宋体" w:hAnsi="宋体"/>
          <w:color w:val="auto"/>
          <w:szCs w:val="21"/>
        </w:rPr>
      </w:pPr>
      <w:r>
        <w:rPr>
          <w:rFonts w:hint="eastAsia" w:ascii="宋体" w:hAnsi="宋体"/>
          <w:color w:val="auto"/>
          <w:szCs w:val="21"/>
        </w:rPr>
        <w:t>名 称：　中昕国际项目管理有限公司　　</w:t>
      </w:r>
    </w:p>
    <w:p w14:paraId="3AFDEFBE">
      <w:pPr>
        <w:spacing w:line="440" w:lineRule="exact"/>
        <w:ind w:firstLine="420" w:firstLineChars="200"/>
        <w:rPr>
          <w:rFonts w:hint="default" w:ascii="宋体" w:hAnsi="宋体"/>
          <w:color w:val="auto"/>
          <w:szCs w:val="21"/>
          <w:lang w:val="en-US" w:eastAsia="zh-CN"/>
        </w:rPr>
      </w:pPr>
      <w:r>
        <w:rPr>
          <w:rFonts w:hint="eastAsia" w:ascii="宋体" w:hAnsi="宋体"/>
          <w:color w:val="auto"/>
          <w:szCs w:val="21"/>
        </w:rPr>
        <w:t>地　址：广西玉林市</w:t>
      </w:r>
      <w:r>
        <w:rPr>
          <w:rFonts w:hint="eastAsia" w:ascii="宋体" w:hAnsi="宋体"/>
          <w:color w:val="auto"/>
          <w:szCs w:val="21"/>
          <w:lang w:eastAsia="zh-CN"/>
        </w:rPr>
        <w:t>玉州区连胜路</w:t>
      </w:r>
      <w:r>
        <w:rPr>
          <w:rFonts w:hint="eastAsia" w:ascii="宋体" w:hAnsi="宋体"/>
          <w:color w:val="auto"/>
          <w:szCs w:val="21"/>
          <w:lang w:val="en-US" w:eastAsia="zh-CN"/>
        </w:rPr>
        <w:t>51号。</w:t>
      </w:r>
    </w:p>
    <w:p w14:paraId="73D58322">
      <w:pPr>
        <w:spacing w:line="440" w:lineRule="exact"/>
        <w:ind w:firstLine="420" w:firstLineChars="200"/>
        <w:rPr>
          <w:rFonts w:ascii="宋体" w:hAnsi="宋体"/>
          <w:color w:val="auto"/>
          <w:szCs w:val="21"/>
        </w:rPr>
      </w:pPr>
      <w:r>
        <w:rPr>
          <w:rFonts w:hint="eastAsia" w:ascii="宋体" w:hAnsi="宋体"/>
          <w:color w:val="auto"/>
          <w:szCs w:val="21"/>
        </w:rPr>
        <w:t>联系方式：0775-3288880、3286888</w:t>
      </w:r>
    </w:p>
    <w:p w14:paraId="7AF268FD">
      <w:pPr>
        <w:spacing w:line="440" w:lineRule="exact"/>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w:t>
      </w:r>
      <w:r>
        <w:rPr>
          <w:rFonts w:hint="eastAsia" w:ascii="宋体" w:hAnsi="宋体"/>
          <w:color w:val="auto"/>
          <w:szCs w:val="21"/>
        </w:rPr>
        <w:t>项目联系方式</w:t>
      </w:r>
    </w:p>
    <w:p w14:paraId="195CD58C">
      <w:pPr>
        <w:spacing w:line="440" w:lineRule="exact"/>
        <w:ind w:firstLine="420" w:firstLineChars="200"/>
        <w:rPr>
          <w:rFonts w:hint="eastAsia" w:ascii="宋体" w:hAnsi="宋体" w:eastAsia="宋体"/>
          <w:color w:val="auto"/>
          <w:szCs w:val="21"/>
          <w:lang w:eastAsia="zh-CN"/>
        </w:rPr>
      </w:pPr>
      <w:r>
        <w:rPr>
          <w:rFonts w:hint="eastAsia" w:ascii="宋体" w:hAnsi="宋体"/>
          <w:color w:val="auto"/>
          <w:szCs w:val="21"/>
        </w:rPr>
        <w:t>项目联系人：</w:t>
      </w:r>
      <w:r>
        <w:rPr>
          <w:rFonts w:hint="eastAsia" w:ascii="宋体" w:hAnsi="宋体"/>
          <w:color w:val="auto"/>
          <w:szCs w:val="21"/>
          <w:lang w:eastAsia="zh-CN"/>
        </w:rPr>
        <w:t>黄瑜、</w:t>
      </w:r>
      <w:r>
        <w:rPr>
          <w:rFonts w:hint="eastAsia" w:ascii="宋体" w:hAnsi="宋体"/>
          <w:color w:val="auto"/>
          <w:szCs w:val="21"/>
        </w:rPr>
        <w:t>邱琼芳</w:t>
      </w:r>
      <w:r>
        <w:rPr>
          <w:rFonts w:hint="eastAsia" w:ascii="宋体" w:hAnsi="宋体"/>
          <w:color w:val="auto"/>
          <w:szCs w:val="21"/>
          <w:lang w:eastAsia="zh-CN"/>
        </w:rPr>
        <w:t>、符晓欣</w:t>
      </w:r>
    </w:p>
    <w:p w14:paraId="42A4360D">
      <w:pPr>
        <w:spacing w:line="440" w:lineRule="exact"/>
        <w:ind w:firstLine="420" w:firstLineChars="200"/>
        <w:rPr>
          <w:rFonts w:ascii="宋体" w:hAnsi="宋体"/>
          <w:color w:val="auto"/>
          <w:szCs w:val="21"/>
        </w:rPr>
      </w:pPr>
      <w:r>
        <w:rPr>
          <w:rFonts w:hint="eastAsia" w:ascii="宋体" w:hAnsi="宋体"/>
          <w:color w:val="auto"/>
          <w:szCs w:val="21"/>
        </w:rPr>
        <w:t xml:space="preserve">电 </w:t>
      </w:r>
      <w:r>
        <w:rPr>
          <w:rFonts w:ascii="宋体" w:hAnsi="宋体"/>
          <w:color w:val="auto"/>
          <w:szCs w:val="21"/>
        </w:rPr>
        <w:t xml:space="preserve">   </w:t>
      </w:r>
      <w:r>
        <w:rPr>
          <w:rFonts w:hint="eastAsia" w:ascii="宋体" w:hAnsi="宋体"/>
          <w:color w:val="auto"/>
          <w:szCs w:val="21"/>
        </w:rPr>
        <w:t>话： 0775-3288880</w:t>
      </w:r>
    </w:p>
    <w:p w14:paraId="0E30BB9A">
      <w:pPr>
        <w:spacing w:line="440" w:lineRule="exact"/>
        <w:ind w:firstLine="420" w:firstLineChars="200"/>
        <w:rPr>
          <w:rFonts w:ascii="宋体" w:hAnsi="宋体"/>
          <w:color w:val="auto"/>
          <w:szCs w:val="21"/>
        </w:rPr>
      </w:pPr>
    </w:p>
    <w:p w14:paraId="687FD7AD">
      <w:pPr>
        <w:pStyle w:val="13"/>
        <w:ind w:firstLine="0"/>
        <w:rPr>
          <w:rFonts w:ascii="宋体" w:hAnsi="宋体"/>
          <w:color w:val="auto"/>
        </w:rPr>
      </w:pPr>
    </w:p>
    <w:p w14:paraId="1FADB7CC">
      <w:pPr>
        <w:spacing w:line="440" w:lineRule="exact"/>
        <w:jc w:val="center"/>
        <w:rPr>
          <w:rFonts w:ascii="宋体" w:hAnsi="宋体"/>
          <w:color w:val="auto"/>
          <w:szCs w:val="21"/>
        </w:rPr>
      </w:pPr>
      <w:r>
        <w:rPr>
          <w:rFonts w:hint="eastAsia" w:ascii="宋体" w:hAnsi="宋体"/>
          <w:color w:val="auto"/>
          <w:szCs w:val="21"/>
        </w:rPr>
        <w:t xml:space="preserve">                           </w:t>
      </w:r>
    </w:p>
    <w:p w14:paraId="487064C9">
      <w:pPr>
        <w:spacing w:line="440" w:lineRule="exact"/>
        <w:jc w:val="center"/>
        <w:rPr>
          <w:rFonts w:ascii="宋体" w:hAnsi="宋体"/>
          <w:color w:val="auto"/>
          <w:szCs w:val="21"/>
        </w:rPr>
      </w:pPr>
      <w:r>
        <w:rPr>
          <w:rFonts w:hint="eastAsia" w:ascii="宋体" w:hAnsi="宋体"/>
          <w:color w:val="auto"/>
          <w:szCs w:val="21"/>
        </w:rPr>
        <w:t xml:space="preserve">                                采购代理机构：中昕国际项目管理有限公司                                                           </w:t>
      </w:r>
    </w:p>
    <w:p w14:paraId="41DC7A89">
      <w:pPr>
        <w:spacing w:line="440" w:lineRule="exact"/>
        <w:ind w:firstLine="6510" w:firstLineChars="3100"/>
        <w:rPr>
          <w:rFonts w:ascii="宋体" w:hAnsi="宋体"/>
          <w:color w:val="auto"/>
          <w:szCs w:val="21"/>
        </w:rPr>
      </w:pPr>
      <w:r>
        <w:rPr>
          <w:rFonts w:hint="eastAsia" w:ascii="宋体" w:hAnsi="宋体"/>
          <w:color w:val="auto"/>
          <w:szCs w:val="21"/>
        </w:rPr>
        <w:t>202</w:t>
      </w:r>
      <w:r>
        <w:rPr>
          <w:rFonts w:hint="eastAsia" w:ascii="宋体" w:hAnsi="宋体"/>
          <w:color w:val="auto"/>
          <w:szCs w:val="21"/>
          <w:lang w:val="en-US" w:eastAsia="zh-CN"/>
        </w:rPr>
        <w:t>6</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26</w:t>
      </w:r>
      <w:r>
        <w:rPr>
          <w:rFonts w:hint="eastAsia" w:ascii="宋体" w:hAnsi="宋体"/>
          <w:color w:val="auto"/>
          <w:szCs w:val="21"/>
        </w:rPr>
        <w:t>日</w:t>
      </w:r>
    </w:p>
    <w:p w14:paraId="76A9DA81">
      <w:pPr>
        <w:pStyle w:val="4"/>
        <w:spacing w:line="460" w:lineRule="exact"/>
        <w:jc w:val="center"/>
        <w:rPr>
          <w:rFonts w:ascii="宋体" w:hAnsi="宋体" w:eastAsia="宋体"/>
          <w:color w:val="auto"/>
          <w:szCs w:val="24"/>
        </w:rPr>
      </w:pPr>
      <w:r>
        <w:rPr>
          <w:rFonts w:ascii="宋体" w:hAnsi="宋体" w:eastAsia="宋体"/>
          <w:b w:val="0"/>
          <w:bCs w:val="0"/>
          <w:color w:val="auto"/>
          <w:sz w:val="24"/>
          <w:szCs w:val="24"/>
        </w:rPr>
        <w:br w:type="page"/>
      </w:r>
      <w:bookmarkStart w:id="2" w:name="_Toc13854"/>
      <w:r>
        <w:rPr>
          <w:rFonts w:hint="eastAsia" w:ascii="宋体" w:hAnsi="宋体" w:eastAsia="宋体"/>
          <w:color w:val="auto"/>
          <w:szCs w:val="24"/>
        </w:rPr>
        <w:t>第二章  供应商须知及前附表</w:t>
      </w:r>
      <w:bookmarkEnd w:id="2"/>
    </w:p>
    <w:p w14:paraId="49A5A18A">
      <w:pPr>
        <w:pStyle w:val="4"/>
        <w:spacing w:before="0" w:after="0" w:line="276" w:lineRule="auto"/>
        <w:jc w:val="center"/>
        <w:rPr>
          <w:rFonts w:ascii="宋体" w:hAnsi="宋体" w:eastAsia="宋体"/>
          <w:color w:val="auto"/>
          <w:sz w:val="30"/>
          <w:szCs w:val="30"/>
        </w:rPr>
      </w:pPr>
      <w:bookmarkStart w:id="3" w:name="_Toc18682802"/>
      <w:bookmarkStart w:id="4" w:name="_Toc5531"/>
      <w:bookmarkStart w:id="5" w:name="_Toc80818614"/>
      <w:bookmarkStart w:id="6" w:name="_Toc18682862"/>
      <w:r>
        <w:rPr>
          <w:rFonts w:hint="eastAsia" w:ascii="宋体" w:hAnsi="宋体" w:eastAsia="宋体"/>
          <w:color w:val="auto"/>
          <w:sz w:val="30"/>
          <w:szCs w:val="30"/>
        </w:rPr>
        <w:t>前附表</w:t>
      </w:r>
      <w:bookmarkEnd w:id="3"/>
      <w:bookmarkEnd w:id="4"/>
      <w:bookmarkEnd w:id="5"/>
      <w:bookmarkEnd w:id="6"/>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682"/>
        <w:gridCol w:w="7334"/>
      </w:tblGrid>
      <w:tr w14:paraId="1961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3D687B06">
            <w:pPr>
              <w:spacing w:line="440" w:lineRule="exact"/>
              <w:jc w:val="center"/>
              <w:rPr>
                <w:rFonts w:ascii="宋体" w:hAnsi="宋体" w:cs="Courier New"/>
                <w:b/>
                <w:color w:val="auto"/>
                <w:spacing w:val="2"/>
                <w:szCs w:val="21"/>
              </w:rPr>
            </w:pPr>
            <w:bookmarkStart w:id="7" w:name="_Hlk87630531"/>
            <w:r>
              <w:rPr>
                <w:rFonts w:hint="eastAsia" w:ascii="宋体" w:hAnsi="宋体" w:cs="Courier New"/>
                <w:b/>
                <w:color w:val="auto"/>
                <w:spacing w:val="2"/>
                <w:szCs w:val="21"/>
              </w:rPr>
              <w:t>项号</w:t>
            </w:r>
          </w:p>
        </w:tc>
        <w:tc>
          <w:tcPr>
            <w:tcW w:w="1682" w:type="dxa"/>
            <w:vAlign w:val="center"/>
          </w:tcPr>
          <w:p w14:paraId="34726246">
            <w:pPr>
              <w:spacing w:line="440" w:lineRule="exact"/>
              <w:jc w:val="center"/>
              <w:rPr>
                <w:rFonts w:ascii="宋体" w:hAnsi="宋体" w:cs="Courier New"/>
                <w:b/>
                <w:color w:val="auto"/>
                <w:spacing w:val="2"/>
                <w:szCs w:val="21"/>
              </w:rPr>
            </w:pPr>
            <w:r>
              <w:rPr>
                <w:rFonts w:hint="eastAsia" w:ascii="宋体" w:hAnsi="宋体" w:cs="Courier New"/>
                <w:b/>
                <w:color w:val="auto"/>
                <w:spacing w:val="2"/>
                <w:szCs w:val="21"/>
              </w:rPr>
              <w:t>内容</w:t>
            </w:r>
          </w:p>
        </w:tc>
        <w:tc>
          <w:tcPr>
            <w:tcW w:w="7334" w:type="dxa"/>
            <w:vAlign w:val="center"/>
          </w:tcPr>
          <w:p w14:paraId="04306BBA">
            <w:pPr>
              <w:spacing w:line="440" w:lineRule="exact"/>
              <w:jc w:val="center"/>
              <w:rPr>
                <w:rFonts w:ascii="宋体" w:hAnsi="宋体" w:cs="Courier New"/>
                <w:b/>
                <w:color w:val="auto"/>
                <w:spacing w:val="2"/>
                <w:szCs w:val="21"/>
              </w:rPr>
            </w:pPr>
            <w:r>
              <w:rPr>
                <w:rFonts w:hint="eastAsia" w:ascii="宋体" w:hAnsi="宋体" w:cs="Courier New"/>
                <w:b/>
                <w:color w:val="auto"/>
                <w:spacing w:val="2"/>
                <w:szCs w:val="21"/>
              </w:rPr>
              <w:t>说明与要求</w:t>
            </w:r>
          </w:p>
        </w:tc>
      </w:tr>
      <w:tr w14:paraId="6736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18" w:type="dxa"/>
            <w:vAlign w:val="center"/>
          </w:tcPr>
          <w:p w14:paraId="6C015A6C">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w:t>
            </w:r>
          </w:p>
        </w:tc>
        <w:tc>
          <w:tcPr>
            <w:tcW w:w="1682" w:type="dxa"/>
            <w:vAlign w:val="center"/>
          </w:tcPr>
          <w:p w14:paraId="78446C11">
            <w:pPr>
              <w:spacing w:line="440" w:lineRule="exact"/>
              <w:jc w:val="center"/>
              <w:rPr>
                <w:rFonts w:ascii="宋体" w:hAnsi="宋体"/>
                <w:color w:val="auto"/>
                <w:szCs w:val="21"/>
              </w:rPr>
            </w:pPr>
            <w:r>
              <w:rPr>
                <w:rFonts w:hint="eastAsia" w:ascii="宋体" w:hAnsi="宋体"/>
                <w:color w:val="auto"/>
                <w:szCs w:val="21"/>
              </w:rPr>
              <w:t>采购项目名称及编号</w:t>
            </w:r>
          </w:p>
        </w:tc>
        <w:tc>
          <w:tcPr>
            <w:tcW w:w="7334" w:type="dxa"/>
          </w:tcPr>
          <w:p w14:paraId="70DEBBDD">
            <w:pPr>
              <w:spacing w:line="420" w:lineRule="exact"/>
              <w:jc w:val="left"/>
              <w:rPr>
                <w:rFonts w:hint="eastAsia" w:ascii="宋体" w:hAnsi="宋体" w:eastAsia="宋体" w:cs="宋体"/>
                <w:color w:val="auto"/>
                <w:szCs w:val="21"/>
                <w:lang w:eastAsia="zh-CN" w:bidi="zh-CN"/>
              </w:rPr>
            </w:pPr>
            <w:r>
              <w:rPr>
                <w:rFonts w:hint="eastAsia" w:ascii="宋体" w:hAnsi="宋体"/>
                <w:color w:val="auto"/>
                <w:szCs w:val="21"/>
              </w:rPr>
              <w:t>采购项目名称：</w:t>
            </w:r>
            <w:r>
              <w:rPr>
                <w:rFonts w:hint="eastAsia" w:cs="宋体"/>
                <w:color w:val="auto"/>
                <w:sz w:val="21"/>
                <w:szCs w:val="21"/>
                <w:lang w:bidi="zh-CN"/>
              </w:rPr>
              <w:t>玉林市玉州区委党校食堂楼（原玉州区图书馆）修缮改造工程</w:t>
            </w:r>
          </w:p>
          <w:p w14:paraId="203E6778">
            <w:pPr>
              <w:spacing w:line="420" w:lineRule="exact"/>
              <w:jc w:val="left"/>
              <w:rPr>
                <w:rFonts w:hint="eastAsia" w:ascii="宋体" w:hAnsi="宋体" w:eastAsia="宋体"/>
                <w:color w:val="auto"/>
                <w:szCs w:val="21"/>
                <w:lang w:eastAsia="zh-CN"/>
              </w:rPr>
            </w:pPr>
            <w:r>
              <w:rPr>
                <w:rFonts w:hint="eastAsia" w:ascii="宋体" w:hAnsi="宋体"/>
                <w:color w:val="auto"/>
                <w:szCs w:val="21"/>
              </w:rPr>
              <w:t>项目编号：YLZC2026-C2-020082-ZXGJ</w:t>
            </w:r>
          </w:p>
        </w:tc>
      </w:tr>
      <w:tr w14:paraId="7879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690112B7">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w:t>
            </w:r>
          </w:p>
        </w:tc>
        <w:tc>
          <w:tcPr>
            <w:tcW w:w="1682" w:type="dxa"/>
            <w:vAlign w:val="center"/>
          </w:tcPr>
          <w:p w14:paraId="636A1E95">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建设地点</w:t>
            </w:r>
          </w:p>
        </w:tc>
        <w:tc>
          <w:tcPr>
            <w:tcW w:w="7334" w:type="dxa"/>
            <w:vAlign w:val="center"/>
          </w:tcPr>
          <w:p w14:paraId="2AB18811">
            <w:pPr>
              <w:spacing w:line="420" w:lineRule="exact"/>
              <w:rPr>
                <w:rFonts w:ascii="宋体" w:hAnsi="宋体"/>
                <w:color w:val="auto"/>
                <w:szCs w:val="21"/>
              </w:rPr>
            </w:pPr>
            <w:r>
              <w:rPr>
                <w:rFonts w:hint="eastAsia" w:ascii="宋体" w:hAnsi="宋体" w:cs="宋体"/>
                <w:color w:val="auto"/>
                <w:szCs w:val="21"/>
                <w:lang w:bidi="zh-CN"/>
              </w:rPr>
              <w:t>采购人指定地点</w:t>
            </w:r>
          </w:p>
        </w:tc>
      </w:tr>
      <w:tr w14:paraId="2301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8" w:type="dxa"/>
            <w:vAlign w:val="center"/>
          </w:tcPr>
          <w:p w14:paraId="045FE2CB">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3</w:t>
            </w:r>
          </w:p>
        </w:tc>
        <w:tc>
          <w:tcPr>
            <w:tcW w:w="1682" w:type="dxa"/>
            <w:vAlign w:val="center"/>
          </w:tcPr>
          <w:p w14:paraId="27D30C23">
            <w:pPr>
              <w:spacing w:line="380" w:lineRule="exact"/>
              <w:jc w:val="center"/>
              <w:rPr>
                <w:rFonts w:ascii="宋体" w:hAnsi="宋体"/>
                <w:color w:val="auto"/>
                <w:szCs w:val="21"/>
              </w:rPr>
            </w:pPr>
            <w:r>
              <w:rPr>
                <w:rFonts w:hint="eastAsia" w:ascii="宋体" w:hAnsi="宋体" w:cs="宋体"/>
                <w:color w:val="auto"/>
                <w:szCs w:val="21"/>
              </w:rPr>
              <w:t>预留采购份额</w:t>
            </w:r>
          </w:p>
        </w:tc>
        <w:tc>
          <w:tcPr>
            <w:tcW w:w="7334" w:type="dxa"/>
            <w:vAlign w:val="center"/>
          </w:tcPr>
          <w:p w14:paraId="00187908">
            <w:pPr>
              <w:spacing w:line="400" w:lineRule="exact"/>
              <w:ind w:firstLine="428" w:firstLineChars="200"/>
              <w:rPr>
                <w:rFonts w:ascii="宋体" w:hAnsi="宋体" w:cs="Courier New"/>
                <w:bCs/>
                <w:color w:val="auto"/>
                <w:spacing w:val="2"/>
                <w:szCs w:val="21"/>
              </w:rPr>
            </w:pPr>
            <w:r>
              <w:rPr>
                <w:rFonts w:hint="eastAsia" w:ascii="宋体" w:hAnsi="宋体" w:cs="Courier New"/>
                <w:bCs/>
                <w:color w:val="auto"/>
                <w:spacing w:val="2"/>
                <w:szCs w:val="21"/>
              </w:rPr>
              <w:t>根据财政部工业和信息化部关于印发《政府采购促进中小企业发展管理办法》的通知（财库〔2020〕46号）第十二条规定：</w:t>
            </w:r>
          </w:p>
          <w:p w14:paraId="2F8C775F">
            <w:pPr>
              <w:spacing w:line="400" w:lineRule="exact"/>
              <w:rPr>
                <w:rFonts w:ascii="宋体" w:hAnsi="宋体" w:cs="Courier New"/>
                <w:bCs/>
                <w:color w:val="auto"/>
                <w:spacing w:val="2"/>
                <w:szCs w:val="21"/>
              </w:rPr>
            </w:pPr>
            <w:r>
              <w:rPr>
                <w:rFonts w:hint="eastAsia" w:ascii="宋体" w:hAnsi="宋体" w:cs="Courier New"/>
                <w:bCs/>
                <w:color w:val="auto"/>
                <w:spacing w:val="2"/>
                <w:szCs w:val="21"/>
              </w:rPr>
              <w:t xml:space="preserve">（1）本项目专门面向中小企业采购，预留份额100% 。供应商应为中小微企业、监狱企业、残疾人福利性单位。预算金额为（人民币）：591042.99元；项目名称：玉林市玉州区委党校食堂楼（原玉州区图书馆）修缮改造工程。          </w:t>
            </w:r>
          </w:p>
          <w:p w14:paraId="2C94975C">
            <w:pPr>
              <w:spacing w:line="400" w:lineRule="exact"/>
              <w:rPr>
                <w:rFonts w:ascii="宋体" w:hAnsi="宋体" w:cs="Courier New"/>
                <w:bCs/>
                <w:color w:val="auto"/>
                <w:spacing w:val="2"/>
                <w:szCs w:val="21"/>
              </w:rPr>
            </w:pPr>
            <w:r>
              <w:rPr>
                <w:rFonts w:hint="eastAsia" w:ascii="宋体" w:hAnsi="宋体" w:cs="Courier New"/>
                <w:bCs/>
                <w:color w:val="auto"/>
                <w:spacing w:val="2"/>
                <w:szCs w:val="21"/>
              </w:rPr>
              <w:t>（2）本项目不接受联合体竞标。</w:t>
            </w:r>
          </w:p>
          <w:p w14:paraId="2BBB1BDF">
            <w:pPr>
              <w:spacing w:line="400" w:lineRule="exact"/>
              <w:rPr>
                <w:rFonts w:ascii="宋体" w:hAnsi="宋体" w:cs="Courier New"/>
                <w:bCs/>
                <w:color w:val="auto"/>
                <w:spacing w:val="2"/>
                <w:szCs w:val="21"/>
              </w:rPr>
            </w:pPr>
            <w:r>
              <w:rPr>
                <w:rFonts w:hint="eastAsia" w:ascii="宋体" w:hAnsi="宋体" w:cs="Courier New"/>
                <w:bCs/>
                <w:color w:val="auto"/>
                <w:spacing w:val="2"/>
                <w:szCs w:val="21"/>
              </w:rPr>
              <w:t>（3）规定依据本办法规定享受扶持政策获得政府采购合同的，小微企业不得将合同分包给大中型企业，中型企业不得将合同分包给大型企业。</w:t>
            </w:r>
          </w:p>
          <w:p w14:paraId="75BC877D">
            <w:pPr>
              <w:pStyle w:val="16"/>
              <w:spacing w:line="380" w:lineRule="exact"/>
              <w:rPr>
                <w:rFonts w:ascii="宋体" w:hAnsi="宋体" w:cs="Courier New"/>
                <w:bCs/>
                <w:color w:val="auto"/>
                <w:spacing w:val="2"/>
                <w:szCs w:val="21"/>
              </w:rPr>
            </w:pPr>
            <w:r>
              <w:rPr>
                <w:rFonts w:hint="eastAsia" w:ascii="宋体" w:hAnsi="宋体" w:cs="Courier New"/>
                <w:bCs/>
                <w:color w:val="auto"/>
                <w:spacing w:val="2"/>
                <w:szCs w:val="21"/>
              </w:rPr>
              <w:t>（4）预付款支付比例或金额：</w:t>
            </w:r>
          </w:p>
          <w:p w14:paraId="78807B03">
            <w:pPr>
              <w:pStyle w:val="16"/>
              <w:spacing w:line="380" w:lineRule="exact"/>
              <w:ind w:firstLine="107" w:firstLineChars="50"/>
              <w:rPr>
                <w:rFonts w:ascii="宋体" w:hAnsi="宋体" w:cs="Courier New"/>
                <w:bCs/>
                <w:color w:val="auto"/>
                <w:spacing w:val="2"/>
                <w:szCs w:val="21"/>
              </w:rPr>
            </w:pPr>
            <w:r>
              <w:rPr>
                <w:rFonts w:hint="eastAsia" w:ascii="宋体" w:hAnsi="宋体" w:cs="Courier New"/>
                <w:bCs/>
                <w:color w:val="auto"/>
                <w:spacing w:val="2"/>
                <w:szCs w:val="21"/>
              </w:rPr>
              <w:t>1.签订合同后采购人向成交人支付合同金额的30%预付款；</w:t>
            </w:r>
          </w:p>
          <w:p w14:paraId="0ADDF58B">
            <w:pPr>
              <w:pStyle w:val="16"/>
              <w:spacing w:line="380" w:lineRule="exact"/>
              <w:ind w:firstLine="107" w:firstLineChars="50"/>
              <w:rPr>
                <w:rFonts w:ascii="宋体" w:hAnsi="宋体" w:cs="Courier New"/>
                <w:bCs/>
                <w:color w:val="auto"/>
                <w:spacing w:val="2"/>
                <w:szCs w:val="21"/>
              </w:rPr>
            </w:pPr>
            <w:r>
              <w:rPr>
                <w:rFonts w:hint="eastAsia" w:ascii="宋体" w:hAnsi="宋体" w:cs="Courier New"/>
                <w:bCs/>
                <w:color w:val="auto"/>
                <w:spacing w:val="2"/>
                <w:szCs w:val="21"/>
              </w:rPr>
              <w:t>2.工程款按工程进度支付，合同内进度款支付限额为已完成工程量的80%，工程变更部分进度款支付限额为已完成工程量的 80%；工程完工验收达到质量要求，结算经有关部门审定后，工程款支付至结算总价的97%；发包人按工程价款结算总额的3%预留工程质量保修金，待工程缺陷责任期满（一年）并且承包人完成缺陷修复后十个工作日内返还（无息）。</w:t>
            </w:r>
          </w:p>
          <w:p w14:paraId="3801FB79">
            <w:pPr>
              <w:pStyle w:val="16"/>
              <w:spacing w:line="380" w:lineRule="exact"/>
              <w:rPr>
                <w:rFonts w:ascii="宋体" w:hAnsi="宋体"/>
                <w:color w:val="auto"/>
                <w:szCs w:val="21"/>
              </w:rPr>
            </w:pPr>
            <w:r>
              <w:rPr>
                <w:rFonts w:hint="eastAsia" w:ascii="宋体" w:hAnsi="宋体" w:cs="Courier New"/>
                <w:bCs/>
                <w:color w:val="auto"/>
                <w:spacing w:val="2"/>
                <w:szCs w:val="21"/>
              </w:rPr>
              <w:t>（5）本项目中小企业划分标准所属行业为</w:t>
            </w:r>
            <w:r>
              <w:rPr>
                <w:rFonts w:hint="eastAsia" w:ascii="宋体" w:hAnsi="宋体" w:cs="Courier New"/>
                <w:b/>
                <w:color w:val="auto"/>
                <w:spacing w:val="2"/>
                <w:szCs w:val="21"/>
                <w:u w:val="single"/>
              </w:rPr>
              <w:t>建筑业</w:t>
            </w:r>
            <w:r>
              <w:rPr>
                <w:rFonts w:hint="eastAsia" w:ascii="宋体" w:hAnsi="宋体" w:cs="Courier New"/>
                <w:bCs/>
                <w:color w:val="auto"/>
                <w:spacing w:val="2"/>
                <w:szCs w:val="21"/>
              </w:rPr>
              <w:t xml:space="preserve">。 </w:t>
            </w:r>
          </w:p>
        </w:tc>
      </w:tr>
      <w:tr w14:paraId="0557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18" w:type="dxa"/>
            <w:vAlign w:val="center"/>
          </w:tcPr>
          <w:p w14:paraId="1CD3DACE">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4</w:t>
            </w:r>
          </w:p>
        </w:tc>
        <w:tc>
          <w:tcPr>
            <w:tcW w:w="1682" w:type="dxa"/>
            <w:vAlign w:val="center"/>
          </w:tcPr>
          <w:p w14:paraId="2F95EB46">
            <w:pPr>
              <w:spacing w:line="440" w:lineRule="exact"/>
              <w:jc w:val="center"/>
              <w:rPr>
                <w:rFonts w:ascii="宋体" w:hAnsi="宋体"/>
                <w:b/>
                <w:color w:val="auto"/>
                <w:szCs w:val="21"/>
              </w:rPr>
            </w:pPr>
            <w:r>
              <w:rPr>
                <w:rFonts w:hint="eastAsia" w:ascii="宋体" w:hAnsi="宋体"/>
                <w:color w:val="auto"/>
                <w:szCs w:val="21"/>
              </w:rPr>
              <w:t>采购预算金额</w:t>
            </w:r>
          </w:p>
        </w:tc>
        <w:tc>
          <w:tcPr>
            <w:tcW w:w="7334" w:type="dxa"/>
            <w:vAlign w:val="center"/>
          </w:tcPr>
          <w:p w14:paraId="015EC34A">
            <w:pPr>
              <w:spacing w:line="420" w:lineRule="exact"/>
              <w:jc w:val="left"/>
              <w:rPr>
                <w:rFonts w:hint="eastAsia" w:ascii="宋体" w:hAnsi="宋体" w:cs="宋体"/>
                <w:color w:val="auto"/>
                <w:szCs w:val="21"/>
                <w:lang w:bidi="zh-CN"/>
              </w:rPr>
            </w:pPr>
            <w:r>
              <w:rPr>
                <w:rFonts w:hint="eastAsia" w:ascii="宋体" w:hAnsi="宋体" w:cs="Courier New"/>
                <w:b/>
                <w:color w:val="auto"/>
                <w:spacing w:val="2"/>
                <w:szCs w:val="21"/>
              </w:rPr>
              <w:t>本项目采购预算金额为：591042.99</w:t>
            </w:r>
            <w:r>
              <w:rPr>
                <w:rFonts w:hint="eastAsia" w:ascii="宋体" w:hAnsi="宋体" w:cs="宋体"/>
                <w:color w:val="auto"/>
                <w:szCs w:val="21"/>
                <w:lang w:bidi="zh-CN"/>
              </w:rPr>
              <w:t>元。</w:t>
            </w:r>
          </w:p>
          <w:p w14:paraId="7D1FD48F">
            <w:pPr>
              <w:spacing w:line="420" w:lineRule="exact"/>
              <w:jc w:val="left"/>
              <w:rPr>
                <w:rFonts w:ascii="宋体" w:hAnsi="宋体" w:cs="Courier New"/>
                <w:b/>
                <w:color w:val="auto"/>
                <w:spacing w:val="2"/>
                <w:szCs w:val="21"/>
              </w:rPr>
            </w:pPr>
            <w:r>
              <w:rPr>
                <w:rFonts w:hint="eastAsia" w:ascii="宋体" w:hAnsi="宋体"/>
                <w:color w:val="auto"/>
                <w:szCs w:val="21"/>
              </w:rPr>
              <w:t>本采购项目的有效磋商报价范围为：</w:t>
            </w:r>
            <w:r>
              <w:rPr>
                <w:rFonts w:hint="eastAsia" w:ascii="宋体" w:hAnsi="宋体" w:cs="Courier New"/>
                <w:b/>
                <w:color w:val="auto"/>
                <w:spacing w:val="2"/>
                <w:szCs w:val="21"/>
              </w:rPr>
              <w:t>供应商的最终磋商报价不能高于本项目的采购预算金额。</w:t>
            </w:r>
          </w:p>
        </w:tc>
      </w:tr>
      <w:tr w14:paraId="3004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18" w:type="dxa"/>
            <w:vAlign w:val="center"/>
          </w:tcPr>
          <w:p w14:paraId="6F0F8684">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5</w:t>
            </w:r>
          </w:p>
        </w:tc>
        <w:tc>
          <w:tcPr>
            <w:tcW w:w="1682" w:type="dxa"/>
            <w:vAlign w:val="center"/>
          </w:tcPr>
          <w:p w14:paraId="3479D69C">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质量标准</w:t>
            </w:r>
          </w:p>
        </w:tc>
        <w:tc>
          <w:tcPr>
            <w:tcW w:w="7334" w:type="dxa"/>
            <w:vAlign w:val="center"/>
          </w:tcPr>
          <w:p w14:paraId="1498C6D4">
            <w:pPr>
              <w:spacing w:line="420" w:lineRule="exact"/>
              <w:rPr>
                <w:rFonts w:ascii="宋体" w:hAnsi="宋体"/>
                <w:color w:val="auto"/>
                <w:szCs w:val="21"/>
              </w:rPr>
            </w:pPr>
            <w:r>
              <w:rPr>
                <w:rFonts w:hint="eastAsia" w:ascii="宋体" w:hAnsi="宋体"/>
                <w:color w:val="auto"/>
                <w:szCs w:val="21"/>
              </w:rPr>
              <w:t>达到国家施工验收规范合格标准。</w:t>
            </w:r>
          </w:p>
        </w:tc>
      </w:tr>
      <w:tr w14:paraId="49AC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8" w:type="dxa"/>
            <w:vAlign w:val="center"/>
          </w:tcPr>
          <w:p w14:paraId="5B0ACB33">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6</w:t>
            </w:r>
          </w:p>
        </w:tc>
        <w:tc>
          <w:tcPr>
            <w:tcW w:w="1682" w:type="dxa"/>
            <w:vAlign w:val="center"/>
          </w:tcPr>
          <w:p w14:paraId="3E8D0B69">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采购范围</w:t>
            </w:r>
          </w:p>
        </w:tc>
        <w:tc>
          <w:tcPr>
            <w:tcW w:w="7334" w:type="dxa"/>
            <w:vAlign w:val="center"/>
          </w:tcPr>
          <w:p w14:paraId="5F87CAA1">
            <w:pPr>
              <w:spacing w:line="420" w:lineRule="exact"/>
              <w:rPr>
                <w:rFonts w:ascii="宋体" w:hAnsi="宋体"/>
                <w:color w:val="auto"/>
                <w:szCs w:val="21"/>
              </w:rPr>
            </w:pPr>
            <w:r>
              <w:rPr>
                <w:rFonts w:hint="eastAsia" w:ascii="宋体" w:hAnsi="宋体"/>
                <w:color w:val="auto"/>
                <w:szCs w:val="21"/>
              </w:rPr>
              <w:t>工程采购图纸及清单包含及其附属工程等全部内容（具体内容详见工程量清单）。</w:t>
            </w:r>
          </w:p>
        </w:tc>
      </w:tr>
      <w:tr w14:paraId="7701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51E8006F">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7</w:t>
            </w:r>
          </w:p>
        </w:tc>
        <w:tc>
          <w:tcPr>
            <w:tcW w:w="1682" w:type="dxa"/>
            <w:vAlign w:val="center"/>
          </w:tcPr>
          <w:p w14:paraId="6511658D">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工期要求</w:t>
            </w:r>
          </w:p>
        </w:tc>
        <w:tc>
          <w:tcPr>
            <w:tcW w:w="7334" w:type="dxa"/>
            <w:vAlign w:val="center"/>
          </w:tcPr>
          <w:p w14:paraId="22C5BF3E">
            <w:pPr>
              <w:pStyle w:val="40"/>
              <w:widowControl w:val="0"/>
              <w:adjustRightInd w:val="0"/>
              <w:snapToGrid w:val="0"/>
              <w:spacing w:before="0" w:beforeAutospacing="0" w:after="0" w:afterAutospacing="0" w:line="400" w:lineRule="exact"/>
              <w:rPr>
                <w:color w:val="auto"/>
                <w:kern w:val="2"/>
                <w:sz w:val="21"/>
                <w:szCs w:val="21"/>
              </w:rPr>
            </w:pPr>
            <w:r>
              <w:rPr>
                <w:rFonts w:hint="eastAsia"/>
                <w:color w:val="auto"/>
                <w:kern w:val="2"/>
                <w:sz w:val="21"/>
                <w:szCs w:val="21"/>
              </w:rPr>
              <w:t>计划工期:</w:t>
            </w:r>
            <w:r>
              <w:rPr>
                <w:rFonts w:hint="eastAsia" w:cs="宋体"/>
                <w:color w:val="auto"/>
                <w:sz w:val="21"/>
                <w:szCs w:val="21"/>
                <w:lang w:val="en-US" w:bidi="zh-CN"/>
              </w:rPr>
              <w:t>180</w:t>
            </w:r>
            <w:r>
              <w:rPr>
                <w:rFonts w:hint="eastAsia" w:cs="宋体"/>
                <w:color w:val="auto"/>
                <w:sz w:val="21"/>
                <w:szCs w:val="21"/>
                <w:lang w:bidi="zh-CN"/>
              </w:rPr>
              <w:t>日历天</w:t>
            </w:r>
          </w:p>
        </w:tc>
      </w:tr>
      <w:bookmarkEnd w:id="7"/>
      <w:tr w14:paraId="58D8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18" w:type="dxa"/>
            <w:vAlign w:val="center"/>
          </w:tcPr>
          <w:p w14:paraId="74689AF2">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8</w:t>
            </w:r>
          </w:p>
        </w:tc>
        <w:tc>
          <w:tcPr>
            <w:tcW w:w="1682" w:type="dxa"/>
            <w:vAlign w:val="center"/>
          </w:tcPr>
          <w:p w14:paraId="01149FAF">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供应商资格要求</w:t>
            </w:r>
          </w:p>
        </w:tc>
        <w:tc>
          <w:tcPr>
            <w:tcW w:w="7334" w:type="dxa"/>
          </w:tcPr>
          <w:p w14:paraId="051ABCBA">
            <w:pPr>
              <w:spacing w:line="440" w:lineRule="exact"/>
              <w:ind w:firstLine="420" w:firstLineChars="200"/>
              <w:rPr>
                <w:rFonts w:ascii="宋体" w:hAnsi="宋体"/>
                <w:color w:val="auto"/>
                <w:szCs w:val="21"/>
              </w:rPr>
            </w:pPr>
            <w:r>
              <w:rPr>
                <w:rFonts w:hint="eastAsia" w:ascii="宋体" w:hAnsi="宋体"/>
                <w:color w:val="auto"/>
                <w:szCs w:val="21"/>
              </w:rPr>
              <w:t>1.满足《中华人民共和国政府采购法》第二十二条规定；</w:t>
            </w:r>
          </w:p>
          <w:p w14:paraId="689A9E42">
            <w:pPr>
              <w:spacing w:line="44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.落实政府采购政策需满足的资格要求：专门面向中小企业采购的项目（供应商应为中小微企业、监狱企业、残疾人福利性单位）；</w:t>
            </w:r>
          </w:p>
          <w:p w14:paraId="7A7525BA">
            <w:pPr>
              <w:spacing w:line="440" w:lineRule="exact"/>
              <w:ind w:firstLine="420" w:firstLineChars="200"/>
              <w:rPr>
                <w:rFonts w:ascii="宋体" w:hAnsi="宋体"/>
                <w:color w:val="auto"/>
                <w:szCs w:val="21"/>
              </w:rPr>
            </w:pPr>
            <w:r>
              <w:rPr>
                <w:rFonts w:hint="eastAsia" w:ascii="宋体" w:hAnsi="宋体"/>
                <w:color w:val="auto"/>
                <w:szCs w:val="21"/>
              </w:rPr>
              <w:t>3.本项目的特定资格要求：</w:t>
            </w:r>
          </w:p>
          <w:p w14:paraId="5576BEBC">
            <w:pPr>
              <w:spacing w:line="440" w:lineRule="exact"/>
              <w:ind w:firstLine="421"/>
              <w:rPr>
                <w:rFonts w:ascii="宋体" w:hAnsi="宋体"/>
                <w:color w:val="auto"/>
                <w:szCs w:val="21"/>
              </w:rPr>
            </w:pPr>
            <w:r>
              <w:rPr>
                <w:rFonts w:hint="eastAsia" w:ascii="宋体" w:hAnsi="宋体"/>
                <w:color w:val="auto"/>
                <w:szCs w:val="21"/>
              </w:rPr>
              <w:t>3.1具有建筑施工总承包叁级以上（含叁级）或建筑装修装饰工程专业承包叁级以上（含叁级）资质的企业，并在人员、设备、资金等方面具备相应的施工能力。</w:t>
            </w:r>
          </w:p>
          <w:p w14:paraId="2FF7CB05">
            <w:pPr>
              <w:spacing w:line="440" w:lineRule="exact"/>
              <w:ind w:firstLine="421"/>
              <w:rPr>
                <w:rFonts w:ascii="宋体" w:hAnsi="宋体"/>
                <w:color w:val="auto"/>
                <w:szCs w:val="21"/>
              </w:rPr>
            </w:pPr>
            <w:r>
              <w:rPr>
                <w:rFonts w:hint="eastAsia" w:ascii="宋体" w:hAnsi="宋体"/>
                <w:color w:val="auto"/>
                <w:szCs w:val="21"/>
              </w:rPr>
              <w:t>3.2拟派项目经理须具备建筑工程专业贰级以上（含贰级）注册建造师执业资格，具备有效的安全生产考核合格证书（B类）。</w:t>
            </w:r>
          </w:p>
          <w:p w14:paraId="272EAA80">
            <w:pPr>
              <w:spacing w:line="440" w:lineRule="exact"/>
              <w:ind w:firstLine="421"/>
              <w:rPr>
                <w:rFonts w:ascii="宋体" w:hAnsi="宋体"/>
                <w:color w:val="auto"/>
                <w:szCs w:val="21"/>
              </w:rPr>
            </w:pPr>
            <w:r>
              <w:rPr>
                <w:rFonts w:hint="eastAsia" w:ascii="宋体" w:hAnsi="宋体"/>
                <w:color w:val="auto"/>
                <w:szCs w:val="21"/>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243617D3">
            <w:pPr>
              <w:spacing w:line="440" w:lineRule="exact"/>
              <w:ind w:firstLine="420" w:firstLineChars="200"/>
              <w:rPr>
                <w:rFonts w:ascii="宋体" w:hAnsi="宋体"/>
                <w:color w:val="auto"/>
                <w:szCs w:val="21"/>
              </w:rPr>
            </w:pPr>
            <w:r>
              <w:rPr>
                <w:rFonts w:hint="eastAsia" w:ascii="宋体" w:hAnsi="宋体"/>
                <w:color w:val="auto"/>
                <w:szCs w:val="21"/>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87B9F1A">
            <w:pPr>
              <w:spacing w:line="440" w:lineRule="exact"/>
              <w:ind w:left="420"/>
              <w:rPr>
                <w:rFonts w:ascii="宋体" w:hAnsi="宋体"/>
                <w:color w:val="auto"/>
                <w:szCs w:val="21"/>
                <w:lang w:val="zh-CN"/>
              </w:rPr>
            </w:pPr>
            <w:r>
              <w:rPr>
                <w:rFonts w:hint="eastAsia" w:ascii="宋体" w:hAnsi="宋体"/>
                <w:color w:val="auto"/>
                <w:szCs w:val="21"/>
              </w:rPr>
              <w:t>6.</w:t>
            </w:r>
            <w:r>
              <w:rPr>
                <w:rFonts w:hint="eastAsia" w:ascii="宋体" w:hAnsi="宋体"/>
                <w:color w:val="auto"/>
                <w:szCs w:val="21"/>
                <w:lang w:val="zh-CN"/>
              </w:rPr>
              <w:t>不接受未按本竞争性磋商公告要求获取采购文件的供应商竞标。</w:t>
            </w:r>
          </w:p>
          <w:p w14:paraId="2F5D9C96">
            <w:pPr>
              <w:spacing w:line="440" w:lineRule="exact"/>
              <w:ind w:left="420"/>
              <w:rPr>
                <w:color w:val="auto"/>
              </w:rPr>
            </w:pPr>
            <w:r>
              <w:rPr>
                <w:rFonts w:hint="eastAsia" w:ascii="宋体" w:hAnsi="宋体"/>
                <w:color w:val="auto"/>
                <w:szCs w:val="21"/>
              </w:rPr>
              <w:t>7.</w:t>
            </w:r>
            <w:r>
              <w:rPr>
                <w:rFonts w:hint="eastAsia" w:ascii="宋体" w:hAnsi="宋体"/>
                <w:color w:val="auto"/>
                <w:szCs w:val="21"/>
                <w:lang w:val="zh-CN"/>
              </w:rPr>
              <w:t>本项目不接受联合体竞标,不允许转包和分包。</w:t>
            </w:r>
          </w:p>
        </w:tc>
      </w:tr>
      <w:tr w14:paraId="5ED6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18" w:type="dxa"/>
            <w:vAlign w:val="center"/>
          </w:tcPr>
          <w:p w14:paraId="438731A7">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9</w:t>
            </w:r>
          </w:p>
        </w:tc>
        <w:tc>
          <w:tcPr>
            <w:tcW w:w="1682" w:type="dxa"/>
            <w:vAlign w:val="center"/>
          </w:tcPr>
          <w:p w14:paraId="6E21E68D">
            <w:pPr>
              <w:spacing w:line="440" w:lineRule="exact"/>
              <w:jc w:val="center"/>
              <w:rPr>
                <w:rFonts w:ascii="宋体" w:hAnsi="宋体" w:cs="Courier New"/>
                <w:color w:val="auto"/>
                <w:spacing w:val="2"/>
                <w:szCs w:val="21"/>
              </w:rPr>
            </w:pPr>
            <w:r>
              <w:rPr>
                <w:rFonts w:hint="eastAsia" w:ascii="宋体" w:hAnsi="宋体"/>
                <w:bCs/>
                <w:color w:val="auto"/>
                <w:szCs w:val="21"/>
              </w:rPr>
              <w:t>报价方式</w:t>
            </w:r>
          </w:p>
        </w:tc>
        <w:tc>
          <w:tcPr>
            <w:tcW w:w="7334" w:type="dxa"/>
            <w:vAlign w:val="center"/>
          </w:tcPr>
          <w:p w14:paraId="15514AB3">
            <w:pPr>
              <w:pStyle w:val="200"/>
              <w:spacing w:line="420" w:lineRule="exact"/>
              <w:rPr>
                <w:rFonts w:hAnsi="宋体"/>
                <w:color w:val="auto"/>
                <w:szCs w:val="21"/>
              </w:rPr>
            </w:pPr>
            <w:r>
              <w:rPr>
                <w:rFonts w:hint="eastAsia" w:hAnsi="宋体"/>
                <w:bCs/>
                <w:color w:val="auto"/>
                <w:szCs w:val="21"/>
              </w:rPr>
              <w:t>1.工程量清单报价（</w:t>
            </w:r>
            <w:r>
              <w:rPr>
                <w:rFonts w:hint="eastAsia" w:hAnsi="宋体"/>
                <w:b/>
                <w:bCs/>
                <w:color w:val="auto"/>
                <w:szCs w:val="21"/>
              </w:rPr>
              <w:t>清单计价法），</w:t>
            </w:r>
            <w:r>
              <w:rPr>
                <w:rFonts w:hint="eastAsia" w:hAnsi="宋体"/>
                <w:color w:val="auto"/>
                <w:szCs w:val="21"/>
              </w:rPr>
              <w:t>供应商按照采购人提供的工程量清单填写。</w:t>
            </w:r>
          </w:p>
        </w:tc>
      </w:tr>
      <w:tr w14:paraId="63ED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18" w:type="dxa"/>
            <w:vAlign w:val="center"/>
          </w:tcPr>
          <w:p w14:paraId="182F91A9">
            <w:pPr>
              <w:spacing w:line="440" w:lineRule="exact"/>
              <w:jc w:val="center"/>
              <w:rPr>
                <w:rFonts w:ascii="宋体" w:hAnsi="宋体" w:cs="Courier New"/>
                <w:color w:val="auto"/>
                <w:spacing w:val="2"/>
                <w:szCs w:val="21"/>
              </w:rPr>
            </w:pPr>
            <w:bookmarkStart w:id="8" w:name="_Hlk87630554"/>
            <w:r>
              <w:rPr>
                <w:rFonts w:hint="eastAsia" w:ascii="宋体" w:hAnsi="宋体" w:cs="Courier New"/>
                <w:color w:val="auto"/>
                <w:spacing w:val="2"/>
                <w:szCs w:val="21"/>
              </w:rPr>
              <w:t>10</w:t>
            </w:r>
          </w:p>
        </w:tc>
        <w:tc>
          <w:tcPr>
            <w:tcW w:w="1682" w:type="dxa"/>
            <w:vAlign w:val="center"/>
          </w:tcPr>
          <w:p w14:paraId="131C548D">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磋商有效期</w:t>
            </w:r>
          </w:p>
        </w:tc>
        <w:tc>
          <w:tcPr>
            <w:tcW w:w="7334" w:type="dxa"/>
            <w:vAlign w:val="center"/>
          </w:tcPr>
          <w:p w14:paraId="6C02112D">
            <w:pPr>
              <w:spacing w:line="420" w:lineRule="exact"/>
              <w:rPr>
                <w:rFonts w:ascii="宋体" w:hAnsi="宋体" w:cs="Courier New"/>
                <w:color w:val="auto"/>
                <w:spacing w:val="2"/>
                <w:szCs w:val="21"/>
              </w:rPr>
            </w:pPr>
            <w:r>
              <w:rPr>
                <w:rFonts w:hint="eastAsia" w:ascii="宋体" w:hAnsi="宋体" w:cs="Courier New"/>
                <w:color w:val="auto"/>
                <w:spacing w:val="2"/>
                <w:szCs w:val="21"/>
              </w:rPr>
              <w:t>磋商截止之日后</w:t>
            </w:r>
            <w:r>
              <w:rPr>
                <w:rFonts w:hint="eastAsia" w:ascii="宋体" w:hAnsi="宋体" w:cs="Courier New"/>
                <w:color w:val="auto"/>
                <w:spacing w:val="2"/>
                <w:szCs w:val="21"/>
                <w:u w:val="single"/>
                <w:lang w:val="en-US" w:eastAsia="zh-CN"/>
              </w:rPr>
              <w:t>90</w:t>
            </w:r>
            <w:r>
              <w:rPr>
                <w:rFonts w:hint="eastAsia" w:ascii="宋体" w:hAnsi="宋体" w:cs="Courier New"/>
                <w:color w:val="auto"/>
                <w:spacing w:val="2"/>
                <w:szCs w:val="21"/>
              </w:rPr>
              <w:t>日历天</w:t>
            </w:r>
          </w:p>
        </w:tc>
      </w:tr>
      <w:bookmarkEnd w:id="8"/>
      <w:tr w14:paraId="7D05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18" w:type="dxa"/>
            <w:vAlign w:val="center"/>
          </w:tcPr>
          <w:p w14:paraId="0E7C3998">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11</w:t>
            </w:r>
          </w:p>
        </w:tc>
        <w:tc>
          <w:tcPr>
            <w:tcW w:w="1682" w:type="dxa"/>
            <w:vAlign w:val="center"/>
          </w:tcPr>
          <w:p w14:paraId="51308913">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磋商保证金</w:t>
            </w:r>
          </w:p>
        </w:tc>
        <w:tc>
          <w:tcPr>
            <w:tcW w:w="7334" w:type="dxa"/>
            <w:vAlign w:val="center"/>
          </w:tcPr>
          <w:p w14:paraId="3FCEB8C5">
            <w:pPr>
              <w:spacing w:line="420" w:lineRule="exact"/>
              <w:rPr>
                <w:rFonts w:ascii="宋体" w:hAnsi="宋体"/>
                <w:color w:val="auto"/>
                <w:kern w:val="0"/>
                <w:szCs w:val="21"/>
              </w:rPr>
            </w:pPr>
            <w:r>
              <w:rPr>
                <w:rFonts w:hint="eastAsia" w:ascii="宋体" w:hAnsi="宋体"/>
                <w:color w:val="auto"/>
                <w:kern w:val="0"/>
                <w:szCs w:val="21"/>
              </w:rPr>
              <w:t>本项目不收取磋商保证金。</w:t>
            </w:r>
          </w:p>
        </w:tc>
      </w:tr>
      <w:tr w14:paraId="5AD9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42E4F3B3">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12</w:t>
            </w:r>
          </w:p>
        </w:tc>
        <w:tc>
          <w:tcPr>
            <w:tcW w:w="1682" w:type="dxa"/>
            <w:vAlign w:val="center"/>
          </w:tcPr>
          <w:p w14:paraId="48BA70EF">
            <w:pPr>
              <w:spacing w:line="440" w:lineRule="exact"/>
              <w:jc w:val="center"/>
              <w:rPr>
                <w:rFonts w:ascii="宋体" w:hAnsi="宋体" w:cs="Courier New"/>
                <w:color w:val="auto"/>
                <w:spacing w:val="2"/>
                <w:szCs w:val="21"/>
              </w:rPr>
            </w:pPr>
            <w:r>
              <w:rPr>
                <w:rFonts w:hint="eastAsia" w:ascii="宋体" w:hAnsi="宋体" w:cs="Courier New"/>
                <w:bCs/>
                <w:color w:val="auto"/>
                <w:spacing w:val="2"/>
                <w:szCs w:val="21"/>
              </w:rPr>
              <w:t>现场勘查</w:t>
            </w:r>
          </w:p>
        </w:tc>
        <w:tc>
          <w:tcPr>
            <w:tcW w:w="7334" w:type="dxa"/>
            <w:vAlign w:val="center"/>
          </w:tcPr>
          <w:p w14:paraId="28A210D5">
            <w:pPr>
              <w:spacing w:line="420" w:lineRule="exact"/>
              <w:rPr>
                <w:rFonts w:ascii="宋体" w:hAnsi="宋体" w:cs="Courier New"/>
                <w:bCs/>
                <w:color w:val="auto"/>
                <w:spacing w:val="2"/>
                <w:szCs w:val="21"/>
              </w:rPr>
            </w:pPr>
            <w:r>
              <w:rPr>
                <w:rFonts w:hint="eastAsia" w:ascii="宋体" w:hAnsi="宋体" w:cs="Courier New"/>
                <w:bCs/>
                <w:color w:val="auto"/>
                <w:spacing w:val="2"/>
                <w:szCs w:val="21"/>
              </w:rPr>
              <w:t>采购人不组织现场踏勘，供应商自行现场勘查。</w:t>
            </w:r>
          </w:p>
        </w:tc>
      </w:tr>
      <w:tr w14:paraId="5576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3E89C7A4">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13</w:t>
            </w:r>
          </w:p>
        </w:tc>
        <w:tc>
          <w:tcPr>
            <w:tcW w:w="1682" w:type="dxa"/>
            <w:vAlign w:val="center"/>
          </w:tcPr>
          <w:p w14:paraId="64C1F92F">
            <w:pPr>
              <w:spacing w:line="440" w:lineRule="exact"/>
              <w:jc w:val="center"/>
              <w:rPr>
                <w:rFonts w:ascii="宋体" w:hAnsi="宋体" w:cs="Courier New"/>
                <w:color w:val="auto"/>
                <w:spacing w:val="2"/>
                <w:szCs w:val="21"/>
              </w:rPr>
            </w:pPr>
            <w:r>
              <w:rPr>
                <w:rFonts w:hint="eastAsia" w:ascii="宋体" w:hAnsi="宋体"/>
                <w:color w:val="auto"/>
                <w:szCs w:val="21"/>
              </w:rPr>
              <w:t>响应文件形式</w:t>
            </w:r>
          </w:p>
        </w:tc>
        <w:tc>
          <w:tcPr>
            <w:tcW w:w="7334" w:type="dxa"/>
            <w:vAlign w:val="center"/>
          </w:tcPr>
          <w:p w14:paraId="67BA9446">
            <w:pPr>
              <w:spacing w:line="440" w:lineRule="exact"/>
              <w:rPr>
                <w:rFonts w:ascii="宋体" w:hAnsi="宋体"/>
                <w:snapToGrid w:val="0"/>
                <w:color w:val="auto"/>
                <w:szCs w:val="21"/>
              </w:rPr>
            </w:pPr>
            <w:r>
              <w:rPr>
                <w:rFonts w:hint="eastAsia" w:ascii="宋体" w:hAnsi="宋体"/>
                <w:snapToGrid w:val="0"/>
                <w:color w:val="auto"/>
                <w:szCs w:val="21"/>
              </w:rPr>
              <w:t>供应商应准备电子</w:t>
            </w:r>
            <w:r>
              <w:rPr>
                <w:rFonts w:hint="eastAsia" w:ascii="宋体" w:hAnsi="宋体"/>
                <w:color w:val="auto"/>
                <w:szCs w:val="21"/>
              </w:rPr>
              <w:t>响应</w:t>
            </w:r>
            <w:r>
              <w:rPr>
                <w:rFonts w:hint="eastAsia" w:ascii="宋体" w:hAnsi="宋体"/>
                <w:snapToGrid w:val="0"/>
                <w:color w:val="auto"/>
                <w:szCs w:val="21"/>
              </w:rPr>
              <w:t>文件。电子</w:t>
            </w:r>
            <w:r>
              <w:rPr>
                <w:rFonts w:hint="eastAsia" w:ascii="宋体" w:hAnsi="宋体"/>
                <w:color w:val="auto"/>
                <w:szCs w:val="21"/>
              </w:rPr>
              <w:t>响应</w:t>
            </w:r>
            <w:r>
              <w:rPr>
                <w:rFonts w:hint="eastAsia" w:ascii="宋体" w:hAnsi="宋体"/>
                <w:snapToGrid w:val="0"/>
                <w:color w:val="auto"/>
                <w:szCs w:val="21"/>
              </w:rPr>
              <w:t>文件是指通过“广西政府采购云</w:t>
            </w:r>
            <w:r>
              <w:rPr>
                <w:rFonts w:ascii="宋体" w:hAnsi="宋体"/>
                <w:color w:val="auto"/>
                <w:szCs w:val="21"/>
              </w:rPr>
              <w:t>电子投标</w:t>
            </w:r>
            <w:r>
              <w:rPr>
                <w:rFonts w:hint="eastAsia" w:ascii="宋体" w:hAnsi="宋体"/>
                <w:snapToGrid w:val="0"/>
                <w:color w:val="auto"/>
                <w:szCs w:val="21"/>
              </w:rPr>
              <w:t>客户端”完成</w:t>
            </w:r>
            <w:r>
              <w:rPr>
                <w:rFonts w:hint="eastAsia" w:ascii="宋体" w:hAnsi="宋体"/>
                <w:color w:val="auto"/>
                <w:szCs w:val="21"/>
              </w:rPr>
              <w:t>响应</w:t>
            </w:r>
            <w:r>
              <w:rPr>
                <w:rFonts w:hint="eastAsia" w:ascii="宋体" w:hAnsi="宋体"/>
                <w:snapToGrid w:val="0"/>
                <w:color w:val="auto"/>
                <w:szCs w:val="21"/>
              </w:rPr>
              <w:t>文件编制后生成并加密的数据电文形式的电子加密</w:t>
            </w:r>
            <w:r>
              <w:rPr>
                <w:rFonts w:hint="eastAsia" w:ascii="宋体" w:hAnsi="宋体"/>
                <w:color w:val="auto"/>
                <w:szCs w:val="21"/>
              </w:rPr>
              <w:t>响应</w:t>
            </w:r>
            <w:r>
              <w:rPr>
                <w:rFonts w:hint="eastAsia" w:ascii="宋体" w:hAnsi="宋体"/>
                <w:snapToGrid w:val="0"/>
                <w:color w:val="auto"/>
                <w:szCs w:val="21"/>
              </w:rPr>
              <w:t>文件。</w:t>
            </w:r>
          </w:p>
        </w:tc>
      </w:tr>
      <w:tr w14:paraId="6FCD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4C27B18A">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14</w:t>
            </w:r>
          </w:p>
        </w:tc>
        <w:tc>
          <w:tcPr>
            <w:tcW w:w="1682" w:type="dxa"/>
            <w:vAlign w:val="center"/>
          </w:tcPr>
          <w:p w14:paraId="4BFE93E4">
            <w:pPr>
              <w:spacing w:line="440" w:lineRule="exact"/>
              <w:jc w:val="center"/>
              <w:rPr>
                <w:rFonts w:ascii="宋体" w:hAnsi="宋体" w:cs="Courier New"/>
                <w:color w:val="auto"/>
                <w:spacing w:val="2"/>
                <w:szCs w:val="21"/>
              </w:rPr>
            </w:pPr>
            <w:r>
              <w:rPr>
                <w:rFonts w:hint="eastAsia" w:ascii="宋体" w:hAnsi="宋体"/>
                <w:color w:val="auto"/>
                <w:szCs w:val="21"/>
              </w:rPr>
              <w:t>响应</w:t>
            </w:r>
            <w:r>
              <w:rPr>
                <w:rFonts w:hint="eastAsia" w:ascii="宋体" w:hAnsi="宋体"/>
                <w:snapToGrid w:val="0"/>
                <w:color w:val="auto"/>
                <w:szCs w:val="21"/>
              </w:rPr>
              <w:t>文件的编制</w:t>
            </w:r>
          </w:p>
        </w:tc>
        <w:tc>
          <w:tcPr>
            <w:tcW w:w="7334" w:type="dxa"/>
            <w:vAlign w:val="center"/>
          </w:tcPr>
          <w:p w14:paraId="19AAFEC8">
            <w:pPr>
              <w:widowControl/>
              <w:spacing w:line="440" w:lineRule="exact"/>
              <w:jc w:val="left"/>
              <w:rPr>
                <w:rFonts w:ascii="宋体" w:hAnsi="宋体"/>
                <w:snapToGrid w:val="0"/>
                <w:color w:val="auto"/>
                <w:szCs w:val="21"/>
              </w:rPr>
            </w:pPr>
            <w:r>
              <w:rPr>
                <w:rFonts w:hint="eastAsia" w:ascii="宋体" w:hAnsi="宋体"/>
                <w:snapToGrid w:val="0"/>
                <w:color w:val="auto"/>
                <w:szCs w:val="21"/>
              </w:rPr>
              <w:t>供应商应先安装“</w:t>
            </w:r>
            <w:r>
              <w:rPr>
                <w:rFonts w:hint="eastAsia" w:ascii="宋体" w:hAnsi="宋体"/>
                <w:color w:val="auto"/>
                <w:szCs w:val="21"/>
              </w:rPr>
              <w:t>广西政府采购云</w:t>
            </w:r>
            <w:r>
              <w:rPr>
                <w:rFonts w:ascii="宋体" w:hAnsi="宋体"/>
                <w:color w:val="auto"/>
                <w:szCs w:val="21"/>
              </w:rPr>
              <w:t>电子投标</w:t>
            </w:r>
            <w:r>
              <w:rPr>
                <w:rFonts w:hint="eastAsia" w:ascii="宋体" w:hAnsi="宋体"/>
                <w:snapToGrid w:val="0"/>
                <w:color w:val="auto"/>
                <w:szCs w:val="21"/>
              </w:rPr>
              <w:t>客户端”，并按照本磋商文件和“</w:t>
            </w:r>
            <w:r>
              <w:rPr>
                <w:rFonts w:hint="eastAsia" w:ascii="宋体" w:hAnsi="宋体"/>
                <w:color w:val="auto"/>
                <w:szCs w:val="21"/>
              </w:rPr>
              <w:t>广西政府采购云</w:t>
            </w:r>
            <w:r>
              <w:rPr>
                <w:rFonts w:hint="eastAsia" w:ascii="宋体" w:hAnsi="宋体"/>
                <w:snapToGrid w:val="0"/>
                <w:color w:val="auto"/>
                <w:szCs w:val="21"/>
              </w:rPr>
              <w:t>平台”的要求，通过“</w:t>
            </w:r>
            <w:r>
              <w:rPr>
                <w:rFonts w:hint="eastAsia" w:ascii="宋体" w:hAnsi="宋体"/>
                <w:color w:val="auto"/>
                <w:szCs w:val="21"/>
              </w:rPr>
              <w:t>广西政府采购云</w:t>
            </w:r>
            <w:r>
              <w:rPr>
                <w:rFonts w:ascii="宋体" w:hAnsi="宋体"/>
                <w:color w:val="auto"/>
                <w:szCs w:val="21"/>
              </w:rPr>
              <w:t>电子投标</w:t>
            </w:r>
            <w:r>
              <w:rPr>
                <w:rFonts w:hint="eastAsia" w:ascii="宋体" w:hAnsi="宋体"/>
                <w:snapToGrid w:val="0"/>
                <w:color w:val="auto"/>
                <w:szCs w:val="21"/>
              </w:rPr>
              <w:t>客户端”编制并加密</w:t>
            </w:r>
            <w:r>
              <w:rPr>
                <w:rFonts w:hint="eastAsia" w:ascii="宋体" w:hAnsi="宋体"/>
                <w:color w:val="auto"/>
                <w:szCs w:val="21"/>
              </w:rPr>
              <w:t>响应</w:t>
            </w:r>
            <w:r>
              <w:rPr>
                <w:rFonts w:hint="eastAsia" w:ascii="宋体" w:hAnsi="宋体"/>
                <w:snapToGrid w:val="0"/>
                <w:color w:val="auto"/>
                <w:szCs w:val="21"/>
              </w:rPr>
              <w:t>文件。</w:t>
            </w:r>
          </w:p>
        </w:tc>
      </w:tr>
      <w:tr w14:paraId="660C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5FA2F979">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15</w:t>
            </w:r>
          </w:p>
        </w:tc>
        <w:tc>
          <w:tcPr>
            <w:tcW w:w="1682" w:type="dxa"/>
            <w:vAlign w:val="center"/>
          </w:tcPr>
          <w:p w14:paraId="3FEB9F74">
            <w:pPr>
              <w:spacing w:line="440" w:lineRule="exact"/>
              <w:jc w:val="center"/>
              <w:rPr>
                <w:rFonts w:ascii="宋体" w:hAnsi="宋体" w:cs="Courier New"/>
                <w:color w:val="auto"/>
                <w:spacing w:val="2"/>
                <w:szCs w:val="21"/>
              </w:rPr>
            </w:pPr>
            <w:r>
              <w:rPr>
                <w:rFonts w:hint="eastAsia" w:ascii="宋体" w:hAnsi="宋体"/>
                <w:color w:val="auto"/>
                <w:szCs w:val="21"/>
              </w:rPr>
              <w:t>响应</w:t>
            </w:r>
            <w:r>
              <w:rPr>
                <w:rFonts w:hint="eastAsia" w:ascii="宋体" w:hAnsi="宋体"/>
                <w:snapToGrid w:val="0"/>
                <w:color w:val="auto"/>
                <w:szCs w:val="21"/>
              </w:rPr>
              <w:t>文件的盖章</w:t>
            </w:r>
          </w:p>
        </w:tc>
        <w:tc>
          <w:tcPr>
            <w:tcW w:w="7334" w:type="dxa"/>
            <w:vAlign w:val="center"/>
          </w:tcPr>
          <w:p w14:paraId="0BECBF4A">
            <w:pPr>
              <w:widowControl/>
              <w:spacing w:line="440" w:lineRule="exact"/>
              <w:jc w:val="left"/>
              <w:rPr>
                <w:rFonts w:ascii="宋体" w:hAnsi="宋体"/>
                <w:snapToGrid w:val="0"/>
                <w:color w:val="auto"/>
                <w:szCs w:val="21"/>
              </w:rPr>
            </w:pPr>
            <w:r>
              <w:rPr>
                <w:rFonts w:hint="eastAsia" w:ascii="宋体" w:hAnsi="宋体"/>
                <w:color w:val="auto"/>
                <w:szCs w:val="21"/>
              </w:rPr>
              <w:t>响应</w:t>
            </w:r>
            <w:r>
              <w:rPr>
                <w:rFonts w:hint="eastAsia" w:ascii="宋体" w:hAnsi="宋体"/>
                <w:snapToGrid w:val="0"/>
                <w:color w:val="auto"/>
                <w:szCs w:val="21"/>
              </w:rPr>
              <w:t>文件中所涉及的加盖公章均采用CA电子签章。</w:t>
            </w:r>
          </w:p>
        </w:tc>
      </w:tr>
      <w:tr w14:paraId="010B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7BBDF9A8">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16</w:t>
            </w:r>
          </w:p>
        </w:tc>
        <w:tc>
          <w:tcPr>
            <w:tcW w:w="1682" w:type="dxa"/>
            <w:vAlign w:val="center"/>
          </w:tcPr>
          <w:p w14:paraId="1FDA348F">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响应文件</w:t>
            </w:r>
          </w:p>
          <w:p w14:paraId="196EC6E5">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提交方式</w:t>
            </w:r>
          </w:p>
        </w:tc>
        <w:tc>
          <w:tcPr>
            <w:tcW w:w="7334" w:type="dxa"/>
            <w:vAlign w:val="center"/>
          </w:tcPr>
          <w:p w14:paraId="47FA34FF">
            <w:pPr>
              <w:widowControl/>
              <w:spacing w:line="440" w:lineRule="exact"/>
              <w:jc w:val="left"/>
              <w:rPr>
                <w:rFonts w:ascii="宋体" w:hAnsi="宋体"/>
                <w:snapToGrid w:val="0"/>
                <w:color w:val="auto"/>
                <w:szCs w:val="21"/>
              </w:rPr>
            </w:pPr>
            <w:r>
              <w:rPr>
                <w:rFonts w:hint="eastAsia" w:ascii="宋体" w:hAnsi="宋体" w:cs="宋体"/>
                <w:color w:val="auto"/>
                <w:szCs w:val="21"/>
              </w:rPr>
              <w:t>电子响应文件通过平台有效CA加密后在“广西政府采购云”平台投送。</w:t>
            </w:r>
          </w:p>
          <w:p w14:paraId="30F084C0">
            <w:pPr>
              <w:widowControl/>
              <w:spacing w:line="440" w:lineRule="exact"/>
              <w:jc w:val="left"/>
              <w:rPr>
                <w:rFonts w:ascii="宋体" w:hAnsi="宋体"/>
                <w:snapToGrid w:val="0"/>
                <w:color w:val="auto"/>
                <w:szCs w:val="21"/>
              </w:rPr>
            </w:pPr>
            <w:r>
              <w:rPr>
                <w:rFonts w:hint="eastAsia" w:ascii="宋体" w:hAnsi="宋体"/>
                <w:snapToGrid w:val="0"/>
                <w:color w:val="auto"/>
                <w:szCs w:val="21"/>
              </w:rPr>
              <w:t>未</w:t>
            </w:r>
            <w:r>
              <w:rPr>
                <w:rFonts w:ascii="宋体" w:hAnsi="宋体"/>
                <w:snapToGrid w:val="0"/>
                <w:color w:val="auto"/>
                <w:szCs w:val="21"/>
              </w:rPr>
              <w:t>在</w:t>
            </w:r>
            <w:r>
              <w:rPr>
                <w:rFonts w:hint="eastAsia" w:ascii="宋体" w:hAnsi="宋体"/>
                <w:snapToGrid w:val="0"/>
                <w:color w:val="auto"/>
                <w:szCs w:val="21"/>
              </w:rPr>
              <w:t>响应文件提交</w:t>
            </w:r>
            <w:r>
              <w:rPr>
                <w:rFonts w:ascii="宋体" w:hAnsi="宋体"/>
                <w:snapToGrid w:val="0"/>
                <w:color w:val="auto"/>
                <w:szCs w:val="21"/>
              </w:rPr>
              <w:t>截止时间前</w:t>
            </w:r>
            <w:r>
              <w:rPr>
                <w:rFonts w:hint="eastAsia" w:ascii="宋体" w:hAnsi="宋体"/>
                <w:snapToGrid w:val="0"/>
                <w:color w:val="auto"/>
                <w:szCs w:val="21"/>
              </w:rPr>
              <w:t xml:space="preserve">传输提交电子加密响应文件的，响应无效。 </w:t>
            </w:r>
          </w:p>
        </w:tc>
      </w:tr>
      <w:tr w14:paraId="53A5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18" w:type="dxa"/>
            <w:vAlign w:val="center"/>
          </w:tcPr>
          <w:p w14:paraId="74862528">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17</w:t>
            </w:r>
          </w:p>
        </w:tc>
        <w:tc>
          <w:tcPr>
            <w:tcW w:w="1682" w:type="dxa"/>
            <w:vAlign w:val="center"/>
          </w:tcPr>
          <w:p w14:paraId="7C7269ED">
            <w:pPr>
              <w:spacing w:line="440" w:lineRule="exact"/>
              <w:jc w:val="center"/>
              <w:rPr>
                <w:rFonts w:ascii="宋体" w:hAnsi="宋体" w:cs="宋体"/>
                <w:color w:val="auto"/>
                <w:spacing w:val="2"/>
                <w:szCs w:val="21"/>
              </w:rPr>
            </w:pPr>
            <w:r>
              <w:rPr>
                <w:rFonts w:hint="eastAsia" w:ascii="宋体" w:hAnsi="宋体"/>
                <w:snapToGrid w:val="0"/>
                <w:color w:val="auto"/>
                <w:szCs w:val="21"/>
              </w:rPr>
              <w:t>电子响应文件的解密</w:t>
            </w:r>
          </w:p>
        </w:tc>
        <w:tc>
          <w:tcPr>
            <w:tcW w:w="7334" w:type="dxa"/>
            <w:vAlign w:val="center"/>
          </w:tcPr>
          <w:p w14:paraId="69B27EF0">
            <w:pPr>
              <w:adjustRightInd w:val="0"/>
              <w:spacing w:line="420" w:lineRule="exact"/>
              <w:ind w:firstLine="420" w:firstLineChars="200"/>
              <w:rPr>
                <w:rFonts w:ascii="宋体" w:hAnsi="宋体" w:cs="宋体"/>
                <w:color w:val="auto"/>
                <w:spacing w:val="2"/>
                <w:szCs w:val="21"/>
              </w:rPr>
            </w:pPr>
            <w:r>
              <w:rPr>
                <w:rFonts w:hint="eastAsia" w:ascii="宋体" w:hAnsi="宋体"/>
                <w:snapToGrid w:val="0"/>
                <w:color w:val="auto"/>
                <w:szCs w:val="21"/>
              </w:rPr>
              <w:t>响应文件提交截止时间后 30 分钟内，供应商必须在此时间段内登录政采云平台，用“项目采购-开标评标”功能完成电子响应文件的解密。若供应商在规定时间内未按时解密的，供应商已递交了电子备份响应文件的，以电子备份响应文件为依据，未能按时解密且未提交电子备份响应文件的视为响应文件撤回。</w:t>
            </w:r>
          </w:p>
        </w:tc>
      </w:tr>
      <w:tr w14:paraId="5FAC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18" w:type="dxa"/>
            <w:vAlign w:val="center"/>
          </w:tcPr>
          <w:p w14:paraId="39134BCF">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18</w:t>
            </w:r>
          </w:p>
        </w:tc>
        <w:tc>
          <w:tcPr>
            <w:tcW w:w="1682" w:type="dxa"/>
            <w:vAlign w:val="center"/>
          </w:tcPr>
          <w:p w14:paraId="3AFAD446">
            <w:pPr>
              <w:spacing w:line="440" w:lineRule="exact"/>
              <w:jc w:val="center"/>
              <w:rPr>
                <w:rFonts w:ascii="宋体" w:hAnsi="宋体" w:cs="宋体"/>
                <w:color w:val="auto"/>
                <w:spacing w:val="2"/>
                <w:szCs w:val="21"/>
              </w:rPr>
            </w:pPr>
            <w:r>
              <w:rPr>
                <w:rFonts w:hint="eastAsia" w:ascii="宋体" w:hAnsi="宋体" w:cs="宋体"/>
                <w:color w:val="auto"/>
                <w:spacing w:val="2"/>
                <w:szCs w:val="21"/>
              </w:rPr>
              <w:t>响应文件提交地点及截止时间</w:t>
            </w:r>
          </w:p>
        </w:tc>
        <w:tc>
          <w:tcPr>
            <w:tcW w:w="7334" w:type="dxa"/>
            <w:vAlign w:val="center"/>
          </w:tcPr>
          <w:p w14:paraId="4CA6225D">
            <w:pPr>
              <w:adjustRightInd w:val="0"/>
              <w:spacing w:line="420" w:lineRule="exact"/>
              <w:rPr>
                <w:rFonts w:ascii="宋体" w:hAnsi="宋体" w:cs="Arial"/>
                <w:color w:val="auto"/>
                <w:szCs w:val="21"/>
                <w:u w:val="none"/>
              </w:rPr>
            </w:pPr>
            <w:r>
              <w:rPr>
                <w:rFonts w:hint="eastAsia" w:ascii="宋体" w:hAnsi="宋体" w:cs="宋体"/>
                <w:color w:val="auto"/>
                <w:spacing w:val="2"/>
                <w:szCs w:val="21"/>
              </w:rPr>
              <w:t>截止时间：2026年7月8日 09时00分</w:t>
            </w:r>
          </w:p>
          <w:p w14:paraId="64884C43">
            <w:pPr>
              <w:spacing w:line="420" w:lineRule="exact"/>
              <w:rPr>
                <w:rFonts w:ascii="宋体" w:hAnsi="宋体"/>
                <w:color w:val="auto"/>
                <w:kern w:val="0"/>
                <w:szCs w:val="21"/>
              </w:rPr>
            </w:pPr>
            <w:r>
              <w:rPr>
                <w:rFonts w:hint="eastAsia" w:ascii="宋体" w:hAnsi="宋体" w:cs="宋体"/>
                <w:color w:val="auto"/>
                <w:spacing w:val="2"/>
                <w:szCs w:val="21"/>
              </w:rPr>
              <w:t>地点</w:t>
            </w:r>
            <w:r>
              <w:rPr>
                <w:rFonts w:hint="eastAsia" w:ascii="宋体" w:hAnsi="宋体"/>
                <w:color w:val="auto"/>
                <w:kern w:val="0"/>
                <w:szCs w:val="21"/>
              </w:rPr>
              <w:t>：广西政府采购云平台（https://www.gcy.zfcg.gxzf.gov.cn/）</w:t>
            </w:r>
          </w:p>
        </w:tc>
      </w:tr>
      <w:tr w14:paraId="614B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18" w:type="dxa"/>
            <w:vAlign w:val="center"/>
          </w:tcPr>
          <w:p w14:paraId="33CD2CF5">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19</w:t>
            </w:r>
          </w:p>
        </w:tc>
        <w:tc>
          <w:tcPr>
            <w:tcW w:w="1682" w:type="dxa"/>
            <w:vAlign w:val="center"/>
          </w:tcPr>
          <w:p w14:paraId="1D3848F1">
            <w:pPr>
              <w:spacing w:line="440" w:lineRule="exact"/>
              <w:jc w:val="center"/>
              <w:rPr>
                <w:rFonts w:ascii="宋体" w:hAnsi="宋体" w:cs="宋体"/>
                <w:color w:val="auto"/>
                <w:spacing w:val="2"/>
                <w:szCs w:val="21"/>
              </w:rPr>
            </w:pPr>
            <w:r>
              <w:rPr>
                <w:rFonts w:hint="eastAsia" w:ascii="宋体" w:hAnsi="宋体" w:cs="Courier New"/>
                <w:color w:val="auto"/>
                <w:spacing w:val="2"/>
                <w:szCs w:val="21"/>
              </w:rPr>
              <w:t>磋商</w:t>
            </w:r>
            <w:r>
              <w:rPr>
                <w:rFonts w:hint="eastAsia" w:ascii="宋体" w:hAnsi="宋体" w:cs="宋体"/>
                <w:color w:val="auto"/>
                <w:szCs w:val="21"/>
              </w:rPr>
              <w:t>时间及</w:t>
            </w:r>
            <w:r>
              <w:rPr>
                <w:rFonts w:hint="eastAsia" w:ascii="宋体" w:hAnsi="宋体" w:cs="Courier New"/>
                <w:color w:val="auto"/>
                <w:spacing w:val="2"/>
                <w:szCs w:val="21"/>
              </w:rPr>
              <w:t>磋商</w:t>
            </w:r>
            <w:r>
              <w:rPr>
                <w:rFonts w:hint="eastAsia" w:ascii="宋体" w:hAnsi="宋体" w:cs="宋体"/>
                <w:color w:val="auto"/>
                <w:spacing w:val="2"/>
                <w:szCs w:val="21"/>
              </w:rPr>
              <w:t>地点</w:t>
            </w:r>
          </w:p>
        </w:tc>
        <w:tc>
          <w:tcPr>
            <w:tcW w:w="7334" w:type="dxa"/>
            <w:vAlign w:val="center"/>
          </w:tcPr>
          <w:p w14:paraId="6F83B880">
            <w:pPr>
              <w:spacing w:line="420" w:lineRule="exact"/>
              <w:rPr>
                <w:rFonts w:ascii="宋体" w:hAnsi="宋体" w:cs="Arial"/>
                <w:color w:val="auto"/>
                <w:szCs w:val="21"/>
              </w:rPr>
            </w:pPr>
            <w:r>
              <w:rPr>
                <w:rFonts w:hint="eastAsia" w:ascii="宋体" w:hAnsi="宋体" w:cs="Arial"/>
                <w:color w:val="auto"/>
                <w:szCs w:val="21"/>
              </w:rPr>
              <w:t>磋商时间：2026年7月8日 09时00分（具体时间由采购代理机构另行通知）；</w:t>
            </w:r>
          </w:p>
          <w:p w14:paraId="5254A8EA">
            <w:pPr>
              <w:spacing w:line="420" w:lineRule="exact"/>
              <w:rPr>
                <w:rFonts w:ascii="宋体" w:hAnsi="宋体"/>
                <w:color w:val="auto"/>
                <w:kern w:val="0"/>
                <w:szCs w:val="21"/>
              </w:rPr>
            </w:pPr>
            <w:r>
              <w:rPr>
                <w:rFonts w:hint="eastAsia" w:ascii="宋体" w:hAnsi="宋体" w:cs="Arial"/>
                <w:color w:val="auto"/>
                <w:szCs w:val="21"/>
              </w:rPr>
              <w:t>磋商地点：广西政府采购云平台（https://www.gcy.zfcg.gxzf.gov.cn/）</w:t>
            </w:r>
          </w:p>
        </w:tc>
      </w:tr>
      <w:tr w14:paraId="7DBD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0A197DBD">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20</w:t>
            </w:r>
          </w:p>
        </w:tc>
        <w:tc>
          <w:tcPr>
            <w:tcW w:w="1682" w:type="dxa"/>
            <w:vAlign w:val="center"/>
          </w:tcPr>
          <w:p w14:paraId="11ECE40C">
            <w:pPr>
              <w:spacing w:line="440" w:lineRule="exact"/>
              <w:jc w:val="center"/>
              <w:rPr>
                <w:rFonts w:ascii="宋体" w:hAnsi="宋体"/>
                <w:color w:val="auto"/>
                <w:szCs w:val="21"/>
              </w:rPr>
            </w:pPr>
            <w:r>
              <w:rPr>
                <w:rFonts w:hint="eastAsia" w:ascii="宋体" w:hAnsi="宋体"/>
                <w:color w:val="auto"/>
                <w:szCs w:val="21"/>
              </w:rPr>
              <w:t>资格审查</w:t>
            </w:r>
          </w:p>
          <w:p w14:paraId="351E2E2B">
            <w:pPr>
              <w:spacing w:line="440" w:lineRule="exact"/>
              <w:jc w:val="center"/>
              <w:rPr>
                <w:rFonts w:ascii="宋体" w:hAnsi="宋体"/>
                <w:color w:val="auto"/>
                <w:szCs w:val="21"/>
              </w:rPr>
            </w:pPr>
            <w:r>
              <w:rPr>
                <w:rFonts w:hint="eastAsia" w:ascii="宋体" w:hAnsi="宋体"/>
                <w:color w:val="auto"/>
                <w:szCs w:val="21"/>
              </w:rPr>
              <w:t>方式</w:t>
            </w:r>
          </w:p>
        </w:tc>
        <w:tc>
          <w:tcPr>
            <w:tcW w:w="7334" w:type="dxa"/>
            <w:vAlign w:val="center"/>
          </w:tcPr>
          <w:p w14:paraId="73D5DB3A">
            <w:pPr>
              <w:spacing w:line="420" w:lineRule="exact"/>
              <w:rPr>
                <w:rFonts w:ascii="宋体" w:hAnsi="宋体"/>
                <w:color w:val="auto"/>
                <w:szCs w:val="21"/>
              </w:rPr>
            </w:pPr>
            <w:r>
              <w:rPr>
                <w:rFonts w:hint="eastAsia" w:ascii="宋体" w:hAnsi="宋体"/>
                <w:color w:val="auto"/>
                <w:szCs w:val="21"/>
              </w:rPr>
              <w:t>资格后审</w:t>
            </w:r>
          </w:p>
        </w:tc>
      </w:tr>
      <w:tr w14:paraId="2327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15AAA473">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21</w:t>
            </w:r>
          </w:p>
        </w:tc>
        <w:tc>
          <w:tcPr>
            <w:tcW w:w="1682" w:type="dxa"/>
            <w:vAlign w:val="center"/>
          </w:tcPr>
          <w:p w14:paraId="2147BAB3">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评标办法</w:t>
            </w:r>
          </w:p>
        </w:tc>
        <w:tc>
          <w:tcPr>
            <w:tcW w:w="7334" w:type="dxa"/>
            <w:vAlign w:val="center"/>
          </w:tcPr>
          <w:p w14:paraId="4F2EDAB4">
            <w:pPr>
              <w:spacing w:line="420" w:lineRule="exact"/>
              <w:ind w:left="1890" w:hanging="1890" w:hangingChars="900"/>
              <w:rPr>
                <w:rFonts w:ascii="宋体" w:hAnsi="宋体" w:cs="Courier New"/>
                <w:color w:val="auto"/>
                <w:spacing w:val="2"/>
                <w:szCs w:val="21"/>
              </w:rPr>
            </w:pPr>
            <w:r>
              <w:rPr>
                <w:rFonts w:hint="eastAsia" w:ascii="宋体" w:hAnsi="宋体"/>
                <w:color w:val="auto"/>
                <w:szCs w:val="21"/>
              </w:rPr>
              <w:t>采用综合评分</w:t>
            </w:r>
            <w:r>
              <w:rPr>
                <w:rFonts w:ascii="宋体" w:hAnsi="宋体"/>
                <w:color w:val="auto"/>
                <w:szCs w:val="21"/>
              </w:rPr>
              <w:t>法</w:t>
            </w:r>
            <w:r>
              <w:rPr>
                <w:rFonts w:hint="eastAsia" w:ascii="宋体" w:hAnsi="宋体"/>
                <w:color w:val="auto"/>
                <w:szCs w:val="21"/>
              </w:rPr>
              <w:t>。</w:t>
            </w:r>
          </w:p>
        </w:tc>
      </w:tr>
      <w:tr w14:paraId="6B3C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18" w:type="dxa"/>
            <w:vAlign w:val="center"/>
          </w:tcPr>
          <w:p w14:paraId="5341ADE7">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22</w:t>
            </w:r>
          </w:p>
        </w:tc>
        <w:tc>
          <w:tcPr>
            <w:tcW w:w="1682" w:type="dxa"/>
            <w:vAlign w:val="center"/>
          </w:tcPr>
          <w:p w14:paraId="3724B3A3">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履约保证金</w:t>
            </w:r>
          </w:p>
        </w:tc>
        <w:tc>
          <w:tcPr>
            <w:tcW w:w="7334" w:type="dxa"/>
            <w:vAlign w:val="center"/>
          </w:tcPr>
          <w:p w14:paraId="66EB3030">
            <w:pPr>
              <w:spacing w:line="420" w:lineRule="exact"/>
              <w:rPr>
                <w:rFonts w:ascii="宋体" w:hAnsi="宋体" w:cs="Arial"/>
                <w:color w:val="auto"/>
                <w:szCs w:val="21"/>
              </w:rPr>
            </w:pPr>
            <w:r>
              <w:rPr>
                <w:rFonts w:hint="eastAsia" w:ascii="宋体" w:hAnsi="宋体" w:cs="Arial"/>
                <w:color w:val="auto"/>
                <w:szCs w:val="21"/>
              </w:rPr>
              <w:t>本项目收取履约保证金，具体规定如下：</w:t>
            </w:r>
          </w:p>
          <w:p w14:paraId="7F6D31F2">
            <w:pPr>
              <w:spacing w:line="420" w:lineRule="exact"/>
              <w:rPr>
                <w:rFonts w:ascii="宋体" w:hAnsi="宋体" w:cs="Arial"/>
                <w:color w:val="auto"/>
                <w:szCs w:val="21"/>
              </w:rPr>
            </w:pPr>
            <w:r>
              <w:rPr>
                <w:rFonts w:hint="eastAsia" w:ascii="宋体" w:hAnsi="宋体" w:cs="Arial"/>
                <w:color w:val="auto"/>
                <w:szCs w:val="21"/>
              </w:rPr>
              <w:sym w:font="Wingdings" w:char="00A8"/>
            </w:r>
            <w:r>
              <w:rPr>
                <w:rFonts w:hint="eastAsia" w:ascii="宋体" w:hAnsi="宋体" w:cs="Arial"/>
                <w:color w:val="auto"/>
                <w:szCs w:val="21"/>
              </w:rPr>
              <w:t>履约保证金的金额：/</w:t>
            </w:r>
          </w:p>
          <w:p w14:paraId="1AE7D6FC">
            <w:pPr>
              <w:spacing w:line="420" w:lineRule="exact"/>
              <w:rPr>
                <w:rFonts w:ascii="宋体" w:hAnsi="宋体" w:cs="Arial"/>
                <w:color w:val="auto"/>
                <w:szCs w:val="21"/>
              </w:rPr>
            </w:pPr>
            <w:r>
              <w:rPr>
                <w:rFonts w:hint="eastAsia" w:ascii="宋体" w:hAnsi="宋体" w:cs="Arial"/>
                <w:color w:val="auto"/>
                <w:szCs w:val="21"/>
              </w:rPr>
              <w:sym w:font="Wingdings" w:char="00A8"/>
            </w:r>
            <w:r>
              <w:rPr>
                <w:rFonts w:hint="eastAsia" w:ascii="宋体" w:hAnsi="宋体" w:cs="Arial"/>
                <w:color w:val="auto"/>
                <w:szCs w:val="21"/>
              </w:rPr>
              <w:t>履约保证金的形式：可以采用银行转账、银行保函、工程担保、商业担保、保证保险等形式。</w:t>
            </w:r>
          </w:p>
          <w:p w14:paraId="01C12FE7">
            <w:pPr>
              <w:spacing w:line="420" w:lineRule="exact"/>
              <w:rPr>
                <w:rFonts w:ascii="宋体" w:hAnsi="宋体" w:cs="Arial"/>
                <w:color w:val="auto"/>
                <w:szCs w:val="21"/>
              </w:rPr>
            </w:pPr>
            <w:r>
              <w:rPr>
                <w:rFonts w:hint="eastAsia" w:ascii="宋体" w:hAnsi="宋体" w:cs="Arial"/>
                <w:color w:val="auto"/>
                <w:szCs w:val="21"/>
              </w:rPr>
              <w:t>履约保证金退付方式、时间及条件：  由中标人向采购人提供《广西壮族自治区政府采购项目合同验收书》（详见桂财采〔2015〕22号），采购人在收到合格材料后5个工作日内办理退还手续（不计利息）。</w:t>
            </w:r>
          </w:p>
          <w:p w14:paraId="62C76383">
            <w:pPr>
              <w:spacing w:line="420" w:lineRule="exact"/>
              <w:rPr>
                <w:rFonts w:ascii="宋体" w:hAnsi="宋体" w:cs="Arial"/>
                <w:color w:val="auto"/>
                <w:szCs w:val="21"/>
              </w:rPr>
            </w:pPr>
            <w:r>
              <w:rPr>
                <w:rFonts w:hint="eastAsia" w:ascii="宋体" w:hAnsi="宋体" w:cs="Arial"/>
                <w:color w:val="auto"/>
                <w:szCs w:val="21"/>
              </w:rPr>
              <w:t>备注：</w:t>
            </w:r>
          </w:p>
          <w:p w14:paraId="23D517C8">
            <w:pPr>
              <w:spacing w:line="420" w:lineRule="exact"/>
              <w:rPr>
                <w:rFonts w:ascii="宋体" w:hAnsi="宋体" w:cs="Arial"/>
                <w:color w:val="auto"/>
                <w:szCs w:val="21"/>
              </w:rPr>
            </w:pPr>
            <w:r>
              <w:rPr>
                <w:rFonts w:hint="eastAsia" w:ascii="宋体" w:hAnsi="宋体" w:cs="Arial"/>
                <w:color w:val="auto"/>
                <w:szCs w:val="21"/>
              </w:rPr>
              <w:t>1</w:t>
            </w:r>
            <w:bookmarkStart w:id="9" w:name="_Hlk54170335"/>
            <w:r>
              <w:rPr>
                <w:rFonts w:hint="eastAsia" w:ascii="宋体" w:hAnsi="宋体" w:cs="Arial"/>
                <w:color w:val="auto"/>
                <w:szCs w:val="21"/>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2%。</w:t>
            </w:r>
            <w:bookmarkEnd w:id="9"/>
            <w:r>
              <w:rPr>
                <w:rFonts w:hint="eastAsia" w:ascii="宋体" w:hAnsi="宋体" w:cs="Arial"/>
                <w:color w:val="auto"/>
                <w:szCs w:val="21"/>
              </w:rPr>
              <w:br w:type="textWrapping"/>
            </w:r>
            <w:r>
              <w:rPr>
                <w:rFonts w:hint="eastAsia" w:ascii="宋体" w:hAnsi="宋体" w:cs="Arial"/>
                <w:color w:val="auto"/>
                <w:szCs w:val="21"/>
              </w:rPr>
              <w:t>2.履约保证金不足额缴纳的（包含保函额度不足的），或者不按规定提交方式提交的，或者保函有效期低于合同履行期限（即合同中规定的当事人履行自己的义务的），不予签订合同。</w:t>
            </w:r>
          </w:p>
        </w:tc>
      </w:tr>
      <w:tr w14:paraId="16D6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18" w:type="dxa"/>
            <w:vMerge w:val="restart"/>
            <w:vAlign w:val="center"/>
          </w:tcPr>
          <w:p w14:paraId="2821E9FD">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23</w:t>
            </w:r>
          </w:p>
        </w:tc>
        <w:tc>
          <w:tcPr>
            <w:tcW w:w="1682" w:type="dxa"/>
            <w:vMerge w:val="restart"/>
            <w:vAlign w:val="center"/>
          </w:tcPr>
          <w:p w14:paraId="404DA392">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联系人</w:t>
            </w:r>
          </w:p>
        </w:tc>
        <w:tc>
          <w:tcPr>
            <w:tcW w:w="7334" w:type="dxa"/>
            <w:vAlign w:val="center"/>
          </w:tcPr>
          <w:p w14:paraId="1704D0A3">
            <w:pPr>
              <w:spacing w:line="440" w:lineRule="exact"/>
              <w:rPr>
                <w:rFonts w:ascii="宋体" w:hAnsi="宋体"/>
                <w:color w:val="auto"/>
                <w:szCs w:val="21"/>
              </w:rPr>
            </w:pPr>
            <w:r>
              <w:rPr>
                <w:rFonts w:hint="eastAsia" w:ascii="宋体" w:hAnsi="宋体"/>
                <w:color w:val="auto"/>
                <w:szCs w:val="21"/>
              </w:rPr>
              <w:t>采购人联系人：罗庆        联系电话：</w:t>
            </w:r>
            <w:r>
              <w:rPr>
                <w:rFonts w:ascii="宋体" w:hAnsi="宋体"/>
                <w:color w:val="auto"/>
                <w:szCs w:val="21"/>
              </w:rPr>
              <w:t>0775-2825054</w:t>
            </w:r>
          </w:p>
        </w:tc>
      </w:tr>
      <w:tr w14:paraId="6FCF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18" w:type="dxa"/>
            <w:vMerge w:val="continue"/>
            <w:vAlign w:val="center"/>
          </w:tcPr>
          <w:p w14:paraId="094B3504">
            <w:pPr>
              <w:spacing w:line="440" w:lineRule="exact"/>
              <w:jc w:val="center"/>
              <w:rPr>
                <w:rFonts w:ascii="宋体" w:hAnsi="宋体" w:cs="Courier New"/>
                <w:color w:val="auto"/>
                <w:spacing w:val="2"/>
                <w:szCs w:val="21"/>
              </w:rPr>
            </w:pPr>
          </w:p>
        </w:tc>
        <w:tc>
          <w:tcPr>
            <w:tcW w:w="1682" w:type="dxa"/>
            <w:vMerge w:val="continue"/>
            <w:vAlign w:val="center"/>
          </w:tcPr>
          <w:p w14:paraId="635E8427">
            <w:pPr>
              <w:spacing w:line="440" w:lineRule="exact"/>
              <w:jc w:val="center"/>
              <w:rPr>
                <w:rFonts w:ascii="宋体" w:hAnsi="宋体" w:cs="Courier New"/>
                <w:color w:val="auto"/>
                <w:spacing w:val="2"/>
                <w:szCs w:val="21"/>
              </w:rPr>
            </w:pPr>
          </w:p>
        </w:tc>
        <w:tc>
          <w:tcPr>
            <w:tcW w:w="7334" w:type="dxa"/>
            <w:vAlign w:val="center"/>
          </w:tcPr>
          <w:p w14:paraId="7D3FA866">
            <w:pPr>
              <w:autoSpaceDE w:val="0"/>
              <w:spacing w:line="420" w:lineRule="exact"/>
              <w:rPr>
                <w:rFonts w:ascii="宋体" w:hAnsi="宋体"/>
                <w:color w:val="auto"/>
                <w:szCs w:val="21"/>
              </w:rPr>
            </w:pPr>
            <w:r>
              <w:rPr>
                <w:rFonts w:hint="eastAsia" w:ascii="宋体" w:hAnsi="宋体"/>
                <w:color w:val="auto"/>
                <w:szCs w:val="21"/>
              </w:rPr>
              <w:t>代理机构联系人：</w:t>
            </w:r>
            <w:r>
              <w:rPr>
                <w:rFonts w:hint="eastAsia" w:ascii="宋体" w:hAnsi="宋体" w:cs="Arial"/>
                <w:color w:val="auto"/>
                <w:kern w:val="0"/>
                <w:szCs w:val="21"/>
              </w:rPr>
              <w:t>邱琼芳    电话：</w:t>
            </w:r>
            <w:r>
              <w:rPr>
                <w:rFonts w:hint="eastAsia" w:ascii="宋体" w:hAnsi="宋体"/>
                <w:color w:val="auto"/>
                <w:szCs w:val="21"/>
              </w:rPr>
              <w:t>0775-3288880</w:t>
            </w:r>
          </w:p>
        </w:tc>
      </w:tr>
      <w:tr w14:paraId="4BBF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Merge w:val="continue"/>
            <w:vAlign w:val="center"/>
          </w:tcPr>
          <w:p w14:paraId="184A762F">
            <w:pPr>
              <w:spacing w:line="440" w:lineRule="exact"/>
              <w:jc w:val="center"/>
              <w:rPr>
                <w:rFonts w:ascii="宋体" w:hAnsi="宋体" w:cs="Courier New"/>
                <w:color w:val="auto"/>
                <w:spacing w:val="2"/>
                <w:szCs w:val="21"/>
              </w:rPr>
            </w:pPr>
          </w:p>
        </w:tc>
        <w:tc>
          <w:tcPr>
            <w:tcW w:w="1682" w:type="dxa"/>
            <w:vMerge w:val="continue"/>
            <w:vAlign w:val="center"/>
          </w:tcPr>
          <w:p w14:paraId="12089440">
            <w:pPr>
              <w:spacing w:line="440" w:lineRule="exact"/>
              <w:jc w:val="center"/>
              <w:rPr>
                <w:rFonts w:ascii="宋体" w:hAnsi="宋体" w:cs="Courier New"/>
                <w:color w:val="auto"/>
                <w:spacing w:val="2"/>
                <w:szCs w:val="21"/>
              </w:rPr>
            </w:pPr>
          </w:p>
        </w:tc>
        <w:tc>
          <w:tcPr>
            <w:tcW w:w="7334" w:type="dxa"/>
            <w:vAlign w:val="center"/>
          </w:tcPr>
          <w:p w14:paraId="347309D4">
            <w:pPr>
              <w:spacing w:line="420" w:lineRule="exact"/>
              <w:rPr>
                <w:rFonts w:ascii="宋体" w:hAnsi="宋体"/>
                <w:color w:val="auto"/>
                <w:szCs w:val="21"/>
              </w:rPr>
            </w:pPr>
            <w:r>
              <w:rPr>
                <w:rFonts w:hint="eastAsia" w:ascii="宋体" w:hAnsi="宋体"/>
                <w:color w:val="auto"/>
                <w:szCs w:val="21"/>
              </w:rPr>
              <w:t>行政监督单位：</w:t>
            </w:r>
            <w:r>
              <w:rPr>
                <w:rFonts w:hint="eastAsia" w:ascii="宋体" w:hAnsi="宋体" w:cs="宋体"/>
                <w:color w:val="auto"/>
                <w:kern w:val="0"/>
                <w:szCs w:val="21"/>
                <w:lang w:val="zh-CN"/>
              </w:rPr>
              <w:t xml:space="preserve">玉林市玉州区财政局   </w:t>
            </w:r>
            <w:r>
              <w:rPr>
                <w:rFonts w:hint="eastAsia" w:ascii="宋体" w:hAnsi="宋体"/>
                <w:color w:val="auto"/>
                <w:szCs w:val="21"/>
              </w:rPr>
              <w:t>联系电话：</w:t>
            </w:r>
            <w:r>
              <w:rPr>
                <w:rFonts w:hint="eastAsia" w:ascii="宋体" w:hAnsi="宋体" w:cs="宋体"/>
                <w:color w:val="auto"/>
                <w:kern w:val="0"/>
                <w:szCs w:val="21"/>
                <w:lang w:val="zh-CN"/>
              </w:rPr>
              <w:t>0775-2098625</w:t>
            </w:r>
          </w:p>
        </w:tc>
      </w:tr>
      <w:tr w14:paraId="337C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70375CF2">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24</w:t>
            </w:r>
          </w:p>
        </w:tc>
        <w:tc>
          <w:tcPr>
            <w:tcW w:w="1682" w:type="dxa"/>
            <w:vAlign w:val="center"/>
          </w:tcPr>
          <w:p w14:paraId="1F4EC3F6">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其他说明</w:t>
            </w:r>
          </w:p>
        </w:tc>
        <w:tc>
          <w:tcPr>
            <w:tcW w:w="7334" w:type="dxa"/>
            <w:vAlign w:val="center"/>
          </w:tcPr>
          <w:p w14:paraId="5A32C1D0">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采购人或者采购代理机构在资格审查结束前，对供应商进行信用查询。 </w:t>
            </w:r>
          </w:p>
          <w:p w14:paraId="55FE5589">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查询渠道：“信用中国”网站(www.creditchina.gov.cn) 、中国政府采购网(www.ccgp.gov.cn)。 </w:t>
            </w:r>
          </w:p>
          <w:p w14:paraId="032227F6">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信用查询截止时间点：资格审查结束前 </w:t>
            </w:r>
          </w:p>
          <w:p w14:paraId="4BE2F910">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查询记录和证据留存方式：在查询网站中直接打印查询记录，打印材料作为评审资料保存。 </w:t>
            </w:r>
          </w:p>
          <w:p w14:paraId="289AC275">
            <w:pPr>
              <w:autoSpaceDE w:val="0"/>
              <w:autoSpaceDN w:val="0"/>
              <w:adjustRightInd w:val="0"/>
              <w:spacing w:line="420" w:lineRule="exact"/>
              <w:ind w:left="105" w:leftChars="50" w:right="-84" w:firstLine="315" w:firstLineChars="150"/>
              <w:jc w:val="left"/>
              <w:rPr>
                <w:rFonts w:ascii="宋体" w:hAnsi="宋体"/>
                <w:color w:val="auto"/>
                <w:szCs w:val="21"/>
              </w:rPr>
            </w:pPr>
            <w:r>
              <w:rPr>
                <w:rFonts w:hint="eastAsia" w:ascii="宋体" w:hAnsi="宋体"/>
                <w:snapToGrid w:val="0"/>
                <w:color w:val="auto"/>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tc>
      </w:tr>
      <w:tr w14:paraId="2C79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6B70603C">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25</w:t>
            </w:r>
          </w:p>
        </w:tc>
        <w:tc>
          <w:tcPr>
            <w:tcW w:w="1682" w:type="dxa"/>
            <w:vAlign w:val="center"/>
          </w:tcPr>
          <w:p w14:paraId="6564B51D">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采购代理</w:t>
            </w:r>
          </w:p>
          <w:p w14:paraId="597F65C5">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服务费支付</w:t>
            </w:r>
          </w:p>
        </w:tc>
        <w:tc>
          <w:tcPr>
            <w:tcW w:w="7334" w:type="dxa"/>
            <w:vAlign w:val="center"/>
          </w:tcPr>
          <w:p w14:paraId="68103C1F">
            <w:pPr>
              <w:spacing w:line="420" w:lineRule="exact"/>
              <w:ind w:firstLine="420" w:firstLineChars="200"/>
              <w:rPr>
                <w:rFonts w:ascii="宋体" w:hAnsi="宋体"/>
                <w:bCs/>
                <w:color w:val="auto"/>
                <w:szCs w:val="21"/>
              </w:rPr>
            </w:pPr>
            <w:r>
              <w:rPr>
                <w:rFonts w:hint="eastAsia" w:ascii="宋体" w:hAnsi="宋体"/>
                <w:bCs/>
                <w:color w:val="auto"/>
                <w:szCs w:val="21"/>
              </w:rPr>
              <w:t>1. 是否收取采购代理费：</w:t>
            </w:r>
          </w:p>
          <w:p w14:paraId="5EDE8805">
            <w:pPr>
              <w:spacing w:line="420" w:lineRule="exact"/>
              <w:ind w:firstLine="420" w:firstLineChars="200"/>
              <w:rPr>
                <w:rFonts w:ascii="宋体" w:hAnsi="宋体"/>
                <w:bCs/>
                <w:color w:val="auto"/>
                <w:szCs w:val="21"/>
              </w:rPr>
            </w:pPr>
            <w:r>
              <w:rPr>
                <w:rFonts w:hint="eastAsia" w:ascii="宋体" w:hAnsi="宋体"/>
                <w:bCs/>
                <w:color w:val="auto"/>
                <w:szCs w:val="21"/>
              </w:rPr>
              <w:sym w:font="Wingdings" w:char="00FE"/>
            </w:r>
            <w:r>
              <w:rPr>
                <w:rFonts w:hint="eastAsia" w:ascii="宋体" w:hAnsi="宋体"/>
                <w:bCs/>
                <w:color w:val="auto"/>
                <w:szCs w:val="21"/>
              </w:rPr>
              <w:t>是    □ 否</w:t>
            </w:r>
          </w:p>
          <w:p w14:paraId="7AEE4F79">
            <w:pPr>
              <w:spacing w:line="420" w:lineRule="exact"/>
              <w:ind w:firstLine="420" w:firstLineChars="200"/>
              <w:rPr>
                <w:rFonts w:ascii="宋体" w:hAnsi="宋体"/>
                <w:bCs/>
                <w:color w:val="auto"/>
                <w:szCs w:val="21"/>
              </w:rPr>
            </w:pPr>
            <w:r>
              <w:rPr>
                <w:rFonts w:hint="eastAsia" w:ascii="宋体" w:hAnsi="宋体"/>
                <w:bCs/>
                <w:color w:val="auto"/>
                <w:szCs w:val="21"/>
              </w:rPr>
              <w:t>2.采购代理费支付方式：</w:t>
            </w:r>
          </w:p>
          <w:p w14:paraId="7EC69B1D">
            <w:pPr>
              <w:spacing w:line="420" w:lineRule="exact"/>
              <w:ind w:firstLine="420" w:firstLineChars="200"/>
              <w:rPr>
                <w:rFonts w:ascii="宋体" w:hAnsi="宋体"/>
                <w:bCs/>
                <w:color w:val="auto"/>
                <w:szCs w:val="21"/>
              </w:rPr>
            </w:pPr>
            <w:r>
              <w:rPr>
                <w:rFonts w:hint="eastAsia" w:ascii="宋体" w:hAnsi="宋体"/>
                <w:bCs/>
                <w:color w:val="auto"/>
                <w:szCs w:val="21"/>
              </w:rPr>
              <w:sym w:font="Wingdings" w:char="00FE"/>
            </w:r>
            <w:r>
              <w:rPr>
                <w:rFonts w:hint="eastAsia" w:ascii="宋体" w:hAnsi="宋体"/>
                <w:bCs/>
                <w:color w:val="auto"/>
                <w:szCs w:val="21"/>
              </w:rPr>
              <w:t>本项目代理服务费由成交供应商领取成交通知书前，一次性向采购代理机构支付。</w:t>
            </w:r>
          </w:p>
          <w:p w14:paraId="6D756515">
            <w:pPr>
              <w:spacing w:line="420" w:lineRule="exact"/>
              <w:ind w:firstLine="420" w:firstLineChars="200"/>
              <w:rPr>
                <w:rFonts w:ascii="宋体" w:hAnsi="宋体"/>
                <w:bCs/>
                <w:color w:val="auto"/>
                <w:szCs w:val="21"/>
              </w:rPr>
            </w:pPr>
            <w:r>
              <w:rPr>
                <w:rFonts w:hint="eastAsia" w:ascii="宋体" w:hAnsi="宋体"/>
                <w:bCs/>
                <w:color w:val="auto"/>
                <w:szCs w:val="21"/>
              </w:rPr>
              <w:t>□采购人支付。</w:t>
            </w:r>
          </w:p>
          <w:p w14:paraId="4A55B714">
            <w:pPr>
              <w:spacing w:line="420" w:lineRule="exact"/>
              <w:ind w:firstLine="420" w:firstLineChars="200"/>
              <w:rPr>
                <w:rFonts w:ascii="宋体" w:hAnsi="宋体"/>
                <w:bCs/>
                <w:color w:val="auto"/>
                <w:szCs w:val="21"/>
              </w:rPr>
            </w:pPr>
            <w:r>
              <w:rPr>
                <w:rFonts w:hint="eastAsia" w:ascii="宋体" w:hAnsi="宋体"/>
                <w:bCs/>
                <w:color w:val="auto"/>
                <w:szCs w:val="21"/>
              </w:rPr>
              <w:t>3.采购代理费收取标准：根据有关收费规定并经双方商定，代理服务费参照桂价费〔2011〕55号文件收取，由成交人在领取成交通知书当日一次性向采购代理机构支付。</w:t>
            </w:r>
          </w:p>
          <w:p w14:paraId="6EF1A935">
            <w:pPr>
              <w:spacing w:line="420" w:lineRule="exact"/>
              <w:ind w:firstLine="420" w:firstLineChars="200"/>
              <w:rPr>
                <w:rFonts w:ascii="宋体" w:hAnsi="宋体"/>
                <w:bCs/>
                <w:color w:val="auto"/>
                <w:szCs w:val="21"/>
              </w:rPr>
            </w:pPr>
            <w:r>
              <w:rPr>
                <w:rFonts w:hint="eastAsia" w:ascii="宋体" w:hAnsi="宋体"/>
                <w:bCs/>
                <w:color w:val="auto"/>
                <w:szCs w:val="21"/>
              </w:rPr>
              <w:t>4. 采购代理费收取银行账户</w:t>
            </w:r>
          </w:p>
          <w:p w14:paraId="7495C09F">
            <w:pPr>
              <w:spacing w:line="420" w:lineRule="exact"/>
              <w:ind w:firstLine="420" w:firstLineChars="200"/>
              <w:rPr>
                <w:rFonts w:ascii="宋体" w:hAnsi="宋体"/>
                <w:bCs/>
                <w:color w:val="auto"/>
                <w:szCs w:val="21"/>
              </w:rPr>
            </w:pPr>
            <w:r>
              <w:rPr>
                <w:rFonts w:hint="eastAsia" w:ascii="宋体" w:hAnsi="宋体"/>
                <w:bCs/>
                <w:color w:val="auto"/>
                <w:szCs w:val="21"/>
              </w:rPr>
              <w:t>账户名称：中昕国际项目管理有限公司广西分公司</w:t>
            </w:r>
          </w:p>
          <w:p w14:paraId="16E815D8">
            <w:pPr>
              <w:spacing w:line="420" w:lineRule="exact"/>
              <w:ind w:firstLine="420" w:firstLineChars="200"/>
              <w:rPr>
                <w:rFonts w:ascii="宋体" w:hAnsi="宋体"/>
                <w:bCs/>
                <w:color w:val="auto"/>
                <w:szCs w:val="21"/>
              </w:rPr>
            </w:pPr>
            <w:r>
              <w:rPr>
                <w:rFonts w:hint="eastAsia" w:ascii="宋体" w:hAnsi="宋体"/>
                <w:bCs/>
                <w:color w:val="auto"/>
                <w:szCs w:val="21"/>
              </w:rPr>
              <w:t>开户银行：玉林市区农村信用合作联社环南分社</w:t>
            </w:r>
          </w:p>
          <w:p w14:paraId="01BE56EE">
            <w:pPr>
              <w:spacing w:line="420" w:lineRule="exact"/>
              <w:ind w:firstLine="420" w:firstLineChars="200"/>
              <w:rPr>
                <w:rFonts w:ascii="宋体" w:hAnsi="宋体"/>
                <w:b/>
                <w:color w:val="auto"/>
                <w:szCs w:val="21"/>
              </w:rPr>
            </w:pPr>
            <w:r>
              <w:rPr>
                <w:rFonts w:hint="eastAsia" w:ascii="宋体" w:hAnsi="宋体"/>
                <w:bCs/>
                <w:color w:val="auto"/>
                <w:szCs w:val="21"/>
              </w:rPr>
              <w:t>银行账号：521512010103751085</w:t>
            </w:r>
          </w:p>
        </w:tc>
      </w:tr>
      <w:tr w14:paraId="24D6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6A42C9BE">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26</w:t>
            </w:r>
          </w:p>
        </w:tc>
        <w:tc>
          <w:tcPr>
            <w:tcW w:w="1682" w:type="dxa"/>
            <w:vAlign w:val="center"/>
          </w:tcPr>
          <w:p w14:paraId="0B8AE55A">
            <w:pPr>
              <w:autoSpaceDE w:val="0"/>
              <w:autoSpaceDN w:val="0"/>
              <w:adjustRightInd w:val="0"/>
              <w:spacing w:line="440" w:lineRule="exact"/>
              <w:jc w:val="center"/>
              <w:rPr>
                <w:rFonts w:ascii="宋体" w:hAnsi="宋体" w:cs="Courier New"/>
                <w:color w:val="auto"/>
                <w:spacing w:val="2"/>
                <w:szCs w:val="21"/>
              </w:rPr>
            </w:pPr>
            <w:r>
              <w:rPr>
                <w:rFonts w:hint="eastAsia" w:ascii="宋体" w:hAnsi="宋体" w:cs="Courier New"/>
                <w:color w:val="auto"/>
                <w:spacing w:val="2"/>
                <w:szCs w:val="21"/>
              </w:rPr>
              <w:t>政府采购信息发布媒体</w:t>
            </w:r>
          </w:p>
        </w:tc>
        <w:tc>
          <w:tcPr>
            <w:tcW w:w="7334" w:type="dxa"/>
            <w:vAlign w:val="center"/>
          </w:tcPr>
          <w:p w14:paraId="71920C22">
            <w:pPr>
              <w:spacing w:line="420" w:lineRule="exact"/>
              <w:rPr>
                <w:rFonts w:ascii="宋体" w:hAnsi="宋体"/>
                <w:color w:val="auto"/>
                <w:szCs w:val="21"/>
              </w:rPr>
            </w:pPr>
            <w:r>
              <w:rPr>
                <w:rFonts w:hint="eastAsia" w:ascii="宋体" w:hAnsi="宋体"/>
                <w:color w:val="auto"/>
                <w:szCs w:val="21"/>
              </w:rPr>
              <w:t>中国政府采购网、广西壮族自治区政府采购网、广西玉林玉州区人民政府门户网</w:t>
            </w:r>
          </w:p>
        </w:tc>
      </w:tr>
      <w:tr w14:paraId="5ADD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5F22305D">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28</w:t>
            </w:r>
          </w:p>
        </w:tc>
        <w:tc>
          <w:tcPr>
            <w:tcW w:w="1682" w:type="dxa"/>
            <w:vAlign w:val="center"/>
          </w:tcPr>
          <w:p w14:paraId="5E2B340E">
            <w:pPr>
              <w:autoSpaceDE w:val="0"/>
              <w:autoSpaceDN w:val="0"/>
              <w:adjustRightInd w:val="0"/>
              <w:spacing w:line="440" w:lineRule="exact"/>
              <w:jc w:val="center"/>
              <w:rPr>
                <w:rFonts w:ascii="宋体" w:hAnsi="宋体" w:cs="Courier New"/>
                <w:color w:val="auto"/>
                <w:spacing w:val="2"/>
                <w:szCs w:val="21"/>
              </w:rPr>
            </w:pPr>
            <w:r>
              <w:rPr>
                <w:rFonts w:hint="eastAsia" w:ascii="宋体" w:hAnsi="宋体"/>
                <w:snapToGrid w:val="0"/>
                <w:color w:val="auto"/>
                <w:szCs w:val="21"/>
              </w:rPr>
              <w:t>解释</w:t>
            </w:r>
          </w:p>
        </w:tc>
        <w:tc>
          <w:tcPr>
            <w:tcW w:w="7334" w:type="dxa"/>
            <w:vAlign w:val="center"/>
          </w:tcPr>
          <w:p w14:paraId="21D2E7C3">
            <w:pPr>
              <w:widowControl/>
              <w:spacing w:line="440" w:lineRule="exact"/>
              <w:jc w:val="left"/>
              <w:rPr>
                <w:rFonts w:ascii="宋体" w:hAnsi="宋体"/>
                <w:snapToGrid w:val="0"/>
                <w:color w:val="auto"/>
                <w:szCs w:val="21"/>
              </w:rPr>
            </w:pPr>
            <w:r>
              <w:rPr>
                <w:rFonts w:hint="eastAsia" w:ascii="宋体" w:hAnsi="宋体"/>
                <w:snapToGrid w:val="0"/>
                <w:color w:val="auto"/>
                <w:szCs w:val="21"/>
              </w:rPr>
              <w:t>构成本磋商文件的各个组成文件应互为解释，互为说明；除磋商文件中有特别规定外，仅适用于招标投标阶段的规定，按更正公告（澄清公告）、磋商文件目录编排内容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D10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7BFE6C40">
            <w:pPr>
              <w:spacing w:line="440" w:lineRule="exact"/>
              <w:jc w:val="center"/>
              <w:rPr>
                <w:rFonts w:ascii="宋体" w:hAnsi="宋体" w:cs="Courier New"/>
                <w:color w:val="auto"/>
                <w:spacing w:val="2"/>
                <w:szCs w:val="21"/>
              </w:rPr>
            </w:pPr>
            <w:r>
              <w:rPr>
                <w:rFonts w:hint="eastAsia" w:ascii="宋体" w:hAnsi="宋体" w:cs="Courier New"/>
                <w:color w:val="auto"/>
                <w:spacing w:val="2"/>
                <w:szCs w:val="21"/>
              </w:rPr>
              <w:t>29</w:t>
            </w:r>
          </w:p>
        </w:tc>
        <w:tc>
          <w:tcPr>
            <w:tcW w:w="1682" w:type="dxa"/>
            <w:vAlign w:val="center"/>
          </w:tcPr>
          <w:p w14:paraId="548662B2">
            <w:pPr>
              <w:autoSpaceDE w:val="0"/>
              <w:autoSpaceDN w:val="0"/>
              <w:adjustRightInd w:val="0"/>
              <w:spacing w:line="440" w:lineRule="exact"/>
              <w:jc w:val="center"/>
              <w:rPr>
                <w:rFonts w:ascii="宋体" w:hAnsi="宋体" w:cs="Courier New"/>
                <w:color w:val="auto"/>
                <w:spacing w:val="2"/>
                <w:szCs w:val="21"/>
              </w:rPr>
            </w:pPr>
            <w:r>
              <w:rPr>
                <w:rFonts w:hint="eastAsia" w:ascii="宋体" w:hAnsi="宋体"/>
                <w:snapToGrid w:val="0"/>
                <w:color w:val="auto"/>
                <w:szCs w:val="21"/>
              </w:rPr>
              <w:t>其它事项说明</w:t>
            </w:r>
          </w:p>
        </w:tc>
        <w:tc>
          <w:tcPr>
            <w:tcW w:w="7334" w:type="dxa"/>
            <w:vAlign w:val="center"/>
          </w:tcPr>
          <w:p w14:paraId="55806FFD">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1.本磋商文件中描述供应商的“公章”是指根据我国对公章的管理规定，用供应商法定主体行为名称制作的印章，除本磋商文件有特殊规定外，供应商的财务章、部门章、分公司章、工会章、合同章、投标专用章、业务专用章及银行的转账章、现金收讫章、现金付讫章等其他形式印章均不能代替公章。 </w:t>
            </w:r>
          </w:p>
          <w:p w14:paraId="1B91EEAA">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2.供应商为其他组织或者自然人时，本磋商文件规定的法定代表人指负责人或者自然人。本磋商文件所称负责人是指参加磋商的其他组织营业执照上的负责人，本磋商文件所称自然人指参与磋商的自然人本人。 </w:t>
            </w:r>
          </w:p>
          <w:p w14:paraId="42D8C205">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3.本磋商文件中描述供应商的“签字”是指供应商的法定代表人或者委托代理人亲自在文件规定签字处亲笔写上个人的名字的行为，私章、签字章、印鉴、影印等其他形式均不能代替亲笔签字。 </w:t>
            </w:r>
          </w:p>
          <w:p w14:paraId="55D58897">
            <w:pPr>
              <w:widowControl/>
              <w:spacing w:line="440" w:lineRule="exact"/>
              <w:jc w:val="left"/>
              <w:rPr>
                <w:rFonts w:ascii="宋体" w:hAnsi="宋体"/>
                <w:snapToGrid w:val="0"/>
                <w:color w:val="auto"/>
                <w:szCs w:val="21"/>
              </w:rPr>
            </w:pPr>
            <w:r>
              <w:rPr>
                <w:rFonts w:hint="eastAsia" w:ascii="宋体" w:hAnsi="宋体"/>
                <w:snapToGrid w:val="0"/>
                <w:color w:val="auto"/>
                <w:szCs w:val="21"/>
              </w:rPr>
              <w:t>4.电子响应文件中须加盖供应商公章部分均采用 CA 签章，并根据政采云平台《政府采购项目电子交易管理操作指南-供应商》及本磋商文件规定的格式和顺序编制电子响应文件并进行关联定位，以便评标委员会在评审时，点击评分项可直接定位到该评分项内容。如对磋商文件的某项要求，供应商的电子响应文件未能关联定位提供相应的内容与其对应，则评标委员会在评审时如做出对供应商不利的评审由供应商自行承担。电子响应文件如内容不完整、编排混乱导致响应文件被误读、 漏读，或者在按磋商文件规定的部位查找不到相关内容的，由供应商自行承担。</w:t>
            </w:r>
          </w:p>
          <w:p w14:paraId="7B8D49E5">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5.CA 签章上目前没有法人（负责人）或授权代表签字信息，供应商在响应文件中涉及到签字的位置线下签字后扫描上传即可。响应文件中涉及到签字的位置未按要求签字的，提供的材料视为无效。 </w:t>
            </w:r>
          </w:p>
          <w:p w14:paraId="4BAE2153">
            <w:pPr>
              <w:widowControl/>
              <w:spacing w:line="440" w:lineRule="exact"/>
              <w:jc w:val="left"/>
              <w:rPr>
                <w:rFonts w:ascii="宋体" w:hAnsi="宋体"/>
                <w:snapToGrid w:val="0"/>
                <w:color w:val="auto"/>
                <w:szCs w:val="21"/>
              </w:rPr>
            </w:pPr>
            <w:r>
              <w:rPr>
                <w:rFonts w:hint="eastAsia" w:ascii="宋体" w:hAnsi="宋体"/>
                <w:snapToGrid w:val="0"/>
                <w:color w:val="auto"/>
                <w:szCs w:val="21"/>
              </w:rPr>
              <w:t xml:space="preserve">6.自然人参加磋商的，磋商文件规定盖公章处由自然人摁手指指印。 </w:t>
            </w:r>
          </w:p>
          <w:p w14:paraId="0345F734">
            <w:pPr>
              <w:spacing w:line="420" w:lineRule="exact"/>
              <w:rPr>
                <w:rFonts w:ascii="宋体" w:hAnsi="宋体" w:cs="宋体"/>
                <w:color w:val="auto"/>
                <w:kern w:val="0"/>
                <w:szCs w:val="21"/>
              </w:rPr>
            </w:pPr>
            <w:r>
              <w:rPr>
                <w:rFonts w:hint="eastAsia" w:ascii="宋体" w:hAnsi="宋体"/>
                <w:snapToGrid w:val="0"/>
                <w:color w:val="auto"/>
                <w:szCs w:val="21"/>
              </w:rPr>
              <w:t>7.本磋商文件所称的“以上”“以下”“以内”“届满”，包括本数；所称的“不满”“超过”“以外”，不包括本数。</w:t>
            </w:r>
          </w:p>
        </w:tc>
      </w:tr>
    </w:tbl>
    <w:p w14:paraId="7DE3ABF8">
      <w:pPr>
        <w:jc w:val="center"/>
        <w:rPr>
          <w:rFonts w:ascii="宋体" w:hAnsi="宋体"/>
          <w:b/>
          <w:color w:val="auto"/>
          <w:sz w:val="36"/>
        </w:rPr>
      </w:pPr>
      <w:r>
        <w:rPr>
          <w:rFonts w:ascii="宋体" w:hAnsi="宋体"/>
          <w:b/>
          <w:color w:val="auto"/>
          <w:sz w:val="36"/>
        </w:rPr>
        <w:br w:type="page"/>
      </w:r>
      <w:r>
        <w:rPr>
          <w:rFonts w:hint="eastAsia" w:ascii="宋体" w:hAnsi="宋体"/>
          <w:b/>
          <w:color w:val="auto"/>
          <w:sz w:val="36"/>
        </w:rPr>
        <w:t>供应商须知</w:t>
      </w:r>
    </w:p>
    <w:p w14:paraId="584BDCD3">
      <w:pPr>
        <w:pStyle w:val="4"/>
        <w:spacing w:before="0" w:after="0" w:line="460" w:lineRule="exact"/>
        <w:rPr>
          <w:rFonts w:ascii="宋体" w:hAnsi="宋体" w:eastAsia="宋体"/>
          <w:color w:val="auto"/>
          <w:sz w:val="21"/>
          <w:szCs w:val="21"/>
        </w:rPr>
      </w:pPr>
      <w:bookmarkStart w:id="10" w:name="_Toc18682803"/>
      <w:bookmarkStart w:id="11" w:name="_Toc80818615"/>
      <w:bookmarkStart w:id="12" w:name="_Toc2886"/>
      <w:r>
        <w:rPr>
          <w:rFonts w:ascii="宋体" w:hAnsi="宋体" w:eastAsia="宋体"/>
          <w:color w:val="auto"/>
          <w:sz w:val="21"/>
          <w:szCs w:val="21"/>
        </w:rPr>
        <w:t>l.项目说明</w:t>
      </w:r>
      <w:bookmarkEnd w:id="10"/>
      <w:bookmarkEnd w:id="11"/>
      <w:bookmarkEnd w:id="12"/>
    </w:p>
    <w:p w14:paraId="40C233B9">
      <w:pPr>
        <w:spacing w:line="460" w:lineRule="exact"/>
        <w:ind w:firstLine="420" w:firstLineChars="200"/>
        <w:rPr>
          <w:rFonts w:ascii="宋体" w:hAnsi="宋体"/>
          <w:color w:val="auto"/>
          <w:szCs w:val="21"/>
          <w:u w:val="single"/>
        </w:rPr>
      </w:pPr>
      <w:r>
        <w:rPr>
          <w:rFonts w:ascii="宋体" w:hAnsi="宋体"/>
          <w:color w:val="auto"/>
          <w:szCs w:val="21"/>
        </w:rPr>
        <w:t>1.1</w:t>
      </w:r>
      <w:r>
        <w:rPr>
          <w:rFonts w:hint="eastAsia" w:ascii="宋体" w:hAnsi="宋体"/>
          <w:color w:val="auto"/>
          <w:szCs w:val="21"/>
        </w:rPr>
        <w:t xml:space="preserve"> </w:t>
      </w:r>
      <w:r>
        <w:rPr>
          <w:rFonts w:ascii="宋体" w:hAnsi="宋体"/>
          <w:color w:val="auto"/>
          <w:szCs w:val="21"/>
        </w:rPr>
        <w:t>工程综合说明</w:t>
      </w:r>
      <w:r>
        <w:rPr>
          <w:rFonts w:hint="eastAsia" w:ascii="宋体" w:hAnsi="宋体"/>
          <w:color w:val="auto"/>
          <w:szCs w:val="21"/>
        </w:rPr>
        <w:t>见磋商</w:t>
      </w:r>
      <w:r>
        <w:rPr>
          <w:rFonts w:ascii="宋体" w:hAnsi="宋体"/>
          <w:color w:val="auto"/>
          <w:szCs w:val="21"/>
        </w:rPr>
        <w:t>须知“</w:t>
      </w:r>
      <w:r>
        <w:rPr>
          <w:rFonts w:hint="eastAsia" w:ascii="宋体" w:hAnsi="宋体"/>
          <w:bCs/>
          <w:color w:val="auto"/>
          <w:szCs w:val="21"/>
        </w:rPr>
        <w:t>供应商须知前附表</w:t>
      </w:r>
      <w:r>
        <w:rPr>
          <w:rFonts w:ascii="宋体" w:hAnsi="宋体"/>
          <w:color w:val="auto"/>
          <w:szCs w:val="21"/>
        </w:rPr>
        <w:t>”</w:t>
      </w:r>
      <w:r>
        <w:rPr>
          <w:rFonts w:hint="eastAsia" w:ascii="宋体" w:hAnsi="宋体"/>
          <w:color w:val="auto"/>
          <w:szCs w:val="21"/>
        </w:rPr>
        <w:t>。</w:t>
      </w:r>
    </w:p>
    <w:p w14:paraId="4126E3C7">
      <w:pPr>
        <w:spacing w:line="460" w:lineRule="exact"/>
        <w:ind w:firstLine="435"/>
        <w:rPr>
          <w:rFonts w:ascii="宋体" w:hAnsi="宋体"/>
          <w:color w:val="auto"/>
          <w:szCs w:val="21"/>
        </w:rPr>
      </w:pPr>
      <w:r>
        <w:rPr>
          <w:rFonts w:ascii="宋体" w:hAnsi="宋体"/>
          <w:color w:val="auto"/>
          <w:szCs w:val="21"/>
        </w:rPr>
        <w:t>1.2 上述</w:t>
      </w:r>
      <w:r>
        <w:rPr>
          <w:rFonts w:hint="eastAsia" w:ascii="宋体" w:hAnsi="宋体"/>
          <w:color w:val="auto"/>
          <w:szCs w:val="21"/>
        </w:rPr>
        <w:t>工程</w:t>
      </w:r>
      <w:r>
        <w:rPr>
          <w:rFonts w:ascii="宋体" w:hAnsi="宋体"/>
          <w:color w:val="auto"/>
          <w:szCs w:val="21"/>
        </w:rPr>
        <w:t>按照</w:t>
      </w:r>
      <w:r>
        <w:rPr>
          <w:rFonts w:hint="eastAsia" w:ascii="宋体" w:hAnsi="宋体" w:cs="宋体"/>
          <w:color w:val="auto"/>
          <w:szCs w:val="21"/>
        </w:rPr>
        <w:t>《中华人民共和国政府采购法》、</w:t>
      </w:r>
      <w:r>
        <w:rPr>
          <w:rFonts w:hint="eastAsia" w:ascii="宋体" w:hAnsi="宋体" w:cs="Arial"/>
          <w:color w:val="auto"/>
          <w:szCs w:val="21"/>
        </w:rPr>
        <w:t>《中华人民共和国政府采购法实施条例》、</w:t>
      </w:r>
      <w:r>
        <w:rPr>
          <w:rFonts w:hint="eastAsia" w:ascii="宋体" w:hAnsi="宋体"/>
          <w:color w:val="auto"/>
          <w:szCs w:val="21"/>
        </w:rPr>
        <w:t>《政府采购竞争性磋商采购方式管理暂行办法》</w:t>
      </w:r>
      <w:r>
        <w:rPr>
          <w:rFonts w:hint="eastAsia" w:ascii="宋体" w:hAnsi="宋体" w:cs="Arial"/>
          <w:color w:val="auto"/>
          <w:szCs w:val="21"/>
        </w:rPr>
        <w:t>及</w:t>
      </w:r>
      <w:r>
        <w:rPr>
          <w:rFonts w:ascii="宋体" w:hAnsi="宋体"/>
          <w:color w:val="auto"/>
          <w:szCs w:val="21"/>
        </w:rPr>
        <w:t>有关法律、法规和规章，现通过</w:t>
      </w:r>
      <w:r>
        <w:rPr>
          <w:rFonts w:hint="eastAsia" w:ascii="宋体" w:hAnsi="宋体"/>
          <w:color w:val="auto"/>
          <w:szCs w:val="21"/>
        </w:rPr>
        <w:t>磋商</w:t>
      </w:r>
      <w:r>
        <w:rPr>
          <w:rFonts w:ascii="宋体" w:hAnsi="宋体"/>
          <w:color w:val="auto"/>
          <w:szCs w:val="21"/>
        </w:rPr>
        <w:t>来择优选定施工单位。</w:t>
      </w:r>
    </w:p>
    <w:p w14:paraId="2165A70A">
      <w:pPr>
        <w:spacing w:line="460" w:lineRule="exact"/>
        <w:ind w:firstLine="420" w:firstLineChars="200"/>
        <w:rPr>
          <w:rFonts w:ascii="宋体" w:hAnsi="宋体"/>
          <w:color w:val="auto"/>
          <w:szCs w:val="21"/>
        </w:rPr>
      </w:pPr>
      <w:r>
        <w:rPr>
          <w:rFonts w:hint="eastAsia" w:ascii="宋体" w:hAnsi="宋体"/>
          <w:color w:val="auto"/>
          <w:szCs w:val="21"/>
        </w:rPr>
        <w:t>1.3 供应商资格要求：符合磋商须知前附表规定。</w:t>
      </w:r>
    </w:p>
    <w:p w14:paraId="0847256D">
      <w:pPr>
        <w:spacing w:line="460" w:lineRule="exact"/>
        <w:ind w:firstLine="428" w:firstLineChars="200"/>
        <w:rPr>
          <w:rFonts w:ascii="宋体" w:hAnsi="宋体" w:cs="Courier New"/>
          <w:color w:val="auto"/>
          <w:spacing w:val="2"/>
          <w:szCs w:val="21"/>
        </w:rPr>
      </w:pPr>
      <w:r>
        <w:rPr>
          <w:rFonts w:hint="eastAsia" w:ascii="宋体" w:hAnsi="宋体" w:cs="Courier New"/>
          <w:color w:val="auto"/>
          <w:spacing w:val="2"/>
          <w:szCs w:val="21"/>
        </w:rPr>
        <w:t>1.4 本项目不接受联合体进行磋商。</w:t>
      </w:r>
    </w:p>
    <w:p w14:paraId="3E11C48B">
      <w:pPr>
        <w:pStyle w:val="4"/>
        <w:spacing w:before="0" w:after="0" w:line="460" w:lineRule="exact"/>
        <w:rPr>
          <w:rFonts w:ascii="宋体" w:hAnsi="宋体" w:eastAsia="宋体"/>
          <w:color w:val="auto"/>
          <w:sz w:val="21"/>
          <w:szCs w:val="21"/>
        </w:rPr>
      </w:pPr>
      <w:bookmarkStart w:id="13" w:name="_Toc346264267"/>
      <w:bookmarkStart w:id="14" w:name="_Toc18682804"/>
      <w:bookmarkStart w:id="15" w:name="_Toc17487"/>
      <w:bookmarkStart w:id="16" w:name="_Toc80818616"/>
      <w:r>
        <w:rPr>
          <w:rFonts w:ascii="宋体" w:hAnsi="宋体" w:eastAsia="宋体"/>
          <w:color w:val="auto"/>
          <w:sz w:val="21"/>
          <w:szCs w:val="21"/>
        </w:rPr>
        <w:t>2.资金情况</w:t>
      </w:r>
      <w:bookmarkEnd w:id="13"/>
      <w:bookmarkEnd w:id="14"/>
      <w:bookmarkEnd w:id="15"/>
      <w:bookmarkEnd w:id="16"/>
    </w:p>
    <w:p w14:paraId="5E71069F">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2.1资金来源：财政资金</w:t>
      </w:r>
    </w:p>
    <w:p w14:paraId="6E5B1D7C">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2.2资金到位及落实情况：已落实。</w:t>
      </w:r>
    </w:p>
    <w:p w14:paraId="0D3BC04B">
      <w:pPr>
        <w:pStyle w:val="4"/>
        <w:spacing w:before="0" w:after="0" w:line="460" w:lineRule="exact"/>
        <w:rPr>
          <w:rFonts w:ascii="宋体" w:hAnsi="宋体" w:eastAsia="宋体"/>
          <w:bCs w:val="0"/>
          <w:color w:val="auto"/>
          <w:sz w:val="21"/>
          <w:szCs w:val="21"/>
        </w:rPr>
      </w:pPr>
      <w:bookmarkStart w:id="17" w:name="_Toc1997"/>
      <w:bookmarkStart w:id="18" w:name="_Toc346264268"/>
      <w:bookmarkStart w:id="19" w:name="_Toc80818617"/>
      <w:bookmarkStart w:id="20" w:name="_Toc18682805"/>
      <w:r>
        <w:rPr>
          <w:rFonts w:ascii="宋体" w:hAnsi="宋体" w:eastAsia="宋体"/>
          <w:bCs w:val="0"/>
          <w:color w:val="auto"/>
          <w:sz w:val="21"/>
          <w:szCs w:val="21"/>
        </w:rPr>
        <w:t>3.磋商费用</w:t>
      </w:r>
      <w:bookmarkEnd w:id="17"/>
      <w:bookmarkEnd w:id="18"/>
      <w:bookmarkEnd w:id="19"/>
      <w:bookmarkEnd w:id="20"/>
    </w:p>
    <w:p w14:paraId="5CF99430">
      <w:pPr>
        <w:pStyle w:val="19"/>
        <w:spacing w:line="460" w:lineRule="exact"/>
        <w:ind w:firstLine="409" w:firstLineChars="195"/>
        <w:rPr>
          <w:rFonts w:hAnsi="宋体"/>
          <w:color w:val="auto"/>
          <w:spacing w:val="0"/>
          <w:sz w:val="21"/>
          <w:szCs w:val="21"/>
        </w:rPr>
      </w:pPr>
      <w:r>
        <w:rPr>
          <w:rFonts w:hint="eastAsia" w:hAnsi="宋体"/>
          <w:color w:val="auto"/>
          <w:spacing w:val="0"/>
          <w:sz w:val="21"/>
          <w:szCs w:val="21"/>
        </w:rPr>
        <w:t>供应商准备和参加磋商活动所发生的一切费用自理，不管磋商结果如何，采购人及采购代理机构对上述费用不负任何责任。</w:t>
      </w:r>
    </w:p>
    <w:p w14:paraId="7DA67C81">
      <w:pPr>
        <w:pStyle w:val="4"/>
        <w:spacing w:before="0" w:after="0" w:line="460" w:lineRule="exact"/>
        <w:rPr>
          <w:rFonts w:ascii="宋体" w:hAnsi="宋体" w:eastAsia="宋体"/>
          <w:bCs w:val="0"/>
          <w:color w:val="auto"/>
          <w:sz w:val="21"/>
          <w:szCs w:val="21"/>
        </w:rPr>
      </w:pPr>
      <w:bookmarkStart w:id="21" w:name="_Toc18682806"/>
      <w:bookmarkStart w:id="22" w:name="_Toc346264269"/>
      <w:bookmarkStart w:id="23" w:name="_Toc80818618"/>
      <w:bookmarkStart w:id="24" w:name="_Toc31604"/>
      <w:r>
        <w:rPr>
          <w:rFonts w:ascii="宋体" w:hAnsi="宋体" w:eastAsia="宋体"/>
          <w:bCs w:val="0"/>
          <w:color w:val="auto"/>
          <w:sz w:val="21"/>
          <w:szCs w:val="21"/>
        </w:rPr>
        <w:t>4.竞争性磋商文件</w:t>
      </w:r>
      <w:r>
        <w:rPr>
          <w:rFonts w:hint="eastAsia" w:ascii="宋体" w:hAnsi="宋体" w:eastAsia="宋体"/>
          <w:bCs w:val="0"/>
          <w:color w:val="auto"/>
          <w:sz w:val="21"/>
          <w:szCs w:val="21"/>
        </w:rPr>
        <w:t>（下文简称磋商文件）</w:t>
      </w:r>
      <w:r>
        <w:rPr>
          <w:rFonts w:ascii="宋体" w:hAnsi="宋体" w:eastAsia="宋体"/>
          <w:bCs w:val="0"/>
          <w:color w:val="auto"/>
          <w:sz w:val="21"/>
          <w:szCs w:val="21"/>
        </w:rPr>
        <w:t>的组成</w:t>
      </w:r>
      <w:bookmarkEnd w:id="21"/>
      <w:bookmarkEnd w:id="22"/>
      <w:bookmarkEnd w:id="23"/>
      <w:bookmarkEnd w:id="24"/>
    </w:p>
    <w:p w14:paraId="1D190D5B">
      <w:pPr>
        <w:spacing w:line="460" w:lineRule="exact"/>
        <w:ind w:firstLine="420" w:firstLineChars="200"/>
        <w:rPr>
          <w:rFonts w:ascii="宋体" w:hAnsi="宋体"/>
          <w:color w:val="auto"/>
          <w:szCs w:val="21"/>
        </w:rPr>
      </w:pPr>
      <w:r>
        <w:rPr>
          <w:rFonts w:hint="eastAsia" w:ascii="宋体" w:hAnsi="宋体"/>
          <w:color w:val="auto"/>
          <w:szCs w:val="21"/>
        </w:rPr>
        <w:t>4.1 磋商文件包括下列内容：</w:t>
      </w:r>
    </w:p>
    <w:p w14:paraId="45E0B26A">
      <w:pPr>
        <w:spacing w:line="460" w:lineRule="exact"/>
        <w:ind w:firstLine="420" w:firstLineChars="200"/>
        <w:rPr>
          <w:rFonts w:ascii="宋体" w:hAnsi="宋体"/>
          <w:color w:val="auto"/>
          <w:szCs w:val="21"/>
        </w:rPr>
      </w:pPr>
      <w:r>
        <w:rPr>
          <w:rFonts w:hint="eastAsia" w:ascii="宋体" w:hAnsi="宋体"/>
          <w:color w:val="auto"/>
          <w:szCs w:val="21"/>
        </w:rPr>
        <w:t>第一章 竞争性磋商公告</w:t>
      </w:r>
    </w:p>
    <w:p w14:paraId="0875FA50">
      <w:pPr>
        <w:spacing w:line="460" w:lineRule="exact"/>
        <w:ind w:firstLine="420" w:firstLineChars="200"/>
        <w:rPr>
          <w:rFonts w:ascii="宋体" w:hAnsi="宋体"/>
          <w:color w:val="auto"/>
          <w:szCs w:val="21"/>
        </w:rPr>
      </w:pPr>
      <w:r>
        <w:rPr>
          <w:rFonts w:hint="eastAsia" w:ascii="宋体" w:hAnsi="宋体"/>
          <w:color w:val="auto"/>
          <w:szCs w:val="21"/>
        </w:rPr>
        <w:t>第二章 供应商须知及前附表</w:t>
      </w:r>
    </w:p>
    <w:p w14:paraId="46ADC06C">
      <w:pPr>
        <w:spacing w:line="460" w:lineRule="exact"/>
        <w:ind w:firstLine="420" w:firstLineChars="200"/>
        <w:rPr>
          <w:rFonts w:ascii="宋体" w:hAnsi="宋体"/>
          <w:color w:val="auto"/>
          <w:szCs w:val="21"/>
        </w:rPr>
      </w:pPr>
      <w:r>
        <w:rPr>
          <w:rFonts w:hint="eastAsia" w:ascii="宋体" w:hAnsi="宋体"/>
          <w:color w:val="auto"/>
          <w:szCs w:val="21"/>
        </w:rPr>
        <w:t>第三章 合同格式</w:t>
      </w:r>
    </w:p>
    <w:p w14:paraId="002A7F54">
      <w:pPr>
        <w:spacing w:line="460" w:lineRule="exact"/>
        <w:ind w:firstLine="420" w:firstLineChars="200"/>
        <w:rPr>
          <w:rFonts w:ascii="宋体" w:hAnsi="宋体"/>
          <w:color w:val="auto"/>
          <w:szCs w:val="21"/>
        </w:rPr>
      </w:pPr>
      <w:r>
        <w:rPr>
          <w:rFonts w:hint="eastAsia" w:ascii="宋体" w:hAnsi="宋体"/>
          <w:color w:val="auto"/>
          <w:szCs w:val="21"/>
        </w:rPr>
        <w:t>第四章 图纸</w:t>
      </w:r>
    </w:p>
    <w:p w14:paraId="27DA0B0C">
      <w:pPr>
        <w:spacing w:line="460" w:lineRule="exact"/>
        <w:ind w:firstLine="420" w:firstLineChars="200"/>
        <w:rPr>
          <w:rFonts w:ascii="宋体" w:hAnsi="宋体"/>
          <w:color w:val="auto"/>
          <w:szCs w:val="21"/>
        </w:rPr>
      </w:pPr>
      <w:r>
        <w:rPr>
          <w:rFonts w:hint="eastAsia" w:ascii="宋体" w:hAnsi="宋体"/>
          <w:color w:val="auto"/>
          <w:szCs w:val="21"/>
        </w:rPr>
        <w:t>第五章 采购需求</w:t>
      </w:r>
    </w:p>
    <w:p w14:paraId="1BC5637B">
      <w:pPr>
        <w:spacing w:line="460" w:lineRule="exact"/>
        <w:ind w:firstLine="420" w:firstLineChars="200"/>
        <w:rPr>
          <w:rFonts w:ascii="宋体" w:hAnsi="宋体"/>
          <w:color w:val="auto"/>
          <w:szCs w:val="21"/>
        </w:rPr>
      </w:pPr>
      <w:r>
        <w:rPr>
          <w:rFonts w:hint="eastAsia" w:ascii="宋体" w:hAnsi="宋体"/>
          <w:color w:val="auto"/>
          <w:szCs w:val="21"/>
        </w:rPr>
        <w:t>第六章 工程量清单</w:t>
      </w:r>
    </w:p>
    <w:p w14:paraId="681627BA">
      <w:pPr>
        <w:spacing w:line="460" w:lineRule="exact"/>
        <w:ind w:firstLine="420" w:firstLineChars="200"/>
        <w:rPr>
          <w:rFonts w:ascii="宋体" w:hAnsi="宋体"/>
          <w:color w:val="auto"/>
          <w:szCs w:val="21"/>
        </w:rPr>
      </w:pPr>
      <w:r>
        <w:rPr>
          <w:rFonts w:hint="eastAsia" w:ascii="宋体" w:hAnsi="宋体"/>
          <w:color w:val="auto"/>
          <w:szCs w:val="21"/>
        </w:rPr>
        <w:t>第七章 响应文件格式</w:t>
      </w:r>
    </w:p>
    <w:p w14:paraId="12E38784">
      <w:pPr>
        <w:spacing w:line="460" w:lineRule="exact"/>
        <w:ind w:firstLine="420" w:firstLineChars="200"/>
        <w:rPr>
          <w:rFonts w:ascii="宋体" w:hAnsi="宋体"/>
          <w:color w:val="auto"/>
          <w:szCs w:val="21"/>
        </w:rPr>
      </w:pPr>
      <w:r>
        <w:rPr>
          <w:rFonts w:hint="eastAsia" w:ascii="宋体" w:hAnsi="宋体"/>
          <w:color w:val="auto"/>
          <w:szCs w:val="21"/>
        </w:rPr>
        <w:t>第八章 评标办法</w:t>
      </w:r>
    </w:p>
    <w:p w14:paraId="76D5F707">
      <w:pPr>
        <w:spacing w:line="460" w:lineRule="exact"/>
        <w:ind w:firstLine="420" w:firstLineChars="200"/>
        <w:rPr>
          <w:rFonts w:ascii="宋体" w:hAnsi="宋体"/>
          <w:color w:val="auto"/>
          <w:szCs w:val="21"/>
        </w:rPr>
      </w:pPr>
      <w:r>
        <w:rPr>
          <w:rFonts w:hint="eastAsia" w:ascii="宋体" w:hAnsi="宋体"/>
          <w:color w:val="auto"/>
          <w:szCs w:val="21"/>
        </w:rPr>
        <w:t>根据本章第5条、第6条对磋商文件所作的澄清、修改，构成磋商文件的组成部分。</w:t>
      </w:r>
    </w:p>
    <w:p w14:paraId="4C60D952">
      <w:pPr>
        <w:spacing w:line="460" w:lineRule="exact"/>
        <w:ind w:firstLine="428" w:firstLineChars="200"/>
        <w:rPr>
          <w:rFonts w:ascii="宋体" w:hAnsi="宋体" w:cs="Courier New"/>
          <w:color w:val="auto"/>
          <w:spacing w:val="2"/>
          <w:szCs w:val="21"/>
        </w:rPr>
      </w:pPr>
      <w:r>
        <w:rPr>
          <w:rFonts w:hint="eastAsia" w:ascii="宋体" w:hAnsi="宋体" w:cs="Courier New"/>
          <w:color w:val="auto"/>
          <w:spacing w:val="2"/>
          <w:szCs w:val="21"/>
        </w:rPr>
        <w:t>4.2</w:t>
      </w:r>
      <w:r>
        <w:rPr>
          <w:rFonts w:ascii="宋体" w:hAnsi="宋体" w:cs="Courier New"/>
          <w:color w:val="auto"/>
          <w:spacing w:val="2"/>
          <w:szCs w:val="21"/>
        </w:rPr>
        <w:t xml:space="preserve"> </w:t>
      </w:r>
      <w:r>
        <w:rPr>
          <w:rFonts w:hint="eastAsia" w:ascii="宋体" w:hAnsi="宋体" w:cs="Courier New"/>
          <w:color w:val="auto"/>
          <w:spacing w:val="2"/>
          <w:szCs w:val="21"/>
        </w:rPr>
        <w:t>供应商应认真审阅磋商文件中所有的磋商须知、合同格式、技术规范和图纸。如果供应商编制的响应文件不符合磋商文件的要求，或实质上不响应磋商文件要求，其响应文件将被采购人拒绝。</w:t>
      </w:r>
    </w:p>
    <w:p w14:paraId="43F37E0F">
      <w:pPr>
        <w:pStyle w:val="4"/>
        <w:spacing w:before="0" w:after="0" w:line="460" w:lineRule="exact"/>
        <w:rPr>
          <w:rFonts w:ascii="宋体" w:hAnsi="宋体" w:eastAsia="宋体"/>
          <w:color w:val="auto"/>
          <w:sz w:val="21"/>
          <w:szCs w:val="21"/>
        </w:rPr>
      </w:pPr>
      <w:bookmarkStart w:id="25" w:name="_Toc346264270"/>
      <w:bookmarkStart w:id="26" w:name="_Toc18682807"/>
      <w:bookmarkStart w:id="27" w:name="_Toc2119"/>
      <w:bookmarkStart w:id="28" w:name="_Toc80818619"/>
      <w:r>
        <w:rPr>
          <w:rFonts w:ascii="宋体" w:hAnsi="宋体" w:eastAsia="宋体"/>
          <w:color w:val="auto"/>
          <w:sz w:val="21"/>
          <w:szCs w:val="21"/>
        </w:rPr>
        <w:t>5.磋商文件的</w:t>
      </w:r>
      <w:bookmarkEnd w:id="25"/>
      <w:bookmarkEnd w:id="26"/>
      <w:r>
        <w:rPr>
          <w:rFonts w:hint="eastAsia" w:ascii="宋体" w:hAnsi="宋体" w:eastAsia="宋体" w:cs="Courier New"/>
          <w:color w:val="auto"/>
          <w:spacing w:val="2"/>
          <w:sz w:val="21"/>
          <w:szCs w:val="21"/>
        </w:rPr>
        <w:t>澄清</w:t>
      </w:r>
      <w:bookmarkEnd w:id="27"/>
      <w:bookmarkEnd w:id="28"/>
    </w:p>
    <w:p w14:paraId="4E9487FA">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5.1供应商在收到</w:t>
      </w:r>
      <w:r>
        <w:rPr>
          <w:rFonts w:ascii="宋体" w:hAnsi="宋体" w:cs="Courier New"/>
          <w:color w:val="auto"/>
          <w:spacing w:val="2"/>
          <w:szCs w:val="21"/>
        </w:rPr>
        <w:t>采购</w:t>
      </w:r>
      <w:r>
        <w:rPr>
          <w:rFonts w:hint="eastAsia" w:ascii="宋体" w:hAnsi="宋体" w:cs="Courier New"/>
          <w:color w:val="auto"/>
          <w:spacing w:val="2"/>
          <w:szCs w:val="21"/>
        </w:rPr>
        <w:t>文件后，若有问题需要澄清，须以书面形式（包括书面文字、传真、电报等，下同）向采购代理机构提出，采购代理机构将以书面形式予以解答，答复将以书面形式通知所有获得采购文件的供应商。</w:t>
      </w:r>
    </w:p>
    <w:p w14:paraId="6D453A11">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5.2</w:t>
      </w:r>
      <w:r>
        <w:rPr>
          <w:rFonts w:ascii="宋体" w:hAnsi="宋体" w:cs="Courier New"/>
          <w:color w:val="auto"/>
          <w:spacing w:val="2"/>
          <w:szCs w:val="21"/>
        </w:rPr>
        <w:t>提交首次响应文件截止之日前，采购人、采购代理机构或者磋商小组可以对已发出的磋商文件进行必要的澄清，澄清的内容作为磋商文件的组成部分。澄清的内容可能影响响应文件编制的，采购人、采购代理机构应当在提交首次响应文件截止时间至少5日前，以书面形式通知所有获取磋商文件的供应商</w:t>
      </w:r>
      <w:r>
        <w:rPr>
          <w:rFonts w:hint="eastAsia" w:ascii="宋体" w:hAnsi="宋体" w:cs="Courier New"/>
          <w:color w:val="auto"/>
          <w:spacing w:val="2"/>
          <w:szCs w:val="21"/>
        </w:rPr>
        <w:t>；</w:t>
      </w:r>
      <w:r>
        <w:rPr>
          <w:rFonts w:ascii="宋体" w:hAnsi="宋体" w:cs="Courier New"/>
          <w:color w:val="auto"/>
          <w:spacing w:val="2"/>
          <w:szCs w:val="21"/>
        </w:rPr>
        <w:t>不足5日的，采购人、采购代理机构应当顺延提交首次响应文件截止时间。</w:t>
      </w:r>
    </w:p>
    <w:p w14:paraId="04435BC9">
      <w:pPr>
        <w:pStyle w:val="4"/>
        <w:spacing w:before="0" w:after="0" w:line="460" w:lineRule="exact"/>
        <w:rPr>
          <w:rFonts w:ascii="宋体" w:hAnsi="宋体" w:eastAsia="宋体"/>
          <w:color w:val="auto"/>
          <w:sz w:val="21"/>
          <w:szCs w:val="21"/>
        </w:rPr>
      </w:pPr>
      <w:bookmarkStart w:id="29" w:name="_Toc998"/>
      <w:bookmarkStart w:id="30" w:name="_Toc80818620"/>
      <w:bookmarkStart w:id="31" w:name="_Toc346264271"/>
      <w:bookmarkStart w:id="32" w:name="_Toc18682808"/>
      <w:r>
        <w:rPr>
          <w:rFonts w:ascii="宋体" w:hAnsi="宋体" w:eastAsia="宋体"/>
          <w:color w:val="auto"/>
          <w:sz w:val="21"/>
          <w:szCs w:val="21"/>
        </w:rPr>
        <w:t>6.磋商文件的修改</w:t>
      </w:r>
      <w:bookmarkEnd w:id="29"/>
      <w:bookmarkEnd w:id="30"/>
      <w:bookmarkEnd w:id="31"/>
      <w:bookmarkEnd w:id="32"/>
    </w:p>
    <w:p w14:paraId="272EC883">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6</w:t>
      </w:r>
      <w:r>
        <w:rPr>
          <w:rFonts w:ascii="宋体" w:hAnsi="宋体" w:cs="Courier New"/>
          <w:color w:val="auto"/>
          <w:spacing w:val="2"/>
          <w:szCs w:val="21"/>
        </w:rPr>
        <w:t>.</w:t>
      </w:r>
      <w:r>
        <w:rPr>
          <w:rFonts w:hint="eastAsia" w:ascii="宋体" w:hAnsi="宋体" w:cs="Courier New"/>
          <w:color w:val="auto"/>
          <w:spacing w:val="2"/>
          <w:szCs w:val="21"/>
        </w:rPr>
        <w:t>1 在磋商截止日期前，采购代理机构可以补充通知的方式对磋商文件进行修改，这种修改可能是采购人作出的也可能是为了解答供应商要求澄清的问题。</w:t>
      </w:r>
    </w:p>
    <w:p w14:paraId="4C53E995">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6.2 为使供应商有充足的时间对磋商文件全部作出响应，并编出有质量的响应文件，采购人必须在响应文件递交截止日期5日前，将补充通知以书面形式通知</w:t>
      </w:r>
      <w:r>
        <w:rPr>
          <w:rFonts w:hint="eastAsia" w:ascii="宋体" w:hAnsi="宋体"/>
          <w:bCs/>
          <w:color w:val="auto"/>
          <w:szCs w:val="21"/>
        </w:rPr>
        <w:t>在财政部门指定的政府采购信息发布媒体网站上发布，</w:t>
      </w:r>
      <w:r>
        <w:rPr>
          <w:rFonts w:hint="eastAsia" w:ascii="宋体" w:hAnsi="宋体" w:cs="Courier New"/>
          <w:color w:val="auto"/>
          <w:spacing w:val="2"/>
          <w:szCs w:val="21"/>
        </w:rPr>
        <w:t>并以书面形式通知所有获得磋商文件的供应商，</w:t>
      </w:r>
      <w:r>
        <w:rPr>
          <w:rFonts w:ascii="宋体" w:hAnsi="宋体" w:cs="Courier New"/>
          <w:color w:val="auto"/>
          <w:spacing w:val="2"/>
          <w:szCs w:val="21"/>
        </w:rPr>
        <w:t>不足5日的，采购人、采购代理机构应当顺延提交首次响应文件截止时间。</w:t>
      </w:r>
      <w:r>
        <w:rPr>
          <w:rFonts w:hint="eastAsia" w:ascii="宋体" w:hAnsi="宋体" w:cs="Courier New"/>
          <w:color w:val="auto"/>
          <w:spacing w:val="2"/>
          <w:szCs w:val="21"/>
        </w:rPr>
        <w:t>补充通知作为采购文件的组成部分，对供应商起约束作用。</w:t>
      </w:r>
    </w:p>
    <w:p w14:paraId="1CF4282E">
      <w:pPr>
        <w:pStyle w:val="4"/>
        <w:spacing w:before="0" w:after="0" w:line="460" w:lineRule="exact"/>
        <w:rPr>
          <w:rFonts w:ascii="宋体" w:hAnsi="宋体" w:eastAsia="宋体"/>
          <w:color w:val="auto"/>
          <w:sz w:val="21"/>
          <w:szCs w:val="21"/>
        </w:rPr>
      </w:pPr>
      <w:bookmarkStart w:id="33" w:name="_Toc239659099"/>
      <w:bookmarkStart w:id="34" w:name="_Toc174353362"/>
      <w:bookmarkStart w:id="35" w:name="_Toc346264272"/>
      <w:bookmarkStart w:id="36" w:name="_Toc80818621"/>
      <w:bookmarkStart w:id="37" w:name="_Toc18682809"/>
      <w:bookmarkStart w:id="38" w:name="_Toc24175"/>
      <w:r>
        <w:rPr>
          <w:rFonts w:ascii="宋体" w:hAnsi="宋体" w:eastAsia="宋体"/>
          <w:color w:val="auto"/>
          <w:sz w:val="21"/>
          <w:szCs w:val="21"/>
        </w:rPr>
        <w:t>7.磋商报价</w:t>
      </w:r>
      <w:bookmarkEnd w:id="33"/>
      <w:bookmarkEnd w:id="34"/>
      <w:r>
        <w:rPr>
          <w:rFonts w:ascii="宋体" w:hAnsi="宋体" w:eastAsia="宋体"/>
          <w:color w:val="auto"/>
          <w:sz w:val="21"/>
          <w:szCs w:val="21"/>
        </w:rPr>
        <w:t>及</w:t>
      </w:r>
      <w:bookmarkEnd w:id="35"/>
      <w:r>
        <w:rPr>
          <w:rFonts w:hint="eastAsia" w:ascii="宋体" w:hAnsi="宋体" w:eastAsia="宋体"/>
          <w:color w:val="auto"/>
          <w:sz w:val="21"/>
          <w:szCs w:val="21"/>
        </w:rPr>
        <w:t>采购</w:t>
      </w:r>
      <w:bookmarkEnd w:id="36"/>
      <w:bookmarkEnd w:id="37"/>
      <w:r>
        <w:rPr>
          <w:rFonts w:hint="eastAsia" w:ascii="宋体" w:hAnsi="宋体" w:eastAsia="宋体"/>
          <w:color w:val="auto"/>
          <w:sz w:val="21"/>
          <w:szCs w:val="21"/>
        </w:rPr>
        <w:t>预算金额</w:t>
      </w:r>
      <w:bookmarkEnd w:id="38"/>
    </w:p>
    <w:p w14:paraId="28279D39">
      <w:pPr>
        <w:adjustRightInd w:val="0"/>
        <w:spacing w:line="460" w:lineRule="exact"/>
        <w:ind w:firstLine="420" w:firstLineChars="200"/>
        <w:rPr>
          <w:rFonts w:ascii="宋体" w:hAnsi="宋体"/>
          <w:color w:val="auto"/>
          <w:szCs w:val="21"/>
        </w:rPr>
      </w:pPr>
      <w:r>
        <w:rPr>
          <w:rFonts w:hint="eastAsia" w:ascii="宋体" w:hAnsi="宋体"/>
          <w:color w:val="auto"/>
          <w:szCs w:val="21"/>
        </w:rPr>
        <w:t>7.1 供应商应按第六章“工程量清单”的要求填写相应表格。</w:t>
      </w:r>
    </w:p>
    <w:p w14:paraId="1B026B8D">
      <w:pPr>
        <w:adjustRightInd w:val="0"/>
        <w:spacing w:line="460" w:lineRule="exact"/>
        <w:ind w:firstLine="420" w:firstLineChars="200"/>
        <w:rPr>
          <w:rFonts w:ascii="宋体" w:hAnsi="宋体"/>
          <w:color w:val="auto"/>
          <w:szCs w:val="21"/>
        </w:rPr>
      </w:pPr>
      <w:r>
        <w:rPr>
          <w:rFonts w:hint="eastAsia" w:ascii="宋体" w:hAnsi="宋体"/>
          <w:color w:val="auto"/>
          <w:szCs w:val="21"/>
        </w:rPr>
        <w:t>7.2 供应商在磋商截止时间前修改磋商函中的磋商总报价，应同时修改第六章“工程量清单”中的相应报价。此修改须符合本章第16款的有关要求。</w:t>
      </w:r>
    </w:p>
    <w:p w14:paraId="04A0FBE5">
      <w:pPr>
        <w:spacing w:line="420" w:lineRule="exact"/>
        <w:ind w:firstLine="420" w:firstLineChars="200"/>
        <w:jc w:val="left"/>
        <w:rPr>
          <w:rFonts w:ascii="宋体" w:hAnsi="宋体"/>
          <w:color w:val="auto"/>
          <w:szCs w:val="21"/>
        </w:rPr>
      </w:pPr>
      <w:bookmarkStart w:id="39" w:name="_Hlk87630946"/>
      <w:r>
        <w:rPr>
          <w:rFonts w:hint="eastAsia" w:ascii="宋体" w:hAnsi="宋体"/>
          <w:color w:val="auto"/>
          <w:szCs w:val="21"/>
        </w:rPr>
        <w:t>7.3 本项目采购预算金额为：</w:t>
      </w:r>
      <w:r>
        <w:rPr>
          <w:rFonts w:hint="eastAsia" w:ascii="宋体" w:hAnsi="宋体"/>
          <w:b/>
          <w:bCs/>
          <w:color w:val="auto"/>
          <w:szCs w:val="21"/>
        </w:rPr>
        <w:t>人民币伍拾玖万壹仟零肆拾贰元玖角玖分（¥</w:t>
      </w:r>
      <w:r>
        <w:rPr>
          <w:rFonts w:hint="eastAsia" w:ascii="宋体" w:hAnsi="宋体"/>
          <w:b/>
          <w:bCs/>
          <w:color w:val="auto"/>
          <w:szCs w:val="21"/>
          <w:lang w:val="en-US" w:eastAsia="zh-CN"/>
        </w:rPr>
        <w:t>591042.99</w:t>
      </w:r>
      <w:r>
        <w:rPr>
          <w:rFonts w:hint="eastAsia" w:ascii="宋体" w:hAnsi="宋体" w:cs="宋体"/>
          <w:b/>
          <w:bCs/>
          <w:color w:val="auto"/>
          <w:szCs w:val="21"/>
          <w:lang w:bidi="zh-CN"/>
        </w:rPr>
        <w:t>）</w:t>
      </w:r>
    </w:p>
    <w:p w14:paraId="7D061BAF">
      <w:pPr>
        <w:spacing w:line="420" w:lineRule="exact"/>
        <w:ind w:firstLine="420" w:firstLineChars="200"/>
        <w:jc w:val="left"/>
        <w:rPr>
          <w:rFonts w:ascii="宋体" w:hAnsi="宋体"/>
          <w:b/>
          <w:color w:val="auto"/>
          <w:szCs w:val="21"/>
        </w:rPr>
      </w:pPr>
      <w:r>
        <w:rPr>
          <w:rFonts w:hint="eastAsia" w:ascii="宋体" w:hAnsi="宋体"/>
          <w:color w:val="auto"/>
          <w:szCs w:val="21"/>
        </w:rPr>
        <w:t>本采购项目的有效磋商报价范围为：</w:t>
      </w:r>
      <w:r>
        <w:rPr>
          <w:rFonts w:hint="eastAsia" w:ascii="宋体" w:hAnsi="宋体" w:cs="Courier New"/>
          <w:b/>
          <w:color w:val="auto"/>
          <w:spacing w:val="2"/>
          <w:szCs w:val="21"/>
        </w:rPr>
        <w:t>供应商的最终磋商报价不能高于本项目的采购预算金额。</w:t>
      </w:r>
    </w:p>
    <w:bookmarkEnd w:id="39"/>
    <w:p w14:paraId="542A7A64">
      <w:pPr>
        <w:spacing w:line="460" w:lineRule="exact"/>
        <w:ind w:firstLine="420" w:firstLineChars="200"/>
        <w:rPr>
          <w:rFonts w:ascii="宋体" w:hAnsi="宋体"/>
          <w:color w:val="auto"/>
          <w:szCs w:val="21"/>
        </w:rPr>
      </w:pPr>
      <w:r>
        <w:rPr>
          <w:rFonts w:hint="eastAsia" w:ascii="宋体" w:hAnsi="宋体"/>
          <w:color w:val="auto"/>
          <w:szCs w:val="21"/>
        </w:rPr>
        <w:t>7.4进行磋商报价，其优惠应直接体现在各项磋商报价的单价中，磋商函中供应商不得采用总价优惠、总价百分比优惠或以报价调整函的方式的报价必须与工程量清单汇总表一致，否则作无效标处理。</w:t>
      </w:r>
    </w:p>
    <w:p w14:paraId="1DA3649D">
      <w:pPr>
        <w:spacing w:line="460" w:lineRule="exact"/>
        <w:rPr>
          <w:rFonts w:ascii="宋体" w:hAnsi="宋体"/>
          <w:color w:val="auto"/>
          <w:szCs w:val="21"/>
        </w:rPr>
      </w:pPr>
      <w:r>
        <w:rPr>
          <w:rFonts w:ascii="宋体" w:hAnsi="宋体"/>
          <w:color w:val="auto"/>
          <w:szCs w:val="21"/>
        </w:rPr>
        <w:t xml:space="preserve">    7.</w:t>
      </w:r>
      <w:r>
        <w:rPr>
          <w:rFonts w:hint="eastAsia" w:ascii="宋体" w:hAnsi="宋体"/>
          <w:color w:val="auto"/>
          <w:szCs w:val="21"/>
        </w:rPr>
        <w:t>5</w:t>
      </w:r>
      <w:r>
        <w:rPr>
          <w:rFonts w:ascii="宋体" w:hAnsi="宋体"/>
          <w:color w:val="auto"/>
          <w:szCs w:val="21"/>
        </w:rPr>
        <w:t>磋商货币</w:t>
      </w:r>
    </w:p>
    <w:p w14:paraId="79A7804C">
      <w:pPr>
        <w:spacing w:line="460" w:lineRule="exact"/>
        <w:ind w:firstLine="420" w:firstLineChars="200"/>
        <w:rPr>
          <w:rFonts w:ascii="宋体" w:hAnsi="宋体"/>
          <w:color w:val="auto"/>
          <w:szCs w:val="21"/>
        </w:rPr>
      </w:pPr>
      <w:r>
        <w:rPr>
          <w:rFonts w:hint="eastAsia" w:ascii="宋体" w:hAnsi="宋体"/>
          <w:color w:val="auto"/>
          <w:szCs w:val="21"/>
        </w:rPr>
        <w:t>响应文件</w:t>
      </w:r>
      <w:r>
        <w:rPr>
          <w:rFonts w:ascii="宋体" w:hAnsi="宋体"/>
          <w:color w:val="auto"/>
          <w:szCs w:val="21"/>
        </w:rPr>
        <w:t>报价中的单价和合价全部采用人民币表示。</w:t>
      </w:r>
    </w:p>
    <w:p w14:paraId="4EDDF9B1">
      <w:pPr>
        <w:pStyle w:val="4"/>
        <w:spacing w:before="0" w:after="0" w:line="460" w:lineRule="exact"/>
        <w:rPr>
          <w:rFonts w:ascii="宋体" w:hAnsi="宋体" w:eastAsia="宋体"/>
          <w:color w:val="auto"/>
          <w:sz w:val="21"/>
          <w:szCs w:val="21"/>
        </w:rPr>
      </w:pPr>
      <w:bookmarkStart w:id="40" w:name="_Toc346264273"/>
      <w:bookmarkStart w:id="41" w:name="_Toc239659100"/>
      <w:bookmarkStart w:id="42" w:name="_Toc80818622"/>
      <w:bookmarkStart w:id="43" w:name="_Toc2968"/>
      <w:bookmarkStart w:id="44" w:name="_Toc18682810"/>
      <w:r>
        <w:rPr>
          <w:rFonts w:ascii="宋体" w:hAnsi="宋体" w:eastAsia="宋体"/>
          <w:color w:val="auto"/>
          <w:sz w:val="21"/>
          <w:szCs w:val="21"/>
        </w:rPr>
        <w:t>8.</w:t>
      </w:r>
      <w:r>
        <w:rPr>
          <w:rFonts w:hint="eastAsia" w:ascii="宋体" w:hAnsi="宋体" w:eastAsia="宋体"/>
          <w:color w:val="auto"/>
          <w:sz w:val="21"/>
          <w:szCs w:val="21"/>
        </w:rPr>
        <w:t>响应文件</w:t>
      </w:r>
      <w:r>
        <w:rPr>
          <w:rFonts w:ascii="宋体" w:hAnsi="宋体" w:eastAsia="宋体"/>
          <w:color w:val="auto"/>
          <w:sz w:val="21"/>
          <w:szCs w:val="21"/>
        </w:rPr>
        <w:t>的语言</w:t>
      </w:r>
      <w:bookmarkEnd w:id="40"/>
      <w:bookmarkEnd w:id="41"/>
      <w:bookmarkEnd w:id="42"/>
      <w:bookmarkEnd w:id="43"/>
      <w:bookmarkEnd w:id="44"/>
    </w:p>
    <w:p w14:paraId="6438C770">
      <w:pPr>
        <w:spacing w:line="460" w:lineRule="exact"/>
        <w:ind w:firstLine="435"/>
        <w:rPr>
          <w:rFonts w:ascii="宋体" w:hAnsi="宋体"/>
          <w:color w:val="auto"/>
          <w:szCs w:val="21"/>
        </w:rPr>
      </w:pPr>
      <w:r>
        <w:rPr>
          <w:rFonts w:hint="eastAsia" w:ascii="宋体" w:hAnsi="宋体"/>
          <w:color w:val="auto"/>
          <w:szCs w:val="21"/>
        </w:rPr>
        <w:t>响应文件</w:t>
      </w:r>
      <w:r>
        <w:rPr>
          <w:rFonts w:ascii="宋体" w:hAnsi="宋体"/>
          <w:color w:val="auto"/>
          <w:szCs w:val="21"/>
        </w:rPr>
        <w:t>及</w:t>
      </w:r>
      <w:r>
        <w:rPr>
          <w:rFonts w:hint="eastAsia" w:ascii="宋体" w:hAnsi="宋体"/>
          <w:color w:val="auto"/>
          <w:szCs w:val="21"/>
        </w:rPr>
        <w:t>供应商</w:t>
      </w:r>
      <w:r>
        <w:rPr>
          <w:rFonts w:ascii="宋体" w:hAnsi="宋体"/>
          <w:color w:val="auto"/>
          <w:szCs w:val="21"/>
        </w:rPr>
        <w:t>与采购人之间与磋商有关的来往通知、函件和文件均应使用中文。</w:t>
      </w:r>
    </w:p>
    <w:p w14:paraId="190DA7DB">
      <w:pPr>
        <w:pStyle w:val="4"/>
        <w:spacing w:before="0" w:after="0" w:line="460" w:lineRule="exact"/>
        <w:rPr>
          <w:rFonts w:ascii="宋体" w:hAnsi="宋体" w:eastAsia="宋体"/>
          <w:color w:val="auto"/>
          <w:sz w:val="21"/>
          <w:szCs w:val="21"/>
        </w:rPr>
      </w:pPr>
      <w:bookmarkStart w:id="45" w:name="_Toc346264274"/>
      <w:bookmarkStart w:id="46" w:name="_Toc239659101"/>
      <w:bookmarkStart w:id="47" w:name="_Toc80818623"/>
      <w:bookmarkStart w:id="48" w:name="_Toc7940"/>
      <w:bookmarkStart w:id="49" w:name="_Toc18682811"/>
      <w:r>
        <w:rPr>
          <w:rFonts w:ascii="宋体" w:hAnsi="宋体" w:eastAsia="宋体"/>
          <w:color w:val="auto"/>
          <w:sz w:val="21"/>
          <w:szCs w:val="21"/>
        </w:rPr>
        <w:t>9.</w:t>
      </w:r>
      <w:r>
        <w:rPr>
          <w:rFonts w:hint="eastAsia" w:ascii="宋体" w:hAnsi="宋体" w:eastAsia="宋体"/>
          <w:color w:val="auto"/>
          <w:sz w:val="21"/>
          <w:szCs w:val="21"/>
        </w:rPr>
        <w:t>响应文件</w:t>
      </w:r>
      <w:r>
        <w:rPr>
          <w:rFonts w:ascii="宋体" w:hAnsi="宋体" w:eastAsia="宋体"/>
          <w:color w:val="auto"/>
          <w:sz w:val="21"/>
          <w:szCs w:val="21"/>
        </w:rPr>
        <w:t>的组成</w:t>
      </w:r>
      <w:bookmarkEnd w:id="45"/>
      <w:bookmarkEnd w:id="46"/>
      <w:bookmarkEnd w:id="47"/>
      <w:bookmarkEnd w:id="48"/>
      <w:bookmarkEnd w:id="49"/>
    </w:p>
    <w:p w14:paraId="0F1D845D">
      <w:pPr>
        <w:pStyle w:val="24"/>
        <w:adjustRightInd w:val="0"/>
        <w:snapToGrid w:val="0"/>
        <w:spacing w:line="500" w:lineRule="exact"/>
        <w:ind w:firstLine="411" w:firstLineChars="196"/>
        <w:jc w:val="left"/>
        <w:rPr>
          <w:rFonts w:hAnsi="宋体"/>
          <w:color w:val="auto"/>
          <w:szCs w:val="21"/>
        </w:rPr>
      </w:pPr>
      <w:bookmarkStart w:id="50" w:name="_Hlk86744397"/>
      <w:r>
        <w:rPr>
          <w:rFonts w:hAnsi="宋体"/>
          <w:color w:val="auto"/>
          <w:szCs w:val="21"/>
        </w:rPr>
        <w:t xml:space="preserve">9.1 </w:t>
      </w:r>
      <w:r>
        <w:rPr>
          <w:rFonts w:hint="eastAsia" w:hAnsi="宋体"/>
          <w:color w:val="auto"/>
          <w:szCs w:val="21"/>
        </w:rPr>
        <w:t>响应文件包括</w:t>
      </w:r>
      <w:r>
        <w:rPr>
          <w:rFonts w:hAnsi="宋体"/>
          <w:color w:val="auto"/>
          <w:szCs w:val="21"/>
        </w:rPr>
        <w:t>资格</w:t>
      </w:r>
      <w:r>
        <w:rPr>
          <w:rFonts w:hint="eastAsia" w:hAnsi="宋体"/>
          <w:color w:val="auto"/>
          <w:szCs w:val="21"/>
        </w:rPr>
        <w:t>文件</w:t>
      </w:r>
      <w:r>
        <w:rPr>
          <w:rFonts w:hAnsi="宋体"/>
          <w:color w:val="auto"/>
          <w:szCs w:val="21"/>
        </w:rPr>
        <w:t>、商务</w:t>
      </w:r>
      <w:r>
        <w:rPr>
          <w:rFonts w:hint="eastAsia" w:hAnsi="宋体"/>
          <w:color w:val="auto"/>
          <w:szCs w:val="21"/>
        </w:rPr>
        <w:t>技术文件、报价文件</w:t>
      </w:r>
      <w:r>
        <w:rPr>
          <w:rFonts w:hint="eastAsia" w:hAnsi="宋体"/>
          <w:b/>
          <w:color w:val="auto"/>
          <w:szCs w:val="21"/>
        </w:rPr>
        <w:t>三部份</w:t>
      </w:r>
      <w:r>
        <w:rPr>
          <w:rFonts w:hint="eastAsia" w:hAnsi="宋体"/>
          <w:color w:val="auto"/>
          <w:szCs w:val="21"/>
        </w:rPr>
        <w:t>组成并分别编制，以下材料组成在磋商文件第七章“响应文件格式”中未附格式的，由供应商自行拟定。</w:t>
      </w:r>
      <w:r>
        <w:rPr>
          <w:rFonts w:hint="eastAsia" w:hAnsi="宋体"/>
          <w:b/>
          <w:color w:val="auto"/>
          <w:kern w:val="0"/>
          <w:szCs w:val="21"/>
        </w:rPr>
        <w:t>响应文件中所有复印件均须加盖磋商单位公章，否则视为无效磋商响应文件。</w:t>
      </w:r>
    </w:p>
    <w:bookmarkEnd w:id="50"/>
    <w:p w14:paraId="05F95DA5">
      <w:pPr>
        <w:spacing w:line="460" w:lineRule="exact"/>
        <w:ind w:firstLine="422" w:firstLineChars="200"/>
        <w:rPr>
          <w:rFonts w:ascii="宋体" w:hAnsi="宋体"/>
          <w:b/>
          <w:color w:val="auto"/>
          <w:szCs w:val="21"/>
        </w:rPr>
      </w:pPr>
      <w:bookmarkStart w:id="51" w:name="_Hlk86744311"/>
      <w:bookmarkStart w:id="52" w:name="_Hlk87630980"/>
      <w:r>
        <w:rPr>
          <w:rFonts w:hint="eastAsia" w:ascii="宋体" w:hAnsi="宋体"/>
          <w:b/>
          <w:color w:val="auto"/>
          <w:szCs w:val="21"/>
        </w:rPr>
        <w:t>9</w:t>
      </w:r>
      <w:r>
        <w:rPr>
          <w:rFonts w:ascii="宋体" w:hAnsi="宋体"/>
          <w:b/>
          <w:color w:val="auto"/>
          <w:szCs w:val="21"/>
        </w:rPr>
        <w:t>.2</w:t>
      </w:r>
      <w:r>
        <w:rPr>
          <w:rFonts w:hint="eastAsia" w:ascii="宋体" w:hAnsi="宋体"/>
          <w:b/>
          <w:color w:val="auto"/>
          <w:szCs w:val="21"/>
        </w:rPr>
        <w:t xml:space="preserve"> </w:t>
      </w:r>
      <w:r>
        <w:rPr>
          <w:rFonts w:ascii="宋体" w:hAnsi="宋体"/>
          <w:b/>
          <w:color w:val="auto"/>
          <w:szCs w:val="21"/>
        </w:rPr>
        <w:t>资格</w:t>
      </w:r>
      <w:r>
        <w:rPr>
          <w:rFonts w:hint="eastAsia" w:ascii="宋体" w:hAnsi="宋体"/>
          <w:b/>
          <w:color w:val="auto"/>
          <w:szCs w:val="21"/>
        </w:rPr>
        <w:t>文件应</w:t>
      </w:r>
      <w:r>
        <w:rPr>
          <w:rFonts w:ascii="宋体" w:hAnsi="宋体"/>
          <w:b/>
          <w:color w:val="auto"/>
          <w:szCs w:val="21"/>
        </w:rPr>
        <w:t>包括下列内容：</w:t>
      </w:r>
    </w:p>
    <w:p w14:paraId="495FF117">
      <w:pPr>
        <w:spacing w:line="360" w:lineRule="auto"/>
        <w:ind w:left="27" w:leftChars="13" w:firstLine="420" w:firstLineChars="200"/>
        <w:jc w:val="left"/>
        <w:rPr>
          <w:rFonts w:ascii="宋体" w:hAnsi="宋体" w:cs="宋体"/>
          <w:b/>
          <w:color w:val="auto"/>
          <w:kern w:val="0"/>
          <w:szCs w:val="21"/>
        </w:rPr>
      </w:pPr>
      <w:r>
        <w:rPr>
          <w:rFonts w:hint="eastAsia" w:ascii="宋体" w:hAnsi="宋体"/>
          <w:color w:val="auto"/>
          <w:szCs w:val="21"/>
        </w:rPr>
        <w:t>（1）</w:t>
      </w:r>
      <w:r>
        <w:rPr>
          <w:rFonts w:hint="eastAsia" w:ascii="宋体" w:hAnsi="宋体" w:cs="Courier New"/>
          <w:color w:val="auto"/>
          <w:spacing w:val="2"/>
          <w:szCs w:val="21"/>
        </w:rPr>
        <w:t>供应商为法人或者其他组织的提供其营业执照等证明文件（如营业执照或者事业单位法人证书或者执业许可证等），供应商为自然人的提供其身份证复印件；</w:t>
      </w:r>
      <w:r>
        <w:rPr>
          <w:rFonts w:ascii="宋体" w:hAnsi="宋体" w:cs="宋体"/>
          <w:b/>
          <w:color w:val="auto"/>
          <w:kern w:val="0"/>
          <w:szCs w:val="21"/>
        </w:rPr>
        <w:t xml:space="preserve"> </w:t>
      </w:r>
    </w:p>
    <w:p w14:paraId="48A04F42">
      <w:pPr>
        <w:spacing w:line="360" w:lineRule="auto"/>
        <w:ind w:left="28" w:firstLine="452"/>
        <w:jc w:val="left"/>
        <w:rPr>
          <w:rFonts w:ascii="宋体" w:hAnsi="宋体" w:cs="宋体"/>
          <w:b/>
          <w:color w:val="auto"/>
          <w:kern w:val="0"/>
          <w:szCs w:val="21"/>
        </w:rPr>
      </w:pPr>
      <w:r>
        <w:rPr>
          <w:rFonts w:hint="eastAsia" w:ascii="宋体" w:hAnsi="宋体" w:cs="Courier New"/>
          <w:color w:val="auto"/>
          <w:spacing w:val="2"/>
          <w:szCs w:val="21"/>
        </w:rPr>
        <w:t>（2）供应商有效的安全生产许可证复印件；</w:t>
      </w:r>
    </w:p>
    <w:p w14:paraId="769C7CD3">
      <w:pPr>
        <w:widowControl/>
        <w:spacing w:line="360" w:lineRule="auto"/>
        <w:ind w:firstLine="417" w:firstLineChars="195"/>
        <w:jc w:val="left"/>
        <w:rPr>
          <w:rFonts w:ascii="宋体" w:hAnsi="宋体" w:cs="Courier New"/>
          <w:color w:val="auto"/>
          <w:spacing w:val="2"/>
          <w:szCs w:val="21"/>
        </w:rPr>
      </w:pPr>
      <w:r>
        <w:rPr>
          <w:rFonts w:hint="eastAsia" w:ascii="宋体" w:hAnsi="宋体" w:cs="Courier New"/>
          <w:color w:val="auto"/>
          <w:spacing w:val="2"/>
          <w:szCs w:val="21"/>
        </w:rPr>
        <w:t>（3）建筑施工总承包叁级以上（含叁级）或建筑装修装饰工程专业承包叁级以上（含叁级）资质的证明复印件；</w:t>
      </w:r>
    </w:p>
    <w:p w14:paraId="276A401F">
      <w:pPr>
        <w:pStyle w:val="24"/>
        <w:spacing w:line="360" w:lineRule="auto"/>
        <w:ind w:firstLine="428" w:firstLineChars="200"/>
        <w:jc w:val="left"/>
        <w:rPr>
          <w:rFonts w:hAnsi="宋体" w:cs="Courier New"/>
          <w:color w:val="auto"/>
          <w:spacing w:val="2"/>
          <w:szCs w:val="21"/>
        </w:rPr>
      </w:pPr>
      <w:r>
        <w:rPr>
          <w:rFonts w:hint="eastAsia" w:hAnsi="宋体" w:cs="Courier New"/>
          <w:color w:val="auto"/>
          <w:spacing w:val="2"/>
          <w:szCs w:val="21"/>
        </w:rPr>
        <w:t>（4）拟派项目经理须具备建筑工程专业贰级以上（含贰级）注册建造师执业资格，具备有效的安全生产考核合格证书（B类）复印件；</w:t>
      </w:r>
    </w:p>
    <w:p w14:paraId="5DA96689">
      <w:pPr>
        <w:spacing w:line="360" w:lineRule="auto"/>
        <w:ind w:firstLine="420" w:firstLineChars="200"/>
        <w:jc w:val="left"/>
        <w:rPr>
          <w:rFonts w:ascii="宋体" w:hAnsi="宋体"/>
          <w:color w:val="auto"/>
          <w:szCs w:val="21"/>
        </w:rPr>
      </w:pPr>
      <w:r>
        <w:rPr>
          <w:rFonts w:hint="eastAsia" w:ascii="宋体" w:hAnsi="宋体" w:cs="宋体"/>
          <w:color w:val="auto"/>
          <w:szCs w:val="21"/>
        </w:rPr>
        <w:t>（5）</w:t>
      </w:r>
      <w:r>
        <w:rPr>
          <w:rFonts w:hint="eastAsia" w:ascii="宋体" w:hAnsi="宋体"/>
          <w:color w:val="auto"/>
          <w:szCs w:val="21"/>
        </w:rPr>
        <w:t>供应商参与政府采购活动前三年在经营活动中没有重大违法记录的书面声明函；</w:t>
      </w:r>
    </w:p>
    <w:p w14:paraId="68F0B3A9">
      <w:pPr>
        <w:pStyle w:val="286"/>
        <w:spacing w:before="135" w:line="360" w:lineRule="auto"/>
        <w:ind w:left="113" w:right="102" w:firstLine="315" w:firstLineChars="150"/>
        <w:jc w:val="both"/>
        <w:rPr>
          <w:color w:val="auto"/>
          <w:lang w:eastAsia="zh-CN"/>
        </w:rPr>
      </w:pPr>
      <w:r>
        <w:rPr>
          <w:rFonts w:hint="eastAsia"/>
          <w:color w:val="auto"/>
          <w:lang w:eastAsia="zh-CN"/>
        </w:rPr>
        <w:t>（6）</w:t>
      </w:r>
      <w:r>
        <w:rPr>
          <w:rFonts w:hint="eastAsia"/>
          <w:color w:val="auto"/>
          <w:spacing w:val="1"/>
          <w:lang w:eastAsia="zh-CN"/>
        </w:rPr>
        <w:t>供应商财务状况报告（</w:t>
      </w:r>
      <w:r>
        <w:rPr>
          <w:rFonts w:ascii="Times New Roman" w:hAnsi="Times New Roman" w:eastAsia="Times New Roman" w:cs="Times New Roman"/>
          <w:color w:val="auto"/>
          <w:spacing w:val="1"/>
          <w:u w:val="single"/>
          <w:lang w:eastAsia="zh-CN"/>
        </w:rPr>
        <w:t>20</w:t>
      </w:r>
      <w:r>
        <w:rPr>
          <w:rFonts w:hint="eastAsia" w:ascii="Times New Roman" w:hAnsi="Times New Roman" w:eastAsia="Times New Roman" w:cs="Times New Roman"/>
          <w:color w:val="auto"/>
          <w:spacing w:val="1"/>
          <w:u w:val="single"/>
          <w:lang w:val="en-US" w:eastAsia="zh-CN"/>
        </w:rPr>
        <w:t>24</w:t>
      </w:r>
      <w:r>
        <w:rPr>
          <w:rFonts w:ascii="Times New Roman" w:hAnsi="Times New Roman" w:eastAsia="Times New Roman" w:cs="Times New Roman"/>
          <w:color w:val="auto"/>
          <w:spacing w:val="1"/>
          <w:u w:val="single"/>
          <w:lang w:eastAsia="zh-CN"/>
        </w:rPr>
        <w:t xml:space="preserve"> </w:t>
      </w:r>
      <w:r>
        <w:rPr>
          <w:rFonts w:hint="eastAsia"/>
          <w:color w:val="auto"/>
          <w:spacing w:val="1"/>
          <w:u w:val="single"/>
          <w:lang w:eastAsia="zh-CN"/>
        </w:rPr>
        <w:t>或</w:t>
      </w:r>
      <w:r>
        <w:rPr>
          <w:rFonts w:hint="eastAsia"/>
          <w:color w:val="auto"/>
          <w:spacing w:val="-51"/>
          <w:u w:val="single"/>
          <w:lang w:eastAsia="zh-CN"/>
        </w:rPr>
        <w:t xml:space="preserve"> </w:t>
      </w:r>
      <w:r>
        <w:rPr>
          <w:rFonts w:ascii="Times New Roman" w:hAnsi="Times New Roman" w:eastAsia="Times New Roman" w:cs="Times New Roman"/>
          <w:color w:val="auto"/>
          <w:spacing w:val="1"/>
          <w:u w:val="single"/>
          <w:lang w:eastAsia="zh-CN"/>
        </w:rPr>
        <w:t>2</w:t>
      </w:r>
      <w:r>
        <w:rPr>
          <w:rFonts w:ascii="Times New Roman" w:hAnsi="Times New Roman" w:eastAsia="Times New Roman" w:cs="Times New Roman"/>
          <w:color w:val="auto"/>
          <w:u w:val="single"/>
          <w:lang w:eastAsia="zh-CN"/>
        </w:rPr>
        <w:t>02</w:t>
      </w:r>
      <w:r>
        <w:rPr>
          <w:rFonts w:hint="eastAsia" w:ascii="Times New Roman" w:hAnsi="Times New Roman" w:eastAsia="Times New Roman" w:cs="Times New Roman"/>
          <w:color w:val="auto"/>
          <w:u w:val="single"/>
          <w:lang w:val="en-US" w:eastAsia="zh-CN"/>
        </w:rPr>
        <w:t>5</w:t>
      </w:r>
      <w:r>
        <w:rPr>
          <w:rFonts w:hint="eastAsia"/>
          <w:color w:val="auto"/>
          <w:lang w:eastAsia="zh-CN"/>
        </w:rPr>
        <w:t xml:space="preserve">年度财务报表复印件，或者银行出具的资信证 </w:t>
      </w:r>
      <w:r>
        <w:rPr>
          <w:rFonts w:hint="eastAsia"/>
          <w:color w:val="auto"/>
          <w:spacing w:val="-3"/>
          <w:lang w:eastAsia="zh-CN"/>
        </w:rPr>
        <w:t>明，</w:t>
      </w:r>
      <w:r>
        <w:rPr>
          <w:rFonts w:hint="eastAsia"/>
          <w:color w:val="auto"/>
          <w:spacing w:val="-60"/>
          <w:lang w:eastAsia="zh-CN"/>
        </w:rPr>
        <w:t xml:space="preserve"> </w:t>
      </w:r>
      <w:r>
        <w:rPr>
          <w:rFonts w:hint="eastAsia"/>
          <w:color w:val="auto"/>
          <w:spacing w:val="-3"/>
          <w:lang w:eastAsia="zh-CN"/>
        </w:rPr>
        <w:t>或者中国人民银行征信中心出具的信用报告；</w:t>
      </w:r>
      <w:r>
        <w:rPr>
          <w:rFonts w:hint="eastAsia"/>
          <w:color w:val="auto"/>
          <w:spacing w:val="-4"/>
          <w:lang w:eastAsia="zh-CN"/>
        </w:rPr>
        <w:t>供应商属于成立时间在规定年度之</w:t>
      </w:r>
      <w:r>
        <w:rPr>
          <w:rFonts w:hint="eastAsia"/>
          <w:color w:val="auto"/>
          <w:lang w:eastAsia="zh-CN"/>
        </w:rPr>
        <w:t xml:space="preserve"> </w:t>
      </w:r>
      <w:r>
        <w:rPr>
          <w:rFonts w:hint="eastAsia"/>
          <w:color w:val="auto"/>
          <w:spacing w:val="-2"/>
          <w:lang w:eastAsia="zh-CN"/>
        </w:rPr>
        <w:t>后的法人或其他组织，需提供成立之日起至响应文件提交截止时间前的月报</w:t>
      </w:r>
      <w:r>
        <w:rPr>
          <w:rFonts w:hint="eastAsia"/>
          <w:color w:val="auto"/>
          <w:spacing w:val="-3"/>
          <w:lang w:eastAsia="zh-CN"/>
        </w:rPr>
        <w:t>表或银行</w:t>
      </w:r>
      <w:r>
        <w:rPr>
          <w:rFonts w:hint="eastAsia"/>
          <w:color w:val="auto"/>
          <w:spacing w:val="-2"/>
          <w:lang w:eastAsia="zh-CN"/>
        </w:rPr>
        <w:t>出具的资信证明或者中国人民银行征信中心出具的企业信用报告；资信证明</w:t>
      </w:r>
      <w:r>
        <w:rPr>
          <w:rFonts w:hint="eastAsia"/>
          <w:color w:val="auto"/>
          <w:spacing w:val="-3"/>
          <w:lang w:eastAsia="zh-CN"/>
        </w:rPr>
        <w:t>应在有效期内，未注明有效期的，银行出具时间至响应文件提交截止时间不得超过一年</w:t>
      </w:r>
      <w:r>
        <w:rPr>
          <w:rFonts w:hint="eastAsia"/>
          <w:color w:val="auto"/>
          <w:spacing w:val="-56"/>
          <w:w w:val="97"/>
          <w:lang w:eastAsia="zh-CN"/>
        </w:rPr>
        <w:t>）</w:t>
      </w:r>
      <w:r>
        <w:rPr>
          <w:rFonts w:hint="eastAsia"/>
          <w:color w:val="auto"/>
          <w:lang w:eastAsia="zh-CN"/>
        </w:rPr>
        <w:t>；</w:t>
      </w:r>
      <w:r>
        <w:rPr>
          <w:color w:val="auto"/>
          <w:lang w:eastAsia="zh-CN"/>
        </w:rPr>
        <w:t xml:space="preserve"> </w:t>
      </w:r>
    </w:p>
    <w:p w14:paraId="4FE09747">
      <w:pPr>
        <w:pStyle w:val="286"/>
        <w:spacing w:before="144" w:line="360" w:lineRule="auto"/>
        <w:ind w:left="113" w:right="102" w:firstLine="210" w:firstLineChars="100"/>
        <w:jc w:val="both"/>
        <w:rPr>
          <w:color w:val="auto"/>
          <w:lang w:eastAsia="zh-CN"/>
        </w:rPr>
      </w:pPr>
      <w:r>
        <w:rPr>
          <w:rFonts w:hint="eastAsia"/>
          <w:color w:val="auto"/>
          <w:lang w:eastAsia="zh-CN"/>
        </w:rPr>
        <w:t>（7）</w:t>
      </w:r>
      <w:r>
        <w:rPr>
          <w:rFonts w:hint="eastAsia"/>
          <w:color w:val="auto"/>
          <w:spacing w:val="-3"/>
          <w:lang w:eastAsia="zh-CN"/>
        </w:rPr>
        <w:t>供应商依法缴纳税收的相关材料（</w:t>
      </w:r>
      <w:r>
        <w:rPr>
          <w:rFonts w:hint="eastAsia"/>
          <w:color w:val="auto"/>
          <w:spacing w:val="-3"/>
          <w:u w:val="single"/>
          <w:lang w:eastAsia="zh-CN"/>
        </w:rPr>
        <w:t>202</w:t>
      </w:r>
      <w:r>
        <w:rPr>
          <w:rFonts w:hint="eastAsia"/>
          <w:color w:val="auto"/>
          <w:spacing w:val="-3"/>
          <w:u w:val="single"/>
          <w:lang w:val="en-US" w:eastAsia="zh-CN"/>
        </w:rPr>
        <w:t>5</w:t>
      </w:r>
      <w:r>
        <w:rPr>
          <w:rFonts w:hint="eastAsia"/>
          <w:color w:val="auto"/>
          <w:spacing w:val="-29"/>
          <w:u w:val="single"/>
          <w:lang w:eastAsia="zh-CN"/>
        </w:rPr>
        <w:t xml:space="preserve"> </w:t>
      </w:r>
      <w:r>
        <w:rPr>
          <w:rFonts w:hint="eastAsia"/>
          <w:color w:val="auto"/>
          <w:spacing w:val="-3"/>
          <w:lang w:eastAsia="zh-CN"/>
        </w:rPr>
        <w:t>年</w:t>
      </w:r>
      <w:r>
        <w:rPr>
          <w:rFonts w:hint="eastAsia"/>
          <w:color w:val="auto"/>
          <w:spacing w:val="-44"/>
          <w:lang w:val="en-US" w:eastAsia="zh-CN"/>
        </w:rPr>
        <w:t>12</w:t>
      </w:r>
      <w:r>
        <w:rPr>
          <w:rFonts w:hint="eastAsia"/>
          <w:color w:val="auto"/>
          <w:spacing w:val="-39"/>
          <w:u w:val="single"/>
          <w:lang w:eastAsia="zh-CN"/>
        </w:rPr>
        <w:t xml:space="preserve"> </w:t>
      </w:r>
      <w:r>
        <w:rPr>
          <w:rFonts w:hint="eastAsia"/>
          <w:color w:val="auto"/>
          <w:spacing w:val="-3"/>
          <w:lang w:eastAsia="zh-CN"/>
        </w:rPr>
        <w:t>月至</w:t>
      </w:r>
      <w:r>
        <w:rPr>
          <w:rFonts w:hint="eastAsia"/>
          <w:color w:val="auto"/>
          <w:spacing w:val="-44"/>
          <w:lang w:eastAsia="zh-CN"/>
        </w:rPr>
        <w:t xml:space="preserve"> </w:t>
      </w:r>
      <w:r>
        <w:rPr>
          <w:rFonts w:hint="eastAsia"/>
          <w:color w:val="auto"/>
          <w:spacing w:val="-3"/>
          <w:u w:val="single"/>
          <w:lang w:eastAsia="zh-CN"/>
        </w:rPr>
        <w:t>20</w:t>
      </w:r>
      <w:r>
        <w:rPr>
          <w:rFonts w:hint="eastAsia"/>
          <w:color w:val="auto"/>
          <w:spacing w:val="-3"/>
          <w:u w:val="single"/>
          <w:lang w:val="en-US" w:eastAsia="zh-CN"/>
        </w:rPr>
        <w:t>26</w:t>
      </w:r>
      <w:r>
        <w:rPr>
          <w:rFonts w:hint="eastAsia"/>
          <w:color w:val="auto"/>
          <w:spacing w:val="-3"/>
          <w:lang w:eastAsia="zh-CN"/>
        </w:rPr>
        <w:t>年</w:t>
      </w:r>
      <w:r>
        <w:rPr>
          <w:rFonts w:hint="eastAsia"/>
          <w:color w:val="auto"/>
          <w:spacing w:val="-52"/>
          <w:lang w:eastAsia="zh-CN"/>
        </w:rPr>
        <w:t xml:space="preserve"> </w:t>
      </w:r>
      <w:r>
        <w:rPr>
          <w:rFonts w:hint="eastAsia" w:eastAsiaTheme="minorEastAsia"/>
          <w:color w:val="auto"/>
          <w:spacing w:val="-3"/>
          <w:u w:val="single"/>
          <w:lang w:val="en-US" w:eastAsia="zh-CN"/>
        </w:rPr>
        <w:t>5</w:t>
      </w:r>
      <w:r>
        <w:rPr>
          <w:rFonts w:hint="eastAsia"/>
          <w:color w:val="auto"/>
          <w:spacing w:val="-3"/>
          <w:lang w:eastAsia="zh-CN"/>
        </w:rPr>
        <w:t>月内连续</w:t>
      </w:r>
      <w:r>
        <w:rPr>
          <w:rFonts w:hint="eastAsia"/>
          <w:color w:val="auto"/>
          <w:spacing w:val="-42"/>
          <w:lang w:eastAsia="zh-CN"/>
        </w:rPr>
        <w:t xml:space="preserve"> </w:t>
      </w:r>
      <w:r>
        <w:rPr>
          <w:rFonts w:hint="eastAsia"/>
          <w:color w:val="auto"/>
          <w:spacing w:val="-3"/>
          <w:u w:val="single"/>
          <w:lang w:eastAsia="zh-CN"/>
        </w:rPr>
        <w:t>3</w:t>
      </w:r>
      <w:r>
        <w:rPr>
          <w:rFonts w:hint="eastAsia"/>
          <w:color w:val="auto"/>
          <w:spacing w:val="-44"/>
          <w:u w:val="single"/>
          <w:lang w:eastAsia="zh-CN"/>
        </w:rPr>
        <w:t xml:space="preserve"> </w:t>
      </w:r>
      <w:r>
        <w:rPr>
          <w:rFonts w:hint="eastAsia"/>
          <w:color w:val="auto"/>
          <w:spacing w:val="-3"/>
          <w:lang w:eastAsia="zh-CN"/>
        </w:rPr>
        <w:t>个月的依</w:t>
      </w:r>
      <w:r>
        <w:rPr>
          <w:rFonts w:hint="eastAsia"/>
          <w:color w:val="auto"/>
          <w:spacing w:val="-2"/>
          <w:lang w:eastAsia="zh-CN"/>
        </w:rPr>
        <w:t>法缴纳税收的凭据复印件；依法免税的，必须提供相应文件证明其依法免税。</w:t>
      </w:r>
      <w:r>
        <w:rPr>
          <w:rFonts w:hint="eastAsia"/>
          <w:color w:val="auto"/>
          <w:spacing w:val="-3"/>
          <w:lang w:eastAsia="zh-CN"/>
        </w:rPr>
        <w:t>从成立</w:t>
      </w:r>
      <w:r>
        <w:rPr>
          <w:rFonts w:hint="eastAsia"/>
          <w:color w:val="auto"/>
          <w:spacing w:val="-2"/>
          <w:lang w:eastAsia="zh-CN"/>
        </w:rPr>
        <w:t>之日起到响应文件提交截止时间止不足要求月数的，只需提供从成立之日起的</w:t>
      </w:r>
      <w:r>
        <w:rPr>
          <w:rFonts w:hint="eastAsia"/>
          <w:color w:val="auto"/>
          <w:spacing w:val="-3"/>
          <w:lang w:eastAsia="zh-CN"/>
        </w:rPr>
        <w:t>依法缴</w:t>
      </w:r>
      <w:r>
        <w:rPr>
          <w:rFonts w:hint="eastAsia"/>
          <w:color w:val="auto"/>
          <w:spacing w:val="1"/>
          <w:lang w:eastAsia="zh-CN"/>
        </w:rPr>
        <w:t>纳税收相应证明文件</w:t>
      </w:r>
      <w:r>
        <w:rPr>
          <w:rFonts w:hint="eastAsia"/>
          <w:color w:val="auto"/>
          <w:spacing w:val="-32"/>
          <w:lang w:eastAsia="zh-CN"/>
        </w:rPr>
        <w:t>）；</w:t>
      </w:r>
      <w:r>
        <w:rPr>
          <w:color w:val="auto"/>
          <w:lang w:eastAsia="zh-CN"/>
        </w:rPr>
        <w:t xml:space="preserve"> </w:t>
      </w:r>
    </w:p>
    <w:p w14:paraId="0A0C9DFB">
      <w:pPr>
        <w:pStyle w:val="286"/>
        <w:spacing w:before="219" w:line="360" w:lineRule="auto"/>
        <w:ind w:left="113" w:right="60"/>
        <w:rPr>
          <w:color w:val="auto"/>
          <w:lang w:eastAsia="zh-CN"/>
        </w:rPr>
      </w:pPr>
      <w:bookmarkStart w:id="53" w:name="_Hlk86744247"/>
      <w:r>
        <w:rPr>
          <w:rFonts w:hint="eastAsia"/>
          <w:color w:val="auto"/>
          <w:lang w:eastAsia="zh-CN"/>
        </w:rPr>
        <w:t xml:space="preserve">(8) </w:t>
      </w:r>
      <w:r>
        <w:rPr>
          <w:rFonts w:hint="eastAsia"/>
          <w:color w:val="auto"/>
          <w:spacing w:val="-3"/>
          <w:lang w:eastAsia="zh-CN"/>
        </w:rPr>
        <w:t>供应商依法缴纳社会保障资金的相关材料[</w:t>
      </w:r>
      <w:r>
        <w:rPr>
          <w:rFonts w:hint="eastAsia"/>
          <w:color w:val="auto"/>
          <w:spacing w:val="-3"/>
          <w:u w:val="single"/>
          <w:lang w:eastAsia="zh-CN"/>
        </w:rPr>
        <w:t>202</w:t>
      </w:r>
      <w:r>
        <w:rPr>
          <w:rFonts w:hint="eastAsia"/>
          <w:color w:val="auto"/>
          <w:spacing w:val="-3"/>
          <w:u w:val="single"/>
          <w:lang w:val="en-US" w:eastAsia="zh-CN"/>
        </w:rPr>
        <w:t>5</w:t>
      </w:r>
      <w:r>
        <w:rPr>
          <w:rFonts w:hint="eastAsia"/>
          <w:color w:val="auto"/>
          <w:spacing w:val="-29"/>
          <w:u w:val="single"/>
          <w:lang w:eastAsia="zh-CN"/>
        </w:rPr>
        <w:t xml:space="preserve"> </w:t>
      </w:r>
      <w:r>
        <w:rPr>
          <w:rFonts w:hint="eastAsia"/>
          <w:color w:val="auto"/>
          <w:spacing w:val="-3"/>
          <w:lang w:eastAsia="zh-CN"/>
        </w:rPr>
        <w:t>年</w:t>
      </w:r>
      <w:r>
        <w:rPr>
          <w:rFonts w:hint="eastAsia"/>
          <w:color w:val="auto"/>
          <w:spacing w:val="-44"/>
          <w:u w:val="single"/>
          <w:lang w:val="en-US" w:eastAsia="zh-CN"/>
        </w:rPr>
        <w:t xml:space="preserve">12     </w:t>
      </w:r>
      <w:r>
        <w:rPr>
          <w:rFonts w:hint="eastAsia"/>
          <w:color w:val="auto"/>
          <w:spacing w:val="-3"/>
          <w:lang w:eastAsia="zh-CN"/>
        </w:rPr>
        <w:t>月至</w:t>
      </w:r>
      <w:r>
        <w:rPr>
          <w:rFonts w:hint="eastAsia"/>
          <w:color w:val="auto"/>
          <w:spacing w:val="-44"/>
          <w:lang w:eastAsia="zh-CN"/>
        </w:rPr>
        <w:t xml:space="preserve"> </w:t>
      </w:r>
      <w:r>
        <w:rPr>
          <w:rFonts w:hint="eastAsia"/>
          <w:color w:val="auto"/>
          <w:spacing w:val="-3"/>
          <w:u w:val="single"/>
          <w:lang w:eastAsia="zh-CN"/>
        </w:rPr>
        <w:t>20</w:t>
      </w:r>
      <w:r>
        <w:rPr>
          <w:rFonts w:hint="eastAsia"/>
          <w:color w:val="auto"/>
          <w:spacing w:val="-3"/>
          <w:u w:val="single"/>
          <w:lang w:val="en-US" w:eastAsia="zh-CN"/>
        </w:rPr>
        <w:t>26</w:t>
      </w:r>
      <w:r>
        <w:rPr>
          <w:rFonts w:hint="eastAsia"/>
          <w:color w:val="auto"/>
          <w:spacing w:val="-3"/>
          <w:lang w:eastAsia="zh-CN"/>
        </w:rPr>
        <w:t>年</w:t>
      </w:r>
      <w:r>
        <w:rPr>
          <w:rFonts w:hint="eastAsia"/>
          <w:color w:val="auto"/>
          <w:spacing w:val="-52"/>
          <w:lang w:eastAsia="zh-CN"/>
        </w:rPr>
        <w:t xml:space="preserve"> </w:t>
      </w:r>
      <w:r>
        <w:rPr>
          <w:rFonts w:hint="eastAsia" w:eastAsiaTheme="minorEastAsia"/>
          <w:color w:val="auto"/>
          <w:spacing w:val="-3"/>
          <w:u w:val="single"/>
          <w:lang w:val="en-US" w:eastAsia="zh-CN"/>
        </w:rPr>
        <w:t>5</w:t>
      </w:r>
      <w:r>
        <w:rPr>
          <w:rFonts w:hint="eastAsia"/>
          <w:color w:val="auto"/>
          <w:spacing w:val="-3"/>
          <w:lang w:eastAsia="zh-CN"/>
        </w:rPr>
        <w:t>月内连续</w:t>
      </w:r>
      <w:r>
        <w:rPr>
          <w:rFonts w:hint="eastAsia"/>
          <w:color w:val="auto"/>
          <w:spacing w:val="-42"/>
          <w:lang w:eastAsia="zh-CN"/>
        </w:rPr>
        <w:t xml:space="preserve"> </w:t>
      </w:r>
      <w:r>
        <w:rPr>
          <w:rFonts w:hint="eastAsia"/>
          <w:color w:val="auto"/>
          <w:spacing w:val="-3"/>
          <w:u w:val="single"/>
          <w:lang w:eastAsia="zh-CN"/>
        </w:rPr>
        <w:t>3</w:t>
      </w:r>
      <w:r>
        <w:rPr>
          <w:rFonts w:hint="eastAsia"/>
          <w:color w:val="auto"/>
          <w:spacing w:val="-49"/>
          <w:u w:val="single"/>
          <w:lang w:eastAsia="zh-CN"/>
        </w:rPr>
        <w:t xml:space="preserve"> </w:t>
      </w:r>
      <w:r>
        <w:rPr>
          <w:rFonts w:hint="eastAsia"/>
          <w:color w:val="auto"/>
          <w:spacing w:val="-3"/>
          <w:lang w:eastAsia="zh-CN"/>
        </w:rPr>
        <w:t>个月的依法缴纳社会保障资金的缴费凭证（专用收据或者社会保险缴纳清单）</w:t>
      </w:r>
      <w:r>
        <w:rPr>
          <w:rFonts w:hint="eastAsia"/>
          <w:color w:val="auto"/>
          <w:spacing w:val="-29"/>
          <w:lang w:eastAsia="zh-CN"/>
        </w:rPr>
        <w:t xml:space="preserve"> </w:t>
      </w:r>
      <w:r>
        <w:rPr>
          <w:rFonts w:hint="eastAsia"/>
          <w:color w:val="auto"/>
          <w:spacing w:val="-3"/>
          <w:lang w:eastAsia="zh-CN"/>
        </w:rPr>
        <w:t>复印件；</w:t>
      </w:r>
      <w:r>
        <w:rPr>
          <w:rFonts w:hint="eastAsia"/>
          <w:color w:val="auto"/>
          <w:lang w:eastAsia="zh-CN"/>
        </w:rPr>
        <w:t xml:space="preserve"> </w:t>
      </w:r>
      <w:r>
        <w:rPr>
          <w:rFonts w:hint="eastAsia"/>
          <w:color w:val="auto"/>
          <w:spacing w:val="-1"/>
          <w:lang w:eastAsia="zh-CN"/>
        </w:rPr>
        <w:t>依法不需要缴纳社会保障资金的，必须提供相应文件证明不需要缴纳社会保障资金。</w:t>
      </w:r>
      <w:r>
        <w:rPr>
          <w:rFonts w:hint="eastAsia"/>
          <w:color w:val="auto"/>
          <w:spacing w:val="2"/>
          <w:lang w:eastAsia="zh-CN"/>
        </w:rPr>
        <w:t xml:space="preserve"> </w:t>
      </w:r>
      <w:r>
        <w:rPr>
          <w:rFonts w:hint="eastAsia"/>
          <w:color w:val="auto"/>
          <w:lang w:eastAsia="zh-CN"/>
        </w:rPr>
        <w:t>从成立之日起到响应文件提交截止时间止不足要求月数的只需提供从成立之</w:t>
      </w:r>
      <w:r>
        <w:rPr>
          <w:rFonts w:hint="eastAsia"/>
          <w:color w:val="auto"/>
          <w:spacing w:val="-1"/>
          <w:lang w:eastAsia="zh-CN"/>
        </w:rPr>
        <w:t>日起的</w:t>
      </w:r>
      <w:r>
        <w:rPr>
          <w:rFonts w:hint="eastAsia"/>
          <w:color w:val="auto"/>
          <w:spacing w:val="1"/>
          <w:lang w:eastAsia="zh-CN"/>
        </w:rPr>
        <w:t>依法缴纳社会保障资金的相应证明文件</w:t>
      </w:r>
      <w:r>
        <w:rPr>
          <w:color w:val="auto"/>
          <w:spacing w:val="1"/>
          <w:lang w:eastAsia="zh-CN"/>
        </w:rPr>
        <w:t>]</w:t>
      </w:r>
      <w:r>
        <w:rPr>
          <w:rFonts w:hint="eastAsia"/>
          <w:color w:val="auto"/>
          <w:spacing w:val="-16"/>
          <w:lang w:eastAsia="zh-CN"/>
        </w:rPr>
        <w:t>；</w:t>
      </w:r>
      <w:r>
        <w:rPr>
          <w:color w:val="auto"/>
          <w:lang w:eastAsia="zh-CN"/>
        </w:rPr>
        <w:t xml:space="preserve"> </w:t>
      </w:r>
    </w:p>
    <w:p w14:paraId="651112F6">
      <w:pPr>
        <w:pStyle w:val="286"/>
        <w:spacing w:before="159" w:line="360" w:lineRule="auto"/>
        <w:ind w:left="113" w:right="31" w:firstLine="14"/>
        <w:rPr>
          <w:color w:val="auto"/>
          <w:lang w:eastAsia="zh-CN"/>
        </w:rPr>
      </w:pPr>
      <w:r>
        <w:rPr>
          <w:rFonts w:hint="eastAsia"/>
          <w:color w:val="auto"/>
          <w:lang w:eastAsia="zh-CN"/>
        </w:rPr>
        <w:t>（9）供应商为中小企业或者监狱企业或者残</w:t>
      </w:r>
      <w:r>
        <w:rPr>
          <w:rFonts w:hint="eastAsia"/>
          <w:color w:val="auto"/>
          <w:spacing w:val="-1"/>
          <w:lang w:eastAsia="zh-CN"/>
        </w:rPr>
        <w:t>疾人福利性单位的资格证明材料【供应商</w:t>
      </w:r>
      <w:r>
        <w:rPr>
          <w:rFonts w:hint="eastAsia"/>
          <w:color w:val="auto"/>
          <w:spacing w:val="-4"/>
          <w:lang w:eastAsia="zh-CN"/>
        </w:rPr>
        <w:t>为中小企业的应当提供《中小企业声明函》；</w:t>
      </w:r>
      <w:r>
        <w:rPr>
          <w:rFonts w:hint="eastAsia"/>
          <w:color w:val="auto"/>
          <w:spacing w:val="-32"/>
          <w:lang w:eastAsia="zh-CN"/>
        </w:rPr>
        <w:t xml:space="preserve"> </w:t>
      </w:r>
      <w:r>
        <w:rPr>
          <w:rFonts w:hint="eastAsia"/>
          <w:color w:val="auto"/>
          <w:spacing w:val="-4"/>
          <w:lang w:eastAsia="zh-CN"/>
        </w:rPr>
        <w:t>供应商为残疾</w:t>
      </w:r>
      <w:r>
        <w:rPr>
          <w:rFonts w:hint="eastAsia"/>
          <w:color w:val="auto"/>
          <w:spacing w:val="-5"/>
          <w:lang w:eastAsia="zh-CN"/>
        </w:rPr>
        <w:t xml:space="preserve">人福利性单位的应当提供 </w:t>
      </w:r>
      <w:r>
        <w:rPr>
          <w:rFonts w:hint="eastAsia"/>
          <w:color w:val="auto"/>
          <w:spacing w:val="-6"/>
          <w:lang w:eastAsia="zh-CN"/>
        </w:rPr>
        <w:t>《残疾人福利性单位声明函》；供应商为监狱企业的应当提供由省级以上监狱管理局、</w:t>
      </w:r>
      <w:r>
        <w:rPr>
          <w:rFonts w:hint="eastAsia"/>
          <w:color w:val="auto"/>
          <w:spacing w:val="-4"/>
          <w:lang w:eastAsia="zh-CN"/>
        </w:rPr>
        <w:t>戒毒管理局（含新疆生产建设兵团）</w:t>
      </w:r>
      <w:r>
        <w:rPr>
          <w:rFonts w:hint="eastAsia"/>
          <w:color w:val="auto"/>
          <w:spacing w:val="-37"/>
          <w:lang w:eastAsia="zh-CN"/>
        </w:rPr>
        <w:t xml:space="preserve"> </w:t>
      </w:r>
      <w:r>
        <w:rPr>
          <w:rFonts w:hint="eastAsia"/>
          <w:color w:val="auto"/>
          <w:spacing w:val="-4"/>
          <w:lang w:eastAsia="zh-CN"/>
        </w:rPr>
        <w:t>出具的属于监狱企业的证明文件】（声明函格式</w:t>
      </w:r>
      <w:r>
        <w:rPr>
          <w:rFonts w:hint="eastAsia"/>
          <w:color w:val="auto"/>
          <w:spacing w:val="-3"/>
          <w:lang w:eastAsia="zh-CN"/>
        </w:rPr>
        <w:t>后附</w:t>
      </w:r>
      <w:r>
        <w:rPr>
          <w:rFonts w:hint="eastAsia"/>
          <w:color w:val="auto"/>
          <w:spacing w:val="-13"/>
          <w:lang w:eastAsia="zh-CN"/>
        </w:rPr>
        <w:t>）</w:t>
      </w:r>
      <w:r>
        <w:rPr>
          <w:rFonts w:hint="eastAsia"/>
          <w:color w:val="auto"/>
          <w:lang w:eastAsia="zh-CN"/>
        </w:rPr>
        <w:t xml:space="preserve">； </w:t>
      </w:r>
    </w:p>
    <w:p w14:paraId="002060A2">
      <w:pPr>
        <w:pStyle w:val="286"/>
        <w:spacing w:before="155" w:line="360" w:lineRule="auto"/>
        <w:ind w:left="127"/>
        <w:rPr>
          <w:snapToGrid w:val="0"/>
          <w:color w:val="auto"/>
          <w:lang w:eastAsia="zh-CN"/>
        </w:rPr>
      </w:pPr>
      <w:r>
        <w:rPr>
          <w:rFonts w:hint="eastAsia"/>
          <w:color w:val="auto"/>
          <w:lang w:eastAsia="zh-CN"/>
        </w:rPr>
        <w:t>（10）</w:t>
      </w:r>
      <w:bookmarkEnd w:id="51"/>
      <w:bookmarkEnd w:id="53"/>
      <w:bookmarkStart w:id="54" w:name="_Hlk86744419"/>
      <w:r>
        <w:rPr>
          <w:rFonts w:hint="eastAsia"/>
          <w:snapToGrid w:val="0"/>
          <w:color w:val="auto"/>
          <w:spacing w:val="-1"/>
          <w:lang w:eastAsia="zh-CN"/>
        </w:rPr>
        <w:t>除磋商文件规定必须提供以外，供应商认为需要提供的其他证明材料。</w:t>
      </w:r>
    </w:p>
    <w:p w14:paraId="42685B45">
      <w:pPr>
        <w:widowControl/>
        <w:kinsoku w:val="0"/>
        <w:autoSpaceDE w:val="0"/>
        <w:autoSpaceDN w:val="0"/>
        <w:adjustRightInd w:val="0"/>
        <w:snapToGrid w:val="0"/>
        <w:spacing w:before="158" w:line="360" w:lineRule="auto"/>
        <w:ind w:left="112"/>
        <w:jc w:val="left"/>
        <w:textAlignment w:val="baseline"/>
        <w:rPr>
          <w:rFonts w:ascii="宋体" w:hAnsi="宋体" w:cs="宋体"/>
          <w:b/>
          <w:snapToGrid w:val="0"/>
          <w:color w:val="auto"/>
          <w:kern w:val="0"/>
          <w:szCs w:val="21"/>
        </w:rPr>
      </w:pPr>
      <w:r>
        <w:rPr>
          <w:rFonts w:hint="eastAsia" w:ascii="宋体" w:hAnsi="宋体" w:cs="宋体"/>
          <w:b/>
          <w:snapToGrid w:val="0"/>
          <w:color w:val="auto"/>
          <w:spacing w:val="-14"/>
          <w:kern w:val="0"/>
          <w:szCs w:val="21"/>
        </w:rPr>
        <w:t>注：</w:t>
      </w:r>
    </w:p>
    <w:p w14:paraId="3855D2DB">
      <w:pPr>
        <w:widowControl/>
        <w:kinsoku w:val="0"/>
        <w:autoSpaceDE w:val="0"/>
        <w:autoSpaceDN w:val="0"/>
        <w:adjustRightInd w:val="0"/>
        <w:snapToGrid w:val="0"/>
        <w:spacing w:before="152" w:line="411" w:lineRule="exact"/>
        <w:ind w:left="540"/>
        <w:jc w:val="left"/>
        <w:textAlignment w:val="baseline"/>
        <w:rPr>
          <w:rFonts w:ascii="Arial" w:hAnsi="Arial" w:cs="Arial" w:eastAsiaTheme="minorEastAsia"/>
          <w:b/>
          <w:snapToGrid w:val="0"/>
          <w:color w:val="auto"/>
          <w:spacing w:val="-1"/>
          <w:kern w:val="0"/>
          <w:szCs w:val="21"/>
        </w:rPr>
      </w:pPr>
      <w:r>
        <w:rPr>
          <w:rFonts w:hint="eastAsia" w:ascii="宋体" w:hAnsi="宋体" w:cs="宋体"/>
          <w:b/>
          <w:snapToGrid w:val="0"/>
          <w:color w:val="auto"/>
          <w:spacing w:val="-3"/>
          <w:kern w:val="0"/>
          <w:position w:val="15"/>
          <w:szCs w:val="21"/>
        </w:rPr>
        <w:t>以上标明</w:t>
      </w:r>
      <w:r>
        <w:rPr>
          <w:rFonts w:ascii="宋体" w:hAnsi="宋体" w:cs="宋体"/>
          <w:b/>
          <w:snapToGrid w:val="0"/>
          <w:color w:val="auto"/>
          <w:spacing w:val="-3"/>
          <w:kern w:val="0"/>
          <w:position w:val="15"/>
          <w:szCs w:val="21"/>
        </w:rPr>
        <w:t>“</w:t>
      </w:r>
      <w:r>
        <w:rPr>
          <w:rFonts w:hint="eastAsia" w:ascii="宋体" w:hAnsi="宋体" w:cs="宋体"/>
          <w:b/>
          <w:snapToGrid w:val="0"/>
          <w:color w:val="auto"/>
          <w:spacing w:val="-3"/>
          <w:kern w:val="0"/>
          <w:position w:val="15"/>
          <w:szCs w:val="21"/>
        </w:rPr>
        <w:t>必须提供</w:t>
      </w:r>
      <w:r>
        <w:rPr>
          <w:rFonts w:ascii="宋体" w:hAnsi="宋体" w:cs="宋体"/>
          <w:b/>
          <w:snapToGrid w:val="0"/>
          <w:color w:val="auto"/>
          <w:spacing w:val="-3"/>
          <w:kern w:val="0"/>
          <w:position w:val="15"/>
          <w:szCs w:val="21"/>
        </w:rPr>
        <w:t>”</w:t>
      </w:r>
      <w:r>
        <w:rPr>
          <w:rFonts w:hint="eastAsia" w:ascii="宋体" w:hAnsi="宋体" w:cs="宋体"/>
          <w:b/>
          <w:snapToGrid w:val="0"/>
          <w:color w:val="auto"/>
          <w:spacing w:val="-3"/>
          <w:kern w:val="0"/>
          <w:position w:val="15"/>
          <w:szCs w:val="21"/>
        </w:rPr>
        <w:t xml:space="preserve">的材料属于复印件的，必须加盖供应商电子签章，否则响应文件按无效处理。 </w:t>
      </w:r>
    </w:p>
    <w:p w14:paraId="3528AF87">
      <w:pPr>
        <w:spacing w:line="460" w:lineRule="exact"/>
        <w:ind w:firstLine="422" w:firstLineChars="200"/>
        <w:rPr>
          <w:rFonts w:ascii="宋体" w:hAnsi="宋体"/>
          <w:b/>
          <w:color w:val="auto"/>
          <w:szCs w:val="21"/>
        </w:rPr>
      </w:pPr>
      <w:r>
        <w:rPr>
          <w:rFonts w:hint="eastAsia" w:ascii="宋体" w:hAnsi="宋体"/>
          <w:b/>
          <w:color w:val="auto"/>
          <w:szCs w:val="21"/>
        </w:rPr>
        <w:t>9</w:t>
      </w:r>
      <w:r>
        <w:rPr>
          <w:rFonts w:ascii="宋体" w:hAnsi="宋体"/>
          <w:b/>
          <w:color w:val="auto"/>
          <w:szCs w:val="21"/>
        </w:rPr>
        <w:t>.3</w:t>
      </w:r>
      <w:r>
        <w:rPr>
          <w:rFonts w:hint="eastAsia" w:ascii="宋体" w:hAnsi="宋体"/>
          <w:b/>
          <w:color w:val="auto"/>
          <w:szCs w:val="21"/>
        </w:rPr>
        <w:t xml:space="preserve"> </w:t>
      </w:r>
      <w:r>
        <w:rPr>
          <w:rFonts w:ascii="宋体" w:hAnsi="宋体"/>
          <w:b/>
          <w:color w:val="auto"/>
          <w:szCs w:val="21"/>
        </w:rPr>
        <w:t xml:space="preserve"> 商务</w:t>
      </w:r>
      <w:r>
        <w:rPr>
          <w:rFonts w:hint="eastAsia" w:ascii="宋体" w:hAnsi="宋体"/>
          <w:b/>
          <w:color w:val="auto"/>
          <w:szCs w:val="21"/>
        </w:rPr>
        <w:t>技术文件</w:t>
      </w:r>
    </w:p>
    <w:p w14:paraId="0DA9A7FE">
      <w:pPr>
        <w:spacing w:line="460" w:lineRule="exact"/>
        <w:ind w:firstLine="413" w:firstLineChars="196"/>
        <w:rPr>
          <w:rFonts w:ascii="宋体" w:hAnsi="宋体"/>
          <w:b/>
          <w:color w:val="auto"/>
          <w:szCs w:val="21"/>
        </w:rPr>
      </w:pPr>
      <w:r>
        <w:rPr>
          <w:rFonts w:hint="eastAsia" w:ascii="宋体" w:hAnsi="宋体"/>
          <w:b/>
          <w:color w:val="auto"/>
          <w:szCs w:val="21"/>
        </w:rPr>
        <w:t>9.3.1</w:t>
      </w:r>
      <w:r>
        <w:rPr>
          <w:rFonts w:ascii="宋体" w:hAnsi="宋体"/>
          <w:b/>
          <w:color w:val="auto"/>
          <w:szCs w:val="21"/>
        </w:rPr>
        <w:t>商务</w:t>
      </w:r>
      <w:r>
        <w:rPr>
          <w:rFonts w:hint="eastAsia" w:ascii="宋体" w:hAnsi="宋体"/>
          <w:b/>
          <w:color w:val="auto"/>
          <w:szCs w:val="21"/>
        </w:rPr>
        <w:t>文件应</w:t>
      </w:r>
      <w:r>
        <w:rPr>
          <w:rFonts w:ascii="宋体" w:hAnsi="宋体"/>
          <w:b/>
          <w:color w:val="auto"/>
          <w:szCs w:val="21"/>
        </w:rPr>
        <w:t>包括下列内容</w:t>
      </w:r>
      <w:r>
        <w:rPr>
          <w:rFonts w:hint="eastAsia" w:ascii="宋体" w:hAnsi="宋体"/>
          <w:b/>
          <w:color w:val="auto"/>
          <w:szCs w:val="21"/>
        </w:rPr>
        <w:t>：</w:t>
      </w:r>
    </w:p>
    <w:p w14:paraId="14E4C9A5">
      <w:pPr>
        <w:spacing w:line="460" w:lineRule="exact"/>
        <w:ind w:firstLine="420" w:firstLineChars="200"/>
        <w:rPr>
          <w:rFonts w:ascii="宋体" w:hAnsi="宋体" w:cs="宋体"/>
          <w:color w:val="auto"/>
          <w:szCs w:val="21"/>
        </w:rPr>
      </w:pPr>
      <w:r>
        <w:rPr>
          <w:rFonts w:hint="eastAsia" w:ascii="宋体" w:hAnsi="宋体" w:cs="宋体"/>
          <w:color w:val="auto"/>
          <w:szCs w:val="21"/>
        </w:rPr>
        <w:t>（1）无串通投标行为的承诺函（格式后附）；（必须提供，否则</w:t>
      </w:r>
      <w:r>
        <w:rPr>
          <w:rFonts w:hint="eastAsia" w:ascii="宋体" w:hAnsi="宋体" w:cs="宋体"/>
          <w:color w:val="auto"/>
          <w:szCs w:val="21"/>
          <w:lang w:eastAsia="zh-CN"/>
        </w:rPr>
        <w:t>响应</w:t>
      </w:r>
      <w:r>
        <w:rPr>
          <w:rFonts w:hint="eastAsia" w:ascii="宋体" w:hAnsi="宋体" w:cs="宋体"/>
          <w:color w:val="auto"/>
          <w:szCs w:val="21"/>
        </w:rPr>
        <w:t>文件按无效投标处理）</w:t>
      </w:r>
    </w:p>
    <w:p w14:paraId="0A8C100E">
      <w:pPr>
        <w:spacing w:line="460" w:lineRule="exact"/>
        <w:ind w:firstLine="420" w:firstLineChars="200"/>
        <w:rPr>
          <w:rFonts w:ascii="宋体" w:hAnsi="宋体" w:cs="宋体"/>
          <w:color w:val="auto"/>
          <w:szCs w:val="21"/>
        </w:rPr>
      </w:pPr>
      <w:r>
        <w:rPr>
          <w:rFonts w:hint="eastAsia" w:ascii="宋体" w:hAnsi="宋体" w:cs="宋体"/>
          <w:color w:val="auto"/>
          <w:szCs w:val="21"/>
        </w:rPr>
        <w:t>（2）法定代表人授权委托书和委托代理人身份证扫描件(授权委托代理时提供)；当法定代表人参加投标时，仅需提供法定代表人的身份证扫描件；</w:t>
      </w:r>
    </w:p>
    <w:p w14:paraId="242D6A4F">
      <w:pPr>
        <w:spacing w:line="460" w:lineRule="exact"/>
        <w:ind w:firstLine="420" w:firstLineChars="200"/>
        <w:rPr>
          <w:rFonts w:ascii="宋体" w:hAnsi="宋体" w:cs="宋体"/>
          <w:color w:val="auto"/>
          <w:szCs w:val="21"/>
        </w:rPr>
      </w:pPr>
      <w:r>
        <w:rPr>
          <w:rFonts w:hint="eastAsia" w:ascii="宋体" w:hAnsi="宋体" w:cs="宋体"/>
          <w:color w:val="auto"/>
          <w:szCs w:val="21"/>
        </w:rPr>
        <w:t>（3）足额缴纳农民工工资的承诺书；</w:t>
      </w:r>
    </w:p>
    <w:p w14:paraId="41D92260">
      <w:pPr>
        <w:spacing w:line="460" w:lineRule="exact"/>
        <w:ind w:firstLine="420" w:firstLineChars="200"/>
        <w:rPr>
          <w:rFonts w:ascii="宋体" w:hAnsi="宋体" w:cs="宋体"/>
          <w:color w:val="auto"/>
          <w:szCs w:val="21"/>
        </w:rPr>
      </w:pPr>
      <w:r>
        <w:rPr>
          <w:rFonts w:hint="eastAsia" w:ascii="宋体" w:hAnsi="宋体" w:cs="宋体"/>
          <w:color w:val="auto"/>
          <w:szCs w:val="21"/>
        </w:rPr>
        <w:t>（4）安全防护、文明施工措施方案的承诺书；</w:t>
      </w:r>
    </w:p>
    <w:p w14:paraId="25614779">
      <w:pPr>
        <w:pStyle w:val="24"/>
        <w:spacing w:line="460" w:lineRule="exact"/>
        <w:ind w:firstLine="420" w:firstLineChars="200"/>
        <w:rPr>
          <w:rFonts w:hAnsi="宋体"/>
          <w:color w:val="auto"/>
          <w:szCs w:val="21"/>
        </w:rPr>
      </w:pPr>
      <w:r>
        <w:rPr>
          <w:rFonts w:hint="eastAsia" w:hAnsi="宋体" w:cs="宋体"/>
          <w:color w:val="auto"/>
          <w:szCs w:val="21"/>
        </w:rPr>
        <w:t>（5）</w:t>
      </w:r>
      <w:r>
        <w:rPr>
          <w:rFonts w:hint="eastAsia" w:hAnsi="宋体"/>
          <w:color w:val="auto"/>
          <w:szCs w:val="21"/>
        </w:rPr>
        <w:t>供应商认为</w:t>
      </w:r>
      <w:r>
        <w:rPr>
          <w:rFonts w:hint="eastAsia" w:hAnsi="宋体" w:cs="宋体"/>
          <w:color w:val="auto"/>
          <w:szCs w:val="21"/>
        </w:rPr>
        <w:t>评标办法中需</w:t>
      </w:r>
      <w:r>
        <w:rPr>
          <w:rFonts w:hint="eastAsia" w:hAnsi="宋体"/>
          <w:color w:val="auto"/>
          <w:szCs w:val="21"/>
        </w:rPr>
        <w:t>提供的其他资料。</w:t>
      </w:r>
    </w:p>
    <w:p w14:paraId="4C8D6F2B">
      <w:pPr>
        <w:pStyle w:val="24"/>
        <w:adjustRightInd w:val="0"/>
        <w:snapToGrid w:val="0"/>
        <w:spacing w:line="460" w:lineRule="exact"/>
        <w:ind w:firstLine="413" w:firstLineChars="196"/>
        <w:jc w:val="left"/>
        <w:rPr>
          <w:rFonts w:hAnsi="宋体"/>
          <w:b/>
          <w:color w:val="auto"/>
          <w:kern w:val="0"/>
          <w:szCs w:val="21"/>
        </w:rPr>
      </w:pPr>
      <w:r>
        <w:rPr>
          <w:rFonts w:hint="eastAsia" w:hAnsi="宋体"/>
          <w:b/>
          <w:snapToGrid w:val="0"/>
          <w:color w:val="auto"/>
          <w:kern w:val="0"/>
          <w:szCs w:val="21"/>
        </w:rPr>
        <w:t>注：</w:t>
      </w:r>
      <w:r>
        <w:rPr>
          <w:rFonts w:hint="eastAsia" w:hAnsi="宋体"/>
          <w:b/>
          <w:color w:val="auto"/>
          <w:kern w:val="0"/>
          <w:szCs w:val="21"/>
        </w:rPr>
        <w:t>以上（1）～（4）材料须提供，否则视为无效磋商响应文件。</w:t>
      </w:r>
    </w:p>
    <w:p w14:paraId="3FDFB6AC">
      <w:pPr>
        <w:spacing w:line="460" w:lineRule="exact"/>
        <w:ind w:firstLine="413" w:firstLineChars="196"/>
        <w:rPr>
          <w:rFonts w:ascii="宋体" w:hAnsi="宋体"/>
          <w:b/>
          <w:color w:val="auto"/>
          <w:szCs w:val="21"/>
        </w:rPr>
      </w:pPr>
      <w:r>
        <w:rPr>
          <w:rFonts w:hint="eastAsia" w:ascii="宋体" w:hAnsi="宋体"/>
          <w:b/>
          <w:color w:val="auto"/>
          <w:szCs w:val="21"/>
        </w:rPr>
        <w:t>9.3.2技术文件应</w:t>
      </w:r>
      <w:r>
        <w:rPr>
          <w:rFonts w:ascii="宋体" w:hAnsi="宋体"/>
          <w:b/>
          <w:color w:val="auto"/>
          <w:szCs w:val="21"/>
        </w:rPr>
        <w:t>包括下列内容</w:t>
      </w:r>
      <w:r>
        <w:rPr>
          <w:rFonts w:hint="eastAsia" w:ascii="宋体" w:hAnsi="宋体"/>
          <w:b/>
          <w:color w:val="auto"/>
          <w:szCs w:val="21"/>
        </w:rPr>
        <w:t>：</w:t>
      </w:r>
    </w:p>
    <w:p w14:paraId="469E8124">
      <w:pPr>
        <w:spacing w:line="460" w:lineRule="exact"/>
        <w:ind w:firstLine="420" w:firstLineChars="200"/>
        <w:rPr>
          <w:rFonts w:ascii="宋体" w:hAnsi="宋体" w:cs="宋体"/>
          <w:color w:val="auto"/>
          <w:szCs w:val="21"/>
        </w:rPr>
      </w:pPr>
      <w:r>
        <w:rPr>
          <w:rFonts w:hint="eastAsia" w:ascii="宋体" w:hAnsi="宋体" w:cs="宋体"/>
          <w:color w:val="auto"/>
          <w:szCs w:val="21"/>
        </w:rPr>
        <w:t>（1）项目管理机构</w:t>
      </w:r>
      <w:r>
        <w:rPr>
          <w:rFonts w:hint="eastAsia" w:ascii="宋体" w:hAnsi="宋体" w:cs="Courier New"/>
          <w:color w:val="auto"/>
          <w:spacing w:val="2"/>
          <w:szCs w:val="21"/>
        </w:rPr>
        <w:t>；</w:t>
      </w:r>
    </w:p>
    <w:p w14:paraId="6287F7F2">
      <w:pPr>
        <w:spacing w:line="460" w:lineRule="exact"/>
        <w:ind w:firstLine="420" w:firstLineChars="200"/>
        <w:rPr>
          <w:rFonts w:ascii="宋体" w:hAnsi="宋体" w:cs="宋体"/>
          <w:color w:val="auto"/>
          <w:szCs w:val="21"/>
        </w:rPr>
      </w:pPr>
      <w:r>
        <w:rPr>
          <w:rFonts w:hint="eastAsia" w:ascii="宋体" w:hAnsi="宋体" w:cs="宋体"/>
          <w:color w:val="auto"/>
          <w:szCs w:val="21"/>
        </w:rPr>
        <w:t>①项目管理机构配备情况表；</w:t>
      </w:r>
    </w:p>
    <w:p w14:paraId="1CE770F6">
      <w:pPr>
        <w:spacing w:line="460" w:lineRule="exact"/>
        <w:ind w:firstLine="420" w:firstLineChars="200"/>
        <w:rPr>
          <w:rFonts w:ascii="宋体" w:hAnsi="宋体" w:cs="宋体"/>
          <w:color w:val="auto"/>
          <w:szCs w:val="21"/>
        </w:rPr>
      </w:pPr>
      <w:r>
        <w:rPr>
          <w:rFonts w:hint="eastAsia" w:ascii="宋体" w:hAnsi="宋体" w:cs="宋体"/>
          <w:color w:val="auto"/>
          <w:szCs w:val="21"/>
        </w:rPr>
        <w:t>②拟投入本工程项目经理的简历表；</w:t>
      </w:r>
    </w:p>
    <w:p w14:paraId="530C0261">
      <w:pPr>
        <w:spacing w:line="460" w:lineRule="exact"/>
        <w:ind w:firstLine="420" w:firstLineChars="200"/>
        <w:rPr>
          <w:rFonts w:ascii="宋体" w:hAnsi="宋体" w:cs="宋体"/>
          <w:color w:val="auto"/>
          <w:szCs w:val="21"/>
        </w:rPr>
      </w:pPr>
      <w:r>
        <w:rPr>
          <w:rFonts w:hint="eastAsia" w:ascii="宋体" w:hAnsi="宋体" w:cs="宋体"/>
          <w:color w:val="auto"/>
          <w:szCs w:val="21"/>
        </w:rPr>
        <w:t>③项目管理机构配备情况辅助说明资料。</w:t>
      </w:r>
    </w:p>
    <w:p w14:paraId="403A4D45">
      <w:pPr>
        <w:snapToGrid w:val="0"/>
        <w:spacing w:line="460" w:lineRule="exact"/>
        <w:ind w:firstLine="420" w:firstLineChars="200"/>
        <w:rPr>
          <w:rFonts w:ascii="宋体" w:hAnsi="宋体" w:cs="宋体"/>
          <w:color w:val="auto"/>
          <w:szCs w:val="21"/>
        </w:rPr>
      </w:pPr>
      <w:r>
        <w:rPr>
          <w:rFonts w:hint="eastAsia" w:ascii="宋体" w:hAnsi="宋体" w:cs="宋体"/>
          <w:color w:val="auto"/>
          <w:szCs w:val="21"/>
        </w:rPr>
        <w:t>（2）施工组织设计</w:t>
      </w:r>
      <w:r>
        <w:rPr>
          <w:rFonts w:hint="eastAsia" w:ascii="宋体" w:hAnsi="宋体" w:cs="Courier New"/>
          <w:color w:val="auto"/>
          <w:spacing w:val="2"/>
          <w:szCs w:val="21"/>
        </w:rPr>
        <w:t>；</w:t>
      </w:r>
    </w:p>
    <w:p w14:paraId="31D40F06">
      <w:pPr>
        <w:spacing w:line="460" w:lineRule="exact"/>
        <w:ind w:firstLine="420" w:firstLineChars="200"/>
        <w:rPr>
          <w:rFonts w:ascii="宋体" w:hAnsi="宋体" w:cs="宋体"/>
          <w:color w:val="auto"/>
          <w:szCs w:val="21"/>
        </w:rPr>
      </w:pPr>
      <w:r>
        <w:rPr>
          <w:rFonts w:hint="eastAsia" w:ascii="宋体" w:hAnsi="宋体" w:cs="宋体"/>
          <w:color w:val="auto"/>
          <w:szCs w:val="21"/>
        </w:rPr>
        <w:t>（3）供应商认为需要提供的有关资料。</w:t>
      </w:r>
    </w:p>
    <w:p w14:paraId="72282CBB">
      <w:pPr>
        <w:pStyle w:val="24"/>
        <w:adjustRightInd w:val="0"/>
        <w:snapToGrid w:val="0"/>
        <w:spacing w:line="460" w:lineRule="exact"/>
        <w:ind w:firstLine="413" w:firstLineChars="196"/>
        <w:jc w:val="left"/>
        <w:rPr>
          <w:rFonts w:hAnsi="宋体"/>
          <w:b/>
          <w:color w:val="auto"/>
          <w:kern w:val="0"/>
          <w:szCs w:val="21"/>
        </w:rPr>
      </w:pPr>
      <w:r>
        <w:rPr>
          <w:rFonts w:hint="eastAsia" w:hAnsi="宋体" w:cs="宋体"/>
          <w:b/>
          <w:color w:val="auto"/>
          <w:szCs w:val="21"/>
        </w:rPr>
        <w:t>注：以上（1）～（2）材料须提供</w:t>
      </w:r>
      <w:r>
        <w:rPr>
          <w:rFonts w:hint="eastAsia" w:hAnsi="宋体"/>
          <w:b/>
          <w:color w:val="auto"/>
          <w:kern w:val="0"/>
          <w:szCs w:val="21"/>
        </w:rPr>
        <w:t>，否则视为无效磋商响应文件。</w:t>
      </w:r>
    </w:p>
    <w:p w14:paraId="064FFDC8">
      <w:pPr>
        <w:pStyle w:val="24"/>
        <w:adjustRightInd w:val="0"/>
        <w:snapToGrid w:val="0"/>
        <w:spacing w:line="460" w:lineRule="exact"/>
        <w:ind w:firstLine="413" w:firstLineChars="196"/>
        <w:jc w:val="left"/>
        <w:rPr>
          <w:rFonts w:hAnsi="宋体"/>
          <w:b/>
          <w:color w:val="auto"/>
          <w:kern w:val="0"/>
          <w:szCs w:val="21"/>
        </w:rPr>
      </w:pPr>
      <w:r>
        <w:rPr>
          <w:rFonts w:hint="eastAsia" w:hAnsi="宋体"/>
          <w:b/>
          <w:color w:val="auto"/>
          <w:kern w:val="0"/>
          <w:szCs w:val="21"/>
        </w:rPr>
        <w:t>9.4报价文件</w:t>
      </w:r>
    </w:p>
    <w:p w14:paraId="512BDE89">
      <w:pPr>
        <w:pStyle w:val="24"/>
        <w:adjustRightInd w:val="0"/>
        <w:snapToGrid w:val="0"/>
        <w:spacing w:line="460" w:lineRule="exact"/>
        <w:ind w:firstLine="420" w:firstLineChars="200"/>
        <w:jc w:val="left"/>
        <w:rPr>
          <w:rFonts w:hAnsi="宋体"/>
          <w:b/>
          <w:color w:val="auto"/>
          <w:kern w:val="0"/>
          <w:szCs w:val="21"/>
        </w:rPr>
      </w:pPr>
      <w:r>
        <w:rPr>
          <w:rFonts w:hint="eastAsia" w:hAnsi="宋体"/>
          <w:color w:val="auto"/>
          <w:szCs w:val="21"/>
        </w:rPr>
        <w:t>（1）磋商函；</w:t>
      </w:r>
    </w:p>
    <w:p w14:paraId="49A2B78C">
      <w:pPr>
        <w:spacing w:line="460" w:lineRule="exact"/>
        <w:ind w:firstLine="420" w:firstLineChars="200"/>
        <w:jc w:val="left"/>
        <w:rPr>
          <w:rFonts w:ascii="宋体" w:hAnsi="宋体"/>
          <w:color w:val="auto"/>
          <w:szCs w:val="21"/>
        </w:rPr>
      </w:pPr>
      <w:r>
        <w:rPr>
          <w:rFonts w:hint="eastAsia" w:ascii="宋体" w:hAnsi="宋体"/>
          <w:color w:val="auto"/>
          <w:szCs w:val="21"/>
        </w:rPr>
        <w:t>（2）已标价的工程量清单（必须按照采购人提供的工程量清单填写）；</w:t>
      </w:r>
    </w:p>
    <w:p w14:paraId="5CC617FF">
      <w:pPr>
        <w:spacing w:line="460" w:lineRule="exact"/>
        <w:ind w:firstLine="420" w:firstLineChars="200"/>
        <w:rPr>
          <w:rFonts w:ascii="宋体" w:hAnsi="宋体"/>
          <w:color w:val="auto"/>
          <w:szCs w:val="21"/>
        </w:rPr>
      </w:pPr>
      <w:r>
        <w:rPr>
          <w:rFonts w:hint="eastAsia" w:ascii="宋体" w:hAnsi="宋体"/>
          <w:color w:val="auto"/>
          <w:szCs w:val="21"/>
        </w:rPr>
        <w:t>（3）</w:t>
      </w:r>
      <w:bookmarkStart w:id="55" w:name="_Hlk9585414"/>
      <w:r>
        <w:rPr>
          <w:rFonts w:hint="eastAsia" w:ascii="宋体" w:hAnsi="宋体"/>
          <w:color w:val="auto"/>
          <w:szCs w:val="21"/>
        </w:rPr>
        <w:t>供应商针对报价需要说明的其他文件和说明</w:t>
      </w:r>
      <w:bookmarkEnd w:id="55"/>
      <w:r>
        <w:rPr>
          <w:rFonts w:hint="eastAsia" w:ascii="宋体" w:hAnsi="宋体"/>
          <w:color w:val="auto"/>
          <w:szCs w:val="21"/>
        </w:rPr>
        <w:t>。</w:t>
      </w:r>
    </w:p>
    <w:p w14:paraId="0A6F45CE">
      <w:pPr>
        <w:pStyle w:val="24"/>
        <w:adjustRightInd w:val="0"/>
        <w:snapToGrid w:val="0"/>
        <w:spacing w:line="460" w:lineRule="exact"/>
        <w:ind w:firstLine="413" w:firstLineChars="196"/>
        <w:jc w:val="left"/>
        <w:rPr>
          <w:rFonts w:hAnsi="宋体" w:cs="宋体"/>
          <w:b/>
          <w:color w:val="auto"/>
          <w:szCs w:val="21"/>
        </w:rPr>
      </w:pPr>
      <w:r>
        <w:rPr>
          <w:rFonts w:hint="eastAsia" w:hAnsi="宋体" w:cs="宋体"/>
          <w:b/>
          <w:color w:val="auto"/>
          <w:szCs w:val="21"/>
        </w:rPr>
        <w:t>注：以上（1）～（2）材料须提供</w:t>
      </w:r>
      <w:r>
        <w:rPr>
          <w:rFonts w:hint="eastAsia" w:hAnsi="宋体"/>
          <w:b/>
          <w:color w:val="auto"/>
          <w:kern w:val="0"/>
          <w:szCs w:val="21"/>
        </w:rPr>
        <w:t>，否则视为无效磋商响应文件。</w:t>
      </w:r>
      <w:bookmarkEnd w:id="54"/>
    </w:p>
    <w:bookmarkEnd w:id="52"/>
    <w:p w14:paraId="57D9FA6E">
      <w:pPr>
        <w:pStyle w:val="4"/>
        <w:spacing w:before="0" w:after="0" w:line="460" w:lineRule="exact"/>
        <w:rPr>
          <w:rFonts w:ascii="宋体" w:hAnsi="宋体" w:eastAsia="宋体"/>
          <w:color w:val="auto"/>
          <w:sz w:val="21"/>
          <w:szCs w:val="21"/>
        </w:rPr>
      </w:pPr>
      <w:bookmarkStart w:id="56" w:name="_Toc239659102"/>
      <w:bookmarkStart w:id="57" w:name="_Toc80818624"/>
      <w:bookmarkStart w:id="58" w:name="_Toc24695"/>
      <w:bookmarkStart w:id="59" w:name="_Toc346264275"/>
      <w:bookmarkStart w:id="60" w:name="_Toc18682812"/>
      <w:r>
        <w:rPr>
          <w:rFonts w:ascii="宋体" w:hAnsi="宋体" w:eastAsia="宋体"/>
          <w:color w:val="auto"/>
          <w:sz w:val="21"/>
          <w:szCs w:val="21"/>
        </w:rPr>
        <w:t>10.磋商有效期</w:t>
      </w:r>
      <w:bookmarkEnd w:id="56"/>
      <w:bookmarkEnd w:id="57"/>
      <w:bookmarkEnd w:id="58"/>
      <w:bookmarkEnd w:id="59"/>
      <w:bookmarkEnd w:id="60"/>
    </w:p>
    <w:p w14:paraId="0B0AA782">
      <w:pPr>
        <w:spacing w:line="460" w:lineRule="exact"/>
        <w:ind w:firstLine="420" w:firstLineChars="200"/>
        <w:rPr>
          <w:rFonts w:ascii="宋体" w:hAnsi="宋体"/>
          <w:color w:val="auto"/>
          <w:szCs w:val="21"/>
        </w:rPr>
      </w:pPr>
      <w:r>
        <w:rPr>
          <w:rFonts w:hint="eastAsia" w:ascii="宋体" w:hAnsi="宋体"/>
          <w:color w:val="auto"/>
          <w:szCs w:val="21"/>
        </w:rPr>
        <w:t>10.1 在</w:t>
      </w:r>
      <w:r>
        <w:rPr>
          <w:rFonts w:ascii="宋体" w:hAnsi="宋体"/>
          <w:color w:val="auto"/>
          <w:szCs w:val="21"/>
        </w:rPr>
        <w:t>前附表第</w:t>
      </w:r>
      <w:r>
        <w:rPr>
          <w:rFonts w:hint="eastAsia" w:ascii="宋体" w:hAnsi="宋体"/>
          <w:color w:val="auto"/>
          <w:szCs w:val="21"/>
        </w:rPr>
        <w:t>10</w:t>
      </w:r>
      <w:r>
        <w:rPr>
          <w:rFonts w:ascii="宋体" w:hAnsi="宋体"/>
          <w:color w:val="auto"/>
          <w:szCs w:val="21"/>
        </w:rPr>
        <w:t>项</w:t>
      </w:r>
      <w:r>
        <w:rPr>
          <w:rFonts w:hint="eastAsia" w:ascii="宋体" w:hAnsi="宋体"/>
          <w:color w:val="auto"/>
          <w:szCs w:val="21"/>
        </w:rPr>
        <w:t>规定的磋商有效期内，供应商不得要求撤销或修改其响应文件，有效期不足的响应文件将被拒绝。</w:t>
      </w:r>
    </w:p>
    <w:p w14:paraId="43C01FA6">
      <w:pPr>
        <w:spacing w:line="460" w:lineRule="exact"/>
        <w:ind w:firstLine="409" w:firstLineChars="195"/>
        <w:rPr>
          <w:rFonts w:ascii="宋体" w:hAnsi="宋体"/>
          <w:color w:val="auto"/>
          <w:szCs w:val="21"/>
        </w:rPr>
      </w:pPr>
      <w:r>
        <w:rPr>
          <w:rFonts w:hint="eastAsia" w:ascii="宋体" w:hAnsi="宋体"/>
          <w:color w:val="auto"/>
          <w:szCs w:val="21"/>
        </w:rPr>
        <w:t>10.2在原定磋商有效期满之前，如果出现特殊情况，</w:t>
      </w:r>
      <w:r>
        <w:rPr>
          <w:rFonts w:ascii="宋体" w:hAnsi="宋体"/>
          <w:color w:val="auto"/>
          <w:szCs w:val="21"/>
        </w:rPr>
        <w:t>经</w:t>
      </w:r>
      <w:r>
        <w:rPr>
          <w:rFonts w:hint="eastAsia" w:ascii="宋体" w:hAnsi="宋体"/>
          <w:color w:val="auto"/>
          <w:szCs w:val="21"/>
        </w:rPr>
        <w:t>政府采购监督管理部门</w:t>
      </w:r>
      <w:r>
        <w:rPr>
          <w:rFonts w:ascii="宋体" w:hAnsi="宋体"/>
          <w:color w:val="auto"/>
          <w:szCs w:val="21"/>
        </w:rPr>
        <w:t>核准，</w:t>
      </w:r>
      <w:r>
        <w:rPr>
          <w:rFonts w:hint="eastAsia" w:ascii="宋体" w:hAnsi="宋体"/>
          <w:color w:val="auto"/>
          <w:szCs w:val="21"/>
        </w:rPr>
        <w:t>采购人可以书面形式向供应商提出延长磋商有效期的要求，供应商须以书面形式予以答复。同意延长磋商有效期的供应商不允许修改其响应文件，在延长期内本须知第10条的规定仍然适用。</w:t>
      </w:r>
    </w:p>
    <w:p w14:paraId="3FBFFDC2">
      <w:pPr>
        <w:pStyle w:val="4"/>
        <w:spacing w:before="0" w:after="0" w:line="460" w:lineRule="exact"/>
        <w:rPr>
          <w:rFonts w:ascii="宋体" w:hAnsi="宋体" w:eastAsia="宋体"/>
          <w:color w:val="auto"/>
          <w:sz w:val="21"/>
          <w:szCs w:val="21"/>
        </w:rPr>
      </w:pPr>
      <w:bookmarkStart w:id="61" w:name="_Toc18682813"/>
      <w:bookmarkStart w:id="62" w:name="_Toc346264276"/>
      <w:bookmarkStart w:id="63" w:name="_Toc239659103"/>
      <w:bookmarkStart w:id="64" w:name="_Toc80818625"/>
      <w:bookmarkStart w:id="65" w:name="_Toc936"/>
      <w:r>
        <w:rPr>
          <w:rFonts w:ascii="宋体" w:hAnsi="宋体" w:eastAsia="宋体"/>
          <w:color w:val="auto"/>
          <w:sz w:val="21"/>
          <w:szCs w:val="21"/>
        </w:rPr>
        <w:t>11.</w:t>
      </w:r>
      <w:r>
        <w:rPr>
          <w:rFonts w:hint="eastAsia" w:ascii="宋体" w:hAnsi="宋体" w:eastAsia="宋体"/>
          <w:color w:val="auto"/>
          <w:sz w:val="21"/>
          <w:szCs w:val="21"/>
        </w:rPr>
        <w:t>磋商</w:t>
      </w:r>
      <w:r>
        <w:rPr>
          <w:rFonts w:ascii="宋体" w:hAnsi="宋体" w:eastAsia="宋体"/>
          <w:color w:val="auto"/>
          <w:sz w:val="21"/>
          <w:szCs w:val="21"/>
        </w:rPr>
        <w:t>保证金</w:t>
      </w:r>
      <w:bookmarkEnd w:id="61"/>
      <w:bookmarkEnd w:id="62"/>
      <w:bookmarkEnd w:id="63"/>
      <w:bookmarkEnd w:id="64"/>
      <w:bookmarkEnd w:id="65"/>
    </w:p>
    <w:p w14:paraId="4A1DD25A">
      <w:pPr>
        <w:spacing w:line="460" w:lineRule="exact"/>
        <w:rPr>
          <w:rFonts w:ascii="宋体" w:hAnsi="宋体"/>
          <w:color w:val="auto"/>
          <w:szCs w:val="21"/>
        </w:rPr>
      </w:pPr>
      <w:r>
        <w:rPr>
          <w:rFonts w:hint="eastAsia" w:ascii="宋体" w:hAnsi="宋体"/>
          <w:color w:val="auto"/>
          <w:szCs w:val="21"/>
        </w:rPr>
        <w:t xml:space="preserve">    本项目不收取磋商保证金</w:t>
      </w:r>
    </w:p>
    <w:p w14:paraId="5CB6C318">
      <w:pPr>
        <w:tabs>
          <w:tab w:val="left" w:pos="458"/>
        </w:tabs>
        <w:spacing w:line="460" w:lineRule="exact"/>
        <w:rPr>
          <w:rFonts w:ascii="宋体" w:hAnsi="宋体"/>
          <w:b/>
          <w:color w:val="auto"/>
          <w:szCs w:val="21"/>
        </w:rPr>
      </w:pPr>
      <w:bookmarkStart w:id="66" w:name="_Toc239659104"/>
      <w:r>
        <w:rPr>
          <w:rFonts w:ascii="宋体" w:hAnsi="宋体"/>
          <w:b/>
          <w:color w:val="auto"/>
          <w:szCs w:val="21"/>
        </w:rPr>
        <w:t>12.磋商预备</w:t>
      </w:r>
      <w:bookmarkEnd w:id="66"/>
    </w:p>
    <w:p w14:paraId="572C2190">
      <w:pPr>
        <w:spacing w:line="460" w:lineRule="exact"/>
        <w:rPr>
          <w:rFonts w:ascii="宋体" w:hAnsi="宋体"/>
          <w:color w:val="auto"/>
          <w:szCs w:val="21"/>
        </w:rPr>
      </w:pPr>
      <w:r>
        <w:rPr>
          <w:rFonts w:ascii="宋体" w:hAnsi="宋体"/>
          <w:color w:val="auto"/>
          <w:szCs w:val="21"/>
        </w:rPr>
        <w:t xml:space="preserve">    12.1 勘察现场</w:t>
      </w:r>
    </w:p>
    <w:p w14:paraId="2EE82603">
      <w:pPr>
        <w:spacing w:line="460" w:lineRule="exact"/>
        <w:ind w:firstLine="420" w:firstLineChars="200"/>
        <w:rPr>
          <w:rFonts w:ascii="宋体" w:hAnsi="宋体"/>
          <w:color w:val="auto"/>
          <w:szCs w:val="21"/>
        </w:rPr>
      </w:pPr>
      <w:r>
        <w:rPr>
          <w:rFonts w:ascii="宋体" w:hAnsi="宋体"/>
          <w:color w:val="auto"/>
          <w:szCs w:val="21"/>
        </w:rPr>
        <w:t>12.1.1</w:t>
      </w:r>
      <w:r>
        <w:rPr>
          <w:rFonts w:hint="eastAsia" w:ascii="宋体" w:hAnsi="宋体"/>
          <w:color w:val="auto"/>
          <w:szCs w:val="21"/>
        </w:rPr>
        <w:t>采购人不组织现场踏勘</w:t>
      </w:r>
    </w:p>
    <w:p w14:paraId="5CF81CEE">
      <w:pPr>
        <w:spacing w:line="460" w:lineRule="exact"/>
        <w:ind w:firstLine="480"/>
        <w:rPr>
          <w:rFonts w:ascii="宋体" w:hAnsi="宋体"/>
          <w:color w:val="auto"/>
          <w:szCs w:val="21"/>
        </w:rPr>
      </w:pPr>
      <w:r>
        <w:rPr>
          <w:rFonts w:ascii="宋体" w:hAnsi="宋体"/>
          <w:color w:val="auto"/>
          <w:szCs w:val="21"/>
        </w:rPr>
        <w:t>12.2 磋商答疑</w:t>
      </w:r>
    </w:p>
    <w:p w14:paraId="3E04EB3D">
      <w:pPr>
        <w:spacing w:line="460" w:lineRule="exact"/>
        <w:ind w:firstLine="480"/>
        <w:rPr>
          <w:rFonts w:ascii="宋体" w:hAnsi="宋体"/>
          <w:color w:val="auto"/>
          <w:szCs w:val="21"/>
        </w:rPr>
      </w:pPr>
      <w:r>
        <w:rPr>
          <w:rFonts w:ascii="宋体" w:hAnsi="宋体"/>
          <w:color w:val="auto"/>
          <w:szCs w:val="21"/>
        </w:rPr>
        <w:t xml:space="preserve">12.2.1 </w:t>
      </w:r>
      <w:r>
        <w:rPr>
          <w:rFonts w:hint="eastAsia" w:ascii="宋体" w:hAnsi="宋体"/>
          <w:color w:val="auto"/>
          <w:szCs w:val="21"/>
        </w:rPr>
        <w:t>供应商</w:t>
      </w:r>
      <w:r>
        <w:rPr>
          <w:rFonts w:ascii="宋体" w:hAnsi="宋体"/>
          <w:color w:val="auto"/>
          <w:szCs w:val="21"/>
        </w:rPr>
        <w:t>提出的与磋商有关的任何问题须在磋商截止日期前，以书面形式送达采购人处。如果</w:t>
      </w:r>
      <w:r>
        <w:rPr>
          <w:rFonts w:hint="eastAsia" w:ascii="宋体" w:hAnsi="宋体"/>
          <w:color w:val="auto"/>
          <w:szCs w:val="21"/>
        </w:rPr>
        <w:t>供应商</w:t>
      </w:r>
      <w:r>
        <w:rPr>
          <w:rFonts w:ascii="宋体" w:hAnsi="宋体"/>
          <w:color w:val="auto"/>
          <w:szCs w:val="21"/>
        </w:rPr>
        <w:t>在规定的时间内提出的问题在</w:t>
      </w:r>
      <w:r>
        <w:rPr>
          <w:rFonts w:hint="eastAsia" w:ascii="宋体" w:hAnsi="宋体"/>
          <w:color w:val="auto"/>
          <w:szCs w:val="21"/>
        </w:rPr>
        <w:t>采购</w:t>
      </w:r>
      <w:r>
        <w:rPr>
          <w:rFonts w:ascii="宋体" w:hAnsi="宋体"/>
          <w:color w:val="auto"/>
          <w:szCs w:val="21"/>
        </w:rPr>
        <w:t>补遗文件中未得到书面解答的，应立即以书面形式报告</w:t>
      </w:r>
      <w:r>
        <w:rPr>
          <w:rFonts w:hint="eastAsia" w:ascii="宋体" w:hAnsi="宋体"/>
          <w:color w:val="auto"/>
          <w:szCs w:val="21"/>
        </w:rPr>
        <w:t>政府采购监督管理部门</w:t>
      </w:r>
      <w:r>
        <w:rPr>
          <w:rFonts w:ascii="宋体" w:hAnsi="宋体"/>
          <w:color w:val="auto"/>
          <w:szCs w:val="21"/>
        </w:rPr>
        <w:t>，否则将视为提出的问题不再需要答复。</w:t>
      </w:r>
    </w:p>
    <w:p w14:paraId="31B3D6C1">
      <w:pPr>
        <w:spacing w:line="460" w:lineRule="exact"/>
        <w:ind w:firstLine="435"/>
        <w:rPr>
          <w:rFonts w:ascii="宋体" w:hAnsi="宋体"/>
          <w:color w:val="auto"/>
          <w:szCs w:val="21"/>
        </w:rPr>
      </w:pPr>
      <w:r>
        <w:rPr>
          <w:rFonts w:ascii="宋体" w:hAnsi="宋体"/>
          <w:color w:val="auto"/>
          <w:szCs w:val="21"/>
        </w:rPr>
        <w:t>12.2.</w:t>
      </w:r>
      <w:r>
        <w:rPr>
          <w:rFonts w:hint="eastAsia" w:ascii="宋体" w:hAnsi="宋体"/>
          <w:color w:val="auto"/>
          <w:szCs w:val="21"/>
        </w:rPr>
        <w:t>2</w:t>
      </w:r>
      <w:r>
        <w:rPr>
          <w:rFonts w:ascii="宋体" w:hAnsi="宋体"/>
          <w:color w:val="auto"/>
          <w:szCs w:val="21"/>
        </w:rPr>
        <w:t xml:space="preserve"> </w:t>
      </w:r>
      <w:r>
        <w:rPr>
          <w:rFonts w:hint="eastAsia" w:ascii="宋体" w:hAnsi="宋体"/>
          <w:color w:val="auto"/>
          <w:szCs w:val="21"/>
        </w:rPr>
        <w:t>采购</w:t>
      </w:r>
      <w:r>
        <w:rPr>
          <w:rFonts w:ascii="宋体" w:hAnsi="宋体"/>
          <w:color w:val="auto"/>
          <w:szCs w:val="21"/>
        </w:rPr>
        <w:t>补遗文件包括所有问题和答复，补遗文件将迅速提供给所有获得磋商文件的</w:t>
      </w:r>
      <w:r>
        <w:rPr>
          <w:rFonts w:hint="eastAsia" w:ascii="宋体" w:hAnsi="宋体"/>
          <w:color w:val="auto"/>
          <w:szCs w:val="21"/>
        </w:rPr>
        <w:t>供应商</w:t>
      </w:r>
      <w:r>
        <w:rPr>
          <w:rFonts w:ascii="宋体" w:hAnsi="宋体"/>
          <w:color w:val="auto"/>
          <w:szCs w:val="21"/>
        </w:rPr>
        <w:t>。由于</w:t>
      </w:r>
      <w:r>
        <w:rPr>
          <w:rFonts w:hint="eastAsia" w:ascii="宋体" w:hAnsi="宋体"/>
          <w:color w:val="auto"/>
          <w:szCs w:val="21"/>
        </w:rPr>
        <w:t>供应商</w:t>
      </w:r>
      <w:r>
        <w:rPr>
          <w:rFonts w:ascii="宋体" w:hAnsi="宋体"/>
          <w:color w:val="auto"/>
          <w:szCs w:val="21"/>
        </w:rPr>
        <w:t>书面提出而产生的对本须知4.1款中所列磋商文件的修改，由采购人按照本须知第6条的规定，以补充通知的方式发出。</w:t>
      </w:r>
    </w:p>
    <w:p w14:paraId="08194078">
      <w:pPr>
        <w:pStyle w:val="4"/>
        <w:spacing w:before="0" w:after="0" w:line="460" w:lineRule="exact"/>
        <w:rPr>
          <w:rFonts w:ascii="宋体" w:hAnsi="宋体" w:eastAsia="宋体"/>
          <w:color w:val="auto"/>
          <w:sz w:val="21"/>
          <w:szCs w:val="21"/>
        </w:rPr>
      </w:pPr>
      <w:bookmarkStart w:id="67" w:name="_Toc239659105"/>
      <w:bookmarkStart w:id="68" w:name="_Toc346264277"/>
      <w:bookmarkStart w:id="69" w:name="_Toc80818626"/>
      <w:bookmarkStart w:id="70" w:name="_Toc4965"/>
      <w:bookmarkStart w:id="71" w:name="_Toc18682814"/>
      <w:r>
        <w:rPr>
          <w:rFonts w:ascii="宋体" w:hAnsi="宋体" w:eastAsia="宋体"/>
          <w:color w:val="auto"/>
          <w:sz w:val="21"/>
          <w:szCs w:val="21"/>
        </w:rPr>
        <w:t>13.</w:t>
      </w:r>
      <w:r>
        <w:rPr>
          <w:rFonts w:hint="eastAsia" w:ascii="宋体" w:hAnsi="宋体" w:eastAsia="宋体"/>
          <w:color w:val="auto"/>
          <w:sz w:val="21"/>
          <w:szCs w:val="21"/>
        </w:rPr>
        <w:t>响应文件</w:t>
      </w:r>
      <w:r>
        <w:rPr>
          <w:rFonts w:ascii="宋体" w:hAnsi="宋体" w:eastAsia="宋体"/>
          <w:color w:val="auto"/>
          <w:sz w:val="21"/>
          <w:szCs w:val="21"/>
        </w:rPr>
        <w:t>的</w:t>
      </w:r>
      <w:r>
        <w:rPr>
          <w:rFonts w:hint="eastAsia" w:ascii="宋体" w:hAnsi="宋体" w:eastAsia="宋体"/>
          <w:color w:val="auto"/>
          <w:sz w:val="21"/>
          <w:szCs w:val="21"/>
        </w:rPr>
        <w:t>编制</w:t>
      </w:r>
      <w:r>
        <w:rPr>
          <w:rFonts w:ascii="宋体" w:hAnsi="宋体" w:eastAsia="宋体"/>
          <w:color w:val="auto"/>
          <w:sz w:val="21"/>
          <w:szCs w:val="21"/>
        </w:rPr>
        <w:t>和签署</w:t>
      </w:r>
      <w:bookmarkEnd w:id="67"/>
      <w:bookmarkEnd w:id="68"/>
      <w:bookmarkEnd w:id="69"/>
      <w:bookmarkEnd w:id="70"/>
      <w:bookmarkEnd w:id="71"/>
    </w:p>
    <w:p w14:paraId="10C58857">
      <w:pPr>
        <w:spacing w:line="460" w:lineRule="exact"/>
        <w:ind w:firstLine="457" w:firstLineChars="218"/>
        <w:rPr>
          <w:rFonts w:ascii="宋体" w:hAnsi="宋体"/>
          <w:color w:val="auto"/>
          <w:szCs w:val="21"/>
        </w:rPr>
      </w:pPr>
      <w:r>
        <w:rPr>
          <w:rFonts w:ascii="宋体" w:hAnsi="宋体"/>
          <w:color w:val="auto"/>
          <w:szCs w:val="21"/>
        </w:rPr>
        <w:t xml:space="preserve">13.1 </w:t>
      </w:r>
      <w:r>
        <w:rPr>
          <w:rFonts w:hint="eastAsia" w:ascii="宋体" w:hAnsi="宋体"/>
          <w:color w:val="auto"/>
          <w:szCs w:val="21"/>
        </w:rPr>
        <w:t>供应商</w:t>
      </w:r>
      <w:r>
        <w:rPr>
          <w:rFonts w:ascii="宋体" w:hAnsi="宋体"/>
          <w:color w:val="auto"/>
          <w:szCs w:val="21"/>
        </w:rPr>
        <w:t>按本“须知前附表”的规定，编制</w:t>
      </w:r>
      <w:r>
        <w:rPr>
          <w:rFonts w:hint="eastAsia" w:ascii="宋体" w:hAnsi="宋体"/>
          <w:snapToGrid w:val="0"/>
          <w:color w:val="auto"/>
          <w:szCs w:val="21"/>
        </w:rPr>
        <w:t>电子加密响应文件</w:t>
      </w:r>
      <w:r>
        <w:rPr>
          <w:rFonts w:ascii="宋体" w:hAnsi="宋体"/>
          <w:color w:val="auto"/>
          <w:szCs w:val="21"/>
        </w:rPr>
        <w:t>。</w:t>
      </w:r>
    </w:p>
    <w:p w14:paraId="12B86A4A">
      <w:pPr>
        <w:spacing w:line="460" w:lineRule="exact"/>
        <w:ind w:firstLine="409" w:firstLineChars="195"/>
        <w:rPr>
          <w:rFonts w:ascii="宋体" w:hAnsi="宋体"/>
          <w:color w:val="auto"/>
          <w:szCs w:val="21"/>
        </w:rPr>
      </w:pPr>
      <w:r>
        <w:rPr>
          <w:rFonts w:ascii="宋体" w:hAnsi="宋体"/>
          <w:color w:val="auto"/>
          <w:szCs w:val="21"/>
        </w:rPr>
        <w:t>13.2</w:t>
      </w:r>
      <w:r>
        <w:rPr>
          <w:rFonts w:hint="eastAsia" w:ascii="宋体" w:hAnsi="宋体"/>
          <w:color w:val="auto"/>
          <w:szCs w:val="21"/>
        </w:rPr>
        <w:t>供应商应按本磋商文件规定的格式和顺序编制响应文件并标注页码，响应文件内容不完整、编排混乱导致磋商文件被误读、漏读或者查找不到相关内容的，是供应商的责任。供应商的响应文件应按磋商文件提供格式的规定位置加盖供应商单位公章，法定代表人或授权委托代理人签署。</w:t>
      </w:r>
    </w:p>
    <w:p w14:paraId="6B25031D">
      <w:pPr>
        <w:adjustRightInd w:val="0"/>
        <w:snapToGrid w:val="0"/>
        <w:spacing w:line="460" w:lineRule="exact"/>
        <w:ind w:firstLine="420"/>
        <w:jc w:val="left"/>
        <w:rPr>
          <w:rFonts w:ascii="宋体" w:hAnsi="宋体" w:cs="仿宋_GB2312"/>
          <w:b/>
          <w:color w:val="auto"/>
          <w:kern w:val="0"/>
          <w:szCs w:val="21"/>
          <w:lang w:val="zh-CN"/>
        </w:rPr>
      </w:pPr>
      <w:bookmarkStart w:id="72" w:name="_Hlk87631003"/>
      <w:r>
        <w:rPr>
          <w:rFonts w:hint="eastAsia" w:ascii="宋体" w:hAnsi="宋体"/>
          <w:b/>
          <w:snapToGrid w:val="0"/>
          <w:color w:val="auto"/>
          <w:szCs w:val="21"/>
        </w:rPr>
        <w:t>响应文件（包含电子备份响应文件），其中电子响应文件中所须加盖单位公章部分均采用 CA 签章。若磋商文件中有专门标注的某关联点，并要求供应商在电子投标系统中作出磋商响应的，如供应商未对关联点进行响应或者在响应文件其它内容进行描述，造成电子评审不能查询的责任</w:t>
      </w:r>
      <w:r>
        <w:rPr>
          <w:rFonts w:hint="eastAsia" w:ascii="宋体" w:hAnsi="宋体" w:cs="仿宋_GB2312"/>
          <w:b/>
          <w:color w:val="auto"/>
          <w:kern w:val="0"/>
          <w:szCs w:val="21"/>
          <w:lang w:val="zh-CN"/>
        </w:rPr>
        <w:t>由</w:t>
      </w:r>
      <w:r>
        <w:rPr>
          <w:rFonts w:hint="eastAsia" w:ascii="宋体" w:hAnsi="宋体"/>
          <w:b/>
          <w:snapToGrid w:val="0"/>
          <w:color w:val="auto"/>
          <w:szCs w:val="21"/>
        </w:rPr>
        <w:t>供应商</w:t>
      </w:r>
      <w:r>
        <w:rPr>
          <w:rFonts w:hint="eastAsia" w:ascii="宋体" w:hAnsi="宋体" w:cs="仿宋_GB2312"/>
          <w:b/>
          <w:color w:val="auto"/>
          <w:kern w:val="0"/>
          <w:szCs w:val="21"/>
          <w:lang w:val="zh-CN"/>
        </w:rPr>
        <w:t>自行承担。</w:t>
      </w:r>
    </w:p>
    <w:bookmarkEnd w:id="72"/>
    <w:p w14:paraId="3529745A">
      <w:pPr>
        <w:spacing w:line="460" w:lineRule="exact"/>
        <w:ind w:firstLine="409" w:firstLineChars="195"/>
        <w:rPr>
          <w:rFonts w:ascii="宋体" w:hAnsi="宋体" w:cs="仿宋_GB2312"/>
          <w:color w:val="auto"/>
          <w:kern w:val="0"/>
          <w:szCs w:val="21"/>
          <w:lang w:val="zh-CN"/>
        </w:rPr>
      </w:pPr>
      <w:r>
        <w:rPr>
          <w:rFonts w:ascii="宋体" w:hAnsi="宋体"/>
          <w:color w:val="auto"/>
          <w:szCs w:val="21"/>
        </w:rPr>
        <w:t>13.3</w:t>
      </w:r>
      <w:r>
        <w:rPr>
          <w:rFonts w:hint="eastAsia" w:ascii="宋体" w:hAnsi="宋体" w:cs="仿宋_GB2312"/>
          <w:color w:val="auto"/>
          <w:kern w:val="0"/>
          <w:szCs w:val="21"/>
          <w:lang w:val="zh-CN"/>
        </w:rPr>
        <w:t>响应文件不得涂改，若有修改错漏处，须加盖单位公章或者法定代表人或授权委托人签</w:t>
      </w:r>
      <w:r>
        <w:rPr>
          <w:rFonts w:hint="eastAsia" w:ascii="宋体" w:hAnsi="宋体"/>
          <w:color w:val="auto"/>
          <w:szCs w:val="21"/>
        </w:rPr>
        <w:t>署</w:t>
      </w:r>
      <w:r>
        <w:rPr>
          <w:rFonts w:hint="eastAsia" w:ascii="宋体" w:hAnsi="宋体" w:cs="仿宋_GB2312"/>
          <w:color w:val="auto"/>
          <w:kern w:val="0"/>
          <w:szCs w:val="21"/>
          <w:lang w:val="zh-CN"/>
        </w:rPr>
        <w:t>。响应文件因扫描不清晰或乱码或表达不清所引起的后果由</w:t>
      </w:r>
      <w:r>
        <w:rPr>
          <w:rFonts w:hint="eastAsia" w:ascii="宋体" w:hAnsi="宋体"/>
          <w:color w:val="auto"/>
          <w:szCs w:val="21"/>
        </w:rPr>
        <w:t>供应商</w:t>
      </w:r>
      <w:r>
        <w:rPr>
          <w:rFonts w:hint="eastAsia" w:ascii="宋体" w:hAnsi="宋体" w:cs="仿宋_GB2312"/>
          <w:color w:val="auto"/>
          <w:kern w:val="0"/>
          <w:szCs w:val="21"/>
          <w:lang w:val="zh-CN"/>
        </w:rPr>
        <w:t>负责。</w:t>
      </w:r>
    </w:p>
    <w:p w14:paraId="2C269431">
      <w:pPr>
        <w:pStyle w:val="4"/>
        <w:spacing w:before="0" w:after="0" w:line="460" w:lineRule="exact"/>
        <w:rPr>
          <w:rFonts w:ascii="宋体" w:hAnsi="宋体" w:eastAsia="宋体"/>
          <w:color w:val="auto"/>
          <w:sz w:val="21"/>
          <w:szCs w:val="21"/>
        </w:rPr>
      </w:pPr>
      <w:bookmarkStart w:id="73" w:name="_Toc10356"/>
      <w:bookmarkStart w:id="74" w:name="_Toc80818627"/>
      <w:bookmarkStart w:id="75" w:name="_Toc18682815"/>
      <w:bookmarkStart w:id="76" w:name="_Toc346264278"/>
      <w:bookmarkStart w:id="77" w:name="_Toc239659106"/>
      <w:r>
        <w:rPr>
          <w:rFonts w:ascii="宋体" w:hAnsi="宋体" w:eastAsia="宋体"/>
          <w:color w:val="auto"/>
          <w:sz w:val="21"/>
          <w:szCs w:val="21"/>
        </w:rPr>
        <w:t>14.</w:t>
      </w:r>
      <w:r>
        <w:rPr>
          <w:rFonts w:hint="eastAsia" w:ascii="宋体" w:hAnsi="宋体" w:eastAsia="宋体"/>
          <w:color w:val="auto"/>
          <w:sz w:val="21"/>
          <w:szCs w:val="21"/>
        </w:rPr>
        <w:t>响应文件</w:t>
      </w:r>
      <w:r>
        <w:rPr>
          <w:rFonts w:ascii="宋体" w:hAnsi="宋体" w:eastAsia="宋体"/>
          <w:color w:val="auto"/>
          <w:sz w:val="21"/>
          <w:szCs w:val="21"/>
        </w:rPr>
        <w:t>提交截止时间</w:t>
      </w:r>
      <w:bookmarkEnd w:id="73"/>
      <w:bookmarkEnd w:id="74"/>
      <w:bookmarkEnd w:id="75"/>
      <w:bookmarkEnd w:id="76"/>
      <w:bookmarkEnd w:id="77"/>
    </w:p>
    <w:p w14:paraId="4C10CDD9">
      <w:pPr>
        <w:spacing w:line="460" w:lineRule="exact"/>
        <w:rPr>
          <w:rFonts w:ascii="宋体" w:hAnsi="宋体"/>
          <w:color w:val="auto"/>
          <w:szCs w:val="21"/>
        </w:rPr>
      </w:pPr>
      <w:r>
        <w:rPr>
          <w:rFonts w:ascii="宋体" w:hAnsi="宋体"/>
          <w:color w:val="auto"/>
          <w:szCs w:val="21"/>
        </w:rPr>
        <w:t xml:space="preserve">    14.1 </w:t>
      </w:r>
      <w:r>
        <w:rPr>
          <w:rFonts w:hint="eastAsia" w:ascii="宋体" w:hAnsi="宋体"/>
          <w:color w:val="auto"/>
          <w:szCs w:val="21"/>
        </w:rPr>
        <w:t>响应文件</w:t>
      </w:r>
      <w:r>
        <w:rPr>
          <w:rFonts w:ascii="宋体" w:hAnsi="宋体"/>
          <w:color w:val="auto"/>
          <w:szCs w:val="21"/>
        </w:rPr>
        <w:t>提交截止时间：</w:t>
      </w:r>
      <w:r>
        <w:rPr>
          <w:rFonts w:hint="eastAsia" w:ascii="宋体" w:hAnsi="宋体"/>
          <w:color w:val="auto"/>
          <w:szCs w:val="21"/>
        </w:rPr>
        <w:t>按</w:t>
      </w:r>
      <w:r>
        <w:rPr>
          <w:rFonts w:ascii="宋体" w:hAnsi="宋体"/>
          <w:color w:val="auto"/>
          <w:szCs w:val="21"/>
        </w:rPr>
        <w:t>本须知“前附表第</w:t>
      </w:r>
      <w:r>
        <w:rPr>
          <w:rFonts w:hint="eastAsia" w:ascii="宋体" w:hAnsi="宋体"/>
          <w:color w:val="auto"/>
          <w:szCs w:val="21"/>
        </w:rPr>
        <w:t>18</w:t>
      </w:r>
      <w:r>
        <w:rPr>
          <w:rFonts w:ascii="宋体" w:hAnsi="宋体"/>
          <w:color w:val="auto"/>
          <w:szCs w:val="21"/>
        </w:rPr>
        <w:t>项”的规定。</w:t>
      </w:r>
    </w:p>
    <w:p w14:paraId="5D382F2C">
      <w:pPr>
        <w:spacing w:line="460" w:lineRule="exact"/>
        <w:ind w:firstLine="435"/>
        <w:rPr>
          <w:rFonts w:ascii="宋体" w:hAnsi="宋体"/>
          <w:color w:val="auto"/>
          <w:szCs w:val="21"/>
        </w:rPr>
      </w:pPr>
      <w:r>
        <w:rPr>
          <w:rFonts w:ascii="宋体" w:hAnsi="宋体"/>
          <w:color w:val="auto"/>
          <w:szCs w:val="21"/>
        </w:rPr>
        <w:t>14.2 采购人可按本须知第6条规定以补充通知的方式，酌情延长提交</w:t>
      </w:r>
      <w:r>
        <w:rPr>
          <w:rFonts w:hint="eastAsia" w:ascii="宋体" w:hAnsi="宋体"/>
          <w:color w:val="auto"/>
          <w:szCs w:val="21"/>
        </w:rPr>
        <w:t>响应文件</w:t>
      </w:r>
      <w:r>
        <w:rPr>
          <w:rFonts w:ascii="宋体" w:hAnsi="宋体"/>
          <w:color w:val="auto"/>
          <w:szCs w:val="21"/>
        </w:rPr>
        <w:t>的截止时间。在上述情况下，采购人与</w:t>
      </w:r>
      <w:r>
        <w:rPr>
          <w:rFonts w:hint="eastAsia" w:ascii="宋体" w:hAnsi="宋体"/>
          <w:color w:val="auto"/>
          <w:szCs w:val="21"/>
        </w:rPr>
        <w:t>供应商</w:t>
      </w:r>
      <w:r>
        <w:rPr>
          <w:rFonts w:ascii="宋体" w:hAnsi="宋体"/>
          <w:color w:val="auto"/>
          <w:szCs w:val="21"/>
        </w:rPr>
        <w:t>的全部权力、责任和义务，将适用于延长后新的</w:t>
      </w:r>
      <w:r>
        <w:rPr>
          <w:rFonts w:hint="eastAsia" w:ascii="宋体" w:hAnsi="宋体"/>
          <w:color w:val="auto"/>
          <w:szCs w:val="21"/>
        </w:rPr>
        <w:t>响应文件</w:t>
      </w:r>
      <w:r>
        <w:rPr>
          <w:rFonts w:ascii="宋体" w:hAnsi="宋体"/>
          <w:color w:val="auto"/>
          <w:szCs w:val="21"/>
        </w:rPr>
        <w:t>提交截止时间。</w:t>
      </w:r>
    </w:p>
    <w:p w14:paraId="18853B06">
      <w:pPr>
        <w:pStyle w:val="4"/>
        <w:spacing w:before="0" w:after="0" w:line="460" w:lineRule="exact"/>
        <w:rPr>
          <w:rFonts w:ascii="宋体" w:hAnsi="宋体" w:eastAsia="宋体"/>
          <w:color w:val="auto"/>
          <w:sz w:val="21"/>
          <w:szCs w:val="21"/>
        </w:rPr>
      </w:pPr>
      <w:bookmarkStart w:id="78" w:name="_Toc18682816"/>
      <w:bookmarkStart w:id="79" w:name="_Toc19431"/>
      <w:bookmarkStart w:id="80" w:name="_Toc239659107"/>
      <w:bookmarkStart w:id="81" w:name="_Toc346264279"/>
      <w:bookmarkStart w:id="82" w:name="_Toc80818628"/>
      <w:r>
        <w:rPr>
          <w:rFonts w:ascii="宋体" w:hAnsi="宋体" w:eastAsia="宋体"/>
          <w:color w:val="auto"/>
          <w:sz w:val="21"/>
          <w:szCs w:val="21"/>
        </w:rPr>
        <w:t>15.</w:t>
      </w:r>
      <w:r>
        <w:rPr>
          <w:rFonts w:hint="eastAsia" w:ascii="宋体" w:hAnsi="宋体" w:eastAsia="宋体"/>
          <w:color w:val="auto"/>
          <w:sz w:val="21"/>
          <w:szCs w:val="21"/>
        </w:rPr>
        <w:t>响应文件</w:t>
      </w:r>
      <w:r>
        <w:rPr>
          <w:rFonts w:ascii="宋体" w:hAnsi="宋体" w:eastAsia="宋体"/>
          <w:color w:val="auto"/>
          <w:sz w:val="21"/>
          <w:szCs w:val="21"/>
        </w:rPr>
        <w:t>的提交</w:t>
      </w:r>
      <w:bookmarkEnd w:id="78"/>
      <w:bookmarkEnd w:id="79"/>
      <w:bookmarkEnd w:id="80"/>
      <w:bookmarkEnd w:id="81"/>
      <w:bookmarkEnd w:id="82"/>
    </w:p>
    <w:p w14:paraId="1526A820">
      <w:pPr>
        <w:spacing w:line="460" w:lineRule="exact"/>
        <w:ind w:firstLine="420" w:firstLineChars="200"/>
        <w:rPr>
          <w:rFonts w:ascii="宋体" w:hAnsi="宋体" w:cs="Arial"/>
          <w:color w:val="auto"/>
          <w:kern w:val="0"/>
          <w:szCs w:val="21"/>
        </w:rPr>
      </w:pPr>
      <w:r>
        <w:rPr>
          <w:rFonts w:hint="eastAsia" w:ascii="宋体" w:hAnsi="宋体" w:cs="Arial"/>
          <w:color w:val="auto"/>
          <w:kern w:val="0"/>
          <w:szCs w:val="21"/>
        </w:rPr>
        <w:t>15.1供应商应当在响应文件提交截止时间前将生成的“电子加密投标文件”上传提交至政采云平台。</w:t>
      </w:r>
      <w:r>
        <w:rPr>
          <w:rFonts w:ascii="宋体" w:hAnsi="宋体" w:cs="Arial"/>
          <w:color w:val="auto"/>
          <w:kern w:val="0"/>
          <w:szCs w:val="21"/>
        </w:rPr>
        <w:t>因未注册入库、未办理CA数字证书、CA证书故障、操作不当等原因造成无法</w:t>
      </w:r>
      <w:r>
        <w:rPr>
          <w:rFonts w:hint="eastAsia" w:ascii="宋体" w:hAnsi="宋体" w:cs="Arial"/>
          <w:color w:val="auto"/>
          <w:kern w:val="0"/>
          <w:szCs w:val="21"/>
        </w:rPr>
        <w:t>响应</w:t>
      </w:r>
      <w:r>
        <w:rPr>
          <w:rFonts w:ascii="宋体" w:hAnsi="宋体" w:cs="Arial"/>
          <w:color w:val="auto"/>
          <w:kern w:val="0"/>
          <w:szCs w:val="21"/>
        </w:rPr>
        <w:t>或</w:t>
      </w:r>
      <w:r>
        <w:rPr>
          <w:rFonts w:hint="eastAsia" w:ascii="宋体" w:hAnsi="宋体" w:cs="Arial"/>
          <w:color w:val="auto"/>
          <w:kern w:val="0"/>
          <w:szCs w:val="21"/>
        </w:rPr>
        <w:t>响应</w:t>
      </w:r>
      <w:r>
        <w:rPr>
          <w:rFonts w:ascii="宋体" w:hAnsi="宋体" w:cs="Arial"/>
          <w:color w:val="auto"/>
          <w:kern w:val="0"/>
          <w:szCs w:val="21"/>
        </w:rPr>
        <w:t>失败等后果由</w:t>
      </w:r>
      <w:r>
        <w:rPr>
          <w:rFonts w:hint="eastAsia" w:ascii="宋体" w:hAnsi="宋体" w:cs="Arial"/>
          <w:color w:val="auto"/>
          <w:kern w:val="0"/>
          <w:szCs w:val="21"/>
        </w:rPr>
        <w:t>供应商</w:t>
      </w:r>
      <w:r>
        <w:rPr>
          <w:rFonts w:ascii="宋体" w:hAnsi="宋体" w:cs="Arial"/>
          <w:color w:val="auto"/>
          <w:kern w:val="0"/>
          <w:szCs w:val="21"/>
        </w:rPr>
        <w:t>自行承担。</w:t>
      </w:r>
    </w:p>
    <w:p w14:paraId="6DEC3741">
      <w:pPr>
        <w:pStyle w:val="4"/>
        <w:spacing w:before="0" w:after="0" w:line="460" w:lineRule="exact"/>
        <w:rPr>
          <w:rFonts w:ascii="宋体" w:hAnsi="宋体" w:eastAsia="宋体"/>
          <w:color w:val="auto"/>
          <w:sz w:val="21"/>
          <w:szCs w:val="21"/>
        </w:rPr>
      </w:pPr>
      <w:bookmarkStart w:id="83" w:name="_Toc239659108"/>
      <w:bookmarkStart w:id="84" w:name="_Toc27482"/>
      <w:bookmarkStart w:id="85" w:name="_Toc80818629"/>
      <w:bookmarkStart w:id="86" w:name="_Toc346264280"/>
      <w:bookmarkStart w:id="87" w:name="_Toc18682817"/>
      <w:r>
        <w:rPr>
          <w:rFonts w:ascii="宋体" w:hAnsi="宋体" w:eastAsia="宋体"/>
          <w:color w:val="auto"/>
          <w:sz w:val="21"/>
          <w:szCs w:val="21"/>
        </w:rPr>
        <w:t>16.</w:t>
      </w:r>
      <w:r>
        <w:rPr>
          <w:rFonts w:hint="eastAsia" w:ascii="宋体" w:hAnsi="宋体" w:eastAsia="宋体"/>
          <w:color w:val="auto"/>
          <w:sz w:val="21"/>
          <w:szCs w:val="21"/>
        </w:rPr>
        <w:t>响应文件</w:t>
      </w:r>
      <w:r>
        <w:rPr>
          <w:rFonts w:ascii="宋体" w:hAnsi="宋体" w:eastAsia="宋体"/>
          <w:color w:val="auto"/>
          <w:sz w:val="21"/>
          <w:szCs w:val="21"/>
        </w:rPr>
        <w:t>的修改与撤回</w:t>
      </w:r>
      <w:bookmarkEnd w:id="83"/>
      <w:bookmarkEnd w:id="84"/>
      <w:bookmarkEnd w:id="85"/>
      <w:bookmarkEnd w:id="86"/>
      <w:bookmarkEnd w:id="87"/>
    </w:p>
    <w:p w14:paraId="33643829">
      <w:pPr>
        <w:spacing w:line="460" w:lineRule="exact"/>
        <w:rPr>
          <w:rFonts w:ascii="宋体" w:hAnsi="宋体" w:cs="Arial"/>
          <w:color w:val="auto"/>
          <w:kern w:val="0"/>
          <w:szCs w:val="21"/>
        </w:rPr>
      </w:pPr>
      <w:r>
        <w:rPr>
          <w:rFonts w:ascii="宋体" w:hAnsi="宋体"/>
          <w:color w:val="auto"/>
          <w:szCs w:val="21"/>
        </w:rPr>
        <w:t xml:space="preserve">   </w:t>
      </w:r>
      <w:bookmarkStart w:id="88" w:name="_Toc239659109"/>
      <w:bookmarkStart w:id="89" w:name="_Toc346264281"/>
      <w:bookmarkStart w:id="90" w:name="_Toc18682818"/>
      <w:r>
        <w:rPr>
          <w:rFonts w:hint="eastAsia" w:ascii="宋体" w:hAnsi="宋体" w:cs="Arial"/>
          <w:color w:val="auto"/>
          <w:kern w:val="0"/>
          <w:szCs w:val="21"/>
        </w:rPr>
        <w:t>响应文件提交截止时间前可以补充、修改或者撤回电子响应文件。补充或者修改电子响应文件的，应当先行撤回原文件，补充、修改后重新传输提交，响应文件提交截止时间前未完成传输的，视为撤回响应文件。</w:t>
      </w:r>
    </w:p>
    <w:p w14:paraId="4A293046">
      <w:pPr>
        <w:spacing w:line="460" w:lineRule="exact"/>
        <w:rPr>
          <w:rFonts w:ascii="宋体" w:hAnsi="宋体"/>
          <w:b/>
          <w:bCs/>
          <w:color w:val="auto"/>
          <w:szCs w:val="21"/>
        </w:rPr>
      </w:pPr>
      <w:r>
        <w:rPr>
          <w:rFonts w:ascii="宋体" w:hAnsi="宋体"/>
          <w:b/>
          <w:bCs/>
          <w:color w:val="auto"/>
          <w:szCs w:val="21"/>
        </w:rPr>
        <w:t>17.</w:t>
      </w:r>
      <w:bookmarkEnd w:id="88"/>
      <w:bookmarkEnd w:id="89"/>
      <w:bookmarkEnd w:id="90"/>
      <w:r>
        <w:rPr>
          <w:rFonts w:hint="eastAsia" w:ascii="宋体" w:hAnsi="宋体"/>
          <w:b/>
          <w:bCs/>
          <w:color w:val="auto"/>
          <w:szCs w:val="21"/>
        </w:rPr>
        <w:t xml:space="preserve"> 响应文件</w:t>
      </w:r>
      <w:r>
        <w:rPr>
          <w:rFonts w:ascii="宋体" w:hAnsi="宋体"/>
          <w:b/>
          <w:bCs/>
          <w:color w:val="auto"/>
          <w:szCs w:val="21"/>
        </w:rPr>
        <w:t>的</w:t>
      </w:r>
      <w:r>
        <w:rPr>
          <w:rFonts w:hint="eastAsia" w:ascii="宋体" w:hAnsi="宋体"/>
          <w:b/>
          <w:bCs/>
          <w:color w:val="auto"/>
          <w:szCs w:val="21"/>
        </w:rPr>
        <w:t>解密</w:t>
      </w:r>
    </w:p>
    <w:p w14:paraId="47E4FFA6">
      <w:pPr>
        <w:adjustRightInd w:val="0"/>
        <w:snapToGrid w:val="0"/>
        <w:spacing w:line="460" w:lineRule="exact"/>
        <w:ind w:firstLine="420" w:firstLineChars="200"/>
        <w:rPr>
          <w:rFonts w:ascii="宋体" w:hAnsi="宋体" w:cs="Courier New"/>
          <w:color w:val="auto"/>
          <w:szCs w:val="21"/>
        </w:rPr>
      </w:pPr>
      <w:r>
        <w:rPr>
          <w:rFonts w:hint="eastAsia" w:ascii="宋体" w:hAnsi="宋体" w:cs="Courier New"/>
          <w:color w:val="auto"/>
          <w:szCs w:val="21"/>
        </w:rPr>
        <w:t>17.1采购代理机构按磋商文件规定的时间、地点通过“政采云平台”组织磋商、开启响应文件，所有供应商均应当准时在线参加。供应商如不参加磋商会的，视同认可磋商结果，事后不得对采购相关人员、磋商过程和磋商结果提出异议，同时供应商因未在线参加磋商而导致响应文件无法按时解密等一切后果由供应商自己承担。本项目磋商过程实行全程录音、录像监控。</w:t>
      </w:r>
    </w:p>
    <w:p w14:paraId="172D97EE">
      <w:pPr>
        <w:adjustRightInd w:val="0"/>
        <w:snapToGrid w:val="0"/>
        <w:spacing w:line="460" w:lineRule="exact"/>
        <w:ind w:firstLine="420" w:firstLineChars="200"/>
        <w:rPr>
          <w:rFonts w:ascii="宋体" w:hAnsi="宋体" w:cs="Courier New"/>
          <w:color w:val="auto"/>
          <w:szCs w:val="21"/>
        </w:rPr>
      </w:pPr>
      <w:r>
        <w:rPr>
          <w:rFonts w:hint="eastAsia" w:ascii="宋体" w:hAnsi="宋体" w:cs="Courier New"/>
          <w:color w:val="auto"/>
          <w:szCs w:val="21"/>
        </w:rPr>
        <w:t>17.2采购代理机构工作人员向各供应商发出电子加密响应文件【开始解密】通知，由供应商按响应文件规定的时间内自行进行响应文件解密。供应商在规定的时间内无法完成已递交的“电子加密投标文件”解密的，如已按规定递交了电子备份响应文件的，将由采购组织机构按“政府采购云平台”操作规范将备份响应文件上传至“政府采购云平台”，上传成功后，“电子加密投标文件”自动失效。如未提供备份电子响应文件，将不进行再次解密程序。无法在线解密视为供应商放弃磋商。在线解密时间为 30 分钟。</w:t>
      </w:r>
    </w:p>
    <w:p w14:paraId="677E32D8">
      <w:pPr>
        <w:adjustRightInd w:val="0"/>
        <w:snapToGrid w:val="0"/>
        <w:spacing w:line="460" w:lineRule="exact"/>
        <w:ind w:firstLine="420" w:firstLineChars="200"/>
        <w:rPr>
          <w:rFonts w:ascii="宋体" w:hAnsi="宋体" w:cs="Courier New"/>
          <w:color w:val="auto"/>
          <w:szCs w:val="21"/>
        </w:rPr>
      </w:pPr>
      <w:r>
        <w:rPr>
          <w:rFonts w:hint="eastAsia" w:ascii="宋体" w:hAnsi="宋体" w:cs="Courier New"/>
          <w:color w:val="auto"/>
          <w:szCs w:val="21"/>
        </w:rPr>
        <w:t>17.3响应</w:t>
      </w:r>
      <w:r>
        <w:rPr>
          <w:rFonts w:ascii="宋体" w:hAnsi="宋体" w:cs="Courier New"/>
          <w:color w:val="auto"/>
          <w:szCs w:val="21"/>
        </w:rPr>
        <w:t>文件解密结束，</w:t>
      </w:r>
      <w:r>
        <w:rPr>
          <w:rFonts w:hint="eastAsia" w:ascii="宋体" w:hAnsi="宋体" w:cs="Courier New"/>
          <w:color w:val="auto"/>
          <w:szCs w:val="21"/>
        </w:rPr>
        <w:t>磋商活动组织人员在线开</w:t>
      </w:r>
      <w:r>
        <w:rPr>
          <w:rFonts w:ascii="宋体" w:hAnsi="宋体" w:cs="Courier New"/>
          <w:color w:val="auto"/>
          <w:szCs w:val="21"/>
        </w:rPr>
        <w:t>启</w:t>
      </w:r>
      <w:r>
        <w:rPr>
          <w:rFonts w:hint="eastAsia" w:ascii="宋体" w:hAnsi="宋体" w:cs="Courier New"/>
          <w:color w:val="auto"/>
          <w:szCs w:val="21"/>
        </w:rPr>
        <w:t>报价文件。供应商在线制作响应文件时填写的报价金额</w:t>
      </w:r>
      <w:r>
        <w:rPr>
          <w:rFonts w:ascii="宋体" w:hAnsi="宋体" w:cs="Courier New"/>
          <w:color w:val="auto"/>
          <w:szCs w:val="21"/>
        </w:rPr>
        <w:t>与解密后“电子加密投标文件”中《</w:t>
      </w:r>
      <w:r>
        <w:rPr>
          <w:rFonts w:hint="eastAsia" w:ascii="宋体" w:hAnsi="宋体" w:cs="Courier New"/>
          <w:color w:val="auto"/>
          <w:szCs w:val="21"/>
        </w:rPr>
        <w:t>磋商函</w:t>
      </w:r>
      <w:r>
        <w:rPr>
          <w:rFonts w:ascii="宋体" w:hAnsi="宋体" w:cs="Courier New"/>
          <w:color w:val="auto"/>
          <w:szCs w:val="21"/>
        </w:rPr>
        <w:t>》填写的金额不一致的，以解密后“电子加密投标文件”中《</w:t>
      </w:r>
      <w:r>
        <w:rPr>
          <w:rFonts w:hint="eastAsia" w:ascii="宋体" w:hAnsi="宋体" w:cs="Courier New"/>
          <w:color w:val="auto"/>
          <w:szCs w:val="21"/>
        </w:rPr>
        <w:t>磋商函</w:t>
      </w:r>
      <w:r>
        <w:rPr>
          <w:rFonts w:ascii="宋体" w:hAnsi="宋体" w:cs="Courier New"/>
          <w:color w:val="auto"/>
          <w:szCs w:val="21"/>
        </w:rPr>
        <w:t>》填写的金额为准，</w:t>
      </w:r>
      <w:r>
        <w:rPr>
          <w:rFonts w:hint="eastAsia" w:ascii="宋体" w:hAnsi="宋体" w:cs="Courier New"/>
          <w:color w:val="auto"/>
          <w:szCs w:val="21"/>
        </w:rPr>
        <w:t>供应商</w:t>
      </w:r>
      <w:r>
        <w:rPr>
          <w:rFonts w:ascii="宋体" w:hAnsi="宋体" w:cs="Courier New"/>
          <w:color w:val="auto"/>
          <w:szCs w:val="21"/>
        </w:rPr>
        <w:t>拒绝接受此调整的，按无效</w:t>
      </w:r>
      <w:r>
        <w:rPr>
          <w:rFonts w:hint="eastAsia" w:ascii="宋体" w:hAnsi="宋体" w:cs="Courier New"/>
          <w:color w:val="auto"/>
          <w:szCs w:val="21"/>
        </w:rPr>
        <w:t>响应</w:t>
      </w:r>
      <w:r>
        <w:rPr>
          <w:rFonts w:ascii="宋体" w:hAnsi="宋体" w:cs="Courier New"/>
          <w:color w:val="auto"/>
          <w:szCs w:val="21"/>
        </w:rPr>
        <w:t>处理。</w:t>
      </w:r>
    </w:p>
    <w:p w14:paraId="0B2EF6E8">
      <w:pPr>
        <w:adjustRightInd w:val="0"/>
        <w:snapToGrid w:val="0"/>
        <w:spacing w:line="460" w:lineRule="exact"/>
        <w:ind w:firstLine="422" w:firstLineChars="200"/>
        <w:rPr>
          <w:rFonts w:ascii="宋体" w:hAnsi="宋体" w:cs="Arial"/>
          <w:color w:val="auto"/>
          <w:kern w:val="0"/>
          <w:szCs w:val="21"/>
        </w:rPr>
      </w:pPr>
      <w:r>
        <w:rPr>
          <w:rFonts w:ascii="宋体" w:hAnsi="宋体" w:cs="Courier New"/>
          <w:b/>
          <w:bCs/>
          <w:color w:val="auto"/>
          <w:szCs w:val="21"/>
        </w:rPr>
        <w:t>特别说明：如遇“政采云平台”电子化开标或评审程序调整的，按调整后程序执行。</w:t>
      </w:r>
    </w:p>
    <w:p w14:paraId="13BFFBCD">
      <w:pPr>
        <w:widowControl/>
        <w:spacing w:line="46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17.4在响应文件提交截止时间止提交响应文件的供应商不足3 家时，不得开标，应当由供应商法定代表人或者委托代理人签字领回电子备份响应文件（电子备份响应文件采用邮寄方式提交的，以到付的方式寄回至原地址），除此之外采购人和采购代理机构对已提交的响应文件概不退回。</w:t>
      </w:r>
    </w:p>
    <w:p w14:paraId="779EFC83">
      <w:pPr>
        <w:pStyle w:val="4"/>
        <w:spacing w:before="0" w:after="0" w:line="460" w:lineRule="exact"/>
        <w:rPr>
          <w:rFonts w:ascii="宋体" w:hAnsi="宋体" w:eastAsia="宋体"/>
          <w:color w:val="auto"/>
          <w:sz w:val="21"/>
          <w:szCs w:val="21"/>
        </w:rPr>
      </w:pPr>
      <w:bookmarkStart w:id="91" w:name="_Toc6792"/>
      <w:bookmarkStart w:id="92" w:name="_Toc80818630"/>
      <w:bookmarkStart w:id="93" w:name="_Toc239659110"/>
      <w:bookmarkStart w:id="94" w:name="_Toc18682819"/>
      <w:bookmarkStart w:id="95" w:name="_Toc346264282"/>
      <w:r>
        <w:rPr>
          <w:rFonts w:ascii="宋体" w:hAnsi="宋体" w:eastAsia="宋体"/>
          <w:color w:val="auto"/>
          <w:sz w:val="21"/>
          <w:szCs w:val="21"/>
        </w:rPr>
        <w:t>18.评标内容的保密</w:t>
      </w:r>
      <w:bookmarkEnd w:id="91"/>
      <w:bookmarkEnd w:id="92"/>
      <w:bookmarkEnd w:id="93"/>
      <w:bookmarkEnd w:id="94"/>
      <w:bookmarkEnd w:id="95"/>
    </w:p>
    <w:p w14:paraId="0A3D14F9">
      <w:pPr>
        <w:spacing w:line="460" w:lineRule="exact"/>
        <w:rPr>
          <w:rFonts w:ascii="宋体" w:hAnsi="宋体"/>
          <w:color w:val="auto"/>
          <w:szCs w:val="21"/>
        </w:rPr>
      </w:pPr>
      <w:r>
        <w:rPr>
          <w:rFonts w:ascii="宋体" w:hAnsi="宋体"/>
          <w:color w:val="auto"/>
          <w:szCs w:val="21"/>
        </w:rPr>
        <w:t xml:space="preserve">    18.1</w:t>
      </w:r>
      <w:r>
        <w:rPr>
          <w:rFonts w:hint="eastAsia" w:ascii="宋体" w:hAnsi="宋体"/>
          <w:color w:val="auto"/>
          <w:szCs w:val="21"/>
        </w:rPr>
        <w:t>采购人、采购代理机构应当按照政府采购法和政府采购竞争性磋商采购方式管理暂行办法的规定组织开展竞争性磋商，并采取必要措施，保证磋商在严格保密的情况下进行。任何单位和个人不得非法干预、影响磋商过程和结果。</w:t>
      </w:r>
    </w:p>
    <w:p w14:paraId="047000A5">
      <w:pPr>
        <w:spacing w:line="460" w:lineRule="exact"/>
        <w:ind w:firstLine="435"/>
        <w:rPr>
          <w:rFonts w:ascii="宋体" w:hAnsi="宋体"/>
          <w:color w:val="auto"/>
          <w:szCs w:val="21"/>
        </w:rPr>
      </w:pPr>
      <w:r>
        <w:rPr>
          <w:rFonts w:ascii="宋体" w:hAnsi="宋体"/>
          <w:color w:val="auto"/>
          <w:szCs w:val="21"/>
        </w:rPr>
        <w:t>18.2 在</w:t>
      </w:r>
      <w:r>
        <w:rPr>
          <w:rFonts w:hint="eastAsia" w:ascii="宋体" w:hAnsi="宋体"/>
          <w:color w:val="auto"/>
          <w:szCs w:val="21"/>
        </w:rPr>
        <w:t>响应文件</w:t>
      </w:r>
      <w:r>
        <w:rPr>
          <w:rFonts w:ascii="宋体" w:hAnsi="宋体"/>
          <w:color w:val="auto"/>
          <w:szCs w:val="21"/>
        </w:rPr>
        <w:t>的审查、澄清、评价和比较以及授予合同的过程中，</w:t>
      </w:r>
      <w:r>
        <w:rPr>
          <w:rFonts w:hint="eastAsia" w:ascii="宋体" w:hAnsi="宋体"/>
          <w:color w:val="auto"/>
          <w:szCs w:val="21"/>
        </w:rPr>
        <w:t>供应商</w:t>
      </w:r>
      <w:r>
        <w:rPr>
          <w:rFonts w:ascii="宋体" w:hAnsi="宋体"/>
          <w:color w:val="auto"/>
          <w:szCs w:val="21"/>
        </w:rPr>
        <w:t>对采购人和</w:t>
      </w:r>
      <w:r>
        <w:rPr>
          <w:rFonts w:hint="eastAsia" w:ascii="宋体" w:hAnsi="宋体"/>
          <w:bCs/>
          <w:color w:val="auto"/>
          <w:szCs w:val="21"/>
        </w:rPr>
        <w:t>磋商小组</w:t>
      </w:r>
      <w:r>
        <w:rPr>
          <w:rFonts w:ascii="宋体" w:hAnsi="宋体"/>
          <w:color w:val="auto"/>
          <w:szCs w:val="21"/>
        </w:rPr>
        <w:t>施加影响的任何行为，都将导致取消其磋商资格。</w:t>
      </w:r>
    </w:p>
    <w:p w14:paraId="110F1404">
      <w:pPr>
        <w:pStyle w:val="4"/>
        <w:spacing w:before="0" w:after="0" w:line="460" w:lineRule="exact"/>
        <w:rPr>
          <w:rFonts w:ascii="宋体" w:hAnsi="宋体" w:eastAsia="宋体"/>
          <w:color w:val="auto"/>
          <w:sz w:val="21"/>
          <w:szCs w:val="21"/>
        </w:rPr>
      </w:pPr>
      <w:bookmarkStart w:id="96" w:name="_Toc346264283"/>
      <w:bookmarkStart w:id="97" w:name="_Toc239659111"/>
      <w:bookmarkStart w:id="98" w:name="_Toc80818631"/>
      <w:bookmarkStart w:id="99" w:name="_Toc18682820"/>
      <w:bookmarkStart w:id="100" w:name="_Toc9116"/>
      <w:r>
        <w:rPr>
          <w:rFonts w:ascii="宋体" w:hAnsi="宋体" w:eastAsia="宋体"/>
          <w:color w:val="auto"/>
          <w:sz w:val="21"/>
          <w:szCs w:val="21"/>
        </w:rPr>
        <w:t>19.</w:t>
      </w:r>
      <w:r>
        <w:rPr>
          <w:rFonts w:hint="eastAsia" w:ascii="宋体" w:hAnsi="宋体" w:eastAsia="宋体"/>
          <w:color w:val="auto"/>
          <w:sz w:val="21"/>
          <w:szCs w:val="21"/>
        </w:rPr>
        <w:t>响应文件</w:t>
      </w:r>
      <w:r>
        <w:rPr>
          <w:rFonts w:ascii="宋体" w:hAnsi="宋体" w:eastAsia="宋体"/>
          <w:color w:val="auto"/>
          <w:sz w:val="21"/>
          <w:szCs w:val="21"/>
        </w:rPr>
        <w:t>计算错误的修正</w:t>
      </w:r>
      <w:bookmarkEnd w:id="96"/>
      <w:bookmarkEnd w:id="97"/>
      <w:bookmarkEnd w:id="98"/>
      <w:bookmarkEnd w:id="99"/>
      <w:bookmarkEnd w:id="100"/>
    </w:p>
    <w:p w14:paraId="4EACDB27">
      <w:pPr>
        <w:spacing w:line="460" w:lineRule="exact"/>
        <w:ind w:left="-15" w:leftChars="-7" w:firstLine="388" w:firstLineChars="185"/>
        <w:rPr>
          <w:rFonts w:ascii="宋体" w:hAnsi="宋体"/>
          <w:color w:val="auto"/>
          <w:szCs w:val="21"/>
        </w:rPr>
      </w:pPr>
      <w:r>
        <w:rPr>
          <w:rFonts w:ascii="宋体" w:hAnsi="宋体"/>
          <w:color w:val="auto"/>
          <w:szCs w:val="21"/>
        </w:rPr>
        <w:t>19.1</w:t>
      </w:r>
      <w:r>
        <w:rPr>
          <w:rFonts w:hint="eastAsia" w:ascii="宋体" w:hAnsi="宋体"/>
          <w:color w:val="auto"/>
          <w:szCs w:val="21"/>
        </w:rPr>
        <w:t xml:space="preserve"> </w:t>
      </w:r>
      <w:r>
        <w:rPr>
          <w:rFonts w:hint="eastAsia" w:ascii="宋体" w:hAnsi="宋体"/>
          <w:bCs/>
          <w:color w:val="auto"/>
          <w:szCs w:val="21"/>
        </w:rPr>
        <w:t>磋商小组</w:t>
      </w:r>
      <w:r>
        <w:rPr>
          <w:rFonts w:ascii="宋体" w:hAnsi="宋体"/>
          <w:color w:val="auto"/>
          <w:szCs w:val="21"/>
        </w:rPr>
        <w:t>将对确定为实质上响应磋商文件要求的</w:t>
      </w:r>
      <w:r>
        <w:rPr>
          <w:rFonts w:hint="eastAsia" w:ascii="宋体" w:hAnsi="宋体"/>
          <w:color w:val="auto"/>
          <w:szCs w:val="21"/>
        </w:rPr>
        <w:t>响应文件</w:t>
      </w:r>
      <w:r>
        <w:rPr>
          <w:rFonts w:ascii="宋体" w:hAnsi="宋体"/>
          <w:color w:val="auto"/>
          <w:szCs w:val="21"/>
        </w:rPr>
        <w:t>进行校核，看其是否有计算或表达上的错误，修正错误的原则如下：</w:t>
      </w:r>
    </w:p>
    <w:p w14:paraId="2BB400C8">
      <w:pPr>
        <w:spacing w:line="460" w:lineRule="exact"/>
        <w:ind w:left="-15" w:leftChars="-7" w:firstLine="388" w:firstLineChars="185"/>
        <w:rPr>
          <w:rFonts w:ascii="宋体" w:hAnsi="宋体"/>
          <w:color w:val="auto"/>
          <w:szCs w:val="21"/>
        </w:rPr>
      </w:pPr>
      <w:r>
        <w:rPr>
          <w:rFonts w:ascii="宋体" w:hAnsi="宋体"/>
          <w:color w:val="auto"/>
          <w:szCs w:val="21"/>
        </w:rPr>
        <w:t>19.1.1</w:t>
      </w:r>
      <w:r>
        <w:rPr>
          <w:rFonts w:hint="eastAsia" w:ascii="宋体" w:hAnsi="宋体"/>
          <w:color w:val="auto"/>
          <w:szCs w:val="21"/>
        </w:rPr>
        <w:t xml:space="preserve"> </w:t>
      </w:r>
      <w:r>
        <w:rPr>
          <w:rFonts w:ascii="宋体" w:hAnsi="宋体"/>
          <w:color w:val="auto"/>
          <w:szCs w:val="21"/>
        </w:rPr>
        <w:t>如果数字表示的金额和用文字表示的金额不一致时，应以文字表示的金额为准；</w:t>
      </w:r>
    </w:p>
    <w:p w14:paraId="31D71C5D">
      <w:pPr>
        <w:spacing w:line="460" w:lineRule="exact"/>
        <w:ind w:left="-15" w:leftChars="-7" w:firstLine="388" w:firstLineChars="185"/>
        <w:rPr>
          <w:rFonts w:ascii="宋体" w:hAnsi="宋体"/>
          <w:color w:val="auto"/>
          <w:szCs w:val="21"/>
        </w:rPr>
      </w:pPr>
      <w:r>
        <w:rPr>
          <w:rFonts w:ascii="宋体" w:hAnsi="宋体"/>
          <w:color w:val="auto"/>
          <w:szCs w:val="21"/>
        </w:rPr>
        <w:t>19.1.2</w:t>
      </w:r>
      <w:r>
        <w:rPr>
          <w:rFonts w:hint="eastAsia" w:ascii="宋体" w:hAnsi="宋体"/>
          <w:color w:val="auto"/>
          <w:szCs w:val="21"/>
        </w:rPr>
        <w:t xml:space="preserve"> </w:t>
      </w:r>
      <w:r>
        <w:rPr>
          <w:rFonts w:ascii="宋体" w:hAnsi="宋体"/>
          <w:color w:val="auto"/>
          <w:szCs w:val="21"/>
        </w:rPr>
        <w:t>当单价与数量的乘积与合价不一致时，以单价为准，除非</w:t>
      </w:r>
      <w:r>
        <w:rPr>
          <w:rFonts w:hint="eastAsia" w:ascii="宋体" w:hAnsi="宋体"/>
          <w:bCs/>
          <w:color w:val="auto"/>
          <w:szCs w:val="21"/>
        </w:rPr>
        <w:t>磋商</w:t>
      </w:r>
      <w:r>
        <w:rPr>
          <w:rFonts w:hint="eastAsia" w:ascii="宋体" w:hAnsi="宋体"/>
          <w:color w:val="auto"/>
          <w:szCs w:val="21"/>
        </w:rPr>
        <w:t>小组</w:t>
      </w:r>
      <w:r>
        <w:rPr>
          <w:rFonts w:ascii="宋体" w:hAnsi="宋体"/>
          <w:color w:val="auto"/>
          <w:szCs w:val="21"/>
        </w:rPr>
        <w:t>认为单价有明显的小数点错误，此时应以标出的合价为准，并修改单价</w:t>
      </w:r>
      <w:r>
        <w:rPr>
          <w:rFonts w:hint="eastAsia" w:ascii="宋体" w:hAnsi="宋体"/>
          <w:color w:val="auto"/>
          <w:szCs w:val="21"/>
        </w:rPr>
        <w:t>；</w:t>
      </w:r>
    </w:p>
    <w:p w14:paraId="518513A5">
      <w:pPr>
        <w:spacing w:line="460" w:lineRule="exact"/>
        <w:ind w:left="-15" w:leftChars="-7" w:firstLine="388" w:firstLineChars="185"/>
        <w:rPr>
          <w:rFonts w:ascii="宋体" w:hAnsi="宋体"/>
          <w:color w:val="auto"/>
          <w:szCs w:val="21"/>
        </w:rPr>
      </w:pPr>
      <w:r>
        <w:rPr>
          <w:rFonts w:hint="eastAsia" w:ascii="宋体" w:hAnsi="宋体"/>
          <w:color w:val="auto"/>
          <w:szCs w:val="21"/>
        </w:rPr>
        <w:t>19.1.3 当分项乘积累计得出的总额与标出的总额不一致时，以标出的分项乘积为准，并修改标出的总额；</w:t>
      </w:r>
    </w:p>
    <w:p w14:paraId="4ECF195B">
      <w:pPr>
        <w:spacing w:line="460" w:lineRule="exact"/>
        <w:ind w:left="-15" w:leftChars="-7" w:firstLine="388" w:firstLineChars="185"/>
        <w:rPr>
          <w:rFonts w:ascii="宋体" w:hAnsi="宋体"/>
          <w:color w:val="auto"/>
          <w:szCs w:val="21"/>
        </w:rPr>
      </w:pPr>
      <w:r>
        <w:rPr>
          <w:rFonts w:ascii="宋体" w:hAnsi="宋体"/>
          <w:color w:val="auto"/>
          <w:szCs w:val="21"/>
        </w:rPr>
        <w:t>19.2 按上述修正错误的原则及方法调整或修正</w:t>
      </w:r>
      <w:r>
        <w:rPr>
          <w:rFonts w:hint="eastAsia" w:ascii="宋体" w:hAnsi="宋体"/>
          <w:color w:val="auto"/>
          <w:szCs w:val="21"/>
        </w:rPr>
        <w:t>响应文件</w:t>
      </w:r>
      <w:r>
        <w:rPr>
          <w:rFonts w:ascii="宋体" w:hAnsi="宋体"/>
          <w:color w:val="auto"/>
          <w:szCs w:val="21"/>
        </w:rPr>
        <w:t>的磋商报价，</w:t>
      </w:r>
      <w:r>
        <w:rPr>
          <w:rFonts w:hint="eastAsia" w:ascii="宋体" w:hAnsi="宋体"/>
          <w:color w:val="auto"/>
          <w:szCs w:val="21"/>
        </w:rPr>
        <w:t>在供应商确认</w:t>
      </w:r>
      <w:r>
        <w:rPr>
          <w:rFonts w:ascii="宋体" w:hAnsi="宋体"/>
          <w:color w:val="auto"/>
          <w:szCs w:val="21"/>
        </w:rPr>
        <w:t>后，调整或修正后的磋商报价对</w:t>
      </w:r>
      <w:r>
        <w:rPr>
          <w:rFonts w:hint="eastAsia" w:ascii="宋体" w:hAnsi="宋体"/>
          <w:color w:val="auto"/>
          <w:szCs w:val="21"/>
        </w:rPr>
        <w:t>供应商</w:t>
      </w:r>
      <w:r>
        <w:rPr>
          <w:rFonts w:ascii="宋体" w:hAnsi="宋体"/>
          <w:color w:val="auto"/>
          <w:szCs w:val="21"/>
        </w:rPr>
        <w:t>起约束作用。</w:t>
      </w:r>
    </w:p>
    <w:p w14:paraId="66A17C5D">
      <w:pPr>
        <w:spacing w:line="460" w:lineRule="exact"/>
        <w:ind w:left="-15" w:leftChars="-7" w:firstLine="390" w:firstLineChars="185"/>
        <w:rPr>
          <w:rFonts w:ascii="宋体" w:hAnsi="宋体"/>
          <w:color w:val="auto"/>
          <w:szCs w:val="21"/>
        </w:rPr>
      </w:pPr>
      <w:r>
        <w:rPr>
          <w:rFonts w:hint="eastAsia" w:ascii="宋体" w:hAnsi="宋体"/>
          <w:b/>
          <w:color w:val="auto"/>
          <w:szCs w:val="21"/>
        </w:rPr>
        <w:t>按上述修正错误的原则及方法调整或修正响应文件的磋商报价，供应商须在线同意并签字确认，调整后的磋商报价对供应商具有约束作用。如果供应商不接受修正后的报价，则其响应文件将作为无效响应处理。</w:t>
      </w:r>
    </w:p>
    <w:p w14:paraId="0AF328D5">
      <w:pPr>
        <w:pStyle w:val="4"/>
        <w:spacing w:before="0" w:after="0" w:line="460" w:lineRule="exact"/>
        <w:rPr>
          <w:rFonts w:ascii="宋体" w:hAnsi="宋体" w:eastAsia="宋体"/>
          <w:color w:val="auto"/>
          <w:sz w:val="21"/>
          <w:szCs w:val="21"/>
        </w:rPr>
      </w:pPr>
      <w:bookmarkStart w:id="101" w:name="_Toc346264284"/>
      <w:bookmarkStart w:id="102" w:name="_Toc80818632"/>
      <w:bookmarkStart w:id="103" w:name="_Toc18682821"/>
      <w:bookmarkStart w:id="104" w:name="_Toc18167"/>
      <w:bookmarkStart w:id="105" w:name="_Toc239659112"/>
      <w:r>
        <w:rPr>
          <w:rFonts w:ascii="宋体" w:hAnsi="宋体" w:eastAsia="宋体"/>
          <w:color w:val="auto"/>
          <w:sz w:val="21"/>
          <w:szCs w:val="21"/>
        </w:rPr>
        <w:t>20.</w:t>
      </w:r>
      <w:r>
        <w:rPr>
          <w:rFonts w:hint="eastAsia" w:ascii="宋体" w:hAnsi="宋体" w:eastAsia="宋体"/>
          <w:color w:val="auto"/>
          <w:sz w:val="21"/>
          <w:szCs w:val="21"/>
        </w:rPr>
        <w:t>供应商</w:t>
      </w:r>
      <w:r>
        <w:rPr>
          <w:rFonts w:ascii="宋体" w:hAnsi="宋体" w:eastAsia="宋体"/>
          <w:color w:val="auto"/>
          <w:sz w:val="21"/>
          <w:szCs w:val="21"/>
        </w:rPr>
        <w:t>资格审查</w:t>
      </w:r>
      <w:bookmarkEnd w:id="101"/>
      <w:bookmarkEnd w:id="102"/>
      <w:bookmarkEnd w:id="103"/>
      <w:bookmarkEnd w:id="104"/>
      <w:bookmarkEnd w:id="105"/>
    </w:p>
    <w:p w14:paraId="45E6240B">
      <w:pPr>
        <w:spacing w:line="460" w:lineRule="exact"/>
        <w:ind w:firstLine="457" w:firstLineChars="218"/>
        <w:rPr>
          <w:rFonts w:ascii="宋体" w:hAnsi="宋体"/>
          <w:color w:val="auto"/>
          <w:szCs w:val="21"/>
        </w:rPr>
      </w:pPr>
      <w:r>
        <w:rPr>
          <w:rFonts w:hint="eastAsia" w:ascii="宋体" w:hAnsi="宋体"/>
          <w:color w:val="auto"/>
          <w:szCs w:val="21"/>
        </w:rPr>
        <w:t>资格后审，只有通过资格审查才能进入符合性审查。所要提供的材料见本须知9.2条内容，资格审查资料有任何一项缺项或不合格者其资格审查视为不通过。</w:t>
      </w:r>
    </w:p>
    <w:p w14:paraId="11395D41">
      <w:pPr>
        <w:pStyle w:val="4"/>
        <w:spacing w:before="0" w:after="0" w:line="460" w:lineRule="exact"/>
        <w:rPr>
          <w:rFonts w:ascii="宋体" w:hAnsi="宋体" w:eastAsia="宋体"/>
          <w:color w:val="auto"/>
          <w:sz w:val="21"/>
          <w:szCs w:val="21"/>
        </w:rPr>
      </w:pPr>
      <w:bookmarkStart w:id="106" w:name="_Toc346264285"/>
      <w:bookmarkStart w:id="107" w:name="_Toc18682822"/>
      <w:bookmarkStart w:id="108" w:name="_Toc239659113"/>
      <w:bookmarkStart w:id="109" w:name="_Toc120331586"/>
      <w:bookmarkStart w:id="110" w:name="_Toc174353376"/>
      <w:bookmarkStart w:id="111" w:name="_Toc22996"/>
      <w:bookmarkStart w:id="112" w:name="_Toc80818633"/>
      <w:r>
        <w:rPr>
          <w:rFonts w:ascii="宋体" w:hAnsi="宋体" w:eastAsia="宋体"/>
          <w:color w:val="auto"/>
          <w:sz w:val="21"/>
          <w:szCs w:val="21"/>
        </w:rPr>
        <w:t>21.</w:t>
      </w:r>
      <w:r>
        <w:rPr>
          <w:rFonts w:hint="eastAsia" w:ascii="宋体" w:hAnsi="宋体" w:eastAsia="宋体"/>
          <w:color w:val="auto"/>
          <w:sz w:val="21"/>
          <w:szCs w:val="21"/>
        </w:rPr>
        <w:t>响应文件</w:t>
      </w:r>
      <w:r>
        <w:rPr>
          <w:rFonts w:ascii="宋体" w:hAnsi="宋体" w:eastAsia="宋体"/>
          <w:color w:val="auto"/>
          <w:sz w:val="21"/>
          <w:szCs w:val="21"/>
        </w:rPr>
        <w:t>的</w:t>
      </w:r>
      <w:bookmarkEnd w:id="106"/>
      <w:bookmarkEnd w:id="107"/>
      <w:bookmarkEnd w:id="108"/>
      <w:bookmarkEnd w:id="109"/>
      <w:bookmarkEnd w:id="110"/>
      <w:r>
        <w:rPr>
          <w:rFonts w:hint="eastAsia" w:ascii="宋体" w:hAnsi="宋体" w:eastAsia="宋体"/>
          <w:color w:val="auto"/>
          <w:sz w:val="21"/>
          <w:szCs w:val="21"/>
        </w:rPr>
        <w:t>符合性鉴定</w:t>
      </w:r>
      <w:bookmarkEnd w:id="111"/>
      <w:bookmarkEnd w:id="112"/>
    </w:p>
    <w:p w14:paraId="38FF8A19">
      <w:pPr>
        <w:spacing w:line="460" w:lineRule="exact"/>
        <w:ind w:firstLine="420" w:firstLineChars="200"/>
        <w:rPr>
          <w:rFonts w:ascii="宋体" w:hAnsi="宋体"/>
          <w:color w:val="auto"/>
          <w:szCs w:val="21"/>
        </w:rPr>
      </w:pPr>
      <w:r>
        <w:rPr>
          <w:rFonts w:hint="eastAsia" w:ascii="宋体" w:hAnsi="宋体"/>
          <w:color w:val="auto"/>
          <w:szCs w:val="21"/>
        </w:rPr>
        <w:t>21.1 对响应文件进行符合性鉴定。响应文件应实质上响应磋商文件的要求，应与磋商文件所有条款、条件和规定，无明显差异或保留。磋商小组对实质上不响应磋商文件要求的磋商予以拒绝，但磋商小组认定属于供应商疏忽、笔误所造成的差错，应当允许其在磋商结束之前在政采云系统上进行修改或者补正并加盖单位公章。在磋商小组会发出询标函规定的回复限期内不补正或经补正后仍不符合磋商文件要求的，应认定其响应无效。供应商修改、补正响应文件后，不影响磋商小组对其响应文件所作的评价和评分结果。</w:t>
      </w:r>
    </w:p>
    <w:p w14:paraId="3987DA2B">
      <w:pPr>
        <w:spacing w:line="460" w:lineRule="exact"/>
        <w:ind w:firstLine="411" w:firstLineChars="196"/>
        <w:rPr>
          <w:rFonts w:ascii="宋体" w:hAnsi="宋体"/>
          <w:color w:val="auto"/>
          <w:szCs w:val="21"/>
        </w:rPr>
      </w:pPr>
      <w:r>
        <w:rPr>
          <w:rFonts w:ascii="宋体" w:hAnsi="宋体"/>
          <w:color w:val="auto"/>
          <w:szCs w:val="21"/>
        </w:rPr>
        <w:t>21.</w:t>
      </w:r>
      <w:r>
        <w:rPr>
          <w:rFonts w:hint="eastAsia" w:ascii="宋体" w:hAnsi="宋体"/>
          <w:color w:val="auto"/>
          <w:szCs w:val="21"/>
        </w:rPr>
        <w:t>2 供应商或其响应文件有</w:t>
      </w:r>
      <w:r>
        <w:rPr>
          <w:rFonts w:ascii="宋体" w:hAnsi="宋体"/>
          <w:color w:val="auto"/>
          <w:szCs w:val="21"/>
        </w:rPr>
        <w:t>下列情况之一者</w:t>
      </w:r>
      <w:r>
        <w:rPr>
          <w:rFonts w:hint="eastAsia" w:ascii="宋体" w:hAnsi="宋体"/>
          <w:color w:val="auto"/>
          <w:szCs w:val="21"/>
        </w:rPr>
        <w:t>，其响应文件</w:t>
      </w:r>
      <w:r>
        <w:rPr>
          <w:rFonts w:ascii="宋体" w:hAnsi="宋体"/>
          <w:color w:val="auto"/>
          <w:szCs w:val="21"/>
        </w:rPr>
        <w:t>将视为无效</w:t>
      </w:r>
      <w:r>
        <w:rPr>
          <w:rFonts w:hint="eastAsia" w:ascii="宋体" w:hAnsi="宋体"/>
          <w:color w:val="auto"/>
          <w:szCs w:val="21"/>
        </w:rPr>
        <w:t>响应处理</w:t>
      </w:r>
      <w:r>
        <w:rPr>
          <w:rFonts w:ascii="宋体" w:hAnsi="宋体"/>
          <w:color w:val="auto"/>
          <w:szCs w:val="21"/>
        </w:rPr>
        <w:t>：</w:t>
      </w:r>
    </w:p>
    <w:p w14:paraId="493207A3">
      <w:pPr>
        <w:spacing w:line="460" w:lineRule="exact"/>
        <w:ind w:firstLine="411" w:firstLineChars="196"/>
        <w:rPr>
          <w:rFonts w:ascii="宋体" w:hAnsi="宋体"/>
          <w:color w:val="auto"/>
          <w:szCs w:val="21"/>
        </w:rPr>
      </w:pPr>
      <w:r>
        <w:rPr>
          <w:rFonts w:ascii="宋体" w:hAnsi="宋体"/>
          <w:color w:val="auto"/>
          <w:szCs w:val="21"/>
        </w:rPr>
        <w:t>21.2.</w:t>
      </w:r>
      <w:r>
        <w:rPr>
          <w:rFonts w:hint="eastAsia" w:ascii="宋体" w:hAnsi="宋体"/>
          <w:color w:val="auto"/>
          <w:szCs w:val="21"/>
        </w:rPr>
        <w:t>1 未按</w:t>
      </w:r>
      <w:r>
        <w:rPr>
          <w:rFonts w:ascii="宋体" w:hAnsi="宋体"/>
          <w:color w:val="auto"/>
          <w:szCs w:val="21"/>
        </w:rPr>
        <w:t>本须知第9条规定的</w:t>
      </w:r>
      <w:r>
        <w:rPr>
          <w:rFonts w:hint="eastAsia" w:ascii="宋体" w:hAnsi="宋体"/>
          <w:color w:val="auto"/>
          <w:szCs w:val="21"/>
        </w:rPr>
        <w:t>响应文件必须提供的</w:t>
      </w:r>
      <w:r>
        <w:rPr>
          <w:rFonts w:ascii="宋体" w:hAnsi="宋体"/>
          <w:color w:val="auto"/>
          <w:szCs w:val="21"/>
        </w:rPr>
        <w:t>内容</w:t>
      </w:r>
      <w:r>
        <w:rPr>
          <w:rFonts w:hint="eastAsia" w:ascii="宋体" w:hAnsi="宋体"/>
          <w:color w:val="auto"/>
          <w:szCs w:val="21"/>
        </w:rPr>
        <w:t>组成，或</w:t>
      </w:r>
      <w:r>
        <w:rPr>
          <w:rFonts w:ascii="宋体" w:hAnsi="宋体"/>
          <w:color w:val="auto"/>
          <w:szCs w:val="21"/>
        </w:rPr>
        <w:t>未按本须知第13</w:t>
      </w:r>
      <w:r>
        <w:rPr>
          <w:rFonts w:hint="eastAsia" w:ascii="宋体" w:hAnsi="宋体"/>
          <w:color w:val="auto"/>
          <w:szCs w:val="21"/>
        </w:rPr>
        <w:t>条</w:t>
      </w:r>
      <w:r>
        <w:rPr>
          <w:rFonts w:ascii="宋体" w:hAnsi="宋体"/>
          <w:color w:val="auto"/>
          <w:szCs w:val="21"/>
        </w:rPr>
        <w:t>规定加盖</w:t>
      </w:r>
      <w:r>
        <w:rPr>
          <w:rFonts w:hint="eastAsia" w:ascii="宋体" w:hAnsi="宋体"/>
          <w:color w:val="auto"/>
          <w:szCs w:val="21"/>
        </w:rPr>
        <w:t>供应商单位公</w:t>
      </w:r>
      <w:r>
        <w:rPr>
          <w:rFonts w:ascii="宋体" w:hAnsi="宋体"/>
          <w:color w:val="auto"/>
          <w:szCs w:val="21"/>
        </w:rPr>
        <w:t>章</w:t>
      </w:r>
      <w:r>
        <w:rPr>
          <w:rFonts w:hint="eastAsia" w:ascii="宋体" w:hAnsi="宋体"/>
          <w:color w:val="auto"/>
          <w:szCs w:val="21"/>
        </w:rPr>
        <w:t>、</w:t>
      </w:r>
      <w:r>
        <w:rPr>
          <w:rFonts w:ascii="宋体" w:hAnsi="宋体"/>
          <w:color w:val="auto"/>
          <w:szCs w:val="21"/>
        </w:rPr>
        <w:t>未经法定代表人或其委托代理人签字的</w:t>
      </w:r>
      <w:r>
        <w:rPr>
          <w:rFonts w:hint="eastAsia" w:ascii="宋体" w:hAnsi="宋体"/>
          <w:color w:val="auto"/>
          <w:szCs w:val="21"/>
        </w:rPr>
        <w:t>；</w:t>
      </w:r>
    </w:p>
    <w:p w14:paraId="74071D7E">
      <w:pPr>
        <w:spacing w:line="460" w:lineRule="exact"/>
        <w:ind w:firstLine="411" w:firstLineChars="196"/>
        <w:rPr>
          <w:rFonts w:ascii="宋体" w:hAnsi="宋体"/>
          <w:color w:val="auto"/>
          <w:szCs w:val="21"/>
        </w:rPr>
      </w:pPr>
      <w:r>
        <w:rPr>
          <w:rFonts w:hint="eastAsia" w:ascii="宋体" w:hAnsi="宋体"/>
          <w:color w:val="auto"/>
          <w:szCs w:val="21"/>
        </w:rPr>
        <w:t xml:space="preserve">21.2.2 </w:t>
      </w:r>
      <w:r>
        <w:rPr>
          <w:rFonts w:ascii="宋体" w:hAnsi="宋体"/>
          <w:color w:val="auto"/>
          <w:szCs w:val="21"/>
        </w:rPr>
        <w:t>由</w:t>
      </w:r>
      <w:r>
        <w:rPr>
          <w:rFonts w:hint="eastAsia" w:ascii="宋体" w:hAnsi="宋体"/>
          <w:color w:val="auto"/>
          <w:szCs w:val="21"/>
        </w:rPr>
        <w:t>授权</w:t>
      </w:r>
      <w:r>
        <w:rPr>
          <w:rFonts w:ascii="宋体" w:hAnsi="宋体"/>
          <w:color w:val="auto"/>
          <w:szCs w:val="21"/>
        </w:rPr>
        <w:t>委托代理人签字，但未随</w:t>
      </w:r>
      <w:r>
        <w:rPr>
          <w:rFonts w:hint="eastAsia" w:ascii="宋体" w:hAnsi="宋体"/>
          <w:color w:val="auto"/>
          <w:szCs w:val="21"/>
        </w:rPr>
        <w:t>响应文件</w:t>
      </w:r>
      <w:r>
        <w:rPr>
          <w:rFonts w:ascii="宋体" w:hAnsi="宋体"/>
          <w:color w:val="auto"/>
          <w:szCs w:val="21"/>
        </w:rPr>
        <w:t>一起提交有效的“授权委托书”原件的</w:t>
      </w:r>
      <w:r>
        <w:rPr>
          <w:rFonts w:hint="eastAsia" w:ascii="宋体" w:hAnsi="宋体"/>
          <w:color w:val="auto"/>
          <w:szCs w:val="21"/>
        </w:rPr>
        <w:t>，或者出具的身份证明与授权委托书中的信息不符</w:t>
      </w:r>
      <w:r>
        <w:rPr>
          <w:rFonts w:ascii="宋体" w:hAnsi="宋体"/>
          <w:color w:val="auto"/>
          <w:szCs w:val="21"/>
        </w:rPr>
        <w:t>；</w:t>
      </w:r>
    </w:p>
    <w:p w14:paraId="43808F11">
      <w:pPr>
        <w:spacing w:line="460" w:lineRule="exact"/>
        <w:rPr>
          <w:rFonts w:ascii="宋体" w:hAnsi="宋体"/>
          <w:color w:val="auto"/>
          <w:szCs w:val="21"/>
        </w:rPr>
      </w:pPr>
      <w:r>
        <w:rPr>
          <w:rFonts w:ascii="宋体" w:hAnsi="宋体"/>
          <w:color w:val="auto"/>
          <w:szCs w:val="21"/>
        </w:rPr>
        <w:t xml:space="preserve">  </w:t>
      </w:r>
      <w:r>
        <w:rPr>
          <w:rFonts w:hint="eastAsia" w:ascii="宋体" w:hAnsi="宋体"/>
          <w:color w:val="auto"/>
          <w:szCs w:val="21"/>
        </w:rPr>
        <w:t xml:space="preserve">  21.2.3响应文件的实质性内容未使用中文表述、使用计量单位不符合磋商文件要求；或未采用人民币报价或者未按照磋商文件标明的币种报价。</w:t>
      </w:r>
    </w:p>
    <w:p w14:paraId="5BF75326">
      <w:pPr>
        <w:spacing w:line="460" w:lineRule="exact"/>
        <w:ind w:firstLine="420" w:firstLineChars="200"/>
        <w:rPr>
          <w:rFonts w:ascii="宋体" w:hAnsi="宋体"/>
          <w:color w:val="auto"/>
          <w:szCs w:val="21"/>
        </w:rPr>
      </w:pPr>
      <w:r>
        <w:rPr>
          <w:rFonts w:hint="eastAsia" w:ascii="宋体" w:hAnsi="宋体"/>
          <w:color w:val="auto"/>
          <w:szCs w:val="21"/>
        </w:rPr>
        <w:t>21.2.4供应商磋商报价高于本工程的采购上限控制价的；或者被磋商小组视为“低于成本”或者“明显不合理并有可能影响服务质量或不能诚信履约”的；</w:t>
      </w:r>
    </w:p>
    <w:p w14:paraId="77A692EF">
      <w:pPr>
        <w:spacing w:line="460" w:lineRule="exact"/>
        <w:ind w:firstLine="420" w:firstLineChars="200"/>
        <w:rPr>
          <w:rFonts w:ascii="宋体" w:hAnsi="宋体"/>
          <w:color w:val="auto"/>
          <w:szCs w:val="21"/>
        </w:rPr>
      </w:pPr>
      <w:r>
        <w:rPr>
          <w:rFonts w:hint="eastAsia" w:ascii="宋体" w:hAnsi="宋体"/>
          <w:color w:val="auto"/>
          <w:szCs w:val="21"/>
        </w:rPr>
        <w:t>21.2.5供应商未按照采购人提供的工程量清单格式编制，或修改了工程清单中的细目号、细目名称、单位、数量的；</w:t>
      </w:r>
    </w:p>
    <w:p w14:paraId="5CFF5BE2">
      <w:pPr>
        <w:spacing w:line="460" w:lineRule="exact"/>
        <w:ind w:firstLine="420" w:firstLineChars="200"/>
        <w:rPr>
          <w:rFonts w:ascii="宋体" w:hAnsi="宋体"/>
          <w:color w:val="auto"/>
          <w:szCs w:val="21"/>
        </w:rPr>
      </w:pPr>
      <w:r>
        <w:rPr>
          <w:rFonts w:hint="eastAsia" w:ascii="宋体" w:hAnsi="宋体"/>
          <w:color w:val="auto"/>
          <w:szCs w:val="21"/>
        </w:rPr>
        <w:t>21.2.6修正后的报价，供应商不确认的；</w:t>
      </w:r>
    </w:p>
    <w:p w14:paraId="54BDF25B">
      <w:pPr>
        <w:spacing w:line="460" w:lineRule="exact"/>
        <w:ind w:firstLine="436"/>
        <w:rPr>
          <w:rFonts w:ascii="宋体" w:hAnsi="宋体"/>
          <w:color w:val="auto"/>
          <w:szCs w:val="21"/>
        </w:rPr>
      </w:pPr>
      <w:r>
        <w:rPr>
          <w:rFonts w:ascii="宋体" w:hAnsi="宋体"/>
          <w:color w:val="auto"/>
          <w:szCs w:val="21"/>
        </w:rPr>
        <w:t>21.2.</w:t>
      </w:r>
      <w:r>
        <w:rPr>
          <w:rFonts w:hint="eastAsia" w:ascii="宋体" w:hAnsi="宋体"/>
          <w:color w:val="auto"/>
          <w:szCs w:val="21"/>
        </w:rPr>
        <w:t>7响应文件</w:t>
      </w:r>
      <w:r>
        <w:rPr>
          <w:rFonts w:ascii="宋体" w:hAnsi="宋体"/>
          <w:color w:val="auto"/>
          <w:szCs w:val="21"/>
        </w:rPr>
        <w:t>内容</w:t>
      </w:r>
      <w:r>
        <w:rPr>
          <w:rFonts w:hint="eastAsia" w:ascii="宋体" w:hAnsi="宋体"/>
          <w:color w:val="auto"/>
          <w:szCs w:val="21"/>
        </w:rPr>
        <w:t>虚假的，或</w:t>
      </w:r>
      <w:r>
        <w:rPr>
          <w:rFonts w:ascii="宋体" w:hAnsi="宋体"/>
          <w:color w:val="auto"/>
          <w:szCs w:val="21"/>
        </w:rPr>
        <w:t>关键内容字迹模糊、</w:t>
      </w:r>
      <w:r>
        <w:rPr>
          <w:rFonts w:hint="eastAsia" w:ascii="宋体" w:hAnsi="宋体"/>
          <w:color w:val="auto"/>
          <w:szCs w:val="21"/>
        </w:rPr>
        <w:t>辨认</w:t>
      </w:r>
      <w:r>
        <w:rPr>
          <w:rFonts w:ascii="宋体" w:hAnsi="宋体"/>
          <w:color w:val="auto"/>
          <w:szCs w:val="21"/>
        </w:rPr>
        <w:t>不清</w:t>
      </w:r>
      <w:r>
        <w:rPr>
          <w:rFonts w:hint="eastAsia" w:ascii="宋体" w:hAnsi="宋体"/>
          <w:color w:val="auto"/>
          <w:szCs w:val="21"/>
        </w:rPr>
        <w:t>的</w:t>
      </w:r>
      <w:r>
        <w:rPr>
          <w:rFonts w:ascii="宋体" w:hAnsi="宋体"/>
          <w:color w:val="auto"/>
          <w:szCs w:val="21"/>
        </w:rPr>
        <w:t>；</w:t>
      </w:r>
    </w:p>
    <w:p w14:paraId="3F0C4B4D">
      <w:pPr>
        <w:spacing w:line="460" w:lineRule="exact"/>
        <w:ind w:firstLine="420" w:firstLineChars="200"/>
        <w:rPr>
          <w:rFonts w:ascii="宋体" w:hAnsi="宋体"/>
          <w:color w:val="auto"/>
          <w:szCs w:val="21"/>
        </w:rPr>
      </w:pPr>
      <w:r>
        <w:rPr>
          <w:rFonts w:ascii="宋体" w:hAnsi="宋体"/>
          <w:color w:val="auto"/>
          <w:szCs w:val="21"/>
        </w:rPr>
        <w:t>21.2.</w:t>
      </w:r>
      <w:r>
        <w:rPr>
          <w:rFonts w:hint="eastAsia" w:ascii="宋体" w:hAnsi="宋体"/>
          <w:color w:val="auto"/>
          <w:szCs w:val="21"/>
        </w:rPr>
        <w:t>8</w:t>
      </w:r>
      <w:r>
        <w:rPr>
          <w:rFonts w:ascii="宋体" w:hAnsi="宋体"/>
          <w:color w:val="auto"/>
          <w:szCs w:val="21"/>
        </w:rPr>
        <w:t xml:space="preserve"> </w:t>
      </w:r>
      <w:r>
        <w:rPr>
          <w:rFonts w:hint="eastAsia" w:ascii="宋体" w:hAnsi="宋体"/>
          <w:color w:val="auto"/>
          <w:szCs w:val="21"/>
        </w:rPr>
        <w:t>响应文件</w:t>
      </w:r>
      <w:r>
        <w:rPr>
          <w:rFonts w:ascii="宋体" w:hAnsi="宋体"/>
          <w:color w:val="auto"/>
          <w:szCs w:val="21"/>
        </w:rPr>
        <w:t>实质上没有响应磋商文件的</w:t>
      </w:r>
      <w:r>
        <w:rPr>
          <w:rFonts w:hint="eastAsia" w:ascii="宋体" w:hAnsi="宋体"/>
          <w:color w:val="auto"/>
          <w:szCs w:val="21"/>
        </w:rPr>
        <w:t>其它</w:t>
      </w:r>
      <w:r>
        <w:rPr>
          <w:rFonts w:ascii="宋体" w:hAnsi="宋体"/>
          <w:color w:val="auto"/>
          <w:szCs w:val="21"/>
        </w:rPr>
        <w:t>要求</w:t>
      </w:r>
      <w:r>
        <w:rPr>
          <w:rFonts w:hint="eastAsia" w:ascii="宋体" w:hAnsi="宋体"/>
          <w:color w:val="auto"/>
          <w:szCs w:val="21"/>
        </w:rPr>
        <w:t>的</w:t>
      </w:r>
      <w:r>
        <w:rPr>
          <w:rFonts w:ascii="宋体" w:hAnsi="宋体"/>
          <w:color w:val="auto"/>
          <w:szCs w:val="21"/>
        </w:rPr>
        <w:t>；</w:t>
      </w:r>
    </w:p>
    <w:p w14:paraId="0F06611B">
      <w:pPr>
        <w:spacing w:line="460" w:lineRule="exact"/>
        <w:ind w:firstLine="420" w:firstLineChars="200"/>
        <w:rPr>
          <w:rFonts w:ascii="宋体" w:hAnsi="宋体"/>
          <w:color w:val="auto"/>
          <w:szCs w:val="21"/>
        </w:rPr>
      </w:pPr>
      <w:r>
        <w:rPr>
          <w:rFonts w:hint="eastAsia" w:ascii="宋体" w:hAnsi="宋体"/>
          <w:color w:val="auto"/>
          <w:szCs w:val="21"/>
        </w:rPr>
        <w:t>21.2.9供应商采用总价优惠、总价百分比优惠或以报价调整函的方式进行磋商报价的；</w:t>
      </w:r>
    </w:p>
    <w:p w14:paraId="77C5B25E">
      <w:pPr>
        <w:spacing w:line="460" w:lineRule="exact"/>
        <w:ind w:firstLine="420"/>
        <w:rPr>
          <w:rFonts w:ascii="宋体" w:hAnsi="宋体"/>
          <w:color w:val="auto"/>
          <w:szCs w:val="21"/>
        </w:rPr>
      </w:pPr>
      <w:r>
        <w:rPr>
          <w:rFonts w:hint="eastAsia" w:ascii="宋体" w:hAnsi="宋体"/>
          <w:color w:val="auto"/>
          <w:szCs w:val="21"/>
        </w:rPr>
        <w:t>21.2.10供应商不具备独立法人资格或作为独立法人资格但就本工程提交一个以上的响应文件的；</w:t>
      </w:r>
    </w:p>
    <w:p w14:paraId="2904A355">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21.2.11有下列情形之一的视为供应商相互串通磋商，响应文件将被视为无效:</w:t>
      </w:r>
    </w:p>
    <w:p w14:paraId="2FF2CCF6">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（1）不同供应商的响应文件由同一单位或者个人编制；或不同供应商编制文件的IP地址一致的；</w:t>
      </w:r>
    </w:p>
    <w:p w14:paraId="16B2C13C">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（2）不同供应商委托同一单位或者个人办理磋商事宜；</w:t>
      </w:r>
    </w:p>
    <w:p w14:paraId="1A10E4D6">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（3）不同供应商的响应文件载明的项目管理成员或者联系人员为同一人；</w:t>
      </w:r>
    </w:p>
    <w:p w14:paraId="14A444BF">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（4）不同供应商的响应文件异常一致或磋商报价呈规律性差异；</w:t>
      </w:r>
    </w:p>
    <w:p w14:paraId="00391160">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（5）不同供应商的响应文件资料相互混装；</w:t>
      </w:r>
    </w:p>
    <w:p w14:paraId="69A5989A">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（6）不同供应商的磋商保证金从同一个单位或者个人账户转出。</w:t>
      </w:r>
    </w:p>
    <w:p w14:paraId="472FD523">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21.2.12单位负责人为同一人或者存在直接控股、管理关系的不同供应商，参加同一合同项下的政府采购活动；</w:t>
      </w:r>
    </w:p>
    <w:p w14:paraId="7FAF5637">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21.2.13其他响应无效的情形：</w:t>
      </w:r>
    </w:p>
    <w:p w14:paraId="1D87613B">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（1）响应</w:t>
      </w:r>
      <w:r>
        <w:rPr>
          <w:rFonts w:ascii="宋体" w:hAnsi="宋体"/>
          <w:b/>
          <w:color w:val="auto"/>
          <w:szCs w:val="21"/>
        </w:rPr>
        <w:t>文件未按</w:t>
      </w:r>
      <w:r>
        <w:rPr>
          <w:rFonts w:hint="eastAsia" w:ascii="宋体" w:hAnsi="宋体"/>
          <w:b/>
          <w:color w:val="auto"/>
          <w:szCs w:val="21"/>
        </w:rPr>
        <w:t>磋商</w:t>
      </w:r>
      <w:r>
        <w:rPr>
          <w:rFonts w:ascii="宋体" w:hAnsi="宋体"/>
          <w:b/>
          <w:color w:val="auto"/>
          <w:szCs w:val="21"/>
        </w:rPr>
        <w:t>文件要求签署</w:t>
      </w:r>
      <w:r>
        <w:rPr>
          <w:rFonts w:hint="eastAsia" w:ascii="宋体" w:hAnsi="宋体"/>
          <w:b/>
          <w:color w:val="auto"/>
          <w:szCs w:val="21"/>
        </w:rPr>
        <w:t>或</w:t>
      </w:r>
      <w:r>
        <w:rPr>
          <w:rFonts w:ascii="宋体" w:hAnsi="宋体"/>
          <w:b/>
          <w:color w:val="auto"/>
          <w:szCs w:val="21"/>
        </w:rPr>
        <w:t>CA电子签章的；</w:t>
      </w:r>
    </w:p>
    <w:p w14:paraId="7B9B0784">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（2）供应商</w:t>
      </w:r>
      <w:r>
        <w:rPr>
          <w:rFonts w:ascii="宋体" w:hAnsi="宋体"/>
          <w:b/>
          <w:color w:val="auto"/>
          <w:szCs w:val="21"/>
        </w:rPr>
        <w:t>提交两份或两份以上内容不同的</w:t>
      </w:r>
      <w:r>
        <w:rPr>
          <w:rFonts w:hint="eastAsia" w:ascii="宋体" w:hAnsi="宋体"/>
          <w:b/>
          <w:color w:val="auto"/>
          <w:szCs w:val="21"/>
        </w:rPr>
        <w:t>响应</w:t>
      </w:r>
      <w:r>
        <w:rPr>
          <w:rFonts w:ascii="宋体" w:hAnsi="宋体"/>
          <w:b/>
          <w:color w:val="auto"/>
          <w:szCs w:val="21"/>
        </w:rPr>
        <w:t>文件；</w:t>
      </w:r>
    </w:p>
    <w:p w14:paraId="6F1A0AD4">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（3）供应商</w:t>
      </w:r>
      <w:r>
        <w:rPr>
          <w:rFonts w:ascii="宋体" w:hAnsi="宋体"/>
          <w:b/>
          <w:color w:val="auto"/>
          <w:szCs w:val="21"/>
        </w:rPr>
        <w:t>在线制作</w:t>
      </w:r>
      <w:r>
        <w:rPr>
          <w:rFonts w:hint="eastAsia" w:ascii="宋体" w:hAnsi="宋体"/>
          <w:b/>
          <w:color w:val="auto"/>
          <w:szCs w:val="21"/>
        </w:rPr>
        <w:t>响应</w:t>
      </w:r>
      <w:r>
        <w:rPr>
          <w:rFonts w:ascii="宋体" w:hAnsi="宋体"/>
          <w:b/>
          <w:color w:val="auto"/>
          <w:szCs w:val="21"/>
        </w:rPr>
        <w:t>文件时</w:t>
      </w:r>
      <w:r>
        <w:rPr>
          <w:rFonts w:hint="eastAsia" w:ascii="宋体" w:hAnsi="宋体"/>
          <w:b/>
          <w:color w:val="auto"/>
          <w:szCs w:val="21"/>
        </w:rPr>
        <w:t>填写的报价金额</w:t>
      </w:r>
      <w:r>
        <w:rPr>
          <w:rFonts w:ascii="宋体" w:hAnsi="宋体"/>
          <w:b/>
          <w:color w:val="auto"/>
          <w:szCs w:val="21"/>
        </w:rPr>
        <w:t>与解密后“电子加密投标文件”中《</w:t>
      </w:r>
      <w:r>
        <w:rPr>
          <w:rFonts w:hint="eastAsia" w:ascii="宋体" w:hAnsi="宋体"/>
          <w:b/>
          <w:color w:val="auto"/>
          <w:szCs w:val="21"/>
        </w:rPr>
        <w:t>磋商函</w:t>
      </w:r>
      <w:r>
        <w:rPr>
          <w:rFonts w:ascii="宋体" w:hAnsi="宋体"/>
          <w:b/>
          <w:color w:val="auto"/>
          <w:szCs w:val="21"/>
        </w:rPr>
        <w:t>》填写的金额不一致并拒绝按</w:t>
      </w:r>
      <w:r>
        <w:rPr>
          <w:rFonts w:hint="eastAsia" w:ascii="宋体" w:hAnsi="宋体"/>
          <w:b/>
          <w:color w:val="auto"/>
          <w:szCs w:val="21"/>
        </w:rPr>
        <w:t>磋商</w:t>
      </w:r>
      <w:r>
        <w:rPr>
          <w:rFonts w:ascii="宋体" w:hAnsi="宋体"/>
          <w:b/>
          <w:color w:val="auto"/>
          <w:szCs w:val="21"/>
        </w:rPr>
        <w:t>文件要求接受调整的；</w:t>
      </w:r>
    </w:p>
    <w:p w14:paraId="70406716">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（4）</w:t>
      </w:r>
      <w:r>
        <w:rPr>
          <w:rFonts w:ascii="宋体" w:hAnsi="宋体"/>
          <w:b/>
          <w:color w:val="auto"/>
          <w:szCs w:val="21"/>
        </w:rPr>
        <w:t>法律、法规和</w:t>
      </w:r>
      <w:r>
        <w:rPr>
          <w:rFonts w:hint="eastAsia" w:ascii="宋体" w:hAnsi="宋体"/>
          <w:b/>
          <w:color w:val="auto"/>
          <w:szCs w:val="21"/>
        </w:rPr>
        <w:t>磋商</w:t>
      </w:r>
      <w:r>
        <w:rPr>
          <w:rFonts w:ascii="宋体" w:hAnsi="宋体"/>
          <w:b/>
          <w:color w:val="auto"/>
          <w:szCs w:val="21"/>
        </w:rPr>
        <w:t>文件规定的其他无效情形（或出现重大偏差）。</w:t>
      </w:r>
    </w:p>
    <w:p w14:paraId="76510FF6">
      <w:pPr>
        <w:spacing w:line="460" w:lineRule="exact"/>
        <w:ind w:firstLine="420" w:firstLineChars="200"/>
        <w:rPr>
          <w:rFonts w:ascii="宋体" w:hAnsi="宋体" w:cs="宋体"/>
          <w:color w:val="auto"/>
          <w:szCs w:val="21"/>
        </w:rPr>
      </w:pPr>
      <w:r>
        <w:rPr>
          <w:rFonts w:hint="eastAsia" w:ascii="宋体" w:hAnsi="宋体" w:cs="宋体"/>
          <w:color w:val="auto"/>
          <w:szCs w:val="21"/>
        </w:rPr>
        <w:t>21.3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9598160">
      <w:pPr>
        <w:spacing w:line="460" w:lineRule="exact"/>
        <w:ind w:firstLine="420" w:firstLineChars="200"/>
        <w:rPr>
          <w:rFonts w:ascii="宋体" w:hAnsi="宋体"/>
          <w:color w:val="auto"/>
          <w:szCs w:val="21"/>
        </w:rPr>
      </w:pPr>
      <w:r>
        <w:rPr>
          <w:rFonts w:hint="eastAsia" w:ascii="宋体" w:hAnsi="宋体" w:cs="宋体"/>
          <w:color w:val="auto"/>
          <w:szCs w:val="21"/>
        </w:rPr>
        <w:t>21.4</w:t>
      </w:r>
      <w:r>
        <w:rPr>
          <w:rFonts w:hint="eastAsia" w:ascii="宋体" w:hAnsi="宋体"/>
          <w:color w:val="auto"/>
          <w:szCs w:val="21"/>
        </w:rPr>
        <w:t>通过符合性审查的合格供应商不足3家的，不得进入磋商环节，采购人或者采购代理机构应当重新开展采购活动。</w:t>
      </w:r>
    </w:p>
    <w:p w14:paraId="38809CFE">
      <w:pPr>
        <w:pStyle w:val="5"/>
        <w:spacing w:before="0" w:after="0" w:line="460" w:lineRule="exact"/>
        <w:rPr>
          <w:rFonts w:ascii="宋体" w:hAnsi="宋体"/>
          <w:color w:val="auto"/>
          <w:sz w:val="21"/>
          <w:szCs w:val="21"/>
        </w:rPr>
      </w:pPr>
      <w:bookmarkStart w:id="113" w:name="_Toc80818634"/>
      <w:bookmarkStart w:id="114" w:name="_Toc18682823"/>
      <w:bookmarkStart w:id="115" w:name="_Toc16486"/>
      <w:bookmarkStart w:id="116" w:name="_Toc346264287"/>
      <w:bookmarkStart w:id="117" w:name="_Toc239659115"/>
      <w:r>
        <w:rPr>
          <w:rFonts w:hint="eastAsia" w:ascii="宋体" w:hAnsi="宋体"/>
          <w:color w:val="auto"/>
          <w:sz w:val="21"/>
          <w:szCs w:val="21"/>
        </w:rPr>
        <w:t>22.磋商与评标</w:t>
      </w:r>
      <w:bookmarkEnd w:id="113"/>
      <w:bookmarkEnd w:id="114"/>
      <w:bookmarkEnd w:id="115"/>
    </w:p>
    <w:p w14:paraId="028DCD89">
      <w:pPr>
        <w:spacing w:line="460" w:lineRule="exact"/>
        <w:ind w:firstLine="420" w:firstLineChars="200"/>
        <w:rPr>
          <w:rFonts w:ascii="宋体" w:hAnsi="宋体"/>
          <w:color w:val="auto"/>
          <w:szCs w:val="21"/>
        </w:rPr>
      </w:pPr>
      <w:r>
        <w:rPr>
          <w:rFonts w:hint="eastAsia" w:ascii="宋体" w:hAnsi="宋体"/>
          <w:color w:val="auto"/>
          <w:szCs w:val="21"/>
        </w:rPr>
        <w:t>22.1磋商</w:t>
      </w:r>
    </w:p>
    <w:p w14:paraId="428AA6A4">
      <w:pPr>
        <w:spacing w:line="460" w:lineRule="exact"/>
        <w:ind w:firstLine="420" w:firstLineChars="200"/>
        <w:rPr>
          <w:rFonts w:ascii="宋体" w:hAnsi="宋体"/>
          <w:color w:val="auto"/>
          <w:szCs w:val="21"/>
        </w:rPr>
      </w:pPr>
      <w:r>
        <w:rPr>
          <w:rFonts w:hint="eastAsia" w:ascii="宋体" w:hAnsi="宋体"/>
          <w:color w:val="auto"/>
          <w:szCs w:val="21"/>
        </w:rPr>
        <w:t>22.1.1截标后为与供应商磋商的时间，具体时间由采购代理机构另行通知。</w:t>
      </w:r>
    </w:p>
    <w:p w14:paraId="073857BC">
      <w:pPr>
        <w:spacing w:line="460" w:lineRule="exact"/>
        <w:ind w:firstLine="420" w:firstLineChars="200"/>
        <w:rPr>
          <w:rFonts w:ascii="宋体" w:hAnsi="宋体"/>
          <w:color w:val="auto"/>
          <w:szCs w:val="21"/>
        </w:rPr>
      </w:pPr>
      <w:r>
        <w:rPr>
          <w:rFonts w:hint="eastAsia" w:ascii="宋体" w:hAnsi="宋体"/>
          <w:color w:val="auto"/>
          <w:szCs w:val="21"/>
        </w:rPr>
        <w:t>22.1.2</w:t>
      </w:r>
      <w:r>
        <w:rPr>
          <w:rFonts w:ascii="宋体" w:hAnsi="宋体"/>
          <w:color w:val="auto"/>
          <w:szCs w:val="21"/>
        </w:rPr>
        <w:t xml:space="preserve"> 磋商小组共3人以上单数依法组成，其中评审专家人数不得少于磋商小组成员总数的2/3</w:t>
      </w:r>
      <w:r>
        <w:rPr>
          <w:rFonts w:hint="eastAsia" w:ascii="宋体" w:hAnsi="宋体"/>
          <w:color w:val="auto"/>
          <w:szCs w:val="21"/>
        </w:rPr>
        <w:t>。在整个磋商过程中，磋商小组将负责对全部响应文件进行审查、磋商及评</w:t>
      </w:r>
      <w:r>
        <w:rPr>
          <w:rFonts w:ascii="宋体" w:hAnsi="宋体"/>
          <w:color w:val="auto"/>
          <w:szCs w:val="21"/>
        </w:rPr>
        <w:t>审</w:t>
      </w:r>
      <w:r>
        <w:rPr>
          <w:rFonts w:hint="eastAsia" w:ascii="宋体" w:hAnsi="宋体"/>
          <w:color w:val="auto"/>
          <w:szCs w:val="21"/>
        </w:rPr>
        <w:t>工作。</w:t>
      </w:r>
    </w:p>
    <w:p w14:paraId="4F943C43">
      <w:pPr>
        <w:spacing w:line="460" w:lineRule="exact"/>
        <w:ind w:firstLine="420" w:firstLineChars="200"/>
        <w:rPr>
          <w:rFonts w:ascii="宋体" w:hAnsi="宋体"/>
          <w:color w:val="auto"/>
          <w:szCs w:val="21"/>
        </w:rPr>
      </w:pPr>
      <w:r>
        <w:rPr>
          <w:rFonts w:hint="eastAsia" w:ascii="宋体" w:hAnsi="宋体"/>
          <w:color w:val="auto"/>
          <w:szCs w:val="21"/>
        </w:rPr>
        <w:t>22.1.3采购代理机构将在本须知规定组织磋商小组与各供应商分别进行磋商。供应商可由1～3人组成参谈组，磋商中供应商成员之间意见不一致时，以供应商的法定代表人（或其委托代理人）的意见为准。</w:t>
      </w:r>
    </w:p>
    <w:p w14:paraId="6F818E27">
      <w:pPr>
        <w:spacing w:line="460" w:lineRule="exact"/>
        <w:ind w:firstLine="420" w:firstLineChars="200"/>
        <w:rPr>
          <w:rFonts w:ascii="宋体" w:hAnsi="宋体"/>
          <w:color w:val="auto"/>
          <w:szCs w:val="21"/>
        </w:rPr>
      </w:pPr>
      <w:r>
        <w:rPr>
          <w:rFonts w:hint="eastAsia" w:ascii="宋体" w:hAnsi="宋体"/>
          <w:color w:val="auto"/>
          <w:szCs w:val="21"/>
        </w:rPr>
        <w:t>22.1.4</w:t>
      </w:r>
      <w:r>
        <w:rPr>
          <w:rFonts w:ascii="宋体" w:hAnsi="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8633886">
      <w:pPr>
        <w:spacing w:line="460" w:lineRule="exact"/>
        <w:ind w:firstLine="420" w:firstLineChars="200"/>
        <w:rPr>
          <w:rFonts w:ascii="宋体" w:hAnsi="宋体"/>
          <w:color w:val="auto"/>
          <w:szCs w:val="21"/>
        </w:rPr>
      </w:pPr>
      <w:r>
        <w:rPr>
          <w:rFonts w:hint="eastAsia" w:ascii="宋体" w:hAnsi="宋体"/>
          <w:color w:val="auto"/>
          <w:szCs w:val="21"/>
        </w:rPr>
        <w:t>22.1.5由</w:t>
      </w:r>
      <w:r>
        <w:rPr>
          <w:rFonts w:ascii="宋体" w:hAnsi="宋体"/>
          <w:color w:val="auto"/>
          <w:szCs w:val="21"/>
        </w:rPr>
        <w:t>磋商小组</w:t>
      </w:r>
      <w:r>
        <w:rPr>
          <w:rFonts w:hint="eastAsia" w:ascii="宋体" w:hAnsi="宋体"/>
          <w:color w:val="auto"/>
          <w:szCs w:val="21"/>
        </w:rPr>
        <w:t>按照供应商须知前附表确定的顺序，集中与单一供应商分别进行磋商，给予所有参加磋商的供应商平等的磋商机会。由</w:t>
      </w:r>
      <w:r>
        <w:rPr>
          <w:rFonts w:ascii="宋体" w:hAnsi="宋体"/>
          <w:color w:val="auto"/>
          <w:szCs w:val="21"/>
        </w:rPr>
        <w:t>磋商小组</w:t>
      </w:r>
      <w:r>
        <w:rPr>
          <w:rFonts w:hint="eastAsia" w:ascii="宋体" w:hAnsi="宋体"/>
          <w:color w:val="auto"/>
          <w:szCs w:val="21"/>
        </w:rPr>
        <w:t>发起询标进行磋商，同时采购代理机构可通知各供应商，通知的联系方式以供应商在政采云平台“获取采购文件”填写联系人的手机号为准，各供应商应在线关注询标信息并保证提供的联系方保持通讯畅通，接到在线询标信息后应在20分钟内进行询标回复；磋商结束后，供应商按磋商小组要求的时间内递交磋商时要求其就商务和技术条件作出的包含补充、修改、承诺、最终报价等内容的应答文件在线提交，应答文件必须由供应商的法定代表人或委托代理人签名或盖公章，应答文件构成响应文件的一部分。</w:t>
      </w:r>
    </w:p>
    <w:p w14:paraId="786530EC">
      <w:pPr>
        <w:spacing w:line="460" w:lineRule="exact"/>
        <w:ind w:firstLine="420" w:firstLineChars="200"/>
        <w:rPr>
          <w:rFonts w:ascii="宋体" w:hAnsi="宋体"/>
          <w:color w:val="auto"/>
          <w:szCs w:val="21"/>
        </w:rPr>
      </w:pPr>
      <w:r>
        <w:rPr>
          <w:rFonts w:ascii="宋体" w:hAnsi="宋体"/>
          <w:color w:val="auto"/>
          <w:szCs w:val="21"/>
        </w:rPr>
        <w:t>磋商小组应当要求所有实质性响应的供应商在规定时间内提交最后报价，提交最后报价的供应商不得少于3家。</w:t>
      </w:r>
    </w:p>
    <w:p w14:paraId="75A96194">
      <w:pPr>
        <w:pStyle w:val="24"/>
        <w:snapToGrid w:val="0"/>
        <w:spacing w:line="460" w:lineRule="exact"/>
        <w:jc w:val="left"/>
        <w:rPr>
          <w:rFonts w:hAnsi="宋体"/>
          <w:color w:val="auto"/>
          <w:szCs w:val="21"/>
        </w:rPr>
      </w:pPr>
      <w:r>
        <w:rPr>
          <w:rFonts w:hint="eastAsia" w:hAnsi="宋体"/>
          <w:color w:val="auto"/>
          <w:szCs w:val="21"/>
        </w:rPr>
        <w:t xml:space="preserve">    22.1.6作最后报价时，</w:t>
      </w:r>
      <w:r>
        <w:rPr>
          <w:rFonts w:hint="eastAsia" w:hAnsi="宋体"/>
          <w:b/>
          <w:color w:val="auto"/>
          <w:szCs w:val="21"/>
        </w:rPr>
        <w:t>供应商的最终报价文件必须以采购代理机构提供的工程量清单的格式编制或填写</w:t>
      </w:r>
      <w:r>
        <w:rPr>
          <w:rFonts w:hint="eastAsia" w:hAnsi="宋体"/>
          <w:color w:val="auto"/>
          <w:szCs w:val="21"/>
        </w:rPr>
        <w:t>，供应商不得采用总价优惠、总价百分比优惠或以报价调整函的方式进行最终磋商报价，其优惠应直接体现在各项磋商报价的单价中。供应商须提前做好相关准备并按时递交最终报价文件（供应商未在规定的时间内提供最终报价文件，以自动放弃磋商处理）。</w:t>
      </w:r>
    </w:p>
    <w:p w14:paraId="5A1B53E5">
      <w:pPr>
        <w:pStyle w:val="24"/>
        <w:snapToGrid w:val="0"/>
        <w:spacing w:line="460" w:lineRule="exact"/>
        <w:jc w:val="left"/>
        <w:rPr>
          <w:rFonts w:hAnsi="宋体"/>
          <w:color w:val="auto"/>
          <w:szCs w:val="21"/>
        </w:rPr>
      </w:pPr>
      <w:r>
        <w:rPr>
          <w:rFonts w:hint="eastAsia" w:hAnsi="宋体"/>
          <w:color w:val="auto"/>
          <w:szCs w:val="21"/>
        </w:rPr>
        <w:t xml:space="preserve">    22.1.7</w:t>
      </w:r>
      <w:r>
        <w:rPr>
          <w:rFonts w:hAnsi="宋体"/>
          <w:color w:val="auto"/>
          <w:szCs w:val="21"/>
        </w:rPr>
        <w:t>已提交响应文件的供应商，在提交最</w:t>
      </w:r>
      <w:r>
        <w:rPr>
          <w:rFonts w:hint="eastAsia" w:hAnsi="宋体"/>
          <w:color w:val="auto"/>
          <w:szCs w:val="21"/>
        </w:rPr>
        <w:t>终</w:t>
      </w:r>
      <w:r>
        <w:rPr>
          <w:rFonts w:hAnsi="宋体"/>
          <w:color w:val="auto"/>
          <w:szCs w:val="21"/>
        </w:rPr>
        <w:t>报价之前，可以根据磋商情况退出磋商。经磋商确定最终采购需求和提交最</w:t>
      </w:r>
      <w:r>
        <w:rPr>
          <w:rFonts w:hint="eastAsia" w:hAnsi="宋体"/>
          <w:color w:val="auto"/>
          <w:szCs w:val="21"/>
        </w:rPr>
        <w:t>终</w:t>
      </w:r>
      <w:r>
        <w:rPr>
          <w:rFonts w:hAnsi="宋体"/>
          <w:color w:val="auto"/>
          <w:szCs w:val="21"/>
        </w:rPr>
        <w:t>报价的供应商后，由磋商小组采用综合评分法对提交最</w:t>
      </w:r>
      <w:r>
        <w:rPr>
          <w:rFonts w:hint="eastAsia" w:hAnsi="宋体"/>
          <w:color w:val="auto"/>
          <w:szCs w:val="21"/>
        </w:rPr>
        <w:t>终</w:t>
      </w:r>
      <w:r>
        <w:rPr>
          <w:rFonts w:hAnsi="宋体"/>
          <w:color w:val="auto"/>
          <w:szCs w:val="21"/>
        </w:rPr>
        <w:t>报价的供应商的响应文件和最</w:t>
      </w:r>
      <w:r>
        <w:rPr>
          <w:rFonts w:hint="eastAsia" w:hAnsi="宋体"/>
          <w:color w:val="auto"/>
          <w:szCs w:val="21"/>
        </w:rPr>
        <w:t>终</w:t>
      </w:r>
      <w:r>
        <w:rPr>
          <w:rFonts w:hAnsi="宋体"/>
          <w:color w:val="auto"/>
          <w:szCs w:val="21"/>
        </w:rPr>
        <w:t>报价进行综合评分。</w:t>
      </w:r>
    </w:p>
    <w:p w14:paraId="193385FA">
      <w:pPr>
        <w:spacing w:line="460" w:lineRule="exact"/>
        <w:ind w:firstLine="420" w:firstLineChars="200"/>
        <w:rPr>
          <w:rFonts w:ascii="宋体" w:hAnsi="宋体"/>
          <w:color w:val="auto"/>
          <w:szCs w:val="21"/>
        </w:rPr>
      </w:pPr>
      <w:r>
        <w:rPr>
          <w:rFonts w:hint="eastAsia" w:ascii="宋体" w:hAnsi="宋体"/>
          <w:color w:val="auto"/>
          <w:szCs w:val="21"/>
        </w:rPr>
        <w:t>22.1.8</w:t>
      </w:r>
      <w:r>
        <w:rPr>
          <w:rFonts w:ascii="宋体" w:hAnsi="宋体"/>
          <w:color w:val="auto"/>
          <w:szCs w:val="21"/>
        </w:rPr>
        <w:t>磋商</w:t>
      </w:r>
      <w:r>
        <w:rPr>
          <w:rFonts w:hint="eastAsia" w:ascii="宋体" w:hAnsi="宋体"/>
          <w:color w:val="auto"/>
          <w:szCs w:val="21"/>
        </w:rPr>
        <w:t>结束后，</w:t>
      </w:r>
      <w:r>
        <w:rPr>
          <w:rFonts w:ascii="宋体" w:hAnsi="宋体"/>
          <w:color w:val="auto"/>
          <w:szCs w:val="21"/>
        </w:rPr>
        <w:t>磋商</w:t>
      </w:r>
      <w:r>
        <w:rPr>
          <w:rFonts w:hint="eastAsia" w:ascii="宋体" w:hAnsi="宋体"/>
          <w:color w:val="auto"/>
          <w:szCs w:val="21"/>
        </w:rPr>
        <w:t>小组不得再与供应商进行任何形式的商谈。</w:t>
      </w:r>
    </w:p>
    <w:p w14:paraId="4465C29F">
      <w:pPr>
        <w:spacing w:line="460" w:lineRule="exact"/>
        <w:ind w:firstLine="420" w:firstLineChars="200"/>
        <w:rPr>
          <w:rFonts w:ascii="宋体" w:hAnsi="宋体"/>
          <w:color w:val="auto"/>
          <w:szCs w:val="21"/>
        </w:rPr>
      </w:pPr>
      <w:r>
        <w:rPr>
          <w:rFonts w:hint="eastAsia" w:ascii="宋体" w:hAnsi="宋体"/>
          <w:color w:val="auto"/>
          <w:szCs w:val="21"/>
        </w:rPr>
        <w:t>22.1.9</w:t>
      </w:r>
      <w:r>
        <w:rPr>
          <w:rFonts w:ascii="宋体" w:hAnsi="宋体"/>
          <w:color w:val="auto"/>
          <w:szCs w:val="21"/>
        </w:rPr>
        <w:t>磋商</w:t>
      </w:r>
      <w:r>
        <w:rPr>
          <w:rFonts w:hint="eastAsia" w:ascii="宋体" w:hAnsi="宋体"/>
          <w:color w:val="auto"/>
          <w:szCs w:val="21"/>
        </w:rPr>
        <w:t>的任何一方不得透露与</w:t>
      </w:r>
      <w:r>
        <w:rPr>
          <w:rFonts w:ascii="宋体" w:hAnsi="宋体"/>
          <w:color w:val="auto"/>
          <w:szCs w:val="21"/>
        </w:rPr>
        <w:t>磋商</w:t>
      </w:r>
      <w:r>
        <w:rPr>
          <w:rFonts w:hint="eastAsia" w:ascii="宋体" w:hAnsi="宋体"/>
          <w:color w:val="auto"/>
          <w:szCs w:val="21"/>
        </w:rPr>
        <w:t>有关的其他供应商的技术资料、价格和其他信息。</w:t>
      </w:r>
    </w:p>
    <w:p w14:paraId="7DECF65E">
      <w:pPr>
        <w:spacing w:line="460" w:lineRule="exact"/>
        <w:ind w:firstLine="420" w:firstLineChars="200"/>
        <w:rPr>
          <w:rFonts w:ascii="宋体" w:hAnsi="宋体"/>
          <w:color w:val="auto"/>
          <w:szCs w:val="21"/>
        </w:rPr>
      </w:pPr>
      <w:r>
        <w:rPr>
          <w:rFonts w:hint="eastAsia" w:ascii="宋体" w:hAnsi="宋体"/>
          <w:color w:val="auto"/>
          <w:szCs w:val="21"/>
        </w:rPr>
        <w:t>22.2 评审</w:t>
      </w:r>
    </w:p>
    <w:p w14:paraId="66DFFCAB">
      <w:pPr>
        <w:spacing w:line="460" w:lineRule="exact"/>
        <w:ind w:firstLine="420" w:firstLineChars="200"/>
        <w:rPr>
          <w:rFonts w:ascii="宋体" w:hAnsi="宋体"/>
          <w:color w:val="auto"/>
          <w:szCs w:val="21"/>
        </w:rPr>
      </w:pPr>
      <w:r>
        <w:rPr>
          <w:rFonts w:hint="eastAsia" w:ascii="宋体" w:hAnsi="宋体"/>
          <w:color w:val="auto"/>
          <w:szCs w:val="21"/>
        </w:rPr>
        <w:t>22.2.1本采购项目</w:t>
      </w:r>
      <w:r>
        <w:rPr>
          <w:rFonts w:hint="eastAsia" w:ascii="宋体" w:hAnsi="宋体"/>
          <w:color w:val="auto"/>
          <w:spacing w:val="2"/>
          <w:szCs w:val="21"/>
        </w:rPr>
        <w:t>对通过资格审查和符合性审查评审为合格的响应文件</w:t>
      </w:r>
      <w:r>
        <w:rPr>
          <w:rFonts w:hint="eastAsia" w:ascii="宋体" w:hAnsi="宋体"/>
          <w:color w:val="auto"/>
          <w:szCs w:val="21"/>
        </w:rPr>
        <w:t>采用</w:t>
      </w:r>
      <w:r>
        <w:rPr>
          <w:rFonts w:hint="eastAsia" w:ascii="宋体" w:hAnsi="宋体"/>
          <w:color w:val="auto"/>
          <w:spacing w:val="2"/>
          <w:szCs w:val="21"/>
        </w:rPr>
        <w:t>综合评分</w:t>
      </w:r>
      <w:r>
        <w:rPr>
          <w:rFonts w:ascii="宋体" w:hAnsi="宋体"/>
          <w:color w:val="auto"/>
          <w:spacing w:val="2"/>
          <w:szCs w:val="21"/>
        </w:rPr>
        <w:t>法</w:t>
      </w:r>
      <w:r>
        <w:rPr>
          <w:rFonts w:hint="eastAsia" w:ascii="宋体" w:hAnsi="宋体"/>
          <w:color w:val="auto"/>
          <w:szCs w:val="21"/>
        </w:rPr>
        <w:t>，评标依据为磋商文件和响应文件及</w:t>
      </w:r>
      <w:r>
        <w:rPr>
          <w:rFonts w:ascii="宋体" w:hAnsi="宋体"/>
          <w:color w:val="auto"/>
          <w:szCs w:val="21"/>
        </w:rPr>
        <w:t>磋商</w:t>
      </w:r>
      <w:r>
        <w:rPr>
          <w:rFonts w:hint="eastAsia" w:ascii="宋体" w:hAnsi="宋体"/>
          <w:color w:val="auto"/>
          <w:szCs w:val="21"/>
        </w:rPr>
        <w:t>应答文件。</w:t>
      </w:r>
    </w:p>
    <w:p w14:paraId="45B2DE92">
      <w:pPr>
        <w:spacing w:line="460" w:lineRule="exact"/>
        <w:ind w:firstLine="420" w:firstLineChars="200"/>
        <w:rPr>
          <w:rFonts w:ascii="宋体" w:hAnsi="宋体"/>
          <w:color w:val="auto"/>
          <w:szCs w:val="21"/>
        </w:rPr>
      </w:pPr>
      <w:r>
        <w:rPr>
          <w:rFonts w:hint="eastAsia" w:ascii="宋体" w:hAnsi="宋体"/>
          <w:color w:val="auto"/>
          <w:szCs w:val="21"/>
        </w:rPr>
        <w:t>22.2.2评标工作将采取封闭方式进行，</w:t>
      </w:r>
      <w:r>
        <w:rPr>
          <w:rFonts w:ascii="宋体" w:hAnsi="宋体"/>
          <w:color w:val="auto"/>
          <w:szCs w:val="21"/>
        </w:rPr>
        <w:t>磋商</w:t>
      </w:r>
      <w:r>
        <w:rPr>
          <w:rFonts w:hint="eastAsia" w:ascii="宋体" w:hAnsi="宋体"/>
          <w:color w:val="auto"/>
          <w:szCs w:val="21"/>
        </w:rPr>
        <w:t>小组成员和有关工作人员不得透露对响应文件的评审、比较和成交候选供应商的推荐情况以及与评标有关的其他情况。</w:t>
      </w:r>
    </w:p>
    <w:p w14:paraId="7C179DDD">
      <w:pPr>
        <w:spacing w:line="460" w:lineRule="exact"/>
        <w:ind w:firstLine="420" w:firstLineChars="200"/>
        <w:rPr>
          <w:rFonts w:ascii="宋体" w:hAnsi="宋体"/>
          <w:color w:val="auto"/>
          <w:szCs w:val="21"/>
        </w:rPr>
      </w:pPr>
      <w:r>
        <w:rPr>
          <w:rFonts w:hint="eastAsia" w:ascii="宋体" w:hAnsi="宋体"/>
          <w:color w:val="auto"/>
          <w:szCs w:val="21"/>
        </w:rPr>
        <w:t>22.3供应商在评标过程中，所进行的力图影响评标结果公正性的活动，将可能导致其成交资格被取消。</w:t>
      </w:r>
    </w:p>
    <w:p w14:paraId="343AF073">
      <w:pPr>
        <w:spacing w:line="460" w:lineRule="exact"/>
        <w:ind w:firstLine="420" w:firstLineChars="200"/>
        <w:rPr>
          <w:rFonts w:ascii="宋体" w:hAnsi="宋体"/>
          <w:color w:val="auto"/>
          <w:szCs w:val="21"/>
        </w:rPr>
      </w:pPr>
      <w:r>
        <w:rPr>
          <w:rFonts w:hint="eastAsia" w:ascii="宋体" w:hAnsi="宋体"/>
          <w:color w:val="auto"/>
          <w:szCs w:val="21"/>
        </w:rPr>
        <w:t>22.4供应商磋商报价超出采购上限控制价则磋商无效。如果全部供应商的磋商报价均超出采购上限控制价，采购人不能支付的，由采购单位重新组织采购。</w:t>
      </w:r>
    </w:p>
    <w:p w14:paraId="07F35CC5">
      <w:pPr>
        <w:pStyle w:val="4"/>
        <w:spacing w:before="0" w:after="0" w:line="460" w:lineRule="exact"/>
        <w:rPr>
          <w:rFonts w:ascii="宋体" w:hAnsi="宋体" w:eastAsia="宋体"/>
          <w:color w:val="auto"/>
          <w:sz w:val="21"/>
          <w:szCs w:val="21"/>
        </w:rPr>
      </w:pPr>
      <w:bookmarkStart w:id="118" w:name="_Toc18682824"/>
      <w:bookmarkStart w:id="119" w:name="_Toc11619"/>
      <w:bookmarkStart w:id="120" w:name="_Toc80818635"/>
      <w:r>
        <w:rPr>
          <w:rFonts w:hint="eastAsia" w:ascii="宋体" w:hAnsi="宋体" w:eastAsia="宋体"/>
          <w:color w:val="auto"/>
          <w:sz w:val="21"/>
          <w:szCs w:val="21"/>
        </w:rPr>
        <w:t>23.</w:t>
      </w:r>
      <w:bookmarkEnd w:id="116"/>
      <w:bookmarkEnd w:id="118"/>
      <w:r>
        <w:rPr>
          <w:rFonts w:hint="eastAsia" w:ascii="宋体" w:hAnsi="宋体" w:eastAsia="宋体"/>
          <w:color w:val="auto"/>
          <w:sz w:val="21"/>
          <w:szCs w:val="21"/>
        </w:rPr>
        <w:t xml:space="preserve"> 废标的情形</w:t>
      </w:r>
      <w:bookmarkEnd w:id="119"/>
      <w:bookmarkEnd w:id="120"/>
    </w:p>
    <w:p w14:paraId="0A411783">
      <w:pPr>
        <w:pStyle w:val="24"/>
        <w:spacing w:line="460" w:lineRule="exact"/>
        <w:ind w:left="525"/>
        <w:rPr>
          <w:rFonts w:hAnsi="宋体"/>
          <w:color w:val="auto"/>
          <w:szCs w:val="21"/>
        </w:rPr>
      </w:pPr>
      <w:r>
        <w:rPr>
          <w:rFonts w:hint="eastAsia" w:hAnsi="宋体"/>
          <w:color w:val="auto"/>
          <w:szCs w:val="21"/>
        </w:rPr>
        <w:t>属于下列情形之一的，应予废标：</w:t>
      </w:r>
    </w:p>
    <w:p w14:paraId="61A7B1D7">
      <w:pPr>
        <w:tabs>
          <w:tab w:val="left" w:pos="975"/>
        </w:tabs>
        <w:snapToGrid w:val="0"/>
        <w:spacing w:line="440" w:lineRule="exact"/>
        <w:ind w:firstLine="411" w:firstLineChars="196"/>
        <w:jc w:val="left"/>
        <w:rPr>
          <w:rFonts w:ascii="宋体" w:hAnsi="宋体"/>
          <w:color w:val="auto"/>
          <w:szCs w:val="21"/>
        </w:rPr>
      </w:pPr>
      <w:r>
        <w:rPr>
          <w:rFonts w:hint="eastAsia" w:ascii="宋体" w:hAnsi="宋体"/>
          <w:color w:val="auto"/>
          <w:szCs w:val="21"/>
        </w:rPr>
        <w:t>（1）采购过程中符合要求的供应商或者报价未超过采购预算的供应商不足3家的；</w:t>
      </w:r>
    </w:p>
    <w:p w14:paraId="6A2756D2">
      <w:pPr>
        <w:tabs>
          <w:tab w:val="left" w:pos="975"/>
        </w:tabs>
        <w:snapToGrid w:val="0"/>
        <w:spacing w:line="440" w:lineRule="exact"/>
        <w:ind w:firstLine="411" w:firstLineChars="196"/>
        <w:jc w:val="left"/>
        <w:rPr>
          <w:rFonts w:ascii="宋体" w:hAnsi="宋体"/>
          <w:color w:val="auto"/>
          <w:szCs w:val="21"/>
        </w:rPr>
      </w:pPr>
      <w:r>
        <w:rPr>
          <w:rFonts w:hint="eastAsia" w:ascii="宋体" w:hAnsi="宋体"/>
          <w:color w:val="auto"/>
          <w:szCs w:val="21"/>
        </w:rPr>
        <w:t xml:space="preserve"> (2)出现影响采购公正的违法、违规行为的;</w:t>
      </w:r>
    </w:p>
    <w:p w14:paraId="3812326A">
      <w:pPr>
        <w:tabs>
          <w:tab w:val="left" w:pos="975"/>
        </w:tabs>
        <w:snapToGrid w:val="0"/>
        <w:spacing w:line="440" w:lineRule="exact"/>
        <w:ind w:firstLine="411" w:firstLineChars="196"/>
        <w:jc w:val="left"/>
        <w:rPr>
          <w:rFonts w:ascii="宋体" w:hAnsi="宋体"/>
          <w:color w:val="auto"/>
          <w:szCs w:val="21"/>
        </w:rPr>
      </w:pPr>
      <w:r>
        <w:rPr>
          <w:rFonts w:hint="eastAsia" w:ascii="宋体" w:hAnsi="宋体"/>
          <w:color w:val="auto"/>
          <w:szCs w:val="21"/>
        </w:rPr>
        <w:t xml:space="preserve"> (3)磋商文件内容违反国家有关强制性规定的;</w:t>
      </w:r>
    </w:p>
    <w:p w14:paraId="12270807">
      <w:pPr>
        <w:tabs>
          <w:tab w:val="left" w:pos="975"/>
        </w:tabs>
        <w:snapToGrid w:val="0"/>
        <w:spacing w:line="440" w:lineRule="exact"/>
        <w:ind w:firstLine="514" w:firstLineChars="245"/>
        <w:jc w:val="left"/>
        <w:rPr>
          <w:rFonts w:ascii="宋体" w:hAnsi="宋体"/>
          <w:color w:val="auto"/>
          <w:szCs w:val="21"/>
        </w:rPr>
      </w:pPr>
      <w:r>
        <w:rPr>
          <w:rFonts w:hint="eastAsia" w:ascii="宋体" w:hAnsi="宋体"/>
          <w:color w:val="auto"/>
          <w:szCs w:val="21"/>
        </w:rPr>
        <w:t>(4)因重大变故,采购任务取消的;</w:t>
      </w:r>
    </w:p>
    <w:p w14:paraId="27F6F8CB">
      <w:pPr>
        <w:pStyle w:val="4"/>
        <w:spacing w:before="0" w:after="0" w:line="460" w:lineRule="exact"/>
        <w:rPr>
          <w:rFonts w:ascii="宋体" w:hAnsi="宋体" w:eastAsia="宋体"/>
          <w:color w:val="auto"/>
          <w:sz w:val="21"/>
          <w:szCs w:val="21"/>
        </w:rPr>
      </w:pPr>
      <w:bookmarkStart w:id="121" w:name="_Toc80818636"/>
      <w:bookmarkStart w:id="122" w:name="_Toc18682825"/>
      <w:bookmarkStart w:id="123" w:name="_Toc18884"/>
      <w:bookmarkStart w:id="124" w:name="_Toc346264288"/>
      <w:r>
        <w:rPr>
          <w:rFonts w:ascii="宋体" w:hAnsi="宋体" w:eastAsia="宋体"/>
          <w:color w:val="auto"/>
          <w:sz w:val="21"/>
          <w:szCs w:val="21"/>
        </w:rPr>
        <w:t>2</w:t>
      </w:r>
      <w:r>
        <w:rPr>
          <w:rFonts w:hint="eastAsia" w:ascii="宋体" w:hAnsi="宋体" w:eastAsia="宋体"/>
          <w:color w:val="auto"/>
          <w:sz w:val="21"/>
          <w:szCs w:val="21"/>
        </w:rPr>
        <w:t>4</w:t>
      </w:r>
      <w:r>
        <w:rPr>
          <w:rFonts w:ascii="宋体" w:hAnsi="宋体" w:eastAsia="宋体"/>
          <w:color w:val="auto"/>
          <w:sz w:val="21"/>
          <w:szCs w:val="21"/>
        </w:rPr>
        <w:t>.</w:t>
      </w:r>
      <w:r>
        <w:rPr>
          <w:rFonts w:hint="eastAsia" w:ascii="宋体" w:hAnsi="宋体" w:eastAsia="宋体"/>
          <w:color w:val="auto"/>
          <w:sz w:val="21"/>
          <w:szCs w:val="21"/>
        </w:rPr>
        <w:t>成交</w:t>
      </w:r>
      <w:r>
        <w:rPr>
          <w:rFonts w:ascii="宋体" w:hAnsi="宋体" w:eastAsia="宋体"/>
          <w:color w:val="auto"/>
          <w:sz w:val="21"/>
          <w:szCs w:val="21"/>
        </w:rPr>
        <w:t>公告</w:t>
      </w:r>
      <w:bookmarkEnd w:id="117"/>
      <w:bookmarkEnd w:id="121"/>
      <w:bookmarkEnd w:id="122"/>
      <w:bookmarkEnd w:id="123"/>
      <w:bookmarkEnd w:id="124"/>
    </w:p>
    <w:p w14:paraId="3836C4B2">
      <w:pPr>
        <w:pStyle w:val="24"/>
        <w:spacing w:line="460" w:lineRule="exact"/>
        <w:ind w:left="53" w:leftChars="25" w:firstLine="371" w:firstLineChars="177"/>
        <w:rPr>
          <w:rFonts w:hAnsi="宋体" w:cs="宋体"/>
          <w:color w:val="auto"/>
          <w:szCs w:val="21"/>
        </w:rPr>
      </w:pPr>
      <w:bookmarkStart w:id="125" w:name="_Toc239659116"/>
      <w:bookmarkStart w:id="126" w:name="_Toc346264289"/>
      <w:r>
        <w:rPr>
          <w:rFonts w:hint="eastAsia" w:hAnsi="宋体" w:cs="宋体"/>
          <w:color w:val="auto"/>
          <w:szCs w:val="21"/>
        </w:rPr>
        <w:t>24.1采购代理机构将在评审结束后2个工作日内将评审报告送采购人，采购人收到采购代理机构提交的评审报告后，2个工作日内确定成交供应商。采购人确认后，成交结果将在发布竞争性磋商公告的网站上公布，同时向成交人发出成交通知书。</w:t>
      </w:r>
    </w:p>
    <w:p w14:paraId="002C8F8D">
      <w:pPr>
        <w:spacing w:line="460" w:lineRule="exact"/>
        <w:rPr>
          <w:rFonts w:ascii="宋体" w:hAnsi="宋体" w:cs="宋体"/>
          <w:color w:val="auto"/>
          <w:szCs w:val="21"/>
        </w:rPr>
      </w:pPr>
      <w:r>
        <w:rPr>
          <w:rFonts w:hint="eastAsia" w:ascii="宋体" w:hAnsi="宋体" w:cs="宋体"/>
          <w:color w:val="auto"/>
          <w:szCs w:val="21"/>
        </w:rPr>
        <w:t xml:space="preserve">    24.2 供应商如对成交公告有异议，可以在成交公告期限届满之日起7个工作日内以书面形式向采购人或采购代理机构提出质疑。采购人或采购代理机构将在收到供应商的书面形式质疑后7个工作日内做出答复，但答复的内容不得涉及商业密秘。</w:t>
      </w:r>
    </w:p>
    <w:p w14:paraId="307415E8">
      <w:pPr>
        <w:pStyle w:val="24"/>
        <w:spacing w:line="460" w:lineRule="exact"/>
        <w:ind w:left="53" w:leftChars="25" w:firstLine="371" w:firstLineChars="177"/>
        <w:rPr>
          <w:rFonts w:hAnsi="宋体" w:cs="宋体"/>
          <w:color w:val="auto"/>
          <w:szCs w:val="21"/>
        </w:rPr>
      </w:pPr>
      <w:r>
        <w:rPr>
          <w:rFonts w:hint="eastAsia" w:hAnsi="宋体" w:cs="宋体"/>
          <w:color w:val="auto"/>
          <w:szCs w:val="21"/>
        </w:rPr>
        <w:t>24.3 质疑供应商必须首先经过质疑程序，在对采购人或采购代理机构的答复不满意，或者采购人或采购代理机构未在规定的时间内做出答复的，可以在答复期满后15个工作日内书面向同级政府采购监督管理部门投诉。</w:t>
      </w:r>
    </w:p>
    <w:p w14:paraId="00EBD454">
      <w:pPr>
        <w:pStyle w:val="4"/>
        <w:spacing w:before="0" w:after="0" w:line="460" w:lineRule="exact"/>
        <w:rPr>
          <w:rFonts w:ascii="宋体" w:hAnsi="宋体" w:eastAsia="宋体"/>
          <w:color w:val="auto"/>
          <w:sz w:val="21"/>
          <w:szCs w:val="21"/>
        </w:rPr>
      </w:pPr>
      <w:bookmarkStart w:id="127" w:name="_Toc80818637"/>
      <w:bookmarkStart w:id="128" w:name="_Toc18682826"/>
      <w:bookmarkStart w:id="129" w:name="_Toc14918"/>
      <w:r>
        <w:rPr>
          <w:rFonts w:ascii="宋体" w:hAnsi="宋体" w:eastAsia="宋体"/>
          <w:color w:val="auto"/>
          <w:sz w:val="21"/>
          <w:szCs w:val="21"/>
        </w:rPr>
        <w:t>2</w:t>
      </w:r>
      <w:r>
        <w:rPr>
          <w:rFonts w:hint="eastAsia" w:ascii="宋体" w:hAnsi="宋体" w:eastAsia="宋体"/>
          <w:color w:val="auto"/>
          <w:sz w:val="21"/>
          <w:szCs w:val="21"/>
        </w:rPr>
        <w:t>5</w:t>
      </w:r>
      <w:r>
        <w:rPr>
          <w:rFonts w:ascii="宋体" w:hAnsi="宋体" w:eastAsia="宋体"/>
          <w:color w:val="auto"/>
          <w:sz w:val="21"/>
          <w:szCs w:val="21"/>
        </w:rPr>
        <w:t>.</w:t>
      </w:r>
      <w:r>
        <w:rPr>
          <w:rFonts w:hint="eastAsia" w:ascii="宋体" w:hAnsi="宋体" w:eastAsia="宋体"/>
          <w:color w:val="auto"/>
          <w:sz w:val="21"/>
          <w:szCs w:val="21"/>
        </w:rPr>
        <w:t>成交</w:t>
      </w:r>
      <w:r>
        <w:rPr>
          <w:rFonts w:ascii="宋体" w:hAnsi="宋体" w:eastAsia="宋体"/>
          <w:color w:val="auto"/>
          <w:sz w:val="21"/>
          <w:szCs w:val="21"/>
        </w:rPr>
        <w:t>通知书</w:t>
      </w:r>
      <w:bookmarkEnd w:id="125"/>
      <w:bookmarkEnd w:id="126"/>
      <w:bookmarkEnd w:id="127"/>
      <w:bookmarkEnd w:id="128"/>
      <w:bookmarkEnd w:id="129"/>
    </w:p>
    <w:p w14:paraId="5FBC88D1">
      <w:pPr>
        <w:spacing w:line="460" w:lineRule="exact"/>
        <w:ind w:left="229" w:leftChars="109" w:firstLine="210" w:firstLineChars="100"/>
        <w:rPr>
          <w:rFonts w:ascii="宋体" w:hAnsi="宋体"/>
          <w:color w:val="auto"/>
          <w:szCs w:val="21"/>
        </w:rPr>
      </w:pPr>
      <w:r>
        <w:rPr>
          <w:rFonts w:ascii="宋体" w:hAnsi="宋体"/>
          <w:color w:val="auto"/>
          <w:szCs w:val="21"/>
        </w:rPr>
        <w:t>2</w:t>
      </w:r>
      <w:r>
        <w:rPr>
          <w:rFonts w:hint="eastAsia" w:ascii="宋体" w:hAnsi="宋体"/>
          <w:color w:val="auto"/>
          <w:szCs w:val="21"/>
        </w:rPr>
        <w:t>5</w:t>
      </w:r>
      <w:r>
        <w:rPr>
          <w:rFonts w:ascii="宋体" w:hAnsi="宋体"/>
          <w:color w:val="auto"/>
          <w:szCs w:val="21"/>
        </w:rPr>
        <w:t>.1 在发布</w:t>
      </w:r>
      <w:r>
        <w:rPr>
          <w:rFonts w:hint="eastAsia" w:ascii="宋体" w:hAnsi="宋体"/>
          <w:color w:val="auto"/>
          <w:szCs w:val="21"/>
        </w:rPr>
        <w:t>成交</w:t>
      </w:r>
      <w:r>
        <w:rPr>
          <w:rFonts w:ascii="宋体" w:hAnsi="宋体"/>
          <w:color w:val="auto"/>
          <w:szCs w:val="21"/>
        </w:rPr>
        <w:t>公告的同时，向</w:t>
      </w:r>
      <w:r>
        <w:rPr>
          <w:rFonts w:hint="eastAsia" w:ascii="宋体" w:hAnsi="宋体"/>
          <w:color w:val="auto"/>
          <w:szCs w:val="21"/>
        </w:rPr>
        <w:t>成交</w:t>
      </w:r>
      <w:r>
        <w:rPr>
          <w:rFonts w:ascii="宋体" w:hAnsi="宋体"/>
          <w:color w:val="auto"/>
          <w:szCs w:val="21"/>
        </w:rPr>
        <w:t>单位发出书面成交通知书。</w:t>
      </w:r>
    </w:p>
    <w:p w14:paraId="09E869B1">
      <w:pPr>
        <w:spacing w:line="4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5</w:t>
      </w:r>
      <w:r>
        <w:rPr>
          <w:rFonts w:ascii="宋体" w:hAnsi="宋体"/>
          <w:color w:val="auto"/>
          <w:szCs w:val="21"/>
        </w:rPr>
        <w:t xml:space="preserve">.2 </w:t>
      </w:r>
      <w:r>
        <w:rPr>
          <w:rFonts w:hint="eastAsia" w:ascii="宋体" w:hAnsi="宋体"/>
          <w:color w:val="auto"/>
          <w:szCs w:val="21"/>
        </w:rPr>
        <w:t>成交</w:t>
      </w:r>
      <w:r>
        <w:rPr>
          <w:rFonts w:ascii="宋体" w:hAnsi="宋体"/>
          <w:color w:val="auto"/>
          <w:szCs w:val="21"/>
        </w:rPr>
        <w:t>通知书注明成交金额、</w:t>
      </w:r>
      <w:r>
        <w:rPr>
          <w:rFonts w:hint="eastAsia" w:ascii="宋体" w:hAnsi="宋体"/>
          <w:color w:val="auto"/>
          <w:szCs w:val="21"/>
        </w:rPr>
        <w:t>工期</w:t>
      </w:r>
      <w:r>
        <w:rPr>
          <w:rFonts w:ascii="宋体" w:hAnsi="宋体"/>
          <w:color w:val="auto"/>
          <w:szCs w:val="21"/>
        </w:rPr>
        <w:t>、质量及工程保修期等。</w:t>
      </w:r>
    </w:p>
    <w:p w14:paraId="11383BFB">
      <w:pPr>
        <w:spacing w:line="4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5</w:t>
      </w:r>
      <w:r>
        <w:rPr>
          <w:rFonts w:ascii="宋体" w:hAnsi="宋体"/>
          <w:color w:val="auto"/>
          <w:szCs w:val="21"/>
        </w:rPr>
        <w:t xml:space="preserve">.3 </w:t>
      </w:r>
      <w:r>
        <w:rPr>
          <w:rFonts w:hint="eastAsia" w:ascii="宋体" w:hAnsi="宋体"/>
          <w:color w:val="auto"/>
          <w:szCs w:val="21"/>
        </w:rPr>
        <w:t>成交</w:t>
      </w:r>
      <w:r>
        <w:rPr>
          <w:rFonts w:ascii="宋体" w:hAnsi="宋体"/>
          <w:color w:val="auto"/>
          <w:szCs w:val="21"/>
        </w:rPr>
        <w:t>通知书为合同的组成部分。</w:t>
      </w:r>
    </w:p>
    <w:p w14:paraId="4557A015">
      <w:pPr>
        <w:pStyle w:val="4"/>
        <w:spacing w:before="0" w:after="0" w:line="460" w:lineRule="exact"/>
        <w:rPr>
          <w:rFonts w:ascii="宋体" w:hAnsi="宋体" w:eastAsia="宋体"/>
          <w:color w:val="auto"/>
          <w:sz w:val="21"/>
          <w:szCs w:val="21"/>
        </w:rPr>
      </w:pPr>
      <w:bookmarkStart w:id="130" w:name="_Toc239659117"/>
      <w:bookmarkStart w:id="131" w:name="_Toc2235"/>
      <w:bookmarkStart w:id="132" w:name="_Toc18682827"/>
      <w:bookmarkStart w:id="133" w:name="_Toc80818638"/>
      <w:bookmarkStart w:id="134" w:name="_Toc346264290"/>
      <w:r>
        <w:rPr>
          <w:rFonts w:ascii="宋体" w:hAnsi="宋体" w:eastAsia="宋体"/>
          <w:color w:val="auto"/>
          <w:sz w:val="21"/>
          <w:szCs w:val="21"/>
        </w:rPr>
        <w:t>26.合同签订</w:t>
      </w:r>
      <w:bookmarkEnd w:id="130"/>
      <w:bookmarkEnd w:id="131"/>
      <w:bookmarkEnd w:id="132"/>
      <w:bookmarkEnd w:id="133"/>
      <w:bookmarkEnd w:id="134"/>
    </w:p>
    <w:p w14:paraId="7986D8C1">
      <w:pPr>
        <w:spacing w:line="460" w:lineRule="exact"/>
        <w:ind w:left="50" w:leftChars="24" w:firstLine="363" w:firstLineChars="173"/>
        <w:rPr>
          <w:rFonts w:ascii="宋体" w:hAnsi="宋体"/>
          <w:color w:val="auto"/>
          <w:szCs w:val="21"/>
        </w:rPr>
      </w:pPr>
      <w:r>
        <w:rPr>
          <w:rFonts w:ascii="宋体" w:hAnsi="宋体"/>
          <w:color w:val="auto"/>
          <w:szCs w:val="21"/>
        </w:rPr>
        <w:t>2</w:t>
      </w:r>
      <w:r>
        <w:rPr>
          <w:rFonts w:hint="eastAsia" w:ascii="宋体" w:hAnsi="宋体"/>
          <w:color w:val="auto"/>
          <w:szCs w:val="21"/>
        </w:rPr>
        <w:t>6</w:t>
      </w:r>
      <w:r>
        <w:rPr>
          <w:rFonts w:ascii="宋体" w:hAnsi="宋体"/>
          <w:color w:val="auto"/>
          <w:szCs w:val="21"/>
        </w:rPr>
        <w:t xml:space="preserve">.1 </w:t>
      </w:r>
      <w:r>
        <w:rPr>
          <w:rFonts w:hint="eastAsia" w:ascii="宋体" w:hAnsi="宋体"/>
          <w:color w:val="auto"/>
          <w:szCs w:val="21"/>
        </w:rPr>
        <w:t>成交</w:t>
      </w:r>
      <w:r>
        <w:rPr>
          <w:rFonts w:ascii="宋体" w:hAnsi="宋体"/>
          <w:color w:val="auto"/>
          <w:szCs w:val="21"/>
        </w:rPr>
        <w:t>单位应按约定的时间，由法定代表人或授权代表与</w:t>
      </w:r>
      <w:r>
        <w:rPr>
          <w:rFonts w:hint="eastAsia" w:ascii="宋体" w:hAnsi="宋体"/>
          <w:color w:val="auto"/>
          <w:szCs w:val="21"/>
        </w:rPr>
        <w:t>采购人</w:t>
      </w:r>
      <w:r>
        <w:rPr>
          <w:rFonts w:ascii="宋体" w:hAnsi="宋体"/>
          <w:color w:val="auto"/>
          <w:szCs w:val="21"/>
        </w:rPr>
        <w:t>代表签订合同。</w:t>
      </w:r>
      <w:r>
        <w:rPr>
          <w:rFonts w:hint="eastAsia" w:ascii="宋体" w:hAnsi="宋体"/>
          <w:color w:val="auto"/>
          <w:szCs w:val="21"/>
        </w:rPr>
        <w:t>如成交人不按规定签订合同，则采购人可以与排名在成交人之后的成交候选人依次递补签订合同或重新组织采购。拒绝签订政府采购合同的成交供应商不得参加对该项目重新开展的采购活动。</w:t>
      </w:r>
    </w:p>
    <w:p w14:paraId="436BCA63">
      <w:pPr>
        <w:spacing w:line="4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6</w:t>
      </w:r>
      <w:r>
        <w:rPr>
          <w:rFonts w:ascii="宋体" w:hAnsi="宋体"/>
          <w:color w:val="auto"/>
          <w:szCs w:val="21"/>
        </w:rPr>
        <w:t>.</w:t>
      </w:r>
      <w:r>
        <w:rPr>
          <w:rFonts w:hint="eastAsia" w:ascii="宋体" w:hAnsi="宋体"/>
          <w:color w:val="auto"/>
          <w:szCs w:val="21"/>
        </w:rPr>
        <w:t>2合同签订必须符合</w:t>
      </w:r>
      <w:r>
        <w:rPr>
          <w:rFonts w:hint="eastAsia" w:ascii="宋体" w:hAnsi="宋体" w:cs="宋体"/>
          <w:color w:val="auto"/>
          <w:szCs w:val="21"/>
        </w:rPr>
        <w:t>《中华人民共和国政府采购法》、</w:t>
      </w:r>
      <w:r>
        <w:rPr>
          <w:rFonts w:hint="eastAsia" w:ascii="宋体" w:hAnsi="宋体" w:cs="Arial"/>
          <w:color w:val="auto"/>
          <w:szCs w:val="21"/>
        </w:rPr>
        <w:t>《中华人民共和国政府采购法实施条例》、</w:t>
      </w:r>
      <w:r>
        <w:rPr>
          <w:rFonts w:hint="eastAsia" w:ascii="宋体" w:hAnsi="宋体"/>
          <w:color w:val="auto"/>
          <w:szCs w:val="21"/>
        </w:rPr>
        <w:t>《政府采购竞争性磋商采购方式管理暂行办法》及《中华人民共和国民法典》的规定，否则由此造成的后果由采购人负责。</w:t>
      </w:r>
    </w:p>
    <w:p w14:paraId="0D24AE4C">
      <w:pPr>
        <w:spacing w:line="460" w:lineRule="exact"/>
        <w:ind w:firstLine="420" w:firstLineChars="200"/>
        <w:rPr>
          <w:rFonts w:ascii="宋体" w:hAnsi="宋体"/>
          <w:color w:val="auto"/>
          <w:szCs w:val="21"/>
        </w:rPr>
      </w:pPr>
      <w:r>
        <w:rPr>
          <w:rFonts w:hint="eastAsia" w:ascii="宋体" w:hAnsi="宋体"/>
          <w:color w:val="auto"/>
          <w:szCs w:val="21"/>
        </w:rPr>
        <w:t>26.3财政部门根据已备案的政府采购合同办理合同款项的支付，对未正式备案的政府采购合同，将不予办理合同价款的支付。</w:t>
      </w:r>
    </w:p>
    <w:p w14:paraId="79E79E53">
      <w:pPr>
        <w:spacing w:line="460" w:lineRule="exact"/>
        <w:ind w:firstLine="420" w:firstLineChars="200"/>
        <w:rPr>
          <w:rFonts w:ascii="宋体" w:hAnsi="宋体"/>
          <w:color w:val="auto"/>
          <w:szCs w:val="21"/>
        </w:rPr>
      </w:pPr>
      <w:r>
        <w:rPr>
          <w:rFonts w:hint="eastAsia" w:ascii="宋体" w:hAnsi="宋体"/>
          <w:color w:val="auto"/>
          <w:szCs w:val="21"/>
        </w:rPr>
        <w:t>26.4</w:t>
      </w:r>
      <w:r>
        <w:rPr>
          <w:rFonts w:ascii="宋体" w:hAnsi="宋体"/>
          <w:color w:val="auto"/>
          <w:szCs w:val="21"/>
        </w:rPr>
        <w:t>如果</w:t>
      </w:r>
      <w:r>
        <w:rPr>
          <w:rFonts w:hint="eastAsia" w:ascii="宋体" w:hAnsi="宋体"/>
          <w:color w:val="auto"/>
          <w:szCs w:val="21"/>
        </w:rPr>
        <w:t>供应商</w:t>
      </w:r>
      <w:r>
        <w:rPr>
          <w:rFonts w:ascii="宋体" w:hAnsi="宋体"/>
          <w:color w:val="auto"/>
          <w:szCs w:val="21"/>
        </w:rPr>
        <w:t>不按本须知第2</w:t>
      </w:r>
      <w:r>
        <w:rPr>
          <w:rFonts w:hint="eastAsia" w:ascii="宋体" w:hAnsi="宋体"/>
          <w:color w:val="auto"/>
          <w:szCs w:val="21"/>
        </w:rPr>
        <w:t>6</w:t>
      </w:r>
      <w:r>
        <w:rPr>
          <w:rFonts w:ascii="宋体" w:hAnsi="宋体"/>
          <w:color w:val="auto"/>
          <w:szCs w:val="21"/>
        </w:rPr>
        <w:t>.1条的规定执行，采购人将有充分的理由废除授标。</w:t>
      </w:r>
    </w:p>
    <w:p w14:paraId="5A44BB3C">
      <w:pPr>
        <w:pStyle w:val="4"/>
        <w:spacing w:before="0" w:after="0" w:line="460" w:lineRule="exact"/>
        <w:rPr>
          <w:rFonts w:ascii="宋体" w:hAnsi="宋体" w:eastAsia="宋体"/>
          <w:color w:val="auto"/>
          <w:sz w:val="21"/>
          <w:szCs w:val="21"/>
        </w:rPr>
      </w:pPr>
      <w:bookmarkStart w:id="135" w:name="_Toc239659118"/>
      <w:bookmarkStart w:id="136" w:name="_Toc10913"/>
      <w:bookmarkStart w:id="137" w:name="_Toc346264291"/>
      <w:bookmarkStart w:id="138" w:name="_Toc80818639"/>
      <w:bookmarkStart w:id="139" w:name="_Toc18682828"/>
      <w:r>
        <w:rPr>
          <w:rFonts w:ascii="宋体" w:hAnsi="宋体" w:eastAsia="宋体"/>
          <w:color w:val="auto"/>
          <w:sz w:val="21"/>
          <w:szCs w:val="21"/>
        </w:rPr>
        <w:t>2</w:t>
      </w:r>
      <w:bookmarkEnd w:id="135"/>
      <w:r>
        <w:rPr>
          <w:rFonts w:hint="eastAsia" w:ascii="宋体" w:hAnsi="宋体" w:eastAsia="宋体"/>
          <w:color w:val="auto"/>
          <w:sz w:val="21"/>
          <w:szCs w:val="21"/>
        </w:rPr>
        <w:t>7</w:t>
      </w:r>
      <w:r>
        <w:rPr>
          <w:rFonts w:ascii="宋体" w:hAnsi="宋体" w:eastAsia="宋体"/>
          <w:color w:val="auto"/>
          <w:sz w:val="21"/>
          <w:szCs w:val="21"/>
        </w:rPr>
        <w:t>.履约保证金</w:t>
      </w:r>
      <w:bookmarkEnd w:id="136"/>
      <w:bookmarkEnd w:id="137"/>
      <w:bookmarkEnd w:id="138"/>
      <w:bookmarkEnd w:id="139"/>
    </w:p>
    <w:p w14:paraId="2E27E8F3">
      <w:pPr>
        <w:spacing w:line="460" w:lineRule="exact"/>
        <w:ind w:firstLine="420" w:firstLineChars="200"/>
        <w:jc w:val="left"/>
        <w:rPr>
          <w:rFonts w:ascii="宋体" w:hAnsi="宋体"/>
          <w:color w:val="auto"/>
          <w:szCs w:val="21"/>
        </w:rPr>
      </w:pPr>
      <w:bookmarkStart w:id="140" w:name="_Toc239659119"/>
      <w:r>
        <w:rPr>
          <w:rFonts w:hint="eastAsia" w:ascii="宋体" w:hAnsi="宋体"/>
          <w:color w:val="auto"/>
          <w:szCs w:val="21"/>
        </w:rPr>
        <w:t>27.1履约保证金按须知前附表的要求提交。如要求提交的，履约保证金如以</w:t>
      </w:r>
      <w:r>
        <w:rPr>
          <w:rFonts w:hint="eastAsia" w:ascii="宋体" w:hAnsi="宋体"/>
          <w:bCs/>
          <w:color w:val="auto"/>
          <w:szCs w:val="21"/>
        </w:rPr>
        <w:t>支票、汇票、本票、银行转帐、银行出具的保函或保险机构出具的保函、保险单、履约保证保险合同等非现金</w:t>
      </w:r>
      <w:r>
        <w:rPr>
          <w:rFonts w:hint="eastAsia" w:ascii="宋体" w:hAnsi="宋体"/>
          <w:color w:val="auto"/>
          <w:szCs w:val="21"/>
        </w:rPr>
        <w:t>方式提交，并在签订成交合同前一次性缴纳。如成交人未按规定缴纳履约保证金的，采购人有权取消其成交资格。</w:t>
      </w:r>
    </w:p>
    <w:p w14:paraId="1133AD2B">
      <w:pPr>
        <w:spacing w:line="460" w:lineRule="exact"/>
        <w:ind w:firstLine="420" w:firstLineChars="200"/>
        <w:rPr>
          <w:rFonts w:ascii="宋体" w:hAnsi="宋体"/>
          <w:color w:val="auto"/>
          <w:szCs w:val="21"/>
        </w:rPr>
      </w:pPr>
      <w:r>
        <w:rPr>
          <w:rFonts w:hint="eastAsia" w:ascii="宋体" w:hAnsi="宋体"/>
          <w:color w:val="auto"/>
          <w:szCs w:val="21"/>
        </w:rPr>
        <w:t>27.2 成交人如不按本章第27.1条要求提交履约保证金的，采购人有充分理由取消其成交资格。</w:t>
      </w:r>
    </w:p>
    <w:p w14:paraId="7A54D20E">
      <w:pPr>
        <w:spacing w:line="460" w:lineRule="exact"/>
        <w:ind w:firstLine="420" w:firstLineChars="200"/>
        <w:rPr>
          <w:rFonts w:ascii="宋体" w:hAnsi="宋体" w:cs="Courier New"/>
          <w:color w:val="auto"/>
          <w:spacing w:val="2"/>
          <w:szCs w:val="21"/>
        </w:rPr>
      </w:pPr>
      <w:r>
        <w:rPr>
          <w:rFonts w:hint="eastAsia" w:ascii="宋体" w:hAnsi="宋体"/>
          <w:color w:val="auto"/>
          <w:szCs w:val="21"/>
        </w:rPr>
        <w:t>27.3 工程竣工验收合格后，成交人按合同履约的，由成交人向采购人提交履约保证金退还申请，经采购人确认审批后履约保证金如数退还（不计利息）。如成交人不按双方签订的合同履约，则对其全部履约保证金不予退还，履</w:t>
      </w:r>
      <w:r>
        <w:rPr>
          <w:rFonts w:hint="eastAsia" w:ascii="宋体" w:hAnsi="宋体" w:cs="Courier New"/>
          <w:color w:val="auto"/>
          <w:spacing w:val="2"/>
          <w:szCs w:val="21"/>
        </w:rPr>
        <w:t>约保证金不足以赔偿的，按实际损失赔偿。</w:t>
      </w:r>
    </w:p>
    <w:p w14:paraId="6BDD99CE">
      <w:pPr>
        <w:spacing w:line="460" w:lineRule="exact"/>
        <w:ind w:firstLine="428" w:firstLineChars="200"/>
        <w:rPr>
          <w:rFonts w:ascii="宋体" w:hAnsi="宋体"/>
          <w:color w:val="auto"/>
          <w:szCs w:val="21"/>
        </w:rPr>
      </w:pPr>
      <w:r>
        <w:rPr>
          <w:rFonts w:hint="eastAsia" w:ascii="宋体" w:hAnsi="宋体" w:cs="Courier New"/>
          <w:color w:val="auto"/>
          <w:spacing w:val="2"/>
          <w:szCs w:val="21"/>
        </w:rPr>
        <w:t>27.4 在履约保证金到期退还前，若成交人的开户名称、开户行、账号有更改的，请以书面形式通知</w:t>
      </w:r>
      <w:r>
        <w:rPr>
          <w:rFonts w:hint="eastAsia" w:ascii="宋体" w:hAnsi="宋体"/>
          <w:color w:val="auto"/>
          <w:szCs w:val="21"/>
        </w:rPr>
        <w:t>采购人</w:t>
      </w:r>
      <w:r>
        <w:rPr>
          <w:rFonts w:hint="eastAsia" w:ascii="宋体" w:hAnsi="宋体" w:cs="Courier New"/>
          <w:color w:val="auto"/>
          <w:spacing w:val="2"/>
          <w:szCs w:val="21"/>
        </w:rPr>
        <w:t>，否则由此产生的后果由成交人自行负责。</w:t>
      </w:r>
    </w:p>
    <w:p w14:paraId="1BD594EE">
      <w:pPr>
        <w:spacing w:line="460" w:lineRule="exact"/>
        <w:ind w:firstLine="420" w:firstLineChars="200"/>
        <w:rPr>
          <w:rFonts w:ascii="宋体" w:hAnsi="宋体"/>
          <w:color w:val="auto"/>
          <w:szCs w:val="21"/>
        </w:rPr>
      </w:pPr>
      <w:bookmarkStart w:id="141" w:name="_Toc346264292"/>
      <w:r>
        <w:rPr>
          <w:rFonts w:ascii="宋体" w:hAnsi="宋体"/>
          <w:color w:val="auto"/>
          <w:szCs w:val="21"/>
        </w:rPr>
        <w:t>2</w:t>
      </w:r>
      <w:r>
        <w:rPr>
          <w:rFonts w:hint="eastAsia" w:ascii="宋体" w:hAnsi="宋体"/>
          <w:color w:val="auto"/>
          <w:szCs w:val="21"/>
        </w:rPr>
        <w:t>8</w:t>
      </w:r>
      <w:r>
        <w:rPr>
          <w:rFonts w:ascii="宋体" w:hAnsi="宋体"/>
          <w:color w:val="auto"/>
          <w:szCs w:val="21"/>
        </w:rPr>
        <w:t>.解释权</w:t>
      </w:r>
      <w:bookmarkEnd w:id="140"/>
      <w:bookmarkEnd w:id="141"/>
    </w:p>
    <w:p w14:paraId="0A4D7D4A">
      <w:pPr>
        <w:spacing w:line="460" w:lineRule="exact"/>
        <w:ind w:firstLine="420" w:firstLineChars="200"/>
        <w:rPr>
          <w:rFonts w:ascii="宋体" w:hAnsi="宋体"/>
          <w:color w:val="auto"/>
          <w:szCs w:val="21"/>
        </w:rPr>
      </w:pPr>
      <w:r>
        <w:rPr>
          <w:rFonts w:hint="eastAsia" w:ascii="宋体" w:hAnsi="宋体"/>
          <w:color w:val="auto"/>
          <w:szCs w:val="21"/>
        </w:rPr>
        <w:t>本磋商文件是根据《中华人民共和国政府采购法》、《中华人民共和国政府采购法实施条例》、《政府采购竞争性磋商采购方式管理暂行办法》及相关法律法规编制，解释权属中昕国际项目管理有限公司</w:t>
      </w:r>
      <w:r>
        <w:rPr>
          <w:rFonts w:ascii="宋体" w:hAnsi="宋体"/>
          <w:color w:val="auto"/>
          <w:szCs w:val="21"/>
        </w:rPr>
        <w:t>。</w:t>
      </w:r>
    </w:p>
    <w:p w14:paraId="45873923">
      <w:pPr>
        <w:pStyle w:val="3"/>
        <w:spacing w:line="500" w:lineRule="exact"/>
        <w:jc w:val="center"/>
        <w:rPr>
          <w:rFonts w:ascii="宋体" w:hAnsi="宋体" w:cs="宋体"/>
          <w:color w:val="auto"/>
        </w:rPr>
      </w:pPr>
      <w:bookmarkStart w:id="142" w:name="_Toc13050"/>
      <w:bookmarkStart w:id="143" w:name="_Toc168475883"/>
      <w:bookmarkStart w:id="144" w:name="_Toc144974826"/>
      <w:bookmarkStart w:id="145" w:name="_Toc168476286"/>
      <w:bookmarkStart w:id="146" w:name="_Toc229305402"/>
      <w:bookmarkStart w:id="147" w:name="_Toc337567543"/>
      <w:r>
        <w:rPr>
          <w:rFonts w:ascii="宋体" w:hAnsi="宋体" w:cs="宋体"/>
          <w:color w:val="auto"/>
        </w:rPr>
        <w:br w:type="page"/>
      </w:r>
      <w:bookmarkStart w:id="148" w:name="_Toc5524"/>
      <w:r>
        <w:rPr>
          <w:rFonts w:hint="eastAsia" w:ascii="宋体" w:hAnsi="宋体" w:cs="宋体"/>
          <w:color w:val="auto"/>
        </w:rPr>
        <w:t>第三章 合同条款及格式</w:t>
      </w:r>
      <w:bookmarkEnd w:id="142"/>
      <w:bookmarkEnd w:id="148"/>
    </w:p>
    <w:bookmarkEnd w:id="143"/>
    <w:bookmarkEnd w:id="144"/>
    <w:bookmarkEnd w:id="145"/>
    <w:bookmarkEnd w:id="146"/>
    <w:bookmarkEnd w:id="147"/>
    <w:p w14:paraId="1F235058">
      <w:pPr>
        <w:rPr>
          <w:rFonts w:ascii="宋体" w:hAnsi="宋体"/>
          <w:color w:val="auto"/>
        </w:rPr>
      </w:pPr>
      <w:bookmarkStart w:id="149" w:name="_Toc346264358"/>
    </w:p>
    <w:p w14:paraId="28E1F71F">
      <w:pPr>
        <w:jc w:val="left"/>
        <w:outlineLvl w:val="0"/>
        <w:rPr>
          <w:rFonts w:eastAsia="仿宋_GB2312"/>
          <w:bCs/>
          <w:color w:val="auto"/>
          <w:sz w:val="32"/>
          <w:szCs w:val="32"/>
        </w:rPr>
      </w:pPr>
      <w:bookmarkStart w:id="150" w:name="_Toc27200"/>
      <w:bookmarkStart w:id="151" w:name="_Toc18428"/>
      <w:bookmarkStart w:id="152" w:name="_Toc14712"/>
      <w:r>
        <w:rPr>
          <w:rFonts w:eastAsia="仿宋_GB2312"/>
          <w:bCs/>
          <w:color w:val="auto"/>
          <w:sz w:val="32"/>
          <w:szCs w:val="32"/>
        </w:rPr>
        <w:t>（GF—201</w:t>
      </w:r>
      <w:r>
        <w:rPr>
          <w:rFonts w:hint="eastAsia" w:eastAsia="仿宋_GB2312"/>
          <w:bCs/>
          <w:color w:val="auto"/>
          <w:sz w:val="32"/>
          <w:szCs w:val="32"/>
        </w:rPr>
        <w:t>7</w:t>
      </w:r>
      <w:r>
        <w:rPr>
          <w:rFonts w:eastAsia="仿宋_GB2312"/>
          <w:bCs/>
          <w:color w:val="auto"/>
          <w:sz w:val="32"/>
          <w:szCs w:val="32"/>
        </w:rPr>
        <w:t>—</w:t>
      </w:r>
      <w:r>
        <w:rPr>
          <w:rFonts w:hint="eastAsia" w:eastAsia="仿宋_GB2312"/>
          <w:bCs/>
          <w:color w:val="auto"/>
          <w:sz w:val="32"/>
          <w:szCs w:val="32"/>
        </w:rPr>
        <w:t>0201）</w:t>
      </w:r>
      <w:bookmarkEnd w:id="150"/>
      <w:bookmarkEnd w:id="151"/>
      <w:bookmarkEnd w:id="152"/>
    </w:p>
    <w:p w14:paraId="1DBE942D">
      <w:pPr>
        <w:jc w:val="center"/>
        <w:rPr>
          <w:rFonts w:eastAsia="华文中宋"/>
          <w:b/>
          <w:color w:val="auto"/>
          <w:sz w:val="52"/>
          <w:szCs w:val="52"/>
        </w:rPr>
      </w:pPr>
    </w:p>
    <w:p w14:paraId="2207A981">
      <w:pPr>
        <w:jc w:val="center"/>
        <w:rPr>
          <w:rFonts w:eastAsia="华文中宋"/>
          <w:b/>
          <w:color w:val="auto"/>
          <w:sz w:val="52"/>
          <w:szCs w:val="52"/>
        </w:rPr>
      </w:pPr>
    </w:p>
    <w:p w14:paraId="229D3E09">
      <w:pPr>
        <w:jc w:val="center"/>
        <w:rPr>
          <w:rFonts w:eastAsia="华文中宋"/>
          <w:b/>
          <w:color w:val="auto"/>
          <w:sz w:val="52"/>
          <w:szCs w:val="52"/>
        </w:rPr>
      </w:pPr>
    </w:p>
    <w:p w14:paraId="6912DA6A">
      <w:pPr>
        <w:jc w:val="center"/>
        <w:rPr>
          <w:rFonts w:eastAsia="华文中宋"/>
          <w:b/>
          <w:color w:val="auto"/>
          <w:sz w:val="52"/>
          <w:szCs w:val="52"/>
        </w:rPr>
      </w:pPr>
    </w:p>
    <w:p w14:paraId="34D4DA31">
      <w:pPr>
        <w:jc w:val="center"/>
        <w:rPr>
          <w:rFonts w:eastAsia="华文中宋"/>
          <w:b/>
          <w:color w:val="auto"/>
          <w:sz w:val="52"/>
          <w:szCs w:val="52"/>
        </w:rPr>
      </w:pPr>
      <w:bookmarkStart w:id="153" w:name="_Toc108835676"/>
      <w:bookmarkStart w:id="154" w:name="_Toc108836087"/>
      <w:r>
        <w:rPr>
          <w:rFonts w:hint="eastAsia" w:eastAsia="华文中宋"/>
          <w:b/>
          <w:color w:val="auto"/>
          <w:sz w:val="52"/>
          <w:szCs w:val="52"/>
        </w:rPr>
        <w:t>建设工程施工合同协议条款</w:t>
      </w:r>
      <w:bookmarkEnd w:id="153"/>
      <w:bookmarkEnd w:id="154"/>
    </w:p>
    <w:p w14:paraId="35AED0CF">
      <w:pPr>
        <w:jc w:val="center"/>
        <w:rPr>
          <w:rFonts w:eastAsia="华文中宋"/>
          <w:b/>
          <w:color w:val="auto"/>
          <w:sz w:val="36"/>
          <w:szCs w:val="36"/>
        </w:rPr>
      </w:pPr>
      <w:r>
        <w:rPr>
          <w:rFonts w:hint="eastAsia" w:eastAsia="华文中宋"/>
          <w:b/>
          <w:color w:val="auto"/>
          <w:sz w:val="36"/>
          <w:szCs w:val="36"/>
        </w:rPr>
        <w:t>（本合同仅供参考，具体内容可根据双方协定增加或修改）</w:t>
      </w:r>
    </w:p>
    <w:p w14:paraId="63C5697A">
      <w:pPr>
        <w:jc w:val="center"/>
        <w:rPr>
          <w:rFonts w:eastAsia="黑体"/>
          <w:b/>
          <w:color w:val="auto"/>
          <w:sz w:val="72"/>
          <w:szCs w:val="72"/>
        </w:rPr>
      </w:pPr>
    </w:p>
    <w:p w14:paraId="05C873F7">
      <w:pPr>
        <w:jc w:val="center"/>
        <w:rPr>
          <w:rFonts w:eastAsia="楷体_GB2312"/>
          <w:b/>
          <w:color w:val="auto"/>
          <w:sz w:val="72"/>
          <w:szCs w:val="72"/>
        </w:rPr>
      </w:pPr>
    </w:p>
    <w:p w14:paraId="2427244B">
      <w:pPr>
        <w:jc w:val="center"/>
        <w:rPr>
          <w:rFonts w:eastAsia="黑体"/>
          <w:b/>
          <w:color w:val="auto"/>
          <w:sz w:val="52"/>
          <w:szCs w:val="52"/>
        </w:rPr>
      </w:pPr>
    </w:p>
    <w:p w14:paraId="5E30F03B">
      <w:pPr>
        <w:rPr>
          <w:b/>
          <w:color w:val="auto"/>
          <w:sz w:val="28"/>
          <w:szCs w:val="28"/>
        </w:rPr>
      </w:pPr>
    </w:p>
    <w:p w14:paraId="73E59BB7">
      <w:pPr>
        <w:rPr>
          <w:b/>
          <w:color w:val="auto"/>
          <w:sz w:val="28"/>
          <w:szCs w:val="28"/>
        </w:rPr>
      </w:pPr>
    </w:p>
    <w:p w14:paraId="546265E3">
      <w:pPr>
        <w:rPr>
          <w:b/>
          <w:color w:val="auto"/>
          <w:sz w:val="28"/>
          <w:szCs w:val="28"/>
        </w:rPr>
      </w:pPr>
    </w:p>
    <w:p w14:paraId="08B509AC">
      <w:pPr>
        <w:rPr>
          <w:b/>
          <w:color w:val="auto"/>
          <w:sz w:val="28"/>
          <w:szCs w:val="28"/>
        </w:rPr>
      </w:pPr>
    </w:p>
    <w:p w14:paraId="1134C16C">
      <w:pPr>
        <w:rPr>
          <w:b/>
          <w:color w:val="auto"/>
          <w:sz w:val="28"/>
          <w:szCs w:val="28"/>
        </w:rPr>
      </w:pPr>
    </w:p>
    <w:p w14:paraId="05B65D64">
      <w:pPr>
        <w:rPr>
          <w:b/>
          <w:color w:val="auto"/>
          <w:szCs w:val="22"/>
        </w:rPr>
      </w:pPr>
    </w:p>
    <w:p w14:paraId="27224C42">
      <w:pPr>
        <w:keepNext/>
        <w:keepLines/>
        <w:spacing w:before="260" w:after="260" w:line="413" w:lineRule="auto"/>
        <w:jc w:val="center"/>
        <w:outlineLvl w:val="0"/>
        <w:rPr>
          <w:rFonts w:eastAsia="华文中宋"/>
          <w:bCs/>
          <w:color w:val="auto"/>
          <w:sz w:val="32"/>
          <w:szCs w:val="32"/>
        </w:rPr>
      </w:pPr>
      <w:r>
        <w:rPr>
          <w:bCs/>
          <w:color w:val="auto"/>
          <w:sz w:val="32"/>
          <w:szCs w:val="32"/>
        </w:rPr>
        <w:br w:type="page"/>
      </w:r>
      <w:bookmarkStart w:id="155" w:name="_Toc25864"/>
      <w:bookmarkStart w:id="156" w:name="_Toc351203480"/>
      <w:bookmarkStart w:id="157" w:name="_Toc296503025"/>
      <w:bookmarkStart w:id="158" w:name="_Toc23424"/>
      <w:bookmarkStart w:id="159" w:name="_Toc296890982"/>
      <w:bookmarkStart w:id="160" w:name="_Toc14329"/>
      <w:r>
        <w:rPr>
          <w:rFonts w:ascii="华文中宋" w:hAnsi="华文中宋" w:eastAsia="华文中宋"/>
          <w:b/>
          <w:bCs/>
          <w:color w:val="auto"/>
          <w:sz w:val="32"/>
          <w:szCs w:val="32"/>
        </w:rPr>
        <w:t>第一部分 合同协议书</w:t>
      </w:r>
      <w:bookmarkEnd w:id="155"/>
      <w:bookmarkEnd w:id="156"/>
      <w:bookmarkEnd w:id="157"/>
      <w:bookmarkEnd w:id="158"/>
      <w:bookmarkEnd w:id="159"/>
      <w:bookmarkEnd w:id="160"/>
    </w:p>
    <w:p w14:paraId="682F05F1">
      <w:pPr>
        <w:pStyle w:val="159"/>
        <w:spacing w:line="360" w:lineRule="auto"/>
        <w:rPr>
          <w:rFonts w:hAnsi="宋体"/>
          <w:color w:val="auto"/>
          <w:u w:val="single"/>
        </w:rPr>
      </w:pPr>
      <w:bookmarkStart w:id="161" w:name="_Toc351203494"/>
      <w:bookmarkStart w:id="162" w:name="_Toc16646"/>
      <w:bookmarkStart w:id="163" w:name="_Toc24906"/>
      <w:r>
        <w:rPr>
          <w:rFonts w:ascii="宋体" w:hAnsi="宋体"/>
          <w:color w:val="auto"/>
        </w:rPr>
        <w:t>发包人（全称）：</w:t>
      </w:r>
      <w:r>
        <w:rPr>
          <w:rFonts w:hint="eastAsia" w:ascii="宋体" w:hAnsi="宋体"/>
          <w:color w:val="auto"/>
          <w:u w:val="single"/>
        </w:rPr>
        <w:t xml:space="preserve">                                 </w:t>
      </w:r>
    </w:p>
    <w:p w14:paraId="54D862C0">
      <w:pPr>
        <w:pStyle w:val="159"/>
        <w:spacing w:line="360" w:lineRule="auto"/>
        <w:rPr>
          <w:rFonts w:hAnsi="宋 体"/>
          <w:color w:val="auto"/>
          <w:u w:val="single"/>
        </w:rPr>
      </w:pPr>
      <w:r>
        <w:rPr>
          <w:rFonts w:ascii="宋体" w:hAnsi="宋体"/>
          <w:color w:val="auto"/>
        </w:rPr>
        <w:t>承包人（全称）：</w:t>
      </w:r>
      <w:r>
        <w:rPr>
          <w:rFonts w:hint="eastAsia" w:ascii="MingLiU_HKSCS" w:hAnsi="MingLiU_HKSCS" w:cs="MingLiU_HKSCS"/>
          <w:color w:val="auto"/>
          <w:u w:val="single"/>
        </w:rPr>
        <w:t xml:space="preserve">                                </w:t>
      </w:r>
    </w:p>
    <w:p w14:paraId="1D5CA194">
      <w:pPr>
        <w:pStyle w:val="159"/>
        <w:spacing w:line="360" w:lineRule="auto"/>
        <w:ind w:firstLine="420" w:firstLineChars="200"/>
        <w:rPr>
          <w:rFonts w:hAnsi="宋体"/>
          <w:color w:val="auto"/>
        </w:rPr>
      </w:pPr>
      <w:r>
        <w:rPr>
          <w:rFonts w:ascii="宋体" w:hAnsi="宋体"/>
          <w:color w:val="auto"/>
        </w:rPr>
        <w:t>根据《中华人民共和国民法典》、《中华人民共和国建筑法》及有关法律规定，遵循平等、自愿、公平和诚实信用的原则，双方就</w:t>
      </w:r>
      <w:r>
        <w:rPr>
          <w:rFonts w:hint="eastAsia" w:ascii="宋体" w:hAnsi="宋体"/>
          <w:color w:val="auto"/>
          <w:u w:val="single"/>
        </w:rPr>
        <w:t xml:space="preserve">                   </w:t>
      </w:r>
      <w:r>
        <w:rPr>
          <w:rFonts w:hint="eastAsia" w:ascii="宋体" w:hAnsi="宋体"/>
          <w:color w:val="auto"/>
        </w:rPr>
        <w:t>工程</w:t>
      </w:r>
      <w:r>
        <w:rPr>
          <w:rFonts w:ascii="宋体" w:hAnsi="宋体"/>
          <w:color w:val="auto"/>
        </w:rPr>
        <w:t>施工及有关事项协商一致，共同达成如下协议：</w:t>
      </w:r>
    </w:p>
    <w:p w14:paraId="50067628">
      <w:pPr>
        <w:pStyle w:val="159"/>
        <w:spacing w:line="360" w:lineRule="auto"/>
        <w:ind w:firstLine="422" w:firstLineChars="200"/>
        <w:outlineLvl w:val="0"/>
        <w:rPr>
          <w:rFonts w:hAnsi="宋 体"/>
          <w:b/>
          <w:bCs/>
          <w:color w:val="auto"/>
        </w:rPr>
      </w:pPr>
      <w:bookmarkStart w:id="164" w:name="_Toc22649"/>
      <w:bookmarkStart w:id="165" w:name="_Toc25740"/>
      <w:bookmarkStart w:id="166" w:name="_Toc525396155"/>
      <w:bookmarkStart w:id="167" w:name="_Toc3241"/>
      <w:bookmarkStart w:id="168" w:name="_Toc25070"/>
      <w:bookmarkStart w:id="169" w:name="_Toc27884"/>
      <w:bookmarkStart w:id="170" w:name="_Toc19087"/>
      <w:r>
        <w:rPr>
          <w:rFonts w:ascii="宋体" w:hAnsi="宋体"/>
          <w:b/>
          <w:bCs/>
          <w:color w:val="auto"/>
        </w:rPr>
        <w:t>一、工程概况</w:t>
      </w:r>
      <w:bookmarkEnd w:id="164"/>
      <w:bookmarkEnd w:id="165"/>
      <w:bookmarkEnd w:id="166"/>
      <w:bookmarkEnd w:id="167"/>
      <w:bookmarkEnd w:id="168"/>
      <w:bookmarkEnd w:id="169"/>
      <w:bookmarkEnd w:id="170"/>
    </w:p>
    <w:p w14:paraId="0FB3D517">
      <w:pPr>
        <w:pStyle w:val="159"/>
        <w:spacing w:line="360" w:lineRule="auto"/>
        <w:ind w:firstLine="411" w:firstLineChars="196"/>
        <w:rPr>
          <w:color w:val="auto"/>
          <w:u w:val="single"/>
        </w:rPr>
      </w:pPr>
      <w:r>
        <w:rPr>
          <w:color w:val="auto"/>
        </w:rPr>
        <w:t>1.</w:t>
      </w:r>
      <w:r>
        <w:rPr>
          <w:rFonts w:hint="eastAsia" w:ascii="宋体" w:hAnsi="宋体"/>
          <w:color w:val="auto"/>
        </w:rPr>
        <w:t xml:space="preserve"> </w:t>
      </w:r>
      <w:r>
        <w:rPr>
          <w:rFonts w:ascii="宋体" w:hAnsi="宋体"/>
          <w:color w:val="auto"/>
        </w:rPr>
        <w:t>工程名称：</w:t>
      </w:r>
      <w:r>
        <w:rPr>
          <w:rFonts w:hint="eastAsia" w:ascii="宋体" w:hAnsi="宋体"/>
          <w:color w:val="auto"/>
          <w:u w:val="single"/>
        </w:rPr>
        <w:t xml:space="preserve">                      </w:t>
      </w:r>
      <w:r>
        <w:rPr>
          <w:rFonts w:ascii="宋体" w:hAnsi="宋体"/>
          <w:color w:val="auto"/>
        </w:rPr>
        <w:t>。</w:t>
      </w:r>
    </w:p>
    <w:p w14:paraId="6C319250">
      <w:pPr>
        <w:pStyle w:val="159"/>
        <w:spacing w:line="360" w:lineRule="auto"/>
        <w:ind w:firstLine="411" w:firstLineChars="196"/>
        <w:rPr>
          <w:color w:val="auto"/>
        </w:rPr>
      </w:pPr>
      <w:r>
        <w:rPr>
          <w:color w:val="auto"/>
        </w:rPr>
        <w:t>2.</w:t>
      </w:r>
      <w:r>
        <w:rPr>
          <w:rFonts w:hint="eastAsia" w:ascii="宋体" w:hAnsi="宋体"/>
          <w:color w:val="auto"/>
        </w:rPr>
        <w:t xml:space="preserve"> </w:t>
      </w:r>
      <w:r>
        <w:rPr>
          <w:rFonts w:ascii="宋体" w:hAnsi="宋体"/>
          <w:color w:val="auto"/>
        </w:rPr>
        <w:t>工程地点：</w:t>
      </w:r>
      <w:r>
        <w:rPr>
          <w:rFonts w:hint="eastAsia" w:ascii="宋体" w:hAnsi="宋体" w:cs="宋 体"/>
          <w:color w:val="auto"/>
          <w:u w:val="single"/>
        </w:rPr>
        <w:t xml:space="preserve">                        </w:t>
      </w:r>
      <w:r>
        <w:rPr>
          <w:rFonts w:ascii="宋体" w:hAnsi="宋体"/>
          <w:color w:val="auto"/>
        </w:rPr>
        <w:t>。</w:t>
      </w:r>
    </w:p>
    <w:p w14:paraId="525BD2EF">
      <w:pPr>
        <w:pStyle w:val="159"/>
        <w:spacing w:line="360" w:lineRule="auto"/>
        <w:ind w:firstLine="411" w:firstLineChars="196"/>
        <w:rPr>
          <w:color w:val="auto"/>
        </w:rPr>
      </w:pPr>
      <w:r>
        <w:rPr>
          <w:color w:val="auto"/>
        </w:rPr>
        <w:t>3.</w:t>
      </w:r>
      <w:r>
        <w:rPr>
          <w:rFonts w:hint="eastAsia" w:ascii="宋体" w:hAnsi="宋体"/>
          <w:color w:val="auto"/>
        </w:rPr>
        <w:t xml:space="preserve"> </w:t>
      </w:r>
      <w:r>
        <w:rPr>
          <w:rFonts w:ascii="宋体" w:hAnsi="宋体"/>
          <w:color w:val="auto"/>
        </w:rPr>
        <w:t>工程立项批准文号：</w:t>
      </w:r>
      <w:r>
        <w:rPr>
          <w:rFonts w:hint="eastAsia" w:ascii="宋体" w:hAnsi="宋体"/>
          <w:color w:val="auto"/>
          <w:u w:val="single"/>
        </w:rPr>
        <w:t xml:space="preserve">                  </w:t>
      </w:r>
      <w:r>
        <w:rPr>
          <w:rFonts w:ascii="宋体" w:hAnsi="宋体"/>
          <w:color w:val="auto"/>
        </w:rPr>
        <w:t>。</w:t>
      </w:r>
    </w:p>
    <w:p w14:paraId="3FF9F6D9">
      <w:pPr>
        <w:pStyle w:val="159"/>
        <w:spacing w:line="360" w:lineRule="auto"/>
        <w:ind w:firstLine="411" w:firstLineChars="196"/>
        <w:rPr>
          <w:color w:val="auto"/>
        </w:rPr>
      </w:pPr>
      <w:r>
        <w:rPr>
          <w:color w:val="auto"/>
        </w:rPr>
        <w:t>4.</w:t>
      </w:r>
      <w:r>
        <w:rPr>
          <w:rFonts w:hint="eastAsia" w:ascii="宋体" w:hAnsi="宋体"/>
          <w:color w:val="auto"/>
        </w:rPr>
        <w:t xml:space="preserve"> </w:t>
      </w:r>
      <w:r>
        <w:rPr>
          <w:rFonts w:ascii="宋体" w:hAnsi="宋体"/>
          <w:color w:val="auto"/>
        </w:rPr>
        <w:t>资金来源：</w:t>
      </w:r>
      <w:r>
        <w:rPr>
          <w:rFonts w:hint="eastAsia" w:ascii="宋体" w:hAnsi="宋体"/>
          <w:color w:val="auto"/>
          <w:u w:val="single"/>
        </w:rPr>
        <w:t xml:space="preserve">         </w:t>
      </w:r>
      <w:r>
        <w:rPr>
          <w:rFonts w:ascii="宋体" w:hAnsi="宋体"/>
          <w:color w:val="auto"/>
        </w:rPr>
        <w:t>。</w:t>
      </w:r>
    </w:p>
    <w:p w14:paraId="7BFCA4AF">
      <w:pPr>
        <w:pStyle w:val="159"/>
        <w:spacing w:line="360" w:lineRule="auto"/>
        <w:ind w:firstLine="411" w:firstLineChars="196"/>
        <w:rPr>
          <w:color w:val="auto"/>
          <w:u w:val="single"/>
        </w:rPr>
      </w:pPr>
      <w:r>
        <w:rPr>
          <w:color w:val="auto"/>
        </w:rPr>
        <w:t>5.</w:t>
      </w:r>
      <w:r>
        <w:rPr>
          <w:rFonts w:hint="eastAsia" w:ascii="宋体" w:hAnsi="宋体"/>
          <w:color w:val="auto"/>
        </w:rPr>
        <w:t xml:space="preserve"> </w:t>
      </w:r>
      <w:r>
        <w:rPr>
          <w:rFonts w:ascii="宋体" w:hAnsi="宋体"/>
          <w:color w:val="auto"/>
        </w:rPr>
        <w:t>工程内容：</w:t>
      </w:r>
      <w:r>
        <w:rPr>
          <w:rFonts w:hint="eastAsia"/>
          <w:color w:val="auto"/>
          <w:u w:val="single"/>
        </w:rPr>
        <w:t xml:space="preserve">                                         </w:t>
      </w:r>
      <w:r>
        <w:rPr>
          <w:rFonts w:hint="eastAsia"/>
          <w:color w:val="auto"/>
        </w:rPr>
        <w:t>。</w:t>
      </w:r>
    </w:p>
    <w:p w14:paraId="3354B152">
      <w:pPr>
        <w:pStyle w:val="159"/>
        <w:spacing w:line="360" w:lineRule="auto"/>
        <w:ind w:firstLine="411" w:firstLineChars="196"/>
        <w:rPr>
          <w:color w:val="auto"/>
        </w:rPr>
      </w:pPr>
      <w:r>
        <w:rPr>
          <w:rFonts w:ascii="宋体" w:hAnsi="宋体"/>
          <w:color w:val="auto"/>
        </w:rPr>
        <w:t>群体工程应附《承包人承揽工程项目一览表》（附件</w:t>
      </w:r>
      <w:r>
        <w:rPr>
          <w:color w:val="auto"/>
        </w:rPr>
        <w:t>1</w:t>
      </w:r>
      <w:r>
        <w:rPr>
          <w:rFonts w:ascii="宋体" w:hAnsi="宋体"/>
          <w:color w:val="auto"/>
        </w:rPr>
        <w:t>）。</w:t>
      </w:r>
    </w:p>
    <w:p w14:paraId="525CB046">
      <w:pPr>
        <w:pStyle w:val="159"/>
        <w:spacing w:line="360" w:lineRule="auto"/>
        <w:ind w:firstLine="411" w:firstLineChars="196"/>
        <w:rPr>
          <w:rFonts w:hAnsi="宋体"/>
          <w:color w:val="auto"/>
          <w:u w:val="single"/>
        </w:rPr>
      </w:pPr>
      <w:bookmarkStart w:id="171" w:name="_Toc525396156"/>
      <w:r>
        <w:rPr>
          <w:rFonts w:ascii="宋体" w:hAnsi="宋体"/>
          <w:color w:val="auto"/>
        </w:rPr>
        <w:t>6.</w:t>
      </w:r>
      <w:r>
        <w:rPr>
          <w:rFonts w:hint="eastAsia" w:ascii="宋体" w:hAnsi="宋体"/>
          <w:color w:val="auto"/>
        </w:rPr>
        <w:t xml:space="preserve"> </w:t>
      </w:r>
      <w:r>
        <w:rPr>
          <w:rFonts w:ascii="宋体" w:hAnsi="宋体"/>
          <w:color w:val="auto"/>
        </w:rPr>
        <w:t>工程承包范围：</w:t>
      </w:r>
      <w:bookmarkEnd w:id="171"/>
      <w:r>
        <w:rPr>
          <w:rFonts w:hint="eastAsia"/>
          <w:color w:val="auto"/>
          <w:u w:val="single"/>
        </w:rPr>
        <w:t xml:space="preserve">                                         </w:t>
      </w:r>
      <w:r>
        <w:rPr>
          <w:rFonts w:hint="eastAsia"/>
          <w:color w:val="auto"/>
        </w:rPr>
        <w:t>。</w:t>
      </w:r>
    </w:p>
    <w:p w14:paraId="39BDE1D7">
      <w:pPr>
        <w:pStyle w:val="159"/>
        <w:spacing w:line="360" w:lineRule="auto"/>
        <w:ind w:firstLine="405" w:firstLineChars="193"/>
        <w:rPr>
          <w:rFonts w:hAnsi="宋体"/>
          <w:color w:val="auto"/>
        </w:rPr>
      </w:pPr>
      <w:r>
        <w:rPr>
          <w:rFonts w:hint="eastAsia" w:ascii="宋体" w:hAnsi="宋体"/>
          <w:color w:val="auto"/>
        </w:rPr>
        <w:t>承包方式：</w:t>
      </w:r>
      <w:r>
        <w:rPr>
          <w:rFonts w:hint="eastAsia" w:ascii="宋体" w:hAnsi="宋体"/>
          <w:color w:val="auto"/>
          <w:u w:val="single"/>
        </w:rPr>
        <w:t>包工包料</w:t>
      </w:r>
      <w:r>
        <w:rPr>
          <w:rFonts w:hint="eastAsia" w:ascii="宋体" w:hAnsi="宋体"/>
          <w:color w:val="auto"/>
        </w:rPr>
        <w:t>。</w:t>
      </w:r>
    </w:p>
    <w:p w14:paraId="5C824093">
      <w:pPr>
        <w:pStyle w:val="159"/>
        <w:spacing w:line="360" w:lineRule="auto"/>
        <w:ind w:firstLine="407" w:firstLineChars="193"/>
        <w:outlineLvl w:val="0"/>
        <w:rPr>
          <w:rFonts w:hAnsi="宋 体"/>
          <w:b/>
          <w:bCs/>
          <w:color w:val="auto"/>
        </w:rPr>
      </w:pPr>
      <w:bookmarkStart w:id="172" w:name="_Toc21455"/>
      <w:bookmarkStart w:id="173" w:name="_Toc17245"/>
      <w:bookmarkStart w:id="174" w:name="_Toc525396157"/>
      <w:bookmarkStart w:id="175" w:name="_Toc22248"/>
      <w:bookmarkStart w:id="176" w:name="_Toc22009"/>
      <w:bookmarkStart w:id="177" w:name="_Toc13299"/>
      <w:bookmarkStart w:id="178" w:name="_Toc16897"/>
      <w:r>
        <w:rPr>
          <w:rFonts w:ascii="宋体" w:hAnsi="宋体"/>
          <w:b/>
          <w:bCs/>
          <w:color w:val="auto"/>
        </w:rPr>
        <w:t>二、合同工期</w:t>
      </w:r>
      <w:bookmarkEnd w:id="172"/>
      <w:bookmarkEnd w:id="173"/>
      <w:bookmarkEnd w:id="174"/>
      <w:bookmarkEnd w:id="175"/>
      <w:bookmarkEnd w:id="176"/>
      <w:bookmarkEnd w:id="177"/>
      <w:bookmarkEnd w:id="178"/>
    </w:p>
    <w:p w14:paraId="76634D56">
      <w:pPr>
        <w:pStyle w:val="159"/>
        <w:spacing w:line="360" w:lineRule="auto"/>
        <w:ind w:firstLine="459"/>
        <w:rPr>
          <w:color w:val="auto"/>
        </w:rPr>
      </w:pPr>
      <w:r>
        <w:rPr>
          <w:rFonts w:ascii="宋体" w:hAnsi="宋体"/>
          <w:color w:val="auto"/>
        </w:rPr>
        <w:t>计划开工日期：</w:t>
      </w:r>
      <w:r>
        <w:rPr>
          <w:rFonts w:hint="eastAsia" w:ascii="宋体" w:hAnsi="宋体"/>
          <w:color w:val="auto"/>
          <w:u w:val="single"/>
        </w:rPr>
        <w:t xml:space="preserve">     </w:t>
      </w:r>
      <w:r>
        <w:rPr>
          <w:rFonts w:ascii="宋体" w:hAnsi="宋体"/>
          <w:color w:val="auto"/>
        </w:rPr>
        <w:t>年</w:t>
      </w:r>
      <w:r>
        <w:rPr>
          <w:rFonts w:hint="eastAsia" w:ascii="宋体" w:hAnsi="宋体"/>
          <w:color w:val="auto"/>
          <w:u w:val="single"/>
        </w:rPr>
        <w:t xml:space="preserve">   </w:t>
      </w:r>
      <w:r>
        <w:rPr>
          <w:rFonts w:ascii="宋体" w:hAnsi="宋体"/>
          <w:color w:val="auto"/>
        </w:rPr>
        <w:t>月</w:t>
      </w:r>
      <w:r>
        <w:rPr>
          <w:rFonts w:hint="eastAsia" w:ascii="宋体" w:hAnsi="宋体"/>
          <w:color w:val="auto"/>
          <w:u w:val="single"/>
        </w:rPr>
        <w:t xml:space="preserve">    </w:t>
      </w:r>
      <w:r>
        <w:rPr>
          <w:rFonts w:ascii="宋体" w:hAnsi="宋体"/>
          <w:color w:val="auto"/>
        </w:rPr>
        <w:t>日</w:t>
      </w:r>
      <w:r>
        <w:rPr>
          <w:rFonts w:hint="eastAsia" w:ascii="宋体" w:hAnsi="宋体"/>
          <w:color w:val="auto"/>
        </w:rPr>
        <w:t>，但实际开工日期应以本工程具备开工条件后，总监理工程师签发的正式开工报告（或以业主书面通知入场）为准</w:t>
      </w:r>
      <w:r>
        <w:rPr>
          <w:rFonts w:ascii="宋体" w:hAnsi="宋体"/>
          <w:color w:val="auto"/>
        </w:rPr>
        <w:t>。</w:t>
      </w:r>
    </w:p>
    <w:p w14:paraId="5423755E">
      <w:pPr>
        <w:pStyle w:val="159"/>
        <w:spacing w:line="360" w:lineRule="auto"/>
        <w:ind w:firstLine="459"/>
        <w:rPr>
          <w:color w:val="auto"/>
        </w:rPr>
      </w:pPr>
      <w:r>
        <w:rPr>
          <w:rFonts w:ascii="宋体" w:hAnsi="宋体"/>
          <w:color w:val="auto"/>
        </w:rPr>
        <w:t>计划竣工日期：</w:t>
      </w:r>
      <w:r>
        <w:rPr>
          <w:rFonts w:hint="eastAsia" w:ascii="宋体" w:hAnsi="宋体"/>
          <w:color w:val="auto"/>
          <w:u w:val="single"/>
        </w:rPr>
        <w:t xml:space="preserve">     </w:t>
      </w:r>
      <w:r>
        <w:rPr>
          <w:rFonts w:ascii="宋体" w:hAnsi="宋体"/>
          <w:color w:val="auto"/>
        </w:rPr>
        <w:t>年</w:t>
      </w:r>
      <w:r>
        <w:rPr>
          <w:rFonts w:hint="eastAsia" w:ascii="宋体" w:hAnsi="宋体"/>
          <w:color w:val="auto"/>
          <w:u w:val="single"/>
        </w:rPr>
        <w:t xml:space="preserve">  </w:t>
      </w:r>
      <w:r>
        <w:rPr>
          <w:rFonts w:ascii="宋体" w:hAnsi="宋体"/>
          <w:color w:val="auto"/>
        </w:rPr>
        <w:t>月</w:t>
      </w:r>
      <w:r>
        <w:rPr>
          <w:rFonts w:hint="eastAsia" w:ascii="宋体" w:hAnsi="宋体"/>
          <w:color w:val="auto"/>
          <w:u w:val="single"/>
        </w:rPr>
        <w:t xml:space="preserve">   </w:t>
      </w:r>
      <w:r>
        <w:rPr>
          <w:rFonts w:ascii="宋体" w:hAnsi="宋体"/>
          <w:color w:val="auto"/>
        </w:rPr>
        <w:t>日</w:t>
      </w:r>
      <w:r>
        <w:rPr>
          <w:rFonts w:hint="eastAsia" w:ascii="宋体" w:hAnsi="宋体"/>
          <w:color w:val="auto"/>
        </w:rPr>
        <w:t>，实际竣工日期应以通过竣工验收的日期为准</w:t>
      </w:r>
      <w:r>
        <w:rPr>
          <w:rFonts w:ascii="宋体" w:hAnsi="宋体"/>
          <w:color w:val="auto"/>
        </w:rPr>
        <w:t>。</w:t>
      </w:r>
    </w:p>
    <w:p w14:paraId="1FDDD81A">
      <w:pPr>
        <w:pStyle w:val="159"/>
        <w:spacing w:line="360" w:lineRule="auto"/>
        <w:ind w:firstLine="459"/>
        <w:rPr>
          <w:rFonts w:ascii="宋体" w:hAnsi="宋体"/>
          <w:color w:val="auto"/>
        </w:rPr>
      </w:pPr>
      <w:r>
        <w:rPr>
          <w:rFonts w:ascii="宋体" w:hAnsi="宋体"/>
          <w:color w:val="auto"/>
        </w:rPr>
        <w:t>工期总日历天数：</w:t>
      </w:r>
      <w:r>
        <w:rPr>
          <w:rFonts w:hint="eastAsia" w:ascii="宋体" w:hAnsi="宋体"/>
          <w:color w:val="auto"/>
          <w:u w:val="single"/>
        </w:rPr>
        <w:t xml:space="preserve">     </w:t>
      </w:r>
      <w:r>
        <w:rPr>
          <w:rFonts w:hint="eastAsia" w:ascii="宋体" w:hAnsi="宋体"/>
          <w:color w:val="auto"/>
        </w:rPr>
        <w:t>天，自监理人发出的开工通知中载明的开工日期起算</w:t>
      </w:r>
      <w:r>
        <w:rPr>
          <w:rFonts w:ascii="宋体" w:hAnsi="宋体"/>
          <w:color w:val="auto"/>
        </w:rPr>
        <w:t>。工期总日历天数与根据前述计划开竣工日期计算的工期天数不一致的，以工期总日历天数为准。</w:t>
      </w:r>
    </w:p>
    <w:p w14:paraId="5FE164FB">
      <w:pPr>
        <w:pStyle w:val="159"/>
        <w:spacing w:line="360" w:lineRule="auto"/>
        <w:ind w:firstLine="459"/>
        <w:outlineLvl w:val="0"/>
        <w:rPr>
          <w:rFonts w:hAnsi="宋 体"/>
          <w:b/>
          <w:bCs/>
          <w:color w:val="auto"/>
        </w:rPr>
      </w:pPr>
      <w:bookmarkStart w:id="179" w:name="_Toc10038"/>
      <w:bookmarkStart w:id="180" w:name="_Toc11332"/>
      <w:bookmarkStart w:id="181" w:name="_Toc16552"/>
      <w:bookmarkStart w:id="182" w:name="_Toc525396158"/>
      <w:bookmarkStart w:id="183" w:name="_Toc30908"/>
      <w:bookmarkStart w:id="184" w:name="_Toc2951"/>
      <w:bookmarkStart w:id="185" w:name="_Toc13096"/>
      <w:r>
        <w:rPr>
          <w:rFonts w:ascii="宋体" w:hAnsi="宋体"/>
          <w:b/>
          <w:bCs/>
          <w:color w:val="auto"/>
        </w:rPr>
        <w:t>三、质量标准</w:t>
      </w:r>
      <w:bookmarkEnd w:id="179"/>
      <w:bookmarkEnd w:id="180"/>
      <w:bookmarkEnd w:id="181"/>
      <w:bookmarkEnd w:id="182"/>
      <w:bookmarkEnd w:id="183"/>
      <w:bookmarkEnd w:id="184"/>
      <w:bookmarkEnd w:id="185"/>
    </w:p>
    <w:p w14:paraId="750C95AB">
      <w:pPr>
        <w:pStyle w:val="159"/>
        <w:spacing w:line="360" w:lineRule="auto"/>
        <w:ind w:firstLine="459"/>
        <w:rPr>
          <w:rFonts w:hAnsi="宋体"/>
          <w:color w:val="auto"/>
        </w:rPr>
      </w:pPr>
      <w:r>
        <w:rPr>
          <w:rFonts w:ascii="宋体" w:hAnsi="宋体"/>
          <w:color w:val="auto"/>
        </w:rPr>
        <w:t>工程质量符合</w:t>
      </w:r>
      <w:r>
        <w:rPr>
          <w:rFonts w:hint="eastAsia" w:ascii="宋体" w:hAnsi="宋体"/>
          <w:color w:val="auto"/>
          <w:u w:val="single"/>
        </w:rPr>
        <w:t>现行国家施工验收规范合格</w:t>
      </w:r>
      <w:r>
        <w:rPr>
          <w:rFonts w:ascii="宋体" w:hAnsi="宋体"/>
          <w:color w:val="auto"/>
        </w:rPr>
        <w:t>标准。</w:t>
      </w:r>
    </w:p>
    <w:p w14:paraId="7B76124D">
      <w:pPr>
        <w:pStyle w:val="159"/>
        <w:spacing w:line="360" w:lineRule="auto"/>
        <w:ind w:firstLine="459"/>
        <w:outlineLvl w:val="0"/>
        <w:rPr>
          <w:rFonts w:hAnsi="宋体"/>
          <w:b/>
          <w:bCs/>
          <w:color w:val="auto"/>
        </w:rPr>
      </w:pPr>
      <w:bookmarkStart w:id="186" w:name="_Toc6560"/>
      <w:bookmarkStart w:id="187" w:name="_Toc18108"/>
      <w:bookmarkStart w:id="188" w:name="_Toc4714"/>
      <w:bookmarkStart w:id="189" w:name="_Toc15379"/>
      <w:bookmarkStart w:id="190" w:name="_Toc525396159"/>
      <w:bookmarkStart w:id="191" w:name="_Toc29805"/>
      <w:bookmarkStart w:id="192" w:name="_Toc18722"/>
      <w:r>
        <w:rPr>
          <w:rFonts w:ascii="宋体" w:hAnsi="宋体"/>
          <w:b/>
          <w:bCs/>
          <w:color w:val="auto"/>
        </w:rPr>
        <w:t>四、签约合同价与合同价格形式</w:t>
      </w:r>
      <w:bookmarkEnd w:id="186"/>
      <w:bookmarkEnd w:id="187"/>
      <w:bookmarkEnd w:id="188"/>
      <w:bookmarkEnd w:id="189"/>
      <w:bookmarkEnd w:id="190"/>
      <w:bookmarkEnd w:id="191"/>
      <w:bookmarkEnd w:id="192"/>
    </w:p>
    <w:p w14:paraId="066A1F87">
      <w:pPr>
        <w:pStyle w:val="159"/>
        <w:spacing w:line="360" w:lineRule="auto"/>
        <w:ind w:firstLine="459"/>
        <w:rPr>
          <w:rFonts w:hAnsi="宋 体"/>
          <w:color w:val="auto"/>
        </w:rPr>
      </w:pPr>
      <w:r>
        <w:rPr>
          <w:color w:val="auto"/>
        </w:rPr>
        <w:t>1.</w:t>
      </w:r>
      <w:r>
        <w:rPr>
          <w:rFonts w:hint="eastAsia" w:ascii="宋体" w:hAnsi="宋体"/>
          <w:color w:val="auto"/>
        </w:rPr>
        <w:t xml:space="preserve"> </w:t>
      </w:r>
      <w:r>
        <w:rPr>
          <w:rFonts w:ascii="宋体" w:hAnsi="宋体"/>
          <w:color w:val="auto"/>
        </w:rPr>
        <w:t>签约合同价为：</w:t>
      </w:r>
    </w:p>
    <w:p w14:paraId="61CAF6DE">
      <w:pPr>
        <w:pStyle w:val="159"/>
        <w:spacing w:line="360" w:lineRule="auto"/>
        <w:ind w:firstLine="525" w:firstLineChars="250"/>
        <w:rPr>
          <w:rFonts w:hAnsi="宋体"/>
          <w:color w:val="auto"/>
        </w:rPr>
      </w:pPr>
      <w:r>
        <w:rPr>
          <w:rFonts w:ascii="宋体" w:hAnsi="宋体"/>
          <w:color w:val="auto"/>
        </w:rPr>
        <w:t>人民币（大写）</w:t>
      </w:r>
      <w:r>
        <w:rPr>
          <w:color w:val="auto"/>
          <w:u w:val="single"/>
        </w:rPr>
        <w:t xml:space="preserve">                 </w:t>
      </w:r>
      <w:r>
        <w:rPr>
          <w:rFonts w:hint="eastAsia" w:ascii="宋体" w:hAnsi="宋体"/>
          <w:color w:val="auto"/>
        </w:rPr>
        <w:t>（</w:t>
      </w:r>
      <w:r>
        <w:rPr>
          <w:color w:val="auto"/>
        </w:rPr>
        <w:t>¥</w:t>
      </w:r>
      <w:r>
        <w:rPr>
          <w:color w:val="auto"/>
          <w:u w:val="single"/>
        </w:rPr>
        <w:t xml:space="preserve">            </w:t>
      </w:r>
      <w:r>
        <w:rPr>
          <w:rFonts w:ascii="宋体" w:hAnsi="宋体"/>
          <w:color w:val="auto"/>
        </w:rPr>
        <w:t>元</w:t>
      </w:r>
      <w:r>
        <w:rPr>
          <w:rFonts w:hint="eastAsia" w:ascii="宋体" w:hAnsi="宋体"/>
          <w:color w:val="auto"/>
        </w:rPr>
        <w:t>）</w:t>
      </w:r>
      <w:r>
        <w:rPr>
          <w:rFonts w:ascii="宋体" w:hAnsi="宋体"/>
          <w:color w:val="auto"/>
        </w:rPr>
        <w:t>；</w:t>
      </w:r>
    </w:p>
    <w:p w14:paraId="647F2ADD">
      <w:pPr>
        <w:pStyle w:val="159"/>
        <w:spacing w:line="360" w:lineRule="auto"/>
        <w:ind w:firstLine="525" w:firstLineChars="250"/>
        <w:rPr>
          <w:rFonts w:hAnsi="宋体"/>
          <w:color w:val="auto"/>
        </w:rPr>
      </w:pPr>
      <w:r>
        <w:rPr>
          <w:rFonts w:ascii="宋体" w:hAnsi="宋体"/>
          <w:color w:val="auto"/>
        </w:rPr>
        <w:t>其中：</w:t>
      </w:r>
    </w:p>
    <w:p w14:paraId="7BF565EA">
      <w:pPr>
        <w:pStyle w:val="159"/>
        <w:spacing w:line="360" w:lineRule="auto"/>
        <w:ind w:firstLine="420" w:firstLineChars="200"/>
        <w:rPr>
          <w:rFonts w:hAnsi="宋 体"/>
          <w:color w:val="auto"/>
        </w:rPr>
      </w:pPr>
      <w:r>
        <w:rPr>
          <w:rFonts w:hint="eastAsia" w:ascii="宋体" w:hAnsi="宋体"/>
          <w:color w:val="auto"/>
        </w:rPr>
        <w:t>（1）</w:t>
      </w:r>
      <w:r>
        <w:rPr>
          <w:rFonts w:ascii="宋体" w:hAnsi="宋体"/>
          <w:color w:val="auto"/>
        </w:rPr>
        <w:t>安全文明施工费：</w:t>
      </w:r>
    </w:p>
    <w:p w14:paraId="0F6ED21C">
      <w:pPr>
        <w:pStyle w:val="159"/>
        <w:spacing w:line="360" w:lineRule="auto"/>
        <w:ind w:left="420" w:leftChars="200" w:firstLine="525" w:firstLineChars="250"/>
        <w:rPr>
          <w:rFonts w:ascii="宋体" w:hAnsi="宋体"/>
          <w:color w:val="auto"/>
        </w:rPr>
      </w:pPr>
      <w:r>
        <w:rPr>
          <w:rFonts w:ascii="宋体" w:hAnsi="宋体"/>
          <w:color w:val="auto"/>
        </w:rPr>
        <w:t>人民币（大写）</w:t>
      </w:r>
      <w:r>
        <w:rPr>
          <w:color w:val="auto"/>
          <w:u w:val="single"/>
        </w:rPr>
        <w:t xml:space="preserve">              </w:t>
      </w:r>
      <w:r>
        <w:rPr>
          <w:color w:val="auto"/>
        </w:rPr>
        <w:t xml:space="preserve"> </w:t>
      </w:r>
      <w:r>
        <w:rPr>
          <w:rFonts w:hint="eastAsia" w:ascii="宋体" w:hAnsi="宋体"/>
          <w:color w:val="auto"/>
        </w:rPr>
        <w:t>（</w:t>
      </w:r>
      <w:r>
        <w:rPr>
          <w:color w:val="auto"/>
        </w:rPr>
        <w:t>¥</w:t>
      </w:r>
      <w:r>
        <w:rPr>
          <w:color w:val="auto"/>
          <w:u w:val="single"/>
        </w:rPr>
        <w:t xml:space="preserve">          </w:t>
      </w:r>
      <w:r>
        <w:rPr>
          <w:rFonts w:ascii="宋体" w:hAnsi="宋体"/>
          <w:color w:val="auto"/>
        </w:rPr>
        <w:t>元</w:t>
      </w:r>
      <w:r>
        <w:rPr>
          <w:rFonts w:hint="eastAsia" w:ascii="宋体" w:hAnsi="宋体"/>
          <w:color w:val="auto"/>
        </w:rPr>
        <w:t>）</w:t>
      </w:r>
      <w:r>
        <w:rPr>
          <w:rFonts w:ascii="宋体" w:hAnsi="宋体"/>
          <w:color w:val="auto"/>
        </w:rPr>
        <w:t>；</w:t>
      </w:r>
    </w:p>
    <w:p w14:paraId="0D01C171">
      <w:pPr>
        <w:pStyle w:val="159"/>
        <w:spacing w:line="360" w:lineRule="auto"/>
        <w:ind w:firstLine="420" w:firstLineChars="200"/>
        <w:rPr>
          <w:rFonts w:ascii="宋 体" w:hAnsi="宋体"/>
          <w:color w:val="auto"/>
        </w:rPr>
      </w:pPr>
      <w:r>
        <w:rPr>
          <w:rFonts w:ascii="宋体" w:hAnsi="宋体"/>
          <w:color w:val="auto"/>
        </w:rPr>
        <w:t>（</w:t>
      </w:r>
      <w:r>
        <w:rPr>
          <w:color w:val="auto"/>
        </w:rPr>
        <w:t>2</w:t>
      </w:r>
      <w:r>
        <w:rPr>
          <w:rFonts w:ascii="宋体" w:hAnsi="宋体"/>
          <w:color w:val="auto"/>
        </w:rPr>
        <w:t>）建安劳保费：</w:t>
      </w:r>
    </w:p>
    <w:p w14:paraId="4EA28125">
      <w:pPr>
        <w:pStyle w:val="159"/>
        <w:spacing w:line="360" w:lineRule="auto"/>
        <w:ind w:left="420" w:leftChars="200" w:firstLine="525" w:firstLineChars="250"/>
        <w:rPr>
          <w:rFonts w:ascii="宋体" w:hAnsi="宋体"/>
          <w:color w:val="auto"/>
        </w:rPr>
      </w:pPr>
      <w:r>
        <w:rPr>
          <w:rFonts w:ascii="宋体" w:hAnsi="宋体"/>
          <w:color w:val="auto"/>
        </w:rPr>
        <w:t>人民币（大写）</w:t>
      </w:r>
      <w:r>
        <w:rPr>
          <w:color w:val="auto"/>
          <w:u w:val="single"/>
        </w:rPr>
        <w:t xml:space="preserve">              </w:t>
      </w:r>
      <w:r>
        <w:rPr>
          <w:color w:val="auto"/>
        </w:rPr>
        <w:t xml:space="preserve"> </w:t>
      </w:r>
      <w:r>
        <w:rPr>
          <w:rFonts w:hint="eastAsia" w:ascii="宋体" w:hAnsi="宋体"/>
          <w:color w:val="auto"/>
        </w:rPr>
        <w:t>（</w:t>
      </w:r>
      <w:r>
        <w:rPr>
          <w:color w:val="auto"/>
        </w:rPr>
        <w:t>¥</w:t>
      </w:r>
      <w:r>
        <w:rPr>
          <w:color w:val="auto"/>
          <w:u w:val="single"/>
        </w:rPr>
        <w:t xml:space="preserve">          </w:t>
      </w:r>
      <w:r>
        <w:rPr>
          <w:rFonts w:ascii="宋体" w:hAnsi="宋体"/>
          <w:color w:val="auto"/>
        </w:rPr>
        <w:t>元</w:t>
      </w:r>
      <w:r>
        <w:rPr>
          <w:rFonts w:hint="eastAsia" w:ascii="宋体" w:hAnsi="宋体"/>
          <w:color w:val="auto"/>
        </w:rPr>
        <w:t>）</w:t>
      </w:r>
      <w:r>
        <w:rPr>
          <w:rFonts w:ascii="宋体" w:hAnsi="宋体"/>
          <w:color w:val="auto"/>
        </w:rPr>
        <w:t>；</w:t>
      </w:r>
    </w:p>
    <w:p w14:paraId="0F5ADF21">
      <w:pPr>
        <w:pStyle w:val="159"/>
        <w:spacing w:line="360" w:lineRule="auto"/>
        <w:ind w:firstLine="420" w:firstLineChars="200"/>
        <w:rPr>
          <w:rFonts w:ascii="宋 体" w:hAnsi="宋 体"/>
          <w:color w:val="auto"/>
        </w:rPr>
      </w:pPr>
      <w:r>
        <w:rPr>
          <w:rFonts w:ascii="宋体" w:hAnsi="宋体"/>
          <w:color w:val="auto"/>
        </w:rPr>
        <w:t>（</w:t>
      </w:r>
      <w:r>
        <w:rPr>
          <w:color w:val="auto"/>
        </w:rPr>
        <w:t>3</w:t>
      </w:r>
      <w:r>
        <w:rPr>
          <w:rFonts w:ascii="宋体" w:hAnsi="宋体"/>
          <w:color w:val="auto"/>
        </w:rPr>
        <w:t>）材料和工程设备暂估价金额：</w:t>
      </w:r>
    </w:p>
    <w:p w14:paraId="244297C7">
      <w:pPr>
        <w:pStyle w:val="159"/>
        <w:spacing w:line="360" w:lineRule="auto"/>
        <w:ind w:firstLine="945" w:firstLineChars="450"/>
        <w:rPr>
          <w:rFonts w:ascii="宋体" w:hAnsi="宋体"/>
          <w:color w:val="auto"/>
        </w:rPr>
      </w:pPr>
      <w:r>
        <w:rPr>
          <w:rFonts w:ascii="宋体" w:hAnsi="宋体"/>
          <w:color w:val="auto"/>
        </w:rPr>
        <w:t>人民币（大写）</w:t>
      </w:r>
      <w:r>
        <w:rPr>
          <w:color w:val="auto"/>
          <w:u w:val="single"/>
        </w:rPr>
        <w:t xml:space="preserve">              </w:t>
      </w:r>
      <w:r>
        <w:rPr>
          <w:color w:val="auto"/>
        </w:rPr>
        <w:t xml:space="preserve"> </w:t>
      </w:r>
      <w:r>
        <w:rPr>
          <w:rFonts w:hint="eastAsia" w:ascii="宋体" w:hAnsi="宋体"/>
          <w:color w:val="auto"/>
        </w:rPr>
        <w:t>（</w:t>
      </w:r>
      <w:r>
        <w:rPr>
          <w:color w:val="auto"/>
        </w:rPr>
        <w:t>¥</w:t>
      </w:r>
      <w:r>
        <w:rPr>
          <w:color w:val="auto"/>
          <w:u w:val="single"/>
        </w:rPr>
        <w:t xml:space="preserve">          </w:t>
      </w:r>
      <w:r>
        <w:rPr>
          <w:rFonts w:ascii="宋体" w:hAnsi="宋体"/>
          <w:color w:val="auto"/>
        </w:rPr>
        <w:t>元</w:t>
      </w:r>
      <w:r>
        <w:rPr>
          <w:rFonts w:hint="eastAsia" w:ascii="宋体" w:hAnsi="宋体"/>
          <w:color w:val="auto"/>
        </w:rPr>
        <w:t>）</w:t>
      </w:r>
      <w:r>
        <w:rPr>
          <w:rFonts w:ascii="宋体" w:hAnsi="宋体"/>
          <w:color w:val="auto"/>
        </w:rPr>
        <w:t>；</w:t>
      </w:r>
    </w:p>
    <w:p w14:paraId="13D86804">
      <w:pPr>
        <w:pStyle w:val="159"/>
        <w:spacing w:line="360" w:lineRule="auto"/>
        <w:ind w:firstLine="420" w:firstLineChars="200"/>
        <w:rPr>
          <w:rFonts w:ascii="宋 体" w:hAnsi="宋 体"/>
          <w:color w:val="auto"/>
        </w:rPr>
      </w:pPr>
      <w:r>
        <w:rPr>
          <w:rFonts w:ascii="宋体" w:hAnsi="宋体"/>
          <w:color w:val="auto"/>
        </w:rPr>
        <w:t>（</w:t>
      </w:r>
      <w:r>
        <w:rPr>
          <w:color w:val="auto"/>
        </w:rPr>
        <w:t>4</w:t>
      </w:r>
      <w:r>
        <w:rPr>
          <w:rFonts w:ascii="宋体" w:hAnsi="宋体"/>
          <w:color w:val="auto"/>
        </w:rPr>
        <w:t>）专业工程暂估价金额：</w:t>
      </w:r>
    </w:p>
    <w:p w14:paraId="11A57BD7">
      <w:pPr>
        <w:pStyle w:val="159"/>
        <w:spacing w:line="360" w:lineRule="auto"/>
        <w:ind w:firstLine="945" w:firstLineChars="450"/>
        <w:rPr>
          <w:rFonts w:ascii="宋体" w:hAnsi="宋体"/>
          <w:color w:val="auto"/>
        </w:rPr>
      </w:pPr>
      <w:r>
        <w:rPr>
          <w:rFonts w:ascii="宋体" w:hAnsi="宋体"/>
          <w:color w:val="auto"/>
        </w:rPr>
        <w:t>人民币（大写）</w:t>
      </w:r>
      <w:r>
        <w:rPr>
          <w:color w:val="auto"/>
          <w:u w:val="single"/>
        </w:rPr>
        <w:t xml:space="preserve">              </w:t>
      </w:r>
      <w:r>
        <w:rPr>
          <w:color w:val="auto"/>
        </w:rPr>
        <w:t xml:space="preserve"> </w:t>
      </w:r>
      <w:r>
        <w:rPr>
          <w:rFonts w:hint="eastAsia" w:ascii="宋体" w:hAnsi="宋体"/>
          <w:color w:val="auto"/>
        </w:rPr>
        <w:t>（</w:t>
      </w:r>
      <w:r>
        <w:rPr>
          <w:color w:val="auto"/>
        </w:rPr>
        <w:t>¥</w:t>
      </w:r>
      <w:r>
        <w:rPr>
          <w:color w:val="auto"/>
          <w:u w:val="single"/>
        </w:rPr>
        <w:t xml:space="preserve">          </w:t>
      </w:r>
      <w:r>
        <w:rPr>
          <w:rFonts w:ascii="宋体" w:hAnsi="宋体"/>
          <w:color w:val="auto"/>
        </w:rPr>
        <w:t>元</w:t>
      </w:r>
      <w:r>
        <w:rPr>
          <w:rFonts w:hint="eastAsia" w:ascii="宋体" w:hAnsi="宋体"/>
          <w:color w:val="auto"/>
        </w:rPr>
        <w:t>）</w:t>
      </w:r>
      <w:r>
        <w:rPr>
          <w:rFonts w:ascii="宋体" w:hAnsi="宋体"/>
          <w:color w:val="auto"/>
        </w:rPr>
        <w:t>；</w:t>
      </w:r>
    </w:p>
    <w:p w14:paraId="2E1CAC7B">
      <w:pPr>
        <w:pStyle w:val="159"/>
        <w:spacing w:line="360" w:lineRule="auto"/>
        <w:ind w:firstLine="420" w:firstLineChars="200"/>
        <w:rPr>
          <w:rFonts w:ascii="宋 体" w:hAnsi="宋 体"/>
          <w:color w:val="auto"/>
        </w:rPr>
      </w:pPr>
      <w:r>
        <w:rPr>
          <w:rFonts w:ascii="宋体" w:hAnsi="宋体"/>
          <w:color w:val="auto"/>
        </w:rPr>
        <w:t>（</w:t>
      </w:r>
      <w:r>
        <w:rPr>
          <w:color w:val="auto"/>
        </w:rPr>
        <w:t>5</w:t>
      </w:r>
      <w:r>
        <w:rPr>
          <w:rFonts w:ascii="宋体" w:hAnsi="宋体"/>
          <w:color w:val="auto"/>
        </w:rPr>
        <w:t>）暂列金额：</w:t>
      </w:r>
    </w:p>
    <w:p w14:paraId="7B9FA8DD">
      <w:pPr>
        <w:pStyle w:val="159"/>
        <w:spacing w:line="360" w:lineRule="auto"/>
        <w:ind w:firstLine="945" w:firstLineChars="450"/>
        <w:rPr>
          <w:rFonts w:ascii="宋体" w:hAnsi="宋体"/>
          <w:color w:val="auto"/>
        </w:rPr>
      </w:pPr>
      <w:r>
        <w:rPr>
          <w:rFonts w:ascii="宋体" w:hAnsi="宋体"/>
          <w:color w:val="auto"/>
        </w:rPr>
        <w:t>人民币（大写）</w:t>
      </w:r>
      <w:r>
        <w:rPr>
          <w:color w:val="auto"/>
          <w:u w:val="single"/>
        </w:rPr>
        <w:t xml:space="preserve">              </w:t>
      </w:r>
      <w:r>
        <w:rPr>
          <w:color w:val="auto"/>
        </w:rPr>
        <w:t xml:space="preserve"> </w:t>
      </w:r>
      <w:r>
        <w:rPr>
          <w:rFonts w:hint="eastAsia" w:ascii="宋体" w:hAnsi="宋体"/>
          <w:color w:val="auto"/>
        </w:rPr>
        <w:t>（</w:t>
      </w:r>
      <w:r>
        <w:rPr>
          <w:color w:val="auto"/>
        </w:rPr>
        <w:t>¥</w:t>
      </w:r>
      <w:r>
        <w:rPr>
          <w:color w:val="auto"/>
          <w:u w:val="single"/>
        </w:rPr>
        <w:t xml:space="preserve">          </w:t>
      </w:r>
      <w:r>
        <w:rPr>
          <w:rFonts w:ascii="宋体" w:hAnsi="宋体"/>
          <w:color w:val="auto"/>
        </w:rPr>
        <w:t>元</w:t>
      </w:r>
      <w:r>
        <w:rPr>
          <w:rFonts w:hint="eastAsia" w:ascii="宋体" w:hAnsi="宋体"/>
          <w:color w:val="auto"/>
        </w:rPr>
        <w:t>）</w:t>
      </w:r>
      <w:r>
        <w:rPr>
          <w:rFonts w:ascii="宋体" w:hAnsi="宋体"/>
          <w:color w:val="auto"/>
        </w:rPr>
        <w:t>。</w:t>
      </w:r>
    </w:p>
    <w:p w14:paraId="7200B007">
      <w:pPr>
        <w:pStyle w:val="159"/>
        <w:spacing w:line="360" w:lineRule="auto"/>
        <w:ind w:firstLine="359" w:firstLineChars="171"/>
        <w:rPr>
          <w:rFonts w:ascii="宋 体" w:hAnsi="宋 体"/>
          <w:color w:val="auto"/>
        </w:rPr>
      </w:pPr>
      <w:r>
        <w:rPr>
          <w:rFonts w:ascii="宋体" w:hAnsi="宋体"/>
          <w:color w:val="auto"/>
        </w:rPr>
        <w:t>（</w:t>
      </w:r>
      <w:r>
        <w:rPr>
          <w:rFonts w:hAnsi="宋体"/>
          <w:color w:val="auto"/>
        </w:rPr>
        <w:t>6</w:t>
      </w:r>
      <w:r>
        <w:rPr>
          <w:rFonts w:ascii="宋体" w:hAnsi="宋体"/>
          <w:color w:val="auto"/>
        </w:rPr>
        <w:t>）</w:t>
      </w:r>
      <w:r>
        <w:rPr>
          <w:rFonts w:hint="eastAsia" w:ascii="宋体" w:hAnsi="宋体"/>
          <w:color w:val="auto"/>
        </w:rPr>
        <w:t>增值税额：</w:t>
      </w:r>
    </w:p>
    <w:p w14:paraId="7AB984C2">
      <w:pPr>
        <w:pStyle w:val="159"/>
        <w:spacing w:line="360" w:lineRule="auto"/>
        <w:ind w:firstLine="945" w:firstLineChars="450"/>
        <w:rPr>
          <w:rFonts w:ascii="宋体" w:hAnsi="宋体"/>
          <w:color w:val="auto"/>
        </w:rPr>
      </w:pPr>
      <w:r>
        <w:rPr>
          <w:rFonts w:ascii="宋体" w:hAnsi="宋体"/>
          <w:color w:val="auto"/>
        </w:rPr>
        <w:t>人民币（大写）</w:t>
      </w:r>
      <w:r>
        <w:rPr>
          <w:color w:val="auto"/>
          <w:u w:val="single"/>
        </w:rPr>
        <w:t xml:space="preserve">              </w:t>
      </w:r>
      <w:r>
        <w:rPr>
          <w:color w:val="auto"/>
        </w:rPr>
        <w:t xml:space="preserve"> </w:t>
      </w:r>
      <w:r>
        <w:rPr>
          <w:rFonts w:hint="eastAsia" w:ascii="宋体" w:hAnsi="宋体"/>
          <w:color w:val="auto"/>
        </w:rPr>
        <w:t>（</w:t>
      </w:r>
      <w:r>
        <w:rPr>
          <w:color w:val="auto"/>
        </w:rPr>
        <w:t>¥</w:t>
      </w:r>
      <w:r>
        <w:rPr>
          <w:color w:val="auto"/>
          <w:u w:val="single"/>
        </w:rPr>
        <w:t xml:space="preserve">          </w:t>
      </w:r>
      <w:r>
        <w:rPr>
          <w:rFonts w:ascii="宋体" w:hAnsi="宋体"/>
          <w:color w:val="auto"/>
        </w:rPr>
        <w:t>元</w:t>
      </w:r>
      <w:r>
        <w:rPr>
          <w:rFonts w:hint="eastAsia" w:ascii="宋体" w:hAnsi="宋体"/>
          <w:color w:val="auto"/>
        </w:rPr>
        <w:t>）</w:t>
      </w:r>
      <w:r>
        <w:rPr>
          <w:rFonts w:ascii="宋体" w:hAnsi="宋体"/>
          <w:color w:val="auto"/>
        </w:rPr>
        <w:t>。</w:t>
      </w:r>
    </w:p>
    <w:p w14:paraId="5E12F13D">
      <w:pPr>
        <w:pStyle w:val="159"/>
        <w:spacing w:line="360" w:lineRule="auto"/>
        <w:ind w:firstLine="987" w:firstLineChars="470"/>
        <w:rPr>
          <w:rFonts w:ascii="宋体" w:hAnsi="宋体"/>
          <w:color w:val="auto"/>
          <w:u w:val="single"/>
        </w:rPr>
      </w:pPr>
      <w:r>
        <w:rPr>
          <w:rFonts w:hint="eastAsia" w:ascii="宋体" w:hAnsi="宋体"/>
          <w:color w:val="auto"/>
        </w:rPr>
        <w:t>增值税率：</w:t>
      </w:r>
      <w:r>
        <w:rPr>
          <w:rFonts w:hAnsi="宋体"/>
          <w:color w:val="auto"/>
          <w:u w:val="single"/>
        </w:rPr>
        <w:t xml:space="preserve">  </w:t>
      </w:r>
      <w:r>
        <w:rPr>
          <w:rFonts w:hint="eastAsia" w:ascii="宋体" w:hAnsi="宋体"/>
          <w:color w:val="auto"/>
          <w:u w:val="single"/>
        </w:rPr>
        <w:t xml:space="preserve">      </w:t>
      </w:r>
      <w:r>
        <w:rPr>
          <w:rFonts w:hAnsi="宋体"/>
          <w:color w:val="auto"/>
          <w:u w:val="single"/>
        </w:rPr>
        <w:t xml:space="preserve">  </w:t>
      </w:r>
    </w:p>
    <w:p w14:paraId="01E431B1">
      <w:pPr>
        <w:pStyle w:val="159"/>
        <w:spacing w:line="450" w:lineRule="exact"/>
        <w:ind w:firstLine="420" w:firstLineChars="200"/>
        <w:rPr>
          <w:rFonts w:ascii="宋 体" w:hAnsi="宋体"/>
          <w:color w:val="auto"/>
        </w:rPr>
      </w:pPr>
      <w:r>
        <w:rPr>
          <w:color w:val="auto"/>
        </w:rPr>
        <w:t>2.</w:t>
      </w:r>
      <w:r>
        <w:rPr>
          <w:rFonts w:hint="eastAsia" w:ascii="宋体" w:hAnsi="宋体"/>
          <w:color w:val="auto"/>
        </w:rPr>
        <w:t xml:space="preserve"> </w:t>
      </w:r>
      <w:r>
        <w:rPr>
          <w:rFonts w:ascii="宋体" w:hAnsi="宋体"/>
          <w:color w:val="auto"/>
        </w:rPr>
        <w:t>合同价格形式：</w:t>
      </w:r>
      <w:r>
        <w:rPr>
          <w:color w:val="auto"/>
        </w:rPr>
        <w:t xml:space="preserve">  </w:t>
      </w:r>
      <w:r>
        <w:rPr>
          <w:rFonts w:hint="eastAsia" w:ascii="宋体" w:hAnsi="宋体"/>
          <w:color w:val="auto"/>
        </w:rPr>
        <w:t>采用</w:t>
      </w:r>
      <w:r>
        <w:rPr>
          <w:rFonts w:hint="eastAsia" w:ascii="宋体" w:hAnsi="宋体"/>
          <w:color w:val="auto"/>
          <w:u w:val="single"/>
        </w:rPr>
        <w:t>固定综合单价的</w:t>
      </w:r>
      <w:r>
        <w:rPr>
          <w:rFonts w:hint="eastAsia" w:ascii="宋体" w:hAnsi="宋体"/>
          <w:color w:val="auto"/>
        </w:rPr>
        <w:t>合同形式，工程量按实结算。</w:t>
      </w:r>
    </w:p>
    <w:p w14:paraId="69F4FAEF">
      <w:pPr>
        <w:pStyle w:val="159"/>
        <w:spacing w:line="360" w:lineRule="auto"/>
        <w:ind w:firstLine="422" w:firstLineChars="200"/>
        <w:outlineLvl w:val="0"/>
        <w:rPr>
          <w:rFonts w:hAnsi="宋 体"/>
          <w:b/>
          <w:bCs/>
          <w:color w:val="auto"/>
        </w:rPr>
      </w:pPr>
      <w:bookmarkStart w:id="193" w:name="_Toc6065"/>
      <w:bookmarkStart w:id="194" w:name="_Toc11844"/>
      <w:bookmarkStart w:id="195" w:name="_Toc11156"/>
      <w:bookmarkStart w:id="196" w:name="_Toc14057"/>
      <w:bookmarkStart w:id="197" w:name="_Toc7486"/>
      <w:bookmarkStart w:id="198" w:name="_Toc525396160"/>
      <w:bookmarkStart w:id="199" w:name="_Toc26565"/>
      <w:r>
        <w:rPr>
          <w:rFonts w:ascii="宋体" w:hAnsi="宋体"/>
          <w:b/>
          <w:bCs/>
          <w:color w:val="auto"/>
        </w:rPr>
        <w:t>五、项目经理</w:t>
      </w:r>
      <w:bookmarkEnd w:id="193"/>
      <w:bookmarkEnd w:id="194"/>
      <w:bookmarkEnd w:id="195"/>
      <w:bookmarkEnd w:id="196"/>
      <w:bookmarkEnd w:id="197"/>
      <w:bookmarkEnd w:id="198"/>
      <w:bookmarkEnd w:id="199"/>
    </w:p>
    <w:p w14:paraId="76C68004">
      <w:pPr>
        <w:pStyle w:val="159"/>
        <w:spacing w:line="360" w:lineRule="auto"/>
        <w:ind w:firstLine="420" w:firstLineChars="200"/>
        <w:rPr>
          <w:rFonts w:hAnsi="宋体"/>
          <w:color w:val="auto"/>
        </w:rPr>
      </w:pPr>
      <w:r>
        <w:rPr>
          <w:rFonts w:ascii="宋体" w:hAnsi="宋体"/>
          <w:color w:val="auto"/>
        </w:rPr>
        <w:t>承包人项目经理：</w:t>
      </w:r>
      <w:r>
        <w:rPr>
          <w:rFonts w:hint="eastAsia" w:ascii="MingLiU_HKSCS" w:hAnsi="MingLiU_HKSCS" w:cs="MingLiU_HKSCS"/>
          <w:color w:val="auto"/>
          <w:u w:val="single"/>
        </w:rPr>
        <w:t xml:space="preserve">                               </w:t>
      </w:r>
      <w:r>
        <w:rPr>
          <w:rFonts w:ascii="宋体" w:hAnsi="宋体"/>
          <w:color w:val="auto"/>
        </w:rPr>
        <w:t>。</w:t>
      </w:r>
    </w:p>
    <w:p w14:paraId="108ED454">
      <w:pPr>
        <w:pStyle w:val="159"/>
        <w:spacing w:line="360" w:lineRule="auto"/>
        <w:ind w:firstLine="422" w:firstLineChars="200"/>
        <w:outlineLvl w:val="0"/>
        <w:rPr>
          <w:rFonts w:hAnsi="宋 体"/>
          <w:b/>
          <w:bCs/>
          <w:color w:val="auto"/>
        </w:rPr>
      </w:pPr>
      <w:bookmarkStart w:id="200" w:name="_Toc9219"/>
      <w:bookmarkStart w:id="201" w:name="_Toc525396161"/>
      <w:bookmarkStart w:id="202" w:name="_Toc9243"/>
      <w:bookmarkStart w:id="203" w:name="_Toc9804"/>
      <w:bookmarkStart w:id="204" w:name="_Toc17641"/>
      <w:bookmarkStart w:id="205" w:name="_Toc11393"/>
      <w:bookmarkStart w:id="206" w:name="_Toc23397"/>
      <w:r>
        <w:rPr>
          <w:rFonts w:ascii="宋体" w:hAnsi="宋体"/>
          <w:b/>
          <w:bCs/>
          <w:color w:val="auto"/>
        </w:rPr>
        <w:t>六、合同文件构成</w:t>
      </w:r>
      <w:bookmarkEnd w:id="200"/>
      <w:bookmarkEnd w:id="201"/>
      <w:bookmarkEnd w:id="202"/>
      <w:bookmarkEnd w:id="203"/>
      <w:bookmarkEnd w:id="204"/>
      <w:bookmarkEnd w:id="205"/>
      <w:bookmarkEnd w:id="206"/>
    </w:p>
    <w:p w14:paraId="72DA614B">
      <w:pPr>
        <w:pStyle w:val="159"/>
        <w:spacing w:line="360" w:lineRule="auto"/>
        <w:ind w:firstLine="420" w:firstLineChars="200"/>
        <w:rPr>
          <w:color w:val="auto"/>
        </w:rPr>
      </w:pPr>
      <w:r>
        <w:rPr>
          <w:rFonts w:ascii="宋体" w:hAnsi="宋体"/>
          <w:color w:val="auto"/>
        </w:rPr>
        <w:t>本协议书与下列文件一起构成合同文件：</w:t>
      </w:r>
    </w:p>
    <w:p w14:paraId="7AFA8FBD">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1</w:t>
      </w:r>
      <w:r>
        <w:rPr>
          <w:rFonts w:ascii="宋体" w:hAnsi="宋体"/>
          <w:color w:val="auto"/>
        </w:rPr>
        <w:t>）中标通知书（如有）；</w:t>
      </w:r>
    </w:p>
    <w:p w14:paraId="5F3F3B74">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2</w:t>
      </w:r>
      <w:r>
        <w:rPr>
          <w:rFonts w:ascii="宋体" w:hAnsi="宋体"/>
          <w:color w:val="auto"/>
        </w:rPr>
        <w:t>）投标函及其附录（如有）；</w:t>
      </w:r>
      <w:r>
        <w:rPr>
          <w:color w:val="auto"/>
        </w:rPr>
        <w:t xml:space="preserve"> </w:t>
      </w:r>
    </w:p>
    <w:p w14:paraId="393C4649">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3</w:t>
      </w:r>
      <w:r>
        <w:rPr>
          <w:rFonts w:ascii="宋体" w:hAnsi="宋体"/>
          <w:color w:val="auto"/>
        </w:rPr>
        <w:t>）专用合同条款及其附件；</w:t>
      </w:r>
    </w:p>
    <w:p w14:paraId="655507F5">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4</w:t>
      </w:r>
      <w:r>
        <w:rPr>
          <w:rFonts w:ascii="宋体" w:hAnsi="宋体"/>
          <w:color w:val="auto"/>
        </w:rPr>
        <w:t>）通用合同条款；</w:t>
      </w:r>
    </w:p>
    <w:p w14:paraId="3B3AB321">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5</w:t>
      </w:r>
      <w:r>
        <w:rPr>
          <w:rFonts w:ascii="宋体" w:hAnsi="宋体"/>
          <w:color w:val="auto"/>
        </w:rPr>
        <w:t>）技术标准和要求；</w:t>
      </w:r>
    </w:p>
    <w:p w14:paraId="532DD2E5">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6</w:t>
      </w:r>
      <w:r>
        <w:rPr>
          <w:rFonts w:ascii="宋体" w:hAnsi="宋体"/>
          <w:color w:val="auto"/>
        </w:rPr>
        <w:t>）已标价工程量清单或预算书；</w:t>
      </w:r>
      <w:r>
        <w:rPr>
          <w:color w:val="auto"/>
        </w:rPr>
        <w:t xml:space="preserve"> </w:t>
      </w:r>
    </w:p>
    <w:p w14:paraId="0C211113">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7</w:t>
      </w:r>
      <w:r>
        <w:rPr>
          <w:rFonts w:ascii="宋体" w:hAnsi="宋体"/>
          <w:color w:val="auto"/>
        </w:rPr>
        <w:t>）图纸；</w:t>
      </w:r>
    </w:p>
    <w:p w14:paraId="04AEE74F">
      <w:pPr>
        <w:pStyle w:val="159"/>
        <w:autoSpaceDE w:val="0"/>
        <w:autoSpaceDN w:val="0"/>
        <w:adjustRightInd w:val="0"/>
        <w:spacing w:line="360" w:lineRule="auto"/>
        <w:ind w:firstLine="420" w:firstLineChars="200"/>
        <w:jc w:val="left"/>
        <w:rPr>
          <w:color w:val="auto"/>
        </w:rPr>
      </w:pPr>
      <w:r>
        <w:rPr>
          <w:rFonts w:ascii="宋体" w:hAnsi="宋体"/>
          <w:color w:val="auto"/>
        </w:rPr>
        <w:t>（</w:t>
      </w:r>
      <w:r>
        <w:rPr>
          <w:color w:val="auto"/>
        </w:rPr>
        <w:t>8</w:t>
      </w:r>
      <w:r>
        <w:rPr>
          <w:rFonts w:ascii="宋体" w:hAnsi="宋体"/>
          <w:color w:val="auto"/>
        </w:rPr>
        <w:t>）其他合同文件。</w:t>
      </w:r>
    </w:p>
    <w:p w14:paraId="1EA81365">
      <w:pPr>
        <w:pStyle w:val="159"/>
        <w:autoSpaceDE w:val="0"/>
        <w:autoSpaceDN w:val="0"/>
        <w:adjustRightInd w:val="0"/>
        <w:spacing w:line="360" w:lineRule="auto"/>
        <w:ind w:firstLine="420" w:firstLineChars="200"/>
        <w:jc w:val="left"/>
        <w:rPr>
          <w:color w:val="auto"/>
        </w:rPr>
      </w:pPr>
      <w:r>
        <w:rPr>
          <w:rFonts w:ascii="宋体" w:hAnsi="宋体"/>
          <w:color w:val="auto"/>
        </w:rPr>
        <w:t>在合同订立及履行过程中形成的与合同有关的文件均构成合同文件组成部分。</w:t>
      </w:r>
    </w:p>
    <w:p w14:paraId="7123B818">
      <w:pPr>
        <w:pStyle w:val="159"/>
        <w:autoSpaceDE w:val="0"/>
        <w:autoSpaceDN w:val="0"/>
        <w:adjustRightInd w:val="0"/>
        <w:spacing w:line="360" w:lineRule="auto"/>
        <w:ind w:firstLine="420" w:firstLineChars="200"/>
        <w:jc w:val="left"/>
        <w:rPr>
          <w:rFonts w:hAnsi="宋体"/>
          <w:color w:val="auto"/>
        </w:rPr>
      </w:pPr>
      <w:r>
        <w:rPr>
          <w:rFonts w:ascii="宋体" w:hAnsi="宋体"/>
          <w:color w:val="auto"/>
        </w:rPr>
        <w:t>上述各项合同文件包括合同当事人就该项合同文件所作出的补充和修改，属于同一类内容的文件，应以最新签署的为准。专用合同条款及其附件须经合同当事人签字或盖章。</w:t>
      </w:r>
    </w:p>
    <w:p w14:paraId="642855C8">
      <w:pPr>
        <w:pStyle w:val="159"/>
        <w:autoSpaceDE w:val="0"/>
        <w:autoSpaceDN w:val="0"/>
        <w:adjustRightInd w:val="0"/>
        <w:spacing w:line="360" w:lineRule="auto"/>
        <w:ind w:firstLine="422" w:firstLineChars="200"/>
        <w:jc w:val="left"/>
        <w:outlineLvl w:val="0"/>
        <w:rPr>
          <w:rFonts w:hAnsi="宋 体"/>
          <w:b/>
          <w:bCs/>
          <w:color w:val="auto"/>
        </w:rPr>
      </w:pPr>
      <w:bookmarkStart w:id="207" w:name="_Toc13015"/>
      <w:bookmarkStart w:id="208" w:name="_Toc23040"/>
      <w:bookmarkStart w:id="209" w:name="_Toc27938"/>
      <w:bookmarkStart w:id="210" w:name="_Toc2672"/>
      <w:bookmarkStart w:id="211" w:name="_Toc525396162"/>
      <w:bookmarkStart w:id="212" w:name="_Toc11435"/>
      <w:bookmarkStart w:id="213" w:name="_Toc2446"/>
      <w:r>
        <w:rPr>
          <w:rFonts w:ascii="宋体" w:hAnsi="宋体"/>
          <w:b/>
          <w:bCs/>
          <w:color w:val="auto"/>
        </w:rPr>
        <w:t>七、承诺</w:t>
      </w:r>
      <w:bookmarkEnd w:id="207"/>
      <w:bookmarkEnd w:id="208"/>
      <w:bookmarkEnd w:id="209"/>
      <w:bookmarkEnd w:id="210"/>
      <w:bookmarkEnd w:id="211"/>
      <w:bookmarkEnd w:id="212"/>
      <w:bookmarkEnd w:id="213"/>
    </w:p>
    <w:p w14:paraId="2D47778E">
      <w:pPr>
        <w:pStyle w:val="159"/>
        <w:spacing w:line="360" w:lineRule="auto"/>
        <w:ind w:firstLine="420" w:firstLineChars="200"/>
        <w:rPr>
          <w:color w:val="auto"/>
        </w:rPr>
      </w:pPr>
      <w:r>
        <w:rPr>
          <w:color w:val="auto"/>
        </w:rPr>
        <w:t>1.</w:t>
      </w:r>
      <w:r>
        <w:rPr>
          <w:rFonts w:hint="eastAsia" w:ascii="宋体" w:hAnsi="宋体"/>
          <w:color w:val="auto"/>
        </w:rPr>
        <w:t xml:space="preserve"> </w:t>
      </w:r>
      <w:r>
        <w:rPr>
          <w:rFonts w:ascii="宋体" w:hAnsi="宋体"/>
          <w:color w:val="auto"/>
        </w:rPr>
        <w:t>发包人承诺按照法律规定履行项目审批手续、筹集工程建设资金并按照合同约定的期限和方式支付合同价款。</w:t>
      </w:r>
    </w:p>
    <w:p w14:paraId="174E175D">
      <w:pPr>
        <w:pStyle w:val="159"/>
        <w:spacing w:line="360" w:lineRule="auto"/>
        <w:ind w:firstLine="420" w:firstLineChars="200"/>
        <w:rPr>
          <w:color w:val="auto"/>
        </w:rPr>
      </w:pPr>
      <w:r>
        <w:rPr>
          <w:color w:val="auto"/>
        </w:rPr>
        <w:t>2.</w:t>
      </w:r>
      <w:r>
        <w:rPr>
          <w:rFonts w:hint="eastAsia" w:ascii="宋体" w:hAnsi="宋体"/>
          <w:color w:val="auto"/>
        </w:rPr>
        <w:t xml:space="preserve"> </w:t>
      </w:r>
      <w:r>
        <w:rPr>
          <w:rFonts w:ascii="宋体" w:hAnsi="宋体"/>
          <w:color w:val="auto"/>
        </w:rPr>
        <w:t>承包人承诺按照法律规定及合同约定组织完成工程施工，确保工程质量和安全，不进行转包及违法分包，并在缺陷责任期及保修期内承担相应的工程维修责任。</w:t>
      </w:r>
    </w:p>
    <w:p w14:paraId="07318B9A">
      <w:pPr>
        <w:pStyle w:val="159"/>
        <w:spacing w:line="360" w:lineRule="auto"/>
        <w:ind w:firstLine="420" w:firstLineChars="200"/>
        <w:rPr>
          <w:rFonts w:hAnsi="宋体"/>
          <w:color w:val="auto"/>
        </w:rPr>
      </w:pPr>
      <w:r>
        <w:rPr>
          <w:color w:val="auto"/>
        </w:rPr>
        <w:t>3.</w:t>
      </w:r>
      <w:r>
        <w:rPr>
          <w:rFonts w:hint="eastAsia" w:ascii="宋体" w:hAnsi="宋体"/>
          <w:color w:val="auto"/>
        </w:rPr>
        <w:t xml:space="preserve"> </w:t>
      </w:r>
      <w:r>
        <w:rPr>
          <w:rFonts w:ascii="宋体" w:hAnsi="宋体"/>
          <w:color w:val="auto"/>
        </w:rPr>
        <w:t>发包人和承包人通过招投标形式签订合同的，双方理解并承诺不再就同一工程另行签订与合同实质性内容相背离的协议。</w:t>
      </w:r>
    </w:p>
    <w:p w14:paraId="28D4418A">
      <w:pPr>
        <w:pStyle w:val="159"/>
        <w:spacing w:line="360" w:lineRule="auto"/>
        <w:ind w:firstLine="422" w:firstLineChars="200"/>
        <w:outlineLvl w:val="0"/>
        <w:rPr>
          <w:rFonts w:hAnsi="宋 体"/>
          <w:b/>
          <w:bCs/>
          <w:color w:val="auto"/>
        </w:rPr>
      </w:pPr>
      <w:bookmarkStart w:id="214" w:name="_Toc525396163"/>
      <w:bookmarkStart w:id="215" w:name="_Toc18509"/>
      <w:bookmarkStart w:id="216" w:name="_Toc31634"/>
      <w:bookmarkStart w:id="217" w:name="_Toc8258"/>
      <w:bookmarkStart w:id="218" w:name="_Toc3901"/>
      <w:bookmarkStart w:id="219" w:name="_Toc24361"/>
      <w:bookmarkStart w:id="220" w:name="_Toc31073"/>
      <w:r>
        <w:rPr>
          <w:rFonts w:ascii="宋体" w:hAnsi="宋体"/>
          <w:b/>
          <w:bCs/>
          <w:color w:val="auto"/>
        </w:rPr>
        <w:t>八、词语含义</w:t>
      </w:r>
      <w:bookmarkEnd w:id="214"/>
      <w:bookmarkEnd w:id="215"/>
      <w:bookmarkEnd w:id="216"/>
      <w:bookmarkEnd w:id="217"/>
      <w:bookmarkEnd w:id="218"/>
      <w:bookmarkEnd w:id="219"/>
      <w:bookmarkEnd w:id="220"/>
    </w:p>
    <w:p w14:paraId="73744E89">
      <w:pPr>
        <w:pStyle w:val="159"/>
        <w:spacing w:line="360" w:lineRule="auto"/>
        <w:ind w:firstLine="420" w:firstLineChars="200"/>
        <w:rPr>
          <w:rFonts w:hAnsi="宋体"/>
          <w:color w:val="auto"/>
        </w:rPr>
      </w:pPr>
      <w:r>
        <w:rPr>
          <w:rFonts w:ascii="宋体" w:hAnsi="宋体"/>
          <w:color w:val="auto"/>
        </w:rPr>
        <w:t>本协议书中词语含义与第二部分通用合同条款中赋予的含义相同。</w:t>
      </w:r>
    </w:p>
    <w:p w14:paraId="73AB146F">
      <w:pPr>
        <w:pStyle w:val="159"/>
        <w:spacing w:line="360" w:lineRule="auto"/>
        <w:ind w:firstLine="422" w:firstLineChars="200"/>
        <w:outlineLvl w:val="0"/>
        <w:rPr>
          <w:rFonts w:hAnsi="宋 体"/>
          <w:b/>
          <w:bCs/>
          <w:color w:val="auto"/>
        </w:rPr>
      </w:pPr>
      <w:bookmarkStart w:id="221" w:name="_Toc8126"/>
      <w:bookmarkStart w:id="222" w:name="_Toc22859"/>
      <w:bookmarkStart w:id="223" w:name="_Toc415"/>
      <w:bookmarkStart w:id="224" w:name="_Toc2902"/>
      <w:bookmarkStart w:id="225" w:name="_Toc29485"/>
      <w:bookmarkStart w:id="226" w:name="_Toc525396164"/>
      <w:bookmarkStart w:id="227" w:name="_Toc21391"/>
      <w:r>
        <w:rPr>
          <w:rFonts w:ascii="宋体" w:hAnsi="宋体"/>
          <w:b/>
          <w:bCs/>
          <w:color w:val="auto"/>
        </w:rPr>
        <w:t>九、签订时间</w:t>
      </w:r>
      <w:bookmarkEnd w:id="221"/>
      <w:bookmarkEnd w:id="222"/>
      <w:bookmarkEnd w:id="223"/>
      <w:bookmarkEnd w:id="224"/>
      <w:bookmarkEnd w:id="225"/>
      <w:bookmarkEnd w:id="226"/>
      <w:bookmarkEnd w:id="227"/>
    </w:p>
    <w:p w14:paraId="0F19C3BB">
      <w:pPr>
        <w:pStyle w:val="159"/>
        <w:spacing w:line="360" w:lineRule="auto"/>
        <w:ind w:firstLine="420" w:firstLineChars="200"/>
        <w:rPr>
          <w:rFonts w:hAnsi="宋体"/>
          <w:color w:val="auto"/>
        </w:rPr>
      </w:pPr>
      <w:r>
        <w:rPr>
          <w:rFonts w:ascii="宋体" w:hAnsi="宋体"/>
          <w:color w:val="auto"/>
        </w:rPr>
        <w:t>本合同于</w:t>
      </w:r>
      <w:r>
        <w:rPr>
          <w:color w:val="auto"/>
          <w:u w:val="single"/>
        </w:rPr>
        <w:t xml:space="preserve">         </w:t>
      </w:r>
      <w:r>
        <w:rPr>
          <w:rFonts w:ascii="宋体" w:hAnsi="宋体"/>
          <w:color w:val="auto"/>
        </w:rPr>
        <w:t>年</w:t>
      </w:r>
      <w:r>
        <w:rPr>
          <w:color w:val="auto"/>
          <w:u w:val="single"/>
        </w:rPr>
        <w:t xml:space="preserve">    </w:t>
      </w:r>
      <w:r>
        <w:rPr>
          <w:rFonts w:ascii="宋体" w:hAnsi="宋体"/>
          <w:color w:val="auto"/>
        </w:rPr>
        <w:t>月</w:t>
      </w:r>
      <w:r>
        <w:rPr>
          <w:color w:val="auto"/>
          <w:u w:val="single"/>
        </w:rPr>
        <w:t xml:space="preserve">    </w:t>
      </w:r>
      <w:r>
        <w:rPr>
          <w:rFonts w:ascii="宋体" w:hAnsi="宋体"/>
          <w:color w:val="auto"/>
        </w:rPr>
        <w:t>日签订。</w:t>
      </w:r>
    </w:p>
    <w:p w14:paraId="6926D854">
      <w:pPr>
        <w:pStyle w:val="159"/>
        <w:spacing w:line="360" w:lineRule="auto"/>
        <w:ind w:firstLine="422" w:firstLineChars="200"/>
        <w:outlineLvl w:val="0"/>
        <w:rPr>
          <w:rFonts w:hAnsi="宋 体"/>
          <w:b/>
          <w:bCs/>
          <w:color w:val="auto"/>
        </w:rPr>
      </w:pPr>
      <w:bookmarkStart w:id="228" w:name="_Toc525396165"/>
      <w:bookmarkStart w:id="229" w:name="_Toc3278"/>
      <w:bookmarkStart w:id="230" w:name="_Toc19537"/>
      <w:bookmarkStart w:id="231" w:name="_Toc11413"/>
      <w:bookmarkStart w:id="232" w:name="_Toc21362"/>
      <w:bookmarkStart w:id="233" w:name="_Toc30984"/>
      <w:bookmarkStart w:id="234" w:name="_Toc12485"/>
      <w:r>
        <w:rPr>
          <w:rFonts w:ascii="宋体" w:hAnsi="宋体"/>
          <w:b/>
          <w:bCs/>
          <w:color w:val="auto"/>
        </w:rPr>
        <w:t>十、签订地点</w:t>
      </w:r>
      <w:bookmarkEnd w:id="228"/>
      <w:bookmarkEnd w:id="229"/>
      <w:bookmarkEnd w:id="230"/>
      <w:bookmarkEnd w:id="231"/>
      <w:bookmarkEnd w:id="232"/>
      <w:bookmarkEnd w:id="233"/>
      <w:bookmarkEnd w:id="234"/>
    </w:p>
    <w:p w14:paraId="7839808C">
      <w:pPr>
        <w:pStyle w:val="159"/>
        <w:spacing w:line="360" w:lineRule="auto"/>
        <w:ind w:firstLine="420" w:firstLineChars="200"/>
        <w:rPr>
          <w:rFonts w:hAnsi="宋体"/>
          <w:color w:val="auto"/>
        </w:rPr>
      </w:pPr>
      <w:r>
        <w:rPr>
          <w:rFonts w:ascii="宋体" w:hAnsi="宋体"/>
          <w:color w:val="auto"/>
        </w:rPr>
        <w:t>本合同在</w:t>
      </w:r>
      <w:r>
        <w:rPr>
          <w:color w:val="auto"/>
          <w:u w:val="single"/>
        </w:rPr>
        <w:t xml:space="preserve">                                    </w:t>
      </w:r>
      <w:r>
        <w:rPr>
          <w:rFonts w:ascii="宋体" w:hAnsi="宋体"/>
          <w:color w:val="auto"/>
        </w:rPr>
        <w:t>签订。</w:t>
      </w:r>
    </w:p>
    <w:p w14:paraId="5A51E98D">
      <w:pPr>
        <w:pStyle w:val="159"/>
        <w:spacing w:line="360" w:lineRule="auto"/>
        <w:ind w:firstLine="422" w:firstLineChars="200"/>
        <w:outlineLvl w:val="0"/>
        <w:rPr>
          <w:rFonts w:hAnsi="宋 体"/>
          <w:b/>
          <w:bCs/>
          <w:color w:val="auto"/>
        </w:rPr>
      </w:pPr>
      <w:bookmarkStart w:id="235" w:name="_Toc731"/>
      <w:bookmarkStart w:id="236" w:name="_Toc16106"/>
      <w:bookmarkStart w:id="237" w:name="_Toc18969"/>
      <w:bookmarkStart w:id="238" w:name="_Toc23066"/>
      <w:bookmarkStart w:id="239" w:name="_Toc10678"/>
      <w:bookmarkStart w:id="240" w:name="_Toc525396166"/>
      <w:bookmarkStart w:id="241" w:name="_Toc8869"/>
      <w:r>
        <w:rPr>
          <w:rFonts w:ascii="宋体" w:hAnsi="宋体"/>
          <w:b/>
          <w:bCs/>
          <w:color w:val="auto"/>
        </w:rPr>
        <w:t>十一、补充协议</w:t>
      </w:r>
      <w:bookmarkEnd w:id="235"/>
      <w:bookmarkEnd w:id="236"/>
      <w:bookmarkEnd w:id="237"/>
      <w:bookmarkEnd w:id="238"/>
      <w:bookmarkEnd w:id="239"/>
      <w:bookmarkEnd w:id="240"/>
      <w:bookmarkEnd w:id="241"/>
    </w:p>
    <w:p w14:paraId="4EC6E367">
      <w:pPr>
        <w:pStyle w:val="159"/>
        <w:spacing w:line="360" w:lineRule="auto"/>
        <w:ind w:firstLine="420" w:firstLineChars="200"/>
        <w:rPr>
          <w:rFonts w:hAnsi="宋体"/>
          <w:color w:val="auto"/>
        </w:rPr>
      </w:pPr>
      <w:r>
        <w:rPr>
          <w:rFonts w:ascii="宋体" w:hAnsi="宋体"/>
          <w:color w:val="auto"/>
        </w:rPr>
        <w:t>合同未尽事宜，合同当事人另行签订补充协议，补充协议是合同的组成部分。</w:t>
      </w:r>
    </w:p>
    <w:p w14:paraId="5AB89033">
      <w:pPr>
        <w:pStyle w:val="159"/>
        <w:spacing w:line="360" w:lineRule="auto"/>
        <w:ind w:firstLine="422" w:firstLineChars="200"/>
        <w:outlineLvl w:val="0"/>
        <w:rPr>
          <w:rFonts w:hAnsi="宋 体"/>
          <w:b/>
          <w:bCs/>
          <w:color w:val="auto"/>
        </w:rPr>
      </w:pPr>
      <w:bookmarkStart w:id="242" w:name="_Toc27864"/>
      <w:bookmarkStart w:id="243" w:name="_Toc30991"/>
      <w:bookmarkStart w:id="244" w:name="_Toc24256"/>
      <w:bookmarkStart w:id="245" w:name="_Toc27271"/>
      <w:bookmarkStart w:id="246" w:name="_Toc9210"/>
      <w:bookmarkStart w:id="247" w:name="_Toc525396167"/>
      <w:bookmarkStart w:id="248" w:name="_Toc26240"/>
      <w:r>
        <w:rPr>
          <w:rFonts w:ascii="宋体" w:hAnsi="宋体"/>
          <w:b/>
          <w:bCs/>
          <w:color w:val="auto"/>
        </w:rPr>
        <w:t>十二、合同生效</w:t>
      </w:r>
      <w:bookmarkEnd w:id="242"/>
      <w:bookmarkEnd w:id="243"/>
      <w:bookmarkEnd w:id="244"/>
      <w:bookmarkEnd w:id="245"/>
      <w:bookmarkEnd w:id="246"/>
      <w:bookmarkEnd w:id="247"/>
      <w:bookmarkEnd w:id="248"/>
    </w:p>
    <w:p w14:paraId="5728BFB4">
      <w:pPr>
        <w:pStyle w:val="159"/>
        <w:spacing w:line="360" w:lineRule="auto"/>
        <w:ind w:firstLine="420" w:firstLineChars="200"/>
        <w:rPr>
          <w:rFonts w:hAnsi="宋体"/>
          <w:color w:val="auto"/>
        </w:rPr>
      </w:pPr>
      <w:r>
        <w:rPr>
          <w:rFonts w:ascii="宋体" w:hAnsi="宋体"/>
          <w:color w:val="auto"/>
        </w:rPr>
        <w:t>本合同自</w:t>
      </w:r>
      <w:r>
        <w:rPr>
          <w:color w:val="auto"/>
          <w:u w:val="single"/>
        </w:rPr>
        <w:t xml:space="preserve">  </w:t>
      </w:r>
      <w:r>
        <w:rPr>
          <w:rFonts w:hint="eastAsia" w:ascii="宋体" w:hAnsi="宋体"/>
          <w:color w:val="auto"/>
          <w:u w:val="single"/>
        </w:rPr>
        <w:t>双方法定代表人或委托代理人签字并加盖单位公章</w:t>
      </w:r>
      <w:r>
        <w:rPr>
          <w:rFonts w:hint="eastAsia" w:ascii="宋体" w:hAnsi="宋体"/>
          <w:color w:val="auto"/>
          <w:kern w:val="0"/>
          <w:u w:val="single"/>
        </w:rPr>
        <w:t>后</w:t>
      </w:r>
      <w:r>
        <w:rPr>
          <w:color w:val="auto"/>
          <w:u w:val="single"/>
        </w:rPr>
        <w:t xml:space="preserve"> </w:t>
      </w:r>
      <w:r>
        <w:rPr>
          <w:rFonts w:ascii="宋体" w:hAnsi="宋体"/>
          <w:color w:val="auto"/>
        </w:rPr>
        <w:t>生效。</w:t>
      </w:r>
    </w:p>
    <w:p w14:paraId="4746419B">
      <w:pPr>
        <w:pStyle w:val="159"/>
        <w:spacing w:line="360" w:lineRule="auto"/>
        <w:ind w:firstLine="422" w:firstLineChars="200"/>
        <w:outlineLvl w:val="0"/>
        <w:rPr>
          <w:rFonts w:hAnsi="宋 体"/>
          <w:b/>
          <w:bCs/>
          <w:color w:val="auto"/>
        </w:rPr>
      </w:pPr>
      <w:bookmarkStart w:id="249" w:name="_Toc11022"/>
      <w:bookmarkStart w:id="250" w:name="_Toc525396168"/>
      <w:bookmarkStart w:id="251" w:name="_Toc15046"/>
      <w:bookmarkStart w:id="252" w:name="_Toc12707"/>
      <w:bookmarkStart w:id="253" w:name="_Toc3690"/>
      <w:bookmarkStart w:id="254" w:name="_Toc22094"/>
      <w:bookmarkStart w:id="255" w:name="_Toc17469"/>
      <w:r>
        <w:rPr>
          <w:rFonts w:ascii="宋体" w:hAnsi="宋体"/>
          <w:b/>
          <w:bCs/>
          <w:color w:val="auto"/>
        </w:rPr>
        <w:t>十三、合同份数</w:t>
      </w:r>
      <w:bookmarkEnd w:id="249"/>
      <w:bookmarkEnd w:id="250"/>
      <w:bookmarkEnd w:id="251"/>
      <w:bookmarkEnd w:id="252"/>
      <w:bookmarkEnd w:id="253"/>
      <w:bookmarkEnd w:id="254"/>
      <w:bookmarkEnd w:id="255"/>
    </w:p>
    <w:p w14:paraId="316F1370">
      <w:pPr>
        <w:pStyle w:val="159"/>
        <w:spacing w:line="360" w:lineRule="auto"/>
        <w:ind w:firstLine="420" w:firstLineChars="200"/>
        <w:rPr>
          <w:color w:val="auto"/>
        </w:rPr>
      </w:pPr>
      <w:r>
        <w:rPr>
          <w:rFonts w:ascii="宋体" w:hAnsi="宋体"/>
          <w:color w:val="auto"/>
        </w:rPr>
        <w:t>本合同一式</w:t>
      </w:r>
      <w:r>
        <w:rPr>
          <w:color w:val="auto"/>
          <w:u w:val="single"/>
        </w:rPr>
        <w:t xml:space="preserve">    </w:t>
      </w:r>
      <w:r>
        <w:rPr>
          <w:rFonts w:ascii="宋体" w:hAnsi="宋体"/>
          <w:color w:val="auto"/>
        </w:rPr>
        <w:t>份，均具有同等法律效力，发包人执</w:t>
      </w:r>
      <w:r>
        <w:rPr>
          <w:color w:val="auto"/>
          <w:u w:val="single"/>
        </w:rPr>
        <w:t xml:space="preserve">    </w:t>
      </w:r>
      <w:r>
        <w:rPr>
          <w:rFonts w:ascii="宋体" w:hAnsi="宋体"/>
          <w:color w:val="auto"/>
        </w:rPr>
        <w:t>份，承包人执</w:t>
      </w:r>
      <w:r>
        <w:rPr>
          <w:color w:val="auto"/>
          <w:u w:val="single"/>
        </w:rPr>
        <w:t xml:space="preserve">    </w:t>
      </w:r>
      <w:r>
        <w:rPr>
          <w:rFonts w:ascii="宋体" w:hAnsi="宋体"/>
          <w:color w:val="auto"/>
        </w:rPr>
        <w:t>份。</w:t>
      </w:r>
    </w:p>
    <w:p w14:paraId="26199554">
      <w:pPr>
        <w:pStyle w:val="159"/>
        <w:spacing w:line="360" w:lineRule="auto"/>
        <w:rPr>
          <w:color w:val="auto"/>
        </w:rPr>
      </w:pPr>
      <w:r>
        <w:rPr>
          <w:color w:val="auto"/>
        </w:rPr>
        <w:t xml:space="preserve"> </w:t>
      </w:r>
    </w:p>
    <w:p w14:paraId="532FBBE5">
      <w:pPr>
        <w:pStyle w:val="159"/>
        <w:spacing w:line="360" w:lineRule="auto"/>
        <w:rPr>
          <w:color w:val="auto"/>
        </w:rPr>
      </w:pPr>
      <w:r>
        <w:rPr>
          <w:color w:val="auto"/>
        </w:rPr>
        <w:t xml:space="preserve"> </w:t>
      </w:r>
    </w:p>
    <w:p w14:paraId="4FF6EBEA">
      <w:pPr>
        <w:pStyle w:val="159"/>
        <w:spacing w:line="360" w:lineRule="auto"/>
        <w:rPr>
          <w:color w:val="auto"/>
        </w:rPr>
      </w:pPr>
      <w:r>
        <w:rPr>
          <w:rFonts w:ascii="宋体" w:hAnsi="宋体"/>
          <w:color w:val="auto"/>
        </w:rPr>
        <w:t>发包人：</w:t>
      </w:r>
      <w:r>
        <w:rPr>
          <w:color w:val="auto"/>
        </w:rPr>
        <w:t xml:space="preserve">  </w:t>
      </w:r>
      <w:r>
        <w:rPr>
          <w:rFonts w:hint="eastAsia" w:ascii="宋体" w:hAnsi="宋体"/>
          <w:color w:val="auto"/>
        </w:rPr>
        <w:t>（</w:t>
      </w:r>
      <w:r>
        <w:rPr>
          <w:rFonts w:ascii="宋体" w:hAnsi="宋体"/>
          <w:color w:val="auto"/>
        </w:rPr>
        <w:t>公章</w:t>
      </w:r>
      <w:r>
        <w:rPr>
          <w:rFonts w:hint="eastAsia" w:ascii="宋体" w:hAnsi="宋体"/>
          <w:color w:val="auto"/>
        </w:rPr>
        <w:t>）</w:t>
      </w:r>
      <w:r>
        <w:rPr>
          <w:color w:val="auto"/>
        </w:rPr>
        <w:t xml:space="preserve">                              </w:t>
      </w:r>
      <w:r>
        <w:rPr>
          <w:rFonts w:ascii="宋体" w:hAnsi="宋体"/>
          <w:color w:val="auto"/>
        </w:rPr>
        <w:t>承包人：</w:t>
      </w:r>
      <w:r>
        <w:rPr>
          <w:color w:val="auto"/>
        </w:rPr>
        <w:t xml:space="preserve">  </w:t>
      </w:r>
      <w:r>
        <w:rPr>
          <w:rFonts w:hint="eastAsia" w:ascii="宋体" w:hAnsi="宋体"/>
          <w:color w:val="auto"/>
        </w:rPr>
        <w:t>（</w:t>
      </w:r>
      <w:r>
        <w:rPr>
          <w:rFonts w:ascii="宋体" w:hAnsi="宋体"/>
          <w:color w:val="auto"/>
        </w:rPr>
        <w:t>公章</w:t>
      </w:r>
      <w:r>
        <w:rPr>
          <w:rFonts w:hint="eastAsia" w:ascii="宋体" w:hAnsi="宋体"/>
          <w:color w:val="auto"/>
        </w:rPr>
        <w:t>）</w:t>
      </w:r>
    </w:p>
    <w:p w14:paraId="758B4F61">
      <w:pPr>
        <w:pStyle w:val="159"/>
        <w:spacing w:line="360" w:lineRule="auto"/>
        <w:rPr>
          <w:color w:val="auto"/>
          <w:u w:val="single"/>
        </w:rPr>
      </w:pPr>
      <w:r>
        <w:rPr>
          <w:color w:val="auto"/>
        </w:rPr>
        <w:t xml:space="preserve">                                 </w:t>
      </w:r>
    </w:p>
    <w:p w14:paraId="6DA4C3F7">
      <w:pPr>
        <w:pStyle w:val="159"/>
        <w:spacing w:line="360" w:lineRule="auto"/>
        <w:rPr>
          <w:color w:val="auto"/>
        </w:rPr>
      </w:pPr>
      <w:r>
        <w:rPr>
          <w:rFonts w:ascii="宋体" w:hAnsi="宋体"/>
          <w:color w:val="auto"/>
        </w:rPr>
        <w:t>法定代表人或其委托代理人：</w:t>
      </w:r>
      <w:r>
        <w:rPr>
          <w:color w:val="auto"/>
        </w:rPr>
        <w:t xml:space="preserve">                    </w:t>
      </w:r>
      <w:r>
        <w:rPr>
          <w:rFonts w:ascii="宋体" w:hAnsi="宋体"/>
          <w:color w:val="auto"/>
        </w:rPr>
        <w:t>法定代表人或其委托代理人：</w:t>
      </w:r>
    </w:p>
    <w:p w14:paraId="21B15359">
      <w:pPr>
        <w:pStyle w:val="159"/>
        <w:spacing w:line="360" w:lineRule="auto"/>
        <w:rPr>
          <w:color w:val="auto"/>
        </w:rPr>
      </w:pPr>
      <w:r>
        <w:rPr>
          <w:rFonts w:ascii="宋体" w:hAnsi="宋体"/>
          <w:color w:val="auto"/>
        </w:rPr>
        <w:t>（签字）</w:t>
      </w:r>
      <w:r>
        <w:rPr>
          <w:color w:val="auto"/>
        </w:rPr>
        <w:t xml:space="preserve">                                     </w:t>
      </w:r>
      <w:r>
        <w:rPr>
          <w:rFonts w:ascii="宋体" w:hAnsi="宋体"/>
          <w:color w:val="auto"/>
        </w:rPr>
        <w:t>（签字）</w:t>
      </w:r>
    </w:p>
    <w:p w14:paraId="725A8B1C">
      <w:pPr>
        <w:pStyle w:val="159"/>
        <w:rPr>
          <w:color w:val="auto"/>
          <w:u w:val="single"/>
        </w:rPr>
      </w:pPr>
      <w:r>
        <w:rPr>
          <w:rFonts w:hint="eastAsia" w:ascii="宋体" w:hAnsi="宋体"/>
          <w:color w:val="auto"/>
        </w:rPr>
        <w:t>社会信用代码:</w:t>
      </w:r>
      <w:r>
        <w:rPr>
          <w:rFonts w:hint="eastAsia" w:ascii="MingLiU_HKSCS" w:hAnsi="MingLiU_HKSCS" w:cs="MingLiU_HKSCS"/>
          <w:color w:val="auto"/>
          <w:u w:val="single"/>
        </w:rPr>
        <w:t xml:space="preserve">             </w:t>
      </w:r>
      <w:r>
        <w:rPr>
          <w:color w:val="auto"/>
          <w:u w:val="single"/>
        </w:rPr>
        <w:t xml:space="preserve">  </w:t>
      </w:r>
      <w:r>
        <w:rPr>
          <w:color w:val="auto"/>
        </w:rPr>
        <w:t xml:space="preserve">                </w:t>
      </w:r>
      <w:r>
        <w:rPr>
          <w:rFonts w:hint="eastAsia" w:ascii="宋体" w:hAnsi="宋体"/>
          <w:color w:val="auto"/>
        </w:rPr>
        <w:t xml:space="preserve">  社会信用代码</w:t>
      </w:r>
      <w:r>
        <w:rPr>
          <w:rFonts w:ascii="宋体" w:hAnsi="宋体"/>
          <w:color w:val="auto"/>
        </w:rPr>
        <w:t>：</w:t>
      </w:r>
      <w:r>
        <w:rPr>
          <w:rFonts w:hint="eastAsia" w:ascii="MingLiU_HKSCS" w:hAnsi="MingLiU_HKSCS" w:cs="MingLiU_HKSCS"/>
          <w:color w:val="auto"/>
          <w:u w:val="single"/>
        </w:rPr>
        <w:t xml:space="preserve">                   </w:t>
      </w:r>
    </w:p>
    <w:p w14:paraId="76E39602">
      <w:pPr>
        <w:pStyle w:val="159"/>
        <w:spacing w:line="360" w:lineRule="auto"/>
        <w:rPr>
          <w:color w:val="auto"/>
        </w:rPr>
      </w:pPr>
      <w:r>
        <w:rPr>
          <w:rFonts w:ascii="宋体" w:hAnsi="宋体"/>
          <w:color w:val="auto"/>
        </w:rPr>
        <w:t>地</w:t>
      </w:r>
      <w:r>
        <w:rPr>
          <w:color w:val="auto"/>
        </w:rPr>
        <w:t xml:space="preserve">  </w:t>
      </w:r>
      <w:r>
        <w:rPr>
          <w:rFonts w:ascii="宋体" w:hAnsi="宋体"/>
          <w:color w:val="auto"/>
        </w:rPr>
        <w:t>址：</w:t>
      </w:r>
      <w:r>
        <w:rPr>
          <w:color w:val="auto"/>
          <w:u w:val="single"/>
        </w:rPr>
        <w:t xml:space="preserve"> </w:t>
      </w:r>
      <w:r>
        <w:rPr>
          <w:rFonts w:hint="eastAsia" w:ascii="MingLiU_HKSCS" w:hAnsi="MingLiU_HKSCS" w:cs="MingLiU_HKSCS"/>
          <w:color w:val="auto"/>
          <w:u w:val="single"/>
        </w:rPr>
        <w:t xml:space="preserve">              </w:t>
      </w:r>
      <w:r>
        <w:rPr>
          <w:color w:val="auto"/>
          <w:u w:val="single"/>
        </w:rPr>
        <w:t xml:space="preserve">    </w:t>
      </w:r>
      <w:r>
        <w:rPr>
          <w:color w:val="auto"/>
        </w:rPr>
        <w:t xml:space="preserve">                  </w:t>
      </w:r>
      <w:r>
        <w:rPr>
          <w:rFonts w:ascii="宋体" w:hAnsi="宋体"/>
          <w:color w:val="auto"/>
        </w:rPr>
        <w:t>地</w:t>
      </w:r>
      <w:r>
        <w:rPr>
          <w:color w:val="auto"/>
        </w:rPr>
        <w:t xml:space="preserve">  </w:t>
      </w:r>
      <w:r>
        <w:rPr>
          <w:rFonts w:ascii="宋体" w:hAnsi="宋体"/>
          <w:color w:val="auto"/>
        </w:rPr>
        <w:t>址：</w:t>
      </w:r>
      <w:r>
        <w:rPr>
          <w:rFonts w:hint="eastAsia" w:ascii="MingLiU_HKSCS" w:hAnsi="MingLiU_HKSCS" w:cs="MingLiU_HKSCS"/>
          <w:color w:val="auto"/>
          <w:u w:val="single"/>
        </w:rPr>
        <w:t xml:space="preserve">                  </w:t>
      </w:r>
      <w:r>
        <w:rPr>
          <w:color w:val="auto"/>
          <w:u w:val="single"/>
        </w:rPr>
        <w:t xml:space="preserve">      </w:t>
      </w:r>
    </w:p>
    <w:p w14:paraId="237BACDD">
      <w:pPr>
        <w:pStyle w:val="159"/>
        <w:spacing w:line="360" w:lineRule="auto"/>
        <w:rPr>
          <w:color w:val="auto"/>
        </w:rPr>
      </w:pPr>
      <w:r>
        <w:rPr>
          <w:rFonts w:ascii="宋体" w:hAnsi="宋体"/>
          <w:color w:val="auto"/>
        </w:rPr>
        <w:t>邮政编码：</w:t>
      </w:r>
      <w:r>
        <w:rPr>
          <w:color w:val="auto"/>
          <w:u w:val="single"/>
        </w:rPr>
        <w:t xml:space="preserve"> </w:t>
      </w:r>
      <w:r>
        <w:rPr>
          <w:rFonts w:hint="eastAsia" w:ascii="MingLiU_HKSCS" w:hAnsi="MingLiU_HKSCS" w:cs="MingLiU_HKSCS"/>
          <w:color w:val="auto"/>
          <w:u w:val="single"/>
        </w:rPr>
        <w:t xml:space="preserve">             </w:t>
      </w:r>
      <w:r>
        <w:rPr>
          <w:color w:val="auto"/>
          <w:u w:val="single"/>
        </w:rPr>
        <w:t xml:space="preserve">    </w:t>
      </w:r>
      <w:r>
        <w:rPr>
          <w:color w:val="auto"/>
        </w:rPr>
        <w:t xml:space="preserve">                 </w:t>
      </w:r>
      <w:r>
        <w:rPr>
          <w:rFonts w:ascii="宋体" w:hAnsi="宋体"/>
          <w:color w:val="auto"/>
        </w:rPr>
        <w:t>邮政编码：</w:t>
      </w:r>
      <w:r>
        <w:rPr>
          <w:rFonts w:hint="eastAsia" w:ascii="MingLiU_HKSCS" w:hAnsi="MingLiU_HKSCS" w:cs="MingLiU_HKSCS"/>
          <w:color w:val="auto"/>
          <w:u w:val="single"/>
        </w:rPr>
        <w:t xml:space="preserve">                    </w:t>
      </w:r>
      <w:r>
        <w:rPr>
          <w:color w:val="auto"/>
          <w:u w:val="single"/>
        </w:rPr>
        <w:t xml:space="preserve">   </w:t>
      </w:r>
    </w:p>
    <w:p w14:paraId="68381EE3">
      <w:pPr>
        <w:pStyle w:val="159"/>
        <w:spacing w:line="360" w:lineRule="auto"/>
        <w:rPr>
          <w:color w:val="auto"/>
        </w:rPr>
      </w:pPr>
      <w:r>
        <w:rPr>
          <w:rFonts w:ascii="宋体" w:hAnsi="宋体"/>
          <w:color w:val="auto"/>
        </w:rPr>
        <w:t>法定代表人：</w:t>
      </w:r>
      <w:r>
        <w:rPr>
          <w:rFonts w:hint="eastAsia" w:ascii="MingLiU_HKSCS" w:hAnsi="MingLiU_HKSCS" w:cs="MingLiU_HKSCS"/>
          <w:color w:val="auto"/>
          <w:u w:val="single"/>
        </w:rPr>
        <w:t xml:space="preserve">         </w:t>
      </w:r>
      <w:r>
        <w:rPr>
          <w:color w:val="auto"/>
          <w:u w:val="single"/>
        </w:rPr>
        <w:t xml:space="preserve">     </w:t>
      </w:r>
      <w:r>
        <w:rPr>
          <w:color w:val="auto"/>
        </w:rPr>
        <w:t xml:space="preserve">                  </w:t>
      </w:r>
      <w:r>
        <w:rPr>
          <w:rFonts w:ascii="宋体" w:hAnsi="宋体"/>
          <w:color w:val="auto"/>
        </w:rPr>
        <w:t>法定代表人：</w:t>
      </w:r>
      <w:r>
        <w:rPr>
          <w:rFonts w:hint="eastAsia" w:ascii="MingLiU_HKSCS" w:hAnsi="MingLiU_HKSCS" w:cs="MingLiU_HKSCS"/>
          <w:color w:val="auto"/>
          <w:u w:val="single"/>
        </w:rPr>
        <w:t xml:space="preserve">           </w:t>
      </w:r>
      <w:r>
        <w:rPr>
          <w:color w:val="auto"/>
          <w:u w:val="single"/>
        </w:rPr>
        <w:t xml:space="preserve">      </w:t>
      </w:r>
    </w:p>
    <w:p w14:paraId="4948B97E">
      <w:pPr>
        <w:pStyle w:val="159"/>
        <w:spacing w:line="360" w:lineRule="auto"/>
        <w:rPr>
          <w:color w:val="auto"/>
        </w:rPr>
      </w:pPr>
      <w:r>
        <w:rPr>
          <w:rFonts w:ascii="宋体" w:hAnsi="宋体"/>
          <w:color w:val="auto"/>
        </w:rPr>
        <w:t>委托代理人：</w:t>
      </w:r>
      <w:r>
        <w:rPr>
          <w:rFonts w:hint="eastAsia" w:ascii="MingLiU_HKSCS" w:hAnsi="MingLiU_HKSCS" w:cs="MingLiU_HKSCS"/>
          <w:color w:val="auto"/>
          <w:u w:val="single"/>
        </w:rPr>
        <w:t xml:space="preserve">            </w:t>
      </w:r>
      <w:r>
        <w:rPr>
          <w:color w:val="auto"/>
          <w:u w:val="single"/>
        </w:rPr>
        <w:t xml:space="preserve">    </w:t>
      </w:r>
      <w:r>
        <w:rPr>
          <w:color w:val="auto"/>
        </w:rPr>
        <w:t xml:space="preserve">                </w:t>
      </w:r>
      <w:r>
        <w:rPr>
          <w:rFonts w:ascii="宋体" w:hAnsi="宋体"/>
          <w:color w:val="auto"/>
        </w:rPr>
        <w:t>委托代理人：</w:t>
      </w:r>
      <w:r>
        <w:rPr>
          <w:rFonts w:hint="eastAsia" w:ascii="MingLiU_HKSCS" w:hAnsi="MingLiU_HKSCS" w:cs="MingLiU_HKSCS"/>
          <w:color w:val="auto"/>
          <w:u w:val="single"/>
        </w:rPr>
        <w:t xml:space="preserve">     </w:t>
      </w:r>
      <w:r>
        <w:rPr>
          <w:color w:val="auto"/>
          <w:u w:val="single"/>
        </w:rPr>
        <w:t xml:space="preserve">             </w:t>
      </w:r>
    </w:p>
    <w:p w14:paraId="71DB4008">
      <w:pPr>
        <w:pStyle w:val="159"/>
        <w:spacing w:line="360" w:lineRule="auto"/>
        <w:rPr>
          <w:color w:val="auto"/>
        </w:rPr>
      </w:pPr>
      <w:r>
        <w:rPr>
          <w:rFonts w:ascii="宋体" w:hAnsi="宋体"/>
          <w:color w:val="auto"/>
        </w:rPr>
        <w:t>电</w:t>
      </w:r>
      <w:r>
        <w:rPr>
          <w:color w:val="auto"/>
        </w:rPr>
        <w:t xml:space="preserve">  </w:t>
      </w:r>
      <w:r>
        <w:rPr>
          <w:rFonts w:ascii="宋体" w:hAnsi="宋体"/>
          <w:color w:val="auto"/>
        </w:rPr>
        <w:t>话：</w:t>
      </w:r>
      <w:r>
        <w:rPr>
          <w:rFonts w:hint="eastAsia" w:ascii="MingLiU_HKSCS" w:hAnsi="MingLiU_HKSCS" w:cs="MingLiU_HKSCS"/>
          <w:color w:val="auto"/>
          <w:u w:val="single"/>
        </w:rPr>
        <w:t xml:space="preserve">               </w:t>
      </w:r>
      <w:r>
        <w:rPr>
          <w:color w:val="auto"/>
          <w:u w:val="single"/>
        </w:rPr>
        <w:t xml:space="preserve">   </w:t>
      </w:r>
      <w:r>
        <w:rPr>
          <w:color w:val="auto"/>
        </w:rPr>
        <w:t xml:space="preserve">                  </w:t>
      </w:r>
      <w:r>
        <w:rPr>
          <w:rFonts w:ascii="宋体" w:hAnsi="宋体"/>
          <w:color w:val="auto"/>
        </w:rPr>
        <w:t>电</w:t>
      </w:r>
      <w:r>
        <w:rPr>
          <w:color w:val="auto"/>
        </w:rPr>
        <w:t xml:space="preserve">  </w:t>
      </w:r>
      <w:r>
        <w:rPr>
          <w:rFonts w:ascii="宋体" w:hAnsi="宋体"/>
          <w:color w:val="auto"/>
        </w:rPr>
        <w:t>话：</w:t>
      </w:r>
      <w:r>
        <w:rPr>
          <w:rFonts w:hint="eastAsia" w:ascii="MingLiU_HKSCS" w:hAnsi="MingLiU_HKSCS" w:cs="MingLiU_HKSCS"/>
          <w:color w:val="auto"/>
          <w:u w:val="single"/>
        </w:rPr>
        <w:t xml:space="preserve">                 </w:t>
      </w:r>
      <w:r>
        <w:rPr>
          <w:color w:val="auto"/>
          <w:u w:val="single"/>
        </w:rPr>
        <w:t xml:space="preserve">     </w:t>
      </w:r>
    </w:p>
    <w:p w14:paraId="0FA516CE">
      <w:pPr>
        <w:pStyle w:val="159"/>
        <w:spacing w:line="360" w:lineRule="auto"/>
        <w:rPr>
          <w:color w:val="auto"/>
        </w:rPr>
      </w:pPr>
      <w:r>
        <w:rPr>
          <w:rFonts w:ascii="宋体" w:hAnsi="宋体"/>
          <w:color w:val="auto"/>
        </w:rPr>
        <w:t>传</w:t>
      </w:r>
      <w:r>
        <w:rPr>
          <w:color w:val="auto"/>
        </w:rPr>
        <w:t xml:space="preserve">  </w:t>
      </w:r>
      <w:r>
        <w:rPr>
          <w:rFonts w:ascii="宋体" w:hAnsi="宋体"/>
          <w:color w:val="auto"/>
        </w:rPr>
        <w:t>真：</w:t>
      </w:r>
      <w:r>
        <w:rPr>
          <w:rFonts w:hint="eastAsia" w:ascii="MingLiU_HKSCS" w:hAnsi="MingLiU_HKSCS" w:cs="MingLiU_HKSCS"/>
          <w:color w:val="auto"/>
          <w:u w:val="single"/>
        </w:rPr>
        <w:t xml:space="preserve">               </w:t>
      </w:r>
      <w:r>
        <w:rPr>
          <w:color w:val="auto"/>
          <w:u w:val="single"/>
        </w:rPr>
        <w:t xml:space="preserve">   </w:t>
      </w:r>
      <w:r>
        <w:rPr>
          <w:color w:val="auto"/>
        </w:rPr>
        <w:t xml:space="preserve">                  </w:t>
      </w:r>
      <w:r>
        <w:rPr>
          <w:rFonts w:ascii="宋体" w:hAnsi="宋体"/>
          <w:color w:val="auto"/>
        </w:rPr>
        <w:t>传</w:t>
      </w:r>
      <w:r>
        <w:rPr>
          <w:color w:val="auto"/>
        </w:rPr>
        <w:t xml:space="preserve">  </w:t>
      </w:r>
      <w:r>
        <w:rPr>
          <w:rFonts w:ascii="宋体" w:hAnsi="宋体"/>
          <w:color w:val="auto"/>
        </w:rPr>
        <w:t>真：</w:t>
      </w:r>
      <w:r>
        <w:rPr>
          <w:rFonts w:hint="eastAsia" w:ascii="MingLiU_HKSCS" w:hAnsi="MingLiU_HKSCS" w:cs="MingLiU_HKSCS"/>
          <w:color w:val="auto"/>
          <w:u w:val="single"/>
        </w:rPr>
        <w:t xml:space="preserve">                   </w:t>
      </w:r>
      <w:r>
        <w:rPr>
          <w:color w:val="auto"/>
          <w:u w:val="single"/>
        </w:rPr>
        <w:t xml:space="preserve">   </w:t>
      </w:r>
    </w:p>
    <w:p w14:paraId="17ECC7A0">
      <w:pPr>
        <w:pStyle w:val="159"/>
        <w:spacing w:line="360" w:lineRule="auto"/>
        <w:rPr>
          <w:color w:val="auto"/>
        </w:rPr>
      </w:pPr>
      <w:r>
        <w:rPr>
          <w:rFonts w:ascii="宋体" w:hAnsi="宋体"/>
          <w:color w:val="auto"/>
        </w:rPr>
        <w:t>电子信箱：</w:t>
      </w:r>
      <w:r>
        <w:rPr>
          <w:color w:val="auto"/>
          <w:u w:val="single"/>
        </w:rPr>
        <w:t xml:space="preserve">                 </w:t>
      </w:r>
      <w:r>
        <w:rPr>
          <w:color w:val="auto"/>
        </w:rPr>
        <w:t xml:space="preserve">                  </w:t>
      </w:r>
      <w:r>
        <w:rPr>
          <w:rFonts w:ascii="宋体" w:hAnsi="宋体"/>
          <w:color w:val="auto"/>
        </w:rPr>
        <w:t>电子信箱：</w:t>
      </w:r>
      <w:r>
        <w:rPr>
          <w:rFonts w:hint="eastAsia" w:ascii="MingLiU_HKSCS" w:hAnsi="MingLiU_HKSCS" w:cs="MingLiU_HKSCS"/>
          <w:color w:val="auto"/>
          <w:u w:val="single"/>
        </w:rPr>
        <w:t xml:space="preserve">                  </w:t>
      </w:r>
      <w:r>
        <w:rPr>
          <w:color w:val="auto"/>
          <w:u w:val="single"/>
        </w:rPr>
        <w:t xml:space="preserve">   </w:t>
      </w:r>
    </w:p>
    <w:p w14:paraId="7F8786AF">
      <w:pPr>
        <w:pStyle w:val="159"/>
        <w:spacing w:line="360" w:lineRule="auto"/>
        <w:rPr>
          <w:rFonts w:ascii="宋体" w:hAnsi="宋体"/>
          <w:color w:val="auto"/>
        </w:rPr>
      </w:pPr>
      <w:r>
        <w:rPr>
          <w:rFonts w:ascii="宋体" w:hAnsi="宋体"/>
          <w:color w:val="auto"/>
        </w:rPr>
        <w:t>开户银行：</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 xml:space="preserve">                  开户银行：</w:t>
      </w:r>
      <w:r>
        <w:rPr>
          <w:rFonts w:hint="eastAsia" w:ascii="宋体" w:hAnsi="宋体"/>
          <w:color w:val="auto"/>
          <w:u w:val="single"/>
        </w:rPr>
        <w:t xml:space="preserve">                  </w:t>
      </w:r>
      <w:r>
        <w:rPr>
          <w:rFonts w:ascii="宋体" w:hAnsi="宋体"/>
          <w:color w:val="auto"/>
          <w:u w:val="single"/>
        </w:rPr>
        <w:t xml:space="preserve">   </w:t>
      </w:r>
    </w:p>
    <w:p w14:paraId="3669E7EA">
      <w:pPr>
        <w:pStyle w:val="159"/>
        <w:spacing w:line="360" w:lineRule="auto"/>
        <w:rPr>
          <w:rFonts w:ascii="宋体" w:hAnsi="宋体"/>
          <w:color w:val="auto"/>
        </w:rPr>
      </w:pPr>
      <w:r>
        <w:rPr>
          <w:rFonts w:ascii="宋体" w:hAnsi="宋体"/>
          <w:color w:val="auto"/>
        </w:rPr>
        <w:t xml:space="preserve">账  </w:t>
      </w:r>
      <w:r>
        <w:rPr>
          <w:rFonts w:hint="eastAsia" w:ascii="宋体" w:hAnsi="宋体"/>
          <w:color w:val="auto"/>
        </w:rPr>
        <w:t xml:space="preserve">  </w:t>
      </w:r>
      <w:r>
        <w:rPr>
          <w:rFonts w:ascii="宋体" w:hAnsi="宋体"/>
          <w:color w:val="auto"/>
        </w:rPr>
        <w:t>号：</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 xml:space="preserve">               </w:t>
      </w:r>
      <w:r>
        <w:rPr>
          <w:rFonts w:hint="eastAsia" w:ascii="宋体" w:hAnsi="宋体"/>
          <w:color w:val="auto"/>
        </w:rPr>
        <w:t xml:space="preserve">  </w:t>
      </w:r>
      <w:r>
        <w:rPr>
          <w:rFonts w:ascii="宋体" w:hAnsi="宋体"/>
          <w:color w:val="auto"/>
        </w:rPr>
        <w:t xml:space="preserve"> 账  </w:t>
      </w:r>
      <w:r>
        <w:rPr>
          <w:rFonts w:hint="eastAsia" w:ascii="宋体" w:hAnsi="宋体"/>
          <w:color w:val="auto"/>
        </w:rPr>
        <w:t xml:space="preserve">  </w:t>
      </w:r>
      <w:r>
        <w:rPr>
          <w:rFonts w:ascii="宋体" w:hAnsi="宋体"/>
          <w:color w:val="auto"/>
        </w:rPr>
        <w:t>号：</w:t>
      </w:r>
      <w:r>
        <w:rPr>
          <w:rFonts w:hint="eastAsia" w:ascii="宋体" w:hAnsi="宋体"/>
          <w:color w:val="auto"/>
          <w:u w:val="single"/>
        </w:rPr>
        <w:t xml:space="preserve">                    </w:t>
      </w:r>
      <w:r>
        <w:rPr>
          <w:rFonts w:ascii="宋体" w:hAnsi="宋体"/>
          <w:color w:val="auto"/>
          <w:u w:val="single"/>
        </w:rPr>
        <w:t xml:space="preserve"> </w:t>
      </w:r>
    </w:p>
    <w:p w14:paraId="1E3D482C">
      <w:pPr>
        <w:pStyle w:val="159"/>
        <w:spacing w:line="360" w:lineRule="auto"/>
        <w:rPr>
          <w:rFonts w:ascii="宋体" w:hAnsi="宋体"/>
          <w:color w:val="auto"/>
        </w:rPr>
      </w:pPr>
      <w:r>
        <w:rPr>
          <w:rFonts w:ascii="宋体" w:hAnsi="宋体"/>
          <w:color w:val="auto"/>
        </w:rPr>
        <w:t xml:space="preserve">账  </w:t>
      </w:r>
      <w:r>
        <w:rPr>
          <w:rFonts w:hint="eastAsia" w:ascii="宋体" w:hAnsi="宋体"/>
          <w:color w:val="auto"/>
        </w:rPr>
        <w:t xml:space="preserve">  </w:t>
      </w:r>
      <w:r>
        <w:rPr>
          <w:rFonts w:ascii="宋体" w:hAnsi="宋体"/>
          <w:color w:val="auto"/>
        </w:rPr>
        <w:t>号：</w:t>
      </w:r>
      <w:r>
        <w:rPr>
          <w:rFonts w:ascii="宋体" w:hAnsi="宋体"/>
          <w:color w:val="auto"/>
          <w:u w:val="single"/>
        </w:rPr>
        <w:t xml:space="preserve">     </w:t>
      </w:r>
      <w:r>
        <w:rPr>
          <w:rFonts w:ascii="宋体" w:hAnsi="宋体"/>
          <w:color w:val="auto"/>
        </w:rPr>
        <w:t xml:space="preserve">                 </w:t>
      </w:r>
      <w:r>
        <w:rPr>
          <w:rFonts w:hint="eastAsia" w:ascii="宋体" w:hAnsi="宋体"/>
          <w:color w:val="auto"/>
        </w:rPr>
        <w:t xml:space="preserve"> </w:t>
      </w:r>
      <w:r>
        <w:rPr>
          <w:rFonts w:ascii="宋体" w:hAnsi="宋体"/>
          <w:color w:val="auto"/>
        </w:rPr>
        <w:t xml:space="preserve">账 </w:t>
      </w:r>
      <w:r>
        <w:rPr>
          <w:rFonts w:hint="eastAsia" w:ascii="宋体" w:hAnsi="宋体"/>
          <w:color w:val="auto"/>
        </w:rPr>
        <w:t xml:space="preserve">  </w:t>
      </w:r>
      <w:r>
        <w:rPr>
          <w:rFonts w:ascii="宋体" w:hAnsi="宋体"/>
          <w:color w:val="auto"/>
        </w:rPr>
        <w:t xml:space="preserve"> 号：</w:t>
      </w:r>
      <w:r>
        <w:rPr>
          <w:rFonts w:ascii="宋体" w:hAnsi="宋体"/>
          <w:color w:val="auto"/>
          <w:u w:val="single"/>
        </w:rPr>
        <w:t xml:space="preserve">     </w:t>
      </w:r>
    </w:p>
    <w:p w14:paraId="0AFD58A4">
      <w:pPr>
        <w:keepNext/>
        <w:keepLines/>
        <w:spacing w:before="260" w:after="260" w:line="413" w:lineRule="auto"/>
        <w:jc w:val="center"/>
        <w:outlineLvl w:val="0"/>
        <w:rPr>
          <w:rFonts w:ascii="华文中宋" w:hAnsi="华文中宋" w:eastAsia="华文中宋"/>
          <w:b/>
          <w:bCs/>
          <w:color w:val="auto"/>
          <w:sz w:val="32"/>
          <w:szCs w:val="32"/>
        </w:rPr>
      </w:pPr>
    </w:p>
    <w:p w14:paraId="3C21020D">
      <w:pPr>
        <w:keepNext/>
        <w:keepLines/>
        <w:spacing w:before="260" w:after="260" w:line="413" w:lineRule="auto"/>
        <w:jc w:val="center"/>
        <w:outlineLvl w:val="0"/>
        <w:rPr>
          <w:rFonts w:ascii="华文中宋" w:hAnsi="华文中宋" w:eastAsia="华文中宋"/>
          <w:b/>
          <w:bCs/>
          <w:color w:val="auto"/>
          <w:sz w:val="32"/>
          <w:szCs w:val="32"/>
        </w:rPr>
      </w:pPr>
    </w:p>
    <w:p w14:paraId="0BDD64B5">
      <w:pPr>
        <w:keepNext/>
        <w:keepLines/>
        <w:spacing w:before="260" w:after="260" w:line="413" w:lineRule="auto"/>
        <w:jc w:val="center"/>
        <w:outlineLvl w:val="0"/>
        <w:rPr>
          <w:rFonts w:ascii="华文中宋" w:hAnsi="华文中宋" w:eastAsia="华文中宋"/>
          <w:b/>
          <w:bCs/>
          <w:color w:val="auto"/>
          <w:sz w:val="32"/>
          <w:szCs w:val="32"/>
        </w:rPr>
      </w:pPr>
    </w:p>
    <w:p w14:paraId="288DAB0A">
      <w:pPr>
        <w:pStyle w:val="2"/>
        <w:rPr>
          <w:color w:val="auto"/>
        </w:rPr>
      </w:pPr>
    </w:p>
    <w:p w14:paraId="7F35E3D2">
      <w:pPr>
        <w:keepNext/>
        <w:keepLines/>
        <w:spacing w:before="260" w:after="260" w:line="413" w:lineRule="auto"/>
        <w:jc w:val="center"/>
        <w:outlineLvl w:val="0"/>
        <w:rPr>
          <w:rFonts w:ascii="华文中宋" w:hAnsi="华文中宋" w:eastAsia="华文中宋"/>
          <w:b/>
          <w:bCs/>
          <w:color w:val="auto"/>
          <w:sz w:val="32"/>
          <w:szCs w:val="32"/>
        </w:rPr>
      </w:pPr>
      <w:bookmarkStart w:id="256" w:name="_Toc17359"/>
      <w:r>
        <w:rPr>
          <w:rFonts w:ascii="华文中宋" w:hAnsi="华文中宋" w:eastAsia="华文中宋"/>
          <w:b/>
          <w:bCs/>
          <w:color w:val="auto"/>
          <w:sz w:val="32"/>
          <w:szCs w:val="32"/>
        </w:rPr>
        <w:t>第二部分 通用合同条款</w:t>
      </w:r>
      <w:bookmarkEnd w:id="161"/>
      <w:bookmarkEnd w:id="162"/>
      <w:bookmarkEnd w:id="163"/>
      <w:bookmarkEnd w:id="256"/>
      <w:bookmarkStart w:id="257" w:name="_Toc337558727"/>
    </w:p>
    <w:p w14:paraId="552B9B28">
      <w:pPr>
        <w:pStyle w:val="5"/>
        <w:tabs>
          <w:tab w:val="left" w:pos="900"/>
        </w:tabs>
        <w:rPr>
          <w:color w:val="auto"/>
        </w:rPr>
      </w:pPr>
      <w:bookmarkStart w:id="258" w:name="_Toc14349"/>
      <w:bookmarkStart w:id="259" w:name="_Toc12286"/>
      <w:bookmarkStart w:id="260" w:name="_Toc17264"/>
      <w:bookmarkStart w:id="261" w:name="_Toc15679"/>
      <w:bookmarkStart w:id="262" w:name="_Toc525396170"/>
      <w:bookmarkStart w:id="263" w:name="_Toc351203495"/>
      <w:r>
        <w:rPr>
          <w:color w:val="auto"/>
        </w:rPr>
        <w:t>1.</w:t>
      </w:r>
      <w:bookmarkStart w:id="264" w:name="_Toc303538975"/>
      <w:bookmarkEnd w:id="264"/>
      <w:bookmarkStart w:id="265" w:name="_Toc303538976"/>
      <w:bookmarkEnd w:id="265"/>
      <w:bookmarkStart w:id="266" w:name="_Toc303538973"/>
      <w:bookmarkEnd w:id="266"/>
      <w:bookmarkStart w:id="267" w:name="_Toc303538972"/>
      <w:bookmarkEnd w:id="267"/>
      <w:bookmarkStart w:id="268" w:name="_Toc303538974"/>
      <w:bookmarkEnd w:id="268"/>
      <w:bookmarkStart w:id="269" w:name="_Toc296503027"/>
      <w:bookmarkStart w:id="270" w:name="_Toc296346528"/>
      <w:r>
        <w:rPr>
          <w:color w:val="auto"/>
        </w:rPr>
        <w:t xml:space="preserve"> </w:t>
      </w:r>
      <w:r>
        <w:rPr>
          <w:rFonts w:hint="eastAsia" w:cs="宋体"/>
          <w:color w:val="auto"/>
        </w:rPr>
        <w:t>一般约定</w:t>
      </w:r>
      <w:bookmarkEnd w:id="258"/>
      <w:bookmarkEnd w:id="259"/>
      <w:bookmarkEnd w:id="260"/>
      <w:bookmarkEnd w:id="261"/>
      <w:bookmarkEnd w:id="262"/>
      <w:bookmarkEnd w:id="269"/>
      <w:bookmarkEnd w:id="270"/>
    </w:p>
    <w:p w14:paraId="46561443">
      <w:pPr>
        <w:pStyle w:val="6"/>
        <w:tabs>
          <w:tab w:val="left" w:pos="2155"/>
        </w:tabs>
        <w:rPr>
          <w:color w:val="auto"/>
        </w:rPr>
      </w:pPr>
      <w:bookmarkStart w:id="271" w:name="_Toc296346529"/>
      <w:bookmarkStart w:id="272" w:name="_Toc337558728"/>
      <w:bookmarkStart w:id="273" w:name="_Toc296503028"/>
      <w:bookmarkStart w:id="274" w:name="_Toc351203496"/>
      <w:r>
        <w:rPr>
          <w:color w:val="auto"/>
        </w:rPr>
        <w:t>1.1</w:t>
      </w:r>
      <w:r>
        <w:rPr>
          <w:rFonts w:hint="eastAsia"/>
          <w:color w:val="auto"/>
        </w:rPr>
        <w:t>词语定义</w:t>
      </w:r>
      <w:bookmarkEnd w:id="271"/>
      <w:bookmarkEnd w:id="272"/>
      <w:bookmarkEnd w:id="273"/>
      <w:r>
        <w:rPr>
          <w:rFonts w:hint="eastAsia"/>
          <w:color w:val="auto"/>
        </w:rPr>
        <w:t>与解释</w:t>
      </w:r>
      <w:bookmarkEnd w:id="274"/>
    </w:p>
    <w:p w14:paraId="57766C1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合同协议书、通用合同条款、专用合同条款中的下列词语具有本款所赋予的含义：</w:t>
      </w:r>
    </w:p>
    <w:p w14:paraId="33E3193D">
      <w:pPr>
        <w:autoSpaceDE w:val="0"/>
        <w:autoSpaceDN w:val="0"/>
        <w:adjustRightInd w:val="0"/>
        <w:spacing w:line="360" w:lineRule="auto"/>
        <w:jc w:val="left"/>
        <w:rPr>
          <w:rFonts w:hAnsi="宋体"/>
          <w:color w:val="auto"/>
          <w:kern w:val="0"/>
          <w:szCs w:val="21"/>
        </w:rPr>
      </w:pPr>
      <w:r>
        <w:rPr>
          <w:rFonts w:hAnsi="宋体"/>
          <w:color w:val="auto"/>
          <w:kern w:val="0"/>
          <w:szCs w:val="21"/>
        </w:rPr>
        <w:t xml:space="preserve">    1.1.1 </w:t>
      </w:r>
      <w:r>
        <w:rPr>
          <w:rFonts w:hint="eastAsia" w:hAnsi="宋体"/>
          <w:color w:val="auto"/>
          <w:kern w:val="0"/>
          <w:szCs w:val="21"/>
        </w:rPr>
        <w:t>合同</w:t>
      </w:r>
    </w:p>
    <w:p w14:paraId="60F0F800">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1.1.1.1 </w:t>
      </w:r>
      <w:r>
        <w:rPr>
          <w:rFonts w:hint="eastAsia" w:hAnsi="宋体"/>
          <w:color w:val="auto"/>
          <w:kern w:val="0"/>
          <w:szCs w:val="21"/>
        </w:rPr>
        <w:t>合同：是指根据法律规定和合同当事人约定具有约束力的文件，构成合同的文件包括合同协议书、中标通知书（如果有）、投标函及其附录（如果有）、专用合同条款</w:t>
      </w:r>
      <w:r>
        <w:rPr>
          <w:rFonts w:hint="eastAsia" w:hAnsi="宋体"/>
          <w:color w:val="auto"/>
          <w:szCs w:val="21"/>
        </w:rPr>
        <w:t>及其附件</w:t>
      </w:r>
      <w:r>
        <w:rPr>
          <w:rFonts w:hint="eastAsia" w:hAnsi="宋体"/>
          <w:color w:val="auto"/>
          <w:kern w:val="0"/>
          <w:szCs w:val="21"/>
        </w:rPr>
        <w:t>、通用合同条款、技术标准和要求、图纸、已标价工程量清单或预算书以及其他合同文件。</w:t>
      </w:r>
    </w:p>
    <w:p w14:paraId="159D1415">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1.1.1.2 </w:t>
      </w:r>
      <w:r>
        <w:rPr>
          <w:rFonts w:hint="eastAsia" w:hAnsi="宋体"/>
          <w:color w:val="auto"/>
          <w:kern w:val="0"/>
          <w:szCs w:val="21"/>
        </w:rPr>
        <w:t>合同协议书：是指构成合同的由发包人和承包人共同签署的称为</w:t>
      </w:r>
      <w:r>
        <w:rPr>
          <w:rFonts w:hAnsi="宋体"/>
          <w:color w:val="auto"/>
          <w:kern w:val="0"/>
          <w:szCs w:val="21"/>
        </w:rPr>
        <w:t>“</w:t>
      </w:r>
      <w:r>
        <w:rPr>
          <w:rFonts w:hint="eastAsia" w:hAnsi="宋体"/>
          <w:color w:val="auto"/>
          <w:kern w:val="0"/>
          <w:szCs w:val="21"/>
        </w:rPr>
        <w:t>合同协议书</w:t>
      </w:r>
      <w:r>
        <w:rPr>
          <w:rFonts w:hAnsi="宋体"/>
          <w:color w:val="auto"/>
          <w:kern w:val="0"/>
          <w:szCs w:val="21"/>
        </w:rPr>
        <w:t>”</w:t>
      </w:r>
      <w:r>
        <w:rPr>
          <w:rFonts w:hint="eastAsia" w:hAnsi="宋体"/>
          <w:color w:val="auto"/>
          <w:kern w:val="0"/>
          <w:szCs w:val="21"/>
        </w:rPr>
        <w:t>的书面文件。</w:t>
      </w:r>
    </w:p>
    <w:p w14:paraId="27090621">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1.1.1.3 </w:t>
      </w:r>
      <w:r>
        <w:rPr>
          <w:rFonts w:hint="eastAsia" w:hAnsi="宋体"/>
          <w:color w:val="auto"/>
          <w:kern w:val="0"/>
          <w:szCs w:val="21"/>
        </w:rPr>
        <w:t>中标通知书：是指构成合同的由发包人通知承包人中标的书面文件。</w:t>
      </w:r>
    </w:p>
    <w:p w14:paraId="1B8A6FCE">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1.1.1.4 </w:t>
      </w:r>
      <w:r>
        <w:rPr>
          <w:rFonts w:hint="eastAsia" w:hAnsi="宋体"/>
          <w:color w:val="auto"/>
          <w:kern w:val="0"/>
          <w:szCs w:val="21"/>
        </w:rPr>
        <w:t>投标函：是指构成合同的由承包人填写并签署的用于投标的称为</w:t>
      </w:r>
      <w:r>
        <w:rPr>
          <w:rFonts w:hAnsi="宋体"/>
          <w:color w:val="auto"/>
          <w:kern w:val="0"/>
          <w:szCs w:val="21"/>
        </w:rPr>
        <w:t>“</w:t>
      </w:r>
      <w:r>
        <w:rPr>
          <w:rFonts w:hint="eastAsia" w:hAnsi="宋体"/>
          <w:color w:val="auto"/>
          <w:kern w:val="0"/>
          <w:szCs w:val="21"/>
        </w:rPr>
        <w:t>投标函</w:t>
      </w:r>
      <w:r>
        <w:rPr>
          <w:rFonts w:hAnsi="宋体"/>
          <w:color w:val="auto"/>
          <w:kern w:val="0"/>
          <w:szCs w:val="21"/>
        </w:rPr>
        <w:t>”</w:t>
      </w:r>
      <w:r>
        <w:rPr>
          <w:rFonts w:hint="eastAsia" w:hAnsi="宋体"/>
          <w:color w:val="auto"/>
          <w:kern w:val="0"/>
          <w:szCs w:val="21"/>
        </w:rPr>
        <w:t>的文件。</w:t>
      </w:r>
    </w:p>
    <w:p w14:paraId="6191539A">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1.1.1.5 </w:t>
      </w:r>
      <w:r>
        <w:rPr>
          <w:rFonts w:hint="eastAsia" w:hAnsi="宋体"/>
          <w:color w:val="auto"/>
          <w:kern w:val="0"/>
          <w:szCs w:val="21"/>
        </w:rPr>
        <w:t>投标函附录：是指构成合同的附在投标函后的称为</w:t>
      </w:r>
      <w:r>
        <w:rPr>
          <w:rFonts w:hAnsi="宋体"/>
          <w:color w:val="auto"/>
          <w:kern w:val="0"/>
          <w:szCs w:val="21"/>
        </w:rPr>
        <w:t>“</w:t>
      </w:r>
      <w:r>
        <w:rPr>
          <w:rFonts w:hint="eastAsia" w:hAnsi="宋体"/>
          <w:color w:val="auto"/>
          <w:kern w:val="0"/>
          <w:szCs w:val="21"/>
        </w:rPr>
        <w:t>投标函附录</w:t>
      </w:r>
      <w:r>
        <w:rPr>
          <w:rFonts w:hAnsi="宋体"/>
          <w:color w:val="auto"/>
          <w:kern w:val="0"/>
          <w:szCs w:val="21"/>
        </w:rPr>
        <w:t>”</w:t>
      </w:r>
      <w:r>
        <w:rPr>
          <w:rFonts w:hint="eastAsia" w:hAnsi="宋体"/>
          <w:color w:val="auto"/>
          <w:kern w:val="0"/>
          <w:szCs w:val="21"/>
        </w:rPr>
        <w:t>的文件。</w:t>
      </w:r>
    </w:p>
    <w:p w14:paraId="7A0F89D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1.1.1.6 </w:t>
      </w:r>
      <w:r>
        <w:rPr>
          <w:rFonts w:hint="eastAsia" w:hAnsi="宋体"/>
          <w:color w:val="auto"/>
          <w:kern w:val="0"/>
          <w:szCs w:val="21"/>
        </w:rPr>
        <w:t>技术标准和要求：是指构成合同的施工应当遵守的或指导施工的国家、行业或地方的技术标准和要求，以及合同约定的技术标准和要求。</w:t>
      </w:r>
    </w:p>
    <w:p w14:paraId="56BD00FD">
      <w:pPr>
        <w:spacing w:line="360" w:lineRule="auto"/>
        <w:ind w:firstLine="420" w:firstLineChars="200"/>
        <w:jc w:val="left"/>
        <w:rPr>
          <w:rFonts w:hAnsi="宋体"/>
          <w:color w:val="auto"/>
          <w:kern w:val="0"/>
          <w:szCs w:val="21"/>
        </w:rPr>
      </w:pPr>
      <w:r>
        <w:rPr>
          <w:rFonts w:hAnsi="宋体"/>
          <w:color w:val="auto"/>
          <w:kern w:val="0"/>
          <w:szCs w:val="21"/>
        </w:rPr>
        <w:t xml:space="preserve">1.1.1.7 </w:t>
      </w:r>
      <w:r>
        <w:rPr>
          <w:rFonts w:hint="eastAsia" w:hAnsi="宋体"/>
          <w:color w:val="auto"/>
          <w:kern w:val="0"/>
          <w:szCs w:val="21"/>
        </w:rPr>
        <w:t>图纸：是指构成合同的图纸，包括由发包人按照合同约定提供或经发包人批准的设计文件、施工图、鸟瞰图及模型等，以及在合同履行过程中形成的图纸文件。图纸应当按照法律规定审查合格。</w:t>
      </w:r>
    </w:p>
    <w:p w14:paraId="48367F7D">
      <w:pPr>
        <w:autoSpaceDE w:val="0"/>
        <w:autoSpaceDN w:val="0"/>
        <w:adjustRightInd w:val="0"/>
        <w:spacing w:line="360" w:lineRule="auto"/>
        <w:ind w:firstLine="409" w:firstLineChars="195"/>
        <w:jc w:val="left"/>
        <w:rPr>
          <w:rFonts w:hAnsi="宋体"/>
          <w:color w:val="auto"/>
          <w:kern w:val="0"/>
          <w:szCs w:val="21"/>
        </w:rPr>
      </w:pPr>
      <w:r>
        <w:rPr>
          <w:rFonts w:hAnsi="宋体"/>
          <w:color w:val="auto"/>
          <w:kern w:val="0"/>
          <w:szCs w:val="21"/>
        </w:rPr>
        <w:t xml:space="preserve">1.1.1.8 </w:t>
      </w:r>
      <w:r>
        <w:rPr>
          <w:rFonts w:hint="eastAsia" w:hAnsi="宋体"/>
          <w:color w:val="auto"/>
          <w:kern w:val="0"/>
          <w:szCs w:val="21"/>
        </w:rPr>
        <w:t>已标价工程量清单：是指构成合同的由承包人按照规定的格式和要求填写并标明价格的工程量清单，包括说明和表格。</w:t>
      </w:r>
    </w:p>
    <w:p w14:paraId="67264D3D">
      <w:pPr>
        <w:autoSpaceDE w:val="0"/>
        <w:autoSpaceDN w:val="0"/>
        <w:adjustRightInd w:val="0"/>
        <w:spacing w:line="360" w:lineRule="auto"/>
        <w:ind w:firstLine="409" w:firstLineChars="195"/>
        <w:jc w:val="left"/>
        <w:rPr>
          <w:rFonts w:hAnsi="宋体"/>
          <w:color w:val="auto"/>
          <w:kern w:val="0"/>
          <w:szCs w:val="21"/>
        </w:rPr>
      </w:pPr>
      <w:r>
        <w:rPr>
          <w:rFonts w:hAnsi="宋体"/>
          <w:color w:val="auto"/>
          <w:kern w:val="0"/>
          <w:szCs w:val="21"/>
        </w:rPr>
        <w:t xml:space="preserve">1.1.1.9 </w:t>
      </w:r>
      <w:r>
        <w:rPr>
          <w:rFonts w:hint="eastAsia" w:hAnsi="宋体"/>
          <w:color w:val="auto"/>
          <w:kern w:val="0"/>
          <w:szCs w:val="21"/>
        </w:rPr>
        <w:t>预算书：是指构成合同的由承包人按照发包人规定的格式和要求编制的工程预算文件。</w:t>
      </w:r>
    </w:p>
    <w:p w14:paraId="603D463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1.1.1.10 </w:t>
      </w:r>
      <w:r>
        <w:rPr>
          <w:rFonts w:hint="eastAsia" w:hAnsi="宋体"/>
          <w:color w:val="auto"/>
          <w:kern w:val="0"/>
          <w:szCs w:val="21"/>
        </w:rPr>
        <w:t>其他合同文件：是指经合同当事人约定的与工程施工有关的具有合同约束力的文件或书面协议。合同当事人可以在专用合同条款中进行约定。</w:t>
      </w:r>
    </w:p>
    <w:p w14:paraId="553636A1">
      <w:pPr>
        <w:autoSpaceDE w:val="0"/>
        <w:autoSpaceDN w:val="0"/>
        <w:adjustRightInd w:val="0"/>
        <w:spacing w:line="360" w:lineRule="auto"/>
        <w:jc w:val="left"/>
        <w:rPr>
          <w:rFonts w:hAnsi="宋体"/>
          <w:color w:val="auto"/>
          <w:kern w:val="0"/>
          <w:szCs w:val="21"/>
        </w:rPr>
      </w:pPr>
      <w:r>
        <w:rPr>
          <w:rFonts w:hAnsi="宋体"/>
          <w:color w:val="auto"/>
          <w:kern w:val="0"/>
          <w:szCs w:val="21"/>
        </w:rPr>
        <w:t xml:space="preserve">    1.1.2 </w:t>
      </w:r>
      <w:r>
        <w:rPr>
          <w:rFonts w:hint="eastAsia" w:hAnsi="宋体"/>
          <w:color w:val="auto"/>
          <w:kern w:val="0"/>
          <w:szCs w:val="21"/>
        </w:rPr>
        <w:t>合同当事人及其他相关方</w:t>
      </w:r>
    </w:p>
    <w:p w14:paraId="0845E75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1.1.2.1 </w:t>
      </w:r>
      <w:r>
        <w:rPr>
          <w:rFonts w:hint="eastAsia" w:hAnsi="宋体"/>
          <w:color w:val="auto"/>
          <w:kern w:val="0"/>
          <w:szCs w:val="21"/>
        </w:rPr>
        <w:t>合同当事人：是指发包人和（或）承包人。</w:t>
      </w:r>
    </w:p>
    <w:p w14:paraId="27AB210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1.1.2.2 </w:t>
      </w:r>
      <w:r>
        <w:rPr>
          <w:rFonts w:hint="eastAsia" w:hAnsi="宋体"/>
          <w:color w:val="auto"/>
          <w:kern w:val="0"/>
          <w:szCs w:val="21"/>
        </w:rPr>
        <w:t>发包人：是指与承包人签订合同协议书的当事人及取得该当事人资格的合法继承人。</w:t>
      </w:r>
    </w:p>
    <w:p w14:paraId="22A4B5DE">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1.1.2.3 </w:t>
      </w:r>
      <w:r>
        <w:rPr>
          <w:rFonts w:hint="eastAsia" w:hAnsi="宋体"/>
          <w:color w:val="auto"/>
          <w:kern w:val="0"/>
          <w:szCs w:val="21"/>
        </w:rPr>
        <w:t>承包人：是指与发包人签订合同协议书的，具有相应工程施工承包资质的当事人及取得该当事人资格的合法继承人。</w:t>
      </w:r>
    </w:p>
    <w:p w14:paraId="1BB072D5">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1.1.2.4 </w:t>
      </w:r>
      <w:r>
        <w:rPr>
          <w:rFonts w:hint="eastAsia" w:hAnsi="宋体"/>
          <w:color w:val="auto"/>
          <w:kern w:val="0"/>
          <w:szCs w:val="21"/>
        </w:rPr>
        <w:t>监理人：是指在专用合同条款中指明的，受发包人委托按照法律规定进行工程监督管理的法人或其他组织。</w:t>
      </w:r>
    </w:p>
    <w:p w14:paraId="6AB0C06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1.1.2.5 </w:t>
      </w:r>
      <w:r>
        <w:rPr>
          <w:rFonts w:hint="eastAsia" w:hAnsi="宋体"/>
          <w:color w:val="auto"/>
          <w:kern w:val="0"/>
          <w:szCs w:val="21"/>
        </w:rPr>
        <w:t>设计人：是指在专用合同条款中指明的，受发包人委托负责工程设计并具备相应工程设计资质的法人或其他组织。</w:t>
      </w:r>
    </w:p>
    <w:p w14:paraId="05044CEC">
      <w:pPr>
        <w:spacing w:line="360" w:lineRule="auto"/>
        <w:ind w:firstLine="409" w:firstLineChars="195"/>
        <w:jc w:val="left"/>
        <w:rPr>
          <w:rFonts w:hAnsi="宋体"/>
          <w:color w:val="auto"/>
          <w:kern w:val="0"/>
          <w:szCs w:val="21"/>
        </w:rPr>
      </w:pPr>
      <w:r>
        <w:rPr>
          <w:rFonts w:hAnsi="宋体"/>
          <w:color w:val="auto"/>
          <w:kern w:val="0"/>
          <w:szCs w:val="21"/>
        </w:rPr>
        <w:t xml:space="preserve">1.1.2.6 </w:t>
      </w:r>
      <w:r>
        <w:rPr>
          <w:rFonts w:hint="eastAsia" w:hAnsi="宋体"/>
          <w:color w:val="auto"/>
          <w:kern w:val="0"/>
          <w:szCs w:val="21"/>
        </w:rPr>
        <w:t>分包人：</w:t>
      </w:r>
      <w:bookmarkStart w:id="275" w:name="#go5"/>
      <w:bookmarkEnd w:id="275"/>
      <w:r>
        <w:rPr>
          <w:rFonts w:hint="eastAsia" w:hAnsi="宋体"/>
          <w:color w:val="auto"/>
          <w:kern w:val="0"/>
          <w:szCs w:val="21"/>
        </w:rPr>
        <w:t>是指按照法律规定和合同约定，分包部分工程或工作，并与承包人签订分包合同的具有相应资质的法人。</w:t>
      </w:r>
    </w:p>
    <w:p w14:paraId="46561E4C">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1.1.2.7 </w:t>
      </w:r>
      <w:r>
        <w:rPr>
          <w:rFonts w:hint="eastAsia" w:hAnsi="宋体"/>
          <w:color w:val="auto"/>
          <w:kern w:val="0"/>
          <w:szCs w:val="21"/>
        </w:rPr>
        <w:t>发包人代表：是指由发包人任命并派驻施工现场在发包人授权范围内行使发包人权利的人。</w:t>
      </w:r>
    </w:p>
    <w:p w14:paraId="53FE281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1.1.2.8 </w:t>
      </w:r>
      <w:r>
        <w:rPr>
          <w:rFonts w:hint="eastAsia" w:hAnsi="宋体"/>
          <w:color w:val="auto"/>
          <w:kern w:val="0"/>
          <w:szCs w:val="21"/>
        </w:rPr>
        <w:t>项目经理：是指由承包人任命并派驻施工现场，在承包人授权范围内负责合同履行，且按照法律规定具有相应资格的项目负责人。</w:t>
      </w:r>
    </w:p>
    <w:p w14:paraId="2224AECF">
      <w:pPr>
        <w:spacing w:line="360" w:lineRule="auto"/>
        <w:ind w:firstLine="420" w:firstLineChars="200"/>
        <w:jc w:val="left"/>
        <w:rPr>
          <w:rFonts w:hAnsi="宋体"/>
          <w:color w:val="auto"/>
          <w:kern w:val="0"/>
          <w:szCs w:val="21"/>
        </w:rPr>
      </w:pPr>
      <w:r>
        <w:rPr>
          <w:rFonts w:hAnsi="宋体"/>
          <w:color w:val="auto"/>
          <w:kern w:val="0"/>
          <w:szCs w:val="21"/>
        </w:rPr>
        <w:t xml:space="preserve">1.1.2.9 </w:t>
      </w:r>
      <w:r>
        <w:rPr>
          <w:rFonts w:hint="eastAsia" w:hAnsi="宋体"/>
          <w:color w:val="auto"/>
          <w:kern w:val="0"/>
          <w:szCs w:val="21"/>
        </w:rPr>
        <w:t>总监理工程师：是指由监理人任命并派驻施工现场进行工程监理的总负责人。</w:t>
      </w:r>
    </w:p>
    <w:p w14:paraId="646938CF">
      <w:pPr>
        <w:spacing w:line="360" w:lineRule="auto"/>
        <w:ind w:firstLine="420" w:firstLineChars="200"/>
        <w:jc w:val="left"/>
        <w:rPr>
          <w:rFonts w:hAnsi="宋体"/>
          <w:color w:val="auto"/>
          <w:kern w:val="0"/>
          <w:szCs w:val="21"/>
        </w:rPr>
      </w:pPr>
      <w:r>
        <w:rPr>
          <w:rFonts w:hAnsi="宋体"/>
          <w:color w:val="auto"/>
          <w:kern w:val="0"/>
          <w:szCs w:val="21"/>
        </w:rPr>
        <w:t xml:space="preserve">1.1.3 </w:t>
      </w:r>
      <w:r>
        <w:rPr>
          <w:rFonts w:hint="eastAsia" w:hAnsi="宋体"/>
          <w:color w:val="auto"/>
          <w:kern w:val="0"/>
          <w:szCs w:val="21"/>
        </w:rPr>
        <w:t>工程和设备</w:t>
      </w:r>
    </w:p>
    <w:p w14:paraId="4890D2AB">
      <w:pPr>
        <w:spacing w:line="360" w:lineRule="auto"/>
        <w:ind w:firstLine="420" w:firstLineChars="200"/>
        <w:jc w:val="left"/>
        <w:rPr>
          <w:rFonts w:hAnsi="宋体"/>
          <w:color w:val="auto"/>
          <w:kern w:val="0"/>
          <w:szCs w:val="21"/>
        </w:rPr>
      </w:pPr>
      <w:r>
        <w:rPr>
          <w:rFonts w:hAnsi="宋体"/>
          <w:color w:val="auto"/>
          <w:kern w:val="0"/>
          <w:szCs w:val="21"/>
        </w:rPr>
        <w:t xml:space="preserve">1.1.3.1 </w:t>
      </w:r>
      <w:r>
        <w:rPr>
          <w:rFonts w:hint="eastAsia" w:hAnsi="宋体"/>
          <w:color w:val="auto"/>
          <w:kern w:val="0"/>
          <w:szCs w:val="21"/>
        </w:rPr>
        <w:t>工程：是指与合同协议书中工程承包范围对应的永久工程和（或）临时工程。</w:t>
      </w:r>
    </w:p>
    <w:p w14:paraId="3964EC00">
      <w:pPr>
        <w:spacing w:line="360" w:lineRule="auto"/>
        <w:ind w:firstLine="420" w:firstLineChars="200"/>
        <w:jc w:val="left"/>
        <w:rPr>
          <w:rFonts w:hAnsi="宋体"/>
          <w:color w:val="auto"/>
          <w:kern w:val="0"/>
          <w:szCs w:val="21"/>
        </w:rPr>
      </w:pPr>
      <w:r>
        <w:rPr>
          <w:rFonts w:hAnsi="宋体"/>
          <w:color w:val="auto"/>
          <w:kern w:val="0"/>
          <w:szCs w:val="21"/>
        </w:rPr>
        <w:t xml:space="preserve">1.1.3.2 </w:t>
      </w:r>
      <w:r>
        <w:rPr>
          <w:rFonts w:hint="eastAsia" w:hAnsi="宋体"/>
          <w:color w:val="auto"/>
          <w:kern w:val="0"/>
          <w:szCs w:val="21"/>
        </w:rPr>
        <w:t>永久工程：是指按合同约定建造并移交给发包人的工程，包括工程设备。</w:t>
      </w:r>
    </w:p>
    <w:p w14:paraId="500A7192">
      <w:pPr>
        <w:spacing w:line="360" w:lineRule="auto"/>
        <w:ind w:firstLine="420" w:firstLineChars="200"/>
        <w:jc w:val="left"/>
        <w:rPr>
          <w:rFonts w:hAnsi="宋体"/>
          <w:color w:val="auto"/>
          <w:kern w:val="0"/>
          <w:szCs w:val="21"/>
        </w:rPr>
      </w:pPr>
      <w:r>
        <w:rPr>
          <w:rFonts w:hAnsi="宋体"/>
          <w:color w:val="auto"/>
          <w:kern w:val="0"/>
          <w:szCs w:val="21"/>
        </w:rPr>
        <w:t xml:space="preserve">1.1.3.3 </w:t>
      </w:r>
      <w:r>
        <w:rPr>
          <w:rFonts w:hint="eastAsia" w:hAnsi="宋体"/>
          <w:color w:val="auto"/>
          <w:kern w:val="0"/>
          <w:szCs w:val="21"/>
        </w:rPr>
        <w:t>临时工程：是指为完成合同约定的永久工程所修建的各类临时性工程，不包括施工设备。</w:t>
      </w:r>
    </w:p>
    <w:p w14:paraId="49153C85">
      <w:pPr>
        <w:spacing w:line="360" w:lineRule="auto"/>
        <w:ind w:firstLine="420" w:firstLineChars="200"/>
        <w:jc w:val="left"/>
        <w:rPr>
          <w:rFonts w:hAnsi="宋体"/>
          <w:color w:val="auto"/>
          <w:kern w:val="0"/>
          <w:szCs w:val="21"/>
        </w:rPr>
      </w:pPr>
      <w:r>
        <w:rPr>
          <w:rFonts w:hAnsi="宋体"/>
          <w:color w:val="auto"/>
          <w:kern w:val="0"/>
          <w:szCs w:val="21"/>
        </w:rPr>
        <w:t xml:space="preserve">1.1.3.4 </w:t>
      </w:r>
      <w:r>
        <w:rPr>
          <w:rFonts w:hint="eastAsia" w:hAnsi="宋体"/>
          <w:color w:val="auto"/>
          <w:kern w:val="0"/>
          <w:szCs w:val="21"/>
        </w:rPr>
        <w:t>单位工程：是指在合同协议书中指明的，具备独立施工条件并能形成独立使用功能的永久工程。</w:t>
      </w:r>
    </w:p>
    <w:p w14:paraId="367C9213">
      <w:pPr>
        <w:spacing w:line="360" w:lineRule="auto"/>
        <w:ind w:firstLine="420" w:firstLineChars="200"/>
        <w:jc w:val="left"/>
        <w:rPr>
          <w:rFonts w:hAnsi="宋体"/>
          <w:color w:val="auto"/>
          <w:kern w:val="0"/>
          <w:szCs w:val="21"/>
        </w:rPr>
      </w:pPr>
      <w:r>
        <w:rPr>
          <w:rFonts w:hAnsi="宋体"/>
          <w:color w:val="auto"/>
          <w:kern w:val="0"/>
          <w:szCs w:val="21"/>
        </w:rPr>
        <w:t xml:space="preserve">1.1.3.5 </w:t>
      </w:r>
      <w:r>
        <w:rPr>
          <w:rFonts w:hint="eastAsia" w:hAnsi="宋体"/>
          <w:color w:val="auto"/>
          <w:kern w:val="0"/>
          <w:szCs w:val="21"/>
        </w:rPr>
        <w:t>工程设备：是指构成永久工程的机电设备、金属结构设备、仪器及其他类似的设备和装置。</w:t>
      </w:r>
    </w:p>
    <w:p w14:paraId="09D33E86">
      <w:pPr>
        <w:spacing w:line="360" w:lineRule="auto"/>
        <w:ind w:firstLine="420" w:firstLineChars="200"/>
        <w:jc w:val="left"/>
        <w:rPr>
          <w:rFonts w:hAnsi="宋体"/>
          <w:color w:val="auto"/>
          <w:kern w:val="0"/>
          <w:szCs w:val="21"/>
        </w:rPr>
      </w:pPr>
      <w:r>
        <w:rPr>
          <w:rFonts w:hAnsi="宋体"/>
          <w:color w:val="auto"/>
          <w:kern w:val="0"/>
          <w:szCs w:val="21"/>
        </w:rPr>
        <w:t xml:space="preserve">1.1.3.6 </w:t>
      </w:r>
      <w:r>
        <w:rPr>
          <w:rFonts w:hint="eastAsia" w:hAnsi="宋体"/>
          <w:color w:val="auto"/>
          <w:kern w:val="0"/>
          <w:szCs w:val="21"/>
        </w:rPr>
        <w:t>施工设备：是指为完成合同约定的各项工作所需的设备、器具和其他物品，但不包括工程设备、临时工程和材料。</w:t>
      </w:r>
    </w:p>
    <w:p w14:paraId="46E4B451">
      <w:pPr>
        <w:spacing w:line="360" w:lineRule="auto"/>
        <w:ind w:firstLine="420" w:firstLineChars="200"/>
        <w:jc w:val="left"/>
        <w:rPr>
          <w:rFonts w:hAnsi="宋体"/>
          <w:color w:val="auto"/>
          <w:kern w:val="0"/>
          <w:szCs w:val="21"/>
        </w:rPr>
      </w:pPr>
      <w:r>
        <w:rPr>
          <w:rFonts w:hAnsi="宋体"/>
          <w:color w:val="auto"/>
          <w:kern w:val="0"/>
          <w:szCs w:val="21"/>
        </w:rPr>
        <w:t xml:space="preserve">1.1.3.7 </w:t>
      </w:r>
      <w:r>
        <w:rPr>
          <w:rFonts w:hint="eastAsia" w:hAnsi="宋体"/>
          <w:color w:val="auto"/>
          <w:kern w:val="0"/>
          <w:szCs w:val="21"/>
        </w:rPr>
        <w:t>施工现场：是指用于工程施工的场所，以及在专用合同条款中指明作为施工场所组成部分的其他场所，包括永久占地和临时占地。</w:t>
      </w:r>
    </w:p>
    <w:p w14:paraId="5CAEA815">
      <w:pPr>
        <w:spacing w:line="360" w:lineRule="auto"/>
        <w:ind w:firstLine="420" w:firstLineChars="200"/>
        <w:jc w:val="left"/>
        <w:rPr>
          <w:rFonts w:hAnsi="宋体"/>
          <w:color w:val="auto"/>
          <w:kern w:val="0"/>
          <w:szCs w:val="21"/>
        </w:rPr>
      </w:pPr>
      <w:r>
        <w:rPr>
          <w:rFonts w:hAnsi="宋体"/>
          <w:color w:val="auto"/>
          <w:kern w:val="0"/>
          <w:szCs w:val="21"/>
        </w:rPr>
        <w:t>1.1.3.8</w:t>
      </w:r>
      <w:r>
        <w:rPr>
          <w:rFonts w:hint="eastAsia" w:hAnsi="宋体"/>
          <w:color w:val="auto"/>
          <w:kern w:val="0"/>
          <w:szCs w:val="21"/>
        </w:rPr>
        <w:t>临时设施：是指为完成合同约定的各项工作所服务的临时性生产和生活设施。</w:t>
      </w:r>
    </w:p>
    <w:p w14:paraId="141EBCE0">
      <w:pPr>
        <w:spacing w:line="360" w:lineRule="auto"/>
        <w:ind w:firstLine="420" w:firstLineChars="200"/>
        <w:jc w:val="left"/>
        <w:rPr>
          <w:rFonts w:hAnsi="宋体"/>
          <w:color w:val="auto"/>
          <w:kern w:val="0"/>
          <w:szCs w:val="21"/>
        </w:rPr>
      </w:pPr>
      <w:r>
        <w:rPr>
          <w:rFonts w:hAnsi="宋体"/>
          <w:color w:val="auto"/>
          <w:kern w:val="0"/>
          <w:szCs w:val="21"/>
        </w:rPr>
        <w:t xml:space="preserve">1.1.3.9 </w:t>
      </w:r>
      <w:r>
        <w:rPr>
          <w:rFonts w:hint="eastAsia" w:hAnsi="宋体"/>
          <w:color w:val="auto"/>
          <w:kern w:val="0"/>
          <w:szCs w:val="21"/>
        </w:rPr>
        <w:t>永久占地：是指专用合同条款中指明为实施工程需永久占用的土地。</w:t>
      </w:r>
    </w:p>
    <w:p w14:paraId="7A41FC50">
      <w:pPr>
        <w:spacing w:line="360" w:lineRule="auto"/>
        <w:ind w:firstLine="420" w:firstLineChars="200"/>
        <w:jc w:val="left"/>
        <w:rPr>
          <w:rFonts w:hAnsi="宋体"/>
          <w:color w:val="auto"/>
          <w:kern w:val="0"/>
          <w:szCs w:val="21"/>
        </w:rPr>
      </w:pPr>
      <w:r>
        <w:rPr>
          <w:rFonts w:hAnsi="宋体"/>
          <w:color w:val="auto"/>
          <w:kern w:val="0"/>
          <w:szCs w:val="21"/>
        </w:rPr>
        <w:t xml:space="preserve">1.1.3.10 </w:t>
      </w:r>
      <w:r>
        <w:rPr>
          <w:rFonts w:hint="eastAsia" w:hAnsi="宋体"/>
          <w:color w:val="auto"/>
          <w:kern w:val="0"/>
          <w:szCs w:val="21"/>
        </w:rPr>
        <w:t>临时占地：是指专用合同条款中指明为实施工程需要临时占用的土地。</w:t>
      </w:r>
    </w:p>
    <w:p w14:paraId="249A222F">
      <w:pPr>
        <w:spacing w:line="360" w:lineRule="auto"/>
        <w:ind w:firstLine="420" w:firstLineChars="200"/>
        <w:jc w:val="left"/>
        <w:rPr>
          <w:rFonts w:hAnsi="宋体"/>
          <w:color w:val="auto"/>
          <w:kern w:val="0"/>
          <w:szCs w:val="21"/>
        </w:rPr>
      </w:pPr>
      <w:r>
        <w:rPr>
          <w:rFonts w:hAnsi="宋体"/>
          <w:color w:val="auto"/>
          <w:kern w:val="0"/>
          <w:szCs w:val="21"/>
        </w:rPr>
        <w:t xml:space="preserve">1.1.4 </w:t>
      </w:r>
      <w:r>
        <w:rPr>
          <w:rFonts w:hint="eastAsia" w:hAnsi="宋体"/>
          <w:color w:val="auto"/>
          <w:kern w:val="0"/>
          <w:szCs w:val="21"/>
        </w:rPr>
        <w:t>日期和期限</w:t>
      </w:r>
    </w:p>
    <w:p w14:paraId="0675C2BE">
      <w:pPr>
        <w:spacing w:line="360" w:lineRule="auto"/>
        <w:ind w:firstLine="420" w:firstLineChars="200"/>
        <w:jc w:val="left"/>
        <w:rPr>
          <w:rFonts w:hAnsi="宋体"/>
          <w:color w:val="auto"/>
          <w:kern w:val="0"/>
          <w:szCs w:val="21"/>
        </w:rPr>
      </w:pPr>
      <w:r>
        <w:rPr>
          <w:rFonts w:hAnsi="宋体"/>
          <w:color w:val="auto"/>
          <w:kern w:val="0"/>
          <w:szCs w:val="21"/>
        </w:rPr>
        <w:t xml:space="preserve">1.1.4.1 </w:t>
      </w:r>
      <w:r>
        <w:rPr>
          <w:rFonts w:hint="eastAsia" w:hAnsi="宋体"/>
          <w:color w:val="auto"/>
          <w:kern w:val="0"/>
          <w:szCs w:val="21"/>
        </w:rPr>
        <w:t>开工日期：包括计划开工日期和实际开工日期。计划开工日期是指合同协议书约定的开工日期；实际开工日期是指监理人按照第</w:t>
      </w:r>
      <w:r>
        <w:rPr>
          <w:rFonts w:hAnsi="宋体"/>
          <w:color w:val="auto"/>
          <w:kern w:val="0"/>
          <w:szCs w:val="21"/>
        </w:rPr>
        <w:t>7.3.2</w:t>
      </w:r>
      <w:r>
        <w:rPr>
          <w:rFonts w:hint="eastAsia" w:hAnsi="宋体"/>
          <w:color w:val="auto"/>
          <w:kern w:val="0"/>
          <w:szCs w:val="21"/>
        </w:rPr>
        <w:t>项〔开工通知〕约定发出的符合法律规定的开工通知中载明的开工日期。</w:t>
      </w:r>
    </w:p>
    <w:p w14:paraId="31D5304E">
      <w:pPr>
        <w:spacing w:line="360" w:lineRule="auto"/>
        <w:ind w:firstLine="420" w:firstLineChars="200"/>
        <w:jc w:val="left"/>
        <w:rPr>
          <w:rFonts w:hAnsi="宋体"/>
          <w:color w:val="auto"/>
          <w:kern w:val="0"/>
          <w:szCs w:val="21"/>
        </w:rPr>
      </w:pPr>
      <w:r>
        <w:rPr>
          <w:rFonts w:hAnsi="宋体"/>
          <w:color w:val="auto"/>
          <w:kern w:val="0"/>
          <w:szCs w:val="21"/>
        </w:rPr>
        <w:t xml:space="preserve">1.1.4.2 </w:t>
      </w:r>
      <w:r>
        <w:rPr>
          <w:rFonts w:hint="eastAsia" w:hAnsi="宋体"/>
          <w:color w:val="auto"/>
          <w:kern w:val="0"/>
          <w:szCs w:val="21"/>
        </w:rPr>
        <w:t>竣工日期：包括计划竣工日期和实际竣工日期。计划竣工日期是指合同协议书约定的竣工日期；实际竣工日期按照第</w:t>
      </w:r>
      <w:r>
        <w:rPr>
          <w:rFonts w:hAnsi="宋体"/>
          <w:color w:val="auto"/>
          <w:kern w:val="0"/>
          <w:szCs w:val="21"/>
        </w:rPr>
        <w:t>13.2.3</w:t>
      </w:r>
      <w:r>
        <w:rPr>
          <w:rFonts w:hint="eastAsia" w:hAnsi="宋体"/>
          <w:color w:val="auto"/>
          <w:kern w:val="0"/>
          <w:szCs w:val="21"/>
        </w:rPr>
        <w:t>项〔竣工日期〕的约定确定。</w:t>
      </w:r>
      <w:r>
        <w:rPr>
          <w:rFonts w:hAnsi="宋体"/>
          <w:color w:val="auto"/>
          <w:kern w:val="0"/>
          <w:szCs w:val="21"/>
        </w:rPr>
        <w:t xml:space="preserve"> </w:t>
      </w:r>
    </w:p>
    <w:p w14:paraId="4AA0D066">
      <w:pPr>
        <w:spacing w:line="360" w:lineRule="auto"/>
        <w:ind w:firstLine="426" w:firstLineChars="203"/>
        <w:rPr>
          <w:rFonts w:hAnsi="宋体"/>
          <w:color w:val="auto"/>
          <w:szCs w:val="21"/>
        </w:rPr>
      </w:pPr>
      <w:r>
        <w:rPr>
          <w:rFonts w:hAnsi="宋体"/>
          <w:color w:val="auto"/>
          <w:kern w:val="0"/>
          <w:szCs w:val="21"/>
        </w:rPr>
        <w:t xml:space="preserve">1.1.4.3 </w:t>
      </w:r>
      <w:r>
        <w:rPr>
          <w:rFonts w:hint="eastAsia" w:hAnsi="宋体"/>
          <w:color w:val="auto"/>
          <w:kern w:val="0"/>
          <w:szCs w:val="21"/>
        </w:rPr>
        <w:t>工期：是指在合同协议书约定的承包人完成工程所需的期限，包括按照合同约定所作的期限变更。</w:t>
      </w:r>
    </w:p>
    <w:p w14:paraId="5D01338F">
      <w:pPr>
        <w:spacing w:line="360" w:lineRule="auto"/>
        <w:ind w:firstLine="420" w:firstLineChars="200"/>
        <w:jc w:val="left"/>
        <w:rPr>
          <w:rFonts w:hAnsi="宋体"/>
          <w:color w:val="auto"/>
          <w:kern w:val="0"/>
          <w:szCs w:val="21"/>
        </w:rPr>
      </w:pPr>
      <w:r>
        <w:rPr>
          <w:rFonts w:hAnsi="宋体"/>
          <w:color w:val="auto"/>
          <w:kern w:val="0"/>
          <w:szCs w:val="21"/>
        </w:rPr>
        <w:t xml:space="preserve">1.1.4.4 </w:t>
      </w:r>
      <w:r>
        <w:rPr>
          <w:rFonts w:hint="eastAsia" w:hAnsi="宋体"/>
          <w:color w:val="auto"/>
          <w:kern w:val="0"/>
          <w:szCs w:val="21"/>
        </w:rPr>
        <w:t>缺陷责任期：是指承包人按照合同约定承担缺陷修复义务，且发包人预留质量保证金的期限，自工程实际竣工日期起计算。</w:t>
      </w:r>
    </w:p>
    <w:p w14:paraId="193257A7">
      <w:pPr>
        <w:spacing w:line="360" w:lineRule="auto"/>
        <w:ind w:firstLine="420" w:firstLineChars="200"/>
        <w:jc w:val="left"/>
        <w:rPr>
          <w:rFonts w:hAnsi="宋体"/>
          <w:color w:val="auto"/>
          <w:kern w:val="0"/>
          <w:szCs w:val="21"/>
        </w:rPr>
      </w:pPr>
      <w:r>
        <w:rPr>
          <w:rFonts w:hAnsi="宋体"/>
          <w:color w:val="auto"/>
          <w:kern w:val="0"/>
          <w:szCs w:val="21"/>
        </w:rPr>
        <w:t xml:space="preserve">1.1.4.5 </w:t>
      </w:r>
      <w:r>
        <w:rPr>
          <w:rFonts w:hint="eastAsia" w:hAnsi="宋体"/>
          <w:color w:val="auto"/>
          <w:kern w:val="0"/>
          <w:szCs w:val="21"/>
        </w:rPr>
        <w:t>保修期：是指承包人按照合同约定对工程承担保修责任的期限，从工程竣工验收合格之日起计算。</w:t>
      </w:r>
    </w:p>
    <w:p w14:paraId="328784BE">
      <w:pPr>
        <w:spacing w:line="360" w:lineRule="auto"/>
        <w:ind w:firstLine="420" w:firstLineChars="200"/>
        <w:jc w:val="left"/>
        <w:rPr>
          <w:rFonts w:hAnsi="宋体"/>
          <w:color w:val="auto"/>
          <w:kern w:val="0"/>
          <w:szCs w:val="21"/>
        </w:rPr>
      </w:pPr>
      <w:r>
        <w:rPr>
          <w:rFonts w:hAnsi="宋体"/>
          <w:color w:val="auto"/>
          <w:kern w:val="0"/>
          <w:szCs w:val="21"/>
        </w:rPr>
        <w:t xml:space="preserve">1.1.4.6 </w:t>
      </w:r>
      <w:r>
        <w:rPr>
          <w:rFonts w:hint="eastAsia" w:hAnsi="宋体"/>
          <w:color w:val="auto"/>
          <w:kern w:val="0"/>
          <w:szCs w:val="21"/>
        </w:rPr>
        <w:t>基准日期：招标发包的工程以投标截止日期前</w:t>
      </w:r>
      <w:r>
        <w:rPr>
          <w:rFonts w:hAnsi="宋体"/>
          <w:color w:val="auto"/>
          <w:kern w:val="0"/>
          <w:szCs w:val="21"/>
        </w:rPr>
        <w:t>28</w:t>
      </w:r>
      <w:r>
        <w:rPr>
          <w:rFonts w:hint="eastAsia" w:hAnsi="宋体"/>
          <w:color w:val="auto"/>
          <w:kern w:val="0"/>
          <w:szCs w:val="21"/>
        </w:rPr>
        <w:t>天的日期为基准日期，直接发包的工程以合同签订日前</w:t>
      </w:r>
      <w:r>
        <w:rPr>
          <w:rFonts w:hAnsi="宋体"/>
          <w:color w:val="auto"/>
          <w:kern w:val="0"/>
          <w:szCs w:val="21"/>
        </w:rPr>
        <w:t>28</w:t>
      </w:r>
      <w:r>
        <w:rPr>
          <w:rFonts w:hint="eastAsia" w:hAnsi="宋体"/>
          <w:color w:val="auto"/>
          <w:kern w:val="0"/>
          <w:szCs w:val="21"/>
        </w:rPr>
        <w:t>天的日期为基准日期。</w:t>
      </w:r>
    </w:p>
    <w:p w14:paraId="210486D3">
      <w:pPr>
        <w:spacing w:line="360" w:lineRule="auto"/>
        <w:ind w:firstLine="420" w:firstLineChars="200"/>
        <w:jc w:val="left"/>
        <w:rPr>
          <w:rFonts w:hAnsi="宋体"/>
          <w:color w:val="auto"/>
          <w:kern w:val="0"/>
          <w:szCs w:val="21"/>
        </w:rPr>
      </w:pPr>
      <w:r>
        <w:rPr>
          <w:rFonts w:hAnsi="宋体"/>
          <w:color w:val="auto"/>
          <w:kern w:val="0"/>
          <w:szCs w:val="21"/>
        </w:rPr>
        <w:t xml:space="preserve">1.1.4.7 </w:t>
      </w:r>
      <w:r>
        <w:rPr>
          <w:rFonts w:hint="eastAsia" w:hAnsi="宋体"/>
          <w:color w:val="auto"/>
          <w:kern w:val="0"/>
          <w:szCs w:val="21"/>
        </w:rPr>
        <w:t>天：除特别指明外，均指日历天。合同中按天计算时间的，开始当天不计入，从次日开始计算，期限最后一天的截止时间为当天</w:t>
      </w:r>
      <w:r>
        <w:rPr>
          <w:rFonts w:hAnsi="宋体"/>
          <w:color w:val="auto"/>
          <w:kern w:val="0"/>
          <w:szCs w:val="21"/>
        </w:rPr>
        <w:t>24:00</w:t>
      </w:r>
      <w:r>
        <w:rPr>
          <w:rFonts w:hint="eastAsia" w:hAnsi="宋体"/>
          <w:color w:val="auto"/>
          <w:kern w:val="0"/>
          <w:szCs w:val="21"/>
        </w:rPr>
        <w:t>时。</w:t>
      </w:r>
    </w:p>
    <w:p w14:paraId="47C41C53">
      <w:pPr>
        <w:spacing w:line="360" w:lineRule="auto"/>
        <w:ind w:firstLine="420" w:firstLineChars="200"/>
        <w:jc w:val="left"/>
        <w:rPr>
          <w:rFonts w:hAnsi="宋体"/>
          <w:color w:val="auto"/>
          <w:kern w:val="0"/>
          <w:szCs w:val="21"/>
        </w:rPr>
      </w:pPr>
      <w:r>
        <w:rPr>
          <w:rFonts w:hAnsi="宋体"/>
          <w:color w:val="auto"/>
          <w:kern w:val="0"/>
          <w:szCs w:val="21"/>
        </w:rPr>
        <w:t xml:space="preserve">1.1.5 </w:t>
      </w:r>
      <w:r>
        <w:rPr>
          <w:rFonts w:hint="eastAsia" w:hAnsi="宋体"/>
          <w:color w:val="auto"/>
          <w:kern w:val="0"/>
          <w:szCs w:val="21"/>
        </w:rPr>
        <w:t>合同价格和费用</w:t>
      </w:r>
    </w:p>
    <w:p w14:paraId="3E040164">
      <w:pPr>
        <w:spacing w:line="360" w:lineRule="auto"/>
        <w:ind w:firstLine="420" w:firstLineChars="200"/>
        <w:jc w:val="left"/>
        <w:rPr>
          <w:rFonts w:hAnsi="宋体"/>
          <w:color w:val="auto"/>
          <w:szCs w:val="21"/>
        </w:rPr>
      </w:pPr>
      <w:r>
        <w:rPr>
          <w:rFonts w:hAnsi="宋体"/>
          <w:color w:val="auto"/>
          <w:kern w:val="0"/>
          <w:szCs w:val="21"/>
        </w:rPr>
        <w:t xml:space="preserve">1.1.5.1 </w:t>
      </w:r>
      <w:r>
        <w:rPr>
          <w:rFonts w:hint="eastAsia" w:hAnsi="宋体"/>
          <w:color w:val="auto"/>
          <w:kern w:val="0"/>
          <w:szCs w:val="21"/>
        </w:rPr>
        <w:t>签约合同价：是指</w:t>
      </w:r>
      <w:r>
        <w:rPr>
          <w:rFonts w:hint="eastAsia" w:hAnsi="宋体"/>
          <w:color w:val="auto"/>
          <w:szCs w:val="21"/>
        </w:rPr>
        <w:t>发包人和承包人在合同协议书中确定的总金额，包括安全文明施工费、暂估价及暂列金额等。</w:t>
      </w:r>
    </w:p>
    <w:p w14:paraId="249CEDDC">
      <w:pPr>
        <w:spacing w:line="360" w:lineRule="auto"/>
        <w:ind w:firstLine="420" w:firstLineChars="200"/>
        <w:jc w:val="left"/>
        <w:rPr>
          <w:rFonts w:hAnsi="宋体"/>
          <w:color w:val="auto"/>
          <w:kern w:val="0"/>
          <w:szCs w:val="21"/>
        </w:rPr>
      </w:pPr>
      <w:r>
        <w:rPr>
          <w:rFonts w:hAnsi="宋体"/>
          <w:color w:val="auto"/>
          <w:kern w:val="0"/>
          <w:szCs w:val="21"/>
        </w:rPr>
        <w:t xml:space="preserve">1.1.5.2 </w:t>
      </w:r>
      <w:r>
        <w:rPr>
          <w:rFonts w:hint="eastAsia" w:hAnsi="宋体"/>
          <w:color w:val="auto"/>
          <w:kern w:val="0"/>
          <w:szCs w:val="21"/>
        </w:rPr>
        <w:t>合同价格：是指发包人用于支付承包人按照合同约定完成承包范围内全部工作的金额，包括合同履行过程中按合同约定发生的价格变化。</w:t>
      </w:r>
    </w:p>
    <w:p w14:paraId="72813542">
      <w:pPr>
        <w:spacing w:line="360" w:lineRule="auto"/>
        <w:ind w:firstLine="420" w:firstLineChars="200"/>
        <w:jc w:val="left"/>
        <w:rPr>
          <w:rFonts w:hAnsi="宋体"/>
          <w:color w:val="auto"/>
          <w:kern w:val="0"/>
          <w:szCs w:val="21"/>
        </w:rPr>
      </w:pPr>
      <w:r>
        <w:rPr>
          <w:rFonts w:hAnsi="宋体"/>
          <w:color w:val="auto"/>
          <w:kern w:val="0"/>
          <w:szCs w:val="21"/>
        </w:rPr>
        <w:t xml:space="preserve">1.1.5.3 </w:t>
      </w:r>
      <w:r>
        <w:rPr>
          <w:rFonts w:hint="eastAsia" w:hAnsi="宋体"/>
          <w:color w:val="auto"/>
          <w:kern w:val="0"/>
          <w:szCs w:val="21"/>
        </w:rPr>
        <w:t>费用：是指为履行合同所发生的或将要发生的所有必需的开支，包括管理费和应分摊的其他费用，但不包括利润。</w:t>
      </w:r>
    </w:p>
    <w:p w14:paraId="23C9C6B2">
      <w:pPr>
        <w:spacing w:line="360" w:lineRule="auto"/>
        <w:ind w:firstLine="420" w:firstLineChars="200"/>
        <w:jc w:val="left"/>
        <w:rPr>
          <w:rFonts w:hAnsi="宋体"/>
          <w:color w:val="auto"/>
          <w:kern w:val="0"/>
          <w:szCs w:val="21"/>
        </w:rPr>
      </w:pPr>
      <w:r>
        <w:rPr>
          <w:rFonts w:hAnsi="宋体"/>
          <w:color w:val="auto"/>
          <w:kern w:val="0"/>
          <w:szCs w:val="21"/>
        </w:rPr>
        <w:t xml:space="preserve">1.1.5.4 </w:t>
      </w:r>
      <w:r>
        <w:rPr>
          <w:rFonts w:hint="eastAsia" w:hAnsi="宋体"/>
          <w:color w:val="auto"/>
          <w:kern w:val="0"/>
          <w:szCs w:val="21"/>
        </w:rPr>
        <w:t>暂估价：是指发包人在工程量清单或预算书中提供的用于支付必然发生但暂时不能确定价格的材料、工程设备的单价、专业工程以及服务工作的金额。</w:t>
      </w:r>
    </w:p>
    <w:p w14:paraId="0F4EAF1A">
      <w:pPr>
        <w:spacing w:line="360" w:lineRule="auto"/>
        <w:ind w:firstLine="420" w:firstLineChars="200"/>
        <w:jc w:val="left"/>
        <w:rPr>
          <w:rFonts w:hAnsi="宋体"/>
          <w:color w:val="auto"/>
          <w:kern w:val="0"/>
          <w:szCs w:val="21"/>
        </w:rPr>
      </w:pPr>
      <w:r>
        <w:rPr>
          <w:rFonts w:hAnsi="宋体"/>
          <w:color w:val="auto"/>
          <w:kern w:val="0"/>
          <w:szCs w:val="21"/>
        </w:rPr>
        <w:t xml:space="preserve">1.1.5.5 </w:t>
      </w:r>
      <w:r>
        <w:rPr>
          <w:rFonts w:hint="eastAsia" w:hAnsi="宋体"/>
          <w:color w:val="auto"/>
          <w:kern w:val="0"/>
          <w:szCs w:val="21"/>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1E7B131B">
      <w:pPr>
        <w:spacing w:line="360" w:lineRule="auto"/>
        <w:ind w:firstLine="420" w:firstLineChars="200"/>
        <w:jc w:val="left"/>
        <w:rPr>
          <w:rFonts w:hAnsi="宋体"/>
          <w:color w:val="auto"/>
          <w:kern w:val="0"/>
          <w:szCs w:val="21"/>
        </w:rPr>
      </w:pPr>
      <w:r>
        <w:rPr>
          <w:rFonts w:hAnsi="宋体"/>
          <w:color w:val="auto"/>
          <w:kern w:val="0"/>
          <w:szCs w:val="21"/>
        </w:rPr>
        <w:t xml:space="preserve">1.1.5.6 </w:t>
      </w:r>
      <w:r>
        <w:rPr>
          <w:rFonts w:hint="eastAsia" w:hAnsi="宋体"/>
          <w:color w:val="auto"/>
          <w:kern w:val="0"/>
          <w:szCs w:val="21"/>
        </w:rPr>
        <w:t>计日工：是指合同履行过程中，承包人完成发包人提出的零星工作或需要采用计日工计价的变更工作时，按合同中约定的单价计价的一种方式。</w:t>
      </w:r>
    </w:p>
    <w:p w14:paraId="36386065">
      <w:pPr>
        <w:spacing w:line="360" w:lineRule="auto"/>
        <w:ind w:firstLine="420" w:firstLineChars="200"/>
        <w:jc w:val="left"/>
        <w:rPr>
          <w:rFonts w:hAnsi="宋体"/>
          <w:color w:val="auto"/>
          <w:szCs w:val="21"/>
        </w:rPr>
      </w:pPr>
      <w:r>
        <w:rPr>
          <w:rFonts w:hAnsi="宋体"/>
          <w:color w:val="auto"/>
          <w:kern w:val="0"/>
          <w:szCs w:val="21"/>
        </w:rPr>
        <w:t xml:space="preserve">1.1.5.7 </w:t>
      </w:r>
      <w:r>
        <w:rPr>
          <w:rFonts w:hint="eastAsia" w:hAnsi="宋体"/>
          <w:color w:val="auto"/>
          <w:kern w:val="0"/>
          <w:szCs w:val="21"/>
        </w:rPr>
        <w:t>质量保证金</w:t>
      </w:r>
      <w:bookmarkStart w:id="276" w:name="#go2"/>
      <w:bookmarkEnd w:id="276"/>
      <w:r>
        <w:rPr>
          <w:rFonts w:hint="eastAsia" w:hAnsi="宋体"/>
          <w:color w:val="auto"/>
          <w:kern w:val="0"/>
          <w:szCs w:val="21"/>
        </w:rPr>
        <w:t>：是指按照第</w:t>
      </w:r>
      <w:r>
        <w:rPr>
          <w:rFonts w:hAnsi="宋体"/>
          <w:color w:val="auto"/>
          <w:kern w:val="0"/>
          <w:szCs w:val="21"/>
        </w:rPr>
        <w:t>15.3</w:t>
      </w:r>
      <w:r>
        <w:rPr>
          <w:rFonts w:hint="eastAsia" w:hAnsi="宋体"/>
          <w:color w:val="auto"/>
          <w:kern w:val="0"/>
          <w:szCs w:val="21"/>
        </w:rPr>
        <w:t>款〔质量保证金〕约定承包人用于保证其在缺陷责任期内履行缺陷修补义务的担保</w:t>
      </w:r>
      <w:r>
        <w:rPr>
          <w:rFonts w:hint="eastAsia" w:hAnsi="宋体"/>
          <w:color w:val="auto"/>
          <w:szCs w:val="21"/>
        </w:rPr>
        <w:t>。</w:t>
      </w:r>
    </w:p>
    <w:p w14:paraId="06FEECC8">
      <w:pPr>
        <w:spacing w:line="360" w:lineRule="auto"/>
        <w:ind w:firstLine="420" w:firstLineChars="200"/>
        <w:jc w:val="left"/>
        <w:rPr>
          <w:rFonts w:hAnsi="宋体"/>
          <w:color w:val="auto"/>
          <w:kern w:val="0"/>
          <w:szCs w:val="21"/>
        </w:rPr>
      </w:pPr>
      <w:r>
        <w:rPr>
          <w:rFonts w:hAnsi="宋体"/>
          <w:color w:val="auto"/>
          <w:kern w:val="0"/>
          <w:szCs w:val="21"/>
        </w:rPr>
        <w:t xml:space="preserve">1.1.5.8 </w:t>
      </w:r>
      <w:r>
        <w:rPr>
          <w:rFonts w:hint="eastAsia" w:hAnsi="宋体"/>
          <w:color w:val="auto"/>
          <w:kern w:val="0"/>
          <w:szCs w:val="21"/>
        </w:rPr>
        <w:t>总价项目：是指在现行国家、行业以及地方的计量规则中无工程量计算规则，在已标价工程量清单或预算书中以总价或以费率形式计算的项目。</w:t>
      </w:r>
    </w:p>
    <w:p w14:paraId="291C83BE">
      <w:pPr>
        <w:spacing w:line="360" w:lineRule="auto"/>
        <w:ind w:firstLine="420" w:firstLineChars="200"/>
        <w:jc w:val="left"/>
        <w:rPr>
          <w:rFonts w:hAnsi="宋体"/>
          <w:color w:val="auto"/>
          <w:szCs w:val="21"/>
        </w:rPr>
      </w:pPr>
      <w:r>
        <w:rPr>
          <w:rFonts w:hAnsi="宋体"/>
          <w:color w:val="auto"/>
          <w:szCs w:val="21"/>
        </w:rPr>
        <w:t xml:space="preserve">1.1.6 </w:t>
      </w:r>
      <w:r>
        <w:rPr>
          <w:rFonts w:hint="eastAsia" w:hAnsi="宋体"/>
          <w:color w:val="auto"/>
          <w:szCs w:val="21"/>
        </w:rPr>
        <w:t>其他</w:t>
      </w:r>
    </w:p>
    <w:p w14:paraId="36AADFAB">
      <w:pPr>
        <w:spacing w:line="360" w:lineRule="auto"/>
        <w:ind w:firstLine="420" w:firstLineChars="200"/>
        <w:jc w:val="left"/>
        <w:rPr>
          <w:rFonts w:hAnsi="宋体"/>
          <w:color w:val="auto"/>
          <w:szCs w:val="21"/>
        </w:rPr>
      </w:pPr>
      <w:r>
        <w:rPr>
          <w:rFonts w:hAnsi="宋体"/>
          <w:color w:val="auto"/>
          <w:szCs w:val="21"/>
        </w:rPr>
        <w:t xml:space="preserve">1.1.6.1 </w:t>
      </w:r>
      <w:r>
        <w:rPr>
          <w:rFonts w:hint="eastAsia" w:hAnsi="宋体"/>
          <w:color w:val="auto"/>
          <w:szCs w:val="21"/>
        </w:rPr>
        <w:t>书面形式：是指合同文件、信函、电报、传真等可以有形地表现所载内容的形式。</w:t>
      </w:r>
    </w:p>
    <w:p w14:paraId="3ED52631">
      <w:pPr>
        <w:pStyle w:val="6"/>
        <w:tabs>
          <w:tab w:val="left" w:pos="2155"/>
        </w:tabs>
        <w:rPr>
          <w:color w:val="auto"/>
        </w:rPr>
      </w:pPr>
      <w:bookmarkStart w:id="277" w:name="_Toc351203497"/>
      <w:bookmarkStart w:id="278" w:name="_Toc296346530"/>
      <w:bookmarkStart w:id="279" w:name="_Toc337558729"/>
      <w:bookmarkStart w:id="280" w:name="_Toc296503029"/>
      <w:r>
        <w:rPr>
          <w:color w:val="auto"/>
        </w:rPr>
        <w:t>1.2</w:t>
      </w:r>
      <w:r>
        <w:rPr>
          <w:rFonts w:hint="eastAsia" w:cs="宋体"/>
          <w:color w:val="auto"/>
        </w:rPr>
        <w:t>语言文字</w:t>
      </w:r>
      <w:bookmarkEnd w:id="277"/>
      <w:bookmarkEnd w:id="278"/>
      <w:bookmarkEnd w:id="279"/>
      <w:bookmarkEnd w:id="280"/>
    </w:p>
    <w:p w14:paraId="447159E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合同以中国的汉语简体文字编写、解释和说明。合同当事人在专用合同条款中约定使用两种以上语言时，汉语为优先解释和说明合同的语言。</w:t>
      </w:r>
    </w:p>
    <w:p w14:paraId="0FE76EE1">
      <w:pPr>
        <w:pStyle w:val="6"/>
        <w:tabs>
          <w:tab w:val="left" w:pos="2155"/>
        </w:tabs>
        <w:rPr>
          <w:color w:val="auto"/>
        </w:rPr>
      </w:pPr>
      <w:bookmarkStart w:id="281" w:name="_Toc296346531"/>
      <w:bookmarkStart w:id="282" w:name="_Toc351203498"/>
      <w:bookmarkStart w:id="283" w:name="_Toc296503030"/>
      <w:bookmarkStart w:id="284" w:name="_Toc337558730"/>
      <w:r>
        <w:rPr>
          <w:color w:val="auto"/>
        </w:rPr>
        <w:t>1.3</w:t>
      </w:r>
      <w:r>
        <w:rPr>
          <w:rFonts w:hint="eastAsia" w:cs="宋体"/>
          <w:color w:val="auto"/>
        </w:rPr>
        <w:t>法律</w:t>
      </w:r>
      <w:bookmarkEnd w:id="281"/>
      <w:bookmarkEnd w:id="282"/>
      <w:bookmarkEnd w:id="283"/>
      <w:bookmarkEnd w:id="284"/>
    </w:p>
    <w:p w14:paraId="42A718E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合同所称法律是指中华人民共和国法律、行政法规、部门规章，以及工程所在地的地方性法规、自治条例、单行条例和地方政府规章等。</w:t>
      </w:r>
    </w:p>
    <w:p w14:paraId="499865B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合同当事人可以在专用合同条款中约定合同适用的其他规范性文件。</w:t>
      </w:r>
    </w:p>
    <w:p w14:paraId="6C5F943D">
      <w:pPr>
        <w:pStyle w:val="6"/>
        <w:tabs>
          <w:tab w:val="left" w:pos="2155"/>
        </w:tabs>
        <w:rPr>
          <w:color w:val="auto"/>
        </w:rPr>
      </w:pPr>
      <w:bookmarkStart w:id="285" w:name="_Toc351203499"/>
      <w:r>
        <w:rPr>
          <w:color w:val="auto"/>
        </w:rPr>
        <w:t xml:space="preserve">1.4 </w:t>
      </w:r>
      <w:r>
        <w:rPr>
          <w:rFonts w:hint="eastAsia" w:cs="宋体"/>
          <w:color w:val="auto"/>
        </w:rPr>
        <w:t>标准和规范</w:t>
      </w:r>
      <w:bookmarkEnd w:id="285"/>
    </w:p>
    <w:p w14:paraId="797140A3">
      <w:pPr>
        <w:autoSpaceDE w:val="0"/>
        <w:autoSpaceDN w:val="0"/>
        <w:adjustRightInd w:val="0"/>
        <w:spacing w:line="360" w:lineRule="auto"/>
        <w:ind w:firstLine="640"/>
        <w:jc w:val="left"/>
        <w:rPr>
          <w:rFonts w:hAnsi="宋体"/>
          <w:color w:val="auto"/>
          <w:kern w:val="0"/>
          <w:szCs w:val="21"/>
        </w:rPr>
      </w:pPr>
      <w:r>
        <w:rPr>
          <w:rFonts w:hAnsi="宋体"/>
          <w:color w:val="auto"/>
          <w:kern w:val="0"/>
          <w:szCs w:val="21"/>
        </w:rPr>
        <w:t xml:space="preserve">1.4.1 </w:t>
      </w:r>
      <w:r>
        <w:rPr>
          <w:rFonts w:hint="eastAsia" w:hAnsi="宋体"/>
          <w:color w:val="auto"/>
          <w:kern w:val="0"/>
          <w:szCs w:val="21"/>
        </w:rPr>
        <w:t>适用于工程的国家标准、行业标准、工程所在地的地方性标准，以及相应的规范、规程等，合同当事人有特别要求的，应在专用合同条款中约定。</w:t>
      </w:r>
    </w:p>
    <w:p w14:paraId="385628AA">
      <w:pPr>
        <w:autoSpaceDE w:val="0"/>
        <w:autoSpaceDN w:val="0"/>
        <w:adjustRightInd w:val="0"/>
        <w:spacing w:line="360" w:lineRule="auto"/>
        <w:ind w:firstLine="640"/>
        <w:jc w:val="left"/>
        <w:rPr>
          <w:rFonts w:hAnsi="宋体"/>
          <w:color w:val="auto"/>
          <w:kern w:val="0"/>
          <w:szCs w:val="21"/>
        </w:rPr>
      </w:pPr>
      <w:r>
        <w:rPr>
          <w:rFonts w:hAnsi="宋体"/>
          <w:color w:val="auto"/>
          <w:kern w:val="0"/>
          <w:szCs w:val="21"/>
        </w:rPr>
        <w:t xml:space="preserve">1.4.2 </w:t>
      </w:r>
      <w:r>
        <w:rPr>
          <w:rFonts w:hint="eastAsia" w:hAnsi="宋体"/>
          <w:color w:val="auto"/>
          <w:kern w:val="0"/>
          <w:szCs w:val="21"/>
        </w:rPr>
        <w:t>发包人要求使用国外标准、规范的，发包人负责提供原文版本和中文译本，并在专用合同条款中约定提供标准规范的名称、份数和时间。</w:t>
      </w:r>
    </w:p>
    <w:p w14:paraId="1D4AB7A2">
      <w:pPr>
        <w:autoSpaceDE w:val="0"/>
        <w:autoSpaceDN w:val="0"/>
        <w:adjustRightInd w:val="0"/>
        <w:spacing w:line="360" w:lineRule="auto"/>
        <w:ind w:firstLine="640"/>
        <w:jc w:val="left"/>
        <w:rPr>
          <w:rFonts w:hAnsi="宋体"/>
          <w:color w:val="auto"/>
          <w:kern w:val="0"/>
          <w:szCs w:val="21"/>
        </w:rPr>
      </w:pPr>
      <w:r>
        <w:rPr>
          <w:rFonts w:hAnsi="宋体"/>
          <w:color w:val="auto"/>
          <w:kern w:val="0"/>
          <w:szCs w:val="21"/>
        </w:rPr>
        <w:t xml:space="preserve">1.4.3 </w:t>
      </w:r>
      <w:r>
        <w:rPr>
          <w:rFonts w:hint="eastAsia" w:hAnsi="宋体"/>
          <w:color w:val="auto"/>
          <w:kern w:val="0"/>
          <w:szCs w:val="21"/>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6B803C9C">
      <w:pPr>
        <w:pStyle w:val="6"/>
        <w:tabs>
          <w:tab w:val="left" w:pos="2155"/>
        </w:tabs>
        <w:rPr>
          <w:color w:val="auto"/>
        </w:rPr>
      </w:pPr>
      <w:bookmarkStart w:id="286" w:name="_Toc351203500"/>
      <w:r>
        <w:rPr>
          <w:color w:val="auto"/>
        </w:rPr>
        <w:t>1</w:t>
      </w:r>
      <w:bookmarkStart w:id="287" w:name="_Toc296346532"/>
      <w:bookmarkStart w:id="288" w:name="_Toc296503031"/>
      <w:bookmarkStart w:id="289" w:name="_Toc337558731"/>
      <w:r>
        <w:rPr>
          <w:color w:val="auto"/>
        </w:rPr>
        <w:t xml:space="preserve">.5 </w:t>
      </w:r>
      <w:r>
        <w:rPr>
          <w:rFonts w:hint="eastAsia"/>
          <w:color w:val="auto"/>
        </w:rPr>
        <w:t>合同文件的优先顺序</w:t>
      </w:r>
      <w:bookmarkEnd w:id="286"/>
    </w:p>
    <w:bookmarkEnd w:id="287"/>
    <w:bookmarkEnd w:id="288"/>
    <w:bookmarkEnd w:id="289"/>
    <w:p w14:paraId="17BE537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组成合同的各项文件应互相解释，互为说明。除专用合同条款另有约定外，解释合同文件的优先顺序如下：</w:t>
      </w:r>
    </w:p>
    <w:p w14:paraId="4AA4341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）合同协议书；</w:t>
      </w:r>
    </w:p>
    <w:p w14:paraId="42BC2F7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）中标通知书（如果有）；</w:t>
      </w:r>
    </w:p>
    <w:p w14:paraId="22F2E80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）投标函及其附录（如果有）；</w:t>
      </w:r>
    </w:p>
    <w:p w14:paraId="764BC75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）专用合同条款</w:t>
      </w:r>
      <w:r>
        <w:rPr>
          <w:rFonts w:hint="eastAsia" w:hAnsi="宋体"/>
          <w:color w:val="auto"/>
          <w:szCs w:val="21"/>
        </w:rPr>
        <w:t>及其附件</w:t>
      </w:r>
      <w:r>
        <w:rPr>
          <w:rFonts w:hint="eastAsia" w:hAnsi="宋体"/>
          <w:color w:val="auto"/>
          <w:kern w:val="0"/>
          <w:szCs w:val="21"/>
        </w:rPr>
        <w:t>；</w:t>
      </w:r>
    </w:p>
    <w:p w14:paraId="021913B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）通用合同条款；</w:t>
      </w:r>
    </w:p>
    <w:p w14:paraId="53AF92E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w:t>
      </w:r>
      <w:r>
        <w:rPr>
          <w:color w:val="auto"/>
        </w:rPr>
        <w:t>________________</w:t>
      </w:r>
      <w:r>
        <w:rPr>
          <w:rFonts w:hint="eastAsia" w:hAnsi="宋体"/>
          <w:color w:val="auto"/>
          <w:kern w:val="0"/>
          <w:szCs w:val="21"/>
        </w:rPr>
        <w:t>；</w:t>
      </w:r>
    </w:p>
    <w:p w14:paraId="2FB6EDC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w:t>
      </w:r>
      <w:r>
        <w:rPr>
          <w:color w:val="auto"/>
        </w:rPr>
        <w:t>________________</w:t>
      </w:r>
      <w:r>
        <w:rPr>
          <w:rFonts w:hint="eastAsia" w:hAnsi="宋体"/>
          <w:color w:val="auto"/>
          <w:kern w:val="0"/>
          <w:szCs w:val="21"/>
        </w:rPr>
        <w:t>；</w:t>
      </w:r>
    </w:p>
    <w:p w14:paraId="722975D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8</w:t>
      </w:r>
      <w:r>
        <w:rPr>
          <w:rFonts w:hint="eastAsia" w:hAnsi="宋体"/>
          <w:color w:val="auto"/>
          <w:kern w:val="0"/>
          <w:szCs w:val="21"/>
        </w:rPr>
        <w:t>）</w:t>
      </w:r>
      <w:r>
        <w:rPr>
          <w:color w:val="auto"/>
        </w:rPr>
        <w:t>________________</w:t>
      </w:r>
      <w:r>
        <w:rPr>
          <w:rFonts w:hint="eastAsia" w:hAnsi="宋体"/>
          <w:color w:val="auto"/>
          <w:kern w:val="0"/>
          <w:szCs w:val="21"/>
        </w:rPr>
        <w:t>；</w:t>
      </w:r>
    </w:p>
    <w:p w14:paraId="6802440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9</w:t>
      </w:r>
      <w:r>
        <w:rPr>
          <w:rFonts w:hint="eastAsia" w:hAnsi="宋体"/>
          <w:color w:val="auto"/>
          <w:kern w:val="0"/>
          <w:szCs w:val="21"/>
        </w:rPr>
        <w:t>）</w:t>
      </w:r>
      <w:r>
        <w:rPr>
          <w:color w:val="auto"/>
        </w:rPr>
        <w:t>________________</w:t>
      </w:r>
      <w:r>
        <w:rPr>
          <w:rFonts w:hint="eastAsia" w:hAnsi="宋体"/>
          <w:color w:val="auto"/>
          <w:kern w:val="0"/>
          <w:szCs w:val="21"/>
        </w:rPr>
        <w:t>。</w:t>
      </w:r>
    </w:p>
    <w:p w14:paraId="4837A477">
      <w:pPr>
        <w:autoSpaceDE w:val="0"/>
        <w:autoSpaceDN w:val="0"/>
        <w:adjustRightInd w:val="0"/>
        <w:spacing w:line="360" w:lineRule="auto"/>
        <w:ind w:firstLine="420" w:firstLineChars="200"/>
        <w:jc w:val="left"/>
        <w:rPr>
          <w:rFonts w:hAnsi="宋体"/>
          <w:color w:val="auto"/>
          <w:szCs w:val="21"/>
        </w:rPr>
      </w:pPr>
      <w:r>
        <w:rPr>
          <w:rFonts w:hint="eastAsia" w:hAnsi="宋体"/>
          <w:color w:val="auto"/>
          <w:szCs w:val="21"/>
        </w:rPr>
        <w:t>（10）《建设工程工程量清单计价规范（GB5050-2013）》及其广西实施细则及《关于建筑业实施营业税改征增值税后广西壮族自治区建设工程计价依据调整的通知》（桂建标〔2016〕17 号）、《建设工程工程量清单计算规范（GB5854~50862-2013）》及其广西实施细则（修订本）。</w:t>
      </w:r>
    </w:p>
    <w:p w14:paraId="05F2A86A">
      <w:pPr>
        <w:widowControl/>
        <w:spacing w:line="360" w:lineRule="auto"/>
        <w:ind w:firstLine="420" w:firstLineChars="200"/>
        <w:jc w:val="left"/>
        <w:rPr>
          <w:rFonts w:hAnsi="宋体"/>
          <w:color w:val="auto"/>
          <w:kern w:val="0"/>
          <w:szCs w:val="21"/>
        </w:rPr>
      </w:pPr>
      <w:r>
        <w:rPr>
          <w:rFonts w:hAnsi="宋体"/>
          <w:color w:val="auto"/>
          <w:kern w:val="0"/>
          <w:szCs w:val="21"/>
        </w:rPr>
        <w:t>说明：（6）、（7）、（8）、（9）填空内容分别限于技术标准和要求、图纸、已标价工程量清单或预算书、其他合同文件四者之一，其优先顺序可根据采取的不同合同方式由双方约定。</w:t>
      </w:r>
    </w:p>
    <w:p w14:paraId="5E760456">
      <w:pPr>
        <w:spacing w:line="360" w:lineRule="auto"/>
        <w:ind w:firstLine="447" w:firstLineChars="213"/>
        <w:rPr>
          <w:rFonts w:hAnsi="宋体"/>
          <w:color w:val="auto"/>
          <w:szCs w:val="21"/>
        </w:rPr>
      </w:pPr>
    </w:p>
    <w:p w14:paraId="7EC9A581">
      <w:pPr>
        <w:pStyle w:val="6"/>
        <w:tabs>
          <w:tab w:val="left" w:pos="2155"/>
        </w:tabs>
        <w:rPr>
          <w:color w:val="auto"/>
        </w:rPr>
      </w:pPr>
      <w:bookmarkStart w:id="290" w:name="_Toc351203501"/>
      <w:r>
        <w:rPr>
          <w:color w:val="auto"/>
        </w:rPr>
        <w:t>1</w:t>
      </w:r>
      <w:bookmarkStart w:id="291" w:name="_Toc337558732"/>
      <w:bookmarkStart w:id="292" w:name="_Toc296503032"/>
      <w:bookmarkStart w:id="293" w:name="_Toc296346533"/>
      <w:r>
        <w:rPr>
          <w:color w:val="auto"/>
        </w:rPr>
        <w:t>.6</w:t>
      </w:r>
      <w:r>
        <w:rPr>
          <w:rFonts w:hint="eastAsia"/>
          <w:color w:val="auto"/>
        </w:rPr>
        <w:t>图纸和承包人文件</w:t>
      </w:r>
      <w:bookmarkEnd w:id="290"/>
    </w:p>
    <w:bookmarkEnd w:id="291"/>
    <w:bookmarkEnd w:id="292"/>
    <w:bookmarkEnd w:id="293"/>
    <w:p w14:paraId="3C6F6169">
      <w:pPr>
        <w:spacing w:line="360" w:lineRule="auto"/>
        <w:ind w:firstLine="420" w:firstLineChars="200"/>
        <w:jc w:val="left"/>
        <w:rPr>
          <w:rFonts w:hAnsi="宋体"/>
          <w:color w:val="auto"/>
          <w:kern w:val="0"/>
          <w:szCs w:val="21"/>
        </w:rPr>
      </w:pPr>
      <w:r>
        <w:rPr>
          <w:rFonts w:hAnsi="宋体"/>
          <w:color w:val="auto"/>
          <w:kern w:val="0"/>
          <w:szCs w:val="21"/>
        </w:rPr>
        <w:t xml:space="preserve">1.6.1 </w:t>
      </w:r>
      <w:r>
        <w:rPr>
          <w:rFonts w:hint="eastAsia" w:hAnsi="宋体"/>
          <w:color w:val="auto"/>
          <w:kern w:val="0"/>
          <w:szCs w:val="21"/>
        </w:rPr>
        <w:t>图纸的提供和交底</w:t>
      </w:r>
    </w:p>
    <w:p w14:paraId="5C32C4F6">
      <w:pPr>
        <w:spacing w:line="360" w:lineRule="auto"/>
        <w:ind w:firstLine="420" w:firstLineChars="200"/>
        <w:jc w:val="left"/>
        <w:rPr>
          <w:rFonts w:hAnsi="宋体"/>
          <w:color w:val="auto"/>
          <w:kern w:val="0"/>
          <w:szCs w:val="21"/>
        </w:rPr>
      </w:pPr>
      <w:r>
        <w:rPr>
          <w:rFonts w:hint="eastAsia" w:hAnsi="宋体"/>
          <w:color w:val="auto"/>
          <w:kern w:val="0"/>
          <w:szCs w:val="21"/>
        </w:rPr>
        <w:t>发包人应按照专用合同条款约定的期限、数量和内容向承包人免费提供图纸，并组织承包人、监理人和设计人进行图纸会审和设计交底。发包人至迟不得晚于第</w:t>
      </w:r>
      <w:r>
        <w:rPr>
          <w:rFonts w:hAnsi="宋体"/>
          <w:color w:val="auto"/>
          <w:kern w:val="0"/>
          <w:szCs w:val="21"/>
        </w:rPr>
        <w:t>7.3.2</w:t>
      </w:r>
      <w:r>
        <w:rPr>
          <w:rFonts w:hint="eastAsia" w:hAnsi="宋体"/>
          <w:color w:val="auto"/>
          <w:kern w:val="0"/>
          <w:szCs w:val="21"/>
        </w:rPr>
        <w:t>项〔开工通知〕载明的开工日期前</w:t>
      </w:r>
      <w:r>
        <w:rPr>
          <w:rFonts w:hAnsi="宋体"/>
          <w:color w:val="auto"/>
          <w:kern w:val="0"/>
          <w:szCs w:val="21"/>
        </w:rPr>
        <w:t>14</w:t>
      </w:r>
      <w:r>
        <w:rPr>
          <w:rFonts w:hint="eastAsia" w:hAnsi="宋体"/>
          <w:color w:val="auto"/>
          <w:kern w:val="0"/>
          <w:szCs w:val="21"/>
        </w:rPr>
        <w:t>天向承包人提供图纸。</w:t>
      </w:r>
    </w:p>
    <w:p w14:paraId="66E006B0">
      <w:pPr>
        <w:spacing w:line="360" w:lineRule="auto"/>
        <w:ind w:firstLine="420" w:firstLineChars="200"/>
        <w:jc w:val="left"/>
        <w:rPr>
          <w:rFonts w:hAnsi="宋体"/>
          <w:color w:val="auto"/>
          <w:kern w:val="0"/>
          <w:szCs w:val="21"/>
        </w:rPr>
      </w:pPr>
      <w:r>
        <w:rPr>
          <w:rFonts w:hint="eastAsia" w:hAnsi="宋体"/>
          <w:color w:val="auto"/>
          <w:kern w:val="0"/>
          <w:szCs w:val="21"/>
        </w:rPr>
        <w:t>因发包人未按合同约定提供图纸导致承包人费用增加和（或）工期延误的，按照第</w:t>
      </w:r>
      <w:r>
        <w:rPr>
          <w:rFonts w:hAnsi="宋体"/>
          <w:color w:val="auto"/>
          <w:kern w:val="0"/>
          <w:szCs w:val="21"/>
        </w:rPr>
        <w:t>7.5.1</w:t>
      </w:r>
      <w:r>
        <w:rPr>
          <w:rFonts w:hint="eastAsia" w:hAnsi="宋体"/>
          <w:color w:val="auto"/>
          <w:kern w:val="0"/>
          <w:szCs w:val="21"/>
        </w:rPr>
        <w:t>项〔因发包人原因导致工期延误〕约定办理。</w:t>
      </w:r>
    </w:p>
    <w:p w14:paraId="362A4AA6">
      <w:pPr>
        <w:spacing w:line="360" w:lineRule="auto"/>
        <w:ind w:firstLine="420" w:firstLineChars="200"/>
        <w:jc w:val="left"/>
        <w:rPr>
          <w:rFonts w:hAnsi="宋体"/>
          <w:color w:val="auto"/>
          <w:kern w:val="0"/>
          <w:szCs w:val="21"/>
        </w:rPr>
      </w:pPr>
      <w:r>
        <w:rPr>
          <w:rFonts w:hAnsi="宋体"/>
          <w:color w:val="auto"/>
          <w:kern w:val="0"/>
          <w:szCs w:val="21"/>
        </w:rPr>
        <w:t xml:space="preserve">1.6.2 </w:t>
      </w:r>
      <w:r>
        <w:rPr>
          <w:rFonts w:hint="eastAsia" w:hAnsi="宋体"/>
          <w:color w:val="auto"/>
          <w:kern w:val="0"/>
          <w:szCs w:val="21"/>
        </w:rPr>
        <w:t>图纸的错误</w:t>
      </w:r>
    </w:p>
    <w:p w14:paraId="2E0B8707">
      <w:pPr>
        <w:spacing w:line="360" w:lineRule="auto"/>
        <w:ind w:firstLine="420" w:firstLineChars="200"/>
        <w:jc w:val="left"/>
        <w:rPr>
          <w:rFonts w:hAnsi="宋体"/>
          <w:color w:val="auto"/>
          <w:kern w:val="0"/>
          <w:szCs w:val="21"/>
        </w:rPr>
      </w:pPr>
      <w:r>
        <w:rPr>
          <w:rFonts w:hint="eastAsia" w:hAnsi="宋体"/>
          <w:color w:val="auto"/>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00CB626">
      <w:pPr>
        <w:spacing w:line="360" w:lineRule="auto"/>
        <w:ind w:firstLine="420" w:firstLineChars="200"/>
        <w:jc w:val="left"/>
        <w:rPr>
          <w:rFonts w:hAnsi="宋体"/>
          <w:color w:val="auto"/>
          <w:kern w:val="0"/>
          <w:szCs w:val="21"/>
        </w:rPr>
      </w:pPr>
      <w:r>
        <w:rPr>
          <w:rFonts w:hAnsi="宋体"/>
          <w:color w:val="auto"/>
          <w:kern w:val="0"/>
          <w:szCs w:val="21"/>
        </w:rPr>
        <w:t xml:space="preserve">1.6.3 </w:t>
      </w:r>
      <w:r>
        <w:rPr>
          <w:rFonts w:hint="eastAsia" w:hAnsi="宋体"/>
          <w:color w:val="auto"/>
          <w:kern w:val="0"/>
          <w:szCs w:val="21"/>
        </w:rPr>
        <w:t>图纸的修改和补充</w:t>
      </w:r>
    </w:p>
    <w:p w14:paraId="14C4FC7B">
      <w:pPr>
        <w:spacing w:line="360" w:lineRule="auto"/>
        <w:ind w:firstLine="420" w:firstLineChars="200"/>
        <w:jc w:val="left"/>
        <w:rPr>
          <w:rFonts w:hAnsi="宋体"/>
          <w:color w:val="auto"/>
          <w:kern w:val="0"/>
          <w:szCs w:val="21"/>
        </w:rPr>
      </w:pPr>
      <w:r>
        <w:rPr>
          <w:rFonts w:hint="eastAsia" w:hAnsi="宋体"/>
          <w:color w:val="auto"/>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40A995A6">
      <w:pPr>
        <w:spacing w:line="360" w:lineRule="auto"/>
        <w:ind w:firstLine="420" w:firstLineChars="200"/>
        <w:jc w:val="left"/>
        <w:rPr>
          <w:rFonts w:hAnsi="宋体"/>
          <w:color w:val="auto"/>
          <w:kern w:val="0"/>
          <w:szCs w:val="21"/>
        </w:rPr>
      </w:pPr>
      <w:r>
        <w:rPr>
          <w:rFonts w:hAnsi="宋体"/>
          <w:color w:val="auto"/>
          <w:kern w:val="0"/>
          <w:szCs w:val="21"/>
        </w:rPr>
        <w:t xml:space="preserve">1.6.4 </w:t>
      </w:r>
      <w:r>
        <w:rPr>
          <w:rFonts w:hint="eastAsia" w:hAnsi="宋体"/>
          <w:color w:val="auto"/>
          <w:kern w:val="0"/>
          <w:szCs w:val="21"/>
        </w:rPr>
        <w:t>承包人文件</w:t>
      </w:r>
    </w:p>
    <w:p w14:paraId="2A4F4628">
      <w:pPr>
        <w:spacing w:line="360" w:lineRule="auto"/>
        <w:ind w:firstLine="420" w:firstLineChars="200"/>
        <w:jc w:val="left"/>
        <w:rPr>
          <w:rFonts w:hAnsi="宋体"/>
          <w:color w:val="auto"/>
          <w:kern w:val="0"/>
          <w:szCs w:val="21"/>
        </w:rPr>
      </w:pPr>
      <w:r>
        <w:rPr>
          <w:rFonts w:hint="eastAsia" w:hAnsi="宋体"/>
          <w:color w:val="auto"/>
          <w:kern w:val="0"/>
          <w:szCs w:val="21"/>
        </w:rPr>
        <w:t>承包人应按照专用合同条款的约定提供应当由其编制的与工程施工有关的文件，并按照专用合同条款约定的期限、数量和形式提交监理人，并由监理人报送发包人。</w:t>
      </w:r>
    </w:p>
    <w:p w14:paraId="587D607A">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除专用合同条款另有约定外，监理人应在收到承包人文件后</w:t>
      </w:r>
      <w:r>
        <w:rPr>
          <w:rFonts w:hAnsi="宋体"/>
          <w:color w:val="auto"/>
          <w:kern w:val="0"/>
          <w:szCs w:val="21"/>
        </w:rPr>
        <w:t>7</w:t>
      </w:r>
      <w:r>
        <w:rPr>
          <w:rFonts w:hint="eastAsia" w:hAnsi="宋体"/>
          <w:color w:val="auto"/>
          <w:kern w:val="0"/>
          <w:szCs w:val="21"/>
        </w:rPr>
        <w:t>天内审查完毕，监理人对承包人文件有异议的，承包人应予以修改，并重新报送监理人。监理人的审查并不减轻或免除承包人根据合同约定应当承担的责任。</w:t>
      </w:r>
    </w:p>
    <w:p w14:paraId="4A6E848E">
      <w:pPr>
        <w:spacing w:line="360" w:lineRule="auto"/>
        <w:ind w:firstLine="420" w:firstLineChars="200"/>
        <w:jc w:val="left"/>
        <w:rPr>
          <w:rFonts w:hAnsi="宋体"/>
          <w:color w:val="auto"/>
          <w:kern w:val="0"/>
          <w:szCs w:val="21"/>
        </w:rPr>
      </w:pPr>
      <w:r>
        <w:rPr>
          <w:rFonts w:hAnsi="宋体"/>
          <w:color w:val="auto"/>
          <w:kern w:val="0"/>
          <w:szCs w:val="21"/>
        </w:rPr>
        <w:t xml:space="preserve">1.6.5 </w:t>
      </w:r>
      <w:r>
        <w:rPr>
          <w:rFonts w:hint="eastAsia" w:hAnsi="宋体"/>
          <w:color w:val="auto"/>
          <w:kern w:val="0"/>
          <w:szCs w:val="21"/>
        </w:rPr>
        <w:t>图纸和承包人文件的保管</w:t>
      </w:r>
    </w:p>
    <w:p w14:paraId="5487A327">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除专用合同条款另有约定外，承包人应在施工现场另外保存一套完整的图纸和承包人文件，供发包人、监理人及有关人员进行工程检查时使用。</w:t>
      </w:r>
    </w:p>
    <w:p w14:paraId="409AA024">
      <w:pPr>
        <w:pStyle w:val="6"/>
        <w:tabs>
          <w:tab w:val="left" w:pos="2155"/>
        </w:tabs>
        <w:rPr>
          <w:color w:val="auto"/>
        </w:rPr>
      </w:pPr>
      <w:bookmarkStart w:id="294" w:name="_Toc351203502"/>
      <w:r>
        <w:rPr>
          <w:color w:val="auto"/>
        </w:rPr>
        <w:t>1</w:t>
      </w:r>
      <w:bookmarkStart w:id="295" w:name="_Toc337558733"/>
      <w:bookmarkStart w:id="296" w:name="_Toc296503033"/>
      <w:bookmarkStart w:id="297" w:name="_Toc296346534"/>
      <w:r>
        <w:rPr>
          <w:color w:val="auto"/>
        </w:rPr>
        <w:t>.7</w:t>
      </w:r>
      <w:r>
        <w:rPr>
          <w:rFonts w:hint="eastAsia" w:cs="宋体"/>
          <w:color w:val="auto"/>
        </w:rPr>
        <w:t>联络</w:t>
      </w:r>
      <w:bookmarkEnd w:id="294"/>
    </w:p>
    <w:bookmarkEnd w:id="295"/>
    <w:bookmarkEnd w:id="296"/>
    <w:bookmarkEnd w:id="297"/>
    <w:p w14:paraId="081AFCD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1.7.1 </w:t>
      </w:r>
      <w:r>
        <w:rPr>
          <w:rFonts w:hint="eastAsia" w:hAnsi="宋体"/>
          <w:color w:val="auto"/>
          <w:kern w:val="0"/>
          <w:szCs w:val="21"/>
        </w:rPr>
        <w:t>与合同有关的通知、批准、证明、证书、指示、指令、要求、请求、同意、意见、确定和决定等，均应采用书面形式，并应在合同约定的期限内送达接收人和送达地点。</w:t>
      </w:r>
    </w:p>
    <w:p w14:paraId="1C8FC94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1.7.2 </w:t>
      </w:r>
      <w:r>
        <w:rPr>
          <w:rFonts w:hint="eastAsia" w:hAnsi="宋体"/>
          <w:color w:val="auto"/>
          <w:kern w:val="0"/>
          <w:szCs w:val="21"/>
        </w:rPr>
        <w:t>发包人和承包人应在专用合同条款中约定各自的送达接收人和送达地点。任何一方合同当事人指定的接收人或送达地点发生变动的，应提前</w:t>
      </w:r>
      <w:r>
        <w:rPr>
          <w:rFonts w:hAnsi="宋体"/>
          <w:color w:val="auto"/>
          <w:kern w:val="0"/>
          <w:szCs w:val="21"/>
        </w:rPr>
        <w:t>3</w:t>
      </w:r>
      <w:r>
        <w:rPr>
          <w:rFonts w:hint="eastAsia" w:hAnsi="宋体"/>
          <w:color w:val="auto"/>
          <w:kern w:val="0"/>
          <w:szCs w:val="21"/>
        </w:rPr>
        <w:t>天以书面形式通知对方。</w:t>
      </w:r>
    </w:p>
    <w:p w14:paraId="20D4109F">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1.7.3 </w:t>
      </w:r>
      <w:r>
        <w:rPr>
          <w:rFonts w:hint="eastAsia" w:hAnsi="宋体"/>
          <w:color w:val="auto"/>
          <w:kern w:val="0"/>
          <w:szCs w:val="21"/>
        </w:rPr>
        <w:t>发包人和承包人应当及时签收另一方送达至送达地点和指定接收人的来往信函。拒不签收的，由此增加的费用和（或）延误的工期由拒绝接收一方承担。</w:t>
      </w:r>
    </w:p>
    <w:p w14:paraId="3ABF70E7">
      <w:pPr>
        <w:pStyle w:val="6"/>
        <w:tabs>
          <w:tab w:val="left" w:pos="2155"/>
        </w:tabs>
        <w:rPr>
          <w:color w:val="auto"/>
        </w:rPr>
      </w:pPr>
      <w:bookmarkStart w:id="298" w:name="_Toc351203503"/>
      <w:r>
        <w:rPr>
          <w:color w:val="auto"/>
        </w:rPr>
        <w:t>1</w:t>
      </w:r>
      <w:bookmarkStart w:id="299" w:name="_Toc337558734"/>
      <w:bookmarkStart w:id="300" w:name="_Toc296346536"/>
      <w:bookmarkStart w:id="301" w:name="_Toc296503035"/>
      <w:r>
        <w:rPr>
          <w:color w:val="auto"/>
        </w:rPr>
        <w:t>.8</w:t>
      </w:r>
      <w:r>
        <w:rPr>
          <w:rFonts w:hint="eastAsia" w:cs="宋体"/>
          <w:color w:val="auto"/>
        </w:rPr>
        <w:t>严禁贿赂</w:t>
      </w:r>
      <w:bookmarkEnd w:id="298"/>
    </w:p>
    <w:bookmarkEnd w:id="299"/>
    <w:bookmarkEnd w:id="300"/>
    <w:bookmarkEnd w:id="301"/>
    <w:p w14:paraId="4E685D0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合同当事人不得以贿赂或变相贿赂的方式，谋取非法利益或损害对方权益。因一方合同当事人的贿赂造成对方损失的，应赔偿损失，并承担相应的法律责任。</w:t>
      </w:r>
    </w:p>
    <w:p w14:paraId="7D4364D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6673F5DC">
      <w:pPr>
        <w:pStyle w:val="6"/>
        <w:tabs>
          <w:tab w:val="left" w:pos="2155"/>
        </w:tabs>
        <w:rPr>
          <w:color w:val="auto"/>
        </w:rPr>
      </w:pPr>
      <w:bookmarkStart w:id="302" w:name="_Toc351203504"/>
      <w:r>
        <w:rPr>
          <w:color w:val="auto"/>
        </w:rPr>
        <w:t>1</w:t>
      </w:r>
      <w:bookmarkStart w:id="303" w:name="_Toc337558735"/>
      <w:bookmarkStart w:id="304" w:name="_Toc296346537"/>
      <w:bookmarkStart w:id="305" w:name="_Toc296503036"/>
      <w:r>
        <w:rPr>
          <w:color w:val="auto"/>
        </w:rPr>
        <w:t>.9</w:t>
      </w:r>
      <w:r>
        <w:rPr>
          <w:rFonts w:hint="eastAsia"/>
          <w:color w:val="auto"/>
        </w:rPr>
        <w:t>化石、文物</w:t>
      </w:r>
      <w:bookmarkEnd w:id="302"/>
    </w:p>
    <w:bookmarkEnd w:id="303"/>
    <w:bookmarkEnd w:id="304"/>
    <w:bookmarkEnd w:id="305"/>
    <w:p w14:paraId="4584C58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3DF2B9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发包人、监理人和承包人应按有关政府行政管理部门要求采取妥善的保护措施，由此增加的费用和（或）延误的工期由发包人承担。</w:t>
      </w:r>
    </w:p>
    <w:p w14:paraId="62C23B6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承包人发现文物后不及时报告或隐瞒不报，致使文物丢失或损坏的，应赔偿损失，并承担相应的法律责任。</w:t>
      </w:r>
    </w:p>
    <w:p w14:paraId="011F6769">
      <w:pPr>
        <w:pStyle w:val="6"/>
        <w:tabs>
          <w:tab w:val="left" w:pos="2155"/>
        </w:tabs>
        <w:rPr>
          <w:color w:val="auto"/>
        </w:rPr>
      </w:pPr>
      <w:bookmarkStart w:id="306" w:name="_Toc351203505"/>
      <w:r>
        <w:rPr>
          <w:color w:val="auto"/>
        </w:rPr>
        <w:t>1</w:t>
      </w:r>
      <w:bookmarkStart w:id="307" w:name="_Toc337558736"/>
      <w:r>
        <w:rPr>
          <w:color w:val="auto"/>
        </w:rPr>
        <w:t>.10</w:t>
      </w:r>
      <w:r>
        <w:rPr>
          <w:rFonts w:hint="eastAsia" w:cs="宋体"/>
          <w:color w:val="auto"/>
        </w:rPr>
        <w:t>交通运输</w:t>
      </w:r>
      <w:bookmarkEnd w:id="306"/>
    </w:p>
    <w:bookmarkEnd w:id="307"/>
    <w:p w14:paraId="3128C723">
      <w:pPr>
        <w:spacing w:line="360" w:lineRule="auto"/>
        <w:ind w:firstLine="420" w:firstLineChars="200"/>
        <w:jc w:val="left"/>
        <w:rPr>
          <w:rFonts w:hAnsi="宋体"/>
          <w:color w:val="auto"/>
          <w:kern w:val="0"/>
          <w:szCs w:val="21"/>
        </w:rPr>
      </w:pPr>
      <w:r>
        <w:rPr>
          <w:rFonts w:hAnsi="宋体"/>
          <w:color w:val="auto"/>
          <w:kern w:val="0"/>
          <w:szCs w:val="21"/>
        </w:rPr>
        <w:t xml:space="preserve">1.10.1 </w:t>
      </w:r>
      <w:r>
        <w:rPr>
          <w:rFonts w:hint="eastAsia" w:hAnsi="宋体"/>
          <w:color w:val="auto"/>
          <w:kern w:val="0"/>
          <w:szCs w:val="21"/>
        </w:rPr>
        <w:t>出入现场的权利</w:t>
      </w:r>
    </w:p>
    <w:p w14:paraId="6B7E5C0D">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A3A949C">
      <w:pPr>
        <w:spacing w:line="360" w:lineRule="auto"/>
        <w:ind w:firstLine="420" w:firstLineChars="200"/>
        <w:jc w:val="left"/>
        <w:rPr>
          <w:rFonts w:hAnsi="宋体"/>
          <w:color w:val="auto"/>
          <w:kern w:val="0"/>
          <w:szCs w:val="21"/>
        </w:rPr>
      </w:pPr>
      <w:r>
        <w:rPr>
          <w:rFonts w:hint="eastAsia" w:hAnsi="宋体"/>
          <w:color w:val="auto"/>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095A9DE0">
      <w:pPr>
        <w:spacing w:line="360" w:lineRule="auto"/>
        <w:ind w:firstLine="420" w:firstLineChars="200"/>
        <w:jc w:val="left"/>
        <w:rPr>
          <w:rFonts w:hAnsi="宋体"/>
          <w:color w:val="auto"/>
          <w:kern w:val="0"/>
          <w:szCs w:val="21"/>
        </w:rPr>
      </w:pPr>
      <w:r>
        <w:rPr>
          <w:rFonts w:hAnsi="宋体"/>
          <w:color w:val="auto"/>
          <w:kern w:val="0"/>
          <w:szCs w:val="21"/>
        </w:rPr>
        <w:t xml:space="preserve">1.10.2 </w:t>
      </w:r>
      <w:r>
        <w:rPr>
          <w:rFonts w:hint="eastAsia" w:hAnsi="宋体"/>
          <w:color w:val="auto"/>
          <w:kern w:val="0"/>
          <w:szCs w:val="21"/>
        </w:rPr>
        <w:t>场外交通</w:t>
      </w:r>
    </w:p>
    <w:p w14:paraId="00CED0DB">
      <w:pPr>
        <w:spacing w:line="360" w:lineRule="auto"/>
        <w:ind w:firstLine="420" w:firstLineChars="200"/>
        <w:jc w:val="left"/>
        <w:rPr>
          <w:rFonts w:hAnsi="宋体"/>
          <w:color w:val="auto"/>
          <w:kern w:val="0"/>
          <w:szCs w:val="21"/>
        </w:rPr>
      </w:pPr>
      <w:r>
        <w:rPr>
          <w:rFonts w:hint="eastAsia" w:hAnsi="宋体"/>
          <w:color w:val="auto"/>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7407EE58">
      <w:pPr>
        <w:spacing w:line="360" w:lineRule="auto"/>
        <w:ind w:firstLine="420" w:firstLineChars="200"/>
        <w:jc w:val="left"/>
        <w:rPr>
          <w:rFonts w:hAnsi="宋体"/>
          <w:color w:val="auto"/>
          <w:kern w:val="0"/>
          <w:szCs w:val="21"/>
        </w:rPr>
      </w:pPr>
      <w:r>
        <w:rPr>
          <w:rFonts w:hAnsi="宋体"/>
          <w:color w:val="auto"/>
          <w:kern w:val="0"/>
          <w:szCs w:val="21"/>
        </w:rPr>
        <w:t>1.10.3</w:t>
      </w:r>
      <w:r>
        <w:rPr>
          <w:rFonts w:hint="eastAsia" w:hAnsi="宋体"/>
          <w:color w:val="auto"/>
          <w:kern w:val="0"/>
          <w:szCs w:val="21"/>
        </w:rPr>
        <w:t>场内交通</w:t>
      </w:r>
    </w:p>
    <w:p w14:paraId="68FED32F">
      <w:pPr>
        <w:spacing w:line="360" w:lineRule="auto"/>
        <w:ind w:firstLine="420" w:firstLineChars="200"/>
        <w:jc w:val="left"/>
        <w:rPr>
          <w:rFonts w:hAnsi="宋体"/>
          <w:color w:val="auto"/>
          <w:kern w:val="0"/>
          <w:szCs w:val="21"/>
        </w:rPr>
      </w:pPr>
      <w:r>
        <w:rPr>
          <w:rFonts w:hint="eastAsia" w:hAnsi="宋体"/>
          <w:color w:val="auto"/>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B8BF959">
      <w:pPr>
        <w:spacing w:line="360" w:lineRule="auto"/>
        <w:ind w:firstLine="420" w:firstLineChars="200"/>
        <w:jc w:val="left"/>
        <w:rPr>
          <w:rFonts w:hAnsi="宋体"/>
          <w:color w:val="auto"/>
          <w:kern w:val="0"/>
          <w:szCs w:val="21"/>
        </w:rPr>
      </w:pPr>
      <w:r>
        <w:rPr>
          <w:rFonts w:hint="eastAsia" w:hAnsi="宋体"/>
          <w:color w:val="auto"/>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217B383">
      <w:pPr>
        <w:spacing w:line="360" w:lineRule="auto"/>
        <w:ind w:firstLine="420" w:firstLineChars="200"/>
        <w:jc w:val="left"/>
        <w:rPr>
          <w:rFonts w:hAnsi="宋体"/>
          <w:color w:val="auto"/>
          <w:kern w:val="0"/>
          <w:szCs w:val="21"/>
        </w:rPr>
      </w:pPr>
      <w:r>
        <w:rPr>
          <w:rFonts w:hint="eastAsia" w:hAnsi="宋体"/>
          <w:color w:val="auto"/>
          <w:kern w:val="0"/>
          <w:szCs w:val="21"/>
        </w:rPr>
        <w:t>场外交通和场内交通的边界由合同当事人在专用合同条款中约定。</w:t>
      </w:r>
    </w:p>
    <w:p w14:paraId="79C075CC">
      <w:pPr>
        <w:spacing w:line="360" w:lineRule="auto"/>
        <w:ind w:firstLine="420" w:firstLineChars="200"/>
        <w:jc w:val="left"/>
        <w:rPr>
          <w:rFonts w:hAnsi="宋体"/>
          <w:color w:val="auto"/>
          <w:kern w:val="0"/>
          <w:szCs w:val="21"/>
        </w:rPr>
      </w:pPr>
      <w:r>
        <w:rPr>
          <w:rFonts w:hAnsi="宋体"/>
          <w:color w:val="auto"/>
          <w:kern w:val="0"/>
          <w:szCs w:val="21"/>
        </w:rPr>
        <w:t xml:space="preserve">1.10.4 </w:t>
      </w:r>
      <w:r>
        <w:rPr>
          <w:rFonts w:hint="eastAsia" w:hAnsi="宋体"/>
          <w:color w:val="auto"/>
          <w:kern w:val="0"/>
          <w:szCs w:val="21"/>
        </w:rPr>
        <w:t>超大件和超重件的运输</w:t>
      </w:r>
    </w:p>
    <w:p w14:paraId="636E9A66">
      <w:pPr>
        <w:spacing w:line="360" w:lineRule="auto"/>
        <w:ind w:firstLine="420" w:firstLineChars="200"/>
        <w:jc w:val="left"/>
        <w:rPr>
          <w:rFonts w:hAnsi="宋体"/>
          <w:color w:val="auto"/>
          <w:kern w:val="0"/>
          <w:szCs w:val="21"/>
        </w:rPr>
      </w:pPr>
      <w:r>
        <w:rPr>
          <w:rFonts w:hint="eastAsia" w:hAnsi="宋体"/>
          <w:color w:val="auto"/>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B40DA93">
      <w:pPr>
        <w:spacing w:line="360" w:lineRule="auto"/>
        <w:ind w:firstLine="420" w:firstLineChars="200"/>
        <w:jc w:val="left"/>
        <w:rPr>
          <w:rFonts w:hAnsi="宋体"/>
          <w:color w:val="auto"/>
          <w:kern w:val="0"/>
          <w:szCs w:val="21"/>
        </w:rPr>
      </w:pPr>
      <w:r>
        <w:rPr>
          <w:rFonts w:hAnsi="宋体"/>
          <w:color w:val="auto"/>
          <w:kern w:val="0"/>
          <w:szCs w:val="21"/>
        </w:rPr>
        <w:t xml:space="preserve">1.10.5 </w:t>
      </w:r>
      <w:r>
        <w:rPr>
          <w:rFonts w:hint="eastAsia" w:hAnsi="宋体"/>
          <w:color w:val="auto"/>
          <w:kern w:val="0"/>
          <w:szCs w:val="21"/>
        </w:rPr>
        <w:t>道路和桥梁的损坏责任</w:t>
      </w:r>
    </w:p>
    <w:p w14:paraId="0F92CE21">
      <w:pPr>
        <w:spacing w:line="360" w:lineRule="auto"/>
        <w:ind w:firstLine="420" w:firstLineChars="200"/>
        <w:jc w:val="left"/>
        <w:rPr>
          <w:rFonts w:hAnsi="宋体"/>
          <w:color w:val="auto"/>
          <w:kern w:val="0"/>
          <w:szCs w:val="21"/>
        </w:rPr>
      </w:pPr>
      <w:r>
        <w:rPr>
          <w:rFonts w:hint="eastAsia" w:hAnsi="宋体"/>
          <w:color w:val="auto"/>
          <w:kern w:val="0"/>
          <w:szCs w:val="21"/>
        </w:rPr>
        <w:t>因承包人运输造成施工场地内外公共道路和桥梁损坏的，由承包人承担修复损坏的全部费用和可能引起的赔偿。</w:t>
      </w:r>
    </w:p>
    <w:p w14:paraId="14945118">
      <w:pPr>
        <w:spacing w:line="360" w:lineRule="auto"/>
        <w:ind w:firstLine="420" w:firstLineChars="200"/>
        <w:jc w:val="left"/>
        <w:rPr>
          <w:rFonts w:hAnsi="宋体"/>
          <w:color w:val="auto"/>
          <w:kern w:val="0"/>
          <w:szCs w:val="21"/>
        </w:rPr>
      </w:pPr>
      <w:r>
        <w:rPr>
          <w:rFonts w:hAnsi="宋体"/>
          <w:color w:val="auto"/>
          <w:kern w:val="0"/>
          <w:szCs w:val="21"/>
        </w:rPr>
        <w:t xml:space="preserve">1.10.6 </w:t>
      </w:r>
      <w:r>
        <w:rPr>
          <w:rFonts w:hint="eastAsia" w:hAnsi="宋体"/>
          <w:color w:val="auto"/>
          <w:kern w:val="0"/>
          <w:szCs w:val="21"/>
        </w:rPr>
        <w:t>水路和航空运输</w:t>
      </w:r>
    </w:p>
    <w:p w14:paraId="27C9AF32">
      <w:pPr>
        <w:spacing w:line="360" w:lineRule="auto"/>
        <w:ind w:firstLine="420" w:firstLineChars="200"/>
        <w:jc w:val="left"/>
        <w:rPr>
          <w:rFonts w:hAnsi="宋体"/>
          <w:color w:val="auto"/>
          <w:kern w:val="0"/>
          <w:szCs w:val="21"/>
        </w:rPr>
      </w:pPr>
      <w:r>
        <w:rPr>
          <w:rFonts w:hint="eastAsia" w:hAnsi="宋体"/>
          <w:color w:val="auto"/>
          <w:kern w:val="0"/>
          <w:szCs w:val="21"/>
        </w:rPr>
        <w:t>本款前述各项的内容适用于水路运输和航空运输，其中</w:t>
      </w:r>
      <w:r>
        <w:rPr>
          <w:rFonts w:hAnsi="宋体"/>
          <w:color w:val="auto"/>
          <w:kern w:val="0"/>
          <w:szCs w:val="21"/>
        </w:rPr>
        <w:t>“</w:t>
      </w:r>
      <w:r>
        <w:rPr>
          <w:rFonts w:hint="eastAsia" w:hAnsi="宋体"/>
          <w:color w:val="auto"/>
          <w:kern w:val="0"/>
          <w:szCs w:val="21"/>
        </w:rPr>
        <w:t>道路</w:t>
      </w:r>
      <w:r>
        <w:rPr>
          <w:rFonts w:hAnsi="宋体"/>
          <w:color w:val="auto"/>
          <w:kern w:val="0"/>
          <w:szCs w:val="21"/>
        </w:rPr>
        <w:t>”</w:t>
      </w:r>
      <w:r>
        <w:rPr>
          <w:rFonts w:hint="eastAsia" w:hAnsi="宋体"/>
          <w:color w:val="auto"/>
          <w:kern w:val="0"/>
          <w:szCs w:val="21"/>
        </w:rPr>
        <w:t>一词的涵义包括河道、航线、船闸、机场、码头、堤防以及水路或航空运输中其他相似结构物；</w:t>
      </w:r>
      <w:r>
        <w:rPr>
          <w:rFonts w:hAnsi="宋体"/>
          <w:color w:val="auto"/>
          <w:kern w:val="0"/>
          <w:szCs w:val="21"/>
        </w:rPr>
        <w:t>“</w:t>
      </w:r>
      <w:r>
        <w:rPr>
          <w:rFonts w:hint="eastAsia" w:hAnsi="宋体"/>
          <w:color w:val="auto"/>
          <w:kern w:val="0"/>
          <w:szCs w:val="21"/>
        </w:rPr>
        <w:t>车辆</w:t>
      </w:r>
      <w:r>
        <w:rPr>
          <w:rFonts w:hAnsi="宋体"/>
          <w:color w:val="auto"/>
          <w:kern w:val="0"/>
          <w:szCs w:val="21"/>
        </w:rPr>
        <w:t>”</w:t>
      </w:r>
      <w:r>
        <w:rPr>
          <w:rFonts w:hint="eastAsia" w:hAnsi="宋体"/>
          <w:color w:val="auto"/>
          <w:kern w:val="0"/>
          <w:szCs w:val="21"/>
        </w:rPr>
        <w:t>一词的涵义包括船舶和飞机等。</w:t>
      </w:r>
    </w:p>
    <w:p w14:paraId="0A4C2468">
      <w:pPr>
        <w:pStyle w:val="6"/>
        <w:tabs>
          <w:tab w:val="left" w:pos="2155"/>
        </w:tabs>
        <w:rPr>
          <w:color w:val="auto"/>
        </w:rPr>
      </w:pPr>
      <w:bookmarkStart w:id="308" w:name="_Toc351203506"/>
      <w:r>
        <w:rPr>
          <w:color w:val="auto"/>
        </w:rPr>
        <w:t>1</w:t>
      </w:r>
      <w:bookmarkStart w:id="309" w:name="_Toc337558737"/>
      <w:bookmarkStart w:id="310" w:name="_Toc296346538"/>
      <w:bookmarkStart w:id="311" w:name="_Toc296503037"/>
      <w:r>
        <w:rPr>
          <w:color w:val="auto"/>
        </w:rPr>
        <w:t>.11</w:t>
      </w:r>
      <w:r>
        <w:rPr>
          <w:rFonts w:hint="eastAsia" w:cs="宋体"/>
          <w:color w:val="auto"/>
        </w:rPr>
        <w:t>知识产权</w:t>
      </w:r>
      <w:bookmarkEnd w:id="308"/>
      <w:r>
        <w:rPr>
          <w:color w:val="auto"/>
        </w:rPr>
        <w:t xml:space="preserve"> </w:t>
      </w:r>
      <w:bookmarkEnd w:id="309"/>
    </w:p>
    <w:bookmarkEnd w:id="310"/>
    <w:bookmarkEnd w:id="311"/>
    <w:p w14:paraId="47F2B125">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1.11.1 </w:t>
      </w:r>
      <w:r>
        <w:rPr>
          <w:rFonts w:hint="eastAsia" w:hAnsi="宋体"/>
          <w:color w:val="auto"/>
          <w:kern w:val="0"/>
          <w:szCs w:val="21"/>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77F2895">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1.11.2 </w:t>
      </w:r>
      <w:r>
        <w:rPr>
          <w:rFonts w:hint="eastAsia" w:hAnsi="宋体"/>
          <w:color w:val="auto"/>
          <w:kern w:val="0"/>
          <w:szCs w:val="21"/>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4A19081A">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1.11.3 </w:t>
      </w:r>
      <w:r>
        <w:rPr>
          <w:rFonts w:hint="eastAsia" w:hAnsi="宋体"/>
          <w:color w:val="auto"/>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47E9B51B">
      <w:pPr>
        <w:rPr>
          <w:rFonts w:hAnsi="宋体"/>
          <w:color w:val="auto"/>
          <w:szCs w:val="21"/>
        </w:rPr>
      </w:pPr>
      <w:r>
        <w:rPr>
          <w:rFonts w:hAnsi="宋体"/>
          <w:color w:val="auto"/>
          <w:kern w:val="0"/>
          <w:szCs w:val="21"/>
        </w:rPr>
        <w:t xml:space="preserve">    </w:t>
      </w:r>
      <w:r>
        <w:rPr>
          <w:rFonts w:hAnsi="宋体"/>
          <w:color w:val="auto"/>
          <w:szCs w:val="21"/>
        </w:rPr>
        <w:t xml:space="preserve">1.11.4 </w:t>
      </w:r>
      <w:r>
        <w:rPr>
          <w:rFonts w:hint="eastAsia" w:hAnsi="宋体"/>
          <w:color w:val="auto"/>
          <w:szCs w:val="21"/>
        </w:rPr>
        <w:t>除专用合同条款另有约定外，承包人在合同签订前和签订时已确定采用的专利、专有技术、技术秘密的使用费已包含在签约合同价中。</w:t>
      </w:r>
    </w:p>
    <w:p w14:paraId="38491C46">
      <w:pPr>
        <w:pStyle w:val="6"/>
        <w:tabs>
          <w:tab w:val="left" w:pos="2155"/>
        </w:tabs>
        <w:rPr>
          <w:color w:val="auto"/>
        </w:rPr>
      </w:pPr>
      <w:bookmarkStart w:id="312" w:name="_Toc351203507"/>
      <w:r>
        <w:rPr>
          <w:color w:val="auto"/>
        </w:rPr>
        <w:t>1</w:t>
      </w:r>
      <w:bookmarkStart w:id="313" w:name="_Toc337558738"/>
      <w:r>
        <w:rPr>
          <w:color w:val="auto"/>
        </w:rPr>
        <w:t>.12</w:t>
      </w:r>
      <w:r>
        <w:rPr>
          <w:rFonts w:hint="eastAsia" w:cs="宋体"/>
          <w:color w:val="auto"/>
        </w:rPr>
        <w:t>保密</w:t>
      </w:r>
      <w:bookmarkEnd w:id="312"/>
    </w:p>
    <w:bookmarkEnd w:id="313"/>
    <w:p w14:paraId="0494477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除法律规定或合同另有约定外，未经发包人同意，承包人不得将发包人提供的图纸、文件以及声明需要保密的资料信息等商业秘密泄露给第三方。</w:t>
      </w:r>
    </w:p>
    <w:p w14:paraId="7ECE395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除法律规定或合同另有约定外，未经承包人同意，发包人不得将承包人提供的技术秘密及声明需要保密的资料信息等商业秘密泄露给第三方。</w:t>
      </w:r>
    </w:p>
    <w:p w14:paraId="4BAE21C3">
      <w:pPr>
        <w:pStyle w:val="6"/>
        <w:tabs>
          <w:tab w:val="left" w:pos="2155"/>
        </w:tabs>
        <w:rPr>
          <w:color w:val="auto"/>
        </w:rPr>
      </w:pPr>
      <w:bookmarkStart w:id="314" w:name="_Toc351203508"/>
      <w:r>
        <w:rPr>
          <w:color w:val="auto"/>
        </w:rPr>
        <w:t>1.13</w:t>
      </w:r>
      <w:r>
        <w:rPr>
          <w:rFonts w:hint="eastAsia"/>
          <w:color w:val="auto"/>
        </w:rPr>
        <w:t>工程量清单错误的修正</w:t>
      </w:r>
      <w:bookmarkEnd w:id="314"/>
    </w:p>
    <w:p w14:paraId="5BE2352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除专用合同条款另有约定外，发包人提供的工程量清单，应被认为是准确的和完整的。出现下列情形之一时，发包人应予以修正，并相应调整合同价格：</w:t>
      </w:r>
    </w:p>
    <w:p w14:paraId="459E40A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）工程量清单存在缺项、漏项的；</w:t>
      </w:r>
    </w:p>
    <w:p w14:paraId="741DFD6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）工程量清单偏差超出专用合同条款约定的工程量偏差范围的；</w:t>
      </w:r>
    </w:p>
    <w:p w14:paraId="6E5E843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）未按照国家现行计量规范强制性规定计量的。</w:t>
      </w:r>
    </w:p>
    <w:p w14:paraId="030B17CC">
      <w:pPr>
        <w:pStyle w:val="5"/>
        <w:tabs>
          <w:tab w:val="left" w:pos="900"/>
        </w:tabs>
        <w:rPr>
          <w:color w:val="auto"/>
        </w:rPr>
      </w:pPr>
      <w:bookmarkStart w:id="315" w:name="_Toc1814"/>
      <w:bookmarkStart w:id="316" w:name="_Toc22865"/>
      <w:bookmarkStart w:id="317" w:name="_Toc525396171"/>
      <w:bookmarkStart w:id="318" w:name="_Toc19915"/>
      <w:bookmarkStart w:id="319" w:name="_Toc351203509"/>
      <w:bookmarkStart w:id="320" w:name="_Toc2585"/>
      <w:r>
        <w:rPr>
          <w:color w:val="auto"/>
        </w:rPr>
        <w:t>2</w:t>
      </w:r>
      <w:bookmarkStart w:id="321" w:name="_Toc337558739"/>
      <w:bookmarkStart w:id="322" w:name="_Toc296346539"/>
      <w:bookmarkStart w:id="323" w:name="_Toc296503038"/>
      <w:bookmarkStart w:id="324" w:name="OLE_LINK1"/>
      <w:r>
        <w:rPr>
          <w:color w:val="auto"/>
        </w:rPr>
        <w:t xml:space="preserve">. </w:t>
      </w:r>
      <w:r>
        <w:rPr>
          <w:rFonts w:hint="eastAsia" w:cs="宋体"/>
          <w:color w:val="auto"/>
        </w:rPr>
        <w:t>发包人</w:t>
      </w:r>
      <w:bookmarkEnd w:id="315"/>
      <w:bookmarkEnd w:id="316"/>
      <w:bookmarkEnd w:id="317"/>
      <w:bookmarkEnd w:id="318"/>
      <w:bookmarkEnd w:id="319"/>
      <w:bookmarkEnd w:id="320"/>
    </w:p>
    <w:bookmarkEnd w:id="321"/>
    <w:bookmarkEnd w:id="322"/>
    <w:bookmarkEnd w:id="323"/>
    <w:p w14:paraId="60CB4D57">
      <w:pPr>
        <w:pStyle w:val="6"/>
        <w:tabs>
          <w:tab w:val="left" w:pos="2155"/>
        </w:tabs>
        <w:rPr>
          <w:color w:val="auto"/>
        </w:rPr>
      </w:pPr>
      <w:bookmarkStart w:id="325" w:name="_Toc351203510"/>
      <w:r>
        <w:rPr>
          <w:color w:val="auto"/>
        </w:rPr>
        <w:t>2</w:t>
      </w:r>
      <w:bookmarkStart w:id="326" w:name="_Toc296346540"/>
      <w:bookmarkStart w:id="327" w:name="_Toc296503039"/>
      <w:bookmarkStart w:id="328" w:name="_Toc337558740"/>
      <w:r>
        <w:rPr>
          <w:color w:val="auto"/>
        </w:rPr>
        <w:t xml:space="preserve">.1 </w:t>
      </w:r>
      <w:r>
        <w:rPr>
          <w:rFonts w:hint="eastAsia" w:cs="宋体"/>
          <w:color w:val="auto"/>
        </w:rPr>
        <w:t>许可或批准</w:t>
      </w:r>
      <w:bookmarkEnd w:id="325"/>
    </w:p>
    <w:p w14:paraId="1EFBEE8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802E42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因发包人原因未能及时办理完毕前述许可、批准或备案，由发包人承担由此增加的费用和（或）延误的工期，并支付承包人合理的利润。</w:t>
      </w:r>
    </w:p>
    <w:p w14:paraId="005CA9F6">
      <w:pPr>
        <w:pStyle w:val="6"/>
        <w:tabs>
          <w:tab w:val="left" w:pos="2155"/>
        </w:tabs>
        <w:rPr>
          <w:color w:val="auto"/>
        </w:rPr>
      </w:pPr>
      <w:bookmarkStart w:id="329" w:name="_Toc351203511"/>
      <w:r>
        <w:rPr>
          <w:color w:val="auto"/>
        </w:rPr>
        <w:t xml:space="preserve">2.2 </w:t>
      </w:r>
      <w:r>
        <w:rPr>
          <w:rFonts w:hint="eastAsia" w:cs="宋体"/>
          <w:color w:val="auto"/>
        </w:rPr>
        <w:t>发包人代表</w:t>
      </w:r>
      <w:bookmarkEnd w:id="329"/>
    </w:p>
    <w:p w14:paraId="6C38C30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Pr>
          <w:rFonts w:hAnsi="宋体"/>
          <w:color w:val="auto"/>
          <w:kern w:val="0"/>
          <w:szCs w:val="21"/>
        </w:rPr>
        <w:t>7</w:t>
      </w:r>
      <w:r>
        <w:rPr>
          <w:rFonts w:hint="eastAsia" w:hAnsi="宋体"/>
          <w:color w:val="auto"/>
          <w:kern w:val="0"/>
          <w:szCs w:val="21"/>
        </w:rPr>
        <w:t>天书面通知承包人。</w:t>
      </w:r>
    </w:p>
    <w:p w14:paraId="766720E0">
      <w:pPr>
        <w:ind w:firstLine="420" w:firstLineChars="200"/>
        <w:rPr>
          <w:rFonts w:hAnsi="宋体"/>
          <w:color w:val="auto"/>
          <w:kern w:val="0"/>
          <w:szCs w:val="21"/>
        </w:rPr>
      </w:pPr>
      <w:r>
        <w:rPr>
          <w:rFonts w:hint="eastAsia" w:hAnsi="宋体"/>
          <w:color w:val="auto"/>
          <w:kern w:val="0"/>
          <w:szCs w:val="21"/>
        </w:rPr>
        <w:t>发包人代表不能按照合同约定履行其职责及义务，并导致合同无法继续正常履行的，承包人可以要求发包人撤换发包人代表。</w:t>
      </w:r>
    </w:p>
    <w:p w14:paraId="043FA903">
      <w:pPr>
        <w:ind w:firstLine="420" w:firstLineChars="200"/>
        <w:rPr>
          <w:rFonts w:hAnsi="宋体"/>
          <w:color w:val="auto"/>
          <w:szCs w:val="21"/>
        </w:rPr>
      </w:pPr>
      <w:r>
        <w:rPr>
          <w:rFonts w:hint="eastAsia" w:hAnsi="宋体"/>
          <w:color w:val="auto"/>
          <w:kern w:val="0"/>
          <w:szCs w:val="21"/>
        </w:rPr>
        <w:t>不属于法定必须监理的工程，监理人的职权可以由发包人代表或发包人指定的其他人员行使。</w:t>
      </w:r>
    </w:p>
    <w:p w14:paraId="71B93E9D">
      <w:pPr>
        <w:pStyle w:val="6"/>
        <w:tabs>
          <w:tab w:val="left" w:pos="2155"/>
        </w:tabs>
        <w:rPr>
          <w:color w:val="auto"/>
        </w:rPr>
      </w:pPr>
      <w:bookmarkStart w:id="330" w:name="_Toc351203512"/>
      <w:r>
        <w:rPr>
          <w:color w:val="auto"/>
        </w:rPr>
        <w:t xml:space="preserve">2.3 </w:t>
      </w:r>
      <w:r>
        <w:rPr>
          <w:rFonts w:hint="eastAsia" w:cs="宋体"/>
          <w:color w:val="auto"/>
        </w:rPr>
        <w:t>发包人人员</w:t>
      </w:r>
      <w:bookmarkEnd w:id="330"/>
    </w:p>
    <w:p w14:paraId="53E41CE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发包人应要求在施工现场的发包人人员遵守法律及有关安全、质量、环境保护、文明施工等规定，并保障承包人免于承受因发包人人员未遵守上述要求给承包人造成的损失和责任。</w:t>
      </w:r>
    </w:p>
    <w:p w14:paraId="240F0FA5">
      <w:pPr>
        <w:spacing w:line="360" w:lineRule="auto"/>
        <w:ind w:firstLine="640"/>
        <w:jc w:val="left"/>
        <w:rPr>
          <w:rFonts w:hAnsi="宋体"/>
          <w:color w:val="auto"/>
          <w:kern w:val="0"/>
          <w:szCs w:val="21"/>
        </w:rPr>
      </w:pPr>
      <w:r>
        <w:rPr>
          <w:rFonts w:hint="eastAsia" w:hAnsi="宋体"/>
          <w:color w:val="auto"/>
          <w:kern w:val="0"/>
          <w:szCs w:val="21"/>
        </w:rPr>
        <w:t>发包人人员包括发包人代表及其他由发包人派驻施工现场的人员。</w:t>
      </w:r>
      <w:bookmarkEnd w:id="326"/>
      <w:bookmarkEnd w:id="327"/>
      <w:bookmarkEnd w:id="328"/>
    </w:p>
    <w:p w14:paraId="1E859B2C">
      <w:pPr>
        <w:pStyle w:val="6"/>
        <w:tabs>
          <w:tab w:val="left" w:pos="2155"/>
        </w:tabs>
        <w:rPr>
          <w:color w:val="auto"/>
        </w:rPr>
      </w:pPr>
      <w:bookmarkStart w:id="331" w:name="_Toc351203513"/>
      <w:r>
        <w:rPr>
          <w:color w:val="auto"/>
        </w:rPr>
        <w:t>2</w:t>
      </w:r>
      <w:bookmarkStart w:id="332" w:name="_Toc296346541"/>
      <w:bookmarkStart w:id="333" w:name="_Toc296503040"/>
      <w:bookmarkStart w:id="334" w:name="_Toc337558741"/>
      <w:r>
        <w:rPr>
          <w:color w:val="auto"/>
        </w:rPr>
        <w:t xml:space="preserve">.4 </w:t>
      </w:r>
      <w:r>
        <w:rPr>
          <w:rFonts w:hint="eastAsia"/>
          <w:color w:val="auto"/>
        </w:rPr>
        <w:t>施工现场、施工条件和基础资料的提供</w:t>
      </w:r>
      <w:bookmarkEnd w:id="331"/>
      <w:r>
        <w:rPr>
          <w:color w:val="auto"/>
        </w:rPr>
        <w:t xml:space="preserve"> </w:t>
      </w:r>
      <w:bookmarkEnd w:id="332"/>
      <w:bookmarkEnd w:id="333"/>
      <w:bookmarkEnd w:id="334"/>
      <w:r>
        <w:rPr>
          <w:color w:val="auto"/>
        </w:rPr>
        <w:t xml:space="preserve"> </w:t>
      </w:r>
    </w:p>
    <w:p w14:paraId="3A00EDED">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2.4.1 </w:t>
      </w:r>
      <w:r>
        <w:rPr>
          <w:rFonts w:hint="eastAsia" w:hAnsi="宋体"/>
          <w:color w:val="auto"/>
          <w:kern w:val="0"/>
          <w:szCs w:val="21"/>
        </w:rPr>
        <w:t>提供施工现场</w:t>
      </w:r>
    </w:p>
    <w:p w14:paraId="0ABF96A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w:t>
      </w:r>
      <w:bookmarkEnd w:id="324"/>
      <w:r>
        <w:rPr>
          <w:rFonts w:hint="eastAsia" w:hAnsi="宋体"/>
          <w:color w:val="auto"/>
          <w:kern w:val="0"/>
          <w:szCs w:val="21"/>
        </w:rPr>
        <w:t>专用合同条款另有约定外，发包人应最迟于开工日期</w:t>
      </w:r>
      <w:r>
        <w:rPr>
          <w:rFonts w:hAnsi="宋体"/>
          <w:color w:val="auto"/>
          <w:kern w:val="0"/>
          <w:szCs w:val="21"/>
        </w:rPr>
        <w:t>7</w:t>
      </w:r>
      <w:r>
        <w:rPr>
          <w:rFonts w:hint="eastAsia" w:hAnsi="宋体"/>
          <w:color w:val="auto"/>
          <w:kern w:val="0"/>
          <w:szCs w:val="21"/>
        </w:rPr>
        <w:t>天前向承包人移交施工现场。</w:t>
      </w:r>
    </w:p>
    <w:p w14:paraId="6BED2EB1">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2.4.2 </w:t>
      </w:r>
      <w:r>
        <w:rPr>
          <w:rFonts w:hint="eastAsia" w:hAnsi="宋体"/>
          <w:color w:val="auto"/>
          <w:kern w:val="0"/>
          <w:szCs w:val="21"/>
        </w:rPr>
        <w:t>提供施工条件</w:t>
      </w:r>
    </w:p>
    <w:p w14:paraId="0665E87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除专用合同条款另有约定外，发包人应负责提供施工所需要的条件，包括：</w:t>
      </w:r>
    </w:p>
    <w:p w14:paraId="3610A69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）将施工用水、电力、通讯线路等施工所必需的条件接至施工现场内；</w:t>
      </w:r>
    </w:p>
    <w:p w14:paraId="5A3F14C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）保证向承包人提供正常施工所需要的进入施工现场的交通条件；</w:t>
      </w:r>
    </w:p>
    <w:p w14:paraId="4A84172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）协调处理施工现场周围地下管线和邻近建筑物、构筑物、古树名木的保护工作，并承担相关费用；</w:t>
      </w:r>
    </w:p>
    <w:p w14:paraId="72CA2BF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）按照专用合同条款约定应提供的其他设施和条件。</w:t>
      </w:r>
    </w:p>
    <w:p w14:paraId="0014A31D">
      <w:pPr>
        <w:autoSpaceDE w:val="0"/>
        <w:autoSpaceDN w:val="0"/>
        <w:adjustRightInd w:val="0"/>
        <w:spacing w:line="360" w:lineRule="auto"/>
        <w:ind w:firstLine="420" w:firstLineChars="200"/>
        <w:jc w:val="left"/>
        <w:rPr>
          <w:rFonts w:hAnsi="宋体"/>
          <w:color w:val="auto"/>
          <w:szCs w:val="21"/>
        </w:rPr>
      </w:pPr>
      <w:r>
        <w:rPr>
          <w:rFonts w:hAnsi="宋体"/>
          <w:color w:val="auto"/>
          <w:kern w:val="0"/>
          <w:szCs w:val="21"/>
        </w:rPr>
        <w:t xml:space="preserve">2.4.3 </w:t>
      </w:r>
      <w:r>
        <w:rPr>
          <w:rFonts w:hint="eastAsia" w:hAnsi="宋体"/>
          <w:color w:val="auto"/>
          <w:kern w:val="0"/>
          <w:szCs w:val="21"/>
        </w:rPr>
        <w:t>提供基础资料</w:t>
      </w:r>
    </w:p>
    <w:p w14:paraId="586D1BC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291785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按照法律规定确需在开工后方能提供的基础资料，发包人应尽其努力及时地在相应工程施工前的合理期限内提供，合理期限应以不影响承包人的正常施工为限。</w:t>
      </w:r>
    </w:p>
    <w:p w14:paraId="46D55175">
      <w:pPr>
        <w:spacing w:line="360" w:lineRule="auto"/>
        <w:ind w:firstLine="420" w:firstLineChars="200"/>
        <w:jc w:val="left"/>
        <w:rPr>
          <w:rFonts w:hAnsi="宋体"/>
          <w:color w:val="auto"/>
          <w:kern w:val="0"/>
          <w:szCs w:val="21"/>
        </w:rPr>
      </w:pPr>
      <w:r>
        <w:rPr>
          <w:rFonts w:hAnsi="宋体"/>
          <w:color w:val="auto"/>
          <w:kern w:val="0"/>
          <w:szCs w:val="21"/>
        </w:rPr>
        <w:t xml:space="preserve">2.4.4 </w:t>
      </w:r>
      <w:r>
        <w:rPr>
          <w:rFonts w:hint="eastAsia" w:hAnsi="宋体"/>
          <w:color w:val="auto"/>
          <w:kern w:val="0"/>
          <w:szCs w:val="21"/>
        </w:rPr>
        <w:t>逾期提供的责任</w:t>
      </w:r>
    </w:p>
    <w:p w14:paraId="5239E8FD">
      <w:pPr>
        <w:spacing w:line="360" w:lineRule="auto"/>
        <w:ind w:firstLine="420" w:firstLineChars="200"/>
        <w:jc w:val="left"/>
        <w:rPr>
          <w:rFonts w:hAnsi="宋体"/>
          <w:color w:val="auto"/>
          <w:kern w:val="0"/>
          <w:szCs w:val="21"/>
        </w:rPr>
      </w:pPr>
      <w:r>
        <w:rPr>
          <w:rFonts w:hint="eastAsia" w:hAnsi="宋体"/>
          <w:color w:val="auto"/>
          <w:kern w:val="0"/>
          <w:szCs w:val="21"/>
        </w:rPr>
        <w:t>因发包人原因未能按合同约定及时向承包人提供施工现场、施工条件、基础资料的，由发包人承担由此增加的费用和（或）延误的工期。</w:t>
      </w:r>
    </w:p>
    <w:p w14:paraId="7914168E">
      <w:pPr>
        <w:pStyle w:val="6"/>
        <w:tabs>
          <w:tab w:val="left" w:pos="2155"/>
        </w:tabs>
        <w:rPr>
          <w:color w:val="auto"/>
        </w:rPr>
      </w:pPr>
      <w:bookmarkStart w:id="335" w:name="_Toc351203514"/>
      <w:r>
        <w:rPr>
          <w:color w:val="auto"/>
        </w:rPr>
        <w:t>2</w:t>
      </w:r>
      <w:bookmarkStart w:id="336" w:name="_Toc296346543"/>
      <w:bookmarkStart w:id="337" w:name="_Toc337558745"/>
      <w:bookmarkStart w:id="338" w:name="_Toc296503042"/>
      <w:r>
        <w:rPr>
          <w:color w:val="auto"/>
        </w:rPr>
        <w:t xml:space="preserve">.5 </w:t>
      </w:r>
      <w:r>
        <w:rPr>
          <w:rFonts w:hint="eastAsia"/>
          <w:color w:val="auto"/>
        </w:rPr>
        <w:t>资</w:t>
      </w:r>
      <w:bookmarkEnd w:id="336"/>
      <w:bookmarkEnd w:id="337"/>
      <w:bookmarkEnd w:id="338"/>
      <w:r>
        <w:rPr>
          <w:rFonts w:hint="eastAsia"/>
          <w:color w:val="auto"/>
        </w:rPr>
        <w:t>金来源证明及支付担保</w:t>
      </w:r>
      <w:bookmarkEnd w:id="335"/>
    </w:p>
    <w:p w14:paraId="2F0473E0">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除专用合同条款另有约定外，发包人应在收到承包人要求提供资金来源证明的书面通知后</w:t>
      </w:r>
      <w:r>
        <w:rPr>
          <w:rFonts w:hAnsi="宋体"/>
          <w:color w:val="auto"/>
          <w:kern w:val="0"/>
          <w:szCs w:val="21"/>
        </w:rPr>
        <w:t>28</w:t>
      </w:r>
      <w:r>
        <w:rPr>
          <w:rFonts w:hint="eastAsia" w:hAnsi="宋体"/>
          <w:color w:val="auto"/>
          <w:kern w:val="0"/>
          <w:szCs w:val="21"/>
        </w:rPr>
        <w:t>天内，向承包人提供能够按照合同约定支付合同价款的相应资金来源证明。</w:t>
      </w:r>
    </w:p>
    <w:p w14:paraId="7DA52AFB">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248F54B3">
      <w:pPr>
        <w:pStyle w:val="6"/>
        <w:tabs>
          <w:tab w:val="left" w:pos="2155"/>
        </w:tabs>
        <w:rPr>
          <w:color w:val="auto"/>
        </w:rPr>
      </w:pPr>
      <w:bookmarkStart w:id="339" w:name="_Toc351203515"/>
      <w:r>
        <w:rPr>
          <w:color w:val="auto"/>
        </w:rPr>
        <w:t xml:space="preserve">2.6 </w:t>
      </w:r>
      <w:r>
        <w:rPr>
          <w:rFonts w:hint="eastAsia"/>
          <w:color w:val="auto"/>
        </w:rPr>
        <w:t>支付合同价款</w:t>
      </w:r>
      <w:bookmarkEnd w:id="339"/>
    </w:p>
    <w:p w14:paraId="2EA18F7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发包人应按合同约定向承包人及时支付合同价款。</w:t>
      </w:r>
    </w:p>
    <w:p w14:paraId="17E17C3A">
      <w:pPr>
        <w:pStyle w:val="6"/>
        <w:tabs>
          <w:tab w:val="left" w:pos="2155"/>
        </w:tabs>
        <w:rPr>
          <w:color w:val="auto"/>
        </w:rPr>
      </w:pPr>
      <w:bookmarkStart w:id="340" w:name="_Toc351203516"/>
      <w:r>
        <w:rPr>
          <w:color w:val="auto"/>
        </w:rPr>
        <w:t xml:space="preserve">2.7 </w:t>
      </w:r>
      <w:r>
        <w:rPr>
          <w:rFonts w:hint="eastAsia"/>
          <w:color w:val="auto"/>
        </w:rPr>
        <w:t>组织竣工验收</w:t>
      </w:r>
      <w:bookmarkEnd w:id="340"/>
    </w:p>
    <w:p w14:paraId="75EABE6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发包人应按合同约定及时组织竣工验收。</w:t>
      </w:r>
    </w:p>
    <w:p w14:paraId="25906AA8">
      <w:pPr>
        <w:pStyle w:val="6"/>
        <w:tabs>
          <w:tab w:val="left" w:pos="2155"/>
        </w:tabs>
        <w:rPr>
          <w:color w:val="auto"/>
        </w:rPr>
      </w:pPr>
      <w:bookmarkStart w:id="341" w:name="_Toc351203517"/>
      <w:r>
        <w:rPr>
          <w:color w:val="auto"/>
        </w:rPr>
        <w:t xml:space="preserve">2.8 </w:t>
      </w:r>
      <w:r>
        <w:rPr>
          <w:rFonts w:hint="eastAsia"/>
          <w:color w:val="auto"/>
        </w:rPr>
        <w:t>现场统一管理协议</w:t>
      </w:r>
      <w:bookmarkEnd w:id="341"/>
    </w:p>
    <w:p w14:paraId="075C0E2A">
      <w:pPr>
        <w:spacing w:line="360" w:lineRule="auto"/>
        <w:ind w:firstLine="420" w:firstLineChars="200"/>
        <w:jc w:val="left"/>
        <w:rPr>
          <w:rFonts w:hAnsi="宋体"/>
          <w:color w:val="auto"/>
          <w:kern w:val="0"/>
          <w:szCs w:val="21"/>
        </w:rPr>
      </w:pPr>
      <w:r>
        <w:rPr>
          <w:rFonts w:hint="eastAsia" w:hAnsi="宋体"/>
          <w:color w:val="auto"/>
          <w:kern w:val="0"/>
          <w:szCs w:val="21"/>
        </w:rPr>
        <w:t>发包人应与承包人、由发包人直接发包的专业工程的承包人签订施工现场统一管理协议，明确各方的权利义务。施工现场统一管理协议作为专用合同条款的附件。</w:t>
      </w:r>
    </w:p>
    <w:p w14:paraId="07DD4842">
      <w:pPr>
        <w:pStyle w:val="5"/>
        <w:tabs>
          <w:tab w:val="left" w:pos="900"/>
        </w:tabs>
        <w:rPr>
          <w:color w:val="auto"/>
        </w:rPr>
      </w:pPr>
      <w:bookmarkStart w:id="342" w:name="_Toc351203518"/>
      <w:bookmarkStart w:id="343" w:name="_Toc23130"/>
      <w:bookmarkStart w:id="344" w:name="_Toc15554"/>
      <w:bookmarkStart w:id="345" w:name="_Toc3522"/>
      <w:bookmarkStart w:id="346" w:name="_Toc14990"/>
      <w:bookmarkStart w:id="347" w:name="_Toc525396172"/>
      <w:r>
        <w:rPr>
          <w:color w:val="auto"/>
        </w:rPr>
        <w:t>3</w:t>
      </w:r>
      <w:bookmarkStart w:id="348" w:name="_Toc296503045"/>
      <w:bookmarkStart w:id="349" w:name="_Toc337558746"/>
      <w:bookmarkStart w:id="350" w:name="_Toc296346546"/>
      <w:r>
        <w:rPr>
          <w:color w:val="auto"/>
        </w:rPr>
        <w:t xml:space="preserve">. </w:t>
      </w:r>
      <w:r>
        <w:rPr>
          <w:rFonts w:hint="eastAsia" w:cs="宋体"/>
          <w:color w:val="auto"/>
        </w:rPr>
        <w:t>承包人</w:t>
      </w:r>
      <w:bookmarkEnd w:id="342"/>
      <w:bookmarkEnd w:id="343"/>
      <w:bookmarkEnd w:id="344"/>
      <w:bookmarkEnd w:id="345"/>
      <w:bookmarkEnd w:id="346"/>
      <w:bookmarkEnd w:id="347"/>
    </w:p>
    <w:bookmarkEnd w:id="348"/>
    <w:bookmarkEnd w:id="349"/>
    <w:bookmarkEnd w:id="350"/>
    <w:p w14:paraId="55E49B8E">
      <w:pPr>
        <w:pStyle w:val="6"/>
        <w:tabs>
          <w:tab w:val="left" w:pos="2155"/>
        </w:tabs>
        <w:rPr>
          <w:color w:val="auto"/>
        </w:rPr>
      </w:pPr>
      <w:bookmarkStart w:id="351" w:name="_Toc351203519"/>
      <w:r>
        <w:rPr>
          <w:color w:val="auto"/>
        </w:rPr>
        <w:t>3</w:t>
      </w:r>
      <w:bookmarkStart w:id="352" w:name="_Toc296503046"/>
      <w:bookmarkStart w:id="353" w:name="_Toc337558747"/>
      <w:bookmarkStart w:id="354" w:name="_Toc296346547"/>
      <w:r>
        <w:rPr>
          <w:color w:val="auto"/>
        </w:rPr>
        <w:t xml:space="preserve">.1 </w:t>
      </w:r>
      <w:r>
        <w:rPr>
          <w:rFonts w:hint="eastAsia"/>
          <w:color w:val="auto"/>
        </w:rPr>
        <w:t>承包人的一般义务</w:t>
      </w:r>
      <w:bookmarkEnd w:id="351"/>
    </w:p>
    <w:bookmarkEnd w:id="352"/>
    <w:bookmarkEnd w:id="353"/>
    <w:bookmarkEnd w:id="354"/>
    <w:p w14:paraId="23B3E2A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承包人在履行合同过程中应遵守法律和工程建设标准规范，并履行以下义务：</w:t>
      </w:r>
    </w:p>
    <w:p w14:paraId="3248ED5F">
      <w:pPr>
        <w:numPr>
          <w:ilvl w:val="0"/>
          <w:numId w:val="3"/>
        </w:num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办理法律规定应由承包人办理的许可和批准，并将办理结果书面报送发包人留存；</w:t>
      </w:r>
    </w:p>
    <w:p w14:paraId="5745601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）按法律规定和合同约定完成工程，并在保修期内承担保修义务；</w:t>
      </w:r>
    </w:p>
    <w:p w14:paraId="2EDEB92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）按法律规定和合同约定采取施工安全和环境保护措施，办理工伤保险，确保工程及人员、材料、设备和设施的安全；</w:t>
      </w:r>
    </w:p>
    <w:p w14:paraId="4DB99E1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）按合同约定的工作内容和施工进度要求，编制施工组织设计和施工措施计划，并对所有施工作业和施工方法的完备性和安全可靠性负责；</w:t>
      </w:r>
    </w:p>
    <w:p w14:paraId="4FD9B43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2DD59C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）按照第</w:t>
      </w:r>
      <w:r>
        <w:rPr>
          <w:rFonts w:hAnsi="宋体"/>
          <w:color w:val="auto"/>
          <w:kern w:val="0"/>
          <w:szCs w:val="21"/>
        </w:rPr>
        <w:t>6.3</w:t>
      </w:r>
      <w:r>
        <w:rPr>
          <w:rFonts w:hint="eastAsia" w:hAnsi="宋体"/>
          <w:color w:val="auto"/>
          <w:kern w:val="0"/>
          <w:szCs w:val="21"/>
        </w:rPr>
        <w:t>款〔环境保护〕约定负责施工场地及其周边环境与生态的保护工作；</w:t>
      </w:r>
    </w:p>
    <w:p w14:paraId="562C288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）按第</w:t>
      </w:r>
      <w:r>
        <w:rPr>
          <w:rFonts w:hAnsi="宋体"/>
          <w:color w:val="auto"/>
          <w:kern w:val="0"/>
          <w:szCs w:val="21"/>
        </w:rPr>
        <w:t>6.1</w:t>
      </w:r>
      <w:r>
        <w:rPr>
          <w:rFonts w:hint="eastAsia" w:hAnsi="宋体"/>
          <w:color w:val="auto"/>
          <w:kern w:val="0"/>
          <w:szCs w:val="21"/>
        </w:rPr>
        <w:t>款〔安全文明施工〕约定采取施工安全措施，确保工程及其人员、材料、设备和设施的安全，防止因工程施工造成的人身伤害和财产损失；</w:t>
      </w:r>
    </w:p>
    <w:p w14:paraId="6A847E8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8</w:t>
      </w:r>
      <w:r>
        <w:rPr>
          <w:rFonts w:hint="eastAsia" w:hAnsi="宋体"/>
          <w:color w:val="auto"/>
          <w:kern w:val="0"/>
          <w:szCs w:val="21"/>
        </w:rPr>
        <w:t>）将发包人按合同约定支付的各项价款专用于合同工程，且应及时支付其雇用人员工资，并及时向分包人支付合同价款；</w:t>
      </w:r>
    </w:p>
    <w:p w14:paraId="6614193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9</w:t>
      </w:r>
      <w:r>
        <w:rPr>
          <w:rFonts w:hint="eastAsia" w:hAnsi="宋体"/>
          <w:color w:val="auto"/>
          <w:kern w:val="0"/>
          <w:szCs w:val="21"/>
        </w:rPr>
        <w:t>）按照法律规定和合同约定编制竣工资料，完成竣工资料立卷及归档，并按专用合同条款约定的竣工资料的套数、内容、时间等要求移交发包人；</w:t>
      </w:r>
    </w:p>
    <w:p w14:paraId="34A19C0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10</w:t>
      </w:r>
      <w:r>
        <w:rPr>
          <w:rFonts w:hint="eastAsia" w:hAnsi="宋体"/>
          <w:color w:val="auto"/>
          <w:kern w:val="0"/>
          <w:szCs w:val="21"/>
        </w:rPr>
        <w:t>）应履行的其他义务。</w:t>
      </w:r>
    </w:p>
    <w:p w14:paraId="4C399418">
      <w:pPr>
        <w:pStyle w:val="6"/>
        <w:tabs>
          <w:tab w:val="left" w:pos="2155"/>
        </w:tabs>
        <w:rPr>
          <w:color w:val="auto"/>
        </w:rPr>
      </w:pPr>
      <w:bookmarkStart w:id="355" w:name="_Toc351203520"/>
      <w:r>
        <w:rPr>
          <w:color w:val="auto"/>
        </w:rPr>
        <w:t>3</w:t>
      </w:r>
      <w:bookmarkStart w:id="356" w:name="_Toc296503047"/>
      <w:bookmarkStart w:id="357" w:name="_Toc296346548"/>
      <w:bookmarkStart w:id="358" w:name="_Toc337558748"/>
      <w:r>
        <w:rPr>
          <w:color w:val="auto"/>
        </w:rPr>
        <w:t xml:space="preserve">.2 </w:t>
      </w:r>
      <w:bookmarkEnd w:id="355"/>
      <w:r>
        <w:rPr>
          <w:rFonts w:hint="eastAsia" w:cs="宋体"/>
          <w:color w:val="auto"/>
        </w:rPr>
        <w:t>项目经理</w:t>
      </w:r>
    </w:p>
    <w:bookmarkEnd w:id="356"/>
    <w:bookmarkEnd w:id="357"/>
    <w:bookmarkEnd w:id="358"/>
    <w:p w14:paraId="3E1C6951">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3.2.1 </w:t>
      </w:r>
      <w:r>
        <w:rPr>
          <w:rFonts w:hint="eastAsia" w:hAnsi="宋体"/>
          <w:color w:val="auto"/>
          <w:kern w:val="0"/>
          <w:szCs w:val="21"/>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17CF09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D3FB5F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承包人违反上述约定的，应按照专用合同条款的约定，承担违约责任。</w:t>
      </w:r>
    </w:p>
    <w:p w14:paraId="4E409823">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3.2.2 </w:t>
      </w:r>
      <w:r>
        <w:rPr>
          <w:rFonts w:hint="eastAsia" w:hAnsi="宋体"/>
          <w:color w:val="auto"/>
          <w:kern w:val="0"/>
          <w:szCs w:val="21"/>
        </w:rPr>
        <w:t>项目经理按合同约定组织工程实施。在紧急情况下为确保施工安全和人员安全，在无法与发包人代表和总监理工程师及时取得联系时，项目经理有权采取必要的措施保证与工程有关的人身、财产和工程的安全，但应在</w:t>
      </w:r>
      <w:r>
        <w:rPr>
          <w:rFonts w:hAnsi="宋体"/>
          <w:color w:val="auto"/>
          <w:kern w:val="0"/>
          <w:szCs w:val="21"/>
        </w:rPr>
        <w:t>48</w:t>
      </w:r>
      <w:r>
        <w:rPr>
          <w:rFonts w:hint="eastAsia" w:hAnsi="宋体"/>
          <w:color w:val="auto"/>
          <w:kern w:val="0"/>
          <w:szCs w:val="21"/>
        </w:rPr>
        <w:t>小时内向发包人代表和总监理工程师提交书面报告。</w:t>
      </w:r>
    </w:p>
    <w:p w14:paraId="21F049A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3.2.3 </w:t>
      </w:r>
      <w:r>
        <w:rPr>
          <w:rFonts w:hint="eastAsia" w:hAnsi="宋体"/>
          <w:color w:val="auto"/>
          <w:kern w:val="0"/>
          <w:szCs w:val="21"/>
        </w:rPr>
        <w:t>承包人需要更换项目经理的，应提前</w:t>
      </w:r>
      <w:r>
        <w:rPr>
          <w:rFonts w:hAnsi="宋体"/>
          <w:color w:val="auto"/>
          <w:kern w:val="0"/>
          <w:szCs w:val="21"/>
        </w:rPr>
        <w:t>14</w:t>
      </w:r>
      <w:r>
        <w:rPr>
          <w:rFonts w:hint="eastAsia" w:hAnsi="宋体"/>
          <w:color w:val="auto"/>
          <w:kern w:val="0"/>
          <w:szCs w:val="21"/>
        </w:rPr>
        <w:t>天书面通知发包人和监理人，并征得发包人书面同意。通知中应当载明继任项目经理的注册执业资格、管理经验等资料，继任项目经理继续履行第</w:t>
      </w:r>
      <w:r>
        <w:rPr>
          <w:rFonts w:hAnsi="宋体"/>
          <w:color w:val="auto"/>
          <w:kern w:val="0"/>
          <w:szCs w:val="21"/>
        </w:rPr>
        <w:t>3.2.1</w:t>
      </w:r>
      <w:r>
        <w:rPr>
          <w:rFonts w:hint="eastAsia" w:hAnsi="宋体"/>
          <w:color w:val="auto"/>
          <w:kern w:val="0"/>
          <w:szCs w:val="21"/>
        </w:rPr>
        <w:t>项约定的职责。未经发包人书面同意，承包人不得擅自更换项目经理。承包人擅自更换项目经理的，应按照专用合同条款的约定承担违约责任。</w:t>
      </w:r>
    </w:p>
    <w:p w14:paraId="36928ADD">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3.2.4 </w:t>
      </w:r>
      <w:r>
        <w:rPr>
          <w:rFonts w:hint="eastAsia" w:hAnsi="宋体"/>
          <w:color w:val="auto"/>
          <w:kern w:val="0"/>
          <w:szCs w:val="21"/>
        </w:rPr>
        <w:t>发包人有权书面通知承包人更换其认为不称职的项目经理，通知中应当载明要求更换的理由。承包人应在接到更换通知后</w:t>
      </w:r>
      <w:r>
        <w:rPr>
          <w:rFonts w:hAnsi="宋体"/>
          <w:color w:val="auto"/>
          <w:kern w:val="0"/>
          <w:szCs w:val="21"/>
        </w:rPr>
        <w:t>14</w:t>
      </w:r>
      <w:r>
        <w:rPr>
          <w:rFonts w:hint="eastAsia" w:hAnsi="宋体"/>
          <w:color w:val="auto"/>
          <w:kern w:val="0"/>
          <w:szCs w:val="21"/>
        </w:rPr>
        <w:t>天内向发包人提出书面的改进报告。发包人收到改进报告后仍要求更换的，承包人应在接到第二次更换通知的</w:t>
      </w:r>
      <w:r>
        <w:rPr>
          <w:rFonts w:hAnsi="宋体"/>
          <w:color w:val="auto"/>
          <w:kern w:val="0"/>
          <w:szCs w:val="21"/>
        </w:rPr>
        <w:t>28</w:t>
      </w:r>
      <w:r>
        <w:rPr>
          <w:rFonts w:hint="eastAsia" w:hAnsi="宋体"/>
          <w:color w:val="auto"/>
          <w:kern w:val="0"/>
          <w:szCs w:val="21"/>
        </w:rPr>
        <w:t>天内进行更换，并将新任命的项目经理的注册执业资格、管理经验等资料书面通知发包人。继任项目经理继续履行第</w:t>
      </w:r>
      <w:r>
        <w:rPr>
          <w:rFonts w:hAnsi="宋体"/>
          <w:color w:val="auto"/>
          <w:kern w:val="0"/>
          <w:szCs w:val="21"/>
        </w:rPr>
        <w:t>3.2.1</w:t>
      </w:r>
      <w:r>
        <w:rPr>
          <w:rFonts w:hint="eastAsia" w:hAnsi="宋体"/>
          <w:color w:val="auto"/>
          <w:kern w:val="0"/>
          <w:szCs w:val="21"/>
        </w:rPr>
        <w:t>项约定的职责。承包人无正当理由拒绝更换项目经理的，应按照专用合同条款的约定承担违约责任。</w:t>
      </w:r>
    </w:p>
    <w:p w14:paraId="47A5B479">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3.2.5 </w:t>
      </w:r>
      <w:r>
        <w:rPr>
          <w:rFonts w:hint="eastAsia" w:hAnsi="宋体"/>
          <w:color w:val="auto"/>
          <w:kern w:val="0"/>
          <w:szCs w:val="21"/>
        </w:rPr>
        <w:t>项目经理因特殊情况授权其下属人员履行其某项工作职责的，该下属人员应具备履行相应职责的能力，并应提前</w:t>
      </w:r>
      <w:r>
        <w:rPr>
          <w:rFonts w:hAnsi="宋体"/>
          <w:color w:val="auto"/>
          <w:kern w:val="0"/>
          <w:szCs w:val="21"/>
        </w:rPr>
        <w:t>7</w:t>
      </w:r>
      <w:r>
        <w:rPr>
          <w:rFonts w:hint="eastAsia" w:hAnsi="宋体"/>
          <w:color w:val="auto"/>
          <w:kern w:val="0"/>
          <w:szCs w:val="21"/>
        </w:rPr>
        <w:t>天将上述人员的姓名和授权范围书面通知监理人，并征得发包人书面同意。</w:t>
      </w:r>
    </w:p>
    <w:p w14:paraId="44182FFF">
      <w:pPr>
        <w:pStyle w:val="6"/>
        <w:tabs>
          <w:tab w:val="left" w:pos="2155"/>
        </w:tabs>
        <w:rPr>
          <w:color w:val="auto"/>
        </w:rPr>
      </w:pPr>
      <w:bookmarkStart w:id="359" w:name="_Toc351203521"/>
      <w:r>
        <w:rPr>
          <w:color w:val="auto"/>
        </w:rPr>
        <w:t>3</w:t>
      </w:r>
      <w:bookmarkStart w:id="360" w:name="_Toc296346549"/>
      <w:bookmarkStart w:id="361" w:name="_Toc296503048"/>
      <w:bookmarkStart w:id="362" w:name="_Toc337558749"/>
      <w:r>
        <w:rPr>
          <w:color w:val="auto"/>
        </w:rPr>
        <w:t xml:space="preserve">.3 </w:t>
      </w:r>
      <w:bookmarkEnd w:id="360"/>
      <w:bookmarkEnd w:id="361"/>
      <w:r>
        <w:rPr>
          <w:rFonts w:hint="eastAsia" w:cs="宋体"/>
          <w:color w:val="auto"/>
        </w:rPr>
        <w:t>承包人人员</w:t>
      </w:r>
      <w:bookmarkEnd w:id="359"/>
    </w:p>
    <w:bookmarkEnd w:id="362"/>
    <w:p w14:paraId="7CCD85E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3.3.1 </w:t>
      </w:r>
      <w:r>
        <w:rPr>
          <w:rFonts w:hint="eastAsia" w:hAnsi="宋体"/>
          <w:color w:val="auto"/>
          <w:kern w:val="0"/>
          <w:szCs w:val="21"/>
        </w:rPr>
        <w:t>除专用合同条款另有约定外，承包人应在接到开工通知后</w:t>
      </w:r>
      <w:r>
        <w:rPr>
          <w:rFonts w:hAnsi="宋体"/>
          <w:color w:val="auto"/>
          <w:kern w:val="0"/>
          <w:szCs w:val="21"/>
        </w:rPr>
        <w:t>7</w:t>
      </w:r>
      <w:r>
        <w:rPr>
          <w:rFonts w:hint="eastAsia" w:hAnsi="宋体"/>
          <w:color w:val="auto"/>
          <w:kern w:val="0"/>
          <w:szCs w:val="21"/>
        </w:rPr>
        <w:t>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2C301A2">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3.3.2 </w:t>
      </w:r>
      <w:r>
        <w:rPr>
          <w:rFonts w:hint="eastAsia" w:hAnsi="宋体"/>
          <w:color w:val="auto"/>
          <w:kern w:val="0"/>
          <w:szCs w:val="21"/>
        </w:rPr>
        <w:t>承包人派驻到施工现场的主要施工管理人员应相对稳定。施工过程中如有变动，承包人应及时向监理人提交施工现场人员变动情况的报告。承包人更换主要施工管理人员时，应提前</w:t>
      </w:r>
      <w:r>
        <w:rPr>
          <w:rFonts w:hAnsi="宋体"/>
          <w:color w:val="auto"/>
          <w:kern w:val="0"/>
          <w:szCs w:val="21"/>
        </w:rPr>
        <w:t>7</w:t>
      </w:r>
      <w:r>
        <w:rPr>
          <w:rFonts w:hint="eastAsia" w:hAnsi="宋体"/>
          <w:color w:val="auto"/>
          <w:kern w:val="0"/>
          <w:szCs w:val="21"/>
        </w:rPr>
        <w:t>天书面通知监理人，并征得发包人书面同意。通知中应当载明继任人员的注册执业资格、管理经验等资料。</w:t>
      </w:r>
    </w:p>
    <w:p w14:paraId="7EF43A6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特殊工种作业人员均应持有相应的资格证明，监理人可以随时检查。</w:t>
      </w:r>
    </w:p>
    <w:p w14:paraId="3A3579A1">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3.3.3 </w:t>
      </w:r>
      <w:r>
        <w:rPr>
          <w:rFonts w:hint="eastAsia" w:hAnsi="宋体"/>
          <w:color w:val="auto"/>
          <w:kern w:val="0"/>
          <w:szCs w:val="21"/>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B5172D8">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3.3.4 </w:t>
      </w:r>
      <w:r>
        <w:rPr>
          <w:rFonts w:hint="eastAsia" w:hAnsi="宋体"/>
          <w:color w:val="auto"/>
          <w:kern w:val="0"/>
          <w:szCs w:val="21"/>
        </w:rPr>
        <w:t>除专用合同条款另有约定外，承包人的主要施工管理人员离开施工现场每月累计不超过</w:t>
      </w:r>
      <w:r>
        <w:rPr>
          <w:rFonts w:hAnsi="宋体"/>
          <w:color w:val="auto"/>
          <w:kern w:val="0"/>
          <w:szCs w:val="21"/>
        </w:rPr>
        <w:t>5</w:t>
      </w:r>
      <w:r>
        <w:rPr>
          <w:rFonts w:hint="eastAsia" w:hAnsi="宋体"/>
          <w:color w:val="auto"/>
          <w:kern w:val="0"/>
          <w:szCs w:val="21"/>
        </w:rPr>
        <w:t>天的，应报监理人同意；离开施工现场每月累计超过</w:t>
      </w:r>
      <w:r>
        <w:rPr>
          <w:rFonts w:hAnsi="宋体"/>
          <w:color w:val="auto"/>
          <w:kern w:val="0"/>
          <w:szCs w:val="21"/>
        </w:rPr>
        <w:t>5</w:t>
      </w:r>
      <w:r>
        <w:rPr>
          <w:rFonts w:hint="eastAsia" w:hAnsi="宋体"/>
          <w:color w:val="auto"/>
          <w:kern w:val="0"/>
          <w:szCs w:val="21"/>
        </w:rPr>
        <w:t>天的，应通知监理人，并征得发包人书面同意。主要施工管理人员离开施工现场前应指定一名有经验的人员临时代行其职责，该人员应具备履行相应职责的资格和能力，且应征得监理人或发包人的同意。</w:t>
      </w:r>
    </w:p>
    <w:p w14:paraId="6081139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3.3.5 </w:t>
      </w:r>
      <w:r>
        <w:rPr>
          <w:rFonts w:hint="eastAsia" w:hAnsi="宋体"/>
          <w:color w:val="auto"/>
          <w:kern w:val="0"/>
          <w:szCs w:val="21"/>
        </w:rPr>
        <w:t>承包人擅自更换主要施工管理人员，或前述人员未经监理人或发包人同意擅自离开施工现场的，应按照专用合同条款约定承担违约责任。</w:t>
      </w:r>
    </w:p>
    <w:p w14:paraId="5EEB55B0">
      <w:pPr>
        <w:pStyle w:val="6"/>
        <w:tabs>
          <w:tab w:val="left" w:pos="2155"/>
        </w:tabs>
        <w:rPr>
          <w:color w:val="auto"/>
        </w:rPr>
      </w:pPr>
      <w:bookmarkStart w:id="363" w:name="_Toc351203522"/>
      <w:r>
        <w:rPr>
          <w:color w:val="auto"/>
        </w:rPr>
        <w:t>3</w:t>
      </w:r>
      <w:bookmarkStart w:id="364" w:name="_Toc296346551"/>
      <w:bookmarkStart w:id="365" w:name="_Toc337558750"/>
      <w:bookmarkStart w:id="366" w:name="_Toc296503050"/>
      <w:r>
        <w:rPr>
          <w:color w:val="auto"/>
        </w:rPr>
        <w:t xml:space="preserve">.4 </w:t>
      </w:r>
      <w:r>
        <w:rPr>
          <w:rFonts w:hint="eastAsia"/>
          <w:color w:val="auto"/>
        </w:rPr>
        <w:t>承包人现场查勘</w:t>
      </w:r>
      <w:bookmarkEnd w:id="363"/>
    </w:p>
    <w:bookmarkEnd w:id="364"/>
    <w:bookmarkEnd w:id="365"/>
    <w:bookmarkEnd w:id="366"/>
    <w:p w14:paraId="53C788B2">
      <w:pPr>
        <w:autoSpaceDE w:val="0"/>
        <w:autoSpaceDN w:val="0"/>
        <w:adjustRightInd w:val="0"/>
        <w:spacing w:line="360" w:lineRule="auto"/>
        <w:ind w:firstLine="420" w:firstLineChars="200"/>
        <w:jc w:val="left"/>
        <w:rPr>
          <w:rFonts w:hAnsi="宋体"/>
          <w:color w:val="auto"/>
          <w:szCs w:val="21"/>
        </w:rPr>
      </w:pPr>
      <w:r>
        <w:rPr>
          <w:rFonts w:hint="eastAsia" w:hAnsi="宋体"/>
          <w:color w:val="auto"/>
          <w:kern w:val="0"/>
          <w:szCs w:val="21"/>
        </w:rPr>
        <w:t>承包人应对基于发包人按照第</w:t>
      </w:r>
      <w:r>
        <w:rPr>
          <w:rFonts w:hAnsi="宋体"/>
          <w:color w:val="auto"/>
          <w:kern w:val="0"/>
          <w:szCs w:val="21"/>
        </w:rPr>
        <w:t>2.4.3</w:t>
      </w:r>
      <w:r>
        <w:rPr>
          <w:rFonts w:hint="eastAsia" w:hAnsi="宋体"/>
          <w:color w:val="auto"/>
          <w:kern w:val="0"/>
          <w:szCs w:val="21"/>
        </w:rPr>
        <w:t>项〔提供基础资料〕提交的基础资料所做出的解释和推断负责，但因基础资料存在错误、遗漏导致承包人解释或推断失实的，由发包人承担责任。</w:t>
      </w:r>
    </w:p>
    <w:p w14:paraId="686C72F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CCAF207">
      <w:pPr>
        <w:pStyle w:val="6"/>
        <w:tabs>
          <w:tab w:val="left" w:pos="2155"/>
        </w:tabs>
        <w:rPr>
          <w:color w:val="auto"/>
        </w:rPr>
      </w:pPr>
      <w:bookmarkStart w:id="367" w:name="_Toc351203523"/>
      <w:r>
        <w:rPr>
          <w:color w:val="auto"/>
        </w:rPr>
        <w:t>3</w:t>
      </w:r>
      <w:bookmarkStart w:id="368" w:name="_Toc296346552"/>
      <w:bookmarkStart w:id="369" w:name="_Toc296503051"/>
      <w:bookmarkStart w:id="370" w:name="_Toc337558751"/>
      <w:r>
        <w:rPr>
          <w:color w:val="auto"/>
        </w:rPr>
        <w:t xml:space="preserve">.5 </w:t>
      </w:r>
      <w:r>
        <w:rPr>
          <w:rFonts w:hint="eastAsia" w:cs="宋体"/>
          <w:color w:val="auto"/>
        </w:rPr>
        <w:t>分包</w:t>
      </w:r>
      <w:bookmarkEnd w:id="367"/>
    </w:p>
    <w:bookmarkEnd w:id="368"/>
    <w:bookmarkEnd w:id="369"/>
    <w:bookmarkEnd w:id="370"/>
    <w:p w14:paraId="4B67BE81">
      <w:pPr>
        <w:spacing w:line="360" w:lineRule="auto"/>
        <w:ind w:firstLine="420" w:firstLineChars="200"/>
        <w:jc w:val="left"/>
        <w:rPr>
          <w:rFonts w:hAnsi="宋体"/>
          <w:color w:val="auto"/>
          <w:kern w:val="0"/>
          <w:szCs w:val="21"/>
        </w:rPr>
      </w:pPr>
      <w:r>
        <w:rPr>
          <w:rFonts w:hAnsi="宋体"/>
          <w:color w:val="auto"/>
          <w:kern w:val="0"/>
          <w:szCs w:val="21"/>
        </w:rPr>
        <w:t xml:space="preserve">3.5.1 </w:t>
      </w:r>
      <w:r>
        <w:rPr>
          <w:rFonts w:hint="eastAsia" w:hAnsi="宋体"/>
          <w:color w:val="auto"/>
          <w:kern w:val="0"/>
          <w:szCs w:val="21"/>
        </w:rPr>
        <w:t>分包的一般约定</w:t>
      </w:r>
    </w:p>
    <w:p w14:paraId="70C08559">
      <w:pPr>
        <w:spacing w:line="360" w:lineRule="auto"/>
        <w:ind w:firstLine="420" w:firstLineChars="200"/>
        <w:jc w:val="left"/>
        <w:rPr>
          <w:rFonts w:hAnsi="宋体"/>
          <w:color w:val="auto"/>
          <w:kern w:val="0"/>
          <w:szCs w:val="21"/>
        </w:rPr>
      </w:pPr>
      <w:r>
        <w:rPr>
          <w:rFonts w:hint="eastAsia" w:hAnsi="宋体"/>
          <w:color w:val="auto"/>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EA9B9E5">
      <w:pPr>
        <w:spacing w:line="360" w:lineRule="auto"/>
        <w:ind w:firstLine="420" w:firstLineChars="200"/>
        <w:jc w:val="left"/>
        <w:rPr>
          <w:rFonts w:hAnsi="宋体"/>
          <w:color w:val="auto"/>
          <w:kern w:val="0"/>
          <w:szCs w:val="21"/>
        </w:rPr>
      </w:pPr>
      <w:r>
        <w:rPr>
          <w:rFonts w:hint="eastAsia" w:hAnsi="宋体"/>
          <w:color w:val="auto"/>
          <w:kern w:val="0"/>
          <w:szCs w:val="21"/>
        </w:rPr>
        <w:t>承包人不得以劳务分包的名义转包或违法分包工程。</w:t>
      </w:r>
    </w:p>
    <w:p w14:paraId="3B3035B4">
      <w:pPr>
        <w:spacing w:line="360" w:lineRule="auto"/>
        <w:ind w:firstLine="420" w:firstLineChars="200"/>
        <w:jc w:val="left"/>
        <w:rPr>
          <w:rFonts w:hAnsi="宋体"/>
          <w:color w:val="auto"/>
          <w:kern w:val="0"/>
          <w:szCs w:val="21"/>
        </w:rPr>
      </w:pPr>
      <w:r>
        <w:rPr>
          <w:rFonts w:hAnsi="宋体"/>
          <w:color w:val="auto"/>
          <w:kern w:val="0"/>
          <w:szCs w:val="21"/>
        </w:rPr>
        <w:t xml:space="preserve">3.5.2 </w:t>
      </w:r>
      <w:r>
        <w:rPr>
          <w:rFonts w:hint="eastAsia" w:hAnsi="宋体"/>
          <w:color w:val="auto"/>
          <w:kern w:val="0"/>
          <w:szCs w:val="21"/>
        </w:rPr>
        <w:t>分包的确定</w:t>
      </w:r>
    </w:p>
    <w:p w14:paraId="6A48CB84">
      <w:pPr>
        <w:spacing w:line="360" w:lineRule="auto"/>
        <w:ind w:firstLine="420" w:firstLineChars="200"/>
        <w:jc w:val="left"/>
        <w:rPr>
          <w:rFonts w:hAnsi="宋体"/>
          <w:color w:val="auto"/>
          <w:kern w:val="0"/>
          <w:szCs w:val="21"/>
        </w:rPr>
      </w:pPr>
      <w:r>
        <w:rPr>
          <w:rFonts w:hint="eastAsia" w:hAnsi="宋体"/>
          <w:color w:val="auto"/>
          <w:kern w:val="0"/>
          <w:szCs w:val="21"/>
        </w:rPr>
        <w:t>承包人应按专用合同条款的约定进行分包，确定分包人。已标价工程量清单或预算书中给定暂估价的专业工程，按照第</w:t>
      </w:r>
      <w:r>
        <w:rPr>
          <w:rFonts w:hAnsi="宋体"/>
          <w:color w:val="auto"/>
          <w:kern w:val="0"/>
          <w:szCs w:val="21"/>
        </w:rPr>
        <w:t>10.7</w:t>
      </w:r>
      <w:r>
        <w:rPr>
          <w:rFonts w:hint="eastAsia" w:hAnsi="宋体"/>
          <w:color w:val="auto"/>
          <w:kern w:val="0"/>
          <w:szCs w:val="21"/>
        </w:rPr>
        <w:t>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w:t>
      </w:r>
      <w:r>
        <w:rPr>
          <w:rFonts w:hAnsi="宋体"/>
          <w:color w:val="auto"/>
          <w:kern w:val="0"/>
          <w:szCs w:val="21"/>
        </w:rPr>
        <w:t>7</w:t>
      </w:r>
      <w:r>
        <w:rPr>
          <w:rFonts w:hint="eastAsia" w:hAnsi="宋体"/>
          <w:color w:val="auto"/>
          <w:kern w:val="0"/>
          <w:szCs w:val="21"/>
        </w:rPr>
        <w:t>天内向发包人和监理人提交分包合同副本。</w:t>
      </w:r>
    </w:p>
    <w:p w14:paraId="6F40EC80">
      <w:pPr>
        <w:spacing w:line="360" w:lineRule="auto"/>
        <w:ind w:firstLine="420" w:firstLineChars="200"/>
        <w:jc w:val="left"/>
        <w:rPr>
          <w:rFonts w:hAnsi="宋体"/>
          <w:color w:val="auto"/>
          <w:kern w:val="0"/>
          <w:szCs w:val="21"/>
        </w:rPr>
      </w:pPr>
      <w:r>
        <w:rPr>
          <w:rFonts w:hAnsi="宋体"/>
          <w:color w:val="auto"/>
          <w:kern w:val="0"/>
          <w:szCs w:val="21"/>
        </w:rPr>
        <w:t xml:space="preserve">3.5.3 </w:t>
      </w:r>
      <w:r>
        <w:rPr>
          <w:rFonts w:hint="eastAsia" w:hAnsi="宋体"/>
          <w:color w:val="auto"/>
          <w:kern w:val="0"/>
          <w:szCs w:val="21"/>
        </w:rPr>
        <w:t>分包管理</w:t>
      </w:r>
    </w:p>
    <w:p w14:paraId="2191F4DF">
      <w:pPr>
        <w:spacing w:line="360" w:lineRule="auto"/>
        <w:ind w:firstLine="420" w:firstLineChars="200"/>
        <w:jc w:val="left"/>
        <w:rPr>
          <w:rFonts w:hAnsi="宋体"/>
          <w:color w:val="auto"/>
          <w:kern w:val="0"/>
          <w:szCs w:val="21"/>
        </w:rPr>
      </w:pPr>
      <w:r>
        <w:rPr>
          <w:rFonts w:hint="eastAsia" w:hAnsi="宋体"/>
          <w:color w:val="auto"/>
          <w:kern w:val="0"/>
          <w:szCs w:val="21"/>
        </w:rPr>
        <w:t>承包人应向监理人提交分包人的主要施工管理人员表，并对分包人的施工人员进行实名制管理，包括但不限于进出场管理、登记造册以及各种证照的办理。</w:t>
      </w:r>
    </w:p>
    <w:p w14:paraId="229AA906">
      <w:pPr>
        <w:spacing w:line="360" w:lineRule="auto"/>
        <w:ind w:firstLine="420" w:firstLineChars="200"/>
        <w:jc w:val="left"/>
        <w:rPr>
          <w:rFonts w:hAnsi="宋体"/>
          <w:color w:val="auto"/>
          <w:kern w:val="0"/>
          <w:szCs w:val="21"/>
        </w:rPr>
      </w:pPr>
      <w:r>
        <w:rPr>
          <w:rFonts w:hAnsi="宋体"/>
          <w:color w:val="auto"/>
          <w:kern w:val="0"/>
          <w:szCs w:val="21"/>
        </w:rPr>
        <w:t xml:space="preserve">3.5.4 </w:t>
      </w:r>
      <w:r>
        <w:rPr>
          <w:rFonts w:hint="eastAsia" w:hAnsi="宋体"/>
          <w:color w:val="auto"/>
          <w:kern w:val="0"/>
          <w:szCs w:val="21"/>
        </w:rPr>
        <w:t>分包合同价款</w:t>
      </w:r>
    </w:p>
    <w:p w14:paraId="182FD983">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）除本项第（</w:t>
      </w:r>
      <w:r>
        <w:rPr>
          <w:rFonts w:hAnsi="宋体"/>
          <w:color w:val="auto"/>
          <w:kern w:val="0"/>
          <w:szCs w:val="21"/>
        </w:rPr>
        <w:t>2</w:t>
      </w:r>
      <w:r>
        <w:rPr>
          <w:rFonts w:hint="eastAsia" w:hAnsi="宋体"/>
          <w:color w:val="auto"/>
          <w:kern w:val="0"/>
          <w:szCs w:val="21"/>
        </w:rPr>
        <w:t>）目约定的情况或专用合同条款另有约定外，分包合同价款由承包人与分包人结算，未经承包人同意，发包人不得向分包人支付分包工程价款；</w:t>
      </w:r>
    </w:p>
    <w:p w14:paraId="1D000F8F">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）生效法律文书要求发包人向分包人支付分包合同价款的，发包人有权从应付承包人工程款中扣除该部分款项。</w:t>
      </w:r>
    </w:p>
    <w:p w14:paraId="0D0D4E28">
      <w:pPr>
        <w:spacing w:line="360" w:lineRule="auto"/>
        <w:ind w:firstLine="420" w:firstLineChars="200"/>
        <w:jc w:val="left"/>
        <w:rPr>
          <w:rFonts w:hAnsi="宋体"/>
          <w:color w:val="auto"/>
          <w:kern w:val="0"/>
          <w:szCs w:val="21"/>
        </w:rPr>
      </w:pPr>
      <w:r>
        <w:rPr>
          <w:rFonts w:hAnsi="宋体"/>
          <w:color w:val="auto"/>
          <w:kern w:val="0"/>
          <w:szCs w:val="21"/>
        </w:rPr>
        <w:t xml:space="preserve">3.5.5 </w:t>
      </w:r>
      <w:r>
        <w:rPr>
          <w:rFonts w:hint="eastAsia" w:hAnsi="宋体"/>
          <w:color w:val="auto"/>
          <w:kern w:val="0"/>
          <w:szCs w:val="21"/>
        </w:rPr>
        <w:t>分包合同权益的转让</w:t>
      </w:r>
    </w:p>
    <w:p w14:paraId="295CC15A">
      <w:pPr>
        <w:spacing w:line="360" w:lineRule="auto"/>
        <w:ind w:firstLine="420" w:firstLineChars="200"/>
        <w:jc w:val="left"/>
        <w:rPr>
          <w:rFonts w:hAnsi="宋体"/>
          <w:color w:val="auto"/>
          <w:kern w:val="0"/>
          <w:szCs w:val="21"/>
        </w:rPr>
      </w:pPr>
      <w:r>
        <w:rPr>
          <w:rFonts w:hint="eastAsia" w:hAnsi="宋体"/>
          <w:color w:val="auto"/>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371" w:name="_Toc351203524"/>
    </w:p>
    <w:p w14:paraId="6B46AEF8">
      <w:pPr>
        <w:pStyle w:val="6"/>
        <w:tabs>
          <w:tab w:val="left" w:pos="2155"/>
        </w:tabs>
        <w:rPr>
          <w:color w:val="auto"/>
        </w:rPr>
      </w:pPr>
      <w:r>
        <w:rPr>
          <w:color w:val="auto"/>
        </w:rPr>
        <w:t xml:space="preserve">3.6 </w:t>
      </w:r>
      <w:r>
        <w:rPr>
          <w:rFonts w:hint="eastAsia"/>
          <w:color w:val="auto"/>
        </w:rPr>
        <w:t>工程照管与成品、半成品保护</w:t>
      </w:r>
      <w:bookmarkEnd w:id="371"/>
    </w:p>
    <w:p w14:paraId="4976CD89">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）除专用合同条款另有约定外，自发包人向承包人移交施工现场之日起，承包人应负责照管工程及工程相关的材料、工程设备，直到颁发工程接收证书之日止。</w:t>
      </w:r>
    </w:p>
    <w:p w14:paraId="3B1B875E">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）在承包人负责照管期间，因承包人原因造成工程、材料、工程设备损坏的，由承包人负责修复或更换，并承担由此增加的费用和（或）延误的工期。</w:t>
      </w:r>
    </w:p>
    <w:p w14:paraId="23D1EA8E">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）对合同内分期完成的成品和半成品，在工程接收证书颁发前，由承包人承担保护责任。因承包人原因造成成品或半成品损坏的，由承包人负责修复或更换，并承担由此增加的费用和（或）延误的工期。</w:t>
      </w:r>
    </w:p>
    <w:p w14:paraId="1E29F19E">
      <w:pPr>
        <w:pStyle w:val="6"/>
        <w:tabs>
          <w:tab w:val="left" w:pos="2155"/>
        </w:tabs>
        <w:rPr>
          <w:color w:val="auto"/>
        </w:rPr>
      </w:pPr>
      <w:bookmarkStart w:id="372" w:name="_Toc351203525"/>
      <w:r>
        <w:rPr>
          <w:color w:val="auto"/>
        </w:rPr>
        <w:t>3</w:t>
      </w:r>
      <w:bookmarkStart w:id="373" w:name="_Toc296503052"/>
      <w:bookmarkStart w:id="374" w:name="_Toc296346553"/>
      <w:bookmarkStart w:id="375" w:name="_Toc337558752"/>
      <w:r>
        <w:rPr>
          <w:color w:val="auto"/>
        </w:rPr>
        <w:t xml:space="preserve">.7 </w:t>
      </w:r>
      <w:r>
        <w:rPr>
          <w:rFonts w:hint="eastAsia" w:cs="宋体"/>
          <w:color w:val="auto"/>
        </w:rPr>
        <w:t>履约担保</w:t>
      </w:r>
      <w:bookmarkEnd w:id="372"/>
    </w:p>
    <w:bookmarkEnd w:id="373"/>
    <w:bookmarkEnd w:id="374"/>
    <w:bookmarkEnd w:id="375"/>
    <w:p w14:paraId="35300CA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0595B3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因承包人原因导致工期延长的，继续提供履约担保所增加的费用由承包人承担；非因承包人原因导致工期延长的，继续提供履约担保所增加的费用由发包人承担。</w:t>
      </w:r>
    </w:p>
    <w:p w14:paraId="70B2E5BE">
      <w:pPr>
        <w:pStyle w:val="6"/>
        <w:tabs>
          <w:tab w:val="left" w:pos="2155"/>
        </w:tabs>
        <w:rPr>
          <w:color w:val="auto"/>
        </w:rPr>
      </w:pPr>
      <w:bookmarkStart w:id="376" w:name="_Toc351203526"/>
      <w:r>
        <w:rPr>
          <w:color w:val="auto"/>
        </w:rPr>
        <w:t xml:space="preserve">3.8 </w:t>
      </w:r>
      <w:r>
        <w:rPr>
          <w:rFonts w:hint="eastAsia" w:cs="宋体"/>
          <w:color w:val="auto"/>
        </w:rPr>
        <w:t>联合体</w:t>
      </w:r>
      <w:bookmarkEnd w:id="376"/>
    </w:p>
    <w:p w14:paraId="272DC67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3.8.1 </w:t>
      </w:r>
      <w:r>
        <w:rPr>
          <w:rFonts w:hint="eastAsia" w:hAnsi="宋体"/>
          <w:color w:val="auto"/>
          <w:kern w:val="0"/>
          <w:szCs w:val="21"/>
        </w:rPr>
        <w:t>联合体各方应共同与发包人签订合同协议书。联合体各方应为履行合同向发包人承担连带责任。</w:t>
      </w:r>
    </w:p>
    <w:p w14:paraId="0009A3D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3.8.2 </w:t>
      </w:r>
      <w:r>
        <w:rPr>
          <w:rFonts w:hint="eastAsia" w:hAnsi="宋体"/>
          <w:color w:val="auto"/>
          <w:kern w:val="0"/>
          <w:szCs w:val="21"/>
        </w:rPr>
        <w:t>联合体协议经发包人确认后作为合同附件。在履行合同过程中，未经发包人同意，不得修改联合体协议。</w:t>
      </w:r>
    </w:p>
    <w:p w14:paraId="275094EF">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3.8.3 </w:t>
      </w:r>
      <w:r>
        <w:rPr>
          <w:rFonts w:hint="eastAsia" w:hAnsi="宋体"/>
          <w:color w:val="auto"/>
          <w:kern w:val="0"/>
          <w:szCs w:val="21"/>
        </w:rPr>
        <w:t>联合体牵头人负责与发包人和监理人联系，并接受指示，负责组织联合体各成员全面履行合同。</w:t>
      </w:r>
    </w:p>
    <w:p w14:paraId="00093551">
      <w:pPr>
        <w:pStyle w:val="5"/>
        <w:tabs>
          <w:tab w:val="left" w:pos="900"/>
        </w:tabs>
        <w:rPr>
          <w:color w:val="auto"/>
        </w:rPr>
      </w:pPr>
      <w:bookmarkStart w:id="377" w:name="_Toc7507"/>
      <w:bookmarkStart w:id="378" w:name="_Toc31520"/>
      <w:bookmarkStart w:id="379" w:name="_Toc27164"/>
      <w:bookmarkStart w:id="380" w:name="_Toc124"/>
      <w:bookmarkStart w:id="381" w:name="_Toc351203527"/>
      <w:bookmarkStart w:id="382" w:name="_Toc525396173"/>
      <w:r>
        <w:rPr>
          <w:color w:val="auto"/>
        </w:rPr>
        <w:t>4</w:t>
      </w:r>
      <w:bookmarkStart w:id="383" w:name="_Toc296346554"/>
      <w:bookmarkStart w:id="384" w:name="_Toc296503053"/>
      <w:bookmarkStart w:id="385" w:name="_Toc337558753"/>
      <w:r>
        <w:rPr>
          <w:color w:val="auto"/>
        </w:rPr>
        <w:t xml:space="preserve">. </w:t>
      </w:r>
      <w:r>
        <w:rPr>
          <w:rFonts w:hint="eastAsia" w:cs="宋体"/>
          <w:color w:val="auto"/>
        </w:rPr>
        <w:t>监</w:t>
      </w:r>
      <w:bookmarkEnd w:id="383"/>
      <w:bookmarkEnd w:id="384"/>
      <w:r>
        <w:rPr>
          <w:rFonts w:hint="eastAsia" w:cs="宋体"/>
          <w:color w:val="auto"/>
        </w:rPr>
        <w:t>理人</w:t>
      </w:r>
      <w:bookmarkEnd w:id="377"/>
      <w:bookmarkEnd w:id="378"/>
      <w:bookmarkEnd w:id="379"/>
      <w:bookmarkEnd w:id="380"/>
      <w:bookmarkEnd w:id="381"/>
      <w:bookmarkEnd w:id="382"/>
    </w:p>
    <w:bookmarkEnd w:id="385"/>
    <w:p w14:paraId="40B57698">
      <w:pPr>
        <w:pStyle w:val="6"/>
        <w:tabs>
          <w:tab w:val="left" w:pos="2155"/>
        </w:tabs>
        <w:rPr>
          <w:color w:val="auto"/>
        </w:rPr>
      </w:pPr>
      <w:bookmarkStart w:id="386" w:name="_Toc351203528"/>
      <w:r>
        <w:rPr>
          <w:color w:val="auto"/>
        </w:rPr>
        <w:t>4</w:t>
      </w:r>
      <w:bookmarkStart w:id="387" w:name="_Toc296503054"/>
      <w:bookmarkStart w:id="388" w:name="_Toc296346555"/>
      <w:bookmarkStart w:id="389" w:name="_Toc337558754"/>
      <w:r>
        <w:rPr>
          <w:color w:val="auto"/>
        </w:rPr>
        <w:t>.1</w:t>
      </w:r>
      <w:r>
        <w:rPr>
          <w:rFonts w:hint="eastAsia"/>
          <w:color w:val="auto"/>
        </w:rPr>
        <w:t>监理人的一般规定</w:t>
      </w:r>
      <w:bookmarkEnd w:id="386"/>
    </w:p>
    <w:bookmarkEnd w:id="387"/>
    <w:bookmarkEnd w:id="388"/>
    <w:bookmarkEnd w:id="389"/>
    <w:p w14:paraId="563D492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28F1D3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除专用合同条款另有约定外，监理人在施工现场的办公场所、生活场所由承包人提供，所发生的费用由发包人承担。</w:t>
      </w:r>
    </w:p>
    <w:p w14:paraId="573D0EE0">
      <w:pPr>
        <w:pStyle w:val="6"/>
        <w:tabs>
          <w:tab w:val="left" w:pos="2155"/>
        </w:tabs>
        <w:rPr>
          <w:color w:val="auto"/>
        </w:rPr>
      </w:pPr>
      <w:bookmarkStart w:id="390" w:name="_Toc351203529"/>
      <w:r>
        <w:rPr>
          <w:color w:val="auto"/>
        </w:rPr>
        <w:t>4</w:t>
      </w:r>
      <w:bookmarkStart w:id="391" w:name="_Toc337558755"/>
      <w:r>
        <w:rPr>
          <w:color w:val="auto"/>
        </w:rPr>
        <w:t>.2</w:t>
      </w:r>
      <w:r>
        <w:rPr>
          <w:rFonts w:hint="eastAsia" w:cs="宋体"/>
          <w:color w:val="auto"/>
        </w:rPr>
        <w:t>监理人员</w:t>
      </w:r>
      <w:bookmarkEnd w:id="390"/>
    </w:p>
    <w:bookmarkEnd w:id="391"/>
    <w:p w14:paraId="033E028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w:t>
      </w:r>
      <w:r>
        <w:rPr>
          <w:rFonts w:hAnsi="宋体"/>
          <w:color w:val="auto"/>
          <w:kern w:val="0"/>
          <w:szCs w:val="21"/>
        </w:rPr>
        <w:t>7</w:t>
      </w:r>
      <w:r>
        <w:rPr>
          <w:rFonts w:hint="eastAsia" w:hAnsi="宋体"/>
          <w:color w:val="auto"/>
          <w:kern w:val="0"/>
          <w:szCs w:val="21"/>
        </w:rPr>
        <w:t>天书面通知承包人；更换其他监理人员，监理人应提前</w:t>
      </w:r>
      <w:r>
        <w:rPr>
          <w:rFonts w:hAnsi="宋体"/>
          <w:color w:val="auto"/>
          <w:kern w:val="0"/>
          <w:szCs w:val="21"/>
        </w:rPr>
        <w:t>48</w:t>
      </w:r>
      <w:r>
        <w:rPr>
          <w:rFonts w:hint="eastAsia" w:hAnsi="宋体"/>
          <w:color w:val="auto"/>
          <w:kern w:val="0"/>
          <w:szCs w:val="21"/>
        </w:rPr>
        <w:t>小时书面通知承包人。</w:t>
      </w:r>
    </w:p>
    <w:p w14:paraId="15E0C763">
      <w:pPr>
        <w:pStyle w:val="6"/>
        <w:tabs>
          <w:tab w:val="left" w:pos="2155"/>
        </w:tabs>
        <w:rPr>
          <w:color w:val="auto"/>
        </w:rPr>
      </w:pPr>
      <w:bookmarkStart w:id="392" w:name="_Toc351203530"/>
      <w:r>
        <w:rPr>
          <w:color w:val="auto"/>
        </w:rPr>
        <w:t>4</w:t>
      </w:r>
      <w:bookmarkStart w:id="393" w:name="_Toc296346556"/>
      <w:bookmarkStart w:id="394" w:name="_Toc296503055"/>
      <w:bookmarkStart w:id="395" w:name="_Toc337558756"/>
      <w:r>
        <w:rPr>
          <w:color w:val="auto"/>
        </w:rPr>
        <w:t>.3</w:t>
      </w:r>
      <w:bookmarkEnd w:id="393"/>
      <w:bookmarkEnd w:id="394"/>
      <w:r>
        <w:rPr>
          <w:rFonts w:hint="eastAsia"/>
          <w:color w:val="auto"/>
        </w:rPr>
        <w:t>监理人的指</w:t>
      </w:r>
      <w:bookmarkEnd w:id="395"/>
      <w:r>
        <w:rPr>
          <w:rFonts w:hint="eastAsia"/>
          <w:color w:val="auto"/>
        </w:rPr>
        <w:t>示</w:t>
      </w:r>
      <w:bookmarkEnd w:id="392"/>
    </w:p>
    <w:p w14:paraId="3EDF1F0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Pr>
          <w:rFonts w:hAnsi="宋体"/>
          <w:color w:val="auto"/>
          <w:kern w:val="0"/>
          <w:szCs w:val="21"/>
        </w:rPr>
        <w:t>24</w:t>
      </w:r>
      <w:r>
        <w:rPr>
          <w:rFonts w:hint="eastAsia" w:hAnsi="宋体"/>
          <w:color w:val="auto"/>
          <w:kern w:val="0"/>
          <w:szCs w:val="21"/>
        </w:rPr>
        <w:t>小时内补发书面监理指示，补发的书面监理指示应与口头指示一致。</w:t>
      </w:r>
    </w:p>
    <w:p w14:paraId="5B29386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w:t>
      </w:r>
      <w:r>
        <w:rPr>
          <w:rFonts w:hAnsi="宋体"/>
          <w:color w:val="auto"/>
          <w:kern w:val="0"/>
          <w:szCs w:val="21"/>
        </w:rPr>
        <w:t>4.4</w:t>
      </w:r>
      <w:r>
        <w:rPr>
          <w:rFonts w:hint="eastAsia" w:hAnsi="宋体"/>
          <w:color w:val="auto"/>
          <w:kern w:val="0"/>
          <w:szCs w:val="21"/>
        </w:rPr>
        <w:t>款〔商定或确定〕约定应由总监理工程师作出确定的权力授权或委托给其他监理人员。</w:t>
      </w:r>
    </w:p>
    <w:p w14:paraId="652E156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承包人对监理人发出的指示有疑问的，应向监理人提出书面异议，监理人应在</w:t>
      </w:r>
      <w:r>
        <w:rPr>
          <w:rFonts w:hAnsi="宋体"/>
          <w:color w:val="auto"/>
          <w:kern w:val="0"/>
          <w:szCs w:val="21"/>
        </w:rPr>
        <w:t>48</w:t>
      </w:r>
      <w:r>
        <w:rPr>
          <w:rFonts w:hint="eastAsia" w:hAnsi="宋体"/>
          <w:color w:val="auto"/>
          <w:kern w:val="0"/>
          <w:szCs w:val="21"/>
        </w:rPr>
        <w:t>小时内对该指示予以确认、更改或撤销，监理人逾期未回复的，承包人有权拒绝执行上述指示。</w:t>
      </w:r>
    </w:p>
    <w:p w14:paraId="26CB381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74162A96">
      <w:pPr>
        <w:pStyle w:val="6"/>
        <w:tabs>
          <w:tab w:val="left" w:pos="2155"/>
        </w:tabs>
        <w:rPr>
          <w:color w:val="auto"/>
        </w:rPr>
      </w:pPr>
      <w:bookmarkStart w:id="396" w:name="_Toc351203531"/>
      <w:r>
        <w:rPr>
          <w:color w:val="auto"/>
        </w:rPr>
        <w:t>4</w:t>
      </w:r>
      <w:bookmarkStart w:id="397" w:name="_Toc337558757"/>
      <w:bookmarkStart w:id="398" w:name="_Toc296503057"/>
      <w:bookmarkStart w:id="399" w:name="_Toc296346558"/>
      <w:r>
        <w:rPr>
          <w:color w:val="auto"/>
        </w:rPr>
        <w:t xml:space="preserve">.4 </w:t>
      </w:r>
      <w:r>
        <w:rPr>
          <w:rFonts w:hint="eastAsia" w:cs="宋体"/>
          <w:color w:val="auto"/>
        </w:rPr>
        <w:t>商定或确定</w:t>
      </w:r>
      <w:bookmarkEnd w:id="396"/>
    </w:p>
    <w:bookmarkEnd w:id="397"/>
    <w:bookmarkEnd w:id="398"/>
    <w:bookmarkEnd w:id="399"/>
    <w:p w14:paraId="22C919F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合同当事人进行商定或确定时，总监理工程师应当会同合同当事人尽量通过协商达成一致，不能达成一致的，由总监理工程师按照合同约定审慎做出公正的确定。</w:t>
      </w:r>
    </w:p>
    <w:p w14:paraId="4975768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总监理工程师应将确定以书面形式通知发包人和承包人，并附详细依据。合同当事人对总监理工程师的确定没有异议的，按照总监理工程师的确定执行。任何一方合同当事人有异议，按照第</w:t>
      </w:r>
      <w:r>
        <w:rPr>
          <w:rFonts w:hAnsi="宋体"/>
          <w:color w:val="auto"/>
          <w:kern w:val="0"/>
          <w:szCs w:val="21"/>
        </w:rPr>
        <w:t>20</w:t>
      </w:r>
      <w:r>
        <w:rPr>
          <w:rFonts w:hint="eastAsia" w:hAnsi="宋体"/>
          <w:color w:val="auto"/>
          <w:kern w:val="0"/>
          <w:szCs w:val="21"/>
        </w:rPr>
        <w:t>条〔争议解决〕约定处理。争议解决前，合同当事人暂按总监理工程师的确定执行；争议解决后，争议解决的结果与总监理工程师的确定不一致的，按照争议解决的结果执行，由此造成的损失由责任人承担。</w:t>
      </w:r>
    </w:p>
    <w:p w14:paraId="24E55836">
      <w:pPr>
        <w:pStyle w:val="5"/>
        <w:tabs>
          <w:tab w:val="left" w:pos="900"/>
        </w:tabs>
        <w:rPr>
          <w:color w:val="auto"/>
        </w:rPr>
      </w:pPr>
      <w:bookmarkStart w:id="400" w:name="_Toc8392"/>
      <w:bookmarkStart w:id="401" w:name="_Toc14882"/>
      <w:bookmarkStart w:id="402" w:name="_Toc9367"/>
      <w:bookmarkStart w:id="403" w:name="_Toc525396174"/>
      <w:bookmarkStart w:id="404" w:name="_Toc351203532"/>
      <w:bookmarkStart w:id="405" w:name="_Toc15910"/>
      <w:r>
        <w:rPr>
          <w:color w:val="auto"/>
        </w:rPr>
        <w:t>5</w:t>
      </w:r>
      <w:bookmarkStart w:id="406" w:name="_Toc337558758"/>
      <w:r>
        <w:rPr>
          <w:color w:val="auto"/>
        </w:rPr>
        <w:t xml:space="preserve">. </w:t>
      </w:r>
      <w:r>
        <w:rPr>
          <w:rFonts w:hint="eastAsia" w:cs="宋体"/>
          <w:color w:val="auto"/>
        </w:rPr>
        <w:t>工程质量</w:t>
      </w:r>
      <w:bookmarkEnd w:id="400"/>
      <w:bookmarkEnd w:id="401"/>
      <w:bookmarkEnd w:id="402"/>
      <w:bookmarkEnd w:id="403"/>
      <w:bookmarkEnd w:id="404"/>
      <w:bookmarkEnd w:id="405"/>
    </w:p>
    <w:bookmarkEnd w:id="406"/>
    <w:p w14:paraId="3621B178">
      <w:pPr>
        <w:pStyle w:val="6"/>
        <w:tabs>
          <w:tab w:val="left" w:pos="2155"/>
        </w:tabs>
        <w:rPr>
          <w:color w:val="auto"/>
        </w:rPr>
      </w:pPr>
      <w:bookmarkStart w:id="407" w:name="_Toc351203533"/>
      <w:r>
        <w:rPr>
          <w:color w:val="auto"/>
        </w:rPr>
        <w:t>5</w:t>
      </w:r>
      <w:bookmarkStart w:id="408" w:name="_Toc337558759"/>
      <w:r>
        <w:rPr>
          <w:color w:val="auto"/>
        </w:rPr>
        <w:t>.1</w:t>
      </w:r>
      <w:r>
        <w:rPr>
          <w:rFonts w:hint="eastAsia" w:cs="宋体"/>
          <w:color w:val="auto"/>
        </w:rPr>
        <w:t>质量要求</w:t>
      </w:r>
      <w:bookmarkEnd w:id="407"/>
    </w:p>
    <w:bookmarkEnd w:id="408"/>
    <w:p w14:paraId="43254858">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5.1.1 </w:t>
      </w:r>
      <w:r>
        <w:rPr>
          <w:rFonts w:hint="eastAsia" w:hAnsi="宋体"/>
          <w:color w:val="auto"/>
          <w:kern w:val="0"/>
          <w:szCs w:val="21"/>
        </w:rPr>
        <w:t>工程质量标准必须符合现行国家有关工程施工质量验收规范和标准的要求。有关工程质量的特殊标准或要求由合同当事人在专用合同条款中约定。</w:t>
      </w:r>
    </w:p>
    <w:p w14:paraId="20C5D93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5.1.2 </w:t>
      </w:r>
      <w:r>
        <w:rPr>
          <w:rFonts w:hint="eastAsia" w:hAnsi="宋体"/>
          <w:color w:val="auto"/>
          <w:kern w:val="0"/>
          <w:szCs w:val="21"/>
        </w:rPr>
        <w:t>因发包人原因造成工程质量未达到合同约定标准的，由发包人承担由此增加的费用和（或）延误的工期，并支付承包人合理的利润。</w:t>
      </w:r>
    </w:p>
    <w:p w14:paraId="6860273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5.1.3 </w:t>
      </w:r>
      <w:r>
        <w:rPr>
          <w:rFonts w:hint="eastAsia" w:hAnsi="宋体"/>
          <w:color w:val="auto"/>
          <w:kern w:val="0"/>
          <w:szCs w:val="21"/>
        </w:rPr>
        <w:t>因承包人原因造成工程质量未达到合同约定标准的，发包人有权要求承包人返工直至工程质量达到合同约定的标准为止，并由承包人承担由此增加的费用和（或）延误的工期。</w:t>
      </w:r>
    </w:p>
    <w:p w14:paraId="429C5601">
      <w:pPr>
        <w:pStyle w:val="6"/>
        <w:tabs>
          <w:tab w:val="left" w:pos="2155"/>
        </w:tabs>
        <w:rPr>
          <w:color w:val="auto"/>
        </w:rPr>
      </w:pPr>
      <w:bookmarkStart w:id="409" w:name="_Toc351203534"/>
      <w:r>
        <w:rPr>
          <w:color w:val="auto"/>
        </w:rPr>
        <w:t>5</w:t>
      </w:r>
      <w:bookmarkStart w:id="410" w:name="_Toc337558760"/>
      <w:r>
        <w:rPr>
          <w:color w:val="auto"/>
        </w:rPr>
        <w:t>.2</w:t>
      </w:r>
      <w:r>
        <w:rPr>
          <w:rFonts w:hint="eastAsia"/>
          <w:color w:val="auto"/>
        </w:rPr>
        <w:t>质量保证措施</w:t>
      </w:r>
      <w:bookmarkEnd w:id="409"/>
    </w:p>
    <w:bookmarkEnd w:id="410"/>
    <w:p w14:paraId="5CB8EDFF">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5.2.1 </w:t>
      </w:r>
      <w:r>
        <w:rPr>
          <w:rFonts w:hint="eastAsia" w:hAnsi="宋体"/>
          <w:color w:val="auto"/>
          <w:kern w:val="0"/>
          <w:szCs w:val="21"/>
        </w:rPr>
        <w:t>发包人的质量管理</w:t>
      </w:r>
    </w:p>
    <w:p w14:paraId="4279A62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发包人应按照法律规定及合同约定完成与工程质量有关的各项工作。</w:t>
      </w:r>
    </w:p>
    <w:p w14:paraId="417575A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5.2.2 </w:t>
      </w:r>
      <w:r>
        <w:rPr>
          <w:rFonts w:hint="eastAsia" w:hAnsi="宋体"/>
          <w:color w:val="auto"/>
          <w:kern w:val="0"/>
          <w:szCs w:val="21"/>
        </w:rPr>
        <w:t>承包人的质量管理</w:t>
      </w:r>
    </w:p>
    <w:p w14:paraId="1A0BF31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承包人按照第</w:t>
      </w:r>
      <w:r>
        <w:rPr>
          <w:rFonts w:hAnsi="宋体"/>
          <w:color w:val="auto"/>
          <w:kern w:val="0"/>
          <w:szCs w:val="21"/>
        </w:rPr>
        <w:t>7.1</w:t>
      </w:r>
      <w:r>
        <w:rPr>
          <w:rFonts w:hint="eastAsia" w:hAnsi="宋体"/>
          <w:color w:val="auto"/>
          <w:kern w:val="0"/>
          <w:szCs w:val="21"/>
        </w:rPr>
        <w:t>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51F0A98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承包人应对施工人员进行质量教育和技术培训，定期考核施工人员的劳动技能，严格执行施工规范和操作规程。</w:t>
      </w:r>
    </w:p>
    <w:p w14:paraId="7FFE99E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3E0D372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5.2.3 </w:t>
      </w:r>
      <w:r>
        <w:rPr>
          <w:rFonts w:hint="eastAsia" w:hAnsi="宋体"/>
          <w:color w:val="auto"/>
          <w:kern w:val="0"/>
          <w:szCs w:val="21"/>
        </w:rPr>
        <w:t>监理人的质量检查和检验</w:t>
      </w:r>
    </w:p>
    <w:p w14:paraId="4877748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773FBD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032D58AC">
      <w:pPr>
        <w:pStyle w:val="6"/>
        <w:tabs>
          <w:tab w:val="left" w:pos="2155"/>
        </w:tabs>
        <w:rPr>
          <w:color w:val="auto"/>
        </w:rPr>
      </w:pPr>
      <w:bookmarkStart w:id="411" w:name="_Toc351203535"/>
      <w:r>
        <w:rPr>
          <w:color w:val="auto"/>
        </w:rPr>
        <w:t>5</w:t>
      </w:r>
      <w:bookmarkStart w:id="412" w:name="_Toc337558761"/>
      <w:r>
        <w:rPr>
          <w:color w:val="auto"/>
        </w:rPr>
        <w:t xml:space="preserve">.3 </w:t>
      </w:r>
      <w:r>
        <w:rPr>
          <w:rFonts w:hint="eastAsia"/>
          <w:color w:val="auto"/>
        </w:rPr>
        <w:t>隐蔽工程检查</w:t>
      </w:r>
      <w:bookmarkEnd w:id="411"/>
    </w:p>
    <w:bookmarkEnd w:id="412"/>
    <w:p w14:paraId="3F1352F4">
      <w:pPr>
        <w:spacing w:line="360" w:lineRule="auto"/>
        <w:ind w:firstLine="420" w:firstLineChars="200"/>
        <w:jc w:val="left"/>
        <w:rPr>
          <w:rFonts w:hAnsi="宋体"/>
          <w:color w:val="auto"/>
          <w:kern w:val="0"/>
          <w:szCs w:val="21"/>
        </w:rPr>
      </w:pPr>
      <w:r>
        <w:rPr>
          <w:rFonts w:hAnsi="宋体"/>
          <w:color w:val="auto"/>
          <w:kern w:val="0"/>
          <w:szCs w:val="21"/>
        </w:rPr>
        <w:t>5.3.1</w:t>
      </w:r>
      <w:r>
        <w:rPr>
          <w:rFonts w:hint="eastAsia" w:hAnsi="宋体"/>
          <w:color w:val="auto"/>
          <w:kern w:val="0"/>
          <w:szCs w:val="21"/>
        </w:rPr>
        <w:t>承包人自检</w:t>
      </w:r>
    </w:p>
    <w:p w14:paraId="24FB4827">
      <w:pPr>
        <w:spacing w:line="360" w:lineRule="auto"/>
        <w:ind w:firstLine="420" w:firstLineChars="200"/>
        <w:jc w:val="left"/>
        <w:rPr>
          <w:rFonts w:hAnsi="宋体"/>
          <w:color w:val="auto"/>
          <w:kern w:val="0"/>
          <w:szCs w:val="21"/>
        </w:rPr>
      </w:pPr>
      <w:r>
        <w:rPr>
          <w:rFonts w:hint="eastAsia" w:hAnsi="宋体"/>
          <w:color w:val="auto"/>
          <w:kern w:val="0"/>
          <w:szCs w:val="21"/>
        </w:rPr>
        <w:t>承包人应当对工程隐蔽部位进行自检，并经自检确认是否具备覆盖条件。</w:t>
      </w:r>
    </w:p>
    <w:p w14:paraId="623F632D">
      <w:pPr>
        <w:spacing w:line="360" w:lineRule="auto"/>
        <w:ind w:firstLine="420" w:firstLineChars="200"/>
        <w:jc w:val="left"/>
        <w:rPr>
          <w:rFonts w:hAnsi="宋体"/>
          <w:color w:val="auto"/>
          <w:kern w:val="0"/>
          <w:szCs w:val="21"/>
        </w:rPr>
      </w:pPr>
      <w:r>
        <w:rPr>
          <w:rFonts w:hAnsi="宋体"/>
          <w:color w:val="auto"/>
          <w:kern w:val="0"/>
          <w:szCs w:val="21"/>
        </w:rPr>
        <w:t>5.3.2</w:t>
      </w:r>
      <w:r>
        <w:rPr>
          <w:rFonts w:hint="eastAsia" w:hAnsi="宋体"/>
          <w:color w:val="auto"/>
          <w:kern w:val="0"/>
          <w:szCs w:val="21"/>
        </w:rPr>
        <w:t>检查程序</w:t>
      </w:r>
    </w:p>
    <w:p w14:paraId="38699195">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除专用合同条款另有约定外，工程隐蔽部位经承包人自检确认具备覆盖条件的，承包人应在共同检查前</w:t>
      </w:r>
      <w:r>
        <w:rPr>
          <w:rFonts w:hAnsi="宋体"/>
          <w:color w:val="auto"/>
          <w:kern w:val="0"/>
          <w:szCs w:val="21"/>
        </w:rPr>
        <w:t>48</w:t>
      </w:r>
      <w:r>
        <w:rPr>
          <w:rFonts w:hint="eastAsia" w:hAnsi="宋体"/>
          <w:color w:val="auto"/>
          <w:kern w:val="0"/>
          <w:szCs w:val="21"/>
        </w:rPr>
        <w:t>小时书面通知监理人检查，通知中应载明隐蔽检查的内容、时间和地点，并应附有自检记录和必要的检查资料。</w:t>
      </w:r>
    </w:p>
    <w:p w14:paraId="71887EB9">
      <w:pPr>
        <w:spacing w:line="360" w:lineRule="auto"/>
        <w:ind w:firstLine="420" w:firstLineChars="200"/>
        <w:jc w:val="left"/>
        <w:rPr>
          <w:rFonts w:hAnsi="宋体"/>
          <w:color w:val="auto"/>
          <w:kern w:val="0"/>
          <w:szCs w:val="21"/>
        </w:rPr>
      </w:pPr>
      <w:r>
        <w:rPr>
          <w:rFonts w:hint="eastAsia" w:hAnsi="宋体"/>
          <w:color w:val="auto"/>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9062DBA">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除专用合同条款另有约定外，监理人不能按时进行检查的，应在检查前</w:t>
      </w:r>
      <w:r>
        <w:rPr>
          <w:rFonts w:hAnsi="宋体"/>
          <w:color w:val="auto"/>
          <w:kern w:val="0"/>
          <w:szCs w:val="21"/>
        </w:rPr>
        <w:t>24</w:t>
      </w:r>
      <w:r>
        <w:rPr>
          <w:rFonts w:hint="eastAsia" w:hAnsi="宋体"/>
          <w:color w:val="auto"/>
          <w:kern w:val="0"/>
          <w:szCs w:val="21"/>
        </w:rPr>
        <w:t>小时向承包人提交书面延期要求，但延期不能超过</w:t>
      </w:r>
      <w:r>
        <w:rPr>
          <w:rFonts w:hAnsi="宋体"/>
          <w:color w:val="auto"/>
          <w:kern w:val="0"/>
          <w:szCs w:val="21"/>
        </w:rPr>
        <w:t>48</w:t>
      </w:r>
      <w:r>
        <w:rPr>
          <w:rFonts w:hint="eastAsia" w:hAnsi="宋体"/>
          <w:color w:val="auto"/>
          <w:kern w:val="0"/>
          <w:szCs w:val="21"/>
        </w:rPr>
        <w:t>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w:t>
      </w:r>
      <w:r>
        <w:rPr>
          <w:rFonts w:hAnsi="宋体"/>
          <w:color w:val="auto"/>
          <w:kern w:val="0"/>
          <w:szCs w:val="21"/>
        </w:rPr>
        <w:t>5.3.3</w:t>
      </w:r>
      <w:r>
        <w:rPr>
          <w:rFonts w:hint="eastAsia" w:hAnsi="宋体"/>
          <w:color w:val="auto"/>
          <w:kern w:val="0"/>
          <w:szCs w:val="21"/>
        </w:rPr>
        <w:t>项〔重新检查〕的约定重新检查。</w:t>
      </w:r>
    </w:p>
    <w:p w14:paraId="048A7B15">
      <w:pPr>
        <w:spacing w:line="360" w:lineRule="auto"/>
        <w:ind w:firstLine="420" w:firstLineChars="200"/>
        <w:jc w:val="left"/>
        <w:rPr>
          <w:rFonts w:hAnsi="宋体"/>
          <w:color w:val="auto"/>
          <w:kern w:val="0"/>
          <w:szCs w:val="21"/>
        </w:rPr>
      </w:pPr>
      <w:r>
        <w:rPr>
          <w:rFonts w:hAnsi="宋体"/>
          <w:color w:val="auto"/>
          <w:kern w:val="0"/>
          <w:szCs w:val="21"/>
        </w:rPr>
        <w:t xml:space="preserve">5.3.3 </w:t>
      </w:r>
      <w:r>
        <w:rPr>
          <w:rFonts w:hint="eastAsia" w:hAnsi="宋体"/>
          <w:color w:val="auto"/>
          <w:kern w:val="0"/>
          <w:szCs w:val="21"/>
        </w:rPr>
        <w:t>重新检查</w:t>
      </w:r>
    </w:p>
    <w:p w14:paraId="61692B9E">
      <w:pPr>
        <w:spacing w:line="360" w:lineRule="auto"/>
        <w:ind w:firstLine="420" w:firstLineChars="200"/>
        <w:jc w:val="left"/>
        <w:rPr>
          <w:rFonts w:hAnsi="宋体"/>
          <w:color w:val="auto"/>
          <w:kern w:val="0"/>
          <w:szCs w:val="21"/>
        </w:rPr>
      </w:pPr>
      <w:r>
        <w:rPr>
          <w:rFonts w:hint="eastAsia" w:hAnsi="宋体"/>
          <w:color w:val="auto"/>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0B08AC5">
      <w:pPr>
        <w:spacing w:line="360" w:lineRule="auto"/>
        <w:ind w:firstLine="420" w:firstLineChars="200"/>
        <w:jc w:val="left"/>
        <w:rPr>
          <w:rFonts w:hAnsi="宋体"/>
          <w:color w:val="auto"/>
          <w:kern w:val="0"/>
          <w:szCs w:val="21"/>
        </w:rPr>
      </w:pPr>
      <w:r>
        <w:rPr>
          <w:rFonts w:hAnsi="宋体"/>
          <w:color w:val="auto"/>
          <w:kern w:val="0"/>
          <w:szCs w:val="21"/>
        </w:rPr>
        <w:t xml:space="preserve">5.3.4 </w:t>
      </w:r>
      <w:r>
        <w:rPr>
          <w:rFonts w:hint="eastAsia" w:hAnsi="宋体"/>
          <w:color w:val="auto"/>
          <w:kern w:val="0"/>
          <w:szCs w:val="21"/>
        </w:rPr>
        <w:t>承包人私自覆盖</w:t>
      </w:r>
    </w:p>
    <w:p w14:paraId="604EEC84">
      <w:pPr>
        <w:spacing w:line="360" w:lineRule="auto"/>
        <w:ind w:firstLine="420" w:firstLineChars="200"/>
        <w:jc w:val="left"/>
        <w:rPr>
          <w:rFonts w:hAnsi="宋体"/>
          <w:color w:val="auto"/>
          <w:szCs w:val="21"/>
        </w:rPr>
      </w:pPr>
      <w:r>
        <w:rPr>
          <w:rFonts w:hint="eastAsia" w:hAnsi="宋体"/>
          <w:color w:val="auto"/>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764BDF8B">
      <w:pPr>
        <w:pStyle w:val="6"/>
        <w:tabs>
          <w:tab w:val="left" w:pos="2155"/>
        </w:tabs>
        <w:rPr>
          <w:color w:val="auto"/>
        </w:rPr>
      </w:pPr>
      <w:bookmarkStart w:id="413" w:name="_Toc351203536"/>
      <w:r>
        <w:rPr>
          <w:color w:val="auto"/>
        </w:rPr>
        <w:t>5</w:t>
      </w:r>
      <w:bookmarkStart w:id="414" w:name="_Toc337558762"/>
      <w:r>
        <w:rPr>
          <w:color w:val="auto"/>
        </w:rPr>
        <w:t>.4</w:t>
      </w:r>
      <w:r>
        <w:rPr>
          <w:rFonts w:hint="eastAsia"/>
          <w:color w:val="auto"/>
        </w:rPr>
        <w:t>不合格工程的处理</w:t>
      </w:r>
      <w:bookmarkEnd w:id="413"/>
    </w:p>
    <w:bookmarkEnd w:id="414"/>
    <w:p w14:paraId="52E19003">
      <w:pPr>
        <w:spacing w:line="360" w:lineRule="auto"/>
        <w:ind w:firstLine="420" w:firstLineChars="200"/>
        <w:jc w:val="left"/>
        <w:rPr>
          <w:rFonts w:hAnsi="宋体"/>
          <w:color w:val="auto"/>
          <w:kern w:val="0"/>
          <w:szCs w:val="21"/>
        </w:rPr>
      </w:pPr>
      <w:r>
        <w:rPr>
          <w:rFonts w:hAnsi="宋体"/>
          <w:color w:val="auto"/>
          <w:kern w:val="0"/>
          <w:szCs w:val="21"/>
        </w:rPr>
        <w:t xml:space="preserve">5.4.1 </w:t>
      </w:r>
      <w:r>
        <w:rPr>
          <w:rFonts w:hint="eastAsia" w:hAnsi="宋体"/>
          <w:color w:val="auto"/>
          <w:kern w:val="0"/>
          <w:szCs w:val="21"/>
        </w:rPr>
        <w:t>因承包人原因造成工程不合格的，发包人有权随时要求承包人采取补救措施，直至达到合同要求的质量标准，由此增加的费用和（或）延误的工期由承包人承担。无法补救的，按照第</w:t>
      </w:r>
      <w:r>
        <w:rPr>
          <w:rFonts w:hAnsi="宋体"/>
          <w:color w:val="auto"/>
          <w:kern w:val="0"/>
          <w:szCs w:val="21"/>
        </w:rPr>
        <w:t>13.2.4</w:t>
      </w:r>
      <w:r>
        <w:rPr>
          <w:rFonts w:hint="eastAsia" w:hAnsi="宋体"/>
          <w:color w:val="auto"/>
          <w:kern w:val="0"/>
          <w:szCs w:val="21"/>
        </w:rPr>
        <w:t>项〔拒绝接收全部或部分工程〕约定执行。</w:t>
      </w:r>
      <w:r>
        <w:rPr>
          <w:rFonts w:hAnsi="宋体"/>
          <w:color w:val="auto"/>
          <w:kern w:val="0"/>
          <w:szCs w:val="21"/>
        </w:rPr>
        <w:t xml:space="preserve"> </w:t>
      </w:r>
    </w:p>
    <w:p w14:paraId="4BC99BA6">
      <w:pPr>
        <w:spacing w:line="360" w:lineRule="auto"/>
        <w:ind w:firstLine="420" w:firstLineChars="200"/>
        <w:jc w:val="left"/>
        <w:rPr>
          <w:rFonts w:hAnsi="宋体"/>
          <w:color w:val="auto"/>
          <w:kern w:val="0"/>
          <w:szCs w:val="21"/>
        </w:rPr>
      </w:pPr>
      <w:r>
        <w:rPr>
          <w:rFonts w:hAnsi="宋体"/>
          <w:color w:val="auto"/>
          <w:kern w:val="0"/>
          <w:szCs w:val="21"/>
        </w:rPr>
        <w:t xml:space="preserve">5.4.2 </w:t>
      </w:r>
      <w:r>
        <w:rPr>
          <w:rFonts w:hint="eastAsia" w:hAnsi="宋体"/>
          <w:color w:val="auto"/>
          <w:kern w:val="0"/>
          <w:szCs w:val="21"/>
        </w:rPr>
        <w:t>因发包人原因造成工程不合格的，由此增加的费用和（或）延误的工期由发包人承担，并支付承包人合理的利润。</w:t>
      </w:r>
    </w:p>
    <w:p w14:paraId="7FE7155C">
      <w:pPr>
        <w:pStyle w:val="6"/>
        <w:tabs>
          <w:tab w:val="left" w:pos="2155"/>
        </w:tabs>
        <w:rPr>
          <w:color w:val="auto"/>
        </w:rPr>
      </w:pPr>
      <w:bookmarkStart w:id="415" w:name="_Toc351203537"/>
      <w:r>
        <w:rPr>
          <w:color w:val="auto"/>
        </w:rPr>
        <w:t xml:space="preserve">5.5 </w:t>
      </w:r>
      <w:r>
        <w:rPr>
          <w:rFonts w:hint="eastAsia"/>
          <w:color w:val="auto"/>
        </w:rPr>
        <w:t>质量争议检测</w:t>
      </w:r>
      <w:bookmarkEnd w:id="415"/>
    </w:p>
    <w:p w14:paraId="44AF35D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合同当事人对工程质量有争议的，由双方协商确定的工程质量检测机构鉴定，由此产生的费用及因此造成的损失，由责任方承担。</w:t>
      </w:r>
    </w:p>
    <w:p w14:paraId="31FCADD1">
      <w:pPr>
        <w:autoSpaceDE w:val="0"/>
        <w:autoSpaceDN w:val="0"/>
        <w:adjustRightInd w:val="0"/>
        <w:spacing w:line="360" w:lineRule="auto"/>
        <w:jc w:val="left"/>
        <w:rPr>
          <w:rFonts w:hAnsi="宋体"/>
          <w:color w:val="auto"/>
          <w:kern w:val="0"/>
          <w:szCs w:val="21"/>
        </w:rPr>
      </w:pPr>
      <w:r>
        <w:rPr>
          <w:rFonts w:hint="eastAsia" w:hAnsi="宋体"/>
          <w:color w:val="auto"/>
          <w:kern w:val="0"/>
          <w:szCs w:val="21"/>
        </w:rPr>
        <w:t>合同当事人均有责任的，由双方根据其责任分别承担。合同当事人无法达成一致的，按照第</w:t>
      </w:r>
      <w:r>
        <w:rPr>
          <w:rFonts w:hAnsi="宋体"/>
          <w:color w:val="auto"/>
          <w:kern w:val="0"/>
          <w:szCs w:val="21"/>
        </w:rPr>
        <w:t>4.4</w:t>
      </w:r>
      <w:r>
        <w:rPr>
          <w:rFonts w:hint="eastAsia" w:hAnsi="宋体"/>
          <w:color w:val="auto"/>
          <w:kern w:val="0"/>
          <w:szCs w:val="21"/>
        </w:rPr>
        <w:t>款〔商定或确定〕执行。</w:t>
      </w:r>
    </w:p>
    <w:p w14:paraId="3D3135DE">
      <w:pPr>
        <w:pStyle w:val="5"/>
        <w:tabs>
          <w:tab w:val="left" w:pos="900"/>
        </w:tabs>
        <w:rPr>
          <w:color w:val="auto"/>
        </w:rPr>
      </w:pPr>
      <w:bookmarkStart w:id="416" w:name="_Toc19065"/>
      <w:bookmarkStart w:id="417" w:name="_Toc6820"/>
      <w:bookmarkStart w:id="418" w:name="_Toc525396175"/>
      <w:bookmarkStart w:id="419" w:name="_Toc25741"/>
      <w:bookmarkStart w:id="420" w:name="_Toc351203538"/>
      <w:bookmarkStart w:id="421" w:name="_Toc4644"/>
      <w:r>
        <w:rPr>
          <w:color w:val="auto"/>
        </w:rPr>
        <w:t>6</w:t>
      </w:r>
      <w:bookmarkStart w:id="422" w:name="_Toc337558763"/>
      <w:r>
        <w:rPr>
          <w:color w:val="auto"/>
        </w:rPr>
        <w:t xml:space="preserve">. </w:t>
      </w:r>
      <w:r>
        <w:rPr>
          <w:rFonts w:hint="eastAsia"/>
          <w:color w:val="auto"/>
        </w:rPr>
        <w:t>安全文明施工与环境保护</w:t>
      </w:r>
      <w:bookmarkEnd w:id="416"/>
      <w:bookmarkEnd w:id="417"/>
      <w:bookmarkEnd w:id="418"/>
      <w:bookmarkEnd w:id="419"/>
      <w:bookmarkEnd w:id="420"/>
      <w:bookmarkEnd w:id="421"/>
    </w:p>
    <w:bookmarkEnd w:id="422"/>
    <w:p w14:paraId="43469F16">
      <w:pPr>
        <w:pStyle w:val="6"/>
        <w:tabs>
          <w:tab w:val="left" w:pos="2155"/>
        </w:tabs>
        <w:rPr>
          <w:color w:val="auto"/>
        </w:rPr>
      </w:pPr>
      <w:bookmarkStart w:id="423" w:name="_Toc351203539"/>
      <w:r>
        <w:rPr>
          <w:color w:val="auto"/>
        </w:rPr>
        <w:t>6</w:t>
      </w:r>
      <w:bookmarkStart w:id="424" w:name="_Toc337558764"/>
      <w:r>
        <w:rPr>
          <w:color w:val="auto"/>
        </w:rPr>
        <w:t>.1</w:t>
      </w:r>
      <w:r>
        <w:rPr>
          <w:rFonts w:hint="eastAsia"/>
          <w:color w:val="auto"/>
        </w:rPr>
        <w:t>安全文明施工</w:t>
      </w:r>
      <w:bookmarkEnd w:id="423"/>
    </w:p>
    <w:bookmarkEnd w:id="424"/>
    <w:p w14:paraId="237D5D2C">
      <w:pPr>
        <w:spacing w:line="360" w:lineRule="auto"/>
        <w:ind w:firstLine="420" w:firstLineChars="200"/>
        <w:rPr>
          <w:rFonts w:hAnsi="宋体"/>
          <w:color w:val="auto"/>
          <w:szCs w:val="21"/>
        </w:rPr>
      </w:pPr>
      <w:r>
        <w:rPr>
          <w:rFonts w:hAnsi="宋体"/>
          <w:color w:val="auto"/>
          <w:szCs w:val="21"/>
        </w:rPr>
        <w:t>6.1.1</w:t>
      </w:r>
      <w:r>
        <w:rPr>
          <w:rFonts w:hint="eastAsia" w:hAnsi="宋体"/>
          <w:color w:val="auto"/>
          <w:szCs w:val="21"/>
        </w:rPr>
        <w:t>安全生产要求</w:t>
      </w:r>
    </w:p>
    <w:p w14:paraId="2A7E8081">
      <w:pPr>
        <w:spacing w:line="360" w:lineRule="auto"/>
        <w:ind w:firstLine="420" w:firstLineChars="200"/>
        <w:rPr>
          <w:rFonts w:hAnsi="宋体"/>
          <w:color w:val="auto"/>
          <w:szCs w:val="21"/>
        </w:rPr>
      </w:pPr>
      <w:r>
        <w:rPr>
          <w:rFonts w:hint="eastAsia" w:hAnsi="宋体"/>
          <w:color w:val="auto"/>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B0F0CB9">
      <w:pPr>
        <w:spacing w:line="360" w:lineRule="auto"/>
        <w:ind w:firstLine="420" w:firstLineChars="200"/>
        <w:rPr>
          <w:rFonts w:hAnsi="宋体"/>
          <w:color w:val="auto"/>
          <w:szCs w:val="21"/>
        </w:rPr>
      </w:pPr>
      <w:r>
        <w:rPr>
          <w:rFonts w:hint="eastAsia" w:hAnsi="宋体"/>
          <w:color w:val="auto"/>
          <w:szCs w:val="21"/>
        </w:rPr>
        <w:t>在施工过程中，如遇到突发的地质变动、事先未知的地下施工障碍等影响施工安全的紧急情况，承包人应及时报告监理人和发包人，发包人应当及时下令停工并报</w:t>
      </w:r>
      <w:r>
        <w:rPr>
          <w:rFonts w:hint="eastAsia" w:hAnsi="宋体"/>
          <w:color w:val="auto"/>
          <w:kern w:val="0"/>
          <w:szCs w:val="21"/>
        </w:rPr>
        <w:t>政府有关行政管理部门</w:t>
      </w:r>
      <w:r>
        <w:rPr>
          <w:rFonts w:hint="eastAsia" w:hAnsi="宋体"/>
          <w:color w:val="auto"/>
          <w:szCs w:val="21"/>
        </w:rPr>
        <w:t>采取应急措施。</w:t>
      </w:r>
    </w:p>
    <w:p w14:paraId="63202BFF">
      <w:pPr>
        <w:spacing w:line="360" w:lineRule="auto"/>
        <w:ind w:firstLine="420" w:firstLineChars="200"/>
        <w:rPr>
          <w:rFonts w:hAnsi="宋体"/>
          <w:color w:val="auto"/>
          <w:szCs w:val="21"/>
        </w:rPr>
      </w:pPr>
      <w:r>
        <w:rPr>
          <w:rFonts w:hint="eastAsia" w:hAnsi="宋体"/>
          <w:color w:val="auto"/>
          <w:szCs w:val="21"/>
        </w:rPr>
        <w:t>因安全生产需要暂停施工的，按照第</w:t>
      </w:r>
      <w:r>
        <w:rPr>
          <w:rFonts w:hAnsi="宋体"/>
          <w:color w:val="auto"/>
          <w:szCs w:val="21"/>
        </w:rPr>
        <w:t>7.8</w:t>
      </w:r>
      <w:r>
        <w:rPr>
          <w:rFonts w:hint="eastAsia" w:hAnsi="宋体"/>
          <w:color w:val="auto"/>
          <w:szCs w:val="21"/>
        </w:rPr>
        <w:t>款〔暂停施工〕的约定执行。</w:t>
      </w:r>
    </w:p>
    <w:p w14:paraId="7E037935">
      <w:pPr>
        <w:spacing w:line="360" w:lineRule="auto"/>
        <w:ind w:firstLine="420" w:firstLineChars="200"/>
        <w:rPr>
          <w:rFonts w:hAnsi="宋体"/>
          <w:color w:val="auto"/>
          <w:szCs w:val="21"/>
        </w:rPr>
      </w:pPr>
      <w:r>
        <w:rPr>
          <w:rFonts w:hAnsi="宋体"/>
          <w:color w:val="auto"/>
          <w:szCs w:val="21"/>
        </w:rPr>
        <w:t xml:space="preserve">6.1.2 </w:t>
      </w:r>
      <w:r>
        <w:rPr>
          <w:rFonts w:hint="eastAsia" w:hAnsi="宋体"/>
          <w:color w:val="auto"/>
          <w:szCs w:val="21"/>
        </w:rPr>
        <w:t>安全生产保证措施</w:t>
      </w:r>
    </w:p>
    <w:p w14:paraId="7A50F17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szCs w:val="21"/>
        </w:rPr>
        <w:t>承包人应当按照有关</w:t>
      </w:r>
      <w:r>
        <w:rPr>
          <w:rFonts w:hint="eastAsia" w:hAnsi="宋体"/>
          <w:color w:val="auto"/>
          <w:kern w:val="0"/>
          <w:szCs w:val="21"/>
        </w:rPr>
        <w:t>规定编制安全技术措施或者专项施工方案，</w:t>
      </w:r>
      <w:r>
        <w:rPr>
          <w:rFonts w:hint="eastAsia" w:hAnsi="宋体"/>
          <w:color w:val="auto"/>
          <w:szCs w:val="21"/>
        </w:rPr>
        <w:t>建立安全生产责任制度、治安保卫制度及安全生产教育培训制度，并</w:t>
      </w:r>
      <w:r>
        <w:rPr>
          <w:rFonts w:hint="eastAsia" w:hAnsi="宋体"/>
          <w:color w:val="auto"/>
          <w:kern w:val="0"/>
          <w:szCs w:val="21"/>
        </w:rPr>
        <w:t>按安全生产法律规定及合同约定履行安全职责，如实</w:t>
      </w:r>
      <w:r>
        <w:rPr>
          <w:rFonts w:hint="eastAsia" w:hAnsi="宋体"/>
          <w:color w:val="auto"/>
          <w:szCs w:val="21"/>
        </w:rPr>
        <w:t>编制工程安全生产的有关记录，</w:t>
      </w:r>
      <w:r>
        <w:rPr>
          <w:rFonts w:hint="eastAsia" w:hAnsi="宋体"/>
          <w:color w:val="auto"/>
          <w:kern w:val="0"/>
          <w:szCs w:val="21"/>
        </w:rPr>
        <w:t>接受发包人、监理人及政府安全监督部门的检查与监督。</w:t>
      </w:r>
    </w:p>
    <w:p w14:paraId="01B24AF3">
      <w:pPr>
        <w:spacing w:line="360" w:lineRule="auto"/>
        <w:ind w:firstLine="420" w:firstLineChars="200"/>
        <w:rPr>
          <w:rFonts w:hAnsi="宋体"/>
          <w:color w:val="auto"/>
          <w:szCs w:val="21"/>
        </w:rPr>
      </w:pPr>
      <w:r>
        <w:rPr>
          <w:rFonts w:hAnsi="宋体"/>
          <w:color w:val="auto"/>
          <w:szCs w:val="21"/>
        </w:rPr>
        <w:t>6.1.3</w:t>
      </w:r>
      <w:r>
        <w:rPr>
          <w:rFonts w:hint="eastAsia" w:hAnsi="宋体"/>
          <w:color w:val="auto"/>
          <w:szCs w:val="21"/>
        </w:rPr>
        <w:t>特别安全生产事项</w:t>
      </w:r>
    </w:p>
    <w:p w14:paraId="47F1310B">
      <w:pPr>
        <w:spacing w:line="360" w:lineRule="auto"/>
        <w:ind w:firstLine="420" w:firstLineChars="200"/>
        <w:rPr>
          <w:rFonts w:hAnsi="宋体"/>
          <w:color w:val="auto"/>
          <w:szCs w:val="21"/>
        </w:rPr>
      </w:pPr>
      <w:r>
        <w:rPr>
          <w:rFonts w:hint="eastAsia" w:hAnsi="宋体"/>
          <w:color w:val="auto"/>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22CD38F">
      <w:pPr>
        <w:spacing w:line="360" w:lineRule="auto"/>
        <w:ind w:firstLine="420" w:firstLineChars="200"/>
        <w:rPr>
          <w:rFonts w:hAnsi="宋体"/>
          <w:color w:val="auto"/>
          <w:szCs w:val="21"/>
        </w:rPr>
      </w:pPr>
      <w:r>
        <w:rPr>
          <w:rFonts w:hint="eastAsia" w:hAnsi="宋体"/>
          <w:color w:val="auto"/>
          <w:szCs w:val="21"/>
        </w:rPr>
        <w:t>承包人在动力设备、输电线路、地下管道、密封防震车间、易燃易爆地段以及临街交通要道附近施工时，施工开始前应向发包人和监理人提出安全防护措施，经发包人认可后实施。</w:t>
      </w:r>
      <w:r>
        <w:rPr>
          <w:rFonts w:hAnsi="宋体"/>
          <w:color w:val="auto"/>
          <w:szCs w:val="21"/>
        </w:rPr>
        <w:t xml:space="preserve"> </w:t>
      </w:r>
    </w:p>
    <w:p w14:paraId="323F32A3">
      <w:pPr>
        <w:spacing w:line="360" w:lineRule="auto"/>
        <w:ind w:firstLine="420" w:firstLineChars="200"/>
        <w:rPr>
          <w:rFonts w:hAnsi="宋体"/>
          <w:color w:val="auto"/>
          <w:szCs w:val="21"/>
        </w:rPr>
      </w:pPr>
      <w:r>
        <w:rPr>
          <w:rFonts w:hint="eastAsia" w:hAnsi="宋体"/>
          <w:color w:val="auto"/>
          <w:szCs w:val="21"/>
        </w:rPr>
        <w:t>实施爆破作业，在放射、毒害性环境中施工（含储存、运输、使用）及使用毒害性、腐蚀性物品施工时，承包人应在施工前</w:t>
      </w:r>
      <w:r>
        <w:rPr>
          <w:rFonts w:hAnsi="宋体"/>
          <w:color w:val="auto"/>
          <w:szCs w:val="21"/>
        </w:rPr>
        <w:t>7</w:t>
      </w:r>
      <w:r>
        <w:rPr>
          <w:rFonts w:hint="eastAsia" w:hAnsi="宋体"/>
          <w:color w:val="auto"/>
          <w:szCs w:val="21"/>
        </w:rPr>
        <w:t>天以书面通知发包人和监理人，并报送相应的安全防护措施，经发包人认可后实施。</w:t>
      </w:r>
    </w:p>
    <w:p w14:paraId="6D93F24D">
      <w:pPr>
        <w:spacing w:line="360" w:lineRule="auto"/>
        <w:ind w:firstLine="420" w:firstLineChars="200"/>
        <w:rPr>
          <w:rFonts w:hAnsi="宋体"/>
          <w:color w:val="auto"/>
          <w:szCs w:val="21"/>
        </w:rPr>
      </w:pPr>
      <w:r>
        <w:rPr>
          <w:rFonts w:hint="eastAsia" w:hAnsi="宋体"/>
          <w:color w:val="auto"/>
          <w:szCs w:val="21"/>
        </w:rPr>
        <w:t>需单独编制危险性较大分部分项专项工程施工方案的，及要求进行专家论证的超过一定规模的危险性较大的分部分项工程，承包人应及时编制和组织论证。</w:t>
      </w:r>
    </w:p>
    <w:p w14:paraId="38E677CC">
      <w:pPr>
        <w:spacing w:line="360" w:lineRule="auto"/>
        <w:ind w:firstLine="420" w:firstLineChars="200"/>
        <w:rPr>
          <w:rFonts w:hAnsi="宋体"/>
          <w:color w:val="auto"/>
          <w:szCs w:val="21"/>
        </w:rPr>
      </w:pPr>
      <w:r>
        <w:rPr>
          <w:rFonts w:hAnsi="宋体"/>
          <w:color w:val="auto"/>
          <w:szCs w:val="21"/>
        </w:rPr>
        <w:t xml:space="preserve">6.1.4 </w:t>
      </w:r>
      <w:r>
        <w:rPr>
          <w:rFonts w:hint="eastAsia" w:hAnsi="宋体"/>
          <w:color w:val="auto"/>
          <w:szCs w:val="21"/>
        </w:rPr>
        <w:t>治安保卫</w:t>
      </w:r>
    </w:p>
    <w:p w14:paraId="5BB4D4DF">
      <w:pPr>
        <w:spacing w:line="360" w:lineRule="auto"/>
        <w:ind w:firstLine="420" w:firstLineChars="200"/>
        <w:rPr>
          <w:rFonts w:hAnsi="宋体"/>
          <w:color w:val="auto"/>
          <w:szCs w:val="21"/>
        </w:rPr>
      </w:pPr>
      <w:r>
        <w:rPr>
          <w:rFonts w:hint="eastAsia" w:hAnsi="宋体"/>
          <w:color w:val="auto"/>
          <w:szCs w:val="21"/>
        </w:rPr>
        <w:t>除专用合同条款另有约定外，发包人应与当地公安部门协商，在现场建立治安管理机构或联防组织，统一管理施工场地的治安保卫事项，履行合同工程的治安保卫职责。</w:t>
      </w:r>
    </w:p>
    <w:p w14:paraId="35E88C6B">
      <w:pPr>
        <w:spacing w:line="360" w:lineRule="auto"/>
        <w:ind w:firstLine="420" w:firstLineChars="200"/>
        <w:rPr>
          <w:rFonts w:hAnsi="宋体"/>
          <w:color w:val="auto"/>
          <w:szCs w:val="21"/>
        </w:rPr>
      </w:pPr>
      <w:r>
        <w:rPr>
          <w:rFonts w:hint="eastAsia" w:hAnsi="宋体"/>
          <w:color w:val="auto"/>
          <w:szCs w:val="21"/>
        </w:rPr>
        <w:t>发包人和承包人除应协助现场治安管理机构或联防组织维护施工场地的社会治安外，还应做好包括生活区在内的各自管辖区的治安保卫工作。</w:t>
      </w:r>
    </w:p>
    <w:p w14:paraId="682D3090">
      <w:pPr>
        <w:spacing w:line="360" w:lineRule="auto"/>
        <w:ind w:firstLine="420" w:firstLineChars="200"/>
        <w:rPr>
          <w:rFonts w:hAnsi="宋体"/>
          <w:color w:val="auto"/>
          <w:szCs w:val="21"/>
        </w:rPr>
      </w:pPr>
      <w:r>
        <w:rPr>
          <w:rFonts w:hint="eastAsia" w:hAnsi="宋体"/>
          <w:color w:val="auto"/>
          <w:szCs w:val="21"/>
        </w:rPr>
        <w:t>除专用合同条款另有约定外，发包人和承包人应在工程开工后</w:t>
      </w:r>
      <w:r>
        <w:rPr>
          <w:rFonts w:hAnsi="宋体"/>
          <w:color w:val="auto"/>
          <w:szCs w:val="21"/>
        </w:rPr>
        <w:t>7</w:t>
      </w:r>
      <w:r>
        <w:rPr>
          <w:rFonts w:hint="eastAsia" w:hAnsi="宋体"/>
          <w:color w:val="auto"/>
          <w:szCs w:val="21"/>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3E59D52">
      <w:pPr>
        <w:spacing w:line="360" w:lineRule="auto"/>
        <w:ind w:firstLine="420" w:firstLineChars="200"/>
        <w:rPr>
          <w:rFonts w:hAnsi="宋体"/>
          <w:color w:val="auto"/>
          <w:kern w:val="0"/>
          <w:szCs w:val="21"/>
        </w:rPr>
      </w:pPr>
      <w:r>
        <w:rPr>
          <w:rFonts w:hAnsi="宋体"/>
          <w:color w:val="auto"/>
          <w:szCs w:val="21"/>
        </w:rPr>
        <w:t xml:space="preserve">6.1.5 </w:t>
      </w:r>
      <w:r>
        <w:rPr>
          <w:rFonts w:hint="eastAsia" w:hAnsi="宋体"/>
          <w:color w:val="auto"/>
          <w:szCs w:val="21"/>
        </w:rPr>
        <w:t>文明施工</w:t>
      </w:r>
    </w:p>
    <w:p w14:paraId="113BC7F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7BF213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1319C8F">
      <w:pPr>
        <w:spacing w:line="360" w:lineRule="auto"/>
        <w:ind w:firstLine="420" w:firstLineChars="200"/>
        <w:rPr>
          <w:rFonts w:hAnsi="宋体"/>
          <w:color w:val="auto"/>
          <w:szCs w:val="21"/>
        </w:rPr>
      </w:pPr>
      <w:r>
        <w:rPr>
          <w:rFonts w:hAnsi="宋体"/>
          <w:color w:val="auto"/>
          <w:szCs w:val="21"/>
        </w:rPr>
        <w:t xml:space="preserve">6.1.6 </w:t>
      </w:r>
      <w:r>
        <w:rPr>
          <w:rFonts w:hint="eastAsia" w:hAnsi="宋体"/>
          <w:color w:val="auto"/>
          <w:szCs w:val="21"/>
        </w:rPr>
        <w:t>安全文明施工费</w:t>
      </w:r>
    </w:p>
    <w:p w14:paraId="37E8AC4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安全文明施工费由发包人承担，发包人不得以任何形式扣减该部分费用。因基准日期后合同所适用的法律或政府有关规定发生变化，增加的安全文明施工费由发包人承担。</w:t>
      </w:r>
    </w:p>
    <w:p w14:paraId="0936556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5C4534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除专用合同条款另有约定外，发包人应在开工后</w:t>
      </w:r>
      <w:r>
        <w:rPr>
          <w:rFonts w:hAnsi="宋体"/>
          <w:color w:val="auto"/>
          <w:kern w:val="0"/>
          <w:szCs w:val="21"/>
        </w:rPr>
        <w:t>28</w:t>
      </w:r>
      <w:r>
        <w:rPr>
          <w:rFonts w:hint="eastAsia" w:hAnsi="宋体"/>
          <w:color w:val="auto"/>
          <w:kern w:val="0"/>
          <w:szCs w:val="21"/>
        </w:rPr>
        <w:t>天内预付安全文明施工费总额的</w:t>
      </w:r>
      <w:r>
        <w:rPr>
          <w:rFonts w:hAnsi="宋体"/>
          <w:color w:val="auto"/>
          <w:kern w:val="0"/>
          <w:szCs w:val="21"/>
        </w:rPr>
        <w:t>50%</w:t>
      </w:r>
      <w:r>
        <w:rPr>
          <w:rFonts w:hint="eastAsia" w:hAnsi="宋体"/>
          <w:color w:val="auto"/>
          <w:kern w:val="0"/>
          <w:szCs w:val="21"/>
        </w:rPr>
        <w:t>，其余部分与进度款同期支付。发包人逾期支付安全文明施工费超过</w:t>
      </w:r>
      <w:r>
        <w:rPr>
          <w:rFonts w:hAnsi="宋体"/>
          <w:color w:val="auto"/>
          <w:kern w:val="0"/>
          <w:szCs w:val="21"/>
        </w:rPr>
        <w:t>7</w:t>
      </w:r>
      <w:r>
        <w:rPr>
          <w:rFonts w:hint="eastAsia" w:hAnsi="宋体"/>
          <w:color w:val="auto"/>
          <w:kern w:val="0"/>
          <w:szCs w:val="21"/>
        </w:rPr>
        <w:t>天的，承包人有权向发包人发出要求预付的催告通知，发包人收到通知后</w:t>
      </w:r>
      <w:r>
        <w:rPr>
          <w:rFonts w:hAnsi="宋体"/>
          <w:color w:val="auto"/>
          <w:kern w:val="0"/>
          <w:szCs w:val="21"/>
        </w:rPr>
        <w:t>7</w:t>
      </w:r>
      <w:r>
        <w:rPr>
          <w:rFonts w:hint="eastAsia" w:hAnsi="宋体"/>
          <w:color w:val="auto"/>
          <w:kern w:val="0"/>
          <w:szCs w:val="21"/>
        </w:rPr>
        <w:t>天内仍未支付的，承包人有权暂停施工，并按第</w:t>
      </w:r>
      <w:r>
        <w:rPr>
          <w:rFonts w:hAnsi="宋体"/>
          <w:color w:val="auto"/>
          <w:kern w:val="0"/>
          <w:szCs w:val="21"/>
        </w:rPr>
        <w:t>16.1.1</w:t>
      </w:r>
      <w:r>
        <w:rPr>
          <w:rFonts w:hint="eastAsia" w:hAnsi="宋体"/>
          <w:color w:val="auto"/>
          <w:kern w:val="0"/>
          <w:szCs w:val="21"/>
        </w:rPr>
        <w:t>项〔发包人违约的情形〕执行。</w:t>
      </w:r>
    </w:p>
    <w:p w14:paraId="48A2E1E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C651EAA">
      <w:pPr>
        <w:spacing w:line="360" w:lineRule="auto"/>
        <w:ind w:firstLine="420" w:firstLineChars="200"/>
        <w:jc w:val="left"/>
        <w:rPr>
          <w:rFonts w:hAnsi="宋体"/>
          <w:color w:val="auto"/>
          <w:kern w:val="0"/>
          <w:szCs w:val="21"/>
        </w:rPr>
      </w:pPr>
      <w:r>
        <w:rPr>
          <w:rFonts w:hAnsi="宋体"/>
          <w:color w:val="auto"/>
          <w:kern w:val="0"/>
          <w:szCs w:val="21"/>
        </w:rPr>
        <w:t xml:space="preserve">6.1.7 </w:t>
      </w:r>
      <w:r>
        <w:rPr>
          <w:rFonts w:hint="eastAsia" w:hAnsi="宋体"/>
          <w:color w:val="auto"/>
          <w:kern w:val="0"/>
          <w:szCs w:val="21"/>
        </w:rPr>
        <w:t>紧急情况处理</w:t>
      </w:r>
    </w:p>
    <w:p w14:paraId="1C0C4C43">
      <w:pPr>
        <w:spacing w:line="360" w:lineRule="auto"/>
        <w:ind w:firstLine="420" w:firstLineChars="200"/>
        <w:jc w:val="left"/>
        <w:rPr>
          <w:rFonts w:hAnsi="宋体"/>
          <w:color w:val="auto"/>
          <w:kern w:val="0"/>
          <w:szCs w:val="21"/>
        </w:rPr>
      </w:pPr>
      <w:r>
        <w:rPr>
          <w:rFonts w:hint="eastAsia" w:hAnsi="宋体"/>
          <w:color w:val="auto"/>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55FC7D3C">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6.1.8 </w:t>
      </w:r>
      <w:r>
        <w:rPr>
          <w:rFonts w:hint="eastAsia" w:hAnsi="宋体"/>
          <w:color w:val="auto"/>
          <w:kern w:val="0"/>
          <w:szCs w:val="21"/>
        </w:rPr>
        <w:t>事故处理</w:t>
      </w:r>
    </w:p>
    <w:p w14:paraId="7BF8264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781886C">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6.1.9 </w:t>
      </w:r>
      <w:r>
        <w:rPr>
          <w:rFonts w:hint="eastAsia" w:hAnsi="宋体"/>
          <w:color w:val="auto"/>
          <w:kern w:val="0"/>
          <w:szCs w:val="21"/>
        </w:rPr>
        <w:t>安全生产责任</w:t>
      </w:r>
    </w:p>
    <w:p w14:paraId="404CAA1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6.1.9.1 </w:t>
      </w:r>
      <w:r>
        <w:rPr>
          <w:rFonts w:hint="eastAsia" w:hAnsi="宋体"/>
          <w:color w:val="auto"/>
          <w:kern w:val="0"/>
          <w:szCs w:val="21"/>
        </w:rPr>
        <w:t>发包人的安全责任</w:t>
      </w:r>
    </w:p>
    <w:p w14:paraId="17E23558">
      <w:pPr>
        <w:spacing w:line="360" w:lineRule="auto"/>
        <w:ind w:firstLine="420" w:firstLineChars="200"/>
        <w:rPr>
          <w:rFonts w:hAnsi="宋体"/>
          <w:color w:val="auto"/>
          <w:szCs w:val="21"/>
        </w:rPr>
      </w:pPr>
      <w:r>
        <w:rPr>
          <w:rFonts w:hint="eastAsia" w:hAnsi="宋体"/>
          <w:color w:val="auto"/>
          <w:szCs w:val="21"/>
        </w:rPr>
        <w:t>发包人应负责赔偿以下各种情况造成的损失：</w:t>
      </w:r>
    </w:p>
    <w:p w14:paraId="66FDD895">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）工程或工程的任何部分对土地的占用所造成的第三者财产损失；</w:t>
      </w:r>
    </w:p>
    <w:p w14:paraId="5CEA3F6D">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）由于发包人原因在施工场地及其毗邻地带造成的第三者人身伤亡和财产损失；</w:t>
      </w:r>
    </w:p>
    <w:p w14:paraId="453130C0">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）由于发包人原因对承包人、监理人造成的人员人身伤亡和财产损失；</w:t>
      </w:r>
    </w:p>
    <w:p w14:paraId="3A5A70EA">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）由于发包人原因造成的发包人自身人员的人身伤害以及财产损失。</w:t>
      </w:r>
    </w:p>
    <w:p w14:paraId="3454BC1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6.1.9.2 </w:t>
      </w:r>
      <w:r>
        <w:rPr>
          <w:rFonts w:hint="eastAsia" w:hAnsi="宋体"/>
          <w:color w:val="auto"/>
          <w:kern w:val="0"/>
          <w:szCs w:val="21"/>
        </w:rPr>
        <w:t>承包人的安全责任</w:t>
      </w:r>
    </w:p>
    <w:p w14:paraId="41054A4E">
      <w:pPr>
        <w:spacing w:line="360" w:lineRule="auto"/>
        <w:ind w:firstLine="420" w:firstLineChars="200"/>
        <w:rPr>
          <w:rFonts w:hAnsi="宋体"/>
          <w:color w:val="auto"/>
          <w:kern w:val="0"/>
          <w:szCs w:val="21"/>
        </w:rPr>
      </w:pPr>
      <w:r>
        <w:rPr>
          <w:rFonts w:hint="eastAsia" w:hAnsi="宋体"/>
          <w:color w:val="auto"/>
          <w:szCs w:val="21"/>
        </w:rPr>
        <w:t>由于承包人原因在施工场地内及其毗邻地带造成的发包人、监理人以及第三者人员伤亡和财产损失，由承包人负责赔偿。</w:t>
      </w:r>
    </w:p>
    <w:p w14:paraId="6D901287">
      <w:pPr>
        <w:pStyle w:val="6"/>
        <w:tabs>
          <w:tab w:val="left" w:pos="2155"/>
        </w:tabs>
        <w:rPr>
          <w:color w:val="auto"/>
        </w:rPr>
      </w:pPr>
      <w:bookmarkStart w:id="425" w:name="_Toc351203540"/>
      <w:r>
        <w:rPr>
          <w:color w:val="auto"/>
        </w:rPr>
        <w:t>6</w:t>
      </w:r>
      <w:bookmarkStart w:id="426" w:name="_Toc337558765"/>
      <w:r>
        <w:rPr>
          <w:color w:val="auto"/>
        </w:rPr>
        <w:t xml:space="preserve">.2 </w:t>
      </w:r>
      <w:r>
        <w:rPr>
          <w:rFonts w:hint="eastAsia" w:cs="宋体"/>
          <w:color w:val="auto"/>
        </w:rPr>
        <w:t>职业健康</w:t>
      </w:r>
      <w:bookmarkEnd w:id="425"/>
    </w:p>
    <w:bookmarkEnd w:id="426"/>
    <w:p w14:paraId="56BC76A3">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6.2.1 </w:t>
      </w:r>
      <w:r>
        <w:rPr>
          <w:rFonts w:hint="eastAsia" w:hAnsi="宋体"/>
          <w:color w:val="auto"/>
          <w:kern w:val="0"/>
          <w:szCs w:val="21"/>
        </w:rPr>
        <w:t>劳动保护</w:t>
      </w:r>
    </w:p>
    <w:p w14:paraId="012A8AD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6FC3979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承包人应按照法律规定保障现场施工人员的劳动安全，并提供劳动保护</w:t>
      </w:r>
      <w:r>
        <w:rPr>
          <w:rFonts w:hAnsi="宋体"/>
          <w:color w:val="auto"/>
          <w:kern w:val="0"/>
          <w:szCs w:val="21"/>
        </w:rPr>
        <w:t>,</w:t>
      </w:r>
      <w:r>
        <w:rPr>
          <w:rFonts w:hint="eastAsia" w:hAnsi="宋体"/>
          <w:color w:val="auto"/>
          <w:kern w:val="0"/>
          <w:szCs w:val="21"/>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A94904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5E131FB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6.2.2 </w:t>
      </w:r>
      <w:r>
        <w:rPr>
          <w:rFonts w:hint="eastAsia" w:hAnsi="宋体"/>
          <w:color w:val="auto"/>
          <w:kern w:val="0"/>
          <w:szCs w:val="21"/>
        </w:rPr>
        <w:t>生活条件</w:t>
      </w:r>
    </w:p>
    <w:p w14:paraId="33F8AD0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Ansi="宋体"/>
          <w:color w:val="auto"/>
          <w:kern w:val="0"/>
          <w:szCs w:val="21"/>
        </w:rPr>
        <w:t xml:space="preserve">, </w:t>
      </w:r>
      <w:r>
        <w:rPr>
          <w:rFonts w:hint="eastAsia" w:hAnsi="宋体"/>
          <w:color w:val="auto"/>
          <w:kern w:val="0"/>
          <w:szCs w:val="21"/>
        </w:rPr>
        <w:t>在远离城镇的施工场地，还应配备必要的伤病防治和急救的医务人员与医疗设施。</w:t>
      </w:r>
    </w:p>
    <w:p w14:paraId="337F0FF2">
      <w:pPr>
        <w:pStyle w:val="6"/>
        <w:tabs>
          <w:tab w:val="left" w:pos="2155"/>
        </w:tabs>
        <w:rPr>
          <w:color w:val="auto"/>
        </w:rPr>
      </w:pPr>
      <w:bookmarkStart w:id="427" w:name="_Toc351203541"/>
      <w:r>
        <w:rPr>
          <w:color w:val="auto"/>
        </w:rPr>
        <w:t>6</w:t>
      </w:r>
      <w:bookmarkStart w:id="428" w:name="_Toc337558766"/>
      <w:r>
        <w:rPr>
          <w:color w:val="auto"/>
        </w:rPr>
        <w:t xml:space="preserve">.3 </w:t>
      </w:r>
      <w:r>
        <w:rPr>
          <w:rFonts w:hint="eastAsia" w:cs="宋体"/>
          <w:color w:val="auto"/>
        </w:rPr>
        <w:t>环境保护</w:t>
      </w:r>
      <w:bookmarkEnd w:id="427"/>
    </w:p>
    <w:bookmarkEnd w:id="428"/>
    <w:p w14:paraId="2E7E72F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F1A2C1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承包人应当承担因其原因引起的环境污染侵权损害赔偿责任，因上述环境污染引起纠纷而导致暂停施工的，由此增加的费用和（或）延误的工期由承包人承担。</w:t>
      </w:r>
    </w:p>
    <w:p w14:paraId="1F6136E5">
      <w:pPr>
        <w:pStyle w:val="5"/>
        <w:tabs>
          <w:tab w:val="left" w:pos="900"/>
        </w:tabs>
        <w:rPr>
          <w:color w:val="auto"/>
        </w:rPr>
      </w:pPr>
      <w:bookmarkStart w:id="429" w:name="_Toc18416"/>
      <w:bookmarkStart w:id="430" w:name="_Toc351203542"/>
      <w:bookmarkStart w:id="431" w:name="_Toc14499"/>
      <w:bookmarkStart w:id="432" w:name="_Toc4203"/>
      <w:bookmarkStart w:id="433" w:name="_Toc525396176"/>
      <w:bookmarkStart w:id="434" w:name="_Toc26101"/>
      <w:r>
        <w:rPr>
          <w:color w:val="auto"/>
        </w:rPr>
        <w:t>7</w:t>
      </w:r>
      <w:bookmarkStart w:id="435" w:name="_Toc337558767"/>
      <w:r>
        <w:rPr>
          <w:color w:val="auto"/>
        </w:rPr>
        <w:t xml:space="preserve">. </w:t>
      </w:r>
      <w:r>
        <w:rPr>
          <w:rFonts w:hint="eastAsia"/>
          <w:color w:val="auto"/>
        </w:rPr>
        <w:t>工期和进度</w:t>
      </w:r>
      <w:bookmarkEnd w:id="429"/>
      <w:bookmarkEnd w:id="430"/>
      <w:bookmarkEnd w:id="431"/>
      <w:bookmarkEnd w:id="432"/>
      <w:bookmarkEnd w:id="433"/>
      <w:bookmarkEnd w:id="434"/>
    </w:p>
    <w:bookmarkEnd w:id="435"/>
    <w:p w14:paraId="33DC36BD">
      <w:pPr>
        <w:pStyle w:val="6"/>
        <w:tabs>
          <w:tab w:val="left" w:pos="2155"/>
        </w:tabs>
        <w:rPr>
          <w:color w:val="auto"/>
        </w:rPr>
      </w:pPr>
      <w:bookmarkStart w:id="436" w:name="_Toc351203543"/>
      <w:r>
        <w:rPr>
          <w:color w:val="auto"/>
        </w:rPr>
        <w:t>7</w:t>
      </w:r>
      <w:bookmarkStart w:id="437" w:name="_Toc337558768"/>
      <w:bookmarkStart w:id="438" w:name="_Toc296346567"/>
      <w:bookmarkStart w:id="439" w:name="_Toc296503066"/>
      <w:r>
        <w:rPr>
          <w:color w:val="auto"/>
        </w:rPr>
        <w:t>.1</w:t>
      </w:r>
      <w:r>
        <w:rPr>
          <w:rFonts w:hint="eastAsia"/>
          <w:color w:val="auto"/>
        </w:rPr>
        <w:t>施工组织设计</w:t>
      </w:r>
      <w:bookmarkEnd w:id="436"/>
    </w:p>
    <w:bookmarkEnd w:id="437"/>
    <w:p w14:paraId="23B4706B">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 xml:space="preserve">7.1.1 </w:t>
      </w:r>
      <w:r>
        <w:rPr>
          <w:rFonts w:hint="eastAsia" w:hAnsi="宋体"/>
          <w:color w:val="auto"/>
          <w:kern w:val="0"/>
          <w:szCs w:val="21"/>
        </w:rPr>
        <w:t>施工组织设计的内容</w:t>
      </w:r>
    </w:p>
    <w:p w14:paraId="15000F2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施工组织设计应包含以下内容：</w:t>
      </w:r>
    </w:p>
    <w:p w14:paraId="3992F16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）施工方案；</w:t>
      </w:r>
      <w:r>
        <w:rPr>
          <w:rFonts w:hAnsi="宋体"/>
          <w:color w:val="auto"/>
          <w:kern w:val="0"/>
          <w:szCs w:val="21"/>
        </w:rPr>
        <w:t xml:space="preserve"> </w:t>
      </w:r>
    </w:p>
    <w:p w14:paraId="3F5CC3F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）施工现场平面布置图；</w:t>
      </w:r>
    </w:p>
    <w:p w14:paraId="3A73BF0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）施工进度计划和保证措施；</w:t>
      </w:r>
      <w:r>
        <w:rPr>
          <w:rFonts w:hAnsi="宋体"/>
          <w:color w:val="auto"/>
          <w:kern w:val="0"/>
          <w:szCs w:val="21"/>
        </w:rPr>
        <w:t xml:space="preserve"> </w:t>
      </w:r>
    </w:p>
    <w:p w14:paraId="6652D04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）劳动力及材料供应计划；</w:t>
      </w:r>
    </w:p>
    <w:p w14:paraId="57FD969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）施工机械设备的选用；</w:t>
      </w:r>
    </w:p>
    <w:p w14:paraId="2536EA5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）质量保证体系及措施；</w:t>
      </w:r>
    </w:p>
    <w:p w14:paraId="7DF664E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）安全生产、文明施工措施；</w:t>
      </w:r>
    </w:p>
    <w:p w14:paraId="3FBC672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8</w:t>
      </w:r>
      <w:r>
        <w:rPr>
          <w:rFonts w:hint="eastAsia" w:hAnsi="宋体"/>
          <w:color w:val="auto"/>
          <w:kern w:val="0"/>
          <w:szCs w:val="21"/>
        </w:rPr>
        <w:t>）环境保护、成本控制措施；</w:t>
      </w:r>
    </w:p>
    <w:p w14:paraId="2C729F2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9</w:t>
      </w:r>
      <w:r>
        <w:rPr>
          <w:rFonts w:hint="eastAsia" w:hAnsi="宋体"/>
          <w:color w:val="auto"/>
          <w:kern w:val="0"/>
          <w:szCs w:val="21"/>
        </w:rPr>
        <w:t>）合同当事人约定的其他内容。</w:t>
      </w:r>
    </w:p>
    <w:p w14:paraId="6C18A338">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 xml:space="preserve">7.1.2 </w:t>
      </w:r>
      <w:r>
        <w:rPr>
          <w:rFonts w:hint="eastAsia" w:hAnsi="宋体"/>
          <w:color w:val="auto"/>
          <w:kern w:val="0"/>
          <w:szCs w:val="21"/>
        </w:rPr>
        <w:t>施工组织设计的提交和修改</w:t>
      </w:r>
    </w:p>
    <w:p w14:paraId="4F091E5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除专用合同条款另有约定外，承包人应在合同签订后</w:t>
      </w:r>
      <w:r>
        <w:rPr>
          <w:rFonts w:hAnsi="宋体"/>
          <w:color w:val="auto"/>
          <w:kern w:val="0"/>
          <w:szCs w:val="21"/>
        </w:rPr>
        <w:t>14</w:t>
      </w:r>
      <w:r>
        <w:rPr>
          <w:rFonts w:hint="eastAsia" w:hAnsi="宋体"/>
          <w:color w:val="auto"/>
          <w:kern w:val="0"/>
          <w:szCs w:val="21"/>
        </w:rPr>
        <w:t>天内，但至迟不得晚于第</w:t>
      </w:r>
      <w:r>
        <w:rPr>
          <w:rFonts w:hAnsi="宋体"/>
          <w:color w:val="auto"/>
          <w:kern w:val="0"/>
          <w:szCs w:val="21"/>
        </w:rPr>
        <w:t>7.3.2</w:t>
      </w:r>
      <w:r>
        <w:rPr>
          <w:rFonts w:hint="eastAsia" w:hAnsi="宋体"/>
          <w:color w:val="auto"/>
          <w:kern w:val="0"/>
          <w:szCs w:val="21"/>
        </w:rPr>
        <w:t>项〔开工通知〕载明的开工日期前</w:t>
      </w:r>
      <w:r>
        <w:rPr>
          <w:rFonts w:hAnsi="宋体"/>
          <w:color w:val="auto"/>
          <w:kern w:val="0"/>
          <w:szCs w:val="21"/>
        </w:rPr>
        <w:t>7</w:t>
      </w:r>
      <w:r>
        <w:rPr>
          <w:rFonts w:hint="eastAsia" w:hAnsi="宋体"/>
          <w:color w:val="auto"/>
          <w:kern w:val="0"/>
          <w:szCs w:val="21"/>
        </w:rPr>
        <w:t>天，向监理人提交详细的施工组织设计，并由监理人报送发包人。除专用合同条款另有约定外，发包人和监理人应在监理人收到施工组织设计后</w:t>
      </w:r>
      <w:r>
        <w:rPr>
          <w:rFonts w:hAnsi="宋体"/>
          <w:color w:val="auto"/>
          <w:kern w:val="0"/>
          <w:szCs w:val="21"/>
        </w:rPr>
        <w:t>7</w:t>
      </w:r>
      <w:r>
        <w:rPr>
          <w:rFonts w:hint="eastAsia" w:hAnsi="宋体"/>
          <w:color w:val="auto"/>
          <w:kern w:val="0"/>
          <w:szCs w:val="21"/>
        </w:rPr>
        <w:t>天内确认或提出修改意见。对发包人和监理人提出的合理意见和要求，承包人应自费修改完善。根据工程实际情况需要修改施工组织设计的，承包人应向发包人和监理人提交修改后的施工组织设计。</w:t>
      </w:r>
    </w:p>
    <w:p w14:paraId="21FADBC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施工进度计划的编制和修改按照第</w:t>
      </w:r>
      <w:r>
        <w:rPr>
          <w:rFonts w:hAnsi="宋体"/>
          <w:color w:val="auto"/>
          <w:kern w:val="0"/>
          <w:szCs w:val="21"/>
        </w:rPr>
        <w:t>7.2</w:t>
      </w:r>
      <w:r>
        <w:rPr>
          <w:rFonts w:hint="eastAsia" w:hAnsi="宋体"/>
          <w:color w:val="auto"/>
          <w:kern w:val="0"/>
          <w:szCs w:val="21"/>
        </w:rPr>
        <w:t>款〔施工进度计划〕执行。</w:t>
      </w:r>
    </w:p>
    <w:p w14:paraId="2C334741">
      <w:pPr>
        <w:pStyle w:val="6"/>
        <w:tabs>
          <w:tab w:val="left" w:pos="2155"/>
        </w:tabs>
        <w:rPr>
          <w:color w:val="auto"/>
        </w:rPr>
      </w:pPr>
      <w:bookmarkStart w:id="440" w:name="_Toc351203544"/>
      <w:r>
        <w:rPr>
          <w:color w:val="auto"/>
        </w:rPr>
        <w:t>7</w:t>
      </w:r>
      <w:bookmarkStart w:id="441" w:name="_Toc337558769"/>
      <w:r>
        <w:rPr>
          <w:color w:val="auto"/>
        </w:rPr>
        <w:t xml:space="preserve">.2 </w:t>
      </w:r>
      <w:r>
        <w:rPr>
          <w:rFonts w:hint="eastAsia"/>
          <w:color w:val="auto"/>
        </w:rPr>
        <w:t>施工进度计划</w:t>
      </w:r>
      <w:bookmarkEnd w:id="440"/>
    </w:p>
    <w:bookmarkEnd w:id="441"/>
    <w:p w14:paraId="0FD3CEB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7.2.1 </w:t>
      </w:r>
      <w:r>
        <w:rPr>
          <w:rFonts w:hint="eastAsia" w:hAnsi="宋体"/>
          <w:color w:val="auto"/>
          <w:kern w:val="0"/>
          <w:szCs w:val="21"/>
        </w:rPr>
        <w:t>施工进度计划的编制</w:t>
      </w:r>
    </w:p>
    <w:p w14:paraId="60E3E91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承包人应按照第</w:t>
      </w:r>
      <w:r>
        <w:rPr>
          <w:rFonts w:hAnsi="宋体"/>
          <w:color w:val="auto"/>
          <w:kern w:val="0"/>
          <w:szCs w:val="21"/>
        </w:rPr>
        <w:t>7.1</w:t>
      </w:r>
      <w:r>
        <w:rPr>
          <w:rFonts w:hint="eastAsia" w:hAnsi="宋体"/>
          <w:color w:val="auto"/>
          <w:kern w:val="0"/>
          <w:szCs w:val="21"/>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8489A93">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 xml:space="preserve">7.2.2 </w:t>
      </w:r>
      <w:r>
        <w:rPr>
          <w:rFonts w:hint="eastAsia" w:hAnsi="宋体"/>
          <w:color w:val="auto"/>
          <w:szCs w:val="21"/>
        </w:rPr>
        <w:t>施工进度计划的修订</w:t>
      </w:r>
    </w:p>
    <w:p w14:paraId="6DAA198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w:t>
      </w:r>
      <w:r>
        <w:rPr>
          <w:rFonts w:hAnsi="宋体"/>
          <w:color w:val="auto"/>
          <w:kern w:val="0"/>
          <w:szCs w:val="21"/>
        </w:rPr>
        <w:t>7</w:t>
      </w:r>
      <w:r>
        <w:rPr>
          <w:rFonts w:hint="eastAsia" w:hAnsi="宋体"/>
          <w:color w:val="auto"/>
          <w:kern w:val="0"/>
          <w:szCs w:val="21"/>
        </w:rPr>
        <w:t>天内完成审核和批准或提出修改意见。发包人和监理人对承包人提交的施工进度计划的确认，不能减轻或免除承包人根据法律规定和合同约定应承担的任何责任或义务。</w:t>
      </w:r>
    </w:p>
    <w:p w14:paraId="081D1E5E">
      <w:pPr>
        <w:pStyle w:val="6"/>
        <w:tabs>
          <w:tab w:val="left" w:pos="2155"/>
        </w:tabs>
        <w:rPr>
          <w:color w:val="auto"/>
        </w:rPr>
      </w:pPr>
      <w:bookmarkStart w:id="442" w:name="_Toc351203545"/>
      <w:r>
        <w:rPr>
          <w:color w:val="auto"/>
        </w:rPr>
        <w:t>7</w:t>
      </w:r>
      <w:bookmarkStart w:id="443" w:name="_Toc337558770"/>
      <w:r>
        <w:rPr>
          <w:color w:val="auto"/>
        </w:rPr>
        <w:t xml:space="preserve">.3 </w:t>
      </w:r>
      <w:r>
        <w:rPr>
          <w:rFonts w:hint="eastAsia" w:cs="宋体"/>
          <w:color w:val="auto"/>
        </w:rPr>
        <w:t>开工</w:t>
      </w:r>
      <w:bookmarkEnd w:id="442"/>
    </w:p>
    <w:p w14:paraId="5450649B">
      <w:pPr>
        <w:spacing w:line="360" w:lineRule="auto"/>
        <w:ind w:firstLine="420" w:firstLineChars="200"/>
        <w:rPr>
          <w:rFonts w:hAnsi="宋体"/>
          <w:color w:val="auto"/>
          <w:szCs w:val="21"/>
        </w:rPr>
      </w:pPr>
      <w:r>
        <w:rPr>
          <w:rFonts w:hAnsi="宋体"/>
          <w:color w:val="auto"/>
          <w:kern w:val="0"/>
          <w:szCs w:val="21"/>
        </w:rPr>
        <w:t xml:space="preserve">7.3.1 </w:t>
      </w:r>
      <w:r>
        <w:rPr>
          <w:rFonts w:hint="eastAsia" w:hAnsi="宋体"/>
          <w:color w:val="auto"/>
          <w:kern w:val="0"/>
          <w:szCs w:val="21"/>
        </w:rPr>
        <w:t>开工准备</w:t>
      </w:r>
    </w:p>
    <w:p w14:paraId="7D66512A">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除专用合同条款另有约定外，承包人应按照第</w:t>
      </w:r>
      <w:r>
        <w:rPr>
          <w:rFonts w:hAnsi="宋体"/>
          <w:color w:val="auto"/>
          <w:kern w:val="0"/>
          <w:szCs w:val="21"/>
        </w:rPr>
        <w:t>7.1</w:t>
      </w:r>
      <w:r>
        <w:rPr>
          <w:rFonts w:hint="eastAsia" w:hAnsi="宋体"/>
          <w:color w:val="auto"/>
          <w:kern w:val="0"/>
          <w:szCs w:val="21"/>
        </w:rPr>
        <w:t>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6A539A8">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除专用合同条款另有约定外，合同当事人应按约定完成开工准备工作。</w:t>
      </w:r>
    </w:p>
    <w:p w14:paraId="1FA17D52">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7.3.2 </w:t>
      </w:r>
      <w:r>
        <w:rPr>
          <w:rFonts w:hint="eastAsia" w:hAnsi="宋体"/>
          <w:color w:val="auto"/>
          <w:kern w:val="0"/>
          <w:szCs w:val="21"/>
        </w:rPr>
        <w:t>开工通知</w:t>
      </w:r>
    </w:p>
    <w:bookmarkEnd w:id="443"/>
    <w:p w14:paraId="7C785F9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发包人应按照法律规定获得工程施工所需的许可。经发包人同意后，监理人发出的开工通知应符合法律规定。监理人应在计划开工日期</w:t>
      </w:r>
      <w:r>
        <w:rPr>
          <w:rFonts w:hAnsi="宋体"/>
          <w:color w:val="auto"/>
          <w:kern w:val="0"/>
          <w:szCs w:val="21"/>
        </w:rPr>
        <w:t>7</w:t>
      </w:r>
      <w:r>
        <w:rPr>
          <w:rFonts w:hint="eastAsia" w:hAnsi="宋体"/>
          <w:color w:val="auto"/>
          <w:kern w:val="0"/>
          <w:szCs w:val="21"/>
        </w:rPr>
        <w:t>天前向承包人发出开工通知，工期自开工通知中载明的开工日期起算。</w:t>
      </w:r>
    </w:p>
    <w:p w14:paraId="6243779D">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除专用合同条款另有约定外，因发包人原因造成监理人未能在计划开工日期之日起</w:t>
      </w:r>
      <w:r>
        <w:rPr>
          <w:rFonts w:hAnsi="宋体"/>
          <w:color w:val="auto"/>
          <w:kern w:val="0"/>
          <w:szCs w:val="21"/>
        </w:rPr>
        <w:t>90</w:t>
      </w:r>
      <w:r>
        <w:rPr>
          <w:rFonts w:hint="eastAsia" w:hAnsi="宋体"/>
          <w:color w:val="auto"/>
          <w:kern w:val="0"/>
          <w:szCs w:val="21"/>
        </w:rPr>
        <w:t>天内发出开工通知的，承包人有权提出价格调整要求，或者解除合同。发包人应当承担由此增加的费用和（或）延误的工期，并向承包人支付合理利润。</w:t>
      </w:r>
    </w:p>
    <w:p w14:paraId="2CFF1716">
      <w:pPr>
        <w:pStyle w:val="6"/>
        <w:tabs>
          <w:tab w:val="left" w:pos="2155"/>
        </w:tabs>
        <w:rPr>
          <w:color w:val="auto"/>
        </w:rPr>
      </w:pPr>
      <w:bookmarkStart w:id="444" w:name="_Toc351203546"/>
      <w:r>
        <w:rPr>
          <w:color w:val="auto"/>
        </w:rPr>
        <w:t>7.4</w:t>
      </w:r>
      <w:r>
        <w:rPr>
          <w:rFonts w:hint="eastAsia" w:cs="宋体"/>
          <w:color w:val="auto"/>
        </w:rPr>
        <w:t>测量放线</w:t>
      </w:r>
      <w:bookmarkEnd w:id="444"/>
    </w:p>
    <w:p w14:paraId="31006819">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7.4.1 </w:t>
      </w:r>
      <w:r>
        <w:rPr>
          <w:rFonts w:hint="eastAsia" w:hAnsi="宋体"/>
          <w:color w:val="auto"/>
          <w:kern w:val="0"/>
          <w:szCs w:val="21"/>
        </w:rPr>
        <w:t>除专用合同条款另有约定外，发包人应在至迟不得晚于第</w:t>
      </w:r>
      <w:r>
        <w:rPr>
          <w:rFonts w:hAnsi="宋体"/>
          <w:color w:val="auto"/>
          <w:kern w:val="0"/>
          <w:szCs w:val="21"/>
        </w:rPr>
        <w:t>7.3.2</w:t>
      </w:r>
      <w:r>
        <w:rPr>
          <w:rFonts w:hint="eastAsia" w:hAnsi="宋体"/>
          <w:color w:val="auto"/>
          <w:kern w:val="0"/>
          <w:szCs w:val="21"/>
        </w:rPr>
        <w:t>项〔开工通知〕载明的开工日期前</w:t>
      </w:r>
      <w:r>
        <w:rPr>
          <w:rFonts w:hAnsi="宋体"/>
          <w:color w:val="auto"/>
          <w:kern w:val="0"/>
          <w:szCs w:val="21"/>
        </w:rPr>
        <w:t>7</w:t>
      </w:r>
      <w:r>
        <w:rPr>
          <w:rFonts w:hint="eastAsia" w:hAnsi="宋体"/>
          <w:color w:val="auto"/>
          <w:kern w:val="0"/>
          <w:szCs w:val="21"/>
        </w:rPr>
        <w:t>天通过监理人向承包人提供测量基准点、基准线和水准点及其书面资料。发包人应对其提供的测量基准点、基准线和水准点及其书面资料的真实性、准确性和完整性负责。</w:t>
      </w:r>
    </w:p>
    <w:p w14:paraId="63EE708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FD5CCF2">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7.4.2 </w:t>
      </w:r>
      <w:r>
        <w:rPr>
          <w:rFonts w:hint="eastAsia" w:hAnsi="宋体"/>
          <w:color w:val="auto"/>
          <w:kern w:val="0"/>
          <w:szCs w:val="21"/>
        </w:rPr>
        <w:t>承包人负责施工过程中的全部施工测量放线工作，并配置具有相应资质的人员、合格的仪器、设备和其他物品。承包人应矫正工程的位置、标高、尺寸或准线中出现的任何差错，并对工程各部分的定位负责。</w:t>
      </w:r>
    </w:p>
    <w:p w14:paraId="3AB4649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施工过程中对施工现场内水准点等测量标志物的保护工作由承包人负责。</w:t>
      </w:r>
      <w:bookmarkStart w:id="445" w:name="_Toc351203547"/>
    </w:p>
    <w:p w14:paraId="5AC09EA4">
      <w:pPr>
        <w:pStyle w:val="6"/>
        <w:tabs>
          <w:tab w:val="left" w:pos="2155"/>
        </w:tabs>
        <w:rPr>
          <w:color w:val="auto"/>
        </w:rPr>
      </w:pPr>
      <w:r>
        <w:rPr>
          <w:color w:val="auto"/>
        </w:rPr>
        <w:t>7</w:t>
      </w:r>
      <w:bookmarkEnd w:id="438"/>
      <w:bookmarkEnd w:id="439"/>
      <w:bookmarkStart w:id="446" w:name="_Toc296503073"/>
      <w:bookmarkStart w:id="447" w:name="_Toc337558772"/>
      <w:bookmarkStart w:id="448" w:name="_Toc296346574"/>
      <w:r>
        <w:rPr>
          <w:color w:val="auto"/>
        </w:rPr>
        <w:t xml:space="preserve">.5 </w:t>
      </w:r>
      <w:r>
        <w:rPr>
          <w:rFonts w:hint="eastAsia" w:cs="宋体"/>
          <w:color w:val="auto"/>
        </w:rPr>
        <w:t>工期延误</w:t>
      </w:r>
      <w:bookmarkEnd w:id="445"/>
    </w:p>
    <w:bookmarkEnd w:id="446"/>
    <w:bookmarkEnd w:id="447"/>
    <w:bookmarkEnd w:id="448"/>
    <w:p w14:paraId="2C36B03E">
      <w:pPr>
        <w:spacing w:line="360" w:lineRule="auto"/>
        <w:ind w:firstLine="420" w:firstLineChars="200"/>
        <w:jc w:val="left"/>
        <w:rPr>
          <w:rFonts w:hAnsi="宋体"/>
          <w:color w:val="auto"/>
          <w:kern w:val="0"/>
          <w:szCs w:val="21"/>
        </w:rPr>
      </w:pPr>
      <w:r>
        <w:rPr>
          <w:rFonts w:hAnsi="宋体"/>
          <w:color w:val="auto"/>
          <w:kern w:val="0"/>
          <w:szCs w:val="21"/>
        </w:rPr>
        <w:t xml:space="preserve">7.5.1 </w:t>
      </w:r>
      <w:r>
        <w:rPr>
          <w:rFonts w:hint="eastAsia" w:hAnsi="宋体"/>
          <w:color w:val="auto"/>
          <w:kern w:val="0"/>
          <w:szCs w:val="21"/>
        </w:rPr>
        <w:t>因发包人原因导致工期延误</w:t>
      </w:r>
    </w:p>
    <w:p w14:paraId="4942640B">
      <w:pPr>
        <w:spacing w:line="360" w:lineRule="auto"/>
        <w:ind w:firstLine="420" w:firstLineChars="200"/>
        <w:jc w:val="left"/>
        <w:rPr>
          <w:rFonts w:hAnsi="宋体"/>
          <w:color w:val="auto"/>
          <w:kern w:val="0"/>
          <w:szCs w:val="21"/>
        </w:rPr>
      </w:pPr>
      <w:r>
        <w:rPr>
          <w:rFonts w:hint="eastAsia" w:hAnsi="宋体"/>
          <w:color w:val="auto"/>
          <w:kern w:val="0"/>
          <w:szCs w:val="21"/>
        </w:rPr>
        <w:t>在合同履行过程中，因下列情况导致工期延误和（或）费用增加的，由发包人承担由此延误的工期和（或）增加的费用，且发包人应支付承包人合理的利润：</w:t>
      </w:r>
      <w:r>
        <w:rPr>
          <w:rFonts w:hAnsi="宋体"/>
          <w:color w:val="auto"/>
          <w:kern w:val="0"/>
          <w:szCs w:val="21"/>
        </w:rPr>
        <w:t xml:space="preserve"> </w:t>
      </w:r>
    </w:p>
    <w:p w14:paraId="5AF796F2">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）发包人未能按合同约定提供图纸或所提供图纸不符合合同约定的；</w:t>
      </w:r>
    </w:p>
    <w:p w14:paraId="7332198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）发包人未能按合同约定提供施工现场、施工条件、基础资料、许可、批准等开工条件的；</w:t>
      </w:r>
    </w:p>
    <w:p w14:paraId="44A621F9">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）发包人提供的测量基准点、基准线和水准点及其书面资料存在错误或疏漏的；</w:t>
      </w:r>
    </w:p>
    <w:p w14:paraId="490330D8">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）发包人未能在计划开工日期之日起</w:t>
      </w:r>
      <w:r>
        <w:rPr>
          <w:rFonts w:hAnsi="宋体"/>
          <w:color w:val="auto"/>
          <w:kern w:val="0"/>
          <w:szCs w:val="21"/>
        </w:rPr>
        <w:t>7</w:t>
      </w:r>
      <w:r>
        <w:rPr>
          <w:rFonts w:hint="eastAsia" w:hAnsi="宋体"/>
          <w:color w:val="auto"/>
          <w:kern w:val="0"/>
          <w:szCs w:val="21"/>
        </w:rPr>
        <w:t>天内同意下达开工通知的；</w:t>
      </w:r>
    </w:p>
    <w:p w14:paraId="5BE2D2C1">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）发包人未能按合同约定日期支付工程预付款、进度款或竣工结算款的；</w:t>
      </w:r>
    </w:p>
    <w:p w14:paraId="709E4AC8">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）监理人未按合同约定发出指示、批准等文件的；</w:t>
      </w:r>
    </w:p>
    <w:p w14:paraId="20448368">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）专用合同条款中约定的其他情形。</w:t>
      </w:r>
    </w:p>
    <w:p w14:paraId="0641A7FB">
      <w:pPr>
        <w:spacing w:line="360" w:lineRule="auto"/>
        <w:ind w:firstLine="420" w:firstLineChars="200"/>
        <w:jc w:val="left"/>
        <w:rPr>
          <w:rFonts w:hAnsi="宋体"/>
          <w:color w:val="auto"/>
          <w:kern w:val="0"/>
          <w:szCs w:val="21"/>
        </w:rPr>
      </w:pPr>
      <w:r>
        <w:rPr>
          <w:rFonts w:hint="eastAsia" w:hAnsi="宋体"/>
          <w:color w:val="auto"/>
          <w:kern w:val="0"/>
          <w:szCs w:val="21"/>
        </w:rPr>
        <w:t>因发包人原因未按计划开工日期开工的，发包人应按实际开工日期顺延竣工日期，确保实际工期不低于合同约定的工期总日历天数。因发包人原因导致工期延误需要修订施工进度计划的，按照第</w:t>
      </w:r>
      <w:r>
        <w:rPr>
          <w:rFonts w:hAnsi="宋体"/>
          <w:color w:val="auto"/>
          <w:kern w:val="0"/>
          <w:szCs w:val="21"/>
        </w:rPr>
        <w:t>7.2.2</w:t>
      </w:r>
      <w:r>
        <w:rPr>
          <w:rFonts w:hint="eastAsia" w:hAnsi="宋体"/>
          <w:color w:val="auto"/>
          <w:kern w:val="0"/>
          <w:szCs w:val="21"/>
        </w:rPr>
        <w:t>项〔施工进度计划的修订〕执行。</w:t>
      </w:r>
    </w:p>
    <w:p w14:paraId="4DA58207">
      <w:pPr>
        <w:autoSpaceDE w:val="0"/>
        <w:autoSpaceDN w:val="0"/>
        <w:adjustRightInd w:val="0"/>
        <w:spacing w:line="360" w:lineRule="auto"/>
        <w:ind w:firstLine="420" w:firstLineChars="200"/>
        <w:jc w:val="left"/>
        <w:rPr>
          <w:rFonts w:hAnsi="宋体"/>
          <w:color w:val="auto"/>
          <w:szCs w:val="21"/>
        </w:rPr>
      </w:pPr>
      <w:r>
        <w:rPr>
          <w:rFonts w:hAnsi="宋体"/>
          <w:color w:val="auto"/>
          <w:kern w:val="0"/>
          <w:szCs w:val="21"/>
        </w:rPr>
        <w:t xml:space="preserve">7.5.2 </w:t>
      </w:r>
      <w:r>
        <w:rPr>
          <w:rFonts w:hint="eastAsia" w:hAnsi="宋体"/>
          <w:color w:val="auto"/>
          <w:kern w:val="0"/>
          <w:szCs w:val="21"/>
        </w:rPr>
        <w:t>因承包人原因导致工期延误</w:t>
      </w:r>
    </w:p>
    <w:p w14:paraId="41844620">
      <w:pPr>
        <w:autoSpaceDE w:val="0"/>
        <w:autoSpaceDN w:val="0"/>
        <w:adjustRightInd w:val="0"/>
        <w:spacing w:line="360" w:lineRule="auto"/>
        <w:ind w:firstLine="420" w:firstLineChars="200"/>
        <w:jc w:val="left"/>
        <w:rPr>
          <w:rFonts w:hAnsi="宋体"/>
          <w:color w:val="auto"/>
          <w:kern w:val="0"/>
          <w:szCs w:val="21"/>
        </w:rPr>
      </w:pPr>
      <w:bookmarkStart w:id="449" w:name="_Toc296503076"/>
      <w:bookmarkStart w:id="450" w:name="_Toc296346577"/>
      <w:r>
        <w:rPr>
          <w:rFonts w:hint="eastAsia" w:hAnsi="宋体"/>
          <w:color w:val="auto"/>
          <w:kern w:val="0"/>
          <w:szCs w:val="21"/>
        </w:rPr>
        <w:t>因</w:t>
      </w:r>
      <w:bookmarkEnd w:id="449"/>
      <w:bookmarkEnd w:id="450"/>
      <w:r>
        <w:rPr>
          <w:rFonts w:hint="eastAsia" w:hAnsi="宋体"/>
          <w:color w:val="auto"/>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5A82FA11">
      <w:pPr>
        <w:pStyle w:val="6"/>
        <w:tabs>
          <w:tab w:val="left" w:pos="2155"/>
        </w:tabs>
        <w:rPr>
          <w:color w:val="auto"/>
        </w:rPr>
      </w:pPr>
      <w:bookmarkStart w:id="451" w:name="_Toc351203548"/>
      <w:r>
        <w:rPr>
          <w:color w:val="auto"/>
        </w:rPr>
        <w:t>7</w:t>
      </w:r>
      <w:bookmarkStart w:id="452" w:name="_Toc296503074"/>
      <w:bookmarkStart w:id="453" w:name="_Toc337558773"/>
      <w:bookmarkStart w:id="454" w:name="_Toc296346575"/>
      <w:bookmarkStart w:id="455" w:name="_Toc296503077"/>
      <w:bookmarkStart w:id="456" w:name="_Toc296346578"/>
      <w:r>
        <w:rPr>
          <w:color w:val="auto"/>
        </w:rPr>
        <w:t xml:space="preserve">.6 </w:t>
      </w:r>
      <w:r>
        <w:rPr>
          <w:rFonts w:hint="eastAsia"/>
          <w:color w:val="auto"/>
        </w:rPr>
        <w:t>不利物质条件</w:t>
      </w:r>
      <w:bookmarkEnd w:id="451"/>
    </w:p>
    <w:bookmarkEnd w:id="452"/>
    <w:bookmarkEnd w:id="453"/>
    <w:bookmarkEnd w:id="454"/>
    <w:p w14:paraId="559535A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6545E3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Pr>
          <w:rFonts w:hAnsi="宋体"/>
          <w:color w:val="auto"/>
          <w:kern w:val="0"/>
          <w:szCs w:val="21"/>
        </w:rPr>
        <w:t>10</w:t>
      </w:r>
      <w:r>
        <w:rPr>
          <w:rFonts w:hint="eastAsia" w:hAnsi="宋体"/>
          <w:color w:val="auto"/>
          <w:kern w:val="0"/>
          <w:szCs w:val="21"/>
        </w:rPr>
        <w:t>条〔变更〕约定执行。承包人因采取合理措施而增加的费用和（或）延误的工期由发包人承担。</w:t>
      </w:r>
    </w:p>
    <w:p w14:paraId="410EF6CB">
      <w:pPr>
        <w:pStyle w:val="6"/>
        <w:tabs>
          <w:tab w:val="left" w:pos="2155"/>
        </w:tabs>
        <w:rPr>
          <w:color w:val="auto"/>
        </w:rPr>
      </w:pPr>
      <w:bookmarkStart w:id="457" w:name="_Toc351203549"/>
      <w:r>
        <w:rPr>
          <w:color w:val="auto"/>
        </w:rPr>
        <w:t>7</w:t>
      </w:r>
      <w:bookmarkStart w:id="458" w:name="_Toc296346576"/>
      <w:bookmarkStart w:id="459" w:name="_Toc337558774"/>
      <w:bookmarkStart w:id="460" w:name="_Toc296503075"/>
      <w:r>
        <w:rPr>
          <w:color w:val="auto"/>
        </w:rPr>
        <w:t xml:space="preserve">.7 </w:t>
      </w:r>
      <w:r>
        <w:rPr>
          <w:rFonts w:hint="eastAsia"/>
          <w:color w:val="auto"/>
        </w:rPr>
        <w:t>异常恶劣的气候条件</w:t>
      </w:r>
      <w:bookmarkEnd w:id="457"/>
    </w:p>
    <w:bookmarkEnd w:id="458"/>
    <w:bookmarkEnd w:id="459"/>
    <w:bookmarkEnd w:id="460"/>
    <w:p w14:paraId="543A642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7F7A80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承包人应采取克服异常恶劣的气候条件的合理措施继续施工，并及时通知发包人和监理人。监理人经发包人同意后应当及时发出指示，指示构成变更的，按第</w:t>
      </w:r>
      <w:r>
        <w:rPr>
          <w:rFonts w:hAnsi="宋体"/>
          <w:color w:val="auto"/>
          <w:kern w:val="0"/>
          <w:szCs w:val="21"/>
        </w:rPr>
        <w:t>10</w:t>
      </w:r>
      <w:r>
        <w:rPr>
          <w:rFonts w:hint="eastAsia" w:hAnsi="宋体"/>
          <w:color w:val="auto"/>
          <w:kern w:val="0"/>
          <w:szCs w:val="21"/>
        </w:rPr>
        <w:t>条〔变更〕约定办理。承包人因采取合理措施而增加的费用和（或）延误的工期由发包人承担。</w:t>
      </w:r>
      <w:bookmarkStart w:id="461" w:name="_Toc351203550"/>
    </w:p>
    <w:p w14:paraId="352DF3A1">
      <w:pPr>
        <w:pStyle w:val="6"/>
        <w:tabs>
          <w:tab w:val="left" w:pos="2155"/>
        </w:tabs>
        <w:rPr>
          <w:color w:val="auto"/>
        </w:rPr>
      </w:pPr>
      <w:r>
        <w:rPr>
          <w:color w:val="auto"/>
        </w:rPr>
        <w:t>7</w:t>
      </w:r>
      <w:bookmarkStart w:id="462" w:name="_Toc337558775"/>
      <w:r>
        <w:rPr>
          <w:color w:val="auto"/>
        </w:rPr>
        <w:t xml:space="preserve">.8 </w:t>
      </w:r>
      <w:r>
        <w:rPr>
          <w:rFonts w:hint="eastAsia"/>
          <w:color w:val="auto"/>
        </w:rPr>
        <w:t>暂停施工</w:t>
      </w:r>
      <w:bookmarkEnd w:id="461"/>
    </w:p>
    <w:bookmarkEnd w:id="455"/>
    <w:bookmarkEnd w:id="456"/>
    <w:bookmarkEnd w:id="462"/>
    <w:p w14:paraId="261E7CE4">
      <w:pPr>
        <w:spacing w:line="360" w:lineRule="auto"/>
        <w:ind w:firstLine="420" w:firstLineChars="200"/>
        <w:jc w:val="left"/>
        <w:rPr>
          <w:rFonts w:hAnsi="宋体"/>
          <w:color w:val="auto"/>
          <w:kern w:val="0"/>
          <w:szCs w:val="21"/>
        </w:rPr>
      </w:pPr>
      <w:r>
        <w:rPr>
          <w:rFonts w:hAnsi="宋体"/>
          <w:color w:val="auto"/>
          <w:kern w:val="0"/>
          <w:szCs w:val="21"/>
        </w:rPr>
        <w:t>7.8.1</w:t>
      </w:r>
      <w:r>
        <w:rPr>
          <w:rFonts w:hint="eastAsia" w:hAnsi="宋体"/>
          <w:color w:val="auto"/>
          <w:kern w:val="0"/>
          <w:szCs w:val="21"/>
        </w:rPr>
        <w:t>发包人原因引起的暂停施工</w:t>
      </w:r>
    </w:p>
    <w:p w14:paraId="56C394F6">
      <w:pPr>
        <w:spacing w:line="360" w:lineRule="auto"/>
        <w:ind w:firstLine="420" w:firstLineChars="200"/>
        <w:jc w:val="left"/>
        <w:rPr>
          <w:rFonts w:hAnsi="宋体"/>
          <w:color w:val="auto"/>
          <w:kern w:val="0"/>
          <w:szCs w:val="21"/>
        </w:rPr>
      </w:pPr>
      <w:r>
        <w:rPr>
          <w:rFonts w:hint="eastAsia" w:hAnsi="宋体"/>
          <w:color w:val="auto"/>
          <w:kern w:val="0"/>
          <w:szCs w:val="21"/>
        </w:rPr>
        <w:t>因发包人原因引起暂停施工的，监理人经发包人同意后，应及时下达暂停施工指示。情况紧急且监理人未及时下达暂停施工指示的，按照第</w:t>
      </w:r>
      <w:r>
        <w:rPr>
          <w:rFonts w:hAnsi="宋体"/>
          <w:color w:val="auto"/>
          <w:kern w:val="0"/>
          <w:szCs w:val="21"/>
        </w:rPr>
        <w:t>7.8.4</w:t>
      </w:r>
      <w:r>
        <w:rPr>
          <w:rFonts w:hint="eastAsia" w:hAnsi="宋体"/>
          <w:color w:val="auto"/>
          <w:kern w:val="0"/>
          <w:szCs w:val="21"/>
        </w:rPr>
        <w:t>项〔紧急情况下的暂停施工〕执行。</w:t>
      </w:r>
    </w:p>
    <w:p w14:paraId="6282E752">
      <w:pPr>
        <w:spacing w:line="360" w:lineRule="auto"/>
        <w:ind w:firstLine="420" w:firstLineChars="200"/>
        <w:jc w:val="left"/>
        <w:rPr>
          <w:rFonts w:hAnsi="宋体"/>
          <w:color w:val="auto"/>
          <w:kern w:val="0"/>
          <w:szCs w:val="21"/>
        </w:rPr>
      </w:pPr>
      <w:r>
        <w:rPr>
          <w:rFonts w:hint="eastAsia" w:hAnsi="宋体"/>
          <w:color w:val="auto"/>
          <w:kern w:val="0"/>
          <w:szCs w:val="21"/>
        </w:rPr>
        <w:t>因发包人原因引起的暂停施工，发包人应承担由此增加的费用和（或）延误的工期，并支付承包人合理的利润。</w:t>
      </w:r>
    </w:p>
    <w:p w14:paraId="0DD594D0">
      <w:pPr>
        <w:spacing w:line="360" w:lineRule="auto"/>
        <w:ind w:firstLine="420" w:firstLineChars="200"/>
        <w:jc w:val="left"/>
        <w:rPr>
          <w:rFonts w:hAnsi="宋体"/>
          <w:color w:val="auto"/>
          <w:kern w:val="0"/>
          <w:szCs w:val="21"/>
        </w:rPr>
      </w:pPr>
      <w:r>
        <w:rPr>
          <w:rFonts w:hAnsi="宋体"/>
          <w:color w:val="auto"/>
          <w:kern w:val="0"/>
          <w:szCs w:val="21"/>
        </w:rPr>
        <w:t xml:space="preserve">7.8.2 </w:t>
      </w:r>
      <w:r>
        <w:rPr>
          <w:rFonts w:hint="eastAsia" w:hAnsi="宋体"/>
          <w:color w:val="auto"/>
          <w:kern w:val="0"/>
          <w:szCs w:val="21"/>
        </w:rPr>
        <w:t>承包人原因引起的暂停施工</w:t>
      </w:r>
    </w:p>
    <w:p w14:paraId="09AEAFD4">
      <w:pPr>
        <w:spacing w:line="360" w:lineRule="auto"/>
        <w:ind w:firstLine="420" w:firstLineChars="200"/>
        <w:jc w:val="left"/>
        <w:rPr>
          <w:rFonts w:hAnsi="宋体"/>
          <w:color w:val="auto"/>
          <w:kern w:val="0"/>
          <w:szCs w:val="21"/>
        </w:rPr>
      </w:pPr>
      <w:r>
        <w:rPr>
          <w:rFonts w:hint="eastAsia" w:hAnsi="宋体"/>
          <w:color w:val="auto"/>
          <w:kern w:val="0"/>
          <w:szCs w:val="21"/>
        </w:rPr>
        <w:t>因承包人原因引起的暂停施工，承包人应承担由此增加的费用和（或）延误的工期，且承包人在收到监理人复工指示后</w:t>
      </w:r>
      <w:r>
        <w:rPr>
          <w:rFonts w:hAnsi="宋体"/>
          <w:color w:val="auto"/>
          <w:kern w:val="0"/>
          <w:szCs w:val="21"/>
        </w:rPr>
        <w:t>84</w:t>
      </w:r>
      <w:r>
        <w:rPr>
          <w:rFonts w:hint="eastAsia" w:hAnsi="宋体"/>
          <w:color w:val="auto"/>
          <w:kern w:val="0"/>
          <w:szCs w:val="21"/>
        </w:rPr>
        <w:t>天内仍未复工的，视为第</w:t>
      </w:r>
      <w:r>
        <w:rPr>
          <w:rFonts w:hAnsi="宋体"/>
          <w:color w:val="auto"/>
          <w:kern w:val="0"/>
          <w:szCs w:val="21"/>
        </w:rPr>
        <w:t>16.2.1</w:t>
      </w:r>
      <w:r>
        <w:rPr>
          <w:rFonts w:hint="eastAsia" w:hAnsi="宋体"/>
          <w:color w:val="auto"/>
          <w:kern w:val="0"/>
          <w:szCs w:val="21"/>
        </w:rPr>
        <w:t>项〔承包人违约的情形〕第（</w:t>
      </w:r>
      <w:r>
        <w:rPr>
          <w:rFonts w:hAnsi="宋体"/>
          <w:color w:val="auto"/>
          <w:kern w:val="0"/>
          <w:szCs w:val="21"/>
        </w:rPr>
        <w:t>7</w:t>
      </w:r>
      <w:r>
        <w:rPr>
          <w:rFonts w:hint="eastAsia" w:hAnsi="宋体"/>
          <w:color w:val="auto"/>
          <w:kern w:val="0"/>
          <w:szCs w:val="21"/>
        </w:rPr>
        <w:t>）目约定的承包人无法继续履行合同的情形。</w:t>
      </w:r>
    </w:p>
    <w:p w14:paraId="0CCA20CF">
      <w:pPr>
        <w:spacing w:line="360" w:lineRule="auto"/>
        <w:ind w:firstLine="420" w:firstLineChars="200"/>
        <w:jc w:val="left"/>
        <w:rPr>
          <w:rFonts w:hAnsi="宋体"/>
          <w:color w:val="auto"/>
          <w:kern w:val="0"/>
          <w:szCs w:val="21"/>
        </w:rPr>
      </w:pPr>
      <w:r>
        <w:rPr>
          <w:rFonts w:hAnsi="宋体"/>
          <w:color w:val="auto"/>
          <w:kern w:val="0"/>
          <w:szCs w:val="21"/>
        </w:rPr>
        <w:t xml:space="preserve">7.8.3 </w:t>
      </w:r>
      <w:r>
        <w:rPr>
          <w:rFonts w:hint="eastAsia" w:hAnsi="宋体"/>
          <w:color w:val="auto"/>
          <w:kern w:val="0"/>
          <w:szCs w:val="21"/>
        </w:rPr>
        <w:t>指示暂停施工</w:t>
      </w:r>
    </w:p>
    <w:p w14:paraId="749DA0E5">
      <w:pPr>
        <w:spacing w:line="360" w:lineRule="auto"/>
        <w:ind w:firstLine="420" w:firstLineChars="200"/>
        <w:jc w:val="left"/>
        <w:rPr>
          <w:rFonts w:hAnsi="宋体"/>
          <w:color w:val="auto"/>
          <w:kern w:val="0"/>
          <w:szCs w:val="21"/>
        </w:rPr>
      </w:pPr>
      <w:r>
        <w:rPr>
          <w:rFonts w:hint="eastAsia" w:hAnsi="宋体"/>
          <w:color w:val="auto"/>
          <w:kern w:val="0"/>
          <w:szCs w:val="21"/>
        </w:rPr>
        <w:t>监理人认为有必要时，并经发包人批准后，可向承包人作出暂停施工的指示，承包人应按监理人指示暂停施工。</w:t>
      </w:r>
    </w:p>
    <w:p w14:paraId="6537B5B3">
      <w:pPr>
        <w:spacing w:line="360" w:lineRule="auto"/>
        <w:ind w:firstLine="420" w:firstLineChars="200"/>
        <w:jc w:val="left"/>
        <w:rPr>
          <w:rFonts w:hAnsi="宋体"/>
          <w:color w:val="auto"/>
          <w:kern w:val="0"/>
          <w:szCs w:val="21"/>
        </w:rPr>
      </w:pPr>
      <w:r>
        <w:rPr>
          <w:rFonts w:hAnsi="宋体"/>
          <w:color w:val="auto"/>
          <w:kern w:val="0"/>
          <w:szCs w:val="21"/>
        </w:rPr>
        <w:t xml:space="preserve">7.8.4 </w:t>
      </w:r>
      <w:r>
        <w:rPr>
          <w:rFonts w:hint="eastAsia" w:hAnsi="宋体"/>
          <w:color w:val="auto"/>
          <w:kern w:val="0"/>
          <w:szCs w:val="21"/>
        </w:rPr>
        <w:t>紧急情况下的暂停施工</w:t>
      </w:r>
    </w:p>
    <w:p w14:paraId="33B6E338">
      <w:pPr>
        <w:spacing w:line="360" w:lineRule="auto"/>
        <w:ind w:firstLine="420" w:firstLineChars="200"/>
        <w:jc w:val="left"/>
        <w:rPr>
          <w:rFonts w:hAnsi="宋体"/>
          <w:color w:val="auto"/>
          <w:kern w:val="0"/>
          <w:szCs w:val="21"/>
        </w:rPr>
      </w:pPr>
      <w:r>
        <w:rPr>
          <w:rFonts w:hint="eastAsia" w:hAnsi="宋体"/>
          <w:color w:val="auto"/>
          <w:kern w:val="0"/>
          <w:szCs w:val="21"/>
        </w:rPr>
        <w:t>因紧急情况需暂停施工，且监理人未及时下达暂停施工指示的，承包人可先暂停施工，并及时通知监理人。监理人应在接到通知后</w:t>
      </w:r>
      <w:r>
        <w:rPr>
          <w:rFonts w:hAnsi="宋体"/>
          <w:color w:val="auto"/>
          <w:kern w:val="0"/>
          <w:szCs w:val="21"/>
        </w:rPr>
        <w:t>24</w:t>
      </w:r>
      <w:r>
        <w:rPr>
          <w:rFonts w:hint="eastAsia" w:hAnsi="宋体"/>
          <w:color w:val="auto"/>
          <w:kern w:val="0"/>
          <w:szCs w:val="21"/>
        </w:rPr>
        <w:t>小时内发出指示，逾期未发出指示，视为同意承包人暂停施工。监理人不同意承包人暂停施工的，应说明理由，承包人对监理人的答复有异议，按照第</w:t>
      </w:r>
      <w:r>
        <w:rPr>
          <w:rFonts w:hAnsi="宋体"/>
          <w:color w:val="auto"/>
          <w:kern w:val="0"/>
          <w:szCs w:val="21"/>
        </w:rPr>
        <w:t>20</w:t>
      </w:r>
      <w:r>
        <w:rPr>
          <w:rFonts w:hint="eastAsia" w:hAnsi="宋体"/>
          <w:color w:val="auto"/>
          <w:kern w:val="0"/>
          <w:szCs w:val="21"/>
        </w:rPr>
        <w:t>条〔争议解决〕约定处理。</w:t>
      </w:r>
    </w:p>
    <w:p w14:paraId="634D9B5B">
      <w:pPr>
        <w:spacing w:line="360" w:lineRule="auto"/>
        <w:ind w:firstLine="420" w:firstLineChars="200"/>
        <w:jc w:val="left"/>
        <w:rPr>
          <w:rFonts w:hAnsi="宋体"/>
          <w:color w:val="auto"/>
          <w:kern w:val="0"/>
          <w:szCs w:val="21"/>
        </w:rPr>
      </w:pPr>
      <w:r>
        <w:rPr>
          <w:rFonts w:hAnsi="宋体"/>
          <w:color w:val="auto"/>
          <w:kern w:val="0"/>
          <w:szCs w:val="21"/>
        </w:rPr>
        <w:t xml:space="preserve">7.8.5 </w:t>
      </w:r>
      <w:r>
        <w:rPr>
          <w:rFonts w:hint="eastAsia" w:hAnsi="宋体"/>
          <w:color w:val="auto"/>
          <w:kern w:val="0"/>
          <w:szCs w:val="21"/>
        </w:rPr>
        <w:t>暂停施工后的复工</w:t>
      </w:r>
    </w:p>
    <w:p w14:paraId="5C585DBB">
      <w:pPr>
        <w:spacing w:line="360" w:lineRule="auto"/>
        <w:ind w:firstLine="420" w:firstLineChars="200"/>
        <w:jc w:val="left"/>
        <w:rPr>
          <w:rFonts w:hAnsi="宋体"/>
          <w:color w:val="auto"/>
          <w:kern w:val="0"/>
          <w:szCs w:val="21"/>
        </w:rPr>
      </w:pPr>
      <w:r>
        <w:rPr>
          <w:rFonts w:hint="eastAsia" w:hAnsi="宋体"/>
          <w:color w:val="auto"/>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6B43C56">
      <w:pPr>
        <w:spacing w:line="360" w:lineRule="auto"/>
        <w:ind w:firstLine="420" w:firstLineChars="200"/>
        <w:jc w:val="left"/>
        <w:rPr>
          <w:rFonts w:hAnsi="宋体"/>
          <w:color w:val="auto"/>
          <w:kern w:val="0"/>
          <w:szCs w:val="21"/>
        </w:rPr>
      </w:pPr>
      <w:r>
        <w:rPr>
          <w:rFonts w:hint="eastAsia" w:hAnsi="宋体"/>
          <w:color w:val="auto"/>
          <w:kern w:val="0"/>
          <w:szCs w:val="21"/>
        </w:rPr>
        <w:t>承包人无故拖延和拒绝复工的，承包人承担由此增加的费用和（或）延误的工期；因发包人原因无法按时复工的，按照第</w:t>
      </w:r>
      <w:r>
        <w:rPr>
          <w:rFonts w:hAnsi="宋体"/>
          <w:color w:val="auto"/>
          <w:kern w:val="0"/>
          <w:szCs w:val="21"/>
        </w:rPr>
        <w:t>7.5.1</w:t>
      </w:r>
      <w:r>
        <w:rPr>
          <w:rFonts w:hint="eastAsia" w:hAnsi="宋体"/>
          <w:color w:val="auto"/>
          <w:kern w:val="0"/>
          <w:szCs w:val="21"/>
        </w:rPr>
        <w:t>项〔因发包人原因导致工期延误〕约定办理。</w:t>
      </w:r>
    </w:p>
    <w:p w14:paraId="7401DA2B">
      <w:pPr>
        <w:spacing w:line="360" w:lineRule="auto"/>
        <w:ind w:firstLine="420" w:firstLineChars="200"/>
        <w:jc w:val="left"/>
        <w:rPr>
          <w:rFonts w:hAnsi="宋体"/>
          <w:color w:val="auto"/>
          <w:kern w:val="0"/>
          <w:szCs w:val="21"/>
        </w:rPr>
      </w:pPr>
      <w:r>
        <w:rPr>
          <w:rFonts w:hAnsi="宋体"/>
          <w:color w:val="auto"/>
          <w:kern w:val="0"/>
          <w:szCs w:val="21"/>
        </w:rPr>
        <w:t xml:space="preserve">7.8.6 </w:t>
      </w:r>
      <w:r>
        <w:rPr>
          <w:rFonts w:hint="eastAsia" w:hAnsi="宋体"/>
          <w:color w:val="auto"/>
          <w:kern w:val="0"/>
          <w:szCs w:val="21"/>
        </w:rPr>
        <w:t>暂停施工持续</w:t>
      </w:r>
      <w:r>
        <w:rPr>
          <w:rFonts w:hAnsi="宋体"/>
          <w:color w:val="auto"/>
          <w:kern w:val="0"/>
          <w:szCs w:val="21"/>
        </w:rPr>
        <w:t>56</w:t>
      </w:r>
      <w:r>
        <w:rPr>
          <w:rFonts w:hint="eastAsia" w:hAnsi="宋体"/>
          <w:color w:val="auto"/>
          <w:kern w:val="0"/>
          <w:szCs w:val="21"/>
        </w:rPr>
        <w:t>天以上</w:t>
      </w:r>
    </w:p>
    <w:p w14:paraId="4CE3AF8A">
      <w:pPr>
        <w:spacing w:line="360" w:lineRule="auto"/>
        <w:ind w:firstLine="409" w:firstLineChars="195"/>
        <w:jc w:val="left"/>
        <w:rPr>
          <w:rFonts w:hAnsi="宋体"/>
          <w:color w:val="auto"/>
          <w:kern w:val="0"/>
          <w:szCs w:val="21"/>
        </w:rPr>
      </w:pPr>
      <w:r>
        <w:rPr>
          <w:rFonts w:hint="eastAsia" w:hAnsi="宋体"/>
          <w:color w:val="auto"/>
          <w:kern w:val="0"/>
          <w:szCs w:val="21"/>
        </w:rPr>
        <w:t>监理人发出暂停施工指示后</w:t>
      </w:r>
      <w:r>
        <w:rPr>
          <w:rFonts w:hAnsi="宋体"/>
          <w:color w:val="auto"/>
          <w:kern w:val="0"/>
          <w:szCs w:val="21"/>
        </w:rPr>
        <w:t>56</w:t>
      </w:r>
      <w:r>
        <w:rPr>
          <w:rFonts w:hint="eastAsia" w:hAnsi="宋体"/>
          <w:color w:val="auto"/>
          <w:kern w:val="0"/>
          <w:szCs w:val="21"/>
        </w:rPr>
        <w:t>天内未向承包人发出复工通知，除该项停工属于第</w:t>
      </w:r>
      <w:r>
        <w:rPr>
          <w:rFonts w:hAnsi="宋体"/>
          <w:color w:val="auto"/>
          <w:kern w:val="0"/>
          <w:szCs w:val="21"/>
        </w:rPr>
        <w:t>7.8.2</w:t>
      </w:r>
      <w:r>
        <w:rPr>
          <w:rFonts w:hint="eastAsia" w:hAnsi="宋体"/>
          <w:color w:val="auto"/>
          <w:kern w:val="0"/>
          <w:szCs w:val="21"/>
        </w:rPr>
        <w:t>项〔承包人原因引起的暂停施工〕及第</w:t>
      </w:r>
      <w:r>
        <w:rPr>
          <w:rFonts w:hAnsi="宋体"/>
          <w:color w:val="auto"/>
          <w:kern w:val="0"/>
          <w:szCs w:val="21"/>
        </w:rPr>
        <w:t>17</w:t>
      </w:r>
      <w:r>
        <w:rPr>
          <w:rFonts w:hint="eastAsia" w:hAnsi="宋体"/>
          <w:color w:val="auto"/>
          <w:kern w:val="0"/>
          <w:szCs w:val="21"/>
        </w:rPr>
        <w:t>条〔不可抗力〕约定的情形外，承包人可向发包人提交书面通知，要求发包人在收到书面通知后</w:t>
      </w:r>
      <w:r>
        <w:rPr>
          <w:rFonts w:hAnsi="宋体"/>
          <w:color w:val="auto"/>
          <w:kern w:val="0"/>
          <w:szCs w:val="21"/>
        </w:rPr>
        <w:t>28</w:t>
      </w:r>
      <w:r>
        <w:rPr>
          <w:rFonts w:hint="eastAsia" w:hAnsi="宋体"/>
          <w:color w:val="auto"/>
          <w:kern w:val="0"/>
          <w:szCs w:val="21"/>
        </w:rPr>
        <w:t>天内准许已暂停施工的部分或全部工程继续施工。发包人逾期不予批准的，则承包人可以通知发包人，将工程受影响的部分视为按第</w:t>
      </w:r>
      <w:r>
        <w:rPr>
          <w:rFonts w:hAnsi="宋体"/>
          <w:color w:val="auto"/>
          <w:kern w:val="0"/>
          <w:szCs w:val="21"/>
        </w:rPr>
        <w:t>10.1</w:t>
      </w:r>
      <w:r>
        <w:rPr>
          <w:rFonts w:hint="eastAsia" w:hAnsi="宋体"/>
          <w:color w:val="auto"/>
          <w:kern w:val="0"/>
          <w:szCs w:val="21"/>
        </w:rPr>
        <w:t>款〔变更的范围〕第（</w:t>
      </w:r>
      <w:r>
        <w:rPr>
          <w:rFonts w:hAnsi="宋体"/>
          <w:color w:val="auto"/>
          <w:kern w:val="0"/>
          <w:szCs w:val="21"/>
        </w:rPr>
        <w:t>2</w:t>
      </w:r>
      <w:r>
        <w:rPr>
          <w:rFonts w:hint="eastAsia" w:hAnsi="宋体"/>
          <w:color w:val="auto"/>
          <w:kern w:val="0"/>
          <w:szCs w:val="21"/>
        </w:rPr>
        <w:t>）项的可取消工作。</w:t>
      </w:r>
    </w:p>
    <w:p w14:paraId="465C10CE">
      <w:pPr>
        <w:spacing w:line="360" w:lineRule="auto"/>
        <w:ind w:firstLine="409" w:firstLineChars="195"/>
        <w:jc w:val="left"/>
        <w:rPr>
          <w:rFonts w:hAnsi="宋体"/>
          <w:color w:val="auto"/>
          <w:kern w:val="0"/>
          <w:szCs w:val="21"/>
        </w:rPr>
      </w:pPr>
      <w:r>
        <w:rPr>
          <w:rFonts w:hint="eastAsia" w:hAnsi="宋体"/>
          <w:color w:val="auto"/>
          <w:kern w:val="0"/>
          <w:szCs w:val="21"/>
        </w:rPr>
        <w:t>暂停施工持续</w:t>
      </w:r>
      <w:r>
        <w:rPr>
          <w:rFonts w:hAnsi="宋体"/>
          <w:color w:val="auto"/>
          <w:kern w:val="0"/>
          <w:szCs w:val="21"/>
        </w:rPr>
        <w:t>84</w:t>
      </w:r>
      <w:r>
        <w:rPr>
          <w:rFonts w:hint="eastAsia" w:hAnsi="宋体"/>
          <w:color w:val="auto"/>
          <w:kern w:val="0"/>
          <w:szCs w:val="21"/>
        </w:rPr>
        <w:t>天以上不复工的，且不属于第</w:t>
      </w:r>
      <w:r>
        <w:rPr>
          <w:rFonts w:hAnsi="宋体"/>
          <w:color w:val="auto"/>
          <w:kern w:val="0"/>
          <w:szCs w:val="21"/>
        </w:rPr>
        <w:t>7.8.2</w:t>
      </w:r>
      <w:r>
        <w:rPr>
          <w:rFonts w:hint="eastAsia" w:hAnsi="宋体"/>
          <w:color w:val="auto"/>
          <w:kern w:val="0"/>
          <w:szCs w:val="21"/>
        </w:rPr>
        <w:t>项〔承包人原因引起的暂停施工〕及第</w:t>
      </w:r>
      <w:r>
        <w:rPr>
          <w:rFonts w:hAnsi="宋体"/>
          <w:color w:val="auto"/>
          <w:kern w:val="0"/>
          <w:szCs w:val="21"/>
        </w:rPr>
        <w:t>17</w:t>
      </w:r>
      <w:r>
        <w:rPr>
          <w:rFonts w:hint="eastAsia" w:hAnsi="宋体"/>
          <w:color w:val="auto"/>
          <w:kern w:val="0"/>
          <w:szCs w:val="21"/>
        </w:rPr>
        <w:t>条〔不可抗力〕约定的情形，并影响到整个工程以及合同目的实现的，承包人有权提出价格调整要求，或者解除合同。解除合同的，按照第</w:t>
      </w:r>
      <w:r>
        <w:rPr>
          <w:rFonts w:hAnsi="宋体"/>
          <w:color w:val="auto"/>
          <w:kern w:val="0"/>
          <w:szCs w:val="21"/>
        </w:rPr>
        <w:t>16.1.3</w:t>
      </w:r>
      <w:r>
        <w:rPr>
          <w:rFonts w:hint="eastAsia" w:hAnsi="宋体"/>
          <w:color w:val="auto"/>
          <w:kern w:val="0"/>
          <w:szCs w:val="21"/>
        </w:rPr>
        <w:t>项〔因发包人违约解除合同〕执行。</w:t>
      </w:r>
    </w:p>
    <w:p w14:paraId="54E96748">
      <w:pPr>
        <w:spacing w:line="360" w:lineRule="auto"/>
        <w:ind w:left="16" w:firstLine="409" w:firstLineChars="195"/>
        <w:jc w:val="left"/>
        <w:rPr>
          <w:rFonts w:hAnsi="宋体"/>
          <w:color w:val="auto"/>
          <w:kern w:val="0"/>
          <w:szCs w:val="21"/>
        </w:rPr>
      </w:pPr>
      <w:r>
        <w:rPr>
          <w:rFonts w:hAnsi="宋体"/>
          <w:color w:val="auto"/>
          <w:kern w:val="0"/>
          <w:szCs w:val="21"/>
        </w:rPr>
        <w:t xml:space="preserve">7.8.7 </w:t>
      </w:r>
      <w:r>
        <w:rPr>
          <w:rFonts w:hint="eastAsia" w:hAnsi="宋体"/>
          <w:color w:val="auto"/>
          <w:kern w:val="0"/>
          <w:szCs w:val="21"/>
        </w:rPr>
        <w:t>暂停施工期间的工程照管</w:t>
      </w:r>
    </w:p>
    <w:p w14:paraId="292A0C51">
      <w:pPr>
        <w:spacing w:line="360" w:lineRule="auto"/>
        <w:ind w:firstLine="420" w:firstLineChars="200"/>
        <w:jc w:val="left"/>
        <w:rPr>
          <w:rFonts w:hAnsi="宋体"/>
          <w:color w:val="auto"/>
          <w:kern w:val="0"/>
          <w:szCs w:val="21"/>
        </w:rPr>
      </w:pPr>
      <w:r>
        <w:rPr>
          <w:rFonts w:hint="eastAsia" w:hAnsi="宋体"/>
          <w:color w:val="auto"/>
          <w:kern w:val="0"/>
          <w:szCs w:val="21"/>
        </w:rPr>
        <w:t>暂停施工期间，承包人应负责妥善照管工程并提供安全保障，由此增加的费用由责任方承担。</w:t>
      </w:r>
    </w:p>
    <w:p w14:paraId="17EB746F">
      <w:pPr>
        <w:spacing w:line="360" w:lineRule="auto"/>
        <w:ind w:firstLine="420" w:firstLineChars="200"/>
        <w:jc w:val="left"/>
        <w:rPr>
          <w:rFonts w:hAnsi="宋体"/>
          <w:color w:val="auto"/>
          <w:kern w:val="0"/>
          <w:szCs w:val="21"/>
        </w:rPr>
      </w:pPr>
      <w:r>
        <w:rPr>
          <w:rFonts w:hAnsi="宋体"/>
          <w:color w:val="auto"/>
          <w:kern w:val="0"/>
          <w:szCs w:val="21"/>
        </w:rPr>
        <w:t xml:space="preserve">7.8.8 </w:t>
      </w:r>
      <w:r>
        <w:rPr>
          <w:rFonts w:hint="eastAsia" w:hAnsi="宋体"/>
          <w:color w:val="auto"/>
          <w:kern w:val="0"/>
          <w:szCs w:val="21"/>
        </w:rPr>
        <w:t>暂停施工的措施</w:t>
      </w:r>
    </w:p>
    <w:p w14:paraId="0AF53131">
      <w:pPr>
        <w:spacing w:line="360" w:lineRule="auto"/>
        <w:ind w:firstLine="420" w:firstLineChars="200"/>
        <w:jc w:val="left"/>
        <w:rPr>
          <w:rFonts w:hAnsi="宋体"/>
          <w:color w:val="auto"/>
          <w:kern w:val="0"/>
          <w:szCs w:val="21"/>
        </w:rPr>
      </w:pPr>
      <w:r>
        <w:rPr>
          <w:rFonts w:hint="eastAsia" w:hAnsi="宋体"/>
          <w:color w:val="auto"/>
          <w:kern w:val="0"/>
          <w:szCs w:val="21"/>
        </w:rPr>
        <w:t>暂停施工期间，发包人和承包人均应采取必要的措施确保工程质量及安全，防止因暂停施工扩大损失。</w:t>
      </w:r>
    </w:p>
    <w:p w14:paraId="5468642D">
      <w:pPr>
        <w:pStyle w:val="6"/>
        <w:tabs>
          <w:tab w:val="left" w:pos="2155"/>
        </w:tabs>
        <w:rPr>
          <w:color w:val="auto"/>
        </w:rPr>
      </w:pPr>
      <w:bookmarkStart w:id="463" w:name="_Toc351203551"/>
      <w:r>
        <w:rPr>
          <w:color w:val="auto"/>
        </w:rPr>
        <w:t>7.9</w:t>
      </w:r>
      <w:r>
        <w:rPr>
          <w:rFonts w:hint="eastAsia" w:cs="宋体"/>
          <w:color w:val="auto"/>
        </w:rPr>
        <w:t>提前竣工</w:t>
      </w:r>
      <w:bookmarkEnd w:id="463"/>
    </w:p>
    <w:p w14:paraId="607D4749">
      <w:pPr>
        <w:spacing w:line="360" w:lineRule="auto"/>
        <w:ind w:firstLine="420" w:firstLineChars="200"/>
        <w:jc w:val="left"/>
        <w:rPr>
          <w:rFonts w:hAnsi="宋体"/>
          <w:color w:val="auto"/>
          <w:kern w:val="0"/>
          <w:szCs w:val="21"/>
        </w:rPr>
      </w:pPr>
      <w:r>
        <w:rPr>
          <w:rFonts w:hAnsi="宋体"/>
          <w:color w:val="auto"/>
          <w:kern w:val="0"/>
          <w:szCs w:val="21"/>
        </w:rPr>
        <w:t xml:space="preserve">7.9.1 </w:t>
      </w:r>
      <w:r>
        <w:rPr>
          <w:rFonts w:hint="eastAsia" w:hAnsi="宋体"/>
          <w:color w:val="auto"/>
          <w:kern w:val="0"/>
          <w:szCs w:val="21"/>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w:t>
      </w:r>
      <w:r>
        <w:rPr>
          <w:rFonts w:hAnsi="宋体"/>
          <w:color w:val="auto"/>
          <w:kern w:val="0"/>
          <w:szCs w:val="21"/>
        </w:rPr>
        <w:t>7</w:t>
      </w:r>
      <w:r>
        <w:rPr>
          <w:rFonts w:hint="eastAsia" w:hAnsi="宋体"/>
          <w:color w:val="auto"/>
          <w:kern w:val="0"/>
          <w:szCs w:val="21"/>
        </w:rPr>
        <w:t>天内予以答复。任何情况下，发包人不得压缩合理工期。</w:t>
      </w:r>
    </w:p>
    <w:p w14:paraId="15AA320A">
      <w:pPr>
        <w:spacing w:line="360" w:lineRule="auto"/>
        <w:ind w:firstLine="420" w:firstLineChars="200"/>
        <w:jc w:val="left"/>
        <w:rPr>
          <w:rFonts w:hAnsi="宋体"/>
          <w:color w:val="auto"/>
          <w:kern w:val="0"/>
          <w:szCs w:val="21"/>
        </w:rPr>
      </w:pPr>
      <w:r>
        <w:rPr>
          <w:rFonts w:hAnsi="宋体"/>
          <w:color w:val="auto"/>
          <w:kern w:val="0"/>
          <w:szCs w:val="21"/>
        </w:rPr>
        <w:t xml:space="preserve">7.9.2 </w:t>
      </w:r>
      <w:r>
        <w:rPr>
          <w:rFonts w:hint="eastAsia" w:hAnsi="宋体"/>
          <w:color w:val="auto"/>
          <w:kern w:val="0"/>
          <w:szCs w:val="21"/>
        </w:rPr>
        <w:t>发包人要求承包人提前竣工，或承包人提出提前竣工的建议能够给发包人带来效益的，合同当事人可以在专用合同条款中约定提前竣工的奖励。</w:t>
      </w:r>
    </w:p>
    <w:p w14:paraId="7680A5CA">
      <w:pPr>
        <w:pStyle w:val="5"/>
        <w:tabs>
          <w:tab w:val="left" w:pos="900"/>
        </w:tabs>
        <w:rPr>
          <w:color w:val="auto"/>
        </w:rPr>
      </w:pPr>
      <w:bookmarkStart w:id="464" w:name="_Toc11776"/>
      <w:bookmarkStart w:id="465" w:name="_Toc23491"/>
      <w:bookmarkStart w:id="466" w:name="_Toc525396177"/>
      <w:bookmarkStart w:id="467" w:name="_Toc18684"/>
      <w:bookmarkStart w:id="468" w:name="_Toc351203552"/>
      <w:bookmarkStart w:id="469" w:name="_Toc12464"/>
      <w:r>
        <w:rPr>
          <w:color w:val="auto"/>
        </w:rPr>
        <w:t>8</w:t>
      </w:r>
      <w:bookmarkStart w:id="470" w:name="_Toc296503058"/>
      <w:bookmarkStart w:id="471" w:name="_Toc337558776"/>
      <w:bookmarkStart w:id="472" w:name="_Toc296346559"/>
      <w:r>
        <w:rPr>
          <w:color w:val="auto"/>
        </w:rPr>
        <w:t xml:space="preserve">. </w:t>
      </w:r>
      <w:r>
        <w:rPr>
          <w:rFonts w:hint="eastAsia"/>
          <w:color w:val="auto"/>
        </w:rPr>
        <w:t>材料与设备</w:t>
      </w:r>
      <w:bookmarkEnd w:id="464"/>
      <w:bookmarkEnd w:id="465"/>
      <w:bookmarkEnd w:id="466"/>
      <w:bookmarkEnd w:id="467"/>
      <w:bookmarkEnd w:id="468"/>
      <w:bookmarkEnd w:id="469"/>
    </w:p>
    <w:bookmarkEnd w:id="470"/>
    <w:bookmarkEnd w:id="471"/>
    <w:bookmarkEnd w:id="472"/>
    <w:p w14:paraId="27DE7FA0">
      <w:pPr>
        <w:pStyle w:val="6"/>
        <w:tabs>
          <w:tab w:val="left" w:pos="2155"/>
        </w:tabs>
        <w:rPr>
          <w:color w:val="auto"/>
        </w:rPr>
      </w:pPr>
      <w:bookmarkStart w:id="473" w:name="_Toc351203553"/>
      <w:r>
        <w:rPr>
          <w:color w:val="auto"/>
        </w:rPr>
        <w:t>8</w:t>
      </w:r>
      <w:bookmarkStart w:id="474" w:name="_Toc296503059"/>
      <w:bookmarkStart w:id="475" w:name="_Toc337558777"/>
      <w:bookmarkStart w:id="476" w:name="_Toc296346560"/>
      <w:bookmarkStart w:id="477" w:name="_Toc468936960"/>
      <w:r>
        <w:rPr>
          <w:color w:val="auto"/>
        </w:rPr>
        <w:t>.1</w:t>
      </w:r>
      <w:r>
        <w:rPr>
          <w:rFonts w:hint="eastAsia"/>
          <w:color w:val="auto"/>
        </w:rPr>
        <w:t>发包人供应材料与工程设备</w:t>
      </w:r>
      <w:bookmarkEnd w:id="473"/>
    </w:p>
    <w:bookmarkEnd w:id="474"/>
    <w:bookmarkEnd w:id="475"/>
    <w:bookmarkEnd w:id="476"/>
    <w:p w14:paraId="768CB3E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发包人自行供应材料、工程设备的，应在签订合同时在专用合同条款的附件《发包人供应材料设备一览表》中明确材料、工程设备的品种、规格、型号、数量、单价、质量等级和送达地点。</w:t>
      </w:r>
    </w:p>
    <w:p w14:paraId="4895FDF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承包人应提前</w:t>
      </w:r>
      <w:r>
        <w:rPr>
          <w:rFonts w:hAnsi="宋体"/>
          <w:color w:val="auto"/>
          <w:kern w:val="0"/>
          <w:szCs w:val="21"/>
        </w:rPr>
        <w:t>30</w:t>
      </w:r>
      <w:r>
        <w:rPr>
          <w:rFonts w:hint="eastAsia" w:hAnsi="宋体"/>
          <w:color w:val="auto"/>
          <w:kern w:val="0"/>
          <w:szCs w:val="21"/>
        </w:rPr>
        <w:t>天通过监理人以书面形式通知发包人供应材料与工程设备进场。承包人按照第</w:t>
      </w:r>
      <w:r>
        <w:rPr>
          <w:rFonts w:hAnsi="宋体"/>
          <w:color w:val="auto"/>
          <w:kern w:val="0"/>
          <w:szCs w:val="21"/>
        </w:rPr>
        <w:t>7.2.2</w:t>
      </w:r>
      <w:r>
        <w:rPr>
          <w:rFonts w:hint="eastAsia" w:hAnsi="宋体"/>
          <w:color w:val="auto"/>
          <w:kern w:val="0"/>
          <w:szCs w:val="21"/>
        </w:rPr>
        <w:t>项〔施工进度计划的修订〕约定修订施工进度计划时，需同时提交经修订后的发包人供应材料与工程设备的进场计划。</w:t>
      </w:r>
    </w:p>
    <w:p w14:paraId="4A047DA8">
      <w:pPr>
        <w:pStyle w:val="6"/>
        <w:tabs>
          <w:tab w:val="left" w:pos="2155"/>
        </w:tabs>
        <w:rPr>
          <w:color w:val="auto"/>
        </w:rPr>
      </w:pPr>
      <w:bookmarkStart w:id="478" w:name="_Toc351203554"/>
      <w:r>
        <w:rPr>
          <w:color w:val="auto"/>
        </w:rPr>
        <w:t>8</w:t>
      </w:r>
      <w:bookmarkStart w:id="479" w:name="_Toc337558778"/>
      <w:bookmarkStart w:id="480" w:name="_Toc296346561"/>
      <w:bookmarkStart w:id="481" w:name="_Toc296503060"/>
      <w:r>
        <w:rPr>
          <w:color w:val="auto"/>
        </w:rPr>
        <w:t>.2</w:t>
      </w:r>
      <w:r>
        <w:rPr>
          <w:rFonts w:hint="eastAsia"/>
          <w:color w:val="auto"/>
        </w:rPr>
        <w:t>承包人采购材料与工程设备</w:t>
      </w:r>
      <w:bookmarkEnd w:id="478"/>
    </w:p>
    <w:bookmarkEnd w:id="479"/>
    <w:bookmarkEnd w:id="480"/>
    <w:bookmarkEnd w:id="481"/>
    <w:p w14:paraId="773746A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2CF445E">
      <w:pPr>
        <w:pStyle w:val="6"/>
        <w:tabs>
          <w:tab w:val="left" w:pos="2155"/>
        </w:tabs>
        <w:rPr>
          <w:color w:val="auto"/>
        </w:rPr>
      </w:pPr>
      <w:bookmarkStart w:id="482" w:name="_Toc351203555"/>
      <w:r>
        <w:rPr>
          <w:color w:val="auto"/>
        </w:rPr>
        <w:t>8</w:t>
      </w:r>
      <w:bookmarkStart w:id="483" w:name="_Toc296503061"/>
      <w:bookmarkStart w:id="484" w:name="_Toc337558779"/>
      <w:bookmarkStart w:id="485" w:name="_Toc296346562"/>
      <w:r>
        <w:rPr>
          <w:color w:val="auto"/>
        </w:rPr>
        <w:t>.3</w:t>
      </w:r>
      <w:r>
        <w:rPr>
          <w:rFonts w:hint="eastAsia"/>
          <w:color w:val="auto"/>
        </w:rPr>
        <w:t>材料与工程设备的接收与拒收</w:t>
      </w:r>
      <w:bookmarkEnd w:id="482"/>
    </w:p>
    <w:bookmarkEnd w:id="483"/>
    <w:bookmarkEnd w:id="484"/>
    <w:bookmarkEnd w:id="485"/>
    <w:p w14:paraId="473C29C2">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8.3.1 </w:t>
      </w:r>
      <w:r>
        <w:rPr>
          <w:rFonts w:hint="eastAsia" w:hAnsi="宋体"/>
          <w:color w:val="auto"/>
          <w:kern w:val="0"/>
          <w:szCs w:val="21"/>
        </w:rPr>
        <w:t>发包人应按《发包人供应材料设备一览表》约定的内容提供材料和工程设备，并向承包人提供产品合格证明及出厂证明，对其质量负责。发包人应提前</w:t>
      </w:r>
      <w:r>
        <w:rPr>
          <w:rFonts w:hAnsi="宋体"/>
          <w:color w:val="auto"/>
          <w:kern w:val="0"/>
          <w:szCs w:val="21"/>
        </w:rPr>
        <w:t>24</w:t>
      </w:r>
      <w:r>
        <w:rPr>
          <w:rFonts w:hint="eastAsia" w:hAnsi="宋体"/>
          <w:color w:val="auto"/>
          <w:kern w:val="0"/>
          <w:szCs w:val="21"/>
        </w:rPr>
        <w:t>小时以书面形式通知承包人、监理人材料和工程设备到货时间，承包人负责材料和工程设备的清点、检验和接收。</w:t>
      </w:r>
    </w:p>
    <w:p w14:paraId="1EE24DA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发包人提供的材料和工程设备的规格、数量或质量不符合合同约定的，或因发包人原因导致交货日期延误或交货地点变更等情况的，按照第</w:t>
      </w:r>
      <w:r>
        <w:rPr>
          <w:rFonts w:hAnsi="宋体"/>
          <w:color w:val="auto"/>
          <w:kern w:val="0"/>
          <w:szCs w:val="21"/>
        </w:rPr>
        <w:t>16.1</w:t>
      </w:r>
      <w:r>
        <w:rPr>
          <w:rFonts w:hint="eastAsia" w:hAnsi="宋体"/>
          <w:color w:val="auto"/>
          <w:kern w:val="0"/>
          <w:szCs w:val="21"/>
        </w:rPr>
        <w:t>款〔发包人违约〕约定办理。</w:t>
      </w:r>
    </w:p>
    <w:p w14:paraId="2BDAEAF0">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8.3.2 </w:t>
      </w:r>
      <w:r>
        <w:rPr>
          <w:rFonts w:hint="eastAsia" w:hAnsi="宋体"/>
          <w:color w:val="auto"/>
          <w:kern w:val="0"/>
          <w:szCs w:val="21"/>
        </w:rPr>
        <w:t>承包人采购的材料和工程设备，应保证产品质量合格，承包人应在材料和工程设备到货前</w:t>
      </w:r>
      <w:r>
        <w:rPr>
          <w:rFonts w:hAnsi="宋体"/>
          <w:color w:val="auto"/>
          <w:kern w:val="0"/>
          <w:szCs w:val="21"/>
        </w:rPr>
        <w:t>24</w:t>
      </w:r>
      <w:r>
        <w:rPr>
          <w:rFonts w:hint="eastAsia" w:hAnsi="宋体"/>
          <w:color w:val="auto"/>
          <w:kern w:val="0"/>
          <w:szCs w:val="21"/>
        </w:rPr>
        <w:t>小时通知监理人检验。承</w:t>
      </w:r>
      <w:bookmarkStart w:id="486" w:name="_Toc250655469"/>
      <w:r>
        <w:rPr>
          <w:rFonts w:hint="eastAsia" w:hAnsi="宋体"/>
          <w:color w:val="auto"/>
          <w:kern w:val="0"/>
          <w:szCs w:val="21"/>
        </w:rPr>
        <w:t>包人进行永久设备、材料的制造和生产的，应符合相关质量标准，并向监理人提交材料的样本以及有关资料，并应在使用该材料或工程设备之前获得监理人同意。</w:t>
      </w:r>
    </w:p>
    <w:bookmarkEnd w:id="486"/>
    <w:p w14:paraId="62A6EF55">
      <w:pPr>
        <w:autoSpaceDE w:val="0"/>
        <w:autoSpaceDN w:val="0"/>
        <w:adjustRightInd w:val="0"/>
        <w:spacing w:line="360" w:lineRule="auto"/>
        <w:ind w:firstLine="315" w:firstLineChars="150"/>
        <w:jc w:val="left"/>
        <w:rPr>
          <w:rFonts w:hAnsi="宋体"/>
          <w:color w:val="auto"/>
          <w:kern w:val="0"/>
          <w:szCs w:val="21"/>
        </w:rPr>
      </w:pPr>
      <w:r>
        <w:rPr>
          <w:rFonts w:hAnsi="宋体"/>
          <w:color w:val="auto"/>
          <w:kern w:val="0"/>
          <w:szCs w:val="21"/>
        </w:rPr>
        <w:t xml:space="preserve"> </w:t>
      </w:r>
      <w:r>
        <w:rPr>
          <w:rFonts w:hint="eastAsia" w:hAnsi="宋体"/>
          <w:color w:val="auto"/>
          <w:kern w:val="0"/>
          <w:szCs w:val="21"/>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F50C911">
      <w:pPr>
        <w:pStyle w:val="6"/>
        <w:tabs>
          <w:tab w:val="left" w:pos="2155"/>
        </w:tabs>
        <w:rPr>
          <w:color w:val="auto"/>
        </w:rPr>
      </w:pPr>
      <w:bookmarkStart w:id="487" w:name="_Toc351203556"/>
      <w:r>
        <w:rPr>
          <w:color w:val="auto"/>
        </w:rPr>
        <w:t>8</w:t>
      </w:r>
      <w:bookmarkStart w:id="488" w:name="_Toc296346563"/>
      <w:bookmarkStart w:id="489" w:name="_Toc337558780"/>
      <w:bookmarkStart w:id="490" w:name="_Toc296503062"/>
      <w:r>
        <w:rPr>
          <w:color w:val="auto"/>
        </w:rPr>
        <w:t>.4</w:t>
      </w:r>
      <w:r>
        <w:rPr>
          <w:rFonts w:hint="eastAsia"/>
          <w:color w:val="auto"/>
        </w:rPr>
        <w:t>材料与工程设备的保管与使用</w:t>
      </w:r>
      <w:bookmarkEnd w:id="487"/>
    </w:p>
    <w:bookmarkEnd w:id="488"/>
    <w:bookmarkEnd w:id="489"/>
    <w:bookmarkEnd w:id="490"/>
    <w:p w14:paraId="33E06003">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8.4.1 </w:t>
      </w:r>
      <w:r>
        <w:rPr>
          <w:rFonts w:hint="eastAsia" w:hAnsi="宋体"/>
          <w:color w:val="auto"/>
          <w:kern w:val="0"/>
          <w:szCs w:val="21"/>
        </w:rPr>
        <w:t>发包人供应</w:t>
      </w:r>
      <w:r>
        <w:rPr>
          <w:rFonts w:hint="eastAsia" w:hAnsi="宋体"/>
          <w:color w:val="auto"/>
          <w:szCs w:val="21"/>
        </w:rPr>
        <w:t>材料与</w:t>
      </w:r>
      <w:r>
        <w:rPr>
          <w:rFonts w:hint="eastAsia" w:hAnsi="宋体"/>
          <w:color w:val="auto"/>
          <w:kern w:val="0"/>
          <w:szCs w:val="21"/>
        </w:rPr>
        <w:t>工程</w:t>
      </w:r>
      <w:r>
        <w:rPr>
          <w:rFonts w:hint="eastAsia" w:hAnsi="宋体"/>
          <w:color w:val="auto"/>
          <w:szCs w:val="21"/>
        </w:rPr>
        <w:t>设备的保管与使用</w:t>
      </w:r>
    </w:p>
    <w:p w14:paraId="0D81585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060434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发包人供应的材料和工程设备使用前，由承包人负责检验，检验费用由发包人承担，不合格的不得使用。</w:t>
      </w:r>
    </w:p>
    <w:p w14:paraId="2EA3633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8.4.2 </w:t>
      </w:r>
      <w:r>
        <w:rPr>
          <w:rFonts w:hint="eastAsia" w:hAnsi="宋体"/>
          <w:color w:val="auto"/>
          <w:kern w:val="0"/>
          <w:szCs w:val="21"/>
        </w:rPr>
        <w:t>承包人采购</w:t>
      </w:r>
      <w:r>
        <w:rPr>
          <w:rFonts w:hint="eastAsia" w:hAnsi="宋体"/>
          <w:color w:val="auto"/>
          <w:szCs w:val="21"/>
        </w:rPr>
        <w:t>材料与</w:t>
      </w:r>
      <w:r>
        <w:rPr>
          <w:rFonts w:hint="eastAsia" w:hAnsi="宋体"/>
          <w:color w:val="auto"/>
          <w:kern w:val="0"/>
          <w:szCs w:val="21"/>
        </w:rPr>
        <w:t>工程</w:t>
      </w:r>
      <w:r>
        <w:rPr>
          <w:rFonts w:hint="eastAsia" w:hAnsi="宋体"/>
          <w:color w:val="auto"/>
          <w:szCs w:val="21"/>
        </w:rPr>
        <w:t>设备的保管与使用</w:t>
      </w:r>
    </w:p>
    <w:p w14:paraId="7712D95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21B540C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发包人或监理人发现承包人使用不符合设计或有关标准要求的材料和工程设备时，有权要求承包人进行修复、拆除或重新采购，由此增加的费用和（或）延误的工期，由承包人承担。</w:t>
      </w:r>
    </w:p>
    <w:p w14:paraId="3A0F133C">
      <w:pPr>
        <w:pStyle w:val="6"/>
        <w:tabs>
          <w:tab w:val="left" w:pos="2155"/>
        </w:tabs>
        <w:rPr>
          <w:color w:val="auto"/>
        </w:rPr>
      </w:pPr>
      <w:bookmarkStart w:id="491" w:name="_Toc351203557"/>
      <w:r>
        <w:rPr>
          <w:color w:val="auto"/>
        </w:rPr>
        <w:t>8.5</w:t>
      </w:r>
      <w:r>
        <w:rPr>
          <w:rFonts w:hint="eastAsia"/>
          <w:color w:val="auto"/>
        </w:rPr>
        <w:t>禁止使用不合格的材料和工程设备</w:t>
      </w:r>
      <w:bookmarkEnd w:id="491"/>
    </w:p>
    <w:p w14:paraId="3BDD90C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8.5.1 </w:t>
      </w:r>
      <w:r>
        <w:rPr>
          <w:rFonts w:hint="eastAsia" w:hAnsi="宋体"/>
          <w:color w:val="auto"/>
          <w:kern w:val="0"/>
          <w:szCs w:val="21"/>
        </w:rPr>
        <w:t>监理人有权拒绝承包人提供的不合格材料或工程设备，并要求承包人立即进行更换。监理人应在更换后再次进行检查和检验，由此增加的费用和（或）延误的工期由承包人承担。</w:t>
      </w:r>
    </w:p>
    <w:p w14:paraId="15FAA8F8">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8.5.2 </w:t>
      </w:r>
      <w:r>
        <w:rPr>
          <w:rFonts w:hint="eastAsia" w:hAnsi="宋体"/>
          <w:color w:val="auto"/>
          <w:kern w:val="0"/>
          <w:szCs w:val="21"/>
        </w:rPr>
        <w:t>监理人发现承包人使用了不合格的材料和工程设备，承包人应按照监理人的指示立即改正，并禁止在工程中继续使用不合格的材料和工程设备。</w:t>
      </w:r>
    </w:p>
    <w:p w14:paraId="155D0A6F">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8.5.3 </w:t>
      </w:r>
      <w:r>
        <w:rPr>
          <w:rFonts w:hint="eastAsia" w:hAnsi="宋体"/>
          <w:color w:val="auto"/>
          <w:kern w:val="0"/>
          <w:szCs w:val="21"/>
        </w:rPr>
        <w:t>发包人提供的材料或工程设备不符合合同要求的，承包人有权拒绝，并可要求发包人更换，由此增加的费用和（或）延误的工期由发包人承担，并支付承包人合理的利润。</w:t>
      </w:r>
    </w:p>
    <w:p w14:paraId="18613462">
      <w:pPr>
        <w:pStyle w:val="6"/>
        <w:tabs>
          <w:tab w:val="left" w:pos="2155"/>
        </w:tabs>
        <w:rPr>
          <w:color w:val="auto"/>
        </w:rPr>
      </w:pPr>
      <w:bookmarkStart w:id="492" w:name="_Toc351203558"/>
      <w:r>
        <w:rPr>
          <w:color w:val="auto"/>
        </w:rPr>
        <w:t xml:space="preserve">8.6 </w:t>
      </w:r>
      <w:r>
        <w:rPr>
          <w:rFonts w:hint="eastAsia" w:cs="宋体"/>
          <w:color w:val="auto"/>
        </w:rPr>
        <w:t>样品</w:t>
      </w:r>
      <w:bookmarkEnd w:id="492"/>
    </w:p>
    <w:p w14:paraId="278475E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8.6.1</w:t>
      </w:r>
      <w:r>
        <w:rPr>
          <w:rFonts w:hAnsi="宋体"/>
          <w:color w:val="auto"/>
          <w:kern w:val="0"/>
          <w:szCs w:val="21"/>
        </w:rPr>
        <w:tab/>
      </w:r>
      <w:r>
        <w:rPr>
          <w:rFonts w:hint="eastAsia" w:hAnsi="宋体"/>
          <w:color w:val="auto"/>
          <w:kern w:val="0"/>
          <w:szCs w:val="21"/>
        </w:rPr>
        <w:t>样品的报送与封存</w:t>
      </w:r>
    </w:p>
    <w:p w14:paraId="04D30E9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需要承包人报送样品的材料或工程设备，样品的种类、名称、规格、数量等要求均应在专用合同条款中约定。样品的报送程序如下：</w:t>
      </w:r>
    </w:p>
    <w:p w14:paraId="1B77781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）承包人应在计划采购前</w:t>
      </w:r>
      <w:r>
        <w:rPr>
          <w:rFonts w:hAnsi="宋体"/>
          <w:color w:val="auto"/>
          <w:kern w:val="0"/>
          <w:szCs w:val="21"/>
        </w:rPr>
        <w:t>28</w:t>
      </w:r>
      <w:r>
        <w:rPr>
          <w:rFonts w:hint="eastAsia" w:hAnsi="宋体"/>
          <w:color w:val="auto"/>
          <w:kern w:val="0"/>
          <w:szCs w:val="21"/>
        </w:rPr>
        <w:t>天向监理人报送样品。承包人报送的样品均应来自供应材料的实际生产地，且提供的样品的规格、数量足以表明材料或工程设备的质量、型号、颜色、表面处理、质地、误差和其他要求的特征。</w:t>
      </w:r>
    </w:p>
    <w:p w14:paraId="2F9ED82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）承包人每次报送样品时应随附申报单，申报单应载明报送样品的相关数据和资料，并标明每件样品对应的图纸号，预留监理人批复意见栏。监理人应在收到承包人报送的样品后</w:t>
      </w:r>
      <w:r>
        <w:rPr>
          <w:rFonts w:hAnsi="宋体"/>
          <w:color w:val="auto"/>
          <w:kern w:val="0"/>
          <w:szCs w:val="21"/>
        </w:rPr>
        <w:t>7</w:t>
      </w:r>
      <w:r>
        <w:rPr>
          <w:rFonts w:hint="eastAsia" w:hAnsi="宋体"/>
          <w:color w:val="auto"/>
          <w:kern w:val="0"/>
          <w:szCs w:val="21"/>
        </w:rPr>
        <w:t>天向承包人回复经发包人签认的样品审批意见。</w:t>
      </w:r>
    </w:p>
    <w:p w14:paraId="3D9026D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）经发包人和监理人审批确认的样品应按约定的方法封样，封存的样品作为检验工程相关部分的标准之一。承包人在施工过程中不得使用与样品不符的材料或工程设备。</w:t>
      </w:r>
    </w:p>
    <w:p w14:paraId="37A43C7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950C568">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8.6.2 </w:t>
      </w:r>
      <w:r>
        <w:rPr>
          <w:rFonts w:hint="eastAsia" w:hAnsi="宋体"/>
          <w:color w:val="auto"/>
          <w:kern w:val="0"/>
          <w:szCs w:val="21"/>
        </w:rPr>
        <w:t>样品的保管</w:t>
      </w:r>
    </w:p>
    <w:p w14:paraId="1FB950F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经批准的样品应由监理人负责封存于现场，承包人应在现场为保存样品提供适当和固定的场所并保持适当和良好的存储环境条件。</w:t>
      </w:r>
    </w:p>
    <w:p w14:paraId="045D599C">
      <w:pPr>
        <w:pStyle w:val="6"/>
        <w:tabs>
          <w:tab w:val="left" w:pos="2155"/>
        </w:tabs>
        <w:rPr>
          <w:color w:val="auto"/>
        </w:rPr>
      </w:pPr>
      <w:bookmarkStart w:id="493" w:name="_Toc351203559"/>
      <w:r>
        <w:rPr>
          <w:color w:val="auto"/>
        </w:rPr>
        <w:t>8.7</w:t>
      </w:r>
      <w:r>
        <w:rPr>
          <w:rFonts w:hint="eastAsia"/>
          <w:color w:val="auto"/>
        </w:rPr>
        <w:t>材料与工程设备的替代</w:t>
      </w:r>
      <w:bookmarkEnd w:id="493"/>
    </w:p>
    <w:p w14:paraId="6F033AB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8.7.1 </w:t>
      </w:r>
      <w:r>
        <w:rPr>
          <w:rFonts w:hint="eastAsia" w:hAnsi="宋体"/>
          <w:color w:val="auto"/>
          <w:kern w:val="0"/>
          <w:szCs w:val="21"/>
        </w:rPr>
        <w:t>出现下列情况需要使用替代材料和工程设备的，承包人应按照第</w:t>
      </w:r>
      <w:r>
        <w:rPr>
          <w:rFonts w:hAnsi="宋体"/>
          <w:color w:val="auto"/>
          <w:kern w:val="0"/>
          <w:szCs w:val="21"/>
        </w:rPr>
        <w:t>8.7.2</w:t>
      </w:r>
      <w:r>
        <w:rPr>
          <w:rFonts w:hint="eastAsia" w:hAnsi="宋体"/>
          <w:color w:val="auto"/>
          <w:kern w:val="0"/>
          <w:szCs w:val="21"/>
        </w:rPr>
        <w:t>项约定的程序执行：</w:t>
      </w:r>
    </w:p>
    <w:p w14:paraId="119B3E9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）基准日期后生效的法律规定禁止使用的；</w:t>
      </w:r>
    </w:p>
    <w:p w14:paraId="66448AC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）发包人要求使用替代品的；</w:t>
      </w:r>
    </w:p>
    <w:p w14:paraId="61FE7AC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）因其他原因必须使用替代品的。</w:t>
      </w:r>
    </w:p>
    <w:p w14:paraId="04D5D91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8.7.2 </w:t>
      </w:r>
      <w:r>
        <w:rPr>
          <w:rFonts w:hint="eastAsia" w:hAnsi="宋体"/>
          <w:color w:val="auto"/>
          <w:kern w:val="0"/>
          <w:szCs w:val="21"/>
        </w:rPr>
        <w:t>承包人应在使用替代材料和工程设备</w:t>
      </w:r>
      <w:r>
        <w:rPr>
          <w:rFonts w:hAnsi="宋体"/>
          <w:color w:val="auto"/>
          <w:kern w:val="0"/>
          <w:szCs w:val="21"/>
        </w:rPr>
        <w:t>28</w:t>
      </w:r>
      <w:r>
        <w:rPr>
          <w:rFonts w:hint="eastAsia" w:hAnsi="宋体"/>
          <w:color w:val="auto"/>
          <w:kern w:val="0"/>
          <w:szCs w:val="21"/>
        </w:rPr>
        <w:t>天前书面通知监理人，并附下列文件：</w:t>
      </w:r>
    </w:p>
    <w:p w14:paraId="0871B58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）被替代的材料和工程设备的名称、数量、规格、型号、品牌、性能、价格及其他相关资料；</w:t>
      </w:r>
    </w:p>
    <w:p w14:paraId="0252A1C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）替代品的名称、数量、规格、型号、品牌、性能、价格及其他相关资料；</w:t>
      </w:r>
    </w:p>
    <w:p w14:paraId="6A7E2B3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）替代品与被替代产品之间的差异以及使用替代品可能对工程产生的影响；</w:t>
      </w:r>
    </w:p>
    <w:p w14:paraId="487652E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）替代品与被替代产品的价格差异；</w:t>
      </w:r>
    </w:p>
    <w:p w14:paraId="75CDABF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）使用替代品的理由和原因说明；</w:t>
      </w:r>
    </w:p>
    <w:p w14:paraId="4B3B6A2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）监理人要求的其他文件。</w:t>
      </w:r>
    </w:p>
    <w:p w14:paraId="590FA21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监理人应在收到通知后</w:t>
      </w:r>
      <w:r>
        <w:rPr>
          <w:rFonts w:hAnsi="宋体"/>
          <w:color w:val="auto"/>
          <w:kern w:val="0"/>
          <w:szCs w:val="21"/>
        </w:rPr>
        <w:t>14</w:t>
      </w:r>
      <w:r>
        <w:rPr>
          <w:rFonts w:hint="eastAsia" w:hAnsi="宋体"/>
          <w:color w:val="auto"/>
          <w:kern w:val="0"/>
          <w:szCs w:val="21"/>
        </w:rPr>
        <w:t>天内向承包人发出经发包人签认的书面指示；监理人逾期发出书面指示的，视为发包人和监理人同意使用替代品。</w:t>
      </w:r>
    </w:p>
    <w:p w14:paraId="604FBE6F">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8.7.3 </w:t>
      </w:r>
      <w:r>
        <w:rPr>
          <w:rFonts w:hint="eastAsia" w:hAnsi="宋体"/>
          <w:color w:val="auto"/>
          <w:kern w:val="0"/>
          <w:szCs w:val="21"/>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w:t>
      </w:r>
      <w:r>
        <w:rPr>
          <w:rFonts w:hAnsi="宋体"/>
          <w:color w:val="auto"/>
          <w:kern w:val="0"/>
          <w:szCs w:val="21"/>
        </w:rPr>
        <w:t>4.4</w:t>
      </w:r>
      <w:r>
        <w:rPr>
          <w:rFonts w:hint="eastAsia" w:hAnsi="宋体"/>
          <w:color w:val="auto"/>
          <w:kern w:val="0"/>
          <w:szCs w:val="21"/>
        </w:rPr>
        <w:t>款〔商定或确定〕确定价格。</w:t>
      </w:r>
    </w:p>
    <w:p w14:paraId="34CB57D2">
      <w:pPr>
        <w:pStyle w:val="6"/>
        <w:tabs>
          <w:tab w:val="left" w:pos="2155"/>
        </w:tabs>
        <w:rPr>
          <w:color w:val="auto"/>
        </w:rPr>
      </w:pPr>
      <w:bookmarkStart w:id="494" w:name="_Toc351203560"/>
      <w:r>
        <w:rPr>
          <w:color w:val="auto"/>
        </w:rPr>
        <w:t>8.8</w:t>
      </w:r>
      <w:r>
        <w:rPr>
          <w:rFonts w:hint="eastAsia"/>
          <w:color w:val="auto"/>
        </w:rPr>
        <w:t>施工设备和临时设施</w:t>
      </w:r>
      <w:bookmarkEnd w:id="494"/>
    </w:p>
    <w:p w14:paraId="38C45898">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8.8.1 </w:t>
      </w:r>
      <w:r>
        <w:rPr>
          <w:rFonts w:hint="eastAsia" w:hAnsi="宋体"/>
          <w:color w:val="auto"/>
          <w:kern w:val="0"/>
          <w:szCs w:val="21"/>
        </w:rPr>
        <w:t>承包人提供的施工设备和临时设施</w:t>
      </w:r>
    </w:p>
    <w:p w14:paraId="668F57F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014924D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除专用合同条款另有约定外，承包人应自行承担修建临时设施的费用，需要临时占地的，应由发包人办理申请手续并承担相应费用。</w:t>
      </w:r>
    </w:p>
    <w:p w14:paraId="16127B8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8.8.2</w:t>
      </w:r>
      <w:r>
        <w:rPr>
          <w:rFonts w:hint="eastAsia" w:hAnsi="宋体"/>
          <w:color w:val="auto"/>
          <w:kern w:val="0"/>
          <w:szCs w:val="21"/>
        </w:rPr>
        <w:t>发包人提供的施工设备和临时设施</w:t>
      </w:r>
    </w:p>
    <w:p w14:paraId="618793B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发包人提供的施工设备或临时设施在专用合同条款中约定。</w:t>
      </w:r>
    </w:p>
    <w:p w14:paraId="2E987D35">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8.8.3</w:t>
      </w:r>
      <w:r>
        <w:rPr>
          <w:rFonts w:hint="eastAsia" w:hAnsi="宋体"/>
          <w:color w:val="auto"/>
          <w:kern w:val="0"/>
          <w:szCs w:val="21"/>
        </w:rPr>
        <w:t>要求承包人增加或更换施工设备</w:t>
      </w:r>
    </w:p>
    <w:p w14:paraId="0FC7C99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10D8F05D">
      <w:pPr>
        <w:pStyle w:val="6"/>
        <w:tabs>
          <w:tab w:val="left" w:pos="2155"/>
        </w:tabs>
        <w:rPr>
          <w:color w:val="auto"/>
        </w:rPr>
      </w:pPr>
      <w:bookmarkStart w:id="495" w:name="_Toc351203561"/>
      <w:r>
        <w:rPr>
          <w:color w:val="auto"/>
        </w:rPr>
        <w:t>8</w:t>
      </w:r>
      <w:bookmarkStart w:id="496" w:name="_Toc337558781"/>
      <w:bookmarkStart w:id="497" w:name="_Toc296346564"/>
      <w:bookmarkStart w:id="498" w:name="_Toc296503063"/>
      <w:r>
        <w:rPr>
          <w:color w:val="auto"/>
        </w:rPr>
        <w:t>.9</w:t>
      </w:r>
      <w:r>
        <w:rPr>
          <w:rFonts w:hint="eastAsia"/>
          <w:color w:val="auto"/>
        </w:rPr>
        <w:t>材料与设备专用</w:t>
      </w:r>
      <w:bookmarkEnd w:id="495"/>
      <w:r>
        <w:rPr>
          <w:rFonts w:hint="eastAsia"/>
          <w:color w:val="auto"/>
        </w:rPr>
        <w:t>要求</w:t>
      </w:r>
    </w:p>
    <w:bookmarkEnd w:id="496"/>
    <w:bookmarkEnd w:id="497"/>
    <w:bookmarkEnd w:id="498"/>
    <w:p w14:paraId="5E4B796E">
      <w:pPr>
        <w:spacing w:line="360" w:lineRule="auto"/>
        <w:ind w:firstLine="420" w:firstLineChars="200"/>
        <w:jc w:val="left"/>
        <w:rPr>
          <w:rFonts w:hAnsi="宋体"/>
          <w:color w:val="auto"/>
          <w:kern w:val="0"/>
          <w:szCs w:val="21"/>
        </w:rPr>
      </w:pPr>
      <w:r>
        <w:rPr>
          <w:rFonts w:hint="eastAsia" w:hAnsi="宋体"/>
          <w:color w:val="auto"/>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477"/>
      <w:r>
        <w:rPr>
          <w:rFonts w:hint="eastAsia" w:hAnsi="宋体"/>
          <w:color w:val="auto"/>
          <w:kern w:val="0"/>
          <w:szCs w:val="21"/>
        </w:rPr>
        <w:t>经发包人批准，承包人可以根据施工进度计划撤走闲置的施工设备和其他物品。</w:t>
      </w:r>
    </w:p>
    <w:p w14:paraId="01CBDF2C">
      <w:pPr>
        <w:pStyle w:val="5"/>
        <w:tabs>
          <w:tab w:val="left" w:pos="900"/>
        </w:tabs>
        <w:rPr>
          <w:color w:val="auto"/>
        </w:rPr>
      </w:pPr>
      <w:bookmarkStart w:id="499" w:name="_Toc5712"/>
      <w:bookmarkStart w:id="500" w:name="_Toc31202"/>
      <w:bookmarkStart w:id="501" w:name="_Toc525396178"/>
      <w:bookmarkStart w:id="502" w:name="_Toc351203562"/>
      <w:bookmarkStart w:id="503" w:name="_Toc25252"/>
      <w:bookmarkStart w:id="504" w:name="_Toc19744"/>
      <w:r>
        <w:rPr>
          <w:color w:val="auto"/>
        </w:rPr>
        <w:t>9</w:t>
      </w:r>
      <w:bookmarkStart w:id="505" w:name="_Toc337558782"/>
      <w:bookmarkStart w:id="506" w:name="_Toc296503083"/>
      <w:bookmarkStart w:id="507" w:name="_Toc296346584"/>
      <w:r>
        <w:rPr>
          <w:color w:val="auto"/>
        </w:rPr>
        <w:t xml:space="preserve">. </w:t>
      </w:r>
      <w:r>
        <w:rPr>
          <w:rFonts w:hint="eastAsia"/>
          <w:color w:val="auto"/>
        </w:rPr>
        <w:t>试验与检验</w:t>
      </w:r>
      <w:bookmarkEnd w:id="499"/>
      <w:bookmarkEnd w:id="500"/>
      <w:bookmarkEnd w:id="501"/>
      <w:bookmarkEnd w:id="502"/>
      <w:bookmarkEnd w:id="503"/>
      <w:bookmarkEnd w:id="504"/>
    </w:p>
    <w:bookmarkEnd w:id="505"/>
    <w:p w14:paraId="2045DA73">
      <w:pPr>
        <w:pStyle w:val="6"/>
        <w:tabs>
          <w:tab w:val="left" w:pos="2155"/>
        </w:tabs>
        <w:rPr>
          <w:color w:val="auto"/>
        </w:rPr>
      </w:pPr>
      <w:bookmarkStart w:id="508" w:name="_Toc351203563"/>
      <w:r>
        <w:rPr>
          <w:color w:val="auto"/>
        </w:rPr>
        <w:t>9</w:t>
      </w:r>
      <w:bookmarkStart w:id="509" w:name="_Toc337558783"/>
      <w:r>
        <w:rPr>
          <w:color w:val="auto"/>
        </w:rPr>
        <w:t>.1</w:t>
      </w:r>
      <w:r>
        <w:rPr>
          <w:rFonts w:hint="eastAsia"/>
          <w:color w:val="auto"/>
        </w:rPr>
        <w:t>试验设备与试验人员</w:t>
      </w:r>
      <w:bookmarkEnd w:id="508"/>
    </w:p>
    <w:bookmarkEnd w:id="509"/>
    <w:p w14:paraId="65A399AD">
      <w:pPr>
        <w:spacing w:line="360" w:lineRule="auto"/>
        <w:ind w:firstLine="420" w:firstLineChars="200"/>
        <w:jc w:val="left"/>
        <w:rPr>
          <w:rFonts w:hAnsi="宋体"/>
          <w:color w:val="auto"/>
          <w:kern w:val="0"/>
          <w:szCs w:val="21"/>
        </w:rPr>
      </w:pPr>
      <w:r>
        <w:rPr>
          <w:rFonts w:hAnsi="宋体"/>
          <w:color w:val="auto"/>
          <w:kern w:val="0"/>
          <w:szCs w:val="21"/>
        </w:rPr>
        <w:t xml:space="preserve">9.1.1 </w:t>
      </w:r>
      <w:r>
        <w:rPr>
          <w:rFonts w:hint="eastAsia" w:hAnsi="宋体"/>
          <w:color w:val="auto"/>
          <w:kern w:val="0"/>
          <w:szCs w:val="21"/>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713196F">
      <w:pPr>
        <w:spacing w:line="360" w:lineRule="auto"/>
        <w:ind w:firstLine="420" w:firstLineChars="200"/>
        <w:jc w:val="left"/>
        <w:rPr>
          <w:rFonts w:hAnsi="宋体"/>
          <w:color w:val="auto"/>
          <w:kern w:val="0"/>
          <w:szCs w:val="21"/>
        </w:rPr>
      </w:pPr>
      <w:r>
        <w:rPr>
          <w:rFonts w:hAnsi="宋体"/>
          <w:color w:val="auto"/>
          <w:kern w:val="0"/>
          <w:szCs w:val="21"/>
        </w:rPr>
        <w:t xml:space="preserve">9.1.2 </w:t>
      </w:r>
      <w:r>
        <w:rPr>
          <w:rFonts w:hint="eastAsia" w:hAnsi="宋体"/>
          <w:color w:val="auto"/>
          <w:kern w:val="0"/>
          <w:szCs w:val="21"/>
        </w:rPr>
        <w:t>承包人应按专用合同条款的约定提供试验设备、取样装置、试验场所和试验条件，并向监理人提交相应进场计划表。</w:t>
      </w:r>
    </w:p>
    <w:p w14:paraId="4C765162">
      <w:pPr>
        <w:spacing w:line="360" w:lineRule="auto"/>
        <w:ind w:firstLine="420" w:firstLineChars="200"/>
        <w:jc w:val="left"/>
        <w:rPr>
          <w:rFonts w:hAnsi="宋体"/>
          <w:color w:val="auto"/>
          <w:kern w:val="0"/>
          <w:szCs w:val="21"/>
        </w:rPr>
      </w:pPr>
      <w:r>
        <w:rPr>
          <w:rFonts w:hint="eastAsia" w:hAnsi="宋体"/>
          <w:color w:val="auto"/>
          <w:kern w:val="0"/>
          <w:szCs w:val="21"/>
        </w:rPr>
        <w:t>承包人配置的试验设备要符合相应试验规程的要求并经过具有资质的检测单位检测，且在正式使用该试验设备前，需要经过监理人与承包人共同校定。</w:t>
      </w:r>
    </w:p>
    <w:p w14:paraId="2D61167E">
      <w:pPr>
        <w:spacing w:line="360" w:lineRule="auto"/>
        <w:ind w:firstLine="420" w:firstLineChars="200"/>
        <w:jc w:val="left"/>
        <w:rPr>
          <w:rFonts w:hAnsi="宋体"/>
          <w:color w:val="auto"/>
          <w:kern w:val="0"/>
          <w:szCs w:val="21"/>
        </w:rPr>
      </w:pPr>
      <w:r>
        <w:rPr>
          <w:rFonts w:hAnsi="宋体"/>
          <w:color w:val="auto"/>
          <w:kern w:val="0"/>
          <w:szCs w:val="21"/>
        </w:rPr>
        <w:t xml:space="preserve">9.1.3 </w:t>
      </w:r>
      <w:r>
        <w:rPr>
          <w:rFonts w:hint="eastAsia" w:hAnsi="宋体"/>
          <w:color w:val="auto"/>
          <w:kern w:val="0"/>
          <w:szCs w:val="21"/>
        </w:rPr>
        <w:t>承包人应向监理人提交试验人员的名单及其岗位、资格等证明资料，试验人员必须能够熟练进行相应的检测试验，承包人对试验人员的试验程序和试验结果的正确性负责。</w:t>
      </w:r>
    </w:p>
    <w:p w14:paraId="0A9A2ED6">
      <w:pPr>
        <w:pStyle w:val="6"/>
        <w:tabs>
          <w:tab w:val="left" w:pos="2155"/>
        </w:tabs>
        <w:rPr>
          <w:color w:val="auto"/>
        </w:rPr>
      </w:pPr>
      <w:bookmarkStart w:id="510" w:name="_Toc351203564"/>
      <w:r>
        <w:rPr>
          <w:color w:val="auto"/>
        </w:rPr>
        <w:t>9</w:t>
      </w:r>
      <w:bookmarkStart w:id="511" w:name="_Toc337558784"/>
      <w:r>
        <w:rPr>
          <w:color w:val="auto"/>
        </w:rPr>
        <w:t>.2</w:t>
      </w:r>
      <w:r>
        <w:rPr>
          <w:rFonts w:hint="eastAsia" w:cs="宋体"/>
          <w:color w:val="auto"/>
        </w:rPr>
        <w:t>取样</w:t>
      </w:r>
      <w:bookmarkEnd w:id="510"/>
    </w:p>
    <w:bookmarkEnd w:id="511"/>
    <w:p w14:paraId="6778D66D">
      <w:pPr>
        <w:spacing w:line="360" w:lineRule="auto"/>
        <w:ind w:firstLine="420" w:firstLineChars="200"/>
        <w:jc w:val="left"/>
        <w:rPr>
          <w:rFonts w:hAnsi="宋体"/>
          <w:color w:val="auto"/>
          <w:kern w:val="0"/>
          <w:szCs w:val="21"/>
        </w:rPr>
      </w:pPr>
      <w:r>
        <w:rPr>
          <w:rFonts w:hint="eastAsia" w:hAnsi="宋体"/>
          <w:color w:val="auto"/>
          <w:kern w:val="0"/>
          <w:szCs w:val="21"/>
        </w:rPr>
        <w:t>试验属于自检性质的，承包人可以单独取样。试验属于监理人抽检性质的，可由监理人取样，也可由承包人的试验人员在监理人的监督下取样。</w:t>
      </w:r>
    </w:p>
    <w:p w14:paraId="5E9D858F">
      <w:pPr>
        <w:pStyle w:val="6"/>
        <w:tabs>
          <w:tab w:val="left" w:pos="2155"/>
        </w:tabs>
        <w:rPr>
          <w:color w:val="auto"/>
        </w:rPr>
      </w:pPr>
      <w:bookmarkStart w:id="512" w:name="_Toc351203565"/>
      <w:r>
        <w:rPr>
          <w:color w:val="auto"/>
        </w:rPr>
        <w:t>9</w:t>
      </w:r>
      <w:bookmarkStart w:id="513" w:name="_Toc337558785"/>
      <w:r>
        <w:rPr>
          <w:color w:val="auto"/>
        </w:rPr>
        <w:t>.3</w:t>
      </w:r>
      <w:r>
        <w:rPr>
          <w:rFonts w:hint="eastAsia"/>
          <w:color w:val="auto"/>
        </w:rPr>
        <w:t>材料、工程设备和工程的试验和检验</w:t>
      </w:r>
      <w:bookmarkEnd w:id="512"/>
    </w:p>
    <w:bookmarkEnd w:id="513"/>
    <w:p w14:paraId="4325F38F">
      <w:pPr>
        <w:spacing w:line="360" w:lineRule="auto"/>
        <w:ind w:firstLine="420" w:firstLineChars="200"/>
        <w:jc w:val="left"/>
        <w:rPr>
          <w:rFonts w:hAnsi="宋体"/>
          <w:color w:val="auto"/>
          <w:kern w:val="0"/>
          <w:szCs w:val="21"/>
        </w:rPr>
      </w:pPr>
      <w:r>
        <w:rPr>
          <w:rFonts w:hAnsi="宋体"/>
          <w:color w:val="auto"/>
          <w:kern w:val="0"/>
          <w:szCs w:val="21"/>
        </w:rPr>
        <w:t>9.3.1</w:t>
      </w:r>
      <w:r>
        <w:rPr>
          <w:rFonts w:hint="eastAsia" w:hAnsi="宋体"/>
          <w:color w:val="auto"/>
          <w:kern w:val="0"/>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C2672BE">
      <w:pPr>
        <w:spacing w:line="360" w:lineRule="auto"/>
        <w:ind w:firstLine="420" w:firstLineChars="200"/>
        <w:jc w:val="left"/>
        <w:rPr>
          <w:rFonts w:hAnsi="宋体"/>
          <w:color w:val="auto"/>
          <w:kern w:val="0"/>
          <w:szCs w:val="21"/>
        </w:rPr>
      </w:pPr>
      <w:r>
        <w:rPr>
          <w:rFonts w:hAnsi="宋体"/>
          <w:color w:val="auto"/>
          <w:kern w:val="0"/>
          <w:szCs w:val="21"/>
        </w:rPr>
        <w:t>9.3.2</w:t>
      </w:r>
      <w:r>
        <w:rPr>
          <w:rFonts w:hint="eastAsia" w:hAnsi="宋体"/>
          <w:color w:val="auto"/>
          <w:kern w:val="0"/>
          <w:szCs w:val="21"/>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DBEBA36">
      <w:pPr>
        <w:spacing w:line="360" w:lineRule="auto"/>
        <w:ind w:firstLine="420" w:firstLineChars="200"/>
        <w:jc w:val="left"/>
        <w:rPr>
          <w:rFonts w:hAnsi="宋体"/>
          <w:color w:val="auto"/>
          <w:kern w:val="0"/>
          <w:szCs w:val="21"/>
        </w:rPr>
      </w:pPr>
      <w:r>
        <w:rPr>
          <w:rFonts w:hAnsi="宋体"/>
          <w:color w:val="auto"/>
          <w:kern w:val="0"/>
          <w:szCs w:val="21"/>
        </w:rPr>
        <w:t>9.3.3</w:t>
      </w:r>
      <w:r>
        <w:rPr>
          <w:rFonts w:hint="eastAsia" w:hAnsi="宋体"/>
          <w:color w:val="auto"/>
          <w:kern w:val="0"/>
          <w:szCs w:val="21"/>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458713F8">
      <w:pPr>
        <w:pStyle w:val="6"/>
        <w:tabs>
          <w:tab w:val="left" w:pos="2155"/>
        </w:tabs>
        <w:rPr>
          <w:color w:val="auto"/>
        </w:rPr>
      </w:pPr>
      <w:bookmarkStart w:id="514" w:name="_Toc351203566"/>
      <w:r>
        <w:rPr>
          <w:color w:val="auto"/>
        </w:rPr>
        <w:t>9</w:t>
      </w:r>
      <w:bookmarkStart w:id="515" w:name="_Toc337558786"/>
      <w:r>
        <w:rPr>
          <w:color w:val="auto"/>
        </w:rPr>
        <w:t>.4</w:t>
      </w:r>
      <w:r>
        <w:rPr>
          <w:rFonts w:hint="eastAsia"/>
          <w:color w:val="auto"/>
        </w:rPr>
        <w:t>现场工艺试验</w:t>
      </w:r>
      <w:bookmarkEnd w:id="514"/>
    </w:p>
    <w:bookmarkEnd w:id="515"/>
    <w:p w14:paraId="5A67B761">
      <w:pPr>
        <w:spacing w:line="360" w:lineRule="auto"/>
        <w:ind w:firstLine="420" w:firstLineChars="200"/>
        <w:jc w:val="left"/>
        <w:rPr>
          <w:rFonts w:hAnsi="宋体"/>
          <w:color w:val="auto"/>
          <w:kern w:val="0"/>
          <w:szCs w:val="21"/>
        </w:rPr>
      </w:pPr>
      <w:r>
        <w:rPr>
          <w:rFonts w:hint="eastAsia" w:hAnsi="宋体"/>
          <w:color w:val="auto"/>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2E0FB1E2">
      <w:pPr>
        <w:pStyle w:val="5"/>
        <w:tabs>
          <w:tab w:val="left" w:pos="900"/>
        </w:tabs>
        <w:rPr>
          <w:color w:val="auto"/>
        </w:rPr>
      </w:pPr>
      <w:bookmarkStart w:id="516" w:name="_Toc15921"/>
      <w:bookmarkStart w:id="517" w:name="_Toc525396179"/>
      <w:bookmarkStart w:id="518" w:name="_Toc13465"/>
      <w:bookmarkStart w:id="519" w:name="_Toc21624"/>
      <w:bookmarkStart w:id="520" w:name="_Toc351203567"/>
      <w:bookmarkStart w:id="521" w:name="_Toc10732"/>
      <w:r>
        <w:rPr>
          <w:color w:val="auto"/>
        </w:rPr>
        <w:t>1</w:t>
      </w:r>
      <w:bookmarkStart w:id="522" w:name="_Toc337558787"/>
      <w:r>
        <w:rPr>
          <w:color w:val="auto"/>
        </w:rPr>
        <w:t xml:space="preserve">0. </w:t>
      </w:r>
      <w:r>
        <w:rPr>
          <w:rFonts w:hint="eastAsia" w:cs="宋体"/>
          <w:color w:val="auto"/>
        </w:rPr>
        <w:t>变更</w:t>
      </w:r>
      <w:bookmarkEnd w:id="506"/>
      <w:bookmarkEnd w:id="507"/>
      <w:bookmarkEnd w:id="516"/>
      <w:bookmarkEnd w:id="517"/>
      <w:bookmarkEnd w:id="518"/>
      <w:bookmarkEnd w:id="519"/>
      <w:bookmarkEnd w:id="520"/>
      <w:bookmarkEnd w:id="521"/>
    </w:p>
    <w:bookmarkEnd w:id="522"/>
    <w:p w14:paraId="342A825D">
      <w:pPr>
        <w:pStyle w:val="6"/>
        <w:tabs>
          <w:tab w:val="left" w:pos="2155"/>
        </w:tabs>
        <w:rPr>
          <w:color w:val="auto"/>
        </w:rPr>
      </w:pPr>
      <w:bookmarkStart w:id="523" w:name="_Toc351203568"/>
      <w:r>
        <w:rPr>
          <w:color w:val="auto"/>
        </w:rPr>
        <w:t>1</w:t>
      </w:r>
      <w:bookmarkStart w:id="524" w:name="_Toc296503084"/>
      <w:bookmarkStart w:id="525" w:name="_Toc296346585"/>
      <w:bookmarkStart w:id="526" w:name="_Toc337558788"/>
      <w:r>
        <w:rPr>
          <w:color w:val="auto"/>
        </w:rPr>
        <w:t>0.1</w:t>
      </w:r>
      <w:r>
        <w:rPr>
          <w:rFonts w:hint="eastAsia" w:cs="宋体"/>
          <w:color w:val="auto"/>
        </w:rPr>
        <w:t>变更的范围</w:t>
      </w:r>
      <w:bookmarkEnd w:id="523"/>
    </w:p>
    <w:bookmarkEnd w:id="524"/>
    <w:bookmarkEnd w:id="525"/>
    <w:bookmarkEnd w:id="526"/>
    <w:p w14:paraId="73E3A7A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除专用合同条款另有约定外，合同履行过程中发生以下情形的，应按照本条约定进行变更：</w:t>
      </w:r>
    </w:p>
    <w:p w14:paraId="5EB6829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）增加或减少合同中任何工作，或追加额外的工作；</w:t>
      </w:r>
    </w:p>
    <w:p w14:paraId="1B4D7D1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）取消合同中任何工作，但转由他人实施的工作除外；</w:t>
      </w:r>
    </w:p>
    <w:p w14:paraId="7BC8FCA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）改变合同中任何工作的质量标准或其他特性；</w:t>
      </w:r>
    </w:p>
    <w:p w14:paraId="011CCE8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）改变工程的基线、标高、位置和尺寸；</w:t>
      </w:r>
    </w:p>
    <w:p w14:paraId="3ECC119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）改变工程的时间安排或实施顺序。</w:t>
      </w:r>
    </w:p>
    <w:p w14:paraId="19A824CD">
      <w:pPr>
        <w:pStyle w:val="6"/>
        <w:tabs>
          <w:tab w:val="left" w:pos="2155"/>
        </w:tabs>
        <w:rPr>
          <w:color w:val="auto"/>
        </w:rPr>
      </w:pPr>
      <w:bookmarkStart w:id="527" w:name="_Toc351203569"/>
      <w:r>
        <w:rPr>
          <w:color w:val="auto"/>
        </w:rPr>
        <w:t>1</w:t>
      </w:r>
      <w:bookmarkStart w:id="528" w:name="_Toc296346586"/>
      <w:bookmarkStart w:id="529" w:name="_Toc296503085"/>
      <w:bookmarkStart w:id="530" w:name="_Toc337558789"/>
      <w:r>
        <w:rPr>
          <w:color w:val="auto"/>
        </w:rPr>
        <w:t>0.2</w:t>
      </w:r>
      <w:r>
        <w:rPr>
          <w:rFonts w:hint="eastAsia" w:cs="宋体"/>
          <w:color w:val="auto"/>
        </w:rPr>
        <w:t>变更权</w:t>
      </w:r>
      <w:bookmarkEnd w:id="527"/>
    </w:p>
    <w:bookmarkEnd w:id="528"/>
    <w:bookmarkEnd w:id="529"/>
    <w:bookmarkEnd w:id="530"/>
    <w:p w14:paraId="77747DE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DB60C9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涉及设计变更的，应由设计人提供变更后的图纸和说明。如变更超过原设计标准或批准的建设规模时，发包人应及时办理规划、设计变更等审批手续。</w:t>
      </w:r>
    </w:p>
    <w:p w14:paraId="315E79BB">
      <w:pPr>
        <w:pStyle w:val="6"/>
        <w:tabs>
          <w:tab w:val="left" w:pos="2155"/>
        </w:tabs>
        <w:rPr>
          <w:color w:val="auto"/>
        </w:rPr>
      </w:pPr>
      <w:bookmarkStart w:id="531" w:name="_Toc351203570"/>
      <w:r>
        <w:rPr>
          <w:color w:val="auto"/>
        </w:rPr>
        <w:t>1</w:t>
      </w:r>
      <w:bookmarkStart w:id="532" w:name="_Toc296503086"/>
      <w:bookmarkStart w:id="533" w:name="_Toc337558790"/>
      <w:bookmarkStart w:id="534" w:name="_Toc296346587"/>
      <w:r>
        <w:rPr>
          <w:color w:val="auto"/>
        </w:rPr>
        <w:t>0.3</w:t>
      </w:r>
      <w:r>
        <w:rPr>
          <w:rFonts w:hint="eastAsia" w:cs="宋体"/>
          <w:color w:val="auto"/>
        </w:rPr>
        <w:t>变更程序</w:t>
      </w:r>
      <w:bookmarkEnd w:id="531"/>
    </w:p>
    <w:bookmarkEnd w:id="532"/>
    <w:bookmarkEnd w:id="533"/>
    <w:bookmarkEnd w:id="534"/>
    <w:p w14:paraId="7BB6E9CB">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10</w:t>
      </w:r>
      <w:r>
        <w:rPr>
          <w:rFonts w:hAnsi="宋体"/>
          <w:color w:val="auto"/>
          <w:kern w:val="0"/>
          <w:szCs w:val="21"/>
        </w:rPr>
        <w:t xml:space="preserve">.3.1 </w:t>
      </w:r>
      <w:r>
        <w:rPr>
          <w:rFonts w:hint="eastAsia" w:hAnsi="宋体"/>
          <w:color w:val="auto"/>
          <w:kern w:val="0"/>
          <w:szCs w:val="21"/>
        </w:rPr>
        <w:t>发包人提出变更</w:t>
      </w:r>
    </w:p>
    <w:p w14:paraId="13A4E96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发包人提出变更的，应通过监理人向承包人发出变更指示，变更指示应说明计划变更的工程范围和变更的内容。</w:t>
      </w:r>
    </w:p>
    <w:p w14:paraId="6A44A9DF">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10</w:t>
      </w:r>
      <w:r>
        <w:rPr>
          <w:rFonts w:hAnsi="宋体"/>
          <w:color w:val="auto"/>
          <w:kern w:val="0"/>
          <w:szCs w:val="21"/>
        </w:rPr>
        <w:t xml:space="preserve">.3.2 </w:t>
      </w:r>
      <w:r>
        <w:rPr>
          <w:rFonts w:hint="eastAsia" w:hAnsi="宋体"/>
          <w:color w:val="auto"/>
          <w:kern w:val="0"/>
          <w:szCs w:val="21"/>
        </w:rPr>
        <w:t>监理人提出变更建议</w:t>
      </w:r>
    </w:p>
    <w:p w14:paraId="15B2E64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F9C93DE">
      <w:pPr>
        <w:autoSpaceDE w:val="0"/>
        <w:autoSpaceDN w:val="0"/>
        <w:adjustRightInd w:val="0"/>
        <w:spacing w:line="360" w:lineRule="auto"/>
        <w:ind w:firstLine="420" w:firstLineChars="200"/>
        <w:jc w:val="left"/>
        <w:rPr>
          <w:rFonts w:hAnsi="宋体"/>
          <w:color w:val="auto"/>
          <w:szCs w:val="21"/>
        </w:rPr>
      </w:pPr>
      <w:r>
        <w:rPr>
          <w:rFonts w:hAnsi="宋体"/>
          <w:color w:val="auto"/>
          <w:szCs w:val="21"/>
        </w:rPr>
        <w:t xml:space="preserve">10.3.3 </w:t>
      </w:r>
      <w:r>
        <w:rPr>
          <w:rFonts w:hint="eastAsia" w:hAnsi="宋体"/>
          <w:color w:val="auto"/>
          <w:szCs w:val="21"/>
        </w:rPr>
        <w:t>变更执行</w:t>
      </w:r>
    </w:p>
    <w:p w14:paraId="443DD8C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w:t>
      </w:r>
      <w:r>
        <w:rPr>
          <w:rFonts w:hAnsi="宋体"/>
          <w:color w:val="auto"/>
          <w:kern w:val="0"/>
          <w:szCs w:val="21"/>
        </w:rPr>
        <w:t>10.4</w:t>
      </w:r>
      <w:r>
        <w:rPr>
          <w:rFonts w:hint="eastAsia" w:hAnsi="宋体"/>
          <w:color w:val="auto"/>
          <w:kern w:val="0"/>
          <w:szCs w:val="21"/>
        </w:rPr>
        <w:t>款〔变更估价〕约定确定变更估价。</w:t>
      </w:r>
    </w:p>
    <w:p w14:paraId="1C4D6D46">
      <w:pPr>
        <w:pStyle w:val="6"/>
        <w:tabs>
          <w:tab w:val="left" w:pos="2155"/>
        </w:tabs>
        <w:rPr>
          <w:color w:val="auto"/>
        </w:rPr>
      </w:pPr>
      <w:bookmarkStart w:id="535" w:name="_Toc351203571"/>
      <w:r>
        <w:rPr>
          <w:color w:val="auto"/>
        </w:rPr>
        <w:t>1</w:t>
      </w:r>
      <w:bookmarkStart w:id="536" w:name="_Toc296346588"/>
      <w:bookmarkStart w:id="537" w:name="_Toc296503087"/>
      <w:bookmarkStart w:id="538" w:name="_Toc337558791"/>
      <w:r>
        <w:rPr>
          <w:color w:val="auto"/>
        </w:rPr>
        <w:t>0.4</w:t>
      </w:r>
      <w:r>
        <w:rPr>
          <w:rFonts w:hint="eastAsia" w:cs="宋体"/>
          <w:color w:val="auto"/>
        </w:rPr>
        <w:t>变更估价</w:t>
      </w:r>
      <w:bookmarkEnd w:id="535"/>
    </w:p>
    <w:bookmarkEnd w:id="536"/>
    <w:bookmarkEnd w:id="537"/>
    <w:bookmarkEnd w:id="538"/>
    <w:p w14:paraId="2A88ED11">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10.4.1 </w:t>
      </w:r>
      <w:r>
        <w:rPr>
          <w:rFonts w:hint="eastAsia" w:hAnsi="宋体"/>
          <w:color w:val="auto"/>
          <w:kern w:val="0"/>
          <w:szCs w:val="21"/>
        </w:rPr>
        <w:t>变更估价原则</w:t>
      </w:r>
    </w:p>
    <w:p w14:paraId="04D74CD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除专用合同条款另有约定外，变更估价按照本款约定处理：</w:t>
      </w:r>
    </w:p>
    <w:p w14:paraId="0040195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）已标价工程量清单或预算书有相同项目的，按照相同项目单价认定；</w:t>
      </w:r>
    </w:p>
    <w:p w14:paraId="2D186BE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）已标价工程量清单或预算书中无相同项目，但有类似项目的，参照类似项目的单价认定；</w:t>
      </w:r>
    </w:p>
    <w:p w14:paraId="37C8C46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）变更导致实际完成的变更工程量与已标价工程量清单或预算书中列明的该项目工程量的变化幅度超过</w:t>
      </w:r>
      <w:r>
        <w:rPr>
          <w:rFonts w:hAnsi="宋体"/>
          <w:color w:val="auto"/>
          <w:kern w:val="0"/>
          <w:szCs w:val="21"/>
        </w:rPr>
        <w:t>15%</w:t>
      </w:r>
      <w:r>
        <w:rPr>
          <w:rFonts w:hint="eastAsia" w:hAnsi="宋体"/>
          <w:color w:val="auto"/>
          <w:kern w:val="0"/>
          <w:szCs w:val="21"/>
        </w:rPr>
        <w:t>的，或已标价工程量清单或预算书中无相同项目及类似项目单价的，按照合理的成本与利润构成的原则，由合同当事人按照第</w:t>
      </w:r>
      <w:r>
        <w:rPr>
          <w:rFonts w:hAnsi="宋体"/>
          <w:color w:val="auto"/>
          <w:kern w:val="0"/>
          <w:szCs w:val="21"/>
        </w:rPr>
        <w:t>4.4</w:t>
      </w:r>
      <w:r>
        <w:rPr>
          <w:rFonts w:hint="eastAsia" w:hAnsi="宋体"/>
          <w:color w:val="auto"/>
          <w:kern w:val="0"/>
          <w:szCs w:val="21"/>
        </w:rPr>
        <w:t>款〔商定或确定〕确定变更工作的单价。</w:t>
      </w:r>
    </w:p>
    <w:p w14:paraId="5103F4E0">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10.4.2 </w:t>
      </w:r>
      <w:r>
        <w:rPr>
          <w:rFonts w:hint="eastAsia" w:hAnsi="宋体"/>
          <w:color w:val="auto"/>
          <w:kern w:val="0"/>
          <w:szCs w:val="21"/>
        </w:rPr>
        <w:t>变更估价程序</w:t>
      </w:r>
    </w:p>
    <w:p w14:paraId="2439E14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承包人应在收到变更指示后</w:t>
      </w:r>
      <w:r>
        <w:rPr>
          <w:rFonts w:hAnsi="宋体"/>
          <w:color w:val="auto"/>
          <w:kern w:val="0"/>
          <w:szCs w:val="21"/>
        </w:rPr>
        <w:t>14</w:t>
      </w:r>
      <w:r>
        <w:rPr>
          <w:rFonts w:hint="eastAsia" w:hAnsi="宋体"/>
          <w:color w:val="auto"/>
          <w:kern w:val="0"/>
          <w:szCs w:val="21"/>
        </w:rPr>
        <w:t>天内，向监理人提交变更估价申请。监理人应在收到承包人提交的变更估价申请后</w:t>
      </w:r>
      <w:r>
        <w:rPr>
          <w:rFonts w:hAnsi="宋体"/>
          <w:color w:val="auto"/>
          <w:kern w:val="0"/>
          <w:szCs w:val="21"/>
        </w:rPr>
        <w:t>7</w:t>
      </w:r>
      <w:r>
        <w:rPr>
          <w:rFonts w:hint="eastAsia" w:hAnsi="宋体"/>
          <w:color w:val="auto"/>
          <w:kern w:val="0"/>
          <w:szCs w:val="21"/>
        </w:rPr>
        <w:t>天内审查完毕并报送发包人，监理人对变更估价申请有异议，通知承包人修改后重新提交。发包人应在承包人提交变更估价申请后</w:t>
      </w:r>
      <w:r>
        <w:rPr>
          <w:rFonts w:hAnsi="宋体"/>
          <w:color w:val="auto"/>
          <w:kern w:val="0"/>
          <w:szCs w:val="21"/>
        </w:rPr>
        <w:t>14</w:t>
      </w:r>
      <w:r>
        <w:rPr>
          <w:rFonts w:hint="eastAsia" w:hAnsi="宋体"/>
          <w:color w:val="auto"/>
          <w:kern w:val="0"/>
          <w:szCs w:val="21"/>
        </w:rPr>
        <w:t>天内审批完毕。发包人逾期未完成审批或未提出异议的，视为认可承包人提交的变更估价申请。</w:t>
      </w:r>
    </w:p>
    <w:p w14:paraId="037685D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因变更引起的价格调整应计入最近一期的进度款中支付。</w:t>
      </w:r>
    </w:p>
    <w:p w14:paraId="2CB801FC">
      <w:pPr>
        <w:pStyle w:val="6"/>
        <w:tabs>
          <w:tab w:val="left" w:pos="2155"/>
        </w:tabs>
        <w:rPr>
          <w:color w:val="auto"/>
        </w:rPr>
      </w:pPr>
      <w:bookmarkStart w:id="539" w:name="_Toc351203572"/>
      <w:r>
        <w:rPr>
          <w:color w:val="auto"/>
        </w:rPr>
        <w:t>1</w:t>
      </w:r>
      <w:bookmarkStart w:id="540" w:name="_Toc296346595"/>
      <w:bookmarkStart w:id="541" w:name="_Toc296503094"/>
      <w:bookmarkStart w:id="542" w:name="_Toc337558792"/>
      <w:r>
        <w:rPr>
          <w:color w:val="auto"/>
        </w:rPr>
        <w:t>0.5</w:t>
      </w:r>
      <w:r>
        <w:rPr>
          <w:rFonts w:hint="eastAsia"/>
          <w:color w:val="auto"/>
        </w:rPr>
        <w:t>承包人的合理化建议</w:t>
      </w:r>
      <w:bookmarkEnd w:id="539"/>
    </w:p>
    <w:bookmarkEnd w:id="540"/>
    <w:bookmarkEnd w:id="541"/>
    <w:bookmarkEnd w:id="542"/>
    <w:p w14:paraId="7BB88EC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承包人提出合理化建议的，应向监理人提交合理化建议说明，说明建议的内容和理由，以及实施该建议对合同价格和工期的影响。</w:t>
      </w:r>
    </w:p>
    <w:p w14:paraId="1152316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除专用合同条款另有约定外，监理人应在收到承包人提交的合理化建议后</w:t>
      </w:r>
      <w:r>
        <w:rPr>
          <w:rFonts w:hAnsi="宋体"/>
          <w:color w:val="auto"/>
          <w:kern w:val="0"/>
          <w:szCs w:val="21"/>
        </w:rPr>
        <w:t>7</w:t>
      </w:r>
      <w:r>
        <w:rPr>
          <w:rFonts w:hint="eastAsia" w:hAnsi="宋体"/>
          <w:color w:val="auto"/>
          <w:kern w:val="0"/>
          <w:szCs w:val="21"/>
        </w:rPr>
        <w:t>天内审查完毕并报送发包人，发现其中存在技术上的缺陷，应通知承包人修改。发包人应在收到监理人报送的合理化建议后</w:t>
      </w:r>
      <w:r>
        <w:rPr>
          <w:rFonts w:hAnsi="宋体"/>
          <w:color w:val="auto"/>
          <w:kern w:val="0"/>
          <w:szCs w:val="21"/>
        </w:rPr>
        <w:t>7</w:t>
      </w:r>
      <w:r>
        <w:rPr>
          <w:rFonts w:hint="eastAsia" w:hAnsi="宋体"/>
          <w:color w:val="auto"/>
          <w:kern w:val="0"/>
          <w:szCs w:val="21"/>
        </w:rPr>
        <w:t>天内审批完毕。合理化建议经发包人批准的，监理人应及时发出变更指示，由此引起的合同价格调整按照第</w:t>
      </w:r>
      <w:r>
        <w:rPr>
          <w:rFonts w:hAnsi="宋体"/>
          <w:color w:val="auto"/>
          <w:kern w:val="0"/>
          <w:szCs w:val="21"/>
        </w:rPr>
        <w:t>10.4</w:t>
      </w:r>
      <w:r>
        <w:rPr>
          <w:rFonts w:hint="eastAsia" w:hAnsi="宋体"/>
          <w:color w:val="auto"/>
          <w:kern w:val="0"/>
          <w:szCs w:val="21"/>
        </w:rPr>
        <w:t>款〔变更估价〕约定执行。发包人不同意变更的，监理人应书面通知承包人。</w:t>
      </w:r>
    </w:p>
    <w:p w14:paraId="7971795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合理化建议降低了合同价格或者提高了工程经济效益的，发包人可对承包人给予奖励，奖励的方法和金额在专用合同条款中约定。</w:t>
      </w:r>
    </w:p>
    <w:p w14:paraId="68BCE720">
      <w:pPr>
        <w:pStyle w:val="6"/>
        <w:tabs>
          <w:tab w:val="left" w:pos="2155"/>
        </w:tabs>
        <w:rPr>
          <w:color w:val="auto"/>
        </w:rPr>
      </w:pPr>
      <w:bookmarkStart w:id="543" w:name="_Toc351203573"/>
      <w:r>
        <w:rPr>
          <w:color w:val="auto"/>
        </w:rPr>
        <w:t>1</w:t>
      </w:r>
      <w:bookmarkStart w:id="544" w:name="_Toc337558793"/>
      <w:r>
        <w:rPr>
          <w:color w:val="auto"/>
        </w:rPr>
        <w:t>0.6</w:t>
      </w:r>
      <w:r>
        <w:rPr>
          <w:rFonts w:hint="eastAsia"/>
          <w:color w:val="auto"/>
        </w:rPr>
        <w:t>变更引起的工期调整</w:t>
      </w:r>
      <w:bookmarkEnd w:id="543"/>
      <w:r>
        <w:rPr>
          <w:color w:val="auto"/>
        </w:rPr>
        <w:t xml:space="preserve"> </w:t>
      </w:r>
      <w:bookmarkEnd w:id="544"/>
      <w:r>
        <w:rPr>
          <w:color w:val="auto"/>
        </w:rPr>
        <w:t xml:space="preserve">  </w:t>
      </w:r>
    </w:p>
    <w:p w14:paraId="27B1249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因变更引起工期变化的，合同当事人均可要求调整合同工期，由合同当事人按照第</w:t>
      </w:r>
      <w:r>
        <w:rPr>
          <w:rFonts w:hAnsi="宋体"/>
          <w:color w:val="auto"/>
          <w:kern w:val="0"/>
          <w:szCs w:val="21"/>
        </w:rPr>
        <w:t>4.4</w:t>
      </w:r>
      <w:r>
        <w:rPr>
          <w:rFonts w:hint="eastAsia" w:hAnsi="宋体"/>
          <w:color w:val="auto"/>
          <w:kern w:val="0"/>
          <w:szCs w:val="21"/>
        </w:rPr>
        <w:t>款〔商定或确定〕并参考工程所在地的工期定额标准确定增减工期天数。</w:t>
      </w:r>
    </w:p>
    <w:p w14:paraId="363C7141">
      <w:pPr>
        <w:pStyle w:val="6"/>
        <w:tabs>
          <w:tab w:val="left" w:pos="2155"/>
        </w:tabs>
        <w:rPr>
          <w:color w:val="auto"/>
        </w:rPr>
      </w:pPr>
      <w:bookmarkStart w:id="545" w:name="_Toc351203574"/>
      <w:r>
        <w:rPr>
          <w:color w:val="auto"/>
        </w:rPr>
        <w:t>10.7</w:t>
      </w:r>
      <w:r>
        <w:rPr>
          <w:rFonts w:hint="eastAsia" w:cs="宋体"/>
          <w:color w:val="auto"/>
        </w:rPr>
        <w:t>暂估价</w:t>
      </w:r>
      <w:bookmarkEnd w:id="545"/>
    </w:p>
    <w:p w14:paraId="325FB1E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暂估价专业分包工程、服务、材料和工程设备的明细由合同当事人在专用合同条款中约定。</w:t>
      </w:r>
    </w:p>
    <w:p w14:paraId="186882B1">
      <w:pPr>
        <w:spacing w:line="360" w:lineRule="auto"/>
        <w:ind w:firstLine="420" w:firstLineChars="200"/>
        <w:jc w:val="left"/>
        <w:rPr>
          <w:rFonts w:hAnsi="宋体"/>
          <w:color w:val="auto"/>
          <w:kern w:val="0"/>
          <w:szCs w:val="21"/>
        </w:rPr>
      </w:pPr>
      <w:r>
        <w:rPr>
          <w:rFonts w:hAnsi="宋体"/>
          <w:color w:val="auto"/>
          <w:szCs w:val="21"/>
        </w:rPr>
        <w:t>10.7.1</w:t>
      </w:r>
      <w:r>
        <w:rPr>
          <w:rFonts w:hAnsi="宋体"/>
          <w:color w:val="auto"/>
          <w:kern w:val="0"/>
          <w:szCs w:val="21"/>
        </w:rPr>
        <w:t xml:space="preserve"> </w:t>
      </w:r>
      <w:r>
        <w:rPr>
          <w:rFonts w:hint="eastAsia" w:hAnsi="宋体"/>
          <w:color w:val="auto"/>
          <w:kern w:val="0"/>
          <w:szCs w:val="21"/>
        </w:rPr>
        <w:t>依法必须招标的暂估价项目</w:t>
      </w:r>
    </w:p>
    <w:p w14:paraId="6DB56E2C">
      <w:pPr>
        <w:spacing w:line="360" w:lineRule="auto"/>
        <w:ind w:firstLine="420" w:firstLineChars="200"/>
        <w:jc w:val="left"/>
        <w:rPr>
          <w:rFonts w:hAnsi="宋体"/>
          <w:color w:val="auto"/>
          <w:kern w:val="0"/>
          <w:szCs w:val="21"/>
        </w:rPr>
      </w:pPr>
      <w:r>
        <w:rPr>
          <w:rFonts w:hint="eastAsia" w:hAnsi="宋体"/>
          <w:color w:val="auto"/>
          <w:kern w:val="0"/>
          <w:szCs w:val="21"/>
        </w:rPr>
        <w:t>对于依法必须招标的暂估价项目，采取以下第</w:t>
      </w:r>
      <w:r>
        <w:rPr>
          <w:rFonts w:hAnsi="宋体"/>
          <w:color w:val="auto"/>
          <w:kern w:val="0"/>
          <w:szCs w:val="21"/>
        </w:rPr>
        <w:t>1</w:t>
      </w:r>
      <w:r>
        <w:rPr>
          <w:rFonts w:hint="eastAsia" w:hAnsi="宋体"/>
          <w:color w:val="auto"/>
          <w:kern w:val="0"/>
          <w:szCs w:val="21"/>
        </w:rPr>
        <w:t>种方式确定。合同当事人也可以在专用合同条款中选择其他招标方式。</w:t>
      </w:r>
    </w:p>
    <w:p w14:paraId="3EBCE048">
      <w:pPr>
        <w:spacing w:line="360" w:lineRule="auto"/>
        <w:ind w:firstLine="420" w:firstLineChars="200"/>
        <w:jc w:val="left"/>
        <w:rPr>
          <w:rFonts w:hAnsi="宋体"/>
          <w:color w:val="auto"/>
          <w:kern w:val="0"/>
          <w:szCs w:val="21"/>
        </w:rPr>
      </w:pPr>
      <w:r>
        <w:rPr>
          <w:rFonts w:hint="eastAsia" w:hAnsi="宋体"/>
          <w:color w:val="auto"/>
          <w:kern w:val="0"/>
          <w:szCs w:val="21"/>
        </w:rPr>
        <w:t>第</w:t>
      </w:r>
      <w:r>
        <w:rPr>
          <w:rFonts w:hAnsi="宋体"/>
          <w:color w:val="auto"/>
          <w:kern w:val="0"/>
          <w:szCs w:val="21"/>
        </w:rPr>
        <w:t>1</w:t>
      </w:r>
      <w:r>
        <w:rPr>
          <w:rFonts w:hint="eastAsia" w:hAnsi="宋体"/>
          <w:color w:val="auto"/>
          <w:kern w:val="0"/>
          <w:szCs w:val="21"/>
        </w:rPr>
        <w:t>种方式：对于依法必须招标的暂估价项目，由承包人招标，对该暂估价项目的确认和批准按照以下约定执行：</w:t>
      </w:r>
    </w:p>
    <w:p w14:paraId="48231F55">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）承包人应当根据施工进度计划，在招标工作启动前</w:t>
      </w:r>
      <w:r>
        <w:rPr>
          <w:rFonts w:hAnsi="宋体"/>
          <w:color w:val="auto"/>
          <w:kern w:val="0"/>
          <w:szCs w:val="21"/>
        </w:rPr>
        <w:t>14</w:t>
      </w:r>
      <w:r>
        <w:rPr>
          <w:rFonts w:hint="eastAsia" w:hAnsi="宋体"/>
          <w:color w:val="auto"/>
          <w:kern w:val="0"/>
          <w:szCs w:val="21"/>
        </w:rPr>
        <w:t>天将招标方案通过监理人报送发包人审查，发包人应当在收到承包人报送的招标方案后</w:t>
      </w:r>
      <w:r>
        <w:rPr>
          <w:rFonts w:hAnsi="宋体"/>
          <w:color w:val="auto"/>
          <w:kern w:val="0"/>
          <w:szCs w:val="21"/>
        </w:rPr>
        <w:t>7</w:t>
      </w:r>
      <w:r>
        <w:rPr>
          <w:rFonts w:hint="eastAsia" w:hAnsi="宋体"/>
          <w:color w:val="auto"/>
          <w:kern w:val="0"/>
          <w:szCs w:val="21"/>
        </w:rPr>
        <w:t>天内批准或提出修改意见。承包人应当按照经过发包人批准的招标方案开展招标工作；</w:t>
      </w:r>
    </w:p>
    <w:p w14:paraId="52D8B38A">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）承包人应当根据施工进度计划，提前</w:t>
      </w:r>
      <w:r>
        <w:rPr>
          <w:rFonts w:hAnsi="宋体"/>
          <w:color w:val="auto"/>
          <w:kern w:val="0"/>
          <w:szCs w:val="21"/>
        </w:rPr>
        <w:t>14</w:t>
      </w:r>
      <w:r>
        <w:rPr>
          <w:rFonts w:hint="eastAsia" w:hAnsi="宋体"/>
          <w:color w:val="auto"/>
          <w:kern w:val="0"/>
          <w:szCs w:val="21"/>
        </w:rPr>
        <w:t>天将招标文件通过监理人报送发包人审批，发包人应当在收到承包人报送的相关文件后</w:t>
      </w:r>
      <w:r>
        <w:rPr>
          <w:rFonts w:hAnsi="宋体"/>
          <w:color w:val="auto"/>
          <w:kern w:val="0"/>
          <w:szCs w:val="21"/>
        </w:rPr>
        <w:t>7</w:t>
      </w:r>
      <w:r>
        <w:rPr>
          <w:rFonts w:hint="eastAsia" w:hAnsi="宋体"/>
          <w:color w:val="auto"/>
          <w:kern w:val="0"/>
          <w:szCs w:val="21"/>
        </w:rPr>
        <w:t>天内完成审批或提出修改意见；发包人有权确定招标控制价并按照法律规定参加评标；</w:t>
      </w:r>
    </w:p>
    <w:p w14:paraId="7AAC1675">
      <w:pPr>
        <w:spacing w:line="360" w:lineRule="auto"/>
        <w:jc w:val="left"/>
        <w:rPr>
          <w:rFonts w:hAnsi="宋体"/>
          <w:color w:val="auto"/>
          <w:kern w:val="0"/>
          <w:szCs w:val="21"/>
        </w:rPr>
      </w:pPr>
      <w:r>
        <w:rPr>
          <w:rFonts w:hAnsi="宋体"/>
          <w:color w:val="auto"/>
          <w:kern w:val="0"/>
          <w:szCs w:val="21"/>
        </w:rPr>
        <w:t xml:space="preserve">    </w:t>
      </w:r>
      <w:r>
        <w:rPr>
          <w:rFonts w:hint="eastAsia" w:hAnsi="宋体"/>
          <w:color w:val="auto"/>
          <w:kern w:val="0"/>
          <w:szCs w:val="21"/>
        </w:rPr>
        <w:t>（</w:t>
      </w:r>
      <w:r>
        <w:rPr>
          <w:rFonts w:hAnsi="宋体"/>
          <w:color w:val="auto"/>
          <w:kern w:val="0"/>
          <w:szCs w:val="21"/>
        </w:rPr>
        <w:t>3</w:t>
      </w:r>
      <w:r>
        <w:rPr>
          <w:rFonts w:hint="eastAsia" w:hAnsi="宋体"/>
          <w:color w:val="auto"/>
          <w:kern w:val="0"/>
          <w:szCs w:val="21"/>
        </w:rPr>
        <w:t>）承包人与供应商、分包人在签订暂估价合同前，应当提前</w:t>
      </w:r>
      <w:r>
        <w:rPr>
          <w:rFonts w:hAnsi="宋体"/>
          <w:color w:val="auto"/>
          <w:kern w:val="0"/>
          <w:szCs w:val="21"/>
        </w:rPr>
        <w:t>7</w:t>
      </w:r>
      <w:r>
        <w:rPr>
          <w:rFonts w:hint="eastAsia" w:hAnsi="宋体"/>
          <w:color w:val="auto"/>
          <w:kern w:val="0"/>
          <w:szCs w:val="21"/>
        </w:rPr>
        <w:t>天将确定的中标候选供应商或中标候选分包人的资料报送发包人，发包人应在收到资料后</w:t>
      </w:r>
      <w:r>
        <w:rPr>
          <w:rFonts w:hAnsi="宋体"/>
          <w:color w:val="auto"/>
          <w:kern w:val="0"/>
          <w:szCs w:val="21"/>
        </w:rPr>
        <w:t>3</w:t>
      </w:r>
      <w:r>
        <w:rPr>
          <w:rFonts w:hint="eastAsia" w:hAnsi="宋体"/>
          <w:color w:val="auto"/>
          <w:kern w:val="0"/>
          <w:szCs w:val="21"/>
        </w:rPr>
        <w:t>天内与承包人共同确定中标人；承包人应当在签订合同后</w:t>
      </w:r>
      <w:r>
        <w:rPr>
          <w:rFonts w:hAnsi="宋体"/>
          <w:color w:val="auto"/>
          <w:kern w:val="0"/>
          <w:szCs w:val="21"/>
        </w:rPr>
        <w:t>7</w:t>
      </w:r>
      <w:r>
        <w:rPr>
          <w:rFonts w:hint="eastAsia" w:hAnsi="宋体"/>
          <w:color w:val="auto"/>
          <w:kern w:val="0"/>
          <w:szCs w:val="21"/>
        </w:rPr>
        <w:t>天内，将暂估价合同副本报送发包人留存。</w:t>
      </w:r>
    </w:p>
    <w:p w14:paraId="36121081">
      <w:pPr>
        <w:spacing w:line="360" w:lineRule="auto"/>
        <w:ind w:firstLine="420" w:firstLineChars="200"/>
        <w:jc w:val="left"/>
        <w:rPr>
          <w:rFonts w:hAnsi="宋体"/>
          <w:color w:val="auto"/>
          <w:kern w:val="0"/>
          <w:szCs w:val="21"/>
        </w:rPr>
      </w:pPr>
      <w:r>
        <w:rPr>
          <w:rFonts w:hint="eastAsia" w:hAnsi="宋体"/>
          <w:color w:val="auto"/>
          <w:kern w:val="0"/>
          <w:szCs w:val="21"/>
        </w:rPr>
        <w:t>第</w:t>
      </w:r>
      <w:r>
        <w:rPr>
          <w:rFonts w:hAnsi="宋体"/>
          <w:color w:val="auto"/>
          <w:kern w:val="0"/>
          <w:szCs w:val="21"/>
        </w:rPr>
        <w:t>2</w:t>
      </w:r>
      <w:r>
        <w:rPr>
          <w:rFonts w:hint="eastAsia" w:hAnsi="宋体"/>
          <w:color w:val="auto"/>
          <w:kern w:val="0"/>
          <w:szCs w:val="21"/>
        </w:rPr>
        <w:t>种方式：对于依法必须招标的暂估价项目，由发包人和承包人共同招标确定暂估价供应商或分包人的，承包人应按照施工进度计划，在招标工作启动前</w:t>
      </w:r>
      <w:r>
        <w:rPr>
          <w:rFonts w:hAnsi="宋体"/>
          <w:color w:val="auto"/>
          <w:kern w:val="0"/>
          <w:szCs w:val="21"/>
        </w:rPr>
        <w:t>14</w:t>
      </w:r>
      <w:r>
        <w:rPr>
          <w:rFonts w:hint="eastAsia" w:hAnsi="宋体"/>
          <w:color w:val="auto"/>
          <w:kern w:val="0"/>
          <w:szCs w:val="21"/>
        </w:rPr>
        <w:t>天通知发包人，并提交暂估价招标方案和工作分工。发包人应在收到后</w:t>
      </w:r>
      <w:r>
        <w:rPr>
          <w:rFonts w:hAnsi="宋体"/>
          <w:color w:val="auto"/>
          <w:kern w:val="0"/>
          <w:szCs w:val="21"/>
        </w:rPr>
        <w:t>7</w:t>
      </w:r>
      <w:r>
        <w:rPr>
          <w:rFonts w:hint="eastAsia" w:hAnsi="宋体"/>
          <w:color w:val="auto"/>
          <w:kern w:val="0"/>
          <w:szCs w:val="21"/>
        </w:rPr>
        <w:t>天内确认。确定中标人后，由发包人、承包人与中标人共同签订暂估价合同。</w:t>
      </w:r>
    </w:p>
    <w:p w14:paraId="0CB6EED6">
      <w:pPr>
        <w:spacing w:line="360" w:lineRule="auto"/>
        <w:ind w:firstLine="420" w:firstLineChars="200"/>
        <w:jc w:val="left"/>
        <w:rPr>
          <w:rFonts w:hAnsi="宋体"/>
          <w:color w:val="auto"/>
          <w:kern w:val="0"/>
          <w:szCs w:val="21"/>
        </w:rPr>
      </w:pPr>
      <w:r>
        <w:rPr>
          <w:rFonts w:hAnsi="宋体"/>
          <w:color w:val="auto"/>
          <w:szCs w:val="21"/>
        </w:rPr>
        <w:t>10.7.2</w:t>
      </w:r>
      <w:r>
        <w:rPr>
          <w:rFonts w:hint="eastAsia" w:hAnsi="宋体"/>
          <w:color w:val="auto"/>
          <w:kern w:val="0"/>
          <w:szCs w:val="21"/>
        </w:rPr>
        <w:t>不属于依法必须招标的暂估价项目</w:t>
      </w:r>
    </w:p>
    <w:p w14:paraId="140725FF">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除专用合同条款另有约定外，对于不属于依法必须招标的暂估价项目，采取以下第</w:t>
      </w:r>
      <w:r>
        <w:rPr>
          <w:rFonts w:hAnsi="宋体"/>
          <w:color w:val="auto"/>
          <w:kern w:val="0"/>
          <w:szCs w:val="21"/>
        </w:rPr>
        <w:t>1</w:t>
      </w:r>
      <w:r>
        <w:rPr>
          <w:rFonts w:hint="eastAsia" w:hAnsi="宋体"/>
          <w:color w:val="auto"/>
          <w:kern w:val="0"/>
          <w:szCs w:val="21"/>
        </w:rPr>
        <w:t>种方式确定：</w:t>
      </w:r>
      <w:r>
        <w:rPr>
          <w:rFonts w:hAnsi="宋体"/>
          <w:color w:val="auto"/>
          <w:kern w:val="0"/>
          <w:szCs w:val="21"/>
        </w:rPr>
        <w:t xml:space="preserve"> </w:t>
      </w:r>
    </w:p>
    <w:p w14:paraId="4C44A734">
      <w:pPr>
        <w:spacing w:line="360" w:lineRule="auto"/>
        <w:ind w:firstLine="420" w:firstLineChars="200"/>
        <w:jc w:val="left"/>
        <w:rPr>
          <w:rFonts w:hAnsi="宋体"/>
          <w:color w:val="auto"/>
          <w:kern w:val="0"/>
          <w:szCs w:val="21"/>
        </w:rPr>
      </w:pPr>
      <w:r>
        <w:rPr>
          <w:rFonts w:hint="eastAsia" w:hAnsi="宋体"/>
          <w:color w:val="auto"/>
          <w:kern w:val="0"/>
          <w:szCs w:val="21"/>
        </w:rPr>
        <w:t>第</w:t>
      </w:r>
      <w:r>
        <w:rPr>
          <w:rFonts w:hAnsi="宋体"/>
          <w:color w:val="auto"/>
          <w:kern w:val="0"/>
          <w:szCs w:val="21"/>
        </w:rPr>
        <w:t>1</w:t>
      </w:r>
      <w:r>
        <w:rPr>
          <w:rFonts w:hint="eastAsia" w:hAnsi="宋体"/>
          <w:color w:val="auto"/>
          <w:kern w:val="0"/>
          <w:szCs w:val="21"/>
        </w:rPr>
        <w:t>种方式：对于不属于依法必须招标的暂估价项目，按本项约定确认和批准：</w:t>
      </w:r>
    </w:p>
    <w:p w14:paraId="4282F258">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）承包人应根据施工进度计划，在签订暂估价项目的采购合同、分包合同前</w:t>
      </w:r>
      <w:r>
        <w:rPr>
          <w:rFonts w:hAnsi="宋体"/>
          <w:color w:val="auto"/>
          <w:kern w:val="0"/>
          <w:szCs w:val="21"/>
        </w:rPr>
        <w:t>28</w:t>
      </w:r>
      <w:r>
        <w:rPr>
          <w:rFonts w:hint="eastAsia" w:hAnsi="宋体"/>
          <w:color w:val="auto"/>
          <w:kern w:val="0"/>
          <w:szCs w:val="21"/>
        </w:rPr>
        <w:t>天向监理人提出书面申请。监理人应当在收到申请后</w:t>
      </w:r>
      <w:r>
        <w:rPr>
          <w:rFonts w:hAnsi="宋体"/>
          <w:color w:val="auto"/>
          <w:kern w:val="0"/>
          <w:szCs w:val="21"/>
        </w:rPr>
        <w:t>3</w:t>
      </w:r>
      <w:r>
        <w:rPr>
          <w:rFonts w:hint="eastAsia" w:hAnsi="宋体"/>
          <w:color w:val="auto"/>
          <w:kern w:val="0"/>
          <w:szCs w:val="21"/>
        </w:rPr>
        <w:t>天内报送发包人，发包人应当在收到申请后</w:t>
      </w:r>
      <w:r>
        <w:rPr>
          <w:rFonts w:hAnsi="宋体"/>
          <w:color w:val="auto"/>
          <w:kern w:val="0"/>
          <w:szCs w:val="21"/>
        </w:rPr>
        <w:t>14</w:t>
      </w:r>
      <w:r>
        <w:rPr>
          <w:rFonts w:hint="eastAsia" w:hAnsi="宋体"/>
          <w:color w:val="auto"/>
          <w:kern w:val="0"/>
          <w:szCs w:val="21"/>
        </w:rPr>
        <w:t>天内给予批准或提出修改意见，发包人逾期未予批准或提出修改意见的，视为该书面申请已获得同意；</w:t>
      </w:r>
    </w:p>
    <w:p w14:paraId="73BB1DA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）发包人认为承包人确定的供应商、分包人无法满足工程质量或合同要求的，发包人可以要求承包人重新确定暂估价项目的供应商、分包人</w:t>
      </w:r>
      <w:r>
        <w:rPr>
          <w:rFonts w:hAnsi="宋体"/>
          <w:color w:val="auto"/>
          <w:kern w:val="0"/>
          <w:szCs w:val="21"/>
        </w:rPr>
        <w:t>;</w:t>
      </w:r>
    </w:p>
    <w:p w14:paraId="2BA5DFEB">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）承包人应当在签订暂估价合同后</w:t>
      </w:r>
      <w:r>
        <w:rPr>
          <w:rFonts w:hAnsi="宋体"/>
          <w:color w:val="auto"/>
          <w:kern w:val="0"/>
          <w:szCs w:val="21"/>
        </w:rPr>
        <w:t>7</w:t>
      </w:r>
      <w:r>
        <w:rPr>
          <w:rFonts w:hint="eastAsia" w:hAnsi="宋体"/>
          <w:color w:val="auto"/>
          <w:kern w:val="0"/>
          <w:szCs w:val="21"/>
        </w:rPr>
        <w:t>天内，将暂估价合同副本报送发包人留存。</w:t>
      </w:r>
    </w:p>
    <w:p w14:paraId="6CA44C1C">
      <w:pPr>
        <w:spacing w:line="360" w:lineRule="auto"/>
        <w:ind w:firstLine="420" w:firstLineChars="200"/>
        <w:jc w:val="left"/>
        <w:rPr>
          <w:rFonts w:hAnsi="宋体"/>
          <w:color w:val="auto"/>
          <w:kern w:val="0"/>
          <w:szCs w:val="21"/>
        </w:rPr>
      </w:pPr>
      <w:r>
        <w:rPr>
          <w:rFonts w:hint="eastAsia" w:hAnsi="宋体"/>
          <w:color w:val="auto"/>
          <w:kern w:val="0"/>
          <w:szCs w:val="21"/>
        </w:rPr>
        <w:t>第</w:t>
      </w:r>
      <w:r>
        <w:rPr>
          <w:rFonts w:hAnsi="宋体"/>
          <w:color w:val="auto"/>
          <w:kern w:val="0"/>
          <w:szCs w:val="21"/>
        </w:rPr>
        <w:t>2</w:t>
      </w:r>
      <w:r>
        <w:rPr>
          <w:rFonts w:hint="eastAsia" w:hAnsi="宋体"/>
          <w:color w:val="auto"/>
          <w:kern w:val="0"/>
          <w:szCs w:val="21"/>
        </w:rPr>
        <w:t>种方式：承包人按照第</w:t>
      </w:r>
      <w:r>
        <w:rPr>
          <w:rFonts w:hAnsi="宋体"/>
          <w:color w:val="auto"/>
          <w:kern w:val="0"/>
          <w:szCs w:val="21"/>
        </w:rPr>
        <w:t>10.7.1</w:t>
      </w:r>
      <w:r>
        <w:rPr>
          <w:rFonts w:hint="eastAsia" w:hAnsi="宋体"/>
          <w:color w:val="auto"/>
          <w:kern w:val="0"/>
          <w:szCs w:val="21"/>
        </w:rPr>
        <w:t>项〔依法必须招标的暂估价项目〕约定的第</w:t>
      </w:r>
      <w:r>
        <w:rPr>
          <w:rFonts w:hAnsi="宋体"/>
          <w:color w:val="auto"/>
          <w:kern w:val="0"/>
          <w:szCs w:val="21"/>
        </w:rPr>
        <w:t>1</w:t>
      </w:r>
      <w:r>
        <w:rPr>
          <w:rFonts w:hint="eastAsia" w:hAnsi="宋体"/>
          <w:color w:val="auto"/>
          <w:kern w:val="0"/>
          <w:szCs w:val="21"/>
        </w:rPr>
        <w:t>种方式确定暂估价项目。</w:t>
      </w:r>
    </w:p>
    <w:p w14:paraId="63CB9774">
      <w:pPr>
        <w:spacing w:line="360" w:lineRule="auto"/>
        <w:ind w:firstLine="420" w:firstLineChars="200"/>
        <w:jc w:val="left"/>
        <w:rPr>
          <w:rFonts w:hAnsi="宋体"/>
          <w:color w:val="auto"/>
          <w:kern w:val="0"/>
          <w:szCs w:val="21"/>
        </w:rPr>
      </w:pPr>
      <w:r>
        <w:rPr>
          <w:rFonts w:hint="eastAsia" w:hAnsi="宋体"/>
          <w:color w:val="auto"/>
          <w:szCs w:val="21"/>
        </w:rPr>
        <w:t>第</w:t>
      </w:r>
      <w:r>
        <w:rPr>
          <w:rFonts w:hAnsi="宋体"/>
          <w:color w:val="auto"/>
          <w:szCs w:val="21"/>
        </w:rPr>
        <w:t>3</w:t>
      </w:r>
      <w:r>
        <w:rPr>
          <w:rFonts w:hint="eastAsia" w:hAnsi="宋体"/>
          <w:color w:val="auto"/>
          <w:szCs w:val="21"/>
        </w:rPr>
        <w:t>种方式：</w:t>
      </w:r>
      <w:r>
        <w:rPr>
          <w:rFonts w:hint="eastAsia" w:hAnsi="宋体"/>
          <w:color w:val="auto"/>
          <w:kern w:val="0"/>
          <w:szCs w:val="21"/>
        </w:rPr>
        <w:t>承包人直接实施的暂估价项目</w:t>
      </w:r>
    </w:p>
    <w:p w14:paraId="35EC3AE9">
      <w:pPr>
        <w:spacing w:line="360" w:lineRule="auto"/>
        <w:ind w:firstLine="420" w:firstLineChars="200"/>
        <w:jc w:val="left"/>
        <w:rPr>
          <w:rFonts w:hAnsi="宋体"/>
          <w:color w:val="auto"/>
          <w:kern w:val="0"/>
          <w:szCs w:val="21"/>
        </w:rPr>
      </w:pPr>
      <w:r>
        <w:rPr>
          <w:rFonts w:hint="eastAsia" w:hAnsi="宋体"/>
          <w:color w:val="auto"/>
          <w:kern w:val="0"/>
          <w:szCs w:val="21"/>
        </w:rPr>
        <w:t>承包人具备实施暂估价项目的资格和条件的，经发包人和承包人协商一致后，可由承包人自行实施暂估价项目，合同当事人可以在专用合同条款约定具体事项。</w:t>
      </w:r>
    </w:p>
    <w:p w14:paraId="0E600BAB">
      <w:pPr>
        <w:spacing w:line="360" w:lineRule="auto"/>
        <w:ind w:firstLine="420" w:firstLineChars="200"/>
        <w:jc w:val="left"/>
        <w:rPr>
          <w:rFonts w:hAnsi="宋体"/>
          <w:color w:val="auto"/>
          <w:kern w:val="0"/>
          <w:szCs w:val="21"/>
        </w:rPr>
      </w:pPr>
      <w:r>
        <w:rPr>
          <w:rFonts w:hAnsi="宋体"/>
          <w:color w:val="auto"/>
          <w:kern w:val="0"/>
          <w:szCs w:val="21"/>
        </w:rPr>
        <w:t xml:space="preserve">10.7.3 </w:t>
      </w:r>
      <w:r>
        <w:rPr>
          <w:rFonts w:hint="eastAsia" w:hAnsi="宋体"/>
          <w:color w:val="auto"/>
          <w:kern w:val="0"/>
          <w:szCs w:val="21"/>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3A99C2FB">
      <w:pPr>
        <w:pStyle w:val="6"/>
        <w:tabs>
          <w:tab w:val="left" w:pos="2155"/>
        </w:tabs>
        <w:rPr>
          <w:color w:val="auto"/>
        </w:rPr>
      </w:pPr>
      <w:bookmarkStart w:id="546" w:name="_Toc351203575"/>
      <w:r>
        <w:rPr>
          <w:color w:val="auto"/>
        </w:rPr>
        <w:t>1</w:t>
      </w:r>
      <w:bookmarkStart w:id="547" w:name="_Toc337558794"/>
      <w:bookmarkStart w:id="548" w:name="_Toc322522561"/>
      <w:bookmarkStart w:id="549" w:name="_Toc296503090"/>
      <w:bookmarkStart w:id="550" w:name="_Toc296346591"/>
      <w:r>
        <w:rPr>
          <w:color w:val="auto"/>
        </w:rPr>
        <w:t>0.8</w:t>
      </w:r>
      <w:r>
        <w:rPr>
          <w:rFonts w:hint="eastAsia" w:cs="宋体"/>
          <w:color w:val="auto"/>
        </w:rPr>
        <w:t>暂列金额</w:t>
      </w:r>
      <w:bookmarkEnd w:id="546"/>
    </w:p>
    <w:bookmarkEnd w:id="547"/>
    <w:p w14:paraId="71DDECF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暂列金额应按照发包人的要求使用，发包人的要求应通过监理人发出。合同当事人可以在专用合同条款中协商确定有关事项。</w:t>
      </w:r>
    </w:p>
    <w:bookmarkEnd w:id="548"/>
    <w:bookmarkEnd w:id="549"/>
    <w:bookmarkEnd w:id="550"/>
    <w:p w14:paraId="1747E536">
      <w:pPr>
        <w:pStyle w:val="6"/>
        <w:tabs>
          <w:tab w:val="left" w:pos="2155"/>
        </w:tabs>
        <w:rPr>
          <w:color w:val="auto"/>
        </w:rPr>
      </w:pPr>
      <w:bookmarkStart w:id="551" w:name="_Toc351203576"/>
      <w:r>
        <w:rPr>
          <w:color w:val="auto"/>
        </w:rPr>
        <w:t>1</w:t>
      </w:r>
      <w:bookmarkStart w:id="552" w:name="_Toc296503091"/>
      <w:bookmarkStart w:id="553" w:name="_Toc337558796"/>
      <w:bookmarkStart w:id="554" w:name="_Toc296346592"/>
      <w:r>
        <w:rPr>
          <w:color w:val="auto"/>
        </w:rPr>
        <w:t>0.9</w:t>
      </w:r>
      <w:r>
        <w:rPr>
          <w:rFonts w:hint="eastAsia" w:cs="宋体"/>
          <w:color w:val="auto"/>
        </w:rPr>
        <w:t>计日工</w:t>
      </w:r>
      <w:bookmarkEnd w:id="551"/>
      <w:r>
        <w:rPr>
          <w:color w:val="auto"/>
        </w:rPr>
        <w:t xml:space="preserve"> </w:t>
      </w:r>
      <w:bookmarkEnd w:id="552"/>
      <w:bookmarkEnd w:id="553"/>
      <w:bookmarkEnd w:id="554"/>
    </w:p>
    <w:p w14:paraId="4DC8E8E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w:t>
      </w:r>
      <w:r>
        <w:rPr>
          <w:rFonts w:hAnsi="宋体"/>
          <w:color w:val="auto"/>
          <w:kern w:val="0"/>
          <w:szCs w:val="21"/>
        </w:rPr>
        <w:t>4.4</w:t>
      </w:r>
      <w:r>
        <w:rPr>
          <w:rFonts w:hint="eastAsia" w:hAnsi="宋体"/>
          <w:color w:val="auto"/>
          <w:kern w:val="0"/>
          <w:szCs w:val="21"/>
        </w:rPr>
        <w:t>款〔商定或确定〕确定计日工的单价。</w:t>
      </w:r>
    </w:p>
    <w:p w14:paraId="200629FA">
      <w:pPr>
        <w:spacing w:line="360" w:lineRule="auto"/>
        <w:ind w:firstLine="420" w:firstLineChars="200"/>
        <w:jc w:val="left"/>
        <w:rPr>
          <w:rFonts w:hAnsi="宋体"/>
          <w:color w:val="auto"/>
          <w:kern w:val="0"/>
          <w:szCs w:val="21"/>
        </w:rPr>
      </w:pPr>
      <w:r>
        <w:rPr>
          <w:rFonts w:hint="eastAsia" w:hAnsi="宋体"/>
          <w:color w:val="auto"/>
          <w:kern w:val="0"/>
          <w:szCs w:val="21"/>
        </w:rPr>
        <w:t>采用计日工计价的任何一项工作，承包人应在该项工作实施过程中，每天提交以下报表和有关凭证报送监理人审查：</w:t>
      </w:r>
    </w:p>
    <w:p w14:paraId="4574C74D">
      <w:pPr>
        <w:spacing w:line="360" w:lineRule="auto"/>
        <w:ind w:firstLine="315" w:firstLineChars="15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）工作名称、内容和数量；</w:t>
      </w:r>
    </w:p>
    <w:p w14:paraId="207246E4">
      <w:pPr>
        <w:spacing w:line="360" w:lineRule="auto"/>
        <w:ind w:firstLine="315" w:firstLineChars="15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）投入该工作的所有人员的姓名、专业、工种、级别和耗用工时；</w:t>
      </w:r>
    </w:p>
    <w:p w14:paraId="0E2D71AD">
      <w:pPr>
        <w:spacing w:line="360" w:lineRule="auto"/>
        <w:ind w:firstLine="315" w:firstLineChars="15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）投入该工作的材料类别和数量；</w:t>
      </w:r>
    </w:p>
    <w:p w14:paraId="7F7BC708">
      <w:pPr>
        <w:spacing w:line="360" w:lineRule="auto"/>
        <w:ind w:firstLine="315" w:firstLineChars="15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）投入该工作的施工设备型号、台数和耗用台时；</w:t>
      </w:r>
    </w:p>
    <w:p w14:paraId="59979E22">
      <w:pPr>
        <w:spacing w:line="360" w:lineRule="auto"/>
        <w:ind w:firstLine="315" w:firstLineChars="15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）其他有关资料和凭证。</w:t>
      </w:r>
    </w:p>
    <w:p w14:paraId="45022626">
      <w:pPr>
        <w:spacing w:line="360" w:lineRule="auto"/>
        <w:ind w:firstLine="315" w:firstLineChars="150"/>
        <w:jc w:val="left"/>
        <w:rPr>
          <w:rFonts w:hAnsi="宋体"/>
          <w:color w:val="auto"/>
          <w:kern w:val="0"/>
          <w:szCs w:val="21"/>
        </w:rPr>
      </w:pPr>
      <w:r>
        <w:rPr>
          <w:rFonts w:hAnsi="宋体"/>
          <w:color w:val="auto"/>
          <w:kern w:val="0"/>
          <w:szCs w:val="21"/>
        </w:rPr>
        <w:t xml:space="preserve"> </w:t>
      </w:r>
      <w:r>
        <w:rPr>
          <w:rFonts w:hint="eastAsia" w:hAnsi="宋体"/>
          <w:color w:val="auto"/>
          <w:kern w:val="0"/>
          <w:szCs w:val="21"/>
        </w:rPr>
        <w:t>计日工由承包人汇总后，列入最近一期进度付款申请单，由监理人审查并经发包人批准后列入进度付款。</w:t>
      </w:r>
    </w:p>
    <w:p w14:paraId="41452856">
      <w:pPr>
        <w:pStyle w:val="5"/>
        <w:tabs>
          <w:tab w:val="left" w:pos="900"/>
        </w:tabs>
        <w:rPr>
          <w:color w:val="auto"/>
        </w:rPr>
      </w:pPr>
      <w:bookmarkStart w:id="555" w:name="_Toc17631"/>
      <w:bookmarkStart w:id="556" w:name="_Toc525396180"/>
      <w:bookmarkStart w:id="557" w:name="_Toc10536"/>
      <w:bookmarkStart w:id="558" w:name="_Toc30034"/>
      <w:bookmarkStart w:id="559" w:name="_Toc8078"/>
      <w:bookmarkStart w:id="560" w:name="_Toc351203577"/>
      <w:r>
        <w:rPr>
          <w:color w:val="auto"/>
        </w:rPr>
        <w:t xml:space="preserve">11. </w:t>
      </w:r>
      <w:r>
        <w:rPr>
          <w:rFonts w:hint="eastAsia" w:cs="宋体"/>
          <w:color w:val="auto"/>
        </w:rPr>
        <w:t>价格调整</w:t>
      </w:r>
      <w:bookmarkEnd w:id="555"/>
      <w:bookmarkEnd w:id="556"/>
      <w:bookmarkEnd w:id="557"/>
      <w:bookmarkEnd w:id="558"/>
      <w:bookmarkEnd w:id="559"/>
      <w:bookmarkEnd w:id="560"/>
    </w:p>
    <w:p w14:paraId="0C531040">
      <w:pPr>
        <w:pStyle w:val="6"/>
        <w:tabs>
          <w:tab w:val="left" w:pos="2155"/>
        </w:tabs>
        <w:rPr>
          <w:color w:val="auto"/>
        </w:rPr>
      </w:pPr>
      <w:bookmarkStart w:id="561" w:name="_Toc351203578"/>
      <w:bookmarkStart w:id="562" w:name="_Toc296503092"/>
      <w:bookmarkStart w:id="563" w:name="_Toc337558797"/>
      <w:bookmarkStart w:id="564" w:name="_Toc296346593"/>
      <w:r>
        <w:rPr>
          <w:color w:val="auto"/>
        </w:rPr>
        <w:t>11.1</w:t>
      </w:r>
      <w:r>
        <w:rPr>
          <w:rFonts w:hint="eastAsia"/>
          <w:color w:val="auto"/>
        </w:rPr>
        <w:t>市场价格波动引起的调整</w:t>
      </w:r>
      <w:bookmarkEnd w:id="561"/>
    </w:p>
    <w:bookmarkEnd w:id="562"/>
    <w:bookmarkEnd w:id="563"/>
    <w:bookmarkEnd w:id="564"/>
    <w:p w14:paraId="2BFAAD0F">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除专用合同条款另有约定外，市场价格波动超过合同当事人约定的范围，合同价格应当调整。合同当事人可以在专用合同条款中约定选择以下一种方式对合同价格进行调整：</w:t>
      </w:r>
    </w:p>
    <w:p w14:paraId="02481E29">
      <w:pPr>
        <w:spacing w:line="360" w:lineRule="auto"/>
        <w:ind w:firstLine="420" w:firstLineChars="200"/>
        <w:rPr>
          <w:rFonts w:hAnsi="宋体"/>
          <w:color w:val="auto"/>
          <w:szCs w:val="21"/>
        </w:rPr>
      </w:pPr>
      <w:r>
        <w:rPr>
          <w:rFonts w:hint="eastAsia" w:hAnsi="宋体"/>
          <w:color w:val="auto"/>
          <w:szCs w:val="21"/>
        </w:rPr>
        <w:t>第</w:t>
      </w:r>
      <w:r>
        <w:rPr>
          <w:rFonts w:hAnsi="宋体"/>
          <w:color w:val="auto"/>
          <w:szCs w:val="21"/>
        </w:rPr>
        <w:t>1</w:t>
      </w:r>
      <w:r>
        <w:rPr>
          <w:rFonts w:hint="eastAsia" w:hAnsi="宋体"/>
          <w:color w:val="auto"/>
          <w:szCs w:val="21"/>
        </w:rPr>
        <w:t>种方式：采用价格指数进行价格调整。</w:t>
      </w:r>
    </w:p>
    <w:p w14:paraId="05CA2FDF">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）价格调整公式</w:t>
      </w:r>
    </w:p>
    <w:p w14:paraId="3168A0C8">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因人工、材料和设备等价格波动影响合同价格时，根据专用合同条款中约定的数据，按以下公式计算差额并调整合同价格：</w:t>
      </w:r>
    </w:p>
    <w:p w14:paraId="4B2E1D35">
      <w:pPr>
        <w:tabs>
          <w:tab w:val="left" w:pos="0"/>
          <w:tab w:val="left" w:pos="360"/>
          <w:tab w:val="left" w:pos="540"/>
        </w:tabs>
        <w:spacing w:line="360" w:lineRule="auto"/>
        <w:ind w:firstLine="420" w:firstLineChars="200"/>
        <w:rPr>
          <w:rFonts w:hAnsi="宋体"/>
          <w:color w:val="auto"/>
          <w:szCs w:val="21"/>
        </w:rPr>
      </w:pPr>
      <w:r>
        <w:rPr>
          <w:rFonts w:hAnsi="宋体"/>
          <w:color w:val="auto"/>
          <w:position w:val="-30"/>
          <w:szCs w:val="21"/>
        </w:rPr>
        <w:drawing>
          <wp:inline distT="0" distB="0" distL="114300" distR="114300">
            <wp:extent cx="4572000" cy="562610"/>
            <wp:effectExtent l="0" t="0" r="0" b="825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9" cstate="print"/>
                    <a:stretch>
                      <a:fillRect/>
                    </a:stretch>
                  </pic:blipFill>
                  <pic:spPr>
                    <a:xfrm>
                      <a:off x="0" y="0"/>
                      <a:ext cx="4572000" cy="562610"/>
                    </a:xfrm>
                    <a:prstGeom prst="rect">
                      <a:avLst/>
                    </a:prstGeom>
                    <a:noFill/>
                    <a:ln>
                      <a:noFill/>
                    </a:ln>
                  </pic:spPr>
                </pic:pic>
              </a:graphicData>
            </a:graphic>
          </wp:inline>
        </w:drawing>
      </w:r>
    </w:p>
    <w:p w14:paraId="3F2F73C3">
      <w:pPr>
        <w:tabs>
          <w:tab w:val="left" w:pos="0"/>
          <w:tab w:val="left" w:pos="360"/>
          <w:tab w:val="left" w:pos="540"/>
        </w:tabs>
        <w:spacing w:line="360" w:lineRule="auto"/>
        <w:ind w:firstLine="640"/>
        <w:rPr>
          <w:rFonts w:hAnsi="宋体"/>
          <w:color w:val="auto"/>
          <w:szCs w:val="21"/>
        </w:rPr>
      </w:pPr>
      <w:r>
        <w:rPr>
          <w:rFonts w:hint="eastAsia" w:hAnsi="宋体"/>
          <w:color w:val="auto"/>
          <w:szCs w:val="21"/>
        </w:rPr>
        <w:t>公式中：</w:t>
      </w:r>
      <w:r>
        <w:rPr>
          <w:rFonts w:hAnsi="宋体"/>
          <w:color w:val="auto"/>
          <w:szCs w:val="21"/>
        </w:rPr>
        <w:t>ΔP——</w:t>
      </w:r>
      <w:r>
        <w:rPr>
          <w:rFonts w:hint="eastAsia" w:hAnsi="宋体"/>
          <w:color w:val="auto"/>
          <w:szCs w:val="21"/>
        </w:rPr>
        <w:t>需调整的价格差额；</w:t>
      </w:r>
    </w:p>
    <w:p w14:paraId="1DBF0600">
      <w:pPr>
        <w:tabs>
          <w:tab w:val="left" w:pos="0"/>
          <w:tab w:val="left" w:pos="360"/>
          <w:tab w:val="left" w:pos="540"/>
        </w:tabs>
        <w:spacing w:line="360" w:lineRule="auto"/>
        <w:ind w:firstLine="1260" w:firstLineChars="600"/>
        <w:rPr>
          <w:rFonts w:hAnsi="宋体"/>
          <w:color w:val="auto"/>
          <w:szCs w:val="21"/>
        </w:rPr>
      </w:pPr>
      <w:r>
        <w:rPr>
          <w:rFonts w:hAnsi="宋体"/>
          <w:color w:val="auto"/>
          <w:position w:val="-6"/>
          <w:szCs w:val="21"/>
        </w:rPr>
        <w:drawing>
          <wp:inline distT="0" distB="0" distL="114300" distR="114300">
            <wp:extent cx="227965" cy="2279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stretch>
                      <a:fillRect/>
                    </a:stretch>
                  </pic:blipFill>
                  <pic:spPr>
                    <a:xfrm>
                      <a:off x="0" y="0"/>
                      <a:ext cx="227965" cy="227965"/>
                    </a:xfrm>
                    <a:prstGeom prst="rect">
                      <a:avLst/>
                    </a:prstGeom>
                    <a:noFill/>
                    <a:ln>
                      <a:noFill/>
                    </a:ln>
                  </pic:spPr>
                </pic:pic>
              </a:graphicData>
            </a:graphic>
          </wp:inline>
        </w:drawing>
      </w:r>
      <w:r>
        <w:rPr>
          <w:rFonts w:hAnsi="宋体"/>
          <w:color w:val="auto"/>
          <w:szCs w:val="21"/>
        </w:rPr>
        <w:t>——</w:t>
      </w:r>
      <w:r>
        <w:rPr>
          <w:rFonts w:hint="eastAsia" w:hAnsi="宋体"/>
          <w:color w:val="auto"/>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1EDFEDDD">
      <w:pPr>
        <w:tabs>
          <w:tab w:val="left" w:pos="0"/>
          <w:tab w:val="left" w:pos="360"/>
          <w:tab w:val="left" w:pos="540"/>
        </w:tabs>
        <w:spacing w:line="360" w:lineRule="auto"/>
        <w:ind w:firstLine="420" w:firstLineChars="200"/>
        <w:rPr>
          <w:rFonts w:hAnsi="宋体"/>
          <w:color w:val="auto"/>
          <w:szCs w:val="21"/>
        </w:rPr>
      </w:pPr>
      <w:r>
        <w:rPr>
          <w:rFonts w:hAnsi="宋体"/>
          <w:color w:val="auto"/>
          <w:szCs w:val="21"/>
        </w:rPr>
        <w:t>A——</w:t>
      </w:r>
      <w:r>
        <w:rPr>
          <w:rFonts w:hint="eastAsia" w:hAnsi="宋体"/>
          <w:color w:val="auto"/>
          <w:szCs w:val="21"/>
        </w:rPr>
        <w:t>定值权重（即不调部分的权重）；</w:t>
      </w:r>
    </w:p>
    <w:p w14:paraId="28CFAC79">
      <w:pPr>
        <w:tabs>
          <w:tab w:val="left" w:pos="0"/>
          <w:tab w:val="left" w:pos="360"/>
          <w:tab w:val="left" w:pos="540"/>
        </w:tabs>
        <w:spacing w:line="360" w:lineRule="auto"/>
        <w:ind w:firstLine="420" w:firstLineChars="200"/>
        <w:rPr>
          <w:rFonts w:hAnsi="宋体"/>
          <w:color w:val="auto"/>
          <w:szCs w:val="21"/>
        </w:rPr>
      </w:pPr>
      <w:r>
        <w:rPr>
          <w:rFonts w:hAnsi="宋体"/>
          <w:color w:val="auto"/>
          <w:position w:val="-10"/>
          <w:szCs w:val="21"/>
        </w:rPr>
        <w:drawing>
          <wp:inline distT="0" distB="0" distL="114300" distR="114300">
            <wp:extent cx="1285240" cy="266065"/>
            <wp:effectExtent l="0" t="0" r="10160" b="63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cstate="print"/>
                    <a:stretch>
                      <a:fillRect/>
                    </a:stretch>
                  </pic:blipFill>
                  <pic:spPr>
                    <a:xfrm>
                      <a:off x="0" y="0"/>
                      <a:ext cx="1285240" cy="266065"/>
                    </a:xfrm>
                    <a:prstGeom prst="rect">
                      <a:avLst/>
                    </a:prstGeom>
                    <a:noFill/>
                    <a:ln>
                      <a:noFill/>
                    </a:ln>
                  </pic:spPr>
                </pic:pic>
              </a:graphicData>
            </a:graphic>
          </wp:inline>
        </w:drawing>
      </w:r>
      <w:r>
        <w:rPr>
          <w:rFonts w:hAnsi="宋体"/>
          <w:color w:val="auto"/>
          <w:szCs w:val="21"/>
        </w:rPr>
        <w:t>——</w:t>
      </w:r>
      <w:r>
        <w:rPr>
          <w:rFonts w:hint="eastAsia" w:hAnsi="宋体"/>
          <w:color w:val="auto"/>
          <w:szCs w:val="21"/>
        </w:rPr>
        <w:t>各可调因子的变值权重（即可调部分的权重），为各可调因子在签约合同价中所占的比例；</w:t>
      </w:r>
    </w:p>
    <w:p w14:paraId="2D547890">
      <w:pPr>
        <w:tabs>
          <w:tab w:val="left" w:pos="0"/>
          <w:tab w:val="left" w:pos="360"/>
          <w:tab w:val="left" w:pos="540"/>
        </w:tabs>
        <w:spacing w:line="360" w:lineRule="auto"/>
        <w:ind w:firstLine="420" w:firstLineChars="200"/>
        <w:rPr>
          <w:rFonts w:hAnsi="宋体"/>
          <w:color w:val="auto"/>
          <w:szCs w:val="21"/>
        </w:rPr>
      </w:pPr>
      <w:r>
        <w:rPr>
          <w:rFonts w:hAnsi="宋体"/>
          <w:color w:val="auto"/>
          <w:position w:val="-10"/>
          <w:szCs w:val="21"/>
        </w:rPr>
        <w:drawing>
          <wp:inline distT="0" distB="0" distL="114300" distR="114300">
            <wp:extent cx="1295400" cy="256540"/>
            <wp:effectExtent l="0" t="0" r="0" b="1143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2" cstate="print"/>
                    <a:stretch>
                      <a:fillRect/>
                    </a:stretch>
                  </pic:blipFill>
                  <pic:spPr>
                    <a:xfrm>
                      <a:off x="0" y="0"/>
                      <a:ext cx="1295400" cy="256540"/>
                    </a:xfrm>
                    <a:prstGeom prst="rect">
                      <a:avLst/>
                    </a:prstGeom>
                    <a:noFill/>
                    <a:ln>
                      <a:noFill/>
                    </a:ln>
                  </pic:spPr>
                </pic:pic>
              </a:graphicData>
            </a:graphic>
          </wp:inline>
        </w:drawing>
      </w:r>
      <w:r>
        <w:rPr>
          <w:rFonts w:hAnsi="宋体"/>
          <w:color w:val="auto"/>
          <w:szCs w:val="21"/>
        </w:rPr>
        <w:t>——</w:t>
      </w:r>
      <w:r>
        <w:rPr>
          <w:rFonts w:hint="eastAsia" w:hAnsi="宋体"/>
          <w:color w:val="auto"/>
          <w:szCs w:val="21"/>
        </w:rPr>
        <w:t>各可调因子的现行价格指数，指约定的付款证书相关周期最后一天的前</w:t>
      </w:r>
      <w:r>
        <w:rPr>
          <w:rFonts w:hAnsi="宋体"/>
          <w:color w:val="auto"/>
          <w:szCs w:val="21"/>
        </w:rPr>
        <w:t>42</w:t>
      </w:r>
      <w:r>
        <w:rPr>
          <w:rFonts w:hint="eastAsia" w:hAnsi="宋体"/>
          <w:color w:val="auto"/>
          <w:szCs w:val="21"/>
        </w:rPr>
        <w:t>天的各可调因子的价格指数；</w:t>
      </w:r>
    </w:p>
    <w:p w14:paraId="11235FEB">
      <w:pPr>
        <w:tabs>
          <w:tab w:val="left" w:pos="0"/>
          <w:tab w:val="left" w:pos="360"/>
          <w:tab w:val="left" w:pos="540"/>
        </w:tabs>
        <w:spacing w:line="360" w:lineRule="auto"/>
        <w:ind w:firstLine="420" w:firstLineChars="200"/>
        <w:rPr>
          <w:rFonts w:hAnsi="宋体"/>
          <w:color w:val="auto"/>
          <w:szCs w:val="21"/>
        </w:rPr>
      </w:pPr>
      <w:r>
        <w:rPr>
          <w:rFonts w:hAnsi="宋体"/>
          <w:color w:val="auto"/>
          <w:position w:val="-10"/>
          <w:szCs w:val="21"/>
        </w:rPr>
        <w:drawing>
          <wp:inline distT="0" distB="0" distL="114300" distR="114300">
            <wp:extent cx="1370330" cy="256540"/>
            <wp:effectExtent l="0" t="0" r="1270" b="1143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3" cstate="print"/>
                    <a:stretch>
                      <a:fillRect/>
                    </a:stretch>
                  </pic:blipFill>
                  <pic:spPr>
                    <a:xfrm>
                      <a:off x="0" y="0"/>
                      <a:ext cx="1370330" cy="256540"/>
                    </a:xfrm>
                    <a:prstGeom prst="rect">
                      <a:avLst/>
                    </a:prstGeom>
                    <a:noFill/>
                    <a:ln>
                      <a:noFill/>
                    </a:ln>
                  </pic:spPr>
                </pic:pic>
              </a:graphicData>
            </a:graphic>
          </wp:inline>
        </w:drawing>
      </w:r>
      <w:r>
        <w:rPr>
          <w:rFonts w:hAnsi="宋体"/>
          <w:color w:val="auto"/>
          <w:szCs w:val="21"/>
        </w:rPr>
        <w:t>——</w:t>
      </w:r>
      <w:r>
        <w:rPr>
          <w:rFonts w:hint="eastAsia" w:hAnsi="宋体"/>
          <w:color w:val="auto"/>
          <w:szCs w:val="21"/>
        </w:rPr>
        <w:t>各可调因子的基本价格指数，指基准日期的各可调因子的价格指数。</w:t>
      </w:r>
    </w:p>
    <w:p w14:paraId="3E98C15C">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52662AD">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）暂时确定调整差额</w:t>
      </w:r>
    </w:p>
    <w:p w14:paraId="23513F14">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在计算调整差额时无现行价格指数的，合同当事人同意暂用前次价格指数计算。实际价格指数有调整的，合同当事人进行相应调整。</w:t>
      </w:r>
    </w:p>
    <w:p w14:paraId="76764356">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）权重的调整</w:t>
      </w:r>
    </w:p>
    <w:p w14:paraId="13E12C22">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因变更导致合同约定的权重不合理时，按照第</w:t>
      </w:r>
      <w:r>
        <w:rPr>
          <w:rFonts w:hAnsi="宋体"/>
          <w:color w:val="auto"/>
          <w:szCs w:val="21"/>
        </w:rPr>
        <w:t>4.4</w:t>
      </w:r>
      <w:r>
        <w:rPr>
          <w:rFonts w:hint="eastAsia" w:hAnsi="宋体"/>
          <w:color w:val="auto"/>
          <w:szCs w:val="21"/>
        </w:rPr>
        <w:t>款〔商定或确定〕执行。</w:t>
      </w:r>
    </w:p>
    <w:p w14:paraId="79C96773">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）因承包人原因工期延误后的价格调整</w:t>
      </w:r>
    </w:p>
    <w:p w14:paraId="7BD8CDE9">
      <w:pPr>
        <w:tabs>
          <w:tab w:val="left" w:pos="0"/>
          <w:tab w:val="left" w:pos="360"/>
          <w:tab w:val="left" w:pos="540"/>
        </w:tabs>
        <w:spacing w:line="360" w:lineRule="auto"/>
        <w:ind w:firstLine="420" w:firstLineChars="200"/>
        <w:rPr>
          <w:rFonts w:hAnsi="宋体"/>
          <w:color w:val="auto"/>
          <w:szCs w:val="21"/>
        </w:rPr>
      </w:pPr>
      <w:r>
        <w:rPr>
          <w:rFonts w:hint="eastAsia" w:hAnsi="宋体"/>
          <w:color w:val="auto"/>
          <w:szCs w:val="21"/>
        </w:rPr>
        <w:t>因承包人原因未按期竣工的，对合同约定的竣工日期后继续施工的工程，在使用价格调整公式时，应采用计划竣工日期与实际竣工日期的两个价格指数中较低的一个作为现行价格指数。</w:t>
      </w:r>
    </w:p>
    <w:p w14:paraId="32158E6E">
      <w:pPr>
        <w:spacing w:line="360" w:lineRule="auto"/>
        <w:ind w:firstLine="420" w:firstLineChars="200"/>
        <w:rPr>
          <w:rFonts w:hAnsi="宋体"/>
          <w:color w:val="auto"/>
          <w:szCs w:val="21"/>
        </w:rPr>
      </w:pPr>
      <w:r>
        <w:rPr>
          <w:rFonts w:hint="eastAsia" w:hAnsi="宋体"/>
          <w:color w:val="auto"/>
          <w:szCs w:val="21"/>
        </w:rPr>
        <w:t>第</w:t>
      </w:r>
      <w:r>
        <w:rPr>
          <w:rFonts w:hAnsi="宋体"/>
          <w:color w:val="auto"/>
          <w:szCs w:val="21"/>
        </w:rPr>
        <w:t>2</w:t>
      </w:r>
      <w:r>
        <w:rPr>
          <w:rFonts w:hint="eastAsia" w:hAnsi="宋体"/>
          <w:color w:val="auto"/>
          <w:szCs w:val="21"/>
        </w:rPr>
        <w:t>种方式：采用造价信息进行价格调整。</w:t>
      </w:r>
    </w:p>
    <w:p w14:paraId="2E836633">
      <w:pPr>
        <w:spacing w:line="360" w:lineRule="auto"/>
        <w:ind w:firstLine="420" w:firstLineChars="200"/>
        <w:rPr>
          <w:rFonts w:hAnsi="宋体"/>
          <w:color w:val="auto"/>
          <w:szCs w:val="21"/>
        </w:rPr>
      </w:pPr>
      <w:r>
        <w:rPr>
          <w:rFonts w:hint="eastAsia" w:hAnsi="宋体"/>
          <w:color w:val="auto"/>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DC2499B">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0AE495E">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）材料、工程设备价格变化的价款调整按照发包人提供的基准价格，按以下风险范围规定执行</w:t>
      </w:r>
      <w:r>
        <w:rPr>
          <w:rFonts w:hAnsi="宋体"/>
          <w:color w:val="auto"/>
          <w:szCs w:val="21"/>
        </w:rPr>
        <w:t>:</w:t>
      </w:r>
    </w:p>
    <w:p w14:paraId="655B127B">
      <w:pPr>
        <w:spacing w:line="360" w:lineRule="auto"/>
        <w:ind w:firstLine="420" w:firstLineChars="200"/>
        <w:rPr>
          <w:rFonts w:hAnsi="宋体"/>
          <w:color w:val="auto"/>
          <w:szCs w:val="21"/>
        </w:rPr>
      </w:pPr>
      <w:r>
        <w:rPr>
          <w:rFonts w:hint="eastAsia" w:hAnsi="宋体" w:cs="宋体"/>
          <w:color w:val="auto"/>
          <w:szCs w:val="21"/>
        </w:rPr>
        <w:t>①</w:t>
      </w:r>
      <w:r>
        <w:rPr>
          <w:rFonts w:hint="eastAsia" w:hAnsi="宋体"/>
          <w:color w:val="auto"/>
          <w:szCs w:val="21"/>
        </w:rPr>
        <w:t>承包人在已标价工程量清单或预算书中载明材料单价低于基准价格的：除专用合同条款另有约定外，合同履行期间材料单价涨幅以基准价格为基础超过</w:t>
      </w:r>
      <w:r>
        <w:rPr>
          <w:rFonts w:hAnsi="宋体"/>
          <w:color w:val="auto"/>
          <w:szCs w:val="21"/>
        </w:rPr>
        <w:t>5%</w:t>
      </w:r>
      <w:r>
        <w:rPr>
          <w:rFonts w:hint="eastAsia" w:hAnsi="宋体"/>
          <w:color w:val="auto"/>
          <w:szCs w:val="21"/>
        </w:rPr>
        <w:t>时，或材料单价跌幅以在已标价工程量清单或预算书中载明材料单价为基础超过</w:t>
      </w:r>
      <w:r>
        <w:rPr>
          <w:rFonts w:hAnsi="宋体"/>
          <w:color w:val="auto"/>
          <w:szCs w:val="21"/>
        </w:rPr>
        <w:t>5%</w:t>
      </w:r>
      <w:r>
        <w:rPr>
          <w:rFonts w:hint="eastAsia" w:hAnsi="宋体"/>
          <w:color w:val="auto"/>
          <w:szCs w:val="21"/>
        </w:rPr>
        <w:t>时，其超过部分据实调整。</w:t>
      </w:r>
    </w:p>
    <w:p w14:paraId="2FE8F72C">
      <w:pPr>
        <w:spacing w:line="360" w:lineRule="auto"/>
        <w:ind w:firstLine="420" w:firstLineChars="200"/>
        <w:rPr>
          <w:rFonts w:hAnsi="宋体"/>
          <w:color w:val="auto"/>
          <w:szCs w:val="21"/>
        </w:rPr>
      </w:pPr>
      <w:r>
        <w:rPr>
          <w:rFonts w:hint="eastAsia" w:hAnsi="宋体" w:cs="宋体"/>
          <w:color w:val="auto"/>
          <w:szCs w:val="21"/>
        </w:rPr>
        <w:t>②</w:t>
      </w:r>
      <w:r>
        <w:rPr>
          <w:rFonts w:hint="eastAsia" w:hAnsi="宋体"/>
          <w:color w:val="auto"/>
          <w:szCs w:val="21"/>
        </w:rPr>
        <w:t>承包人在已标价工程量清单或预算书中载明材料单价高于基准价格的：除专用合同条款另有约定外，合同履行期间材料单价跌幅以基准价格为基础超过</w:t>
      </w:r>
      <w:r>
        <w:rPr>
          <w:rFonts w:hAnsi="宋体"/>
          <w:color w:val="auto"/>
          <w:szCs w:val="21"/>
        </w:rPr>
        <w:t>5%</w:t>
      </w:r>
      <w:r>
        <w:rPr>
          <w:rFonts w:hint="eastAsia" w:hAnsi="宋体"/>
          <w:color w:val="auto"/>
          <w:szCs w:val="21"/>
        </w:rPr>
        <w:t>时，材料单价涨幅以在已标价工程量清单或预算书中载明材料单价为基础超过</w:t>
      </w:r>
      <w:r>
        <w:rPr>
          <w:rFonts w:hAnsi="宋体"/>
          <w:color w:val="auto"/>
          <w:szCs w:val="21"/>
        </w:rPr>
        <w:t>5%</w:t>
      </w:r>
      <w:r>
        <w:rPr>
          <w:rFonts w:hint="eastAsia" w:hAnsi="宋体"/>
          <w:color w:val="auto"/>
          <w:szCs w:val="21"/>
        </w:rPr>
        <w:t>时，其超过部分据实调整。</w:t>
      </w:r>
    </w:p>
    <w:p w14:paraId="2E8C1E69">
      <w:pPr>
        <w:spacing w:line="360" w:lineRule="auto"/>
        <w:ind w:firstLine="420" w:firstLineChars="200"/>
        <w:rPr>
          <w:rFonts w:hAnsi="宋体"/>
          <w:color w:val="auto"/>
          <w:szCs w:val="21"/>
        </w:rPr>
      </w:pPr>
      <w:r>
        <w:rPr>
          <w:rFonts w:hint="eastAsia" w:hAnsi="宋体" w:cs="宋体"/>
          <w:color w:val="auto"/>
          <w:szCs w:val="21"/>
        </w:rPr>
        <w:t>③</w:t>
      </w:r>
      <w:r>
        <w:rPr>
          <w:rFonts w:hint="eastAsia" w:hAnsi="宋体"/>
          <w:color w:val="auto"/>
          <w:szCs w:val="21"/>
        </w:rPr>
        <w:t>承包人在已标价工程量清单或预算书中载明材料单价等于基准价格的：除专用合同条款另有约定外，合同履行期间材料单价涨跌幅以基准价格为基础超过</w:t>
      </w:r>
      <w:r>
        <w:rPr>
          <w:rFonts w:hAnsi="宋体"/>
          <w:color w:val="auto"/>
          <w:szCs w:val="21"/>
        </w:rPr>
        <w:t>±5%</w:t>
      </w:r>
      <w:r>
        <w:rPr>
          <w:rFonts w:hint="eastAsia" w:hAnsi="宋体"/>
          <w:color w:val="auto"/>
          <w:szCs w:val="21"/>
        </w:rPr>
        <w:t>时，其超过部分据实调整。</w:t>
      </w:r>
    </w:p>
    <w:p w14:paraId="1BF63B6B">
      <w:pPr>
        <w:spacing w:line="360" w:lineRule="auto"/>
        <w:ind w:firstLine="420" w:firstLineChars="200"/>
        <w:rPr>
          <w:rFonts w:hAnsi="宋体"/>
          <w:color w:val="auto"/>
          <w:szCs w:val="21"/>
        </w:rPr>
      </w:pPr>
      <w:r>
        <w:rPr>
          <w:rFonts w:hint="eastAsia" w:hAnsi="宋体" w:cs="宋体"/>
          <w:color w:val="auto"/>
          <w:szCs w:val="21"/>
        </w:rPr>
        <w:t>④</w:t>
      </w:r>
      <w:r>
        <w:rPr>
          <w:rFonts w:hint="eastAsia" w:hAnsi="宋体"/>
          <w:color w:val="auto"/>
          <w:szCs w:val="21"/>
        </w:rPr>
        <w:t>承包人应在采购材料前将采购数量和新的材料单价报发包人核对，发包人确认用于工程时，发包人应确认采购材料的数量和单价。发包人在收到承包人报送的确认资料后</w:t>
      </w:r>
      <w:r>
        <w:rPr>
          <w:rFonts w:hAnsi="宋体"/>
          <w:color w:val="auto"/>
          <w:szCs w:val="21"/>
        </w:rPr>
        <w:t>5</w:t>
      </w:r>
      <w:r>
        <w:rPr>
          <w:rFonts w:hint="eastAsia" w:hAnsi="宋体"/>
          <w:color w:val="auto"/>
          <w:szCs w:val="21"/>
        </w:rPr>
        <w:t>天内不予答复的视为认可，作为调整合同价格的依据。未经发包人事先核对，承包人自行采购材料的，发包人有权不予调整合同价格。发包人同意的，可以调整合同价格。</w:t>
      </w:r>
    </w:p>
    <w:p w14:paraId="472571BC">
      <w:pPr>
        <w:spacing w:line="360" w:lineRule="auto"/>
        <w:ind w:firstLine="420" w:firstLineChars="200"/>
        <w:rPr>
          <w:rFonts w:hAnsi="宋体"/>
          <w:color w:val="auto"/>
          <w:szCs w:val="21"/>
        </w:rPr>
      </w:pPr>
      <w:r>
        <w:rPr>
          <w:rFonts w:hint="eastAsia" w:hAnsi="宋体"/>
          <w:color w:val="auto"/>
          <w:szCs w:val="21"/>
        </w:rPr>
        <w:t>前述基准价格是指由发包人在招标文件或专用合同条款中给定的材料、工程设备的价格，该价格原则上应当按照省级或行业建设主管部门或其授权的工程造价管理机构发布的信息价编制。</w:t>
      </w:r>
    </w:p>
    <w:p w14:paraId="18FF7F03">
      <w:pPr>
        <w:spacing w:line="360" w:lineRule="auto"/>
        <w:ind w:firstLine="420" w:firstLineChars="200"/>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）施工机械台班单价或施工机械使用费发生变化超过省级或行业建设主管部门或其授权的工程造价管理机构规定的范围时，按规定调整合同价格。</w:t>
      </w:r>
    </w:p>
    <w:p w14:paraId="10428BAB">
      <w:pPr>
        <w:spacing w:line="360" w:lineRule="auto"/>
        <w:ind w:firstLine="420" w:firstLineChars="200"/>
        <w:rPr>
          <w:rFonts w:hAnsi="宋体"/>
          <w:color w:val="auto"/>
          <w:szCs w:val="21"/>
        </w:rPr>
      </w:pPr>
      <w:r>
        <w:rPr>
          <w:rFonts w:hint="eastAsia" w:hAnsi="宋体"/>
          <w:color w:val="auto"/>
          <w:szCs w:val="21"/>
        </w:rPr>
        <w:t>第</w:t>
      </w:r>
      <w:r>
        <w:rPr>
          <w:rFonts w:hAnsi="宋体"/>
          <w:color w:val="auto"/>
          <w:szCs w:val="21"/>
        </w:rPr>
        <w:t>3</w:t>
      </w:r>
      <w:r>
        <w:rPr>
          <w:rFonts w:hint="eastAsia" w:hAnsi="宋体"/>
          <w:color w:val="auto"/>
          <w:szCs w:val="21"/>
        </w:rPr>
        <w:t>种方式：专用合同条款约定的其他方式。</w:t>
      </w:r>
    </w:p>
    <w:p w14:paraId="2FC4CE5F">
      <w:pPr>
        <w:pStyle w:val="6"/>
        <w:tabs>
          <w:tab w:val="left" w:pos="2155"/>
        </w:tabs>
        <w:rPr>
          <w:color w:val="auto"/>
        </w:rPr>
      </w:pPr>
      <w:bookmarkStart w:id="565" w:name="_Toc351203579"/>
      <w:bookmarkStart w:id="566" w:name="_Toc337558798"/>
      <w:bookmarkStart w:id="567" w:name="_Toc296346594"/>
      <w:bookmarkStart w:id="568" w:name="_Toc296503093"/>
      <w:r>
        <w:rPr>
          <w:color w:val="auto"/>
        </w:rPr>
        <w:t>11.2</w:t>
      </w:r>
      <w:r>
        <w:rPr>
          <w:rFonts w:hint="eastAsia"/>
          <w:color w:val="auto"/>
        </w:rPr>
        <w:t>法律变化引起的调整</w:t>
      </w:r>
      <w:bookmarkEnd w:id="565"/>
    </w:p>
    <w:bookmarkEnd w:id="566"/>
    <w:bookmarkEnd w:id="567"/>
    <w:bookmarkEnd w:id="568"/>
    <w:p w14:paraId="33BB21DB">
      <w:pPr>
        <w:spacing w:line="360" w:lineRule="auto"/>
        <w:ind w:firstLine="420" w:firstLineChars="200"/>
        <w:rPr>
          <w:rFonts w:hAnsi="宋体"/>
          <w:color w:val="auto"/>
          <w:szCs w:val="21"/>
        </w:rPr>
      </w:pPr>
      <w:r>
        <w:rPr>
          <w:rFonts w:hint="eastAsia" w:hAnsi="宋体"/>
          <w:color w:val="auto"/>
          <w:szCs w:val="21"/>
        </w:rPr>
        <w:t>基准日期后，法律变化导致承包人在合同履行过程中所需要的费用发生除第</w:t>
      </w:r>
      <w:r>
        <w:rPr>
          <w:rFonts w:hAnsi="宋体"/>
          <w:color w:val="auto"/>
          <w:szCs w:val="21"/>
        </w:rPr>
        <w:t>11.1</w:t>
      </w:r>
      <w:r>
        <w:rPr>
          <w:rFonts w:hint="eastAsia" w:hAnsi="宋体"/>
          <w:color w:val="auto"/>
          <w:szCs w:val="21"/>
        </w:rPr>
        <w:t>款〔市场价格波动引起的调整〕约定以外的增加时，由发包人承担由此增加的费用；减少时，应从合同价格中予以扣减。基准日期后，因法律变化造成工期延误时，工期应予以顺延。</w:t>
      </w:r>
    </w:p>
    <w:p w14:paraId="258DF5D5">
      <w:pPr>
        <w:spacing w:line="360" w:lineRule="auto"/>
        <w:ind w:firstLine="420" w:firstLineChars="200"/>
        <w:rPr>
          <w:rFonts w:hAnsi="宋体"/>
          <w:color w:val="auto"/>
          <w:szCs w:val="21"/>
        </w:rPr>
      </w:pPr>
      <w:r>
        <w:rPr>
          <w:rFonts w:hint="eastAsia" w:hAnsi="宋体"/>
          <w:color w:val="auto"/>
          <w:szCs w:val="21"/>
        </w:rPr>
        <w:t>因法律变化引起的合同价格和工期调整，合同当事人无法达成一致的，由总监理工程师按第</w:t>
      </w:r>
      <w:r>
        <w:rPr>
          <w:rFonts w:hAnsi="宋体"/>
          <w:color w:val="auto"/>
          <w:szCs w:val="21"/>
        </w:rPr>
        <w:t>4.4</w:t>
      </w:r>
      <w:r>
        <w:rPr>
          <w:rFonts w:hint="eastAsia" w:hAnsi="宋体"/>
          <w:color w:val="auto"/>
          <w:szCs w:val="21"/>
        </w:rPr>
        <w:t>款〔商定或确定〕的约定处理。</w:t>
      </w:r>
    </w:p>
    <w:p w14:paraId="11754A54">
      <w:pPr>
        <w:spacing w:line="360" w:lineRule="auto"/>
        <w:ind w:firstLine="420" w:firstLineChars="200"/>
        <w:rPr>
          <w:rFonts w:hAnsi="宋体"/>
          <w:color w:val="auto"/>
          <w:szCs w:val="21"/>
        </w:rPr>
      </w:pPr>
      <w:r>
        <w:rPr>
          <w:rFonts w:hint="eastAsia" w:hAnsi="宋体"/>
          <w:color w:val="auto"/>
          <w:kern w:val="0"/>
          <w:szCs w:val="21"/>
        </w:rPr>
        <w:t>因承包人原因造成工期延误，在工期延误期间出现法律变化的，由此增加的费用和（或）延误的工期由承包人承担。</w:t>
      </w:r>
    </w:p>
    <w:p w14:paraId="0AACA485">
      <w:pPr>
        <w:pStyle w:val="5"/>
        <w:tabs>
          <w:tab w:val="left" w:pos="900"/>
        </w:tabs>
        <w:rPr>
          <w:color w:val="auto"/>
        </w:rPr>
      </w:pPr>
      <w:bookmarkStart w:id="569" w:name="_Toc525396181"/>
      <w:bookmarkStart w:id="570" w:name="_Toc5089"/>
      <w:bookmarkStart w:id="571" w:name="_Toc4101"/>
      <w:bookmarkStart w:id="572" w:name="_Toc351203580"/>
      <w:bookmarkStart w:id="573" w:name="_Toc921"/>
      <w:bookmarkStart w:id="574" w:name="_Toc10466"/>
      <w:bookmarkStart w:id="575" w:name="_Toc337558799"/>
      <w:bookmarkStart w:id="576" w:name="_Toc296503096"/>
      <w:bookmarkStart w:id="577" w:name="_Toc296346597"/>
      <w:r>
        <w:rPr>
          <w:color w:val="auto"/>
        </w:rPr>
        <w:t xml:space="preserve">12. </w:t>
      </w:r>
      <w:r>
        <w:rPr>
          <w:rFonts w:hint="eastAsia"/>
          <w:color w:val="auto"/>
        </w:rPr>
        <w:t>合同价格、计量与支付</w:t>
      </w:r>
      <w:bookmarkEnd w:id="569"/>
      <w:bookmarkEnd w:id="570"/>
      <w:bookmarkEnd w:id="571"/>
      <w:bookmarkEnd w:id="572"/>
      <w:bookmarkEnd w:id="573"/>
      <w:bookmarkEnd w:id="574"/>
    </w:p>
    <w:bookmarkEnd w:id="575"/>
    <w:p w14:paraId="788C1DE7">
      <w:pPr>
        <w:pStyle w:val="6"/>
        <w:tabs>
          <w:tab w:val="left" w:pos="2155"/>
        </w:tabs>
        <w:rPr>
          <w:color w:val="auto"/>
        </w:rPr>
      </w:pPr>
      <w:bookmarkStart w:id="578" w:name="_Toc351203581"/>
      <w:bookmarkStart w:id="579" w:name="_Toc337558800"/>
      <w:r>
        <w:rPr>
          <w:color w:val="auto"/>
        </w:rPr>
        <w:t xml:space="preserve">12.1 </w:t>
      </w:r>
      <w:r>
        <w:rPr>
          <w:rFonts w:hint="eastAsia" w:cs="宋体"/>
          <w:color w:val="auto"/>
        </w:rPr>
        <w:t>合同价</w:t>
      </w:r>
      <w:bookmarkEnd w:id="576"/>
      <w:bookmarkEnd w:id="577"/>
      <w:r>
        <w:rPr>
          <w:rFonts w:hint="eastAsia" w:cs="宋体"/>
          <w:color w:val="auto"/>
        </w:rPr>
        <w:t>格形式</w:t>
      </w:r>
      <w:bookmarkEnd w:id="578"/>
    </w:p>
    <w:bookmarkEnd w:id="579"/>
    <w:p w14:paraId="5B913D6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发包人和承包人应在合同协议书中选择下列一种合同价格形式：</w:t>
      </w:r>
      <w:r>
        <w:rPr>
          <w:rFonts w:hAnsi="宋体"/>
          <w:color w:val="auto"/>
          <w:kern w:val="0"/>
          <w:szCs w:val="21"/>
        </w:rPr>
        <w:t xml:space="preserve"> </w:t>
      </w:r>
    </w:p>
    <w:p w14:paraId="63D4A051">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1</w:t>
      </w:r>
      <w:r>
        <w:rPr>
          <w:rFonts w:hint="eastAsia" w:hAnsi="宋体"/>
          <w:color w:val="auto"/>
          <w:kern w:val="0"/>
          <w:szCs w:val="21"/>
        </w:rPr>
        <w:t>、单价合同</w:t>
      </w:r>
    </w:p>
    <w:p w14:paraId="019E534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单价合同是指合同当事人约定以工程量清单及其综合单价进行合同价格计算、调整和确认的建设工程施工合同，</w:t>
      </w:r>
      <w:r>
        <w:rPr>
          <w:rFonts w:hint="eastAsia" w:hAnsi="宋体"/>
          <w:color w:val="auto"/>
          <w:szCs w:val="21"/>
        </w:rPr>
        <w:t>在约定的范围内合同单价不作调整</w:t>
      </w:r>
      <w:r>
        <w:rPr>
          <w:rFonts w:hint="eastAsia" w:hAnsi="宋体"/>
          <w:color w:val="auto"/>
          <w:kern w:val="0"/>
          <w:szCs w:val="21"/>
        </w:rPr>
        <w:t>。合同当事人应在专用合同条款中约定综合单价包含的风险范围和风险费用的计算方法</w:t>
      </w:r>
      <w:r>
        <w:rPr>
          <w:rFonts w:hint="eastAsia" w:hAnsi="宋体"/>
          <w:color w:val="auto"/>
          <w:szCs w:val="21"/>
        </w:rPr>
        <w:t>，</w:t>
      </w:r>
      <w:r>
        <w:rPr>
          <w:rFonts w:hint="eastAsia" w:hAnsi="宋体"/>
          <w:color w:val="auto"/>
          <w:kern w:val="0"/>
          <w:szCs w:val="21"/>
        </w:rPr>
        <w:t>并约定风险范围以外的合同价格的调整方法，其中因市场价格波动引起的调整按第</w:t>
      </w:r>
      <w:r>
        <w:rPr>
          <w:rFonts w:hAnsi="宋体"/>
          <w:color w:val="auto"/>
          <w:kern w:val="0"/>
          <w:szCs w:val="21"/>
        </w:rPr>
        <w:t>11.1</w:t>
      </w:r>
      <w:r>
        <w:rPr>
          <w:rFonts w:hint="eastAsia" w:hAnsi="宋体"/>
          <w:color w:val="auto"/>
          <w:kern w:val="0"/>
          <w:szCs w:val="21"/>
        </w:rPr>
        <w:t>款〔市场价格波动引起的调整〕约定执行。</w:t>
      </w:r>
    </w:p>
    <w:p w14:paraId="7DD5AB75">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2</w:t>
      </w:r>
      <w:r>
        <w:rPr>
          <w:rFonts w:hint="eastAsia" w:hAnsi="宋体"/>
          <w:color w:val="auto"/>
          <w:kern w:val="0"/>
          <w:szCs w:val="21"/>
        </w:rPr>
        <w:t>、总价合同</w:t>
      </w:r>
    </w:p>
    <w:p w14:paraId="1BA75FF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总价合同是指合同当事人约定以施工图、已标价工程量清单或预算书及有关条件进行合同价格计算、调整和确认的建设工程施工合同，</w:t>
      </w:r>
      <w:r>
        <w:rPr>
          <w:rFonts w:hint="eastAsia" w:hAnsi="宋体"/>
          <w:color w:val="auto"/>
          <w:szCs w:val="21"/>
        </w:rPr>
        <w:t>在约定的范围内合同总价不作调整</w:t>
      </w:r>
      <w:r>
        <w:rPr>
          <w:rFonts w:hint="eastAsia" w:hAnsi="宋体"/>
          <w:color w:val="auto"/>
          <w:kern w:val="0"/>
          <w:szCs w:val="21"/>
        </w:rPr>
        <w:t>。合同当事人应在专用合同条款中约定总价包含的风险范围和风险费用的计算方法，并约定风险范围以外的合同价格的调整方法，其中因市场价格波动引起的调整按第</w:t>
      </w:r>
      <w:r>
        <w:rPr>
          <w:rFonts w:hAnsi="宋体"/>
          <w:color w:val="auto"/>
          <w:kern w:val="0"/>
          <w:szCs w:val="21"/>
        </w:rPr>
        <w:t>11.1</w:t>
      </w:r>
      <w:r>
        <w:rPr>
          <w:rFonts w:hint="eastAsia" w:hAnsi="宋体"/>
          <w:color w:val="auto"/>
          <w:kern w:val="0"/>
          <w:szCs w:val="21"/>
        </w:rPr>
        <w:t>款〔市场价格波动引起的调整〕、因法律变化引起的调整按第</w:t>
      </w:r>
      <w:r>
        <w:rPr>
          <w:rFonts w:hAnsi="宋体"/>
          <w:color w:val="auto"/>
          <w:kern w:val="0"/>
          <w:szCs w:val="21"/>
        </w:rPr>
        <w:t>11.2</w:t>
      </w:r>
      <w:r>
        <w:rPr>
          <w:rFonts w:hint="eastAsia" w:hAnsi="宋体"/>
          <w:color w:val="auto"/>
          <w:kern w:val="0"/>
          <w:szCs w:val="21"/>
        </w:rPr>
        <w:t>款〔法律变化引起的调整〕约定执行。</w:t>
      </w:r>
    </w:p>
    <w:p w14:paraId="67B0936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3</w:t>
      </w:r>
      <w:r>
        <w:rPr>
          <w:rFonts w:hint="eastAsia" w:hAnsi="宋体"/>
          <w:color w:val="auto"/>
          <w:kern w:val="0"/>
          <w:szCs w:val="21"/>
        </w:rPr>
        <w:t>、其它价格形式</w:t>
      </w:r>
    </w:p>
    <w:p w14:paraId="22A856C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合同当事人可在专用合同条款中约定其他合同价格形式。</w:t>
      </w:r>
    </w:p>
    <w:p w14:paraId="38B9FE7F">
      <w:pPr>
        <w:pStyle w:val="6"/>
        <w:tabs>
          <w:tab w:val="left" w:pos="2155"/>
        </w:tabs>
        <w:rPr>
          <w:color w:val="auto"/>
        </w:rPr>
      </w:pPr>
      <w:bookmarkStart w:id="580" w:name="_Toc296346598"/>
      <w:bookmarkStart w:id="581" w:name="_Toc296503097"/>
      <w:bookmarkStart w:id="582" w:name="_Toc351203582"/>
      <w:bookmarkStart w:id="583" w:name="_Toc337558801"/>
      <w:r>
        <w:rPr>
          <w:color w:val="auto"/>
        </w:rPr>
        <w:t>12.2</w:t>
      </w:r>
      <w:r>
        <w:rPr>
          <w:rFonts w:hint="eastAsia" w:cs="宋体"/>
          <w:color w:val="auto"/>
        </w:rPr>
        <w:t>预</w:t>
      </w:r>
      <w:bookmarkEnd w:id="580"/>
      <w:bookmarkEnd w:id="581"/>
      <w:bookmarkStart w:id="584" w:name="_Toc296346601"/>
      <w:bookmarkStart w:id="585" w:name="_Toc296503100"/>
      <w:r>
        <w:rPr>
          <w:rFonts w:hint="eastAsia" w:cs="宋体"/>
          <w:color w:val="auto"/>
        </w:rPr>
        <w:t>付款</w:t>
      </w:r>
      <w:bookmarkEnd w:id="582"/>
    </w:p>
    <w:bookmarkEnd w:id="583"/>
    <w:bookmarkEnd w:id="584"/>
    <w:bookmarkEnd w:id="585"/>
    <w:p w14:paraId="11636A47">
      <w:pPr>
        <w:spacing w:line="360" w:lineRule="auto"/>
        <w:ind w:firstLine="420" w:firstLineChars="200"/>
        <w:jc w:val="left"/>
        <w:rPr>
          <w:rFonts w:hAnsi="宋体"/>
          <w:color w:val="auto"/>
          <w:kern w:val="0"/>
          <w:szCs w:val="21"/>
        </w:rPr>
      </w:pPr>
      <w:r>
        <w:rPr>
          <w:rFonts w:hAnsi="宋体"/>
          <w:color w:val="auto"/>
          <w:szCs w:val="21"/>
        </w:rPr>
        <w:t>12.2.</w:t>
      </w:r>
      <w:r>
        <w:rPr>
          <w:rFonts w:hAnsi="宋体"/>
          <w:color w:val="auto"/>
          <w:kern w:val="0"/>
          <w:szCs w:val="21"/>
        </w:rPr>
        <w:t>1</w:t>
      </w:r>
      <w:r>
        <w:rPr>
          <w:rFonts w:hint="eastAsia" w:hAnsi="宋体"/>
          <w:color w:val="auto"/>
          <w:kern w:val="0"/>
          <w:szCs w:val="21"/>
        </w:rPr>
        <w:t>预付款的支付</w:t>
      </w:r>
    </w:p>
    <w:p w14:paraId="2B026378">
      <w:pPr>
        <w:spacing w:line="360" w:lineRule="auto"/>
        <w:ind w:firstLine="420" w:firstLineChars="200"/>
        <w:jc w:val="left"/>
        <w:rPr>
          <w:rFonts w:hAnsi="宋体"/>
          <w:color w:val="auto"/>
          <w:kern w:val="0"/>
          <w:szCs w:val="21"/>
        </w:rPr>
      </w:pPr>
      <w:r>
        <w:rPr>
          <w:rFonts w:hint="eastAsia" w:hAnsi="宋体"/>
          <w:color w:val="auto"/>
          <w:kern w:val="0"/>
          <w:szCs w:val="21"/>
        </w:rPr>
        <w:t>预付款的支付按照专用合同条款约定执行，但至迟应在开工通知载明的开工日期</w:t>
      </w:r>
      <w:r>
        <w:rPr>
          <w:rFonts w:hAnsi="宋体"/>
          <w:color w:val="auto"/>
          <w:kern w:val="0"/>
          <w:szCs w:val="21"/>
        </w:rPr>
        <w:t>7</w:t>
      </w:r>
      <w:r>
        <w:rPr>
          <w:rFonts w:hint="eastAsia" w:hAnsi="宋体"/>
          <w:color w:val="auto"/>
          <w:kern w:val="0"/>
          <w:szCs w:val="21"/>
        </w:rPr>
        <w:t>天前支付。预付款应当用于材料、工程设备、施工设备的采购及修建临时工程、组织施工队伍进场等。</w:t>
      </w:r>
    </w:p>
    <w:p w14:paraId="63395E7B">
      <w:pPr>
        <w:spacing w:line="360" w:lineRule="auto"/>
        <w:ind w:firstLine="420" w:firstLineChars="200"/>
        <w:jc w:val="left"/>
        <w:rPr>
          <w:rFonts w:hAnsi="宋体"/>
          <w:color w:val="auto"/>
          <w:kern w:val="0"/>
          <w:szCs w:val="21"/>
        </w:rPr>
      </w:pPr>
      <w:r>
        <w:rPr>
          <w:rFonts w:hint="eastAsia" w:hAnsi="宋体"/>
          <w:color w:val="auto"/>
          <w:kern w:val="0"/>
          <w:szCs w:val="21"/>
        </w:rPr>
        <w:t>发包人逾期支付预付款超过</w:t>
      </w:r>
      <w:r>
        <w:rPr>
          <w:rFonts w:hAnsi="宋体"/>
          <w:color w:val="auto"/>
          <w:kern w:val="0"/>
          <w:szCs w:val="21"/>
        </w:rPr>
        <w:t>7</w:t>
      </w:r>
      <w:r>
        <w:rPr>
          <w:rFonts w:hint="eastAsia" w:hAnsi="宋体"/>
          <w:color w:val="auto"/>
          <w:kern w:val="0"/>
          <w:szCs w:val="21"/>
        </w:rPr>
        <w:t>天的，承包人有权向发包人发出要求预付的催告通知，发包人收到通知后</w:t>
      </w:r>
      <w:r>
        <w:rPr>
          <w:rFonts w:hAnsi="宋体"/>
          <w:color w:val="auto"/>
          <w:kern w:val="0"/>
          <w:szCs w:val="21"/>
        </w:rPr>
        <w:t>7</w:t>
      </w:r>
      <w:r>
        <w:rPr>
          <w:rFonts w:hint="eastAsia" w:hAnsi="宋体"/>
          <w:color w:val="auto"/>
          <w:kern w:val="0"/>
          <w:szCs w:val="21"/>
        </w:rPr>
        <w:t>天内仍未支付的，承包人有权暂停施工，并按第</w:t>
      </w:r>
      <w:r>
        <w:rPr>
          <w:rFonts w:hAnsi="宋体"/>
          <w:color w:val="auto"/>
          <w:kern w:val="0"/>
          <w:szCs w:val="21"/>
        </w:rPr>
        <w:t>16.1.1</w:t>
      </w:r>
      <w:r>
        <w:rPr>
          <w:rFonts w:hint="eastAsia" w:hAnsi="宋体"/>
          <w:color w:val="auto"/>
          <w:kern w:val="0"/>
          <w:szCs w:val="21"/>
        </w:rPr>
        <w:t>项〔发包人违约的情形〕执行。</w:t>
      </w:r>
    </w:p>
    <w:p w14:paraId="2FCE6E7E">
      <w:pPr>
        <w:spacing w:line="360" w:lineRule="auto"/>
        <w:ind w:firstLine="420" w:firstLineChars="200"/>
        <w:jc w:val="left"/>
        <w:rPr>
          <w:rFonts w:hAnsi="宋体"/>
          <w:color w:val="auto"/>
          <w:szCs w:val="21"/>
        </w:rPr>
      </w:pPr>
      <w:r>
        <w:rPr>
          <w:rFonts w:hAnsi="宋体"/>
          <w:color w:val="auto"/>
          <w:szCs w:val="21"/>
        </w:rPr>
        <w:t xml:space="preserve">12.2.2 </w:t>
      </w:r>
      <w:r>
        <w:rPr>
          <w:rFonts w:hint="eastAsia" w:hAnsi="宋体"/>
          <w:color w:val="auto"/>
          <w:szCs w:val="21"/>
        </w:rPr>
        <w:t>预付款担保</w:t>
      </w:r>
    </w:p>
    <w:p w14:paraId="7965E189">
      <w:pPr>
        <w:spacing w:line="360" w:lineRule="auto"/>
        <w:ind w:firstLine="420" w:firstLineChars="200"/>
        <w:jc w:val="left"/>
        <w:rPr>
          <w:rFonts w:hAnsi="宋体"/>
          <w:color w:val="auto"/>
          <w:kern w:val="0"/>
          <w:szCs w:val="21"/>
        </w:rPr>
      </w:pPr>
      <w:r>
        <w:rPr>
          <w:rFonts w:hint="eastAsia" w:hAnsi="宋体"/>
          <w:color w:val="auto"/>
          <w:kern w:val="0"/>
          <w:szCs w:val="21"/>
        </w:rPr>
        <w:t>发包人要求承包人提供预付款担保的，承包人应在发包人支付预付款</w:t>
      </w:r>
      <w:r>
        <w:rPr>
          <w:rFonts w:hAnsi="宋体"/>
          <w:color w:val="auto"/>
          <w:kern w:val="0"/>
          <w:szCs w:val="21"/>
        </w:rPr>
        <w:t>7</w:t>
      </w:r>
      <w:r>
        <w:rPr>
          <w:rFonts w:hint="eastAsia" w:hAnsi="宋体"/>
          <w:color w:val="auto"/>
          <w:kern w:val="0"/>
          <w:szCs w:val="21"/>
        </w:rPr>
        <w:t>天前提供预付款担保，专用合同条款另有约定除外。预付款担保可采用银行保函、担保公司担保等形式，具体由合同当事人在专用合同条款中约定。在预付款完全扣回之前，承包人应保证预付款担保持续有效。</w:t>
      </w:r>
    </w:p>
    <w:p w14:paraId="57D86623">
      <w:pPr>
        <w:spacing w:line="360" w:lineRule="auto"/>
        <w:ind w:firstLine="420" w:firstLineChars="200"/>
        <w:jc w:val="left"/>
        <w:rPr>
          <w:rFonts w:hAnsi="宋体"/>
          <w:color w:val="auto"/>
          <w:kern w:val="0"/>
          <w:szCs w:val="21"/>
        </w:rPr>
      </w:pPr>
      <w:r>
        <w:rPr>
          <w:rFonts w:hint="eastAsia" w:hAnsi="宋体"/>
          <w:color w:val="auto"/>
          <w:kern w:val="0"/>
          <w:szCs w:val="21"/>
        </w:rPr>
        <w:t>发包人在工程款中逐期扣回预付款后，预付款担保额度应相应减少，但剩余的预付款担保金额不得低于未被扣回的预付款金额。</w:t>
      </w:r>
    </w:p>
    <w:p w14:paraId="0C9DB256">
      <w:pPr>
        <w:pStyle w:val="6"/>
        <w:tabs>
          <w:tab w:val="left" w:pos="2155"/>
        </w:tabs>
        <w:rPr>
          <w:color w:val="auto"/>
        </w:rPr>
      </w:pPr>
      <w:bookmarkStart w:id="586" w:name="_Toc351203583"/>
      <w:bookmarkStart w:id="587" w:name="_Toc337558802"/>
      <w:r>
        <w:rPr>
          <w:color w:val="auto"/>
        </w:rPr>
        <w:t>12.3</w:t>
      </w:r>
      <w:r>
        <w:rPr>
          <w:rFonts w:hint="eastAsia" w:cs="宋体"/>
          <w:color w:val="auto"/>
        </w:rPr>
        <w:t>计量</w:t>
      </w:r>
      <w:bookmarkEnd w:id="586"/>
    </w:p>
    <w:bookmarkEnd w:id="587"/>
    <w:p w14:paraId="0A5C6700">
      <w:pPr>
        <w:spacing w:line="360" w:lineRule="auto"/>
        <w:ind w:firstLine="420" w:firstLineChars="200"/>
        <w:jc w:val="left"/>
        <w:rPr>
          <w:rFonts w:hAnsi="宋体"/>
          <w:color w:val="auto"/>
          <w:kern w:val="0"/>
          <w:szCs w:val="21"/>
        </w:rPr>
      </w:pPr>
      <w:r>
        <w:rPr>
          <w:rFonts w:hAnsi="宋体"/>
          <w:color w:val="auto"/>
          <w:kern w:val="0"/>
          <w:szCs w:val="21"/>
        </w:rPr>
        <w:t xml:space="preserve">12.3.1 </w:t>
      </w:r>
      <w:r>
        <w:rPr>
          <w:rFonts w:hint="eastAsia" w:hAnsi="宋体"/>
          <w:color w:val="auto"/>
          <w:kern w:val="0"/>
          <w:szCs w:val="21"/>
        </w:rPr>
        <w:t>计量原则</w:t>
      </w:r>
    </w:p>
    <w:p w14:paraId="25144C24">
      <w:pPr>
        <w:spacing w:line="360" w:lineRule="auto"/>
        <w:ind w:firstLine="420" w:firstLineChars="200"/>
        <w:jc w:val="left"/>
        <w:rPr>
          <w:rFonts w:hAnsi="宋体"/>
          <w:color w:val="auto"/>
          <w:kern w:val="0"/>
          <w:szCs w:val="21"/>
        </w:rPr>
      </w:pPr>
      <w:r>
        <w:rPr>
          <w:rFonts w:hint="eastAsia" w:hAnsi="宋体"/>
          <w:color w:val="auto"/>
          <w:kern w:val="0"/>
          <w:szCs w:val="21"/>
        </w:rPr>
        <w:t>工程量计量按照合同约定的工程量计算规则、图纸及变更指示等进行计量。工程量计算规则应以相关的国家标准、行业标准等为依据，由合同当事人在专用合同条款中约定。</w:t>
      </w:r>
    </w:p>
    <w:p w14:paraId="70163C1A">
      <w:pPr>
        <w:spacing w:line="360" w:lineRule="auto"/>
        <w:ind w:firstLine="420" w:firstLineChars="200"/>
        <w:jc w:val="left"/>
        <w:rPr>
          <w:rFonts w:hAnsi="宋体"/>
          <w:color w:val="auto"/>
          <w:kern w:val="0"/>
          <w:szCs w:val="21"/>
        </w:rPr>
      </w:pPr>
      <w:r>
        <w:rPr>
          <w:rFonts w:hAnsi="宋体"/>
          <w:color w:val="auto"/>
          <w:kern w:val="0"/>
          <w:szCs w:val="21"/>
        </w:rPr>
        <w:t xml:space="preserve">12.3.2 </w:t>
      </w:r>
      <w:r>
        <w:rPr>
          <w:rFonts w:hint="eastAsia" w:hAnsi="宋体"/>
          <w:color w:val="auto"/>
          <w:kern w:val="0"/>
          <w:szCs w:val="21"/>
        </w:rPr>
        <w:t>计量周期</w:t>
      </w:r>
    </w:p>
    <w:p w14:paraId="58BEE853">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除专用合同条款另有约定外，工程量的计量按月进行。</w:t>
      </w:r>
    </w:p>
    <w:p w14:paraId="1329F9ED">
      <w:pPr>
        <w:spacing w:line="360" w:lineRule="auto"/>
        <w:ind w:firstLine="420" w:firstLineChars="200"/>
        <w:jc w:val="left"/>
        <w:rPr>
          <w:rFonts w:hAnsi="宋体"/>
          <w:color w:val="auto"/>
          <w:kern w:val="0"/>
          <w:szCs w:val="21"/>
        </w:rPr>
      </w:pPr>
      <w:r>
        <w:rPr>
          <w:rFonts w:hAnsi="宋体"/>
          <w:color w:val="auto"/>
          <w:kern w:val="0"/>
          <w:szCs w:val="21"/>
        </w:rPr>
        <w:t xml:space="preserve">12.3.3 </w:t>
      </w:r>
      <w:r>
        <w:rPr>
          <w:rFonts w:hint="eastAsia" w:hAnsi="宋体"/>
          <w:color w:val="auto"/>
          <w:kern w:val="0"/>
          <w:szCs w:val="21"/>
        </w:rPr>
        <w:t>单价合同的计量</w:t>
      </w:r>
    </w:p>
    <w:p w14:paraId="0A28ED85">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除专用合同条款另有约定外，单价合同的计量按照本项约定执行：</w:t>
      </w:r>
    </w:p>
    <w:p w14:paraId="40325B9E">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）承包人应于每月</w:t>
      </w:r>
      <w:r>
        <w:rPr>
          <w:rFonts w:hAnsi="宋体"/>
          <w:color w:val="auto"/>
          <w:kern w:val="0"/>
          <w:szCs w:val="21"/>
        </w:rPr>
        <w:t>25</w:t>
      </w:r>
      <w:r>
        <w:rPr>
          <w:rFonts w:hint="eastAsia" w:hAnsi="宋体"/>
          <w:color w:val="auto"/>
          <w:kern w:val="0"/>
          <w:szCs w:val="21"/>
        </w:rPr>
        <w:t>日向监理人报送上月</w:t>
      </w:r>
      <w:r>
        <w:rPr>
          <w:rFonts w:hAnsi="宋体"/>
          <w:color w:val="auto"/>
          <w:kern w:val="0"/>
          <w:szCs w:val="21"/>
        </w:rPr>
        <w:t>20</w:t>
      </w:r>
      <w:r>
        <w:rPr>
          <w:rFonts w:hint="eastAsia" w:hAnsi="宋体"/>
          <w:color w:val="auto"/>
          <w:kern w:val="0"/>
          <w:szCs w:val="21"/>
        </w:rPr>
        <w:t>日至当月</w:t>
      </w:r>
      <w:r>
        <w:rPr>
          <w:rFonts w:hAnsi="宋体"/>
          <w:color w:val="auto"/>
          <w:kern w:val="0"/>
          <w:szCs w:val="21"/>
        </w:rPr>
        <w:t>19</w:t>
      </w:r>
      <w:r>
        <w:rPr>
          <w:rFonts w:hint="eastAsia" w:hAnsi="宋体"/>
          <w:color w:val="auto"/>
          <w:kern w:val="0"/>
          <w:szCs w:val="21"/>
        </w:rPr>
        <w:t>日已完成的工程量报告，并附具进度付款申请单、已完成工程量报表和有关资料。</w:t>
      </w:r>
    </w:p>
    <w:p w14:paraId="196EE5F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）监理人应在收到承包人提交的工程量报告后</w:t>
      </w:r>
      <w:r>
        <w:rPr>
          <w:rFonts w:hAnsi="宋体"/>
          <w:color w:val="auto"/>
          <w:kern w:val="0"/>
          <w:szCs w:val="21"/>
        </w:rPr>
        <w:t>7</w:t>
      </w:r>
      <w:r>
        <w:rPr>
          <w:rFonts w:hint="eastAsia" w:hAnsi="宋体"/>
          <w:color w:val="auto"/>
          <w:kern w:val="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676E021">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）监理人未在收到承包人提交的工程量报表后的</w:t>
      </w:r>
      <w:r>
        <w:rPr>
          <w:rFonts w:hAnsi="宋体"/>
          <w:color w:val="auto"/>
          <w:kern w:val="0"/>
          <w:szCs w:val="21"/>
        </w:rPr>
        <w:t>7</w:t>
      </w:r>
      <w:r>
        <w:rPr>
          <w:rFonts w:hint="eastAsia" w:hAnsi="宋体"/>
          <w:color w:val="auto"/>
          <w:kern w:val="0"/>
          <w:szCs w:val="21"/>
        </w:rPr>
        <w:t>天内完成审核的，承包人报送的工程量报告中的工程量视为承包人实际完成的工程量，据此计算工程价款。</w:t>
      </w:r>
    </w:p>
    <w:p w14:paraId="651682FC">
      <w:pPr>
        <w:spacing w:line="360" w:lineRule="auto"/>
        <w:ind w:firstLine="420" w:firstLineChars="200"/>
        <w:jc w:val="left"/>
        <w:rPr>
          <w:rFonts w:hAnsi="宋体"/>
          <w:color w:val="auto"/>
          <w:kern w:val="0"/>
          <w:szCs w:val="21"/>
        </w:rPr>
      </w:pPr>
      <w:r>
        <w:rPr>
          <w:rFonts w:hAnsi="宋体"/>
          <w:color w:val="auto"/>
          <w:kern w:val="0"/>
          <w:szCs w:val="21"/>
        </w:rPr>
        <w:t xml:space="preserve">12.3.4 </w:t>
      </w:r>
      <w:r>
        <w:rPr>
          <w:rFonts w:hint="eastAsia" w:hAnsi="宋体"/>
          <w:color w:val="auto"/>
          <w:kern w:val="0"/>
          <w:szCs w:val="21"/>
        </w:rPr>
        <w:t>总价合同的计量</w:t>
      </w:r>
    </w:p>
    <w:p w14:paraId="5ED14113">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除专用合同条款另有约定外，按月计量支付的总价合同，按照本项约定执行：</w:t>
      </w:r>
    </w:p>
    <w:p w14:paraId="35F67C88">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）承包人应于每月</w:t>
      </w:r>
      <w:r>
        <w:rPr>
          <w:rFonts w:hAnsi="宋体"/>
          <w:color w:val="auto"/>
          <w:kern w:val="0"/>
          <w:szCs w:val="21"/>
        </w:rPr>
        <w:t>25</w:t>
      </w:r>
      <w:r>
        <w:rPr>
          <w:rFonts w:hint="eastAsia" w:hAnsi="宋体"/>
          <w:color w:val="auto"/>
          <w:kern w:val="0"/>
          <w:szCs w:val="21"/>
        </w:rPr>
        <w:t>日向监理人报送上月</w:t>
      </w:r>
      <w:r>
        <w:rPr>
          <w:rFonts w:hAnsi="宋体"/>
          <w:color w:val="auto"/>
          <w:kern w:val="0"/>
          <w:szCs w:val="21"/>
        </w:rPr>
        <w:t>20</w:t>
      </w:r>
      <w:r>
        <w:rPr>
          <w:rFonts w:hint="eastAsia" w:hAnsi="宋体"/>
          <w:color w:val="auto"/>
          <w:kern w:val="0"/>
          <w:szCs w:val="21"/>
        </w:rPr>
        <w:t>日至当月</w:t>
      </w:r>
      <w:r>
        <w:rPr>
          <w:rFonts w:hAnsi="宋体"/>
          <w:color w:val="auto"/>
          <w:kern w:val="0"/>
          <w:szCs w:val="21"/>
        </w:rPr>
        <w:t>19</w:t>
      </w:r>
      <w:r>
        <w:rPr>
          <w:rFonts w:hint="eastAsia" w:hAnsi="宋体"/>
          <w:color w:val="auto"/>
          <w:kern w:val="0"/>
          <w:szCs w:val="21"/>
        </w:rPr>
        <w:t>日已完成的工程量报告，并附具进度付款申请单、已完成工程量报表和有关资料。</w:t>
      </w:r>
    </w:p>
    <w:p w14:paraId="0BACD2AF">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）监理人应在收到承包人提交的工程量报告后</w:t>
      </w:r>
      <w:r>
        <w:rPr>
          <w:rFonts w:hAnsi="宋体"/>
          <w:color w:val="auto"/>
          <w:kern w:val="0"/>
          <w:szCs w:val="21"/>
        </w:rPr>
        <w:t>7</w:t>
      </w:r>
      <w:r>
        <w:rPr>
          <w:rFonts w:hint="eastAsia" w:hAnsi="宋体"/>
          <w:color w:val="auto"/>
          <w:kern w:val="0"/>
          <w:szCs w:val="21"/>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C36AFE8">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）监理人未在收到承包人提交的工程量报表后的</w:t>
      </w:r>
      <w:r>
        <w:rPr>
          <w:rFonts w:hAnsi="宋体"/>
          <w:color w:val="auto"/>
          <w:kern w:val="0"/>
          <w:szCs w:val="21"/>
        </w:rPr>
        <w:t>7</w:t>
      </w:r>
      <w:r>
        <w:rPr>
          <w:rFonts w:hint="eastAsia" w:hAnsi="宋体"/>
          <w:color w:val="auto"/>
          <w:kern w:val="0"/>
          <w:szCs w:val="21"/>
        </w:rPr>
        <w:t>天内完成复核的，承包人提交的工程量报告中的工程量视为承包人实际完成的工程量。</w:t>
      </w:r>
    </w:p>
    <w:p w14:paraId="76B51564">
      <w:pPr>
        <w:spacing w:line="360" w:lineRule="auto"/>
        <w:ind w:firstLine="420" w:firstLineChars="200"/>
        <w:jc w:val="left"/>
        <w:rPr>
          <w:rFonts w:hAnsi="宋体"/>
          <w:color w:val="auto"/>
          <w:kern w:val="0"/>
          <w:szCs w:val="21"/>
        </w:rPr>
      </w:pPr>
      <w:r>
        <w:rPr>
          <w:rFonts w:hAnsi="宋体"/>
          <w:color w:val="auto"/>
          <w:kern w:val="0"/>
          <w:szCs w:val="21"/>
        </w:rPr>
        <w:t xml:space="preserve">12.3.5 </w:t>
      </w:r>
      <w:r>
        <w:rPr>
          <w:rFonts w:hint="eastAsia" w:hAnsi="宋体"/>
          <w:color w:val="auto"/>
          <w:kern w:val="0"/>
          <w:szCs w:val="21"/>
        </w:rPr>
        <w:t>总价合同采用支付分解表计量支付的，可以按照第</w:t>
      </w:r>
      <w:r>
        <w:rPr>
          <w:rFonts w:hAnsi="宋体"/>
          <w:color w:val="auto"/>
          <w:kern w:val="0"/>
          <w:szCs w:val="21"/>
        </w:rPr>
        <w:t>12.3.4</w:t>
      </w:r>
      <w:r>
        <w:rPr>
          <w:rFonts w:hint="eastAsia" w:hAnsi="宋体"/>
          <w:color w:val="auto"/>
          <w:kern w:val="0"/>
          <w:szCs w:val="21"/>
        </w:rPr>
        <w:t>项〔总价合同的计量〕约定进行计量，但合同价款按照支付分解表进行支付。</w:t>
      </w:r>
    </w:p>
    <w:p w14:paraId="6C7FF9DC">
      <w:pPr>
        <w:spacing w:line="360" w:lineRule="auto"/>
        <w:ind w:firstLine="420" w:firstLineChars="200"/>
        <w:jc w:val="left"/>
        <w:rPr>
          <w:rFonts w:hAnsi="宋体"/>
          <w:color w:val="auto"/>
          <w:kern w:val="0"/>
          <w:szCs w:val="21"/>
        </w:rPr>
      </w:pPr>
      <w:r>
        <w:rPr>
          <w:rFonts w:hAnsi="宋体"/>
          <w:color w:val="auto"/>
          <w:kern w:val="0"/>
          <w:szCs w:val="21"/>
        </w:rPr>
        <w:t xml:space="preserve">12.3.6 </w:t>
      </w:r>
      <w:r>
        <w:rPr>
          <w:rFonts w:hint="eastAsia" w:hAnsi="宋体"/>
          <w:color w:val="auto"/>
          <w:kern w:val="0"/>
          <w:szCs w:val="21"/>
        </w:rPr>
        <w:t>其他价格形式合同的计量</w:t>
      </w:r>
    </w:p>
    <w:p w14:paraId="4552F60F">
      <w:pPr>
        <w:spacing w:line="360" w:lineRule="auto"/>
        <w:ind w:firstLine="420" w:firstLineChars="200"/>
        <w:jc w:val="left"/>
        <w:rPr>
          <w:rFonts w:hAnsi="宋体"/>
          <w:color w:val="auto"/>
          <w:kern w:val="0"/>
          <w:szCs w:val="21"/>
        </w:rPr>
      </w:pPr>
      <w:r>
        <w:rPr>
          <w:rFonts w:hint="eastAsia" w:hAnsi="宋体"/>
          <w:color w:val="auto"/>
          <w:kern w:val="0"/>
          <w:szCs w:val="21"/>
        </w:rPr>
        <w:t>合同当事人可在专用合同条款中约定其他价格形式合同的计量方式和程序。</w:t>
      </w:r>
    </w:p>
    <w:p w14:paraId="74C31388">
      <w:pPr>
        <w:pStyle w:val="6"/>
        <w:tabs>
          <w:tab w:val="left" w:pos="2155"/>
        </w:tabs>
        <w:rPr>
          <w:color w:val="auto"/>
        </w:rPr>
      </w:pPr>
      <w:bookmarkStart w:id="588" w:name="_Toc296346602"/>
      <w:bookmarkStart w:id="589" w:name="_Toc296503101"/>
      <w:bookmarkStart w:id="590" w:name="_Toc351203584"/>
      <w:bookmarkStart w:id="591" w:name="_Toc337558803"/>
      <w:r>
        <w:rPr>
          <w:color w:val="auto"/>
        </w:rPr>
        <w:t>12.4</w:t>
      </w:r>
      <w:r>
        <w:rPr>
          <w:rFonts w:hint="eastAsia"/>
          <w:color w:val="auto"/>
        </w:rPr>
        <w:t>工程进度款支</w:t>
      </w:r>
      <w:bookmarkEnd w:id="588"/>
      <w:bookmarkEnd w:id="589"/>
      <w:r>
        <w:rPr>
          <w:rFonts w:hint="eastAsia"/>
          <w:color w:val="auto"/>
        </w:rPr>
        <w:t>付</w:t>
      </w:r>
      <w:bookmarkEnd w:id="590"/>
    </w:p>
    <w:bookmarkEnd w:id="591"/>
    <w:p w14:paraId="2E656A7A">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12.4</w:t>
      </w:r>
      <w:r>
        <w:rPr>
          <w:rFonts w:hAnsi="宋体"/>
          <w:color w:val="auto"/>
          <w:kern w:val="0"/>
          <w:szCs w:val="21"/>
        </w:rPr>
        <w:t xml:space="preserve">.1 </w:t>
      </w:r>
      <w:r>
        <w:rPr>
          <w:rFonts w:hint="eastAsia" w:hAnsi="宋体"/>
          <w:color w:val="auto"/>
          <w:kern w:val="0"/>
          <w:szCs w:val="21"/>
        </w:rPr>
        <w:t>付款周期</w:t>
      </w:r>
    </w:p>
    <w:p w14:paraId="357ECDC4">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除专用合同条款另有约定外，付款周期应按照第</w:t>
      </w:r>
      <w:r>
        <w:rPr>
          <w:rFonts w:hAnsi="宋体"/>
          <w:color w:val="auto"/>
          <w:kern w:val="0"/>
          <w:szCs w:val="21"/>
        </w:rPr>
        <w:t>12.3.2</w:t>
      </w:r>
      <w:r>
        <w:rPr>
          <w:rFonts w:hint="eastAsia" w:hAnsi="宋体"/>
          <w:color w:val="auto"/>
          <w:kern w:val="0"/>
          <w:szCs w:val="21"/>
        </w:rPr>
        <w:t>项〔计量周期〕的约定与计量周期保持一致。</w:t>
      </w:r>
    </w:p>
    <w:p w14:paraId="03540130">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12.4</w:t>
      </w:r>
      <w:r>
        <w:rPr>
          <w:rFonts w:hAnsi="宋体"/>
          <w:color w:val="auto"/>
          <w:kern w:val="0"/>
          <w:szCs w:val="21"/>
        </w:rPr>
        <w:t xml:space="preserve">.2 </w:t>
      </w:r>
      <w:r>
        <w:rPr>
          <w:rFonts w:hint="eastAsia" w:hAnsi="宋体"/>
          <w:color w:val="auto"/>
          <w:kern w:val="0"/>
          <w:szCs w:val="21"/>
        </w:rPr>
        <w:t>进度付款申请单的编制</w:t>
      </w:r>
    </w:p>
    <w:p w14:paraId="1E52F76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除专用合同条款另有约定外，进度付款申请单应包括下列内容：</w:t>
      </w:r>
    </w:p>
    <w:p w14:paraId="12F2F61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）截至本次付款周期已完成工作对应的金额；</w:t>
      </w:r>
    </w:p>
    <w:p w14:paraId="08A590B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）根据第</w:t>
      </w:r>
      <w:r>
        <w:rPr>
          <w:rFonts w:hAnsi="宋体"/>
          <w:color w:val="auto"/>
          <w:kern w:val="0"/>
          <w:szCs w:val="21"/>
        </w:rPr>
        <w:t>10</w:t>
      </w:r>
      <w:r>
        <w:rPr>
          <w:rFonts w:hint="eastAsia" w:hAnsi="宋体"/>
          <w:color w:val="auto"/>
          <w:kern w:val="0"/>
          <w:szCs w:val="21"/>
        </w:rPr>
        <w:t>条〔变更〕应增加和扣减的变更金额；</w:t>
      </w:r>
    </w:p>
    <w:p w14:paraId="0AE39AF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）根据第</w:t>
      </w:r>
      <w:r>
        <w:rPr>
          <w:rFonts w:hAnsi="宋体"/>
          <w:color w:val="auto"/>
          <w:kern w:val="0"/>
          <w:szCs w:val="21"/>
        </w:rPr>
        <w:t>12.2</w:t>
      </w:r>
      <w:r>
        <w:rPr>
          <w:rFonts w:hint="eastAsia" w:hAnsi="宋体"/>
          <w:color w:val="auto"/>
          <w:kern w:val="0"/>
          <w:szCs w:val="21"/>
        </w:rPr>
        <w:t>款〔预付款〕约定应支付的预付款和扣减的返还预付款；</w:t>
      </w:r>
    </w:p>
    <w:p w14:paraId="1CDE0D0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）根据第</w:t>
      </w:r>
      <w:r>
        <w:rPr>
          <w:rFonts w:hAnsi="宋体"/>
          <w:color w:val="auto"/>
          <w:kern w:val="0"/>
          <w:szCs w:val="21"/>
        </w:rPr>
        <w:t>15.3</w:t>
      </w:r>
      <w:r>
        <w:rPr>
          <w:rFonts w:hint="eastAsia" w:hAnsi="宋体"/>
          <w:color w:val="auto"/>
          <w:kern w:val="0"/>
          <w:szCs w:val="21"/>
        </w:rPr>
        <w:t>款〔质量保证金〕约定应扣减的质量保证金；</w:t>
      </w:r>
    </w:p>
    <w:p w14:paraId="16B5A36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）根据第</w:t>
      </w:r>
      <w:r>
        <w:rPr>
          <w:rFonts w:hAnsi="宋体"/>
          <w:color w:val="auto"/>
          <w:kern w:val="0"/>
          <w:szCs w:val="21"/>
        </w:rPr>
        <w:t>19</w:t>
      </w:r>
      <w:r>
        <w:rPr>
          <w:rFonts w:hint="eastAsia" w:hAnsi="宋体"/>
          <w:color w:val="auto"/>
          <w:kern w:val="0"/>
          <w:szCs w:val="21"/>
        </w:rPr>
        <w:t>条〔索赔〕应增加和扣减的索赔金额；</w:t>
      </w:r>
    </w:p>
    <w:p w14:paraId="39754A0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）对已签发的进度款支付证书中出现错误的修正，应在本次进度付款中支付或扣除的金额；</w:t>
      </w:r>
    </w:p>
    <w:p w14:paraId="6190950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）根据合同约定应增加和扣减的其他金额。</w:t>
      </w:r>
    </w:p>
    <w:p w14:paraId="66FE3B1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12.4.3 </w:t>
      </w:r>
      <w:r>
        <w:rPr>
          <w:rFonts w:hint="eastAsia" w:hAnsi="宋体"/>
          <w:color w:val="auto"/>
          <w:kern w:val="0"/>
          <w:szCs w:val="21"/>
        </w:rPr>
        <w:t>进度付款申请单的提交</w:t>
      </w:r>
    </w:p>
    <w:p w14:paraId="51EF809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）单价合同进度付款申请单的提交</w:t>
      </w:r>
    </w:p>
    <w:p w14:paraId="11DD444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单价合同的进度付款申请单，按照第</w:t>
      </w:r>
      <w:r>
        <w:rPr>
          <w:rFonts w:hAnsi="宋体"/>
          <w:color w:val="auto"/>
          <w:kern w:val="0"/>
          <w:szCs w:val="21"/>
        </w:rPr>
        <w:t>12.3.3</w:t>
      </w:r>
      <w:r>
        <w:rPr>
          <w:rFonts w:hint="eastAsia" w:hAnsi="宋体"/>
          <w:color w:val="auto"/>
          <w:kern w:val="0"/>
          <w:szCs w:val="21"/>
        </w:rPr>
        <w:t>项〔单价合同的计量〕约定的时间按月向监理人提交，并附上已完成工程量报表和有关资料。单价合同中的总价项目按月进行支付分解，并汇总列入当期进度付款申请单。</w:t>
      </w:r>
    </w:p>
    <w:p w14:paraId="3091033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）总价合同进度付款申请单的提交</w:t>
      </w:r>
    </w:p>
    <w:p w14:paraId="2EE900E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总价合同按月计量支付的，承包人按照第</w:t>
      </w:r>
      <w:r>
        <w:rPr>
          <w:rFonts w:hAnsi="宋体"/>
          <w:color w:val="auto"/>
          <w:kern w:val="0"/>
          <w:szCs w:val="21"/>
        </w:rPr>
        <w:t>12.3.4</w:t>
      </w:r>
      <w:r>
        <w:rPr>
          <w:rFonts w:hint="eastAsia" w:hAnsi="宋体"/>
          <w:color w:val="auto"/>
          <w:kern w:val="0"/>
          <w:szCs w:val="21"/>
        </w:rPr>
        <w:t>项〔总价合同的计量〕约定的时间按月向监理人提交进度付款申请单，并附上已完成工程量报表和有关资料。</w:t>
      </w:r>
    </w:p>
    <w:p w14:paraId="2875071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总价合同按支付分解表支付的，承包人应按照第</w:t>
      </w:r>
      <w:r>
        <w:rPr>
          <w:rFonts w:hAnsi="宋体"/>
          <w:color w:val="auto"/>
          <w:kern w:val="0"/>
          <w:szCs w:val="21"/>
        </w:rPr>
        <w:t>12.4.6</w:t>
      </w:r>
      <w:r>
        <w:rPr>
          <w:rFonts w:hint="eastAsia" w:hAnsi="宋体"/>
          <w:color w:val="auto"/>
          <w:kern w:val="0"/>
          <w:szCs w:val="21"/>
        </w:rPr>
        <w:t>项〔支付分解表〕及第</w:t>
      </w:r>
      <w:r>
        <w:rPr>
          <w:rFonts w:hAnsi="宋体"/>
          <w:color w:val="auto"/>
          <w:kern w:val="0"/>
          <w:szCs w:val="21"/>
        </w:rPr>
        <w:t>12.4.2</w:t>
      </w:r>
      <w:r>
        <w:rPr>
          <w:rFonts w:hint="eastAsia" w:hAnsi="宋体"/>
          <w:color w:val="auto"/>
          <w:kern w:val="0"/>
          <w:szCs w:val="21"/>
        </w:rPr>
        <w:t>项〔进度付款申请单的编制〕的约定向监理人提交进度付款申请单。</w:t>
      </w:r>
    </w:p>
    <w:p w14:paraId="76F43A1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）其他价格形式合同的进度付款申请单的提交</w:t>
      </w:r>
    </w:p>
    <w:p w14:paraId="5DBBE5A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合同当事人可在专用合同条款中约定其他价格形式合同的进度付款申请单的编制和提交程序。</w:t>
      </w:r>
    </w:p>
    <w:p w14:paraId="04AF4DA7">
      <w:pPr>
        <w:autoSpaceDE w:val="0"/>
        <w:autoSpaceDN w:val="0"/>
        <w:adjustRightInd w:val="0"/>
        <w:spacing w:line="360" w:lineRule="auto"/>
        <w:ind w:firstLine="420" w:firstLineChars="200"/>
        <w:jc w:val="left"/>
        <w:rPr>
          <w:rFonts w:hAnsi="宋体"/>
          <w:color w:val="auto"/>
          <w:kern w:val="0"/>
          <w:szCs w:val="21"/>
        </w:rPr>
      </w:pPr>
      <w:r>
        <w:rPr>
          <w:rFonts w:hAnsi="宋体"/>
          <w:color w:val="auto"/>
          <w:szCs w:val="21"/>
        </w:rPr>
        <w:t>12.4</w:t>
      </w:r>
      <w:r>
        <w:rPr>
          <w:rFonts w:hAnsi="宋体"/>
          <w:color w:val="auto"/>
          <w:kern w:val="0"/>
          <w:szCs w:val="21"/>
        </w:rPr>
        <w:t xml:space="preserve">.4 </w:t>
      </w:r>
      <w:r>
        <w:rPr>
          <w:rFonts w:hint="eastAsia" w:hAnsi="宋体"/>
          <w:color w:val="auto"/>
          <w:kern w:val="0"/>
          <w:szCs w:val="21"/>
        </w:rPr>
        <w:t>进度款审核和支付</w:t>
      </w:r>
    </w:p>
    <w:p w14:paraId="517BF3C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）除专用合同条款另有约定外，监理人应在收到承包人进度付款申请单以及相关资料后</w:t>
      </w:r>
      <w:r>
        <w:rPr>
          <w:rFonts w:hAnsi="宋体"/>
          <w:color w:val="auto"/>
          <w:kern w:val="0"/>
          <w:szCs w:val="21"/>
        </w:rPr>
        <w:t>7</w:t>
      </w:r>
      <w:r>
        <w:rPr>
          <w:rFonts w:hint="eastAsia" w:hAnsi="宋体"/>
          <w:color w:val="auto"/>
          <w:kern w:val="0"/>
          <w:szCs w:val="21"/>
        </w:rPr>
        <w:t>天内完成审查并报送发包人，发包人应在收到后</w:t>
      </w:r>
      <w:r>
        <w:rPr>
          <w:rFonts w:hAnsi="宋体"/>
          <w:color w:val="auto"/>
          <w:kern w:val="0"/>
          <w:szCs w:val="21"/>
        </w:rPr>
        <w:t>7</w:t>
      </w:r>
      <w:r>
        <w:rPr>
          <w:rFonts w:hint="eastAsia" w:hAnsi="宋体"/>
          <w:color w:val="auto"/>
          <w:kern w:val="0"/>
          <w:szCs w:val="21"/>
        </w:rPr>
        <w:t>天内完成审批并签发进度款支付证书。发包人逾期未完成审批且未提出异议的，视为已签发进度款支付证书。</w:t>
      </w:r>
    </w:p>
    <w:p w14:paraId="01A364B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w:t>
      </w:r>
      <w:r>
        <w:rPr>
          <w:rFonts w:hAnsi="宋体"/>
          <w:color w:val="auto"/>
          <w:kern w:val="0"/>
          <w:szCs w:val="21"/>
        </w:rPr>
        <w:t>7</w:t>
      </w:r>
      <w:r>
        <w:rPr>
          <w:rFonts w:hint="eastAsia" w:hAnsi="宋体"/>
          <w:color w:val="auto"/>
          <w:kern w:val="0"/>
          <w:szCs w:val="21"/>
        </w:rPr>
        <w:t>天内完成审查并报送发包人，发包人应在收到监理人报送的进度付款申请单及相关资料后</w:t>
      </w:r>
      <w:r>
        <w:rPr>
          <w:rFonts w:hAnsi="宋体"/>
          <w:color w:val="auto"/>
          <w:kern w:val="0"/>
          <w:szCs w:val="21"/>
        </w:rPr>
        <w:t>7</w:t>
      </w:r>
      <w:r>
        <w:rPr>
          <w:rFonts w:hint="eastAsia" w:hAnsi="宋体"/>
          <w:color w:val="auto"/>
          <w:kern w:val="0"/>
          <w:szCs w:val="21"/>
        </w:rPr>
        <w:t>天内，向承包人签发无异议部分的临时进度款支付证书。存在争议的部分，按照第</w:t>
      </w:r>
      <w:r>
        <w:rPr>
          <w:rFonts w:hAnsi="宋体"/>
          <w:color w:val="auto"/>
          <w:kern w:val="0"/>
          <w:szCs w:val="21"/>
        </w:rPr>
        <w:t>20</w:t>
      </w:r>
      <w:r>
        <w:rPr>
          <w:rFonts w:hint="eastAsia" w:hAnsi="宋体"/>
          <w:color w:val="auto"/>
          <w:kern w:val="0"/>
          <w:szCs w:val="21"/>
        </w:rPr>
        <w:t>条〔争议解决〕的约定处理。</w:t>
      </w:r>
    </w:p>
    <w:p w14:paraId="43C69F5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）除专用合同条款另有约定外，发包人应在进度款支付证书或临时进度款支付证书签发后</w:t>
      </w:r>
      <w:r>
        <w:rPr>
          <w:rFonts w:hAnsi="宋体"/>
          <w:color w:val="auto"/>
          <w:kern w:val="0"/>
          <w:szCs w:val="21"/>
        </w:rPr>
        <w:t>14</w:t>
      </w:r>
      <w:r>
        <w:rPr>
          <w:rFonts w:hint="eastAsia" w:hAnsi="宋体"/>
          <w:color w:val="auto"/>
          <w:kern w:val="0"/>
          <w:szCs w:val="21"/>
        </w:rPr>
        <w:t>天内完成支付，发包人逾期支付进度款的，应按照中国人民银行发布的同期同类贷款基准利率支付违约金。</w:t>
      </w:r>
    </w:p>
    <w:p w14:paraId="4A7234D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）发包人签发进度款支付证书或临时进度款支付证书，不表明发包人已同意、批准或接受了承包人完成的相应部分的工作。</w:t>
      </w:r>
    </w:p>
    <w:p w14:paraId="25EDB6F0">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12.4.5 </w:t>
      </w:r>
      <w:r>
        <w:rPr>
          <w:rFonts w:hint="eastAsia" w:hAnsi="宋体"/>
          <w:color w:val="auto"/>
          <w:kern w:val="0"/>
          <w:szCs w:val="21"/>
        </w:rPr>
        <w:t>进度付款的修正</w:t>
      </w:r>
    </w:p>
    <w:p w14:paraId="6A2CC83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24B3413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12.4.6 </w:t>
      </w:r>
      <w:r>
        <w:rPr>
          <w:rFonts w:hint="eastAsia" w:hAnsi="宋体"/>
          <w:color w:val="auto"/>
          <w:kern w:val="0"/>
          <w:szCs w:val="21"/>
        </w:rPr>
        <w:t>支付分解表</w:t>
      </w:r>
    </w:p>
    <w:p w14:paraId="0A3EC14D">
      <w:pPr>
        <w:spacing w:line="360" w:lineRule="auto"/>
        <w:ind w:firstLine="420" w:firstLineChars="200"/>
        <w:jc w:val="left"/>
        <w:rPr>
          <w:rFonts w:hAnsi="宋体"/>
          <w:color w:val="auto"/>
          <w:kern w:val="0"/>
          <w:szCs w:val="21"/>
        </w:rPr>
      </w:pPr>
      <w:r>
        <w:rPr>
          <w:rFonts w:hAnsi="宋体"/>
          <w:color w:val="auto"/>
          <w:kern w:val="0"/>
          <w:szCs w:val="21"/>
        </w:rPr>
        <w:t>1</w:t>
      </w:r>
      <w:r>
        <w:rPr>
          <w:rFonts w:hint="eastAsia" w:hAnsi="宋体"/>
          <w:color w:val="auto"/>
          <w:kern w:val="0"/>
          <w:szCs w:val="21"/>
        </w:rPr>
        <w:t>、支付分解表的编制要求</w:t>
      </w:r>
    </w:p>
    <w:p w14:paraId="23B8D445">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）支付分解表中所列的每期付款金额，应为第</w:t>
      </w:r>
      <w:r>
        <w:rPr>
          <w:rFonts w:hAnsi="宋体"/>
          <w:color w:val="auto"/>
          <w:kern w:val="0"/>
          <w:szCs w:val="21"/>
        </w:rPr>
        <w:t>12.4.2</w:t>
      </w:r>
      <w:r>
        <w:rPr>
          <w:rFonts w:hint="eastAsia" w:hAnsi="宋体"/>
          <w:color w:val="auto"/>
          <w:kern w:val="0"/>
          <w:szCs w:val="21"/>
        </w:rPr>
        <w:t>项〔进度付款申请单的编制〕第（</w:t>
      </w:r>
      <w:r>
        <w:rPr>
          <w:rFonts w:hAnsi="宋体"/>
          <w:color w:val="auto"/>
          <w:kern w:val="0"/>
          <w:szCs w:val="21"/>
        </w:rPr>
        <w:t>1</w:t>
      </w:r>
      <w:r>
        <w:rPr>
          <w:rFonts w:hint="eastAsia" w:hAnsi="宋体"/>
          <w:color w:val="auto"/>
          <w:kern w:val="0"/>
          <w:szCs w:val="21"/>
        </w:rPr>
        <w:t>）目的估算金额；</w:t>
      </w:r>
    </w:p>
    <w:p w14:paraId="762CA984">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）实际进度与施工进度计划不一致的，合同当事人可按照第</w:t>
      </w:r>
      <w:r>
        <w:rPr>
          <w:rFonts w:hAnsi="宋体"/>
          <w:color w:val="auto"/>
          <w:kern w:val="0"/>
          <w:szCs w:val="21"/>
        </w:rPr>
        <w:t>4.4</w:t>
      </w:r>
      <w:r>
        <w:rPr>
          <w:rFonts w:hint="eastAsia" w:hAnsi="宋体"/>
          <w:color w:val="auto"/>
          <w:kern w:val="0"/>
          <w:szCs w:val="21"/>
        </w:rPr>
        <w:t>款〔商定或确定〕修改支付分解表；</w:t>
      </w:r>
    </w:p>
    <w:p w14:paraId="19D3FEE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）不采用支付分解表的，承包人应向发包人和监理人提交按季度编制的支付估算分解表，用于支付参考。</w:t>
      </w:r>
    </w:p>
    <w:p w14:paraId="35A3BAA5">
      <w:pPr>
        <w:spacing w:line="360" w:lineRule="auto"/>
        <w:ind w:firstLine="420" w:firstLineChars="200"/>
        <w:jc w:val="left"/>
        <w:rPr>
          <w:rFonts w:hAnsi="宋体"/>
          <w:color w:val="auto"/>
          <w:kern w:val="0"/>
          <w:szCs w:val="21"/>
        </w:rPr>
      </w:pPr>
      <w:r>
        <w:rPr>
          <w:rFonts w:hAnsi="宋体"/>
          <w:color w:val="auto"/>
          <w:kern w:val="0"/>
          <w:szCs w:val="21"/>
        </w:rPr>
        <w:t>2</w:t>
      </w:r>
      <w:r>
        <w:rPr>
          <w:rFonts w:hint="eastAsia" w:hAnsi="宋体"/>
          <w:color w:val="auto"/>
          <w:kern w:val="0"/>
          <w:szCs w:val="21"/>
        </w:rPr>
        <w:t>、总价合同支付分解表的编制与审批</w:t>
      </w:r>
    </w:p>
    <w:p w14:paraId="109148F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）除专用合同条款另有约定外，承包人应根据第</w:t>
      </w:r>
      <w:r>
        <w:rPr>
          <w:rFonts w:hAnsi="宋体"/>
          <w:color w:val="auto"/>
          <w:kern w:val="0"/>
          <w:szCs w:val="21"/>
        </w:rPr>
        <w:t>7.2</w:t>
      </w:r>
      <w:r>
        <w:rPr>
          <w:rFonts w:hint="eastAsia" w:hAnsi="宋体"/>
          <w:color w:val="auto"/>
          <w:kern w:val="0"/>
          <w:szCs w:val="21"/>
        </w:rPr>
        <w:t>款〔施工进度计划〕约定的施工进度计划、签约合同价和工程量等因素对总价合同按月进行分解，编制支付分解表。承包人应当在收到监理人和发包人批准的施工进度计划后</w:t>
      </w:r>
      <w:r>
        <w:rPr>
          <w:rFonts w:hAnsi="宋体"/>
          <w:color w:val="auto"/>
          <w:kern w:val="0"/>
          <w:szCs w:val="21"/>
        </w:rPr>
        <w:t>7</w:t>
      </w:r>
      <w:r>
        <w:rPr>
          <w:rFonts w:hint="eastAsia" w:hAnsi="宋体"/>
          <w:color w:val="auto"/>
          <w:kern w:val="0"/>
          <w:szCs w:val="21"/>
        </w:rPr>
        <w:t>天内，将支付分解表及编制支付分解表的支持性资料报送监理人。</w:t>
      </w:r>
    </w:p>
    <w:p w14:paraId="72F0FFC7">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）监理人应在收到支付分解表后</w:t>
      </w:r>
      <w:r>
        <w:rPr>
          <w:rFonts w:hAnsi="宋体"/>
          <w:color w:val="auto"/>
          <w:kern w:val="0"/>
          <w:szCs w:val="21"/>
        </w:rPr>
        <w:t>7</w:t>
      </w:r>
      <w:r>
        <w:rPr>
          <w:rFonts w:hint="eastAsia" w:hAnsi="宋体"/>
          <w:color w:val="auto"/>
          <w:kern w:val="0"/>
          <w:szCs w:val="21"/>
        </w:rPr>
        <w:t>天内完成审核并报送发包人。发包人应在收到经监理人审核的支付分解表后</w:t>
      </w:r>
      <w:r>
        <w:rPr>
          <w:rFonts w:hAnsi="宋体"/>
          <w:color w:val="auto"/>
          <w:kern w:val="0"/>
          <w:szCs w:val="21"/>
        </w:rPr>
        <w:t>7</w:t>
      </w:r>
      <w:r>
        <w:rPr>
          <w:rFonts w:hint="eastAsia" w:hAnsi="宋体"/>
          <w:color w:val="auto"/>
          <w:kern w:val="0"/>
          <w:szCs w:val="21"/>
        </w:rPr>
        <w:t>天内完成审批，经发包人批准的支付分解表为有约束力的支付分解表。</w:t>
      </w:r>
    </w:p>
    <w:p w14:paraId="6326D2F2">
      <w:pPr>
        <w:spacing w:line="360" w:lineRule="auto"/>
        <w:jc w:val="left"/>
        <w:rPr>
          <w:rFonts w:hAnsi="宋体"/>
          <w:color w:val="auto"/>
          <w:kern w:val="0"/>
          <w:szCs w:val="21"/>
        </w:rPr>
      </w:pPr>
      <w:r>
        <w:rPr>
          <w:rFonts w:hAnsi="宋体"/>
          <w:color w:val="auto"/>
          <w:kern w:val="0"/>
          <w:szCs w:val="21"/>
        </w:rPr>
        <w:t xml:space="preserve">    </w:t>
      </w:r>
      <w:r>
        <w:rPr>
          <w:rFonts w:hint="eastAsia" w:hAnsi="宋体"/>
          <w:color w:val="auto"/>
          <w:kern w:val="0"/>
          <w:szCs w:val="21"/>
        </w:rPr>
        <w:t>（</w:t>
      </w:r>
      <w:r>
        <w:rPr>
          <w:rFonts w:hAnsi="宋体"/>
          <w:color w:val="auto"/>
          <w:kern w:val="0"/>
          <w:szCs w:val="21"/>
        </w:rPr>
        <w:t>3</w:t>
      </w:r>
      <w:r>
        <w:rPr>
          <w:rFonts w:hint="eastAsia" w:hAnsi="宋体"/>
          <w:color w:val="auto"/>
          <w:kern w:val="0"/>
          <w:szCs w:val="21"/>
        </w:rPr>
        <w:t>）发包人逾期未完成支付分解表审批的，也未及时要求承包人进行修正和提供补充资料的，则承包人提交的支付分解表视为已经获得发包人批准。</w:t>
      </w:r>
    </w:p>
    <w:p w14:paraId="14FD270E">
      <w:pPr>
        <w:spacing w:line="360" w:lineRule="auto"/>
        <w:ind w:firstLine="420" w:firstLineChars="200"/>
        <w:jc w:val="left"/>
        <w:rPr>
          <w:rFonts w:hAnsi="宋体"/>
          <w:color w:val="auto"/>
          <w:kern w:val="0"/>
          <w:szCs w:val="21"/>
        </w:rPr>
      </w:pPr>
      <w:r>
        <w:rPr>
          <w:rFonts w:hAnsi="宋体"/>
          <w:color w:val="auto"/>
          <w:kern w:val="0"/>
          <w:szCs w:val="21"/>
        </w:rPr>
        <w:t>3</w:t>
      </w:r>
      <w:r>
        <w:rPr>
          <w:rFonts w:hint="eastAsia" w:hAnsi="宋体"/>
          <w:color w:val="auto"/>
          <w:kern w:val="0"/>
          <w:szCs w:val="21"/>
        </w:rPr>
        <w:t>、单价合同的总价项目支付分解表的编制与审批</w:t>
      </w:r>
    </w:p>
    <w:p w14:paraId="1C29D84B">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23125E3">
      <w:pPr>
        <w:pStyle w:val="6"/>
        <w:tabs>
          <w:tab w:val="left" w:pos="2155"/>
        </w:tabs>
        <w:rPr>
          <w:color w:val="auto"/>
        </w:rPr>
      </w:pPr>
      <w:bookmarkStart w:id="592" w:name="_Toc351203585"/>
      <w:r>
        <w:rPr>
          <w:color w:val="auto"/>
        </w:rPr>
        <w:t>12.5</w:t>
      </w:r>
      <w:r>
        <w:rPr>
          <w:rFonts w:hint="eastAsia" w:cs="宋体"/>
          <w:color w:val="auto"/>
        </w:rPr>
        <w:t>支付账户</w:t>
      </w:r>
      <w:bookmarkEnd w:id="592"/>
    </w:p>
    <w:p w14:paraId="1B42D95D">
      <w:pPr>
        <w:spacing w:line="360" w:lineRule="auto"/>
        <w:ind w:firstLine="420" w:firstLineChars="200"/>
        <w:jc w:val="left"/>
        <w:rPr>
          <w:rFonts w:hAnsi="宋体"/>
          <w:color w:val="auto"/>
          <w:kern w:val="0"/>
          <w:szCs w:val="21"/>
        </w:rPr>
      </w:pPr>
      <w:r>
        <w:rPr>
          <w:rFonts w:hint="eastAsia" w:hAnsi="宋体"/>
          <w:color w:val="auto"/>
          <w:kern w:val="0"/>
          <w:szCs w:val="21"/>
        </w:rPr>
        <w:t>发包人应将合同价款支付至合同协议书中约定的承包人账户。</w:t>
      </w:r>
    </w:p>
    <w:p w14:paraId="65F9A5AF">
      <w:pPr>
        <w:pStyle w:val="5"/>
        <w:tabs>
          <w:tab w:val="left" w:pos="900"/>
        </w:tabs>
        <w:rPr>
          <w:color w:val="auto"/>
        </w:rPr>
      </w:pPr>
      <w:bookmarkStart w:id="593" w:name="_Toc17942"/>
      <w:bookmarkStart w:id="594" w:name="_Toc13952"/>
      <w:bookmarkStart w:id="595" w:name="_Toc351203586"/>
      <w:bookmarkStart w:id="596" w:name="_Toc26456"/>
      <w:bookmarkStart w:id="597" w:name="_Toc9164"/>
      <w:bookmarkStart w:id="598" w:name="_Toc525396182"/>
      <w:bookmarkStart w:id="599" w:name="_Toc322522574"/>
      <w:bookmarkStart w:id="600" w:name="_Toc337558804"/>
      <w:bookmarkStart w:id="601" w:name="_Toc296503106"/>
      <w:bookmarkStart w:id="602" w:name="_Toc296346607"/>
      <w:r>
        <w:rPr>
          <w:color w:val="auto"/>
        </w:rPr>
        <w:t xml:space="preserve">13. </w:t>
      </w:r>
      <w:r>
        <w:rPr>
          <w:rFonts w:hint="eastAsia"/>
          <w:color w:val="auto"/>
        </w:rPr>
        <w:t>验收和工程试车</w:t>
      </w:r>
      <w:bookmarkEnd w:id="593"/>
      <w:bookmarkEnd w:id="594"/>
      <w:bookmarkEnd w:id="595"/>
      <w:bookmarkEnd w:id="596"/>
      <w:bookmarkEnd w:id="597"/>
      <w:bookmarkEnd w:id="598"/>
    </w:p>
    <w:bookmarkEnd w:id="599"/>
    <w:bookmarkEnd w:id="600"/>
    <w:bookmarkEnd w:id="601"/>
    <w:bookmarkEnd w:id="602"/>
    <w:p w14:paraId="1714D23F">
      <w:pPr>
        <w:pStyle w:val="6"/>
        <w:tabs>
          <w:tab w:val="left" w:pos="2155"/>
        </w:tabs>
        <w:rPr>
          <w:color w:val="auto"/>
        </w:rPr>
      </w:pPr>
      <w:bookmarkStart w:id="603" w:name="_Toc351203587"/>
      <w:bookmarkStart w:id="604" w:name="_Toc337558805"/>
      <w:bookmarkStart w:id="605" w:name="_Toc296346611"/>
      <w:bookmarkStart w:id="606" w:name="_Toc296503110"/>
      <w:r>
        <w:rPr>
          <w:color w:val="auto"/>
        </w:rPr>
        <w:t>13.1</w:t>
      </w:r>
      <w:r>
        <w:rPr>
          <w:rFonts w:hint="eastAsia"/>
          <w:color w:val="auto"/>
        </w:rPr>
        <w:t>分部分项工程验收</w:t>
      </w:r>
      <w:bookmarkEnd w:id="603"/>
    </w:p>
    <w:bookmarkEnd w:id="604"/>
    <w:p w14:paraId="5634156A">
      <w:pPr>
        <w:spacing w:line="360" w:lineRule="auto"/>
        <w:ind w:firstLine="420" w:firstLineChars="200"/>
        <w:rPr>
          <w:rFonts w:hAnsi="宋体"/>
          <w:color w:val="auto"/>
          <w:szCs w:val="21"/>
        </w:rPr>
      </w:pPr>
      <w:r>
        <w:rPr>
          <w:rFonts w:hAnsi="宋体"/>
          <w:color w:val="auto"/>
          <w:szCs w:val="21"/>
        </w:rPr>
        <w:t xml:space="preserve">13.1.1 </w:t>
      </w:r>
      <w:r>
        <w:rPr>
          <w:rFonts w:hint="eastAsia" w:hAnsi="宋体"/>
          <w:color w:val="auto"/>
          <w:szCs w:val="21"/>
        </w:rPr>
        <w:t>分部分项工程质量应符合国家有关工程施工验收规范、标准及合同约定，承包人应按照施工组织设计的要求完成分部分项工程施工。</w:t>
      </w:r>
    </w:p>
    <w:p w14:paraId="24723AA2">
      <w:pPr>
        <w:spacing w:line="360" w:lineRule="auto"/>
        <w:ind w:firstLine="420" w:firstLineChars="200"/>
        <w:rPr>
          <w:rFonts w:hAnsi="宋体"/>
          <w:color w:val="auto"/>
          <w:szCs w:val="21"/>
        </w:rPr>
      </w:pPr>
      <w:r>
        <w:rPr>
          <w:rFonts w:hAnsi="宋体"/>
          <w:color w:val="auto"/>
          <w:szCs w:val="21"/>
        </w:rPr>
        <w:t xml:space="preserve">13.1.2 </w:t>
      </w:r>
      <w:r>
        <w:rPr>
          <w:rFonts w:hint="eastAsia" w:hAnsi="宋体"/>
          <w:color w:val="auto"/>
          <w:szCs w:val="21"/>
        </w:rPr>
        <w:t>除专用合同条款另有约定外，分部分项工程经承包人自检合格并具备验收条件的，承包人应提前</w:t>
      </w:r>
      <w:r>
        <w:rPr>
          <w:rFonts w:hAnsi="宋体"/>
          <w:color w:val="auto"/>
          <w:szCs w:val="21"/>
        </w:rPr>
        <w:t>48</w:t>
      </w:r>
      <w:r>
        <w:rPr>
          <w:rFonts w:hint="eastAsia" w:hAnsi="宋体"/>
          <w:color w:val="auto"/>
          <w:szCs w:val="21"/>
        </w:rPr>
        <w:t>小时通知监理人进行验收。</w:t>
      </w:r>
      <w:r>
        <w:rPr>
          <w:rFonts w:hint="eastAsia" w:hAnsi="宋体"/>
          <w:color w:val="auto"/>
          <w:kern w:val="0"/>
          <w:szCs w:val="21"/>
        </w:rPr>
        <w:t>监理人不能按时进行验收的，应在验收前</w:t>
      </w:r>
      <w:r>
        <w:rPr>
          <w:rFonts w:hAnsi="宋体"/>
          <w:color w:val="auto"/>
          <w:kern w:val="0"/>
          <w:szCs w:val="21"/>
        </w:rPr>
        <w:t>24</w:t>
      </w:r>
      <w:r>
        <w:rPr>
          <w:rFonts w:hint="eastAsia" w:hAnsi="宋体"/>
          <w:color w:val="auto"/>
          <w:kern w:val="0"/>
          <w:szCs w:val="21"/>
        </w:rPr>
        <w:t>小时向承包人提交书面延期要求，但延期不能超过</w:t>
      </w:r>
      <w:r>
        <w:rPr>
          <w:rFonts w:hAnsi="宋体"/>
          <w:color w:val="auto"/>
          <w:kern w:val="0"/>
          <w:szCs w:val="21"/>
        </w:rPr>
        <w:t>48</w:t>
      </w:r>
      <w:r>
        <w:rPr>
          <w:rFonts w:hint="eastAsia" w:hAnsi="宋体"/>
          <w:color w:val="auto"/>
          <w:kern w:val="0"/>
          <w:szCs w:val="21"/>
        </w:rPr>
        <w:t>小时。监理人未按时进行验收，也未提出延期要求的，承包人有权自行验收，监理人应认可验收结果。</w:t>
      </w:r>
      <w:r>
        <w:rPr>
          <w:rFonts w:hint="eastAsia" w:hAnsi="宋体"/>
          <w:color w:val="auto"/>
          <w:szCs w:val="21"/>
        </w:rPr>
        <w:t>分部分项工程未经验收的，不得进入下一道工序施工。</w:t>
      </w:r>
    </w:p>
    <w:p w14:paraId="16F28198">
      <w:pPr>
        <w:spacing w:line="360" w:lineRule="auto"/>
        <w:ind w:firstLine="420" w:firstLineChars="200"/>
        <w:rPr>
          <w:rFonts w:hAnsi="宋体"/>
          <w:color w:val="auto"/>
          <w:szCs w:val="21"/>
        </w:rPr>
      </w:pPr>
      <w:r>
        <w:rPr>
          <w:rFonts w:hint="eastAsia" w:hAnsi="宋体"/>
          <w:color w:val="auto"/>
          <w:szCs w:val="21"/>
        </w:rPr>
        <w:t>分部分项工程的验收资料应当作为竣工资料的组成部分。</w:t>
      </w:r>
    </w:p>
    <w:p w14:paraId="2A6394A6">
      <w:pPr>
        <w:pStyle w:val="6"/>
        <w:tabs>
          <w:tab w:val="left" w:pos="2155"/>
        </w:tabs>
        <w:rPr>
          <w:color w:val="auto"/>
        </w:rPr>
      </w:pPr>
      <w:bookmarkStart w:id="607" w:name="_Toc351203588"/>
      <w:bookmarkStart w:id="608" w:name="_Toc337558806"/>
      <w:r>
        <w:rPr>
          <w:color w:val="auto"/>
        </w:rPr>
        <w:t>13.2</w:t>
      </w:r>
      <w:r>
        <w:rPr>
          <w:rFonts w:hint="eastAsia" w:cs="宋体"/>
          <w:color w:val="auto"/>
        </w:rPr>
        <w:t>竣工验收</w:t>
      </w:r>
      <w:bookmarkEnd w:id="607"/>
    </w:p>
    <w:bookmarkEnd w:id="605"/>
    <w:bookmarkEnd w:id="606"/>
    <w:bookmarkEnd w:id="608"/>
    <w:p w14:paraId="33B493CD">
      <w:pPr>
        <w:spacing w:line="360" w:lineRule="auto"/>
        <w:ind w:firstLine="420" w:firstLineChars="200"/>
        <w:jc w:val="left"/>
        <w:rPr>
          <w:rFonts w:hAnsi="宋体"/>
          <w:color w:val="auto"/>
          <w:kern w:val="0"/>
          <w:szCs w:val="21"/>
        </w:rPr>
      </w:pPr>
      <w:r>
        <w:rPr>
          <w:rFonts w:hAnsi="宋体"/>
          <w:color w:val="auto"/>
          <w:kern w:val="0"/>
          <w:szCs w:val="21"/>
        </w:rPr>
        <w:t>13.2.1</w:t>
      </w:r>
      <w:r>
        <w:rPr>
          <w:rFonts w:hint="eastAsia" w:hAnsi="宋体"/>
          <w:color w:val="auto"/>
          <w:kern w:val="0"/>
          <w:szCs w:val="21"/>
        </w:rPr>
        <w:t>竣工验收条件</w:t>
      </w:r>
    </w:p>
    <w:p w14:paraId="46E8D717">
      <w:pPr>
        <w:spacing w:line="360" w:lineRule="auto"/>
        <w:ind w:firstLine="420" w:firstLineChars="200"/>
        <w:jc w:val="left"/>
        <w:rPr>
          <w:rFonts w:hAnsi="宋体"/>
          <w:color w:val="auto"/>
          <w:kern w:val="0"/>
          <w:szCs w:val="21"/>
        </w:rPr>
      </w:pPr>
      <w:r>
        <w:rPr>
          <w:rFonts w:hint="eastAsia" w:hAnsi="宋体"/>
          <w:color w:val="auto"/>
          <w:kern w:val="0"/>
          <w:szCs w:val="21"/>
        </w:rPr>
        <w:t>工程具备以下条件的，承包人可以申请竣工验收：</w:t>
      </w:r>
    </w:p>
    <w:p w14:paraId="165CCFBE">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）除发包人同意的甩项工作和缺陷修补工作外，合同范围内的全部工程以及有关工作，包括合同要求的试验、试运行以及检验均已完成，并符合合同要求；</w:t>
      </w:r>
    </w:p>
    <w:p w14:paraId="2F55061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）已按合同约定编制了甩项工作和缺陷修补工作清单以及相应的施工计划；</w:t>
      </w:r>
    </w:p>
    <w:p w14:paraId="7EE7B472">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）已按合同约定的内容和份数备齐竣工资料。</w:t>
      </w:r>
    </w:p>
    <w:p w14:paraId="41193689">
      <w:pPr>
        <w:spacing w:line="360" w:lineRule="auto"/>
        <w:ind w:firstLine="420" w:firstLineChars="200"/>
        <w:jc w:val="left"/>
        <w:rPr>
          <w:rFonts w:hAnsi="宋体"/>
          <w:color w:val="auto"/>
          <w:kern w:val="0"/>
          <w:szCs w:val="21"/>
        </w:rPr>
      </w:pPr>
      <w:r>
        <w:rPr>
          <w:rFonts w:hAnsi="宋体"/>
          <w:color w:val="auto"/>
          <w:kern w:val="0"/>
          <w:szCs w:val="21"/>
        </w:rPr>
        <w:t>13.2.2</w:t>
      </w:r>
      <w:r>
        <w:rPr>
          <w:rFonts w:hint="eastAsia" w:hAnsi="宋体"/>
          <w:color w:val="auto"/>
          <w:kern w:val="0"/>
          <w:szCs w:val="21"/>
        </w:rPr>
        <w:t>竣工验收程序</w:t>
      </w:r>
    </w:p>
    <w:p w14:paraId="522E42A0">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除专用合同条款另有约定外，承包人申请竣工验收的，应当按照以下程序进行：</w:t>
      </w:r>
    </w:p>
    <w:p w14:paraId="6ABD6F2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）承包人向监理人报送竣工验收申请报告，监理人应在收到竣工验收申请报告后</w:t>
      </w:r>
      <w:r>
        <w:rPr>
          <w:rFonts w:hAnsi="宋体"/>
          <w:color w:val="auto"/>
          <w:kern w:val="0"/>
          <w:szCs w:val="21"/>
        </w:rPr>
        <w:t>14</w:t>
      </w:r>
      <w:r>
        <w:rPr>
          <w:rFonts w:hint="eastAsia" w:hAnsi="宋体"/>
          <w:color w:val="auto"/>
          <w:kern w:val="0"/>
          <w:szCs w:val="21"/>
        </w:rPr>
        <w:t>天内完成审查并报送发包人。监理人审查后认为尚不具备验收条件的，应通知承包人在竣工验收前承包人还需完成的工作内容，承包人应在完成监理人通知的全部工作内容后，再次提交竣工验收申请报告。</w:t>
      </w:r>
    </w:p>
    <w:p w14:paraId="68295049">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）监理人审查后认为已具备竣工验收条件的，应将竣工验收申请报告提交发包人，发包人应在收到经监理人审核的竣工验收申请报告后</w:t>
      </w:r>
      <w:r>
        <w:rPr>
          <w:rFonts w:hAnsi="宋体"/>
          <w:color w:val="auto"/>
          <w:kern w:val="0"/>
          <w:szCs w:val="21"/>
        </w:rPr>
        <w:t>28</w:t>
      </w:r>
      <w:r>
        <w:rPr>
          <w:rFonts w:hint="eastAsia" w:hAnsi="宋体"/>
          <w:color w:val="auto"/>
          <w:kern w:val="0"/>
          <w:szCs w:val="21"/>
        </w:rPr>
        <w:t>天内审批完毕并组织监理人、承包人、设计人等相关单位完成竣工验收。</w:t>
      </w:r>
    </w:p>
    <w:p w14:paraId="4B1F54EB">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）竣工验收合格的，发包人应在验收合格后</w:t>
      </w:r>
      <w:r>
        <w:rPr>
          <w:rFonts w:hAnsi="宋体"/>
          <w:color w:val="auto"/>
          <w:kern w:val="0"/>
          <w:szCs w:val="21"/>
        </w:rPr>
        <w:t>14</w:t>
      </w:r>
      <w:r>
        <w:rPr>
          <w:rFonts w:hint="eastAsia" w:hAnsi="宋体"/>
          <w:color w:val="auto"/>
          <w:kern w:val="0"/>
          <w:szCs w:val="21"/>
        </w:rPr>
        <w:t>天内向承包人签发工程接收证书。发包人无正当理由逾期不颁发工程接收证书的，自验收合格后第</w:t>
      </w:r>
      <w:r>
        <w:rPr>
          <w:rFonts w:hAnsi="宋体"/>
          <w:color w:val="auto"/>
          <w:kern w:val="0"/>
          <w:szCs w:val="21"/>
        </w:rPr>
        <w:t>15</w:t>
      </w:r>
      <w:r>
        <w:rPr>
          <w:rFonts w:hint="eastAsia" w:hAnsi="宋体"/>
          <w:color w:val="auto"/>
          <w:kern w:val="0"/>
          <w:szCs w:val="21"/>
        </w:rPr>
        <w:t>天起视为已颁发工程接收证书。</w:t>
      </w:r>
    </w:p>
    <w:p w14:paraId="634F2214">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E799D29">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）工程未经验收或验收不合格，发包人擅自使用的，应在转移占有工程后</w:t>
      </w:r>
      <w:r>
        <w:rPr>
          <w:rFonts w:hAnsi="宋体"/>
          <w:color w:val="auto"/>
          <w:kern w:val="0"/>
          <w:szCs w:val="21"/>
        </w:rPr>
        <w:t>7</w:t>
      </w:r>
      <w:r>
        <w:rPr>
          <w:rFonts w:hint="eastAsia" w:hAnsi="宋体"/>
          <w:color w:val="auto"/>
          <w:kern w:val="0"/>
          <w:szCs w:val="21"/>
        </w:rPr>
        <w:t>天内向承包人颁发工程接收证书；发包人无正当理由逾期不颁发工程接收证书的，自转移占有后第</w:t>
      </w:r>
      <w:r>
        <w:rPr>
          <w:rFonts w:hAnsi="宋体"/>
          <w:color w:val="auto"/>
          <w:kern w:val="0"/>
          <w:szCs w:val="21"/>
        </w:rPr>
        <w:t>15</w:t>
      </w:r>
      <w:r>
        <w:rPr>
          <w:rFonts w:hint="eastAsia" w:hAnsi="宋体"/>
          <w:color w:val="auto"/>
          <w:kern w:val="0"/>
          <w:szCs w:val="21"/>
        </w:rPr>
        <w:t>天起视为已颁发工程接收证书。</w:t>
      </w:r>
    </w:p>
    <w:p w14:paraId="29FCCEC1">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0A3F0557">
      <w:pPr>
        <w:spacing w:line="360" w:lineRule="auto"/>
        <w:ind w:firstLine="420" w:firstLineChars="200"/>
        <w:jc w:val="left"/>
        <w:rPr>
          <w:rFonts w:hAnsi="宋体"/>
          <w:color w:val="auto"/>
          <w:kern w:val="0"/>
          <w:szCs w:val="21"/>
        </w:rPr>
      </w:pPr>
      <w:r>
        <w:rPr>
          <w:rFonts w:hAnsi="宋体"/>
          <w:color w:val="auto"/>
          <w:kern w:val="0"/>
          <w:szCs w:val="21"/>
        </w:rPr>
        <w:t>13.2.3</w:t>
      </w:r>
      <w:r>
        <w:rPr>
          <w:rFonts w:hint="eastAsia" w:hAnsi="宋体"/>
          <w:color w:val="auto"/>
          <w:kern w:val="0"/>
          <w:szCs w:val="21"/>
        </w:rPr>
        <w:t>竣工日期</w:t>
      </w:r>
    </w:p>
    <w:p w14:paraId="459EB15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工程经竣工验收合格的，以承包人提交竣工验收申请报告之日为实际竣工日期，并在工程接收证书中载明；因发包人原因，未在监理人收到承包人提交的竣工验收申请报告</w:t>
      </w:r>
      <w:r>
        <w:rPr>
          <w:rFonts w:hAnsi="宋体"/>
          <w:color w:val="auto"/>
          <w:kern w:val="0"/>
          <w:szCs w:val="21"/>
        </w:rPr>
        <w:t>42</w:t>
      </w:r>
      <w:r>
        <w:rPr>
          <w:rFonts w:hint="eastAsia" w:hAnsi="宋体"/>
          <w:color w:val="auto"/>
          <w:kern w:val="0"/>
          <w:szCs w:val="21"/>
        </w:rPr>
        <w:t>天内完成竣工验收，或完成竣工验收不予签发工程接收证书的，以提交竣工验</w:t>
      </w:r>
      <w:bookmarkStart w:id="609" w:name="#go14"/>
      <w:bookmarkEnd w:id="609"/>
      <w:r>
        <w:rPr>
          <w:rFonts w:hint="eastAsia" w:hAnsi="宋体"/>
          <w:color w:val="auto"/>
          <w:kern w:val="0"/>
          <w:szCs w:val="21"/>
        </w:rPr>
        <w:t>收申请报告的日期为实际竣工日期；工程未经竣工验收，发包人擅自使用的，以转移占有工程之日为实际竣工日期。</w:t>
      </w:r>
    </w:p>
    <w:p w14:paraId="59659F98">
      <w:pPr>
        <w:spacing w:line="360" w:lineRule="auto"/>
        <w:ind w:firstLine="420" w:firstLineChars="200"/>
        <w:jc w:val="left"/>
        <w:rPr>
          <w:rFonts w:hAnsi="宋体"/>
          <w:color w:val="auto"/>
          <w:kern w:val="0"/>
          <w:szCs w:val="21"/>
        </w:rPr>
      </w:pPr>
      <w:r>
        <w:rPr>
          <w:rFonts w:hAnsi="宋体"/>
          <w:color w:val="auto"/>
          <w:kern w:val="0"/>
          <w:szCs w:val="21"/>
        </w:rPr>
        <w:t xml:space="preserve">13.2.4 </w:t>
      </w:r>
      <w:r>
        <w:rPr>
          <w:rFonts w:hint="eastAsia" w:hAnsi="宋体"/>
          <w:color w:val="auto"/>
          <w:kern w:val="0"/>
          <w:szCs w:val="21"/>
        </w:rPr>
        <w:t>拒绝接收全部或部分工程</w:t>
      </w:r>
    </w:p>
    <w:p w14:paraId="58C5715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E40063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13.2.5 </w:t>
      </w:r>
      <w:r>
        <w:rPr>
          <w:rFonts w:hint="eastAsia" w:hAnsi="宋体"/>
          <w:color w:val="auto"/>
          <w:kern w:val="0"/>
          <w:szCs w:val="21"/>
        </w:rPr>
        <w:t>移交、接收全部与部分工程</w:t>
      </w:r>
    </w:p>
    <w:p w14:paraId="4AF60FE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除专用合同条款另有约定外，合同当事人应当在颁发工程接收证书后</w:t>
      </w:r>
      <w:r>
        <w:rPr>
          <w:rFonts w:hAnsi="宋体"/>
          <w:color w:val="auto"/>
          <w:kern w:val="0"/>
          <w:szCs w:val="21"/>
        </w:rPr>
        <w:t>7</w:t>
      </w:r>
      <w:r>
        <w:rPr>
          <w:rFonts w:hint="eastAsia" w:hAnsi="宋体"/>
          <w:color w:val="auto"/>
          <w:kern w:val="0"/>
          <w:szCs w:val="21"/>
        </w:rPr>
        <w:t>天内完成工程的移交。</w:t>
      </w:r>
    </w:p>
    <w:p w14:paraId="33A7970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4993CCF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58B6D9DA">
      <w:pPr>
        <w:pStyle w:val="6"/>
        <w:tabs>
          <w:tab w:val="left" w:pos="2155"/>
        </w:tabs>
        <w:rPr>
          <w:color w:val="auto"/>
        </w:rPr>
      </w:pPr>
      <w:bookmarkStart w:id="610" w:name="_Toc351203589"/>
      <w:bookmarkStart w:id="611" w:name="_Toc337558807"/>
      <w:bookmarkStart w:id="612" w:name="_Toc296503111"/>
      <w:bookmarkStart w:id="613" w:name="_Toc296346612"/>
      <w:r>
        <w:rPr>
          <w:color w:val="auto"/>
        </w:rPr>
        <w:t>13.3</w:t>
      </w:r>
      <w:r>
        <w:rPr>
          <w:rFonts w:hint="eastAsia" w:cs="宋体"/>
          <w:color w:val="auto"/>
        </w:rPr>
        <w:t>工程试车</w:t>
      </w:r>
      <w:bookmarkEnd w:id="610"/>
    </w:p>
    <w:bookmarkEnd w:id="611"/>
    <w:bookmarkEnd w:id="612"/>
    <w:bookmarkEnd w:id="613"/>
    <w:p w14:paraId="5B63465F">
      <w:pPr>
        <w:spacing w:line="360" w:lineRule="auto"/>
        <w:ind w:firstLine="420" w:firstLineChars="200"/>
        <w:jc w:val="left"/>
        <w:rPr>
          <w:rFonts w:hAnsi="宋体"/>
          <w:color w:val="auto"/>
          <w:kern w:val="0"/>
          <w:szCs w:val="21"/>
        </w:rPr>
      </w:pPr>
      <w:r>
        <w:rPr>
          <w:rFonts w:hAnsi="宋体"/>
          <w:color w:val="auto"/>
          <w:kern w:val="0"/>
          <w:szCs w:val="21"/>
        </w:rPr>
        <w:t>13.3.1</w:t>
      </w:r>
      <w:r>
        <w:rPr>
          <w:rFonts w:hint="eastAsia" w:hAnsi="宋体"/>
          <w:color w:val="auto"/>
          <w:kern w:val="0"/>
          <w:szCs w:val="21"/>
        </w:rPr>
        <w:t>试车程序</w:t>
      </w:r>
    </w:p>
    <w:p w14:paraId="2B38E8FD">
      <w:pPr>
        <w:spacing w:line="360" w:lineRule="auto"/>
        <w:ind w:firstLine="420" w:firstLineChars="200"/>
        <w:jc w:val="left"/>
        <w:rPr>
          <w:rFonts w:hAnsi="宋体"/>
          <w:color w:val="auto"/>
          <w:kern w:val="0"/>
          <w:szCs w:val="21"/>
        </w:rPr>
      </w:pPr>
      <w:r>
        <w:rPr>
          <w:rFonts w:hint="eastAsia" w:hAnsi="宋体"/>
          <w:color w:val="auto"/>
          <w:kern w:val="0"/>
          <w:szCs w:val="21"/>
        </w:rPr>
        <w:t>工程需要试车的，除专用合同条款另有约定外，试车内容应与承包人承包范围相一致，试车费用由承包人承担。工程试车应按如下程序进行：</w:t>
      </w:r>
    </w:p>
    <w:p w14:paraId="1684BCE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）具备单机无负荷试车条件，承包人组织试车，并在试车前</w:t>
      </w:r>
      <w:r>
        <w:rPr>
          <w:rFonts w:hAnsi="宋体"/>
          <w:color w:val="auto"/>
          <w:kern w:val="0"/>
          <w:szCs w:val="21"/>
        </w:rPr>
        <w:t>48</w:t>
      </w:r>
      <w:r>
        <w:rPr>
          <w:rFonts w:hint="eastAsia" w:hAnsi="宋体"/>
          <w:color w:val="auto"/>
          <w:kern w:val="0"/>
          <w:szCs w:val="21"/>
        </w:rPr>
        <w:t>小时书面通知监理人，通知中应载明试车内容、时间、地点。承包人准备试车记录，发包人根据承包人要求为试车提供必要条件。试车合格的，监理人在试车记录上签字。监理人在试车合格后不在试车记录上签字，自试车结束满</w:t>
      </w:r>
      <w:r>
        <w:rPr>
          <w:rFonts w:hAnsi="宋体"/>
          <w:color w:val="auto"/>
          <w:kern w:val="0"/>
          <w:szCs w:val="21"/>
        </w:rPr>
        <w:t>24</w:t>
      </w:r>
      <w:r>
        <w:rPr>
          <w:rFonts w:hint="eastAsia" w:hAnsi="宋体"/>
          <w:color w:val="auto"/>
          <w:kern w:val="0"/>
          <w:szCs w:val="21"/>
        </w:rPr>
        <w:t>小时后视为监理人已经认可试车记录，承包人可继续施工或办理竣工验收手续。</w:t>
      </w:r>
    </w:p>
    <w:p w14:paraId="3893F20D">
      <w:pPr>
        <w:spacing w:line="360" w:lineRule="auto"/>
        <w:ind w:firstLine="420" w:firstLineChars="200"/>
        <w:jc w:val="left"/>
        <w:rPr>
          <w:rFonts w:hAnsi="宋体"/>
          <w:color w:val="auto"/>
          <w:kern w:val="0"/>
          <w:szCs w:val="21"/>
        </w:rPr>
      </w:pPr>
      <w:r>
        <w:rPr>
          <w:rFonts w:hint="eastAsia" w:hAnsi="宋体"/>
          <w:color w:val="auto"/>
          <w:kern w:val="0"/>
          <w:szCs w:val="21"/>
        </w:rPr>
        <w:t>监理人不能按时参加试车，应在试车前</w:t>
      </w:r>
      <w:r>
        <w:rPr>
          <w:rFonts w:hAnsi="宋体"/>
          <w:color w:val="auto"/>
          <w:kern w:val="0"/>
          <w:szCs w:val="21"/>
        </w:rPr>
        <w:t>24</w:t>
      </w:r>
      <w:r>
        <w:rPr>
          <w:rFonts w:hint="eastAsia" w:hAnsi="宋体"/>
          <w:color w:val="auto"/>
          <w:kern w:val="0"/>
          <w:szCs w:val="21"/>
        </w:rPr>
        <w:t>小时以书面形式向承包人提出延期要求，但延期不能超过</w:t>
      </w:r>
      <w:r>
        <w:rPr>
          <w:rFonts w:hAnsi="宋体"/>
          <w:color w:val="auto"/>
          <w:kern w:val="0"/>
          <w:szCs w:val="21"/>
        </w:rPr>
        <w:t>48</w:t>
      </w:r>
      <w:r>
        <w:rPr>
          <w:rFonts w:hint="eastAsia" w:hAnsi="宋体"/>
          <w:color w:val="auto"/>
          <w:kern w:val="0"/>
          <w:szCs w:val="21"/>
        </w:rPr>
        <w:t>小时，由此导致工期延误的，工期应予以顺延。监理人未能在前述期限内提出延期要求，又不参加试车的，视为认可试车记录。</w:t>
      </w:r>
    </w:p>
    <w:p w14:paraId="51C4987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）具备无负荷联动试车条件，发包人组织试车，并在试车前</w:t>
      </w:r>
      <w:r>
        <w:rPr>
          <w:rFonts w:hAnsi="宋体"/>
          <w:color w:val="auto"/>
          <w:kern w:val="0"/>
          <w:szCs w:val="21"/>
        </w:rPr>
        <w:t>48</w:t>
      </w:r>
      <w:r>
        <w:rPr>
          <w:rFonts w:hint="eastAsia" w:hAnsi="宋体"/>
          <w:color w:val="auto"/>
          <w:kern w:val="0"/>
          <w:szCs w:val="21"/>
        </w:rPr>
        <w:t>小时以书面形式通知承包人。通知中应载明试车内容、时间、地点和对承包人的要求，承包人按要求做好准备工作。试车合格，合同当事人在试车记录上签字。承包人无正当理由不参加试车的，视为认可试车记录。</w:t>
      </w:r>
    </w:p>
    <w:p w14:paraId="0F11A9B5">
      <w:pPr>
        <w:spacing w:line="360" w:lineRule="auto"/>
        <w:ind w:firstLine="420" w:firstLineChars="200"/>
        <w:jc w:val="left"/>
        <w:rPr>
          <w:rFonts w:hAnsi="宋体"/>
          <w:color w:val="auto"/>
          <w:kern w:val="0"/>
          <w:szCs w:val="21"/>
        </w:rPr>
      </w:pPr>
      <w:r>
        <w:rPr>
          <w:rFonts w:hAnsi="宋体"/>
          <w:color w:val="auto"/>
          <w:kern w:val="0"/>
          <w:szCs w:val="21"/>
        </w:rPr>
        <w:t xml:space="preserve">13.3.2 </w:t>
      </w:r>
      <w:r>
        <w:rPr>
          <w:rFonts w:hint="eastAsia" w:hAnsi="宋体"/>
          <w:color w:val="auto"/>
          <w:kern w:val="0"/>
          <w:szCs w:val="21"/>
        </w:rPr>
        <w:t>试车中的责任</w:t>
      </w:r>
    </w:p>
    <w:p w14:paraId="3EED982C">
      <w:pPr>
        <w:spacing w:line="360" w:lineRule="auto"/>
        <w:ind w:firstLine="420" w:firstLineChars="200"/>
        <w:jc w:val="left"/>
        <w:rPr>
          <w:rFonts w:hAnsi="宋体"/>
          <w:color w:val="auto"/>
          <w:kern w:val="0"/>
          <w:szCs w:val="21"/>
        </w:rPr>
      </w:pPr>
      <w:r>
        <w:rPr>
          <w:rFonts w:hint="eastAsia" w:hAnsi="宋体"/>
          <w:color w:val="auto"/>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84F308D">
      <w:pPr>
        <w:spacing w:line="360" w:lineRule="auto"/>
        <w:ind w:firstLine="420" w:firstLineChars="200"/>
        <w:jc w:val="left"/>
        <w:rPr>
          <w:rFonts w:hAnsi="宋体"/>
          <w:color w:val="auto"/>
          <w:kern w:val="0"/>
          <w:szCs w:val="21"/>
        </w:rPr>
      </w:pPr>
      <w:r>
        <w:rPr>
          <w:rFonts w:hint="eastAsia" w:hAnsi="宋体"/>
          <w:color w:val="auto"/>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1A9387D1">
      <w:pPr>
        <w:spacing w:line="360" w:lineRule="auto"/>
        <w:ind w:firstLine="420" w:firstLineChars="200"/>
        <w:jc w:val="left"/>
        <w:rPr>
          <w:rFonts w:hAnsi="宋体"/>
          <w:color w:val="auto"/>
          <w:kern w:val="0"/>
          <w:szCs w:val="21"/>
        </w:rPr>
      </w:pPr>
      <w:r>
        <w:rPr>
          <w:rFonts w:hAnsi="宋体"/>
          <w:color w:val="auto"/>
          <w:kern w:val="0"/>
          <w:szCs w:val="21"/>
        </w:rPr>
        <w:t xml:space="preserve">13.3.3 </w:t>
      </w:r>
      <w:r>
        <w:rPr>
          <w:rFonts w:hint="eastAsia" w:hAnsi="宋体"/>
          <w:color w:val="auto"/>
          <w:kern w:val="0"/>
          <w:szCs w:val="21"/>
        </w:rPr>
        <w:t>投料试车</w:t>
      </w:r>
    </w:p>
    <w:p w14:paraId="4B49F0D7">
      <w:pPr>
        <w:spacing w:line="360" w:lineRule="auto"/>
        <w:ind w:firstLine="420" w:firstLineChars="200"/>
        <w:jc w:val="left"/>
        <w:rPr>
          <w:rFonts w:hAnsi="宋体"/>
          <w:color w:val="auto"/>
          <w:kern w:val="0"/>
          <w:szCs w:val="21"/>
        </w:rPr>
      </w:pPr>
      <w:r>
        <w:rPr>
          <w:rFonts w:hint="eastAsia" w:hAnsi="宋体"/>
          <w:color w:val="auto"/>
          <w:kern w:val="0"/>
          <w:szCs w:val="21"/>
        </w:rPr>
        <w:t>如需进行投料试车的，发包人应在工程竣工验收后组织投料试车。发包人要求在工程竣工验收前进行或需要承包人配合时，应征得承包人同意，并在专用合同条款中约定有关事项。</w:t>
      </w:r>
    </w:p>
    <w:p w14:paraId="272B7476">
      <w:pPr>
        <w:spacing w:line="360" w:lineRule="auto"/>
        <w:ind w:firstLine="420" w:firstLineChars="200"/>
        <w:jc w:val="left"/>
        <w:rPr>
          <w:rFonts w:hAnsi="宋体"/>
          <w:color w:val="auto"/>
          <w:kern w:val="0"/>
          <w:szCs w:val="21"/>
        </w:rPr>
      </w:pPr>
      <w:r>
        <w:rPr>
          <w:rFonts w:hint="eastAsia" w:hAnsi="宋体"/>
          <w:color w:val="auto"/>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0DE59CE">
      <w:pPr>
        <w:pStyle w:val="6"/>
        <w:tabs>
          <w:tab w:val="left" w:pos="2155"/>
        </w:tabs>
        <w:rPr>
          <w:color w:val="auto"/>
        </w:rPr>
      </w:pPr>
      <w:bookmarkStart w:id="614" w:name="_Toc351203590"/>
      <w:bookmarkStart w:id="615" w:name="_Toc337558808"/>
      <w:r>
        <w:rPr>
          <w:color w:val="auto"/>
        </w:rPr>
        <w:t>13.4</w:t>
      </w:r>
      <w:r>
        <w:rPr>
          <w:rFonts w:hint="eastAsia"/>
          <w:color w:val="auto"/>
        </w:rPr>
        <w:t>提前交付单位工程的验收</w:t>
      </w:r>
      <w:bookmarkEnd w:id="614"/>
    </w:p>
    <w:bookmarkEnd w:id="615"/>
    <w:p w14:paraId="01109D68">
      <w:pPr>
        <w:spacing w:line="360" w:lineRule="auto"/>
        <w:ind w:firstLine="420" w:firstLineChars="200"/>
        <w:jc w:val="left"/>
        <w:rPr>
          <w:rFonts w:hAnsi="宋体"/>
          <w:color w:val="auto"/>
          <w:kern w:val="0"/>
          <w:szCs w:val="21"/>
        </w:rPr>
      </w:pPr>
      <w:r>
        <w:rPr>
          <w:rFonts w:hAnsi="宋体"/>
          <w:color w:val="auto"/>
          <w:kern w:val="0"/>
          <w:szCs w:val="21"/>
        </w:rPr>
        <w:t xml:space="preserve">13.4.1 </w:t>
      </w:r>
      <w:r>
        <w:rPr>
          <w:rFonts w:hint="eastAsia" w:hAnsi="宋体"/>
          <w:color w:val="auto"/>
          <w:kern w:val="0"/>
          <w:szCs w:val="21"/>
        </w:rPr>
        <w:t>发包人需要在工程竣工前使用单位工程的，或承包人提出提前交付已经竣工的单位工程且经发包人同意的，可进行单位工程验收，验收的程序按照第</w:t>
      </w:r>
      <w:r>
        <w:rPr>
          <w:rFonts w:hAnsi="宋体"/>
          <w:color w:val="auto"/>
          <w:kern w:val="0"/>
          <w:szCs w:val="21"/>
        </w:rPr>
        <w:t>13.2</w:t>
      </w:r>
      <w:r>
        <w:rPr>
          <w:rFonts w:hint="eastAsia" w:hAnsi="宋体"/>
          <w:color w:val="auto"/>
          <w:kern w:val="0"/>
          <w:szCs w:val="21"/>
        </w:rPr>
        <w:t>款〔竣工验收〕的约定进行。</w:t>
      </w:r>
    </w:p>
    <w:p w14:paraId="12826D63">
      <w:pPr>
        <w:spacing w:line="360" w:lineRule="auto"/>
        <w:ind w:firstLine="420" w:firstLineChars="200"/>
        <w:jc w:val="left"/>
        <w:rPr>
          <w:rFonts w:hAnsi="宋体"/>
          <w:color w:val="auto"/>
          <w:kern w:val="0"/>
          <w:szCs w:val="21"/>
        </w:rPr>
      </w:pPr>
      <w:r>
        <w:rPr>
          <w:rFonts w:hint="eastAsia" w:hAnsi="宋体"/>
          <w:color w:val="auto"/>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212C9228">
      <w:pPr>
        <w:spacing w:line="360" w:lineRule="auto"/>
        <w:ind w:firstLine="420" w:firstLineChars="200"/>
        <w:jc w:val="left"/>
        <w:rPr>
          <w:rFonts w:hAnsi="宋体"/>
          <w:color w:val="auto"/>
          <w:kern w:val="0"/>
          <w:szCs w:val="21"/>
        </w:rPr>
      </w:pPr>
      <w:r>
        <w:rPr>
          <w:rFonts w:hAnsi="宋体"/>
          <w:color w:val="auto"/>
          <w:kern w:val="0"/>
          <w:szCs w:val="21"/>
        </w:rPr>
        <w:t xml:space="preserve">13.4.2 </w:t>
      </w:r>
      <w:r>
        <w:rPr>
          <w:rFonts w:hint="eastAsia" w:hAnsi="宋体"/>
          <w:color w:val="auto"/>
          <w:kern w:val="0"/>
          <w:szCs w:val="21"/>
        </w:rPr>
        <w:t>发包人要求在工程竣工前交付单位工程，由此导致承包人费用增加和（或）工期延误的，由发包人承担由此增加的费用和（或）延误的工期，并支付承包人合理的利润。</w:t>
      </w:r>
    </w:p>
    <w:p w14:paraId="47D7FC66">
      <w:pPr>
        <w:pStyle w:val="6"/>
        <w:tabs>
          <w:tab w:val="left" w:pos="2155"/>
        </w:tabs>
        <w:rPr>
          <w:color w:val="auto"/>
        </w:rPr>
      </w:pPr>
      <w:bookmarkStart w:id="616" w:name="_Toc351203591"/>
      <w:r>
        <w:rPr>
          <w:color w:val="auto"/>
        </w:rPr>
        <w:t xml:space="preserve">13.5 </w:t>
      </w:r>
      <w:r>
        <w:rPr>
          <w:rFonts w:hint="eastAsia" w:cs="宋体"/>
          <w:color w:val="auto"/>
        </w:rPr>
        <w:t>施工期运行</w:t>
      </w:r>
      <w:bookmarkEnd w:id="616"/>
    </w:p>
    <w:p w14:paraId="7873FE84">
      <w:pPr>
        <w:spacing w:line="360" w:lineRule="auto"/>
        <w:ind w:firstLine="420" w:firstLineChars="200"/>
        <w:jc w:val="left"/>
        <w:rPr>
          <w:rFonts w:hAnsi="宋体"/>
          <w:color w:val="auto"/>
          <w:kern w:val="0"/>
          <w:szCs w:val="21"/>
        </w:rPr>
      </w:pPr>
      <w:r>
        <w:rPr>
          <w:rFonts w:hAnsi="宋体"/>
          <w:color w:val="auto"/>
          <w:kern w:val="0"/>
          <w:szCs w:val="21"/>
        </w:rPr>
        <w:t xml:space="preserve">13.5.1 </w:t>
      </w:r>
      <w:r>
        <w:rPr>
          <w:rFonts w:hint="eastAsia" w:hAnsi="宋体"/>
          <w:color w:val="auto"/>
          <w:kern w:val="0"/>
          <w:szCs w:val="21"/>
        </w:rPr>
        <w:t>施工期运行是指合同工程尚未全部竣工，其中某项或某几项单位工程或工程设备安装已竣工，根据专用合同条款约定，需要投入施工期运行的，经发包人按第</w:t>
      </w:r>
      <w:r>
        <w:rPr>
          <w:rFonts w:hAnsi="宋体"/>
          <w:color w:val="auto"/>
          <w:kern w:val="0"/>
          <w:szCs w:val="21"/>
        </w:rPr>
        <w:t>13.4</w:t>
      </w:r>
      <w:r>
        <w:rPr>
          <w:rFonts w:hint="eastAsia" w:hAnsi="宋体"/>
          <w:color w:val="auto"/>
          <w:kern w:val="0"/>
          <w:szCs w:val="21"/>
        </w:rPr>
        <w:t>款〔提前交付单位工程的验收〕的约定验收合格，证明能确保安全后，才能在施工期投入运行。</w:t>
      </w:r>
    </w:p>
    <w:p w14:paraId="5CE04895">
      <w:pPr>
        <w:spacing w:line="360" w:lineRule="auto"/>
        <w:ind w:firstLine="420" w:firstLineChars="200"/>
        <w:jc w:val="left"/>
        <w:rPr>
          <w:rFonts w:hAnsi="宋体"/>
          <w:color w:val="auto"/>
          <w:kern w:val="0"/>
          <w:szCs w:val="21"/>
        </w:rPr>
      </w:pPr>
      <w:r>
        <w:rPr>
          <w:rFonts w:hAnsi="宋体"/>
          <w:color w:val="auto"/>
          <w:kern w:val="0"/>
          <w:szCs w:val="21"/>
        </w:rPr>
        <w:t xml:space="preserve">13.5.2 </w:t>
      </w:r>
      <w:r>
        <w:rPr>
          <w:rFonts w:hint="eastAsia" w:hAnsi="宋体"/>
          <w:color w:val="auto"/>
          <w:kern w:val="0"/>
          <w:szCs w:val="21"/>
        </w:rPr>
        <w:t>在施工期运行中发现工程或工程设备损坏或存在缺陷的，由承包人按第</w:t>
      </w:r>
      <w:r>
        <w:rPr>
          <w:rFonts w:hAnsi="宋体"/>
          <w:color w:val="auto"/>
          <w:kern w:val="0"/>
          <w:szCs w:val="21"/>
        </w:rPr>
        <w:t>15.2</w:t>
      </w:r>
      <w:r>
        <w:rPr>
          <w:rFonts w:hint="eastAsia" w:hAnsi="宋体"/>
          <w:color w:val="auto"/>
          <w:kern w:val="0"/>
          <w:szCs w:val="21"/>
        </w:rPr>
        <w:t>款〔缺陷责任期〕约定进行修复。</w:t>
      </w:r>
    </w:p>
    <w:p w14:paraId="59CB1A7E">
      <w:pPr>
        <w:pStyle w:val="6"/>
        <w:tabs>
          <w:tab w:val="left" w:pos="2155"/>
        </w:tabs>
        <w:rPr>
          <w:color w:val="auto"/>
        </w:rPr>
      </w:pPr>
      <w:bookmarkStart w:id="617" w:name="_Toc296346613"/>
      <w:bookmarkStart w:id="618" w:name="_Toc296503112"/>
      <w:bookmarkStart w:id="619" w:name="_Toc351203592"/>
      <w:bookmarkStart w:id="620" w:name="_Toc337558809"/>
      <w:r>
        <w:rPr>
          <w:color w:val="auto"/>
        </w:rPr>
        <w:t xml:space="preserve">13.6 </w:t>
      </w:r>
      <w:r>
        <w:rPr>
          <w:rFonts w:hint="eastAsia" w:cs="宋体"/>
          <w:color w:val="auto"/>
        </w:rPr>
        <w:t>竣工退</w:t>
      </w:r>
      <w:bookmarkEnd w:id="617"/>
      <w:bookmarkEnd w:id="618"/>
      <w:r>
        <w:rPr>
          <w:rFonts w:hint="eastAsia" w:cs="宋体"/>
          <w:color w:val="auto"/>
        </w:rPr>
        <w:t>场</w:t>
      </w:r>
      <w:bookmarkEnd w:id="619"/>
    </w:p>
    <w:bookmarkEnd w:id="620"/>
    <w:p w14:paraId="3B4C66A3">
      <w:pPr>
        <w:spacing w:line="360" w:lineRule="auto"/>
        <w:ind w:firstLine="420" w:firstLineChars="200"/>
        <w:jc w:val="left"/>
        <w:rPr>
          <w:rFonts w:hAnsi="宋体"/>
          <w:color w:val="auto"/>
          <w:kern w:val="0"/>
          <w:szCs w:val="21"/>
        </w:rPr>
      </w:pPr>
      <w:r>
        <w:rPr>
          <w:rFonts w:hAnsi="宋体"/>
          <w:color w:val="auto"/>
          <w:kern w:val="0"/>
          <w:szCs w:val="21"/>
        </w:rPr>
        <w:t xml:space="preserve">13.6.1 </w:t>
      </w:r>
      <w:r>
        <w:rPr>
          <w:rFonts w:hint="eastAsia" w:hAnsi="宋体"/>
          <w:color w:val="auto"/>
          <w:kern w:val="0"/>
          <w:szCs w:val="21"/>
        </w:rPr>
        <w:t>竣工退场</w:t>
      </w:r>
    </w:p>
    <w:p w14:paraId="17E37B9B">
      <w:pPr>
        <w:spacing w:line="360" w:lineRule="auto"/>
        <w:ind w:firstLine="420" w:firstLineChars="200"/>
        <w:jc w:val="left"/>
        <w:rPr>
          <w:rFonts w:hAnsi="宋体"/>
          <w:color w:val="auto"/>
          <w:kern w:val="0"/>
          <w:szCs w:val="21"/>
        </w:rPr>
      </w:pPr>
      <w:r>
        <w:rPr>
          <w:rFonts w:hint="eastAsia" w:hAnsi="宋体"/>
          <w:color w:val="auto"/>
          <w:kern w:val="0"/>
          <w:szCs w:val="21"/>
        </w:rPr>
        <w:t>颁发工程接收证书后，承包人应按以下要求对施工现场进行清理：</w:t>
      </w:r>
    </w:p>
    <w:p w14:paraId="79C40D74">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）施工现场内残留的垃圾已全部清除出场；</w:t>
      </w:r>
    </w:p>
    <w:p w14:paraId="0707AA6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）临时工程已拆除，场地已进行清理、平整或复原；</w:t>
      </w:r>
    </w:p>
    <w:p w14:paraId="7B18DAB7">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）按合同约定应撤离的人员、承包人施工设备和剩余的材料，包括废弃的施工设备和材料，已按计划撤离施工现场；</w:t>
      </w:r>
    </w:p>
    <w:p w14:paraId="4357E97B">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）施工现场周边及其附近道路、河道的施工堆积物，已全部清理；</w:t>
      </w:r>
    </w:p>
    <w:p w14:paraId="68D0BB90">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）施工现场其他场地清理工作已全部完成。</w:t>
      </w:r>
    </w:p>
    <w:p w14:paraId="3BD2587F">
      <w:pPr>
        <w:spacing w:line="360" w:lineRule="auto"/>
        <w:ind w:firstLine="420" w:firstLineChars="200"/>
        <w:jc w:val="left"/>
        <w:rPr>
          <w:rFonts w:hAnsi="宋体"/>
          <w:color w:val="auto"/>
          <w:kern w:val="0"/>
          <w:szCs w:val="21"/>
        </w:rPr>
      </w:pPr>
      <w:r>
        <w:rPr>
          <w:rFonts w:hint="eastAsia" w:hAnsi="宋体"/>
          <w:color w:val="auto"/>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4761117">
      <w:pPr>
        <w:spacing w:line="360" w:lineRule="auto"/>
        <w:ind w:firstLine="420" w:firstLineChars="200"/>
        <w:jc w:val="left"/>
        <w:rPr>
          <w:rFonts w:hAnsi="宋体"/>
          <w:color w:val="auto"/>
          <w:kern w:val="0"/>
          <w:szCs w:val="21"/>
        </w:rPr>
      </w:pPr>
      <w:r>
        <w:rPr>
          <w:rFonts w:hAnsi="宋体"/>
          <w:color w:val="auto"/>
          <w:kern w:val="0"/>
          <w:szCs w:val="21"/>
        </w:rPr>
        <w:t xml:space="preserve">13.6.2 </w:t>
      </w:r>
      <w:r>
        <w:rPr>
          <w:rFonts w:hint="eastAsia" w:hAnsi="宋体"/>
          <w:color w:val="auto"/>
          <w:kern w:val="0"/>
          <w:szCs w:val="21"/>
        </w:rPr>
        <w:t>地表还原</w:t>
      </w:r>
    </w:p>
    <w:p w14:paraId="5E5B38FF">
      <w:pPr>
        <w:spacing w:line="360" w:lineRule="auto"/>
        <w:ind w:firstLine="420" w:firstLineChars="200"/>
        <w:jc w:val="left"/>
        <w:rPr>
          <w:rFonts w:hAnsi="宋体"/>
          <w:color w:val="auto"/>
          <w:kern w:val="0"/>
          <w:szCs w:val="21"/>
        </w:rPr>
      </w:pPr>
      <w:r>
        <w:rPr>
          <w:rFonts w:hint="eastAsia" w:hAnsi="宋体"/>
          <w:color w:val="auto"/>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68EC28F4">
      <w:pPr>
        <w:pStyle w:val="5"/>
        <w:tabs>
          <w:tab w:val="left" w:pos="900"/>
        </w:tabs>
        <w:rPr>
          <w:color w:val="auto"/>
        </w:rPr>
      </w:pPr>
      <w:bookmarkStart w:id="621" w:name="_Toc5296"/>
      <w:bookmarkStart w:id="622" w:name="_Toc29704"/>
      <w:bookmarkStart w:id="623" w:name="_Toc525396183"/>
      <w:bookmarkStart w:id="624" w:name="_Toc18404"/>
      <w:bookmarkStart w:id="625" w:name="_Toc351203593"/>
      <w:bookmarkStart w:id="626" w:name="_Toc337558810"/>
      <w:bookmarkStart w:id="627" w:name="_Toc296346614"/>
      <w:bookmarkStart w:id="628" w:name="_Toc296503113"/>
      <w:r>
        <w:rPr>
          <w:color w:val="auto"/>
        </w:rPr>
        <w:t xml:space="preserve">14. </w:t>
      </w:r>
      <w:r>
        <w:rPr>
          <w:rFonts w:hint="eastAsia" w:cs="宋体"/>
          <w:color w:val="auto"/>
        </w:rPr>
        <w:t>竣工结算</w:t>
      </w:r>
      <w:bookmarkEnd w:id="621"/>
      <w:bookmarkEnd w:id="622"/>
      <w:bookmarkEnd w:id="623"/>
      <w:bookmarkEnd w:id="624"/>
      <w:bookmarkEnd w:id="625"/>
    </w:p>
    <w:bookmarkEnd w:id="626"/>
    <w:p w14:paraId="0095354C">
      <w:pPr>
        <w:pStyle w:val="6"/>
        <w:tabs>
          <w:tab w:val="left" w:pos="2155"/>
        </w:tabs>
        <w:rPr>
          <w:color w:val="auto"/>
        </w:rPr>
      </w:pPr>
      <w:bookmarkStart w:id="629" w:name="_Toc351203594"/>
      <w:bookmarkStart w:id="630" w:name="_Toc337558811"/>
      <w:r>
        <w:rPr>
          <w:color w:val="auto"/>
        </w:rPr>
        <w:t xml:space="preserve">14.1 </w:t>
      </w:r>
      <w:r>
        <w:rPr>
          <w:rFonts w:hint="eastAsia" w:cs="宋体"/>
          <w:color w:val="auto"/>
        </w:rPr>
        <w:t>竣工结算申请</w:t>
      </w:r>
      <w:bookmarkEnd w:id="629"/>
    </w:p>
    <w:bookmarkEnd w:id="630"/>
    <w:p w14:paraId="5BB3EBBC">
      <w:pPr>
        <w:autoSpaceDE w:val="0"/>
        <w:autoSpaceDN w:val="0"/>
        <w:adjustRightInd w:val="0"/>
        <w:spacing w:line="360" w:lineRule="auto"/>
        <w:ind w:firstLine="420" w:firstLineChars="200"/>
        <w:jc w:val="left"/>
        <w:rPr>
          <w:rFonts w:hAnsi="宋体"/>
          <w:color w:val="auto"/>
          <w:szCs w:val="21"/>
        </w:rPr>
      </w:pPr>
      <w:r>
        <w:rPr>
          <w:rFonts w:hint="eastAsia" w:hAnsi="宋体"/>
          <w:color w:val="auto"/>
          <w:kern w:val="0"/>
          <w:szCs w:val="21"/>
        </w:rPr>
        <w:t>除专用合同条款另有约定外，</w:t>
      </w:r>
      <w:r>
        <w:rPr>
          <w:rFonts w:hint="eastAsia" w:hAnsi="宋体"/>
          <w:color w:val="auto"/>
          <w:szCs w:val="21"/>
        </w:rPr>
        <w:t>承包人应在工程竣工验收合格后</w:t>
      </w:r>
      <w:r>
        <w:rPr>
          <w:rFonts w:hAnsi="宋体"/>
          <w:color w:val="auto"/>
          <w:szCs w:val="21"/>
        </w:rPr>
        <w:t>28</w:t>
      </w:r>
      <w:r>
        <w:rPr>
          <w:rFonts w:hint="eastAsia" w:hAnsi="宋体"/>
          <w:color w:val="auto"/>
          <w:szCs w:val="21"/>
        </w:rPr>
        <w:t>天内向发包人和监理人提交竣工结算申请单，并提交完整的结算资料，有关竣工结算申请单的资料清单和份数等要求由合同当事人在专用合同条款中约定。</w:t>
      </w:r>
    </w:p>
    <w:p w14:paraId="72D5BD55">
      <w:pPr>
        <w:autoSpaceDE w:val="0"/>
        <w:autoSpaceDN w:val="0"/>
        <w:adjustRightInd w:val="0"/>
        <w:spacing w:line="360" w:lineRule="auto"/>
        <w:ind w:firstLine="420" w:firstLineChars="200"/>
        <w:jc w:val="left"/>
        <w:rPr>
          <w:rFonts w:hAnsi="宋体"/>
          <w:color w:val="auto"/>
          <w:szCs w:val="21"/>
        </w:rPr>
      </w:pPr>
      <w:r>
        <w:rPr>
          <w:rFonts w:hint="eastAsia" w:hAnsi="宋体"/>
          <w:color w:val="auto"/>
          <w:szCs w:val="21"/>
        </w:rPr>
        <w:t>除专用合同条款另有约定外，竣工结算申请单应包括以下内容：</w:t>
      </w:r>
    </w:p>
    <w:p w14:paraId="33DFA432">
      <w:pPr>
        <w:autoSpaceDE w:val="0"/>
        <w:autoSpaceDN w:val="0"/>
        <w:adjustRightInd w:val="0"/>
        <w:spacing w:line="360" w:lineRule="auto"/>
        <w:ind w:firstLine="420" w:firstLineChars="200"/>
        <w:jc w:val="left"/>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）竣工结算合同价格；</w:t>
      </w:r>
    </w:p>
    <w:p w14:paraId="1D86F418">
      <w:pPr>
        <w:autoSpaceDE w:val="0"/>
        <w:autoSpaceDN w:val="0"/>
        <w:adjustRightInd w:val="0"/>
        <w:spacing w:line="360" w:lineRule="auto"/>
        <w:ind w:firstLine="420" w:firstLineChars="200"/>
        <w:jc w:val="left"/>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）发包人已支付承包人的款项；</w:t>
      </w:r>
    </w:p>
    <w:p w14:paraId="3FBB5275">
      <w:pPr>
        <w:autoSpaceDE w:val="0"/>
        <w:autoSpaceDN w:val="0"/>
        <w:adjustRightInd w:val="0"/>
        <w:spacing w:line="360" w:lineRule="auto"/>
        <w:ind w:firstLine="420" w:firstLineChars="200"/>
        <w:jc w:val="left"/>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）应扣留的质量保证金；</w:t>
      </w:r>
      <w:r>
        <w:rPr>
          <w:rFonts w:hAnsi="宋体"/>
          <w:color w:val="auto"/>
          <w:szCs w:val="21"/>
        </w:rPr>
        <w:t xml:space="preserve"> </w:t>
      </w:r>
    </w:p>
    <w:p w14:paraId="2E937A76">
      <w:pPr>
        <w:autoSpaceDE w:val="0"/>
        <w:autoSpaceDN w:val="0"/>
        <w:adjustRightInd w:val="0"/>
        <w:spacing w:line="360" w:lineRule="auto"/>
        <w:ind w:firstLine="420" w:firstLineChars="200"/>
        <w:jc w:val="left"/>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）发包人应支付承包人的合同价款。</w:t>
      </w:r>
    </w:p>
    <w:p w14:paraId="298AD73E">
      <w:pPr>
        <w:pStyle w:val="6"/>
        <w:tabs>
          <w:tab w:val="left" w:pos="2155"/>
        </w:tabs>
        <w:rPr>
          <w:color w:val="auto"/>
        </w:rPr>
      </w:pPr>
      <w:bookmarkStart w:id="631" w:name="_Toc351203595"/>
      <w:bookmarkStart w:id="632" w:name="_Toc337558812"/>
      <w:r>
        <w:rPr>
          <w:color w:val="auto"/>
        </w:rPr>
        <w:t xml:space="preserve">14.2 </w:t>
      </w:r>
      <w:r>
        <w:rPr>
          <w:rFonts w:hint="eastAsia" w:cs="宋体"/>
          <w:color w:val="auto"/>
        </w:rPr>
        <w:t>竣工结算审核</w:t>
      </w:r>
      <w:bookmarkEnd w:id="631"/>
    </w:p>
    <w:bookmarkEnd w:id="632"/>
    <w:p w14:paraId="5761D63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）除专用合同条款另有约定外，监理人应在收到竣工结算申请单后</w:t>
      </w:r>
      <w:r>
        <w:rPr>
          <w:rFonts w:hAnsi="宋体"/>
          <w:color w:val="auto"/>
          <w:kern w:val="0"/>
          <w:szCs w:val="21"/>
        </w:rPr>
        <w:t>14</w:t>
      </w:r>
      <w:r>
        <w:rPr>
          <w:rFonts w:hint="eastAsia" w:hAnsi="宋体"/>
          <w:color w:val="auto"/>
          <w:kern w:val="0"/>
          <w:szCs w:val="21"/>
        </w:rPr>
        <w:t>天内完成核查并报送发包人。发包人应在收到监理人提交的经审核的竣工结算申请单后</w:t>
      </w:r>
      <w:r>
        <w:rPr>
          <w:rFonts w:hAnsi="宋体"/>
          <w:color w:val="auto"/>
          <w:kern w:val="0"/>
          <w:szCs w:val="21"/>
        </w:rPr>
        <w:t>14</w:t>
      </w:r>
      <w:r>
        <w:rPr>
          <w:rFonts w:hint="eastAsia" w:hAnsi="宋体"/>
          <w:color w:val="auto"/>
          <w:kern w:val="0"/>
          <w:szCs w:val="21"/>
        </w:rPr>
        <w:t>天内完成审批，并由监理人向承包人签发经发包人签认的竣工付款证书。监理人或</w:t>
      </w:r>
      <w:r>
        <w:rPr>
          <w:rFonts w:hint="eastAsia" w:hAnsi="宋体"/>
          <w:color w:val="auto"/>
          <w:szCs w:val="21"/>
        </w:rPr>
        <w:t>发包人对竣工</w:t>
      </w:r>
      <w:r>
        <w:rPr>
          <w:rFonts w:hint="eastAsia" w:hAnsi="宋体"/>
          <w:color w:val="auto"/>
          <w:kern w:val="0"/>
          <w:szCs w:val="21"/>
        </w:rPr>
        <w:t>结算</w:t>
      </w:r>
      <w:r>
        <w:rPr>
          <w:rFonts w:hint="eastAsia" w:hAnsi="宋体"/>
          <w:color w:val="auto"/>
          <w:szCs w:val="21"/>
        </w:rPr>
        <w:t>申请单有异议的，有权要求承包人进行修正和提供补充资料，承包人应提交修正后的竣工</w:t>
      </w:r>
      <w:r>
        <w:rPr>
          <w:rFonts w:hint="eastAsia" w:hAnsi="宋体"/>
          <w:color w:val="auto"/>
          <w:kern w:val="0"/>
          <w:szCs w:val="21"/>
        </w:rPr>
        <w:t>结算</w:t>
      </w:r>
      <w:r>
        <w:rPr>
          <w:rFonts w:hint="eastAsia" w:hAnsi="宋体"/>
          <w:color w:val="auto"/>
          <w:szCs w:val="21"/>
        </w:rPr>
        <w:t>申请单。</w:t>
      </w:r>
    </w:p>
    <w:p w14:paraId="78479F0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发包人在收到承包人提交竣工结算申请书后</w:t>
      </w:r>
      <w:r>
        <w:rPr>
          <w:rFonts w:hAnsi="宋体"/>
          <w:color w:val="auto"/>
          <w:kern w:val="0"/>
          <w:szCs w:val="21"/>
        </w:rPr>
        <w:t>28</w:t>
      </w:r>
      <w:r>
        <w:rPr>
          <w:rFonts w:hint="eastAsia" w:hAnsi="宋体"/>
          <w:color w:val="auto"/>
          <w:kern w:val="0"/>
          <w:szCs w:val="21"/>
        </w:rPr>
        <w:t>天内未完成审批且未提出异议的，视为发包人认可承包人提交的竣工结算申请单，并自发包人收到承包人提交的竣工结算申请单后第</w:t>
      </w:r>
      <w:r>
        <w:rPr>
          <w:rFonts w:hAnsi="宋体"/>
          <w:color w:val="auto"/>
          <w:kern w:val="0"/>
          <w:szCs w:val="21"/>
        </w:rPr>
        <w:t>29</w:t>
      </w:r>
      <w:r>
        <w:rPr>
          <w:rFonts w:hint="eastAsia" w:hAnsi="宋体"/>
          <w:color w:val="auto"/>
          <w:kern w:val="0"/>
          <w:szCs w:val="21"/>
        </w:rPr>
        <w:t>天起视为已签发竣工付款证书。</w:t>
      </w:r>
    </w:p>
    <w:p w14:paraId="0FFB864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）除专用合同条款另有约定外，发包人应在签发竣工付款证书后的</w:t>
      </w:r>
      <w:r>
        <w:rPr>
          <w:rFonts w:hAnsi="宋体"/>
          <w:color w:val="auto"/>
          <w:kern w:val="0"/>
          <w:szCs w:val="21"/>
        </w:rPr>
        <w:t xml:space="preserve">14 </w:t>
      </w:r>
      <w:r>
        <w:rPr>
          <w:rFonts w:hint="eastAsia" w:hAnsi="宋体"/>
          <w:color w:val="auto"/>
          <w:kern w:val="0"/>
          <w:szCs w:val="21"/>
        </w:rPr>
        <w:t>天内，完成对承包人的竣工付款。发包人逾期支付的，按照中国人民银行发布的同期同类贷款基准利率支付违约金；逾期支付超过</w:t>
      </w:r>
      <w:r>
        <w:rPr>
          <w:rFonts w:hAnsi="宋体"/>
          <w:color w:val="auto"/>
          <w:kern w:val="0"/>
          <w:szCs w:val="21"/>
        </w:rPr>
        <w:t>56</w:t>
      </w:r>
      <w:r>
        <w:rPr>
          <w:rFonts w:hint="eastAsia" w:hAnsi="宋体"/>
          <w:color w:val="auto"/>
          <w:kern w:val="0"/>
          <w:szCs w:val="21"/>
        </w:rPr>
        <w:t>天的，按照中国人民银行发布的同期同类贷款基准利率的两倍支付违约金。</w:t>
      </w:r>
    </w:p>
    <w:p w14:paraId="60A9D36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）承包人对发包人签认的竣工付款证书有异议的，对于有异议部分应在收到发包人签认的竣工付款证书后</w:t>
      </w:r>
      <w:r>
        <w:rPr>
          <w:rFonts w:hAnsi="宋体"/>
          <w:color w:val="auto"/>
          <w:kern w:val="0"/>
          <w:szCs w:val="21"/>
        </w:rPr>
        <w:t>7</w:t>
      </w:r>
      <w:r>
        <w:rPr>
          <w:rFonts w:hint="eastAsia" w:hAnsi="宋体"/>
          <w:color w:val="auto"/>
          <w:kern w:val="0"/>
          <w:szCs w:val="21"/>
        </w:rPr>
        <w:t>天内提出异议，并由合同当事人按照专用合同条款约定的方式和程序进行复核，或按照第</w:t>
      </w:r>
      <w:r>
        <w:rPr>
          <w:rFonts w:hAnsi="宋体"/>
          <w:color w:val="auto"/>
          <w:kern w:val="0"/>
          <w:szCs w:val="21"/>
        </w:rPr>
        <w:t>20</w:t>
      </w:r>
      <w:r>
        <w:rPr>
          <w:rFonts w:hint="eastAsia" w:hAnsi="宋体"/>
          <w:color w:val="auto"/>
          <w:kern w:val="0"/>
          <w:szCs w:val="21"/>
        </w:rPr>
        <w:t>条〔争议解决〕约定处理。对于无异议部分，发包人应签发临时竣工付款证书，并按本款第（</w:t>
      </w:r>
      <w:r>
        <w:rPr>
          <w:rFonts w:hAnsi="宋体"/>
          <w:color w:val="auto"/>
          <w:kern w:val="0"/>
          <w:szCs w:val="21"/>
        </w:rPr>
        <w:t>2</w:t>
      </w:r>
      <w:r>
        <w:rPr>
          <w:rFonts w:hint="eastAsia" w:hAnsi="宋体"/>
          <w:color w:val="auto"/>
          <w:kern w:val="0"/>
          <w:szCs w:val="21"/>
        </w:rPr>
        <w:t>）项完成付款。承包人逾期未提出异议的，视为认可发包人的审批结果。</w:t>
      </w:r>
    </w:p>
    <w:p w14:paraId="25A1F3AE">
      <w:pPr>
        <w:pStyle w:val="6"/>
        <w:tabs>
          <w:tab w:val="left" w:pos="2155"/>
        </w:tabs>
        <w:rPr>
          <w:color w:val="auto"/>
        </w:rPr>
      </w:pPr>
      <w:bookmarkStart w:id="633" w:name="_Toc351203596"/>
      <w:bookmarkStart w:id="634" w:name="_Toc337558813"/>
      <w:r>
        <w:rPr>
          <w:color w:val="auto"/>
        </w:rPr>
        <w:t xml:space="preserve">14.3 </w:t>
      </w:r>
      <w:r>
        <w:rPr>
          <w:rFonts w:hint="eastAsia" w:cs="宋体"/>
          <w:color w:val="auto"/>
        </w:rPr>
        <w:t>甩项竣工协议</w:t>
      </w:r>
      <w:bookmarkEnd w:id="633"/>
    </w:p>
    <w:bookmarkEnd w:id="634"/>
    <w:p w14:paraId="51F833F6">
      <w:pPr>
        <w:autoSpaceDE w:val="0"/>
        <w:autoSpaceDN w:val="0"/>
        <w:adjustRightInd w:val="0"/>
        <w:spacing w:line="360" w:lineRule="auto"/>
        <w:ind w:firstLine="411" w:firstLineChars="196"/>
        <w:jc w:val="left"/>
        <w:rPr>
          <w:rFonts w:hAnsi="宋体"/>
          <w:color w:val="auto"/>
          <w:kern w:val="0"/>
          <w:szCs w:val="21"/>
        </w:rPr>
      </w:pPr>
      <w:r>
        <w:rPr>
          <w:rFonts w:hint="eastAsia" w:hAnsi="宋体"/>
          <w:color w:val="auto"/>
          <w:szCs w:val="21"/>
        </w:rPr>
        <w:t>发包人要求甩项竣工的，合同当事人应签订甩项竣工协议。在甩项竣工协议中应明确，合同当事人按照第</w:t>
      </w:r>
      <w:r>
        <w:rPr>
          <w:rFonts w:hAnsi="宋体"/>
          <w:color w:val="auto"/>
          <w:szCs w:val="21"/>
        </w:rPr>
        <w:t>14.1</w:t>
      </w:r>
      <w:r>
        <w:rPr>
          <w:rFonts w:hint="eastAsia" w:hAnsi="宋体"/>
          <w:color w:val="auto"/>
          <w:szCs w:val="21"/>
        </w:rPr>
        <w:t>款〔竣工结算申请〕及</w:t>
      </w:r>
      <w:r>
        <w:rPr>
          <w:rFonts w:hAnsi="宋体"/>
          <w:color w:val="auto"/>
          <w:szCs w:val="21"/>
        </w:rPr>
        <w:t>14.2</w:t>
      </w:r>
      <w:r>
        <w:rPr>
          <w:rFonts w:hint="eastAsia" w:hAnsi="宋体"/>
          <w:color w:val="auto"/>
          <w:szCs w:val="21"/>
        </w:rPr>
        <w:t>款〔竣工结算审核〕的约定，对已完合格工程进行结算，并支付相应合同价款。</w:t>
      </w:r>
    </w:p>
    <w:p w14:paraId="5819BB9B">
      <w:pPr>
        <w:pStyle w:val="6"/>
        <w:tabs>
          <w:tab w:val="left" w:pos="2155"/>
        </w:tabs>
        <w:rPr>
          <w:color w:val="auto"/>
        </w:rPr>
      </w:pPr>
      <w:bookmarkStart w:id="635" w:name="_Toc351203597"/>
      <w:bookmarkStart w:id="636" w:name="_Toc337558814"/>
      <w:r>
        <w:rPr>
          <w:color w:val="auto"/>
        </w:rPr>
        <w:t xml:space="preserve">14.4 </w:t>
      </w:r>
      <w:r>
        <w:rPr>
          <w:rFonts w:hint="eastAsia" w:cs="宋体"/>
          <w:color w:val="auto"/>
        </w:rPr>
        <w:t>最终结清</w:t>
      </w:r>
      <w:bookmarkEnd w:id="635"/>
    </w:p>
    <w:bookmarkEnd w:id="636"/>
    <w:p w14:paraId="2E3C15DE">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14.4.1 </w:t>
      </w:r>
      <w:r>
        <w:rPr>
          <w:rFonts w:hint="eastAsia" w:hAnsi="宋体"/>
          <w:color w:val="auto"/>
          <w:kern w:val="0"/>
          <w:szCs w:val="21"/>
        </w:rPr>
        <w:t>最终结清申请单</w:t>
      </w:r>
    </w:p>
    <w:p w14:paraId="480A8A8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）除专用合同条款另有约定外，承包人应在缺陷责任期终止证书颁发后</w:t>
      </w:r>
      <w:r>
        <w:rPr>
          <w:rFonts w:hAnsi="宋体"/>
          <w:color w:val="auto"/>
          <w:kern w:val="0"/>
          <w:szCs w:val="21"/>
        </w:rPr>
        <w:t>7</w:t>
      </w:r>
      <w:r>
        <w:rPr>
          <w:rFonts w:hint="eastAsia" w:hAnsi="宋体"/>
          <w:color w:val="auto"/>
          <w:kern w:val="0"/>
          <w:szCs w:val="21"/>
        </w:rPr>
        <w:t>天内，按专用合同条款约定的份数向发包人提交最终结清申请单，并提供相关证明材料。</w:t>
      </w:r>
    </w:p>
    <w:p w14:paraId="4742A87D">
      <w:pPr>
        <w:autoSpaceDE w:val="0"/>
        <w:autoSpaceDN w:val="0"/>
        <w:adjustRightInd w:val="0"/>
        <w:spacing w:line="360" w:lineRule="auto"/>
        <w:ind w:firstLine="420" w:firstLineChars="200"/>
        <w:jc w:val="left"/>
        <w:rPr>
          <w:rFonts w:hAnsi="宋体"/>
          <w:color w:val="auto"/>
          <w:szCs w:val="21"/>
        </w:rPr>
      </w:pPr>
      <w:r>
        <w:rPr>
          <w:rFonts w:hint="eastAsia" w:hAnsi="宋体"/>
          <w:color w:val="auto"/>
          <w:szCs w:val="21"/>
        </w:rPr>
        <w:t>除专用合同条款另有约定外，</w:t>
      </w:r>
      <w:r>
        <w:rPr>
          <w:rFonts w:hint="eastAsia" w:hAnsi="宋体"/>
          <w:color w:val="auto"/>
          <w:kern w:val="0"/>
          <w:szCs w:val="21"/>
        </w:rPr>
        <w:t>最终结清申请单</w:t>
      </w:r>
      <w:r>
        <w:rPr>
          <w:rFonts w:hint="eastAsia" w:hAnsi="宋体"/>
          <w:color w:val="auto"/>
          <w:szCs w:val="21"/>
        </w:rPr>
        <w:t>应列明质量保证金、应扣除的质量保证金、缺陷责任期内发生的增减费用。</w:t>
      </w:r>
    </w:p>
    <w:p w14:paraId="1AE7167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）发包人对最终结清申请单内容有异议的，有权要求承包人进行修正和提供补充资料，承包人应向发包人提交修正后的最终结清申请单。</w:t>
      </w:r>
    </w:p>
    <w:p w14:paraId="0898C543">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14.4.2 </w:t>
      </w:r>
      <w:r>
        <w:rPr>
          <w:rFonts w:hint="eastAsia" w:hAnsi="宋体"/>
          <w:color w:val="auto"/>
          <w:kern w:val="0"/>
          <w:szCs w:val="21"/>
        </w:rPr>
        <w:t>最终结清证书和支付</w:t>
      </w:r>
    </w:p>
    <w:p w14:paraId="4FC247C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）除专用合同条款另有约定外，发包人应在收到承包人提交的最终结清申请单后</w:t>
      </w:r>
      <w:r>
        <w:rPr>
          <w:rFonts w:hAnsi="宋体"/>
          <w:color w:val="auto"/>
          <w:kern w:val="0"/>
          <w:szCs w:val="21"/>
        </w:rPr>
        <w:t>14</w:t>
      </w:r>
      <w:r>
        <w:rPr>
          <w:rFonts w:hint="eastAsia" w:hAnsi="宋体"/>
          <w:color w:val="auto"/>
          <w:kern w:val="0"/>
          <w:szCs w:val="21"/>
        </w:rPr>
        <w:t>天内完成审批并向承包人颁发最终结清证书。发包人逾期未完成审批，又未提出修改意见的，视为发包人同意承包人提交的最终结清申请单，且自发包人收到承包人提交的最终结清申请单后</w:t>
      </w:r>
      <w:r>
        <w:rPr>
          <w:rFonts w:hAnsi="宋体"/>
          <w:color w:val="auto"/>
          <w:kern w:val="0"/>
          <w:szCs w:val="21"/>
        </w:rPr>
        <w:t>15</w:t>
      </w:r>
      <w:r>
        <w:rPr>
          <w:rFonts w:hint="eastAsia" w:hAnsi="宋体"/>
          <w:color w:val="auto"/>
          <w:kern w:val="0"/>
          <w:szCs w:val="21"/>
        </w:rPr>
        <w:t>天起视为已颁发最终结清证书。</w:t>
      </w:r>
    </w:p>
    <w:p w14:paraId="51DE8F2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）除专用合同条款另有约定外，发包人应在颁发最终结清证书后</w:t>
      </w:r>
      <w:r>
        <w:rPr>
          <w:rFonts w:hAnsi="宋体"/>
          <w:color w:val="auto"/>
          <w:kern w:val="0"/>
          <w:szCs w:val="21"/>
        </w:rPr>
        <w:t>7</w:t>
      </w:r>
      <w:r>
        <w:rPr>
          <w:rFonts w:hint="eastAsia" w:hAnsi="宋体"/>
          <w:color w:val="auto"/>
          <w:kern w:val="0"/>
          <w:szCs w:val="21"/>
        </w:rPr>
        <w:t>天内完成支付。发包人逾期支付的，按照中国人民银行发布的同期同类贷款基准利率支付违约金；逾期支付超过</w:t>
      </w:r>
      <w:r>
        <w:rPr>
          <w:rFonts w:hAnsi="宋体"/>
          <w:color w:val="auto"/>
          <w:kern w:val="0"/>
          <w:szCs w:val="21"/>
        </w:rPr>
        <w:t>56</w:t>
      </w:r>
      <w:r>
        <w:rPr>
          <w:rFonts w:hint="eastAsia" w:hAnsi="宋体"/>
          <w:color w:val="auto"/>
          <w:kern w:val="0"/>
          <w:szCs w:val="21"/>
        </w:rPr>
        <w:t>天的，按照中国人民银行发布的同期同类贷款基准利率的两倍支付违约金。</w:t>
      </w:r>
    </w:p>
    <w:p w14:paraId="1D2A143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）承包人对发包人颁发的最终结清证书有异议的，按第</w:t>
      </w:r>
      <w:r>
        <w:rPr>
          <w:rFonts w:hAnsi="宋体"/>
          <w:color w:val="auto"/>
          <w:kern w:val="0"/>
          <w:szCs w:val="21"/>
        </w:rPr>
        <w:t>20</w:t>
      </w:r>
      <w:r>
        <w:rPr>
          <w:rFonts w:hint="eastAsia" w:hAnsi="宋体"/>
          <w:color w:val="auto"/>
          <w:kern w:val="0"/>
          <w:szCs w:val="21"/>
        </w:rPr>
        <w:t>条〔争议解决〕的约定办理。</w:t>
      </w:r>
    </w:p>
    <w:p w14:paraId="3BF6AA87">
      <w:pPr>
        <w:pStyle w:val="5"/>
        <w:tabs>
          <w:tab w:val="left" w:pos="900"/>
        </w:tabs>
        <w:rPr>
          <w:color w:val="auto"/>
        </w:rPr>
      </w:pPr>
      <w:bookmarkStart w:id="637" w:name="_Toc15153"/>
      <w:bookmarkStart w:id="638" w:name="_Toc525396184"/>
      <w:bookmarkStart w:id="639" w:name="_Toc351203598"/>
      <w:bookmarkStart w:id="640" w:name="_Toc16389"/>
      <w:bookmarkStart w:id="641" w:name="_Toc21197"/>
      <w:bookmarkStart w:id="642" w:name="_Toc7346"/>
      <w:bookmarkStart w:id="643" w:name="_Toc337558815"/>
      <w:r>
        <w:rPr>
          <w:color w:val="auto"/>
        </w:rPr>
        <w:t xml:space="preserve">15. </w:t>
      </w:r>
      <w:r>
        <w:rPr>
          <w:rFonts w:hint="eastAsia"/>
          <w:color w:val="auto"/>
        </w:rPr>
        <w:t>缺陷责任与保修</w:t>
      </w:r>
      <w:bookmarkEnd w:id="637"/>
      <w:bookmarkEnd w:id="638"/>
      <w:bookmarkEnd w:id="639"/>
      <w:bookmarkEnd w:id="640"/>
      <w:bookmarkEnd w:id="641"/>
      <w:bookmarkEnd w:id="642"/>
    </w:p>
    <w:bookmarkEnd w:id="627"/>
    <w:bookmarkEnd w:id="628"/>
    <w:bookmarkEnd w:id="643"/>
    <w:p w14:paraId="459C7D25">
      <w:pPr>
        <w:pStyle w:val="6"/>
        <w:tabs>
          <w:tab w:val="left" w:pos="2155"/>
        </w:tabs>
        <w:rPr>
          <w:color w:val="auto"/>
        </w:rPr>
      </w:pPr>
      <w:bookmarkStart w:id="644" w:name="_Toc351203599"/>
      <w:bookmarkStart w:id="645" w:name="_Toc337558816"/>
      <w:bookmarkStart w:id="646" w:name="_Toc296346615"/>
      <w:bookmarkStart w:id="647" w:name="_Toc296503114"/>
      <w:r>
        <w:rPr>
          <w:color w:val="auto"/>
        </w:rPr>
        <w:t xml:space="preserve">15.1 </w:t>
      </w:r>
      <w:r>
        <w:rPr>
          <w:rFonts w:hint="eastAsia"/>
          <w:color w:val="auto"/>
        </w:rPr>
        <w:t>工程保修的原则</w:t>
      </w:r>
      <w:bookmarkEnd w:id="644"/>
    </w:p>
    <w:bookmarkEnd w:id="645"/>
    <w:p w14:paraId="60151CF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在工程移交发包人后，因承包人原因产生的质量缺陷，承包人应承担质量缺陷责任和保修义务。缺陷责任期届满，承包人仍应按合同约定的工程各部位保修年限承担保修义务。</w:t>
      </w:r>
    </w:p>
    <w:p w14:paraId="00EFE87A">
      <w:pPr>
        <w:pStyle w:val="6"/>
        <w:tabs>
          <w:tab w:val="left" w:pos="2155"/>
        </w:tabs>
        <w:rPr>
          <w:color w:val="auto"/>
        </w:rPr>
      </w:pPr>
      <w:bookmarkStart w:id="648" w:name="_Toc351203600"/>
      <w:bookmarkStart w:id="649" w:name="_Toc337558817"/>
      <w:r>
        <w:rPr>
          <w:color w:val="auto"/>
        </w:rPr>
        <w:t xml:space="preserve">15.2 </w:t>
      </w:r>
      <w:r>
        <w:rPr>
          <w:rFonts w:hint="eastAsia" w:cs="宋体"/>
          <w:color w:val="auto"/>
        </w:rPr>
        <w:t>缺陷责任期</w:t>
      </w:r>
      <w:bookmarkEnd w:id="646"/>
      <w:bookmarkEnd w:id="647"/>
      <w:bookmarkEnd w:id="648"/>
    </w:p>
    <w:bookmarkEnd w:id="649"/>
    <w:p w14:paraId="5AC7B7B3">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15.2.1 </w:t>
      </w:r>
      <w:r>
        <w:rPr>
          <w:rFonts w:hint="eastAsia" w:hAnsi="宋体"/>
          <w:color w:val="auto"/>
          <w:kern w:val="0"/>
          <w:szCs w:val="21"/>
        </w:rPr>
        <w:t>缺陷责任期自实际竣工日期起计算，合同当事人应在专用合同条款约定缺陷责任期的具体期限，但该期限最长不超过</w:t>
      </w:r>
      <w:r>
        <w:rPr>
          <w:rFonts w:hAnsi="宋体"/>
          <w:color w:val="auto"/>
          <w:kern w:val="0"/>
          <w:szCs w:val="21"/>
        </w:rPr>
        <w:t>24</w:t>
      </w:r>
      <w:r>
        <w:rPr>
          <w:rFonts w:hint="eastAsia" w:hAnsi="宋体"/>
          <w:color w:val="auto"/>
          <w:kern w:val="0"/>
          <w:szCs w:val="21"/>
        </w:rPr>
        <w:t>个月。</w:t>
      </w:r>
    </w:p>
    <w:p w14:paraId="1E045F6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748ACEC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15.2.2 </w:t>
      </w:r>
      <w:r>
        <w:rPr>
          <w:rFonts w:hint="eastAsia" w:hAnsi="宋体"/>
          <w:color w:val="auto"/>
          <w:kern w:val="0"/>
          <w:szCs w:val="21"/>
        </w:rPr>
        <w:t>工程竣工验收合格后，因承包人原因导致的缺陷或损坏致使工程、单位工程或某项主要设备不能按原定目的使用的，则发包人有权要求承</w:t>
      </w:r>
      <w:r>
        <w:rPr>
          <w:rFonts w:hint="eastAsia" w:hAnsi="宋体"/>
          <w:bCs/>
          <w:color w:val="auto"/>
          <w:szCs w:val="21"/>
        </w:rPr>
        <w:t>包人延长缺陷责任期，</w:t>
      </w:r>
      <w:r>
        <w:rPr>
          <w:rFonts w:hint="eastAsia" w:hAnsi="宋体"/>
          <w:color w:val="auto"/>
          <w:kern w:val="0"/>
          <w:szCs w:val="21"/>
        </w:rPr>
        <w:t>并应在原缺陷责任期届满前发出延长通知，</w:t>
      </w:r>
      <w:r>
        <w:rPr>
          <w:rFonts w:hint="eastAsia" w:hAnsi="宋体"/>
          <w:bCs/>
          <w:color w:val="auto"/>
          <w:szCs w:val="21"/>
        </w:rPr>
        <w:t>但缺陷责任期最长</w:t>
      </w:r>
      <w:r>
        <w:rPr>
          <w:rFonts w:hint="eastAsia" w:hAnsi="宋体"/>
          <w:color w:val="auto"/>
          <w:kern w:val="0"/>
          <w:szCs w:val="21"/>
        </w:rPr>
        <w:t>不能超过</w:t>
      </w:r>
      <w:r>
        <w:rPr>
          <w:rFonts w:hAnsi="宋体"/>
          <w:color w:val="auto"/>
          <w:kern w:val="0"/>
          <w:szCs w:val="21"/>
        </w:rPr>
        <w:t>24</w:t>
      </w:r>
      <w:r>
        <w:rPr>
          <w:rFonts w:hint="eastAsia" w:hAnsi="宋体"/>
          <w:color w:val="auto"/>
          <w:kern w:val="0"/>
          <w:szCs w:val="21"/>
        </w:rPr>
        <w:t>个月。</w:t>
      </w:r>
    </w:p>
    <w:p w14:paraId="6876930A">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15.2.3 </w:t>
      </w:r>
      <w:r>
        <w:rPr>
          <w:rFonts w:hint="eastAsia" w:hAnsi="宋体"/>
          <w:color w:val="auto"/>
          <w:kern w:val="0"/>
          <w:szCs w:val="21"/>
        </w:rPr>
        <w:t>任何一项缺陷或损坏修复后，经检查证明其影响了工程或工程设备的使用性能，承包人应重新进行合同约定的试验和试运行，试验和试运行的全部费用应由责任方承担。</w:t>
      </w:r>
    </w:p>
    <w:p w14:paraId="3FBFC83F">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15.2.4 </w:t>
      </w:r>
      <w:r>
        <w:rPr>
          <w:rFonts w:hint="eastAsia" w:hAnsi="宋体"/>
          <w:color w:val="auto"/>
          <w:kern w:val="0"/>
          <w:szCs w:val="21"/>
        </w:rPr>
        <w:t>除专用合同条款另有约定外，承包人应于缺陷责任期届满后</w:t>
      </w:r>
      <w:r>
        <w:rPr>
          <w:rFonts w:hAnsi="宋体"/>
          <w:color w:val="auto"/>
          <w:kern w:val="0"/>
          <w:szCs w:val="21"/>
        </w:rPr>
        <w:t>7</w:t>
      </w:r>
      <w:r>
        <w:rPr>
          <w:rFonts w:hint="eastAsia" w:hAnsi="宋体"/>
          <w:color w:val="auto"/>
          <w:kern w:val="0"/>
          <w:szCs w:val="21"/>
        </w:rPr>
        <w:t>天内向发包人发出缺陷责任期届满通知，发包人应在收到缺陷责任期满通知后</w:t>
      </w:r>
      <w:r>
        <w:rPr>
          <w:rFonts w:hAnsi="宋体"/>
          <w:color w:val="auto"/>
          <w:kern w:val="0"/>
          <w:szCs w:val="21"/>
        </w:rPr>
        <w:t>14</w:t>
      </w:r>
      <w:r>
        <w:rPr>
          <w:rFonts w:hint="eastAsia" w:hAnsi="宋体"/>
          <w:color w:val="auto"/>
          <w:kern w:val="0"/>
          <w:szCs w:val="21"/>
        </w:rPr>
        <w:t>天内核实承包人是否履行缺陷修复义务，承包人未能履行缺陷修复义务的，发包人有权扣除相应金额的维修费用。发包人应在收到缺陷责任期届满通知后</w:t>
      </w:r>
      <w:r>
        <w:rPr>
          <w:rFonts w:hAnsi="宋体"/>
          <w:color w:val="auto"/>
          <w:kern w:val="0"/>
          <w:szCs w:val="21"/>
        </w:rPr>
        <w:t>14</w:t>
      </w:r>
      <w:r>
        <w:rPr>
          <w:rFonts w:hint="eastAsia" w:hAnsi="宋体"/>
          <w:color w:val="auto"/>
          <w:kern w:val="0"/>
          <w:szCs w:val="21"/>
        </w:rPr>
        <w:t>天内，向承包人颁发缺陷责任期终止证书。</w:t>
      </w:r>
    </w:p>
    <w:p w14:paraId="2D242692">
      <w:pPr>
        <w:pStyle w:val="6"/>
        <w:tabs>
          <w:tab w:val="left" w:pos="2155"/>
        </w:tabs>
        <w:rPr>
          <w:color w:val="auto"/>
        </w:rPr>
      </w:pPr>
      <w:bookmarkStart w:id="650" w:name="_Toc351203601"/>
      <w:bookmarkStart w:id="651" w:name="_Toc337558818"/>
      <w:bookmarkStart w:id="652" w:name="_Toc296503115"/>
      <w:bookmarkStart w:id="653" w:name="_Toc296346616"/>
      <w:r>
        <w:rPr>
          <w:color w:val="auto"/>
        </w:rPr>
        <w:t xml:space="preserve">15.3 </w:t>
      </w:r>
      <w:r>
        <w:rPr>
          <w:rFonts w:hint="eastAsia" w:cs="宋体"/>
          <w:color w:val="auto"/>
        </w:rPr>
        <w:t>质量保证金</w:t>
      </w:r>
      <w:bookmarkEnd w:id="650"/>
    </w:p>
    <w:bookmarkEnd w:id="651"/>
    <w:p w14:paraId="516BB6AB">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经合同当事人协商一致扣留质量保证金的，应在专用合同条款中予以明确。</w:t>
      </w:r>
    </w:p>
    <w:p w14:paraId="7841ABE3">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15.3.1 </w:t>
      </w:r>
      <w:r>
        <w:rPr>
          <w:rFonts w:hint="eastAsia" w:hAnsi="宋体"/>
          <w:color w:val="auto"/>
          <w:kern w:val="0"/>
          <w:szCs w:val="21"/>
        </w:rPr>
        <w:t>承包人提供质量保证金的方式</w:t>
      </w:r>
    </w:p>
    <w:p w14:paraId="43FC722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承包人提供质量保证金有以下三种方式：</w:t>
      </w:r>
    </w:p>
    <w:p w14:paraId="09F945A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）质量保证金保函；</w:t>
      </w:r>
      <w:r>
        <w:rPr>
          <w:rFonts w:hAnsi="宋体"/>
          <w:color w:val="auto"/>
          <w:kern w:val="0"/>
          <w:szCs w:val="21"/>
        </w:rPr>
        <w:t xml:space="preserve"> </w:t>
      </w:r>
    </w:p>
    <w:p w14:paraId="5583107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）相应比例的工程款；</w:t>
      </w:r>
    </w:p>
    <w:p w14:paraId="467B05A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）双方约定的其他方式。</w:t>
      </w:r>
    </w:p>
    <w:p w14:paraId="0CA4E12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除专用合同条款另有约定外，质量保证金原则上采用上述第（</w:t>
      </w:r>
      <w:r>
        <w:rPr>
          <w:rFonts w:hAnsi="宋体"/>
          <w:color w:val="auto"/>
          <w:kern w:val="0"/>
          <w:szCs w:val="21"/>
        </w:rPr>
        <w:t>1</w:t>
      </w:r>
      <w:r>
        <w:rPr>
          <w:rFonts w:hint="eastAsia" w:hAnsi="宋体"/>
          <w:color w:val="auto"/>
          <w:kern w:val="0"/>
          <w:szCs w:val="21"/>
        </w:rPr>
        <w:t>）种方式。</w:t>
      </w:r>
    </w:p>
    <w:p w14:paraId="75BFB443">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15.3.2 </w:t>
      </w:r>
      <w:r>
        <w:rPr>
          <w:rFonts w:hint="eastAsia" w:hAnsi="宋体"/>
          <w:color w:val="auto"/>
          <w:kern w:val="0"/>
          <w:szCs w:val="21"/>
        </w:rPr>
        <w:t>质量保证金的扣留</w:t>
      </w:r>
    </w:p>
    <w:p w14:paraId="5F4FA11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质量保证金的扣留有以下三种方式：</w:t>
      </w:r>
    </w:p>
    <w:p w14:paraId="06C7F90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）在支付工程进度款时逐次扣留，在此情形下，质量保证金的计算基数不包括预付款的支付、扣回以及价格调整的金额；</w:t>
      </w:r>
    </w:p>
    <w:p w14:paraId="592E22C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）工</w:t>
      </w:r>
      <w:bookmarkStart w:id="654" w:name="#go6"/>
      <w:bookmarkEnd w:id="654"/>
      <w:r>
        <w:rPr>
          <w:rFonts w:hint="eastAsia" w:hAnsi="宋体"/>
          <w:color w:val="auto"/>
          <w:kern w:val="0"/>
          <w:szCs w:val="21"/>
        </w:rPr>
        <w:t>程竣工结算时一次性扣留质量保证金；</w:t>
      </w:r>
    </w:p>
    <w:p w14:paraId="5EE5EDF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）双方约定的其他扣留方式。</w:t>
      </w:r>
    </w:p>
    <w:p w14:paraId="6D85A7B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除专用合同条款另有约定外，质量保证金的扣留原则上采用上述第（</w:t>
      </w:r>
      <w:r>
        <w:rPr>
          <w:rFonts w:hAnsi="宋体"/>
          <w:color w:val="auto"/>
          <w:kern w:val="0"/>
          <w:szCs w:val="21"/>
        </w:rPr>
        <w:t>1</w:t>
      </w:r>
      <w:r>
        <w:rPr>
          <w:rFonts w:hint="eastAsia" w:hAnsi="宋体"/>
          <w:color w:val="auto"/>
          <w:kern w:val="0"/>
          <w:szCs w:val="21"/>
        </w:rPr>
        <w:t>）种方式。</w:t>
      </w:r>
    </w:p>
    <w:p w14:paraId="3312225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w:t>
      </w:r>
      <w:bookmarkStart w:id="655" w:name="#go4"/>
      <w:bookmarkEnd w:id="655"/>
      <w:r>
        <w:rPr>
          <w:rFonts w:hint="eastAsia" w:hAnsi="宋体"/>
          <w:color w:val="auto"/>
          <w:kern w:val="0"/>
          <w:szCs w:val="21"/>
        </w:rPr>
        <w:t>包人累计扣留的质量保证金不得超过结算合同价格的</w:t>
      </w:r>
      <w:r>
        <w:rPr>
          <w:rFonts w:hAnsi="宋体"/>
          <w:color w:val="auto"/>
          <w:kern w:val="0"/>
          <w:szCs w:val="21"/>
        </w:rPr>
        <w:t>5%</w:t>
      </w:r>
      <w:r>
        <w:rPr>
          <w:rFonts w:hint="eastAsia" w:hAnsi="宋体"/>
          <w:color w:val="auto"/>
          <w:kern w:val="0"/>
          <w:szCs w:val="21"/>
        </w:rPr>
        <w:t>，如承包人在发包人签发竣工付款证书后</w:t>
      </w:r>
      <w:r>
        <w:rPr>
          <w:rFonts w:hAnsi="宋体"/>
          <w:color w:val="auto"/>
          <w:kern w:val="0"/>
          <w:szCs w:val="21"/>
        </w:rPr>
        <w:t>28</w:t>
      </w:r>
      <w:r>
        <w:rPr>
          <w:rFonts w:hint="eastAsia" w:hAnsi="宋体"/>
          <w:color w:val="auto"/>
          <w:kern w:val="0"/>
          <w:szCs w:val="21"/>
        </w:rPr>
        <w:t>天内提交质量保证金保函，发包人应同时退还扣留的作为质量保证金的工程价款。</w:t>
      </w:r>
    </w:p>
    <w:p w14:paraId="30431F69">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15.3.3 </w:t>
      </w:r>
      <w:r>
        <w:rPr>
          <w:rFonts w:hint="eastAsia" w:hAnsi="宋体"/>
          <w:color w:val="auto"/>
          <w:szCs w:val="21"/>
        </w:rPr>
        <w:t>质量保证金</w:t>
      </w:r>
      <w:r>
        <w:rPr>
          <w:rFonts w:hint="eastAsia" w:hAnsi="宋体"/>
          <w:color w:val="auto"/>
          <w:kern w:val="0"/>
          <w:szCs w:val="21"/>
        </w:rPr>
        <w:t>的退还</w:t>
      </w:r>
    </w:p>
    <w:p w14:paraId="01E3D12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发包人应按</w:t>
      </w:r>
      <w:r>
        <w:rPr>
          <w:rFonts w:hAnsi="宋体"/>
          <w:color w:val="auto"/>
          <w:kern w:val="0"/>
          <w:szCs w:val="21"/>
        </w:rPr>
        <w:t>14.4</w:t>
      </w:r>
      <w:r>
        <w:rPr>
          <w:rFonts w:hint="eastAsia" w:hAnsi="宋体"/>
          <w:color w:val="auto"/>
          <w:kern w:val="0"/>
          <w:szCs w:val="21"/>
        </w:rPr>
        <w:t>款〔最终结清〕的约定退还质量保证金。</w:t>
      </w:r>
    </w:p>
    <w:p w14:paraId="44BA8D31">
      <w:pPr>
        <w:pStyle w:val="6"/>
        <w:tabs>
          <w:tab w:val="left" w:pos="2155"/>
        </w:tabs>
        <w:rPr>
          <w:color w:val="auto"/>
        </w:rPr>
      </w:pPr>
      <w:bookmarkStart w:id="656" w:name="_Toc351203602"/>
      <w:bookmarkStart w:id="657" w:name="_Toc337558819"/>
      <w:r>
        <w:rPr>
          <w:color w:val="auto"/>
        </w:rPr>
        <w:t xml:space="preserve">15.4 </w:t>
      </w:r>
      <w:r>
        <w:rPr>
          <w:rFonts w:hint="eastAsia" w:cs="宋体"/>
          <w:color w:val="auto"/>
        </w:rPr>
        <w:t>保修</w:t>
      </w:r>
      <w:bookmarkEnd w:id="656"/>
    </w:p>
    <w:bookmarkEnd w:id="652"/>
    <w:bookmarkEnd w:id="653"/>
    <w:bookmarkEnd w:id="657"/>
    <w:p w14:paraId="2195FA35">
      <w:pPr>
        <w:spacing w:line="360" w:lineRule="auto"/>
        <w:ind w:firstLine="420" w:firstLineChars="200"/>
        <w:jc w:val="left"/>
        <w:rPr>
          <w:rFonts w:hAnsi="宋体"/>
          <w:color w:val="auto"/>
          <w:kern w:val="0"/>
          <w:szCs w:val="21"/>
        </w:rPr>
      </w:pPr>
      <w:r>
        <w:rPr>
          <w:rFonts w:hAnsi="宋体"/>
          <w:color w:val="auto"/>
          <w:kern w:val="0"/>
          <w:szCs w:val="21"/>
        </w:rPr>
        <w:t>15.4.1</w:t>
      </w:r>
      <w:r>
        <w:rPr>
          <w:rFonts w:hint="eastAsia" w:hAnsi="宋体"/>
          <w:color w:val="auto"/>
          <w:kern w:val="0"/>
          <w:szCs w:val="21"/>
        </w:rPr>
        <w:t>保修责任</w:t>
      </w:r>
    </w:p>
    <w:p w14:paraId="0806CD43">
      <w:pPr>
        <w:spacing w:line="360" w:lineRule="auto"/>
        <w:ind w:firstLine="420" w:firstLineChars="200"/>
        <w:jc w:val="left"/>
        <w:rPr>
          <w:rFonts w:hAnsi="宋体"/>
          <w:color w:val="auto"/>
          <w:kern w:val="0"/>
          <w:szCs w:val="21"/>
        </w:rPr>
      </w:pPr>
      <w:r>
        <w:rPr>
          <w:rFonts w:hint="eastAsia" w:hAnsi="宋体"/>
          <w:color w:val="auto"/>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D7E778C">
      <w:pPr>
        <w:spacing w:line="360" w:lineRule="auto"/>
        <w:ind w:firstLine="420" w:firstLineChars="200"/>
        <w:jc w:val="left"/>
        <w:rPr>
          <w:rFonts w:hAnsi="宋体"/>
          <w:color w:val="auto"/>
          <w:szCs w:val="21"/>
        </w:rPr>
      </w:pPr>
      <w:r>
        <w:rPr>
          <w:rFonts w:hint="eastAsia" w:hAnsi="宋体"/>
          <w:color w:val="auto"/>
          <w:szCs w:val="21"/>
        </w:rPr>
        <w:t>发包人未经竣工验收擅自使用工程的，保修期自</w:t>
      </w:r>
      <w:r>
        <w:rPr>
          <w:rFonts w:hint="eastAsia" w:hAnsi="宋体"/>
          <w:color w:val="auto"/>
          <w:kern w:val="0"/>
          <w:szCs w:val="21"/>
        </w:rPr>
        <w:t>转移占有之日起算</w:t>
      </w:r>
      <w:r>
        <w:rPr>
          <w:rFonts w:hint="eastAsia" w:hAnsi="宋体"/>
          <w:color w:val="auto"/>
          <w:szCs w:val="21"/>
        </w:rPr>
        <w:t>。</w:t>
      </w:r>
    </w:p>
    <w:p w14:paraId="1907DA22">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15.4.2 </w:t>
      </w:r>
      <w:r>
        <w:rPr>
          <w:rFonts w:hint="eastAsia" w:hAnsi="宋体"/>
          <w:color w:val="auto"/>
          <w:kern w:val="0"/>
          <w:szCs w:val="21"/>
        </w:rPr>
        <w:t>修复费用</w:t>
      </w:r>
    </w:p>
    <w:p w14:paraId="736B94C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保修期内，修复的费用按照以下约定处理：</w:t>
      </w:r>
    </w:p>
    <w:p w14:paraId="183316D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）保修期内，因承包人原因造成工程的缺陷、损坏，承包人应负责修复，并承担修复的费用以及因工程的缺陷、损坏造成的人身伤害和财产损失；</w:t>
      </w:r>
    </w:p>
    <w:p w14:paraId="2B76139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）保修期内，因发包人使用不当造成工程的缺陷、损坏，可以委托承包人修复，但发包人应承担修复的费用，并支付承包人合理利润；</w:t>
      </w:r>
    </w:p>
    <w:p w14:paraId="1D3202F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）因其他原因造成工程的缺陷、损坏，可以委托承包人修复，发包人应承担修复的费用，并支付承包人合理的利润，因工程的缺陷、损坏造成的人身伤害和财产损失由责任方承担。</w:t>
      </w:r>
    </w:p>
    <w:p w14:paraId="76262110">
      <w:pPr>
        <w:spacing w:line="360" w:lineRule="auto"/>
        <w:ind w:firstLine="420" w:firstLineChars="200"/>
        <w:jc w:val="left"/>
        <w:rPr>
          <w:rFonts w:hAnsi="宋体"/>
          <w:color w:val="auto"/>
          <w:kern w:val="0"/>
          <w:szCs w:val="21"/>
        </w:rPr>
      </w:pPr>
      <w:r>
        <w:rPr>
          <w:rFonts w:hAnsi="宋体"/>
          <w:color w:val="auto"/>
          <w:kern w:val="0"/>
          <w:szCs w:val="21"/>
        </w:rPr>
        <w:t xml:space="preserve">15.4.3 </w:t>
      </w:r>
      <w:r>
        <w:rPr>
          <w:rFonts w:hint="eastAsia" w:hAnsi="宋体"/>
          <w:color w:val="auto"/>
          <w:kern w:val="0"/>
          <w:szCs w:val="21"/>
        </w:rPr>
        <w:t>修复通知</w:t>
      </w:r>
    </w:p>
    <w:p w14:paraId="413B84C6">
      <w:pPr>
        <w:spacing w:line="360" w:lineRule="auto"/>
        <w:ind w:firstLine="420" w:firstLineChars="200"/>
        <w:jc w:val="left"/>
        <w:rPr>
          <w:rFonts w:hAnsi="宋体"/>
          <w:color w:val="auto"/>
          <w:kern w:val="0"/>
          <w:szCs w:val="21"/>
        </w:rPr>
      </w:pPr>
      <w:r>
        <w:rPr>
          <w:rFonts w:hint="eastAsia" w:hAnsi="宋体"/>
          <w:color w:val="auto"/>
          <w:kern w:val="0"/>
          <w:szCs w:val="21"/>
        </w:rPr>
        <w:t>在保修期内，发包人在使用过程中，发现已接收的工程存在缺陷或损坏的，应书面通知承包人予以修复，但情况紧急必须立即修复缺陷或损坏的，发包人可以口头通知承包人并在口头通知后</w:t>
      </w:r>
      <w:r>
        <w:rPr>
          <w:rFonts w:hAnsi="宋体"/>
          <w:color w:val="auto"/>
          <w:kern w:val="0"/>
          <w:szCs w:val="21"/>
        </w:rPr>
        <w:t>48</w:t>
      </w:r>
      <w:r>
        <w:rPr>
          <w:rFonts w:hint="eastAsia" w:hAnsi="宋体"/>
          <w:color w:val="auto"/>
          <w:kern w:val="0"/>
          <w:szCs w:val="21"/>
        </w:rPr>
        <w:t>小时内书面确认，承包人应在专用合同条款约定的合理期限内到达工程现场并修复缺陷或损坏。</w:t>
      </w:r>
    </w:p>
    <w:p w14:paraId="4393DDA2">
      <w:pPr>
        <w:spacing w:line="360" w:lineRule="auto"/>
        <w:ind w:firstLine="420" w:firstLineChars="200"/>
        <w:jc w:val="left"/>
        <w:rPr>
          <w:rFonts w:hAnsi="宋体"/>
          <w:color w:val="auto"/>
          <w:kern w:val="0"/>
          <w:szCs w:val="21"/>
        </w:rPr>
      </w:pPr>
      <w:r>
        <w:rPr>
          <w:rFonts w:hAnsi="宋体"/>
          <w:color w:val="auto"/>
          <w:kern w:val="0"/>
          <w:szCs w:val="21"/>
        </w:rPr>
        <w:t xml:space="preserve">15.4.4 </w:t>
      </w:r>
      <w:r>
        <w:rPr>
          <w:rFonts w:hint="eastAsia" w:hAnsi="宋体"/>
          <w:color w:val="auto"/>
          <w:kern w:val="0"/>
          <w:szCs w:val="21"/>
        </w:rPr>
        <w:t>未能修复</w:t>
      </w:r>
    </w:p>
    <w:p w14:paraId="1FEA2A20">
      <w:pPr>
        <w:spacing w:line="360" w:lineRule="auto"/>
        <w:ind w:firstLine="420" w:firstLineChars="200"/>
        <w:jc w:val="left"/>
        <w:rPr>
          <w:rFonts w:hAnsi="宋体"/>
          <w:color w:val="auto"/>
          <w:kern w:val="0"/>
          <w:szCs w:val="21"/>
        </w:rPr>
      </w:pPr>
      <w:r>
        <w:rPr>
          <w:rFonts w:hint="eastAsia" w:hAnsi="宋体"/>
          <w:color w:val="auto"/>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B7749BC">
      <w:pPr>
        <w:spacing w:line="360" w:lineRule="auto"/>
        <w:ind w:firstLine="420" w:firstLineChars="200"/>
        <w:jc w:val="left"/>
        <w:rPr>
          <w:rFonts w:hAnsi="宋体"/>
          <w:color w:val="auto"/>
          <w:kern w:val="0"/>
          <w:szCs w:val="21"/>
        </w:rPr>
      </w:pPr>
      <w:r>
        <w:rPr>
          <w:rFonts w:hAnsi="宋体"/>
          <w:color w:val="auto"/>
          <w:kern w:val="0"/>
          <w:szCs w:val="21"/>
        </w:rPr>
        <w:t xml:space="preserve">15.4.5 </w:t>
      </w:r>
      <w:r>
        <w:rPr>
          <w:rFonts w:hint="eastAsia" w:hAnsi="宋体"/>
          <w:color w:val="auto"/>
          <w:kern w:val="0"/>
          <w:szCs w:val="21"/>
        </w:rPr>
        <w:t>承包人出入权</w:t>
      </w:r>
    </w:p>
    <w:p w14:paraId="7B9AB33B">
      <w:pPr>
        <w:spacing w:line="360" w:lineRule="auto"/>
        <w:ind w:firstLine="420" w:firstLineChars="200"/>
        <w:jc w:val="left"/>
        <w:rPr>
          <w:rFonts w:hAnsi="宋体"/>
          <w:color w:val="auto"/>
          <w:kern w:val="0"/>
          <w:szCs w:val="21"/>
        </w:rPr>
      </w:pPr>
      <w:r>
        <w:rPr>
          <w:rFonts w:hint="eastAsia" w:hAnsi="宋体"/>
          <w:color w:val="auto"/>
          <w:kern w:val="0"/>
          <w:szCs w:val="21"/>
        </w:rPr>
        <w:t>在保修期内，为了修复缺陷或损坏，承包人有权出入工程现场，除情况紧急必须立即修复缺陷或损坏外，承包人应提前</w:t>
      </w:r>
      <w:r>
        <w:rPr>
          <w:rFonts w:hAnsi="宋体"/>
          <w:color w:val="auto"/>
          <w:kern w:val="0"/>
          <w:szCs w:val="21"/>
        </w:rPr>
        <w:t>24</w:t>
      </w:r>
      <w:r>
        <w:rPr>
          <w:rFonts w:hint="eastAsia" w:hAnsi="宋体"/>
          <w:color w:val="auto"/>
          <w:kern w:val="0"/>
          <w:szCs w:val="21"/>
        </w:rPr>
        <w:t>小时通知发包人进场修复的时间。承包人进入工程现场前应获得发包人同意，且不应影响发包人正常的生产经营，并应遵守发包人有关保安和保密等规定。</w:t>
      </w:r>
    </w:p>
    <w:p w14:paraId="3C54D1C0">
      <w:pPr>
        <w:pStyle w:val="5"/>
        <w:tabs>
          <w:tab w:val="left" w:pos="900"/>
        </w:tabs>
        <w:rPr>
          <w:color w:val="auto"/>
        </w:rPr>
      </w:pPr>
      <w:bookmarkStart w:id="658" w:name="_Toc28321"/>
      <w:bookmarkStart w:id="659" w:name="_Toc19092"/>
      <w:bookmarkStart w:id="660" w:name="_Toc351203603"/>
      <w:bookmarkStart w:id="661" w:name="_Toc13802"/>
      <w:bookmarkStart w:id="662" w:name="_Toc28280"/>
      <w:bookmarkStart w:id="663" w:name="_Toc525396185"/>
      <w:bookmarkStart w:id="664" w:name="_Toc337558820"/>
      <w:r>
        <w:rPr>
          <w:color w:val="auto"/>
        </w:rPr>
        <w:t xml:space="preserve">16. </w:t>
      </w:r>
      <w:r>
        <w:rPr>
          <w:rFonts w:hint="eastAsia" w:cs="宋体"/>
          <w:color w:val="auto"/>
        </w:rPr>
        <w:t>违约</w:t>
      </w:r>
      <w:bookmarkEnd w:id="658"/>
      <w:bookmarkEnd w:id="659"/>
      <w:bookmarkEnd w:id="660"/>
      <w:bookmarkEnd w:id="661"/>
      <w:bookmarkEnd w:id="662"/>
      <w:bookmarkEnd w:id="663"/>
    </w:p>
    <w:bookmarkEnd w:id="664"/>
    <w:p w14:paraId="4DE2D8D3">
      <w:pPr>
        <w:pStyle w:val="6"/>
        <w:tabs>
          <w:tab w:val="left" w:pos="2155"/>
        </w:tabs>
        <w:rPr>
          <w:color w:val="auto"/>
        </w:rPr>
      </w:pPr>
      <w:bookmarkStart w:id="665" w:name="_Toc296346630"/>
      <w:bookmarkStart w:id="666" w:name="_Toc296503129"/>
      <w:bookmarkStart w:id="667" w:name="_Toc351203604"/>
      <w:bookmarkStart w:id="668" w:name="_Toc337558821"/>
      <w:r>
        <w:rPr>
          <w:color w:val="auto"/>
        </w:rPr>
        <w:t xml:space="preserve">16.1 </w:t>
      </w:r>
      <w:r>
        <w:rPr>
          <w:rFonts w:hint="eastAsia" w:cs="宋体"/>
          <w:color w:val="auto"/>
        </w:rPr>
        <w:t>发</w:t>
      </w:r>
      <w:bookmarkEnd w:id="665"/>
      <w:bookmarkEnd w:id="666"/>
      <w:r>
        <w:rPr>
          <w:rFonts w:hint="eastAsia" w:cs="宋体"/>
          <w:color w:val="auto"/>
        </w:rPr>
        <w:t>包人违约</w:t>
      </w:r>
      <w:bookmarkEnd w:id="667"/>
    </w:p>
    <w:bookmarkEnd w:id="668"/>
    <w:p w14:paraId="015491CA">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16.1.1 </w:t>
      </w:r>
      <w:r>
        <w:rPr>
          <w:rFonts w:hint="eastAsia" w:hAnsi="宋体"/>
          <w:color w:val="auto"/>
          <w:kern w:val="0"/>
          <w:szCs w:val="21"/>
        </w:rPr>
        <w:t>发包人违约的情形</w:t>
      </w:r>
    </w:p>
    <w:p w14:paraId="377811B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在合同履行过程中发生的下列情形，属于发包人违约：</w:t>
      </w:r>
    </w:p>
    <w:p w14:paraId="182B033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）因发包人原因未能在计划开工日期前</w:t>
      </w:r>
      <w:r>
        <w:rPr>
          <w:rFonts w:hAnsi="宋体"/>
          <w:color w:val="auto"/>
          <w:kern w:val="0"/>
          <w:szCs w:val="21"/>
        </w:rPr>
        <w:t>7</w:t>
      </w:r>
      <w:r>
        <w:rPr>
          <w:rFonts w:hint="eastAsia" w:hAnsi="宋体"/>
          <w:color w:val="auto"/>
          <w:kern w:val="0"/>
          <w:szCs w:val="21"/>
        </w:rPr>
        <w:t>天内下达开工通知的；</w:t>
      </w:r>
    </w:p>
    <w:p w14:paraId="622E3C7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）因发包人原因未能按合同约定支付合同价款的；</w:t>
      </w:r>
    </w:p>
    <w:p w14:paraId="37B093B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）发包人违反第</w:t>
      </w:r>
      <w:r>
        <w:rPr>
          <w:rFonts w:hAnsi="宋体"/>
          <w:color w:val="auto"/>
          <w:kern w:val="0"/>
          <w:szCs w:val="21"/>
        </w:rPr>
        <w:t>10.1</w:t>
      </w:r>
      <w:r>
        <w:rPr>
          <w:rFonts w:hint="eastAsia" w:hAnsi="宋体"/>
          <w:color w:val="auto"/>
          <w:kern w:val="0"/>
          <w:szCs w:val="21"/>
        </w:rPr>
        <w:t>款〔变更的范围〕第（</w:t>
      </w:r>
      <w:r>
        <w:rPr>
          <w:rFonts w:hAnsi="宋体"/>
          <w:color w:val="auto"/>
          <w:kern w:val="0"/>
          <w:szCs w:val="21"/>
        </w:rPr>
        <w:t>2</w:t>
      </w:r>
      <w:r>
        <w:rPr>
          <w:rFonts w:hint="eastAsia" w:hAnsi="宋体"/>
          <w:color w:val="auto"/>
          <w:kern w:val="0"/>
          <w:szCs w:val="21"/>
        </w:rPr>
        <w:t>）项约定，自行实施被取消的工作或转由他人实施的；</w:t>
      </w:r>
    </w:p>
    <w:p w14:paraId="04CE51C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）发包人提供的材料、工程设备的规格、数量或质量不符合合同约定，或因发包人原因导致交货日期延误或交货地点变更等情况的；</w:t>
      </w:r>
    </w:p>
    <w:p w14:paraId="3DBCF4F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）因发包人违反合同约定造成暂停施工的；</w:t>
      </w:r>
    </w:p>
    <w:p w14:paraId="42A8F94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）发包人无正当理由没有在约定期限内发出复工指示，导致承包人无法复工的；</w:t>
      </w:r>
    </w:p>
    <w:p w14:paraId="158F80C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）发包人明确表示或者以其行为表明不履行合同主要义务的；</w:t>
      </w:r>
    </w:p>
    <w:p w14:paraId="186F4AD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8</w:t>
      </w:r>
      <w:r>
        <w:rPr>
          <w:rFonts w:hint="eastAsia" w:hAnsi="宋体"/>
          <w:color w:val="auto"/>
          <w:kern w:val="0"/>
          <w:szCs w:val="21"/>
        </w:rPr>
        <w:t>）发包人未能按照合同约定履行其他义务的。</w:t>
      </w:r>
    </w:p>
    <w:p w14:paraId="33801D5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发包人发生除本项第（</w:t>
      </w:r>
      <w:r>
        <w:rPr>
          <w:rFonts w:hAnsi="宋体"/>
          <w:color w:val="auto"/>
          <w:kern w:val="0"/>
          <w:szCs w:val="21"/>
        </w:rPr>
        <w:t>7</w:t>
      </w:r>
      <w:r>
        <w:rPr>
          <w:rFonts w:hint="eastAsia" w:hAnsi="宋体"/>
          <w:color w:val="auto"/>
          <w:kern w:val="0"/>
          <w:szCs w:val="21"/>
        </w:rPr>
        <w:t>）目以外的违约情况时，承包人可向发包人发出通知，要求发包人采取有效措施纠正违约行为。发包人收到承包人通知后</w:t>
      </w:r>
      <w:r>
        <w:rPr>
          <w:rFonts w:hAnsi="宋体"/>
          <w:color w:val="auto"/>
          <w:kern w:val="0"/>
          <w:szCs w:val="21"/>
        </w:rPr>
        <w:t>28</w:t>
      </w:r>
      <w:r>
        <w:rPr>
          <w:rFonts w:hint="eastAsia" w:hAnsi="宋体"/>
          <w:color w:val="auto"/>
          <w:kern w:val="0"/>
          <w:szCs w:val="21"/>
        </w:rPr>
        <w:t>天内仍不纠正违约行为的，承包人有权暂停相应部位工程施工，并通知监理人。</w:t>
      </w:r>
    </w:p>
    <w:p w14:paraId="54C547F7">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16.1.2 </w:t>
      </w:r>
      <w:r>
        <w:rPr>
          <w:rFonts w:hint="eastAsia" w:hAnsi="宋体"/>
          <w:color w:val="auto"/>
          <w:kern w:val="0"/>
          <w:szCs w:val="21"/>
        </w:rPr>
        <w:t>发包人违约的责任</w:t>
      </w:r>
    </w:p>
    <w:p w14:paraId="71D8E76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发包人应承担因其违约给承包人增加的费用和（或）延误的工期，并支付承包人合理的利润。此外，合同当事人可在专用合同条款中另行约定发包人违约责任的承担方式和计算方法。</w:t>
      </w:r>
    </w:p>
    <w:p w14:paraId="6E13FA19">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16.1.3 </w:t>
      </w:r>
      <w:r>
        <w:rPr>
          <w:rFonts w:hint="eastAsia" w:hAnsi="宋体"/>
          <w:color w:val="auto"/>
          <w:kern w:val="0"/>
          <w:szCs w:val="21"/>
        </w:rPr>
        <w:t>因发包人违约解除合同</w:t>
      </w:r>
    </w:p>
    <w:p w14:paraId="41ACDCC8">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除专用合同条款另有约定外，承包人按第</w:t>
      </w:r>
      <w:r>
        <w:rPr>
          <w:rFonts w:hAnsi="宋体"/>
          <w:color w:val="auto"/>
          <w:kern w:val="0"/>
          <w:szCs w:val="21"/>
        </w:rPr>
        <w:t>16.1.1</w:t>
      </w:r>
      <w:r>
        <w:rPr>
          <w:rFonts w:hint="eastAsia" w:hAnsi="宋体"/>
          <w:color w:val="auto"/>
          <w:kern w:val="0"/>
          <w:szCs w:val="21"/>
        </w:rPr>
        <w:t>项〔发包人违约的情形〕约定暂停施工满</w:t>
      </w:r>
      <w:r>
        <w:rPr>
          <w:rFonts w:hAnsi="宋体"/>
          <w:color w:val="auto"/>
          <w:kern w:val="0"/>
          <w:szCs w:val="21"/>
        </w:rPr>
        <w:t>28</w:t>
      </w:r>
      <w:r>
        <w:rPr>
          <w:rFonts w:hint="eastAsia" w:hAnsi="宋体"/>
          <w:color w:val="auto"/>
          <w:kern w:val="0"/>
          <w:szCs w:val="21"/>
        </w:rPr>
        <w:t>天后，发包人仍不纠正其违约行为并致使合同目的不能实现的，或出现第</w:t>
      </w:r>
      <w:r>
        <w:rPr>
          <w:rFonts w:hAnsi="宋体"/>
          <w:color w:val="auto"/>
          <w:kern w:val="0"/>
          <w:szCs w:val="21"/>
        </w:rPr>
        <w:t>16.1.1</w:t>
      </w:r>
      <w:r>
        <w:rPr>
          <w:rFonts w:hint="eastAsia" w:hAnsi="宋体"/>
          <w:color w:val="auto"/>
          <w:kern w:val="0"/>
          <w:szCs w:val="21"/>
        </w:rPr>
        <w:t>项〔发包人违约的情形〕第（</w:t>
      </w:r>
      <w:r>
        <w:rPr>
          <w:rFonts w:hAnsi="宋体"/>
          <w:color w:val="auto"/>
          <w:kern w:val="0"/>
          <w:szCs w:val="21"/>
        </w:rPr>
        <w:t>7</w:t>
      </w:r>
      <w:r>
        <w:rPr>
          <w:rFonts w:hint="eastAsia" w:hAnsi="宋体"/>
          <w:color w:val="auto"/>
          <w:kern w:val="0"/>
          <w:szCs w:val="21"/>
        </w:rPr>
        <w:t>）目约定的违约情况，承包人有权解除合同，发包人应承担由此增加的费用，并支付承包人合理的利润。</w:t>
      </w:r>
    </w:p>
    <w:p w14:paraId="08DE5127">
      <w:pPr>
        <w:autoSpaceDE w:val="0"/>
        <w:autoSpaceDN w:val="0"/>
        <w:adjustRightInd w:val="0"/>
        <w:spacing w:line="360" w:lineRule="auto"/>
        <w:ind w:firstLine="420" w:firstLineChars="200"/>
        <w:jc w:val="left"/>
        <w:rPr>
          <w:rFonts w:hAnsi="宋体"/>
          <w:color w:val="auto"/>
          <w:szCs w:val="21"/>
        </w:rPr>
      </w:pPr>
      <w:r>
        <w:rPr>
          <w:rFonts w:hAnsi="宋体"/>
          <w:color w:val="auto"/>
          <w:kern w:val="0"/>
          <w:szCs w:val="21"/>
        </w:rPr>
        <w:t xml:space="preserve">16.1.4 </w:t>
      </w:r>
      <w:r>
        <w:rPr>
          <w:rFonts w:hint="eastAsia" w:hAnsi="宋体"/>
          <w:color w:val="auto"/>
          <w:kern w:val="0"/>
          <w:szCs w:val="21"/>
        </w:rPr>
        <w:t>因发包人违约解除合同后的付款</w:t>
      </w:r>
    </w:p>
    <w:p w14:paraId="1560BEB0">
      <w:pPr>
        <w:spacing w:line="360" w:lineRule="auto"/>
        <w:ind w:firstLine="420" w:firstLineChars="200"/>
        <w:jc w:val="left"/>
        <w:rPr>
          <w:rFonts w:hAnsi="宋体"/>
          <w:color w:val="auto"/>
          <w:kern w:val="0"/>
          <w:szCs w:val="21"/>
        </w:rPr>
      </w:pPr>
      <w:r>
        <w:rPr>
          <w:rFonts w:hint="eastAsia" w:hAnsi="宋体"/>
          <w:color w:val="auto"/>
          <w:kern w:val="0"/>
          <w:szCs w:val="21"/>
        </w:rPr>
        <w:t>承包人按照本款约定解除合同的，发包人应在解除合同后</w:t>
      </w:r>
      <w:r>
        <w:rPr>
          <w:rFonts w:hAnsi="宋体"/>
          <w:color w:val="auto"/>
          <w:kern w:val="0"/>
          <w:szCs w:val="21"/>
        </w:rPr>
        <w:t>28</w:t>
      </w:r>
      <w:r>
        <w:rPr>
          <w:rFonts w:hint="eastAsia" w:hAnsi="宋体"/>
          <w:color w:val="auto"/>
          <w:kern w:val="0"/>
          <w:szCs w:val="21"/>
        </w:rPr>
        <w:t>天内支付下列款项，并解除履约担保：</w:t>
      </w:r>
    </w:p>
    <w:p w14:paraId="2F98A8C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）合同解除前所完成工作的价款；</w:t>
      </w:r>
    </w:p>
    <w:p w14:paraId="2B03EF2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）承包人为工程施工订购并已付款的材料、工程设备和其他物品的价款；</w:t>
      </w:r>
    </w:p>
    <w:p w14:paraId="22962981">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）承包人撤离施工现场以及遣散承包人人员的款项；</w:t>
      </w:r>
    </w:p>
    <w:p w14:paraId="754A3C0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）按照合同约定在合同解除前应支付的违约金；</w:t>
      </w:r>
    </w:p>
    <w:p w14:paraId="43475765">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）按照合同约定应当支付给承包人的其他款项；</w:t>
      </w:r>
    </w:p>
    <w:p w14:paraId="63E8AD9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）按照合同约定应退还的质量保证金；</w:t>
      </w:r>
    </w:p>
    <w:p w14:paraId="049A104E">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）因解除合同给承包人造成的损失。</w:t>
      </w:r>
    </w:p>
    <w:p w14:paraId="0594BEFD">
      <w:pPr>
        <w:spacing w:line="360" w:lineRule="auto"/>
        <w:ind w:firstLine="420" w:firstLineChars="200"/>
        <w:jc w:val="left"/>
        <w:rPr>
          <w:rFonts w:hAnsi="宋体"/>
          <w:color w:val="auto"/>
          <w:kern w:val="0"/>
          <w:szCs w:val="21"/>
        </w:rPr>
      </w:pPr>
      <w:r>
        <w:rPr>
          <w:rFonts w:hint="eastAsia" w:hAnsi="宋体"/>
          <w:color w:val="auto"/>
          <w:kern w:val="0"/>
          <w:szCs w:val="21"/>
        </w:rPr>
        <w:t>合同当事人未能就解除合同后的结清达成一致的，按照第</w:t>
      </w:r>
      <w:r>
        <w:rPr>
          <w:rFonts w:hAnsi="宋体"/>
          <w:color w:val="auto"/>
          <w:kern w:val="0"/>
          <w:szCs w:val="21"/>
        </w:rPr>
        <w:t>20</w:t>
      </w:r>
      <w:r>
        <w:rPr>
          <w:rFonts w:hint="eastAsia" w:hAnsi="宋体"/>
          <w:color w:val="auto"/>
          <w:kern w:val="0"/>
          <w:szCs w:val="21"/>
        </w:rPr>
        <w:t>条〔争议解决〕的约定处理。</w:t>
      </w:r>
    </w:p>
    <w:p w14:paraId="0AB14E55">
      <w:pPr>
        <w:spacing w:line="360" w:lineRule="auto"/>
        <w:ind w:firstLine="420" w:firstLineChars="200"/>
        <w:jc w:val="left"/>
        <w:rPr>
          <w:rFonts w:hAnsi="宋体"/>
          <w:color w:val="auto"/>
          <w:kern w:val="0"/>
          <w:szCs w:val="21"/>
        </w:rPr>
      </w:pPr>
      <w:r>
        <w:rPr>
          <w:rFonts w:hint="eastAsia" w:hAnsi="宋体"/>
          <w:color w:val="auto"/>
          <w:kern w:val="0"/>
          <w:szCs w:val="21"/>
        </w:rPr>
        <w:t>承包人应妥善做好已完工程和与工程有关的已购材料、工程设备的保护和移交工作，并将施工设备和人员撤出施工现场，发包人应为承包人撤出提供必要条件。</w:t>
      </w:r>
    </w:p>
    <w:p w14:paraId="16F95A55">
      <w:pPr>
        <w:pStyle w:val="6"/>
        <w:tabs>
          <w:tab w:val="left" w:pos="2155"/>
        </w:tabs>
        <w:rPr>
          <w:color w:val="auto"/>
        </w:rPr>
      </w:pPr>
      <w:bookmarkStart w:id="669" w:name="_Toc351203605"/>
      <w:bookmarkStart w:id="670" w:name="_Toc337558822"/>
      <w:bookmarkStart w:id="671" w:name="_Toc296346632"/>
      <w:bookmarkStart w:id="672" w:name="_Toc296503131"/>
      <w:r>
        <w:rPr>
          <w:color w:val="auto"/>
        </w:rPr>
        <w:t xml:space="preserve">16.2 </w:t>
      </w:r>
      <w:r>
        <w:rPr>
          <w:rFonts w:hint="eastAsia" w:cs="宋体"/>
          <w:color w:val="auto"/>
        </w:rPr>
        <w:t>承包人违约</w:t>
      </w:r>
      <w:bookmarkEnd w:id="669"/>
    </w:p>
    <w:bookmarkEnd w:id="670"/>
    <w:bookmarkEnd w:id="671"/>
    <w:bookmarkEnd w:id="672"/>
    <w:p w14:paraId="4E4B7399">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16.2.1 </w:t>
      </w:r>
      <w:r>
        <w:rPr>
          <w:rFonts w:hint="eastAsia" w:hAnsi="宋体"/>
          <w:color w:val="auto"/>
          <w:kern w:val="0"/>
          <w:szCs w:val="21"/>
        </w:rPr>
        <w:t>承包人违约的情形</w:t>
      </w:r>
    </w:p>
    <w:p w14:paraId="68548EE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在合同履行过程中发生的下列情形，属于承包人违约：</w:t>
      </w:r>
    </w:p>
    <w:p w14:paraId="5C44EEA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）承包人违反合同约定进行转包或违法分包的；</w:t>
      </w:r>
    </w:p>
    <w:p w14:paraId="514DBA7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）承包人违反合同约定采购和使用不合格的材料和工程设备的；</w:t>
      </w:r>
    </w:p>
    <w:p w14:paraId="1403349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）因承包人原因导致工程质量不符合合同要求的；</w:t>
      </w:r>
      <w:r>
        <w:rPr>
          <w:rFonts w:hAnsi="宋体"/>
          <w:color w:val="auto"/>
          <w:kern w:val="0"/>
          <w:szCs w:val="21"/>
        </w:rPr>
        <w:t xml:space="preserve"> </w:t>
      </w:r>
    </w:p>
    <w:p w14:paraId="47A3D4E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）承包人违反第</w:t>
      </w:r>
      <w:r>
        <w:rPr>
          <w:rFonts w:hAnsi="宋体"/>
          <w:color w:val="auto"/>
          <w:kern w:val="0"/>
          <w:szCs w:val="21"/>
        </w:rPr>
        <w:t>8.9</w:t>
      </w:r>
      <w:r>
        <w:rPr>
          <w:rFonts w:hint="eastAsia" w:hAnsi="宋体"/>
          <w:color w:val="auto"/>
          <w:kern w:val="0"/>
          <w:szCs w:val="21"/>
        </w:rPr>
        <w:t>款〔材料与设备专用要求〕的约定，未经批准，私自将已按照合同约定进入施工现场的材料或设备撤离施工现场的；</w:t>
      </w:r>
    </w:p>
    <w:p w14:paraId="31EE1DA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）承包人未能按施工进度计划及时完成合同约定的工作，造成工期延误的；</w:t>
      </w:r>
    </w:p>
    <w:p w14:paraId="7C195D8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）承包人在缺陷责任期及保修期内，未能在合理期限对工程缺陷进行修复，或拒绝按发包人要求进行修复的；</w:t>
      </w:r>
    </w:p>
    <w:p w14:paraId="3893F9A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）承包人明确表示或者以其行为表明不履行合同主要义务的；</w:t>
      </w:r>
    </w:p>
    <w:p w14:paraId="7A5638B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8</w:t>
      </w:r>
      <w:r>
        <w:rPr>
          <w:rFonts w:hint="eastAsia" w:hAnsi="宋体"/>
          <w:color w:val="auto"/>
          <w:kern w:val="0"/>
          <w:szCs w:val="21"/>
        </w:rPr>
        <w:t>）承包人未能按照合同约定履行其他义务的。</w:t>
      </w:r>
    </w:p>
    <w:p w14:paraId="6B4809F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承包人发生除本项第（</w:t>
      </w:r>
      <w:r>
        <w:rPr>
          <w:rFonts w:hAnsi="宋体"/>
          <w:color w:val="auto"/>
          <w:kern w:val="0"/>
          <w:szCs w:val="21"/>
        </w:rPr>
        <w:t>7</w:t>
      </w:r>
      <w:r>
        <w:rPr>
          <w:rFonts w:hint="eastAsia" w:hAnsi="宋体"/>
          <w:color w:val="auto"/>
          <w:kern w:val="0"/>
          <w:szCs w:val="21"/>
        </w:rPr>
        <w:t>）目约定以外的其他违约情况时，监理人可向承包人发出整改通知，要求其在指定的期限内改正。</w:t>
      </w:r>
    </w:p>
    <w:p w14:paraId="5478579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16.2.2 </w:t>
      </w:r>
      <w:r>
        <w:rPr>
          <w:rFonts w:hint="eastAsia" w:hAnsi="宋体"/>
          <w:color w:val="auto"/>
          <w:kern w:val="0"/>
          <w:szCs w:val="21"/>
        </w:rPr>
        <w:t>承包人违约的责任</w:t>
      </w:r>
    </w:p>
    <w:p w14:paraId="5C20D62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承包人应承担因其违约行为而增加的费用和（或）延误的工期。此外，合同当事人可在专用合同条款中另行约定承包人违约责任的承担方式和计算方法。</w:t>
      </w:r>
    </w:p>
    <w:p w14:paraId="0709F234">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16.2.3 </w:t>
      </w:r>
      <w:r>
        <w:rPr>
          <w:rFonts w:hint="eastAsia" w:hAnsi="宋体"/>
          <w:color w:val="auto"/>
          <w:kern w:val="0"/>
          <w:szCs w:val="21"/>
        </w:rPr>
        <w:t>因承包人违约解除合同</w:t>
      </w:r>
    </w:p>
    <w:p w14:paraId="43B720A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除专用合同条款另有约定外，出现第</w:t>
      </w:r>
      <w:r>
        <w:rPr>
          <w:rFonts w:hAnsi="宋体"/>
          <w:color w:val="auto"/>
          <w:kern w:val="0"/>
          <w:szCs w:val="21"/>
        </w:rPr>
        <w:t>16.2.1</w:t>
      </w:r>
      <w:r>
        <w:rPr>
          <w:rFonts w:hint="eastAsia" w:hAnsi="宋体"/>
          <w:color w:val="auto"/>
          <w:kern w:val="0"/>
          <w:szCs w:val="21"/>
        </w:rPr>
        <w:t>项〔承包人违约的情形〕第（</w:t>
      </w:r>
      <w:r>
        <w:rPr>
          <w:rFonts w:hAnsi="宋体"/>
          <w:color w:val="auto"/>
          <w:kern w:val="0"/>
          <w:szCs w:val="21"/>
        </w:rPr>
        <w:t>7</w:t>
      </w:r>
      <w:r>
        <w:rPr>
          <w:rFonts w:hint="eastAsia" w:hAnsi="宋体"/>
          <w:color w:val="auto"/>
          <w:kern w:val="0"/>
          <w:szCs w:val="21"/>
        </w:rPr>
        <w:t>）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000FEE3F">
      <w:pPr>
        <w:spacing w:line="360" w:lineRule="auto"/>
        <w:ind w:firstLine="420" w:firstLineChars="200"/>
        <w:jc w:val="left"/>
        <w:rPr>
          <w:rFonts w:hAnsi="宋体"/>
          <w:color w:val="auto"/>
          <w:kern w:val="0"/>
          <w:szCs w:val="21"/>
        </w:rPr>
      </w:pPr>
      <w:r>
        <w:rPr>
          <w:rFonts w:hAnsi="宋体"/>
          <w:color w:val="auto"/>
          <w:kern w:val="0"/>
          <w:szCs w:val="21"/>
        </w:rPr>
        <w:t>16.2.4</w:t>
      </w:r>
      <w:r>
        <w:rPr>
          <w:rFonts w:hint="eastAsia" w:hAnsi="宋体"/>
          <w:color w:val="auto"/>
          <w:kern w:val="0"/>
          <w:szCs w:val="21"/>
        </w:rPr>
        <w:t>因承包人违约解除合同后的处理</w:t>
      </w:r>
    </w:p>
    <w:p w14:paraId="57E9C230">
      <w:pPr>
        <w:spacing w:line="360" w:lineRule="auto"/>
        <w:ind w:firstLine="420" w:firstLineChars="200"/>
        <w:jc w:val="left"/>
        <w:rPr>
          <w:rFonts w:hAnsi="宋体"/>
          <w:color w:val="auto"/>
          <w:kern w:val="0"/>
          <w:szCs w:val="21"/>
        </w:rPr>
      </w:pPr>
      <w:r>
        <w:rPr>
          <w:rFonts w:hint="eastAsia" w:hAnsi="宋体"/>
          <w:color w:val="auto"/>
          <w:kern w:val="0"/>
          <w:szCs w:val="21"/>
        </w:rPr>
        <w:t>因承包人原因导致合同解除的，则合同当事人应在合同解除后</w:t>
      </w:r>
      <w:r>
        <w:rPr>
          <w:rFonts w:hAnsi="宋体"/>
          <w:color w:val="auto"/>
          <w:kern w:val="0"/>
          <w:szCs w:val="21"/>
        </w:rPr>
        <w:t>28</w:t>
      </w:r>
      <w:r>
        <w:rPr>
          <w:rFonts w:hint="eastAsia" w:hAnsi="宋体"/>
          <w:color w:val="auto"/>
          <w:kern w:val="0"/>
          <w:szCs w:val="21"/>
        </w:rPr>
        <w:t>天内完成估价、付款和清算，并按以下约定执行：</w:t>
      </w:r>
    </w:p>
    <w:p w14:paraId="1D2BE005">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）合同解除后，按第</w:t>
      </w:r>
      <w:r>
        <w:rPr>
          <w:rFonts w:hAnsi="宋体"/>
          <w:color w:val="auto"/>
          <w:kern w:val="0"/>
          <w:szCs w:val="21"/>
        </w:rPr>
        <w:t>4.4</w:t>
      </w:r>
      <w:r>
        <w:rPr>
          <w:rFonts w:hint="eastAsia" w:hAnsi="宋体"/>
          <w:color w:val="auto"/>
          <w:kern w:val="0"/>
          <w:szCs w:val="21"/>
        </w:rPr>
        <w:t>款〔商定或确定〕商定或确定承包人实际完成工作对应的合同价款，以及承包人已提供的材料、工程设备、施工设备和临时工程等的价值；</w:t>
      </w:r>
    </w:p>
    <w:p w14:paraId="2FCEFA0B">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）合同解除后，承包人应支付的违约金；</w:t>
      </w:r>
    </w:p>
    <w:p w14:paraId="2B4BDCF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）合同解除后，因解除合同给发包人造成的损失；</w:t>
      </w:r>
    </w:p>
    <w:p w14:paraId="48EA89B1">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）合同解除后，承包人应按照发包人要求和监理人的指示完成现场的清理和撤离；</w:t>
      </w:r>
    </w:p>
    <w:p w14:paraId="4BA19EAB">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）发包人和承包人应在合同解除后进行清算，出具最终结清付款证书，结清全部款项。</w:t>
      </w:r>
    </w:p>
    <w:p w14:paraId="70AEC404">
      <w:pPr>
        <w:spacing w:line="360" w:lineRule="auto"/>
        <w:ind w:firstLine="420" w:firstLineChars="200"/>
        <w:jc w:val="left"/>
        <w:rPr>
          <w:rFonts w:hAnsi="宋体"/>
          <w:color w:val="auto"/>
          <w:kern w:val="0"/>
          <w:szCs w:val="21"/>
        </w:rPr>
      </w:pPr>
      <w:r>
        <w:rPr>
          <w:rFonts w:hint="eastAsia" w:hAnsi="宋体"/>
          <w:color w:val="auto"/>
          <w:kern w:val="0"/>
          <w:szCs w:val="21"/>
        </w:rPr>
        <w:t>因承包人违约解除合同的，发包人有权暂停对承包人的付款，查清各项付款和已扣款项。发包人和承包人未能就合同解除后的清算和款项支付达成一致的，按照第</w:t>
      </w:r>
      <w:r>
        <w:rPr>
          <w:rFonts w:hAnsi="宋体"/>
          <w:color w:val="auto"/>
          <w:kern w:val="0"/>
          <w:szCs w:val="21"/>
        </w:rPr>
        <w:t>20</w:t>
      </w:r>
      <w:r>
        <w:rPr>
          <w:rFonts w:hint="eastAsia" w:hAnsi="宋体"/>
          <w:color w:val="auto"/>
          <w:kern w:val="0"/>
          <w:szCs w:val="21"/>
        </w:rPr>
        <w:t>条〔争议解决〕的约定处理。</w:t>
      </w:r>
    </w:p>
    <w:p w14:paraId="151DCF7A">
      <w:pPr>
        <w:spacing w:line="360" w:lineRule="auto"/>
        <w:ind w:firstLine="420" w:firstLineChars="200"/>
        <w:jc w:val="left"/>
        <w:rPr>
          <w:rFonts w:hAnsi="宋体"/>
          <w:color w:val="auto"/>
          <w:kern w:val="0"/>
          <w:szCs w:val="21"/>
        </w:rPr>
      </w:pPr>
      <w:r>
        <w:rPr>
          <w:rFonts w:hAnsi="宋体"/>
          <w:color w:val="auto"/>
          <w:kern w:val="0"/>
          <w:szCs w:val="21"/>
        </w:rPr>
        <w:t>16.2.5</w:t>
      </w:r>
      <w:r>
        <w:rPr>
          <w:rFonts w:hint="eastAsia" w:hAnsi="宋体"/>
          <w:color w:val="auto"/>
          <w:kern w:val="0"/>
          <w:szCs w:val="21"/>
        </w:rPr>
        <w:t>采购合同权益转让</w:t>
      </w:r>
    </w:p>
    <w:p w14:paraId="622778C3">
      <w:pPr>
        <w:spacing w:line="360" w:lineRule="auto"/>
        <w:ind w:firstLine="420" w:firstLineChars="200"/>
        <w:jc w:val="left"/>
        <w:rPr>
          <w:rFonts w:hAnsi="宋体"/>
          <w:color w:val="auto"/>
          <w:kern w:val="0"/>
          <w:szCs w:val="21"/>
        </w:rPr>
      </w:pPr>
      <w:r>
        <w:rPr>
          <w:rFonts w:hint="eastAsia" w:hAnsi="宋体"/>
          <w:color w:val="auto"/>
          <w:kern w:val="0"/>
          <w:szCs w:val="21"/>
        </w:rPr>
        <w:t>因承包人违约解除合同的，发包人有权要求承包人将其为实施合同而签订的材料和设备的采购合同的权益转让给发包人，承包人应在收到解除合同通知后</w:t>
      </w:r>
      <w:r>
        <w:rPr>
          <w:rFonts w:hAnsi="宋体"/>
          <w:color w:val="auto"/>
          <w:kern w:val="0"/>
          <w:szCs w:val="21"/>
        </w:rPr>
        <w:t>14</w:t>
      </w:r>
      <w:r>
        <w:rPr>
          <w:rFonts w:hint="eastAsia" w:hAnsi="宋体"/>
          <w:color w:val="auto"/>
          <w:kern w:val="0"/>
          <w:szCs w:val="21"/>
        </w:rPr>
        <w:t>天内，协助发包人与采购合同的供应商达成相关的转让协议。</w:t>
      </w:r>
    </w:p>
    <w:p w14:paraId="7124D695">
      <w:pPr>
        <w:pStyle w:val="6"/>
        <w:tabs>
          <w:tab w:val="left" w:pos="2155"/>
        </w:tabs>
        <w:rPr>
          <w:color w:val="auto"/>
        </w:rPr>
      </w:pPr>
      <w:bookmarkStart w:id="673" w:name="_Toc351203606"/>
      <w:r>
        <w:rPr>
          <w:color w:val="auto"/>
        </w:rPr>
        <w:t xml:space="preserve">16.3 </w:t>
      </w:r>
      <w:r>
        <w:rPr>
          <w:rFonts w:hint="eastAsia"/>
          <w:color w:val="auto"/>
        </w:rPr>
        <w:t>第三人造成的违约</w:t>
      </w:r>
      <w:bookmarkEnd w:id="673"/>
    </w:p>
    <w:p w14:paraId="0D32D1E0">
      <w:pPr>
        <w:spacing w:line="360" w:lineRule="auto"/>
        <w:ind w:firstLine="420" w:firstLineChars="200"/>
        <w:jc w:val="left"/>
        <w:rPr>
          <w:rFonts w:hAnsi="宋体"/>
          <w:color w:val="auto"/>
          <w:kern w:val="0"/>
          <w:szCs w:val="21"/>
        </w:rPr>
      </w:pPr>
      <w:r>
        <w:rPr>
          <w:rFonts w:hint="eastAsia" w:hAnsi="宋体"/>
          <w:color w:val="auto"/>
          <w:kern w:val="0"/>
          <w:szCs w:val="21"/>
        </w:rPr>
        <w:t>在履行合同过程中，一方当事人因第三人的原因造成违约的，应当向对方当事人承担违约责任。一方当事人和第三人之间的纠纷，依照法律规定或者按照约定解决。</w:t>
      </w:r>
    </w:p>
    <w:p w14:paraId="16692732">
      <w:pPr>
        <w:pStyle w:val="5"/>
        <w:tabs>
          <w:tab w:val="left" w:pos="900"/>
        </w:tabs>
        <w:rPr>
          <w:color w:val="auto"/>
        </w:rPr>
      </w:pPr>
      <w:bookmarkStart w:id="674" w:name="_Toc525396186"/>
      <w:bookmarkStart w:id="675" w:name="_Toc23792"/>
      <w:bookmarkStart w:id="676" w:name="_Toc2312"/>
      <w:bookmarkStart w:id="677" w:name="_Toc12674"/>
      <w:bookmarkStart w:id="678" w:name="_Toc19391"/>
      <w:bookmarkStart w:id="679" w:name="_Toc351203607"/>
      <w:bookmarkStart w:id="680" w:name="_Toc337558823"/>
      <w:bookmarkStart w:id="681" w:name="_Toc296503116"/>
      <w:bookmarkStart w:id="682" w:name="_Toc296346617"/>
      <w:r>
        <w:rPr>
          <w:color w:val="auto"/>
        </w:rPr>
        <w:t xml:space="preserve">17. </w:t>
      </w:r>
      <w:r>
        <w:rPr>
          <w:rFonts w:hint="eastAsia" w:cs="宋体"/>
          <w:color w:val="auto"/>
        </w:rPr>
        <w:t>不可抗力</w:t>
      </w:r>
      <w:bookmarkEnd w:id="674"/>
      <w:bookmarkEnd w:id="675"/>
      <w:bookmarkEnd w:id="676"/>
      <w:bookmarkEnd w:id="677"/>
      <w:bookmarkEnd w:id="678"/>
      <w:bookmarkEnd w:id="679"/>
      <w:r>
        <w:rPr>
          <w:color w:val="auto"/>
        </w:rPr>
        <w:t xml:space="preserve"> </w:t>
      </w:r>
      <w:bookmarkEnd w:id="680"/>
      <w:bookmarkEnd w:id="681"/>
      <w:bookmarkEnd w:id="682"/>
    </w:p>
    <w:p w14:paraId="4EFE3994">
      <w:pPr>
        <w:pStyle w:val="6"/>
        <w:tabs>
          <w:tab w:val="left" w:pos="2155"/>
        </w:tabs>
        <w:rPr>
          <w:color w:val="auto"/>
        </w:rPr>
      </w:pPr>
      <w:bookmarkStart w:id="683" w:name="_Toc351203608"/>
      <w:bookmarkStart w:id="684" w:name="_Toc296346618"/>
      <w:bookmarkStart w:id="685" w:name="_Toc296503117"/>
      <w:bookmarkStart w:id="686" w:name="_Toc337558824"/>
      <w:r>
        <w:rPr>
          <w:color w:val="auto"/>
        </w:rPr>
        <w:t xml:space="preserve">17.1 </w:t>
      </w:r>
      <w:r>
        <w:rPr>
          <w:rFonts w:hint="eastAsia"/>
          <w:color w:val="auto"/>
        </w:rPr>
        <w:t>不可抗力的确认</w:t>
      </w:r>
      <w:bookmarkEnd w:id="683"/>
    </w:p>
    <w:bookmarkEnd w:id="684"/>
    <w:bookmarkEnd w:id="685"/>
    <w:bookmarkEnd w:id="686"/>
    <w:p w14:paraId="510E85A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54CD305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不可抗力发生后，发包人和承包人应收集证明不可抗力发生及不可抗力造成损失的证据，并及时认真统计所造成的损失。合同当事人对是否属于不可抗力或其损失的意见不一致的，由监理人按第</w:t>
      </w:r>
      <w:r>
        <w:rPr>
          <w:rFonts w:hAnsi="宋体"/>
          <w:color w:val="auto"/>
          <w:kern w:val="0"/>
          <w:szCs w:val="21"/>
        </w:rPr>
        <w:t>4.4</w:t>
      </w:r>
      <w:r>
        <w:rPr>
          <w:rFonts w:hint="eastAsia" w:hAnsi="宋体"/>
          <w:color w:val="auto"/>
          <w:kern w:val="0"/>
          <w:szCs w:val="21"/>
        </w:rPr>
        <w:t>款〔商定或确定〕的约定处理。发生争议时，按第</w:t>
      </w:r>
      <w:r>
        <w:rPr>
          <w:rFonts w:hAnsi="宋体"/>
          <w:color w:val="auto"/>
          <w:kern w:val="0"/>
          <w:szCs w:val="21"/>
        </w:rPr>
        <w:t>20</w:t>
      </w:r>
      <w:r>
        <w:rPr>
          <w:rFonts w:hint="eastAsia" w:hAnsi="宋体"/>
          <w:color w:val="auto"/>
          <w:kern w:val="0"/>
          <w:szCs w:val="21"/>
        </w:rPr>
        <w:t>条〔争议解决〕的约定处理。</w:t>
      </w:r>
    </w:p>
    <w:p w14:paraId="493F3C7B">
      <w:pPr>
        <w:pStyle w:val="6"/>
        <w:tabs>
          <w:tab w:val="left" w:pos="2155"/>
        </w:tabs>
        <w:rPr>
          <w:color w:val="auto"/>
        </w:rPr>
      </w:pPr>
      <w:bookmarkStart w:id="687" w:name="_Toc351203609"/>
      <w:bookmarkStart w:id="688" w:name="_Toc337558825"/>
      <w:bookmarkStart w:id="689" w:name="_Toc296503118"/>
      <w:bookmarkStart w:id="690" w:name="_Toc296346619"/>
      <w:r>
        <w:rPr>
          <w:color w:val="auto"/>
        </w:rPr>
        <w:t xml:space="preserve">17.2 </w:t>
      </w:r>
      <w:r>
        <w:rPr>
          <w:rFonts w:hint="eastAsia"/>
          <w:color w:val="auto"/>
        </w:rPr>
        <w:t>不可抗力的通知</w:t>
      </w:r>
      <w:bookmarkEnd w:id="687"/>
    </w:p>
    <w:bookmarkEnd w:id="688"/>
    <w:bookmarkEnd w:id="689"/>
    <w:bookmarkEnd w:id="690"/>
    <w:p w14:paraId="27D4490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合同一方当事人遇到不可抗力事件，使其履行合同义务受到阻碍时，应立即通知合同另一方当事人和监理人，书面说明不可抗力和受阻碍的详细情况，并提供必要的证明。</w:t>
      </w:r>
    </w:p>
    <w:p w14:paraId="096EDA3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不可抗力持续发生的，合同一方当事人应及时向合同另一方当事人和监理人提交中间报告，说明不可抗力和履行合同受阻的情况，并于不可抗力事件结束后</w:t>
      </w:r>
      <w:r>
        <w:rPr>
          <w:rFonts w:hAnsi="宋体"/>
          <w:color w:val="auto"/>
          <w:kern w:val="0"/>
          <w:szCs w:val="21"/>
        </w:rPr>
        <w:t>28</w:t>
      </w:r>
      <w:r>
        <w:rPr>
          <w:rFonts w:hint="eastAsia" w:hAnsi="宋体"/>
          <w:color w:val="auto"/>
          <w:kern w:val="0"/>
          <w:szCs w:val="21"/>
        </w:rPr>
        <w:t>天内提交最终报告及有关资料。</w:t>
      </w:r>
    </w:p>
    <w:p w14:paraId="516996D6">
      <w:pPr>
        <w:pStyle w:val="6"/>
        <w:tabs>
          <w:tab w:val="left" w:pos="2155"/>
        </w:tabs>
        <w:rPr>
          <w:color w:val="auto"/>
        </w:rPr>
      </w:pPr>
      <w:bookmarkStart w:id="691" w:name="_Toc351203610"/>
      <w:bookmarkStart w:id="692" w:name="_Toc296503119"/>
      <w:bookmarkStart w:id="693" w:name="_Toc296346620"/>
      <w:bookmarkStart w:id="694" w:name="_Toc337558826"/>
      <w:r>
        <w:rPr>
          <w:color w:val="auto"/>
        </w:rPr>
        <w:t xml:space="preserve">17.3 </w:t>
      </w:r>
      <w:r>
        <w:rPr>
          <w:rFonts w:hint="eastAsia"/>
          <w:color w:val="auto"/>
        </w:rPr>
        <w:t>不可抗力后果的承担</w:t>
      </w:r>
      <w:bookmarkEnd w:id="691"/>
    </w:p>
    <w:bookmarkEnd w:id="692"/>
    <w:bookmarkEnd w:id="693"/>
    <w:bookmarkEnd w:id="694"/>
    <w:p w14:paraId="1ECA30C6">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17.3.1 </w:t>
      </w:r>
      <w:r>
        <w:rPr>
          <w:rFonts w:hint="eastAsia" w:hAnsi="宋体"/>
          <w:color w:val="auto"/>
          <w:kern w:val="0"/>
          <w:szCs w:val="21"/>
        </w:rPr>
        <w:t>不可抗力引起的后果及造成的损失由合同当事人按照法律规定及合同约定各自承担。不可抗力发生前已完成的工程应当按照合同约定进行计量支付。</w:t>
      </w:r>
    </w:p>
    <w:p w14:paraId="71B9D20B">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17.3.2 </w:t>
      </w:r>
      <w:r>
        <w:rPr>
          <w:rFonts w:hint="eastAsia" w:hAnsi="宋体"/>
          <w:color w:val="auto"/>
          <w:kern w:val="0"/>
          <w:szCs w:val="21"/>
        </w:rPr>
        <w:t>不可抗力导致的人员伤亡、财产损失、费用增加和（或）工期延误等后果，由合同当事人按以下原则承担：</w:t>
      </w:r>
    </w:p>
    <w:p w14:paraId="7ECE1EA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）永久工程、已运至施工现场的材料和工程设备的损坏，以及因工程损坏造成的第三人人员伤亡和财产损失由发包人承担；</w:t>
      </w:r>
    </w:p>
    <w:p w14:paraId="69A56C01">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）承包人施工设备的损坏由承包人承担；</w:t>
      </w:r>
    </w:p>
    <w:p w14:paraId="6B418BE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）发包人和承包人承担各自人员伤亡和财产的损失；</w:t>
      </w:r>
    </w:p>
    <w:p w14:paraId="67BE897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）因不可抗力影响承包人履行合同约定的义务，已经引起或将引起工期延误的，应当顺延工期，由此导致承包人停工的费用损失由发包人和承包人合理分担，停工期间必须支付的工人工资由发包人承担；</w:t>
      </w:r>
    </w:p>
    <w:p w14:paraId="3B27C79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）因不可抗力引起或将引起工期延误，发包人要求赶工的，由此增加的赶工费用由发包人承担；</w:t>
      </w:r>
    </w:p>
    <w:p w14:paraId="44168AF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）承包人在停工期间按照发包人要求照管、清理和修复工程的费用由发包人承担。</w:t>
      </w:r>
    </w:p>
    <w:p w14:paraId="73DA236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不可抗力发生后，合同当事人均应采取措施尽量避免和减少损失的扩大，任何一方当事人没有采取有效措施导致损失扩大的，应对扩大的损失承担责任。</w:t>
      </w:r>
    </w:p>
    <w:p w14:paraId="77084CBC">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因合同一方迟延履行合同义务，在迟延履行期间遭遇不可抗力的，不免除其违约责任。</w:t>
      </w:r>
    </w:p>
    <w:p w14:paraId="7A90A1BB">
      <w:pPr>
        <w:pStyle w:val="6"/>
        <w:tabs>
          <w:tab w:val="left" w:pos="2155"/>
        </w:tabs>
        <w:rPr>
          <w:color w:val="auto"/>
        </w:rPr>
      </w:pPr>
      <w:bookmarkStart w:id="695" w:name="_Toc351203611"/>
      <w:bookmarkStart w:id="696" w:name="_Toc337558827"/>
      <w:r>
        <w:rPr>
          <w:color w:val="auto"/>
        </w:rPr>
        <w:t xml:space="preserve">17.4 </w:t>
      </w:r>
      <w:r>
        <w:rPr>
          <w:rFonts w:hint="eastAsia"/>
          <w:color w:val="auto"/>
        </w:rPr>
        <w:t>因不可抗力解除合同</w:t>
      </w:r>
      <w:bookmarkEnd w:id="695"/>
    </w:p>
    <w:bookmarkEnd w:id="696"/>
    <w:p w14:paraId="6BABDF1F">
      <w:pPr>
        <w:spacing w:line="360" w:lineRule="auto"/>
        <w:ind w:firstLine="420" w:firstLineChars="200"/>
        <w:jc w:val="left"/>
        <w:rPr>
          <w:rFonts w:hAnsi="宋体"/>
          <w:color w:val="auto"/>
          <w:kern w:val="0"/>
          <w:szCs w:val="21"/>
        </w:rPr>
      </w:pPr>
      <w:r>
        <w:rPr>
          <w:rFonts w:hint="eastAsia" w:hAnsi="宋体"/>
          <w:color w:val="auto"/>
          <w:kern w:val="0"/>
          <w:szCs w:val="21"/>
        </w:rPr>
        <w:t>因不可抗力导致合同无法履行连续超过</w:t>
      </w:r>
      <w:r>
        <w:rPr>
          <w:rFonts w:hAnsi="宋体"/>
          <w:color w:val="auto"/>
          <w:kern w:val="0"/>
          <w:szCs w:val="21"/>
        </w:rPr>
        <w:t>84</w:t>
      </w:r>
      <w:r>
        <w:rPr>
          <w:rFonts w:hint="eastAsia" w:hAnsi="宋体"/>
          <w:color w:val="auto"/>
          <w:kern w:val="0"/>
          <w:szCs w:val="21"/>
        </w:rPr>
        <w:t>天或累计超过</w:t>
      </w:r>
      <w:r>
        <w:rPr>
          <w:rFonts w:hAnsi="宋体"/>
          <w:color w:val="auto"/>
          <w:kern w:val="0"/>
          <w:szCs w:val="21"/>
        </w:rPr>
        <w:t>140</w:t>
      </w:r>
      <w:r>
        <w:rPr>
          <w:rFonts w:hint="eastAsia" w:hAnsi="宋体"/>
          <w:color w:val="auto"/>
          <w:kern w:val="0"/>
          <w:szCs w:val="21"/>
        </w:rPr>
        <w:t>天的，发包人和承包人均有权解除合同。合同解除后，由双方当事人按照第</w:t>
      </w:r>
      <w:r>
        <w:rPr>
          <w:rFonts w:hAnsi="宋体"/>
          <w:color w:val="auto"/>
          <w:kern w:val="0"/>
          <w:szCs w:val="21"/>
        </w:rPr>
        <w:t>4.4</w:t>
      </w:r>
      <w:r>
        <w:rPr>
          <w:rFonts w:hint="eastAsia" w:hAnsi="宋体"/>
          <w:color w:val="auto"/>
          <w:kern w:val="0"/>
          <w:szCs w:val="21"/>
        </w:rPr>
        <w:t>款〔商定或确定〕商定或确定发包人应支付的款项，该款项包括：</w:t>
      </w:r>
    </w:p>
    <w:p w14:paraId="5D0D65AF">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）合同解除前承包人已完成工作的价款；</w:t>
      </w:r>
    </w:p>
    <w:p w14:paraId="5C4B8F5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）承包人为工程订购的并已交付给承包人，或承包人有责任接受交付的材料、工程设备和其他物品的价款；</w:t>
      </w:r>
    </w:p>
    <w:p w14:paraId="16A87EE8">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）发包人要求承包人退货或解除订货合同而产生的费用，或因不能退货或解除合同而产生的损失；</w:t>
      </w:r>
    </w:p>
    <w:p w14:paraId="4B3FD4DD">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）承包人撤离施工现场以及遣散承包人人员的费用；</w:t>
      </w:r>
    </w:p>
    <w:p w14:paraId="24A7F716">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5</w:t>
      </w:r>
      <w:r>
        <w:rPr>
          <w:rFonts w:hint="eastAsia" w:hAnsi="宋体"/>
          <w:color w:val="auto"/>
          <w:kern w:val="0"/>
          <w:szCs w:val="21"/>
        </w:rPr>
        <w:t>）按照合同约定在合同解除前应支付给承包人的其他款项；</w:t>
      </w:r>
    </w:p>
    <w:p w14:paraId="4195C839">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6</w:t>
      </w:r>
      <w:r>
        <w:rPr>
          <w:rFonts w:hint="eastAsia" w:hAnsi="宋体"/>
          <w:color w:val="auto"/>
          <w:kern w:val="0"/>
          <w:szCs w:val="21"/>
        </w:rPr>
        <w:t>）扣减承包人按照合同约定应向发包人支付的款项；</w:t>
      </w:r>
    </w:p>
    <w:p w14:paraId="038951CF">
      <w:pPr>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7</w:t>
      </w:r>
      <w:r>
        <w:rPr>
          <w:rFonts w:hint="eastAsia" w:hAnsi="宋体"/>
          <w:color w:val="auto"/>
          <w:kern w:val="0"/>
          <w:szCs w:val="21"/>
        </w:rPr>
        <w:t>）双方商定或确定的其他款项。</w:t>
      </w:r>
    </w:p>
    <w:p w14:paraId="421DDB0A">
      <w:pPr>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除专用合同条款另有约定外，合同解除后，发包人应在商定或确定上述款项后</w:t>
      </w:r>
      <w:r>
        <w:rPr>
          <w:rFonts w:hAnsi="宋体"/>
          <w:color w:val="auto"/>
          <w:kern w:val="0"/>
          <w:szCs w:val="21"/>
        </w:rPr>
        <w:t>28</w:t>
      </w:r>
      <w:r>
        <w:rPr>
          <w:rFonts w:hint="eastAsia" w:hAnsi="宋体"/>
          <w:color w:val="auto"/>
          <w:kern w:val="0"/>
          <w:szCs w:val="21"/>
        </w:rPr>
        <w:t>天内完成上述款项的支付。</w:t>
      </w:r>
    </w:p>
    <w:p w14:paraId="300A3FE1">
      <w:pPr>
        <w:pStyle w:val="5"/>
        <w:tabs>
          <w:tab w:val="left" w:pos="900"/>
        </w:tabs>
        <w:rPr>
          <w:color w:val="auto"/>
        </w:rPr>
      </w:pPr>
      <w:bookmarkStart w:id="697" w:name="_Toc525396187"/>
      <w:bookmarkStart w:id="698" w:name="_Toc15183"/>
      <w:bookmarkStart w:id="699" w:name="_Toc351203612"/>
      <w:bookmarkStart w:id="700" w:name="_Toc28701"/>
      <w:bookmarkStart w:id="701" w:name="_Toc2708"/>
      <w:bookmarkStart w:id="702" w:name="_Toc17976"/>
      <w:bookmarkStart w:id="703" w:name="_Toc337558828"/>
      <w:bookmarkStart w:id="704" w:name="_Toc296503120"/>
      <w:bookmarkStart w:id="705" w:name="_Toc296346621"/>
      <w:r>
        <w:rPr>
          <w:color w:val="auto"/>
        </w:rPr>
        <w:t xml:space="preserve">18. </w:t>
      </w:r>
      <w:r>
        <w:rPr>
          <w:rFonts w:hint="eastAsia" w:cs="宋体"/>
          <w:color w:val="auto"/>
        </w:rPr>
        <w:t>保险</w:t>
      </w:r>
      <w:bookmarkEnd w:id="697"/>
      <w:bookmarkEnd w:id="698"/>
      <w:bookmarkEnd w:id="699"/>
      <w:bookmarkEnd w:id="700"/>
      <w:bookmarkEnd w:id="701"/>
      <w:bookmarkEnd w:id="702"/>
    </w:p>
    <w:bookmarkEnd w:id="703"/>
    <w:bookmarkEnd w:id="704"/>
    <w:bookmarkEnd w:id="705"/>
    <w:p w14:paraId="19674B06">
      <w:pPr>
        <w:pStyle w:val="6"/>
        <w:tabs>
          <w:tab w:val="left" w:pos="2155"/>
        </w:tabs>
        <w:rPr>
          <w:color w:val="auto"/>
        </w:rPr>
      </w:pPr>
      <w:bookmarkStart w:id="706" w:name="_Toc351203613"/>
      <w:bookmarkStart w:id="707" w:name="_Toc296346622"/>
      <w:bookmarkStart w:id="708" w:name="_Toc296503121"/>
      <w:bookmarkStart w:id="709" w:name="_Toc337558829"/>
      <w:r>
        <w:rPr>
          <w:color w:val="auto"/>
        </w:rPr>
        <w:t xml:space="preserve">18.1 </w:t>
      </w:r>
      <w:r>
        <w:rPr>
          <w:rFonts w:hint="eastAsia" w:cs="宋体"/>
          <w:color w:val="auto"/>
        </w:rPr>
        <w:t>工程保险</w:t>
      </w:r>
      <w:bookmarkEnd w:id="706"/>
    </w:p>
    <w:bookmarkEnd w:id="707"/>
    <w:bookmarkEnd w:id="708"/>
    <w:bookmarkEnd w:id="709"/>
    <w:p w14:paraId="51E056F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除专用合同条款另有约定外，发包人应投保建筑工程一切险或安装工程一切险；发包人委托承包人投保的，因投保产生的保险费和其他相关费用由发包人承担。</w:t>
      </w:r>
    </w:p>
    <w:p w14:paraId="1B900ADE">
      <w:pPr>
        <w:pStyle w:val="6"/>
        <w:tabs>
          <w:tab w:val="left" w:pos="2155"/>
        </w:tabs>
        <w:rPr>
          <w:color w:val="auto"/>
        </w:rPr>
      </w:pPr>
      <w:bookmarkStart w:id="710" w:name="_Toc351203614"/>
      <w:bookmarkStart w:id="711" w:name="_Toc296503122"/>
      <w:bookmarkStart w:id="712" w:name="_Toc296346623"/>
      <w:bookmarkStart w:id="713" w:name="_Toc337558830"/>
      <w:r>
        <w:rPr>
          <w:color w:val="auto"/>
        </w:rPr>
        <w:t xml:space="preserve">18.2 </w:t>
      </w:r>
      <w:r>
        <w:rPr>
          <w:rFonts w:hint="eastAsia" w:cs="宋体"/>
          <w:color w:val="auto"/>
        </w:rPr>
        <w:t>工伤保险</w:t>
      </w:r>
      <w:bookmarkEnd w:id="710"/>
    </w:p>
    <w:bookmarkEnd w:id="711"/>
    <w:bookmarkEnd w:id="712"/>
    <w:bookmarkEnd w:id="713"/>
    <w:p w14:paraId="5D678EBD">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18.2.1 </w:t>
      </w:r>
      <w:r>
        <w:rPr>
          <w:rFonts w:hint="eastAsia" w:hAnsi="宋体"/>
          <w:color w:val="auto"/>
          <w:kern w:val="0"/>
          <w:szCs w:val="21"/>
        </w:rPr>
        <w:t>发包人应依照法律规定参加工伤保险，并为在施工现场的全部员工办理工伤保险，缴纳工伤保险费，并要求监理人及由发包人为履行合同聘请的第三方依法参加工伤保险。</w:t>
      </w:r>
    </w:p>
    <w:p w14:paraId="1B4BCF8C">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18.2.2 </w:t>
      </w:r>
      <w:r>
        <w:rPr>
          <w:rFonts w:hint="eastAsia" w:hAnsi="宋体"/>
          <w:color w:val="auto"/>
          <w:kern w:val="0"/>
          <w:szCs w:val="21"/>
        </w:rPr>
        <w:t>承包人应依照法律规定参加工伤保险，并为其履行合同的全部员工办理工伤保险，缴纳工伤保险费，并要求分包人及由承包人为履行合同聘请的第三方依法参加工伤保险。</w:t>
      </w:r>
    </w:p>
    <w:p w14:paraId="2A15E6F4">
      <w:pPr>
        <w:pStyle w:val="6"/>
        <w:tabs>
          <w:tab w:val="left" w:pos="2155"/>
        </w:tabs>
        <w:rPr>
          <w:color w:val="auto"/>
        </w:rPr>
      </w:pPr>
      <w:bookmarkStart w:id="714" w:name="_Toc351203615"/>
      <w:bookmarkStart w:id="715" w:name="_Toc296346626"/>
      <w:bookmarkStart w:id="716" w:name="_Toc337558831"/>
      <w:bookmarkStart w:id="717" w:name="_Toc296503125"/>
      <w:r>
        <w:rPr>
          <w:color w:val="auto"/>
        </w:rPr>
        <w:t>18.3</w:t>
      </w:r>
      <w:r>
        <w:rPr>
          <w:rFonts w:hint="eastAsia" w:cs="宋体"/>
          <w:color w:val="auto"/>
        </w:rPr>
        <w:t>其他保险</w:t>
      </w:r>
      <w:bookmarkEnd w:id="714"/>
    </w:p>
    <w:bookmarkEnd w:id="715"/>
    <w:bookmarkEnd w:id="716"/>
    <w:bookmarkEnd w:id="717"/>
    <w:p w14:paraId="79C43A50">
      <w:pPr>
        <w:spacing w:line="360" w:lineRule="auto"/>
        <w:ind w:firstLine="420" w:firstLineChars="200"/>
        <w:jc w:val="left"/>
        <w:rPr>
          <w:rFonts w:hAnsi="宋体"/>
          <w:color w:val="auto"/>
          <w:szCs w:val="21"/>
        </w:rPr>
      </w:pPr>
      <w:r>
        <w:rPr>
          <w:rFonts w:hint="eastAsia" w:hAnsi="宋体"/>
          <w:color w:val="auto"/>
          <w:szCs w:val="21"/>
        </w:rPr>
        <w:t>发包人和承包人可以为其施工现场的全部人员办理意外伤害保险并支付保险费，包括其员工及为履行合同聘请的第三方的人员，具体事项由合同当事人在专用合同条款约定。</w:t>
      </w:r>
    </w:p>
    <w:p w14:paraId="28311C85">
      <w:pPr>
        <w:spacing w:line="360" w:lineRule="auto"/>
        <w:ind w:firstLine="420" w:firstLineChars="200"/>
        <w:jc w:val="left"/>
        <w:rPr>
          <w:rFonts w:hAnsi="宋体"/>
          <w:color w:val="auto"/>
          <w:szCs w:val="21"/>
        </w:rPr>
      </w:pPr>
      <w:r>
        <w:rPr>
          <w:rFonts w:hint="eastAsia" w:hAnsi="宋体"/>
          <w:color w:val="auto"/>
          <w:szCs w:val="21"/>
        </w:rPr>
        <w:t>除专用合同条款另有约定外，承包人应为其施工设备等办理财产保险。</w:t>
      </w:r>
    </w:p>
    <w:p w14:paraId="09654D16">
      <w:pPr>
        <w:pStyle w:val="6"/>
        <w:tabs>
          <w:tab w:val="left" w:pos="2155"/>
        </w:tabs>
        <w:rPr>
          <w:color w:val="auto"/>
        </w:rPr>
      </w:pPr>
      <w:bookmarkStart w:id="718" w:name="_Toc351203616"/>
      <w:r>
        <w:rPr>
          <w:color w:val="auto"/>
        </w:rPr>
        <w:t>18.4</w:t>
      </w:r>
      <w:r>
        <w:rPr>
          <w:rFonts w:hint="eastAsia" w:cs="宋体"/>
          <w:color w:val="auto"/>
        </w:rPr>
        <w:t>持续保险</w:t>
      </w:r>
      <w:bookmarkEnd w:id="718"/>
    </w:p>
    <w:p w14:paraId="4AD11B4C">
      <w:pPr>
        <w:spacing w:line="360" w:lineRule="auto"/>
        <w:ind w:firstLine="420" w:firstLineChars="200"/>
        <w:jc w:val="left"/>
        <w:rPr>
          <w:rFonts w:hAnsi="宋体"/>
          <w:color w:val="auto"/>
          <w:szCs w:val="21"/>
        </w:rPr>
      </w:pPr>
      <w:r>
        <w:rPr>
          <w:rFonts w:hint="eastAsia" w:hAnsi="宋体"/>
          <w:color w:val="auto"/>
          <w:szCs w:val="21"/>
        </w:rPr>
        <w:t>合同当事人应与保险人保持联系，使保险人能够随时了解工程实施中的变动，并确保按保险合同条款要求持续保险。</w:t>
      </w:r>
    </w:p>
    <w:p w14:paraId="7EDAB8F9">
      <w:pPr>
        <w:pStyle w:val="6"/>
        <w:tabs>
          <w:tab w:val="left" w:pos="2155"/>
        </w:tabs>
        <w:rPr>
          <w:color w:val="auto"/>
        </w:rPr>
      </w:pPr>
      <w:bookmarkStart w:id="719" w:name="_Toc351203617"/>
      <w:bookmarkStart w:id="720" w:name="_Toc337558832"/>
      <w:bookmarkStart w:id="721" w:name="_Toc296346627"/>
      <w:bookmarkStart w:id="722" w:name="_Toc296503126"/>
      <w:r>
        <w:rPr>
          <w:color w:val="auto"/>
        </w:rPr>
        <w:t xml:space="preserve">18.5 </w:t>
      </w:r>
      <w:r>
        <w:rPr>
          <w:rFonts w:hint="eastAsia" w:cs="宋体"/>
          <w:color w:val="auto"/>
        </w:rPr>
        <w:t>保险凭证</w:t>
      </w:r>
      <w:bookmarkEnd w:id="719"/>
    </w:p>
    <w:bookmarkEnd w:id="720"/>
    <w:bookmarkEnd w:id="721"/>
    <w:bookmarkEnd w:id="722"/>
    <w:p w14:paraId="2E5641E3">
      <w:pPr>
        <w:spacing w:line="360" w:lineRule="auto"/>
        <w:ind w:firstLine="420" w:firstLineChars="200"/>
        <w:jc w:val="left"/>
        <w:rPr>
          <w:rFonts w:hAnsi="宋体"/>
          <w:color w:val="auto"/>
          <w:szCs w:val="21"/>
        </w:rPr>
      </w:pPr>
      <w:r>
        <w:rPr>
          <w:rFonts w:hint="eastAsia" w:hAnsi="宋体"/>
          <w:color w:val="auto"/>
          <w:szCs w:val="21"/>
        </w:rPr>
        <w:t>合同当事人应及时向另一方当事人提交其已投保的各项保险的凭证和保险单复印件。</w:t>
      </w:r>
    </w:p>
    <w:p w14:paraId="265A9E02">
      <w:pPr>
        <w:pStyle w:val="6"/>
        <w:tabs>
          <w:tab w:val="left" w:pos="2155"/>
        </w:tabs>
        <w:rPr>
          <w:color w:val="auto"/>
        </w:rPr>
      </w:pPr>
      <w:bookmarkStart w:id="723" w:name="_Toc351203618"/>
      <w:bookmarkStart w:id="724" w:name="_Toc337558833"/>
      <w:bookmarkStart w:id="725" w:name="_Toc296346628"/>
      <w:bookmarkStart w:id="726" w:name="_Toc296503127"/>
      <w:r>
        <w:rPr>
          <w:color w:val="auto"/>
        </w:rPr>
        <w:t xml:space="preserve">18.6 </w:t>
      </w:r>
      <w:r>
        <w:rPr>
          <w:rFonts w:hint="eastAsia"/>
          <w:color w:val="auto"/>
        </w:rPr>
        <w:t>未按约定投保的补救</w:t>
      </w:r>
      <w:bookmarkEnd w:id="723"/>
    </w:p>
    <w:bookmarkEnd w:id="724"/>
    <w:bookmarkEnd w:id="725"/>
    <w:bookmarkEnd w:id="726"/>
    <w:p w14:paraId="410FD8E7">
      <w:pPr>
        <w:spacing w:line="360" w:lineRule="auto"/>
        <w:ind w:firstLine="420" w:firstLineChars="200"/>
        <w:jc w:val="left"/>
        <w:rPr>
          <w:rFonts w:hAnsi="宋体"/>
          <w:color w:val="auto"/>
          <w:szCs w:val="21"/>
        </w:rPr>
      </w:pPr>
      <w:r>
        <w:rPr>
          <w:rFonts w:hAnsi="宋体"/>
          <w:color w:val="auto"/>
          <w:szCs w:val="21"/>
        </w:rPr>
        <w:t>18.6.1</w:t>
      </w:r>
      <w:r>
        <w:rPr>
          <w:rFonts w:hint="eastAsia" w:hAnsi="宋体"/>
          <w:color w:val="auto"/>
          <w:szCs w:val="21"/>
        </w:rPr>
        <w:t>发包人未按合同约定办理保险，或未能使保险持续有效的，则承包人可代为办理，所需费用由发包人承担。发包人未按合同约定办理保险，导致未能得到足额赔偿的，由发包人负责补足。</w:t>
      </w:r>
    </w:p>
    <w:p w14:paraId="270B28B0">
      <w:pPr>
        <w:spacing w:line="360" w:lineRule="auto"/>
        <w:ind w:firstLine="420" w:firstLineChars="200"/>
        <w:jc w:val="left"/>
        <w:rPr>
          <w:rFonts w:hAnsi="宋体"/>
          <w:color w:val="auto"/>
          <w:szCs w:val="21"/>
        </w:rPr>
      </w:pPr>
      <w:r>
        <w:rPr>
          <w:rFonts w:hAnsi="宋体"/>
          <w:color w:val="auto"/>
          <w:szCs w:val="21"/>
        </w:rPr>
        <w:t>18.6.2</w:t>
      </w:r>
      <w:r>
        <w:rPr>
          <w:rFonts w:hint="eastAsia" w:hAnsi="宋体"/>
          <w:color w:val="auto"/>
          <w:szCs w:val="21"/>
        </w:rPr>
        <w:t>承包人未按合同约定办理保险，或未能使保险持续有效的，则发包人可代为办理，所需费用由承包人承担。承包人未按合同约定办理保险，导致未能得到足额赔偿的，由承包人负责补足。</w:t>
      </w:r>
    </w:p>
    <w:p w14:paraId="3F020854">
      <w:pPr>
        <w:pStyle w:val="6"/>
        <w:tabs>
          <w:tab w:val="left" w:pos="2155"/>
        </w:tabs>
        <w:rPr>
          <w:color w:val="auto"/>
        </w:rPr>
      </w:pPr>
      <w:bookmarkStart w:id="727" w:name="_Toc351203619"/>
      <w:bookmarkStart w:id="728" w:name="_Toc337558834"/>
      <w:r>
        <w:rPr>
          <w:color w:val="auto"/>
        </w:rPr>
        <w:t xml:space="preserve">18.7 </w:t>
      </w:r>
      <w:r>
        <w:rPr>
          <w:rFonts w:hint="eastAsia" w:cs="宋体"/>
          <w:color w:val="auto"/>
        </w:rPr>
        <w:t>通知义务</w:t>
      </w:r>
      <w:bookmarkEnd w:id="727"/>
    </w:p>
    <w:bookmarkEnd w:id="728"/>
    <w:p w14:paraId="67AB8898">
      <w:pPr>
        <w:spacing w:line="360" w:lineRule="auto"/>
        <w:ind w:firstLine="420" w:firstLineChars="200"/>
        <w:jc w:val="left"/>
        <w:rPr>
          <w:rFonts w:hAnsi="宋体"/>
          <w:color w:val="auto"/>
          <w:szCs w:val="21"/>
        </w:rPr>
      </w:pPr>
      <w:r>
        <w:rPr>
          <w:rFonts w:hint="eastAsia" w:hAnsi="宋体"/>
          <w:color w:val="auto"/>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35E282CA">
      <w:pPr>
        <w:spacing w:line="360" w:lineRule="auto"/>
        <w:ind w:firstLine="420" w:firstLineChars="200"/>
        <w:jc w:val="left"/>
        <w:rPr>
          <w:rFonts w:hAnsi="宋体"/>
          <w:color w:val="auto"/>
          <w:szCs w:val="21"/>
        </w:rPr>
      </w:pPr>
      <w:r>
        <w:rPr>
          <w:rFonts w:hint="eastAsia" w:hAnsi="宋体"/>
          <w:color w:val="auto"/>
          <w:szCs w:val="21"/>
        </w:rPr>
        <w:t>保险事故发生时，投保人应按照保险合同规定的条件和期限及时向保险人报告。发包人和承包人应当在知道保险事故发生后及时通知对方。</w:t>
      </w:r>
    </w:p>
    <w:p w14:paraId="57907092">
      <w:pPr>
        <w:pStyle w:val="5"/>
        <w:tabs>
          <w:tab w:val="left" w:pos="900"/>
        </w:tabs>
        <w:rPr>
          <w:color w:val="auto"/>
        </w:rPr>
      </w:pPr>
      <w:bookmarkStart w:id="729" w:name="_Toc351203620"/>
      <w:bookmarkStart w:id="730" w:name="_Toc23236"/>
      <w:bookmarkStart w:id="731" w:name="_Toc6205"/>
      <w:bookmarkStart w:id="732" w:name="_Toc16788"/>
      <w:bookmarkStart w:id="733" w:name="_Toc525396188"/>
      <w:bookmarkStart w:id="734" w:name="_Toc12480"/>
      <w:bookmarkStart w:id="735" w:name="_Toc337558835"/>
      <w:bookmarkStart w:id="736" w:name="_Toc296503140"/>
      <w:bookmarkStart w:id="737" w:name="_Toc296346641"/>
      <w:r>
        <w:rPr>
          <w:color w:val="auto"/>
        </w:rPr>
        <w:t xml:space="preserve">19. </w:t>
      </w:r>
      <w:r>
        <w:rPr>
          <w:rFonts w:hint="eastAsia" w:cs="宋体"/>
          <w:color w:val="auto"/>
        </w:rPr>
        <w:t>索赔</w:t>
      </w:r>
      <w:bookmarkEnd w:id="729"/>
      <w:bookmarkEnd w:id="730"/>
      <w:bookmarkEnd w:id="731"/>
      <w:bookmarkEnd w:id="732"/>
      <w:bookmarkEnd w:id="733"/>
      <w:bookmarkEnd w:id="734"/>
    </w:p>
    <w:bookmarkEnd w:id="735"/>
    <w:bookmarkEnd w:id="736"/>
    <w:bookmarkEnd w:id="737"/>
    <w:p w14:paraId="68298765">
      <w:pPr>
        <w:pStyle w:val="6"/>
        <w:tabs>
          <w:tab w:val="left" w:pos="2155"/>
        </w:tabs>
        <w:rPr>
          <w:color w:val="auto"/>
        </w:rPr>
      </w:pPr>
      <w:bookmarkStart w:id="738" w:name="_Toc351203621"/>
      <w:bookmarkStart w:id="739" w:name="_Toc296346642"/>
      <w:bookmarkStart w:id="740" w:name="_Toc296503141"/>
      <w:bookmarkStart w:id="741" w:name="_Toc337558836"/>
      <w:r>
        <w:rPr>
          <w:color w:val="auto"/>
        </w:rPr>
        <w:t>19.1</w:t>
      </w:r>
      <w:r>
        <w:rPr>
          <w:rFonts w:hint="eastAsia"/>
          <w:color w:val="auto"/>
        </w:rPr>
        <w:t>承包人的索赔</w:t>
      </w:r>
      <w:bookmarkEnd w:id="738"/>
    </w:p>
    <w:bookmarkEnd w:id="739"/>
    <w:bookmarkEnd w:id="740"/>
    <w:bookmarkEnd w:id="741"/>
    <w:p w14:paraId="3E8D93E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根据合同约定，承包人认为有权得到追加付款和（或）延长工期的，应按以下程序向发包人提出索赔：</w:t>
      </w:r>
    </w:p>
    <w:p w14:paraId="1EAD6FC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）承包人应在知道或应当知道索赔事件发生后</w:t>
      </w:r>
      <w:r>
        <w:rPr>
          <w:rFonts w:hAnsi="宋体"/>
          <w:color w:val="auto"/>
          <w:kern w:val="0"/>
          <w:szCs w:val="21"/>
        </w:rPr>
        <w:t>28</w:t>
      </w:r>
      <w:r>
        <w:rPr>
          <w:rFonts w:hint="eastAsia" w:hAnsi="宋体"/>
          <w:color w:val="auto"/>
          <w:kern w:val="0"/>
          <w:szCs w:val="21"/>
        </w:rPr>
        <w:t>天内，向监理人递交索赔意向通知书，并说明发生索赔事件的事由；承包人未在前述</w:t>
      </w:r>
      <w:r>
        <w:rPr>
          <w:rFonts w:hAnsi="宋体"/>
          <w:color w:val="auto"/>
          <w:kern w:val="0"/>
          <w:szCs w:val="21"/>
        </w:rPr>
        <w:t>28</w:t>
      </w:r>
      <w:r>
        <w:rPr>
          <w:rFonts w:hint="eastAsia" w:hAnsi="宋体"/>
          <w:color w:val="auto"/>
          <w:kern w:val="0"/>
          <w:szCs w:val="21"/>
        </w:rPr>
        <w:t>天内发出索赔意向通知书的，丧失要求追加付款和（或）延长工期的权利；</w:t>
      </w:r>
    </w:p>
    <w:p w14:paraId="48BAFF7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）承包人应在发出索赔意向通知书后</w:t>
      </w:r>
      <w:r>
        <w:rPr>
          <w:rFonts w:hAnsi="宋体"/>
          <w:color w:val="auto"/>
          <w:kern w:val="0"/>
          <w:szCs w:val="21"/>
        </w:rPr>
        <w:t>28</w:t>
      </w:r>
      <w:r>
        <w:rPr>
          <w:rFonts w:hint="eastAsia" w:hAnsi="宋体"/>
          <w:color w:val="auto"/>
          <w:kern w:val="0"/>
          <w:szCs w:val="21"/>
        </w:rPr>
        <w:t>天内，向监理人正式递交索赔报告；索赔报告应详细说明索赔理由以及要求追加的付款金额和（或）延长的工期，并附必要的记录和证明材料；</w:t>
      </w:r>
    </w:p>
    <w:p w14:paraId="178AD7E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）索赔事件具有持续影响的，承包人应按合理时间间隔继续递交延续索赔通知，说明持续影响的实际情况和记录，列出累计的追加付款金额和（或）工期延长天数；</w:t>
      </w:r>
    </w:p>
    <w:p w14:paraId="6620EDB7">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4</w:t>
      </w:r>
      <w:r>
        <w:rPr>
          <w:rFonts w:hint="eastAsia" w:hAnsi="宋体"/>
          <w:color w:val="auto"/>
          <w:kern w:val="0"/>
          <w:szCs w:val="21"/>
        </w:rPr>
        <w:t>）在索赔事件影响结束后</w:t>
      </w:r>
      <w:r>
        <w:rPr>
          <w:rFonts w:hAnsi="宋体"/>
          <w:color w:val="auto"/>
          <w:kern w:val="0"/>
          <w:szCs w:val="21"/>
        </w:rPr>
        <w:t>28</w:t>
      </w:r>
      <w:r>
        <w:rPr>
          <w:rFonts w:hint="eastAsia" w:hAnsi="宋体"/>
          <w:color w:val="auto"/>
          <w:kern w:val="0"/>
          <w:szCs w:val="21"/>
        </w:rPr>
        <w:t>天内，承包人应向监理人递交最终索赔报告，说明最终要求索赔的追加付款金额和（或）延长的工期，并附必要的记录和证明材料。</w:t>
      </w:r>
    </w:p>
    <w:p w14:paraId="4F201700">
      <w:pPr>
        <w:pStyle w:val="6"/>
        <w:tabs>
          <w:tab w:val="left" w:pos="2155"/>
        </w:tabs>
        <w:rPr>
          <w:color w:val="auto"/>
        </w:rPr>
      </w:pPr>
      <w:bookmarkStart w:id="742" w:name="_Toc351203622"/>
      <w:bookmarkStart w:id="743" w:name="_Toc296346643"/>
      <w:bookmarkStart w:id="744" w:name="_Toc337558837"/>
      <w:bookmarkStart w:id="745" w:name="_Toc296503142"/>
      <w:r>
        <w:rPr>
          <w:color w:val="auto"/>
        </w:rPr>
        <w:t xml:space="preserve">19.2 </w:t>
      </w:r>
      <w:r>
        <w:rPr>
          <w:rFonts w:hint="eastAsia"/>
          <w:color w:val="auto"/>
        </w:rPr>
        <w:t>对承包人索赔的处理</w:t>
      </w:r>
      <w:bookmarkEnd w:id="742"/>
    </w:p>
    <w:bookmarkEnd w:id="743"/>
    <w:bookmarkEnd w:id="744"/>
    <w:bookmarkEnd w:id="745"/>
    <w:p w14:paraId="454E4FA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对承包人索赔的处理如下：</w:t>
      </w:r>
    </w:p>
    <w:p w14:paraId="18968C9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）监理人应在收到索赔报告后</w:t>
      </w:r>
      <w:r>
        <w:rPr>
          <w:rFonts w:hAnsi="宋体"/>
          <w:color w:val="auto"/>
          <w:kern w:val="0"/>
          <w:szCs w:val="21"/>
        </w:rPr>
        <w:t>14</w:t>
      </w:r>
      <w:r>
        <w:rPr>
          <w:rFonts w:hint="eastAsia" w:hAnsi="宋体"/>
          <w:color w:val="auto"/>
          <w:kern w:val="0"/>
          <w:szCs w:val="21"/>
        </w:rPr>
        <w:t>天内完成审查并报送发包人。监理人对索赔报告存在异议的，有权要求承包人提交全部原始记录副本；</w:t>
      </w:r>
    </w:p>
    <w:p w14:paraId="3F0A569F">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）发包人应在监理人收到索赔报告或有关索赔的进一步证明材料后的</w:t>
      </w:r>
      <w:r>
        <w:rPr>
          <w:rFonts w:hAnsi="宋体"/>
          <w:color w:val="auto"/>
          <w:kern w:val="0"/>
          <w:szCs w:val="21"/>
        </w:rPr>
        <w:t>28</w:t>
      </w:r>
      <w:r>
        <w:rPr>
          <w:rFonts w:hint="eastAsia" w:hAnsi="宋体"/>
          <w:color w:val="auto"/>
          <w:kern w:val="0"/>
          <w:szCs w:val="21"/>
        </w:rPr>
        <w:t>天内，由监理人向承包人出具经发包人签认的索赔处理结果。发包人逾期答复的，则视为认可承包人的索赔要求；</w:t>
      </w:r>
    </w:p>
    <w:p w14:paraId="0266D1B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）承包人接受索赔处理结果的，索赔款项在当期进度款中进行支付；承包人不接受索赔处理结果的，按照第</w:t>
      </w:r>
      <w:r>
        <w:rPr>
          <w:rFonts w:hAnsi="宋体"/>
          <w:color w:val="auto"/>
          <w:kern w:val="0"/>
          <w:szCs w:val="21"/>
        </w:rPr>
        <w:t>20</w:t>
      </w:r>
      <w:r>
        <w:rPr>
          <w:rFonts w:hint="eastAsia" w:hAnsi="宋体"/>
          <w:color w:val="auto"/>
          <w:kern w:val="0"/>
          <w:szCs w:val="21"/>
        </w:rPr>
        <w:t>条〔争议解决〕约定处理。</w:t>
      </w:r>
    </w:p>
    <w:p w14:paraId="71B67FE3">
      <w:pPr>
        <w:pStyle w:val="6"/>
        <w:tabs>
          <w:tab w:val="left" w:pos="2155"/>
        </w:tabs>
        <w:rPr>
          <w:color w:val="auto"/>
        </w:rPr>
      </w:pPr>
      <w:bookmarkStart w:id="746" w:name="_Toc351203623"/>
      <w:bookmarkStart w:id="747" w:name="_Toc296346644"/>
      <w:bookmarkStart w:id="748" w:name="_Toc337558838"/>
      <w:bookmarkStart w:id="749" w:name="_Toc296503143"/>
      <w:r>
        <w:rPr>
          <w:color w:val="auto"/>
        </w:rPr>
        <w:t>19.3</w:t>
      </w:r>
      <w:r>
        <w:rPr>
          <w:rFonts w:hint="eastAsia"/>
          <w:color w:val="auto"/>
        </w:rPr>
        <w:t>发包人的索赔</w:t>
      </w:r>
      <w:bookmarkEnd w:id="746"/>
    </w:p>
    <w:bookmarkEnd w:id="747"/>
    <w:bookmarkEnd w:id="748"/>
    <w:bookmarkEnd w:id="749"/>
    <w:p w14:paraId="386954B3">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根据合同约定，发包人认为有权得到赔付金额和（或）延长缺陷责任期的，监理人应向承包人发出通知并附有详细的证明。</w:t>
      </w:r>
    </w:p>
    <w:p w14:paraId="0D3F3F8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发包人应在知道或应当知道索赔事件发生后</w:t>
      </w:r>
      <w:r>
        <w:rPr>
          <w:rFonts w:hAnsi="宋体"/>
          <w:color w:val="auto"/>
          <w:kern w:val="0"/>
          <w:szCs w:val="21"/>
        </w:rPr>
        <w:t>28</w:t>
      </w:r>
      <w:r>
        <w:rPr>
          <w:rFonts w:hint="eastAsia" w:hAnsi="宋体"/>
          <w:color w:val="auto"/>
          <w:kern w:val="0"/>
          <w:szCs w:val="21"/>
        </w:rPr>
        <w:t>天内通过监理人向承包人提出索赔意向通知书，发包人未在前述</w:t>
      </w:r>
      <w:r>
        <w:rPr>
          <w:rFonts w:hAnsi="宋体"/>
          <w:color w:val="auto"/>
          <w:kern w:val="0"/>
          <w:szCs w:val="21"/>
        </w:rPr>
        <w:t>28</w:t>
      </w:r>
      <w:r>
        <w:rPr>
          <w:rFonts w:hint="eastAsia" w:hAnsi="宋体"/>
          <w:color w:val="auto"/>
          <w:kern w:val="0"/>
          <w:szCs w:val="21"/>
        </w:rPr>
        <w:t>天内发出索赔意向通知书的，丧失要求赔付金额和（或）延长缺陷责任期的权利。发包人应在发出索赔意向通知书后</w:t>
      </w:r>
      <w:r>
        <w:rPr>
          <w:rFonts w:hAnsi="宋体"/>
          <w:color w:val="auto"/>
          <w:kern w:val="0"/>
          <w:szCs w:val="21"/>
        </w:rPr>
        <w:t>28</w:t>
      </w:r>
      <w:r>
        <w:rPr>
          <w:rFonts w:hint="eastAsia" w:hAnsi="宋体"/>
          <w:color w:val="auto"/>
          <w:kern w:val="0"/>
          <w:szCs w:val="21"/>
        </w:rPr>
        <w:t>天内，通过监理人向承包人正式递交索赔报告。</w:t>
      </w:r>
    </w:p>
    <w:p w14:paraId="592EB2F6">
      <w:pPr>
        <w:pStyle w:val="6"/>
        <w:tabs>
          <w:tab w:val="left" w:pos="2155"/>
        </w:tabs>
        <w:rPr>
          <w:color w:val="auto"/>
        </w:rPr>
      </w:pPr>
      <w:bookmarkStart w:id="750" w:name="_Toc351203624"/>
      <w:bookmarkStart w:id="751" w:name="_Toc296346645"/>
      <w:bookmarkStart w:id="752" w:name="_Toc296503144"/>
      <w:bookmarkStart w:id="753" w:name="_Toc337558839"/>
      <w:r>
        <w:rPr>
          <w:color w:val="auto"/>
        </w:rPr>
        <w:t xml:space="preserve">19.4 </w:t>
      </w:r>
      <w:r>
        <w:rPr>
          <w:rFonts w:hint="eastAsia"/>
          <w:color w:val="auto"/>
        </w:rPr>
        <w:t>对发包人索赔的处理</w:t>
      </w:r>
      <w:bookmarkEnd w:id="750"/>
    </w:p>
    <w:bookmarkEnd w:id="751"/>
    <w:bookmarkEnd w:id="752"/>
    <w:bookmarkEnd w:id="753"/>
    <w:p w14:paraId="589EAEA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对发包人索赔的处理如下：</w:t>
      </w:r>
    </w:p>
    <w:p w14:paraId="6EE2AAC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）承包人收到发包人提交的索赔报告后，应及时审查索赔报告的内容、查验发包人证明材料；</w:t>
      </w:r>
    </w:p>
    <w:p w14:paraId="6CD5468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）承包人应在收到索赔报告或有关索赔的进一步证明材料后</w:t>
      </w:r>
      <w:r>
        <w:rPr>
          <w:rFonts w:hAnsi="宋体"/>
          <w:color w:val="auto"/>
          <w:kern w:val="0"/>
          <w:szCs w:val="21"/>
        </w:rPr>
        <w:t>28</w:t>
      </w:r>
      <w:r>
        <w:rPr>
          <w:rFonts w:hint="eastAsia" w:hAnsi="宋体"/>
          <w:color w:val="auto"/>
          <w:kern w:val="0"/>
          <w:szCs w:val="21"/>
        </w:rPr>
        <w:t>天内，将索赔处理结果答复发包人。如果承包人未在上述期限内作出答复的，则视为对发包人索赔要求的认可；</w:t>
      </w:r>
    </w:p>
    <w:p w14:paraId="01A73D6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3</w:t>
      </w:r>
      <w:r>
        <w:rPr>
          <w:rFonts w:hint="eastAsia" w:hAnsi="宋体"/>
          <w:color w:val="auto"/>
          <w:kern w:val="0"/>
          <w:szCs w:val="21"/>
        </w:rPr>
        <w:t>）承包人接受索赔处理结果的，发包人可从应支付给承包人的合同价款中扣除赔付的金额或延长缺陷责任期；发包人不接受索赔处理结果的，按第</w:t>
      </w:r>
      <w:r>
        <w:rPr>
          <w:rFonts w:hAnsi="宋体"/>
          <w:color w:val="auto"/>
          <w:kern w:val="0"/>
          <w:szCs w:val="21"/>
        </w:rPr>
        <w:t>20</w:t>
      </w:r>
      <w:r>
        <w:rPr>
          <w:rFonts w:hint="eastAsia" w:hAnsi="宋体"/>
          <w:color w:val="auto"/>
          <w:kern w:val="0"/>
          <w:szCs w:val="21"/>
        </w:rPr>
        <w:t>条〔争议解决〕约定处理。</w:t>
      </w:r>
    </w:p>
    <w:p w14:paraId="0011874D">
      <w:pPr>
        <w:pStyle w:val="6"/>
        <w:tabs>
          <w:tab w:val="left" w:pos="2155"/>
        </w:tabs>
        <w:rPr>
          <w:color w:val="auto"/>
        </w:rPr>
      </w:pPr>
      <w:bookmarkStart w:id="754" w:name="_Toc351203625"/>
      <w:r>
        <w:rPr>
          <w:color w:val="auto"/>
        </w:rPr>
        <w:t xml:space="preserve">19.5 </w:t>
      </w:r>
      <w:r>
        <w:rPr>
          <w:rFonts w:hint="eastAsia"/>
          <w:color w:val="auto"/>
        </w:rPr>
        <w:t>提出索赔的期限</w:t>
      </w:r>
      <w:bookmarkEnd w:id="754"/>
    </w:p>
    <w:p w14:paraId="57B40991">
      <w:pPr>
        <w:spacing w:line="360" w:lineRule="auto"/>
        <w:ind w:firstLine="420" w:firstLineChars="200"/>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）承包人按第</w:t>
      </w:r>
      <w:r>
        <w:rPr>
          <w:rFonts w:hAnsi="宋体"/>
          <w:color w:val="auto"/>
          <w:kern w:val="0"/>
          <w:szCs w:val="21"/>
        </w:rPr>
        <w:t>14.2</w:t>
      </w:r>
      <w:r>
        <w:rPr>
          <w:rFonts w:hint="eastAsia" w:hAnsi="宋体"/>
          <w:color w:val="auto"/>
          <w:kern w:val="0"/>
          <w:szCs w:val="21"/>
        </w:rPr>
        <w:t>款〔竣工结算审核〕约定接收竣工付款证书后，应被视为已无权再提出在工程接收证书颁发前所发生的任何索赔。</w:t>
      </w:r>
    </w:p>
    <w:p w14:paraId="68BE8B0E">
      <w:pPr>
        <w:spacing w:line="360" w:lineRule="auto"/>
        <w:ind w:firstLine="420" w:firstLineChars="200"/>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）承包人按第</w:t>
      </w:r>
      <w:r>
        <w:rPr>
          <w:rFonts w:hAnsi="宋体"/>
          <w:color w:val="auto"/>
          <w:kern w:val="0"/>
          <w:szCs w:val="21"/>
        </w:rPr>
        <w:t>14.4</w:t>
      </w:r>
      <w:r>
        <w:rPr>
          <w:rFonts w:hint="eastAsia" w:hAnsi="宋体"/>
          <w:color w:val="auto"/>
          <w:kern w:val="0"/>
          <w:szCs w:val="21"/>
        </w:rPr>
        <w:t>款〔最终结清〕提交的最终结清申请单中，只限于提出工程接收证书颁发后发生的索赔。提出索赔的期限自接受最终结清证书时终止。</w:t>
      </w:r>
    </w:p>
    <w:p w14:paraId="49376105">
      <w:pPr>
        <w:pStyle w:val="5"/>
        <w:tabs>
          <w:tab w:val="left" w:pos="900"/>
        </w:tabs>
        <w:rPr>
          <w:color w:val="auto"/>
        </w:rPr>
      </w:pPr>
      <w:bookmarkStart w:id="755" w:name="_Toc351203626"/>
      <w:bookmarkStart w:id="756" w:name="_Toc29462"/>
      <w:bookmarkStart w:id="757" w:name="_Toc32129"/>
      <w:bookmarkStart w:id="758" w:name="_Toc22853"/>
      <w:bookmarkStart w:id="759" w:name="_Toc11917"/>
      <w:bookmarkStart w:id="760" w:name="_Toc525396189"/>
      <w:r>
        <w:rPr>
          <w:color w:val="auto"/>
        </w:rPr>
        <w:t>20</w:t>
      </w:r>
      <w:bookmarkStart w:id="761" w:name="_Toc296346647"/>
      <w:bookmarkStart w:id="762" w:name="_Toc296503146"/>
      <w:bookmarkStart w:id="763" w:name="_Toc337558840"/>
      <w:r>
        <w:rPr>
          <w:color w:val="auto"/>
        </w:rPr>
        <w:t xml:space="preserve">. </w:t>
      </w:r>
      <w:r>
        <w:rPr>
          <w:rFonts w:hint="eastAsia" w:cs="宋体"/>
          <w:color w:val="auto"/>
        </w:rPr>
        <w:t>争议解决</w:t>
      </w:r>
      <w:bookmarkEnd w:id="755"/>
      <w:bookmarkEnd w:id="756"/>
      <w:bookmarkEnd w:id="757"/>
      <w:bookmarkEnd w:id="758"/>
      <w:bookmarkEnd w:id="759"/>
      <w:bookmarkEnd w:id="760"/>
    </w:p>
    <w:bookmarkEnd w:id="761"/>
    <w:bookmarkEnd w:id="762"/>
    <w:bookmarkEnd w:id="763"/>
    <w:p w14:paraId="2E566DC2">
      <w:pPr>
        <w:pStyle w:val="6"/>
        <w:tabs>
          <w:tab w:val="left" w:pos="2155"/>
        </w:tabs>
        <w:rPr>
          <w:color w:val="auto"/>
        </w:rPr>
      </w:pPr>
      <w:bookmarkStart w:id="764" w:name="_Toc351203627"/>
      <w:bookmarkStart w:id="765" w:name="_Toc296346648"/>
      <w:bookmarkStart w:id="766" w:name="_Toc337558841"/>
      <w:bookmarkStart w:id="767" w:name="_Toc296503147"/>
      <w:r>
        <w:rPr>
          <w:color w:val="auto"/>
        </w:rPr>
        <w:t>20.1</w:t>
      </w:r>
      <w:r>
        <w:rPr>
          <w:rFonts w:hint="eastAsia" w:cs="宋体"/>
          <w:color w:val="auto"/>
        </w:rPr>
        <w:t>和解</w:t>
      </w:r>
      <w:bookmarkEnd w:id="764"/>
    </w:p>
    <w:bookmarkEnd w:id="765"/>
    <w:bookmarkEnd w:id="766"/>
    <w:bookmarkEnd w:id="767"/>
    <w:p w14:paraId="62488B9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合同当事人可以就争议自行和解，自行和解达成协议的经双方签字并盖章后作为合同补充文件，双方均应遵照执行。</w:t>
      </w:r>
    </w:p>
    <w:p w14:paraId="42A0319F">
      <w:pPr>
        <w:pStyle w:val="6"/>
        <w:tabs>
          <w:tab w:val="left" w:pos="2155"/>
        </w:tabs>
        <w:rPr>
          <w:color w:val="auto"/>
        </w:rPr>
      </w:pPr>
      <w:bookmarkStart w:id="768" w:name="_Toc351203628"/>
      <w:r>
        <w:rPr>
          <w:color w:val="auto"/>
        </w:rPr>
        <w:t>20</w:t>
      </w:r>
      <w:bookmarkStart w:id="769" w:name="_Toc296503148"/>
      <w:bookmarkStart w:id="770" w:name="_Toc296346649"/>
      <w:bookmarkStart w:id="771" w:name="_Toc337558842"/>
      <w:r>
        <w:rPr>
          <w:color w:val="auto"/>
        </w:rPr>
        <w:t>.2</w:t>
      </w:r>
      <w:r>
        <w:rPr>
          <w:rFonts w:hint="eastAsia" w:cs="宋体"/>
          <w:color w:val="auto"/>
        </w:rPr>
        <w:t>调解</w:t>
      </w:r>
      <w:bookmarkEnd w:id="768"/>
    </w:p>
    <w:bookmarkEnd w:id="769"/>
    <w:bookmarkEnd w:id="770"/>
    <w:bookmarkEnd w:id="771"/>
    <w:p w14:paraId="0FA7665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合同当事人可以就争议请求建设行政主管部门、行业协会或其他第三方进行调解，调解达成协议的，经双方签字并盖章后作为合同补充文件，双方均应遵照执行。</w:t>
      </w:r>
    </w:p>
    <w:p w14:paraId="21F0FE82">
      <w:pPr>
        <w:pStyle w:val="6"/>
        <w:tabs>
          <w:tab w:val="left" w:pos="2155"/>
        </w:tabs>
        <w:rPr>
          <w:color w:val="auto"/>
        </w:rPr>
      </w:pPr>
      <w:bookmarkStart w:id="772" w:name="_Toc351203629"/>
      <w:bookmarkStart w:id="773" w:name="_Toc337558843"/>
      <w:bookmarkStart w:id="774" w:name="_Toc296346650"/>
      <w:bookmarkStart w:id="775" w:name="_Toc296503149"/>
      <w:r>
        <w:rPr>
          <w:color w:val="auto"/>
        </w:rPr>
        <w:t>20.3</w:t>
      </w:r>
      <w:r>
        <w:rPr>
          <w:rFonts w:hint="eastAsia" w:cs="宋体"/>
          <w:color w:val="auto"/>
        </w:rPr>
        <w:t>争议评审</w:t>
      </w:r>
      <w:bookmarkEnd w:id="772"/>
    </w:p>
    <w:bookmarkEnd w:id="773"/>
    <w:bookmarkEnd w:id="774"/>
    <w:bookmarkEnd w:id="775"/>
    <w:p w14:paraId="2B92181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合同当事人在专用合同条款中约定采取争议评审方式解决争议以及评审规则，并按下列约定执行：</w:t>
      </w:r>
      <w:r>
        <w:rPr>
          <w:rFonts w:hAnsi="宋体"/>
          <w:color w:val="auto"/>
          <w:kern w:val="0"/>
          <w:szCs w:val="21"/>
        </w:rPr>
        <w:t xml:space="preserve"> </w:t>
      </w:r>
    </w:p>
    <w:p w14:paraId="77027695">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20.3.1 </w:t>
      </w:r>
      <w:r>
        <w:rPr>
          <w:rFonts w:hint="eastAsia" w:hAnsi="宋体"/>
          <w:color w:val="auto"/>
          <w:kern w:val="0"/>
          <w:szCs w:val="21"/>
        </w:rPr>
        <w:t>争议评审小组的确定</w:t>
      </w:r>
    </w:p>
    <w:p w14:paraId="0BBA2D9D">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合同当事人可以共同选择一名或三名争议评审员，组成争议评审小组。除专用合同条款另有约定外，合同当事人应当自合同签订后</w:t>
      </w:r>
      <w:r>
        <w:rPr>
          <w:rFonts w:hAnsi="宋体"/>
          <w:color w:val="auto"/>
          <w:kern w:val="0"/>
          <w:szCs w:val="21"/>
        </w:rPr>
        <w:t>28</w:t>
      </w:r>
      <w:r>
        <w:rPr>
          <w:rFonts w:hint="eastAsia" w:hAnsi="宋体"/>
          <w:color w:val="auto"/>
          <w:kern w:val="0"/>
          <w:szCs w:val="21"/>
        </w:rPr>
        <w:t>天内，或者争议发生后</w:t>
      </w:r>
      <w:r>
        <w:rPr>
          <w:rFonts w:hAnsi="宋体"/>
          <w:color w:val="auto"/>
          <w:kern w:val="0"/>
          <w:szCs w:val="21"/>
        </w:rPr>
        <w:t>14</w:t>
      </w:r>
      <w:r>
        <w:rPr>
          <w:rFonts w:hint="eastAsia" w:hAnsi="宋体"/>
          <w:color w:val="auto"/>
          <w:kern w:val="0"/>
          <w:szCs w:val="21"/>
        </w:rPr>
        <w:t>天内，选定争议评审员。</w:t>
      </w:r>
    </w:p>
    <w:p w14:paraId="7DF4EFF6">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hAnsi="宋体"/>
          <w:color w:val="auto"/>
          <w:kern w:val="0"/>
          <w:szCs w:val="21"/>
        </w:rPr>
        <w:t xml:space="preserve"> </w:t>
      </w:r>
    </w:p>
    <w:p w14:paraId="7BB1EE55">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除专用合同条款另有约定外，评审员报酬由发包人和承包人各承担一半。</w:t>
      </w:r>
    </w:p>
    <w:p w14:paraId="6012E1C1">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20.3.2 </w:t>
      </w:r>
      <w:r>
        <w:rPr>
          <w:rFonts w:hint="eastAsia" w:hAnsi="宋体"/>
          <w:color w:val="auto"/>
          <w:kern w:val="0"/>
          <w:szCs w:val="21"/>
        </w:rPr>
        <w:t>争议评审小组的决定</w:t>
      </w:r>
    </w:p>
    <w:p w14:paraId="75E6A644">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hAnsi="宋体"/>
          <w:color w:val="auto"/>
          <w:kern w:val="0"/>
          <w:szCs w:val="21"/>
        </w:rPr>
        <w:t>14</w:t>
      </w:r>
      <w:r>
        <w:rPr>
          <w:rFonts w:hint="eastAsia" w:hAnsi="宋体"/>
          <w:color w:val="auto"/>
          <w:kern w:val="0"/>
          <w:szCs w:val="21"/>
        </w:rPr>
        <w:t>天内作出书面决定，并说明理由。合同当事人可以在专用合同条款中对本项事项另行约定。</w:t>
      </w:r>
    </w:p>
    <w:p w14:paraId="699597B8">
      <w:pPr>
        <w:autoSpaceDE w:val="0"/>
        <w:autoSpaceDN w:val="0"/>
        <w:adjustRightInd w:val="0"/>
        <w:spacing w:line="360" w:lineRule="auto"/>
        <w:ind w:firstLine="420" w:firstLineChars="200"/>
        <w:jc w:val="left"/>
        <w:rPr>
          <w:rFonts w:hAnsi="宋体"/>
          <w:color w:val="auto"/>
          <w:kern w:val="0"/>
          <w:szCs w:val="21"/>
        </w:rPr>
      </w:pPr>
      <w:r>
        <w:rPr>
          <w:rFonts w:hAnsi="宋体"/>
          <w:color w:val="auto"/>
          <w:kern w:val="0"/>
          <w:szCs w:val="21"/>
        </w:rPr>
        <w:t xml:space="preserve">20.3.3 </w:t>
      </w:r>
      <w:r>
        <w:rPr>
          <w:rFonts w:hint="eastAsia" w:hAnsi="宋体"/>
          <w:color w:val="auto"/>
          <w:kern w:val="0"/>
          <w:szCs w:val="21"/>
        </w:rPr>
        <w:t>争议评审小组决定的效力</w:t>
      </w:r>
    </w:p>
    <w:p w14:paraId="080347FA">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争议评审小组作出的书面决定经合同当事人签字确认后，对双方具有约束力，双方应遵照执行。</w:t>
      </w:r>
    </w:p>
    <w:p w14:paraId="746224FE">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任何一方当事人不接受争议评审小组决定或不履行争议评审小组决定的，双方可选择采用其他争议解决方式。</w:t>
      </w:r>
    </w:p>
    <w:p w14:paraId="2B689002">
      <w:pPr>
        <w:pStyle w:val="6"/>
        <w:tabs>
          <w:tab w:val="left" w:pos="2155"/>
        </w:tabs>
        <w:rPr>
          <w:color w:val="auto"/>
        </w:rPr>
      </w:pPr>
      <w:bookmarkStart w:id="776" w:name="_Toc351203630"/>
      <w:bookmarkStart w:id="777" w:name="_Toc337558844"/>
      <w:bookmarkStart w:id="778" w:name="_Toc296346651"/>
      <w:bookmarkStart w:id="779" w:name="_Toc296503150"/>
      <w:r>
        <w:rPr>
          <w:color w:val="auto"/>
        </w:rPr>
        <w:t>20.4</w:t>
      </w:r>
      <w:r>
        <w:rPr>
          <w:rFonts w:hint="eastAsia" w:cs="宋体"/>
          <w:color w:val="auto"/>
        </w:rPr>
        <w:t>仲裁或诉讼</w:t>
      </w:r>
      <w:bookmarkEnd w:id="776"/>
    </w:p>
    <w:bookmarkEnd w:id="777"/>
    <w:bookmarkEnd w:id="778"/>
    <w:bookmarkEnd w:id="779"/>
    <w:p w14:paraId="6CFAFDC9">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因合同及合同有关事项产生的争议，合同当事人可以在专用合同条款中约定以下一种方式解决争议：</w:t>
      </w:r>
    </w:p>
    <w:p w14:paraId="77A24050">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1</w:t>
      </w:r>
      <w:r>
        <w:rPr>
          <w:rFonts w:hint="eastAsia" w:hAnsi="宋体"/>
          <w:color w:val="auto"/>
          <w:kern w:val="0"/>
          <w:szCs w:val="21"/>
        </w:rPr>
        <w:t>）向约定的仲裁委员会申请仲裁；</w:t>
      </w:r>
    </w:p>
    <w:p w14:paraId="32D6E392">
      <w:pPr>
        <w:autoSpaceDE w:val="0"/>
        <w:autoSpaceDN w:val="0"/>
        <w:adjustRightInd w:val="0"/>
        <w:spacing w:line="360" w:lineRule="auto"/>
        <w:ind w:firstLine="420" w:firstLineChars="200"/>
        <w:jc w:val="left"/>
        <w:rPr>
          <w:rFonts w:hAnsi="宋体"/>
          <w:color w:val="auto"/>
          <w:kern w:val="0"/>
          <w:szCs w:val="21"/>
        </w:rPr>
      </w:pPr>
      <w:r>
        <w:rPr>
          <w:rFonts w:hint="eastAsia" w:hAnsi="宋体"/>
          <w:color w:val="auto"/>
          <w:kern w:val="0"/>
          <w:szCs w:val="21"/>
        </w:rPr>
        <w:t>（</w:t>
      </w:r>
      <w:r>
        <w:rPr>
          <w:rFonts w:hAnsi="宋体"/>
          <w:color w:val="auto"/>
          <w:kern w:val="0"/>
          <w:szCs w:val="21"/>
        </w:rPr>
        <w:t>2</w:t>
      </w:r>
      <w:r>
        <w:rPr>
          <w:rFonts w:hint="eastAsia" w:hAnsi="宋体"/>
          <w:color w:val="auto"/>
          <w:kern w:val="0"/>
          <w:szCs w:val="21"/>
        </w:rPr>
        <w:t>）向有管辖权的人民法院起诉。</w:t>
      </w:r>
    </w:p>
    <w:p w14:paraId="650DB549">
      <w:pPr>
        <w:pStyle w:val="6"/>
        <w:tabs>
          <w:tab w:val="left" w:pos="2155"/>
        </w:tabs>
        <w:rPr>
          <w:color w:val="auto"/>
        </w:rPr>
      </w:pPr>
      <w:bookmarkStart w:id="780" w:name="_Toc351203631"/>
      <w:bookmarkStart w:id="781" w:name="_Toc337558845"/>
      <w:bookmarkStart w:id="782" w:name="_Toc296503152"/>
      <w:bookmarkStart w:id="783" w:name="_Toc296346653"/>
      <w:r>
        <w:rPr>
          <w:color w:val="auto"/>
        </w:rPr>
        <w:t>20.5</w:t>
      </w:r>
      <w:r>
        <w:rPr>
          <w:rFonts w:hint="eastAsia"/>
          <w:color w:val="auto"/>
        </w:rPr>
        <w:t>争议解决条款效力</w:t>
      </w:r>
      <w:bookmarkEnd w:id="780"/>
    </w:p>
    <w:bookmarkEnd w:id="781"/>
    <w:bookmarkEnd w:id="782"/>
    <w:bookmarkEnd w:id="783"/>
    <w:p w14:paraId="7630DA95">
      <w:pPr>
        <w:spacing w:line="360" w:lineRule="auto"/>
        <w:ind w:firstLine="420" w:firstLineChars="200"/>
        <w:rPr>
          <w:rFonts w:hAnsi="宋体"/>
          <w:color w:val="auto"/>
          <w:szCs w:val="21"/>
        </w:rPr>
      </w:pPr>
      <w:r>
        <w:rPr>
          <w:rFonts w:hint="eastAsia" w:hAnsi="宋体"/>
          <w:color w:val="auto"/>
          <w:kern w:val="0"/>
          <w:szCs w:val="21"/>
        </w:rPr>
        <w:t>合同有关争议解决的条款独立存在，合同的变更、解除、终止、无效或者被撤销均不影响其效力。</w:t>
      </w:r>
    </w:p>
    <w:p w14:paraId="5F74E004">
      <w:pPr>
        <w:keepNext/>
        <w:keepLines/>
        <w:spacing w:before="120" w:after="120" w:line="360" w:lineRule="auto"/>
        <w:rPr>
          <w:rFonts w:eastAsia="黑体"/>
          <w:bCs/>
          <w:color w:val="auto"/>
          <w:sz w:val="32"/>
          <w:szCs w:val="32"/>
        </w:rPr>
      </w:pPr>
    </w:p>
    <w:bookmarkEnd w:id="257"/>
    <w:bookmarkEnd w:id="263"/>
    <w:p w14:paraId="6FE76994">
      <w:pPr>
        <w:keepNext/>
        <w:keepLines/>
        <w:spacing w:before="260" w:after="260" w:line="413" w:lineRule="auto"/>
        <w:jc w:val="center"/>
        <w:outlineLvl w:val="0"/>
        <w:rPr>
          <w:rFonts w:ascii="华文中宋" w:hAnsi="华文中宋" w:eastAsia="华文中宋"/>
          <w:b/>
          <w:bCs/>
          <w:color w:val="auto"/>
          <w:sz w:val="32"/>
          <w:szCs w:val="32"/>
        </w:rPr>
      </w:pPr>
      <w:bookmarkStart w:id="784" w:name="_Toc351203632"/>
      <w:r>
        <w:rPr>
          <w:rFonts w:ascii="华文中宋" w:hAnsi="华文中宋" w:eastAsia="华文中宋"/>
          <w:b/>
          <w:bCs/>
          <w:color w:val="auto"/>
          <w:sz w:val="44"/>
          <w:szCs w:val="44"/>
        </w:rPr>
        <w:br w:type="page"/>
      </w:r>
      <w:bookmarkStart w:id="785" w:name="_Toc31483"/>
      <w:bookmarkStart w:id="786" w:name="_Toc13532"/>
      <w:bookmarkStart w:id="787" w:name="_Toc23975"/>
      <w:r>
        <w:rPr>
          <w:rFonts w:ascii="华文中宋" w:hAnsi="华文中宋" w:eastAsia="华文中宋"/>
          <w:b/>
          <w:bCs/>
          <w:color w:val="auto"/>
          <w:sz w:val="32"/>
          <w:szCs w:val="32"/>
        </w:rPr>
        <w:t xml:space="preserve">第三部分 </w:t>
      </w:r>
      <w:r>
        <w:rPr>
          <w:rFonts w:hint="eastAsia" w:ascii="华文中宋" w:hAnsi="华文中宋" w:eastAsia="华文中宋"/>
          <w:b/>
          <w:bCs/>
          <w:color w:val="auto"/>
          <w:sz w:val="32"/>
          <w:szCs w:val="32"/>
        </w:rPr>
        <w:t>专用合同条款</w:t>
      </w:r>
      <w:bookmarkEnd w:id="784"/>
      <w:bookmarkEnd w:id="785"/>
      <w:bookmarkEnd w:id="786"/>
      <w:bookmarkEnd w:id="787"/>
    </w:p>
    <w:p w14:paraId="5C16808A">
      <w:pPr>
        <w:pStyle w:val="273"/>
        <w:spacing w:line="400" w:lineRule="exact"/>
        <w:rPr>
          <w:rFonts w:ascii="宋体"/>
          <w:color w:val="auto"/>
          <w:sz w:val="21"/>
          <w:szCs w:val="21"/>
        </w:rPr>
      </w:pPr>
      <w:r>
        <w:rPr>
          <w:rFonts w:hint="eastAsia" w:ascii="宋体" w:hAnsi="宋体"/>
          <w:color w:val="auto"/>
          <w:sz w:val="21"/>
          <w:szCs w:val="21"/>
        </w:rPr>
        <w:t>1. 一般约定</w:t>
      </w:r>
    </w:p>
    <w:p w14:paraId="2670CF5F">
      <w:pPr>
        <w:pStyle w:val="273"/>
        <w:spacing w:line="400" w:lineRule="exact"/>
        <w:rPr>
          <w:rFonts w:ascii="宋体"/>
          <w:color w:val="auto"/>
          <w:sz w:val="21"/>
          <w:szCs w:val="21"/>
        </w:rPr>
      </w:pPr>
      <w:r>
        <w:rPr>
          <w:rFonts w:hint="eastAsia" w:ascii="宋体" w:hAnsi="宋体"/>
          <w:color w:val="auto"/>
          <w:sz w:val="21"/>
          <w:szCs w:val="21"/>
        </w:rPr>
        <w:t>1.1词语定义</w:t>
      </w:r>
    </w:p>
    <w:p w14:paraId="2F571D8F">
      <w:pPr>
        <w:pStyle w:val="274"/>
        <w:spacing w:line="400" w:lineRule="exact"/>
        <w:ind w:firstLine="420"/>
        <w:rPr>
          <w:rFonts w:ascii="宋体"/>
          <w:color w:val="auto"/>
          <w:kern w:val="0"/>
        </w:rPr>
      </w:pPr>
      <w:r>
        <w:rPr>
          <w:rFonts w:hint="eastAsia" w:ascii="宋体" w:hAnsi="宋体"/>
          <w:color w:val="auto"/>
          <w:kern w:val="0"/>
        </w:rPr>
        <w:t>1.1.1合同</w:t>
      </w:r>
    </w:p>
    <w:p w14:paraId="68514C9D">
      <w:pPr>
        <w:pStyle w:val="274"/>
        <w:spacing w:line="400" w:lineRule="exact"/>
        <w:ind w:firstLine="420"/>
        <w:rPr>
          <w:rFonts w:ascii="宋体" w:hAnsi="宋体"/>
          <w:color w:val="auto"/>
          <w:u w:val="single"/>
        </w:rPr>
      </w:pPr>
      <w:r>
        <w:rPr>
          <w:rFonts w:hint="eastAsia" w:ascii="宋体" w:hAnsi="宋体"/>
          <w:color w:val="auto"/>
          <w:kern w:val="0"/>
        </w:rPr>
        <w:t>1.1.1.10其他合同文件包括：</w:t>
      </w:r>
      <w:r>
        <w:rPr>
          <w:rFonts w:hint="eastAsia" w:ascii="宋体" w:hAnsi="宋体"/>
          <w:color w:val="auto"/>
          <w:u w:val="single"/>
        </w:rPr>
        <w:t>（1）本合同协议书；（2）中标通知书；（3）投标书及其附件；（4）本合同专用条款；（5）本合同通用条款；（6）标准、规范及有关技术文件；（7）图纸；（8）工程量清单；（9）工程量清单报价表；（10）招标文件及附件（含所有补充通知）。双方有关工程的洽商、变更等书面协议或文件视为本合同的组成部分</w:t>
      </w:r>
      <w:r>
        <w:rPr>
          <w:rFonts w:hint="eastAsia" w:ascii="宋体" w:hAnsi="宋体"/>
          <w:color w:val="auto"/>
        </w:rPr>
        <w:t>。</w:t>
      </w:r>
    </w:p>
    <w:p w14:paraId="0ABDCD94">
      <w:pPr>
        <w:pStyle w:val="274"/>
        <w:spacing w:line="400" w:lineRule="exact"/>
        <w:ind w:firstLine="420"/>
        <w:rPr>
          <w:rFonts w:ascii="宋体"/>
          <w:color w:val="auto"/>
        </w:rPr>
      </w:pPr>
      <w:r>
        <w:rPr>
          <w:rFonts w:hint="eastAsia" w:ascii="宋体" w:hAnsi="宋体"/>
          <w:color w:val="auto"/>
        </w:rPr>
        <w:t>1.1.2 合同当事人及其他相关方</w:t>
      </w:r>
    </w:p>
    <w:p w14:paraId="4E50EE87">
      <w:pPr>
        <w:pStyle w:val="274"/>
        <w:spacing w:line="400" w:lineRule="exact"/>
        <w:ind w:firstLine="420"/>
        <w:rPr>
          <w:rFonts w:ascii="宋体"/>
          <w:color w:val="auto"/>
        </w:rPr>
      </w:pPr>
      <w:r>
        <w:rPr>
          <w:rFonts w:hint="eastAsia" w:ascii="宋体" w:hAnsi="宋体"/>
          <w:color w:val="auto"/>
        </w:rPr>
        <w:t>1.1.2.4监理人：</w:t>
      </w:r>
    </w:p>
    <w:p w14:paraId="32C4D589">
      <w:pPr>
        <w:pStyle w:val="274"/>
        <w:spacing w:line="400" w:lineRule="exact"/>
        <w:ind w:firstLine="420"/>
        <w:rPr>
          <w:rFonts w:ascii="宋体"/>
          <w:color w:val="auto"/>
        </w:rPr>
      </w:pPr>
      <w:r>
        <w:rPr>
          <w:rFonts w:hint="eastAsia" w:ascii="宋体" w:hAnsi="宋体"/>
          <w:color w:val="auto"/>
        </w:rPr>
        <w:t>名    称：</w:t>
      </w:r>
      <w:r>
        <w:rPr>
          <w:rFonts w:hint="eastAsia" w:ascii="宋体" w:hAnsi="宋体"/>
          <w:color w:val="auto"/>
          <w:u w:val="single"/>
        </w:rPr>
        <w:t xml:space="preserve">                                </w:t>
      </w:r>
      <w:r>
        <w:rPr>
          <w:rFonts w:hint="eastAsia" w:ascii="宋体" w:hAnsi="宋体"/>
          <w:color w:val="auto"/>
        </w:rPr>
        <w:t>；</w:t>
      </w:r>
    </w:p>
    <w:p w14:paraId="65CC2885">
      <w:pPr>
        <w:pStyle w:val="274"/>
        <w:spacing w:line="400" w:lineRule="exact"/>
        <w:ind w:firstLine="420"/>
        <w:rPr>
          <w:rFonts w:ascii="宋体"/>
          <w:color w:val="auto"/>
        </w:rPr>
      </w:pPr>
      <w:r>
        <w:rPr>
          <w:rFonts w:hint="eastAsia" w:ascii="宋体" w:hAnsi="宋体"/>
          <w:color w:val="auto"/>
        </w:rPr>
        <w:t>资质类别和等级：</w:t>
      </w:r>
      <w:r>
        <w:rPr>
          <w:rFonts w:hint="eastAsia" w:ascii="MingLiU_HKSCS" w:hAnsi="MingLiU_HKSCS" w:cs="MingLiU_HKSCS"/>
          <w:color w:val="auto"/>
          <w:u w:val="single"/>
        </w:rPr>
        <w:t xml:space="preserve">                          </w:t>
      </w:r>
      <w:r>
        <w:rPr>
          <w:rFonts w:hint="eastAsia" w:ascii="宋体" w:hAnsi="宋体"/>
          <w:color w:val="auto"/>
        </w:rPr>
        <w:t>；</w:t>
      </w:r>
    </w:p>
    <w:p w14:paraId="670214E9">
      <w:pPr>
        <w:pStyle w:val="274"/>
        <w:spacing w:line="400" w:lineRule="exact"/>
        <w:ind w:firstLine="420"/>
        <w:rPr>
          <w:rFonts w:ascii="宋体"/>
          <w:color w:val="auto"/>
        </w:rPr>
      </w:pPr>
      <w:r>
        <w:rPr>
          <w:rFonts w:hint="eastAsia" w:ascii="宋体" w:hAnsi="宋体"/>
          <w:color w:val="auto"/>
        </w:rPr>
        <w:t>联系电话：</w:t>
      </w:r>
      <w:r>
        <w:rPr>
          <w:rFonts w:hint="eastAsia" w:ascii="MingLiU_HKSCS" w:hAnsi="MingLiU_HKSCS" w:cs="MingLiU_HKSCS"/>
          <w:color w:val="auto"/>
          <w:u w:val="single"/>
        </w:rPr>
        <w:t xml:space="preserve">                                </w:t>
      </w:r>
      <w:r>
        <w:rPr>
          <w:rFonts w:hint="eastAsia" w:ascii="宋体" w:hAnsi="宋体"/>
          <w:color w:val="auto"/>
        </w:rPr>
        <w:t>；</w:t>
      </w:r>
    </w:p>
    <w:p w14:paraId="51414FFD">
      <w:pPr>
        <w:pStyle w:val="274"/>
        <w:spacing w:line="400" w:lineRule="exact"/>
        <w:ind w:firstLine="420"/>
        <w:rPr>
          <w:rFonts w:ascii="宋体"/>
          <w:color w:val="auto"/>
        </w:rPr>
      </w:pPr>
      <w:r>
        <w:rPr>
          <w:rFonts w:hint="eastAsia" w:ascii="宋体" w:hAnsi="宋体"/>
          <w:color w:val="auto"/>
        </w:rPr>
        <w:t>电子信箱：</w:t>
      </w:r>
      <w:r>
        <w:rPr>
          <w:rFonts w:hint="eastAsia" w:ascii="MingLiU_HKSCS" w:hAnsi="MingLiU_HKSCS" w:cs="MingLiU_HKSCS"/>
          <w:color w:val="auto"/>
          <w:u w:val="single"/>
        </w:rPr>
        <w:t xml:space="preserve">                                </w:t>
      </w:r>
      <w:r>
        <w:rPr>
          <w:rFonts w:hint="eastAsia" w:ascii="宋体" w:hAnsi="宋体"/>
          <w:color w:val="auto"/>
        </w:rPr>
        <w:t>；</w:t>
      </w:r>
    </w:p>
    <w:p w14:paraId="43AC97DA">
      <w:pPr>
        <w:pStyle w:val="274"/>
        <w:spacing w:line="400" w:lineRule="exact"/>
        <w:ind w:firstLine="420"/>
        <w:rPr>
          <w:rFonts w:ascii="宋体"/>
          <w:color w:val="auto"/>
        </w:rPr>
      </w:pPr>
      <w:r>
        <w:rPr>
          <w:rFonts w:hint="eastAsia" w:ascii="宋体" w:hAnsi="宋体"/>
          <w:color w:val="auto"/>
        </w:rPr>
        <w:t>通信地址：</w:t>
      </w:r>
      <w:r>
        <w:rPr>
          <w:rFonts w:hint="eastAsia" w:ascii="MingLiU_HKSCS" w:hAnsi="MingLiU_HKSCS" w:cs="MingLiU_HKSCS"/>
          <w:color w:val="auto"/>
          <w:u w:val="single"/>
        </w:rPr>
        <w:t xml:space="preserve">                                </w:t>
      </w:r>
      <w:r>
        <w:rPr>
          <w:rFonts w:hint="eastAsia" w:ascii="宋体" w:hAnsi="宋体"/>
          <w:color w:val="auto"/>
        </w:rPr>
        <w:t>。</w:t>
      </w:r>
    </w:p>
    <w:p w14:paraId="33D8F0E4">
      <w:pPr>
        <w:pStyle w:val="274"/>
        <w:spacing w:line="400" w:lineRule="exact"/>
        <w:ind w:firstLine="420"/>
        <w:rPr>
          <w:rFonts w:ascii="宋体"/>
          <w:color w:val="auto"/>
        </w:rPr>
      </w:pPr>
      <w:r>
        <w:rPr>
          <w:rFonts w:hint="eastAsia" w:ascii="宋体" w:hAnsi="宋体"/>
          <w:color w:val="auto"/>
        </w:rPr>
        <w:t>1.1.2.5 设计人：</w:t>
      </w:r>
    </w:p>
    <w:p w14:paraId="5C60BEA5">
      <w:pPr>
        <w:pStyle w:val="274"/>
        <w:spacing w:line="400" w:lineRule="exact"/>
        <w:ind w:firstLine="420"/>
        <w:rPr>
          <w:rFonts w:ascii="宋体"/>
          <w:color w:val="auto"/>
        </w:rPr>
      </w:pPr>
      <w:r>
        <w:rPr>
          <w:rFonts w:hint="eastAsia" w:ascii="宋体" w:hAnsi="宋体"/>
          <w:color w:val="auto"/>
        </w:rPr>
        <w:t>名    称：</w:t>
      </w:r>
      <w:r>
        <w:rPr>
          <w:rFonts w:hint="eastAsia" w:ascii="MingLiU_HKSCS" w:hAnsi="MingLiU_HKSCS" w:cs="MingLiU_HKSCS"/>
          <w:color w:val="auto"/>
          <w:u w:val="single"/>
        </w:rPr>
        <w:t xml:space="preserve">                                </w:t>
      </w:r>
      <w:r>
        <w:rPr>
          <w:rFonts w:hint="eastAsia" w:ascii="宋体" w:hAnsi="宋体"/>
          <w:color w:val="auto"/>
        </w:rPr>
        <w:t>；</w:t>
      </w:r>
    </w:p>
    <w:p w14:paraId="79A4A4DE">
      <w:pPr>
        <w:pStyle w:val="274"/>
        <w:spacing w:line="400" w:lineRule="exact"/>
        <w:ind w:firstLine="420"/>
        <w:rPr>
          <w:rFonts w:ascii="宋体"/>
          <w:color w:val="auto"/>
        </w:rPr>
      </w:pPr>
      <w:r>
        <w:rPr>
          <w:rFonts w:hint="eastAsia" w:ascii="宋体" w:hAnsi="宋体"/>
          <w:color w:val="auto"/>
        </w:rPr>
        <w:t>资质类别和等级：</w:t>
      </w:r>
      <w:r>
        <w:rPr>
          <w:rFonts w:hint="eastAsia" w:ascii="MingLiU_HKSCS" w:hAnsi="MingLiU_HKSCS" w:cs="MingLiU_HKSCS"/>
          <w:color w:val="auto"/>
          <w:u w:val="single"/>
        </w:rPr>
        <w:t xml:space="preserve">                          </w:t>
      </w:r>
      <w:r>
        <w:rPr>
          <w:rFonts w:hint="eastAsia" w:ascii="宋体" w:hAnsi="宋体"/>
          <w:color w:val="auto"/>
        </w:rPr>
        <w:t>；</w:t>
      </w:r>
    </w:p>
    <w:p w14:paraId="60180C16">
      <w:pPr>
        <w:pStyle w:val="274"/>
        <w:spacing w:line="400" w:lineRule="exact"/>
        <w:ind w:firstLine="420"/>
        <w:rPr>
          <w:rFonts w:ascii="宋体"/>
          <w:color w:val="auto"/>
        </w:rPr>
      </w:pPr>
      <w:r>
        <w:rPr>
          <w:rFonts w:hint="eastAsia" w:ascii="宋体" w:hAnsi="宋体"/>
          <w:color w:val="auto"/>
        </w:rPr>
        <w:t>联系电话：</w:t>
      </w:r>
      <w:r>
        <w:rPr>
          <w:rFonts w:hint="eastAsia" w:ascii="MingLiU_HKSCS" w:hAnsi="MingLiU_HKSCS" w:cs="MingLiU_HKSCS"/>
          <w:color w:val="auto"/>
          <w:u w:val="single"/>
        </w:rPr>
        <w:t xml:space="preserve">                                </w:t>
      </w:r>
      <w:r>
        <w:rPr>
          <w:rFonts w:hint="eastAsia" w:ascii="宋体" w:hAnsi="宋体"/>
          <w:color w:val="auto"/>
        </w:rPr>
        <w:t>；</w:t>
      </w:r>
    </w:p>
    <w:p w14:paraId="72EE61F4">
      <w:pPr>
        <w:pStyle w:val="274"/>
        <w:spacing w:line="400" w:lineRule="exact"/>
        <w:ind w:firstLine="420"/>
        <w:rPr>
          <w:rFonts w:ascii="宋体"/>
          <w:color w:val="auto"/>
        </w:rPr>
      </w:pPr>
      <w:r>
        <w:rPr>
          <w:rFonts w:hint="eastAsia" w:ascii="宋体" w:hAnsi="宋体"/>
          <w:color w:val="auto"/>
        </w:rPr>
        <w:t>电子信箱：</w:t>
      </w:r>
      <w:r>
        <w:rPr>
          <w:rFonts w:hint="eastAsia" w:ascii="MingLiU_HKSCS" w:hAnsi="MingLiU_HKSCS" w:cs="MingLiU_HKSCS"/>
          <w:color w:val="auto"/>
          <w:u w:val="single"/>
        </w:rPr>
        <w:t xml:space="preserve">                                </w:t>
      </w:r>
      <w:r>
        <w:rPr>
          <w:rFonts w:hint="eastAsia" w:ascii="宋体" w:hAnsi="宋体"/>
          <w:color w:val="auto"/>
        </w:rPr>
        <w:t>；</w:t>
      </w:r>
    </w:p>
    <w:p w14:paraId="784EB31E">
      <w:pPr>
        <w:pStyle w:val="274"/>
        <w:spacing w:line="400" w:lineRule="exact"/>
        <w:ind w:firstLine="420"/>
        <w:rPr>
          <w:rFonts w:ascii="宋体"/>
          <w:color w:val="auto"/>
        </w:rPr>
      </w:pPr>
      <w:r>
        <w:rPr>
          <w:rFonts w:hint="eastAsia" w:ascii="宋体" w:hAnsi="宋体"/>
          <w:color w:val="auto"/>
        </w:rPr>
        <w:t>通信地址：</w:t>
      </w:r>
      <w:r>
        <w:rPr>
          <w:rFonts w:hint="eastAsia" w:ascii="MingLiU_HKSCS" w:hAnsi="MingLiU_HKSCS" w:cs="MingLiU_HKSCS"/>
          <w:color w:val="auto"/>
          <w:u w:val="single"/>
        </w:rPr>
        <w:t xml:space="preserve">                                </w:t>
      </w:r>
      <w:r>
        <w:rPr>
          <w:rFonts w:hint="eastAsia" w:ascii="宋体" w:hAnsi="宋体"/>
          <w:color w:val="auto"/>
        </w:rPr>
        <w:t>。</w:t>
      </w:r>
    </w:p>
    <w:p w14:paraId="4FCC6D4E">
      <w:pPr>
        <w:pStyle w:val="274"/>
        <w:spacing w:line="400" w:lineRule="exact"/>
        <w:ind w:firstLine="420"/>
        <w:rPr>
          <w:rFonts w:ascii="宋体"/>
          <w:color w:val="auto"/>
        </w:rPr>
      </w:pPr>
      <w:r>
        <w:rPr>
          <w:rFonts w:hint="eastAsia" w:ascii="宋体" w:hAnsi="宋体"/>
          <w:color w:val="auto"/>
        </w:rPr>
        <w:t>1.1.3 工程和设备</w:t>
      </w:r>
    </w:p>
    <w:p w14:paraId="1CDA57AE">
      <w:pPr>
        <w:pStyle w:val="274"/>
        <w:spacing w:line="400" w:lineRule="exact"/>
        <w:ind w:firstLine="420"/>
        <w:rPr>
          <w:rFonts w:ascii="宋体" w:hAnsi="宋体"/>
          <w:color w:val="auto"/>
          <w:u w:val="single"/>
        </w:rPr>
      </w:pPr>
      <w:r>
        <w:rPr>
          <w:rFonts w:hint="eastAsia" w:ascii="宋体" w:hAnsi="宋体"/>
          <w:color w:val="auto"/>
        </w:rPr>
        <w:t>1.1.3.7 作为施工现场组成部分的其他场所包括：</w:t>
      </w:r>
      <w:r>
        <w:rPr>
          <w:rFonts w:hint="eastAsia" w:ascii="宋体" w:hAnsi="宋体"/>
          <w:color w:val="auto"/>
          <w:u w:val="single"/>
        </w:rPr>
        <w:t xml:space="preserve">无。 </w:t>
      </w:r>
    </w:p>
    <w:p w14:paraId="08897B04">
      <w:pPr>
        <w:pStyle w:val="274"/>
        <w:spacing w:line="400" w:lineRule="exact"/>
        <w:ind w:firstLine="420"/>
        <w:jc w:val="left"/>
        <w:rPr>
          <w:rFonts w:ascii="宋体" w:hAnsi="宋体"/>
          <w:color w:val="auto"/>
          <w:u w:val="single"/>
        </w:rPr>
      </w:pPr>
      <w:r>
        <w:rPr>
          <w:rFonts w:hint="eastAsia" w:ascii="宋体" w:hAnsi="宋体"/>
          <w:color w:val="auto"/>
          <w:kern w:val="0"/>
        </w:rPr>
        <w:t>1.1.3.9 永久占地包括：</w:t>
      </w:r>
      <w:r>
        <w:rPr>
          <w:rFonts w:hint="eastAsia" w:ascii="宋体" w:hAnsi="宋体"/>
          <w:color w:val="auto"/>
          <w:u w:val="single"/>
        </w:rPr>
        <w:t>指专用合同条款中指明为实施合同工程需永久占用的土地</w:t>
      </w:r>
      <w:r>
        <w:rPr>
          <w:rFonts w:hint="eastAsia" w:ascii="宋体" w:hAnsi="宋体"/>
          <w:color w:val="auto"/>
        </w:rPr>
        <w:t>。</w:t>
      </w:r>
    </w:p>
    <w:p w14:paraId="77FCA49E">
      <w:pPr>
        <w:pStyle w:val="274"/>
        <w:spacing w:line="400" w:lineRule="exact"/>
        <w:ind w:firstLine="420"/>
        <w:jc w:val="left"/>
        <w:rPr>
          <w:rFonts w:ascii="宋体"/>
          <w:color w:val="auto"/>
        </w:rPr>
      </w:pPr>
      <w:r>
        <w:rPr>
          <w:rFonts w:hint="eastAsia" w:ascii="宋体" w:hAnsi="宋体"/>
          <w:color w:val="auto"/>
          <w:kern w:val="0"/>
        </w:rPr>
        <w:t>1.1.3.10 临时占地包括：</w:t>
      </w:r>
      <w:r>
        <w:rPr>
          <w:rFonts w:hint="eastAsia" w:ascii="宋体" w:hAnsi="宋体"/>
          <w:color w:val="auto"/>
          <w:u w:val="single"/>
        </w:rPr>
        <w:t>指专用合同条款中指明为实施合同工程需临时占用的土地</w:t>
      </w:r>
      <w:r>
        <w:rPr>
          <w:rFonts w:hint="eastAsia" w:ascii="宋体" w:hAnsi="宋体"/>
          <w:color w:val="auto"/>
          <w:kern w:val="0"/>
        </w:rPr>
        <w:t>。</w:t>
      </w:r>
    </w:p>
    <w:p w14:paraId="2425CF7C">
      <w:pPr>
        <w:pStyle w:val="273"/>
        <w:spacing w:line="400" w:lineRule="exact"/>
        <w:rPr>
          <w:rFonts w:ascii="宋体"/>
          <w:color w:val="auto"/>
          <w:sz w:val="21"/>
          <w:szCs w:val="21"/>
        </w:rPr>
      </w:pPr>
      <w:r>
        <w:rPr>
          <w:rFonts w:hint="eastAsia" w:ascii="宋体" w:hAnsi="宋体"/>
          <w:color w:val="auto"/>
          <w:sz w:val="21"/>
          <w:szCs w:val="21"/>
        </w:rPr>
        <w:t>1.3法律</w:t>
      </w:r>
    </w:p>
    <w:p w14:paraId="5DC87A39">
      <w:pPr>
        <w:pStyle w:val="274"/>
        <w:spacing w:line="400" w:lineRule="exact"/>
        <w:ind w:left="596"/>
        <w:jc w:val="left"/>
        <w:rPr>
          <w:rFonts w:ascii="宋体"/>
          <w:color w:val="auto"/>
        </w:rPr>
      </w:pPr>
      <w:r>
        <w:rPr>
          <w:rFonts w:hint="eastAsia" w:ascii="宋体" w:hAnsi="宋体"/>
          <w:color w:val="auto"/>
        </w:rPr>
        <w:t>适用于合同的其他规范性文件：</w:t>
      </w:r>
      <w:r>
        <w:rPr>
          <w:rFonts w:hint="eastAsia" w:ascii="宋体" w:hAnsi="宋体"/>
          <w:color w:val="auto"/>
          <w:u w:val="single"/>
        </w:rPr>
        <w:t>国家及广西、玉林市政府及部门颁发的现行的政策性、施工规范、规程、标准等规范性文件</w:t>
      </w:r>
      <w:r>
        <w:rPr>
          <w:rFonts w:hint="eastAsia" w:ascii="宋体" w:hAnsi="宋体"/>
          <w:color w:val="auto"/>
        </w:rPr>
        <w:t>。</w:t>
      </w:r>
    </w:p>
    <w:p w14:paraId="0ACB88F3">
      <w:pPr>
        <w:pStyle w:val="273"/>
        <w:spacing w:line="400" w:lineRule="exact"/>
        <w:rPr>
          <w:rFonts w:ascii="宋体"/>
          <w:color w:val="auto"/>
          <w:sz w:val="21"/>
          <w:szCs w:val="21"/>
        </w:rPr>
      </w:pPr>
      <w:r>
        <w:rPr>
          <w:rFonts w:hint="eastAsia" w:ascii="宋体" w:hAnsi="宋体"/>
          <w:color w:val="auto"/>
          <w:sz w:val="21"/>
          <w:szCs w:val="21"/>
        </w:rPr>
        <w:t>1.4 标准和规范</w:t>
      </w:r>
    </w:p>
    <w:p w14:paraId="17966FE4">
      <w:pPr>
        <w:pStyle w:val="274"/>
        <w:spacing w:line="400" w:lineRule="exact"/>
        <w:ind w:left="596"/>
        <w:rPr>
          <w:rFonts w:ascii="宋体"/>
          <w:color w:val="auto"/>
        </w:rPr>
      </w:pPr>
      <w:r>
        <w:rPr>
          <w:rFonts w:hint="eastAsia" w:ascii="宋体" w:hAnsi="宋体"/>
          <w:color w:val="auto"/>
        </w:rPr>
        <w:t>1.4.1适用于工程的标准规范包括：</w:t>
      </w:r>
      <w:r>
        <w:rPr>
          <w:rFonts w:hint="eastAsia" w:ascii="宋体" w:hAnsi="宋体"/>
          <w:color w:val="auto"/>
          <w:u w:val="single"/>
        </w:rPr>
        <w:t>本合同签订时现行的国家标准、规范、行业标准、规范及设计文件注明必须使用的规范标准及承包人根据施工需要认为必须使用的规范标准（但这些标准的使用仅仅是为了达到发包人对工程质量标准需要，承包人不得据其要求发包人支付任何费用和要求补偿）等</w:t>
      </w:r>
      <w:r>
        <w:rPr>
          <w:rFonts w:hint="eastAsia" w:ascii="宋体" w:hAnsi="宋体"/>
          <w:color w:val="auto"/>
        </w:rPr>
        <w:t>。</w:t>
      </w:r>
    </w:p>
    <w:p w14:paraId="3887FAFF">
      <w:pPr>
        <w:pStyle w:val="274"/>
        <w:spacing w:line="400" w:lineRule="exact"/>
        <w:ind w:firstLine="420"/>
        <w:rPr>
          <w:rFonts w:ascii="宋体"/>
          <w:color w:val="auto"/>
          <w:kern w:val="0"/>
        </w:rPr>
      </w:pPr>
      <w:r>
        <w:rPr>
          <w:rFonts w:hint="eastAsia" w:ascii="宋体" w:hAnsi="宋体"/>
          <w:color w:val="auto"/>
          <w:kern w:val="0"/>
        </w:rPr>
        <w:t>1.4.2 发包人提供国外标准、规范的名称：无；</w:t>
      </w:r>
    </w:p>
    <w:p w14:paraId="35FBFE84">
      <w:pPr>
        <w:pStyle w:val="274"/>
        <w:spacing w:line="400" w:lineRule="exact"/>
        <w:ind w:firstLine="420"/>
        <w:rPr>
          <w:rFonts w:ascii="宋体"/>
          <w:color w:val="auto"/>
          <w:kern w:val="0"/>
        </w:rPr>
      </w:pPr>
      <w:r>
        <w:rPr>
          <w:rFonts w:hint="eastAsia" w:ascii="宋体" w:hAnsi="宋体"/>
          <w:color w:val="auto"/>
          <w:kern w:val="0"/>
        </w:rPr>
        <w:t>发包人提供国外标准、规范的份数：无；</w:t>
      </w:r>
    </w:p>
    <w:p w14:paraId="2489D775">
      <w:pPr>
        <w:pStyle w:val="274"/>
        <w:spacing w:line="400" w:lineRule="exact"/>
        <w:ind w:firstLine="420"/>
        <w:rPr>
          <w:rFonts w:ascii="宋体"/>
          <w:color w:val="auto"/>
        </w:rPr>
      </w:pPr>
      <w:r>
        <w:rPr>
          <w:rFonts w:hint="eastAsia" w:ascii="宋体" w:hAnsi="宋体"/>
          <w:color w:val="auto"/>
          <w:kern w:val="0"/>
        </w:rPr>
        <w:t>发包人提供国外标准、规范的名称：无。</w:t>
      </w:r>
    </w:p>
    <w:p w14:paraId="12613CD9">
      <w:pPr>
        <w:pStyle w:val="274"/>
        <w:spacing w:line="400" w:lineRule="exact"/>
        <w:rPr>
          <w:rFonts w:ascii="宋体"/>
          <w:color w:val="auto"/>
        </w:rPr>
      </w:pPr>
      <w:r>
        <w:rPr>
          <w:rFonts w:hint="eastAsia" w:ascii="宋体" w:hAnsi="宋体"/>
          <w:color w:val="auto"/>
        </w:rPr>
        <w:t>1.4.3发包人对工程的技术标准和功能要求的特殊要求：</w:t>
      </w:r>
      <w:r>
        <w:rPr>
          <w:rFonts w:hint="eastAsia" w:ascii="宋体" w:hAnsi="宋体"/>
          <w:color w:val="auto"/>
          <w:u w:val="single"/>
        </w:rPr>
        <w:t xml:space="preserve">无 </w:t>
      </w:r>
      <w:r>
        <w:rPr>
          <w:rFonts w:hint="eastAsia" w:ascii="宋体" w:hAnsi="宋体"/>
          <w:color w:val="auto"/>
        </w:rPr>
        <w:t>。</w:t>
      </w:r>
    </w:p>
    <w:p w14:paraId="37CB0014">
      <w:pPr>
        <w:pStyle w:val="273"/>
        <w:spacing w:line="400" w:lineRule="exact"/>
        <w:rPr>
          <w:rFonts w:ascii="宋体"/>
          <w:color w:val="auto"/>
          <w:sz w:val="21"/>
          <w:szCs w:val="21"/>
        </w:rPr>
      </w:pPr>
      <w:r>
        <w:rPr>
          <w:rFonts w:hint="eastAsia" w:ascii="宋体" w:hAnsi="宋体"/>
          <w:color w:val="auto"/>
          <w:sz w:val="21"/>
          <w:szCs w:val="21"/>
        </w:rPr>
        <w:t>1.5 合同文件的优先顺序</w:t>
      </w:r>
    </w:p>
    <w:p w14:paraId="2343EE9D">
      <w:pPr>
        <w:pStyle w:val="274"/>
        <w:spacing w:line="400" w:lineRule="exact"/>
        <w:ind w:firstLine="420"/>
        <w:rPr>
          <w:rFonts w:ascii="宋体"/>
          <w:color w:val="auto"/>
        </w:rPr>
      </w:pPr>
      <w:r>
        <w:rPr>
          <w:rFonts w:hint="eastAsia" w:ascii="宋体" w:hAnsi="宋体"/>
          <w:color w:val="auto"/>
        </w:rPr>
        <w:t>合同文件组成及优先顺序为：组成合同的各项文件应互相解释，互为说明。解释合同文件的优先顺序为：</w:t>
      </w:r>
    </w:p>
    <w:p w14:paraId="13BC979D">
      <w:pPr>
        <w:pStyle w:val="274"/>
        <w:spacing w:line="400" w:lineRule="exact"/>
        <w:ind w:firstLine="420"/>
        <w:jc w:val="left"/>
        <w:rPr>
          <w:rFonts w:ascii="宋体"/>
          <w:color w:val="auto"/>
        </w:rPr>
      </w:pPr>
      <w:r>
        <w:rPr>
          <w:rFonts w:hint="eastAsia" w:ascii="宋体" w:hAnsi="宋体"/>
          <w:color w:val="auto"/>
        </w:rPr>
        <w:t>（1）补充协议（如果有）；</w:t>
      </w:r>
    </w:p>
    <w:p w14:paraId="040F191C">
      <w:pPr>
        <w:pStyle w:val="274"/>
        <w:spacing w:line="400" w:lineRule="exact"/>
        <w:ind w:firstLine="420"/>
        <w:jc w:val="left"/>
        <w:rPr>
          <w:rFonts w:ascii="宋体"/>
          <w:color w:val="auto"/>
        </w:rPr>
      </w:pPr>
      <w:r>
        <w:rPr>
          <w:rFonts w:hint="eastAsia" w:ascii="宋体" w:hAnsi="宋体"/>
          <w:color w:val="auto"/>
        </w:rPr>
        <w:t>（2）协议书；</w:t>
      </w:r>
    </w:p>
    <w:p w14:paraId="2B7AAFC4">
      <w:pPr>
        <w:pStyle w:val="274"/>
        <w:spacing w:line="400" w:lineRule="exact"/>
        <w:ind w:firstLine="420"/>
        <w:jc w:val="left"/>
        <w:rPr>
          <w:rFonts w:ascii="宋体"/>
          <w:color w:val="auto"/>
        </w:rPr>
      </w:pPr>
      <w:r>
        <w:rPr>
          <w:rFonts w:hint="eastAsia" w:ascii="宋体" w:hAnsi="宋体"/>
          <w:color w:val="auto"/>
        </w:rPr>
        <w:t>（3）中标通知书（如果有）；</w:t>
      </w:r>
    </w:p>
    <w:p w14:paraId="2F998CDD">
      <w:pPr>
        <w:pStyle w:val="274"/>
        <w:spacing w:line="400" w:lineRule="exact"/>
        <w:ind w:firstLine="420"/>
        <w:jc w:val="left"/>
        <w:rPr>
          <w:rFonts w:ascii="宋体" w:hAnsi="宋体"/>
          <w:color w:val="auto"/>
        </w:rPr>
      </w:pPr>
      <w:r>
        <w:rPr>
          <w:rFonts w:hint="eastAsia" w:ascii="宋体" w:hAnsi="宋体"/>
          <w:color w:val="auto"/>
        </w:rPr>
        <w:t xml:space="preserve">（4）投标函及其附录（如果有）； </w:t>
      </w:r>
    </w:p>
    <w:p w14:paraId="267E2BFE">
      <w:pPr>
        <w:pStyle w:val="274"/>
        <w:spacing w:line="400" w:lineRule="exact"/>
        <w:ind w:firstLine="420"/>
        <w:jc w:val="left"/>
        <w:rPr>
          <w:rFonts w:ascii="宋体"/>
          <w:color w:val="auto"/>
        </w:rPr>
      </w:pPr>
      <w:r>
        <w:rPr>
          <w:rFonts w:hint="eastAsia" w:ascii="宋体" w:hAnsi="宋体"/>
          <w:color w:val="auto"/>
        </w:rPr>
        <w:t>（5）专用合同条款及其附件；</w:t>
      </w:r>
    </w:p>
    <w:p w14:paraId="40DDE0FD">
      <w:pPr>
        <w:pStyle w:val="274"/>
        <w:spacing w:line="400" w:lineRule="exact"/>
        <w:ind w:firstLine="420"/>
        <w:jc w:val="left"/>
        <w:rPr>
          <w:rFonts w:ascii="宋体"/>
          <w:color w:val="auto"/>
        </w:rPr>
      </w:pPr>
      <w:r>
        <w:rPr>
          <w:rFonts w:hint="eastAsia" w:ascii="宋体" w:hAnsi="宋体"/>
          <w:color w:val="auto"/>
        </w:rPr>
        <w:t>（6）通用合同条款；</w:t>
      </w:r>
    </w:p>
    <w:p w14:paraId="5C891548">
      <w:pPr>
        <w:pStyle w:val="274"/>
        <w:spacing w:line="400" w:lineRule="exact"/>
        <w:ind w:firstLine="420"/>
        <w:jc w:val="left"/>
        <w:rPr>
          <w:rFonts w:ascii="宋体"/>
          <w:color w:val="auto"/>
        </w:rPr>
      </w:pPr>
      <w:r>
        <w:rPr>
          <w:rFonts w:hint="eastAsia" w:ascii="宋体" w:hAnsi="宋体"/>
          <w:color w:val="auto"/>
        </w:rPr>
        <w:t>（7）技术标准和要求；</w:t>
      </w:r>
    </w:p>
    <w:p w14:paraId="53BF6208">
      <w:pPr>
        <w:pStyle w:val="274"/>
        <w:spacing w:line="400" w:lineRule="exact"/>
        <w:ind w:firstLine="420"/>
        <w:jc w:val="left"/>
        <w:rPr>
          <w:rFonts w:ascii="宋体"/>
          <w:color w:val="auto"/>
        </w:rPr>
      </w:pPr>
      <w:r>
        <w:rPr>
          <w:rFonts w:hint="eastAsia" w:ascii="宋体" w:hAnsi="宋体"/>
          <w:color w:val="auto"/>
        </w:rPr>
        <w:t>（8）图纸；</w:t>
      </w:r>
    </w:p>
    <w:p w14:paraId="5E827398">
      <w:pPr>
        <w:pStyle w:val="274"/>
        <w:spacing w:line="400" w:lineRule="exact"/>
        <w:ind w:firstLine="420"/>
        <w:jc w:val="left"/>
        <w:rPr>
          <w:rFonts w:ascii="宋体" w:hAnsi="宋体"/>
          <w:color w:val="auto"/>
        </w:rPr>
      </w:pPr>
      <w:r>
        <w:rPr>
          <w:rFonts w:hint="eastAsia" w:ascii="宋体" w:hAnsi="宋体"/>
          <w:color w:val="auto"/>
        </w:rPr>
        <w:t xml:space="preserve">（9）已标价工程量清单或预算书； </w:t>
      </w:r>
    </w:p>
    <w:p w14:paraId="6FEFA13A">
      <w:pPr>
        <w:pStyle w:val="275"/>
        <w:autoSpaceDE w:val="0"/>
        <w:autoSpaceDN w:val="0"/>
        <w:adjustRightInd w:val="0"/>
        <w:spacing w:line="400" w:lineRule="exact"/>
        <w:ind w:firstLine="420" w:firstLineChars="200"/>
        <w:jc w:val="left"/>
        <w:rPr>
          <w:rFonts w:hAnsi="宋体"/>
          <w:color w:val="auto"/>
        </w:rPr>
      </w:pPr>
      <w:r>
        <w:rPr>
          <w:rFonts w:hint="eastAsia" w:ascii="宋体" w:hAnsi="宋体"/>
          <w:color w:val="auto"/>
        </w:rPr>
        <w:t>（10）招标文件及附件（含所有补充通知）；</w:t>
      </w:r>
    </w:p>
    <w:p w14:paraId="7FFC4AEC">
      <w:pPr>
        <w:pStyle w:val="274"/>
        <w:spacing w:line="400" w:lineRule="exact"/>
        <w:ind w:firstLine="420"/>
        <w:jc w:val="left"/>
        <w:rPr>
          <w:rFonts w:ascii="宋体"/>
          <w:color w:val="auto"/>
          <w:u w:val="single"/>
        </w:rPr>
      </w:pPr>
      <w:r>
        <w:rPr>
          <w:rFonts w:hint="eastAsia" w:ascii="宋体" w:hAnsi="宋体"/>
          <w:color w:val="auto"/>
        </w:rPr>
        <w:t>（11）其他合同文件：</w:t>
      </w:r>
      <w:r>
        <w:rPr>
          <w:rFonts w:hint="eastAsia" w:ascii="宋体" w:hAnsi="宋体"/>
          <w:color w:val="auto"/>
          <w:u w:val="single"/>
        </w:rPr>
        <w:t>合同履行中，发包人与承包人有关工程的洽商、变更等书面协议或文件视为本合同文件的构成部分。</w:t>
      </w:r>
    </w:p>
    <w:p w14:paraId="2D3EA2B9">
      <w:pPr>
        <w:pStyle w:val="273"/>
        <w:spacing w:line="400" w:lineRule="exact"/>
        <w:rPr>
          <w:rFonts w:ascii="宋体"/>
          <w:color w:val="auto"/>
          <w:sz w:val="21"/>
          <w:szCs w:val="21"/>
        </w:rPr>
      </w:pPr>
      <w:r>
        <w:rPr>
          <w:rFonts w:hint="eastAsia" w:ascii="宋体" w:hAnsi="宋体"/>
          <w:color w:val="auto"/>
          <w:sz w:val="21"/>
          <w:szCs w:val="21"/>
        </w:rPr>
        <w:t>1.6 图纸和承包人文件</w:t>
      </w:r>
      <w:r>
        <w:rPr>
          <w:rFonts w:hint="eastAsia" w:ascii="宋体"/>
          <w:color w:val="auto"/>
          <w:sz w:val="21"/>
          <w:szCs w:val="21"/>
        </w:rPr>
        <w:tab/>
      </w:r>
    </w:p>
    <w:p w14:paraId="7B554F10">
      <w:pPr>
        <w:pStyle w:val="274"/>
        <w:spacing w:line="400" w:lineRule="exact"/>
        <w:ind w:firstLine="420"/>
        <w:rPr>
          <w:rFonts w:ascii="宋体"/>
          <w:color w:val="auto"/>
        </w:rPr>
      </w:pPr>
      <w:r>
        <w:rPr>
          <w:rFonts w:hint="eastAsia" w:ascii="宋体" w:hAnsi="宋体"/>
          <w:color w:val="auto"/>
        </w:rPr>
        <w:t>1.6.1 图纸的提供</w:t>
      </w:r>
    </w:p>
    <w:p w14:paraId="4D830522">
      <w:pPr>
        <w:pStyle w:val="274"/>
        <w:spacing w:line="400" w:lineRule="exact"/>
        <w:ind w:firstLine="420"/>
        <w:rPr>
          <w:rFonts w:ascii="宋体"/>
          <w:color w:val="auto"/>
        </w:rPr>
      </w:pPr>
      <w:r>
        <w:rPr>
          <w:rFonts w:hint="eastAsia" w:ascii="宋体" w:hAnsi="宋体"/>
          <w:color w:val="auto"/>
        </w:rPr>
        <w:t>发包人向承包人提供图纸的期限：</w:t>
      </w:r>
      <w:r>
        <w:rPr>
          <w:rFonts w:hint="eastAsia" w:ascii="宋体" w:hAnsi="宋体"/>
          <w:color w:val="auto"/>
          <w:u w:val="single"/>
        </w:rPr>
        <w:t>合同签订前7天内</w:t>
      </w:r>
      <w:r>
        <w:rPr>
          <w:rFonts w:hint="eastAsia" w:ascii="宋体" w:hAnsi="宋体"/>
          <w:color w:val="auto"/>
        </w:rPr>
        <w:t>；</w:t>
      </w:r>
    </w:p>
    <w:p w14:paraId="5F6635F3">
      <w:pPr>
        <w:pStyle w:val="274"/>
        <w:spacing w:line="400" w:lineRule="exact"/>
        <w:ind w:firstLine="420"/>
        <w:rPr>
          <w:rFonts w:ascii="宋体"/>
          <w:color w:val="auto"/>
        </w:rPr>
      </w:pPr>
      <w:r>
        <w:rPr>
          <w:rFonts w:hint="eastAsia" w:ascii="宋体" w:hAnsi="宋体"/>
          <w:color w:val="auto"/>
        </w:rPr>
        <w:t>发包人向承包人提供图纸的数量：</w:t>
      </w:r>
      <w:r>
        <w:rPr>
          <w:rFonts w:hint="eastAsia" w:ascii="宋体" w:hAnsi="宋体"/>
          <w:color w:val="auto"/>
          <w:u w:val="single"/>
        </w:rPr>
        <w:t>免费提供肆套，承包人需要增加图纸套数的，发包人应代为复制，复制费用由承包人承担</w:t>
      </w:r>
      <w:r>
        <w:rPr>
          <w:rFonts w:hint="eastAsia" w:ascii="宋体" w:hAnsi="宋体"/>
          <w:color w:val="auto"/>
        </w:rPr>
        <w:t>；</w:t>
      </w:r>
    </w:p>
    <w:p w14:paraId="45B79646">
      <w:pPr>
        <w:pStyle w:val="274"/>
        <w:spacing w:line="400" w:lineRule="exact"/>
        <w:ind w:firstLine="420"/>
        <w:rPr>
          <w:rFonts w:ascii="宋体"/>
          <w:color w:val="auto"/>
        </w:rPr>
      </w:pPr>
      <w:r>
        <w:rPr>
          <w:rFonts w:hint="eastAsia" w:ascii="宋体" w:hAnsi="宋体"/>
          <w:color w:val="auto"/>
        </w:rPr>
        <w:t>发包人向承包人提供图纸的内容：</w:t>
      </w:r>
      <w:r>
        <w:rPr>
          <w:rFonts w:hint="eastAsia" w:ascii="宋体" w:hAnsi="宋体"/>
          <w:color w:val="auto"/>
          <w:u w:val="single"/>
        </w:rPr>
        <w:t>与本工程有关的设计图纸，详见施工图目录</w:t>
      </w:r>
    </w:p>
    <w:p w14:paraId="564EBAB1">
      <w:pPr>
        <w:pStyle w:val="274"/>
        <w:spacing w:line="400" w:lineRule="exact"/>
        <w:ind w:firstLine="420"/>
        <w:rPr>
          <w:rFonts w:ascii="宋体"/>
          <w:color w:val="auto"/>
        </w:rPr>
      </w:pPr>
      <w:r>
        <w:rPr>
          <w:rFonts w:hint="eastAsia" w:ascii="宋体" w:hAnsi="宋体"/>
          <w:color w:val="auto"/>
        </w:rPr>
        <w:t>1.6.4 承包人文件</w:t>
      </w:r>
    </w:p>
    <w:p w14:paraId="328D7A66">
      <w:pPr>
        <w:pStyle w:val="274"/>
        <w:spacing w:line="400" w:lineRule="exact"/>
        <w:ind w:firstLine="420"/>
        <w:jc w:val="left"/>
        <w:rPr>
          <w:rFonts w:ascii="宋体"/>
          <w:color w:val="auto"/>
          <w:u w:val="single"/>
        </w:rPr>
      </w:pPr>
      <w:r>
        <w:rPr>
          <w:rFonts w:hint="eastAsia" w:ascii="宋体" w:hAnsi="宋体"/>
          <w:color w:val="auto"/>
        </w:rPr>
        <w:t>需要由承包人提供的文件，包括：</w:t>
      </w:r>
      <w:r>
        <w:rPr>
          <w:rFonts w:hint="eastAsia" w:ascii="宋体" w:hAnsi="宋体"/>
          <w:color w:val="auto"/>
          <w:u w:val="single"/>
        </w:rPr>
        <w:t>开工前3天应提供完善施工组织设计（施工组织设计包括不仅限：施工技术方案、安全专项方案保证措施、进度计划、临时设施一览表、劳动一览表、主要施工设备一览表、临时用电一览表、施工总平图、临时用电用水方案）。其他需要由承包人提供的文件由双方另行确定</w:t>
      </w:r>
      <w:r>
        <w:rPr>
          <w:rFonts w:hint="eastAsia" w:ascii="宋体" w:hAnsi="宋体"/>
          <w:color w:val="auto"/>
        </w:rPr>
        <w:t>；</w:t>
      </w:r>
    </w:p>
    <w:p w14:paraId="4637BE84">
      <w:pPr>
        <w:pStyle w:val="279"/>
        <w:rPr>
          <w:rFonts w:ascii="宋体" w:hAnsi="宋体"/>
          <w:color w:val="auto"/>
        </w:rPr>
      </w:pPr>
      <w:r>
        <w:rPr>
          <w:rFonts w:hint="eastAsia" w:ascii="宋体" w:hAnsi="宋体"/>
          <w:color w:val="auto"/>
        </w:rPr>
        <w:t xml:space="preserve"> </w:t>
      </w:r>
    </w:p>
    <w:p w14:paraId="2EB15081">
      <w:pPr>
        <w:pStyle w:val="274"/>
        <w:spacing w:line="400" w:lineRule="exact"/>
        <w:ind w:firstLine="420"/>
        <w:rPr>
          <w:rFonts w:ascii="宋体"/>
          <w:color w:val="auto"/>
        </w:rPr>
      </w:pPr>
      <w:r>
        <w:rPr>
          <w:rFonts w:hint="eastAsia" w:ascii="宋体" w:hAnsi="宋体"/>
          <w:color w:val="auto"/>
        </w:rPr>
        <w:t>承包人提供的文件的期限为：</w:t>
      </w:r>
      <w:r>
        <w:rPr>
          <w:rFonts w:hint="eastAsia" w:ascii="宋体" w:hAnsi="宋体"/>
          <w:color w:val="auto"/>
          <w:u w:val="single"/>
        </w:rPr>
        <w:t xml:space="preserve">  在进入下一阶段或分项工程施工前7天内   </w:t>
      </w:r>
      <w:r>
        <w:rPr>
          <w:rFonts w:hint="eastAsia" w:ascii="宋体" w:hAnsi="宋体"/>
          <w:color w:val="auto"/>
        </w:rPr>
        <w:t>；</w:t>
      </w:r>
    </w:p>
    <w:p w14:paraId="414AEB1F">
      <w:pPr>
        <w:pStyle w:val="274"/>
        <w:spacing w:line="400" w:lineRule="exact"/>
        <w:ind w:firstLine="420"/>
        <w:rPr>
          <w:rFonts w:ascii="宋体"/>
          <w:color w:val="auto"/>
        </w:rPr>
      </w:pPr>
      <w:r>
        <w:rPr>
          <w:rFonts w:hint="eastAsia" w:ascii="宋体" w:hAnsi="宋体"/>
          <w:color w:val="auto"/>
        </w:rPr>
        <w:t>承包人提供的文件的数量为：</w:t>
      </w:r>
      <w:r>
        <w:rPr>
          <w:rFonts w:hint="eastAsia" w:ascii="宋体" w:hAnsi="宋体"/>
          <w:color w:val="auto"/>
          <w:u w:val="single"/>
        </w:rPr>
        <w:t xml:space="preserve">一式四份         </w:t>
      </w:r>
      <w:r>
        <w:rPr>
          <w:rFonts w:hint="eastAsia" w:ascii="宋体" w:hAnsi="宋体"/>
          <w:color w:val="auto"/>
        </w:rPr>
        <w:t>；</w:t>
      </w:r>
    </w:p>
    <w:p w14:paraId="4862B7B9">
      <w:pPr>
        <w:pStyle w:val="274"/>
        <w:spacing w:line="400" w:lineRule="exact"/>
        <w:ind w:firstLine="420"/>
        <w:rPr>
          <w:rFonts w:ascii="宋体"/>
          <w:color w:val="auto"/>
        </w:rPr>
      </w:pPr>
      <w:r>
        <w:rPr>
          <w:rFonts w:hint="eastAsia" w:ascii="宋体" w:hAnsi="宋体"/>
          <w:color w:val="auto"/>
        </w:rPr>
        <w:t>承包人提供的文件的形式为：</w:t>
      </w:r>
      <w:r>
        <w:rPr>
          <w:rFonts w:hint="eastAsia" w:ascii="宋体" w:hAnsi="宋体"/>
          <w:color w:val="auto"/>
          <w:u w:val="single"/>
        </w:rPr>
        <w:t xml:space="preserve">     书面形式    </w:t>
      </w:r>
      <w:r>
        <w:rPr>
          <w:rFonts w:hint="eastAsia" w:ascii="宋体" w:hAnsi="宋体"/>
          <w:color w:val="auto"/>
        </w:rPr>
        <w:t>；</w:t>
      </w:r>
    </w:p>
    <w:p w14:paraId="525ADB46">
      <w:pPr>
        <w:pStyle w:val="274"/>
        <w:spacing w:line="400" w:lineRule="exact"/>
        <w:ind w:firstLine="420"/>
        <w:rPr>
          <w:rFonts w:ascii="宋体"/>
          <w:color w:val="auto"/>
        </w:rPr>
      </w:pPr>
      <w:r>
        <w:rPr>
          <w:rFonts w:hint="eastAsia" w:ascii="宋体" w:hAnsi="宋体"/>
          <w:color w:val="auto"/>
        </w:rPr>
        <w:t>发包人审批承包人文件的期限：</w:t>
      </w:r>
      <w:r>
        <w:rPr>
          <w:rFonts w:hint="eastAsia" w:ascii="宋体" w:hAnsi="宋体"/>
          <w:color w:val="auto"/>
          <w:u w:val="single"/>
        </w:rPr>
        <w:t xml:space="preserve">  收到承包人报送的相关文件之日起7日内，逾期视为已确认</w:t>
      </w:r>
      <w:r>
        <w:rPr>
          <w:rFonts w:hint="eastAsia" w:ascii="宋体" w:hAnsi="宋体"/>
          <w:color w:val="auto"/>
        </w:rPr>
        <w:t>。</w:t>
      </w:r>
    </w:p>
    <w:p w14:paraId="6F5C0A86">
      <w:pPr>
        <w:pStyle w:val="274"/>
        <w:spacing w:line="400" w:lineRule="exact"/>
        <w:ind w:firstLine="420"/>
        <w:rPr>
          <w:rFonts w:ascii="宋体"/>
          <w:color w:val="auto"/>
        </w:rPr>
      </w:pPr>
      <w:r>
        <w:rPr>
          <w:rFonts w:hint="eastAsia" w:ascii="宋体" w:hAnsi="宋体"/>
          <w:color w:val="auto"/>
        </w:rPr>
        <w:t>1.6.5 现场图纸准备</w:t>
      </w:r>
    </w:p>
    <w:p w14:paraId="34EAD093">
      <w:pPr>
        <w:pStyle w:val="274"/>
        <w:spacing w:line="400" w:lineRule="exact"/>
        <w:ind w:firstLine="420"/>
        <w:rPr>
          <w:rFonts w:ascii="宋体"/>
          <w:color w:val="auto"/>
        </w:rPr>
      </w:pPr>
      <w:r>
        <w:rPr>
          <w:rFonts w:hint="eastAsia" w:ascii="宋体" w:hAnsi="宋体"/>
          <w:color w:val="auto"/>
        </w:rPr>
        <w:t>关于现场图纸准备的约定：1、</w:t>
      </w:r>
      <w:r>
        <w:rPr>
          <w:rFonts w:hint="eastAsia" w:ascii="宋体" w:hAnsi="宋体"/>
          <w:color w:val="auto"/>
          <w:u w:val="single"/>
        </w:rPr>
        <w:t>承包人在项目部办公室备一套完整的施工图，以备监理和发包人查看；2、承包人在开工前3天内进行图纸会审，会审时由设计单位做设计技术交底</w:t>
      </w:r>
      <w:r>
        <w:rPr>
          <w:rFonts w:hint="eastAsia" w:ascii="宋体" w:hAnsi="宋体"/>
          <w:color w:val="auto"/>
        </w:rPr>
        <w:t>。</w:t>
      </w:r>
    </w:p>
    <w:p w14:paraId="6C8A5A68">
      <w:pPr>
        <w:pStyle w:val="273"/>
        <w:spacing w:line="400" w:lineRule="exact"/>
        <w:rPr>
          <w:rFonts w:ascii="宋体" w:hAnsi="宋体"/>
          <w:color w:val="auto"/>
          <w:sz w:val="21"/>
          <w:szCs w:val="21"/>
        </w:rPr>
      </w:pPr>
      <w:r>
        <w:rPr>
          <w:rFonts w:hint="eastAsia" w:ascii="宋体" w:hAnsi="宋体"/>
          <w:color w:val="auto"/>
          <w:sz w:val="21"/>
          <w:szCs w:val="21"/>
        </w:rPr>
        <w:t>1.7 联络</w:t>
      </w:r>
    </w:p>
    <w:p w14:paraId="21B9904A">
      <w:pPr>
        <w:pStyle w:val="274"/>
        <w:spacing w:line="400" w:lineRule="exact"/>
        <w:ind w:firstLine="420"/>
        <w:rPr>
          <w:rFonts w:ascii="宋体"/>
          <w:color w:val="auto"/>
          <w:kern w:val="0"/>
        </w:rPr>
      </w:pPr>
      <w:r>
        <w:rPr>
          <w:rFonts w:hint="eastAsia" w:ascii="宋体" w:hAnsi="宋体"/>
          <w:color w:val="auto"/>
          <w:kern w:val="0"/>
        </w:rPr>
        <w:t>1.7.1发包人和承包人应当在</w:t>
      </w:r>
      <w:r>
        <w:rPr>
          <w:rFonts w:hint="eastAsia" w:ascii="宋体" w:hAnsi="宋体"/>
          <w:color w:val="auto"/>
          <w:u w:val="single"/>
        </w:rPr>
        <w:t>3</w:t>
      </w:r>
      <w:r>
        <w:rPr>
          <w:rFonts w:hint="eastAsia" w:ascii="宋体" w:hAnsi="宋体"/>
          <w:color w:val="auto"/>
          <w:kern w:val="0"/>
        </w:rPr>
        <w:t>天内将与合同有关的通知、批准、证明、证书、指示、指令、要求、请求、同意、意见、确定和决定等书面函件送达对方当事人。</w:t>
      </w:r>
    </w:p>
    <w:p w14:paraId="7D8E7F03">
      <w:pPr>
        <w:pStyle w:val="274"/>
        <w:spacing w:line="400" w:lineRule="exact"/>
        <w:ind w:firstLine="420"/>
        <w:rPr>
          <w:rFonts w:ascii="宋体"/>
          <w:color w:val="auto"/>
          <w:kern w:val="0"/>
        </w:rPr>
      </w:pPr>
      <w:r>
        <w:rPr>
          <w:rFonts w:hint="eastAsia" w:ascii="宋体" w:hAnsi="宋体"/>
          <w:color w:val="auto"/>
          <w:kern w:val="0"/>
        </w:rPr>
        <w:t>1.7.2 发包人接收文件的地点：</w:t>
      </w:r>
      <w:r>
        <w:rPr>
          <w:rFonts w:hint="eastAsia" w:ascii="宋体" w:hAnsi="宋体"/>
          <w:color w:val="auto"/>
          <w:u w:val="single"/>
        </w:rPr>
        <w:t>基建处</w:t>
      </w:r>
      <w:r>
        <w:rPr>
          <w:rFonts w:hint="eastAsia" w:ascii="宋体" w:hAnsi="宋体"/>
          <w:color w:val="auto"/>
          <w:kern w:val="0"/>
        </w:rPr>
        <w:t>；</w:t>
      </w:r>
    </w:p>
    <w:p w14:paraId="0AFE0B31">
      <w:pPr>
        <w:pStyle w:val="274"/>
        <w:spacing w:line="400" w:lineRule="exact"/>
        <w:ind w:firstLine="420"/>
        <w:rPr>
          <w:rFonts w:ascii="宋体"/>
          <w:color w:val="auto"/>
          <w:kern w:val="0"/>
        </w:rPr>
      </w:pPr>
      <w:r>
        <w:rPr>
          <w:rFonts w:hint="eastAsia" w:ascii="宋体" w:hAnsi="宋体"/>
          <w:color w:val="auto"/>
          <w:kern w:val="0"/>
        </w:rPr>
        <w:t>发包人指定的接收人为：</w:t>
      </w:r>
      <w:r>
        <w:rPr>
          <w:rFonts w:hint="eastAsia" w:ascii="宋体" w:hAnsi="宋体"/>
          <w:color w:val="auto"/>
          <w:u w:val="single"/>
        </w:rPr>
        <w:t>发包人项目负责人</w:t>
      </w:r>
      <w:r>
        <w:rPr>
          <w:rFonts w:hint="eastAsia" w:ascii="宋体" w:hAnsi="宋体"/>
          <w:color w:val="auto"/>
          <w:kern w:val="0"/>
        </w:rPr>
        <w:t>。</w:t>
      </w:r>
    </w:p>
    <w:p w14:paraId="23908329">
      <w:pPr>
        <w:pStyle w:val="274"/>
        <w:spacing w:line="400" w:lineRule="exact"/>
        <w:ind w:firstLine="420"/>
        <w:rPr>
          <w:rFonts w:ascii="宋体"/>
          <w:color w:val="auto"/>
          <w:kern w:val="0"/>
        </w:rPr>
      </w:pPr>
      <w:r>
        <w:rPr>
          <w:rFonts w:hint="eastAsia" w:ascii="宋体" w:hAnsi="宋体"/>
          <w:color w:val="auto"/>
          <w:kern w:val="0"/>
        </w:rPr>
        <w:t>承包人接收文件的地点：</w:t>
      </w:r>
      <w:r>
        <w:rPr>
          <w:rFonts w:hint="eastAsia" w:ascii="宋体" w:hAnsi="宋体"/>
          <w:color w:val="auto"/>
          <w:u w:val="single"/>
        </w:rPr>
        <w:t>施工现场项目经理室</w:t>
      </w:r>
      <w:r>
        <w:rPr>
          <w:rFonts w:hint="eastAsia" w:ascii="宋体" w:hAnsi="宋体"/>
          <w:color w:val="auto"/>
          <w:kern w:val="0"/>
        </w:rPr>
        <w:t>；</w:t>
      </w:r>
    </w:p>
    <w:p w14:paraId="1ECFE488">
      <w:pPr>
        <w:pStyle w:val="274"/>
        <w:spacing w:line="400" w:lineRule="exact"/>
        <w:ind w:firstLine="420"/>
        <w:rPr>
          <w:rFonts w:ascii="宋体"/>
          <w:color w:val="auto"/>
          <w:kern w:val="0"/>
        </w:rPr>
      </w:pPr>
      <w:r>
        <w:rPr>
          <w:rFonts w:hint="eastAsia" w:ascii="宋体" w:hAnsi="宋体"/>
          <w:color w:val="auto"/>
          <w:kern w:val="0"/>
        </w:rPr>
        <w:t>承包人指定的接收人为：</w:t>
      </w:r>
      <w:r>
        <w:rPr>
          <w:rFonts w:hint="eastAsia" w:ascii="宋体" w:hAnsi="宋体"/>
          <w:color w:val="auto"/>
          <w:kern w:val="0"/>
          <w:u w:val="single"/>
        </w:rPr>
        <w:t>承包人现场负责人</w:t>
      </w:r>
      <w:r>
        <w:rPr>
          <w:rFonts w:hint="eastAsia" w:ascii="宋体" w:hAnsi="宋体"/>
          <w:color w:val="auto"/>
          <w:kern w:val="0"/>
        </w:rPr>
        <w:t>。</w:t>
      </w:r>
    </w:p>
    <w:p w14:paraId="08B8BAA7">
      <w:pPr>
        <w:pStyle w:val="274"/>
        <w:spacing w:line="400" w:lineRule="exact"/>
        <w:ind w:firstLine="420"/>
        <w:rPr>
          <w:rFonts w:ascii="宋体"/>
          <w:color w:val="auto"/>
          <w:kern w:val="0"/>
        </w:rPr>
      </w:pPr>
      <w:r>
        <w:rPr>
          <w:rFonts w:hint="eastAsia" w:ascii="宋体" w:hAnsi="宋体"/>
          <w:color w:val="auto"/>
          <w:kern w:val="0"/>
        </w:rPr>
        <w:t>监理人接收文件的地点：</w:t>
      </w:r>
      <w:r>
        <w:rPr>
          <w:rFonts w:hint="eastAsia" w:ascii="宋体" w:hAnsi="宋体"/>
          <w:color w:val="auto"/>
          <w:u w:val="single"/>
        </w:rPr>
        <w:t>施工现场总监理工程师办公室</w:t>
      </w:r>
      <w:r>
        <w:rPr>
          <w:rFonts w:hint="eastAsia" w:ascii="宋体" w:hAnsi="宋体"/>
          <w:color w:val="auto"/>
          <w:kern w:val="0"/>
        </w:rPr>
        <w:t>；</w:t>
      </w:r>
    </w:p>
    <w:p w14:paraId="39C594F2">
      <w:pPr>
        <w:pStyle w:val="274"/>
        <w:spacing w:line="400" w:lineRule="exact"/>
        <w:ind w:firstLine="420"/>
        <w:rPr>
          <w:rFonts w:ascii="宋体"/>
          <w:color w:val="auto"/>
          <w:kern w:val="0"/>
        </w:rPr>
      </w:pPr>
      <w:r>
        <w:rPr>
          <w:rFonts w:hint="eastAsia" w:ascii="宋体" w:hAnsi="宋体"/>
          <w:color w:val="auto"/>
          <w:kern w:val="0"/>
        </w:rPr>
        <w:t>监理人指定的接收人为：</w:t>
      </w:r>
      <w:r>
        <w:rPr>
          <w:rFonts w:hint="eastAsia" w:ascii="宋体" w:hAnsi="宋体"/>
          <w:color w:val="auto"/>
          <w:u w:val="single"/>
        </w:rPr>
        <w:t>项目总监理工程师</w:t>
      </w:r>
      <w:r>
        <w:rPr>
          <w:rFonts w:hint="eastAsia" w:ascii="宋体" w:hAnsi="宋体"/>
          <w:color w:val="auto"/>
          <w:kern w:val="0"/>
        </w:rPr>
        <w:t>。</w:t>
      </w:r>
    </w:p>
    <w:p w14:paraId="571FEA8C">
      <w:pPr>
        <w:pStyle w:val="273"/>
        <w:spacing w:line="400" w:lineRule="exact"/>
        <w:rPr>
          <w:rFonts w:ascii="宋体"/>
          <w:color w:val="auto"/>
          <w:sz w:val="21"/>
          <w:szCs w:val="21"/>
        </w:rPr>
      </w:pPr>
      <w:r>
        <w:rPr>
          <w:rFonts w:hint="eastAsia" w:ascii="宋体" w:hAnsi="宋体"/>
          <w:color w:val="auto"/>
          <w:sz w:val="21"/>
          <w:szCs w:val="21"/>
        </w:rPr>
        <w:t>1.10 交通运输</w:t>
      </w:r>
    </w:p>
    <w:p w14:paraId="111401CB">
      <w:pPr>
        <w:pStyle w:val="274"/>
        <w:spacing w:line="400" w:lineRule="exact"/>
        <w:ind w:firstLine="420"/>
        <w:rPr>
          <w:rFonts w:ascii="宋体"/>
          <w:color w:val="auto"/>
        </w:rPr>
      </w:pPr>
      <w:r>
        <w:rPr>
          <w:rFonts w:hint="eastAsia" w:ascii="宋体" w:hAnsi="宋体"/>
          <w:color w:val="auto"/>
        </w:rPr>
        <w:t>1.10.1 出入现场的权利</w:t>
      </w:r>
    </w:p>
    <w:p w14:paraId="68E0821D">
      <w:pPr>
        <w:pStyle w:val="274"/>
        <w:spacing w:line="400" w:lineRule="exact"/>
        <w:ind w:left="596"/>
        <w:rPr>
          <w:rFonts w:ascii="宋体"/>
          <w:color w:val="auto"/>
          <w:u w:val="single"/>
        </w:rPr>
      </w:pPr>
      <w:r>
        <w:rPr>
          <w:rFonts w:hint="eastAsia" w:ascii="宋体" w:hAnsi="宋体"/>
          <w:color w:val="auto"/>
        </w:rPr>
        <w:t>关于出入现场的权利的约定：</w:t>
      </w:r>
      <w:r>
        <w:rPr>
          <w:rFonts w:hint="eastAsia" w:ascii="宋体" w:hAnsi="宋体"/>
          <w:color w:val="auto"/>
          <w:u w:val="single"/>
        </w:rPr>
        <w:t>承包人与发包人另行协商</w:t>
      </w:r>
      <w:r>
        <w:rPr>
          <w:rFonts w:hint="eastAsia" w:ascii="宋体" w:hAnsi="宋体"/>
          <w:color w:val="auto"/>
        </w:rPr>
        <w:t>。</w:t>
      </w:r>
    </w:p>
    <w:p w14:paraId="74A87206">
      <w:pPr>
        <w:pStyle w:val="273"/>
        <w:spacing w:line="400" w:lineRule="exact"/>
        <w:rPr>
          <w:rFonts w:ascii="宋体"/>
          <w:color w:val="auto"/>
          <w:sz w:val="21"/>
          <w:szCs w:val="21"/>
        </w:rPr>
      </w:pPr>
      <w:r>
        <w:rPr>
          <w:rFonts w:hint="eastAsia" w:ascii="宋体" w:hAnsi="宋体"/>
          <w:color w:val="auto"/>
          <w:sz w:val="21"/>
          <w:szCs w:val="21"/>
        </w:rPr>
        <w:t>1.11 知识产权</w:t>
      </w:r>
    </w:p>
    <w:p w14:paraId="64D3D013">
      <w:pPr>
        <w:pStyle w:val="274"/>
        <w:spacing w:line="400" w:lineRule="exact"/>
        <w:rPr>
          <w:rFonts w:ascii="宋体"/>
          <w:color w:val="auto"/>
        </w:rPr>
      </w:pPr>
      <w:r>
        <w:rPr>
          <w:rFonts w:hint="eastAsia" w:ascii="宋体" w:hAnsi="宋体"/>
          <w:color w:val="auto"/>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u w:val="single"/>
        </w:rPr>
        <w:t>发包人</w:t>
      </w:r>
      <w:r>
        <w:rPr>
          <w:rFonts w:hint="eastAsia" w:ascii="宋体" w:hAnsi="宋体"/>
          <w:color w:val="auto"/>
        </w:rPr>
        <w:t>。</w:t>
      </w:r>
    </w:p>
    <w:p w14:paraId="64CD6089">
      <w:pPr>
        <w:pStyle w:val="274"/>
        <w:spacing w:line="400" w:lineRule="exact"/>
        <w:ind w:left="596"/>
        <w:rPr>
          <w:rFonts w:ascii="宋体"/>
          <w:color w:val="auto"/>
        </w:rPr>
      </w:pPr>
      <w:r>
        <w:rPr>
          <w:rFonts w:hint="eastAsia" w:ascii="宋体" w:hAnsi="宋体"/>
          <w:color w:val="auto"/>
        </w:rPr>
        <w:t>关于发包人提供的上述文件的使用限制的要求：</w:t>
      </w:r>
      <w:r>
        <w:rPr>
          <w:rFonts w:hint="eastAsia" w:ascii="宋体" w:hAnsi="宋体"/>
          <w:color w:val="auto"/>
          <w:u w:val="single"/>
        </w:rPr>
        <w:t>仅用于本项目施工</w:t>
      </w:r>
      <w:r>
        <w:rPr>
          <w:rFonts w:hint="eastAsia" w:ascii="宋体" w:hAnsi="宋体"/>
          <w:color w:val="auto"/>
        </w:rPr>
        <w:t>。</w:t>
      </w:r>
    </w:p>
    <w:p w14:paraId="6818C466">
      <w:pPr>
        <w:pStyle w:val="274"/>
        <w:spacing w:line="400" w:lineRule="exact"/>
        <w:ind w:left="596"/>
        <w:rPr>
          <w:rFonts w:ascii="宋体"/>
          <w:color w:val="auto"/>
        </w:rPr>
      </w:pPr>
      <w:r>
        <w:rPr>
          <w:rFonts w:hint="eastAsia" w:ascii="宋体" w:hAnsi="宋体"/>
          <w:color w:val="auto"/>
        </w:rPr>
        <w:t>1.11.2 关于承包人为实施工程所编制文件的著作权的归属：承包人。</w:t>
      </w:r>
    </w:p>
    <w:p w14:paraId="15A18B0B">
      <w:pPr>
        <w:pStyle w:val="274"/>
        <w:spacing w:line="400" w:lineRule="exact"/>
        <w:ind w:firstLine="420"/>
        <w:rPr>
          <w:rFonts w:ascii="宋体"/>
          <w:color w:val="auto"/>
          <w:u w:val="single"/>
        </w:rPr>
      </w:pPr>
      <w:r>
        <w:rPr>
          <w:rFonts w:hint="eastAsia" w:ascii="宋体" w:hAnsi="宋体"/>
          <w:color w:val="auto"/>
        </w:rPr>
        <w:t>关于承包人提供的上述文件的使用限制的要求：</w:t>
      </w:r>
      <w:r>
        <w:rPr>
          <w:rFonts w:hint="eastAsia" w:ascii="宋体" w:hAnsi="宋体"/>
          <w:color w:val="auto"/>
          <w:u w:val="single"/>
        </w:rPr>
        <w:t>仅用于本项目施工</w:t>
      </w:r>
      <w:r>
        <w:rPr>
          <w:rFonts w:hint="eastAsia" w:ascii="宋体" w:hAnsi="宋体"/>
          <w:color w:val="auto"/>
        </w:rPr>
        <w:t>。</w:t>
      </w:r>
    </w:p>
    <w:p w14:paraId="4788B55D">
      <w:pPr>
        <w:pStyle w:val="274"/>
        <w:spacing w:line="400" w:lineRule="exact"/>
        <w:ind w:firstLine="420"/>
        <w:rPr>
          <w:rFonts w:ascii="宋体"/>
          <w:color w:val="auto"/>
          <w:kern w:val="0"/>
        </w:rPr>
      </w:pPr>
      <w:r>
        <w:rPr>
          <w:rFonts w:hint="eastAsia" w:ascii="宋体" w:hAnsi="宋体"/>
          <w:color w:val="auto"/>
        </w:rPr>
        <w:t>1.11.4 承包人在施工过程中所采用的专利、专有技术、技术秘密的使用费的承担方式：</w:t>
      </w:r>
      <w:r>
        <w:rPr>
          <w:rFonts w:hint="eastAsia" w:ascii="宋体" w:hAnsi="宋体"/>
          <w:color w:val="auto"/>
          <w:u w:val="single"/>
        </w:rPr>
        <w:t>无</w:t>
      </w:r>
      <w:r>
        <w:rPr>
          <w:rFonts w:hint="eastAsia" w:ascii="宋体" w:hAnsi="宋体"/>
          <w:color w:val="auto"/>
          <w:kern w:val="0"/>
        </w:rPr>
        <w:t>。</w:t>
      </w:r>
    </w:p>
    <w:p w14:paraId="1EA4C3EB">
      <w:pPr>
        <w:pStyle w:val="273"/>
        <w:spacing w:line="400" w:lineRule="exact"/>
        <w:rPr>
          <w:rFonts w:ascii="宋体"/>
          <w:color w:val="auto"/>
          <w:sz w:val="21"/>
          <w:szCs w:val="21"/>
        </w:rPr>
      </w:pPr>
      <w:r>
        <w:rPr>
          <w:rFonts w:hint="eastAsia" w:ascii="宋体" w:hAnsi="宋体"/>
          <w:color w:val="auto"/>
          <w:sz w:val="21"/>
          <w:szCs w:val="21"/>
        </w:rPr>
        <w:t>1.13工程量清单错误的修正</w:t>
      </w:r>
    </w:p>
    <w:p w14:paraId="3EC87ADF">
      <w:pPr>
        <w:pStyle w:val="274"/>
        <w:spacing w:line="400" w:lineRule="exact"/>
        <w:ind w:firstLine="420"/>
        <w:rPr>
          <w:rFonts w:hAnsi="宋体"/>
          <w:color w:val="auto"/>
          <w:u w:val="single"/>
        </w:rPr>
      </w:pPr>
      <w:r>
        <w:rPr>
          <w:rFonts w:hint="eastAsia" w:ascii="宋体" w:hAnsi="宋体"/>
          <w:color w:val="auto"/>
          <w:u w:val="single"/>
        </w:rPr>
        <w:t>发包人提供的工程量清单，出现下列情形之一时，发包人应予以修正，并相应调整合同价格：</w:t>
      </w:r>
    </w:p>
    <w:p w14:paraId="211E2DD7">
      <w:pPr>
        <w:pStyle w:val="274"/>
        <w:spacing w:line="400" w:lineRule="exact"/>
        <w:ind w:firstLine="420"/>
        <w:rPr>
          <w:rFonts w:hAnsi="宋体"/>
          <w:color w:val="auto"/>
          <w:u w:val="single"/>
        </w:rPr>
      </w:pPr>
      <w:r>
        <w:rPr>
          <w:rFonts w:hint="eastAsia" w:ascii="宋体" w:hAnsi="宋体"/>
          <w:color w:val="auto"/>
          <w:u w:val="single"/>
        </w:rPr>
        <w:t>（</w:t>
      </w:r>
      <w:r>
        <w:rPr>
          <w:rFonts w:hint="eastAsia" w:hAnsi="宋体"/>
          <w:color w:val="auto"/>
          <w:u w:val="single"/>
        </w:rPr>
        <w:t>1</w:t>
      </w:r>
      <w:r>
        <w:rPr>
          <w:rFonts w:hint="eastAsia" w:ascii="宋体" w:hAnsi="宋体"/>
          <w:color w:val="auto"/>
          <w:u w:val="single"/>
        </w:rPr>
        <w:t>）工程量清单存在缺项、漏项的</w:t>
      </w:r>
      <w:r>
        <w:rPr>
          <w:rFonts w:hint="eastAsia" w:ascii="宋体" w:hAnsi="宋体"/>
          <w:color w:val="auto"/>
        </w:rPr>
        <w:t>；</w:t>
      </w:r>
    </w:p>
    <w:p w14:paraId="2284FAE0">
      <w:pPr>
        <w:pStyle w:val="274"/>
        <w:spacing w:line="400" w:lineRule="exact"/>
        <w:ind w:firstLine="420"/>
        <w:rPr>
          <w:rFonts w:hAnsi="宋体"/>
          <w:color w:val="auto"/>
          <w:u w:val="single"/>
        </w:rPr>
      </w:pPr>
      <w:r>
        <w:rPr>
          <w:rFonts w:hint="eastAsia" w:ascii="宋体" w:hAnsi="宋体"/>
          <w:color w:val="auto"/>
          <w:u w:val="single"/>
        </w:rPr>
        <w:t>（</w:t>
      </w:r>
      <w:r>
        <w:rPr>
          <w:rFonts w:hint="eastAsia" w:hAnsi="宋体"/>
          <w:color w:val="auto"/>
          <w:u w:val="single"/>
        </w:rPr>
        <w:t>2</w:t>
      </w:r>
      <w:r>
        <w:rPr>
          <w:rFonts w:hint="eastAsia" w:ascii="宋体" w:hAnsi="宋体"/>
          <w:color w:val="auto"/>
          <w:u w:val="single"/>
        </w:rPr>
        <w:t>）工程量清单偏差超出专用合同条款约定的工程量偏差范围的</w:t>
      </w:r>
      <w:r>
        <w:rPr>
          <w:rFonts w:hint="eastAsia" w:ascii="宋体" w:hAnsi="宋体"/>
          <w:color w:val="auto"/>
        </w:rPr>
        <w:t>；</w:t>
      </w:r>
    </w:p>
    <w:p w14:paraId="260A6912">
      <w:pPr>
        <w:pStyle w:val="274"/>
        <w:spacing w:line="400" w:lineRule="exact"/>
        <w:ind w:firstLine="420"/>
        <w:rPr>
          <w:rFonts w:hAnsi="宋体"/>
          <w:color w:val="auto"/>
          <w:u w:val="single"/>
        </w:rPr>
      </w:pPr>
      <w:r>
        <w:rPr>
          <w:rFonts w:hint="eastAsia" w:ascii="宋体" w:hAnsi="宋体"/>
          <w:color w:val="auto"/>
          <w:u w:val="single"/>
        </w:rPr>
        <w:t>（</w:t>
      </w:r>
      <w:r>
        <w:rPr>
          <w:rFonts w:hint="eastAsia" w:hAnsi="宋体"/>
          <w:color w:val="auto"/>
          <w:u w:val="single"/>
        </w:rPr>
        <w:t>3</w:t>
      </w:r>
      <w:r>
        <w:rPr>
          <w:rFonts w:hint="eastAsia" w:ascii="宋体" w:hAnsi="宋体"/>
          <w:color w:val="auto"/>
          <w:u w:val="single"/>
        </w:rPr>
        <w:t>）未按照国家现行计量规范强制性规定计量的</w:t>
      </w:r>
      <w:r>
        <w:rPr>
          <w:rFonts w:hint="eastAsia" w:ascii="宋体" w:hAnsi="宋体"/>
          <w:color w:val="auto"/>
        </w:rPr>
        <w:t>。</w:t>
      </w:r>
    </w:p>
    <w:p w14:paraId="07C2A424">
      <w:pPr>
        <w:pStyle w:val="274"/>
        <w:spacing w:line="400" w:lineRule="exact"/>
        <w:ind w:firstLine="420"/>
        <w:rPr>
          <w:rFonts w:hAnsi="宋体"/>
          <w:color w:val="auto"/>
          <w:kern w:val="0"/>
        </w:rPr>
      </w:pPr>
      <w:r>
        <w:rPr>
          <w:rFonts w:hint="eastAsia" w:ascii="宋体" w:hAnsi="宋体"/>
          <w:color w:val="auto"/>
          <w:u w:val="single"/>
        </w:rPr>
        <w:t>允许调整合同价格的工程量偏差范围及其调整办法：按第</w:t>
      </w:r>
      <w:r>
        <w:rPr>
          <w:rFonts w:hint="eastAsia" w:hAnsi="宋体"/>
          <w:color w:val="auto"/>
          <w:u w:val="single"/>
        </w:rPr>
        <w:t>12.1</w:t>
      </w:r>
      <w:r>
        <w:rPr>
          <w:rFonts w:hint="eastAsia" w:ascii="宋体" w:hAnsi="宋体"/>
          <w:color w:val="auto"/>
          <w:u w:val="single"/>
        </w:rPr>
        <w:t>款执行</w:t>
      </w:r>
      <w:r>
        <w:rPr>
          <w:rFonts w:hint="eastAsia" w:ascii="宋体" w:hAnsi="宋体"/>
          <w:color w:val="auto"/>
        </w:rPr>
        <w:t>。</w:t>
      </w:r>
    </w:p>
    <w:p w14:paraId="5C88AC3C">
      <w:pPr>
        <w:pStyle w:val="274"/>
        <w:spacing w:line="400" w:lineRule="exact"/>
        <w:ind w:firstLine="420"/>
        <w:rPr>
          <w:rFonts w:ascii="宋体"/>
          <w:color w:val="auto"/>
          <w:u w:val="single"/>
        </w:rPr>
      </w:pPr>
      <w:r>
        <w:rPr>
          <w:rFonts w:hint="eastAsia" w:ascii="宋体"/>
          <w:color w:val="auto"/>
          <w:u w:val="single"/>
        </w:rPr>
        <w:t xml:space="preserve"> </w:t>
      </w:r>
    </w:p>
    <w:p w14:paraId="4A9A033E">
      <w:pPr>
        <w:pStyle w:val="273"/>
        <w:spacing w:line="400" w:lineRule="exact"/>
        <w:rPr>
          <w:rFonts w:ascii="宋体"/>
          <w:color w:val="auto"/>
          <w:sz w:val="21"/>
          <w:szCs w:val="21"/>
        </w:rPr>
      </w:pPr>
      <w:r>
        <w:rPr>
          <w:rFonts w:hint="eastAsia" w:ascii="宋体" w:hAnsi="宋体"/>
          <w:color w:val="auto"/>
          <w:sz w:val="21"/>
          <w:szCs w:val="21"/>
        </w:rPr>
        <w:t>2. 发包人</w:t>
      </w:r>
    </w:p>
    <w:p w14:paraId="3B1F582D">
      <w:pPr>
        <w:pStyle w:val="273"/>
        <w:spacing w:line="400" w:lineRule="exact"/>
        <w:rPr>
          <w:rFonts w:ascii="宋体"/>
          <w:color w:val="auto"/>
          <w:sz w:val="21"/>
          <w:szCs w:val="21"/>
        </w:rPr>
      </w:pPr>
      <w:r>
        <w:rPr>
          <w:rFonts w:hint="eastAsia" w:ascii="宋体" w:hAnsi="宋体"/>
          <w:color w:val="auto"/>
          <w:sz w:val="21"/>
          <w:szCs w:val="21"/>
        </w:rPr>
        <w:t>2.2 发包人代表</w:t>
      </w:r>
    </w:p>
    <w:p w14:paraId="3E68F229">
      <w:pPr>
        <w:pStyle w:val="274"/>
        <w:spacing w:line="400" w:lineRule="exact"/>
        <w:ind w:firstLine="420"/>
        <w:rPr>
          <w:rFonts w:ascii="宋体"/>
          <w:color w:val="auto"/>
        </w:rPr>
      </w:pPr>
      <w:r>
        <w:rPr>
          <w:rFonts w:hint="eastAsia" w:ascii="宋体" w:hAnsi="宋体"/>
          <w:color w:val="auto"/>
        </w:rPr>
        <w:t>发包人代表：</w:t>
      </w:r>
    </w:p>
    <w:p w14:paraId="1D73C0C1">
      <w:pPr>
        <w:pStyle w:val="274"/>
        <w:spacing w:line="400" w:lineRule="exact"/>
        <w:ind w:firstLine="420"/>
        <w:rPr>
          <w:rFonts w:ascii="宋体"/>
          <w:color w:val="auto"/>
        </w:rPr>
      </w:pPr>
      <w:r>
        <w:rPr>
          <w:rFonts w:hint="eastAsia" w:ascii="宋体" w:hAnsi="宋体"/>
          <w:color w:val="auto"/>
        </w:rPr>
        <w:t>姓    名：</w:t>
      </w:r>
      <w:r>
        <w:rPr>
          <w:rFonts w:hint="eastAsia" w:ascii="MingLiU_HKSCS" w:hAnsi="MingLiU_HKSCS" w:cs="MingLiU_HKSCS"/>
          <w:color w:val="auto"/>
          <w:u w:val="single"/>
        </w:rPr>
        <w:t xml:space="preserve">                               </w:t>
      </w:r>
      <w:r>
        <w:rPr>
          <w:rFonts w:hint="eastAsia" w:ascii="宋体" w:hAnsi="宋体"/>
          <w:color w:val="auto"/>
        </w:rPr>
        <w:t>；</w:t>
      </w:r>
    </w:p>
    <w:p w14:paraId="24F49A58">
      <w:pPr>
        <w:pStyle w:val="274"/>
        <w:spacing w:line="400" w:lineRule="exact"/>
        <w:ind w:firstLine="420"/>
        <w:rPr>
          <w:rFonts w:ascii="宋体"/>
          <w:color w:val="auto"/>
        </w:rPr>
      </w:pPr>
      <w:r>
        <w:rPr>
          <w:rFonts w:hint="eastAsia" w:ascii="宋体" w:hAnsi="宋体"/>
          <w:color w:val="auto"/>
        </w:rPr>
        <w:t>身份证号：</w:t>
      </w:r>
      <w:r>
        <w:rPr>
          <w:rFonts w:hint="eastAsia" w:ascii="MingLiU_HKSCS" w:hAnsi="MingLiU_HKSCS" w:cs="MingLiU_HKSCS"/>
          <w:color w:val="auto"/>
          <w:u w:val="single"/>
        </w:rPr>
        <w:t xml:space="preserve">                               </w:t>
      </w:r>
      <w:r>
        <w:rPr>
          <w:rFonts w:hint="eastAsia" w:ascii="宋体" w:hAnsi="宋体"/>
          <w:color w:val="auto"/>
        </w:rPr>
        <w:t>；</w:t>
      </w:r>
    </w:p>
    <w:p w14:paraId="6751A87C">
      <w:pPr>
        <w:pStyle w:val="274"/>
        <w:spacing w:line="400" w:lineRule="exact"/>
        <w:ind w:firstLine="420"/>
        <w:rPr>
          <w:rFonts w:ascii="宋体"/>
          <w:color w:val="auto"/>
        </w:rPr>
      </w:pPr>
      <w:r>
        <w:rPr>
          <w:rFonts w:hint="eastAsia" w:ascii="宋体" w:hAnsi="宋体"/>
          <w:color w:val="auto"/>
        </w:rPr>
        <w:t>职    务：</w:t>
      </w:r>
      <w:r>
        <w:rPr>
          <w:rFonts w:hint="eastAsia" w:ascii="MingLiU_HKSCS" w:hAnsi="MingLiU_HKSCS" w:cs="MingLiU_HKSCS"/>
          <w:color w:val="auto"/>
          <w:u w:val="single"/>
        </w:rPr>
        <w:t xml:space="preserve">                               </w:t>
      </w:r>
      <w:r>
        <w:rPr>
          <w:rFonts w:hint="eastAsia" w:ascii="宋体" w:hAnsi="宋体"/>
          <w:color w:val="auto"/>
        </w:rPr>
        <w:t>；</w:t>
      </w:r>
    </w:p>
    <w:p w14:paraId="142CE042">
      <w:pPr>
        <w:pStyle w:val="274"/>
        <w:spacing w:line="400" w:lineRule="exact"/>
        <w:ind w:firstLine="420"/>
        <w:rPr>
          <w:rFonts w:ascii="宋体"/>
          <w:color w:val="auto"/>
        </w:rPr>
      </w:pPr>
      <w:r>
        <w:rPr>
          <w:rFonts w:hint="eastAsia" w:ascii="宋体" w:hAnsi="宋体"/>
          <w:color w:val="auto"/>
        </w:rPr>
        <w:t>联系电话：</w:t>
      </w:r>
      <w:r>
        <w:rPr>
          <w:rFonts w:hint="eastAsia" w:ascii="MingLiU_HKSCS" w:hAnsi="MingLiU_HKSCS" w:cs="MingLiU_HKSCS"/>
          <w:color w:val="auto"/>
          <w:u w:val="single"/>
        </w:rPr>
        <w:t xml:space="preserve">                               </w:t>
      </w:r>
      <w:r>
        <w:rPr>
          <w:rFonts w:hint="eastAsia" w:ascii="宋体" w:hAnsi="宋体"/>
          <w:color w:val="auto"/>
        </w:rPr>
        <w:t>；</w:t>
      </w:r>
    </w:p>
    <w:p w14:paraId="03EFF7DB">
      <w:pPr>
        <w:pStyle w:val="274"/>
        <w:spacing w:line="400" w:lineRule="exact"/>
        <w:ind w:firstLine="420"/>
        <w:rPr>
          <w:rFonts w:ascii="宋体"/>
          <w:color w:val="auto"/>
        </w:rPr>
      </w:pPr>
      <w:r>
        <w:rPr>
          <w:rFonts w:hint="eastAsia" w:ascii="宋体" w:hAnsi="宋体"/>
          <w:color w:val="auto"/>
        </w:rPr>
        <w:t>电子信箱：</w:t>
      </w:r>
      <w:r>
        <w:rPr>
          <w:rFonts w:hint="eastAsia" w:ascii="MingLiU_HKSCS" w:hAnsi="MingLiU_HKSCS" w:cs="MingLiU_HKSCS"/>
          <w:color w:val="auto"/>
          <w:u w:val="single"/>
        </w:rPr>
        <w:t xml:space="preserve">                               </w:t>
      </w:r>
      <w:r>
        <w:rPr>
          <w:rFonts w:hint="eastAsia" w:ascii="宋体" w:hAnsi="宋体"/>
          <w:color w:val="auto"/>
        </w:rPr>
        <w:t>；</w:t>
      </w:r>
    </w:p>
    <w:p w14:paraId="0AACD076">
      <w:pPr>
        <w:pStyle w:val="274"/>
        <w:spacing w:line="400" w:lineRule="exact"/>
        <w:ind w:firstLine="420"/>
        <w:rPr>
          <w:rFonts w:ascii="宋体"/>
          <w:color w:val="auto"/>
        </w:rPr>
      </w:pPr>
      <w:r>
        <w:rPr>
          <w:rFonts w:hint="eastAsia" w:ascii="宋体" w:hAnsi="宋体"/>
          <w:color w:val="auto"/>
        </w:rPr>
        <w:t>通信地址：</w:t>
      </w:r>
      <w:r>
        <w:rPr>
          <w:rFonts w:hint="eastAsia" w:ascii="MingLiU_HKSCS" w:hAnsi="MingLiU_HKSCS" w:cs="MingLiU_HKSCS"/>
          <w:color w:val="auto"/>
          <w:u w:val="single"/>
        </w:rPr>
        <w:t xml:space="preserve">                               </w:t>
      </w:r>
      <w:r>
        <w:rPr>
          <w:rFonts w:hint="eastAsia" w:ascii="宋体" w:hAnsi="宋体"/>
          <w:color w:val="auto"/>
        </w:rPr>
        <w:t>；</w:t>
      </w:r>
    </w:p>
    <w:p w14:paraId="75944C58">
      <w:pPr>
        <w:pStyle w:val="274"/>
        <w:spacing w:line="400" w:lineRule="exact"/>
        <w:ind w:firstLine="420"/>
        <w:rPr>
          <w:rFonts w:ascii="宋体"/>
          <w:color w:val="auto"/>
          <w:u w:val="single"/>
        </w:rPr>
      </w:pPr>
      <w:r>
        <w:rPr>
          <w:rFonts w:hint="eastAsia" w:ascii="宋体" w:hAnsi="宋体"/>
          <w:color w:val="auto"/>
        </w:rPr>
        <w:t>发包人对发包人代表的授权范围如下：</w:t>
      </w:r>
      <w:r>
        <w:rPr>
          <w:rFonts w:hint="eastAsia" w:ascii="宋体" w:hAnsi="宋体"/>
          <w:color w:val="auto"/>
          <w:u w:val="single"/>
        </w:rPr>
        <w:t>负责处理合同履行过程中与发包人有关的具体事宜</w:t>
      </w:r>
      <w:r>
        <w:rPr>
          <w:rFonts w:hint="eastAsia" w:ascii="宋体" w:hAnsi="宋体"/>
          <w:color w:val="auto"/>
        </w:rPr>
        <w:t>。</w:t>
      </w:r>
    </w:p>
    <w:p w14:paraId="595A4DE5">
      <w:pPr>
        <w:pStyle w:val="273"/>
        <w:spacing w:line="400" w:lineRule="exact"/>
        <w:rPr>
          <w:rFonts w:ascii="宋体"/>
          <w:color w:val="auto"/>
          <w:sz w:val="21"/>
          <w:szCs w:val="21"/>
        </w:rPr>
      </w:pPr>
      <w:r>
        <w:rPr>
          <w:rFonts w:hint="eastAsia" w:ascii="宋体" w:hAnsi="宋体"/>
          <w:color w:val="auto"/>
          <w:sz w:val="21"/>
          <w:szCs w:val="21"/>
        </w:rPr>
        <w:t>2.4 施工现场、施工条件和基础资料的提供</w:t>
      </w:r>
    </w:p>
    <w:p w14:paraId="12E24BF9">
      <w:pPr>
        <w:pStyle w:val="274"/>
        <w:spacing w:line="400" w:lineRule="exact"/>
        <w:ind w:firstLine="420"/>
        <w:rPr>
          <w:rFonts w:ascii="宋体"/>
          <w:color w:val="auto"/>
        </w:rPr>
      </w:pPr>
      <w:r>
        <w:rPr>
          <w:rFonts w:hint="eastAsia" w:ascii="宋体" w:hAnsi="宋体"/>
          <w:color w:val="auto"/>
        </w:rPr>
        <w:t>2.4.1 提供施工现场</w:t>
      </w:r>
    </w:p>
    <w:p w14:paraId="45935F2B">
      <w:pPr>
        <w:pStyle w:val="274"/>
        <w:spacing w:line="400" w:lineRule="exact"/>
        <w:ind w:firstLine="420"/>
        <w:jc w:val="left"/>
        <w:rPr>
          <w:rFonts w:ascii="宋体"/>
          <w:color w:val="auto"/>
        </w:rPr>
      </w:pPr>
      <w:r>
        <w:rPr>
          <w:rFonts w:hint="eastAsia" w:ascii="宋体" w:hAnsi="宋体"/>
          <w:color w:val="auto"/>
        </w:rPr>
        <w:t>关于发包人移交施工现场的期限要求：</w:t>
      </w:r>
      <w:r>
        <w:rPr>
          <w:rFonts w:hint="eastAsia" w:ascii="宋体" w:hAnsi="宋体"/>
          <w:color w:val="auto"/>
          <w:u w:val="single"/>
        </w:rPr>
        <w:t>开工前7天</w:t>
      </w:r>
    </w:p>
    <w:p w14:paraId="0FD9B98D">
      <w:pPr>
        <w:pStyle w:val="274"/>
        <w:spacing w:line="400" w:lineRule="exact"/>
        <w:ind w:firstLine="420"/>
        <w:rPr>
          <w:rFonts w:ascii="宋体"/>
          <w:color w:val="auto"/>
        </w:rPr>
      </w:pPr>
      <w:r>
        <w:rPr>
          <w:rFonts w:hint="eastAsia" w:ascii="宋体" w:hAnsi="宋体"/>
          <w:color w:val="auto"/>
        </w:rPr>
        <w:t>2.4.2 提供施工条件</w:t>
      </w:r>
    </w:p>
    <w:p w14:paraId="6130F865">
      <w:pPr>
        <w:pStyle w:val="274"/>
        <w:spacing w:line="400" w:lineRule="exact"/>
        <w:ind w:firstLine="420"/>
        <w:rPr>
          <w:rFonts w:ascii="宋体" w:hAnsi="宋体"/>
          <w:color w:val="auto"/>
          <w:u w:val="single"/>
        </w:rPr>
      </w:pPr>
      <w:r>
        <w:rPr>
          <w:rFonts w:hint="eastAsia" w:ascii="宋体" w:hAnsi="宋体"/>
          <w:color w:val="auto"/>
        </w:rPr>
        <w:t>发包人应负责提供施工所需要的条件：</w:t>
      </w:r>
      <w:r>
        <w:rPr>
          <w:rFonts w:hint="eastAsia" w:ascii="宋体" w:hAnsi="宋体"/>
          <w:color w:val="auto"/>
          <w:u w:val="single"/>
        </w:rPr>
        <w:t>1、水电接点为项目目前提供的位置，施 工方需自行解决连接至工作面。2、解决用地红线范围的临设用地。3、承包人协助发包人办理施工许可证，办理建设工程质量安检备案手续</w:t>
      </w:r>
      <w:r>
        <w:rPr>
          <w:rFonts w:hint="eastAsia" w:ascii="宋体" w:hAnsi="宋体"/>
          <w:color w:val="auto"/>
        </w:rPr>
        <w:t xml:space="preserve">。 </w:t>
      </w:r>
    </w:p>
    <w:p w14:paraId="7EFD237D">
      <w:pPr>
        <w:pStyle w:val="274"/>
        <w:spacing w:line="400" w:lineRule="exact"/>
        <w:ind w:firstLine="420"/>
        <w:rPr>
          <w:rFonts w:ascii="宋体" w:hAnsi="宋体"/>
          <w:color w:val="auto"/>
          <w:u w:val="single"/>
        </w:rPr>
      </w:pPr>
      <w:r>
        <w:rPr>
          <w:rFonts w:hint="eastAsia" w:ascii="宋体" w:hAnsi="宋体"/>
          <w:color w:val="auto"/>
          <w:u w:val="single"/>
        </w:rPr>
        <w:t>*将施工所需的水、电、电讯线路接至 施工场地的时间、地点和供应要求：建筑物沿边向外 50M 以内的临时道路、水、电、管线费用由承包人在投标报价中自行考虑。若供电部门的原因造成停电，承包人必须自行解决施工用电</w:t>
      </w:r>
      <w:r>
        <w:rPr>
          <w:rFonts w:hint="eastAsia" w:ascii="宋体" w:hAnsi="宋体"/>
          <w:color w:val="auto"/>
        </w:rPr>
        <w:t xml:space="preserve">。 </w:t>
      </w:r>
    </w:p>
    <w:p w14:paraId="1178EC2B">
      <w:pPr>
        <w:pStyle w:val="274"/>
        <w:spacing w:line="400" w:lineRule="exact"/>
        <w:ind w:firstLine="420"/>
        <w:rPr>
          <w:rFonts w:ascii="宋体" w:hAnsi="宋体"/>
          <w:color w:val="auto"/>
          <w:u w:val="single"/>
        </w:rPr>
      </w:pPr>
      <w:r>
        <w:rPr>
          <w:rFonts w:hint="eastAsia" w:ascii="宋体" w:hAnsi="宋体"/>
          <w:color w:val="auto"/>
          <w:u w:val="single"/>
        </w:rPr>
        <w:t>*土方作业时冲洗平台和密闭车辆的标准： 符合当地建设主管部门的规定</w:t>
      </w:r>
      <w:r>
        <w:rPr>
          <w:rFonts w:hint="eastAsia" w:ascii="宋体" w:hAnsi="宋体"/>
          <w:color w:val="auto"/>
        </w:rPr>
        <w:t xml:space="preserve">。 </w:t>
      </w:r>
    </w:p>
    <w:p w14:paraId="1398B632">
      <w:pPr>
        <w:pStyle w:val="273"/>
        <w:spacing w:line="400" w:lineRule="exact"/>
        <w:rPr>
          <w:rFonts w:ascii="宋体"/>
          <w:color w:val="auto"/>
          <w:sz w:val="21"/>
          <w:szCs w:val="21"/>
        </w:rPr>
      </w:pPr>
      <w:r>
        <w:rPr>
          <w:rFonts w:hint="eastAsia" w:ascii="宋体" w:hAnsi="宋体"/>
          <w:color w:val="auto"/>
          <w:sz w:val="21"/>
          <w:szCs w:val="21"/>
        </w:rPr>
        <w:t>2.5 资金来源证明及支付担保</w:t>
      </w:r>
    </w:p>
    <w:p w14:paraId="6B2B13A2">
      <w:pPr>
        <w:pStyle w:val="274"/>
        <w:spacing w:line="400" w:lineRule="exact"/>
        <w:ind w:firstLine="420"/>
        <w:rPr>
          <w:rFonts w:ascii="宋体"/>
          <w:color w:val="auto"/>
        </w:rPr>
      </w:pPr>
      <w:r>
        <w:rPr>
          <w:rFonts w:hint="eastAsia" w:ascii="宋体" w:hAnsi="宋体"/>
          <w:color w:val="auto"/>
        </w:rPr>
        <w:t>发包人提供资金来源证明的期限要求：</w:t>
      </w:r>
      <w:r>
        <w:rPr>
          <w:rFonts w:hint="eastAsia" w:ascii="宋体" w:hAnsi="宋体"/>
          <w:color w:val="auto"/>
          <w:u w:val="single"/>
        </w:rPr>
        <w:t>无</w:t>
      </w:r>
      <w:r>
        <w:rPr>
          <w:rFonts w:hint="eastAsia" w:ascii="宋体" w:hAnsi="宋体"/>
          <w:color w:val="auto"/>
        </w:rPr>
        <w:t>。</w:t>
      </w:r>
    </w:p>
    <w:p w14:paraId="55121F28">
      <w:pPr>
        <w:pStyle w:val="274"/>
        <w:spacing w:line="400" w:lineRule="exact"/>
        <w:ind w:firstLine="420"/>
        <w:rPr>
          <w:rFonts w:ascii="宋体"/>
          <w:color w:val="auto"/>
        </w:rPr>
      </w:pPr>
      <w:r>
        <w:rPr>
          <w:rFonts w:hint="eastAsia" w:ascii="宋体" w:hAnsi="宋体"/>
          <w:color w:val="auto"/>
        </w:rPr>
        <w:t>发包人是否提供支付担保：</w:t>
      </w:r>
      <w:r>
        <w:rPr>
          <w:rFonts w:hint="eastAsia" w:ascii="宋体" w:hAnsi="宋体"/>
          <w:color w:val="auto"/>
          <w:u w:val="single"/>
        </w:rPr>
        <w:t>无</w:t>
      </w:r>
      <w:r>
        <w:rPr>
          <w:rFonts w:hint="eastAsia" w:ascii="宋体" w:hAnsi="宋体"/>
          <w:color w:val="auto"/>
        </w:rPr>
        <w:t>。</w:t>
      </w:r>
    </w:p>
    <w:p w14:paraId="791B3316">
      <w:pPr>
        <w:pStyle w:val="274"/>
        <w:spacing w:line="400" w:lineRule="exact"/>
        <w:ind w:firstLine="420"/>
        <w:rPr>
          <w:rFonts w:ascii="宋体"/>
          <w:color w:val="auto"/>
          <w:u w:val="single"/>
        </w:rPr>
      </w:pPr>
      <w:r>
        <w:rPr>
          <w:rFonts w:hint="eastAsia" w:ascii="宋体" w:hAnsi="宋体"/>
          <w:color w:val="auto"/>
        </w:rPr>
        <w:t>发包人提供支付担保的形式：</w:t>
      </w:r>
      <w:r>
        <w:rPr>
          <w:rFonts w:hint="eastAsia" w:ascii="宋体" w:hAnsi="宋体"/>
          <w:color w:val="auto"/>
          <w:u w:val="single"/>
        </w:rPr>
        <w:t>无</w:t>
      </w:r>
      <w:r>
        <w:rPr>
          <w:rFonts w:hint="eastAsia" w:ascii="宋体" w:hAnsi="宋体"/>
          <w:color w:val="auto"/>
        </w:rPr>
        <w:t>。</w:t>
      </w:r>
    </w:p>
    <w:p w14:paraId="3A3DAEC1">
      <w:pPr>
        <w:pStyle w:val="273"/>
        <w:spacing w:line="400" w:lineRule="exact"/>
        <w:rPr>
          <w:rFonts w:ascii="宋体"/>
          <w:color w:val="auto"/>
          <w:sz w:val="21"/>
          <w:szCs w:val="21"/>
        </w:rPr>
      </w:pPr>
      <w:r>
        <w:rPr>
          <w:rFonts w:hint="eastAsia" w:ascii="宋体" w:hAnsi="宋体"/>
          <w:color w:val="auto"/>
          <w:sz w:val="21"/>
          <w:szCs w:val="21"/>
        </w:rPr>
        <w:t>3. 承包人</w:t>
      </w:r>
    </w:p>
    <w:p w14:paraId="2D33EE83">
      <w:pPr>
        <w:pStyle w:val="273"/>
        <w:spacing w:line="400" w:lineRule="exact"/>
        <w:rPr>
          <w:rFonts w:ascii="宋体"/>
          <w:color w:val="auto"/>
          <w:sz w:val="21"/>
          <w:szCs w:val="21"/>
        </w:rPr>
      </w:pPr>
      <w:r>
        <w:rPr>
          <w:rFonts w:hint="eastAsia" w:ascii="宋体" w:hAnsi="宋体"/>
          <w:color w:val="auto"/>
          <w:sz w:val="21"/>
          <w:szCs w:val="21"/>
        </w:rPr>
        <w:t>3.1 承包人的一般义务</w:t>
      </w:r>
    </w:p>
    <w:p w14:paraId="6F4ED688">
      <w:pPr>
        <w:pStyle w:val="274"/>
        <w:spacing w:line="400" w:lineRule="exact"/>
        <w:ind w:firstLine="420"/>
        <w:jc w:val="left"/>
        <w:rPr>
          <w:rFonts w:ascii="宋体"/>
          <w:color w:val="auto"/>
          <w:u w:val="single"/>
        </w:rPr>
      </w:pPr>
      <w:r>
        <w:rPr>
          <w:rFonts w:hint="eastAsia" w:ascii="宋体" w:hAnsi="宋体"/>
          <w:color w:val="auto"/>
          <w:kern w:val="0"/>
        </w:rPr>
        <w:t>（1）</w:t>
      </w:r>
      <w:r>
        <w:rPr>
          <w:rFonts w:hint="eastAsia" w:ascii="宋体" w:hAnsi="宋体"/>
          <w:color w:val="auto"/>
        </w:rPr>
        <w:t>承包人提交的竣工资料的内容：</w:t>
      </w:r>
      <w:r>
        <w:rPr>
          <w:rFonts w:hint="eastAsia" w:ascii="宋体" w:hAnsi="宋体"/>
          <w:color w:val="auto"/>
          <w:u w:val="single"/>
        </w:rPr>
        <w:t>竣工图、竣工资料及相关变更及签证资料等</w:t>
      </w:r>
      <w:r>
        <w:rPr>
          <w:rFonts w:hint="eastAsia" w:ascii="宋体" w:hAnsi="宋体"/>
          <w:color w:val="auto"/>
        </w:rPr>
        <w:t xml:space="preserve">。 </w:t>
      </w:r>
    </w:p>
    <w:p w14:paraId="3692C0A5">
      <w:pPr>
        <w:pStyle w:val="274"/>
        <w:spacing w:line="400" w:lineRule="exact"/>
        <w:ind w:firstLine="420"/>
        <w:rPr>
          <w:rFonts w:ascii="宋体"/>
          <w:color w:val="auto"/>
          <w:u w:val="single"/>
        </w:rPr>
      </w:pPr>
      <w:r>
        <w:rPr>
          <w:rFonts w:hint="eastAsia" w:ascii="宋体" w:hAnsi="宋体"/>
          <w:color w:val="auto"/>
        </w:rPr>
        <w:t>承包人需要提交的竣工资料套数：</w:t>
      </w:r>
      <w:r>
        <w:rPr>
          <w:rFonts w:hint="eastAsia" w:ascii="宋体" w:hAnsi="宋体"/>
          <w:color w:val="auto"/>
          <w:u w:val="single"/>
        </w:rPr>
        <w:t xml:space="preserve"> 一式</w:t>
      </w:r>
      <w:r>
        <w:rPr>
          <w:rFonts w:hint="eastAsia" w:ascii="宋体" w:hAnsi="宋体"/>
          <w:color w:val="auto"/>
          <w:u w:val="single"/>
          <w:lang w:eastAsia="zh-CN"/>
        </w:rPr>
        <w:t>三</w:t>
      </w:r>
      <w:r>
        <w:rPr>
          <w:rFonts w:hint="eastAsia" w:ascii="宋体" w:hAnsi="宋体"/>
          <w:color w:val="auto"/>
          <w:u w:val="single"/>
        </w:rPr>
        <w:t xml:space="preserve">份 </w:t>
      </w:r>
      <w:r>
        <w:rPr>
          <w:rFonts w:hint="eastAsia" w:ascii="宋体" w:hAnsi="宋体"/>
          <w:color w:val="auto"/>
        </w:rPr>
        <w:t>。</w:t>
      </w:r>
    </w:p>
    <w:p w14:paraId="6D0E5C26">
      <w:pPr>
        <w:pStyle w:val="274"/>
        <w:spacing w:line="400" w:lineRule="exact"/>
        <w:ind w:firstLine="420"/>
        <w:rPr>
          <w:rFonts w:ascii="宋体"/>
          <w:color w:val="auto"/>
          <w:u w:val="single"/>
        </w:rPr>
      </w:pPr>
      <w:r>
        <w:rPr>
          <w:rFonts w:hint="eastAsia" w:ascii="宋体" w:hAnsi="宋体"/>
          <w:color w:val="auto"/>
        </w:rPr>
        <w:t>承包人提交的竣工资料的费用承担：</w:t>
      </w:r>
      <w:r>
        <w:rPr>
          <w:rFonts w:hint="eastAsia" w:ascii="宋体" w:hAnsi="宋体"/>
          <w:color w:val="auto"/>
          <w:u w:val="single"/>
        </w:rPr>
        <w:t xml:space="preserve"> 承包人自理 </w:t>
      </w:r>
      <w:r>
        <w:rPr>
          <w:rFonts w:hint="eastAsia" w:ascii="宋体" w:hAnsi="宋体"/>
          <w:color w:val="auto"/>
        </w:rPr>
        <w:t>。</w:t>
      </w:r>
    </w:p>
    <w:p w14:paraId="4B3D7149">
      <w:pPr>
        <w:pStyle w:val="274"/>
        <w:spacing w:line="400" w:lineRule="exact"/>
        <w:ind w:firstLine="420"/>
        <w:rPr>
          <w:rFonts w:ascii="宋体"/>
          <w:color w:val="auto"/>
          <w:u w:val="single"/>
        </w:rPr>
      </w:pPr>
      <w:r>
        <w:rPr>
          <w:rFonts w:hint="eastAsia" w:ascii="宋体" w:hAnsi="宋体"/>
          <w:color w:val="auto"/>
        </w:rPr>
        <w:t>承包人提交的竣工资料移交时间：</w:t>
      </w:r>
      <w:r>
        <w:rPr>
          <w:rFonts w:hint="eastAsia" w:ascii="宋体" w:hAnsi="宋体"/>
          <w:color w:val="auto"/>
          <w:u w:val="single"/>
        </w:rPr>
        <w:t xml:space="preserve"> 竣工验收合格后30日历天内</w:t>
      </w:r>
      <w:r>
        <w:rPr>
          <w:rFonts w:hint="eastAsia" w:ascii="宋体" w:hAnsi="宋体"/>
          <w:color w:val="auto"/>
        </w:rPr>
        <w:t xml:space="preserve"> 。</w:t>
      </w:r>
    </w:p>
    <w:p w14:paraId="612F5843">
      <w:pPr>
        <w:pStyle w:val="274"/>
        <w:spacing w:line="400" w:lineRule="exact"/>
        <w:ind w:firstLine="420"/>
        <w:rPr>
          <w:rFonts w:ascii="宋体"/>
          <w:color w:val="auto"/>
          <w:u w:val="single"/>
        </w:rPr>
      </w:pPr>
      <w:r>
        <w:rPr>
          <w:rFonts w:hint="eastAsia" w:ascii="宋体" w:hAnsi="宋体"/>
          <w:color w:val="auto"/>
        </w:rPr>
        <w:t>承包人提交的竣工资料形式要求：</w:t>
      </w:r>
      <w:r>
        <w:rPr>
          <w:rFonts w:hint="eastAsia" w:ascii="宋体" w:hAnsi="宋体"/>
          <w:color w:val="auto"/>
          <w:u w:val="single"/>
        </w:rPr>
        <w:t xml:space="preserve">  竣工资料按玉林市城市建设档案馆所要求的形式提交 </w:t>
      </w:r>
      <w:r>
        <w:rPr>
          <w:rFonts w:hint="eastAsia" w:ascii="宋体" w:hAnsi="宋体"/>
          <w:color w:val="auto"/>
        </w:rPr>
        <w:t xml:space="preserve"> 。</w:t>
      </w:r>
    </w:p>
    <w:p w14:paraId="277080E1">
      <w:pPr>
        <w:pStyle w:val="274"/>
        <w:spacing w:line="400" w:lineRule="exact"/>
        <w:ind w:firstLine="420"/>
        <w:rPr>
          <w:rFonts w:ascii="宋体"/>
          <w:color w:val="auto"/>
          <w:kern w:val="0"/>
        </w:rPr>
      </w:pPr>
      <w:r>
        <w:rPr>
          <w:rFonts w:hint="eastAsia" w:ascii="宋体" w:hAnsi="宋体"/>
          <w:color w:val="auto"/>
          <w:kern w:val="0"/>
        </w:rPr>
        <w:t>（2）承包人应履行的其他义务：</w:t>
      </w:r>
    </w:p>
    <w:p w14:paraId="491F8F62">
      <w:pPr>
        <w:pStyle w:val="274"/>
        <w:spacing w:line="400" w:lineRule="exact"/>
        <w:ind w:firstLine="422"/>
        <w:rPr>
          <w:rFonts w:ascii="宋体"/>
          <w:b/>
          <w:bCs/>
          <w:color w:val="auto"/>
          <w:kern w:val="0"/>
          <w:u w:val="single"/>
        </w:rPr>
      </w:pPr>
      <w:r>
        <w:rPr>
          <w:rFonts w:hint="eastAsia" w:ascii="宋体" w:hAnsi="宋体"/>
          <w:b/>
          <w:bCs/>
          <w:color w:val="auto"/>
          <w:kern w:val="0"/>
        </w:rPr>
        <w:t>①施工场地周围地下管线和邻近建筑物、构筑物（含文物保护建筑）、古树名木的保护要求及费用承担：</w:t>
      </w:r>
      <w:r>
        <w:rPr>
          <w:rFonts w:hint="eastAsia" w:ascii="宋体" w:hAnsi="宋体"/>
          <w:b/>
          <w:bCs/>
          <w:color w:val="auto"/>
          <w:kern w:val="0"/>
          <w:u w:val="single"/>
        </w:rPr>
        <w:t>承包人施工时应探明并负责保护且承包费用，施工时如因承包人原因损坏地下管线、邻近建筑物、构筑物，所发生费用由</w:t>
      </w:r>
      <w:r>
        <w:rPr>
          <w:rFonts w:hint="eastAsia" w:ascii="宋体" w:hAnsi="宋体"/>
          <w:b/>
          <w:bCs/>
          <w:color w:val="auto"/>
          <w:kern w:val="0"/>
          <w:u w:val="single"/>
          <w:lang w:eastAsia="zh-CN"/>
        </w:rPr>
        <w:t>建设单位</w:t>
      </w:r>
      <w:r>
        <w:rPr>
          <w:rFonts w:hint="eastAsia" w:ascii="宋体" w:hAnsi="宋体"/>
          <w:b/>
          <w:bCs/>
          <w:color w:val="auto"/>
          <w:kern w:val="0"/>
          <w:u w:val="single"/>
        </w:rPr>
        <w:t>承担</w:t>
      </w:r>
      <w:r>
        <w:rPr>
          <w:rFonts w:hint="eastAsia" w:ascii="宋体" w:hAnsi="宋体"/>
          <w:b/>
          <w:bCs/>
          <w:color w:val="auto"/>
          <w:kern w:val="0"/>
        </w:rPr>
        <w:t>。</w:t>
      </w:r>
    </w:p>
    <w:p w14:paraId="0052848F">
      <w:pPr>
        <w:pStyle w:val="274"/>
        <w:spacing w:line="500" w:lineRule="exact"/>
        <w:ind w:firstLine="420" w:firstLineChars="200"/>
        <w:rPr>
          <w:rFonts w:ascii="宋体" w:hAnsi="宋体"/>
          <w:color w:val="auto"/>
        </w:rPr>
      </w:pPr>
      <w:r>
        <w:rPr>
          <w:rFonts w:hint="eastAsia" w:ascii="宋体" w:hAnsi="宋体"/>
          <w:color w:val="auto"/>
        </w:rPr>
        <w:t>承担施工安全保卫工作及非夜间施工照明的责任和要求：</w:t>
      </w:r>
      <w:r>
        <w:rPr>
          <w:rFonts w:hint="eastAsia" w:ascii="宋体" w:hAnsi="宋体"/>
          <w:color w:val="auto"/>
          <w:u w:val="single"/>
        </w:rPr>
        <w:t>承包人应采取一切合理的预防措施，满足现场施工管理的需要，达到玉林市规定的安全文明施工的要求和现场工程师满意，防止人员伤亡、财产损失事故，费用由承包人承担。因承包人原因导致发包人或第三方人员伤亡、经济损失的，承包人承担全部赔偿责任；发包人因此而受到行政处罚的，罚款由承包人承担</w:t>
      </w:r>
      <w:r>
        <w:rPr>
          <w:rFonts w:hint="eastAsia" w:ascii="宋体" w:hAnsi="宋体"/>
          <w:color w:val="auto"/>
        </w:rPr>
        <w:t>。</w:t>
      </w:r>
    </w:p>
    <w:p w14:paraId="50A23913">
      <w:pPr>
        <w:pStyle w:val="274"/>
        <w:spacing w:line="500" w:lineRule="exact"/>
        <w:ind w:firstLine="422" w:firstLineChars="200"/>
        <w:rPr>
          <w:rFonts w:ascii="宋体" w:hAnsi="宋体"/>
          <w:color w:val="auto"/>
        </w:rPr>
      </w:pPr>
      <w:r>
        <w:rPr>
          <w:rFonts w:hint="eastAsia" w:ascii="宋体" w:hAnsi="宋体"/>
          <w:b/>
          <w:bCs/>
          <w:color w:val="auto"/>
        </w:rPr>
        <w:t>③</w:t>
      </w:r>
      <w:r>
        <w:rPr>
          <w:rFonts w:hint="eastAsia" w:ascii="宋体" w:hAnsi="宋体"/>
          <w:color w:val="auto"/>
        </w:rPr>
        <w:t>需承包人办理的有关施工场地交通、环卫和施工噪音管理等手续：</w:t>
      </w:r>
      <w:r>
        <w:rPr>
          <w:rFonts w:hint="eastAsia" w:ascii="宋体" w:hAnsi="宋体"/>
          <w:color w:val="auto"/>
          <w:u w:val="single"/>
        </w:rPr>
        <w:t>因施工需要，经发包人批准，由承包人办理和负责费用。因承包人责任被上级主管部门处罚时，由承包人承担全部责任及罚款；给发包人造成损失时，承包人承担全部赔偿责任</w:t>
      </w:r>
      <w:r>
        <w:rPr>
          <w:rFonts w:hint="eastAsia" w:ascii="宋体" w:hAnsi="宋体"/>
          <w:color w:val="auto"/>
        </w:rPr>
        <w:t>。</w:t>
      </w:r>
    </w:p>
    <w:p w14:paraId="1A5A1D3E">
      <w:pPr>
        <w:pStyle w:val="274"/>
        <w:spacing w:line="500" w:lineRule="exact"/>
        <w:ind w:firstLine="420" w:firstLineChars="200"/>
        <w:rPr>
          <w:rFonts w:ascii="宋体" w:hAnsi="宋体"/>
          <w:color w:val="auto"/>
          <w:u w:val="single"/>
        </w:rPr>
      </w:pPr>
      <w:r>
        <w:rPr>
          <w:rFonts w:hint="eastAsia" w:ascii="宋体" w:hAnsi="宋体"/>
          <w:color w:val="auto"/>
        </w:rPr>
        <w:t>④已完工程成品保护的特殊要求及费用承担：</w:t>
      </w:r>
      <w:r>
        <w:rPr>
          <w:rFonts w:hint="eastAsia" w:ascii="宋体" w:hAnsi="宋体"/>
          <w:color w:val="auto"/>
          <w:u w:val="single"/>
        </w:rPr>
        <w:t>已竣工工程未交付发包人之前，承包人按协议条款约定负责已完成工程的成品保护工作，保护期间因承包人责任发生损坏，承包人自费予以修复</w:t>
      </w:r>
      <w:r>
        <w:rPr>
          <w:rFonts w:hint="eastAsia" w:ascii="宋体" w:hAnsi="宋体"/>
          <w:color w:val="auto"/>
        </w:rPr>
        <w:t xml:space="preserve">。 </w:t>
      </w:r>
    </w:p>
    <w:p w14:paraId="272187F1">
      <w:pPr>
        <w:pStyle w:val="274"/>
        <w:spacing w:line="500" w:lineRule="exact"/>
        <w:ind w:firstLine="420" w:firstLineChars="200"/>
        <w:rPr>
          <w:rFonts w:ascii="宋体" w:hAnsi="宋体"/>
          <w:color w:val="auto"/>
        </w:rPr>
      </w:pPr>
      <w:r>
        <w:rPr>
          <w:rFonts w:hint="eastAsia" w:ascii="宋体" w:hAnsi="宋体"/>
          <w:color w:val="auto"/>
        </w:rPr>
        <w:t>⑤施工场地清洁卫生的要求：</w:t>
      </w:r>
      <w:r>
        <w:rPr>
          <w:rFonts w:hint="eastAsia" w:ascii="宋体" w:hAnsi="宋体"/>
          <w:color w:val="auto"/>
          <w:u w:val="single"/>
        </w:rPr>
        <w:t>由于施工造成的环境污染，其责任和费用均由承包人承担</w:t>
      </w:r>
      <w:r>
        <w:rPr>
          <w:rFonts w:hint="eastAsia" w:ascii="宋体" w:hAnsi="宋体"/>
          <w:color w:val="auto"/>
        </w:rPr>
        <w:t>。</w:t>
      </w:r>
    </w:p>
    <w:p w14:paraId="45C64E57">
      <w:pPr>
        <w:pStyle w:val="274"/>
        <w:spacing w:line="500" w:lineRule="exact"/>
        <w:ind w:firstLine="420" w:firstLineChars="200"/>
        <w:rPr>
          <w:rFonts w:ascii="宋体" w:hAnsi="宋体"/>
          <w:color w:val="auto"/>
          <w:u w:val="single"/>
        </w:rPr>
      </w:pPr>
      <w:r>
        <w:rPr>
          <w:rFonts w:hint="eastAsia" w:ascii="宋体" w:hAnsi="宋体"/>
          <w:color w:val="auto"/>
          <w:u w:val="single"/>
        </w:rPr>
        <w:t>按发包人的要求搭建临时设施，材料机具堆放应规范，保持施工场地的整洁，切实做到文明施工及招标文件的要求，并承担因此发生的一切责任及费用。按照当地建设行政主管部门颁发的文明施工管理规定和承包人施工组织设计中编制的文明施工章节执行，并做到：①设置、维修和管理临时排污系统；②收集和处理所有施工场地和生活区域的所有垃圾，直到交工为止；此处的“收集”是指承包人将其产生的所有垃圾清运至发包人指定的工地堆放地点；此处“处理”是指承包人应定期并最终将发包人指定工地堆放地点的所有垃圾清运至政府指定的垃圾堆放地点并承担相应的费用。③交工时应将其排污设施全部拆除，并清理至现场干净整洁</w:t>
      </w:r>
      <w:r>
        <w:rPr>
          <w:rFonts w:hint="eastAsia" w:ascii="宋体" w:hAnsi="宋体"/>
          <w:color w:val="auto"/>
        </w:rPr>
        <w:t>。</w:t>
      </w:r>
    </w:p>
    <w:p w14:paraId="2E65B84B">
      <w:pPr>
        <w:pStyle w:val="274"/>
        <w:spacing w:line="500" w:lineRule="exact"/>
        <w:ind w:firstLine="420" w:firstLineChars="200"/>
        <w:rPr>
          <w:rFonts w:ascii="宋体" w:hAnsi="宋体"/>
          <w:color w:val="auto"/>
          <w:u w:val="single"/>
        </w:rPr>
      </w:pPr>
      <w:r>
        <w:rPr>
          <w:rFonts w:hint="eastAsia" w:ascii="宋体" w:hAnsi="宋体"/>
          <w:color w:val="auto"/>
          <w:u w:val="single"/>
        </w:rPr>
        <w:t>施工场地符合文明施工要求，做好施工场地围护隔离，符合国家及当地政府关于城市卫生市容管理条例等，相关费用已包含在工程造价中，承包人承担由自身原因违反有关规定造成的损失和罚款。确保施工现场及周围环境的清洁、卫生符合法律、法规、规章和有关规定的标准</w:t>
      </w:r>
      <w:r>
        <w:rPr>
          <w:rFonts w:hint="eastAsia" w:ascii="宋体" w:hAnsi="宋体"/>
          <w:color w:val="auto"/>
        </w:rPr>
        <w:t>。</w:t>
      </w:r>
    </w:p>
    <w:p w14:paraId="3572D23D">
      <w:pPr>
        <w:pStyle w:val="274"/>
        <w:spacing w:line="500" w:lineRule="exact"/>
        <w:ind w:firstLine="420" w:firstLineChars="200"/>
        <w:rPr>
          <w:rFonts w:ascii="宋体" w:hAnsi="宋体"/>
          <w:color w:val="auto"/>
          <w:u w:val="single"/>
        </w:rPr>
      </w:pPr>
      <w:r>
        <w:rPr>
          <w:rFonts w:hint="eastAsia" w:ascii="宋体" w:hAnsi="宋体"/>
          <w:color w:val="auto"/>
          <w:u w:val="single"/>
        </w:rPr>
        <w:t>因承包人责任被上级主管部门处罚时，由承包人承担全部责任及罚款；给发包人造成损失时，承包人承担全部赔偿责任</w:t>
      </w:r>
      <w:r>
        <w:rPr>
          <w:rFonts w:hint="eastAsia" w:ascii="宋体" w:hAnsi="宋体"/>
          <w:color w:val="auto"/>
        </w:rPr>
        <w:t>。</w:t>
      </w:r>
    </w:p>
    <w:p w14:paraId="4EDDB6C3">
      <w:pPr>
        <w:pStyle w:val="274"/>
        <w:spacing w:line="500" w:lineRule="exact"/>
        <w:ind w:firstLine="420" w:firstLineChars="200"/>
        <w:rPr>
          <w:rFonts w:ascii="宋体" w:hAnsi="宋体"/>
          <w:color w:val="auto"/>
        </w:rPr>
      </w:pPr>
      <w:r>
        <w:rPr>
          <w:rFonts w:hint="eastAsia" w:ascii="宋体" w:hAnsi="宋体"/>
          <w:color w:val="auto"/>
        </w:rPr>
        <w:t>⑥双方约定承包人应做的其他工作：</w:t>
      </w:r>
    </w:p>
    <w:p w14:paraId="0398B8C5">
      <w:pPr>
        <w:pStyle w:val="274"/>
        <w:spacing w:line="500" w:lineRule="exact"/>
        <w:ind w:firstLine="420" w:firstLineChars="200"/>
        <w:rPr>
          <w:rFonts w:ascii="宋体" w:hAnsi="宋体"/>
          <w:color w:val="auto"/>
        </w:rPr>
      </w:pPr>
      <w:r>
        <w:rPr>
          <w:rFonts w:hint="eastAsia" w:ascii="宋体" w:hAnsi="宋体"/>
          <w:color w:val="auto"/>
        </w:rPr>
        <w:t>1）配合发包人做好安全文明宣传、领导检查宣传等工作，相关费用由承包人承担。</w:t>
      </w:r>
    </w:p>
    <w:p w14:paraId="2C08CD2A">
      <w:pPr>
        <w:pStyle w:val="274"/>
        <w:spacing w:line="500" w:lineRule="exact"/>
        <w:ind w:firstLine="420" w:firstLineChars="200"/>
        <w:rPr>
          <w:rFonts w:ascii="宋体" w:hAnsi="宋体"/>
          <w:color w:val="auto"/>
        </w:rPr>
      </w:pPr>
      <w:r>
        <w:rPr>
          <w:rFonts w:hint="eastAsia" w:ascii="宋体" w:hAnsi="宋体"/>
          <w:color w:val="auto"/>
        </w:rPr>
        <w:t>2）承包人应为监理人、发包人现场代表对施工现场的检查监督提供必要的配合，并对这种配合对施工的影响应有充分的考虑。</w:t>
      </w:r>
    </w:p>
    <w:p w14:paraId="26CA31DC">
      <w:pPr>
        <w:pStyle w:val="274"/>
        <w:spacing w:line="500" w:lineRule="exact"/>
        <w:ind w:firstLine="420" w:firstLineChars="200"/>
        <w:rPr>
          <w:rFonts w:ascii="宋体" w:hAnsi="宋体"/>
          <w:color w:val="auto"/>
        </w:rPr>
      </w:pPr>
      <w:r>
        <w:rPr>
          <w:rFonts w:hint="eastAsia" w:ascii="宋体" w:hAnsi="宋体"/>
          <w:color w:val="auto"/>
        </w:rPr>
        <w:t>3）承包人在实施本合同工程所使用公共道路、水源、公共设施等必须保障发包人及其他人的财产、利益和权利免受损害，造成损坏的自费负责维修或赔偿。</w:t>
      </w:r>
    </w:p>
    <w:p w14:paraId="205393FA">
      <w:pPr>
        <w:pStyle w:val="274"/>
        <w:spacing w:line="500" w:lineRule="exact"/>
        <w:ind w:firstLine="420" w:firstLineChars="200"/>
        <w:rPr>
          <w:rFonts w:ascii="宋体" w:hAnsi="宋体"/>
          <w:color w:val="auto"/>
        </w:rPr>
      </w:pPr>
      <w:r>
        <w:rPr>
          <w:rFonts w:hint="eastAsia" w:ascii="宋体" w:hAnsi="宋体"/>
          <w:color w:val="auto"/>
        </w:rPr>
        <w:t>4）承包人的施工管理区及施工场地应设有临时的污水处理设施和施工排水设施，生活、施工垃圾等处置应妥当，施工材料如涂料、化学品等应妥善存放，并设有防雨、防风等措施，并承担一切费用。</w:t>
      </w:r>
    </w:p>
    <w:p w14:paraId="67DAB8E9">
      <w:pPr>
        <w:pStyle w:val="274"/>
        <w:spacing w:line="500" w:lineRule="exact"/>
        <w:ind w:firstLine="420" w:firstLineChars="200"/>
        <w:rPr>
          <w:rFonts w:ascii="宋体" w:hAnsi="宋体"/>
          <w:color w:val="auto"/>
        </w:rPr>
      </w:pPr>
      <w:r>
        <w:rPr>
          <w:rFonts w:hint="eastAsia" w:ascii="宋体" w:hAnsi="宋体"/>
          <w:color w:val="auto"/>
        </w:rPr>
        <w:t>5）移交证书签发后，承包人应立即从签发了移交证书的工地上将所有有关的承包人的设备、多余材料、垃圾及各种临时工程清除、移走，并使这一部分工程及工地保持清洁，使发包人满意。</w:t>
      </w:r>
    </w:p>
    <w:p w14:paraId="4D9A7DE3">
      <w:pPr>
        <w:pStyle w:val="274"/>
        <w:spacing w:line="500" w:lineRule="exact"/>
        <w:ind w:firstLine="420" w:firstLineChars="200"/>
        <w:rPr>
          <w:rFonts w:ascii="宋体" w:hAnsi="宋体"/>
          <w:color w:val="auto"/>
        </w:rPr>
      </w:pPr>
      <w:r>
        <w:rPr>
          <w:rFonts w:hint="eastAsia" w:ascii="宋体" w:hAnsi="宋体"/>
          <w:color w:val="auto"/>
        </w:rPr>
        <w:t>6）承包人应全权自费负责其劳务及职员的雇佣、工资的支付、房屋、膳食及运输的安排。承包人在任何时候应采取一切合理的预防措施，以防止其职员发生任何违法的、防碍治安的行为，并维护治安和保护工程附近的单位、个人或财产免遭上述行为的破坏，否则，由此造成的后果和费用均由承包人承担。</w:t>
      </w:r>
    </w:p>
    <w:p w14:paraId="7BE5B32A">
      <w:pPr>
        <w:pStyle w:val="274"/>
        <w:spacing w:line="500" w:lineRule="exact"/>
        <w:ind w:firstLine="420" w:firstLineChars="200"/>
        <w:rPr>
          <w:rFonts w:ascii="宋体" w:hAnsi="宋体"/>
          <w:color w:val="auto"/>
        </w:rPr>
      </w:pPr>
      <w:r>
        <w:rPr>
          <w:rFonts w:hint="eastAsia" w:ascii="宋体" w:hAnsi="宋体"/>
          <w:color w:val="auto"/>
        </w:rPr>
        <w:t>7）承包人应按安全施工管理有关规定，配备安全管理机构，配备合格的安全管理人员，负责处理全体工作人员和劳务人员的安全保护和防止事故等问题，如因承包人原因造成人员伤亡、财产损失等一切事故，由承包人负全责并承担费用。</w:t>
      </w:r>
    </w:p>
    <w:p w14:paraId="555AB225">
      <w:pPr>
        <w:pStyle w:val="274"/>
        <w:spacing w:line="500" w:lineRule="exact"/>
        <w:ind w:firstLine="420" w:firstLineChars="200"/>
        <w:rPr>
          <w:rFonts w:ascii="宋体" w:hAnsi="宋体"/>
          <w:color w:val="auto"/>
        </w:rPr>
      </w:pPr>
      <w:r>
        <w:rPr>
          <w:rFonts w:hint="eastAsia" w:ascii="宋体" w:hAnsi="宋体"/>
          <w:color w:val="auto"/>
        </w:rPr>
        <w:t>8）承包人在施工期间应协调好与邻近相关单位（含居民、农民）的关系，应避免发生矛盾与冲突，否则，由此造成的一切后果由承包人承担。</w:t>
      </w:r>
    </w:p>
    <w:p w14:paraId="300439FE">
      <w:pPr>
        <w:pStyle w:val="280"/>
        <w:spacing w:line="500" w:lineRule="exact"/>
        <w:ind w:firstLine="420" w:firstLineChars="200"/>
        <w:rPr>
          <w:rFonts w:ascii="宋体" w:hAnsi="宋体"/>
          <w:color w:val="auto"/>
        </w:rPr>
      </w:pPr>
      <w:r>
        <w:rPr>
          <w:rFonts w:hint="eastAsia" w:ascii="宋体" w:hAnsi="宋体"/>
          <w:color w:val="auto"/>
        </w:rPr>
        <w:t>9）开工前承包人对施工图纸认真核查，积极配合发包人组织的施工图纸交底及会审工作，指出图纸上任何不符施工常规、惯例或规范之处，以及设计图纸中错、漏、碰的问题及各系统管线的综合平衡工作，并及时完成图纸会审。承包人应对设计图纸中的场地标高、道路、支路、各种管线的位置、标高、接口与现状道路、管线进行复核、测量，发现设计与现状不符，应在施工前书面提出，报监理人及发包人并与设计部门进行协调、修改。若承包人对设计图纸不进行校核，擅自施工，造成返工的，一切损失由承包人负责。</w:t>
      </w:r>
    </w:p>
    <w:p w14:paraId="6B732776">
      <w:pPr>
        <w:pStyle w:val="274"/>
        <w:spacing w:line="500" w:lineRule="exact"/>
        <w:ind w:firstLine="420" w:firstLineChars="200"/>
        <w:rPr>
          <w:rFonts w:ascii="宋体" w:hAnsi="宋体"/>
          <w:color w:val="auto"/>
        </w:rPr>
      </w:pPr>
      <w:r>
        <w:rPr>
          <w:rFonts w:hint="eastAsia" w:ascii="宋体" w:hAnsi="宋体"/>
          <w:color w:val="auto"/>
        </w:rPr>
        <w:t>10）承包人进场后先向发包人缴纳水电费押金2000元。承包人每月使用的水、电费根据施工水电费标准向发包人支付，承包人应在接到缴费通知书10日内按时缴交，逾期交纳产生的滞纳金(按供电局、自来水公司标准计取)及停水、停电造成的一切损失由承包人负责，产生的滞纳金从承包人的水电费押金中扣除。待工程完工结清水电费后退回水电费押金(无息)。</w:t>
      </w:r>
    </w:p>
    <w:p w14:paraId="3DBDE39F">
      <w:pPr>
        <w:pStyle w:val="274"/>
        <w:spacing w:line="500" w:lineRule="exact"/>
        <w:ind w:firstLine="420" w:firstLineChars="200"/>
        <w:rPr>
          <w:rFonts w:ascii="宋体" w:hAnsi="宋体"/>
          <w:color w:val="auto"/>
        </w:rPr>
      </w:pPr>
      <w:r>
        <w:rPr>
          <w:rFonts w:hint="eastAsia" w:ascii="宋体" w:hAnsi="宋体"/>
          <w:color w:val="auto"/>
        </w:rPr>
        <w:t>11）施工中承包人不得对原工程设计私自进行变更。因承包人擅自变更设计发生的费用和由此导致发包人的损失，由承包人承担，延误的工期不予顺延。所有的设计变更需设计院、监理、施工单位和发包人四方签字后方可执行，否则责任自负。</w:t>
      </w:r>
    </w:p>
    <w:p w14:paraId="6E6034E9">
      <w:pPr>
        <w:pStyle w:val="274"/>
        <w:spacing w:line="500" w:lineRule="exact"/>
        <w:ind w:firstLine="420" w:firstLineChars="200"/>
        <w:rPr>
          <w:rFonts w:ascii="宋体" w:hAnsi="宋体"/>
          <w:color w:val="auto"/>
        </w:rPr>
      </w:pPr>
      <w:r>
        <w:rPr>
          <w:rFonts w:hint="eastAsia" w:ascii="宋体" w:hAnsi="宋体"/>
          <w:color w:val="auto"/>
        </w:rPr>
        <w:t>12）应提供计划、报表的名称及完成时间：</w:t>
      </w:r>
      <w:r>
        <w:rPr>
          <w:rFonts w:hint="eastAsia" w:ascii="宋体" w:hAnsi="宋体"/>
          <w:color w:val="auto"/>
          <w:u w:val="single"/>
        </w:rPr>
        <w:t>每月25日向监理、发包人提供当月工程进度报表以及下月进度计划各一式肆份。</w:t>
      </w:r>
    </w:p>
    <w:p w14:paraId="262824E8">
      <w:pPr>
        <w:pStyle w:val="274"/>
        <w:spacing w:line="400" w:lineRule="exact"/>
        <w:ind w:firstLine="420"/>
        <w:rPr>
          <w:rFonts w:ascii="宋体" w:hAnsi="宋体"/>
          <w:color w:val="auto"/>
        </w:rPr>
      </w:pPr>
      <w:r>
        <w:rPr>
          <w:rFonts w:hint="eastAsia" w:ascii="宋体" w:hAnsi="宋体"/>
          <w:color w:val="auto"/>
        </w:rPr>
        <w:t>（3）承包人协助发包人办理施工许可证，办理建设工程质量安检备案手续；</w:t>
      </w:r>
    </w:p>
    <w:p w14:paraId="7D7B3DC2">
      <w:pPr>
        <w:pStyle w:val="273"/>
        <w:spacing w:line="400" w:lineRule="exact"/>
        <w:rPr>
          <w:rFonts w:ascii="宋体"/>
          <w:color w:val="auto"/>
          <w:sz w:val="21"/>
          <w:szCs w:val="21"/>
        </w:rPr>
      </w:pPr>
      <w:r>
        <w:rPr>
          <w:rFonts w:hint="eastAsia" w:ascii="宋体" w:hAnsi="宋体"/>
          <w:color w:val="auto"/>
          <w:sz w:val="21"/>
          <w:szCs w:val="21"/>
        </w:rPr>
        <w:t>3.2 项目经理</w:t>
      </w:r>
    </w:p>
    <w:p w14:paraId="51F01839">
      <w:pPr>
        <w:pStyle w:val="274"/>
        <w:spacing w:line="400" w:lineRule="exact"/>
        <w:ind w:firstLine="420"/>
        <w:rPr>
          <w:rFonts w:ascii="宋体"/>
          <w:color w:val="auto"/>
        </w:rPr>
      </w:pPr>
      <w:r>
        <w:rPr>
          <w:rFonts w:hint="eastAsia" w:ascii="宋体" w:hAnsi="宋体"/>
          <w:color w:val="auto"/>
          <w:kern w:val="0"/>
        </w:rPr>
        <w:t xml:space="preserve">3.2.1 </w:t>
      </w:r>
      <w:r>
        <w:rPr>
          <w:rFonts w:hint="eastAsia" w:ascii="宋体" w:hAnsi="宋体"/>
          <w:color w:val="auto"/>
        </w:rPr>
        <w:t>项目经理：</w:t>
      </w:r>
    </w:p>
    <w:p w14:paraId="42FD2B0E">
      <w:pPr>
        <w:pStyle w:val="274"/>
        <w:spacing w:line="400" w:lineRule="exact"/>
        <w:ind w:firstLine="420"/>
        <w:rPr>
          <w:rFonts w:ascii="宋体"/>
          <w:color w:val="auto"/>
        </w:rPr>
      </w:pPr>
      <w:r>
        <w:rPr>
          <w:rFonts w:hint="eastAsia" w:ascii="宋体" w:hAnsi="宋体"/>
          <w:color w:val="auto"/>
        </w:rPr>
        <w:t>姓    名：</w:t>
      </w:r>
      <w:r>
        <w:rPr>
          <w:rFonts w:hint="eastAsia" w:ascii="MingLiU_HKSCS" w:hAnsi="MingLiU_HKSCS" w:cs="MingLiU_HKSCS"/>
          <w:color w:val="auto"/>
          <w:u w:val="single"/>
        </w:rPr>
        <w:t xml:space="preserve">                               </w:t>
      </w:r>
      <w:r>
        <w:rPr>
          <w:rFonts w:hint="eastAsia" w:ascii="宋体" w:hAnsi="宋体"/>
          <w:color w:val="auto"/>
        </w:rPr>
        <w:t>；</w:t>
      </w:r>
    </w:p>
    <w:p w14:paraId="7E875DE2">
      <w:pPr>
        <w:pStyle w:val="274"/>
        <w:spacing w:line="400" w:lineRule="exact"/>
        <w:ind w:firstLine="420"/>
        <w:rPr>
          <w:rFonts w:ascii="宋体"/>
          <w:color w:val="auto"/>
        </w:rPr>
      </w:pPr>
      <w:r>
        <w:rPr>
          <w:rFonts w:hint="eastAsia" w:ascii="宋体" w:hAnsi="宋体"/>
          <w:color w:val="auto"/>
        </w:rPr>
        <w:t>身份证号：</w:t>
      </w:r>
      <w:r>
        <w:rPr>
          <w:rFonts w:hint="eastAsia" w:ascii="MingLiU_HKSCS" w:hAnsi="MingLiU_HKSCS" w:cs="MingLiU_HKSCS"/>
          <w:color w:val="auto"/>
          <w:u w:val="single"/>
        </w:rPr>
        <w:t xml:space="preserve">                               </w:t>
      </w:r>
      <w:r>
        <w:rPr>
          <w:rFonts w:hint="eastAsia" w:ascii="宋体" w:hAnsi="宋体"/>
          <w:color w:val="auto"/>
        </w:rPr>
        <w:t>；</w:t>
      </w:r>
    </w:p>
    <w:p w14:paraId="6F835D4C">
      <w:pPr>
        <w:pStyle w:val="274"/>
        <w:spacing w:line="400" w:lineRule="exact"/>
        <w:ind w:firstLine="420"/>
        <w:rPr>
          <w:rFonts w:ascii="宋体"/>
          <w:color w:val="auto"/>
        </w:rPr>
      </w:pPr>
      <w:r>
        <w:rPr>
          <w:rFonts w:hint="eastAsia" w:ascii="宋体" w:hAnsi="宋体"/>
          <w:color w:val="auto"/>
        </w:rPr>
        <w:t>建造师执业资格等级：</w:t>
      </w:r>
      <w:r>
        <w:rPr>
          <w:rFonts w:hint="eastAsia" w:ascii="MingLiU_HKSCS" w:hAnsi="MingLiU_HKSCS" w:cs="MingLiU_HKSCS"/>
          <w:color w:val="auto"/>
          <w:u w:val="single"/>
        </w:rPr>
        <w:t xml:space="preserve">                     </w:t>
      </w:r>
      <w:r>
        <w:rPr>
          <w:rFonts w:hint="eastAsia" w:ascii="宋体" w:hAnsi="宋体"/>
          <w:color w:val="auto"/>
        </w:rPr>
        <w:t>；</w:t>
      </w:r>
    </w:p>
    <w:p w14:paraId="78A5DE11">
      <w:pPr>
        <w:pStyle w:val="274"/>
        <w:spacing w:line="400" w:lineRule="exact"/>
        <w:ind w:firstLine="420"/>
        <w:rPr>
          <w:rFonts w:ascii="宋体"/>
          <w:color w:val="auto"/>
        </w:rPr>
      </w:pPr>
      <w:r>
        <w:rPr>
          <w:rFonts w:hint="eastAsia" w:ascii="宋体" w:hAnsi="宋体"/>
          <w:color w:val="auto"/>
        </w:rPr>
        <w:t>建造师注册证书号：</w:t>
      </w:r>
      <w:r>
        <w:rPr>
          <w:rFonts w:hint="eastAsia" w:ascii="MingLiU_HKSCS" w:hAnsi="MingLiU_HKSCS" w:cs="MingLiU_HKSCS"/>
          <w:color w:val="auto"/>
          <w:u w:val="single"/>
        </w:rPr>
        <w:t xml:space="preserve">                               </w:t>
      </w:r>
      <w:r>
        <w:rPr>
          <w:rFonts w:hint="eastAsia" w:ascii="宋体" w:hAnsi="宋体"/>
          <w:color w:val="auto"/>
        </w:rPr>
        <w:t>；</w:t>
      </w:r>
    </w:p>
    <w:p w14:paraId="4A50B052">
      <w:pPr>
        <w:pStyle w:val="274"/>
        <w:spacing w:line="400" w:lineRule="exact"/>
        <w:ind w:firstLine="420"/>
        <w:rPr>
          <w:rFonts w:ascii="宋体"/>
          <w:color w:val="auto"/>
        </w:rPr>
      </w:pPr>
      <w:r>
        <w:rPr>
          <w:rFonts w:hint="eastAsia" w:ascii="宋体" w:hAnsi="宋体"/>
          <w:color w:val="auto"/>
        </w:rPr>
        <w:t>建造师执业印章号：</w:t>
      </w:r>
      <w:r>
        <w:rPr>
          <w:rFonts w:hint="eastAsia" w:ascii="MingLiU_HKSCS" w:hAnsi="MingLiU_HKSCS" w:cs="MingLiU_HKSCS"/>
          <w:color w:val="auto"/>
          <w:u w:val="single"/>
        </w:rPr>
        <w:t xml:space="preserve">                               </w:t>
      </w:r>
      <w:r>
        <w:rPr>
          <w:rFonts w:hint="eastAsia" w:ascii="宋体" w:hAnsi="宋体"/>
          <w:color w:val="auto"/>
        </w:rPr>
        <w:t>；</w:t>
      </w:r>
    </w:p>
    <w:p w14:paraId="4E35861A">
      <w:pPr>
        <w:pStyle w:val="274"/>
        <w:spacing w:line="400" w:lineRule="exact"/>
        <w:ind w:firstLine="420"/>
        <w:rPr>
          <w:rFonts w:ascii="宋体"/>
          <w:color w:val="auto"/>
        </w:rPr>
      </w:pPr>
      <w:r>
        <w:rPr>
          <w:rFonts w:hint="eastAsia" w:ascii="宋体" w:hAnsi="宋体"/>
          <w:color w:val="auto"/>
        </w:rPr>
        <w:t>安全生产考核合格证书号：</w:t>
      </w:r>
      <w:r>
        <w:rPr>
          <w:rFonts w:hint="eastAsia" w:ascii="MingLiU_HKSCS" w:hAnsi="MingLiU_HKSCS" w:cs="MingLiU_HKSCS"/>
          <w:color w:val="auto"/>
          <w:u w:val="single"/>
        </w:rPr>
        <w:t xml:space="preserve">                         </w:t>
      </w:r>
      <w:r>
        <w:rPr>
          <w:rFonts w:hint="eastAsia" w:ascii="宋体" w:hAnsi="宋体"/>
          <w:color w:val="auto"/>
        </w:rPr>
        <w:t>；</w:t>
      </w:r>
    </w:p>
    <w:p w14:paraId="3B4F64BC">
      <w:pPr>
        <w:pStyle w:val="274"/>
        <w:spacing w:line="400" w:lineRule="exact"/>
        <w:ind w:firstLine="420"/>
        <w:rPr>
          <w:rFonts w:ascii="宋体"/>
          <w:color w:val="auto"/>
        </w:rPr>
      </w:pPr>
      <w:r>
        <w:rPr>
          <w:rFonts w:hint="eastAsia" w:ascii="宋体" w:hAnsi="宋体"/>
          <w:color w:val="auto"/>
        </w:rPr>
        <w:t>联系电话：</w:t>
      </w:r>
      <w:r>
        <w:rPr>
          <w:rFonts w:hint="eastAsia" w:ascii="MingLiU_HKSCS" w:hAnsi="MingLiU_HKSCS" w:cs="MingLiU_HKSCS"/>
          <w:color w:val="auto"/>
          <w:u w:val="single"/>
        </w:rPr>
        <w:t xml:space="preserve">                               </w:t>
      </w:r>
      <w:r>
        <w:rPr>
          <w:rFonts w:hint="eastAsia" w:ascii="宋体" w:hAnsi="宋体"/>
          <w:color w:val="auto"/>
        </w:rPr>
        <w:t>；</w:t>
      </w:r>
    </w:p>
    <w:p w14:paraId="1C9D013B">
      <w:pPr>
        <w:pStyle w:val="274"/>
        <w:spacing w:line="400" w:lineRule="exact"/>
        <w:ind w:firstLine="420"/>
        <w:rPr>
          <w:rFonts w:ascii="宋体"/>
          <w:color w:val="auto"/>
        </w:rPr>
      </w:pPr>
      <w:r>
        <w:rPr>
          <w:rFonts w:hint="eastAsia" w:ascii="宋体" w:hAnsi="宋体"/>
          <w:color w:val="auto"/>
        </w:rPr>
        <w:t>电子信箱：</w:t>
      </w:r>
      <w:r>
        <w:rPr>
          <w:rFonts w:hint="eastAsia" w:ascii="MingLiU_HKSCS" w:hAnsi="MingLiU_HKSCS" w:cs="MingLiU_HKSCS"/>
          <w:color w:val="auto"/>
          <w:u w:val="single"/>
        </w:rPr>
        <w:t xml:space="preserve">                               </w:t>
      </w:r>
      <w:r>
        <w:rPr>
          <w:rFonts w:hint="eastAsia" w:ascii="宋体" w:hAnsi="宋体"/>
          <w:color w:val="auto"/>
        </w:rPr>
        <w:t>；</w:t>
      </w:r>
    </w:p>
    <w:p w14:paraId="4851BAA7">
      <w:pPr>
        <w:pStyle w:val="274"/>
        <w:spacing w:line="400" w:lineRule="exact"/>
        <w:ind w:firstLine="420"/>
        <w:rPr>
          <w:rFonts w:ascii="宋体"/>
          <w:color w:val="auto"/>
        </w:rPr>
      </w:pPr>
      <w:r>
        <w:rPr>
          <w:rFonts w:hint="eastAsia" w:ascii="宋体" w:hAnsi="宋体"/>
          <w:color w:val="auto"/>
        </w:rPr>
        <w:t>通信地址：</w:t>
      </w:r>
      <w:r>
        <w:rPr>
          <w:rFonts w:hint="eastAsia" w:ascii="MingLiU_HKSCS" w:hAnsi="MingLiU_HKSCS" w:cs="MingLiU_HKSCS"/>
          <w:color w:val="auto"/>
          <w:u w:val="single"/>
        </w:rPr>
        <w:t xml:space="preserve">                               </w:t>
      </w:r>
      <w:r>
        <w:rPr>
          <w:rFonts w:hint="eastAsia" w:ascii="宋体" w:hAnsi="宋体"/>
          <w:color w:val="auto"/>
        </w:rPr>
        <w:t>；</w:t>
      </w:r>
    </w:p>
    <w:p w14:paraId="5681A795">
      <w:pPr>
        <w:pStyle w:val="274"/>
        <w:spacing w:line="400" w:lineRule="exact"/>
        <w:ind w:firstLine="420"/>
        <w:rPr>
          <w:rFonts w:ascii="宋体"/>
          <w:color w:val="auto"/>
        </w:rPr>
      </w:pPr>
      <w:r>
        <w:rPr>
          <w:rFonts w:hint="eastAsia" w:ascii="宋体" w:hAnsi="宋体"/>
          <w:color w:val="auto"/>
        </w:rPr>
        <w:t>3.2.2承包人对项目经理的授权范围如下：</w:t>
      </w:r>
      <w:r>
        <w:rPr>
          <w:rFonts w:hint="eastAsia" w:ascii="宋体" w:hAnsi="宋体"/>
          <w:color w:val="auto"/>
          <w:u w:val="single"/>
        </w:rPr>
        <w:t>按合同约定组织工程实施。</w:t>
      </w:r>
    </w:p>
    <w:p w14:paraId="5377324A">
      <w:pPr>
        <w:pStyle w:val="274"/>
        <w:spacing w:line="400" w:lineRule="exact"/>
        <w:ind w:firstLine="420"/>
        <w:jc w:val="left"/>
        <w:rPr>
          <w:rFonts w:ascii="宋体"/>
          <w:color w:val="auto"/>
          <w:kern w:val="0"/>
        </w:rPr>
      </w:pPr>
      <w:r>
        <w:rPr>
          <w:rFonts w:hint="eastAsia" w:ascii="宋体" w:hAnsi="宋体"/>
          <w:color w:val="auto"/>
          <w:kern w:val="0"/>
        </w:rPr>
        <w:t>关于项目经理每月在施工现场的时间要求：</w:t>
      </w:r>
      <w:r>
        <w:rPr>
          <w:rFonts w:hint="eastAsia" w:ascii="宋体" w:hAnsi="宋体"/>
          <w:color w:val="auto"/>
          <w:u w:val="single"/>
        </w:rPr>
        <w:t>每个月不得少于22天</w:t>
      </w:r>
      <w:r>
        <w:rPr>
          <w:rFonts w:hint="eastAsia" w:ascii="宋体" w:hAnsi="宋体"/>
          <w:color w:val="auto"/>
        </w:rPr>
        <w:t>。</w:t>
      </w:r>
    </w:p>
    <w:p w14:paraId="04787B50">
      <w:pPr>
        <w:pStyle w:val="274"/>
        <w:spacing w:line="400" w:lineRule="exact"/>
        <w:ind w:firstLine="420"/>
        <w:rPr>
          <w:rFonts w:ascii="宋体"/>
          <w:color w:val="auto"/>
          <w:kern w:val="0"/>
        </w:rPr>
      </w:pPr>
      <w:r>
        <w:rPr>
          <w:rFonts w:hint="eastAsia" w:ascii="宋体" w:hAnsi="宋体"/>
          <w:color w:val="auto"/>
          <w:kern w:val="0"/>
        </w:rPr>
        <w:t>承包人未提交劳动合同，以及没有为项目经理缴纳社会保险证明的违约责任：</w:t>
      </w:r>
      <w:r>
        <w:rPr>
          <w:rFonts w:hint="eastAsia" w:ascii="宋体" w:hAnsi="宋体"/>
          <w:color w:val="auto"/>
          <w:u w:val="single"/>
        </w:rPr>
        <w:t>向发包人交纳罚款伍万元；发包人向承包人发出限期提交劳动合同以及为项目经理缴纳社会保险的有效证明的书面通知后，承包人在限期内仍未提交的，发包人有权要求更换项目经理</w:t>
      </w:r>
      <w:r>
        <w:rPr>
          <w:rFonts w:hint="eastAsia" w:ascii="宋体" w:hAnsi="宋体"/>
          <w:color w:val="auto"/>
        </w:rPr>
        <w:t>。</w:t>
      </w:r>
    </w:p>
    <w:p w14:paraId="79956238">
      <w:pPr>
        <w:pStyle w:val="274"/>
        <w:spacing w:line="400" w:lineRule="exact"/>
        <w:ind w:firstLine="420"/>
        <w:rPr>
          <w:rFonts w:ascii="宋体"/>
          <w:color w:val="auto"/>
          <w:u w:val="single"/>
        </w:rPr>
      </w:pPr>
      <w:r>
        <w:rPr>
          <w:rFonts w:hint="eastAsia" w:ascii="宋体" w:hAnsi="宋体"/>
          <w:color w:val="auto"/>
          <w:kern w:val="0"/>
        </w:rPr>
        <w:t>项目经理未经批准，擅自离开施工现场的违约责任：</w:t>
      </w:r>
      <w:r>
        <w:rPr>
          <w:rFonts w:hint="eastAsia" w:ascii="宋体" w:hAnsi="宋体"/>
          <w:color w:val="auto"/>
          <w:u w:val="single"/>
        </w:rPr>
        <w:t>项目经理每月在岗带班时间不得少于当月施工时间的</w:t>
      </w:r>
      <w:r>
        <w:rPr>
          <w:color w:val="auto"/>
          <w:u w:val="single"/>
        </w:rPr>
        <w:t>80%</w:t>
      </w:r>
      <w:r>
        <w:rPr>
          <w:rFonts w:hint="eastAsia" w:ascii="宋体" w:hAnsi="宋体"/>
          <w:color w:val="auto"/>
          <w:u w:val="single"/>
        </w:rPr>
        <w:t>。未经发包人同意，项目经理每月在岗带班时间不得少于</w:t>
      </w:r>
      <w:r>
        <w:rPr>
          <w:color w:val="auto"/>
          <w:u w:val="single"/>
        </w:rPr>
        <w:t>22</w:t>
      </w:r>
      <w:r>
        <w:rPr>
          <w:rFonts w:hint="eastAsia" w:ascii="宋体" w:hAnsi="宋体"/>
          <w:color w:val="auto"/>
          <w:u w:val="single"/>
        </w:rPr>
        <w:t>天，少在岗带班一天，应向发包人交纳罚款</w:t>
      </w:r>
      <w:r>
        <w:rPr>
          <w:rFonts w:hint="eastAsia"/>
          <w:color w:val="auto"/>
          <w:u w:val="single"/>
        </w:rPr>
        <w:t>5</w:t>
      </w:r>
      <w:r>
        <w:rPr>
          <w:color w:val="auto"/>
          <w:u w:val="single"/>
        </w:rPr>
        <w:t>000</w:t>
      </w:r>
      <w:r>
        <w:rPr>
          <w:rFonts w:hint="eastAsia" w:ascii="宋体" w:hAnsi="宋体"/>
          <w:color w:val="auto"/>
          <w:u w:val="single"/>
        </w:rPr>
        <w:t>元</w:t>
      </w:r>
      <w:r>
        <w:rPr>
          <w:color w:val="auto"/>
          <w:u w:val="single"/>
        </w:rPr>
        <w:t>/</w:t>
      </w:r>
      <w:r>
        <w:rPr>
          <w:rFonts w:hint="eastAsia" w:ascii="宋体" w:hAnsi="宋体"/>
          <w:color w:val="auto"/>
          <w:u w:val="single"/>
        </w:rPr>
        <w:t xml:space="preserve">日（人民币）  </w:t>
      </w:r>
      <w:r>
        <w:rPr>
          <w:rFonts w:hint="eastAsia" w:ascii="宋体" w:hAnsi="宋体"/>
          <w:color w:val="auto"/>
        </w:rPr>
        <w:t>。</w:t>
      </w:r>
    </w:p>
    <w:p w14:paraId="4EA6D739">
      <w:pPr>
        <w:pStyle w:val="274"/>
        <w:spacing w:line="400" w:lineRule="exact"/>
        <w:ind w:firstLine="420"/>
        <w:rPr>
          <w:rFonts w:ascii="宋体"/>
          <w:color w:val="auto"/>
        </w:rPr>
      </w:pPr>
      <w:r>
        <w:rPr>
          <w:rFonts w:hint="eastAsia" w:ascii="宋体" w:hAnsi="宋体"/>
          <w:color w:val="auto"/>
        </w:rPr>
        <w:t>3.2.3 承包人擅自更换项目经理的违约责任：</w:t>
      </w:r>
      <w:r>
        <w:rPr>
          <w:rFonts w:hint="eastAsia" w:ascii="宋体" w:hAnsi="宋体"/>
          <w:color w:val="auto"/>
          <w:u w:val="single"/>
        </w:rPr>
        <w:t>承包人项目经理必须与承包人投标时所承诺的人员一致，并在开工前到任。在监理人向承包人颁发竣工证明材料前，项目经理不得同时兼任其他任何项目的项目经理</w:t>
      </w:r>
      <w:r>
        <w:rPr>
          <w:rFonts w:hint="eastAsia" w:ascii="宋体" w:hAnsi="宋体"/>
          <w:color w:val="auto"/>
          <w:kern w:val="0"/>
          <w:u w:val="single"/>
        </w:rPr>
        <w:t>（符合桂建管</w:t>
      </w:r>
      <w:r>
        <w:rPr>
          <w:rFonts w:hint="eastAsia" w:ascii="宋体" w:hAnsi="宋体"/>
          <w:color w:val="auto"/>
          <w:u w:val="single"/>
        </w:rPr>
        <w:t>﹝</w:t>
      </w:r>
      <w:r>
        <w:rPr>
          <w:color w:val="auto"/>
          <w:u w:val="single"/>
        </w:rPr>
        <w:t>2013</w:t>
      </w:r>
      <w:r>
        <w:rPr>
          <w:rFonts w:hint="eastAsia" w:ascii="宋体" w:hAnsi="宋体"/>
          <w:color w:val="auto"/>
          <w:u w:val="single"/>
        </w:rPr>
        <w:t>﹞</w:t>
      </w:r>
      <w:r>
        <w:rPr>
          <w:color w:val="auto"/>
          <w:kern w:val="0"/>
          <w:u w:val="single"/>
        </w:rPr>
        <w:t>17</w:t>
      </w:r>
      <w:r>
        <w:rPr>
          <w:rFonts w:hint="eastAsia" w:ascii="宋体" w:hAnsi="宋体"/>
          <w:color w:val="auto"/>
          <w:kern w:val="0"/>
          <w:u w:val="single"/>
        </w:rPr>
        <w:t>号和</w:t>
      </w:r>
      <w:r>
        <w:rPr>
          <w:rFonts w:hint="eastAsia" w:ascii="宋体" w:hAnsi="宋体"/>
          <w:color w:val="auto"/>
          <w:u w:val="single"/>
        </w:rPr>
        <w:t>桂建管﹝</w:t>
      </w:r>
      <w:r>
        <w:rPr>
          <w:color w:val="auto"/>
          <w:u w:val="single"/>
        </w:rPr>
        <w:t>2014</w:t>
      </w:r>
      <w:r>
        <w:rPr>
          <w:rFonts w:hint="eastAsia" w:ascii="宋体" w:hAnsi="宋体"/>
          <w:color w:val="auto"/>
          <w:u w:val="single"/>
        </w:rPr>
        <w:t>﹞</w:t>
      </w:r>
      <w:r>
        <w:rPr>
          <w:color w:val="auto"/>
          <w:u w:val="single"/>
        </w:rPr>
        <w:t>25</w:t>
      </w:r>
      <w:r>
        <w:rPr>
          <w:rFonts w:hint="eastAsia" w:ascii="宋体" w:hAnsi="宋体"/>
          <w:color w:val="auto"/>
          <w:u w:val="single"/>
        </w:rPr>
        <w:t>号</w:t>
      </w:r>
      <w:r>
        <w:rPr>
          <w:rFonts w:hint="eastAsia" w:ascii="宋体" w:hAnsi="宋体"/>
          <w:color w:val="auto"/>
          <w:kern w:val="0"/>
          <w:u w:val="single"/>
        </w:rPr>
        <w:t>文除外）</w:t>
      </w:r>
      <w:r>
        <w:rPr>
          <w:rFonts w:hint="eastAsia" w:ascii="宋体" w:hAnsi="宋体"/>
          <w:color w:val="auto"/>
          <w:u w:val="single"/>
        </w:rPr>
        <w:t>。未经发包人书面同意，承包人擅自更换项目经理的视为违约，必须向发包人交纳违约金</w:t>
      </w:r>
      <w:r>
        <w:rPr>
          <w:color w:val="auto"/>
          <w:u w:val="single"/>
        </w:rPr>
        <w:t>10000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w:t>
      </w:r>
      <w:r>
        <w:rPr>
          <w:rFonts w:hint="eastAsia" w:ascii="宋体" w:hAnsi="宋体"/>
          <w:color w:val="auto"/>
        </w:rPr>
        <w:t>。</w:t>
      </w:r>
    </w:p>
    <w:p w14:paraId="325A2B40">
      <w:pPr>
        <w:pStyle w:val="274"/>
        <w:spacing w:line="400" w:lineRule="exact"/>
        <w:rPr>
          <w:rFonts w:ascii="宋体"/>
          <w:color w:val="auto"/>
        </w:rPr>
      </w:pPr>
      <w:r>
        <w:rPr>
          <w:rFonts w:hint="eastAsia" w:ascii="宋体" w:hAnsi="宋体"/>
          <w:color w:val="auto"/>
        </w:rPr>
        <w:t xml:space="preserve">    3.2.4 承包人无正当理由拒绝更换项目经理的违约责任：</w:t>
      </w:r>
      <w:r>
        <w:rPr>
          <w:rFonts w:hint="eastAsia" w:ascii="宋体" w:hAnsi="宋体"/>
          <w:color w:val="auto"/>
          <w:u w:val="single"/>
        </w:rPr>
        <w:t>因项目经理不称职，发包人要求更换而未及时更换的，视为承包人违约，必须向发包人交纳违约金</w:t>
      </w:r>
      <w:r>
        <w:rPr>
          <w:color w:val="auto"/>
          <w:u w:val="single"/>
        </w:rPr>
        <w:t>5000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w:t>
      </w:r>
      <w:r>
        <w:rPr>
          <w:rFonts w:hint="eastAsia" w:ascii="宋体" w:hAnsi="宋体"/>
          <w:color w:val="auto"/>
        </w:rPr>
        <w:t>若发包人在</w:t>
      </w:r>
      <w:r>
        <w:rPr>
          <w:color w:val="auto"/>
        </w:rPr>
        <w:t>30</w:t>
      </w:r>
      <w:r>
        <w:rPr>
          <w:rFonts w:hint="eastAsia" w:ascii="宋体" w:hAnsi="宋体"/>
          <w:color w:val="auto"/>
        </w:rPr>
        <w:t>天内仍然拒绝撤换或未调换，每延迟一天则按</w:t>
      </w:r>
      <w:r>
        <w:rPr>
          <w:color w:val="auto"/>
          <w:u w:val="single"/>
        </w:rPr>
        <w:t>5000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w:t>
      </w:r>
      <w:r>
        <w:rPr>
          <w:color w:val="auto"/>
          <w:u w:val="single"/>
        </w:rPr>
        <w:t>/</w:t>
      </w:r>
      <w:r>
        <w:rPr>
          <w:rFonts w:hint="eastAsia" w:ascii="宋体" w:hAnsi="宋体"/>
          <w:color w:val="auto"/>
          <w:u w:val="single"/>
        </w:rPr>
        <w:t>天（人民币）向发包人交纳违约金。</w:t>
      </w:r>
    </w:p>
    <w:p w14:paraId="43FDFC24">
      <w:pPr>
        <w:pStyle w:val="273"/>
        <w:spacing w:line="400" w:lineRule="exact"/>
        <w:rPr>
          <w:rFonts w:ascii="宋体"/>
          <w:color w:val="auto"/>
          <w:sz w:val="21"/>
          <w:szCs w:val="21"/>
        </w:rPr>
      </w:pPr>
      <w:r>
        <w:rPr>
          <w:rFonts w:hint="eastAsia" w:ascii="宋体" w:hAnsi="宋体"/>
          <w:color w:val="auto"/>
          <w:sz w:val="21"/>
          <w:szCs w:val="21"/>
        </w:rPr>
        <w:t>3.3 承包人人员</w:t>
      </w:r>
    </w:p>
    <w:p w14:paraId="34373A5C">
      <w:pPr>
        <w:pStyle w:val="274"/>
        <w:spacing w:line="400" w:lineRule="exact"/>
        <w:ind w:firstLine="420"/>
        <w:rPr>
          <w:rFonts w:ascii="宋体"/>
          <w:color w:val="auto"/>
        </w:rPr>
      </w:pPr>
      <w:r>
        <w:rPr>
          <w:rFonts w:hint="eastAsia" w:ascii="宋体" w:hAnsi="宋体"/>
          <w:color w:val="auto"/>
        </w:rPr>
        <w:t>3.3.1 承包人提交项目管理机构及施工现场管理人员安排报告的期限：</w:t>
      </w:r>
      <w:r>
        <w:rPr>
          <w:rFonts w:hint="eastAsia" w:ascii="宋体" w:hAnsi="宋体"/>
          <w:b/>
          <w:bCs/>
          <w:color w:val="auto"/>
          <w:u w:val="single"/>
        </w:rPr>
        <w:t>中标通知书下达7日内</w:t>
      </w:r>
      <w:r>
        <w:rPr>
          <w:rFonts w:hint="eastAsia" w:ascii="宋体" w:hAnsi="宋体"/>
          <w:color w:val="auto"/>
        </w:rPr>
        <w:t>。</w:t>
      </w:r>
    </w:p>
    <w:p w14:paraId="145727B3">
      <w:pPr>
        <w:pStyle w:val="281"/>
        <w:spacing w:line="400" w:lineRule="exact"/>
        <w:ind w:firstLine="420"/>
        <w:rPr>
          <w:color w:val="auto"/>
        </w:rPr>
      </w:pPr>
      <w:r>
        <w:rPr>
          <w:rFonts w:hint="eastAsia" w:ascii="宋体" w:hAnsi="宋体" w:eastAsia="Times New Roman"/>
          <w:color w:val="auto"/>
        </w:rPr>
        <w:t xml:space="preserve">3.3.3 </w:t>
      </w:r>
      <w:r>
        <w:rPr>
          <w:rFonts w:hint="eastAsia" w:ascii="宋体" w:hAnsi="宋体"/>
          <w:color w:val="auto"/>
        </w:rPr>
        <w:t>承包人无正当理由拒绝撤换主要施工管理人员的违约责任：</w:t>
      </w:r>
      <w:r>
        <w:rPr>
          <w:rFonts w:hint="eastAsia" w:ascii="宋体" w:hAnsi="宋体"/>
          <w:color w:val="auto"/>
          <w:u w:val="single"/>
        </w:rPr>
        <w:t>因承包人主要施工管理人员不称职，发包人要求调换而无正当理由拒绝撤换或未调换的，视为承包人违约，必须向发包人交纳违约金，违约金标准：技术负责人</w:t>
      </w:r>
      <w:r>
        <w:rPr>
          <w:color w:val="auto"/>
          <w:u w:val="single"/>
        </w:rPr>
        <w:t>5000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次（人民币）；专业工程师</w:t>
      </w:r>
      <w:r>
        <w:rPr>
          <w:rFonts w:hint="eastAsia"/>
          <w:color w:val="auto"/>
          <w:u w:val="single"/>
        </w:rPr>
        <w:t>5</w:t>
      </w:r>
      <w:r>
        <w:rPr>
          <w:color w:val="auto"/>
          <w:u w:val="single"/>
        </w:rPr>
        <w:t>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w:t>
      </w:r>
      <w:r>
        <w:rPr>
          <w:rFonts w:hint="eastAsia" w:ascii="宋体" w:hAnsi="宋体"/>
          <w:color w:val="auto"/>
        </w:rPr>
        <w:t>。若发包人在</w:t>
      </w:r>
      <w:r>
        <w:rPr>
          <w:color w:val="auto"/>
        </w:rPr>
        <w:t>30</w:t>
      </w:r>
      <w:r>
        <w:rPr>
          <w:rFonts w:hint="eastAsia" w:ascii="宋体" w:hAnsi="宋体"/>
          <w:color w:val="auto"/>
        </w:rPr>
        <w:t>天内仍然拒绝撤换或未调换，每延迟一天则按</w:t>
      </w:r>
      <w:r>
        <w:rPr>
          <w:rFonts w:hint="eastAsia" w:ascii="宋体" w:hAnsi="宋体"/>
          <w:color w:val="auto"/>
          <w:u w:val="single"/>
        </w:rPr>
        <w:t>技术负责人</w:t>
      </w:r>
      <w:r>
        <w:rPr>
          <w:color w:val="auto"/>
          <w:u w:val="single"/>
        </w:rPr>
        <w:t>3000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w:t>
      </w:r>
      <w:r>
        <w:rPr>
          <w:color w:val="auto"/>
          <w:u w:val="single"/>
        </w:rPr>
        <w:t>/</w:t>
      </w:r>
      <w:r>
        <w:rPr>
          <w:rFonts w:hint="eastAsia" w:ascii="宋体" w:hAnsi="宋体"/>
          <w:color w:val="auto"/>
          <w:u w:val="single"/>
        </w:rPr>
        <w:t>天（人民币）；专业工程师</w:t>
      </w:r>
      <w:r>
        <w:rPr>
          <w:color w:val="auto"/>
          <w:u w:val="single"/>
        </w:rPr>
        <w:t>1000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w:t>
      </w:r>
      <w:r>
        <w:rPr>
          <w:color w:val="auto"/>
          <w:u w:val="single"/>
        </w:rPr>
        <w:t>/</w:t>
      </w:r>
      <w:r>
        <w:rPr>
          <w:rFonts w:hint="eastAsia" w:ascii="宋体" w:hAnsi="宋体"/>
          <w:color w:val="auto"/>
          <w:u w:val="single"/>
        </w:rPr>
        <w:t>天（人民币）向发包人交纳违约金。</w:t>
      </w:r>
    </w:p>
    <w:p w14:paraId="65201B08">
      <w:pPr>
        <w:pStyle w:val="274"/>
        <w:spacing w:line="400" w:lineRule="exact"/>
        <w:ind w:firstLine="420"/>
        <w:rPr>
          <w:rFonts w:ascii="宋体"/>
          <w:color w:val="auto"/>
          <w:u w:val="single"/>
        </w:rPr>
      </w:pPr>
      <w:r>
        <w:rPr>
          <w:rFonts w:hint="eastAsia" w:ascii="宋体" w:hAnsi="宋体"/>
          <w:color w:val="auto"/>
        </w:rPr>
        <w:t>3.3.4 承包人主要施工管理人员离开施工现场的批准要求：</w:t>
      </w:r>
      <w:r>
        <w:rPr>
          <w:color w:val="auto"/>
          <w:u w:val="single"/>
        </w:rPr>
        <w:t xml:space="preserve">  </w:t>
      </w:r>
      <w:r>
        <w:rPr>
          <w:rFonts w:hint="eastAsia" w:ascii="宋体" w:hAnsi="宋体"/>
          <w:color w:val="auto"/>
          <w:u w:val="single"/>
        </w:rPr>
        <w:t>必须经总监理工程师和发包人项目负责人批准</w:t>
      </w:r>
      <w:r>
        <w:rPr>
          <w:rFonts w:hint="eastAsia" w:ascii="宋体" w:hAnsi="宋体"/>
          <w:color w:val="auto"/>
        </w:rPr>
        <w:t>。</w:t>
      </w:r>
    </w:p>
    <w:p w14:paraId="78EEB654">
      <w:pPr>
        <w:pStyle w:val="281"/>
        <w:spacing w:line="400" w:lineRule="exact"/>
        <w:ind w:firstLine="420"/>
        <w:rPr>
          <w:color w:val="auto"/>
        </w:rPr>
      </w:pPr>
      <w:r>
        <w:rPr>
          <w:rFonts w:hint="eastAsia" w:ascii="宋体" w:hAnsi="宋体" w:eastAsia="Times New Roman"/>
          <w:color w:val="auto"/>
        </w:rPr>
        <w:t>3.3.5</w:t>
      </w:r>
      <w:r>
        <w:rPr>
          <w:rFonts w:hint="eastAsia" w:ascii="宋体" w:hAnsi="宋体"/>
          <w:color w:val="auto"/>
        </w:rPr>
        <w:t>承包人擅自更换主要施工管理人员的违约责任：</w:t>
      </w:r>
      <w:r>
        <w:rPr>
          <w:rFonts w:hint="eastAsia" w:ascii="宋体" w:hAnsi="宋体"/>
          <w:color w:val="auto"/>
          <w:u w:val="single"/>
        </w:rPr>
        <w:t>项目技术负责人、专职安全员及其承诺的其它在场管理人员未经发包人书面同意不准擅自更换，擅自更换项目技术负责人处</w:t>
      </w:r>
      <w:r>
        <w:rPr>
          <w:rFonts w:hint="eastAsia"/>
          <w:color w:val="auto"/>
          <w:u w:val="single"/>
        </w:rPr>
        <w:t>5</w:t>
      </w:r>
      <w:r>
        <w:rPr>
          <w:color w:val="auto"/>
          <w:u w:val="single"/>
        </w:rPr>
        <w:t>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次（人民币）违约金；擅自更换专职安全员处</w:t>
      </w:r>
      <w:r>
        <w:rPr>
          <w:color w:val="auto"/>
          <w:u w:val="single"/>
        </w:rPr>
        <w:t>1000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次（人民币）违约金；擅自更换其它在场管理人员处</w:t>
      </w:r>
      <w:r>
        <w:rPr>
          <w:color w:val="auto"/>
          <w:u w:val="single"/>
        </w:rPr>
        <w:t xml:space="preserve">800 </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次（人民币）违约金</w:t>
      </w:r>
      <w:r>
        <w:rPr>
          <w:rFonts w:hint="eastAsia" w:ascii="宋体" w:hAnsi="宋体"/>
          <w:color w:val="auto"/>
        </w:rPr>
        <w:t>。</w:t>
      </w:r>
    </w:p>
    <w:p w14:paraId="09B4B924">
      <w:pPr>
        <w:pStyle w:val="274"/>
        <w:spacing w:line="400" w:lineRule="exact"/>
        <w:ind w:firstLine="420"/>
        <w:rPr>
          <w:rFonts w:ascii="宋体"/>
          <w:color w:val="auto"/>
        </w:rPr>
      </w:pPr>
      <w:r>
        <w:rPr>
          <w:rFonts w:hint="eastAsia" w:ascii="宋体" w:hAnsi="宋体"/>
          <w:color w:val="auto"/>
        </w:rPr>
        <w:t>承包人主要施工管理人员擅自离开施工现场的违约责任：</w:t>
      </w:r>
      <w:r>
        <w:rPr>
          <w:rFonts w:hint="eastAsia" w:ascii="宋体" w:hAnsi="宋体"/>
          <w:color w:val="auto"/>
          <w:u w:val="single"/>
        </w:rPr>
        <w:t>未经发包人同意，项目技术负责人擅自离岗的，视为承包人违约，发包人有权处违约金</w:t>
      </w:r>
      <w:r>
        <w:rPr>
          <w:color w:val="auto"/>
          <w:u w:val="single"/>
        </w:rPr>
        <w:t>8000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次（人民币）；未经发包人同意，专职安全员擅自离岗的，视为承包人违约，发包人有权处违约金</w:t>
      </w:r>
      <w:r>
        <w:rPr>
          <w:color w:val="auto"/>
          <w:u w:val="single"/>
        </w:rPr>
        <w:t xml:space="preserve">5000 </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次（人民币）；其它在场管理人员擅自离岗的，视为承包人违约，发包人有权处违约金</w:t>
      </w:r>
      <w:r>
        <w:rPr>
          <w:color w:val="auto"/>
          <w:u w:val="single"/>
        </w:rPr>
        <w:t>5000</w:t>
      </w:r>
      <w:r>
        <w:rPr>
          <w:rFonts w:hint="eastAsia" w:ascii="宋体" w:hAnsi="宋体"/>
          <w:color w:val="auto"/>
          <w:u w:val="single"/>
        </w:rPr>
        <w:t>元</w:t>
      </w:r>
      <w:r>
        <w:rPr>
          <w:color w:val="auto"/>
          <w:u w:val="single"/>
        </w:rPr>
        <w:t>/</w:t>
      </w:r>
      <w:r>
        <w:rPr>
          <w:rFonts w:hint="eastAsia" w:ascii="宋体" w:hAnsi="宋体"/>
          <w:color w:val="auto"/>
          <w:u w:val="single"/>
        </w:rPr>
        <w:t>人</w:t>
      </w:r>
      <w:r>
        <w:rPr>
          <w:color w:val="auto"/>
          <w:u w:val="single"/>
        </w:rPr>
        <w:t>•</w:t>
      </w:r>
      <w:r>
        <w:rPr>
          <w:rFonts w:hint="eastAsia" w:ascii="宋体" w:hAnsi="宋体"/>
          <w:color w:val="auto"/>
          <w:u w:val="single"/>
        </w:rPr>
        <w:t>次（人民币）</w:t>
      </w:r>
      <w:r>
        <w:rPr>
          <w:rFonts w:hint="eastAsia" w:ascii="宋体" w:hAnsi="宋体"/>
          <w:color w:val="auto"/>
        </w:rPr>
        <w:t>。</w:t>
      </w:r>
    </w:p>
    <w:p w14:paraId="6D304C0E">
      <w:pPr>
        <w:pStyle w:val="273"/>
        <w:spacing w:line="400" w:lineRule="exact"/>
        <w:rPr>
          <w:rFonts w:ascii="宋体"/>
          <w:color w:val="auto"/>
          <w:sz w:val="21"/>
          <w:szCs w:val="21"/>
        </w:rPr>
      </w:pPr>
      <w:r>
        <w:rPr>
          <w:rFonts w:hint="eastAsia" w:ascii="宋体" w:hAnsi="宋体"/>
          <w:color w:val="auto"/>
          <w:sz w:val="21"/>
          <w:szCs w:val="21"/>
        </w:rPr>
        <w:t>3.5 分包</w:t>
      </w:r>
    </w:p>
    <w:p w14:paraId="47655726">
      <w:pPr>
        <w:pStyle w:val="274"/>
        <w:spacing w:line="400" w:lineRule="exact"/>
        <w:ind w:firstLine="420"/>
        <w:rPr>
          <w:rFonts w:ascii="宋体"/>
          <w:color w:val="auto"/>
        </w:rPr>
      </w:pPr>
      <w:r>
        <w:rPr>
          <w:rFonts w:hint="eastAsia" w:ascii="宋体" w:hAnsi="宋体"/>
          <w:color w:val="auto"/>
        </w:rPr>
        <w:t>3.5.1 分包的一般约定</w:t>
      </w:r>
    </w:p>
    <w:p w14:paraId="4DA67CF3">
      <w:pPr>
        <w:pStyle w:val="274"/>
        <w:spacing w:line="400" w:lineRule="exact"/>
        <w:ind w:firstLine="420"/>
        <w:jc w:val="left"/>
        <w:rPr>
          <w:rFonts w:ascii="宋体"/>
          <w:color w:val="auto"/>
        </w:rPr>
      </w:pPr>
      <w:r>
        <w:rPr>
          <w:rFonts w:hint="eastAsia" w:ascii="宋体" w:hAnsi="宋体"/>
          <w:color w:val="auto"/>
        </w:rPr>
        <w:t>禁止分包的工程包括：</w:t>
      </w:r>
      <w:r>
        <w:rPr>
          <w:rFonts w:hint="eastAsia" w:ascii="宋体" w:hAnsi="宋体"/>
          <w:b/>
          <w:bCs/>
          <w:color w:val="auto"/>
          <w:u w:val="single"/>
        </w:rPr>
        <w:t>本项目发包范围内的全部内容禁止违法分包</w:t>
      </w:r>
      <w:r>
        <w:rPr>
          <w:rFonts w:hint="eastAsia" w:ascii="宋体" w:hAnsi="宋体"/>
          <w:color w:val="auto"/>
        </w:rPr>
        <w:t>。</w:t>
      </w:r>
    </w:p>
    <w:p w14:paraId="018F3549">
      <w:pPr>
        <w:pStyle w:val="274"/>
        <w:spacing w:line="400" w:lineRule="exact"/>
        <w:rPr>
          <w:rFonts w:ascii="宋体"/>
          <w:color w:val="auto"/>
        </w:rPr>
      </w:pPr>
      <w:r>
        <w:rPr>
          <w:rFonts w:hint="eastAsia" w:ascii="宋体" w:hAnsi="宋体"/>
          <w:color w:val="auto"/>
        </w:rPr>
        <w:t xml:space="preserve">    3.5.2分包的确定</w:t>
      </w:r>
    </w:p>
    <w:p w14:paraId="1D877A2B">
      <w:pPr>
        <w:pStyle w:val="274"/>
        <w:spacing w:line="400" w:lineRule="exact"/>
        <w:ind w:firstLine="420"/>
        <w:rPr>
          <w:rFonts w:ascii="宋体"/>
          <w:color w:val="auto"/>
          <w:u w:val="single"/>
        </w:rPr>
      </w:pPr>
      <w:r>
        <w:rPr>
          <w:rFonts w:hint="eastAsia" w:ascii="宋体" w:hAnsi="宋体"/>
          <w:color w:val="auto"/>
        </w:rPr>
        <w:t>允许分包的专业工程包括：</w:t>
      </w:r>
      <w:r>
        <w:rPr>
          <w:rFonts w:hint="eastAsia" w:ascii="宋体" w:hAnsi="宋体"/>
          <w:color w:val="auto"/>
          <w:u w:val="single"/>
        </w:rPr>
        <w:t>本工程不允许分包</w:t>
      </w:r>
      <w:r>
        <w:rPr>
          <w:rFonts w:hint="eastAsia" w:ascii="宋体" w:hAnsi="宋体"/>
          <w:color w:val="auto"/>
        </w:rPr>
        <w:t>。</w:t>
      </w:r>
    </w:p>
    <w:p w14:paraId="1C27137E">
      <w:pPr>
        <w:pStyle w:val="274"/>
        <w:spacing w:line="400" w:lineRule="exact"/>
        <w:ind w:firstLine="420"/>
        <w:rPr>
          <w:rFonts w:ascii="宋体"/>
          <w:color w:val="auto"/>
        </w:rPr>
      </w:pPr>
      <w:r>
        <w:rPr>
          <w:rFonts w:hint="eastAsia" w:ascii="宋体" w:hAnsi="宋体"/>
          <w:color w:val="auto"/>
        </w:rPr>
        <w:t>主体结构、关键性工作的范围：</w:t>
      </w:r>
      <w:r>
        <w:rPr>
          <w:rFonts w:hint="eastAsia" w:ascii="宋体" w:hAnsi="宋体"/>
          <w:color w:val="auto"/>
          <w:u w:val="single"/>
        </w:rPr>
        <w:t>本工程不允许分包</w:t>
      </w:r>
    </w:p>
    <w:p w14:paraId="22E1E91C">
      <w:pPr>
        <w:pStyle w:val="274"/>
        <w:spacing w:before="240" w:line="400" w:lineRule="exact"/>
        <w:ind w:firstLine="420"/>
        <w:rPr>
          <w:rFonts w:ascii="宋体"/>
          <w:color w:val="auto"/>
        </w:rPr>
      </w:pPr>
      <w:r>
        <w:rPr>
          <w:rFonts w:hint="eastAsia" w:ascii="宋体" w:hAnsi="宋体"/>
          <w:color w:val="auto"/>
        </w:rPr>
        <w:t>3.5.4 分包合同价款</w:t>
      </w:r>
    </w:p>
    <w:p w14:paraId="58434285">
      <w:pPr>
        <w:pStyle w:val="281"/>
        <w:spacing w:line="400" w:lineRule="exact"/>
        <w:ind w:firstLine="420"/>
        <w:rPr>
          <w:color w:val="auto"/>
        </w:rPr>
      </w:pPr>
      <w:r>
        <w:rPr>
          <w:rFonts w:hint="eastAsia" w:ascii="宋体" w:hAnsi="宋体"/>
          <w:color w:val="auto"/>
        </w:rPr>
        <w:t>关于分包合同价款支付的约定：</w:t>
      </w:r>
      <w:r>
        <w:rPr>
          <w:rFonts w:hint="eastAsia" w:ascii="宋体" w:hAnsi="宋体"/>
          <w:b/>
          <w:bCs/>
          <w:color w:val="auto"/>
          <w:u w:val="single"/>
        </w:rPr>
        <w:t>本项目无</w:t>
      </w:r>
      <w:r>
        <w:rPr>
          <w:rFonts w:hint="eastAsia" w:ascii="宋体" w:hAnsi="宋体"/>
          <w:b/>
          <w:bCs/>
          <w:color w:val="auto"/>
        </w:rPr>
        <w:t>。</w:t>
      </w:r>
    </w:p>
    <w:p w14:paraId="209BF26C">
      <w:pPr>
        <w:pStyle w:val="274"/>
        <w:spacing w:before="240" w:line="400" w:lineRule="exact"/>
        <w:ind w:firstLine="420"/>
        <w:rPr>
          <w:rFonts w:ascii="宋体"/>
          <w:color w:val="auto"/>
        </w:rPr>
      </w:pPr>
      <w:r>
        <w:rPr>
          <w:rFonts w:hint="eastAsia" w:ascii="宋体" w:hAnsi="宋体"/>
          <w:color w:val="auto"/>
        </w:rPr>
        <w:t xml:space="preserve"> </w:t>
      </w:r>
    </w:p>
    <w:p w14:paraId="6F6F598B">
      <w:pPr>
        <w:pStyle w:val="273"/>
        <w:spacing w:line="400" w:lineRule="exact"/>
        <w:rPr>
          <w:rFonts w:ascii="宋体"/>
          <w:color w:val="auto"/>
          <w:sz w:val="21"/>
          <w:szCs w:val="21"/>
        </w:rPr>
      </w:pPr>
      <w:r>
        <w:rPr>
          <w:rFonts w:hint="eastAsia" w:ascii="宋体" w:hAnsi="宋体"/>
          <w:color w:val="auto"/>
          <w:sz w:val="21"/>
          <w:szCs w:val="21"/>
        </w:rPr>
        <w:t>3.6 工程照管与成品、半成品保护</w:t>
      </w:r>
    </w:p>
    <w:p w14:paraId="65C5DB0F">
      <w:pPr>
        <w:pStyle w:val="274"/>
        <w:spacing w:before="120" w:after="120" w:line="400" w:lineRule="exact"/>
        <w:ind w:firstLine="420"/>
        <w:rPr>
          <w:rFonts w:ascii="宋体"/>
          <w:color w:val="auto"/>
          <w:kern w:val="0"/>
          <w:u w:val="single"/>
        </w:rPr>
      </w:pPr>
      <w:r>
        <w:rPr>
          <w:rFonts w:hint="eastAsia" w:ascii="宋体" w:hAnsi="宋体"/>
          <w:color w:val="auto"/>
          <w:u w:val="single"/>
        </w:rPr>
        <w:t>已竣工工程未交付发包人之前，承包人按协议条款约定负责已完工工程的成品保护工作，保护器件发生损坏，承包人予以修复并承担费用</w:t>
      </w:r>
      <w:r>
        <w:rPr>
          <w:rFonts w:hint="eastAsia" w:ascii="宋体" w:hAnsi="宋体"/>
          <w:color w:val="auto"/>
          <w:kern w:val="0"/>
        </w:rPr>
        <w:t>。</w:t>
      </w:r>
    </w:p>
    <w:p w14:paraId="448687DF">
      <w:pPr>
        <w:pStyle w:val="273"/>
        <w:spacing w:line="400" w:lineRule="exact"/>
        <w:rPr>
          <w:rFonts w:ascii="宋体"/>
          <w:color w:val="auto"/>
          <w:sz w:val="21"/>
          <w:szCs w:val="21"/>
        </w:rPr>
      </w:pPr>
      <w:r>
        <w:rPr>
          <w:rFonts w:hint="eastAsia" w:ascii="宋体" w:hAnsi="宋体"/>
          <w:color w:val="auto"/>
          <w:sz w:val="21"/>
          <w:szCs w:val="21"/>
        </w:rPr>
        <w:t>3.7 履约担保</w:t>
      </w:r>
    </w:p>
    <w:p w14:paraId="3E88E6C4">
      <w:pPr>
        <w:pStyle w:val="242"/>
        <w:spacing w:line="360" w:lineRule="auto"/>
        <w:ind w:firstLine="367" w:firstLineChars="175"/>
        <w:jc w:val="left"/>
        <w:rPr>
          <w:rFonts w:ascii="宋体" w:hAnsi="宋体"/>
          <w:color w:val="auto"/>
          <w:szCs w:val="21"/>
        </w:rPr>
      </w:pPr>
      <w:r>
        <w:rPr>
          <w:rFonts w:hint="eastAsia" w:ascii="宋体" w:hAnsi="宋体"/>
          <w:color w:val="auto"/>
        </w:rPr>
        <w:t>承包人是否提供履约担保：</w:t>
      </w:r>
      <w:r>
        <w:rPr>
          <w:rFonts w:hint="eastAsia" w:ascii="宋体" w:hAnsi="宋体"/>
          <w:color w:val="auto"/>
          <w:u w:val="single"/>
        </w:rPr>
        <w:t xml:space="preserve">   </w:t>
      </w:r>
      <w:r>
        <w:rPr>
          <w:rFonts w:hint="eastAsia" w:ascii="宋体" w:hAnsi="宋体"/>
          <w:color w:val="auto"/>
        </w:rPr>
        <w:t>。</w:t>
      </w:r>
    </w:p>
    <w:p w14:paraId="56A24939">
      <w:pPr>
        <w:pStyle w:val="242"/>
        <w:spacing w:line="360" w:lineRule="auto"/>
        <w:ind w:firstLine="367" w:firstLineChars="175"/>
        <w:jc w:val="left"/>
        <w:rPr>
          <w:rFonts w:ascii="宋体" w:hAnsi="宋体"/>
          <w:color w:val="auto"/>
          <w:u w:val="single"/>
        </w:rPr>
      </w:pPr>
      <w:r>
        <w:rPr>
          <w:rFonts w:hint="eastAsia" w:ascii="宋体" w:hAnsi="宋体"/>
          <w:color w:val="auto"/>
        </w:rPr>
        <w:t>承包人提供履约担保的形式、金额及期限的：</w:t>
      </w:r>
      <w:r>
        <w:rPr>
          <w:rFonts w:hint="eastAsia" w:ascii="宋体" w:hAnsi="宋体"/>
          <w:color w:val="auto"/>
          <w:u w:val="single"/>
        </w:rPr>
        <w:t xml:space="preserve">     。</w:t>
      </w:r>
    </w:p>
    <w:p w14:paraId="1C7E19B2">
      <w:pPr>
        <w:pStyle w:val="242"/>
        <w:spacing w:line="360" w:lineRule="auto"/>
        <w:ind w:firstLine="367" w:firstLineChars="175"/>
        <w:jc w:val="left"/>
        <w:rPr>
          <w:rFonts w:ascii="宋体" w:hAnsi="宋体"/>
          <w:color w:val="auto"/>
          <w:u w:val="single"/>
        </w:rPr>
      </w:pPr>
      <w:r>
        <w:rPr>
          <w:rFonts w:hint="eastAsia" w:ascii="宋体" w:hAnsi="宋体"/>
          <w:color w:val="auto"/>
          <w:u w:val="single"/>
        </w:rPr>
        <w:t>履约保证金的退还：    。</w:t>
      </w:r>
    </w:p>
    <w:p w14:paraId="1D830556">
      <w:pPr>
        <w:pStyle w:val="273"/>
        <w:spacing w:line="400" w:lineRule="exact"/>
        <w:rPr>
          <w:rFonts w:ascii="宋体"/>
          <w:color w:val="auto"/>
          <w:sz w:val="21"/>
          <w:szCs w:val="21"/>
        </w:rPr>
      </w:pPr>
      <w:r>
        <w:rPr>
          <w:rFonts w:hint="eastAsia" w:ascii="宋体" w:hAnsi="宋体"/>
          <w:color w:val="auto"/>
          <w:sz w:val="21"/>
          <w:szCs w:val="21"/>
        </w:rPr>
        <w:t>4. 监理人</w:t>
      </w:r>
    </w:p>
    <w:p w14:paraId="29825AB4">
      <w:pPr>
        <w:pStyle w:val="273"/>
        <w:spacing w:line="400" w:lineRule="exact"/>
        <w:rPr>
          <w:rFonts w:ascii="宋体"/>
          <w:color w:val="auto"/>
          <w:sz w:val="21"/>
          <w:szCs w:val="21"/>
        </w:rPr>
      </w:pPr>
      <w:r>
        <w:rPr>
          <w:rFonts w:hint="eastAsia" w:ascii="宋体" w:hAnsi="宋体"/>
          <w:color w:val="auto"/>
          <w:sz w:val="21"/>
          <w:szCs w:val="21"/>
        </w:rPr>
        <w:t>4.1监理人的一般规定</w:t>
      </w:r>
    </w:p>
    <w:p w14:paraId="42FFD08E">
      <w:pPr>
        <w:pStyle w:val="274"/>
        <w:spacing w:line="400" w:lineRule="exact"/>
        <w:ind w:firstLine="420"/>
        <w:jc w:val="left"/>
        <w:rPr>
          <w:rFonts w:ascii="宋体"/>
          <w:color w:val="auto"/>
        </w:rPr>
      </w:pPr>
      <w:r>
        <w:rPr>
          <w:rFonts w:hint="eastAsia" w:ascii="宋体" w:hAnsi="宋体"/>
          <w:color w:val="auto"/>
        </w:rPr>
        <w:t>关于监理人的监理内容：</w:t>
      </w:r>
      <w:r>
        <w:rPr>
          <w:rFonts w:hint="eastAsia" w:ascii="宋体" w:hAnsi="宋体"/>
          <w:color w:val="auto"/>
          <w:u w:val="single"/>
        </w:rPr>
        <w:t xml:space="preserve"> 按照监理合同执行 </w:t>
      </w:r>
      <w:r>
        <w:rPr>
          <w:rFonts w:hint="eastAsia" w:ascii="宋体" w:hAnsi="宋体"/>
          <w:color w:val="auto"/>
        </w:rPr>
        <w:t>。</w:t>
      </w:r>
    </w:p>
    <w:p w14:paraId="01CF90DD">
      <w:pPr>
        <w:pStyle w:val="274"/>
        <w:spacing w:line="400" w:lineRule="exact"/>
        <w:ind w:firstLine="420"/>
        <w:jc w:val="left"/>
        <w:rPr>
          <w:rFonts w:ascii="宋体" w:hAnsi="宋体"/>
          <w:color w:val="auto"/>
        </w:rPr>
      </w:pPr>
      <w:r>
        <w:rPr>
          <w:rFonts w:hint="eastAsia" w:ascii="宋体" w:hAnsi="宋体"/>
          <w:color w:val="auto"/>
        </w:rPr>
        <w:t>关于监理人的监理权限：</w:t>
      </w:r>
      <w:r>
        <w:rPr>
          <w:rFonts w:hint="eastAsia" w:ascii="宋体" w:hAnsi="宋体"/>
          <w:color w:val="auto"/>
          <w:u w:val="single"/>
        </w:rPr>
        <w:t xml:space="preserve">  按照监理合同执行     </w:t>
      </w:r>
      <w:r>
        <w:rPr>
          <w:rFonts w:hint="eastAsia" w:ascii="宋体" w:hAnsi="宋体"/>
          <w:color w:val="auto"/>
        </w:rPr>
        <w:t xml:space="preserve">。 </w:t>
      </w:r>
    </w:p>
    <w:p w14:paraId="0F2F2E20">
      <w:pPr>
        <w:pStyle w:val="274"/>
        <w:spacing w:line="400" w:lineRule="exact"/>
        <w:ind w:firstLine="420"/>
        <w:rPr>
          <w:rFonts w:ascii="宋体"/>
          <w:color w:val="auto"/>
          <w:u w:val="single"/>
        </w:rPr>
      </w:pPr>
      <w:r>
        <w:rPr>
          <w:rFonts w:hint="eastAsia" w:ascii="宋体" w:hAnsi="宋体"/>
          <w:color w:val="auto"/>
        </w:rPr>
        <w:t>关于监理人在施工现场的办公场所、生活场所的提供和费用承担的约定：</w:t>
      </w:r>
      <w:r>
        <w:rPr>
          <w:rFonts w:hint="eastAsia" w:ascii="宋体" w:hAnsi="宋体"/>
          <w:color w:val="auto"/>
          <w:u w:val="single"/>
        </w:rPr>
        <w:t xml:space="preserve"> 发包方免费提供两间办公室给监理人使用 </w:t>
      </w:r>
      <w:r>
        <w:rPr>
          <w:rFonts w:hint="eastAsia" w:ascii="宋体" w:hAnsi="宋体"/>
          <w:color w:val="auto"/>
        </w:rPr>
        <w:t>。</w:t>
      </w:r>
    </w:p>
    <w:p w14:paraId="7C2B4C98">
      <w:pPr>
        <w:pStyle w:val="273"/>
        <w:spacing w:line="400" w:lineRule="exact"/>
        <w:rPr>
          <w:rFonts w:ascii="宋体"/>
          <w:color w:val="auto"/>
          <w:sz w:val="21"/>
          <w:szCs w:val="21"/>
        </w:rPr>
      </w:pPr>
      <w:r>
        <w:rPr>
          <w:rFonts w:hint="eastAsia" w:ascii="宋体" w:hAnsi="宋体"/>
          <w:color w:val="auto"/>
          <w:sz w:val="21"/>
          <w:szCs w:val="21"/>
        </w:rPr>
        <w:t>4.2 监理人员</w:t>
      </w:r>
    </w:p>
    <w:p w14:paraId="0FF23868">
      <w:pPr>
        <w:pStyle w:val="274"/>
        <w:spacing w:line="400" w:lineRule="exact"/>
        <w:ind w:firstLine="420"/>
        <w:rPr>
          <w:rFonts w:ascii="宋体"/>
          <w:color w:val="auto"/>
        </w:rPr>
      </w:pPr>
      <w:r>
        <w:rPr>
          <w:rFonts w:hint="eastAsia" w:ascii="宋体" w:hAnsi="宋体"/>
          <w:color w:val="auto"/>
        </w:rPr>
        <w:t>总监理工程师：</w:t>
      </w:r>
    </w:p>
    <w:p w14:paraId="5A3AB813">
      <w:pPr>
        <w:pStyle w:val="274"/>
        <w:spacing w:line="400" w:lineRule="exact"/>
        <w:ind w:firstLine="420"/>
        <w:rPr>
          <w:rFonts w:ascii="宋体"/>
          <w:color w:val="auto"/>
        </w:rPr>
      </w:pPr>
      <w:r>
        <w:rPr>
          <w:rFonts w:hint="eastAsia" w:ascii="宋体" w:hAnsi="宋体"/>
          <w:color w:val="auto"/>
        </w:rPr>
        <w:t>姓    名：</w:t>
      </w:r>
      <w:r>
        <w:rPr>
          <w:rFonts w:hint="eastAsia" w:ascii="MingLiU_HKSCS" w:hAnsi="MingLiU_HKSCS" w:cs="MingLiU_HKSCS"/>
          <w:color w:val="auto"/>
          <w:u w:val="single"/>
        </w:rPr>
        <w:t xml:space="preserve">                               </w:t>
      </w:r>
      <w:r>
        <w:rPr>
          <w:rFonts w:hint="eastAsia" w:ascii="宋体" w:hAnsi="宋体"/>
          <w:color w:val="auto"/>
        </w:rPr>
        <w:t>；</w:t>
      </w:r>
    </w:p>
    <w:p w14:paraId="354F5252">
      <w:pPr>
        <w:pStyle w:val="274"/>
        <w:spacing w:line="400" w:lineRule="exact"/>
        <w:ind w:firstLine="420"/>
        <w:rPr>
          <w:rFonts w:ascii="宋体"/>
          <w:color w:val="auto"/>
        </w:rPr>
      </w:pPr>
      <w:r>
        <w:rPr>
          <w:rFonts w:hint="eastAsia" w:ascii="宋体" w:hAnsi="宋体"/>
          <w:color w:val="auto"/>
        </w:rPr>
        <w:t>职    务：</w:t>
      </w:r>
      <w:r>
        <w:rPr>
          <w:rFonts w:hint="eastAsia" w:ascii="MingLiU_HKSCS" w:hAnsi="MingLiU_HKSCS" w:cs="MingLiU_HKSCS"/>
          <w:color w:val="auto"/>
          <w:u w:val="single"/>
        </w:rPr>
        <w:t xml:space="preserve">                               </w:t>
      </w:r>
      <w:r>
        <w:rPr>
          <w:rFonts w:hint="eastAsia" w:ascii="宋体" w:hAnsi="宋体"/>
          <w:color w:val="auto"/>
        </w:rPr>
        <w:t>；</w:t>
      </w:r>
    </w:p>
    <w:p w14:paraId="56B6B466">
      <w:pPr>
        <w:pStyle w:val="274"/>
        <w:spacing w:line="400" w:lineRule="exact"/>
        <w:ind w:firstLine="420"/>
        <w:rPr>
          <w:rFonts w:ascii="宋体"/>
          <w:color w:val="auto"/>
        </w:rPr>
      </w:pPr>
      <w:r>
        <w:rPr>
          <w:rFonts w:hint="eastAsia" w:ascii="宋体" w:hAnsi="宋体"/>
          <w:color w:val="auto"/>
        </w:rPr>
        <w:t>监理工程师执业资格证书号：</w:t>
      </w:r>
      <w:r>
        <w:rPr>
          <w:rFonts w:hint="eastAsia" w:ascii="MingLiU_HKSCS" w:hAnsi="MingLiU_HKSCS" w:cs="MingLiU_HKSCS"/>
          <w:color w:val="auto"/>
          <w:u w:val="single"/>
        </w:rPr>
        <w:t xml:space="preserve">               </w:t>
      </w:r>
      <w:r>
        <w:rPr>
          <w:rFonts w:hint="eastAsia" w:ascii="宋体" w:hAnsi="宋体"/>
          <w:color w:val="auto"/>
        </w:rPr>
        <w:t>；</w:t>
      </w:r>
    </w:p>
    <w:p w14:paraId="5A4A0992">
      <w:pPr>
        <w:pStyle w:val="274"/>
        <w:spacing w:line="400" w:lineRule="exact"/>
        <w:ind w:firstLine="420"/>
        <w:rPr>
          <w:rFonts w:ascii="宋体"/>
          <w:color w:val="auto"/>
        </w:rPr>
      </w:pPr>
      <w:r>
        <w:rPr>
          <w:rFonts w:hint="eastAsia" w:ascii="宋体" w:hAnsi="宋体"/>
          <w:color w:val="auto"/>
        </w:rPr>
        <w:t>联系电话：</w:t>
      </w:r>
      <w:r>
        <w:rPr>
          <w:rFonts w:hint="eastAsia" w:ascii="MingLiU_HKSCS" w:hAnsi="MingLiU_HKSCS" w:cs="MingLiU_HKSCS"/>
          <w:color w:val="auto"/>
          <w:u w:val="single"/>
        </w:rPr>
        <w:t xml:space="preserve">                               </w:t>
      </w:r>
      <w:r>
        <w:rPr>
          <w:rFonts w:hint="eastAsia" w:ascii="宋体" w:hAnsi="宋体"/>
          <w:color w:val="auto"/>
        </w:rPr>
        <w:t>；</w:t>
      </w:r>
    </w:p>
    <w:p w14:paraId="2D893E5A">
      <w:pPr>
        <w:pStyle w:val="274"/>
        <w:spacing w:line="400" w:lineRule="exact"/>
        <w:ind w:firstLine="420"/>
        <w:rPr>
          <w:rFonts w:ascii="宋体"/>
          <w:color w:val="auto"/>
        </w:rPr>
      </w:pPr>
      <w:r>
        <w:rPr>
          <w:rFonts w:hint="eastAsia" w:ascii="宋体" w:hAnsi="宋体"/>
          <w:color w:val="auto"/>
        </w:rPr>
        <w:t>电子信箱：</w:t>
      </w:r>
      <w:r>
        <w:rPr>
          <w:rFonts w:hint="eastAsia" w:ascii="MingLiU_HKSCS" w:hAnsi="MingLiU_HKSCS" w:cs="MingLiU_HKSCS"/>
          <w:color w:val="auto"/>
          <w:u w:val="single"/>
        </w:rPr>
        <w:t xml:space="preserve">                               </w:t>
      </w:r>
      <w:r>
        <w:rPr>
          <w:rFonts w:hint="eastAsia" w:ascii="宋体" w:hAnsi="宋体"/>
          <w:color w:val="auto"/>
        </w:rPr>
        <w:t>；</w:t>
      </w:r>
    </w:p>
    <w:p w14:paraId="033094BF">
      <w:pPr>
        <w:pStyle w:val="274"/>
        <w:spacing w:line="400" w:lineRule="exact"/>
        <w:ind w:firstLine="420"/>
        <w:rPr>
          <w:rFonts w:ascii="宋体"/>
          <w:color w:val="auto"/>
        </w:rPr>
      </w:pPr>
      <w:r>
        <w:rPr>
          <w:rFonts w:hint="eastAsia" w:ascii="宋体" w:hAnsi="宋体"/>
          <w:color w:val="auto"/>
        </w:rPr>
        <w:t>通信地址：</w:t>
      </w:r>
      <w:r>
        <w:rPr>
          <w:rFonts w:hint="eastAsia" w:ascii="MingLiU_HKSCS" w:hAnsi="MingLiU_HKSCS" w:cs="MingLiU_HKSCS"/>
          <w:color w:val="auto"/>
          <w:u w:val="single"/>
        </w:rPr>
        <w:t xml:space="preserve">                               </w:t>
      </w:r>
      <w:r>
        <w:rPr>
          <w:rFonts w:hint="eastAsia" w:ascii="宋体" w:hAnsi="宋体"/>
          <w:color w:val="auto"/>
        </w:rPr>
        <w:t>；</w:t>
      </w:r>
    </w:p>
    <w:p w14:paraId="43C1A11C">
      <w:pPr>
        <w:pStyle w:val="274"/>
        <w:spacing w:line="400" w:lineRule="exact"/>
        <w:ind w:firstLine="420"/>
        <w:rPr>
          <w:rFonts w:ascii="宋体"/>
          <w:color w:val="auto"/>
        </w:rPr>
      </w:pPr>
      <w:r>
        <w:rPr>
          <w:rFonts w:hint="eastAsia" w:ascii="宋体" w:hAnsi="宋体"/>
          <w:color w:val="auto"/>
        </w:rPr>
        <w:t>关于监理人的其他约定：</w:t>
      </w:r>
      <w:r>
        <w:rPr>
          <w:rFonts w:hint="eastAsia" w:ascii="宋体" w:hAnsi="宋体"/>
          <w:color w:val="auto"/>
          <w:u w:val="single"/>
        </w:rPr>
        <w:t>按《监理合同》中约定执行</w:t>
      </w:r>
      <w:r>
        <w:rPr>
          <w:rFonts w:hint="eastAsia" w:ascii="宋体" w:hAnsi="宋体"/>
          <w:color w:val="auto"/>
        </w:rPr>
        <w:t>。</w:t>
      </w:r>
    </w:p>
    <w:p w14:paraId="61181624">
      <w:pPr>
        <w:pStyle w:val="273"/>
        <w:spacing w:line="400" w:lineRule="exact"/>
        <w:rPr>
          <w:rFonts w:ascii="宋体"/>
          <w:color w:val="auto"/>
          <w:sz w:val="21"/>
          <w:szCs w:val="21"/>
        </w:rPr>
      </w:pPr>
      <w:r>
        <w:rPr>
          <w:rFonts w:hint="eastAsia" w:ascii="宋体" w:hAnsi="宋体"/>
          <w:color w:val="auto"/>
          <w:sz w:val="21"/>
          <w:szCs w:val="21"/>
        </w:rPr>
        <w:t>4.4 商定或确定</w:t>
      </w:r>
    </w:p>
    <w:p w14:paraId="20F77B3B">
      <w:pPr>
        <w:pStyle w:val="274"/>
        <w:spacing w:line="400" w:lineRule="exact"/>
        <w:ind w:firstLine="420"/>
        <w:rPr>
          <w:rFonts w:ascii="宋体"/>
          <w:color w:val="auto"/>
        </w:rPr>
      </w:pPr>
      <w:r>
        <w:rPr>
          <w:rFonts w:hint="eastAsia" w:ascii="宋体" w:hAnsi="宋体"/>
          <w:color w:val="auto"/>
        </w:rPr>
        <w:t>在发包人和承包人不能通过协商达成一致意见时，发包人授权监理人对以下事项进行确定：</w:t>
      </w:r>
    </w:p>
    <w:p w14:paraId="04386C4D">
      <w:pPr>
        <w:pStyle w:val="274"/>
        <w:spacing w:line="400" w:lineRule="exact"/>
        <w:ind w:firstLine="420"/>
        <w:rPr>
          <w:rFonts w:ascii="宋体"/>
          <w:color w:val="auto"/>
          <w:u w:val="single"/>
        </w:rPr>
      </w:pPr>
      <w:r>
        <w:rPr>
          <w:rFonts w:hint="eastAsia" w:ascii="宋体" w:hAnsi="宋体"/>
          <w:color w:val="auto"/>
        </w:rPr>
        <w:t>（1）</w:t>
      </w:r>
      <w:r>
        <w:rPr>
          <w:rFonts w:hint="eastAsia" w:ascii="宋体" w:hAnsi="宋体"/>
          <w:color w:val="auto"/>
          <w:u w:val="single"/>
        </w:rPr>
        <w:t>仅授权监理人就该争议事宜前往建设行政主管部门了解解决办法或确认解决途径。</w:t>
      </w:r>
    </w:p>
    <w:p w14:paraId="7BB26A41">
      <w:pPr>
        <w:pStyle w:val="274"/>
        <w:spacing w:line="400" w:lineRule="exact"/>
        <w:ind w:firstLine="420"/>
        <w:rPr>
          <w:rFonts w:ascii="宋体"/>
          <w:color w:val="auto"/>
          <w:u w:val="single"/>
        </w:rPr>
      </w:pPr>
      <w:r>
        <w:rPr>
          <w:rFonts w:hint="eastAsia" w:ascii="宋体" w:hAnsi="宋体"/>
          <w:color w:val="auto"/>
        </w:rPr>
        <w:t>（2）</w:t>
      </w:r>
      <w:r>
        <w:rPr>
          <w:rFonts w:hint="eastAsia" w:ascii="宋体" w:hAnsi="宋体"/>
          <w:color w:val="auto"/>
          <w:u w:val="single"/>
        </w:rPr>
        <w:t>无。</w:t>
      </w:r>
    </w:p>
    <w:p w14:paraId="0AD2B299">
      <w:pPr>
        <w:pStyle w:val="274"/>
        <w:spacing w:line="400" w:lineRule="exact"/>
        <w:ind w:firstLine="420"/>
        <w:rPr>
          <w:rFonts w:ascii="宋体"/>
          <w:color w:val="auto"/>
          <w:u w:val="single"/>
        </w:rPr>
      </w:pPr>
      <w:r>
        <w:rPr>
          <w:rFonts w:hint="eastAsia" w:ascii="宋体" w:hAnsi="宋体"/>
          <w:color w:val="auto"/>
        </w:rPr>
        <w:t>（3）</w:t>
      </w:r>
      <w:r>
        <w:rPr>
          <w:rFonts w:hint="eastAsia" w:ascii="宋体" w:hAnsi="宋体"/>
          <w:color w:val="auto"/>
          <w:u w:val="single"/>
        </w:rPr>
        <w:t>无。</w:t>
      </w:r>
    </w:p>
    <w:p w14:paraId="601559A3">
      <w:pPr>
        <w:pStyle w:val="273"/>
        <w:spacing w:line="400" w:lineRule="exact"/>
        <w:rPr>
          <w:rFonts w:ascii="宋体"/>
          <w:color w:val="auto"/>
          <w:sz w:val="21"/>
          <w:szCs w:val="21"/>
        </w:rPr>
      </w:pPr>
      <w:r>
        <w:rPr>
          <w:rFonts w:hint="eastAsia" w:ascii="宋体" w:hAnsi="宋体"/>
          <w:color w:val="auto"/>
          <w:sz w:val="21"/>
          <w:szCs w:val="21"/>
        </w:rPr>
        <w:t>5. 工程质量</w:t>
      </w:r>
    </w:p>
    <w:p w14:paraId="05E67A3D">
      <w:pPr>
        <w:pStyle w:val="242"/>
        <w:spacing w:line="360" w:lineRule="auto"/>
        <w:ind w:firstLine="367" w:firstLineChars="175"/>
        <w:jc w:val="left"/>
        <w:rPr>
          <w:rFonts w:ascii="宋体" w:hAnsi="宋体"/>
          <w:color w:val="auto"/>
          <w:szCs w:val="21"/>
        </w:rPr>
      </w:pPr>
      <w:r>
        <w:rPr>
          <w:rFonts w:hint="eastAsia" w:ascii="宋体" w:hAnsi="宋体"/>
          <w:color w:val="auto"/>
        </w:rPr>
        <w:t>5.</w:t>
      </w:r>
      <w:r>
        <w:rPr>
          <w:rFonts w:hint="eastAsia" w:ascii="宋体" w:hAnsi="宋体" w:cs="Calibri"/>
          <w:color w:val="auto"/>
        </w:rPr>
        <w:t>2</w:t>
      </w:r>
      <w:r>
        <w:rPr>
          <w:rFonts w:hint="eastAsia" w:ascii="宋体" w:hAnsi="宋体"/>
          <w:color w:val="auto"/>
        </w:rPr>
        <w:t>承包人的质量管理:</w:t>
      </w:r>
      <w:r>
        <w:rPr>
          <w:rFonts w:hint="eastAsia" w:ascii="宋体" w:hAnsi="宋体"/>
          <w:color w:val="auto"/>
          <w:u w:val="single"/>
        </w:rPr>
        <w:t>按通用条款执行。</w:t>
      </w:r>
    </w:p>
    <w:p w14:paraId="586C77DE">
      <w:pPr>
        <w:pStyle w:val="242"/>
        <w:spacing w:line="360" w:lineRule="auto"/>
        <w:ind w:firstLine="367" w:firstLineChars="175"/>
        <w:jc w:val="left"/>
        <w:rPr>
          <w:rFonts w:ascii="宋体" w:hAnsi="宋体"/>
          <w:color w:val="auto"/>
        </w:rPr>
      </w:pPr>
      <w:r>
        <w:rPr>
          <w:rFonts w:hint="eastAsia" w:ascii="宋体" w:hAnsi="宋体"/>
          <w:color w:val="auto"/>
        </w:rPr>
        <w:t>5.</w:t>
      </w:r>
      <w:r>
        <w:rPr>
          <w:rFonts w:hint="eastAsia" w:ascii="宋体" w:hAnsi="宋体" w:cs="Calibri"/>
          <w:color w:val="auto"/>
        </w:rPr>
        <w:t>2</w:t>
      </w:r>
      <w:r>
        <w:rPr>
          <w:rFonts w:hint="eastAsia" w:ascii="宋体" w:hAnsi="宋体"/>
          <w:color w:val="auto"/>
        </w:rPr>
        <w:t>.1承包人向监理人提交工程质量保证措施文件的期限：</w:t>
      </w:r>
      <w:r>
        <w:rPr>
          <w:rFonts w:hint="eastAsia" w:ascii="宋体" w:hAnsi="宋体"/>
          <w:color w:val="auto"/>
          <w:u w:val="single"/>
        </w:rPr>
        <w:t>开工前7天。</w:t>
      </w:r>
    </w:p>
    <w:p w14:paraId="44E917F6">
      <w:pPr>
        <w:pStyle w:val="242"/>
        <w:spacing w:line="360" w:lineRule="auto"/>
        <w:ind w:firstLine="367" w:firstLineChars="175"/>
        <w:jc w:val="left"/>
        <w:rPr>
          <w:rFonts w:ascii="宋体" w:hAnsi="宋体"/>
          <w:color w:val="auto"/>
        </w:rPr>
      </w:pPr>
      <w:r>
        <w:rPr>
          <w:rFonts w:hint="eastAsia" w:ascii="宋体" w:hAnsi="宋体"/>
          <w:color w:val="auto"/>
        </w:rPr>
        <w:t>监理人审批工程质量保证措施文件的期限：</w:t>
      </w:r>
      <w:r>
        <w:rPr>
          <w:rFonts w:hint="eastAsia" w:ascii="宋体" w:hAnsi="宋体"/>
          <w:color w:val="auto"/>
          <w:u w:val="single"/>
        </w:rPr>
        <w:t>收到工程质量保证措施文件后7天内。</w:t>
      </w:r>
    </w:p>
    <w:p w14:paraId="06A1F5F5">
      <w:pPr>
        <w:pStyle w:val="242"/>
        <w:spacing w:line="360" w:lineRule="auto"/>
        <w:ind w:firstLine="367" w:firstLineChars="175"/>
        <w:jc w:val="left"/>
        <w:rPr>
          <w:rFonts w:ascii="宋体" w:hAnsi="宋体"/>
          <w:color w:val="auto"/>
        </w:rPr>
      </w:pPr>
      <w:r>
        <w:rPr>
          <w:rFonts w:hint="eastAsia" w:ascii="宋体" w:hAnsi="宋体"/>
          <w:color w:val="auto"/>
        </w:rPr>
        <w:t>5.</w:t>
      </w:r>
      <w:r>
        <w:rPr>
          <w:rFonts w:hint="eastAsia" w:ascii="宋体" w:hAnsi="宋体" w:cs="Calibri"/>
          <w:color w:val="auto"/>
        </w:rPr>
        <w:t>2.</w:t>
      </w:r>
      <w:r>
        <w:rPr>
          <w:rFonts w:hint="eastAsia" w:ascii="宋体" w:hAnsi="宋体"/>
          <w:color w:val="auto"/>
        </w:rPr>
        <w:t>2承包人的质量检查</w:t>
      </w:r>
    </w:p>
    <w:p w14:paraId="0D2CFFA6">
      <w:pPr>
        <w:pStyle w:val="242"/>
        <w:spacing w:line="360" w:lineRule="auto"/>
        <w:ind w:firstLine="367" w:firstLineChars="175"/>
        <w:jc w:val="left"/>
        <w:rPr>
          <w:rFonts w:ascii="宋体" w:hAnsi="宋体"/>
          <w:color w:val="auto"/>
        </w:rPr>
      </w:pPr>
      <w:r>
        <w:rPr>
          <w:rFonts w:hint="eastAsia" w:ascii="宋体" w:hAnsi="宋体"/>
          <w:color w:val="auto"/>
        </w:rPr>
        <w:t>承包人向监理人报送工程质量报表的期限：</w:t>
      </w:r>
      <w:r>
        <w:rPr>
          <w:rFonts w:hint="eastAsia" w:ascii="宋体" w:hAnsi="宋体"/>
          <w:color w:val="auto"/>
          <w:u w:val="single"/>
        </w:rPr>
        <w:t>与工程进度款申请报告同时上报</w:t>
      </w:r>
      <w:r>
        <w:rPr>
          <w:rFonts w:hint="eastAsia" w:ascii="宋体" w:hAnsi="宋体"/>
          <w:color w:val="auto"/>
        </w:rPr>
        <w:t>。</w:t>
      </w:r>
    </w:p>
    <w:p w14:paraId="336CEC78">
      <w:pPr>
        <w:pStyle w:val="242"/>
        <w:spacing w:line="360" w:lineRule="auto"/>
        <w:ind w:firstLine="367" w:firstLineChars="175"/>
        <w:jc w:val="left"/>
        <w:rPr>
          <w:rFonts w:ascii="宋体" w:hAnsi="宋体"/>
          <w:color w:val="auto"/>
        </w:rPr>
      </w:pPr>
      <w:r>
        <w:rPr>
          <w:rFonts w:hint="eastAsia" w:ascii="宋体" w:hAnsi="宋体"/>
          <w:color w:val="auto"/>
        </w:rPr>
        <w:t>承包人向监理人报送工程质量报表的要求：</w:t>
      </w:r>
      <w:r>
        <w:rPr>
          <w:rFonts w:hint="eastAsia" w:ascii="宋体" w:hAnsi="宋体"/>
          <w:color w:val="auto"/>
          <w:u w:val="single"/>
        </w:rPr>
        <w:t>按国家规定范本。</w:t>
      </w:r>
    </w:p>
    <w:p w14:paraId="05340CC3">
      <w:pPr>
        <w:pStyle w:val="242"/>
        <w:spacing w:line="360" w:lineRule="auto"/>
        <w:ind w:firstLine="367" w:firstLineChars="175"/>
        <w:jc w:val="left"/>
        <w:rPr>
          <w:rFonts w:ascii="宋体" w:hAnsi="宋体"/>
          <w:color w:val="auto"/>
        </w:rPr>
      </w:pPr>
      <w:r>
        <w:rPr>
          <w:rFonts w:hint="eastAsia" w:ascii="宋体" w:hAnsi="宋体"/>
          <w:color w:val="auto"/>
        </w:rPr>
        <w:t>监理人审查工程质量报表的期限：</w:t>
      </w:r>
      <w:r>
        <w:rPr>
          <w:rFonts w:hint="eastAsia" w:ascii="宋体" w:hAnsi="宋体"/>
          <w:color w:val="auto"/>
          <w:u w:val="single"/>
        </w:rPr>
        <w:t>收到工程质量报表后</w:t>
      </w:r>
      <w:r>
        <w:rPr>
          <w:rFonts w:hint="eastAsia" w:ascii="宋体" w:hAnsi="宋体" w:cs="Calibri"/>
          <w:color w:val="auto"/>
          <w:u w:val="single"/>
        </w:rPr>
        <w:t>7</w:t>
      </w:r>
      <w:r>
        <w:rPr>
          <w:rFonts w:hint="eastAsia" w:ascii="宋体" w:hAnsi="宋体"/>
          <w:color w:val="auto"/>
          <w:u w:val="single"/>
        </w:rPr>
        <w:t>天内。</w:t>
      </w:r>
    </w:p>
    <w:p w14:paraId="0357486A">
      <w:pPr>
        <w:pStyle w:val="242"/>
        <w:spacing w:line="360" w:lineRule="auto"/>
        <w:ind w:firstLine="367" w:firstLineChars="175"/>
        <w:jc w:val="left"/>
        <w:rPr>
          <w:rFonts w:ascii="宋体" w:hAnsi="宋体"/>
          <w:color w:val="auto"/>
        </w:rPr>
      </w:pPr>
      <w:r>
        <w:rPr>
          <w:rFonts w:hint="eastAsia" w:ascii="宋体" w:hAnsi="宋体"/>
          <w:color w:val="auto"/>
        </w:rPr>
        <w:t>5.</w:t>
      </w:r>
      <w:r>
        <w:rPr>
          <w:rFonts w:hint="eastAsia" w:ascii="宋体" w:hAnsi="宋体" w:cs="Calibri"/>
          <w:color w:val="auto"/>
        </w:rPr>
        <w:t>2.</w:t>
      </w:r>
      <w:r>
        <w:rPr>
          <w:rFonts w:hint="eastAsia" w:ascii="宋体" w:hAnsi="宋体"/>
          <w:color w:val="auto"/>
        </w:rPr>
        <w:t>3监理人的质量检查</w:t>
      </w:r>
    </w:p>
    <w:p w14:paraId="24DF5F31">
      <w:pPr>
        <w:pStyle w:val="242"/>
        <w:spacing w:line="360" w:lineRule="auto"/>
        <w:ind w:firstLine="367" w:firstLineChars="175"/>
        <w:jc w:val="left"/>
        <w:rPr>
          <w:rFonts w:ascii="宋体" w:hAnsi="宋体"/>
          <w:color w:val="auto"/>
        </w:rPr>
      </w:pPr>
      <w:r>
        <w:rPr>
          <w:rFonts w:hint="eastAsia" w:ascii="宋体" w:hAnsi="宋体"/>
          <w:color w:val="auto"/>
        </w:rPr>
        <w:t>承包人应当为监理人的检查和检验提供方便，监理人可以进行察看和查阅施工原始记录的其他资料包括：</w:t>
      </w:r>
      <w:r>
        <w:rPr>
          <w:rFonts w:hint="eastAsia" w:ascii="宋体" w:hAnsi="宋体"/>
          <w:color w:val="auto"/>
          <w:u w:val="single"/>
        </w:rPr>
        <w:t>施工日志、材料进场记录、拟投入本项目的管理人员名单等与工程质量有关的资料。</w:t>
      </w:r>
    </w:p>
    <w:p w14:paraId="4FDFCDAD">
      <w:pPr>
        <w:pStyle w:val="242"/>
        <w:spacing w:line="360" w:lineRule="auto"/>
        <w:ind w:firstLine="367" w:firstLineChars="175"/>
        <w:jc w:val="left"/>
        <w:rPr>
          <w:rFonts w:ascii="宋体" w:hAnsi="宋体"/>
          <w:color w:val="auto"/>
        </w:rPr>
      </w:pPr>
      <w:r>
        <w:rPr>
          <w:rFonts w:hint="eastAsia" w:ascii="宋体" w:hAnsi="宋体"/>
          <w:color w:val="auto"/>
        </w:rPr>
        <w:t>5.</w:t>
      </w:r>
      <w:r>
        <w:rPr>
          <w:rFonts w:hint="eastAsia" w:ascii="宋体" w:hAnsi="宋体" w:cs="Calibri"/>
          <w:color w:val="auto"/>
        </w:rPr>
        <w:t>3</w:t>
      </w:r>
      <w:r>
        <w:rPr>
          <w:rFonts w:hint="eastAsia" w:ascii="宋体" w:hAnsi="宋体"/>
          <w:color w:val="auto"/>
        </w:rPr>
        <w:t>隐蔽工程检查</w:t>
      </w:r>
    </w:p>
    <w:p w14:paraId="5938D8EA">
      <w:pPr>
        <w:pStyle w:val="242"/>
        <w:spacing w:line="360" w:lineRule="auto"/>
        <w:ind w:firstLine="367" w:firstLineChars="175"/>
        <w:jc w:val="left"/>
        <w:rPr>
          <w:rFonts w:ascii="宋体" w:hAnsi="宋体"/>
          <w:color w:val="auto"/>
        </w:rPr>
      </w:pPr>
      <w:r>
        <w:rPr>
          <w:rFonts w:hint="eastAsia" w:ascii="宋体" w:hAnsi="宋体" w:cs="Calibri"/>
          <w:color w:val="auto"/>
        </w:rPr>
        <w:t>5.3.2</w:t>
      </w:r>
      <w:r>
        <w:rPr>
          <w:rFonts w:hint="eastAsia" w:ascii="宋体" w:hAnsi="宋体"/>
          <w:color w:val="auto"/>
        </w:rPr>
        <w:t>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272AA7B">
      <w:pPr>
        <w:pStyle w:val="242"/>
        <w:spacing w:line="360" w:lineRule="auto"/>
        <w:ind w:firstLine="367" w:firstLineChars="175"/>
        <w:jc w:val="left"/>
        <w:rPr>
          <w:rFonts w:ascii="宋体" w:hAnsi="宋体"/>
          <w:color w:val="auto"/>
        </w:rPr>
      </w:pPr>
      <w:r>
        <w:rPr>
          <w:rFonts w:hint="eastAsia" w:ascii="宋体" w:hAnsi="宋体"/>
          <w:color w:val="auto"/>
        </w:rPr>
        <w:t>监理人不能按时进行检查时，应提前</w:t>
      </w:r>
      <w:r>
        <w:rPr>
          <w:rFonts w:hint="eastAsia" w:ascii="宋体" w:hAnsi="宋体"/>
          <w:color w:val="auto"/>
          <w:u w:val="single"/>
        </w:rPr>
        <w:t>2小时</w:t>
      </w:r>
      <w:r>
        <w:rPr>
          <w:rFonts w:hint="eastAsia" w:ascii="宋体" w:hAnsi="宋体"/>
          <w:color w:val="auto"/>
        </w:rPr>
        <w:t>提交书面延期要求。</w:t>
      </w:r>
    </w:p>
    <w:p w14:paraId="42994294">
      <w:pPr>
        <w:pStyle w:val="242"/>
        <w:spacing w:line="360" w:lineRule="auto"/>
        <w:ind w:firstLine="367" w:firstLineChars="175"/>
        <w:jc w:val="left"/>
        <w:rPr>
          <w:rFonts w:ascii="宋体" w:hAnsi="宋体"/>
          <w:color w:val="auto"/>
        </w:rPr>
      </w:pPr>
      <w:r>
        <w:rPr>
          <w:rFonts w:hint="eastAsia" w:ascii="宋体" w:hAnsi="宋体"/>
          <w:color w:val="auto"/>
        </w:rPr>
        <w:t>关于延期最长不得超过：</w:t>
      </w:r>
      <w:r>
        <w:rPr>
          <w:rFonts w:hint="eastAsia" w:ascii="宋体" w:hAnsi="宋体"/>
          <w:color w:val="auto"/>
          <w:u w:val="single"/>
        </w:rPr>
        <w:t>24小时</w:t>
      </w:r>
      <w:r>
        <w:rPr>
          <w:rFonts w:hint="eastAsia" w:ascii="宋体" w:hAnsi="宋体"/>
          <w:color w:val="auto"/>
        </w:rPr>
        <w:t>。</w:t>
      </w:r>
    </w:p>
    <w:p w14:paraId="5BC9059B">
      <w:pPr>
        <w:pStyle w:val="242"/>
        <w:spacing w:line="360" w:lineRule="auto"/>
        <w:ind w:firstLine="367" w:firstLineChars="175"/>
        <w:jc w:val="left"/>
        <w:rPr>
          <w:rFonts w:ascii="宋体" w:hAnsi="宋体"/>
          <w:color w:val="auto"/>
          <w:u w:val="single"/>
        </w:rPr>
      </w:pPr>
      <w:r>
        <w:rPr>
          <w:rFonts w:hint="eastAsia" w:ascii="宋体" w:hAnsi="宋体"/>
          <w:color w:val="auto"/>
        </w:rPr>
        <w:t>5.4不合格工程的处理</w:t>
      </w:r>
      <w:r>
        <w:rPr>
          <w:rFonts w:hint="eastAsia" w:ascii="宋体" w:hAnsi="宋体"/>
          <w:color w:val="auto"/>
          <w:u w:val="single"/>
        </w:rPr>
        <w:t>:按通用条款执行。</w:t>
      </w:r>
    </w:p>
    <w:p w14:paraId="441A57BD">
      <w:pPr>
        <w:pStyle w:val="274"/>
        <w:spacing w:line="400" w:lineRule="exact"/>
        <w:ind w:firstLine="420"/>
        <w:jc w:val="left"/>
        <w:rPr>
          <w:rFonts w:ascii="宋体"/>
          <w:color w:val="auto"/>
        </w:rPr>
      </w:pPr>
      <w:r>
        <w:rPr>
          <w:rFonts w:hint="eastAsia" w:ascii="宋体" w:hAnsi="宋体"/>
          <w:color w:val="auto"/>
          <w:u w:val="single"/>
        </w:rPr>
        <w:t>5.5质量争议检测:按通用条款执行。</w:t>
      </w:r>
    </w:p>
    <w:p w14:paraId="608F5872">
      <w:pPr>
        <w:pStyle w:val="273"/>
        <w:spacing w:line="400" w:lineRule="exact"/>
        <w:rPr>
          <w:rFonts w:ascii="宋体"/>
          <w:color w:val="auto"/>
          <w:sz w:val="21"/>
          <w:szCs w:val="21"/>
        </w:rPr>
      </w:pPr>
      <w:r>
        <w:rPr>
          <w:rFonts w:hint="eastAsia" w:ascii="宋体" w:hAnsi="宋体"/>
          <w:color w:val="auto"/>
          <w:sz w:val="21"/>
          <w:szCs w:val="21"/>
        </w:rPr>
        <w:t>6. 安全文明施工与环境保护</w:t>
      </w:r>
    </w:p>
    <w:p w14:paraId="481EF218">
      <w:pPr>
        <w:pStyle w:val="273"/>
        <w:spacing w:line="400" w:lineRule="exact"/>
        <w:rPr>
          <w:rFonts w:ascii="宋体"/>
          <w:color w:val="auto"/>
          <w:sz w:val="21"/>
          <w:szCs w:val="21"/>
        </w:rPr>
      </w:pPr>
      <w:r>
        <w:rPr>
          <w:rFonts w:hint="eastAsia" w:ascii="宋体" w:hAnsi="宋体"/>
          <w:color w:val="auto"/>
          <w:sz w:val="21"/>
          <w:szCs w:val="21"/>
        </w:rPr>
        <w:t>6.1安全文明施工</w:t>
      </w:r>
    </w:p>
    <w:p w14:paraId="2F03D0D6">
      <w:pPr>
        <w:pStyle w:val="274"/>
        <w:spacing w:line="400" w:lineRule="exact"/>
        <w:rPr>
          <w:rFonts w:ascii="宋体"/>
          <w:color w:val="auto"/>
        </w:rPr>
      </w:pPr>
      <w:r>
        <w:rPr>
          <w:rFonts w:hint="eastAsia" w:ascii="宋体" w:hAnsi="宋体"/>
          <w:color w:val="auto"/>
        </w:rPr>
        <w:t xml:space="preserve">    6.1.1 项目安全生产的达标目标及相应事项的约定：无死亡、重伤，轻伤频率不得高于施工总人数的4%。</w:t>
      </w:r>
    </w:p>
    <w:p w14:paraId="7156A517">
      <w:pPr>
        <w:pStyle w:val="274"/>
        <w:spacing w:line="400" w:lineRule="exact"/>
        <w:ind w:firstLine="420"/>
        <w:jc w:val="left"/>
        <w:rPr>
          <w:rFonts w:ascii="宋体"/>
          <w:color w:val="auto"/>
          <w:u w:val="single"/>
        </w:rPr>
      </w:pPr>
      <w:r>
        <w:rPr>
          <w:rFonts w:hint="eastAsia" w:ascii="宋体" w:hAnsi="宋体"/>
          <w:color w:val="auto"/>
        </w:rPr>
        <w:t>6.1.4 关于治安保卫的特别约定：</w:t>
      </w:r>
      <w:r>
        <w:rPr>
          <w:rFonts w:hint="eastAsia" w:ascii="宋体" w:hAnsi="宋体"/>
          <w:b/>
          <w:bCs/>
          <w:color w:val="auto"/>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E688357">
      <w:pPr>
        <w:pStyle w:val="274"/>
        <w:spacing w:line="400" w:lineRule="exact"/>
        <w:ind w:firstLine="420"/>
        <w:jc w:val="left"/>
        <w:rPr>
          <w:rFonts w:ascii="宋体"/>
          <w:color w:val="auto"/>
        </w:rPr>
      </w:pPr>
      <w:r>
        <w:rPr>
          <w:rFonts w:hint="eastAsia" w:ascii="宋体" w:hAnsi="宋体"/>
          <w:color w:val="auto"/>
        </w:rPr>
        <w:t>关于编制施工场地治安管理计划的约定：</w:t>
      </w:r>
      <w:r>
        <w:rPr>
          <w:rFonts w:hint="eastAsia" w:ascii="宋体" w:hAnsi="宋体"/>
          <w:color w:val="auto"/>
          <w:u w:val="single"/>
        </w:rPr>
        <w:t>按通用条款6.1.4执行</w:t>
      </w:r>
      <w:r>
        <w:rPr>
          <w:rFonts w:hint="eastAsia" w:ascii="宋体" w:hAnsi="宋体"/>
          <w:color w:val="auto"/>
        </w:rPr>
        <w:t>。</w:t>
      </w:r>
    </w:p>
    <w:p w14:paraId="04E24A46">
      <w:pPr>
        <w:pStyle w:val="274"/>
        <w:spacing w:line="400" w:lineRule="exact"/>
        <w:ind w:firstLine="420"/>
        <w:jc w:val="left"/>
        <w:rPr>
          <w:rFonts w:ascii="宋体"/>
          <w:color w:val="auto"/>
        </w:rPr>
      </w:pPr>
      <w:r>
        <w:rPr>
          <w:rFonts w:hint="eastAsia" w:ascii="宋体" w:hAnsi="宋体"/>
          <w:color w:val="auto"/>
        </w:rPr>
        <w:t>6.1.5 文明施工</w:t>
      </w:r>
    </w:p>
    <w:p w14:paraId="3D4010D6">
      <w:pPr>
        <w:pStyle w:val="274"/>
        <w:spacing w:line="400" w:lineRule="exact"/>
        <w:ind w:firstLine="420"/>
        <w:jc w:val="left"/>
        <w:rPr>
          <w:rFonts w:ascii="宋体"/>
          <w:b/>
          <w:bCs/>
          <w:color w:val="auto"/>
          <w:u w:val="single"/>
        </w:rPr>
      </w:pPr>
      <w:r>
        <w:rPr>
          <w:rFonts w:hint="eastAsia" w:ascii="宋体" w:hAnsi="宋体"/>
          <w:color w:val="auto"/>
        </w:rPr>
        <w:t>合同当事人对文明施工的要求：</w:t>
      </w:r>
      <w:r>
        <w:rPr>
          <w:rFonts w:hint="eastAsia" w:ascii="宋体" w:hAnsi="宋体"/>
          <w:b/>
          <w:bCs/>
          <w:color w:val="auto"/>
          <w:u w:val="single"/>
        </w:rPr>
        <w:t>严格执行《大气污染防治法》（主席令第三十一号）、《广西壮族自治区建设工程安全文明施工费使用管理细则》（桂建质[2015]16号）、《玉林市建设工程安全防护、文明施工措施费用管理规定》的有关规定，必须与合法运输企业签订运输合同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w:t>
      </w:r>
    </w:p>
    <w:p w14:paraId="137C7B8A">
      <w:pPr>
        <w:pStyle w:val="274"/>
        <w:spacing w:line="400" w:lineRule="exact"/>
        <w:ind w:firstLine="420"/>
        <w:jc w:val="left"/>
        <w:rPr>
          <w:rFonts w:ascii="宋体"/>
          <w:b/>
          <w:bCs/>
          <w:color w:val="auto"/>
          <w:u w:val="single"/>
        </w:rPr>
      </w:pPr>
      <w:r>
        <w:rPr>
          <w:rFonts w:hint="eastAsia" w:ascii="宋体" w:hAnsi="宋体"/>
          <w:color w:val="auto"/>
        </w:rPr>
        <w:t>6.1.6 关于安全文明施工费支付比例和支付期限的约定：</w:t>
      </w:r>
      <w:r>
        <w:rPr>
          <w:rFonts w:hint="eastAsia" w:ascii="宋体" w:hAnsi="宋体"/>
          <w:b/>
          <w:bCs/>
          <w:color w:val="auto"/>
          <w:u w:val="single"/>
        </w:rPr>
        <w:t>费用随进度款支付。</w:t>
      </w:r>
    </w:p>
    <w:p w14:paraId="1262AAD7">
      <w:pPr>
        <w:pStyle w:val="273"/>
        <w:spacing w:line="400" w:lineRule="exact"/>
        <w:rPr>
          <w:rFonts w:ascii="宋体"/>
          <w:color w:val="auto"/>
          <w:sz w:val="21"/>
          <w:szCs w:val="21"/>
        </w:rPr>
      </w:pPr>
      <w:r>
        <w:rPr>
          <w:rFonts w:hint="eastAsia" w:ascii="宋体" w:hAnsi="宋体"/>
          <w:color w:val="auto"/>
          <w:sz w:val="21"/>
          <w:szCs w:val="21"/>
        </w:rPr>
        <w:t>6.3环境保护</w:t>
      </w:r>
    </w:p>
    <w:p w14:paraId="3E2F3FC6">
      <w:pPr>
        <w:pStyle w:val="274"/>
        <w:spacing w:line="400" w:lineRule="exact"/>
        <w:ind w:firstLine="422"/>
        <w:jc w:val="left"/>
        <w:rPr>
          <w:rFonts w:ascii="宋体"/>
          <w:b/>
          <w:bCs/>
          <w:color w:val="auto"/>
          <w:u w:val="single"/>
        </w:rPr>
      </w:pPr>
      <w:r>
        <w:rPr>
          <w:rFonts w:hint="eastAsia" w:ascii="宋体" w:hAnsi="宋体"/>
          <w:b/>
          <w:bCs/>
          <w:color w:val="auto"/>
          <w:u w:val="single"/>
        </w:rPr>
        <w:t>因施工需要，经发包人批准，由承包人办理有关施工场地交通、环卫和施工噪音管理等手续，费用由承包人负责。</w:t>
      </w:r>
    </w:p>
    <w:p w14:paraId="3A91FA27">
      <w:pPr>
        <w:pStyle w:val="274"/>
        <w:spacing w:line="400" w:lineRule="exact"/>
        <w:ind w:firstLine="422"/>
        <w:jc w:val="left"/>
        <w:rPr>
          <w:rFonts w:ascii="宋体"/>
          <w:b/>
          <w:bCs/>
          <w:color w:val="auto"/>
          <w:u w:val="single"/>
        </w:rPr>
      </w:pPr>
      <w:r>
        <w:rPr>
          <w:rFonts w:hint="eastAsia" w:ascii="宋体" w:hAnsi="宋体"/>
          <w:b/>
          <w:bCs/>
          <w:color w:val="auto"/>
          <w:u w:val="single"/>
        </w:rPr>
        <w:t>经过城市道路的施工车辆，必须按交警、城管、运输等部门相关规定执行。由于施工车辆造成的道路、环境等污染，其责任和费用均由承包人承担。</w:t>
      </w:r>
    </w:p>
    <w:p w14:paraId="6379CE95">
      <w:pPr>
        <w:pStyle w:val="273"/>
        <w:spacing w:line="400" w:lineRule="exact"/>
        <w:rPr>
          <w:rFonts w:ascii="宋体"/>
          <w:color w:val="auto"/>
          <w:sz w:val="21"/>
          <w:szCs w:val="21"/>
        </w:rPr>
      </w:pPr>
      <w:r>
        <w:rPr>
          <w:rFonts w:hint="eastAsia" w:ascii="宋体" w:hAnsi="宋体"/>
          <w:color w:val="auto"/>
          <w:sz w:val="21"/>
          <w:szCs w:val="21"/>
        </w:rPr>
        <w:t>7. 工期和进度</w:t>
      </w:r>
    </w:p>
    <w:p w14:paraId="1BF10D3D">
      <w:pPr>
        <w:pStyle w:val="273"/>
        <w:spacing w:line="400" w:lineRule="exact"/>
        <w:rPr>
          <w:rFonts w:ascii="宋体"/>
          <w:color w:val="auto"/>
          <w:sz w:val="21"/>
          <w:szCs w:val="21"/>
        </w:rPr>
      </w:pPr>
      <w:r>
        <w:rPr>
          <w:rFonts w:hint="eastAsia" w:ascii="宋体" w:hAnsi="宋体"/>
          <w:color w:val="auto"/>
          <w:sz w:val="21"/>
          <w:szCs w:val="21"/>
        </w:rPr>
        <w:t>7.1 施工组织设计</w:t>
      </w:r>
    </w:p>
    <w:p w14:paraId="18776BCE">
      <w:pPr>
        <w:pStyle w:val="242"/>
        <w:spacing w:line="360" w:lineRule="auto"/>
        <w:ind w:firstLine="367" w:firstLineChars="175"/>
        <w:jc w:val="left"/>
        <w:rPr>
          <w:rFonts w:ascii="宋体" w:hAnsi="宋体"/>
          <w:color w:val="auto"/>
          <w:szCs w:val="21"/>
        </w:rPr>
      </w:pPr>
      <w:r>
        <w:rPr>
          <w:rFonts w:hint="eastAsia" w:ascii="宋体" w:hAnsi="宋体"/>
          <w:color w:val="auto"/>
        </w:rPr>
        <w:t>7.1施工组织设计的内容：按通用合同条款执行。</w:t>
      </w:r>
    </w:p>
    <w:p w14:paraId="65179089">
      <w:pPr>
        <w:pStyle w:val="242"/>
        <w:spacing w:line="360" w:lineRule="auto"/>
        <w:jc w:val="left"/>
        <w:rPr>
          <w:rFonts w:ascii="宋体" w:hAnsi="宋体"/>
          <w:b/>
          <w:bCs/>
          <w:color w:val="auto"/>
        </w:rPr>
      </w:pPr>
      <w:r>
        <w:rPr>
          <w:rFonts w:hint="eastAsia" w:ascii="宋体" w:hAnsi="宋体"/>
          <w:b/>
          <w:bCs/>
          <w:color w:val="auto"/>
        </w:rPr>
        <w:t>7.</w:t>
      </w:r>
      <w:r>
        <w:rPr>
          <w:rFonts w:hint="eastAsia" w:ascii="宋体" w:hAnsi="宋体" w:cs="Calibri"/>
          <w:b/>
          <w:bCs/>
          <w:color w:val="auto"/>
        </w:rPr>
        <w:t>2</w:t>
      </w:r>
      <w:r>
        <w:rPr>
          <w:rFonts w:hint="eastAsia" w:ascii="宋体" w:hAnsi="宋体"/>
          <w:b/>
          <w:bCs/>
          <w:color w:val="auto"/>
        </w:rPr>
        <w:t>施工进度计划</w:t>
      </w:r>
    </w:p>
    <w:p w14:paraId="0785B1A1">
      <w:pPr>
        <w:pStyle w:val="242"/>
        <w:spacing w:line="360" w:lineRule="auto"/>
        <w:ind w:firstLine="367" w:firstLineChars="175"/>
        <w:jc w:val="left"/>
        <w:rPr>
          <w:rFonts w:ascii="宋体" w:hAnsi="宋体"/>
          <w:color w:val="auto"/>
          <w:u w:val="single"/>
        </w:rPr>
      </w:pPr>
      <w:r>
        <w:rPr>
          <w:rFonts w:hint="eastAsia" w:ascii="宋体" w:hAnsi="宋体"/>
          <w:color w:val="auto"/>
        </w:rPr>
        <w:t>(1)承包人应当在收到监理人发出的开工通知后7天内，编制详细的施工进度计划和施工方案说明并报送监理人。承包人编制施工进度计划和施工方案说明的内容：</w:t>
      </w:r>
      <w:r>
        <w:rPr>
          <w:rFonts w:hint="eastAsia" w:ascii="宋体" w:hAnsi="宋体"/>
          <w:color w:val="auto"/>
          <w:u w:val="single"/>
        </w:rPr>
        <w:t>包括进度计划、各阶段现场平面布置图，其中工程进度计划应按照网络图和主要工作横道图两种形式分别编绘，包括注明关键路线、月预计完成的工程量和形象进度等，施工进度计划中还应载明要求发包人组织设计人进行阶段性工程设计交底的时间。</w:t>
      </w:r>
    </w:p>
    <w:p w14:paraId="71828FE1">
      <w:pPr>
        <w:pStyle w:val="242"/>
        <w:spacing w:line="360" w:lineRule="auto"/>
        <w:ind w:firstLine="367" w:firstLineChars="175"/>
        <w:jc w:val="left"/>
        <w:rPr>
          <w:rFonts w:ascii="宋体" w:hAnsi="宋体"/>
          <w:color w:val="auto"/>
          <w:u w:val="single"/>
        </w:rPr>
      </w:pPr>
      <w:r>
        <w:rPr>
          <w:rFonts w:hint="eastAsia" w:ascii="宋体" w:hAnsi="宋体"/>
          <w:color w:val="auto"/>
        </w:rPr>
        <w:t>(2)监理人批复或对施工进度计划和施工方案说明提出修改意见的期限：</w:t>
      </w:r>
      <w:r>
        <w:rPr>
          <w:rFonts w:hint="eastAsia" w:ascii="宋体" w:hAnsi="宋体"/>
          <w:color w:val="auto"/>
          <w:u w:val="single"/>
        </w:rPr>
        <w:t>自监理人收到承包人报送的相关进度计划和施工方案说明后14天内。</w:t>
      </w:r>
    </w:p>
    <w:p w14:paraId="43175DB0">
      <w:pPr>
        <w:pStyle w:val="242"/>
        <w:spacing w:line="360" w:lineRule="auto"/>
        <w:ind w:firstLine="367" w:firstLineChars="175"/>
        <w:jc w:val="left"/>
        <w:rPr>
          <w:rFonts w:ascii="宋体" w:hAnsi="宋体"/>
          <w:color w:val="auto"/>
        </w:rPr>
      </w:pPr>
      <w:r>
        <w:rPr>
          <w:rFonts w:hint="eastAsia" w:ascii="宋体" w:hAnsi="宋体"/>
          <w:color w:val="auto"/>
        </w:rPr>
        <w:t>(3)承包人编制分阶段或分项施工进度计划和施工方案说明的内容：</w:t>
      </w:r>
      <w:r>
        <w:rPr>
          <w:rFonts w:hint="eastAsia" w:ascii="宋体" w:hAnsi="宋体"/>
          <w:color w:val="auto"/>
          <w:u w:val="single"/>
        </w:rPr>
        <w:t>包括进度计划、各阶段现场平面布置图及专项施工方案，其中工程进度计划应按照网络图和主要工作横道图两种形式分别编绘，包括注明关键路线、月预计完成的工程量和形象进度等。</w:t>
      </w:r>
    </w:p>
    <w:p w14:paraId="32C69C84">
      <w:pPr>
        <w:pStyle w:val="242"/>
        <w:spacing w:line="360" w:lineRule="auto"/>
        <w:ind w:firstLine="367" w:firstLineChars="175"/>
        <w:jc w:val="left"/>
        <w:rPr>
          <w:rFonts w:ascii="宋体" w:hAnsi="宋体" w:cs="Calibri"/>
          <w:color w:val="auto"/>
          <w:u w:val="single"/>
        </w:rPr>
      </w:pPr>
      <w:r>
        <w:rPr>
          <w:rFonts w:hint="eastAsia" w:ascii="宋体" w:hAnsi="宋体"/>
          <w:color w:val="auto"/>
        </w:rPr>
        <w:t>承包人报送分阶段或分项施工进度计划和施工方案说明的期限：</w:t>
      </w:r>
      <w:r>
        <w:rPr>
          <w:rFonts w:hint="eastAsia" w:ascii="宋体" w:hAnsi="宋体"/>
          <w:color w:val="auto"/>
          <w:u w:val="single"/>
        </w:rPr>
        <w:t>分项工程开工前</w:t>
      </w:r>
      <w:r>
        <w:rPr>
          <w:rFonts w:hint="eastAsia" w:ascii="宋体" w:hAnsi="宋体" w:cs="Calibri"/>
          <w:color w:val="auto"/>
          <w:u w:val="single"/>
        </w:rPr>
        <w:t>7</w:t>
      </w:r>
      <w:r>
        <w:rPr>
          <w:rFonts w:hint="eastAsia" w:ascii="宋体" w:hAnsi="宋体"/>
          <w:color w:val="auto"/>
          <w:u w:val="single"/>
        </w:rPr>
        <w:t>天。</w:t>
      </w:r>
    </w:p>
    <w:p w14:paraId="4D5D663F">
      <w:pPr>
        <w:pStyle w:val="274"/>
        <w:spacing w:line="400" w:lineRule="exact"/>
        <w:rPr>
          <w:rFonts w:ascii="宋体"/>
          <w:color w:val="auto"/>
        </w:rPr>
      </w:pPr>
      <w:r>
        <w:rPr>
          <w:rFonts w:hint="eastAsia" w:ascii="宋体" w:hAnsi="宋体" w:cs="Calibri"/>
          <w:color w:val="auto"/>
        </w:rPr>
        <w:t>(4)</w:t>
      </w:r>
      <w:r>
        <w:rPr>
          <w:rFonts w:hint="eastAsia" w:ascii="宋体" w:hAnsi="宋体"/>
          <w:color w:val="auto"/>
        </w:rPr>
        <w:t>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color w:val="auto"/>
          <w:u w:val="single"/>
        </w:rPr>
        <w:t>此类工程进度计划不应对总进度计划做实质性变动，而是对其的进一步细化。</w:t>
      </w:r>
    </w:p>
    <w:p w14:paraId="17026A71">
      <w:pPr>
        <w:pStyle w:val="273"/>
        <w:spacing w:line="400" w:lineRule="exact"/>
        <w:rPr>
          <w:rFonts w:ascii="宋体"/>
          <w:color w:val="auto"/>
          <w:sz w:val="21"/>
          <w:szCs w:val="21"/>
        </w:rPr>
      </w:pPr>
      <w:r>
        <w:rPr>
          <w:rFonts w:hint="eastAsia" w:ascii="宋体" w:hAnsi="宋体"/>
          <w:color w:val="auto"/>
          <w:sz w:val="21"/>
          <w:szCs w:val="21"/>
        </w:rPr>
        <w:t>7.3 开工</w:t>
      </w:r>
    </w:p>
    <w:p w14:paraId="347FB03B">
      <w:pPr>
        <w:pStyle w:val="274"/>
        <w:spacing w:line="400" w:lineRule="exact"/>
        <w:ind w:firstLine="420"/>
        <w:jc w:val="left"/>
        <w:rPr>
          <w:rFonts w:ascii="宋体"/>
          <w:color w:val="auto"/>
        </w:rPr>
      </w:pPr>
      <w:r>
        <w:rPr>
          <w:rFonts w:hint="eastAsia" w:ascii="宋体" w:hAnsi="宋体"/>
          <w:color w:val="auto"/>
        </w:rPr>
        <w:t>7.3.1 开工准备</w:t>
      </w:r>
    </w:p>
    <w:p w14:paraId="132A609F">
      <w:pPr>
        <w:pStyle w:val="274"/>
        <w:spacing w:line="400" w:lineRule="exact"/>
        <w:ind w:firstLine="426"/>
        <w:jc w:val="left"/>
        <w:rPr>
          <w:rFonts w:ascii="宋体"/>
          <w:color w:val="auto"/>
          <w:u w:val="single"/>
        </w:rPr>
      </w:pPr>
      <w:r>
        <w:rPr>
          <w:rFonts w:hint="eastAsia" w:ascii="宋体" w:hAnsi="宋体"/>
          <w:color w:val="auto"/>
        </w:rPr>
        <w:t>关于承包人提交</w:t>
      </w:r>
      <w:r>
        <w:rPr>
          <w:rFonts w:hint="eastAsia" w:ascii="宋体" w:hAnsi="宋体"/>
          <w:color w:val="auto"/>
          <w:kern w:val="0"/>
        </w:rPr>
        <w:t>工程开工报审表的期限：</w:t>
      </w:r>
      <w:r>
        <w:rPr>
          <w:rFonts w:hint="eastAsia" w:ascii="宋体" w:hAnsi="宋体"/>
          <w:color w:val="auto"/>
          <w:u w:val="single"/>
        </w:rPr>
        <w:t>开工前7日</w:t>
      </w:r>
      <w:r>
        <w:rPr>
          <w:rFonts w:hint="eastAsia" w:ascii="宋体" w:hAnsi="宋体"/>
          <w:color w:val="auto"/>
        </w:rPr>
        <w:t>。</w:t>
      </w:r>
    </w:p>
    <w:p w14:paraId="4A54B312">
      <w:pPr>
        <w:pStyle w:val="274"/>
        <w:spacing w:line="400" w:lineRule="exact"/>
        <w:ind w:firstLine="426"/>
        <w:jc w:val="left"/>
        <w:rPr>
          <w:rFonts w:ascii="宋体"/>
          <w:color w:val="auto"/>
          <w:u w:val="single"/>
        </w:rPr>
      </w:pPr>
      <w:r>
        <w:rPr>
          <w:rFonts w:hint="eastAsia" w:ascii="宋体" w:hAnsi="宋体"/>
          <w:color w:val="auto"/>
        </w:rPr>
        <w:t>关于发包人应完成的其他开工准备工作及期限：</w:t>
      </w:r>
      <w:r>
        <w:rPr>
          <w:rFonts w:hint="eastAsia" w:ascii="宋体" w:hAnsi="宋体"/>
          <w:color w:val="auto"/>
          <w:u w:val="single"/>
        </w:rPr>
        <w:t>开工前7日</w:t>
      </w:r>
      <w:r>
        <w:rPr>
          <w:rFonts w:hint="eastAsia" w:ascii="宋体" w:hAnsi="宋体"/>
          <w:color w:val="auto"/>
        </w:rPr>
        <w:t>。</w:t>
      </w:r>
    </w:p>
    <w:p w14:paraId="2088B99B">
      <w:pPr>
        <w:pStyle w:val="274"/>
        <w:spacing w:line="400" w:lineRule="exact"/>
        <w:ind w:firstLine="420"/>
        <w:jc w:val="left"/>
        <w:rPr>
          <w:rFonts w:ascii="宋体"/>
          <w:color w:val="auto"/>
          <w:u w:val="single"/>
        </w:rPr>
      </w:pPr>
      <w:r>
        <w:rPr>
          <w:rFonts w:hint="eastAsia" w:ascii="宋体" w:hAnsi="宋体"/>
          <w:color w:val="auto"/>
        </w:rPr>
        <w:t>关于承包人应完成的其他开工准备工作及期限：</w:t>
      </w:r>
      <w:r>
        <w:rPr>
          <w:rFonts w:hint="eastAsia" w:ascii="宋体" w:hAnsi="宋体"/>
          <w:color w:val="auto"/>
          <w:u w:val="single"/>
        </w:rPr>
        <w:t>开工前7日</w:t>
      </w:r>
      <w:r>
        <w:rPr>
          <w:rFonts w:hint="eastAsia" w:ascii="宋体" w:hAnsi="宋体"/>
          <w:color w:val="auto"/>
        </w:rPr>
        <w:t>。</w:t>
      </w:r>
    </w:p>
    <w:p w14:paraId="74A9B928">
      <w:pPr>
        <w:pStyle w:val="274"/>
        <w:spacing w:line="400" w:lineRule="exact"/>
        <w:ind w:firstLine="420"/>
        <w:jc w:val="left"/>
        <w:rPr>
          <w:rFonts w:ascii="宋体"/>
          <w:color w:val="auto"/>
        </w:rPr>
      </w:pPr>
      <w:r>
        <w:rPr>
          <w:rFonts w:hint="eastAsia" w:ascii="宋体" w:hAnsi="宋体"/>
          <w:color w:val="auto"/>
        </w:rPr>
        <w:t>7.3.2开工通知</w:t>
      </w:r>
    </w:p>
    <w:p w14:paraId="4E698566">
      <w:pPr>
        <w:pStyle w:val="274"/>
        <w:spacing w:line="400" w:lineRule="exact"/>
        <w:ind w:firstLine="420"/>
        <w:jc w:val="left"/>
        <w:rPr>
          <w:rFonts w:ascii="宋体"/>
          <w:color w:val="auto"/>
        </w:rPr>
      </w:pPr>
      <w:r>
        <w:rPr>
          <w:rFonts w:hint="eastAsia" w:ascii="宋体" w:hAnsi="宋体"/>
          <w:color w:val="auto"/>
        </w:rPr>
        <w:t>因发包人原因造成监理人未能在计划开工日期之日起</w:t>
      </w:r>
      <w:r>
        <w:rPr>
          <w:rFonts w:hint="eastAsia"/>
          <w:color w:val="auto"/>
          <w:u w:val="single"/>
        </w:rPr>
        <w:t>90</w:t>
      </w:r>
      <w:r>
        <w:rPr>
          <w:rFonts w:hint="eastAsia" w:ascii="宋体" w:hAnsi="宋体"/>
          <w:color w:val="auto"/>
          <w:u w:val="single"/>
        </w:rPr>
        <w:t>天内</w:t>
      </w:r>
      <w:r>
        <w:rPr>
          <w:rFonts w:hint="eastAsia" w:ascii="宋体" w:hAnsi="宋体"/>
          <w:color w:val="auto"/>
        </w:rPr>
        <w:t>发出开工通知的，承包人有权提出价格调整要求，或者解除合同。</w:t>
      </w:r>
    </w:p>
    <w:p w14:paraId="638C2362">
      <w:pPr>
        <w:pStyle w:val="273"/>
        <w:spacing w:line="400" w:lineRule="exact"/>
        <w:rPr>
          <w:rFonts w:ascii="宋体"/>
          <w:color w:val="auto"/>
          <w:sz w:val="21"/>
          <w:szCs w:val="21"/>
        </w:rPr>
      </w:pPr>
      <w:r>
        <w:rPr>
          <w:rFonts w:hint="eastAsia" w:ascii="宋体" w:hAnsi="宋体"/>
          <w:color w:val="auto"/>
          <w:sz w:val="21"/>
          <w:szCs w:val="21"/>
        </w:rPr>
        <w:t>7.4 测量放线</w:t>
      </w:r>
    </w:p>
    <w:p w14:paraId="0B5A2B26">
      <w:pPr>
        <w:pStyle w:val="242"/>
        <w:spacing w:line="360" w:lineRule="auto"/>
        <w:ind w:firstLine="367" w:firstLineChars="175"/>
        <w:jc w:val="left"/>
        <w:rPr>
          <w:rFonts w:ascii="宋体" w:hAnsi="宋体"/>
          <w:color w:val="auto"/>
          <w:szCs w:val="21"/>
          <w:u w:val="single"/>
        </w:rPr>
      </w:pPr>
      <w:r>
        <w:rPr>
          <w:rFonts w:hint="eastAsia" w:ascii="宋体" w:hAnsi="宋体"/>
          <w:color w:val="auto"/>
        </w:rPr>
        <w:t>发包人通过监理人提供测量基准点、基准线和水准点及其书面资料的期限：</w:t>
      </w:r>
      <w:r>
        <w:rPr>
          <w:rFonts w:hint="eastAsia" w:ascii="宋体" w:hAnsi="宋体"/>
          <w:color w:val="auto"/>
          <w:u w:val="single"/>
        </w:rPr>
        <w:t>开工前7天。</w:t>
      </w:r>
    </w:p>
    <w:p w14:paraId="276044BC">
      <w:pPr>
        <w:pStyle w:val="242"/>
        <w:spacing w:line="360" w:lineRule="auto"/>
        <w:ind w:firstLine="367" w:firstLineChars="175"/>
        <w:jc w:val="left"/>
        <w:rPr>
          <w:rFonts w:ascii="宋体" w:hAnsi="宋体"/>
          <w:color w:val="auto"/>
        </w:rPr>
      </w:pPr>
      <w:r>
        <w:rPr>
          <w:rFonts w:hint="eastAsia" w:ascii="宋体" w:hAnsi="宋体"/>
          <w:color w:val="auto"/>
        </w:rPr>
        <w:t>承包人测设施工控制网的要求：</w:t>
      </w:r>
      <w:r>
        <w:rPr>
          <w:rFonts w:hint="eastAsia" w:ascii="宋体" w:hAnsi="宋体"/>
          <w:color w:val="auto"/>
          <w:u w:val="single"/>
        </w:rPr>
        <w:t>承包人应根据国家测绘基准、测绘系统和工程测量技术规范，按上述基准点（线）以及合同工程精度要求，测设施工控制网。</w:t>
      </w:r>
    </w:p>
    <w:p w14:paraId="7A9E3D0E">
      <w:pPr>
        <w:pStyle w:val="274"/>
        <w:spacing w:line="400" w:lineRule="exact"/>
        <w:ind w:firstLine="420"/>
        <w:jc w:val="left"/>
        <w:rPr>
          <w:rFonts w:ascii="宋体"/>
          <w:color w:val="auto"/>
          <w:u w:val="single"/>
        </w:rPr>
      </w:pPr>
      <w:r>
        <w:rPr>
          <w:rFonts w:hint="eastAsia" w:ascii="宋体" w:hAnsi="宋体"/>
          <w:color w:val="auto"/>
        </w:rPr>
        <w:t>承包人将施工控制网资料报送监理人审批的期限：</w:t>
      </w:r>
      <w:r>
        <w:rPr>
          <w:rFonts w:hint="eastAsia" w:ascii="宋体" w:hAnsi="宋体"/>
          <w:color w:val="auto"/>
          <w:u w:val="single"/>
        </w:rPr>
        <w:t>交验后7天内。</w:t>
      </w:r>
    </w:p>
    <w:p w14:paraId="7D7E9CB8">
      <w:pPr>
        <w:pStyle w:val="273"/>
        <w:spacing w:line="400" w:lineRule="exact"/>
        <w:rPr>
          <w:rFonts w:ascii="宋体"/>
          <w:color w:val="auto"/>
          <w:sz w:val="21"/>
          <w:szCs w:val="21"/>
        </w:rPr>
      </w:pPr>
      <w:r>
        <w:rPr>
          <w:rFonts w:hint="eastAsia" w:ascii="宋体" w:hAnsi="宋体"/>
          <w:color w:val="auto"/>
          <w:sz w:val="21"/>
          <w:szCs w:val="21"/>
        </w:rPr>
        <w:t>7.5 工期延误</w:t>
      </w:r>
    </w:p>
    <w:p w14:paraId="3754C34C">
      <w:pPr>
        <w:pStyle w:val="274"/>
        <w:spacing w:line="400" w:lineRule="exact"/>
        <w:ind w:firstLine="420"/>
        <w:jc w:val="left"/>
        <w:rPr>
          <w:rFonts w:ascii="宋体"/>
          <w:color w:val="auto"/>
        </w:rPr>
      </w:pPr>
      <w:r>
        <w:rPr>
          <w:rFonts w:hint="eastAsia" w:ascii="宋体" w:hAnsi="宋体"/>
          <w:color w:val="auto"/>
        </w:rPr>
        <w:t>7.5.1 因发包人原因导致工期延误</w:t>
      </w:r>
    </w:p>
    <w:p w14:paraId="24A25E88">
      <w:pPr>
        <w:pStyle w:val="274"/>
        <w:spacing w:line="400" w:lineRule="exact"/>
        <w:ind w:firstLine="420" w:firstLineChars="200"/>
        <w:jc w:val="left"/>
        <w:rPr>
          <w:rFonts w:ascii="宋体"/>
          <w:color w:val="auto"/>
          <w:u w:val="single"/>
        </w:rPr>
      </w:pPr>
      <w:r>
        <w:rPr>
          <w:rFonts w:hint="eastAsia" w:ascii="宋体" w:hAnsi="宋体"/>
          <w:color w:val="auto"/>
        </w:rPr>
        <w:t>因发包人原因导致工期延误的其他情形：</w:t>
      </w:r>
      <w:r>
        <w:rPr>
          <w:rFonts w:hint="eastAsia" w:ascii="宋体" w:hAnsi="宋体"/>
          <w:color w:val="auto"/>
          <w:u w:val="single"/>
        </w:rPr>
        <w:t>①因发包人应承担责任的原因，未能按合同要求配合施工直接造成停工的。</w:t>
      </w:r>
    </w:p>
    <w:p w14:paraId="0FF2B713">
      <w:pPr>
        <w:pStyle w:val="274"/>
        <w:spacing w:line="400" w:lineRule="exact"/>
        <w:jc w:val="left"/>
        <w:rPr>
          <w:rFonts w:ascii="宋体"/>
          <w:color w:val="auto"/>
          <w:u w:val="single"/>
        </w:rPr>
      </w:pPr>
      <w:r>
        <w:rPr>
          <w:rFonts w:hint="eastAsia" w:ascii="宋体" w:hAnsi="宋体"/>
          <w:color w:val="auto"/>
          <w:u w:val="single"/>
        </w:rPr>
        <w:t>②非承包人原因或监理签证不及时而影响下一道工序施工。</w:t>
      </w:r>
    </w:p>
    <w:p w14:paraId="57643AE8">
      <w:pPr>
        <w:pStyle w:val="274"/>
        <w:spacing w:line="400" w:lineRule="exact"/>
        <w:jc w:val="left"/>
        <w:rPr>
          <w:rFonts w:ascii="宋体"/>
          <w:color w:val="auto"/>
          <w:u w:val="single"/>
        </w:rPr>
      </w:pPr>
      <w:r>
        <w:rPr>
          <w:rFonts w:hint="eastAsia" w:ascii="宋体" w:hAnsi="宋体"/>
          <w:color w:val="auto"/>
          <w:u w:val="single"/>
        </w:rPr>
        <w:t>③因发包人提出的工程量变化和设计变更。</w:t>
      </w:r>
    </w:p>
    <w:p w14:paraId="5485C104">
      <w:pPr>
        <w:pStyle w:val="274"/>
        <w:spacing w:line="400" w:lineRule="exact"/>
        <w:jc w:val="left"/>
        <w:rPr>
          <w:rFonts w:ascii="宋体"/>
          <w:color w:val="auto"/>
          <w:u w:val="single"/>
        </w:rPr>
      </w:pPr>
      <w:r>
        <w:rPr>
          <w:rFonts w:hint="eastAsia" w:ascii="宋体" w:hAnsi="宋体"/>
          <w:color w:val="auto"/>
          <w:u w:val="single"/>
        </w:rPr>
        <w:t>④因发包人未能按本合同约定提供施工条件而影响工期的。</w:t>
      </w:r>
    </w:p>
    <w:p w14:paraId="10CDFCE6">
      <w:pPr>
        <w:pStyle w:val="274"/>
        <w:spacing w:line="400" w:lineRule="exact"/>
        <w:jc w:val="left"/>
        <w:rPr>
          <w:rFonts w:ascii="宋体"/>
          <w:color w:val="auto"/>
          <w:u w:val="single"/>
        </w:rPr>
      </w:pPr>
      <w:r>
        <w:rPr>
          <w:rFonts w:hint="eastAsia" w:ascii="宋体" w:hAnsi="宋体"/>
          <w:color w:val="auto"/>
          <w:u w:val="single"/>
        </w:rPr>
        <w:t>⑤因发包人指定的专业分包单位未能及时进场施工或进度滞后或施工未达到要求而返工的时间造成承包人工期延误的。</w:t>
      </w:r>
    </w:p>
    <w:p w14:paraId="0734A440">
      <w:pPr>
        <w:pStyle w:val="274"/>
        <w:spacing w:line="400" w:lineRule="exact"/>
        <w:ind w:firstLine="420"/>
        <w:jc w:val="left"/>
        <w:rPr>
          <w:rFonts w:ascii="宋体"/>
          <w:color w:val="auto"/>
        </w:rPr>
      </w:pPr>
      <w:r>
        <w:rPr>
          <w:rFonts w:hint="eastAsia" w:ascii="宋体" w:hAnsi="宋体"/>
          <w:color w:val="auto"/>
        </w:rPr>
        <w:t>7.5.2 因承包人原因导致工期延误</w:t>
      </w:r>
    </w:p>
    <w:p w14:paraId="22DCDC7B">
      <w:pPr>
        <w:pStyle w:val="274"/>
        <w:spacing w:line="400" w:lineRule="exact"/>
        <w:ind w:firstLine="420"/>
        <w:jc w:val="left"/>
        <w:rPr>
          <w:rFonts w:ascii="宋体" w:hAnsi="宋体"/>
          <w:color w:val="auto"/>
        </w:rPr>
      </w:pPr>
      <w:r>
        <w:rPr>
          <w:rFonts w:hint="eastAsia" w:ascii="宋体" w:hAnsi="宋体"/>
          <w:color w:val="auto"/>
        </w:rPr>
        <w:t>双方约定经监理工程师确认，工期相应顺延的情况：。</w:t>
      </w:r>
    </w:p>
    <w:p w14:paraId="46710DDD">
      <w:pPr>
        <w:pStyle w:val="274"/>
        <w:spacing w:line="400" w:lineRule="exact"/>
        <w:ind w:firstLine="420"/>
        <w:jc w:val="left"/>
        <w:rPr>
          <w:rFonts w:ascii="宋体"/>
          <w:color w:val="auto"/>
          <w:u w:val="single"/>
        </w:rPr>
      </w:pPr>
      <w:r>
        <w:rPr>
          <w:rFonts w:hint="eastAsia" w:ascii="宋体" w:hAnsi="宋体"/>
          <w:color w:val="auto"/>
        </w:rPr>
        <w:t>因承包人原因造成工期延误，逾期竣工违约金的计算方法为：</w:t>
      </w:r>
      <w:r>
        <w:rPr>
          <w:rFonts w:hint="eastAsia" w:ascii="宋体" w:hAnsi="宋体"/>
          <w:b/>
          <w:bCs/>
          <w:color w:val="auto"/>
          <w:u w:val="single"/>
        </w:rPr>
        <w:t>非上述原因，承包人不能按合同约定的时间竣工，承包人应承担违约责任。应向发包人支付误期赔偿费（每天赔偿金额为合同价款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p>
    <w:p w14:paraId="1624901C">
      <w:pPr>
        <w:pStyle w:val="274"/>
        <w:spacing w:line="400" w:lineRule="exact"/>
        <w:ind w:firstLine="420"/>
        <w:jc w:val="left"/>
        <w:rPr>
          <w:rFonts w:ascii="宋体" w:hAnsi="宋体"/>
          <w:color w:val="auto"/>
        </w:rPr>
      </w:pPr>
      <w:r>
        <w:rPr>
          <w:rFonts w:hint="eastAsia" w:ascii="宋体" w:hAnsi="宋体"/>
          <w:color w:val="auto"/>
        </w:rPr>
        <w:t>因承包人原因造成工期延误，逾期竣工违约金的上限：</w:t>
      </w:r>
      <w:r>
        <w:rPr>
          <w:rFonts w:hint="eastAsia" w:ascii="宋体" w:hAnsi="宋体"/>
          <w:b/>
          <w:bCs/>
          <w:color w:val="auto"/>
          <w:u w:val="single"/>
        </w:rPr>
        <w:t>合同价的3%</w:t>
      </w:r>
      <w:r>
        <w:rPr>
          <w:rFonts w:hint="eastAsia" w:ascii="宋体" w:hAnsi="宋体"/>
          <w:color w:val="auto"/>
        </w:rPr>
        <w:t>。</w:t>
      </w:r>
    </w:p>
    <w:p w14:paraId="1B545368">
      <w:pPr>
        <w:pStyle w:val="274"/>
        <w:spacing w:line="400" w:lineRule="exact"/>
        <w:ind w:firstLine="420"/>
        <w:jc w:val="left"/>
        <w:rPr>
          <w:rFonts w:ascii="宋体"/>
          <w:color w:val="auto"/>
        </w:rPr>
      </w:pPr>
      <w:r>
        <w:rPr>
          <w:rFonts w:hint="eastAsia" w:ascii="宋体" w:hAnsi="宋体"/>
          <w:color w:val="auto"/>
        </w:rPr>
        <w:t>因承包人原因造成工期延误，延期监理费由承包人承担，延期监理费用的支付按发包人与监理人的合同约定执行。</w:t>
      </w:r>
    </w:p>
    <w:p w14:paraId="3B59277A">
      <w:pPr>
        <w:pStyle w:val="273"/>
        <w:spacing w:line="400" w:lineRule="exact"/>
        <w:rPr>
          <w:rFonts w:ascii="宋体"/>
          <w:color w:val="auto"/>
          <w:sz w:val="21"/>
          <w:szCs w:val="21"/>
        </w:rPr>
      </w:pPr>
      <w:r>
        <w:rPr>
          <w:rFonts w:hint="eastAsia" w:ascii="宋体" w:hAnsi="宋体"/>
          <w:color w:val="auto"/>
          <w:sz w:val="21"/>
          <w:szCs w:val="21"/>
        </w:rPr>
        <w:t>7.6 不利物质条件</w:t>
      </w:r>
    </w:p>
    <w:p w14:paraId="598829C9">
      <w:pPr>
        <w:pStyle w:val="274"/>
        <w:spacing w:line="400" w:lineRule="exact"/>
        <w:ind w:firstLine="420"/>
        <w:jc w:val="left"/>
        <w:rPr>
          <w:rFonts w:ascii="宋体"/>
          <w:color w:val="auto"/>
          <w:u w:val="single"/>
        </w:rPr>
      </w:pPr>
      <w:r>
        <w:rPr>
          <w:rFonts w:hint="eastAsia" w:ascii="宋体" w:hAnsi="宋体"/>
          <w:color w:val="auto"/>
        </w:rPr>
        <w:t>不利物质条件的其他情形和有关约定</w:t>
      </w:r>
      <w:r>
        <w:rPr>
          <w:rFonts w:hint="eastAsia" w:ascii="宋体" w:hAnsi="宋体"/>
          <w:color w:val="auto"/>
          <w:u w:val="single"/>
        </w:rPr>
        <w:t>按通用条款7.6执行</w:t>
      </w:r>
      <w:r>
        <w:rPr>
          <w:rFonts w:hint="eastAsia" w:ascii="宋体" w:hAnsi="宋体"/>
          <w:color w:val="auto"/>
        </w:rPr>
        <w:t>：。</w:t>
      </w:r>
    </w:p>
    <w:p w14:paraId="3A98ACB7">
      <w:pPr>
        <w:pStyle w:val="273"/>
        <w:spacing w:line="400" w:lineRule="exact"/>
        <w:rPr>
          <w:rFonts w:ascii="宋体"/>
          <w:color w:val="auto"/>
          <w:sz w:val="21"/>
          <w:szCs w:val="21"/>
        </w:rPr>
      </w:pPr>
      <w:r>
        <w:rPr>
          <w:rFonts w:hint="eastAsia" w:ascii="宋体" w:hAnsi="宋体"/>
          <w:color w:val="auto"/>
          <w:sz w:val="21"/>
          <w:szCs w:val="21"/>
        </w:rPr>
        <w:t>7.7异常恶劣的气候条件</w:t>
      </w:r>
    </w:p>
    <w:p w14:paraId="5EAC4C5F">
      <w:pPr>
        <w:pStyle w:val="274"/>
        <w:spacing w:line="400" w:lineRule="exact"/>
        <w:ind w:firstLine="420"/>
        <w:jc w:val="left"/>
        <w:rPr>
          <w:rFonts w:ascii="宋体"/>
          <w:color w:val="auto"/>
        </w:rPr>
      </w:pPr>
      <w:r>
        <w:rPr>
          <w:rFonts w:hint="eastAsia" w:ascii="宋体" w:hAnsi="宋体"/>
          <w:color w:val="auto"/>
        </w:rPr>
        <w:t>发包人和承包人同意以下情形视为异常恶劣的气候条件：</w:t>
      </w:r>
    </w:p>
    <w:p w14:paraId="01643A85">
      <w:pPr>
        <w:pStyle w:val="242"/>
        <w:spacing w:line="360" w:lineRule="auto"/>
        <w:ind w:firstLine="367" w:firstLineChars="175"/>
        <w:jc w:val="left"/>
        <w:rPr>
          <w:rFonts w:ascii="宋体" w:hAnsi="宋体"/>
          <w:color w:val="auto"/>
        </w:rPr>
      </w:pPr>
      <w:r>
        <w:rPr>
          <w:rFonts w:hint="eastAsia" w:ascii="宋体" w:hAnsi="宋体"/>
          <w:color w:val="auto"/>
        </w:rPr>
        <w:t>（1）日降雨量大于50㎜的雨日超过1天，涉及土方施工时大于20mm的雨日超过1小时；</w:t>
      </w:r>
    </w:p>
    <w:p w14:paraId="42288BBF">
      <w:pPr>
        <w:pStyle w:val="242"/>
        <w:spacing w:line="360" w:lineRule="auto"/>
        <w:ind w:firstLine="367" w:firstLineChars="175"/>
        <w:jc w:val="left"/>
        <w:rPr>
          <w:rFonts w:ascii="宋体" w:hAnsi="宋体"/>
          <w:color w:val="auto"/>
        </w:rPr>
      </w:pPr>
      <w:r>
        <w:rPr>
          <w:rFonts w:hint="eastAsia" w:ascii="宋体" w:hAnsi="宋体"/>
          <w:color w:val="auto"/>
        </w:rPr>
        <w:t>（2）</w:t>
      </w:r>
      <w:r>
        <w:rPr>
          <w:rFonts w:hint="eastAsia"/>
          <w:color w:val="auto"/>
          <w:lang w:val="en-US" w:eastAsia="zh-CN"/>
        </w:rPr>
        <w:t>6级以上的持续4小时的大风</w:t>
      </w:r>
      <w:r>
        <w:rPr>
          <w:rFonts w:hint="eastAsia" w:ascii="宋体" w:hAnsi="宋体"/>
          <w:color w:val="auto"/>
        </w:rPr>
        <w:t>；</w:t>
      </w:r>
    </w:p>
    <w:p w14:paraId="47C558C3">
      <w:pPr>
        <w:pStyle w:val="242"/>
        <w:spacing w:line="360" w:lineRule="auto"/>
        <w:ind w:firstLine="367" w:firstLineChars="175"/>
        <w:jc w:val="left"/>
        <w:rPr>
          <w:rFonts w:ascii="宋体" w:hAnsi="宋体"/>
          <w:color w:val="auto"/>
        </w:rPr>
      </w:pPr>
      <w:r>
        <w:rPr>
          <w:rFonts w:hint="eastAsia" w:ascii="宋体" w:hAnsi="宋体"/>
          <w:color w:val="auto"/>
        </w:rPr>
        <w:t>（3）日气温超过40 ℃的高温大于2 天；</w:t>
      </w:r>
    </w:p>
    <w:p w14:paraId="412D3ADC">
      <w:pPr>
        <w:pStyle w:val="242"/>
        <w:spacing w:line="360" w:lineRule="auto"/>
        <w:ind w:firstLine="367" w:firstLineChars="175"/>
        <w:jc w:val="left"/>
        <w:rPr>
          <w:rFonts w:ascii="宋体" w:hAnsi="宋体"/>
          <w:color w:val="auto"/>
        </w:rPr>
      </w:pPr>
      <w:r>
        <w:rPr>
          <w:rFonts w:hint="eastAsia" w:ascii="宋体" w:hAnsi="宋体"/>
          <w:color w:val="auto"/>
        </w:rPr>
        <w:t>（4）日气温低于-10℃的严寒大于2 天；</w:t>
      </w:r>
    </w:p>
    <w:p w14:paraId="6EEDEDCB">
      <w:pPr>
        <w:pStyle w:val="242"/>
        <w:spacing w:line="360" w:lineRule="auto"/>
        <w:ind w:firstLine="367" w:firstLineChars="175"/>
        <w:jc w:val="left"/>
        <w:rPr>
          <w:rFonts w:ascii="宋体" w:hAnsi="宋体"/>
          <w:color w:val="auto"/>
        </w:rPr>
      </w:pPr>
      <w:r>
        <w:rPr>
          <w:rFonts w:hint="eastAsia" w:ascii="宋体" w:hAnsi="宋体"/>
          <w:color w:val="auto"/>
        </w:rPr>
        <w:t>（5）造成工程损坏的冰雹和大雪灾害；</w:t>
      </w:r>
    </w:p>
    <w:p w14:paraId="5D777E9B">
      <w:pPr>
        <w:pStyle w:val="242"/>
        <w:spacing w:line="360" w:lineRule="auto"/>
        <w:ind w:firstLine="367" w:firstLineChars="175"/>
        <w:jc w:val="left"/>
        <w:rPr>
          <w:rFonts w:ascii="宋体" w:hAnsi="宋体"/>
          <w:color w:val="auto"/>
        </w:rPr>
      </w:pPr>
      <w:r>
        <w:rPr>
          <w:rFonts w:hint="eastAsia" w:ascii="宋体" w:hAnsi="宋体"/>
          <w:color w:val="auto"/>
        </w:rPr>
        <w:t>（6）</w:t>
      </w:r>
      <w:r>
        <w:rPr>
          <w:rFonts w:hint="eastAsia" w:ascii="宋体" w:hAnsi="宋体"/>
          <w:color w:val="auto"/>
          <w:lang w:val="en-US" w:eastAsia="zh-CN"/>
        </w:rPr>
        <w:t>3</w:t>
      </w:r>
      <w:r>
        <w:rPr>
          <w:rFonts w:hint="eastAsia" w:ascii="宋体" w:hAnsi="宋体"/>
          <w:color w:val="auto"/>
        </w:rPr>
        <w:t>级以上的地震；</w:t>
      </w:r>
    </w:p>
    <w:p w14:paraId="12691D73">
      <w:pPr>
        <w:pStyle w:val="242"/>
        <w:spacing w:line="360" w:lineRule="auto"/>
        <w:ind w:firstLine="367" w:firstLineChars="175"/>
        <w:jc w:val="left"/>
        <w:rPr>
          <w:rFonts w:ascii="宋体" w:hAnsi="宋体"/>
          <w:color w:val="auto"/>
        </w:rPr>
      </w:pPr>
      <w:r>
        <w:rPr>
          <w:rFonts w:hint="eastAsia" w:ascii="宋体" w:hAnsi="宋体"/>
          <w:color w:val="auto"/>
        </w:rPr>
        <w:t>（7）</w:t>
      </w:r>
      <w:r>
        <w:rPr>
          <w:rFonts w:hint="eastAsia" w:ascii="宋体" w:hAnsi="宋体"/>
          <w:color w:val="auto"/>
          <w:lang w:val="en-US" w:eastAsia="zh-CN"/>
        </w:rPr>
        <w:t>20</w:t>
      </w:r>
      <w:r>
        <w:rPr>
          <w:rFonts w:hint="eastAsia" w:ascii="宋体" w:hAnsi="宋体"/>
          <w:color w:val="auto"/>
        </w:rPr>
        <w:t>年一遇及以上的洪水；</w:t>
      </w:r>
    </w:p>
    <w:p w14:paraId="5C6C5D1D">
      <w:pPr>
        <w:pStyle w:val="275"/>
        <w:spacing w:line="400" w:lineRule="exact"/>
        <w:ind w:firstLine="420" w:firstLineChars="200"/>
        <w:jc w:val="left"/>
        <w:rPr>
          <w:rFonts w:ascii="宋体" w:hAnsi="宋体"/>
          <w:color w:val="auto"/>
        </w:rPr>
      </w:pPr>
      <w:r>
        <w:rPr>
          <w:rFonts w:hint="eastAsia" w:ascii="宋体" w:hAnsi="宋体"/>
          <w:color w:val="auto"/>
        </w:rPr>
        <w:t>（8）其他异常恶劣气候灾害。</w:t>
      </w:r>
    </w:p>
    <w:p w14:paraId="00343552">
      <w:pPr>
        <w:pStyle w:val="242"/>
        <w:spacing w:line="360" w:lineRule="auto"/>
        <w:jc w:val="left"/>
        <w:rPr>
          <w:rFonts w:ascii="宋体" w:hAnsi="宋体"/>
          <w:b/>
          <w:bCs/>
          <w:color w:val="auto"/>
        </w:rPr>
      </w:pPr>
      <w:r>
        <w:rPr>
          <w:rFonts w:hint="eastAsia" w:ascii="宋体" w:hAnsi="宋体"/>
          <w:b/>
          <w:bCs/>
          <w:color w:val="auto"/>
        </w:rPr>
        <w:t>7.8.暂停施工</w:t>
      </w:r>
    </w:p>
    <w:p w14:paraId="500C82CA">
      <w:pPr>
        <w:pStyle w:val="242"/>
        <w:spacing w:line="360" w:lineRule="auto"/>
        <w:ind w:firstLine="367" w:firstLineChars="175"/>
        <w:jc w:val="left"/>
        <w:rPr>
          <w:rFonts w:ascii="宋体" w:hAnsi="宋体"/>
          <w:color w:val="auto"/>
        </w:rPr>
      </w:pPr>
      <w:r>
        <w:rPr>
          <w:rFonts w:hint="eastAsia" w:ascii="宋体" w:hAnsi="宋体"/>
          <w:color w:val="auto"/>
        </w:rPr>
        <w:t>7.8.1承包人暂停施工的责任</w:t>
      </w:r>
    </w:p>
    <w:p w14:paraId="49E3EE90">
      <w:pPr>
        <w:pStyle w:val="242"/>
        <w:spacing w:line="360" w:lineRule="auto"/>
        <w:ind w:firstLine="367" w:firstLineChars="175"/>
        <w:jc w:val="left"/>
        <w:rPr>
          <w:rFonts w:ascii="宋体" w:hAnsi="宋体"/>
          <w:color w:val="auto"/>
        </w:rPr>
      </w:pPr>
      <w:r>
        <w:rPr>
          <w:rFonts w:hint="eastAsia" w:ascii="宋体" w:hAnsi="宋体"/>
          <w:color w:val="auto"/>
        </w:rPr>
        <w:t>因下列暂停施工增加的费用和（或）工期延误由承包人承担：</w:t>
      </w:r>
    </w:p>
    <w:p w14:paraId="51147EEF">
      <w:pPr>
        <w:pStyle w:val="242"/>
        <w:spacing w:line="360" w:lineRule="auto"/>
        <w:ind w:firstLine="367" w:firstLineChars="175"/>
        <w:jc w:val="left"/>
        <w:rPr>
          <w:rFonts w:ascii="宋体" w:hAnsi="宋体"/>
          <w:color w:val="auto"/>
        </w:rPr>
      </w:pPr>
      <w:r>
        <w:rPr>
          <w:rFonts w:hint="eastAsia" w:ascii="宋体" w:hAnsi="宋体"/>
          <w:color w:val="auto"/>
        </w:rPr>
        <w:t>（1）承包人违约引起的暂停施工；</w:t>
      </w:r>
    </w:p>
    <w:p w14:paraId="09F78A6A">
      <w:pPr>
        <w:pStyle w:val="242"/>
        <w:spacing w:line="360" w:lineRule="auto"/>
        <w:ind w:firstLine="367" w:firstLineChars="175"/>
        <w:jc w:val="left"/>
        <w:rPr>
          <w:rFonts w:ascii="宋体" w:hAnsi="宋体"/>
          <w:color w:val="auto"/>
        </w:rPr>
      </w:pPr>
      <w:r>
        <w:rPr>
          <w:rFonts w:hint="eastAsia" w:ascii="宋体" w:hAnsi="宋体"/>
          <w:color w:val="auto"/>
        </w:rPr>
        <w:t>（2）由于承包人原因为工程合理施工和安全保障所必需的暂停施工；</w:t>
      </w:r>
    </w:p>
    <w:p w14:paraId="33FF108E">
      <w:pPr>
        <w:pStyle w:val="242"/>
        <w:spacing w:line="360" w:lineRule="auto"/>
        <w:ind w:firstLine="367" w:firstLineChars="175"/>
        <w:jc w:val="left"/>
        <w:rPr>
          <w:rFonts w:ascii="宋体" w:hAnsi="宋体"/>
          <w:color w:val="auto"/>
        </w:rPr>
      </w:pPr>
      <w:r>
        <w:rPr>
          <w:rFonts w:hint="eastAsia" w:ascii="宋体" w:hAnsi="宋体"/>
          <w:color w:val="auto"/>
        </w:rPr>
        <w:t>（3）承包人擅自暂停施工；</w:t>
      </w:r>
    </w:p>
    <w:p w14:paraId="3862F302">
      <w:pPr>
        <w:pStyle w:val="242"/>
        <w:spacing w:line="360" w:lineRule="auto"/>
        <w:ind w:firstLine="367" w:firstLineChars="175"/>
        <w:jc w:val="left"/>
        <w:rPr>
          <w:rFonts w:ascii="宋体" w:hAnsi="宋体"/>
          <w:color w:val="auto"/>
        </w:rPr>
      </w:pPr>
      <w:r>
        <w:rPr>
          <w:rFonts w:hint="eastAsia" w:ascii="宋体" w:hAnsi="宋体"/>
          <w:color w:val="auto"/>
        </w:rPr>
        <w:t>（4）承包人其他原因引起的暂停施工；</w:t>
      </w:r>
    </w:p>
    <w:p w14:paraId="03B7F409">
      <w:pPr>
        <w:pStyle w:val="242"/>
        <w:spacing w:line="360" w:lineRule="auto"/>
        <w:ind w:firstLine="367" w:firstLineChars="175"/>
        <w:jc w:val="left"/>
        <w:rPr>
          <w:rFonts w:ascii="宋体" w:hAnsi="宋体"/>
          <w:color w:val="auto"/>
        </w:rPr>
      </w:pPr>
      <w:r>
        <w:rPr>
          <w:rFonts w:hint="eastAsia" w:ascii="宋体" w:hAnsi="宋体"/>
          <w:color w:val="auto"/>
        </w:rPr>
        <w:t>（5）专用合同条款约定由承包人承担的其他暂停施工。</w:t>
      </w:r>
    </w:p>
    <w:p w14:paraId="7854B9A3">
      <w:pPr>
        <w:pStyle w:val="242"/>
        <w:spacing w:line="360" w:lineRule="auto"/>
        <w:ind w:firstLine="367" w:firstLineChars="175"/>
        <w:jc w:val="left"/>
        <w:rPr>
          <w:rFonts w:ascii="宋体" w:hAnsi="宋体"/>
          <w:color w:val="auto"/>
        </w:rPr>
      </w:pPr>
      <w:r>
        <w:rPr>
          <w:rFonts w:hint="eastAsia" w:ascii="宋体" w:hAnsi="宋体"/>
          <w:color w:val="auto"/>
        </w:rPr>
        <w:t>（6）承包人承担暂停施工责任的其他情形：</w:t>
      </w:r>
      <w:r>
        <w:rPr>
          <w:rFonts w:hint="eastAsia" w:ascii="宋体" w:hAnsi="宋体"/>
          <w:color w:val="auto"/>
          <w:u w:val="single"/>
        </w:rPr>
        <w:t>在工程施工过程中，监理工程师认为不能满足工程质量和进度要求时，有权要求承包人在规定的时限内增加或调整劳务队伍、增加机械设备或投入更好的机械设备，承包人不得拒绝，监理工程师有权指令暂停施工。</w:t>
      </w:r>
    </w:p>
    <w:p w14:paraId="409F8292">
      <w:pPr>
        <w:pStyle w:val="242"/>
        <w:spacing w:line="360" w:lineRule="auto"/>
        <w:ind w:firstLine="367" w:firstLineChars="175"/>
        <w:jc w:val="left"/>
        <w:rPr>
          <w:rFonts w:ascii="宋体" w:hAnsi="宋体"/>
          <w:color w:val="auto"/>
        </w:rPr>
      </w:pPr>
      <w:r>
        <w:rPr>
          <w:rFonts w:hint="eastAsia" w:ascii="宋体" w:hAnsi="宋体"/>
          <w:color w:val="auto"/>
        </w:rPr>
        <w:t>7.8.2发包人暂停施工的责任</w:t>
      </w:r>
    </w:p>
    <w:p w14:paraId="7DDB2DDD">
      <w:pPr>
        <w:pStyle w:val="242"/>
        <w:spacing w:line="360" w:lineRule="auto"/>
        <w:ind w:firstLine="367" w:firstLineChars="175"/>
        <w:jc w:val="left"/>
        <w:rPr>
          <w:rFonts w:ascii="宋体" w:hAnsi="宋体"/>
          <w:color w:val="auto"/>
        </w:rPr>
      </w:pPr>
      <w:r>
        <w:rPr>
          <w:rFonts w:hint="eastAsia" w:ascii="宋体" w:hAnsi="宋体"/>
          <w:color w:val="auto"/>
        </w:rPr>
        <w:t>由于发包人原因引起的暂停施工造成工期延误的，承包人有权要求发包人延长工期和（或）增加费用。</w:t>
      </w:r>
    </w:p>
    <w:p w14:paraId="056F0C9C">
      <w:pPr>
        <w:pStyle w:val="242"/>
        <w:spacing w:line="360" w:lineRule="auto"/>
        <w:ind w:firstLine="367" w:firstLineChars="175"/>
        <w:jc w:val="left"/>
        <w:rPr>
          <w:rFonts w:ascii="宋体" w:hAnsi="宋体"/>
          <w:color w:val="auto"/>
        </w:rPr>
      </w:pPr>
      <w:r>
        <w:rPr>
          <w:rFonts w:hint="eastAsia" w:ascii="宋体" w:hAnsi="宋体"/>
          <w:color w:val="auto"/>
        </w:rPr>
        <w:t>7.8.3监理人暂停施工指示</w:t>
      </w:r>
    </w:p>
    <w:p w14:paraId="6581581A">
      <w:pPr>
        <w:pStyle w:val="242"/>
        <w:spacing w:line="360" w:lineRule="auto"/>
        <w:ind w:firstLine="367" w:firstLineChars="175"/>
        <w:jc w:val="left"/>
        <w:rPr>
          <w:rFonts w:ascii="宋体" w:hAnsi="宋体"/>
          <w:color w:val="auto"/>
        </w:rPr>
      </w:pPr>
      <w:r>
        <w:rPr>
          <w:rFonts w:hint="eastAsia" w:ascii="宋体" w:hAnsi="宋体"/>
          <w:color w:val="auto"/>
        </w:rPr>
        <w:t>监理人认为有必要时，可向承包人做出暂停施工的指示，承包人应按监理人指示暂停施工。不论由于何种原因引起的暂停施工，暂停施工期间承包人应负责妥善保护工程并提供安全保障。</w:t>
      </w:r>
    </w:p>
    <w:p w14:paraId="6D057B0F">
      <w:pPr>
        <w:pStyle w:val="242"/>
        <w:spacing w:line="360" w:lineRule="auto"/>
        <w:ind w:firstLine="367" w:firstLineChars="175"/>
        <w:jc w:val="left"/>
        <w:rPr>
          <w:rFonts w:ascii="宋体" w:hAnsi="宋体"/>
          <w:color w:val="auto"/>
        </w:rPr>
      </w:pPr>
      <w:r>
        <w:rPr>
          <w:rFonts w:hint="eastAsia" w:ascii="宋体" w:hAnsi="宋体"/>
          <w:color w:val="auto"/>
        </w:rPr>
        <w:t>7.8.4紧急情况下的暂停施工</w:t>
      </w:r>
    </w:p>
    <w:p w14:paraId="1C0A2DCA">
      <w:pPr>
        <w:pStyle w:val="242"/>
        <w:spacing w:line="360" w:lineRule="auto"/>
        <w:ind w:firstLine="367" w:firstLineChars="175"/>
        <w:jc w:val="left"/>
        <w:rPr>
          <w:rFonts w:ascii="宋体" w:hAnsi="宋体"/>
          <w:color w:val="auto"/>
        </w:rPr>
      </w:pPr>
      <w:r>
        <w:rPr>
          <w:rFonts w:hint="eastAsia" w:ascii="宋体" w:hAnsi="宋体"/>
          <w:color w:val="auto"/>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2A412D29">
      <w:pPr>
        <w:pStyle w:val="242"/>
        <w:spacing w:line="360" w:lineRule="auto"/>
        <w:ind w:firstLine="367" w:firstLineChars="175"/>
        <w:jc w:val="left"/>
        <w:rPr>
          <w:rFonts w:ascii="宋体" w:hAnsi="宋体"/>
          <w:color w:val="auto"/>
        </w:rPr>
      </w:pPr>
      <w:r>
        <w:rPr>
          <w:rFonts w:hint="eastAsia" w:ascii="宋体" w:hAnsi="宋体"/>
          <w:color w:val="auto"/>
        </w:rPr>
        <w:t>7.8.5暂停施工后的复工</w:t>
      </w:r>
    </w:p>
    <w:p w14:paraId="6E77869A">
      <w:pPr>
        <w:pStyle w:val="242"/>
        <w:spacing w:line="360" w:lineRule="auto"/>
        <w:ind w:firstLine="367" w:firstLineChars="175"/>
        <w:jc w:val="left"/>
        <w:rPr>
          <w:rFonts w:ascii="宋体" w:hAnsi="宋体"/>
          <w:color w:val="auto"/>
        </w:rPr>
      </w:pPr>
      <w:r>
        <w:rPr>
          <w:rFonts w:hint="eastAsia" w:ascii="宋体" w:hAnsi="宋体"/>
          <w:color w:val="auto"/>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5BA73E88">
      <w:pPr>
        <w:pStyle w:val="242"/>
        <w:spacing w:line="360" w:lineRule="auto"/>
        <w:ind w:firstLine="367" w:firstLineChars="175"/>
        <w:jc w:val="left"/>
        <w:rPr>
          <w:rFonts w:ascii="宋体" w:hAnsi="宋体"/>
          <w:color w:val="auto"/>
        </w:rPr>
      </w:pPr>
      <w:r>
        <w:rPr>
          <w:rFonts w:hint="eastAsia" w:ascii="宋体" w:hAnsi="宋体"/>
          <w:color w:val="auto"/>
        </w:rPr>
        <w:t>承包人无故拖延和拒绝复工的，由此增加的费用和工期延误由承包人承担。</w:t>
      </w:r>
    </w:p>
    <w:p w14:paraId="0543D712">
      <w:pPr>
        <w:pStyle w:val="242"/>
        <w:spacing w:line="360" w:lineRule="auto"/>
        <w:ind w:firstLine="367" w:firstLineChars="175"/>
        <w:jc w:val="left"/>
        <w:rPr>
          <w:rFonts w:ascii="宋体" w:hAnsi="宋体"/>
          <w:color w:val="auto"/>
        </w:rPr>
      </w:pPr>
      <w:r>
        <w:rPr>
          <w:rFonts w:hint="eastAsia" w:ascii="宋体" w:hAnsi="宋体"/>
          <w:color w:val="auto"/>
        </w:rPr>
        <w:t>根据通用合同条款第7.8.5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5FE43B99">
      <w:pPr>
        <w:pStyle w:val="242"/>
        <w:spacing w:line="360" w:lineRule="auto"/>
        <w:ind w:firstLine="367" w:firstLineChars="175"/>
        <w:jc w:val="left"/>
        <w:rPr>
          <w:rFonts w:ascii="宋体" w:hAnsi="宋体"/>
          <w:color w:val="auto"/>
        </w:rPr>
      </w:pPr>
      <w:r>
        <w:rPr>
          <w:rFonts w:hint="eastAsia" w:ascii="宋体" w:hAnsi="宋体"/>
          <w:color w:val="auto"/>
        </w:rPr>
        <w:t>7.8.6暂停施工持续56天以上</w:t>
      </w:r>
    </w:p>
    <w:p w14:paraId="3A5669AC">
      <w:pPr>
        <w:pStyle w:val="242"/>
        <w:spacing w:line="360" w:lineRule="auto"/>
        <w:ind w:firstLine="367" w:firstLineChars="175"/>
        <w:jc w:val="left"/>
        <w:rPr>
          <w:rFonts w:ascii="宋体" w:hAnsi="宋体"/>
          <w:color w:val="auto"/>
        </w:rPr>
      </w:pPr>
      <w:r>
        <w:rPr>
          <w:rFonts w:hint="eastAsia" w:ascii="宋体" w:hAnsi="宋体"/>
          <w:color w:val="auto"/>
        </w:rPr>
        <w:t>监理人发出暂停施工指示后56天内未向承包人发出复工通知，除了该项停工属于第7.8.2的情况外，承包人可向监理人提交书面通知，要求监理人在收到书面通知后28天内准许已暂停施工的工程或其中一部分工程继续施工。如监理人逾期不予批准，则承包人可以通知监理人，将工程受影响的部分视为按合同通用条款第10.1（1）项的可取消工作。如暂停施工影响到整个工程，可视为发包人违约，应按合同通用条款第16.1款的规定办理。</w:t>
      </w:r>
    </w:p>
    <w:p w14:paraId="1F6143F9">
      <w:pPr>
        <w:pStyle w:val="275"/>
        <w:spacing w:line="400" w:lineRule="exact"/>
        <w:ind w:firstLine="420" w:firstLineChars="200"/>
        <w:jc w:val="left"/>
        <w:rPr>
          <w:rFonts w:ascii="宋体"/>
          <w:color w:val="auto"/>
          <w:u w:val="single"/>
        </w:rPr>
      </w:pPr>
      <w:r>
        <w:rPr>
          <w:rFonts w:hint="eastAsia" w:ascii="宋体" w:hAnsi="宋体"/>
          <w:color w:val="auto"/>
        </w:rPr>
        <w:t>由于承包人责任引起的暂停施工，如承包人在收到监理人暂停施工指示后56天内不认真采取有效的复工措施，造成工期延误，可视为承包人违约，应按第16.2款的规定办理。</w:t>
      </w:r>
    </w:p>
    <w:p w14:paraId="16538C77">
      <w:pPr>
        <w:pStyle w:val="273"/>
        <w:spacing w:line="400" w:lineRule="exact"/>
        <w:rPr>
          <w:rFonts w:ascii="宋体"/>
          <w:color w:val="auto"/>
          <w:sz w:val="21"/>
          <w:szCs w:val="21"/>
        </w:rPr>
      </w:pPr>
      <w:r>
        <w:rPr>
          <w:rFonts w:hint="eastAsia" w:ascii="宋体" w:hAnsi="宋体"/>
          <w:color w:val="auto"/>
          <w:sz w:val="21"/>
          <w:szCs w:val="21"/>
        </w:rPr>
        <w:t>7.9 提前竣工的奖励</w:t>
      </w:r>
    </w:p>
    <w:p w14:paraId="69D88BE7">
      <w:pPr>
        <w:pStyle w:val="274"/>
        <w:spacing w:line="400" w:lineRule="exact"/>
        <w:ind w:firstLine="420"/>
        <w:jc w:val="left"/>
        <w:rPr>
          <w:rFonts w:ascii="宋体"/>
          <w:color w:val="auto"/>
        </w:rPr>
      </w:pPr>
      <w:r>
        <w:rPr>
          <w:rFonts w:hint="eastAsia" w:ascii="宋体" w:hAnsi="宋体"/>
          <w:color w:val="auto"/>
        </w:rPr>
        <w:t>7.9.2提前竣工的奖励：双方另行协商。</w:t>
      </w:r>
    </w:p>
    <w:p w14:paraId="7F9DF1E6">
      <w:pPr>
        <w:pStyle w:val="273"/>
        <w:spacing w:line="400" w:lineRule="exact"/>
        <w:rPr>
          <w:rFonts w:ascii="宋体"/>
          <w:color w:val="auto"/>
          <w:sz w:val="21"/>
          <w:szCs w:val="21"/>
        </w:rPr>
      </w:pPr>
      <w:r>
        <w:rPr>
          <w:rFonts w:hint="eastAsia" w:ascii="宋体" w:hAnsi="宋体"/>
          <w:color w:val="auto"/>
          <w:sz w:val="21"/>
          <w:szCs w:val="21"/>
        </w:rPr>
        <w:t>8. 材料与设备</w:t>
      </w:r>
    </w:p>
    <w:p w14:paraId="45B983F5">
      <w:pPr>
        <w:pStyle w:val="273"/>
        <w:spacing w:line="400" w:lineRule="exact"/>
        <w:rPr>
          <w:rFonts w:ascii="宋体"/>
          <w:color w:val="auto"/>
          <w:sz w:val="21"/>
          <w:szCs w:val="21"/>
        </w:rPr>
      </w:pPr>
      <w:r>
        <w:rPr>
          <w:rFonts w:hint="eastAsia" w:ascii="宋体" w:hAnsi="宋体"/>
          <w:color w:val="auto"/>
          <w:sz w:val="21"/>
          <w:szCs w:val="21"/>
        </w:rPr>
        <w:t>8.2承包人采购材料与工程设备</w:t>
      </w:r>
    </w:p>
    <w:p w14:paraId="36E1BDC7">
      <w:pPr>
        <w:pStyle w:val="282"/>
        <w:shd w:val="clear" w:color="auto" w:fill="FFFFFF"/>
        <w:spacing w:line="400" w:lineRule="exact"/>
        <w:ind w:firstLine="420"/>
        <w:rPr>
          <w:b/>
          <w:bCs/>
          <w:color w:val="auto"/>
        </w:rPr>
      </w:pPr>
      <w:r>
        <w:rPr>
          <w:rFonts w:hint="eastAsia"/>
          <w:b/>
          <w:bCs/>
          <w:color w:val="auto"/>
        </w:rPr>
        <w:t>除专用合同条款的附件《发包人供应材料设备一览表》中明确的材料、工程设备外，由承包人负责材料和工程设备的采购、运输和保管。</w:t>
      </w:r>
    </w:p>
    <w:p w14:paraId="14CCB412">
      <w:pPr>
        <w:pStyle w:val="282"/>
        <w:shd w:val="clear" w:color="auto" w:fill="FFFFFF"/>
        <w:spacing w:line="400" w:lineRule="exact"/>
        <w:ind w:firstLine="420"/>
        <w:rPr>
          <w:b/>
          <w:bCs/>
          <w:color w:val="auto"/>
        </w:rPr>
      </w:pPr>
      <w:r>
        <w:rPr>
          <w:rFonts w:hint="eastAsia"/>
          <w:b/>
          <w:bCs/>
          <w:color w:val="auto"/>
          <w:u w:val="single"/>
        </w:rPr>
        <w:t>对发包人在招标时有“参照或相当于”约定的材料，承包人在施工过程中必须按类似于或优于所约定品牌、厂家和等级进行采购，并经发包人认可。当发包人与承包人对招标文件所约定的材料有争议时，发包人有权要求承包人按招标文件有“参照或相当于”标明材料品牌的材料进行采购，并在结算时按投标单价支付。</w:t>
      </w:r>
    </w:p>
    <w:p w14:paraId="316308A9">
      <w:pPr>
        <w:pStyle w:val="273"/>
        <w:spacing w:line="400" w:lineRule="exact"/>
        <w:rPr>
          <w:rFonts w:ascii="宋体"/>
          <w:color w:val="auto"/>
          <w:sz w:val="21"/>
          <w:szCs w:val="21"/>
        </w:rPr>
      </w:pPr>
      <w:r>
        <w:rPr>
          <w:rFonts w:hint="eastAsia" w:ascii="宋体" w:hAnsi="宋体"/>
          <w:color w:val="auto"/>
          <w:sz w:val="21"/>
          <w:szCs w:val="21"/>
        </w:rPr>
        <w:t>8.4材料与工程设备的保管与使用</w:t>
      </w:r>
    </w:p>
    <w:p w14:paraId="724ED92E">
      <w:pPr>
        <w:pStyle w:val="274"/>
        <w:spacing w:line="400" w:lineRule="exact"/>
        <w:ind w:firstLine="420"/>
        <w:jc w:val="left"/>
        <w:rPr>
          <w:rFonts w:ascii="宋体"/>
          <w:color w:val="auto"/>
          <w:u w:val="single"/>
        </w:rPr>
      </w:pPr>
      <w:r>
        <w:rPr>
          <w:rFonts w:hint="eastAsia" w:ascii="宋体" w:hAnsi="宋体"/>
          <w:color w:val="auto"/>
        </w:rPr>
        <w:t>8.4.1发包人供应的材料设备的保管费用的承担：/。</w:t>
      </w:r>
    </w:p>
    <w:p w14:paraId="31CFCCF5">
      <w:pPr>
        <w:pStyle w:val="273"/>
        <w:spacing w:line="400" w:lineRule="exact"/>
        <w:rPr>
          <w:rFonts w:ascii="宋体"/>
          <w:color w:val="auto"/>
          <w:sz w:val="21"/>
          <w:szCs w:val="21"/>
        </w:rPr>
      </w:pPr>
      <w:r>
        <w:rPr>
          <w:rFonts w:hint="eastAsia" w:ascii="宋体" w:hAnsi="宋体"/>
          <w:color w:val="auto"/>
          <w:sz w:val="21"/>
          <w:szCs w:val="21"/>
        </w:rPr>
        <w:t>8.6 样品</w:t>
      </w:r>
    </w:p>
    <w:p w14:paraId="2622696C">
      <w:pPr>
        <w:pStyle w:val="274"/>
        <w:spacing w:line="400" w:lineRule="exact"/>
        <w:ind w:firstLine="420"/>
        <w:jc w:val="left"/>
        <w:rPr>
          <w:rFonts w:ascii="宋体"/>
          <w:color w:val="auto"/>
          <w:kern w:val="0"/>
        </w:rPr>
      </w:pPr>
      <w:r>
        <w:rPr>
          <w:rFonts w:hint="eastAsia" w:ascii="宋体" w:hAnsi="宋体"/>
          <w:color w:val="auto"/>
          <w:kern w:val="0"/>
        </w:rPr>
        <w:t>8.6.1</w:t>
      </w:r>
      <w:r>
        <w:rPr>
          <w:rFonts w:hint="eastAsia" w:ascii="宋体" w:hAnsi="宋体"/>
          <w:color w:val="auto"/>
          <w:kern w:val="0"/>
        </w:rPr>
        <w:tab/>
      </w:r>
      <w:r>
        <w:rPr>
          <w:rFonts w:hint="eastAsia" w:ascii="宋体" w:hAnsi="宋体"/>
          <w:color w:val="auto"/>
          <w:kern w:val="0"/>
        </w:rPr>
        <w:t>样品的报送与封存</w:t>
      </w:r>
    </w:p>
    <w:p w14:paraId="0C5EAA29">
      <w:pPr>
        <w:pStyle w:val="274"/>
        <w:spacing w:line="400" w:lineRule="exact"/>
        <w:ind w:firstLine="420"/>
        <w:jc w:val="left"/>
        <w:rPr>
          <w:rFonts w:ascii="宋体"/>
          <w:color w:val="auto"/>
          <w:u w:val="single"/>
        </w:rPr>
      </w:pPr>
      <w:r>
        <w:rPr>
          <w:rFonts w:hint="eastAsia" w:ascii="宋体" w:hAnsi="宋体"/>
          <w:color w:val="auto"/>
          <w:kern w:val="0"/>
        </w:rPr>
        <w:t>需要承包人报送样品的材料或工程设备，样品的种类、名称、规格、数量要求：</w:t>
      </w:r>
      <w:r>
        <w:rPr>
          <w:rFonts w:hint="eastAsia" w:ascii="宋体" w:hAnsi="宋体"/>
          <w:color w:val="auto"/>
          <w:u w:val="single"/>
        </w:rPr>
        <w:t>主要材料涉及品种、款式、颜色等方面内容的，承包人应提交准备合格的材料样品送发包人选定，发包人应在接收到承包人样品后14天内完成选定。</w:t>
      </w:r>
    </w:p>
    <w:p w14:paraId="2A6E6273">
      <w:pPr>
        <w:pStyle w:val="273"/>
        <w:spacing w:line="400" w:lineRule="exact"/>
        <w:rPr>
          <w:rFonts w:ascii="宋体"/>
          <w:color w:val="auto"/>
          <w:sz w:val="21"/>
          <w:szCs w:val="21"/>
        </w:rPr>
      </w:pPr>
      <w:r>
        <w:rPr>
          <w:rFonts w:hint="eastAsia" w:ascii="宋体" w:hAnsi="宋体"/>
          <w:color w:val="auto"/>
          <w:sz w:val="21"/>
          <w:szCs w:val="21"/>
        </w:rPr>
        <w:t>8.8 施工设备和临时设施</w:t>
      </w:r>
    </w:p>
    <w:p w14:paraId="3EE06B99">
      <w:pPr>
        <w:pStyle w:val="274"/>
        <w:spacing w:line="400" w:lineRule="exact"/>
        <w:ind w:firstLine="420"/>
        <w:jc w:val="left"/>
        <w:rPr>
          <w:rFonts w:ascii="宋体" w:hAnsi="宋体"/>
          <w:color w:val="auto"/>
        </w:rPr>
      </w:pPr>
      <w:r>
        <w:rPr>
          <w:rFonts w:hint="eastAsia" w:ascii="宋体" w:hAnsi="宋体"/>
          <w:color w:val="auto"/>
        </w:rPr>
        <w:t>8.8.1 承包人提供的施工设备和临时设施：/。</w:t>
      </w:r>
    </w:p>
    <w:p w14:paraId="447FBF86">
      <w:pPr>
        <w:pStyle w:val="274"/>
        <w:spacing w:line="400" w:lineRule="exact"/>
        <w:ind w:firstLine="420"/>
        <w:jc w:val="left"/>
        <w:rPr>
          <w:rFonts w:ascii="宋体"/>
          <w:color w:val="auto"/>
        </w:rPr>
      </w:pPr>
      <w:r>
        <w:rPr>
          <w:rFonts w:hint="eastAsia" w:ascii="宋体" w:hAnsi="宋体"/>
          <w:color w:val="auto"/>
        </w:rPr>
        <w:t>8.8.2发包人提供的施工设备和临时设施</w:t>
      </w:r>
    </w:p>
    <w:p w14:paraId="1BDFAEE1">
      <w:pPr>
        <w:pStyle w:val="274"/>
        <w:spacing w:line="400" w:lineRule="exact"/>
        <w:ind w:firstLine="420"/>
        <w:jc w:val="left"/>
        <w:rPr>
          <w:rFonts w:ascii="宋体"/>
          <w:color w:val="auto"/>
        </w:rPr>
      </w:pPr>
      <w:r>
        <w:rPr>
          <w:rFonts w:hint="eastAsia" w:ascii="宋体" w:hAnsi="宋体"/>
          <w:color w:val="auto"/>
        </w:rPr>
        <w:t>发包人提供的施工设备和临时设施：/。</w:t>
      </w:r>
    </w:p>
    <w:p w14:paraId="501D1AAF">
      <w:pPr>
        <w:pStyle w:val="274"/>
        <w:spacing w:line="400" w:lineRule="exact"/>
        <w:rPr>
          <w:rFonts w:ascii="宋体"/>
          <w:color w:val="auto"/>
          <w:u w:val="single"/>
        </w:rPr>
      </w:pPr>
      <w:r>
        <w:rPr>
          <w:rFonts w:hint="eastAsia" w:ascii="宋体" w:hAnsi="宋体"/>
          <w:color w:val="auto"/>
        </w:rPr>
        <w:t>发包人提供的施工设备和临时设施的运行、维护、拆除、清运费用的承担人：</w:t>
      </w:r>
      <w:r>
        <w:rPr>
          <w:rFonts w:hint="eastAsia" w:ascii="宋体" w:hAnsi="宋体"/>
          <w:color w:val="auto"/>
          <w:u w:val="single"/>
        </w:rPr>
        <w:t>由发包人承担。</w:t>
      </w:r>
    </w:p>
    <w:p w14:paraId="07106F3A">
      <w:pPr>
        <w:pStyle w:val="273"/>
        <w:spacing w:line="400" w:lineRule="exact"/>
        <w:rPr>
          <w:rFonts w:ascii="宋体"/>
          <w:color w:val="auto"/>
          <w:sz w:val="21"/>
          <w:szCs w:val="21"/>
        </w:rPr>
      </w:pPr>
      <w:r>
        <w:rPr>
          <w:rFonts w:hint="eastAsia" w:ascii="宋体" w:hAnsi="宋体"/>
          <w:color w:val="auto"/>
          <w:sz w:val="21"/>
          <w:szCs w:val="21"/>
        </w:rPr>
        <w:t>9. 试验与检验</w:t>
      </w:r>
    </w:p>
    <w:p w14:paraId="0933C9B9">
      <w:pPr>
        <w:pStyle w:val="273"/>
        <w:spacing w:line="400" w:lineRule="exact"/>
        <w:rPr>
          <w:rFonts w:ascii="宋体"/>
          <w:color w:val="auto"/>
          <w:sz w:val="21"/>
          <w:szCs w:val="21"/>
        </w:rPr>
      </w:pPr>
      <w:r>
        <w:rPr>
          <w:rFonts w:hint="eastAsia" w:ascii="宋体" w:hAnsi="宋体"/>
          <w:color w:val="auto"/>
          <w:sz w:val="21"/>
          <w:szCs w:val="21"/>
        </w:rPr>
        <w:t>9.1试验设备与试验人员</w:t>
      </w:r>
    </w:p>
    <w:p w14:paraId="73916B8E">
      <w:pPr>
        <w:pStyle w:val="274"/>
        <w:spacing w:line="400" w:lineRule="exact"/>
        <w:ind w:firstLine="420"/>
        <w:jc w:val="left"/>
        <w:rPr>
          <w:rFonts w:ascii="宋体"/>
          <w:color w:val="auto"/>
        </w:rPr>
      </w:pPr>
      <w:r>
        <w:rPr>
          <w:rFonts w:hint="eastAsia" w:ascii="宋体" w:hAnsi="宋体"/>
          <w:color w:val="auto"/>
        </w:rPr>
        <w:t>9.1.2 试验设备</w:t>
      </w:r>
    </w:p>
    <w:p w14:paraId="6F97E324">
      <w:pPr>
        <w:pStyle w:val="274"/>
        <w:spacing w:line="400" w:lineRule="exact"/>
        <w:ind w:firstLine="420"/>
        <w:jc w:val="left"/>
        <w:rPr>
          <w:rFonts w:ascii="宋体"/>
          <w:color w:val="auto"/>
          <w:u w:val="single"/>
        </w:rPr>
      </w:pPr>
      <w:r>
        <w:rPr>
          <w:rFonts w:hint="eastAsia" w:ascii="宋体" w:hAnsi="宋体"/>
          <w:color w:val="auto"/>
        </w:rPr>
        <w:t>施工现场需要配置的试验场所：</w:t>
      </w:r>
      <w:r>
        <w:rPr>
          <w:rFonts w:hint="eastAsia" w:ascii="宋体" w:hAnsi="宋体"/>
          <w:color w:val="auto"/>
          <w:u w:val="single"/>
        </w:rPr>
        <w:t>承包人根据施工需要自行确定。</w:t>
      </w:r>
      <w:r>
        <w:rPr>
          <w:rFonts w:hint="eastAsia" w:ascii="宋体" w:hAnsi="宋体"/>
          <w:color w:val="auto"/>
        </w:rPr>
        <w:t>。</w:t>
      </w:r>
    </w:p>
    <w:p w14:paraId="0396B45E">
      <w:pPr>
        <w:pStyle w:val="274"/>
        <w:spacing w:line="400" w:lineRule="exact"/>
        <w:ind w:firstLine="420"/>
        <w:jc w:val="left"/>
        <w:rPr>
          <w:rFonts w:ascii="宋体"/>
          <w:color w:val="auto"/>
          <w:u w:val="single"/>
        </w:rPr>
      </w:pPr>
      <w:r>
        <w:rPr>
          <w:rFonts w:hint="eastAsia" w:ascii="宋体" w:hAnsi="宋体"/>
          <w:color w:val="auto"/>
        </w:rPr>
        <w:t>施工现场需要配备的试验设备：</w:t>
      </w:r>
      <w:r>
        <w:rPr>
          <w:rFonts w:hint="eastAsia" w:ascii="宋体" w:hAnsi="宋体"/>
          <w:color w:val="auto"/>
          <w:u w:val="single"/>
        </w:rPr>
        <w:t>承包人根据施工需要自行确定</w:t>
      </w:r>
      <w:r>
        <w:rPr>
          <w:rFonts w:hint="eastAsia" w:ascii="宋体" w:hAnsi="宋体"/>
          <w:color w:val="auto"/>
        </w:rPr>
        <w:t>。</w:t>
      </w:r>
    </w:p>
    <w:p w14:paraId="0C9DDFC6">
      <w:pPr>
        <w:pStyle w:val="274"/>
        <w:spacing w:line="400" w:lineRule="exact"/>
        <w:ind w:firstLine="420"/>
        <w:jc w:val="left"/>
        <w:rPr>
          <w:rFonts w:ascii="宋体"/>
          <w:color w:val="auto"/>
          <w:u w:val="single"/>
        </w:rPr>
      </w:pPr>
      <w:r>
        <w:rPr>
          <w:rFonts w:hint="eastAsia" w:ascii="宋体" w:hAnsi="宋体"/>
          <w:color w:val="auto"/>
        </w:rPr>
        <w:t>施工现场需要具备的其他试验条件：</w:t>
      </w:r>
      <w:r>
        <w:rPr>
          <w:rFonts w:hint="eastAsia" w:ascii="宋体" w:hAnsi="宋体"/>
          <w:color w:val="auto"/>
          <w:u w:val="single"/>
        </w:rPr>
        <w:t>承包人根据施工需要自行确定</w:t>
      </w:r>
      <w:r>
        <w:rPr>
          <w:rFonts w:hint="eastAsia" w:ascii="宋体" w:hAnsi="宋体"/>
          <w:color w:val="auto"/>
        </w:rPr>
        <w:t>。</w:t>
      </w:r>
    </w:p>
    <w:p w14:paraId="4C25FFD7">
      <w:pPr>
        <w:pStyle w:val="273"/>
        <w:spacing w:line="400" w:lineRule="exact"/>
        <w:rPr>
          <w:rFonts w:ascii="宋体"/>
          <w:color w:val="auto"/>
          <w:sz w:val="21"/>
          <w:szCs w:val="21"/>
        </w:rPr>
      </w:pPr>
      <w:r>
        <w:rPr>
          <w:rFonts w:hint="eastAsia" w:ascii="宋体" w:hAnsi="宋体"/>
          <w:color w:val="auto"/>
          <w:sz w:val="21"/>
          <w:szCs w:val="21"/>
        </w:rPr>
        <w:t>9.4 现场工艺试验</w:t>
      </w:r>
    </w:p>
    <w:p w14:paraId="2EC17356">
      <w:pPr>
        <w:pStyle w:val="274"/>
        <w:spacing w:line="400" w:lineRule="exact"/>
        <w:ind w:firstLine="420"/>
        <w:jc w:val="left"/>
        <w:rPr>
          <w:rFonts w:ascii="宋体"/>
          <w:color w:val="auto"/>
          <w:u w:val="single"/>
        </w:rPr>
      </w:pPr>
      <w:r>
        <w:rPr>
          <w:rFonts w:hint="eastAsia" w:ascii="宋体" w:hAnsi="宋体"/>
          <w:color w:val="auto"/>
        </w:rPr>
        <w:t>现场工艺试验的有关约定：</w:t>
      </w:r>
      <w:r>
        <w:rPr>
          <w:rFonts w:hint="eastAsia" w:ascii="宋体" w:hAnsi="宋体"/>
          <w:color w:val="auto"/>
          <w:u w:val="single"/>
        </w:rPr>
        <w:t>承包人根据施工需要自行确定</w:t>
      </w:r>
      <w:r>
        <w:rPr>
          <w:rFonts w:hint="eastAsia" w:ascii="宋体" w:hAnsi="宋体"/>
          <w:color w:val="auto"/>
        </w:rPr>
        <w:t>。</w:t>
      </w:r>
    </w:p>
    <w:p w14:paraId="5708C9D2">
      <w:pPr>
        <w:pStyle w:val="273"/>
        <w:spacing w:line="400" w:lineRule="exact"/>
        <w:rPr>
          <w:rFonts w:ascii="宋体"/>
          <w:color w:val="auto"/>
          <w:sz w:val="21"/>
          <w:szCs w:val="21"/>
        </w:rPr>
      </w:pPr>
      <w:r>
        <w:rPr>
          <w:rFonts w:hint="eastAsia" w:ascii="宋体" w:hAnsi="宋体"/>
          <w:color w:val="auto"/>
          <w:sz w:val="21"/>
          <w:szCs w:val="21"/>
        </w:rPr>
        <w:t>10. 变更</w:t>
      </w:r>
    </w:p>
    <w:p w14:paraId="043B2388">
      <w:pPr>
        <w:pStyle w:val="273"/>
        <w:spacing w:line="400" w:lineRule="exact"/>
        <w:rPr>
          <w:rFonts w:ascii="宋体"/>
          <w:color w:val="auto"/>
          <w:sz w:val="21"/>
          <w:szCs w:val="21"/>
        </w:rPr>
      </w:pPr>
      <w:r>
        <w:rPr>
          <w:rFonts w:hint="eastAsia" w:ascii="宋体" w:hAnsi="宋体"/>
          <w:color w:val="auto"/>
          <w:sz w:val="21"/>
          <w:szCs w:val="21"/>
        </w:rPr>
        <w:t>10.1变更的范围</w:t>
      </w:r>
    </w:p>
    <w:p w14:paraId="69DED9BA">
      <w:pPr>
        <w:pStyle w:val="242"/>
        <w:spacing w:line="360" w:lineRule="auto"/>
        <w:ind w:firstLine="369" w:firstLineChars="175"/>
        <w:jc w:val="left"/>
        <w:rPr>
          <w:rFonts w:ascii="宋体" w:hAnsi="宋体"/>
          <w:b/>
          <w:bCs/>
          <w:color w:val="auto"/>
          <w:szCs w:val="21"/>
        </w:rPr>
      </w:pPr>
      <w:r>
        <w:rPr>
          <w:rFonts w:hint="eastAsia" w:ascii="宋体" w:hAnsi="宋体"/>
          <w:b/>
          <w:bCs/>
          <w:color w:val="auto"/>
        </w:rPr>
        <w:t>关于变更的范围的约定：</w:t>
      </w:r>
    </w:p>
    <w:p w14:paraId="2549361A">
      <w:pPr>
        <w:pStyle w:val="242"/>
        <w:spacing w:line="360" w:lineRule="auto"/>
        <w:ind w:firstLine="369" w:firstLineChars="175"/>
        <w:jc w:val="left"/>
        <w:rPr>
          <w:rFonts w:ascii="宋体" w:hAnsi="宋体"/>
          <w:b/>
          <w:bCs/>
          <w:color w:val="auto"/>
        </w:rPr>
      </w:pPr>
      <w:r>
        <w:rPr>
          <w:rFonts w:hint="eastAsia" w:ascii="宋体" w:hAnsi="宋体"/>
          <w:b/>
          <w:bCs/>
          <w:color w:val="auto"/>
        </w:rPr>
        <w:t>（1）增加或减少合同中任何工作，或追加额外的工作；</w:t>
      </w:r>
    </w:p>
    <w:p w14:paraId="5E708FD0">
      <w:pPr>
        <w:pStyle w:val="242"/>
        <w:spacing w:line="360" w:lineRule="auto"/>
        <w:ind w:firstLine="369" w:firstLineChars="175"/>
        <w:jc w:val="left"/>
        <w:rPr>
          <w:rFonts w:ascii="宋体" w:hAnsi="宋体"/>
          <w:b/>
          <w:bCs/>
          <w:color w:val="auto"/>
        </w:rPr>
      </w:pPr>
      <w:r>
        <w:rPr>
          <w:rFonts w:hint="eastAsia" w:ascii="宋体" w:hAnsi="宋体"/>
          <w:b/>
          <w:bCs/>
          <w:color w:val="auto"/>
        </w:rPr>
        <w:t>（2）取消合同中任何工作，但转由他人实施的工作除外；</w:t>
      </w:r>
    </w:p>
    <w:p w14:paraId="2F9AF82B">
      <w:pPr>
        <w:pStyle w:val="242"/>
        <w:spacing w:line="360" w:lineRule="auto"/>
        <w:ind w:firstLine="369" w:firstLineChars="175"/>
        <w:jc w:val="left"/>
        <w:rPr>
          <w:rFonts w:ascii="宋体" w:hAnsi="宋体"/>
          <w:b/>
          <w:bCs/>
          <w:color w:val="auto"/>
        </w:rPr>
      </w:pPr>
      <w:r>
        <w:rPr>
          <w:rFonts w:hint="eastAsia" w:ascii="宋体" w:hAnsi="宋体"/>
          <w:b/>
          <w:bCs/>
          <w:color w:val="auto"/>
        </w:rPr>
        <w:t>（3）改变合同中任何工作的质量标准或其他特性；</w:t>
      </w:r>
    </w:p>
    <w:p w14:paraId="7C042AB6">
      <w:pPr>
        <w:pStyle w:val="242"/>
        <w:spacing w:line="360" w:lineRule="auto"/>
        <w:ind w:firstLine="369" w:firstLineChars="175"/>
        <w:jc w:val="left"/>
        <w:rPr>
          <w:rFonts w:ascii="宋体" w:hAnsi="宋体"/>
          <w:b/>
          <w:bCs/>
          <w:color w:val="auto"/>
        </w:rPr>
      </w:pPr>
      <w:r>
        <w:rPr>
          <w:rFonts w:hint="eastAsia" w:ascii="宋体" w:hAnsi="宋体"/>
          <w:b/>
          <w:bCs/>
          <w:color w:val="auto"/>
        </w:rPr>
        <w:t>（4）改变工程的基线、标高、位置和尺寸；</w:t>
      </w:r>
    </w:p>
    <w:p w14:paraId="21B331F0">
      <w:pPr>
        <w:pStyle w:val="242"/>
        <w:spacing w:line="360" w:lineRule="auto"/>
        <w:ind w:firstLine="369" w:firstLineChars="175"/>
        <w:jc w:val="left"/>
        <w:rPr>
          <w:rFonts w:ascii="宋体" w:hAnsi="宋体"/>
          <w:b/>
          <w:bCs/>
          <w:color w:val="auto"/>
        </w:rPr>
      </w:pPr>
      <w:r>
        <w:rPr>
          <w:rFonts w:hint="eastAsia" w:ascii="宋体" w:hAnsi="宋体"/>
          <w:b/>
          <w:bCs/>
          <w:color w:val="auto"/>
        </w:rPr>
        <w:t>（5）改变工程的时间安排或实施顺序。</w:t>
      </w:r>
    </w:p>
    <w:p w14:paraId="0BF2B37E">
      <w:pPr>
        <w:pStyle w:val="274"/>
        <w:spacing w:line="400" w:lineRule="exact"/>
        <w:ind w:firstLine="426"/>
        <w:jc w:val="left"/>
        <w:rPr>
          <w:rFonts w:ascii="宋体"/>
          <w:color w:val="auto"/>
        </w:rPr>
      </w:pPr>
      <w:r>
        <w:rPr>
          <w:rFonts w:hint="eastAsia" w:ascii="宋体" w:hAnsi="宋体"/>
          <w:b/>
          <w:bCs/>
          <w:color w:val="auto"/>
        </w:rPr>
        <w:t>10.2变更权：</w:t>
      </w:r>
      <w:r>
        <w:rPr>
          <w:rFonts w:hint="eastAsia" w:ascii="宋体" w:hAnsi="宋体"/>
          <w:b/>
          <w:bCs/>
          <w:color w:val="auto"/>
          <w:u w:val="single"/>
        </w:rPr>
        <w:t>按通用合同条款执行。</w:t>
      </w:r>
    </w:p>
    <w:p w14:paraId="35B6BC89">
      <w:pPr>
        <w:pStyle w:val="273"/>
        <w:spacing w:line="400" w:lineRule="exact"/>
        <w:rPr>
          <w:rFonts w:ascii="宋体"/>
          <w:color w:val="auto"/>
          <w:sz w:val="21"/>
          <w:szCs w:val="21"/>
        </w:rPr>
      </w:pPr>
      <w:r>
        <w:rPr>
          <w:rFonts w:hint="eastAsia" w:ascii="宋体" w:hAnsi="宋体"/>
          <w:color w:val="auto"/>
          <w:sz w:val="21"/>
          <w:szCs w:val="21"/>
        </w:rPr>
        <w:t>10.3变更程序</w:t>
      </w:r>
    </w:p>
    <w:p w14:paraId="7BC5C305">
      <w:pPr>
        <w:pStyle w:val="242"/>
        <w:spacing w:line="360" w:lineRule="auto"/>
        <w:ind w:firstLine="369" w:firstLineChars="175"/>
        <w:jc w:val="left"/>
        <w:rPr>
          <w:rFonts w:ascii="宋体" w:hAnsi="宋体"/>
          <w:b/>
          <w:bCs/>
          <w:color w:val="auto"/>
          <w:szCs w:val="21"/>
          <w:u w:val="single"/>
        </w:rPr>
      </w:pPr>
      <w:r>
        <w:rPr>
          <w:rFonts w:hint="eastAsia" w:ascii="宋体" w:hAnsi="宋体"/>
          <w:b/>
          <w:bCs/>
          <w:color w:val="auto"/>
          <w:u w:val="single"/>
        </w:rPr>
        <w:t>a.施工中发包人需对原工程设计进行变更，应提前14天以书面形式向承包人发出变更通知，并由原设计单位提供变更的相应图纸和说明；</w:t>
      </w:r>
    </w:p>
    <w:p w14:paraId="7F9E6028">
      <w:pPr>
        <w:pStyle w:val="242"/>
        <w:spacing w:line="360" w:lineRule="auto"/>
        <w:ind w:firstLine="369" w:firstLineChars="175"/>
        <w:jc w:val="left"/>
        <w:rPr>
          <w:rFonts w:ascii="宋体" w:hAnsi="宋体"/>
          <w:b/>
          <w:bCs/>
          <w:color w:val="auto"/>
          <w:u w:val="single"/>
        </w:rPr>
      </w:pPr>
      <w:r>
        <w:rPr>
          <w:rFonts w:hint="eastAsia" w:ascii="宋体" w:hAnsi="宋体"/>
          <w:b/>
          <w:bCs/>
          <w:color w:val="auto"/>
          <w:u w:val="single"/>
        </w:rPr>
        <w:t>b.施工中承包人原则上不得对原工程设计进行变更，但是在施工中承包人提出的合理化建议涉及到对设计图纸或施工组织设计的更改及对材料、设备的换用，须经发包人书面同意，并由原设计单位提供变更的相应图纸和说明；由监理单位下达书面变更通知；</w:t>
      </w:r>
    </w:p>
    <w:p w14:paraId="2F4AB832">
      <w:pPr>
        <w:pStyle w:val="242"/>
        <w:spacing w:line="360" w:lineRule="auto"/>
        <w:ind w:firstLine="369" w:firstLineChars="175"/>
        <w:jc w:val="left"/>
        <w:rPr>
          <w:rFonts w:ascii="宋体" w:hAnsi="宋体"/>
          <w:b/>
          <w:bCs/>
          <w:color w:val="auto"/>
          <w:u w:val="single"/>
        </w:rPr>
      </w:pPr>
      <w:r>
        <w:rPr>
          <w:rFonts w:hint="eastAsia" w:ascii="宋体" w:hAnsi="宋体"/>
          <w:b/>
          <w:bCs/>
          <w:color w:val="auto"/>
          <w:u w:val="single"/>
        </w:rPr>
        <w:t>c.因设计变更而引起工程量变化的，按原施工图纸与变更后的图纸的工程量之差进行增减计算；</w:t>
      </w:r>
    </w:p>
    <w:p w14:paraId="669C8C79">
      <w:pPr>
        <w:pStyle w:val="242"/>
        <w:spacing w:line="360" w:lineRule="auto"/>
        <w:ind w:firstLine="369" w:firstLineChars="175"/>
        <w:jc w:val="left"/>
        <w:rPr>
          <w:rFonts w:ascii="宋体" w:hAnsi="宋体"/>
          <w:b/>
          <w:bCs/>
          <w:color w:val="auto"/>
          <w:u w:val="single"/>
        </w:rPr>
      </w:pPr>
      <w:r>
        <w:rPr>
          <w:rFonts w:hint="eastAsia" w:ascii="宋体" w:hAnsi="宋体"/>
          <w:b/>
          <w:bCs/>
          <w:color w:val="auto"/>
          <w:u w:val="single"/>
        </w:rPr>
        <w:t>d.设计变更后确有影响进度的，由承包人提出，经监理人及发包人核准，工期相应顺延；</w:t>
      </w:r>
    </w:p>
    <w:p w14:paraId="62306CFA">
      <w:pPr>
        <w:pStyle w:val="253"/>
        <w:spacing w:line="400" w:lineRule="exact"/>
        <w:ind w:firstLine="420"/>
        <w:rPr>
          <w:b/>
          <w:bCs/>
          <w:color w:val="auto"/>
        </w:rPr>
      </w:pPr>
      <w:r>
        <w:rPr>
          <w:rFonts w:hint="eastAsia"/>
          <w:b/>
          <w:bCs/>
          <w:color w:val="auto"/>
          <w:u w:val="single"/>
        </w:rPr>
        <w:t>e.在施工中如发生地质、地形情况与施工设计不符时，承包人应及时书面通知设计、监理单位及有关工程师现场核对，共同研究决定，并以书面形式确认是否需要变更以及变更的处理办法。</w:t>
      </w:r>
    </w:p>
    <w:p w14:paraId="15DC1301">
      <w:pPr>
        <w:pStyle w:val="253"/>
        <w:spacing w:line="400" w:lineRule="exact"/>
        <w:ind w:firstLine="420"/>
        <w:rPr>
          <w:b/>
          <w:bCs/>
          <w:color w:val="auto"/>
        </w:rPr>
      </w:pPr>
      <w:r>
        <w:rPr>
          <w:rFonts w:hint="eastAsia"/>
          <w:b/>
          <w:bCs/>
          <w:color w:val="auto"/>
        </w:rPr>
        <w:t xml:space="preserve"> </w:t>
      </w:r>
    </w:p>
    <w:p w14:paraId="794C2D38">
      <w:pPr>
        <w:pStyle w:val="273"/>
        <w:spacing w:line="400" w:lineRule="exact"/>
        <w:rPr>
          <w:rFonts w:ascii="宋体"/>
          <w:color w:val="auto"/>
          <w:sz w:val="21"/>
          <w:szCs w:val="21"/>
        </w:rPr>
      </w:pPr>
      <w:r>
        <w:rPr>
          <w:rFonts w:hint="eastAsia" w:ascii="宋体" w:hAnsi="宋体"/>
          <w:color w:val="auto"/>
          <w:sz w:val="21"/>
          <w:szCs w:val="21"/>
        </w:rPr>
        <w:t>10.4 变更估价</w:t>
      </w:r>
    </w:p>
    <w:p w14:paraId="64A6C059">
      <w:pPr>
        <w:pStyle w:val="242"/>
        <w:spacing w:line="360" w:lineRule="auto"/>
        <w:ind w:firstLine="367" w:firstLineChars="175"/>
        <w:jc w:val="left"/>
        <w:rPr>
          <w:rFonts w:ascii="宋体" w:hAnsi="宋体"/>
          <w:color w:val="auto"/>
          <w:szCs w:val="21"/>
          <w:u w:val="single"/>
        </w:rPr>
      </w:pPr>
      <w:r>
        <w:rPr>
          <w:rFonts w:hint="eastAsia" w:ascii="宋体" w:hAnsi="宋体"/>
          <w:color w:val="auto"/>
          <w:u w:val="single"/>
        </w:rPr>
        <w:t>10.4.1变更估价原则</w:t>
      </w:r>
    </w:p>
    <w:p w14:paraId="24070B86">
      <w:pPr>
        <w:pStyle w:val="242"/>
        <w:autoSpaceDE w:val="0"/>
        <w:autoSpaceDN w:val="0"/>
        <w:adjustRightInd w:val="0"/>
        <w:spacing w:line="360" w:lineRule="auto"/>
        <w:ind w:firstLine="420" w:firstLineChars="200"/>
        <w:rPr>
          <w:rFonts w:ascii="宋体" w:hAnsi="宋体"/>
          <w:color w:val="auto"/>
          <w:u w:val="single"/>
        </w:rPr>
      </w:pPr>
      <w:r>
        <w:rPr>
          <w:rFonts w:hint="eastAsia" w:ascii="宋体" w:hAnsi="宋体"/>
          <w:color w:val="auto"/>
        </w:rPr>
        <w:t>变更引起价格调整的约定:</w:t>
      </w:r>
      <w:r>
        <w:rPr>
          <w:rFonts w:hint="eastAsia" w:ascii="宋体" w:hAnsi="宋体"/>
          <w:color w:val="auto"/>
          <w:u w:val="single"/>
        </w:rPr>
        <w:t>按12.1款执行。</w:t>
      </w:r>
    </w:p>
    <w:p w14:paraId="05A61DC0">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u w:val="single"/>
        </w:rPr>
        <w:t>10.4.2变更估价程序</w:t>
      </w:r>
    </w:p>
    <w:p w14:paraId="0E8FA65F">
      <w:pPr>
        <w:pStyle w:val="242"/>
        <w:spacing w:line="360" w:lineRule="auto"/>
        <w:ind w:firstLine="367" w:firstLineChars="175"/>
        <w:jc w:val="left"/>
        <w:rPr>
          <w:rFonts w:ascii="宋体" w:hAnsi="宋体"/>
          <w:color w:val="auto"/>
          <w:u w:val="single"/>
        </w:rPr>
      </w:pPr>
      <w:r>
        <w:rPr>
          <w:rFonts w:hint="eastAsia" w:ascii="宋体" w:hAnsi="宋体"/>
          <w:color w:val="auto"/>
          <w:u w:val="single"/>
        </w:rPr>
        <w:t>（1）承包人提出变更价款的时间是：承包人应当在设计变更发生后14天内提交书面变更价款的申请，将设计变更的原因、变更金额以书面形式通知发包人，超过14天即视为承包人自动放弃变更价款索赔费用和工期的权利。</w:t>
      </w:r>
    </w:p>
    <w:p w14:paraId="2157FAA9">
      <w:pPr>
        <w:pStyle w:val="242"/>
        <w:spacing w:line="360" w:lineRule="auto"/>
        <w:ind w:firstLine="367" w:firstLineChars="175"/>
        <w:jc w:val="left"/>
        <w:rPr>
          <w:rFonts w:ascii="宋体" w:hAnsi="宋体"/>
          <w:color w:val="auto"/>
          <w:u w:val="single"/>
        </w:rPr>
      </w:pPr>
      <w:r>
        <w:rPr>
          <w:rFonts w:hint="eastAsia" w:ascii="宋体" w:hAnsi="宋体"/>
          <w:color w:val="auto"/>
          <w:u w:val="single"/>
        </w:rPr>
        <w:t>（2）发包人确认变更的时间是：收到承包人书面价款的申请及相应变更资料和预算书后14天内进行答复，超过14天不做答复视为已经批准，因承包人资料不全，发包人退回承包人，重新计算答复期。经发包人书面确认后的变更金额将作为追加合同价款，按75%的比例计入最近一期的进度款中支付。</w:t>
      </w:r>
    </w:p>
    <w:p w14:paraId="119AEC23">
      <w:pPr>
        <w:pStyle w:val="242"/>
        <w:spacing w:line="360" w:lineRule="auto"/>
        <w:ind w:firstLine="367" w:firstLineChars="175"/>
        <w:jc w:val="left"/>
        <w:rPr>
          <w:rFonts w:ascii="宋体" w:hAnsi="宋体"/>
          <w:color w:val="auto"/>
          <w:u w:val="single"/>
        </w:rPr>
      </w:pPr>
      <w:r>
        <w:rPr>
          <w:rFonts w:hint="eastAsia" w:ascii="宋体" w:hAnsi="宋体"/>
          <w:color w:val="auto"/>
          <w:u w:val="single"/>
        </w:rPr>
        <w:t>（3）重大的设计变更和签证工程完成后，有关变更文件、签证单、审批件、工程联系单、预算书等工程资料须于7个工作日内送达主管部门审核认可备案后，方可作为工程结算依据。</w:t>
      </w:r>
    </w:p>
    <w:p w14:paraId="72BF1B07">
      <w:pPr>
        <w:pStyle w:val="242"/>
        <w:spacing w:line="360" w:lineRule="auto"/>
        <w:ind w:firstLine="367" w:firstLineChars="175"/>
        <w:jc w:val="left"/>
        <w:rPr>
          <w:rFonts w:ascii="宋体" w:hAnsi="宋体"/>
          <w:color w:val="auto"/>
        </w:rPr>
      </w:pPr>
      <w:r>
        <w:rPr>
          <w:rFonts w:hint="eastAsia" w:ascii="宋体" w:hAnsi="宋体"/>
          <w:color w:val="auto"/>
        </w:rPr>
        <w:t>10.6变更引起的工期调整</w:t>
      </w:r>
    </w:p>
    <w:p w14:paraId="5BCA7F76">
      <w:pPr>
        <w:pStyle w:val="242"/>
        <w:spacing w:line="360" w:lineRule="auto"/>
        <w:ind w:firstLine="367" w:firstLineChars="175"/>
        <w:jc w:val="left"/>
        <w:rPr>
          <w:rFonts w:ascii="宋体" w:hAnsi="宋体"/>
          <w:color w:val="auto"/>
          <w:u w:val="single"/>
        </w:rPr>
      </w:pPr>
      <w:r>
        <w:rPr>
          <w:rFonts w:hint="eastAsia" w:ascii="宋体" w:hAnsi="宋体"/>
          <w:color w:val="auto"/>
          <w:u w:val="single"/>
        </w:rPr>
        <w:t>因变更引起的工期变化，承包人应在设计变更发生后14天内书面提出调整工期申请，超过14天即视为承包人自动放弃索赔工期的权利。监理人认为有必要时，可要求承包人提交要求提前或延长工期的施工进度计划及相应施工措施等详细资料。</w:t>
      </w:r>
    </w:p>
    <w:p w14:paraId="6690D2E7">
      <w:pPr>
        <w:pStyle w:val="274"/>
        <w:spacing w:line="400" w:lineRule="exact"/>
        <w:jc w:val="left"/>
        <w:rPr>
          <w:rFonts w:ascii="宋体"/>
          <w:color w:val="auto"/>
          <w:u w:val="single"/>
        </w:rPr>
      </w:pPr>
      <w:r>
        <w:rPr>
          <w:rFonts w:hint="eastAsia" w:ascii="宋体"/>
          <w:color w:val="auto"/>
          <w:u w:val="single"/>
        </w:rPr>
        <w:t xml:space="preserve"> </w:t>
      </w:r>
    </w:p>
    <w:p w14:paraId="2D261AC4">
      <w:pPr>
        <w:pStyle w:val="273"/>
        <w:spacing w:line="400" w:lineRule="exact"/>
        <w:rPr>
          <w:rFonts w:ascii="宋体"/>
          <w:color w:val="auto"/>
          <w:sz w:val="21"/>
          <w:szCs w:val="21"/>
        </w:rPr>
      </w:pPr>
      <w:r>
        <w:rPr>
          <w:rFonts w:hint="eastAsia" w:ascii="宋体" w:hAnsi="宋体"/>
          <w:color w:val="auto"/>
          <w:sz w:val="21"/>
          <w:szCs w:val="21"/>
        </w:rPr>
        <w:t>10.7 暂估价</w:t>
      </w:r>
    </w:p>
    <w:p w14:paraId="23081FF0">
      <w:pPr>
        <w:pStyle w:val="274"/>
        <w:spacing w:line="400" w:lineRule="exact"/>
        <w:ind w:firstLine="420"/>
        <w:jc w:val="left"/>
        <w:rPr>
          <w:rFonts w:ascii="宋体"/>
          <w:color w:val="auto"/>
        </w:rPr>
      </w:pPr>
      <w:r>
        <w:rPr>
          <w:rFonts w:hint="eastAsia" w:ascii="宋体" w:hAnsi="宋体"/>
          <w:color w:val="auto"/>
          <w:kern w:val="0"/>
        </w:rPr>
        <w:t>暂估价材料和工程设备的明细详见附件11：《</w:t>
      </w:r>
      <w:r>
        <w:rPr>
          <w:rFonts w:hint="eastAsia" w:ascii="宋体" w:hAnsi="宋体"/>
          <w:color w:val="auto"/>
        </w:rPr>
        <w:t>暂估价一览表》</w:t>
      </w:r>
      <w:r>
        <w:rPr>
          <w:rFonts w:hint="eastAsia" w:ascii="宋体" w:hAnsi="宋体"/>
          <w:color w:val="auto"/>
          <w:kern w:val="0"/>
        </w:rPr>
        <w:t>。</w:t>
      </w:r>
    </w:p>
    <w:p w14:paraId="7AF79A4A">
      <w:pPr>
        <w:pStyle w:val="274"/>
        <w:spacing w:line="400" w:lineRule="exact"/>
        <w:ind w:firstLine="420"/>
        <w:jc w:val="left"/>
        <w:outlineLvl w:val="0"/>
        <w:rPr>
          <w:rFonts w:ascii="宋体"/>
          <w:color w:val="auto"/>
        </w:rPr>
      </w:pPr>
      <w:bookmarkStart w:id="788" w:name="_Toc24550"/>
      <w:bookmarkStart w:id="789" w:name="_Toc20606"/>
      <w:bookmarkStart w:id="790" w:name="_Toc20537"/>
      <w:bookmarkStart w:id="791" w:name="_Toc3248"/>
      <w:bookmarkStart w:id="792" w:name="_Toc18028"/>
      <w:bookmarkStart w:id="793" w:name="_Toc530653196"/>
      <w:bookmarkStart w:id="794" w:name="_Toc3706"/>
      <w:bookmarkStart w:id="795" w:name="_Toc525396191"/>
      <w:r>
        <w:rPr>
          <w:rFonts w:hint="eastAsia" w:ascii="宋体" w:hAnsi="宋体"/>
          <w:color w:val="auto"/>
        </w:rPr>
        <w:t>10.7.1 依法必须招标的暂估价项目</w:t>
      </w:r>
      <w:bookmarkEnd w:id="788"/>
      <w:bookmarkEnd w:id="789"/>
      <w:bookmarkEnd w:id="790"/>
      <w:bookmarkEnd w:id="791"/>
      <w:bookmarkEnd w:id="792"/>
      <w:bookmarkEnd w:id="793"/>
      <w:bookmarkEnd w:id="794"/>
      <w:bookmarkEnd w:id="795"/>
    </w:p>
    <w:p w14:paraId="38EA408F">
      <w:pPr>
        <w:pStyle w:val="274"/>
        <w:spacing w:line="400" w:lineRule="exact"/>
        <w:ind w:firstLine="420"/>
        <w:jc w:val="left"/>
        <w:rPr>
          <w:rFonts w:ascii="宋体"/>
          <w:color w:val="auto"/>
        </w:rPr>
      </w:pPr>
      <w:r>
        <w:rPr>
          <w:rFonts w:hint="eastAsia" w:ascii="宋体" w:hAnsi="宋体"/>
          <w:color w:val="auto"/>
        </w:rPr>
        <w:t>对于依法必须招标的暂估价项目的确认和批准采取第1种方式确定。</w:t>
      </w:r>
    </w:p>
    <w:p w14:paraId="713C96DB">
      <w:pPr>
        <w:pStyle w:val="274"/>
        <w:spacing w:line="400" w:lineRule="exact"/>
        <w:ind w:firstLine="420"/>
        <w:jc w:val="left"/>
        <w:rPr>
          <w:rFonts w:ascii="宋体"/>
          <w:color w:val="auto"/>
        </w:rPr>
      </w:pPr>
      <w:r>
        <w:rPr>
          <w:rFonts w:hint="eastAsia" w:ascii="宋体" w:hAnsi="宋体"/>
          <w:color w:val="auto"/>
        </w:rPr>
        <w:t>10.7.2 不属于依法必须招标的暂估价项目</w:t>
      </w:r>
    </w:p>
    <w:p w14:paraId="62083E16">
      <w:pPr>
        <w:pStyle w:val="274"/>
        <w:spacing w:line="400" w:lineRule="exact"/>
        <w:ind w:firstLine="420"/>
        <w:jc w:val="left"/>
        <w:rPr>
          <w:rFonts w:ascii="宋体"/>
          <w:color w:val="auto"/>
        </w:rPr>
      </w:pPr>
      <w:r>
        <w:rPr>
          <w:rFonts w:hint="eastAsia" w:ascii="宋体" w:hAnsi="宋体"/>
          <w:color w:val="auto"/>
        </w:rPr>
        <w:t>对于不属于依法必须招标的暂估价项目的确认和批准采取第 3种方式确定。</w:t>
      </w:r>
    </w:p>
    <w:p w14:paraId="695A3918">
      <w:pPr>
        <w:pStyle w:val="274"/>
        <w:spacing w:line="400" w:lineRule="exact"/>
        <w:ind w:firstLine="420"/>
        <w:jc w:val="left"/>
        <w:rPr>
          <w:rFonts w:ascii="宋体"/>
          <w:color w:val="auto"/>
          <w:kern w:val="0"/>
        </w:rPr>
      </w:pPr>
      <w:r>
        <w:rPr>
          <w:rFonts w:hint="eastAsia" w:ascii="宋体" w:hAnsi="宋体"/>
          <w:color w:val="auto"/>
        </w:rPr>
        <w:t>第3种方式：</w:t>
      </w:r>
      <w:r>
        <w:rPr>
          <w:rFonts w:hint="eastAsia" w:ascii="宋体" w:hAnsi="宋体"/>
          <w:color w:val="auto"/>
          <w:kern w:val="0"/>
        </w:rPr>
        <w:t>承包人直接实施的暂估价项目</w:t>
      </w:r>
    </w:p>
    <w:p w14:paraId="404326B9">
      <w:pPr>
        <w:pStyle w:val="274"/>
        <w:spacing w:line="400" w:lineRule="exact"/>
        <w:ind w:firstLine="420"/>
        <w:jc w:val="left"/>
        <w:rPr>
          <w:rFonts w:ascii="宋体"/>
          <w:color w:val="auto"/>
        </w:rPr>
      </w:pPr>
      <w:r>
        <w:rPr>
          <w:rFonts w:hint="eastAsia" w:ascii="宋体" w:hAnsi="宋体"/>
          <w:color w:val="auto"/>
        </w:rPr>
        <w:t>承包人直接实施的暂估价项目的约定：</w:t>
      </w:r>
      <w:r>
        <w:rPr>
          <w:rFonts w:hint="eastAsia" w:ascii="宋体" w:hAnsi="宋体"/>
          <w:color w:val="auto"/>
          <w:u w:val="single"/>
        </w:rPr>
        <w:t>暂估价项目由承包人提供设备参数及深化设计（发包方不另行支付设计费）并提交监理及发包人审定，承包人根据参数和图纸及发包人选择的样品、品牌编制工程预算书，由监理审核后报送发包人审定，经发包人同意后由承包人直接实施暂估价项目</w:t>
      </w:r>
      <w:r>
        <w:rPr>
          <w:rFonts w:hint="eastAsia" w:ascii="宋体" w:hAnsi="宋体"/>
          <w:color w:val="auto"/>
        </w:rPr>
        <w:t>。</w:t>
      </w:r>
    </w:p>
    <w:p w14:paraId="3912D34A">
      <w:pPr>
        <w:pStyle w:val="273"/>
        <w:spacing w:line="400" w:lineRule="exact"/>
        <w:rPr>
          <w:rFonts w:ascii="宋体"/>
          <w:color w:val="auto"/>
          <w:sz w:val="21"/>
          <w:szCs w:val="21"/>
        </w:rPr>
      </w:pPr>
      <w:r>
        <w:rPr>
          <w:rFonts w:hint="eastAsia" w:ascii="宋体" w:hAnsi="宋体"/>
          <w:color w:val="auto"/>
          <w:sz w:val="21"/>
          <w:szCs w:val="21"/>
        </w:rPr>
        <w:t>10.8 暂列金额</w:t>
      </w:r>
    </w:p>
    <w:p w14:paraId="43961CE2">
      <w:pPr>
        <w:pStyle w:val="274"/>
        <w:spacing w:line="400" w:lineRule="exact"/>
        <w:ind w:firstLine="420"/>
        <w:jc w:val="left"/>
        <w:rPr>
          <w:rFonts w:ascii="宋体"/>
          <w:color w:val="auto"/>
          <w:u w:val="single"/>
        </w:rPr>
      </w:pPr>
      <w:r>
        <w:rPr>
          <w:rFonts w:hint="eastAsia" w:ascii="宋体" w:hAnsi="宋体"/>
          <w:color w:val="auto"/>
          <w:kern w:val="0"/>
        </w:rPr>
        <w:t>合同当事人关于暂列金额使用的约定：</w:t>
      </w:r>
      <w:r>
        <w:rPr>
          <w:rFonts w:hint="eastAsia" w:ascii="宋体" w:hAnsi="宋体"/>
          <w:color w:val="auto"/>
          <w:kern w:val="0"/>
          <w:u w:val="single"/>
        </w:rPr>
        <w:t xml:space="preserve"> </w:t>
      </w:r>
      <w:r>
        <w:rPr>
          <w:rFonts w:hint="eastAsia" w:ascii="宋体" w:hAnsi="宋体"/>
          <w:color w:val="auto"/>
          <w:u w:val="single"/>
        </w:rPr>
        <w:t>无</w:t>
      </w:r>
      <w:r>
        <w:rPr>
          <w:rFonts w:hint="eastAsia"/>
          <w:color w:val="auto"/>
          <w:u w:val="single"/>
        </w:rPr>
        <w:t xml:space="preserve"> </w:t>
      </w:r>
      <w:r>
        <w:rPr>
          <w:rFonts w:hint="eastAsia" w:ascii="宋体" w:hAnsi="宋体"/>
          <w:color w:val="auto"/>
          <w:kern w:val="0"/>
        </w:rPr>
        <w:t>。</w:t>
      </w:r>
    </w:p>
    <w:p w14:paraId="3BEED20D">
      <w:pPr>
        <w:pStyle w:val="273"/>
        <w:spacing w:line="400" w:lineRule="exact"/>
        <w:rPr>
          <w:rFonts w:ascii="宋体"/>
          <w:color w:val="auto"/>
          <w:sz w:val="21"/>
          <w:szCs w:val="21"/>
        </w:rPr>
      </w:pPr>
      <w:r>
        <w:rPr>
          <w:rFonts w:hint="eastAsia" w:ascii="宋体" w:hAnsi="宋体"/>
          <w:color w:val="auto"/>
          <w:sz w:val="21"/>
          <w:szCs w:val="21"/>
        </w:rPr>
        <w:t>11. 价格调整</w:t>
      </w:r>
    </w:p>
    <w:p w14:paraId="25025C4B">
      <w:pPr>
        <w:pStyle w:val="273"/>
        <w:spacing w:line="400" w:lineRule="exact"/>
        <w:rPr>
          <w:rFonts w:ascii="宋体"/>
          <w:color w:val="auto"/>
          <w:sz w:val="21"/>
          <w:szCs w:val="21"/>
        </w:rPr>
      </w:pPr>
      <w:r>
        <w:rPr>
          <w:rFonts w:hint="eastAsia" w:ascii="宋体" w:hAnsi="宋体"/>
          <w:color w:val="auto"/>
          <w:sz w:val="21"/>
          <w:szCs w:val="21"/>
        </w:rPr>
        <w:t>11.1 市场价格波动引起的调整</w:t>
      </w:r>
    </w:p>
    <w:p w14:paraId="41358397">
      <w:pPr>
        <w:pStyle w:val="242"/>
        <w:spacing w:line="360" w:lineRule="auto"/>
        <w:ind w:firstLine="367" w:firstLineChars="175"/>
        <w:jc w:val="left"/>
        <w:rPr>
          <w:rFonts w:ascii="宋体" w:hAnsi="宋体"/>
          <w:color w:val="auto"/>
          <w:szCs w:val="21"/>
          <w:u w:val="single"/>
        </w:rPr>
      </w:pPr>
      <w:r>
        <w:rPr>
          <w:rFonts w:hint="eastAsia" w:ascii="宋体" w:hAnsi="宋体"/>
          <w:color w:val="auto"/>
        </w:rPr>
        <w:t>市场价格波动是否调整合同价格的约定：</w:t>
      </w:r>
      <w:r>
        <w:rPr>
          <w:rFonts w:hint="eastAsia" w:ascii="宋体" w:hAnsi="宋体"/>
          <w:color w:val="auto"/>
          <w:u w:val="single"/>
        </w:rPr>
        <w:t>是，但因承包人原因造成的工期拖延，延误期间的价格下跌时按下跌价格调整，价格上涨时价格按原价格。</w:t>
      </w:r>
    </w:p>
    <w:p w14:paraId="29A18AD3">
      <w:pPr>
        <w:pStyle w:val="242"/>
        <w:spacing w:line="360" w:lineRule="auto"/>
        <w:ind w:firstLine="367" w:firstLineChars="175"/>
        <w:jc w:val="left"/>
        <w:rPr>
          <w:rFonts w:ascii="宋体" w:hAnsi="宋体"/>
          <w:color w:val="auto"/>
        </w:rPr>
      </w:pPr>
      <w:r>
        <w:rPr>
          <w:rFonts w:hint="eastAsia" w:ascii="宋体" w:hAnsi="宋体"/>
          <w:color w:val="auto"/>
        </w:rPr>
        <w:t>因市场价格波动调整合同价格，采用以下第</w:t>
      </w:r>
      <w:r>
        <w:rPr>
          <w:rFonts w:hint="eastAsia" w:ascii="宋体" w:hAnsi="宋体"/>
          <w:color w:val="auto"/>
          <w:u w:val="single"/>
        </w:rPr>
        <w:t xml:space="preserve"> 3  </w:t>
      </w:r>
      <w:r>
        <w:rPr>
          <w:rFonts w:hint="eastAsia" w:ascii="宋体" w:hAnsi="宋体"/>
          <w:color w:val="auto"/>
        </w:rPr>
        <w:t>种方式对合同价格进行调整：</w:t>
      </w:r>
    </w:p>
    <w:p w14:paraId="7E7F5D9A">
      <w:pPr>
        <w:pStyle w:val="242"/>
        <w:spacing w:line="360" w:lineRule="auto"/>
        <w:ind w:firstLine="367" w:firstLineChars="175"/>
        <w:jc w:val="left"/>
        <w:rPr>
          <w:rFonts w:ascii="宋体" w:hAnsi="宋体"/>
          <w:color w:val="auto"/>
          <w:u w:val="single"/>
        </w:rPr>
      </w:pPr>
      <w:r>
        <w:rPr>
          <w:rFonts w:hint="eastAsia" w:ascii="宋体" w:hAnsi="宋体"/>
          <w:color w:val="auto"/>
        </w:rPr>
        <w:t>第3种方式：</w:t>
      </w:r>
      <w:r>
        <w:rPr>
          <w:rFonts w:hint="eastAsia" w:ascii="宋体" w:hAnsi="宋体"/>
          <w:color w:val="auto"/>
          <w:u w:val="single"/>
        </w:rPr>
        <w:t>关于基准价格的约定：《玉林建设工程造价信息》相应信息价；无信息价的按招标控制价承包人提供主要材料和工程设备一览表中的基准单价。</w:t>
      </w:r>
    </w:p>
    <w:p w14:paraId="5941CB12">
      <w:pPr>
        <w:pStyle w:val="242"/>
        <w:numPr>
          <w:ilvl w:val="0"/>
          <w:numId w:val="4"/>
        </w:numPr>
        <w:spacing w:line="360" w:lineRule="auto"/>
        <w:jc w:val="left"/>
        <w:rPr>
          <w:rFonts w:ascii="宋体" w:hAnsi="宋体"/>
          <w:color w:val="auto"/>
          <w:u w:val="single"/>
        </w:rPr>
      </w:pPr>
      <w:r>
        <w:rPr>
          <w:rFonts w:hint="eastAsia" w:ascii="宋体" w:hAnsi="宋体"/>
          <w:color w:val="auto"/>
          <w:u w:val="single"/>
        </w:rPr>
        <w:t>承包人在已标价工程量清单或预算书中载明的材料单价低于基准价格的：合同履行期间材料单价涨幅以基准价格为基础超过±5%时；材料单价跌幅以已标价工程量清单或预算书中载明材料单价为基础超过±5%时，其超过部分据实调整。</w:t>
      </w:r>
    </w:p>
    <w:p w14:paraId="48D20EDD">
      <w:pPr>
        <w:pStyle w:val="242"/>
        <w:spacing w:line="360" w:lineRule="auto"/>
        <w:ind w:firstLine="367" w:firstLineChars="175"/>
        <w:jc w:val="left"/>
        <w:rPr>
          <w:rFonts w:ascii="宋体" w:hAnsi="宋体"/>
          <w:color w:val="auto"/>
          <w:u w:val="single"/>
        </w:rPr>
      </w:pPr>
      <w:r>
        <w:rPr>
          <w:rFonts w:hint="eastAsia" w:ascii="宋体" w:hAnsi="宋体"/>
          <w:color w:val="auto"/>
          <w:u w:val="single"/>
        </w:rPr>
        <w:t>②承包人在已标价工程量清单或预算书中载明的材料单价高于基准价格的：合同履行期间材料单价跌幅以基准价格为基础超过±5%时，材料单价涨幅以已标价工程量清单或预算书中载明材料单价为基础超过±5%时，其超过部分据实调整。</w:t>
      </w:r>
    </w:p>
    <w:p w14:paraId="167259DE">
      <w:pPr>
        <w:pStyle w:val="274"/>
        <w:spacing w:line="400" w:lineRule="exact"/>
        <w:ind w:firstLine="645"/>
        <w:jc w:val="left"/>
        <w:rPr>
          <w:rFonts w:ascii="宋体"/>
          <w:color w:val="auto"/>
        </w:rPr>
      </w:pPr>
      <w:r>
        <w:rPr>
          <w:rFonts w:hint="eastAsia" w:ascii="宋体" w:hAnsi="宋体"/>
          <w:color w:val="auto"/>
          <w:u w:val="single"/>
        </w:rPr>
        <w:t>③承包人在已标价工程量清单或预算书中载明的材料单价等于基准单价的：合同履行期间材料单价涨跌幅以基准单价为基础超过±5%时，其超过部分据实调整。</w:t>
      </w:r>
    </w:p>
    <w:p w14:paraId="4836AD80">
      <w:pPr>
        <w:pStyle w:val="273"/>
        <w:spacing w:line="400" w:lineRule="exact"/>
        <w:rPr>
          <w:rFonts w:ascii="宋体"/>
          <w:color w:val="auto"/>
          <w:sz w:val="21"/>
          <w:szCs w:val="21"/>
        </w:rPr>
      </w:pPr>
      <w:r>
        <w:rPr>
          <w:rFonts w:hint="eastAsia" w:ascii="宋体" w:hAnsi="宋体"/>
          <w:color w:val="auto"/>
          <w:sz w:val="21"/>
          <w:szCs w:val="21"/>
        </w:rPr>
        <w:t>12. 合同价格、计量与支付</w:t>
      </w:r>
    </w:p>
    <w:p w14:paraId="06EAFCED">
      <w:pPr>
        <w:pStyle w:val="273"/>
        <w:spacing w:line="400" w:lineRule="exact"/>
        <w:rPr>
          <w:rFonts w:ascii="宋体"/>
          <w:color w:val="auto"/>
          <w:sz w:val="21"/>
          <w:szCs w:val="21"/>
        </w:rPr>
      </w:pPr>
      <w:r>
        <w:rPr>
          <w:rFonts w:hint="eastAsia" w:ascii="宋体" w:hAnsi="宋体"/>
          <w:color w:val="auto"/>
          <w:sz w:val="21"/>
          <w:szCs w:val="21"/>
        </w:rPr>
        <w:t>12.1 合同价格形式</w:t>
      </w:r>
    </w:p>
    <w:p w14:paraId="2D273A95">
      <w:pPr>
        <w:pStyle w:val="242"/>
        <w:spacing w:line="360" w:lineRule="auto"/>
        <w:ind w:firstLine="367" w:firstLineChars="175"/>
        <w:jc w:val="left"/>
        <w:rPr>
          <w:rFonts w:ascii="宋体" w:hAnsi="宋体"/>
          <w:color w:val="auto"/>
          <w:szCs w:val="21"/>
          <w:u w:val="single"/>
        </w:rPr>
      </w:pPr>
      <w:r>
        <w:rPr>
          <w:rFonts w:hint="eastAsia" w:ascii="宋体" w:hAnsi="宋体"/>
          <w:color w:val="auto"/>
          <w:u w:val="single"/>
        </w:rPr>
        <w:t>本合同价款采用固定综合单价方式确定,工程量按实际结算。</w:t>
      </w:r>
    </w:p>
    <w:p w14:paraId="6F75A596">
      <w:pPr>
        <w:pStyle w:val="242"/>
        <w:spacing w:line="360" w:lineRule="auto"/>
        <w:ind w:firstLine="367" w:firstLineChars="175"/>
        <w:jc w:val="left"/>
        <w:rPr>
          <w:rFonts w:ascii="宋体" w:hAnsi="宋体"/>
          <w:color w:val="auto"/>
        </w:rPr>
      </w:pPr>
      <w:r>
        <w:rPr>
          <w:rFonts w:hint="eastAsia" w:ascii="宋体" w:hAnsi="宋体"/>
          <w:color w:val="auto"/>
        </w:rPr>
        <w:t>综合单价包含的风险范围：</w:t>
      </w:r>
      <w:r>
        <w:rPr>
          <w:rFonts w:hint="eastAsia" w:ascii="宋体" w:hAnsi="宋体"/>
          <w:color w:val="auto"/>
          <w:u w:val="single"/>
        </w:rPr>
        <w:t>除工程变更、项目特征不符、工程量清单缺项、工程量偏差、《承包人提供主要材料和设备一览表》中约定的材料、设备价格变动风险、政策性调整以外的其他风险。</w:t>
      </w:r>
    </w:p>
    <w:p w14:paraId="5C3EA249">
      <w:pPr>
        <w:pStyle w:val="274"/>
        <w:spacing w:line="400" w:lineRule="exact"/>
        <w:ind w:firstLine="420"/>
        <w:jc w:val="left"/>
        <w:rPr>
          <w:rFonts w:ascii="宋体"/>
          <w:color w:val="auto"/>
          <w:u w:val="single"/>
        </w:rPr>
      </w:pPr>
      <w:r>
        <w:rPr>
          <w:rFonts w:hint="eastAsia" w:ascii="宋体" w:hAnsi="宋体"/>
          <w:color w:val="auto"/>
        </w:rPr>
        <w:t>风险费用的计算方法：</w:t>
      </w:r>
      <w:r>
        <w:rPr>
          <w:rFonts w:hint="eastAsia" w:ascii="宋体" w:hAnsi="宋体"/>
          <w:color w:val="auto"/>
          <w:u w:val="single"/>
        </w:rPr>
        <w:t>单价采用固定综合单价，风险费用已综合考虑在单价中。</w:t>
      </w:r>
    </w:p>
    <w:p w14:paraId="668DA1B1">
      <w:pPr>
        <w:pStyle w:val="242"/>
        <w:spacing w:line="360" w:lineRule="auto"/>
        <w:ind w:firstLine="367" w:firstLineChars="175"/>
        <w:jc w:val="left"/>
        <w:rPr>
          <w:rFonts w:ascii="宋体" w:hAnsi="宋体"/>
          <w:color w:val="auto"/>
        </w:rPr>
      </w:pPr>
      <w:r>
        <w:rPr>
          <w:rFonts w:hint="eastAsia" w:ascii="宋体" w:hAnsi="宋体"/>
          <w:color w:val="auto"/>
        </w:rPr>
        <w:t>a.本合同实施期间因工程变更、项目特征不符、工程量清单缺项引起工程项目、工程量变化的，其工程量按实际发生并经监理工程师及发包人确认，变更合同价款按下列方法进行：工程量清单中有相同细目的按投标人投标时的中标单价进行结算，工程量清单中有类似细目的参考类似中标单价结算；工程量清单中没有适用或类似于变更工程的价格，则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定；新增项目无定额可套的，由发包人、监理单位及承包人根据市场协商确定；新增结算单价=综合单价X（中标价/经审定的工程招标控制价）。</w:t>
      </w:r>
    </w:p>
    <w:p w14:paraId="6113D2ED">
      <w:pPr>
        <w:pStyle w:val="242"/>
        <w:spacing w:line="360" w:lineRule="auto"/>
        <w:ind w:firstLine="367" w:firstLineChars="175"/>
        <w:jc w:val="left"/>
        <w:rPr>
          <w:rFonts w:ascii="宋体" w:hAnsi="宋体"/>
          <w:color w:val="auto"/>
        </w:rPr>
      </w:pPr>
      <w:r>
        <w:rPr>
          <w:rFonts w:hint="eastAsia" w:ascii="宋体" w:hAnsi="宋体"/>
          <w:color w:val="auto"/>
        </w:rPr>
        <w:t>b.工程量偏差调整方法：如果承包人投标报价中某个分部分项工程的综合单价高于招标控制价相应分部分项工程</w:t>
      </w:r>
      <w:r>
        <w:rPr>
          <w:rFonts w:hint="eastAsia"/>
          <w:color w:val="auto"/>
        </w:rPr>
        <w:t>10%</w:t>
      </w:r>
      <w:r>
        <w:rPr>
          <w:rFonts w:hint="eastAsia" w:ascii="宋体" w:hAnsi="宋体"/>
          <w:color w:val="auto"/>
        </w:rPr>
        <w:t>的，且实际完成工程量大于招标工程量</w:t>
      </w:r>
      <w:r>
        <w:rPr>
          <w:rFonts w:hint="eastAsia"/>
          <w:color w:val="auto"/>
        </w:rPr>
        <w:t>10%</w:t>
      </w:r>
      <w:r>
        <w:rPr>
          <w:rFonts w:hint="eastAsia" w:ascii="宋体" w:hAnsi="宋体"/>
          <w:color w:val="auto"/>
        </w:rPr>
        <w:t>以上和该单项造价超过合同总价</w:t>
      </w:r>
      <w:r>
        <w:rPr>
          <w:rFonts w:hint="eastAsia"/>
          <w:color w:val="auto"/>
        </w:rPr>
        <w:t>2%</w:t>
      </w:r>
      <w:r>
        <w:rPr>
          <w:rFonts w:hint="eastAsia" w:ascii="宋体" w:hAnsi="宋体"/>
          <w:color w:val="auto"/>
        </w:rPr>
        <w:t>以上的，则该分部分项工程实际完成工程量超过招标工程量部分的综合单价按以下方法计算：则有定额的套定额计算，执行本招标文件工程计价参考依据，并乘以下浮系数（中标价</w:t>
      </w:r>
      <w:r>
        <w:rPr>
          <w:rFonts w:hint="eastAsia"/>
          <w:color w:val="auto"/>
        </w:rPr>
        <w:t>/</w:t>
      </w:r>
      <w:r>
        <w:rPr>
          <w:rFonts w:hint="eastAsia" w:ascii="宋体" w:hAnsi="宋体"/>
          <w:color w:val="auto"/>
        </w:rPr>
        <w:t>经审定的工程招标控制价）结算，其中材料价格有信息价的按施工期间信息价的平均价计取，无信息价的由发包人、监理单位及承包人根据市场价格协商议定。</w:t>
      </w:r>
    </w:p>
    <w:p w14:paraId="1D7404B9">
      <w:pPr>
        <w:pStyle w:val="242"/>
        <w:spacing w:line="360" w:lineRule="auto"/>
        <w:ind w:firstLine="367" w:firstLineChars="175"/>
        <w:jc w:val="left"/>
        <w:rPr>
          <w:rFonts w:ascii="宋体" w:hAnsi="宋体"/>
          <w:color w:val="auto"/>
        </w:rPr>
      </w:pPr>
      <w:r>
        <w:rPr>
          <w:rFonts w:hint="eastAsia" w:ascii="宋体" w:hAnsi="宋体"/>
          <w:color w:val="auto"/>
        </w:rPr>
        <w:t>c.材料和设备价格风险的调整方法：</w:t>
      </w:r>
    </w:p>
    <w:p w14:paraId="747E1B95">
      <w:pPr>
        <w:pStyle w:val="242"/>
        <w:spacing w:line="360" w:lineRule="auto"/>
        <w:ind w:firstLine="367" w:firstLineChars="175"/>
        <w:jc w:val="left"/>
        <w:rPr>
          <w:rFonts w:ascii="宋体" w:hAnsi="宋体" w:cs="Calibri"/>
          <w:color w:val="auto"/>
        </w:rPr>
      </w:pPr>
      <w:r>
        <w:rPr>
          <w:rFonts w:hint="eastAsia" w:ascii="宋体" w:hAnsi="宋体" w:cs="Calibri"/>
          <w:color w:val="auto"/>
        </w:rPr>
        <w:t>基准价格的约定：基准价格按照招标文件约定的材料设备信息价，无信息价的参考招标控制价的材料设备价格。</w:t>
      </w:r>
    </w:p>
    <w:p w14:paraId="7DEAF0A2">
      <w:pPr>
        <w:pStyle w:val="242"/>
        <w:spacing w:line="360" w:lineRule="auto"/>
        <w:ind w:firstLine="367" w:firstLineChars="175"/>
        <w:jc w:val="left"/>
        <w:rPr>
          <w:rFonts w:ascii="宋体" w:hAnsi="宋体" w:cs="宋体"/>
          <w:color w:val="auto"/>
        </w:rPr>
      </w:pPr>
      <w:r>
        <w:rPr>
          <w:rFonts w:hint="eastAsia" w:ascii="宋体" w:hAnsi="宋体" w:cs="Calibri"/>
          <w:color w:val="auto"/>
        </w:rPr>
        <w:t>材料及设备风险的约定：</w:t>
      </w:r>
      <w:r>
        <w:rPr>
          <w:rFonts w:hint="eastAsia" w:ascii="宋体" w:hAnsi="宋体"/>
          <w:color w:val="auto"/>
        </w:rPr>
        <w:t>本工程可以调整的主要材料及设备详见《承包人提供主要材料和设备一览表》。调整方式按11.1第3种方式执行。其余材料、设备不予调整。</w:t>
      </w:r>
    </w:p>
    <w:p w14:paraId="7A3C818B">
      <w:pPr>
        <w:pStyle w:val="242"/>
        <w:spacing w:line="360" w:lineRule="auto"/>
        <w:ind w:firstLine="367" w:firstLineChars="175"/>
        <w:jc w:val="left"/>
        <w:rPr>
          <w:rFonts w:ascii="宋体" w:hAnsi="宋体"/>
          <w:color w:val="auto"/>
        </w:rPr>
      </w:pPr>
      <w:r>
        <w:rPr>
          <w:rFonts w:hint="eastAsia" w:ascii="宋体" w:hAnsi="宋体"/>
          <w:color w:val="auto"/>
        </w:rPr>
        <w:t>d.措施项目费调整原则按《(GB50500-2013)建设工程工程量清单计价规范-广西壮族自治区实施细则》第9.3.2条款执行。</w:t>
      </w:r>
    </w:p>
    <w:p w14:paraId="47F3CC73">
      <w:pPr>
        <w:pStyle w:val="242"/>
        <w:spacing w:line="360" w:lineRule="auto"/>
        <w:ind w:firstLine="367" w:firstLineChars="175"/>
        <w:jc w:val="left"/>
        <w:rPr>
          <w:rFonts w:ascii="宋体" w:hAnsi="宋体"/>
          <w:color w:val="auto"/>
        </w:rPr>
      </w:pPr>
      <w:r>
        <w:rPr>
          <w:rFonts w:hint="eastAsia" w:ascii="宋体" w:hAnsi="宋体"/>
          <w:color w:val="auto"/>
        </w:rPr>
        <w:t>e.国家和自治区政策性调整有关费用标准的，按文件规定执行。</w:t>
      </w:r>
    </w:p>
    <w:p w14:paraId="561A18F2">
      <w:pPr>
        <w:pStyle w:val="242"/>
        <w:spacing w:line="360" w:lineRule="auto"/>
        <w:ind w:firstLine="367" w:firstLineChars="175"/>
        <w:jc w:val="left"/>
        <w:rPr>
          <w:rFonts w:ascii="宋体" w:hAnsi="宋体"/>
          <w:color w:val="auto"/>
        </w:rPr>
      </w:pPr>
      <w:r>
        <w:rPr>
          <w:rFonts w:hint="eastAsia" w:ascii="宋体" w:hAnsi="宋体"/>
          <w:color w:val="auto"/>
        </w:rPr>
        <w:t>f.无约定的参照我区现行《建设工程工程量清单计价规范》相关规定执行。</w:t>
      </w:r>
    </w:p>
    <w:p w14:paraId="72DE9494">
      <w:pPr>
        <w:pStyle w:val="274"/>
        <w:spacing w:line="400" w:lineRule="exact"/>
        <w:ind w:firstLine="422"/>
        <w:jc w:val="left"/>
        <w:rPr>
          <w:rFonts w:ascii="宋体"/>
          <w:b/>
          <w:bCs/>
          <w:color w:val="auto"/>
          <w:u w:val="single"/>
        </w:rPr>
      </w:pPr>
      <w:r>
        <w:rPr>
          <w:rFonts w:hint="eastAsia" w:ascii="宋体" w:hAnsi="宋体"/>
          <w:color w:val="auto"/>
        </w:rPr>
        <w:t>本工程最终结算以发包人审核结果为准。</w:t>
      </w:r>
    </w:p>
    <w:p w14:paraId="53A6C13B">
      <w:pPr>
        <w:pStyle w:val="274"/>
        <w:spacing w:line="400" w:lineRule="exact"/>
        <w:ind w:firstLine="420"/>
        <w:jc w:val="left"/>
        <w:rPr>
          <w:rFonts w:ascii="宋体"/>
          <w:color w:val="auto"/>
        </w:rPr>
      </w:pPr>
      <w:r>
        <w:rPr>
          <w:rFonts w:hint="eastAsia" w:ascii="宋体" w:hAnsi="宋体"/>
          <w:color w:val="auto"/>
        </w:rPr>
        <w:t>2、总价合同。</w:t>
      </w:r>
    </w:p>
    <w:p w14:paraId="207DC5DD">
      <w:pPr>
        <w:pStyle w:val="274"/>
        <w:spacing w:line="400" w:lineRule="exact"/>
        <w:ind w:firstLine="420"/>
        <w:jc w:val="left"/>
        <w:rPr>
          <w:rFonts w:ascii="宋体"/>
          <w:color w:val="auto"/>
          <w:u w:val="single"/>
        </w:rPr>
      </w:pPr>
      <w:r>
        <w:rPr>
          <w:rFonts w:hint="eastAsia" w:ascii="宋体" w:hAnsi="宋体"/>
          <w:color w:val="auto"/>
        </w:rPr>
        <w:t>总价包含的风险范围：/。</w:t>
      </w:r>
    </w:p>
    <w:p w14:paraId="6A6E9E46">
      <w:pPr>
        <w:pStyle w:val="274"/>
        <w:spacing w:line="400" w:lineRule="exact"/>
        <w:ind w:firstLine="420"/>
        <w:jc w:val="left"/>
        <w:rPr>
          <w:rFonts w:ascii="宋体"/>
          <w:color w:val="auto"/>
          <w:u w:val="single"/>
        </w:rPr>
      </w:pPr>
      <w:r>
        <w:rPr>
          <w:rFonts w:hint="eastAsia" w:ascii="宋体" w:hAnsi="宋体"/>
          <w:color w:val="auto"/>
        </w:rPr>
        <w:t>风险费用的计算方法：/。</w:t>
      </w:r>
    </w:p>
    <w:p w14:paraId="49B7FEAA">
      <w:pPr>
        <w:pStyle w:val="274"/>
        <w:spacing w:line="400" w:lineRule="exact"/>
        <w:ind w:firstLine="420"/>
        <w:jc w:val="left"/>
        <w:rPr>
          <w:rFonts w:ascii="宋体" w:hAnsi="宋体"/>
          <w:color w:val="auto"/>
        </w:rPr>
      </w:pPr>
      <w:r>
        <w:rPr>
          <w:rFonts w:hint="eastAsia" w:ascii="宋体" w:hAnsi="宋体"/>
          <w:color w:val="auto"/>
        </w:rPr>
        <w:t xml:space="preserve">风险范围以外合同价格的调整方法：/。      </w:t>
      </w:r>
    </w:p>
    <w:p w14:paraId="05DC2C95">
      <w:pPr>
        <w:pStyle w:val="274"/>
        <w:spacing w:line="400" w:lineRule="exact"/>
        <w:ind w:firstLine="420"/>
        <w:jc w:val="left"/>
        <w:rPr>
          <w:rFonts w:ascii="宋体"/>
          <w:color w:val="auto"/>
          <w:u w:val="single"/>
        </w:rPr>
      </w:pPr>
      <w:r>
        <w:rPr>
          <w:rFonts w:hint="eastAsia" w:ascii="宋体" w:hAnsi="宋体"/>
          <w:color w:val="auto"/>
        </w:rPr>
        <w:t>3、其他价格方式：</w:t>
      </w:r>
      <w:r>
        <w:rPr>
          <w:rFonts w:hint="eastAsia" w:ascii="宋体" w:hAnsi="宋体"/>
          <w:color w:val="auto"/>
          <w:u w:val="single"/>
        </w:rPr>
        <w:t>双方另行约定</w:t>
      </w:r>
      <w:r>
        <w:rPr>
          <w:rFonts w:hint="eastAsia" w:ascii="宋体" w:hAnsi="宋体"/>
          <w:color w:val="auto"/>
        </w:rPr>
        <w:t>。</w:t>
      </w:r>
    </w:p>
    <w:p w14:paraId="48DE3D90">
      <w:pPr>
        <w:pStyle w:val="273"/>
        <w:spacing w:line="400" w:lineRule="exact"/>
        <w:rPr>
          <w:rFonts w:ascii="宋体"/>
          <w:color w:val="auto"/>
          <w:sz w:val="21"/>
          <w:szCs w:val="21"/>
        </w:rPr>
      </w:pPr>
      <w:r>
        <w:rPr>
          <w:rFonts w:hint="eastAsia" w:ascii="宋体" w:hAnsi="宋体"/>
          <w:color w:val="auto"/>
          <w:sz w:val="21"/>
          <w:szCs w:val="21"/>
        </w:rPr>
        <w:t>12.2 预付款</w:t>
      </w:r>
    </w:p>
    <w:p w14:paraId="26C840E8">
      <w:pPr>
        <w:pStyle w:val="274"/>
        <w:spacing w:line="400" w:lineRule="exact"/>
        <w:ind w:firstLine="420"/>
        <w:jc w:val="left"/>
        <w:outlineLvl w:val="0"/>
        <w:rPr>
          <w:rFonts w:ascii="宋体"/>
          <w:color w:val="auto"/>
        </w:rPr>
      </w:pPr>
      <w:bookmarkStart w:id="796" w:name="_Toc29037"/>
      <w:bookmarkStart w:id="797" w:name="_Toc5904"/>
      <w:bookmarkStart w:id="798" w:name="_Toc32125"/>
      <w:bookmarkStart w:id="799" w:name="_Toc530653197"/>
      <w:bookmarkStart w:id="800" w:name="_Toc15800"/>
      <w:bookmarkStart w:id="801" w:name="_Toc525396192"/>
      <w:bookmarkStart w:id="802" w:name="_Toc26755"/>
      <w:bookmarkStart w:id="803" w:name="_Toc24040"/>
      <w:r>
        <w:rPr>
          <w:rFonts w:hint="eastAsia" w:ascii="宋体" w:hAnsi="宋体"/>
          <w:color w:val="auto"/>
        </w:rPr>
        <w:t>12.2.1 预付款的支付</w:t>
      </w:r>
      <w:bookmarkEnd w:id="796"/>
      <w:bookmarkEnd w:id="797"/>
      <w:bookmarkEnd w:id="798"/>
      <w:bookmarkEnd w:id="799"/>
      <w:bookmarkEnd w:id="800"/>
      <w:bookmarkEnd w:id="801"/>
      <w:bookmarkEnd w:id="802"/>
      <w:bookmarkEnd w:id="803"/>
    </w:p>
    <w:p w14:paraId="3291FD87">
      <w:pPr>
        <w:pStyle w:val="274"/>
        <w:spacing w:line="400" w:lineRule="exact"/>
        <w:ind w:firstLine="420"/>
        <w:jc w:val="left"/>
        <w:rPr>
          <w:rFonts w:ascii="宋体"/>
          <w:color w:val="auto"/>
        </w:rPr>
      </w:pPr>
      <w:r>
        <w:rPr>
          <w:rFonts w:hint="eastAsia" w:ascii="宋体" w:hAnsi="宋体"/>
          <w:color w:val="auto"/>
        </w:rPr>
        <w:t>预付款支付比例或金额：</w:t>
      </w:r>
      <w:r>
        <w:rPr>
          <w:rFonts w:hint="eastAsia" w:ascii="宋体" w:hAnsi="宋体"/>
          <w:color w:val="auto"/>
          <w:u w:val="single"/>
        </w:rPr>
        <w:t>签订合同后采购人向成交人支付合同金额的30%预付款</w:t>
      </w:r>
      <w:r>
        <w:rPr>
          <w:rFonts w:hint="eastAsia" w:ascii="宋体" w:hAnsi="宋体"/>
          <w:color w:val="auto"/>
        </w:rPr>
        <w:t>。</w:t>
      </w:r>
    </w:p>
    <w:p w14:paraId="151EBB55">
      <w:pPr>
        <w:pStyle w:val="274"/>
        <w:spacing w:line="400" w:lineRule="exact"/>
        <w:ind w:firstLine="420"/>
        <w:jc w:val="left"/>
        <w:rPr>
          <w:rFonts w:ascii="宋体"/>
          <w:color w:val="auto"/>
        </w:rPr>
      </w:pPr>
      <w:r>
        <w:rPr>
          <w:rFonts w:hint="eastAsia" w:ascii="宋体" w:hAnsi="宋体"/>
          <w:color w:val="auto"/>
        </w:rPr>
        <w:t>预付款支付期限：</w:t>
      </w:r>
      <w:r>
        <w:rPr>
          <w:rFonts w:hint="eastAsia" w:ascii="宋体" w:hAnsi="宋体"/>
          <w:color w:val="auto"/>
          <w:u w:val="single"/>
        </w:rPr>
        <w:t xml:space="preserve">                                        </w:t>
      </w:r>
      <w:r>
        <w:rPr>
          <w:rFonts w:hint="eastAsia" w:ascii="宋体" w:hAnsi="宋体"/>
          <w:color w:val="auto"/>
        </w:rPr>
        <w:t>。</w:t>
      </w:r>
    </w:p>
    <w:p w14:paraId="182809A4">
      <w:pPr>
        <w:pStyle w:val="274"/>
        <w:spacing w:line="400" w:lineRule="exact"/>
        <w:ind w:firstLine="420"/>
        <w:jc w:val="left"/>
        <w:outlineLvl w:val="0"/>
        <w:rPr>
          <w:rFonts w:ascii="宋体"/>
          <w:color w:val="auto"/>
        </w:rPr>
      </w:pPr>
      <w:bookmarkStart w:id="804" w:name="_Toc525396193"/>
      <w:bookmarkStart w:id="805" w:name="_Toc30595"/>
      <w:bookmarkStart w:id="806" w:name="_Toc505"/>
      <w:bookmarkStart w:id="807" w:name="_Toc32161"/>
      <w:bookmarkStart w:id="808" w:name="_Toc530653198"/>
      <w:bookmarkStart w:id="809" w:name="_Toc32004"/>
      <w:bookmarkStart w:id="810" w:name="_Toc13950"/>
      <w:bookmarkStart w:id="811" w:name="_Toc29573"/>
      <w:r>
        <w:rPr>
          <w:rFonts w:hint="eastAsia" w:ascii="宋体" w:hAnsi="宋体"/>
          <w:color w:val="auto"/>
        </w:rPr>
        <w:t>12.2.2 预付款担保</w:t>
      </w:r>
      <w:bookmarkEnd w:id="804"/>
      <w:bookmarkEnd w:id="805"/>
      <w:bookmarkEnd w:id="806"/>
      <w:bookmarkEnd w:id="807"/>
      <w:bookmarkEnd w:id="808"/>
      <w:bookmarkEnd w:id="809"/>
      <w:bookmarkEnd w:id="810"/>
      <w:bookmarkEnd w:id="811"/>
    </w:p>
    <w:p w14:paraId="3C04D625">
      <w:pPr>
        <w:pStyle w:val="281"/>
        <w:spacing w:line="400" w:lineRule="exact"/>
        <w:ind w:firstLine="420"/>
        <w:jc w:val="left"/>
        <w:rPr>
          <w:color w:val="auto"/>
        </w:rPr>
      </w:pPr>
      <w:r>
        <w:rPr>
          <w:rFonts w:hint="eastAsia" w:ascii="宋体" w:hAnsi="宋体"/>
          <w:color w:val="auto"/>
        </w:rPr>
        <w:t>承包人提交预付款担保的期限：</w:t>
      </w:r>
      <w:r>
        <w:rPr>
          <w:rFonts w:hint="eastAsia"/>
          <w:b/>
          <w:bCs/>
          <w:color w:val="auto"/>
          <w:u w:val="single"/>
        </w:rPr>
        <w:t xml:space="preserve">           /         </w:t>
      </w:r>
      <w:r>
        <w:rPr>
          <w:rFonts w:hint="eastAsia" w:ascii="宋体" w:hAnsi="宋体"/>
          <w:color w:val="auto"/>
        </w:rPr>
        <w:t>。</w:t>
      </w:r>
    </w:p>
    <w:p w14:paraId="6978F852">
      <w:pPr>
        <w:pStyle w:val="281"/>
        <w:spacing w:line="400" w:lineRule="exact"/>
        <w:ind w:firstLine="420"/>
        <w:jc w:val="left"/>
        <w:rPr>
          <w:color w:val="auto"/>
        </w:rPr>
      </w:pPr>
      <w:r>
        <w:rPr>
          <w:rFonts w:hint="eastAsia" w:ascii="宋体" w:hAnsi="宋体"/>
          <w:color w:val="auto"/>
        </w:rPr>
        <w:t>预付款担保的形式为：</w:t>
      </w:r>
      <w:r>
        <w:rPr>
          <w:rFonts w:hint="eastAsia" w:ascii="宋体" w:hAnsi="宋体"/>
          <w:b/>
          <w:bCs/>
          <w:color w:val="auto"/>
          <w:u w:val="single"/>
        </w:rPr>
        <w:t xml:space="preserve">          /      </w:t>
      </w:r>
      <w:r>
        <w:rPr>
          <w:rFonts w:hint="eastAsia" w:ascii="宋体" w:hAnsi="宋体"/>
          <w:color w:val="auto"/>
        </w:rPr>
        <w:t>。</w:t>
      </w:r>
    </w:p>
    <w:p w14:paraId="2416E73F">
      <w:pPr>
        <w:pStyle w:val="273"/>
        <w:spacing w:line="400" w:lineRule="exact"/>
        <w:rPr>
          <w:rFonts w:ascii="宋体"/>
          <w:color w:val="auto"/>
          <w:sz w:val="21"/>
          <w:szCs w:val="21"/>
        </w:rPr>
      </w:pPr>
      <w:r>
        <w:rPr>
          <w:rFonts w:hint="eastAsia" w:ascii="宋体" w:hAnsi="宋体"/>
          <w:color w:val="auto"/>
          <w:sz w:val="21"/>
          <w:szCs w:val="21"/>
        </w:rPr>
        <w:t>12.3 计量</w:t>
      </w:r>
    </w:p>
    <w:p w14:paraId="2C81E1FE">
      <w:pPr>
        <w:pStyle w:val="274"/>
        <w:spacing w:line="400" w:lineRule="exact"/>
        <w:ind w:firstLine="420"/>
        <w:jc w:val="left"/>
        <w:outlineLvl w:val="0"/>
        <w:rPr>
          <w:rFonts w:ascii="宋体"/>
          <w:color w:val="auto"/>
        </w:rPr>
      </w:pPr>
      <w:bookmarkStart w:id="812" w:name="_Toc19856"/>
      <w:bookmarkStart w:id="813" w:name="_Toc24967"/>
      <w:bookmarkStart w:id="814" w:name="_Toc30430"/>
      <w:bookmarkStart w:id="815" w:name="_Toc530653199"/>
      <w:bookmarkStart w:id="816" w:name="_Toc17360"/>
      <w:bookmarkStart w:id="817" w:name="_Toc525396194"/>
      <w:bookmarkStart w:id="818" w:name="_Toc22479"/>
      <w:bookmarkStart w:id="819" w:name="_Toc26770"/>
      <w:r>
        <w:rPr>
          <w:rFonts w:hint="eastAsia" w:ascii="宋体" w:hAnsi="宋体"/>
          <w:color w:val="auto"/>
        </w:rPr>
        <w:t>12.3.1 计量原则</w:t>
      </w:r>
      <w:bookmarkEnd w:id="812"/>
      <w:bookmarkEnd w:id="813"/>
      <w:bookmarkEnd w:id="814"/>
      <w:bookmarkEnd w:id="815"/>
      <w:bookmarkEnd w:id="816"/>
      <w:bookmarkEnd w:id="817"/>
      <w:bookmarkEnd w:id="818"/>
      <w:bookmarkEnd w:id="819"/>
    </w:p>
    <w:p w14:paraId="4705B14D">
      <w:pPr>
        <w:pStyle w:val="274"/>
        <w:spacing w:line="400" w:lineRule="exact"/>
        <w:ind w:firstLine="420"/>
        <w:jc w:val="left"/>
        <w:rPr>
          <w:rFonts w:ascii="宋体"/>
          <w:color w:val="auto"/>
        </w:rPr>
      </w:pPr>
      <w:r>
        <w:rPr>
          <w:rFonts w:hint="eastAsia" w:ascii="宋体" w:hAnsi="宋体"/>
          <w:color w:val="auto"/>
        </w:rPr>
        <w:t>工程量计算规则：</w:t>
      </w:r>
      <w:r>
        <w:rPr>
          <w:rFonts w:hint="eastAsia" w:ascii="宋体" w:hAnsi="宋体"/>
          <w:b/>
          <w:bCs/>
          <w:color w:val="auto"/>
          <w:u w:val="single"/>
        </w:rPr>
        <w:t>工程的计量均以国家标准《建设工程工程量计算规范》（</w:t>
      </w:r>
      <w:r>
        <w:rPr>
          <w:b/>
          <w:bCs/>
          <w:color w:val="auto"/>
          <w:u w:val="single"/>
        </w:rPr>
        <w:t>GB50854</w:t>
      </w:r>
      <w:r>
        <w:rPr>
          <w:rFonts w:hint="eastAsia" w:ascii="宋体" w:hAnsi="宋体"/>
          <w:b/>
          <w:bCs/>
          <w:color w:val="auto"/>
          <w:u w:val="single"/>
        </w:rPr>
        <w:t>～</w:t>
      </w:r>
      <w:r>
        <w:rPr>
          <w:b/>
          <w:bCs/>
          <w:color w:val="auto"/>
          <w:u w:val="single"/>
        </w:rPr>
        <w:t>50862</w:t>
      </w:r>
      <w:r>
        <w:rPr>
          <w:rFonts w:hint="eastAsia" w:ascii="宋体" w:hAnsi="宋体"/>
          <w:b/>
          <w:bCs/>
          <w:color w:val="auto"/>
          <w:u w:val="single"/>
        </w:rPr>
        <w:t>－</w:t>
      </w:r>
      <w:r>
        <w:rPr>
          <w:b/>
          <w:bCs/>
          <w:color w:val="auto"/>
          <w:u w:val="single"/>
        </w:rPr>
        <w:t>2013</w:t>
      </w:r>
      <w:r>
        <w:rPr>
          <w:rFonts w:hint="eastAsia" w:ascii="宋体" w:hAnsi="宋体"/>
          <w:b/>
          <w:bCs/>
          <w:color w:val="auto"/>
          <w:u w:val="single"/>
        </w:rPr>
        <w:t>）和《建设工程工程量计算规范（</w:t>
      </w:r>
      <w:r>
        <w:rPr>
          <w:b/>
          <w:bCs/>
          <w:color w:val="auto"/>
          <w:u w:val="single"/>
        </w:rPr>
        <w:t>GB50854</w:t>
      </w:r>
      <w:r>
        <w:rPr>
          <w:rFonts w:hint="eastAsia" w:ascii="宋体" w:hAnsi="宋体"/>
          <w:b/>
          <w:bCs/>
          <w:color w:val="auto"/>
          <w:u w:val="single"/>
        </w:rPr>
        <w:t>～</w:t>
      </w:r>
      <w:r>
        <w:rPr>
          <w:b/>
          <w:bCs/>
          <w:color w:val="auto"/>
          <w:u w:val="single"/>
        </w:rPr>
        <w:t>50862-2013</w:t>
      </w:r>
      <w:r>
        <w:rPr>
          <w:rFonts w:hint="eastAsia" w:ascii="宋体" w:hAnsi="宋体"/>
          <w:b/>
          <w:bCs/>
          <w:color w:val="auto"/>
          <w:u w:val="single"/>
        </w:rPr>
        <w:t>）广西壮族自治区实施细则》计算的净值为准，如有不明之处，应以监理工程师或造价管理部门指定的计量方法为准。</w:t>
      </w:r>
    </w:p>
    <w:p w14:paraId="7FCB97B4">
      <w:pPr>
        <w:pStyle w:val="274"/>
        <w:spacing w:line="400" w:lineRule="exact"/>
        <w:ind w:firstLine="420"/>
        <w:jc w:val="left"/>
        <w:outlineLvl w:val="0"/>
        <w:rPr>
          <w:rFonts w:ascii="宋体"/>
          <w:color w:val="auto"/>
        </w:rPr>
      </w:pPr>
      <w:bookmarkStart w:id="820" w:name="_Toc21822"/>
      <w:bookmarkStart w:id="821" w:name="_Toc525396195"/>
      <w:bookmarkStart w:id="822" w:name="_Toc6122"/>
      <w:bookmarkStart w:id="823" w:name="_Toc6547"/>
      <w:bookmarkStart w:id="824" w:name="_Toc1420"/>
      <w:bookmarkStart w:id="825" w:name="_Toc22712"/>
      <w:bookmarkStart w:id="826" w:name="_Toc1724"/>
      <w:bookmarkStart w:id="827" w:name="_Toc530653200"/>
      <w:r>
        <w:rPr>
          <w:rFonts w:hint="eastAsia" w:ascii="宋体" w:hAnsi="宋体"/>
          <w:color w:val="auto"/>
        </w:rPr>
        <w:t>12.3.2 计量周期</w:t>
      </w:r>
      <w:bookmarkEnd w:id="820"/>
      <w:bookmarkEnd w:id="821"/>
      <w:bookmarkEnd w:id="822"/>
      <w:bookmarkEnd w:id="823"/>
      <w:bookmarkEnd w:id="824"/>
      <w:bookmarkEnd w:id="825"/>
      <w:bookmarkEnd w:id="826"/>
      <w:bookmarkEnd w:id="827"/>
    </w:p>
    <w:p w14:paraId="353A613F">
      <w:pPr>
        <w:pStyle w:val="274"/>
        <w:spacing w:line="400" w:lineRule="exact"/>
        <w:ind w:firstLine="420"/>
        <w:jc w:val="left"/>
        <w:rPr>
          <w:rFonts w:ascii="宋体"/>
          <w:color w:val="auto"/>
        </w:rPr>
      </w:pPr>
      <w:r>
        <w:rPr>
          <w:rFonts w:hint="eastAsia" w:ascii="宋体" w:hAnsi="宋体"/>
          <w:color w:val="auto"/>
        </w:rPr>
        <w:t>关于计量周期的约定：按月计量。</w:t>
      </w:r>
    </w:p>
    <w:p w14:paraId="242556C8">
      <w:pPr>
        <w:pStyle w:val="274"/>
        <w:spacing w:line="400" w:lineRule="exact"/>
        <w:ind w:firstLine="420"/>
        <w:jc w:val="left"/>
        <w:outlineLvl w:val="0"/>
        <w:rPr>
          <w:rFonts w:ascii="宋体"/>
          <w:color w:val="auto"/>
        </w:rPr>
      </w:pPr>
      <w:bookmarkStart w:id="828" w:name="_Toc12560"/>
      <w:bookmarkStart w:id="829" w:name="_Toc1773"/>
      <w:bookmarkStart w:id="830" w:name="_Toc530653201"/>
      <w:bookmarkStart w:id="831" w:name="_Toc10973"/>
      <w:bookmarkStart w:id="832" w:name="_Toc10883"/>
      <w:bookmarkStart w:id="833" w:name="_Toc15694"/>
      <w:bookmarkStart w:id="834" w:name="_Toc525396196"/>
      <w:bookmarkStart w:id="835" w:name="_Toc29143"/>
      <w:r>
        <w:rPr>
          <w:rFonts w:hint="eastAsia" w:ascii="宋体" w:hAnsi="宋体"/>
          <w:color w:val="auto"/>
        </w:rPr>
        <w:t>12.3.3 单价合同的计量</w:t>
      </w:r>
      <w:bookmarkEnd w:id="828"/>
      <w:bookmarkEnd w:id="829"/>
      <w:bookmarkEnd w:id="830"/>
      <w:bookmarkEnd w:id="831"/>
      <w:bookmarkEnd w:id="832"/>
      <w:bookmarkEnd w:id="833"/>
      <w:bookmarkEnd w:id="834"/>
      <w:bookmarkEnd w:id="835"/>
    </w:p>
    <w:p w14:paraId="700FA342">
      <w:pPr>
        <w:pStyle w:val="274"/>
        <w:spacing w:line="400" w:lineRule="exact"/>
        <w:ind w:firstLine="420"/>
        <w:jc w:val="left"/>
        <w:rPr>
          <w:rFonts w:ascii="宋体"/>
          <w:color w:val="auto"/>
        </w:rPr>
      </w:pPr>
      <w:r>
        <w:rPr>
          <w:rFonts w:hint="eastAsia" w:ascii="宋体" w:hAnsi="宋体"/>
          <w:color w:val="auto"/>
        </w:rPr>
        <w:t>关于单价合同计量的约定：</w:t>
      </w:r>
    </w:p>
    <w:p w14:paraId="1D1DA2C9">
      <w:pPr>
        <w:pStyle w:val="274"/>
        <w:spacing w:line="400" w:lineRule="exact"/>
        <w:ind w:firstLine="443"/>
        <w:rPr>
          <w:b/>
          <w:bCs/>
          <w:color w:val="auto"/>
        </w:rPr>
      </w:pPr>
      <w:r>
        <w:rPr>
          <w:rFonts w:hint="eastAsia" w:ascii="宋体" w:hAnsi="宋体"/>
          <w:b/>
          <w:bCs/>
          <w:color w:val="auto"/>
        </w:rPr>
        <w:t>(1)工程量清单所列的工程量，不能作为承包人按合同履行其责任依据，实际施工中发生的工程量增加或减少并不影响承包人履行合同的责任，工程结算以完成的实际工程量为准。</w:t>
      </w:r>
    </w:p>
    <w:p w14:paraId="47CEDE34">
      <w:pPr>
        <w:pStyle w:val="274"/>
        <w:spacing w:line="400" w:lineRule="exact"/>
        <w:ind w:firstLine="443"/>
        <w:rPr>
          <w:b/>
          <w:bCs/>
          <w:color w:val="auto"/>
        </w:rPr>
      </w:pPr>
      <w:r>
        <w:rPr>
          <w:rFonts w:hint="eastAsia" w:ascii="宋体" w:hAnsi="宋体"/>
          <w:b/>
          <w:bCs/>
          <w:color w:val="auto"/>
        </w:rPr>
        <w:t>(2)除另有规定外，工程师应按照合同通过计量来核实确定已完成的工程量和价值，承包人应得到该价值扣除保留金后的价款。当工程师要对已完工的工程量进行计量时，应适时地通知承包人参加。</w:t>
      </w:r>
    </w:p>
    <w:p w14:paraId="7782DFDB">
      <w:pPr>
        <w:pStyle w:val="274"/>
        <w:spacing w:line="400" w:lineRule="exact"/>
        <w:ind w:firstLine="420"/>
        <w:jc w:val="left"/>
        <w:rPr>
          <w:rFonts w:ascii="宋体"/>
          <w:color w:val="auto"/>
        </w:rPr>
      </w:pPr>
      <w:r>
        <w:rPr>
          <w:rFonts w:hint="eastAsia" w:ascii="宋体" w:hAnsi="宋体"/>
          <w:color w:val="auto"/>
        </w:rPr>
        <w:t>12.3.4 总价合同的计量</w:t>
      </w:r>
    </w:p>
    <w:p w14:paraId="3CCD6B70">
      <w:pPr>
        <w:pStyle w:val="281"/>
        <w:spacing w:line="400" w:lineRule="exact"/>
        <w:ind w:firstLine="441"/>
        <w:rPr>
          <w:rFonts w:ascii="宋体"/>
          <w:color w:val="auto"/>
        </w:rPr>
      </w:pPr>
      <w:r>
        <w:rPr>
          <w:rFonts w:hint="eastAsia" w:ascii="宋体" w:hAnsi="宋体"/>
          <w:color w:val="auto"/>
        </w:rPr>
        <w:t>关于总价合同计量的约定：</w:t>
      </w:r>
    </w:p>
    <w:p w14:paraId="247294FB">
      <w:pPr>
        <w:pStyle w:val="281"/>
        <w:spacing w:line="400" w:lineRule="exact"/>
        <w:ind w:firstLine="441"/>
        <w:rPr>
          <w:color w:val="auto"/>
        </w:rPr>
      </w:pPr>
      <w:r>
        <w:rPr>
          <w:rFonts w:hint="eastAsia" w:ascii="宋体" w:hAnsi="宋体"/>
          <w:color w:val="auto"/>
        </w:rPr>
        <w:t>（</w:t>
      </w:r>
      <w:r>
        <w:rPr>
          <w:color w:val="auto"/>
        </w:rPr>
        <w:t>1</w:t>
      </w:r>
      <w:r>
        <w:rPr>
          <w:rFonts w:hint="eastAsia" w:ascii="宋体" w:hAnsi="宋体"/>
          <w:color w:val="auto"/>
        </w:rPr>
        <w:t>）总价合同采用支付分解表计量支付。</w:t>
      </w:r>
    </w:p>
    <w:p w14:paraId="19A2047A">
      <w:pPr>
        <w:pStyle w:val="281"/>
        <w:spacing w:line="400" w:lineRule="exact"/>
        <w:ind w:firstLine="420"/>
        <w:rPr>
          <w:color w:val="auto"/>
        </w:rPr>
      </w:pPr>
      <w:r>
        <w:rPr>
          <w:rFonts w:hint="eastAsia" w:ascii="宋体" w:hAnsi="宋体"/>
          <w:color w:val="auto"/>
        </w:rPr>
        <w:t>（</w:t>
      </w:r>
      <w:r>
        <w:rPr>
          <w:color w:val="auto"/>
        </w:rPr>
        <w:t>2</w:t>
      </w:r>
      <w:r>
        <w:rPr>
          <w:rFonts w:hint="eastAsia" w:ascii="宋体" w:hAnsi="宋体"/>
          <w:color w:val="auto"/>
        </w:rPr>
        <w:t>）除另有规定外，工程师应按照合同通过计量来核实确定已完成的工程量和价值，承包人应得到该价款。当工程师要对已完工的工程量进行计量时，应适时地通知承包人参加。</w:t>
      </w:r>
    </w:p>
    <w:p w14:paraId="681B2350">
      <w:pPr>
        <w:pStyle w:val="273"/>
        <w:spacing w:line="400" w:lineRule="exact"/>
        <w:rPr>
          <w:rFonts w:ascii="宋体" w:hAnsi="宋体"/>
          <w:color w:val="auto"/>
          <w:sz w:val="21"/>
          <w:szCs w:val="21"/>
        </w:rPr>
      </w:pPr>
      <w:r>
        <w:rPr>
          <w:rFonts w:hint="eastAsia" w:ascii="宋体" w:hAnsi="宋体"/>
          <w:color w:val="auto"/>
          <w:sz w:val="21"/>
          <w:szCs w:val="21"/>
        </w:rPr>
        <w:t>12.4 工程进度款支付</w:t>
      </w:r>
    </w:p>
    <w:p w14:paraId="1DDEBEA9">
      <w:pPr>
        <w:pStyle w:val="242"/>
        <w:spacing w:line="360" w:lineRule="auto"/>
        <w:ind w:firstLine="367" w:firstLineChars="175"/>
        <w:jc w:val="left"/>
        <w:rPr>
          <w:rFonts w:ascii="宋体" w:hAnsi="宋体"/>
          <w:color w:val="auto"/>
          <w:szCs w:val="21"/>
        </w:rPr>
      </w:pPr>
      <w:r>
        <w:rPr>
          <w:rFonts w:hint="eastAsia" w:ascii="宋体" w:hAnsi="宋体"/>
          <w:color w:val="auto"/>
        </w:rPr>
        <w:t>1、关于付款周期的约定：</w:t>
      </w:r>
    </w:p>
    <w:p w14:paraId="0AF80453">
      <w:pPr>
        <w:pStyle w:val="274"/>
        <w:spacing w:line="400" w:lineRule="exact"/>
        <w:ind w:firstLine="420" w:firstLineChars="200"/>
        <w:jc w:val="left"/>
        <w:rPr>
          <w:rStyle w:val="283"/>
          <w:rFonts w:asciiTheme="majorEastAsia" w:hAnsiTheme="majorEastAsia" w:eastAsiaTheme="majorEastAsia"/>
          <w:color w:val="auto"/>
        </w:rPr>
      </w:pPr>
      <w:r>
        <w:rPr>
          <w:rStyle w:val="283"/>
          <w:rFonts w:hint="eastAsia" w:asciiTheme="majorEastAsia" w:hAnsiTheme="majorEastAsia" w:eastAsiaTheme="majorEastAsia"/>
          <w:color w:val="auto"/>
        </w:rPr>
        <w:t>（1）签订合同后采购人向成交人支付合同金额的30%预付款；</w:t>
      </w:r>
    </w:p>
    <w:p w14:paraId="628AC1EF">
      <w:pPr>
        <w:pStyle w:val="274"/>
        <w:spacing w:line="400" w:lineRule="exact"/>
        <w:ind w:firstLine="420" w:firstLineChars="200"/>
        <w:jc w:val="left"/>
        <w:rPr>
          <w:rFonts w:ascii="宋体" w:hAnsi="宋体"/>
          <w:color w:val="auto"/>
        </w:rPr>
      </w:pPr>
      <w:r>
        <w:rPr>
          <w:rFonts w:hint="eastAsia" w:asciiTheme="majorEastAsia" w:hAnsiTheme="majorEastAsia" w:eastAsiaTheme="majorEastAsia"/>
          <w:color w:val="auto"/>
        </w:rPr>
        <w:t>（2）</w:t>
      </w:r>
      <w:r>
        <w:rPr>
          <w:rFonts w:hint="eastAsia" w:cs="Courier New" w:asciiTheme="majorEastAsia" w:hAnsiTheme="majorEastAsia" w:eastAsiaTheme="majorEastAsia"/>
          <w:bCs/>
          <w:color w:val="auto"/>
          <w:spacing w:val="2"/>
          <w:szCs w:val="21"/>
        </w:rPr>
        <w:t>工程款按工程进度支付，合同内进度款支付限额为已完成工程量的80%，工程变更部分进度款支付限额为已完成工程量的</w:t>
      </w:r>
      <w:r>
        <w:rPr>
          <w:rFonts w:hint="eastAsia" w:ascii="宋体" w:hAnsi="宋体" w:cs="Courier New"/>
          <w:bCs/>
          <w:color w:val="auto"/>
          <w:spacing w:val="2"/>
          <w:szCs w:val="21"/>
        </w:rPr>
        <w:t xml:space="preserve"> 80%；工程完工验收达到质量要求，结算经有关部门审定后，工程款支付至结算总价的 97%；发包人按工程价款结算总额的3%预留工程质量保修金，待工程缺陷责任期满（一年）并且承包人完成缺陷修复后十个工作日内返还（无息）。</w:t>
      </w:r>
    </w:p>
    <w:p w14:paraId="1DA94C9D">
      <w:pPr>
        <w:pStyle w:val="274"/>
        <w:spacing w:line="400" w:lineRule="exact"/>
        <w:ind w:firstLine="420" w:firstLineChars="200"/>
        <w:jc w:val="left"/>
        <w:rPr>
          <w:rFonts w:ascii="宋体"/>
          <w:color w:val="auto"/>
        </w:rPr>
      </w:pPr>
      <w:r>
        <w:rPr>
          <w:rFonts w:hint="eastAsia" w:ascii="宋体" w:hAnsi="宋体"/>
          <w:color w:val="auto"/>
        </w:rPr>
        <w:t>12.4.2 进度付款申请单的编制</w:t>
      </w:r>
    </w:p>
    <w:p w14:paraId="15CB745B">
      <w:pPr>
        <w:pStyle w:val="242"/>
        <w:spacing w:line="360" w:lineRule="auto"/>
        <w:ind w:firstLine="367" w:firstLineChars="175"/>
        <w:jc w:val="left"/>
        <w:rPr>
          <w:rFonts w:ascii="宋体" w:hAnsi="宋体"/>
          <w:color w:val="auto"/>
        </w:rPr>
      </w:pPr>
      <w:r>
        <w:rPr>
          <w:rFonts w:hint="eastAsia" w:ascii="宋体" w:hAnsi="宋体"/>
          <w:color w:val="auto"/>
        </w:rPr>
        <w:t>进度付款申请单的份数：</w:t>
      </w:r>
      <w:r>
        <w:rPr>
          <w:rFonts w:hint="eastAsia" w:ascii="宋体" w:hAnsi="宋体"/>
          <w:color w:val="auto"/>
          <w:u w:val="single"/>
        </w:rPr>
        <w:t>一式伍份</w:t>
      </w:r>
      <w:r>
        <w:rPr>
          <w:rFonts w:hint="eastAsia" w:ascii="宋体" w:hAnsi="宋体"/>
          <w:color w:val="auto"/>
        </w:rPr>
        <w:t>。</w:t>
      </w:r>
    </w:p>
    <w:p w14:paraId="00C05BDC">
      <w:pPr>
        <w:pStyle w:val="242"/>
        <w:spacing w:line="360" w:lineRule="auto"/>
        <w:ind w:firstLine="367" w:firstLineChars="175"/>
        <w:jc w:val="left"/>
        <w:rPr>
          <w:rFonts w:ascii="宋体" w:hAnsi="宋体"/>
          <w:color w:val="auto"/>
        </w:rPr>
      </w:pPr>
      <w:r>
        <w:rPr>
          <w:rFonts w:hint="eastAsia" w:ascii="宋体" w:hAnsi="宋体"/>
          <w:color w:val="auto"/>
        </w:rPr>
        <w:t>进度付款申请单的内容：</w:t>
      </w:r>
      <w:r>
        <w:rPr>
          <w:rFonts w:hint="eastAsia" w:ascii="宋体" w:hAnsi="宋体"/>
          <w:color w:val="auto"/>
          <w:u w:val="single"/>
        </w:rPr>
        <w:t>无</w:t>
      </w:r>
      <w:r>
        <w:rPr>
          <w:rFonts w:hint="eastAsia" w:ascii="宋体" w:hAnsi="宋体"/>
          <w:color w:val="auto"/>
        </w:rPr>
        <w:t>。</w:t>
      </w:r>
    </w:p>
    <w:p w14:paraId="6F28F8CE">
      <w:pPr>
        <w:pStyle w:val="242"/>
        <w:spacing w:line="360" w:lineRule="auto"/>
        <w:ind w:firstLine="367" w:firstLineChars="175"/>
        <w:jc w:val="left"/>
        <w:rPr>
          <w:rFonts w:ascii="宋体" w:hAnsi="宋体" w:cs="Calibri"/>
          <w:color w:val="auto"/>
        </w:rPr>
      </w:pPr>
      <w:r>
        <w:rPr>
          <w:rFonts w:hint="eastAsia" w:ascii="宋体" w:hAnsi="宋体" w:cs="Calibri"/>
          <w:color w:val="auto"/>
        </w:rPr>
        <w:t>3</w:t>
      </w:r>
      <w:r>
        <w:rPr>
          <w:rFonts w:hint="eastAsia" w:ascii="宋体" w:hAnsi="宋体"/>
          <w:color w:val="auto"/>
        </w:rPr>
        <w:t>、进度款支付方式：</w:t>
      </w:r>
      <w:r>
        <w:rPr>
          <w:rFonts w:hint="eastAsia" w:ascii="宋体" w:hAnsi="宋体"/>
          <w:color w:val="auto"/>
          <w:u w:val="single"/>
        </w:rPr>
        <w:t>银行转账</w:t>
      </w:r>
      <w:r>
        <w:rPr>
          <w:rFonts w:hint="eastAsia" w:ascii="宋体" w:hAnsi="宋体"/>
          <w:color w:val="auto"/>
        </w:rPr>
        <w:t>。</w:t>
      </w:r>
    </w:p>
    <w:p w14:paraId="6440D428">
      <w:pPr>
        <w:pStyle w:val="273"/>
        <w:spacing w:line="400" w:lineRule="exact"/>
        <w:rPr>
          <w:rFonts w:ascii="宋体" w:hAnsi="宋体"/>
          <w:color w:val="auto"/>
          <w:sz w:val="21"/>
          <w:szCs w:val="21"/>
          <w:u w:val="single"/>
        </w:rPr>
      </w:pPr>
      <w:r>
        <w:rPr>
          <w:rFonts w:hint="eastAsia" w:ascii="宋体" w:hAnsi="宋体" w:cs="Calibri"/>
          <w:color w:val="auto"/>
          <w:sz w:val="21"/>
          <w:szCs w:val="21"/>
          <w:u w:val="single"/>
        </w:rPr>
        <w:t>5</w:t>
      </w:r>
      <w:r>
        <w:rPr>
          <w:rFonts w:hint="eastAsia" w:ascii="宋体" w:hAnsi="宋体"/>
          <w:color w:val="auto"/>
          <w:sz w:val="21"/>
          <w:szCs w:val="21"/>
          <w:u w:val="single"/>
        </w:rPr>
        <w:t>、承包人收到工程款后应及时开具发票，在下次工程款拨付时，前一期发票未报帐的，发包人有权拒绝支付。</w:t>
      </w:r>
    </w:p>
    <w:p w14:paraId="37403BF2">
      <w:pPr>
        <w:pStyle w:val="273"/>
        <w:spacing w:line="400" w:lineRule="exact"/>
        <w:rPr>
          <w:rFonts w:ascii="宋体"/>
          <w:color w:val="auto"/>
          <w:sz w:val="21"/>
          <w:szCs w:val="21"/>
        </w:rPr>
      </w:pPr>
      <w:r>
        <w:rPr>
          <w:rFonts w:hint="eastAsia" w:ascii="宋体" w:hAnsi="宋体"/>
          <w:color w:val="auto"/>
          <w:sz w:val="21"/>
          <w:szCs w:val="21"/>
        </w:rPr>
        <w:t>13.验收和工程试车</w:t>
      </w:r>
    </w:p>
    <w:p w14:paraId="03654CE4">
      <w:pPr>
        <w:pStyle w:val="273"/>
        <w:spacing w:line="400" w:lineRule="exact"/>
        <w:rPr>
          <w:rFonts w:ascii="宋体"/>
          <w:color w:val="auto"/>
          <w:sz w:val="21"/>
          <w:szCs w:val="21"/>
        </w:rPr>
      </w:pPr>
      <w:r>
        <w:rPr>
          <w:rFonts w:hint="eastAsia" w:ascii="宋体" w:hAnsi="宋体"/>
          <w:color w:val="auto"/>
          <w:sz w:val="21"/>
          <w:szCs w:val="21"/>
        </w:rPr>
        <w:t>13.1 分部分项工程验收</w:t>
      </w:r>
    </w:p>
    <w:p w14:paraId="42EDD449">
      <w:pPr>
        <w:pStyle w:val="274"/>
        <w:spacing w:line="400" w:lineRule="exact"/>
        <w:ind w:firstLine="420"/>
        <w:jc w:val="left"/>
        <w:rPr>
          <w:rFonts w:ascii="宋体"/>
          <w:color w:val="auto"/>
        </w:rPr>
      </w:pPr>
      <w:r>
        <w:rPr>
          <w:rFonts w:hint="eastAsia" w:ascii="宋体" w:hAnsi="宋体"/>
          <w:color w:val="auto"/>
        </w:rPr>
        <w:t>13.1.2监理人不能按时进行验收时，应提前4小时提交书面延期要求。</w:t>
      </w:r>
    </w:p>
    <w:p w14:paraId="72FF1556">
      <w:pPr>
        <w:pStyle w:val="274"/>
        <w:spacing w:line="400" w:lineRule="exact"/>
        <w:ind w:firstLine="420"/>
        <w:jc w:val="left"/>
        <w:rPr>
          <w:rFonts w:ascii="宋体"/>
          <w:color w:val="auto"/>
        </w:rPr>
      </w:pPr>
      <w:r>
        <w:rPr>
          <w:rFonts w:hint="eastAsia" w:ascii="宋体" w:hAnsi="宋体"/>
          <w:color w:val="auto"/>
        </w:rPr>
        <w:t>关于延期最长不得超过：12小时。</w:t>
      </w:r>
    </w:p>
    <w:p w14:paraId="61FF22EB">
      <w:pPr>
        <w:pStyle w:val="273"/>
        <w:spacing w:line="400" w:lineRule="exact"/>
        <w:rPr>
          <w:rFonts w:ascii="宋体"/>
          <w:color w:val="auto"/>
          <w:sz w:val="21"/>
          <w:szCs w:val="21"/>
        </w:rPr>
      </w:pPr>
      <w:r>
        <w:rPr>
          <w:rFonts w:hint="eastAsia" w:ascii="宋体" w:hAnsi="宋体"/>
          <w:color w:val="auto"/>
          <w:sz w:val="21"/>
          <w:szCs w:val="21"/>
        </w:rPr>
        <w:t>13.2 竣工验收</w:t>
      </w:r>
    </w:p>
    <w:p w14:paraId="648D155C">
      <w:pPr>
        <w:pStyle w:val="274"/>
        <w:spacing w:line="400" w:lineRule="exact"/>
        <w:ind w:firstLine="420"/>
        <w:jc w:val="left"/>
        <w:rPr>
          <w:rFonts w:ascii="宋体"/>
          <w:color w:val="auto"/>
        </w:rPr>
      </w:pPr>
      <w:r>
        <w:rPr>
          <w:rFonts w:hint="eastAsia" w:ascii="宋体" w:hAnsi="宋体"/>
          <w:color w:val="auto"/>
        </w:rPr>
        <w:t>13.2.1竣工验收条件</w:t>
      </w:r>
    </w:p>
    <w:p w14:paraId="034B61CE">
      <w:pPr>
        <w:pStyle w:val="274"/>
        <w:spacing w:line="400" w:lineRule="exact"/>
        <w:ind w:firstLine="420"/>
        <w:rPr>
          <w:rFonts w:ascii="宋体"/>
          <w:color w:val="auto"/>
        </w:rPr>
      </w:pPr>
      <w:r>
        <w:rPr>
          <w:rFonts w:hint="eastAsia" w:ascii="宋体" w:hAnsi="宋体"/>
          <w:color w:val="auto"/>
        </w:rPr>
        <w:t>(3) 承包人负责整理和提交的竣工验收资料应当符合工程所在地建设行政主管部门和(或)城市建设档案管理机构有关施工资料的要求，具体内容包括：</w:t>
      </w:r>
      <w:r>
        <w:rPr>
          <w:rFonts w:hint="eastAsia" w:ascii="宋体" w:hAnsi="宋体"/>
          <w:b/>
          <w:bCs/>
          <w:color w:val="auto"/>
          <w:u w:val="single"/>
        </w:rPr>
        <w:t xml:space="preserve">符合要求的完整施工资料  </w:t>
      </w:r>
      <w:r>
        <w:rPr>
          <w:rFonts w:hint="eastAsia" w:ascii="宋体" w:hAnsi="宋体"/>
          <w:color w:val="auto"/>
        </w:rPr>
        <w:t>。</w:t>
      </w:r>
    </w:p>
    <w:p w14:paraId="2084E726">
      <w:pPr>
        <w:pStyle w:val="281"/>
        <w:spacing w:line="400" w:lineRule="exact"/>
        <w:ind w:firstLine="420"/>
        <w:rPr>
          <w:color w:val="auto"/>
        </w:rPr>
      </w:pPr>
      <w:r>
        <w:rPr>
          <w:rFonts w:hint="eastAsia" w:ascii="宋体" w:hAnsi="宋体"/>
          <w:color w:val="auto"/>
        </w:rPr>
        <w:t>竣工验收资料的份数：一式叁份。</w:t>
      </w:r>
    </w:p>
    <w:p w14:paraId="6F34131D">
      <w:pPr>
        <w:pStyle w:val="281"/>
        <w:spacing w:line="400" w:lineRule="exact"/>
        <w:ind w:firstLine="422"/>
        <w:jc w:val="left"/>
        <w:rPr>
          <w:color w:val="auto"/>
        </w:rPr>
      </w:pPr>
      <w:r>
        <w:rPr>
          <w:rFonts w:hint="eastAsia" w:ascii="宋体" w:hAnsi="宋体"/>
          <w:b/>
          <w:bCs/>
          <w:color w:val="auto"/>
        </w:rPr>
        <w:t>承包人提供竣工图的约定：</w:t>
      </w:r>
      <w:r>
        <w:rPr>
          <w:rFonts w:hint="eastAsia" w:ascii="宋体" w:hAnsi="宋体"/>
          <w:b/>
          <w:bCs/>
          <w:color w:val="auto"/>
          <w:u w:val="single"/>
        </w:rPr>
        <w:t>竣工验收正式通过后15天（工程造价在1000万元以上），提供竣工图的数量为叁份。</w:t>
      </w:r>
    </w:p>
    <w:p w14:paraId="1C45F6B2">
      <w:pPr>
        <w:pStyle w:val="274"/>
        <w:spacing w:line="400" w:lineRule="exact"/>
        <w:ind w:firstLine="420"/>
        <w:jc w:val="left"/>
        <w:rPr>
          <w:rFonts w:ascii="宋体"/>
          <w:color w:val="auto"/>
        </w:rPr>
      </w:pPr>
      <w:r>
        <w:rPr>
          <w:rFonts w:hint="eastAsia" w:ascii="宋体" w:hAnsi="宋体"/>
          <w:color w:val="auto"/>
        </w:rPr>
        <w:t>13.2.2竣工验收程序</w:t>
      </w:r>
    </w:p>
    <w:p w14:paraId="250022ED">
      <w:pPr>
        <w:pStyle w:val="274"/>
        <w:spacing w:line="400" w:lineRule="exact"/>
        <w:ind w:firstLine="420"/>
        <w:jc w:val="left"/>
        <w:rPr>
          <w:rFonts w:ascii="宋体"/>
          <w:color w:val="auto"/>
          <w:u w:val="single"/>
        </w:rPr>
      </w:pPr>
      <w:r>
        <w:rPr>
          <w:rFonts w:hint="eastAsia" w:ascii="宋体" w:hAnsi="宋体"/>
          <w:color w:val="auto"/>
          <w:kern w:val="0"/>
        </w:rPr>
        <w:t>关于竣工验收程序的约定：</w:t>
      </w:r>
      <w:r>
        <w:rPr>
          <w:rFonts w:hint="eastAsia" w:ascii="宋体" w:hAnsi="宋体"/>
          <w:b/>
          <w:bCs/>
          <w:color w:val="auto"/>
          <w:u w:val="single"/>
        </w:rPr>
        <w:t>按通用条款执行。</w:t>
      </w:r>
    </w:p>
    <w:p w14:paraId="04AF616D">
      <w:pPr>
        <w:pStyle w:val="274"/>
        <w:spacing w:line="400" w:lineRule="exact"/>
        <w:ind w:firstLine="420"/>
        <w:jc w:val="left"/>
        <w:rPr>
          <w:rFonts w:ascii="宋体"/>
          <w:color w:val="auto"/>
          <w:u w:val="single"/>
        </w:rPr>
      </w:pPr>
      <w:r>
        <w:rPr>
          <w:rFonts w:hint="eastAsia" w:ascii="宋体" w:hAnsi="宋体"/>
          <w:color w:val="auto"/>
          <w:kern w:val="0"/>
        </w:rPr>
        <w:t>发包人不按照本项约定组织竣工验收、颁发工程接收证书的违约金的计算方法：</w:t>
      </w:r>
      <w:r>
        <w:rPr>
          <w:rFonts w:hint="eastAsia" w:ascii="宋体" w:hAnsi="宋体"/>
          <w:b/>
          <w:bCs/>
          <w:color w:val="auto"/>
          <w:u w:val="single"/>
        </w:rPr>
        <w:t>按通用合同条款第</w:t>
      </w:r>
      <w:r>
        <w:rPr>
          <w:b/>
          <w:bCs/>
          <w:color w:val="auto"/>
          <w:u w:val="single"/>
        </w:rPr>
        <w:t>13.2.2</w:t>
      </w:r>
      <w:r>
        <w:rPr>
          <w:rFonts w:hint="eastAsia" w:ascii="宋体" w:hAnsi="宋体"/>
          <w:b/>
          <w:bCs/>
          <w:color w:val="auto"/>
          <w:u w:val="single"/>
        </w:rPr>
        <w:t>条执行。</w:t>
      </w:r>
    </w:p>
    <w:p w14:paraId="0B1E63C6">
      <w:pPr>
        <w:pStyle w:val="274"/>
        <w:spacing w:line="400" w:lineRule="exact"/>
        <w:ind w:firstLine="420"/>
        <w:jc w:val="left"/>
        <w:rPr>
          <w:rFonts w:ascii="宋体"/>
          <w:color w:val="auto"/>
        </w:rPr>
      </w:pPr>
      <w:r>
        <w:rPr>
          <w:rFonts w:hint="eastAsia" w:ascii="宋体" w:hAnsi="宋体"/>
          <w:color w:val="auto"/>
        </w:rPr>
        <w:t>13.2.5移交、接收全部与部分工程</w:t>
      </w:r>
    </w:p>
    <w:p w14:paraId="2C65D86A">
      <w:pPr>
        <w:pStyle w:val="274"/>
        <w:spacing w:line="400" w:lineRule="exact"/>
        <w:ind w:firstLine="420"/>
        <w:jc w:val="left"/>
        <w:rPr>
          <w:rFonts w:ascii="宋体"/>
          <w:color w:val="auto"/>
          <w:kern w:val="0"/>
        </w:rPr>
      </w:pPr>
      <w:r>
        <w:rPr>
          <w:rFonts w:hint="eastAsia" w:ascii="宋体" w:hAnsi="宋体"/>
          <w:color w:val="auto"/>
          <w:kern w:val="0"/>
        </w:rPr>
        <w:t>承包人向发包人移交工程的期限：</w:t>
      </w:r>
      <w:r>
        <w:rPr>
          <w:rFonts w:hint="eastAsia" w:ascii="宋体" w:hAnsi="宋体"/>
          <w:b/>
          <w:bCs/>
          <w:color w:val="auto"/>
          <w:u w:val="single"/>
        </w:rPr>
        <w:t>根据发包人项目推进的要求，在满足安全生产的前提下，分片移交或整体移交，移交方式以发包人书面通知为准</w:t>
      </w:r>
      <w:r>
        <w:rPr>
          <w:b/>
          <w:bCs/>
          <w:color w:val="auto"/>
          <w:u w:val="single"/>
        </w:rPr>
        <w:t xml:space="preserve"> </w:t>
      </w:r>
      <w:r>
        <w:rPr>
          <w:rFonts w:hint="eastAsia" w:ascii="宋体" w:hAnsi="宋体"/>
          <w:b/>
          <w:bCs/>
          <w:color w:val="auto"/>
          <w:u w:val="single"/>
        </w:rPr>
        <w:t>。</w:t>
      </w:r>
    </w:p>
    <w:p w14:paraId="7F9EBB6B">
      <w:pPr>
        <w:pStyle w:val="281"/>
        <w:spacing w:line="400" w:lineRule="exact"/>
        <w:ind w:firstLine="420"/>
        <w:jc w:val="left"/>
        <w:rPr>
          <w:color w:val="auto"/>
          <w:kern w:val="0"/>
          <w:u w:val="single"/>
        </w:rPr>
      </w:pPr>
      <w:r>
        <w:rPr>
          <w:rFonts w:hint="eastAsia" w:ascii="宋体" w:hAnsi="宋体"/>
          <w:color w:val="auto"/>
        </w:rPr>
        <w:t>发包人未按本合同约定接收全部或部分工程的，违约金的计算方法为：</w:t>
      </w:r>
      <w:r>
        <w:rPr>
          <w:rFonts w:hint="eastAsia" w:ascii="宋体" w:hAnsi="宋体"/>
          <w:b/>
          <w:bCs/>
          <w:color w:val="auto"/>
          <w:u w:val="single"/>
        </w:rPr>
        <w:t>按通用合同条款。</w:t>
      </w:r>
    </w:p>
    <w:p w14:paraId="23C77BDD">
      <w:pPr>
        <w:pStyle w:val="281"/>
        <w:spacing w:line="400" w:lineRule="exact"/>
        <w:ind w:firstLine="420"/>
        <w:jc w:val="left"/>
        <w:rPr>
          <w:color w:val="auto"/>
        </w:rPr>
      </w:pPr>
      <w:r>
        <w:rPr>
          <w:rFonts w:hint="eastAsia" w:ascii="宋体" w:hAnsi="宋体"/>
          <w:color w:val="auto"/>
        </w:rPr>
        <w:t>承包人未按时移交工程的，违约金的计算方法为：</w:t>
      </w:r>
      <w:r>
        <w:rPr>
          <w:rFonts w:hint="eastAsia" w:ascii="宋体" w:hAnsi="宋体"/>
          <w:b/>
          <w:bCs/>
          <w:color w:val="auto"/>
          <w:u w:val="single"/>
        </w:rPr>
        <w:t>按通用合同条款。</w:t>
      </w:r>
    </w:p>
    <w:p w14:paraId="7F42CE48">
      <w:pPr>
        <w:pStyle w:val="273"/>
        <w:spacing w:line="400" w:lineRule="exact"/>
        <w:rPr>
          <w:rFonts w:ascii="宋体"/>
          <w:color w:val="auto"/>
          <w:sz w:val="21"/>
          <w:szCs w:val="21"/>
        </w:rPr>
      </w:pPr>
      <w:r>
        <w:rPr>
          <w:rFonts w:hint="eastAsia" w:ascii="宋体" w:hAnsi="宋体"/>
          <w:color w:val="auto"/>
          <w:sz w:val="21"/>
          <w:szCs w:val="21"/>
        </w:rPr>
        <w:t>13.3 工程试车</w:t>
      </w:r>
    </w:p>
    <w:p w14:paraId="7983C566">
      <w:pPr>
        <w:pStyle w:val="274"/>
        <w:spacing w:line="400" w:lineRule="exact"/>
        <w:ind w:firstLine="420"/>
        <w:jc w:val="left"/>
        <w:rPr>
          <w:rFonts w:ascii="宋体"/>
          <w:color w:val="auto"/>
          <w:kern w:val="0"/>
        </w:rPr>
      </w:pPr>
      <w:r>
        <w:rPr>
          <w:rFonts w:hint="eastAsia" w:ascii="宋体" w:hAnsi="宋体"/>
          <w:color w:val="auto"/>
          <w:kern w:val="0"/>
        </w:rPr>
        <w:t>13.3.1 试车程序</w:t>
      </w:r>
    </w:p>
    <w:p w14:paraId="2CD77F52">
      <w:pPr>
        <w:pStyle w:val="274"/>
        <w:spacing w:line="400" w:lineRule="exact"/>
        <w:ind w:firstLine="420"/>
        <w:jc w:val="left"/>
        <w:rPr>
          <w:rFonts w:ascii="宋体"/>
          <w:color w:val="auto"/>
          <w:u w:val="single"/>
        </w:rPr>
      </w:pPr>
      <w:r>
        <w:rPr>
          <w:rFonts w:hint="eastAsia" w:ascii="宋体" w:hAnsi="宋体"/>
          <w:color w:val="auto"/>
          <w:kern w:val="0"/>
        </w:rPr>
        <w:t>工程试车内容：</w:t>
      </w:r>
      <w:r>
        <w:rPr>
          <w:rFonts w:hint="eastAsia" w:ascii="宋体" w:hAnsi="宋体"/>
          <w:color w:val="auto"/>
        </w:rPr>
        <w:t>无</w:t>
      </w:r>
    </w:p>
    <w:p w14:paraId="211BBBB3">
      <w:pPr>
        <w:pStyle w:val="273"/>
        <w:spacing w:line="400" w:lineRule="exact"/>
        <w:rPr>
          <w:rFonts w:ascii="宋体"/>
          <w:color w:val="auto"/>
          <w:sz w:val="21"/>
          <w:szCs w:val="21"/>
        </w:rPr>
      </w:pPr>
      <w:r>
        <w:rPr>
          <w:rFonts w:hint="eastAsia" w:ascii="宋体" w:hAnsi="宋体"/>
          <w:color w:val="auto"/>
          <w:sz w:val="21"/>
          <w:szCs w:val="21"/>
        </w:rPr>
        <w:t>13.6 竣工退场</w:t>
      </w:r>
    </w:p>
    <w:p w14:paraId="35D13DD9">
      <w:pPr>
        <w:pStyle w:val="274"/>
        <w:spacing w:line="400" w:lineRule="exact"/>
        <w:ind w:firstLine="420"/>
        <w:jc w:val="left"/>
        <w:rPr>
          <w:rFonts w:ascii="宋体"/>
          <w:color w:val="auto"/>
          <w:kern w:val="0"/>
        </w:rPr>
      </w:pPr>
      <w:r>
        <w:rPr>
          <w:rFonts w:hint="eastAsia" w:ascii="宋体" w:hAnsi="宋体"/>
          <w:color w:val="auto"/>
          <w:kern w:val="0"/>
        </w:rPr>
        <w:t>13.6.1 竣工退场</w:t>
      </w:r>
    </w:p>
    <w:p w14:paraId="2C343ACA">
      <w:pPr>
        <w:pStyle w:val="274"/>
        <w:spacing w:line="400" w:lineRule="exact"/>
        <w:ind w:firstLine="420"/>
        <w:jc w:val="left"/>
        <w:rPr>
          <w:rFonts w:ascii="宋体"/>
          <w:color w:val="auto"/>
          <w:kern w:val="0"/>
        </w:rPr>
      </w:pPr>
      <w:r>
        <w:rPr>
          <w:rFonts w:hint="eastAsia" w:ascii="宋体" w:hAnsi="宋体"/>
          <w:color w:val="auto"/>
          <w:kern w:val="0"/>
        </w:rPr>
        <w:t>承包人完成竣工退场的期限：</w:t>
      </w:r>
      <w:r>
        <w:rPr>
          <w:rFonts w:hint="eastAsia" w:ascii="宋体" w:hAnsi="宋体"/>
          <w:b/>
          <w:bCs/>
          <w:color w:val="auto"/>
          <w:u w:val="single"/>
        </w:rPr>
        <w:t>按设计图纸全部完成后，除留下必要的工程照管人员及应急物资、抢险设备外，</w:t>
      </w:r>
      <w:r>
        <w:rPr>
          <w:b/>
          <w:bCs/>
          <w:color w:val="auto"/>
          <w:u w:val="single"/>
        </w:rPr>
        <w:t>15</w:t>
      </w:r>
      <w:r>
        <w:rPr>
          <w:rFonts w:hint="eastAsia" w:ascii="宋体" w:hAnsi="宋体"/>
          <w:b/>
          <w:bCs/>
          <w:color w:val="auto"/>
          <w:u w:val="single"/>
        </w:rPr>
        <w:t>日内离场。</w:t>
      </w:r>
    </w:p>
    <w:p w14:paraId="09B4AB21">
      <w:pPr>
        <w:pStyle w:val="273"/>
        <w:spacing w:line="400" w:lineRule="exact"/>
        <w:rPr>
          <w:rFonts w:ascii="宋体"/>
          <w:color w:val="auto"/>
          <w:sz w:val="21"/>
          <w:szCs w:val="21"/>
        </w:rPr>
      </w:pPr>
      <w:r>
        <w:rPr>
          <w:rFonts w:hint="eastAsia" w:ascii="宋体" w:hAnsi="宋体"/>
          <w:color w:val="auto"/>
          <w:sz w:val="21"/>
          <w:szCs w:val="21"/>
        </w:rPr>
        <w:t>14. 竣工结算</w:t>
      </w:r>
    </w:p>
    <w:p w14:paraId="25E125AB">
      <w:pPr>
        <w:pStyle w:val="273"/>
        <w:spacing w:line="400" w:lineRule="exact"/>
        <w:rPr>
          <w:rFonts w:ascii="宋体" w:hAnsi="宋体"/>
          <w:color w:val="auto"/>
          <w:sz w:val="21"/>
          <w:szCs w:val="21"/>
        </w:rPr>
      </w:pPr>
      <w:r>
        <w:rPr>
          <w:rFonts w:hint="eastAsia" w:ascii="宋体" w:hAnsi="宋体"/>
          <w:color w:val="auto"/>
          <w:sz w:val="21"/>
          <w:szCs w:val="21"/>
        </w:rPr>
        <w:t>14.1 竣工结算申请</w:t>
      </w:r>
    </w:p>
    <w:p w14:paraId="69A4F433">
      <w:pPr>
        <w:pStyle w:val="242"/>
        <w:spacing w:line="360" w:lineRule="auto"/>
        <w:ind w:firstLine="367" w:firstLineChars="175"/>
        <w:jc w:val="left"/>
        <w:rPr>
          <w:rFonts w:ascii="宋体" w:hAnsi="宋体"/>
          <w:color w:val="auto"/>
          <w:szCs w:val="21"/>
        </w:rPr>
      </w:pPr>
      <w:r>
        <w:rPr>
          <w:rFonts w:hint="eastAsia" w:ascii="宋体" w:hAnsi="宋体"/>
          <w:color w:val="auto"/>
        </w:rPr>
        <w:t>为了保证工程结算的严肃性，承包人必须在递交竣工结算资料前做好充分的准备：</w:t>
      </w:r>
    </w:p>
    <w:p w14:paraId="49DEDBE6">
      <w:pPr>
        <w:pStyle w:val="242"/>
        <w:spacing w:line="360" w:lineRule="auto"/>
        <w:ind w:firstLine="367" w:firstLineChars="175"/>
        <w:jc w:val="left"/>
        <w:rPr>
          <w:rFonts w:ascii="宋体" w:hAnsi="宋体"/>
          <w:color w:val="auto"/>
          <w:u w:val="single"/>
        </w:rPr>
      </w:pPr>
      <w:r>
        <w:rPr>
          <w:rFonts w:hint="eastAsia" w:ascii="宋体" w:hAnsi="宋体"/>
          <w:color w:val="auto"/>
        </w:rPr>
        <w:t>（1）</w:t>
      </w:r>
      <w:r>
        <w:rPr>
          <w:rFonts w:hint="eastAsia" w:ascii="宋体" w:hAnsi="宋体"/>
          <w:color w:val="auto"/>
          <w:u w:val="single"/>
        </w:rPr>
        <w:t>承包人保证一次性将完整的竣工结算资料（包括所有的签证单、联系单等）递交给发包人，在结算审核过程中，发包人只允许进行一次资料补充。结算资料中不合格（变更内容不明确、签字单位不齐全等）的变更签证，承包人同意按无效签证处理。</w:t>
      </w:r>
    </w:p>
    <w:p w14:paraId="34AF3AE8">
      <w:pPr>
        <w:pStyle w:val="242"/>
        <w:spacing w:line="360" w:lineRule="auto"/>
        <w:ind w:firstLine="367" w:firstLineChars="175"/>
        <w:jc w:val="left"/>
        <w:rPr>
          <w:rFonts w:ascii="宋体" w:hAnsi="宋体"/>
          <w:color w:val="auto"/>
          <w:u w:val="single"/>
        </w:rPr>
      </w:pPr>
      <w:r>
        <w:rPr>
          <w:rFonts w:hint="eastAsia" w:ascii="宋体" w:hAnsi="宋体"/>
          <w:color w:val="auto"/>
        </w:rPr>
        <w:t>（2）</w:t>
      </w:r>
      <w:r>
        <w:rPr>
          <w:rFonts w:hint="eastAsia" w:ascii="宋体" w:hAnsi="宋体"/>
          <w:color w:val="auto"/>
          <w:u w:val="single"/>
        </w:rPr>
        <w:t>如承包人报送的工程结算总价过高，造成该结算审减率超过5%以上的，则超出5%以上部分的审核费由承包人承担，费用由发包人从承包人工程结算款中扣除。计算公式如下：</w:t>
      </w:r>
    </w:p>
    <w:p w14:paraId="150C379B">
      <w:pPr>
        <w:pStyle w:val="242"/>
        <w:spacing w:line="360" w:lineRule="auto"/>
        <w:ind w:firstLine="367" w:firstLineChars="175"/>
        <w:jc w:val="left"/>
        <w:rPr>
          <w:rFonts w:ascii="宋体" w:hAnsi="宋体"/>
          <w:color w:val="auto"/>
          <w:u w:val="single"/>
        </w:rPr>
      </w:pPr>
      <w:r>
        <w:rPr>
          <w:rFonts w:hint="eastAsia" w:ascii="宋体" w:hAnsi="宋体"/>
          <w:color w:val="auto"/>
          <w:u w:val="single"/>
        </w:rPr>
        <w:t>审减率=（送审造价-审定造价）/送审造价X100%；当审减率大于5%时，承包人应承担的审核费=（净审减额-送审额X5%）X3.5%。</w:t>
      </w:r>
    </w:p>
    <w:p w14:paraId="00DE48F0">
      <w:pPr>
        <w:pStyle w:val="274"/>
        <w:spacing w:line="400" w:lineRule="exact"/>
        <w:rPr>
          <w:color w:val="auto"/>
        </w:rPr>
      </w:pPr>
      <w:r>
        <w:rPr>
          <w:rFonts w:hint="eastAsia" w:ascii="宋体" w:hAnsi="宋体"/>
          <w:color w:val="auto"/>
        </w:rPr>
        <w:t>（3）</w:t>
      </w:r>
      <w:r>
        <w:rPr>
          <w:rFonts w:hint="eastAsia" w:ascii="宋体" w:hAnsi="宋体"/>
          <w:color w:val="auto"/>
          <w:u w:val="single"/>
        </w:rPr>
        <w:t>发包人竣工结算报告审查时间：按《建设工程价款结算暂行办法》（财建〔2004〕369号）规定执行。承包人必须及时向发包人递交竣工结算报告及完整合格的结算资料，因承包人提供的结算资料不完整或不合格而需要补充或承包人不按时对账耽误时间时，审查时间应相应顺延；承包人必须跟发包人委托的造价咨询单位核对</w:t>
      </w:r>
      <w:r>
        <w:rPr>
          <w:rFonts w:hint="eastAsia" w:ascii="宋体" w:hAnsi="宋体"/>
          <w:color w:val="auto"/>
        </w:rPr>
        <w:t>。</w:t>
      </w:r>
    </w:p>
    <w:p w14:paraId="7B8C5A74">
      <w:pPr>
        <w:pStyle w:val="281"/>
        <w:spacing w:line="400" w:lineRule="exact"/>
        <w:ind w:firstLine="420"/>
        <w:jc w:val="left"/>
        <w:rPr>
          <w:color w:val="auto"/>
          <w:sz w:val="24"/>
          <w:szCs w:val="24"/>
        </w:rPr>
      </w:pPr>
      <w:r>
        <w:rPr>
          <w:rFonts w:hint="eastAsia" w:ascii="宋体" w:hAnsi="宋体"/>
          <w:color w:val="auto"/>
        </w:rPr>
        <w:t>承包人提交竣工结算申请单的期限：</w:t>
      </w:r>
      <w:r>
        <w:rPr>
          <w:rFonts w:hint="eastAsia" w:ascii="宋体" w:hAnsi="宋体"/>
          <w:b/>
          <w:bCs/>
          <w:color w:val="auto"/>
          <w:u w:val="single"/>
        </w:rPr>
        <w:t>工程竣工验收合格后</w:t>
      </w:r>
      <w:r>
        <w:rPr>
          <w:b/>
          <w:bCs/>
          <w:color w:val="auto"/>
          <w:u w:val="single"/>
        </w:rPr>
        <w:t>14</w:t>
      </w:r>
      <w:r>
        <w:rPr>
          <w:rFonts w:hint="eastAsia" w:ascii="宋体" w:hAnsi="宋体"/>
          <w:b/>
          <w:bCs/>
          <w:color w:val="auto"/>
          <w:u w:val="single"/>
        </w:rPr>
        <w:t>天内。</w:t>
      </w:r>
    </w:p>
    <w:p w14:paraId="171AF339">
      <w:pPr>
        <w:pStyle w:val="281"/>
        <w:spacing w:line="400" w:lineRule="exact"/>
        <w:ind w:firstLine="420"/>
        <w:jc w:val="left"/>
        <w:rPr>
          <w:b/>
          <w:bCs/>
          <w:color w:val="auto"/>
          <w:u w:val="single"/>
        </w:rPr>
      </w:pPr>
      <w:r>
        <w:rPr>
          <w:rFonts w:hint="eastAsia" w:ascii="宋体" w:hAnsi="宋体"/>
          <w:color w:val="auto"/>
        </w:rPr>
        <w:t>竣工付款申请单应包括的内容：</w:t>
      </w:r>
      <w:r>
        <w:rPr>
          <w:rFonts w:hint="eastAsia" w:ascii="宋体" w:hAnsi="宋体"/>
          <w:b/>
          <w:bCs/>
          <w:color w:val="auto"/>
          <w:u w:val="single"/>
        </w:rPr>
        <w:t>按通用合同条款。</w:t>
      </w:r>
    </w:p>
    <w:p w14:paraId="6CD7A1E6">
      <w:pPr>
        <w:pStyle w:val="273"/>
        <w:spacing w:line="400" w:lineRule="exact"/>
        <w:rPr>
          <w:rFonts w:ascii="宋体"/>
          <w:color w:val="auto"/>
          <w:sz w:val="21"/>
          <w:szCs w:val="21"/>
        </w:rPr>
      </w:pPr>
      <w:r>
        <w:rPr>
          <w:rFonts w:hint="eastAsia" w:ascii="宋体" w:hAnsi="宋体"/>
          <w:color w:val="auto"/>
          <w:sz w:val="21"/>
          <w:szCs w:val="21"/>
        </w:rPr>
        <w:t>14.2 竣工结算审核</w:t>
      </w:r>
    </w:p>
    <w:p w14:paraId="661DE666">
      <w:pPr>
        <w:pStyle w:val="274"/>
        <w:spacing w:line="400" w:lineRule="exact"/>
        <w:ind w:firstLine="420"/>
        <w:jc w:val="left"/>
        <w:rPr>
          <w:rFonts w:ascii="宋体"/>
          <w:color w:val="auto"/>
        </w:rPr>
      </w:pPr>
      <w:r>
        <w:rPr>
          <w:rFonts w:hint="eastAsia" w:ascii="宋体" w:hAnsi="宋体"/>
          <w:color w:val="auto"/>
        </w:rPr>
        <w:t>发包人审批竣工付款申请单的期限：</w:t>
      </w:r>
    </w:p>
    <w:tbl>
      <w:tblPr>
        <w:tblStyle w:val="44"/>
        <w:tblW w:w="0" w:type="auto"/>
        <w:tblInd w:w="0" w:type="dxa"/>
        <w:tblLayout w:type="fixed"/>
        <w:tblCellMar>
          <w:top w:w="0" w:type="dxa"/>
          <w:left w:w="108" w:type="dxa"/>
          <w:bottom w:w="0" w:type="dxa"/>
          <w:right w:w="108" w:type="dxa"/>
        </w:tblCellMar>
      </w:tblPr>
      <w:tblGrid>
        <w:gridCol w:w="765"/>
        <w:gridCol w:w="2466"/>
        <w:gridCol w:w="5967"/>
      </w:tblGrid>
      <w:tr w14:paraId="481CCA8E">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197BED0D">
            <w:pPr>
              <w:pStyle w:val="274"/>
              <w:spacing w:line="400" w:lineRule="exact"/>
              <w:ind w:firstLine="443"/>
              <w:jc w:val="center"/>
              <w:rPr>
                <w:rFonts w:ascii="宋体"/>
                <w:b/>
                <w:bCs/>
                <w:color w:val="auto"/>
              </w:rPr>
            </w:pPr>
          </w:p>
        </w:tc>
        <w:tc>
          <w:tcPr>
            <w:tcW w:w="2466" w:type="dxa"/>
            <w:tcBorders>
              <w:top w:val="single" w:color="000000" w:sz="4" w:space="0"/>
              <w:left w:val="nil"/>
              <w:bottom w:val="single" w:color="000000" w:sz="4" w:space="0"/>
              <w:right w:val="single" w:color="000000" w:sz="4" w:space="0"/>
            </w:tcBorders>
            <w:vAlign w:val="center"/>
          </w:tcPr>
          <w:p w14:paraId="14C13CF4">
            <w:pPr>
              <w:pStyle w:val="274"/>
              <w:spacing w:line="400" w:lineRule="exact"/>
              <w:ind w:firstLine="27"/>
              <w:jc w:val="center"/>
              <w:rPr>
                <w:rFonts w:ascii="宋体"/>
                <w:b/>
                <w:bCs/>
                <w:color w:val="auto"/>
              </w:rPr>
            </w:pPr>
            <w:r>
              <w:rPr>
                <w:rFonts w:hint="eastAsia" w:ascii="宋体" w:hAnsi="宋体"/>
                <w:b/>
                <w:bCs/>
                <w:color w:val="auto"/>
              </w:rPr>
              <w:t>工程竣工结算报告金额</w:t>
            </w:r>
          </w:p>
        </w:tc>
        <w:tc>
          <w:tcPr>
            <w:tcW w:w="5967" w:type="dxa"/>
            <w:tcBorders>
              <w:top w:val="single" w:color="000000" w:sz="4" w:space="0"/>
              <w:left w:val="nil"/>
              <w:bottom w:val="single" w:color="000000" w:sz="4" w:space="0"/>
              <w:right w:val="single" w:color="000000" w:sz="4" w:space="0"/>
            </w:tcBorders>
            <w:vAlign w:val="center"/>
          </w:tcPr>
          <w:p w14:paraId="176BC369">
            <w:pPr>
              <w:pStyle w:val="274"/>
              <w:spacing w:line="400" w:lineRule="exact"/>
              <w:ind w:firstLine="443"/>
              <w:jc w:val="center"/>
              <w:rPr>
                <w:rFonts w:ascii="宋体"/>
                <w:b/>
                <w:bCs/>
                <w:color w:val="auto"/>
              </w:rPr>
            </w:pPr>
            <w:r>
              <w:rPr>
                <w:rFonts w:hint="eastAsia" w:ascii="宋体" w:hAnsi="宋体"/>
                <w:b/>
                <w:bCs/>
                <w:color w:val="auto"/>
              </w:rPr>
              <w:t>发包人审查时间</w:t>
            </w:r>
          </w:p>
        </w:tc>
      </w:tr>
      <w:tr w14:paraId="56FD6C6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3748F078">
            <w:pPr>
              <w:pStyle w:val="274"/>
              <w:spacing w:line="400" w:lineRule="exact"/>
              <w:ind w:firstLine="443"/>
              <w:jc w:val="left"/>
              <w:rPr>
                <w:rFonts w:ascii="宋体"/>
                <w:b/>
                <w:bCs/>
                <w:color w:val="auto"/>
              </w:rPr>
            </w:pPr>
            <w:r>
              <w:rPr>
                <w:rFonts w:hint="eastAsia" w:ascii="宋体" w:hAnsi="宋体"/>
                <w:b/>
                <w:bCs/>
                <w:color w:val="auto"/>
              </w:rPr>
              <w:t>1</w:t>
            </w:r>
          </w:p>
        </w:tc>
        <w:tc>
          <w:tcPr>
            <w:tcW w:w="2466" w:type="dxa"/>
            <w:tcBorders>
              <w:top w:val="single" w:color="000000" w:sz="4" w:space="0"/>
              <w:left w:val="nil"/>
              <w:bottom w:val="single" w:color="000000" w:sz="4" w:space="0"/>
              <w:right w:val="single" w:color="000000" w:sz="4" w:space="0"/>
            </w:tcBorders>
            <w:vAlign w:val="center"/>
          </w:tcPr>
          <w:p w14:paraId="492DE7C5">
            <w:pPr>
              <w:pStyle w:val="274"/>
              <w:spacing w:line="400" w:lineRule="exact"/>
              <w:ind w:firstLine="27"/>
              <w:jc w:val="center"/>
              <w:rPr>
                <w:rFonts w:ascii="宋体"/>
                <w:b/>
                <w:bCs/>
                <w:color w:val="auto"/>
              </w:rPr>
            </w:pPr>
            <w:r>
              <w:rPr>
                <w:rFonts w:hint="eastAsia" w:ascii="宋体" w:hAnsi="宋体"/>
                <w:b/>
                <w:bCs/>
                <w:color w:val="auto"/>
              </w:rPr>
              <w:t>500万元以下</w:t>
            </w:r>
          </w:p>
        </w:tc>
        <w:tc>
          <w:tcPr>
            <w:tcW w:w="5967" w:type="dxa"/>
            <w:tcBorders>
              <w:top w:val="single" w:color="000000" w:sz="4" w:space="0"/>
              <w:left w:val="nil"/>
              <w:bottom w:val="single" w:color="000000" w:sz="4" w:space="0"/>
              <w:right w:val="single" w:color="000000" w:sz="4" w:space="0"/>
            </w:tcBorders>
            <w:vAlign w:val="center"/>
          </w:tcPr>
          <w:p w14:paraId="35689B57">
            <w:pPr>
              <w:pStyle w:val="274"/>
              <w:spacing w:line="400" w:lineRule="exact"/>
              <w:ind w:firstLine="443"/>
              <w:jc w:val="center"/>
              <w:rPr>
                <w:rFonts w:ascii="宋体"/>
                <w:b/>
                <w:bCs/>
                <w:color w:val="auto"/>
              </w:rPr>
            </w:pPr>
            <w:r>
              <w:rPr>
                <w:rFonts w:hint="eastAsia" w:ascii="宋体" w:hAnsi="宋体"/>
                <w:b/>
                <w:bCs/>
                <w:color w:val="auto"/>
              </w:rPr>
              <w:t>从接到竣工结算报告和完整的竣工结算资料之日起20天</w:t>
            </w:r>
          </w:p>
        </w:tc>
      </w:tr>
      <w:tr w14:paraId="6D6B1858">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7E8097D1">
            <w:pPr>
              <w:pStyle w:val="274"/>
              <w:spacing w:line="400" w:lineRule="exact"/>
              <w:ind w:firstLine="443"/>
              <w:jc w:val="left"/>
              <w:rPr>
                <w:rFonts w:ascii="宋体"/>
                <w:b/>
                <w:bCs/>
                <w:color w:val="auto"/>
              </w:rPr>
            </w:pPr>
            <w:r>
              <w:rPr>
                <w:rFonts w:hint="eastAsia" w:ascii="宋体" w:hAnsi="宋体"/>
                <w:b/>
                <w:bCs/>
                <w:color w:val="auto"/>
              </w:rPr>
              <w:t>2</w:t>
            </w:r>
          </w:p>
        </w:tc>
        <w:tc>
          <w:tcPr>
            <w:tcW w:w="2466" w:type="dxa"/>
            <w:tcBorders>
              <w:top w:val="single" w:color="000000" w:sz="4" w:space="0"/>
              <w:left w:val="nil"/>
              <w:bottom w:val="single" w:color="000000" w:sz="4" w:space="0"/>
              <w:right w:val="single" w:color="000000" w:sz="4" w:space="0"/>
            </w:tcBorders>
            <w:vAlign w:val="center"/>
          </w:tcPr>
          <w:p w14:paraId="2B37CE49">
            <w:pPr>
              <w:pStyle w:val="274"/>
              <w:spacing w:line="400" w:lineRule="exact"/>
              <w:ind w:firstLine="27"/>
              <w:jc w:val="center"/>
              <w:rPr>
                <w:rFonts w:ascii="宋体"/>
                <w:b/>
                <w:bCs/>
                <w:color w:val="auto"/>
              </w:rPr>
            </w:pPr>
            <w:r>
              <w:rPr>
                <w:rFonts w:hint="eastAsia" w:ascii="宋体" w:hAnsi="宋体"/>
                <w:b/>
                <w:bCs/>
                <w:color w:val="auto"/>
              </w:rPr>
              <w:t>500万元-2000万元</w:t>
            </w:r>
          </w:p>
        </w:tc>
        <w:tc>
          <w:tcPr>
            <w:tcW w:w="5967" w:type="dxa"/>
            <w:tcBorders>
              <w:top w:val="single" w:color="000000" w:sz="4" w:space="0"/>
              <w:left w:val="nil"/>
              <w:bottom w:val="single" w:color="000000" w:sz="4" w:space="0"/>
              <w:right w:val="single" w:color="000000" w:sz="4" w:space="0"/>
            </w:tcBorders>
            <w:vAlign w:val="center"/>
          </w:tcPr>
          <w:p w14:paraId="038230D8">
            <w:pPr>
              <w:pStyle w:val="274"/>
              <w:spacing w:line="400" w:lineRule="exact"/>
              <w:ind w:firstLine="443"/>
              <w:jc w:val="center"/>
              <w:rPr>
                <w:rFonts w:ascii="宋体"/>
                <w:b/>
                <w:bCs/>
                <w:color w:val="auto"/>
              </w:rPr>
            </w:pPr>
            <w:r>
              <w:rPr>
                <w:rFonts w:hint="eastAsia" w:ascii="宋体" w:hAnsi="宋体"/>
                <w:b/>
                <w:bCs/>
                <w:color w:val="auto"/>
              </w:rPr>
              <w:t>从接到竣工结算报告和完整的竣工结算资料之日起30天</w:t>
            </w:r>
          </w:p>
        </w:tc>
      </w:tr>
      <w:tr w14:paraId="4ACF76C3">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2B36E6A0">
            <w:pPr>
              <w:pStyle w:val="274"/>
              <w:spacing w:line="400" w:lineRule="exact"/>
              <w:ind w:firstLine="443"/>
              <w:jc w:val="left"/>
              <w:rPr>
                <w:rFonts w:ascii="宋体"/>
                <w:b/>
                <w:bCs/>
                <w:color w:val="auto"/>
              </w:rPr>
            </w:pPr>
            <w:r>
              <w:rPr>
                <w:rFonts w:hint="eastAsia" w:ascii="宋体" w:hAnsi="宋体"/>
                <w:b/>
                <w:bCs/>
                <w:color w:val="auto"/>
              </w:rPr>
              <w:t>3</w:t>
            </w:r>
          </w:p>
        </w:tc>
        <w:tc>
          <w:tcPr>
            <w:tcW w:w="2466" w:type="dxa"/>
            <w:tcBorders>
              <w:top w:val="single" w:color="000000" w:sz="4" w:space="0"/>
              <w:left w:val="nil"/>
              <w:bottom w:val="single" w:color="000000" w:sz="4" w:space="0"/>
              <w:right w:val="single" w:color="000000" w:sz="4" w:space="0"/>
            </w:tcBorders>
            <w:vAlign w:val="center"/>
          </w:tcPr>
          <w:p w14:paraId="54705902">
            <w:pPr>
              <w:pStyle w:val="274"/>
              <w:spacing w:line="400" w:lineRule="exact"/>
              <w:ind w:firstLine="27"/>
              <w:jc w:val="center"/>
              <w:rPr>
                <w:rFonts w:ascii="宋体"/>
                <w:b/>
                <w:bCs/>
                <w:color w:val="auto"/>
              </w:rPr>
            </w:pPr>
            <w:r>
              <w:rPr>
                <w:rFonts w:hint="eastAsia" w:ascii="宋体" w:hAnsi="宋体"/>
                <w:b/>
                <w:bCs/>
                <w:color w:val="auto"/>
              </w:rPr>
              <w:t>2000万元-5000万元</w:t>
            </w:r>
          </w:p>
        </w:tc>
        <w:tc>
          <w:tcPr>
            <w:tcW w:w="5967" w:type="dxa"/>
            <w:tcBorders>
              <w:top w:val="single" w:color="000000" w:sz="4" w:space="0"/>
              <w:left w:val="nil"/>
              <w:bottom w:val="single" w:color="000000" w:sz="4" w:space="0"/>
              <w:right w:val="single" w:color="000000" w:sz="4" w:space="0"/>
            </w:tcBorders>
            <w:vAlign w:val="center"/>
          </w:tcPr>
          <w:p w14:paraId="65855660">
            <w:pPr>
              <w:pStyle w:val="274"/>
              <w:spacing w:line="400" w:lineRule="exact"/>
              <w:ind w:firstLine="443"/>
              <w:jc w:val="center"/>
              <w:rPr>
                <w:rFonts w:ascii="宋体"/>
                <w:b/>
                <w:bCs/>
                <w:color w:val="auto"/>
              </w:rPr>
            </w:pPr>
            <w:r>
              <w:rPr>
                <w:rFonts w:hint="eastAsia" w:ascii="宋体" w:hAnsi="宋体"/>
                <w:b/>
                <w:bCs/>
                <w:color w:val="auto"/>
              </w:rPr>
              <w:t>从接到竣工结算报告和完整的竣工结算资料之日起45天</w:t>
            </w:r>
          </w:p>
        </w:tc>
      </w:tr>
      <w:tr w14:paraId="0677100A">
        <w:tblPrEx>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vAlign w:val="center"/>
          </w:tcPr>
          <w:p w14:paraId="04C0742E">
            <w:pPr>
              <w:pStyle w:val="274"/>
              <w:spacing w:line="400" w:lineRule="exact"/>
              <w:ind w:firstLine="443"/>
              <w:jc w:val="left"/>
              <w:rPr>
                <w:rFonts w:ascii="宋体"/>
                <w:b/>
                <w:bCs/>
                <w:color w:val="auto"/>
              </w:rPr>
            </w:pPr>
            <w:r>
              <w:rPr>
                <w:rFonts w:hint="eastAsia" w:ascii="宋体" w:hAnsi="宋体"/>
                <w:b/>
                <w:bCs/>
                <w:color w:val="auto"/>
              </w:rPr>
              <w:t>4</w:t>
            </w:r>
          </w:p>
        </w:tc>
        <w:tc>
          <w:tcPr>
            <w:tcW w:w="2466" w:type="dxa"/>
            <w:tcBorders>
              <w:top w:val="single" w:color="000000" w:sz="4" w:space="0"/>
              <w:left w:val="nil"/>
              <w:bottom w:val="single" w:color="000000" w:sz="4" w:space="0"/>
              <w:right w:val="single" w:color="000000" w:sz="4" w:space="0"/>
            </w:tcBorders>
            <w:vAlign w:val="center"/>
          </w:tcPr>
          <w:p w14:paraId="10E2A68F">
            <w:pPr>
              <w:pStyle w:val="274"/>
              <w:spacing w:line="400" w:lineRule="exact"/>
              <w:ind w:firstLine="27"/>
              <w:jc w:val="center"/>
              <w:rPr>
                <w:rFonts w:ascii="宋体"/>
                <w:b/>
                <w:bCs/>
                <w:color w:val="auto"/>
              </w:rPr>
            </w:pPr>
            <w:r>
              <w:rPr>
                <w:rFonts w:hint="eastAsia" w:ascii="宋体" w:hAnsi="宋体"/>
                <w:b/>
                <w:bCs/>
                <w:color w:val="auto"/>
              </w:rPr>
              <w:t>5000万元以上</w:t>
            </w:r>
          </w:p>
        </w:tc>
        <w:tc>
          <w:tcPr>
            <w:tcW w:w="5967" w:type="dxa"/>
            <w:tcBorders>
              <w:top w:val="single" w:color="000000" w:sz="4" w:space="0"/>
              <w:left w:val="nil"/>
              <w:bottom w:val="single" w:color="000000" w:sz="4" w:space="0"/>
              <w:right w:val="single" w:color="000000" w:sz="4" w:space="0"/>
            </w:tcBorders>
            <w:vAlign w:val="center"/>
          </w:tcPr>
          <w:p w14:paraId="3323C9D8">
            <w:pPr>
              <w:pStyle w:val="274"/>
              <w:spacing w:line="400" w:lineRule="exact"/>
              <w:ind w:firstLine="443"/>
              <w:jc w:val="center"/>
              <w:rPr>
                <w:rFonts w:ascii="宋体"/>
                <w:b/>
                <w:bCs/>
                <w:color w:val="auto"/>
              </w:rPr>
            </w:pPr>
            <w:r>
              <w:rPr>
                <w:rFonts w:hint="eastAsia" w:ascii="宋体" w:hAnsi="宋体"/>
                <w:b/>
                <w:bCs/>
                <w:color w:val="auto"/>
              </w:rPr>
              <w:t>从接到竣工结算报告和完整的竣工结算资料之日起60天</w:t>
            </w:r>
          </w:p>
        </w:tc>
      </w:tr>
    </w:tbl>
    <w:p w14:paraId="01E0EE11">
      <w:pPr>
        <w:pStyle w:val="274"/>
        <w:spacing w:line="400" w:lineRule="exact"/>
        <w:ind w:firstLine="422"/>
        <w:jc w:val="left"/>
        <w:rPr>
          <w:rFonts w:ascii="宋体"/>
          <w:color w:val="auto"/>
        </w:rPr>
      </w:pPr>
      <w:r>
        <w:rPr>
          <w:rFonts w:hint="eastAsia" w:ascii="宋体" w:hAnsi="宋体"/>
          <w:b/>
          <w:bCs/>
          <w:color w:val="auto"/>
        </w:rPr>
        <w:t>因承包人提供的结算资料不完整而需要补充或承包人不按时对账耽误时间时，审查时间应相应顺延</w:t>
      </w:r>
      <w:r>
        <w:rPr>
          <w:rFonts w:hint="eastAsia" w:ascii="宋体" w:hAnsi="宋体"/>
          <w:color w:val="auto"/>
        </w:rPr>
        <w:t>。</w:t>
      </w:r>
    </w:p>
    <w:p w14:paraId="34F246B0">
      <w:pPr>
        <w:pStyle w:val="274"/>
        <w:spacing w:line="400" w:lineRule="exact"/>
        <w:ind w:firstLine="420"/>
        <w:jc w:val="left"/>
        <w:rPr>
          <w:rFonts w:ascii="宋体"/>
          <w:color w:val="auto"/>
        </w:rPr>
      </w:pPr>
      <w:r>
        <w:rPr>
          <w:rFonts w:hint="eastAsia" w:ascii="宋体" w:hAnsi="宋体"/>
          <w:color w:val="auto"/>
        </w:rPr>
        <w:t>发包人完成竣工付款的期限：</w:t>
      </w:r>
      <w:r>
        <w:rPr>
          <w:rFonts w:hint="eastAsia" w:ascii="宋体" w:hAnsi="宋体"/>
          <w:color w:val="auto"/>
          <w:u w:val="single"/>
        </w:rPr>
        <w:t>竣工结算审定后15个工作日</w:t>
      </w:r>
      <w:r>
        <w:rPr>
          <w:rFonts w:hint="eastAsia" w:ascii="宋体" w:hAnsi="宋体"/>
          <w:color w:val="auto"/>
        </w:rPr>
        <w:t>。</w:t>
      </w:r>
    </w:p>
    <w:p w14:paraId="7ACA0E42">
      <w:pPr>
        <w:pStyle w:val="281"/>
        <w:spacing w:line="400" w:lineRule="exact"/>
        <w:ind w:firstLine="420"/>
        <w:jc w:val="left"/>
        <w:rPr>
          <w:rFonts w:ascii="宋体" w:hAnsi="宋体"/>
          <w:b/>
          <w:bCs/>
          <w:color w:val="auto"/>
        </w:rPr>
      </w:pPr>
      <w:r>
        <w:rPr>
          <w:rFonts w:hint="eastAsia" w:ascii="宋体" w:hAnsi="宋体"/>
          <w:b/>
          <w:bCs/>
          <w:color w:val="auto"/>
        </w:rPr>
        <w:t>本工程最终结算以发包人审核结果为准。</w:t>
      </w:r>
    </w:p>
    <w:p w14:paraId="4EFA26C4">
      <w:pPr>
        <w:pStyle w:val="273"/>
        <w:spacing w:line="400" w:lineRule="exact"/>
        <w:rPr>
          <w:rFonts w:ascii="宋体"/>
          <w:color w:val="auto"/>
          <w:sz w:val="21"/>
          <w:szCs w:val="21"/>
        </w:rPr>
      </w:pPr>
      <w:r>
        <w:rPr>
          <w:rFonts w:hint="eastAsia" w:ascii="宋体" w:hAnsi="宋体"/>
          <w:color w:val="auto"/>
          <w:sz w:val="21"/>
          <w:szCs w:val="21"/>
        </w:rPr>
        <w:t>14.4 最终结清</w:t>
      </w:r>
    </w:p>
    <w:p w14:paraId="722332CF">
      <w:pPr>
        <w:pStyle w:val="274"/>
        <w:spacing w:line="400" w:lineRule="exact"/>
        <w:ind w:firstLine="420"/>
        <w:jc w:val="left"/>
        <w:rPr>
          <w:rFonts w:ascii="宋体"/>
          <w:color w:val="auto"/>
          <w:kern w:val="0"/>
        </w:rPr>
      </w:pPr>
      <w:r>
        <w:rPr>
          <w:rFonts w:hint="eastAsia" w:ascii="宋体" w:hAnsi="宋体"/>
          <w:color w:val="auto"/>
          <w:kern w:val="0"/>
        </w:rPr>
        <w:t>14.4.1 最终结清申请单</w:t>
      </w:r>
    </w:p>
    <w:p w14:paraId="44662A20">
      <w:pPr>
        <w:pStyle w:val="281"/>
        <w:spacing w:line="400" w:lineRule="exact"/>
        <w:ind w:firstLine="420"/>
        <w:jc w:val="left"/>
        <w:rPr>
          <w:color w:val="auto"/>
          <w:kern w:val="0"/>
        </w:rPr>
      </w:pPr>
      <w:r>
        <w:rPr>
          <w:rFonts w:hint="eastAsia" w:ascii="宋体" w:hAnsi="宋体"/>
          <w:color w:val="auto"/>
        </w:rPr>
        <w:t>承包人提交最终结清申请单的份数：</w:t>
      </w:r>
      <w:r>
        <w:rPr>
          <w:rFonts w:hint="eastAsia" w:ascii="宋体" w:hAnsi="宋体"/>
          <w:b/>
          <w:bCs/>
          <w:color w:val="auto"/>
          <w:u w:val="single"/>
        </w:rPr>
        <w:t>一式四份。</w:t>
      </w:r>
    </w:p>
    <w:p w14:paraId="7727C071">
      <w:pPr>
        <w:pStyle w:val="281"/>
        <w:spacing w:line="400" w:lineRule="exact"/>
        <w:ind w:firstLine="420"/>
        <w:jc w:val="left"/>
        <w:rPr>
          <w:color w:val="auto"/>
        </w:rPr>
      </w:pPr>
      <w:r>
        <w:rPr>
          <w:rFonts w:hint="eastAsia" w:ascii="宋体" w:hAnsi="宋体"/>
          <w:color w:val="auto"/>
        </w:rPr>
        <w:t>承包人提交最终结算申请单的期限：</w:t>
      </w:r>
      <w:r>
        <w:rPr>
          <w:rFonts w:hint="eastAsia" w:ascii="宋体" w:hAnsi="宋体"/>
          <w:b/>
          <w:bCs/>
          <w:color w:val="auto"/>
          <w:u w:val="single"/>
        </w:rPr>
        <w:t>缺陷责任终止证书颁发后</w:t>
      </w:r>
      <w:r>
        <w:rPr>
          <w:b/>
          <w:bCs/>
          <w:color w:val="auto"/>
          <w:u w:val="single"/>
        </w:rPr>
        <w:t>7</w:t>
      </w:r>
      <w:r>
        <w:rPr>
          <w:rFonts w:hint="eastAsia" w:ascii="宋体" w:hAnsi="宋体"/>
          <w:b/>
          <w:bCs/>
          <w:color w:val="auto"/>
          <w:u w:val="single"/>
        </w:rPr>
        <w:t>天内。</w:t>
      </w:r>
    </w:p>
    <w:p w14:paraId="1451EDB2">
      <w:pPr>
        <w:pStyle w:val="281"/>
        <w:spacing w:line="400" w:lineRule="exact"/>
        <w:ind w:firstLine="420"/>
        <w:jc w:val="left"/>
        <w:rPr>
          <w:color w:val="auto"/>
        </w:rPr>
      </w:pPr>
      <w:r>
        <w:rPr>
          <w:color w:val="auto"/>
        </w:rPr>
        <w:t xml:space="preserve">14.4.2 </w:t>
      </w:r>
      <w:r>
        <w:rPr>
          <w:rFonts w:hint="eastAsia" w:ascii="宋体" w:hAnsi="宋体"/>
          <w:color w:val="auto"/>
        </w:rPr>
        <w:t>最终结清证书和支付</w:t>
      </w:r>
    </w:p>
    <w:p w14:paraId="1357B0DF">
      <w:pPr>
        <w:pStyle w:val="281"/>
        <w:spacing w:line="400" w:lineRule="exact"/>
        <w:ind w:firstLine="420"/>
        <w:jc w:val="left"/>
        <w:rPr>
          <w:color w:val="auto"/>
        </w:rPr>
      </w:pPr>
      <w:r>
        <w:rPr>
          <w:rFonts w:hint="eastAsia" w:ascii="宋体" w:hAnsi="宋体"/>
          <w:color w:val="auto"/>
        </w:rPr>
        <w:t>（</w:t>
      </w:r>
      <w:r>
        <w:rPr>
          <w:color w:val="auto"/>
        </w:rPr>
        <w:t>1</w:t>
      </w:r>
      <w:r>
        <w:rPr>
          <w:rFonts w:hint="eastAsia" w:ascii="宋体" w:hAnsi="宋体"/>
          <w:color w:val="auto"/>
        </w:rPr>
        <w:t>）发包人完成最终结清申请单的审批并颁发最终结清证书的期限：</w:t>
      </w:r>
      <w:r>
        <w:rPr>
          <w:rFonts w:hint="eastAsia" w:ascii="宋体" w:hAnsi="宋体"/>
          <w:b/>
          <w:bCs/>
          <w:color w:val="auto"/>
          <w:u w:val="single"/>
        </w:rPr>
        <w:t>收到承包人最终结清申请单后</w:t>
      </w:r>
      <w:r>
        <w:rPr>
          <w:b/>
          <w:bCs/>
          <w:color w:val="auto"/>
          <w:u w:val="single"/>
        </w:rPr>
        <w:t>14</w:t>
      </w:r>
      <w:r>
        <w:rPr>
          <w:rFonts w:hint="eastAsia" w:ascii="宋体" w:hAnsi="宋体"/>
          <w:b/>
          <w:bCs/>
          <w:color w:val="auto"/>
          <w:u w:val="single"/>
        </w:rPr>
        <w:t>天内。</w:t>
      </w:r>
    </w:p>
    <w:p w14:paraId="6BE6E7A6">
      <w:pPr>
        <w:pStyle w:val="281"/>
        <w:spacing w:line="400" w:lineRule="exact"/>
        <w:ind w:firstLine="420"/>
        <w:jc w:val="left"/>
        <w:rPr>
          <w:b/>
          <w:bCs/>
          <w:color w:val="auto"/>
          <w:u w:val="single"/>
        </w:rPr>
      </w:pPr>
      <w:r>
        <w:rPr>
          <w:rFonts w:hint="eastAsia" w:ascii="宋体" w:hAnsi="宋体"/>
          <w:color w:val="auto"/>
        </w:rPr>
        <w:t>（</w:t>
      </w:r>
      <w:r>
        <w:rPr>
          <w:color w:val="auto"/>
        </w:rPr>
        <w:t>2</w:t>
      </w:r>
      <w:r>
        <w:rPr>
          <w:rFonts w:hint="eastAsia" w:ascii="宋体" w:hAnsi="宋体"/>
          <w:color w:val="auto"/>
        </w:rPr>
        <w:t>）发包人完成支付的期限：</w:t>
      </w:r>
      <w:r>
        <w:rPr>
          <w:rFonts w:hint="eastAsia" w:ascii="宋体" w:hAnsi="宋体"/>
          <w:b/>
          <w:bCs/>
          <w:color w:val="auto"/>
          <w:u w:val="single"/>
        </w:rPr>
        <w:t>发包人、承包人确认结清结果后</w:t>
      </w:r>
      <w:r>
        <w:rPr>
          <w:b/>
          <w:bCs/>
          <w:color w:val="auto"/>
          <w:u w:val="single"/>
        </w:rPr>
        <w:t>7</w:t>
      </w:r>
      <w:r>
        <w:rPr>
          <w:rFonts w:hint="eastAsia" w:ascii="宋体" w:hAnsi="宋体"/>
          <w:b/>
          <w:bCs/>
          <w:color w:val="auto"/>
          <w:u w:val="single"/>
        </w:rPr>
        <w:t>天内。</w:t>
      </w:r>
    </w:p>
    <w:p w14:paraId="06EF5E0C">
      <w:pPr>
        <w:pStyle w:val="273"/>
        <w:spacing w:line="400" w:lineRule="exact"/>
        <w:rPr>
          <w:rFonts w:ascii="宋体"/>
          <w:color w:val="auto"/>
          <w:sz w:val="21"/>
          <w:szCs w:val="21"/>
        </w:rPr>
      </w:pPr>
      <w:r>
        <w:rPr>
          <w:rFonts w:hint="eastAsia" w:ascii="宋体" w:hAnsi="宋体"/>
          <w:color w:val="auto"/>
          <w:sz w:val="21"/>
          <w:szCs w:val="21"/>
        </w:rPr>
        <w:t>15. 缺陷责任期与保修</w:t>
      </w:r>
    </w:p>
    <w:p w14:paraId="427F9E45">
      <w:pPr>
        <w:pStyle w:val="273"/>
        <w:spacing w:line="400" w:lineRule="exact"/>
        <w:rPr>
          <w:rFonts w:ascii="宋体"/>
          <w:color w:val="auto"/>
          <w:sz w:val="21"/>
          <w:szCs w:val="21"/>
        </w:rPr>
      </w:pPr>
      <w:r>
        <w:rPr>
          <w:rFonts w:hint="eastAsia" w:ascii="宋体" w:hAnsi="宋体"/>
          <w:color w:val="auto"/>
          <w:sz w:val="21"/>
          <w:szCs w:val="21"/>
        </w:rPr>
        <w:t>15.2缺陷责任期</w:t>
      </w:r>
    </w:p>
    <w:p w14:paraId="599E5E0D">
      <w:pPr>
        <w:pStyle w:val="274"/>
        <w:spacing w:line="400" w:lineRule="exact"/>
        <w:ind w:firstLine="420"/>
        <w:jc w:val="left"/>
        <w:rPr>
          <w:rFonts w:ascii="宋体" w:hAnsi="宋体"/>
          <w:color w:val="auto"/>
          <w:u w:val="single"/>
        </w:rPr>
      </w:pPr>
      <w:r>
        <w:rPr>
          <w:rFonts w:hint="eastAsia" w:ascii="宋体" w:hAnsi="宋体"/>
          <w:color w:val="auto"/>
        </w:rPr>
        <w:t>缺陷责任期的具体期限：</w:t>
      </w:r>
      <w:r>
        <w:rPr>
          <w:rFonts w:hint="eastAsia" w:ascii="宋体" w:hAnsi="宋体"/>
          <w:color w:val="auto"/>
          <w:u w:val="single"/>
        </w:rPr>
        <w:t xml:space="preserve">               </w:t>
      </w:r>
    </w:p>
    <w:p w14:paraId="3805B6E9">
      <w:pPr>
        <w:pStyle w:val="273"/>
        <w:spacing w:line="400" w:lineRule="exact"/>
        <w:rPr>
          <w:rFonts w:ascii="宋体"/>
          <w:color w:val="auto"/>
          <w:sz w:val="21"/>
          <w:szCs w:val="21"/>
        </w:rPr>
      </w:pPr>
      <w:r>
        <w:rPr>
          <w:rFonts w:hint="eastAsia" w:ascii="宋体" w:hAnsi="宋体"/>
          <w:color w:val="auto"/>
          <w:sz w:val="21"/>
          <w:szCs w:val="21"/>
        </w:rPr>
        <w:t>15.3 质量保证金</w:t>
      </w:r>
    </w:p>
    <w:p w14:paraId="5F1C2668">
      <w:pPr>
        <w:pStyle w:val="274"/>
        <w:spacing w:line="400" w:lineRule="exact"/>
        <w:ind w:firstLine="420"/>
        <w:jc w:val="left"/>
        <w:rPr>
          <w:rFonts w:ascii="宋体" w:hAnsi="宋体"/>
          <w:color w:val="auto"/>
        </w:rPr>
      </w:pPr>
      <w:r>
        <w:rPr>
          <w:rFonts w:hint="eastAsia" w:ascii="宋体" w:hAnsi="宋体"/>
          <w:color w:val="auto"/>
        </w:rPr>
        <w:t>发包人按工程价款结算总额的</w:t>
      </w:r>
      <w:r>
        <w:rPr>
          <w:rFonts w:hint="eastAsia" w:ascii="宋体" w:hAnsi="宋体" w:cs="Calibri"/>
          <w:color w:val="auto"/>
          <w:u w:val="single"/>
        </w:rPr>
        <w:t>3%</w:t>
      </w:r>
      <w:r>
        <w:rPr>
          <w:rFonts w:hint="eastAsia" w:ascii="宋体" w:hAnsi="宋体"/>
          <w:color w:val="auto"/>
        </w:rPr>
        <w:t>预留工程质量保修金（无息），待工程竣工验收合格后</w:t>
      </w:r>
      <w:r>
        <w:rPr>
          <w:rFonts w:hint="eastAsia" w:ascii="宋体" w:hAnsi="宋体" w:cs="Calibri"/>
          <w:color w:val="auto"/>
        </w:rPr>
        <w:t>1年后十个工作日</w:t>
      </w:r>
      <w:r>
        <w:rPr>
          <w:rFonts w:hint="eastAsia" w:ascii="宋体" w:hAnsi="宋体"/>
          <w:color w:val="auto"/>
        </w:rPr>
        <w:t>内，返还剩余工程质量保修金（无息）。</w:t>
      </w:r>
    </w:p>
    <w:p w14:paraId="7914A693">
      <w:pPr>
        <w:pStyle w:val="274"/>
        <w:spacing w:line="400" w:lineRule="exact"/>
        <w:ind w:firstLine="420"/>
        <w:jc w:val="left"/>
        <w:rPr>
          <w:rFonts w:ascii="宋体"/>
          <w:color w:val="auto"/>
        </w:rPr>
      </w:pPr>
      <w:r>
        <w:rPr>
          <w:rFonts w:hint="eastAsia" w:ascii="宋体" w:hAnsi="宋体"/>
          <w:color w:val="auto"/>
        </w:rPr>
        <w:t xml:space="preserve">15.3.2 质量保证金的扣留 </w:t>
      </w:r>
    </w:p>
    <w:p w14:paraId="7703DB7F">
      <w:pPr>
        <w:pStyle w:val="274"/>
        <w:spacing w:line="400" w:lineRule="exact"/>
        <w:ind w:firstLine="420"/>
        <w:jc w:val="left"/>
        <w:rPr>
          <w:rFonts w:ascii="宋体"/>
          <w:color w:val="auto"/>
        </w:rPr>
      </w:pPr>
      <w:r>
        <w:rPr>
          <w:rFonts w:hint="eastAsia" w:ascii="宋体" w:hAnsi="宋体"/>
          <w:color w:val="auto"/>
        </w:rPr>
        <w:t>质量保证金的扣留采取以下第（2）种方式：</w:t>
      </w:r>
    </w:p>
    <w:p w14:paraId="331D91C7">
      <w:pPr>
        <w:pStyle w:val="274"/>
        <w:spacing w:line="400" w:lineRule="exact"/>
        <w:ind w:firstLine="420"/>
        <w:jc w:val="left"/>
        <w:rPr>
          <w:rFonts w:ascii="宋体"/>
          <w:color w:val="auto"/>
          <w:kern w:val="0"/>
        </w:rPr>
      </w:pPr>
      <w:r>
        <w:rPr>
          <w:rFonts w:hint="eastAsia" w:ascii="宋体" w:hAnsi="宋体"/>
          <w:color w:val="auto"/>
          <w:kern w:val="0"/>
        </w:rPr>
        <w:t>（1）在支付工程进度款时逐次扣留，在此情形下，质量保证金的计算基数不包括预付款的支付、扣回以及价格调整的金额；</w:t>
      </w:r>
    </w:p>
    <w:p w14:paraId="6CA168C9">
      <w:pPr>
        <w:pStyle w:val="274"/>
        <w:spacing w:line="400" w:lineRule="exact"/>
        <w:ind w:firstLine="420"/>
        <w:jc w:val="left"/>
        <w:rPr>
          <w:rFonts w:ascii="宋体"/>
          <w:color w:val="auto"/>
          <w:kern w:val="0"/>
        </w:rPr>
      </w:pPr>
      <w:r>
        <w:rPr>
          <w:rFonts w:hint="eastAsia" w:ascii="宋体" w:hAnsi="宋体"/>
          <w:color w:val="auto"/>
          <w:kern w:val="0"/>
        </w:rPr>
        <w:t>（2）工程竣工结算时一次性扣留质量保证金；</w:t>
      </w:r>
    </w:p>
    <w:p w14:paraId="61FF63DD">
      <w:pPr>
        <w:pStyle w:val="274"/>
        <w:spacing w:line="400" w:lineRule="exact"/>
        <w:ind w:firstLine="420"/>
        <w:jc w:val="left"/>
        <w:rPr>
          <w:rFonts w:ascii="宋体"/>
          <w:color w:val="auto"/>
          <w:kern w:val="0"/>
        </w:rPr>
      </w:pPr>
      <w:r>
        <w:rPr>
          <w:rFonts w:hint="eastAsia" w:ascii="宋体" w:hAnsi="宋体"/>
          <w:color w:val="auto"/>
          <w:kern w:val="0"/>
        </w:rPr>
        <w:t>（3）其他扣留方式:无</w:t>
      </w:r>
    </w:p>
    <w:p w14:paraId="4EC49A0C">
      <w:pPr>
        <w:pStyle w:val="274"/>
        <w:spacing w:line="400" w:lineRule="exact"/>
        <w:ind w:firstLine="420"/>
        <w:jc w:val="left"/>
        <w:rPr>
          <w:rFonts w:ascii="宋体"/>
          <w:color w:val="auto"/>
          <w:kern w:val="0"/>
          <w:u w:val="single"/>
        </w:rPr>
      </w:pPr>
      <w:r>
        <w:rPr>
          <w:rFonts w:hint="eastAsia" w:ascii="宋体" w:hAnsi="宋体"/>
          <w:color w:val="auto"/>
        </w:rPr>
        <w:t>关于质量保证金的补充约定：</w:t>
      </w:r>
      <w:r>
        <w:rPr>
          <w:rFonts w:hint="eastAsia" w:ascii="宋体" w:hAnsi="宋体"/>
          <w:color w:val="auto"/>
          <w:kern w:val="0"/>
        </w:rPr>
        <w:t>无</w:t>
      </w:r>
    </w:p>
    <w:p w14:paraId="24C9A69D">
      <w:pPr>
        <w:pStyle w:val="273"/>
        <w:spacing w:line="400" w:lineRule="exact"/>
        <w:rPr>
          <w:rFonts w:ascii="宋体"/>
          <w:color w:val="auto"/>
          <w:sz w:val="21"/>
          <w:szCs w:val="21"/>
        </w:rPr>
      </w:pPr>
      <w:r>
        <w:rPr>
          <w:rFonts w:hint="eastAsia" w:ascii="宋体" w:hAnsi="宋体"/>
          <w:color w:val="auto"/>
          <w:sz w:val="21"/>
          <w:szCs w:val="21"/>
        </w:rPr>
        <w:t>15.4保修</w:t>
      </w:r>
    </w:p>
    <w:p w14:paraId="629AE9E2">
      <w:pPr>
        <w:pStyle w:val="274"/>
        <w:spacing w:line="400" w:lineRule="exact"/>
        <w:ind w:firstLine="409"/>
        <w:jc w:val="left"/>
        <w:rPr>
          <w:rFonts w:ascii="宋体"/>
          <w:color w:val="auto"/>
        </w:rPr>
      </w:pPr>
      <w:r>
        <w:rPr>
          <w:rFonts w:hint="eastAsia" w:ascii="宋体" w:hAnsi="宋体"/>
          <w:color w:val="auto"/>
        </w:rPr>
        <w:t>15.4.1 保修责任</w:t>
      </w:r>
    </w:p>
    <w:p w14:paraId="19BFCDE5">
      <w:pPr>
        <w:pStyle w:val="274"/>
        <w:spacing w:line="400" w:lineRule="exact"/>
        <w:ind w:firstLine="409"/>
        <w:jc w:val="left"/>
        <w:rPr>
          <w:rFonts w:ascii="宋体"/>
          <w:color w:val="auto"/>
          <w:kern w:val="0"/>
          <w:u w:val="single"/>
        </w:rPr>
      </w:pPr>
      <w:r>
        <w:rPr>
          <w:rFonts w:hint="eastAsia" w:ascii="宋体" w:hAnsi="宋体"/>
          <w:color w:val="auto"/>
        </w:rPr>
        <w:t>工程保修期为：</w:t>
      </w:r>
      <w:r>
        <w:rPr>
          <w:rFonts w:hint="eastAsia" w:ascii="宋体" w:hAnsi="宋体"/>
          <w:color w:val="auto"/>
          <w:u w:val="single"/>
        </w:rPr>
        <w:t>详见工程质量保修书</w:t>
      </w:r>
      <w:r>
        <w:rPr>
          <w:rFonts w:hint="eastAsia" w:ascii="宋体" w:hAnsi="宋体"/>
          <w:b/>
          <w:bCs/>
          <w:color w:val="auto"/>
          <w:u w:val="single"/>
        </w:rPr>
        <w:t>。</w:t>
      </w:r>
    </w:p>
    <w:p w14:paraId="1062518A">
      <w:pPr>
        <w:pStyle w:val="274"/>
        <w:spacing w:line="400" w:lineRule="exact"/>
        <w:ind w:firstLine="409"/>
        <w:jc w:val="left"/>
        <w:rPr>
          <w:rFonts w:ascii="宋体"/>
          <w:color w:val="auto"/>
        </w:rPr>
      </w:pPr>
      <w:r>
        <w:rPr>
          <w:rFonts w:hint="eastAsia" w:ascii="宋体" w:hAnsi="宋体"/>
          <w:color w:val="auto"/>
        </w:rPr>
        <w:t>15.4.3 修复通知</w:t>
      </w:r>
    </w:p>
    <w:p w14:paraId="25DB7398">
      <w:pPr>
        <w:pStyle w:val="274"/>
        <w:spacing w:line="400" w:lineRule="exact"/>
        <w:ind w:firstLine="409"/>
        <w:jc w:val="left"/>
        <w:rPr>
          <w:rFonts w:ascii="宋体"/>
          <w:color w:val="auto"/>
          <w:kern w:val="0"/>
          <w:u w:val="single"/>
        </w:rPr>
      </w:pPr>
      <w:r>
        <w:rPr>
          <w:rFonts w:hint="eastAsia" w:ascii="宋体" w:hAnsi="宋体"/>
          <w:color w:val="auto"/>
          <w:kern w:val="0"/>
        </w:rPr>
        <w:t>承包人收到保修通知并到达工程现场的合理时间：24小时内</w:t>
      </w:r>
    </w:p>
    <w:p w14:paraId="02395ED7">
      <w:pPr>
        <w:pStyle w:val="273"/>
        <w:spacing w:line="400" w:lineRule="exact"/>
        <w:rPr>
          <w:rFonts w:ascii="宋体"/>
          <w:color w:val="auto"/>
          <w:sz w:val="21"/>
          <w:szCs w:val="21"/>
        </w:rPr>
      </w:pPr>
      <w:r>
        <w:rPr>
          <w:rFonts w:hint="eastAsia" w:ascii="宋体" w:hAnsi="宋体"/>
          <w:color w:val="auto"/>
          <w:sz w:val="21"/>
          <w:szCs w:val="21"/>
        </w:rPr>
        <w:t>16. 违约</w:t>
      </w:r>
    </w:p>
    <w:p w14:paraId="6D0CDA12">
      <w:pPr>
        <w:pStyle w:val="242"/>
        <w:spacing w:line="360" w:lineRule="auto"/>
        <w:ind w:firstLine="367" w:firstLineChars="175"/>
        <w:jc w:val="left"/>
        <w:rPr>
          <w:rFonts w:ascii="宋体" w:hAnsi="宋体"/>
          <w:color w:val="auto"/>
          <w:szCs w:val="21"/>
        </w:rPr>
      </w:pPr>
      <w:r>
        <w:rPr>
          <w:rFonts w:hint="eastAsia" w:ascii="宋体" w:hAnsi="宋体"/>
          <w:color w:val="auto"/>
        </w:rPr>
        <w:t>16.1 发包人违约</w:t>
      </w:r>
    </w:p>
    <w:p w14:paraId="1A4791C2">
      <w:pPr>
        <w:pStyle w:val="242"/>
        <w:spacing w:line="360" w:lineRule="auto"/>
        <w:ind w:firstLine="367" w:firstLineChars="175"/>
        <w:jc w:val="left"/>
        <w:rPr>
          <w:rFonts w:ascii="宋体" w:hAnsi="宋体"/>
          <w:color w:val="auto"/>
        </w:rPr>
      </w:pPr>
      <w:r>
        <w:rPr>
          <w:rFonts w:hint="eastAsia" w:ascii="宋体" w:hAnsi="宋体"/>
          <w:color w:val="auto"/>
        </w:rPr>
        <w:t>16.1.1发包人违约的情形：</w:t>
      </w:r>
      <w:r>
        <w:rPr>
          <w:rFonts w:hint="eastAsia" w:ascii="宋体" w:hAnsi="宋体"/>
          <w:color w:val="auto"/>
          <w:u w:val="single"/>
        </w:rPr>
        <w:t>按本合同通用条款执行</w:t>
      </w:r>
      <w:r>
        <w:rPr>
          <w:rFonts w:hint="eastAsia" w:ascii="宋体" w:hAnsi="宋体" w:cs="仿宋_GB2312"/>
          <w:color w:val="auto"/>
          <w:kern w:val="0"/>
        </w:rPr>
        <w:t>。</w:t>
      </w:r>
    </w:p>
    <w:p w14:paraId="78FBAB55">
      <w:pPr>
        <w:pStyle w:val="242"/>
        <w:spacing w:line="360" w:lineRule="auto"/>
        <w:ind w:firstLine="367" w:firstLineChars="175"/>
        <w:jc w:val="left"/>
        <w:rPr>
          <w:rFonts w:ascii="宋体" w:hAnsi="宋体"/>
          <w:color w:val="auto"/>
        </w:rPr>
      </w:pPr>
      <w:r>
        <w:rPr>
          <w:rFonts w:hint="eastAsia" w:ascii="宋体" w:hAnsi="宋体"/>
          <w:color w:val="auto"/>
        </w:rPr>
        <w:t>16.1.2发包人违约的责任</w:t>
      </w:r>
    </w:p>
    <w:p w14:paraId="16C2FB8E">
      <w:pPr>
        <w:pStyle w:val="242"/>
        <w:spacing w:line="360" w:lineRule="auto"/>
        <w:ind w:firstLine="367" w:firstLineChars="175"/>
        <w:jc w:val="left"/>
        <w:rPr>
          <w:rFonts w:ascii="宋体" w:hAnsi="宋体"/>
          <w:color w:val="auto"/>
        </w:rPr>
      </w:pPr>
      <w:r>
        <w:rPr>
          <w:rFonts w:hint="eastAsia" w:ascii="宋体" w:hAnsi="宋体"/>
          <w:color w:val="auto"/>
        </w:rPr>
        <w:t>发包人违约责任的承担方式和计算方法：</w:t>
      </w:r>
    </w:p>
    <w:p w14:paraId="3501C415">
      <w:pPr>
        <w:pStyle w:val="242"/>
        <w:spacing w:line="360" w:lineRule="auto"/>
        <w:ind w:firstLine="367" w:firstLineChars="175"/>
        <w:jc w:val="left"/>
        <w:rPr>
          <w:rFonts w:ascii="宋体" w:hAnsi="宋体"/>
          <w:color w:val="auto"/>
        </w:rPr>
      </w:pPr>
      <w:r>
        <w:rPr>
          <w:rFonts w:hint="eastAsia" w:ascii="宋体" w:hAnsi="宋体"/>
          <w:color w:val="auto"/>
        </w:rPr>
        <w:t>（1）因发包人原因未能在计划开工日期前7天内下达开工通知的违约责任：</w:t>
      </w:r>
      <w:r>
        <w:rPr>
          <w:rFonts w:hint="eastAsia" w:ascii="宋体" w:hAnsi="宋体"/>
          <w:color w:val="auto"/>
          <w:u w:val="single"/>
        </w:rPr>
        <w:t>按本合同通用条款16.1.2执行</w:t>
      </w:r>
      <w:r>
        <w:rPr>
          <w:rFonts w:hint="eastAsia" w:ascii="宋体" w:hAnsi="宋体"/>
          <w:color w:val="auto"/>
        </w:rPr>
        <w:t>。</w:t>
      </w:r>
    </w:p>
    <w:p w14:paraId="092EF728">
      <w:pPr>
        <w:pStyle w:val="242"/>
        <w:spacing w:line="360" w:lineRule="auto"/>
        <w:ind w:firstLine="367" w:firstLineChars="175"/>
        <w:jc w:val="left"/>
        <w:rPr>
          <w:rFonts w:ascii="宋体" w:hAnsi="宋体"/>
          <w:color w:val="auto"/>
          <w:u w:val="single"/>
        </w:rPr>
      </w:pPr>
      <w:r>
        <w:rPr>
          <w:rFonts w:hint="eastAsia" w:ascii="宋体" w:hAnsi="宋体"/>
          <w:color w:val="auto"/>
        </w:rPr>
        <w:t>（2）因发包人原因未能按合同约定支付合同价款的违约责任：</w:t>
      </w:r>
      <w:r>
        <w:rPr>
          <w:rFonts w:hint="eastAsia" w:ascii="宋体" w:hAnsi="宋体"/>
          <w:color w:val="auto"/>
          <w:u w:val="single"/>
        </w:rPr>
        <w:t>承包人与发包人签订延期付款协议。</w:t>
      </w:r>
    </w:p>
    <w:p w14:paraId="79592120">
      <w:pPr>
        <w:pStyle w:val="242"/>
        <w:spacing w:line="360" w:lineRule="auto"/>
        <w:ind w:firstLine="420" w:firstLineChars="200"/>
        <w:jc w:val="left"/>
        <w:rPr>
          <w:rFonts w:ascii="宋体" w:hAnsi="宋体"/>
          <w:color w:val="auto"/>
          <w:kern w:val="0"/>
        </w:rPr>
      </w:pPr>
      <w:r>
        <w:rPr>
          <w:rFonts w:hint="eastAsia" w:ascii="宋体" w:hAnsi="宋体"/>
          <w:color w:val="auto"/>
        </w:rPr>
        <w:t>（3）发包人提供的材料、工程设备的规格、数量或质量不符合合同约定，或因发包人原因导致交货日期延误或交货地点变更等情况的违约责任：</w:t>
      </w:r>
      <w:r>
        <w:rPr>
          <w:rFonts w:hint="eastAsia" w:ascii="宋体" w:hAnsi="宋体"/>
          <w:color w:val="auto"/>
          <w:u w:val="single"/>
        </w:rPr>
        <w:t>按本合同通用条款执行</w:t>
      </w:r>
      <w:r>
        <w:rPr>
          <w:rFonts w:hint="eastAsia" w:ascii="宋体" w:hAnsi="宋体"/>
          <w:color w:val="auto"/>
          <w:kern w:val="0"/>
        </w:rPr>
        <w:t>。</w:t>
      </w:r>
    </w:p>
    <w:p w14:paraId="2A226E0C">
      <w:pPr>
        <w:pStyle w:val="242"/>
        <w:spacing w:line="360" w:lineRule="auto"/>
        <w:jc w:val="left"/>
        <w:rPr>
          <w:rFonts w:ascii="宋体" w:hAnsi="宋体"/>
          <w:color w:val="auto"/>
        </w:rPr>
      </w:pPr>
      <w:r>
        <w:rPr>
          <w:rFonts w:hint="eastAsia" w:ascii="宋体" w:hAnsi="宋体"/>
          <w:color w:val="auto"/>
        </w:rPr>
        <w:t>（4）因发包人违反合同约定造成暂停施工的违约责任：</w:t>
      </w:r>
      <w:r>
        <w:rPr>
          <w:rFonts w:hint="eastAsia" w:ascii="宋体" w:hAnsi="宋体"/>
          <w:color w:val="auto"/>
          <w:u w:val="single"/>
        </w:rPr>
        <w:t>由发包人承担停工所造成的损失，支付承包人合理的利润，工期相应顺延</w:t>
      </w:r>
      <w:r>
        <w:rPr>
          <w:rFonts w:hint="eastAsia" w:ascii="宋体" w:hAnsi="宋体"/>
          <w:color w:val="auto"/>
          <w:kern w:val="0"/>
        </w:rPr>
        <w:t>。</w:t>
      </w:r>
    </w:p>
    <w:p w14:paraId="3C4F2F5D">
      <w:pPr>
        <w:pStyle w:val="274"/>
        <w:spacing w:line="400" w:lineRule="exact"/>
        <w:ind w:firstLine="420"/>
        <w:jc w:val="left"/>
        <w:rPr>
          <w:rFonts w:ascii="宋体" w:hAnsi="宋体"/>
          <w:color w:val="auto"/>
          <w:kern w:val="0"/>
        </w:rPr>
      </w:pPr>
      <w:r>
        <w:rPr>
          <w:rFonts w:hint="eastAsia" w:ascii="宋体" w:hAnsi="宋体"/>
          <w:color w:val="auto"/>
        </w:rPr>
        <w:t>（5）发包人无正当理由没有在约定期限内发出复工指示，导致承包人无法复工的违约责任：</w:t>
      </w:r>
      <w:r>
        <w:rPr>
          <w:rFonts w:hint="eastAsia" w:ascii="宋体" w:hAnsi="宋体"/>
          <w:color w:val="auto"/>
          <w:u w:val="single"/>
        </w:rPr>
        <w:t>由发包人承担停工所造成的损失，支付承包人合理的利润，工期相应顺延</w:t>
      </w:r>
      <w:r>
        <w:rPr>
          <w:rFonts w:hint="eastAsia" w:ascii="宋体" w:hAnsi="宋体"/>
          <w:color w:val="auto"/>
          <w:kern w:val="0"/>
        </w:rPr>
        <w:t>。</w:t>
      </w:r>
    </w:p>
    <w:p w14:paraId="4C7C942B">
      <w:pPr>
        <w:pStyle w:val="274"/>
        <w:spacing w:line="400" w:lineRule="exact"/>
        <w:ind w:firstLine="420"/>
        <w:jc w:val="left"/>
        <w:rPr>
          <w:rFonts w:ascii="宋体"/>
          <w:color w:val="auto"/>
          <w:kern w:val="0"/>
        </w:rPr>
      </w:pPr>
      <w:r>
        <w:rPr>
          <w:rFonts w:hint="eastAsia" w:ascii="宋体" w:hAnsi="宋体"/>
          <w:color w:val="auto"/>
          <w:kern w:val="0"/>
        </w:rPr>
        <w:t>（6）其他：无</w:t>
      </w:r>
    </w:p>
    <w:p w14:paraId="0B563B39">
      <w:pPr>
        <w:pStyle w:val="274"/>
        <w:spacing w:line="400" w:lineRule="exact"/>
        <w:ind w:firstLine="420"/>
        <w:jc w:val="left"/>
        <w:outlineLvl w:val="0"/>
        <w:rPr>
          <w:rFonts w:ascii="宋体"/>
          <w:color w:val="auto"/>
        </w:rPr>
      </w:pPr>
      <w:bookmarkStart w:id="836" w:name="_Toc18746"/>
      <w:bookmarkStart w:id="837" w:name="_Toc530653202"/>
      <w:bookmarkStart w:id="838" w:name="_Toc25595"/>
      <w:bookmarkStart w:id="839" w:name="_Toc9064"/>
      <w:bookmarkStart w:id="840" w:name="_Toc28074"/>
      <w:bookmarkStart w:id="841" w:name="_Toc8904"/>
      <w:bookmarkStart w:id="842" w:name="_Toc21873"/>
      <w:bookmarkStart w:id="843" w:name="_Toc525396197"/>
      <w:r>
        <w:rPr>
          <w:rFonts w:hint="eastAsia" w:ascii="宋体" w:hAnsi="宋体"/>
          <w:color w:val="auto"/>
        </w:rPr>
        <w:t>16.1.3 因发包人违约解除合同</w:t>
      </w:r>
      <w:bookmarkEnd w:id="836"/>
      <w:bookmarkEnd w:id="837"/>
      <w:bookmarkEnd w:id="838"/>
      <w:bookmarkEnd w:id="839"/>
      <w:bookmarkEnd w:id="840"/>
      <w:bookmarkEnd w:id="841"/>
      <w:bookmarkEnd w:id="842"/>
      <w:bookmarkEnd w:id="843"/>
    </w:p>
    <w:p w14:paraId="5D8333E4">
      <w:pPr>
        <w:pStyle w:val="274"/>
        <w:spacing w:line="400" w:lineRule="exact"/>
        <w:ind w:firstLine="420"/>
        <w:jc w:val="left"/>
        <w:rPr>
          <w:rFonts w:ascii="宋体"/>
          <w:color w:val="auto"/>
          <w:kern w:val="0"/>
        </w:rPr>
      </w:pPr>
      <w:r>
        <w:rPr>
          <w:rFonts w:hint="eastAsia" w:ascii="宋体" w:hAnsi="宋体"/>
          <w:color w:val="auto"/>
          <w:kern w:val="0"/>
        </w:rPr>
        <w:t>承包人按16.1.1项〔发包人违约的情形〕约定暂停施工满</w:t>
      </w:r>
      <w:r>
        <w:rPr>
          <w:rFonts w:hint="eastAsia" w:ascii="宋体" w:hAnsi="宋体"/>
          <w:b/>
          <w:bCs/>
          <w:color w:val="auto"/>
          <w:kern w:val="0"/>
        </w:rPr>
        <w:t>28日历天</w:t>
      </w:r>
      <w:r>
        <w:rPr>
          <w:rFonts w:hint="eastAsia" w:ascii="宋体" w:hAnsi="宋体"/>
          <w:color w:val="auto"/>
          <w:kern w:val="0"/>
        </w:rPr>
        <w:t>后发包人仍不纠正其违约行为并致使合同目的不能实现的，承包人有权解除合同，同时发包人承担给承包人造成的一切相关经济损失。</w:t>
      </w:r>
    </w:p>
    <w:p w14:paraId="0BD1D24E">
      <w:pPr>
        <w:pStyle w:val="273"/>
        <w:spacing w:line="400" w:lineRule="exact"/>
        <w:rPr>
          <w:rFonts w:ascii="宋体"/>
          <w:color w:val="auto"/>
          <w:sz w:val="21"/>
          <w:szCs w:val="21"/>
        </w:rPr>
      </w:pPr>
      <w:r>
        <w:rPr>
          <w:rFonts w:hint="eastAsia" w:ascii="宋体" w:hAnsi="宋体"/>
          <w:color w:val="auto"/>
          <w:sz w:val="21"/>
          <w:szCs w:val="21"/>
        </w:rPr>
        <w:t>16.2 承包人违约</w:t>
      </w:r>
    </w:p>
    <w:p w14:paraId="7F927043">
      <w:pPr>
        <w:pStyle w:val="274"/>
        <w:spacing w:line="400" w:lineRule="exact"/>
        <w:ind w:firstLine="420"/>
        <w:jc w:val="left"/>
        <w:rPr>
          <w:rFonts w:ascii="宋体"/>
          <w:color w:val="auto"/>
          <w:kern w:val="0"/>
        </w:rPr>
      </w:pPr>
      <w:r>
        <w:rPr>
          <w:rFonts w:hint="eastAsia" w:ascii="宋体" w:hAnsi="宋体"/>
          <w:color w:val="auto"/>
          <w:kern w:val="0"/>
        </w:rPr>
        <w:t>16.2.1 承包人违约的情形</w:t>
      </w:r>
    </w:p>
    <w:p w14:paraId="44F42B4A">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（1）承包人违反合同约定进行转包或违法分包的；</w:t>
      </w:r>
    </w:p>
    <w:p w14:paraId="747B4425">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（2）承包人违反合同约定采购和使用不合格的材料和工程设备的；</w:t>
      </w:r>
    </w:p>
    <w:p w14:paraId="58092FF0">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（3）因承包人原因导致工程质量不符合合同要求的；</w:t>
      </w:r>
    </w:p>
    <w:p w14:paraId="0CBBD108">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（4）承包人违反第8.9款〔材料与设备专用要求〕的约定，未经批准，私自将已按照合同约定进入施工现场的材料或设备撤离施工现场的；</w:t>
      </w:r>
    </w:p>
    <w:p w14:paraId="3389B9CC">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（5）承包人未能按施工进度计划及时完成合同约定的工作，造成工期延误的；</w:t>
      </w:r>
    </w:p>
    <w:p w14:paraId="67D7573F">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（6）承包人在缺陷责任期及保修期内，未能在合理期限对工程缺陷进行修复，或拒绝按发包人要求进行修复的；</w:t>
      </w:r>
    </w:p>
    <w:p w14:paraId="7BD2D13E">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（7）承包人明确表示或者以其行为表明不履行合同主要义务的；</w:t>
      </w:r>
    </w:p>
    <w:p w14:paraId="397D059A">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（8）承包人未能按照合同约定履行其他义务的。</w:t>
      </w:r>
    </w:p>
    <w:p w14:paraId="1B14D87E">
      <w:pPr>
        <w:pStyle w:val="242"/>
        <w:autoSpaceDE w:val="0"/>
        <w:autoSpaceDN w:val="0"/>
        <w:adjustRightInd w:val="0"/>
        <w:spacing w:line="360" w:lineRule="auto"/>
        <w:ind w:firstLine="420" w:firstLineChars="200"/>
        <w:rPr>
          <w:rFonts w:ascii="宋体" w:hAnsi="宋体"/>
          <w:color w:val="auto"/>
          <w:kern w:val="0"/>
        </w:rPr>
      </w:pPr>
      <w:r>
        <w:rPr>
          <w:rFonts w:hint="eastAsia" w:ascii="宋体" w:hAnsi="宋体"/>
          <w:color w:val="auto"/>
          <w:kern w:val="0"/>
        </w:rPr>
        <w:t>承包人发生除本项第（7）目约定以外的其他违约情况时，监理人可向承包人发出整改通知，要求其在指定的期限内改正。</w:t>
      </w:r>
    </w:p>
    <w:p w14:paraId="416095AD">
      <w:pPr>
        <w:pStyle w:val="274"/>
        <w:spacing w:line="400" w:lineRule="exact"/>
        <w:ind w:firstLine="420"/>
        <w:jc w:val="left"/>
        <w:rPr>
          <w:rFonts w:ascii="宋体"/>
          <w:color w:val="auto"/>
          <w:kern w:val="0"/>
          <w:u w:val="single"/>
        </w:rPr>
      </w:pPr>
      <w:r>
        <w:rPr>
          <w:rFonts w:hint="eastAsia" w:ascii="宋体" w:hAnsi="宋体"/>
          <w:color w:val="auto"/>
        </w:rPr>
        <w:t>承包人违约的其他情形：承包人有违反《玉林市建设工程造价管理办法》规定的，按规定给予处罚。</w:t>
      </w:r>
    </w:p>
    <w:p w14:paraId="2402043C">
      <w:pPr>
        <w:pStyle w:val="274"/>
        <w:spacing w:line="400" w:lineRule="exact"/>
        <w:ind w:firstLine="420"/>
        <w:jc w:val="left"/>
        <w:outlineLvl w:val="0"/>
        <w:rPr>
          <w:rFonts w:ascii="宋体"/>
          <w:color w:val="auto"/>
          <w:kern w:val="0"/>
        </w:rPr>
      </w:pPr>
      <w:bookmarkStart w:id="844" w:name="_Toc525396198"/>
      <w:bookmarkStart w:id="845" w:name="_Toc13295"/>
      <w:bookmarkStart w:id="846" w:name="_Toc10444"/>
      <w:bookmarkStart w:id="847" w:name="_Toc530653203"/>
      <w:bookmarkStart w:id="848" w:name="_Toc27026"/>
      <w:bookmarkStart w:id="849" w:name="_Toc6745"/>
      <w:bookmarkStart w:id="850" w:name="_Toc19102"/>
      <w:bookmarkStart w:id="851" w:name="_Toc20915"/>
      <w:r>
        <w:rPr>
          <w:rFonts w:hint="eastAsia" w:ascii="宋体" w:hAnsi="宋体"/>
          <w:color w:val="auto"/>
          <w:kern w:val="0"/>
        </w:rPr>
        <w:t>16.2.2承包人违约的责任</w:t>
      </w:r>
      <w:bookmarkEnd w:id="844"/>
      <w:bookmarkEnd w:id="845"/>
      <w:bookmarkEnd w:id="846"/>
      <w:bookmarkEnd w:id="847"/>
      <w:bookmarkEnd w:id="848"/>
      <w:bookmarkEnd w:id="849"/>
      <w:bookmarkEnd w:id="850"/>
      <w:bookmarkEnd w:id="851"/>
    </w:p>
    <w:p w14:paraId="1EA0C53F">
      <w:pPr>
        <w:pStyle w:val="274"/>
        <w:spacing w:line="400" w:lineRule="exact"/>
        <w:ind w:firstLine="420"/>
        <w:jc w:val="left"/>
        <w:rPr>
          <w:rFonts w:ascii="宋体"/>
          <w:color w:val="auto"/>
          <w:kern w:val="0"/>
        </w:rPr>
      </w:pPr>
      <w:r>
        <w:rPr>
          <w:rFonts w:hint="eastAsia" w:ascii="宋体" w:hAnsi="宋体"/>
          <w:color w:val="auto"/>
          <w:kern w:val="0"/>
        </w:rPr>
        <w:t>承包人违约责任的承担方式和计算方法：</w:t>
      </w:r>
    </w:p>
    <w:p w14:paraId="151EBA09">
      <w:pPr>
        <w:pStyle w:val="274"/>
        <w:spacing w:line="400" w:lineRule="exact"/>
        <w:ind w:firstLine="422"/>
        <w:jc w:val="left"/>
        <w:rPr>
          <w:rFonts w:ascii="宋体"/>
          <w:color w:val="auto"/>
          <w:kern w:val="0"/>
        </w:rPr>
      </w:pPr>
      <w:r>
        <w:rPr>
          <w:rFonts w:hint="eastAsia" w:ascii="宋体" w:hAnsi="宋体"/>
          <w:b/>
          <w:bCs/>
          <w:color w:val="auto"/>
          <w:kern w:val="0"/>
        </w:rPr>
        <w:t>（1）承包人未按本合同通用条款第16.2.1（2）、（3）条内容完成的，承包人无条件返工处理，修复至工程质量要求并承担相关费用，并在发包人规定的时间内完成返工</w:t>
      </w:r>
      <w:r>
        <w:rPr>
          <w:rFonts w:hint="eastAsia" w:ascii="宋体" w:hAnsi="宋体"/>
          <w:color w:val="auto"/>
          <w:kern w:val="0"/>
        </w:rPr>
        <w:t>。</w:t>
      </w:r>
    </w:p>
    <w:p w14:paraId="52F8094F">
      <w:pPr>
        <w:pStyle w:val="274"/>
        <w:spacing w:line="400" w:lineRule="exact"/>
        <w:ind w:firstLine="422"/>
        <w:jc w:val="left"/>
        <w:rPr>
          <w:rFonts w:ascii="宋体"/>
          <w:b/>
          <w:bCs/>
          <w:color w:val="auto"/>
          <w:kern w:val="0"/>
        </w:rPr>
      </w:pPr>
      <w:r>
        <w:rPr>
          <w:rFonts w:hint="eastAsia" w:ascii="宋体" w:hAnsi="宋体"/>
          <w:b/>
          <w:bCs/>
          <w:color w:val="auto"/>
          <w:kern w:val="0"/>
        </w:rPr>
        <w:t>（2）承包人有本合同通用条款第16.2.1（6）条情形的，或经监理人检验认为修复质量不合格而承包人拒绝再进行修补的，发包人将扣除承包人全部质量保修金。</w:t>
      </w:r>
    </w:p>
    <w:p w14:paraId="4C46DA36">
      <w:pPr>
        <w:pStyle w:val="274"/>
        <w:spacing w:line="400" w:lineRule="exact"/>
        <w:ind w:firstLine="420"/>
        <w:jc w:val="left"/>
        <w:rPr>
          <w:rFonts w:ascii="宋体" w:hAnsi="宋体"/>
          <w:b/>
          <w:bCs/>
          <w:color w:val="auto"/>
          <w:u w:val="single"/>
        </w:rPr>
      </w:pPr>
      <w:r>
        <w:rPr>
          <w:rFonts w:hint="eastAsia" w:ascii="宋体" w:hAnsi="宋体"/>
          <w:b/>
          <w:bCs/>
          <w:color w:val="auto"/>
          <w:kern w:val="0"/>
        </w:rPr>
        <w:t>（3）承包人有本专用合同条款3.2、3.3条违约责任的，</w:t>
      </w:r>
      <w:r>
        <w:rPr>
          <w:rFonts w:hint="eastAsia" w:ascii="宋体" w:hAnsi="宋体"/>
          <w:b/>
          <w:bCs/>
          <w:color w:val="auto"/>
          <w:u w:val="single"/>
        </w:rPr>
        <w:t>监理人预先下发含有罚款意向的指令，如承包人不及时采取措施纠正，则在指令下达后</w:t>
      </w:r>
      <w:r>
        <w:rPr>
          <w:b/>
          <w:bCs/>
          <w:color w:val="auto"/>
          <w:u w:val="single"/>
        </w:rPr>
        <w:t>30</w:t>
      </w:r>
      <w:r>
        <w:rPr>
          <w:rFonts w:hint="eastAsia" w:ascii="宋体" w:hAnsi="宋体"/>
          <w:b/>
          <w:bCs/>
          <w:color w:val="auto"/>
          <w:u w:val="single"/>
        </w:rPr>
        <w:t>天下发罚款通知书（不再陈述罚款理由）。承包人在合同期内，完成合同规定的全部工程，且质量合格，在本工程施工竣工验收后十五天内可申请返还全部或部分罚款，返还金额由监理人审核，发包人批准。</w:t>
      </w:r>
    </w:p>
    <w:p w14:paraId="31521E11">
      <w:pPr>
        <w:pStyle w:val="274"/>
        <w:spacing w:line="400" w:lineRule="exact"/>
        <w:ind w:firstLine="420"/>
        <w:jc w:val="left"/>
        <w:rPr>
          <w:rFonts w:ascii="宋体"/>
          <w:color w:val="auto"/>
        </w:rPr>
      </w:pPr>
      <w:r>
        <w:rPr>
          <w:rFonts w:hint="eastAsia" w:ascii="宋体" w:hAnsi="宋体"/>
          <w:color w:val="auto"/>
        </w:rPr>
        <w:t>16.2.3 因承包人违约解除合同</w:t>
      </w:r>
    </w:p>
    <w:p w14:paraId="1EF6F8EF">
      <w:pPr>
        <w:pStyle w:val="242"/>
        <w:spacing w:line="360" w:lineRule="auto"/>
        <w:ind w:firstLine="367" w:firstLineChars="175"/>
        <w:jc w:val="left"/>
        <w:rPr>
          <w:rFonts w:ascii="宋体" w:hAnsi="宋体" w:cs="Calibri"/>
          <w:color w:val="auto"/>
        </w:rPr>
      </w:pPr>
      <w:r>
        <w:rPr>
          <w:rFonts w:hint="eastAsia" w:ascii="宋体" w:hAnsi="宋体"/>
          <w:color w:val="auto"/>
        </w:rPr>
        <w:t>关于承包人违约解除合同的特别约定：承包人有违反以下情况之一的，发包人有权解除合同。</w:t>
      </w:r>
    </w:p>
    <w:p w14:paraId="2D9CAB20">
      <w:pPr>
        <w:pStyle w:val="242"/>
        <w:spacing w:line="360" w:lineRule="auto"/>
        <w:ind w:firstLine="367" w:firstLineChars="175"/>
        <w:jc w:val="left"/>
        <w:rPr>
          <w:rFonts w:ascii="宋体" w:hAnsi="宋体" w:cs="Calibri"/>
          <w:color w:val="auto"/>
        </w:rPr>
      </w:pPr>
      <w:r>
        <w:rPr>
          <w:rFonts w:hint="eastAsia" w:ascii="宋体" w:hAnsi="宋体" w:cs="Calibri"/>
          <w:color w:val="auto"/>
        </w:rPr>
        <w:t>(1)</w:t>
      </w:r>
      <w:r>
        <w:rPr>
          <w:rFonts w:hint="eastAsia" w:ascii="宋体" w:hAnsi="宋体"/>
          <w:color w:val="auto"/>
        </w:rPr>
        <w:t>承包人无正当理由不按开工通知的要求及时进场组织施工和不按签订协议书时商订的进度计划有效地开展施工准备，造成工期延误的；</w:t>
      </w:r>
    </w:p>
    <w:p w14:paraId="7FDDE477">
      <w:pPr>
        <w:pStyle w:val="242"/>
        <w:spacing w:line="360" w:lineRule="auto"/>
        <w:ind w:firstLine="367" w:firstLineChars="175"/>
        <w:jc w:val="left"/>
        <w:rPr>
          <w:rFonts w:ascii="宋体" w:hAnsi="宋体" w:cs="Calibri"/>
          <w:color w:val="auto"/>
        </w:rPr>
      </w:pPr>
      <w:r>
        <w:rPr>
          <w:rFonts w:hint="eastAsia" w:ascii="宋体" w:hAnsi="宋体" w:cs="Calibri"/>
          <w:color w:val="auto"/>
        </w:rPr>
        <w:t>(2)</w:t>
      </w:r>
      <w:r>
        <w:rPr>
          <w:rFonts w:hint="eastAsia" w:ascii="宋体" w:hAnsi="宋体"/>
          <w:color w:val="auto"/>
        </w:rPr>
        <w:t>承包人违反本合同通用条款第</w:t>
      </w:r>
      <w:r>
        <w:rPr>
          <w:rFonts w:hint="eastAsia" w:ascii="宋体" w:hAnsi="宋体" w:cs="Calibri"/>
          <w:color w:val="auto"/>
        </w:rPr>
        <w:t>3.5</w:t>
      </w:r>
      <w:r>
        <w:rPr>
          <w:rFonts w:hint="eastAsia" w:ascii="宋体" w:hAnsi="宋体"/>
          <w:color w:val="auto"/>
        </w:rPr>
        <w:t>条规定私自将合同或合同的任何部分或任何权利转让给其他人，或私自将工程或工程的一部分分包出去的；</w:t>
      </w:r>
    </w:p>
    <w:p w14:paraId="3853A33A">
      <w:pPr>
        <w:pStyle w:val="242"/>
        <w:spacing w:line="360" w:lineRule="auto"/>
        <w:ind w:firstLine="367" w:firstLineChars="175"/>
        <w:jc w:val="left"/>
        <w:rPr>
          <w:rFonts w:ascii="宋体" w:hAnsi="宋体" w:cs="Calibri"/>
          <w:color w:val="auto"/>
        </w:rPr>
      </w:pPr>
      <w:r>
        <w:rPr>
          <w:rFonts w:hint="eastAsia" w:ascii="宋体" w:hAnsi="宋体" w:cs="Calibri"/>
          <w:color w:val="auto"/>
        </w:rPr>
        <w:t>(3)</w:t>
      </w:r>
      <w:r>
        <w:rPr>
          <w:rFonts w:hint="eastAsia" w:ascii="宋体" w:hAnsi="宋体"/>
          <w:color w:val="auto"/>
        </w:rPr>
        <w:t>未经监理人批准，承包人私自将已按投标文件承诺进入工地的工程设备、施工设备、临时工程或材料撤离工地的；</w:t>
      </w:r>
    </w:p>
    <w:p w14:paraId="300FA152">
      <w:pPr>
        <w:pStyle w:val="242"/>
        <w:spacing w:line="360" w:lineRule="auto"/>
        <w:ind w:firstLine="367" w:firstLineChars="175"/>
        <w:jc w:val="left"/>
        <w:rPr>
          <w:rFonts w:ascii="宋体" w:hAnsi="宋体" w:cs="Calibri"/>
          <w:color w:val="auto"/>
        </w:rPr>
      </w:pPr>
      <w:r>
        <w:rPr>
          <w:rFonts w:hint="eastAsia" w:ascii="宋体" w:hAnsi="宋体" w:cs="Calibri"/>
          <w:color w:val="auto"/>
        </w:rPr>
        <w:t>(4)</w:t>
      </w:r>
      <w:r>
        <w:rPr>
          <w:rFonts w:hint="eastAsia" w:ascii="宋体" w:hAnsi="宋体"/>
          <w:color w:val="auto"/>
        </w:rPr>
        <w:t>由于承包人原因拒绝按合同进度计划及时完成合同规定的工程，而又未采取有效措施赶上进度，造成工期延误的；</w:t>
      </w:r>
    </w:p>
    <w:p w14:paraId="0F92D1A3">
      <w:pPr>
        <w:pStyle w:val="242"/>
        <w:spacing w:line="360" w:lineRule="auto"/>
        <w:ind w:firstLine="367" w:firstLineChars="175"/>
        <w:jc w:val="left"/>
        <w:rPr>
          <w:rFonts w:ascii="宋体" w:hAnsi="宋体" w:cs="Calibri"/>
          <w:color w:val="auto"/>
        </w:rPr>
      </w:pPr>
      <w:r>
        <w:rPr>
          <w:rFonts w:hint="eastAsia" w:ascii="宋体" w:hAnsi="宋体" w:cs="Calibri"/>
          <w:color w:val="auto"/>
        </w:rPr>
        <w:t>(5)</w:t>
      </w:r>
      <w:r>
        <w:rPr>
          <w:rFonts w:hint="eastAsia" w:ascii="宋体" w:hAnsi="宋体"/>
          <w:color w:val="auto"/>
        </w:rPr>
        <w:t>承包人否认合同有效或拒绝履行合同规定的承包人义务，或由于法律、财务等原因导致承包人无法继续履行或实质上已停止履行合同的义务的；</w:t>
      </w:r>
    </w:p>
    <w:p w14:paraId="7246C66E">
      <w:pPr>
        <w:pStyle w:val="274"/>
        <w:spacing w:before="120" w:after="120" w:line="400" w:lineRule="exact"/>
        <w:ind w:firstLine="420"/>
        <w:rPr>
          <w:rFonts w:ascii="宋体"/>
          <w:color w:val="auto"/>
          <w:kern w:val="0"/>
        </w:rPr>
      </w:pPr>
      <w:r>
        <w:rPr>
          <w:rFonts w:hint="eastAsia" w:ascii="宋体" w:hAnsi="宋体" w:cs="Calibri"/>
          <w:color w:val="auto"/>
        </w:rPr>
        <w:t>(6)</w:t>
      </w:r>
      <w:r>
        <w:rPr>
          <w:rFonts w:hint="eastAsia" w:ascii="宋体" w:hAnsi="宋体"/>
          <w:color w:val="auto"/>
        </w:rPr>
        <w:t>合同签订之日起十五日内，承包人无法按合同规定及投标文件的承诺进场经监理工程师认可的全部人员和机械的。</w:t>
      </w:r>
    </w:p>
    <w:p w14:paraId="3D00D823">
      <w:pPr>
        <w:pStyle w:val="273"/>
        <w:spacing w:line="400" w:lineRule="exact"/>
        <w:rPr>
          <w:rFonts w:ascii="宋体"/>
          <w:color w:val="auto"/>
          <w:sz w:val="21"/>
          <w:szCs w:val="21"/>
        </w:rPr>
      </w:pPr>
      <w:r>
        <w:rPr>
          <w:rFonts w:hint="eastAsia" w:ascii="宋体" w:hAnsi="宋体"/>
          <w:color w:val="auto"/>
          <w:sz w:val="21"/>
          <w:szCs w:val="21"/>
        </w:rPr>
        <w:t>17. 不可抗力</w:t>
      </w:r>
    </w:p>
    <w:p w14:paraId="7F574AD4">
      <w:pPr>
        <w:pStyle w:val="273"/>
        <w:spacing w:line="400" w:lineRule="exact"/>
        <w:rPr>
          <w:rFonts w:ascii="宋体"/>
          <w:color w:val="auto"/>
          <w:sz w:val="21"/>
          <w:szCs w:val="21"/>
        </w:rPr>
      </w:pPr>
      <w:r>
        <w:rPr>
          <w:rFonts w:hint="eastAsia" w:ascii="宋体" w:hAnsi="宋体"/>
          <w:color w:val="auto"/>
          <w:sz w:val="21"/>
          <w:szCs w:val="21"/>
        </w:rPr>
        <w:t>17.1 不可抗力的确认</w:t>
      </w:r>
    </w:p>
    <w:p w14:paraId="0F78768B">
      <w:pPr>
        <w:pStyle w:val="274"/>
        <w:spacing w:line="400" w:lineRule="exact"/>
        <w:ind w:firstLine="420"/>
        <w:jc w:val="left"/>
        <w:rPr>
          <w:rFonts w:ascii="宋体"/>
          <w:color w:val="auto"/>
          <w:kern w:val="0"/>
          <w:u w:val="single"/>
        </w:rPr>
      </w:pPr>
      <w:r>
        <w:rPr>
          <w:rFonts w:hint="eastAsia" w:ascii="宋体" w:hAnsi="宋体"/>
          <w:color w:val="auto"/>
        </w:rPr>
        <w:t>除通用合同条款约定的不可抗力事件之外，视为不可抗力的其他情形：</w:t>
      </w:r>
      <w:r>
        <w:rPr>
          <w:rFonts w:hint="eastAsia" w:ascii="宋体" w:hAnsi="宋体"/>
          <w:color w:val="auto"/>
          <w:kern w:val="0"/>
        </w:rPr>
        <w:t>无</w:t>
      </w:r>
    </w:p>
    <w:p w14:paraId="69A8D56E">
      <w:pPr>
        <w:pStyle w:val="273"/>
        <w:spacing w:line="400" w:lineRule="exact"/>
        <w:rPr>
          <w:rFonts w:ascii="宋体"/>
          <w:color w:val="auto"/>
          <w:sz w:val="21"/>
          <w:szCs w:val="21"/>
        </w:rPr>
      </w:pPr>
      <w:r>
        <w:rPr>
          <w:rFonts w:hint="eastAsia" w:ascii="宋体" w:hAnsi="宋体"/>
          <w:color w:val="auto"/>
          <w:sz w:val="21"/>
          <w:szCs w:val="21"/>
        </w:rPr>
        <w:t>17.4 因不可抗力解除合同</w:t>
      </w:r>
    </w:p>
    <w:p w14:paraId="49FA1460">
      <w:pPr>
        <w:pStyle w:val="274"/>
        <w:spacing w:line="400" w:lineRule="exact"/>
        <w:ind w:firstLine="420"/>
        <w:jc w:val="left"/>
        <w:rPr>
          <w:rFonts w:ascii="宋体"/>
          <w:color w:val="auto"/>
        </w:rPr>
      </w:pPr>
      <w:r>
        <w:rPr>
          <w:rFonts w:hint="eastAsia" w:ascii="宋体" w:hAnsi="宋体"/>
          <w:color w:val="auto"/>
        </w:rPr>
        <w:t>合同解除后，发包人应在商定或确定发包人应支付款项后14日历天内完成款项的支付。</w:t>
      </w:r>
    </w:p>
    <w:p w14:paraId="5DE6C21A">
      <w:pPr>
        <w:pStyle w:val="273"/>
        <w:spacing w:line="400" w:lineRule="exact"/>
        <w:rPr>
          <w:rFonts w:ascii="宋体"/>
          <w:color w:val="auto"/>
          <w:sz w:val="21"/>
          <w:szCs w:val="21"/>
        </w:rPr>
      </w:pPr>
      <w:r>
        <w:rPr>
          <w:rFonts w:hint="eastAsia" w:ascii="宋体" w:hAnsi="宋体"/>
          <w:color w:val="auto"/>
          <w:sz w:val="21"/>
          <w:szCs w:val="21"/>
        </w:rPr>
        <w:t>18. 保险</w:t>
      </w:r>
    </w:p>
    <w:p w14:paraId="0F00124C">
      <w:pPr>
        <w:pStyle w:val="273"/>
        <w:spacing w:line="400" w:lineRule="exact"/>
        <w:rPr>
          <w:rFonts w:ascii="宋体"/>
          <w:color w:val="auto"/>
          <w:sz w:val="21"/>
          <w:szCs w:val="21"/>
        </w:rPr>
      </w:pPr>
      <w:r>
        <w:rPr>
          <w:rFonts w:hint="eastAsia" w:ascii="宋体" w:hAnsi="宋体"/>
          <w:color w:val="auto"/>
          <w:sz w:val="21"/>
          <w:szCs w:val="21"/>
        </w:rPr>
        <w:t>18.1 工程保险</w:t>
      </w:r>
    </w:p>
    <w:p w14:paraId="7872775C">
      <w:pPr>
        <w:pStyle w:val="274"/>
        <w:spacing w:line="400" w:lineRule="exact"/>
        <w:ind w:firstLine="420"/>
        <w:jc w:val="left"/>
        <w:rPr>
          <w:rFonts w:ascii="宋体"/>
          <w:color w:val="auto"/>
        </w:rPr>
      </w:pPr>
      <w:r>
        <w:rPr>
          <w:rFonts w:hint="eastAsia" w:ascii="宋体" w:hAnsi="宋体"/>
          <w:color w:val="auto"/>
        </w:rPr>
        <w:t>关于工程保险的特别约定：</w:t>
      </w:r>
      <w:r>
        <w:rPr>
          <w:rFonts w:hint="eastAsia" w:ascii="宋体" w:hAnsi="宋体"/>
          <w:color w:val="auto"/>
          <w:kern w:val="0"/>
        </w:rPr>
        <w:t>另行协商。</w:t>
      </w:r>
    </w:p>
    <w:p w14:paraId="3B6CEDEF">
      <w:pPr>
        <w:pStyle w:val="273"/>
        <w:spacing w:line="400" w:lineRule="exact"/>
        <w:rPr>
          <w:rFonts w:ascii="宋体"/>
          <w:color w:val="auto"/>
          <w:sz w:val="21"/>
          <w:szCs w:val="21"/>
        </w:rPr>
      </w:pPr>
      <w:r>
        <w:rPr>
          <w:rFonts w:hint="eastAsia" w:ascii="宋体" w:hAnsi="宋体"/>
          <w:color w:val="auto"/>
          <w:sz w:val="21"/>
          <w:szCs w:val="21"/>
        </w:rPr>
        <w:t>18.3 其他保险</w:t>
      </w:r>
    </w:p>
    <w:p w14:paraId="018C7EF6">
      <w:pPr>
        <w:pStyle w:val="274"/>
        <w:spacing w:line="400" w:lineRule="exact"/>
        <w:ind w:firstLine="420"/>
        <w:jc w:val="left"/>
        <w:rPr>
          <w:rFonts w:ascii="宋体"/>
          <w:color w:val="auto"/>
          <w:kern w:val="0"/>
        </w:rPr>
      </w:pPr>
      <w:r>
        <w:rPr>
          <w:rFonts w:hint="eastAsia" w:ascii="宋体" w:hAnsi="宋体"/>
          <w:color w:val="auto"/>
        </w:rPr>
        <w:t>关于其他保险的约定：</w:t>
      </w:r>
      <w:r>
        <w:rPr>
          <w:rFonts w:hint="eastAsia" w:ascii="宋体" w:hAnsi="宋体"/>
          <w:b/>
          <w:bCs/>
          <w:color w:val="auto"/>
          <w:u w:val="single"/>
        </w:rPr>
        <w:t>承包人必须为施工现场从事施工的所有作业人员和管理人员办理意外伤害保险，并支付保险费。</w:t>
      </w:r>
    </w:p>
    <w:p w14:paraId="4AFFE324">
      <w:pPr>
        <w:pStyle w:val="274"/>
        <w:spacing w:line="400" w:lineRule="exact"/>
        <w:ind w:firstLine="420"/>
        <w:jc w:val="left"/>
        <w:rPr>
          <w:rFonts w:ascii="宋体"/>
          <w:color w:val="auto"/>
          <w:u w:val="single"/>
        </w:rPr>
      </w:pPr>
      <w:r>
        <w:rPr>
          <w:rFonts w:hint="eastAsia" w:ascii="宋体" w:hAnsi="宋体"/>
          <w:color w:val="auto"/>
        </w:rPr>
        <w:t>承包人是否应为其施工设备等办理财产保险：</w:t>
      </w:r>
      <w:r>
        <w:rPr>
          <w:rFonts w:hint="eastAsia" w:ascii="宋体" w:hAnsi="宋体"/>
          <w:b/>
          <w:bCs/>
          <w:color w:val="auto"/>
          <w:u w:val="single"/>
        </w:rPr>
        <w:t>由承包人自行决定是否购买</w:t>
      </w:r>
      <w:r>
        <w:rPr>
          <w:rFonts w:hint="eastAsia" w:ascii="宋体" w:hAnsi="宋体"/>
          <w:color w:val="auto"/>
        </w:rPr>
        <w:t>。</w:t>
      </w:r>
    </w:p>
    <w:p w14:paraId="55580C14">
      <w:pPr>
        <w:pStyle w:val="273"/>
        <w:spacing w:line="400" w:lineRule="exact"/>
        <w:rPr>
          <w:rFonts w:ascii="宋体"/>
          <w:color w:val="auto"/>
          <w:sz w:val="21"/>
          <w:szCs w:val="21"/>
        </w:rPr>
      </w:pPr>
      <w:r>
        <w:rPr>
          <w:rFonts w:hint="eastAsia" w:ascii="宋体" w:hAnsi="宋体"/>
          <w:color w:val="auto"/>
          <w:sz w:val="21"/>
          <w:szCs w:val="21"/>
        </w:rPr>
        <w:t>18.7 通知义务</w:t>
      </w:r>
    </w:p>
    <w:p w14:paraId="534FBF2E">
      <w:pPr>
        <w:pStyle w:val="274"/>
        <w:spacing w:line="400" w:lineRule="exact"/>
        <w:ind w:firstLine="420"/>
        <w:jc w:val="left"/>
        <w:rPr>
          <w:rFonts w:ascii="宋体"/>
          <w:color w:val="auto"/>
          <w:u w:val="single"/>
        </w:rPr>
      </w:pPr>
      <w:r>
        <w:rPr>
          <w:rFonts w:hint="eastAsia" w:ascii="宋体" w:hAnsi="宋体"/>
          <w:color w:val="auto"/>
          <w:kern w:val="0"/>
        </w:rPr>
        <w:t>关于变更保险合同时的通知义务的约定：</w:t>
      </w:r>
      <w:r>
        <w:rPr>
          <w:rFonts w:hint="eastAsia" w:ascii="宋体" w:hAnsi="宋体"/>
          <w:b/>
          <w:bCs/>
          <w:color w:val="auto"/>
          <w:u w:val="single"/>
        </w:rPr>
        <w:t>本项目建设过程中，不得变更保险合同</w:t>
      </w:r>
      <w:r>
        <w:rPr>
          <w:b/>
          <w:bCs/>
          <w:color w:val="auto"/>
          <w:u w:val="single"/>
        </w:rPr>
        <w:t xml:space="preserve"> </w:t>
      </w:r>
      <w:r>
        <w:rPr>
          <w:rFonts w:hint="eastAsia" w:ascii="宋体" w:hAnsi="宋体"/>
          <w:b/>
          <w:bCs/>
          <w:color w:val="auto"/>
          <w:u w:val="single"/>
        </w:rPr>
        <w:t>，除非承包人或发包人因需办理工商更名</w:t>
      </w:r>
      <w:r>
        <w:rPr>
          <w:rFonts w:hint="eastAsia" w:ascii="宋体" w:hAnsi="宋体"/>
          <w:color w:val="auto"/>
        </w:rPr>
        <w:t>。</w:t>
      </w:r>
    </w:p>
    <w:p w14:paraId="042CD75F">
      <w:pPr>
        <w:pStyle w:val="273"/>
        <w:spacing w:line="400" w:lineRule="exact"/>
        <w:rPr>
          <w:rFonts w:ascii="宋体"/>
          <w:color w:val="auto"/>
          <w:sz w:val="21"/>
          <w:szCs w:val="21"/>
        </w:rPr>
      </w:pPr>
      <w:r>
        <w:rPr>
          <w:rFonts w:hint="eastAsia" w:ascii="宋体" w:hAnsi="宋体"/>
          <w:color w:val="auto"/>
          <w:sz w:val="21"/>
          <w:szCs w:val="21"/>
        </w:rPr>
        <w:t>20. 争议解决</w:t>
      </w:r>
    </w:p>
    <w:p w14:paraId="547BE083">
      <w:pPr>
        <w:pStyle w:val="273"/>
        <w:spacing w:line="400" w:lineRule="exact"/>
        <w:rPr>
          <w:rFonts w:ascii="宋体"/>
          <w:color w:val="auto"/>
          <w:sz w:val="21"/>
          <w:szCs w:val="21"/>
        </w:rPr>
      </w:pPr>
      <w:r>
        <w:rPr>
          <w:rFonts w:hint="eastAsia" w:ascii="宋体" w:hAnsi="宋体"/>
          <w:color w:val="auto"/>
          <w:sz w:val="21"/>
          <w:szCs w:val="21"/>
        </w:rPr>
        <w:t>20.3 争议评审</w:t>
      </w:r>
    </w:p>
    <w:p w14:paraId="019BAFBE">
      <w:pPr>
        <w:pStyle w:val="242"/>
        <w:spacing w:line="360" w:lineRule="auto"/>
        <w:ind w:firstLine="367" w:firstLineChars="175"/>
        <w:jc w:val="left"/>
        <w:rPr>
          <w:rFonts w:ascii="宋体" w:hAnsi="宋体"/>
          <w:color w:val="auto"/>
          <w:szCs w:val="21"/>
        </w:rPr>
      </w:pPr>
      <w:r>
        <w:rPr>
          <w:rFonts w:hint="eastAsia" w:ascii="宋体" w:hAnsi="宋体"/>
          <w:color w:val="auto"/>
        </w:rPr>
        <w:t>因合同及合同有关事项发生的争议，按下列</w:t>
      </w:r>
      <w:r>
        <w:rPr>
          <w:rFonts w:hint="eastAsia" w:ascii="宋体" w:hAnsi="宋体"/>
          <w:color w:val="auto"/>
          <w:u w:val="single"/>
        </w:rPr>
        <w:t>第2种</w:t>
      </w:r>
      <w:r>
        <w:rPr>
          <w:rFonts w:hint="eastAsia" w:ascii="宋体" w:hAnsi="宋体"/>
          <w:color w:val="auto"/>
        </w:rPr>
        <w:t>方式解决：</w:t>
      </w:r>
    </w:p>
    <w:p w14:paraId="22D4611B">
      <w:pPr>
        <w:pStyle w:val="242"/>
        <w:spacing w:line="360" w:lineRule="auto"/>
        <w:ind w:firstLine="367" w:firstLineChars="175"/>
        <w:jc w:val="left"/>
        <w:rPr>
          <w:rFonts w:ascii="宋体" w:hAnsi="宋体"/>
          <w:color w:val="auto"/>
        </w:rPr>
      </w:pPr>
      <w:r>
        <w:rPr>
          <w:rFonts w:hint="eastAsia" w:ascii="宋体" w:hAnsi="宋体"/>
          <w:color w:val="auto"/>
        </w:rPr>
        <w:t>（1）提请玉林仲裁委员会按照该会仲裁规则进行仲裁，仲裁裁决是终局的，对合同双方均有约束力。</w:t>
      </w:r>
    </w:p>
    <w:p w14:paraId="475889AE">
      <w:pPr>
        <w:pStyle w:val="281"/>
        <w:spacing w:line="400" w:lineRule="exact"/>
        <w:ind w:firstLine="420"/>
        <w:jc w:val="left"/>
        <w:rPr>
          <w:color w:val="auto"/>
          <w:kern w:val="0"/>
        </w:rPr>
      </w:pPr>
      <w:r>
        <w:rPr>
          <w:rFonts w:hint="eastAsia" w:ascii="宋体" w:hAnsi="宋体"/>
          <w:color w:val="auto"/>
        </w:rPr>
        <w:t>（2）向</w:t>
      </w:r>
      <w:r>
        <w:rPr>
          <w:rFonts w:hint="eastAsia" w:ascii="宋体" w:hAnsi="宋体"/>
          <w:color w:val="auto"/>
          <w:u w:val="single"/>
        </w:rPr>
        <w:t>玉林市</w:t>
      </w:r>
      <w:r>
        <w:rPr>
          <w:rFonts w:hint="eastAsia" w:ascii="宋体" w:hAnsi="宋体"/>
          <w:color w:val="auto"/>
        </w:rPr>
        <w:t>人民法院起诉。</w:t>
      </w:r>
    </w:p>
    <w:p w14:paraId="267322DC">
      <w:pPr>
        <w:pStyle w:val="273"/>
        <w:spacing w:line="400" w:lineRule="exact"/>
        <w:rPr>
          <w:rFonts w:ascii="宋体"/>
          <w:color w:val="auto"/>
          <w:sz w:val="21"/>
          <w:szCs w:val="21"/>
        </w:rPr>
      </w:pPr>
      <w:r>
        <w:rPr>
          <w:rFonts w:hint="eastAsia" w:ascii="宋体" w:hAnsi="宋体"/>
          <w:color w:val="auto"/>
          <w:sz w:val="21"/>
          <w:szCs w:val="21"/>
        </w:rPr>
        <w:t>21. 补充条款</w:t>
      </w:r>
    </w:p>
    <w:p w14:paraId="271F0515">
      <w:pPr>
        <w:pStyle w:val="281"/>
        <w:spacing w:line="400" w:lineRule="exact"/>
        <w:ind w:firstLine="420"/>
        <w:rPr>
          <w:rFonts w:ascii="宋体" w:hAnsi="宋体"/>
          <w:color w:val="auto"/>
        </w:rPr>
      </w:pPr>
      <w:r>
        <w:rPr>
          <w:rFonts w:hint="eastAsia" w:ascii="宋体" w:hAnsi="宋体"/>
          <w:color w:val="auto"/>
        </w:rPr>
        <w:t>21.1 凡进入本工程工作的妇女应持有计生证、否则不准安排工作，禁止使用童工。</w:t>
      </w:r>
    </w:p>
    <w:p w14:paraId="4C0984EC">
      <w:pPr>
        <w:pStyle w:val="281"/>
        <w:spacing w:line="400" w:lineRule="exact"/>
        <w:ind w:firstLine="420"/>
        <w:rPr>
          <w:rFonts w:ascii="宋体"/>
          <w:color w:val="auto"/>
          <w:sz w:val="24"/>
          <w:szCs w:val="24"/>
        </w:rPr>
      </w:pPr>
      <w:r>
        <w:rPr>
          <w:rFonts w:hint="eastAsia" w:ascii="宋体" w:hAnsi="宋体"/>
          <w:color w:val="auto"/>
        </w:rPr>
        <w:t>21.2项目经理及项目经理部主要人员的约定：</w:t>
      </w:r>
    </w:p>
    <w:p w14:paraId="5F5BF08E">
      <w:pPr>
        <w:pStyle w:val="281"/>
        <w:spacing w:line="400" w:lineRule="exact"/>
        <w:ind w:firstLine="420"/>
        <w:rPr>
          <w:rFonts w:ascii="宋体"/>
          <w:color w:val="auto"/>
        </w:rPr>
      </w:pPr>
      <w:r>
        <w:rPr>
          <w:rFonts w:hint="eastAsia" w:ascii="宋体" w:hAnsi="宋体"/>
          <w:color w:val="auto"/>
        </w:rPr>
        <w:t>21.2.1承包人拟派往本工程项目的组成人员必须原则上是本单位注册人员，不得外聘，并保证施工全程在本项目工地工作</w:t>
      </w:r>
      <w:r>
        <w:rPr>
          <w:rFonts w:hint="eastAsia" w:ascii="宋体"/>
          <w:color w:val="auto"/>
        </w:rPr>
        <w:t>,</w:t>
      </w:r>
      <w:r>
        <w:rPr>
          <w:rFonts w:hint="eastAsia" w:ascii="宋体" w:hAnsi="宋体"/>
          <w:color w:val="auto"/>
        </w:rPr>
        <w:t>任何人员变动</w:t>
      </w:r>
      <w:r>
        <w:rPr>
          <w:rFonts w:hint="eastAsia" w:ascii="宋体"/>
          <w:color w:val="auto"/>
        </w:rPr>
        <w:t>,</w:t>
      </w:r>
      <w:r>
        <w:rPr>
          <w:rFonts w:hint="eastAsia" w:ascii="宋体" w:hAnsi="宋体"/>
          <w:color w:val="auto"/>
        </w:rPr>
        <w:t>均被发包人视为违约。项目经理必须具备招标文件规定要求的资质；技术负责人具有相应专业中级及以上职称；项目主要人员，即施工员、质检员、材料员、安全员、造价员（以下简称</w:t>
      </w:r>
      <w:r>
        <w:rPr>
          <w:color w:val="auto"/>
        </w:rPr>
        <w:t>“</w:t>
      </w:r>
      <w:r>
        <w:rPr>
          <w:rFonts w:hint="eastAsia" w:ascii="宋体" w:hAnsi="宋体"/>
          <w:color w:val="auto"/>
        </w:rPr>
        <w:t>五大员</w:t>
      </w:r>
      <w:r>
        <w:rPr>
          <w:color w:val="auto"/>
        </w:rPr>
        <w:t>”</w:t>
      </w:r>
      <w:r>
        <w:rPr>
          <w:rFonts w:hint="eastAsia" w:ascii="宋体" w:hAnsi="宋体"/>
          <w:color w:val="auto"/>
        </w:rPr>
        <w:t>）必须具有有效的上岗证。</w:t>
      </w:r>
    </w:p>
    <w:p w14:paraId="4EFA01B2">
      <w:pPr>
        <w:pStyle w:val="281"/>
        <w:spacing w:line="400" w:lineRule="exact"/>
        <w:ind w:firstLine="420"/>
        <w:rPr>
          <w:rFonts w:ascii="宋体"/>
          <w:color w:val="auto"/>
        </w:rPr>
      </w:pPr>
      <w:r>
        <w:rPr>
          <w:rFonts w:hint="eastAsia" w:ascii="宋体" w:hAnsi="宋体"/>
          <w:color w:val="auto"/>
        </w:rPr>
        <w:t>21.2.2承包人不得擅自更换项目经理、项目技术负责人和</w:t>
      </w:r>
      <w:r>
        <w:rPr>
          <w:color w:val="auto"/>
        </w:rPr>
        <w:t>“</w:t>
      </w:r>
      <w:r>
        <w:rPr>
          <w:rFonts w:hint="eastAsia" w:ascii="宋体" w:hAnsi="宋体"/>
          <w:color w:val="auto"/>
        </w:rPr>
        <w:t>五大员</w:t>
      </w:r>
      <w:r>
        <w:rPr>
          <w:color w:val="auto"/>
        </w:rPr>
        <w:t>”</w:t>
      </w:r>
      <w:r>
        <w:rPr>
          <w:rFonts w:hint="eastAsia" w:ascii="宋体" w:hAnsi="宋体"/>
          <w:color w:val="auto"/>
        </w:rPr>
        <w:t>，并且要求该人员均为承包人的正式职工，如更换承包人将承担违约责任，如在开工前更换，则取消中标资格，投标保证金不予退还。若承包人提出更换项目经理的，须经发包人认定为特殊情况，并经建设监督主管部门及发包人同意，承包人方可更换。经发包人同意承包人更换项目经理和技术负责人（不得同时更换）及现场施工员的，更换的人员必须与被更换人员有同等的资质。若未经承包人同意，承包人擅自更换项目经理或擅自更换除项目经理外项目管理部成员超过三人的，视承包人违约，发包人有权中止合同，承包人违约责任按第16.2条款执行。</w:t>
      </w:r>
    </w:p>
    <w:p w14:paraId="4954967C">
      <w:pPr>
        <w:pStyle w:val="281"/>
        <w:spacing w:line="400" w:lineRule="exact"/>
        <w:ind w:firstLine="420"/>
        <w:rPr>
          <w:rFonts w:ascii="宋体"/>
          <w:color w:val="auto"/>
        </w:rPr>
      </w:pPr>
      <w:r>
        <w:rPr>
          <w:rFonts w:hint="eastAsia" w:ascii="宋体" w:hAnsi="宋体"/>
          <w:color w:val="auto"/>
        </w:rPr>
        <w:t>21.3项目经理及项目经理部人员的出勤考核：</w:t>
      </w:r>
    </w:p>
    <w:p w14:paraId="4945F7E3">
      <w:pPr>
        <w:pStyle w:val="281"/>
        <w:spacing w:line="400" w:lineRule="exact"/>
        <w:ind w:firstLine="420"/>
        <w:rPr>
          <w:rFonts w:ascii="宋体"/>
          <w:color w:val="auto"/>
        </w:rPr>
      </w:pPr>
      <w:r>
        <w:rPr>
          <w:rFonts w:hint="eastAsia" w:ascii="宋体" w:hAnsi="宋体"/>
          <w:color w:val="auto"/>
        </w:rPr>
        <w:t>21.3.1为了切实地维护招标投标的严肃性，杜绝合同履行过程中转包、变相转包、挂靠等现象的发生。本工程将对承包人项目经理、施工员实行严格的现场签到考核制度。</w:t>
      </w:r>
    </w:p>
    <w:p w14:paraId="0E2A5851">
      <w:pPr>
        <w:pStyle w:val="281"/>
        <w:spacing w:line="400" w:lineRule="exact"/>
        <w:ind w:firstLine="420"/>
        <w:rPr>
          <w:rFonts w:ascii="宋体"/>
          <w:color w:val="auto"/>
        </w:rPr>
      </w:pPr>
      <w:r>
        <w:rPr>
          <w:rFonts w:hint="eastAsia" w:ascii="宋体" w:hAnsi="宋体"/>
          <w:color w:val="auto"/>
        </w:rPr>
        <w:t>21.3.2若项目经理、现场施工员、质检员在合同履行过程中未能执行现场签到制度，出现工作日无故离开施工现场的情况，承包人将承担如下责任：</w:t>
      </w:r>
    </w:p>
    <w:p w14:paraId="5B68F4FC">
      <w:pPr>
        <w:pStyle w:val="281"/>
        <w:spacing w:line="400" w:lineRule="exact"/>
        <w:ind w:firstLine="420"/>
        <w:rPr>
          <w:rFonts w:ascii="宋体"/>
          <w:color w:val="auto"/>
        </w:rPr>
      </w:pPr>
      <w:r>
        <w:rPr>
          <w:rFonts w:hint="eastAsia" w:ascii="宋体" w:hAnsi="宋体"/>
          <w:color w:val="auto"/>
        </w:rPr>
        <w:t>（1）项目经理未向发包人派驻工地的工程师及监理工程师提出书面申请，或提出书面申请未能得到书面批准离开施工现场4小时以上的，每次对承包人处以人民币1000元的罚款；</w:t>
      </w:r>
    </w:p>
    <w:p w14:paraId="2097DD8E">
      <w:pPr>
        <w:pStyle w:val="281"/>
        <w:spacing w:line="400" w:lineRule="exact"/>
        <w:ind w:firstLine="420"/>
        <w:rPr>
          <w:rFonts w:ascii="宋体"/>
          <w:color w:val="auto"/>
        </w:rPr>
      </w:pPr>
      <w:r>
        <w:rPr>
          <w:rFonts w:hint="eastAsia" w:ascii="宋体" w:hAnsi="宋体"/>
          <w:color w:val="auto"/>
        </w:rPr>
        <w:t>（2）施工员未向发包人派驻工地的工程师及监理工程师提出书面申请，或提出书面申请未能得到书面批准离开施工现场4小时以上的，每次对承包人处以人民币500元的罚款；</w:t>
      </w:r>
    </w:p>
    <w:p w14:paraId="42109861">
      <w:pPr>
        <w:pStyle w:val="281"/>
        <w:spacing w:line="400" w:lineRule="exact"/>
        <w:ind w:firstLine="420"/>
        <w:rPr>
          <w:rFonts w:ascii="宋体"/>
          <w:color w:val="auto"/>
        </w:rPr>
      </w:pPr>
      <w:r>
        <w:rPr>
          <w:rFonts w:hint="eastAsia" w:ascii="宋体" w:hAnsi="宋体"/>
          <w:color w:val="auto"/>
        </w:rPr>
        <w:t>21.3.3施工期间，项目经理部人员的出勤考核由监理单位负责（按日历天计算）。项目经理未按规定的到位，每少一天发包人扣减人民币1000元作为违约金；项目现场施工员、质检员在施工期间（施工间歇时间或停工期间除外）不能缺岗，否则每缺岗一天发包人扣减人民币200元作为违约金。</w:t>
      </w:r>
    </w:p>
    <w:p w14:paraId="5EFC5C03">
      <w:pPr>
        <w:pStyle w:val="281"/>
        <w:spacing w:line="400" w:lineRule="exact"/>
        <w:ind w:firstLine="420"/>
        <w:rPr>
          <w:rFonts w:ascii="宋体"/>
          <w:color w:val="auto"/>
        </w:rPr>
      </w:pPr>
      <w:r>
        <w:rPr>
          <w:rFonts w:hint="eastAsia" w:ascii="宋体" w:hAnsi="宋体"/>
          <w:color w:val="auto"/>
        </w:rPr>
        <w:t>21.3.4承包人项目经理或施工员未向发包人派驻工地的工程师及监理工程师提出书面申请，或提出书面申请未能得到书面批准离开施工现场连续五个工作日，或累计十个工作日的，发包人保留行使如下措施的权利：勒令承包人限期更换相关施工人员。</w:t>
      </w:r>
    </w:p>
    <w:p w14:paraId="784CC643">
      <w:pPr>
        <w:pStyle w:val="281"/>
        <w:spacing w:line="400" w:lineRule="exact"/>
        <w:ind w:firstLine="420"/>
        <w:rPr>
          <w:rFonts w:ascii="宋体"/>
          <w:color w:val="auto"/>
        </w:rPr>
      </w:pPr>
      <w:r>
        <w:rPr>
          <w:rFonts w:hint="eastAsia" w:ascii="宋体" w:hAnsi="宋体"/>
          <w:color w:val="auto"/>
        </w:rPr>
        <w:t>21.4安全生产的管理</w:t>
      </w:r>
      <w:r>
        <w:rPr>
          <w:color w:val="auto"/>
        </w:rPr>
        <w:t xml:space="preserve"> </w:t>
      </w:r>
    </w:p>
    <w:p w14:paraId="2B1934A8">
      <w:pPr>
        <w:pStyle w:val="281"/>
        <w:spacing w:line="400" w:lineRule="exact"/>
        <w:ind w:firstLine="420"/>
        <w:rPr>
          <w:rFonts w:ascii="宋体"/>
          <w:color w:val="auto"/>
        </w:rPr>
      </w:pPr>
      <w:r>
        <w:rPr>
          <w:rFonts w:hint="eastAsia" w:ascii="宋体" w:hAnsi="宋体"/>
          <w:color w:val="auto"/>
        </w:rPr>
        <w:t>国家已公布的《中华人民共和国安全生产法》及其它与建筑工程有关的法律法规作为本合同的组成部分，承包人必须严格履行其规定，否则，将视为承包人违约，发包人和监理工程师及现场管理人员有权责令停工整改，并可罚以壹仟元至伍仟元的违约金。承包人在与发包人签订《合同协议书》同时，必须同时与发包人签订《安全生产责任书》，承包人应严格履行与发包人签订的《安全生产责任书》和国家有关安全生产的法律、法规，承担对自身安全生产的检查、管理和监督责任，并对自身的人员、财产安全负责。若发生安全责任事故，致使发包人承担经济责任的，涉及所有款项均由承包人负责。违反本合同规定造成安全生产责任事故，发包人将按国家有关安全生产的法律、法规、本合同、《安全生产责任书》、本项目《承包人的履约评价标准》等有关规定处理。本工程措施项目中的安全施工增加费、文明施工增加费、环境保护费、临时设施费经检查考核符合要求后，每月支付一次，但总价不得超出该四项费用的总费用。</w:t>
      </w:r>
    </w:p>
    <w:p w14:paraId="506532AC">
      <w:pPr>
        <w:pStyle w:val="281"/>
        <w:spacing w:line="400" w:lineRule="exact"/>
        <w:ind w:firstLine="420"/>
        <w:rPr>
          <w:rFonts w:ascii="宋体"/>
          <w:color w:val="auto"/>
        </w:rPr>
      </w:pPr>
      <w:r>
        <w:rPr>
          <w:rFonts w:hint="eastAsia" w:ascii="宋体" w:hAnsi="宋体"/>
          <w:color w:val="auto"/>
        </w:rPr>
        <w:t>21.4.1无专职安全员或无证上岗罚款200元/次</w:t>
      </w:r>
    </w:p>
    <w:p w14:paraId="72307291">
      <w:pPr>
        <w:pStyle w:val="281"/>
        <w:spacing w:line="400" w:lineRule="exact"/>
        <w:ind w:firstLine="420"/>
        <w:rPr>
          <w:rFonts w:ascii="宋体"/>
          <w:color w:val="auto"/>
        </w:rPr>
      </w:pPr>
      <w:r>
        <w:rPr>
          <w:rFonts w:hint="eastAsia" w:ascii="宋体" w:hAnsi="宋体"/>
          <w:color w:val="auto"/>
        </w:rPr>
        <w:t>21.4.2进入施工现场未戴安全帽工人50元/人、管理100元/人/次</w:t>
      </w:r>
    </w:p>
    <w:p w14:paraId="727371C6">
      <w:pPr>
        <w:pStyle w:val="281"/>
        <w:spacing w:line="400" w:lineRule="exact"/>
        <w:ind w:firstLine="420"/>
        <w:rPr>
          <w:rFonts w:ascii="宋体"/>
          <w:color w:val="auto"/>
        </w:rPr>
      </w:pPr>
      <w:r>
        <w:rPr>
          <w:rFonts w:hint="eastAsia" w:ascii="宋体" w:hAnsi="宋体"/>
          <w:color w:val="auto"/>
        </w:rPr>
        <w:t>21.4.3脚手架立杆间距过大、节点设置不规范，脚手架立杆地面未硬化罚款100元/次</w:t>
      </w:r>
      <w:r>
        <w:rPr>
          <w:rFonts w:hint="eastAsia" w:ascii="宋体"/>
          <w:color w:val="auto"/>
        </w:rPr>
        <w:t>.</w:t>
      </w:r>
      <w:r>
        <w:rPr>
          <w:rFonts w:hint="eastAsia" w:ascii="宋体" w:hAnsi="宋体"/>
          <w:color w:val="auto"/>
        </w:rPr>
        <w:t>处</w:t>
      </w:r>
    </w:p>
    <w:p w14:paraId="4AC98AC5">
      <w:pPr>
        <w:pStyle w:val="281"/>
        <w:spacing w:line="400" w:lineRule="exact"/>
        <w:ind w:firstLine="420"/>
        <w:rPr>
          <w:rFonts w:ascii="宋体"/>
          <w:color w:val="auto"/>
        </w:rPr>
      </w:pPr>
      <w:r>
        <w:rPr>
          <w:rFonts w:hint="eastAsia" w:ascii="宋体" w:hAnsi="宋体"/>
          <w:color w:val="auto"/>
        </w:rPr>
        <w:t>21.4.4存在安全隐患整改不在时限内完成的罚款200-500元/次</w:t>
      </w:r>
    </w:p>
    <w:p w14:paraId="39D4885B">
      <w:pPr>
        <w:pStyle w:val="281"/>
        <w:spacing w:line="400" w:lineRule="exact"/>
        <w:ind w:firstLine="420"/>
        <w:rPr>
          <w:rFonts w:ascii="宋体"/>
          <w:color w:val="auto"/>
        </w:rPr>
      </w:pPr>
      <w:r>
        <w:rPr>
          <w:rFonts w:hint="eastAsia" w:ascii="宋体" w:hAnsi="宋体"/>
          <w:color w:val="auto"/>
        </w:rPr>
        <w:t>21.4.5发生一般安全事故每次罚款2000元/次</w:t>
      </w:r>
    </w:p>
    <w:p w14:paraId="53473CC1">
      <w:pPr>
        <w:pStyle w:val="281"/>
        <w:spacing w:line="400" w:lineRule="exact"/>
        <w:ind w:firstLine="420"/>
        <w:rPr>
          <w:rFonts w:ascii="宋体" w:hAnsi="宋体"/>
          <w:color w:val="auto"/>
        </w:rPr>
      </w:pPr>
      <w:r>
        <w:rPr>
          <w:rFonts w:hint="eastAsia" w:ascii="宋体" w:hAnsi="宋体"/>
          <w:color w:val="auto"/>
        </w:rPr>
        <w:t>21.4.6发生重大安全事故每次罚款5000-10000元/次并上报有关部门处理</w:t>
      </w:r>
    </w:p>
    <w:p w14:paraId="7472383F">
      <w:pPr>
        <w:pStyle w:val="281"/>
        <w:spacing w:line="400" w:lineRule="exact"/>
        <w:ind w:firstLine="420"/>
        <w:rPr>
          <w:rFonts w:ascii="宋体" w:hAnsi="宋体"/>
          <w:color w:val="auto"/>
        </w:rPr>
      </w:pPr>
      <w:r>
        <w:rPr>
          <w:rFonts w:hint="eastAsia" w:ascii="宋体" w:hAnsi="宋体"/>
          <w:color w:val="auto"/>
        </w:rPr>
        <w:t>21.4.7承包人必须建立健全消防安全制度，负责建筑工地的消防安全。</w:t>
      </w:r>
    </w:p>
    <w:p w14:paraId="3B293F84">
      <w:pPr>
        <w:pStyle w:val="281"/>
        <w:spacing w:line="400" w:lineRule="exact"/>
        <w:ind w:firstLine="420"/>
        <w:rPr>
          <w:rFonts w:ascii="宋体"/>
          <w:color w:val="auto"/>
        </w:rPr>
      </w:pPr>
      <w:r>
        <w:rPr>
          <w:rFonts w:hint="eastAsia" w:ascii="宋体" w:hAnsi="宋体"/>
          <w:color w:val="auto"/>
        </w:rPr>
        <w:t>21.5 农民工工资保障金按相关规定退还；如因承包人所承包的项目中出现拖欠农民工和工人工资的情况，导致发包人缴纳的农民工保证金无法全额退还，由此造成的损失由承包人承担。</w:t>
      </w:r>
    </w:p>
    <w:p w14:paraId="34C0D41A">
      <w:pPr>
        <w:pStyle w:val="281"/>
        <w:spacing w:line="400" w:lineRule="exact"/>
        <w:ind w:firstLine="420"/>
        <w:rPr>
          <w:rFonts w:ascii="宋体"/>
          <w:color w:val="auto"/>
        </w:rPr>
      </w:pPr>
      <w:r>
        <w:rPr>
          <w:rFonts w:hint="eastAsia" w:ascii="宋体" w:hAnsi="宋体"/>
          <w:color w:val="auto"/>
        </w:rPr>
        <w:t>21.6承包人生活设施及施工现场，应自费配备消防设备，防止火灾等安全事故发生。</w:t>
      </w:r>
    </w:p>
    <w:p w14:paraId="7545B4E1">
      <w:pPr>
        <w:pStyle w:val="281"/>
        <w:spacing w:line="400" w:lineRule="exact"/>
        <w:ind w:firstLine="420"/>
        <w:rPr>
          <w:rFonts w:ascii="宋体"/>
          <w:color w:val="auto"/>
          <w:sz w:val="24"/>
          <w:szCs w:val="24"/>
        </w:rPr>
      </w:pPr>
      <w:r>
        <w:rPr>
          <w:rFonts w:hint="eastAsia" w:ascii="宋体" w:hAnsi="宋体"/>
          <w:color w:val="auto"/>
        </w:rPr>
        <w:t>21.7承包人使用的劳动力均应进行保险，凡进入本工程工作的妇女应持有计生证，否则不准安排工作，禁止使用童工。做好农民工的计划生育工作，办理好《流动人口婚育证明》后方可进入本项目做工；如有违反国家有关计生政策，超生、躲生者，每发现一人罚款伍仟元整，并交上级有关部门处理。</w:t>
      </w:r>
    </w:p>
    <w:p w14:paraId="1292CC05">
      <w:pPr>
        <w:pStyle w:val="281"/>
        <w:spacing w:line="400" w:lineRule="exact"/>
        <w:ind w:firstLine="420"/>
        <w:rPr>
          <w:rFonts w:ascii="宋体"/>
          <w:color w:val="auto"/>
        </w:rPr>
      </w:pPr>
      <w:r>
        <w:rPr>
          <w:rFonts w:hint="eastAsia" w:ascii="宋体" w:hAnsi="宋体"/>
          <w:color w:val="auto"/>
        </w:rPr>
        <w:t>21.8项目施工档案的收集、归档、整理由承包人承担。</w:t>
      </w:r>
    </w:p>
    <w:p w14:paraId="666710B3">
      <w:pPr>
        <w:pStyle w:val="281"/>
        <w:spacing w:line="400" w:lineRule="exact"/>
        <w:ind w:firstLine="420"/>
        <w:rPr>
          <w:rFonts w:ascii="宋体"/>
          <w:color w:val="auto"/>
        </w:rPr>
      </w:pPr>
      <w:r>
        <w:rPr>
          <w:rFonts w:hint="eastAsia" w:ascii="宋体" w:hAnsi="宋体"/>
          <w:color w:val="auto"/>
        </w:rPr>
        <w:t>21.9 承包人所编制的工程竣工资料经发包人审核后，送到有资质的审核部门之日起，承包人所遗漏的与工程造价有关的签证等只能进行一次补充，如承包人在第一次没有补充完成的不再作为结算审核依据，按自动放弃处理。</w:t>
      </w:r>
    </w:p>
    <w:p w14:paraId="374876EB">
      <w:pPr>
        <w:pStyle w:val="281"/>
        <w:spacing w:line="400" w:lineRule="exact"/>
        <w:ind w:firstLine="420"/>
        <w:rPr>
          <w:rFonts w:ascii="宋体"/>
          <w:color w:val="auto"/>
        </w:rPr>
      </w:pPr>
      <w:r>
        <w:rPr>
          <w:rFonts w:hint="eastAsia" w:ascii="宋体" w:hAnsi="宋体"/>
          <w:color w:val="auto"/>
        </w:rPr>
        <w:t>21.10本合同总价中包含安全防护、文明施工措施费。</w:t>
      </w:r>
    </w:p>
    <w:p w14:paraId="6E8C997B">
      <w:pPr>
        <w:pStyle w:val="281"/>
        <w:spacing w:line="400" w:lineRule="exact"/>
        <w:ind w:firstLine="420"/>
        <w:rPr>
          <w:rFonts w:ascii="宋体"/>
          <w:color w:val="auto"/>
        </w:rPr>
      </w:pPr>
      <w:r>
        <w:rPr>
          <w:rFonts w:hint="eastAsia" w:ascii="宋体" w:hAnsi="宋体"/>
          <w:color w:val="auto"/>
        </w:rPr>
        <w:t>21.11对于招标文件、工程量清单等资料中所提出的须响应的条件，如承包人未做出明确响应的内容，按发包人提出的条件签订协议及实施。</w:t>
      </w:r>
    </w:p>
    <w:p w14:paraId="6B886A7D">
      <w:pPr>
        <w:pStyle w:val="281"/>
        <w:spacing w:line="400" w:lineRule="exact"/>
        <w:ind w:firstLine="420"/>
        <w:rPr>
          <w:rFonts w:ascii="宋体"/>
          <w:color w:val="auto"/>
        </w:rPr>
      </w:pPr>
      <w:r>
        <w:rPr>
          <w:rFonts w:hint="eastAsia" w:ascii="宋体" w:hAnsi="宋体"/>
          <w:color w:val="auto"/>
        </w:rPr>
        <w:t>21.12  承包人务必严格按国家、地方现行有关</w:t>
      </w:r>
      <w:r>
        <w:rPr>
          <w:color w:val="auto"/>
        </w:rPr>
        <w:t>“</w:t>
      </w:r>
      <w:r>
        <w:rPr>
          <w:rFonts w:hint="eastAsia" w:ascii="宋体" w:hAnsi="宋体"/>
          <w:color w:val="auto"/>
        </w:rPr>
        <w:t>商品砼</w:t>
      </w:r>
      <w:r>
        <w:rPr>
          <w:color w:val="auto"/>
        </w:rPr>
        <w:t>”</w:t>
      </w:r>
      <w:r>
        <w:rPr>
          <w:rFonts w:hint="eastAsia" w:ascii="宋体" w:hAnsi="宋体"/>
          <w:color w:val="auto"/>
        </w:rPr>
        <w:t>及</w:t>
      </w:r>
      <w:r>
        <w:rPr>
          <w:color w:val="auto"/>
        </w:rPr>
        <w:t>“</w:t>
      </w:r>
      <w:r>
        <w:rPr>
          <w:rFonts w:hint="eastAsia" w:ascii="宋体" w:hAnsi="宋体"/>
          <w:color w:val="auto"/>
        </w:rPr>
        <w:t>使用散装水泥</w:t>
      </w:r>
      <w:r>
        <w:rPr>
          <w:color w:val="auto"/>
        </w:rPr>
        <w:t>”</w:t>
      </w:r>
      <w:r>
        <w:rPr>
          <w:rFonts w:hint="eastAsia" w:ascii="宋体" w:hAnsi="宋体"/>
          <w:color w:val="auto"/>
        </w:rPr>
        <w:t>等规定执行。如果承包人因自身原因未能按照上述规定执行，造成发包人损失由承包人负责。散装水泥费由承包人负责缴纳及办理退回手续，发包人协助。</w:t>
      </w:r>
    </w:p>
    <w:p w14:paraId="4E50D74C">
      <w:pPr>
        <w:pStyle w:val="281"/>
        <w:spacing w:line="400" w:lineRule="exact"/>
        <w:ind w:firstLine="420"/>
        <w:rPr>
          <w:rFonts w:ascii="宋体"/>
          <w:color w:val="auto"/>
        </w:rPr>
      </w:pPr>
      <w:r>
        <w:rPr>
          <w:rFonts w:hint="eastAsia" w:ascii="宋体" w:hAnsi="宋体"/>
          <w:color w:val="auto"/>
        </w:rPr>
        <w:t>21.13砌体工程完成后30天内，承包人必须交足新型墙体材料及散装水泥发票复印件（复印件要保证可以让发包人办理新型墙体材料专项基金及散装水泥专项基金费用的退款手续），否则，发包人缴纳的新型墙体材料专项基金及散装水泥专项基金费用将在下一次工程款项中扣除。导致发包人无法获得专项基金退款的，由承包人应得尾款中扣除。如因发包人原因造成的相关资料收集不全无法获得专项基金退款的，承包人不承担任何责任。</w:t>
      </w:r>
    </w:p>
    <w:p w14:paraId="1D3ECC44">
      <w:pPr>
        <w:pStyle w:val="281"/>
        <w:spacing w:line="400" w:lineRule="exact"/>
        <w:ind w:firstLine="420"/>
        <w:rPr>
          <w:rFonts w:ascii="宋体"/>
          <w:color w:val="auto"/>
        </w:rPr>
      </w:pPr>
      <w:r>
        <w:rPr>
          <w:rFonts w:hint="eastAsia" w:ascii="宋体" w:hAnsi="宋体"/>
          <w:color w:val="auto"/>
        </w:rPr>
        <w:t>21.14承包人必须满足国家及地方关于工程资料和施工现场安全要求，否则发包人可认为未达到支付工程款的条件或依据《广西壮族自治区建筑工程安全防护、文明施工措施费及使用管理细则》在结算款中按比例扣除相关费用。</w:t>
      </w:r>
    </w:p>
    <w:p w14:paraId="6894D44D">
      <w:pPr>
        <w:pStyle w:val="281"/>
        <w:spacing w:line="400" w:lineRule="exact"/>
        <w:ind w:firstLine="420"/>
        <w:rPr>
          <w:rFonts w:ascii="宋体"/>
          <w:color w:val="auto"/>
        </w:rPr>
      </w:pPr>
      <w:r>
        <w:rPr>
          <w:rFonts w:hint="eastAsia" w:ascii="宋体" w:hAnsi="宋体"/>
          <w:color w:val="auto"/>
        </w:rPr>
        <w:t>21.15承包人用水、用电量以现场安装计量表加上输送损耗计量，单价以供电、供水部门实收单价为准，由承包人自行缴纳。</w:t>
      </w:r>
    </w:p>
    <w:p w14:paraId="06CCE60A">
      <w:pPr>
        <w:pStyle w:val="281"/>
        <w:spacing w:line="400" w:lineRule="exact"/>
        <w:ind w:firstLine="420"/>
        <w:rPr>
          <w:rFonts w:ascii="宋体"/>
          <w:color w:val="auto"/>
        </w:rPr>
      </w:pPr>
      <w:r>
        <w:rPr>
          <w:rFonts w:hint="eastAsia" w:ascii="宋体" w:hAnsi="宋体"/>
          <w:color w:val="auto"/>
        </w:rPr>
        <w:t>21.16本合同工程进度的其他约定：工程施工过程中，由于承包人的原因，存在严重的质量问题或隐患以及施工进度严重滞后或不能按合同约定完成施工任务的，发包人有权单方终止合同，并按承包人已施工完成并且施工达到合格的工程量及造价的90%作为工程结算款，余下10%为承包人违约金。承包人必须在发包人发出停工令后10天内按要求无条件退场、清场（退场前计算工程量、剩余材料等等）。工程施工过程中，如因发包人支付工程进度款超出合同约定支付期限30日历天时，承包人有权单方终止合同，并按承包人已施工完工程量造价全额结算，同时发包人按承包人已施工完工程量造价的10%支付违约金。</w:t>
      </w:r>
    </w:p>
    <w:p w14:paraId="0D397748">
      <w:pPr>
        <w:pStyle w:val="281"/>
        <w:spacing w:line="400" w:lineRule="exact"/>
        <w:ind w:firstLine="422"/>
        <w:rPr>
          <w:rFonts w:ascii="宋体"/>
          <w:b/>
          <w:bCs/>
          <w:color w:val="auto"/>
        </w:rPr>
      </w:pPr>
      <w:r>
        <w:rPr>
          <w:rFonts w:hint="eastAsia" w:ascii="宋体" w:hAnsi="宋体"/>
          <w:b/>
          <w:bCs/>
          <w:color w:val="auto"/>
        </w:rPr>
        <w:t>21.17工程质量的管理</w:t>
      </w:r>
    </w:p>
    <w:p w14:paraId="048DC258">
      <w:pPr>
        <w:pStyle w:val="281"/>
        <w:spacing w:line="400" w:lineRule="exact"/>
        <w:ind w:firstLine="420"/>
        <w:rPr>
          <w:rFonts w:ascii="宋体"/>
          <w:color w:val="auto"/>
        </w:rPr>
      </w:pPr>
      <w:r>
        <w:rPr>
          <w:rFonts w:hint="eastAsia" w:ascii="宋体" w:hAnsi="宋体"/>
          <w:color w:val="auto"/>
        </w:rPr>
        <w:t>21.17.1特种作业人员无证上岗或证件失效罚款1000元/人次</w:t>
      </w:r>
    </w:p>
    <w:p w14:paraId="0DE34AD7">
      <w:pPr>
        <w:pStyle w:val="281"/>
        <w:spacing w:line="400" w:lineRule="exact"/>
        <w:ind w:firstLine="420"/>
        <w:rPr>
          <w:rFonts w:ascii="宋体"/>
          <w:color w:val="auto"/>
        </w:rPr>
      </w:pPr>
      <w:r>
        <w:rPr>
          <w:rFonts w:hint="eastAsia" w:ascii="宋体" w:hAnsi="宋体"/>
          <w:color w:val="auto"/>
        </w:rPr>
        <w:t>21.17.2无施工方案、无技术交底记录、无隐蔽记录（或方案、记录不符合要求）罚款100-200元/次</w:t>
      </w:r>
    </w:p>
    <w:p w14:paraId="557AF852">
      <w:pPr>
        <w:pStyle w:val="281"/>
        <w:spacing w:line="400" w:lineRule="exact"/>
        <w:ind w:firstLine="420"/>
        <w:rPr>
          <w:rFonts w:ascii="宋体"/>
          <w:color w:val="auto"/>
        </w:rPr>
      </w:pPr>
      <w:r>
        <w:rPr>
          <w:rFonts w:hint="eastAsia" w:ascii="宋体" w:hAnsi="宋体"/>
          <w:color w:val="auto"/>
        </w:rPr>
        <w:t>21.17.3不自检、不按程序报验、不按规范进行验收与交接罚款400元/次</w:t>
      </w:r>
    </w:p>
    <w:p w14:paraId="77D6DE64">
      <w:pPr>
        <w:pStyle w:val="281"/>
        <w:spacing w:line="400" w:lineRule="exact"/>
        <w:ind w:firstLine="420"/>
        <w:rPr>
          <w:rFonts w:ascii="宋体"/>
          <w:color w:val="auto"/>
        </w:rPr>
      </w:pPr>
      <w:r>
        <w:rPr>
          <w:rFonts w:hint="eastAsia" w:ascii="宋体" w:hAnsi="宋体"/>
          <w:color w:val="auto"/>
        </w:rPr>
        <w:t>21.17.4不按图纸、或变更单施工罚款200-500元/次</w:t>
      </w:r>
    </w:p>
    <w:p w14:paraId="165C8E84">
      <w:pPr>
        <w:pStyle w:val="281"/>
        <w:spacing w:line="400" w:lineRule="exact"/>
        <w:ind w:firstLine="420"/>
        <w:rPr>
          <w:rFonts w:ascii="宋体"/>
          <w:color w:val="auto"/>
        </w:rPr>
      </w:pPr>
      <w:r>
        <w:rPr>
          <w:rFonts w:hint="eastAsia" w:ascii="宋体" w:hAnsi="宋体"/>
          <w:color w:val="auto"/>
        </w:rPr>
        <w:t>21.17.5施工材料无合格证，未按约定的品牌、规格进场（含限时退场，未及时退场的）罚款1000元/次</w:t>
      </w:r>
    </w:p>
    <w:p w14:paraId="270101E5">
      <w:pPr>
        <w:pStyle w:val="281"/>
        <w:spacing w:line="400" w:lineRule="exact"/>
        <w:ind w:firstLine="420"/>
        <w:rPr>
          <w:rFonts w:ascii="宋体"/>
          <w:color w:val="auto"/>
        </w:rPr>
      </w:pPr>
      <w:r>
        <w:rPr>
          <w:rFonts w:hint="eastAsia" w:ascii="宋体" w:hAnsi="宋体"/>
          <w:color w:val="auto"/>
        </w:rPr>
        <w:t>21.17.6隐蔽工程未经业主代表及监理检查和签证，进行下道工序施工罚款10</w:t>
      </w:r>
      <w:r>
        <w:rPr>
          <w:rFonts w:hint="eastAsia" w:ascii="宋体"/>
          <w:color w:val="auto"/>
        </w:rPr>
        <w:t>00</w:t>
      </w:r>
      <w:r>
        <w:rPr>
          <w:rFonts w:hint="eastAsia" w:ascii="宋体" w:hAnsi="宋体"/>
          <w:color w:val="auto"/>
        </w:rPr>
        <w:t>元/次</w:t>
      </w:r>
    </w:p>
    <w:p w14:paraId="4AABD4A8">
      <w:pPr>
        <w:pStyle w:val="281"/>
        <w:spacing w:line="400" w:lineRule="exact"/>
        <w:ind w:firstLine="420"/>
        <w:rPr>
          <w:rFonts w:ascii="宋体"/>
          <w:color w:val="auto"/>
        </w:rPr>
      </w:pPr>
      <w:r>
        <w:rPr>
          <w:rFonts w:hint="eastAsia" w:ascii="宋体" w:hAnsi="宋体"/>
          <w:color w:val="auto"/>
        </w:rPr>
        <w:t>21.17.7如因承包方原因造成的发生一般质量事故罚款1000-2000元/次，相关部位返工</w:t>
      </w:r>
    </w:p>
    <w:p w14:paraId="509367B1">
      <w:pPr>
        <w:pStyle w:val="281"/>
        <w:spacing w:line="400" w:lineRule="exact"/>
        <w:ind w:firstLine="420"/>
        <w:rPr>
          <w:rFonts w:ascii="宋体"/>
          <w:color w:val="auto"/>
        </w:rPr>
      </w:pPr>
      <w:r>
        <w:rPr>
          <w:rFonts w:hint="eastAsia" w:ascii="宋体" w:hAnsi="宋体"/>
          <w:color w:val="auto"/>
        </w:rPr>
        <w:t>21.17.8如因承包方原因造成的发生重大质量事故罚款5000元/次，并返工和上报有关部门处理</w:t>
      </w:r>
    </w:p>
    <w:p w14:paraId="208FC8B0">
      <w:pPr>
        <w:pStyle w:val="281"/>
        <w:spacing w:line="400" w:lineRule="exact"/>
        <w:ind w:firstLine="422"/>
        <w:rPr>
          <w:rFonts w:ascii="宋体"/>
          <w:b/>
          <w:bCs/>
          <w:color w:val="auto"/>
        </w:rPr>
      </w:pPr>
      <w:r>
        <w:rPr>
          <w:rFonts w:hint="eastAsia" w:ascii="宋体" w:hAnsi="宋体"/>
          <w:b/>
          <w:bCs/>
          <w:color w:val="auto"/>
        </w:rPr>
        <w:t>21.18工程进度的管理</w:t>
      </w:r>
    </w:p>
    <w:p w14:paraId="637864D8">
      <w:pPr>
        <w:pStyle w:val="281"/>
        <w:spacing w:line="400" w:lineRule="exact"/>
        <w:ind w:firstLine="420"/>
        <w:rPr>
          <w:rFonts w:ascii="宋体"/>
          <w:color w:val="auto"/>
        </w:rPr>
      </w:pPr>
      <w:r>
        <w:rPr>
          <w:rFonts w:hint="eastAsia" w:ascii="宋体" w:hAnsi="宋体"/>
          <w:color w:val="auto"/>
        </w:rPr>
        <w:t>例会布置的工作、要求，无正当理由未完成或不执行罚款200元/次</w:t>
      </w:r>
    </w:p>
    <w:p w14:paraId="48264CF6">
      <w:pPr>
        <w:pStyle w:val="281"/>
        <w:spacing w:line="400" w:lineRule="exact"/>
        <w:ind w:firstLine="422"/>
        <w:rPr>
          <w:rFonts w:ascii="宋体"/>
          <w:b/>
          <w:bCs/>
          <w:color w:val="auto"/>
        </w:rPr>
      </w:pPr>
      <w:r>
        <w:rPr>
          <w:rFonts w:hint="eastAsia" w:ascii="宋体" w:hAnsi="宋体"/>
          <w:b/>
          <w:bCs/>
          <w:color w:val="auto"/>
        </w:rPr>
        <w:t>21.19文明施工的管理</w:t>
      </w:r>
    </w:p>
    <w:p w14:paraId="243F3ACF">
      <w:pPr>
        <w:pStyle w:val="281"/>
        <w:spacing w:line="400" w:lineRule="exact"/>
        <w:ind w:firstLine="420"/>
        <w:rPr>
          <w:rFonts w:ascii="宋体"/>
          <w:color w:val="auto"/>
        </w:rPr>
      </w:pPr>
      <w:r>
        <w:rPr>
          <w:rFonts w:hint="eastAsia" w:ascii="宋体" w:hAnsi="宋体"/>
          <w:color w:val="auto"/>
        </w:rPr>
        <w:t>21.19.1材料占道、材料堆放无序、或不能做到工完料清罚款50-100元/次</w:t>
      </w:r>
      <w:r>
        <w:rPr>
          <w:rFonts w:hint="eastAsia" w:ascii="宋体"/>
          <w:color w:val="auto"/>
        </w:rPr>
        <w:t>.</w:t>
      </w:r>
      <w:r>
        <w:rPr>
          <w:rFonts w:hint="eastAsia" w:ascii="宋体" w:hAnsi="宋体"/>
          <w:color w:val="auto"/>
        </w:rPr>
        <w:t>处</w:t>
      </w:r>
    </w:p>
    <w:p w14:paraId="49B1DB65">
      <w:pPr>
        <w:pStyle w:val="281"/>
        <w:spacing w:line="400" w:lineRule="exact"/>
        <w:ind w:firstLine="420"/>
        <w:rPr>
          <w:rFonts w:ascii="宋体"/>
          <w:color w:val="auto"/>
        </w:rPr>
      </w:pPr>
      <w:r>
        <w:rPr>
          <w:rFonts w:hint="eastAsia" w:ascii="宋体" w:hAnsi="宋体"/>
          <w:color w:val="auto"/>
        </w:rPr>
        <w:t>21.19.2施工现场未按平面图布置、或乱搭设罚款50元/次</w:t>
      </w:r>
      <w:r>
        <w:rPr>
          <w:rFonts w:hint="eastAsia" w:ascii="宋体"/>
          <w:color w:val="auto"/>
        </w:rPr>
        <w:t>.</w:t>
      </w:r>
      <w:r>
        <w:rPr>
          <w:rFonts w:hint="eastAsia" w:ascii="宋体" w:hAnsi="宋体"/>
          <w:color w:val="auto"/>
        </w:rPr>
        <w:t>处</w:t>
      </w:r>
    </w:p>
    <w:p w14:paraId="3EB4B5F5">
      <w:pPr>
        <w:pStyle w:val="281"/>
        <w:spacing w:line="400" w:lineRule="exact"/>
        <w:ind w:firstLine="420"/>
        <w:rPr>
          <w:rFonts w:ascii="宋体" w:hAnsi="宋体"/>
          <w:color w:val="auto"/>
        </w:rPr>
      </w:pPr>
      <w:r>
        <w:rPr>
          <w:rFonts w:hint="eastAsia" w:ascii="宋体" w:hAnsi="宋体"/>
          <w:color w:val="auto"/>
        </w:rPr>
        <w:t>21.19.3厕所、食堂、办公室、宿舍、建筑物等处垃圾未及时清理，卫生条件差罚款100元/次</w:t>
      </w:r>
      <w:r>
        <w:rPr>
          <w:rFonts w:hint="eastAsia" w:ascii="宋体"/>
          <w:color w:val="auto"/>
        </w:rPr>
        <w:t>.</w:t>
      </w:r>
      <w:r>
        <w:rPr>
          <w:rFonts w:hint="eastAsia" w:ascii="宋体" w:hAnsi="宋体"/>
          <w:color w:val="auto"/>
        </w:rPr>
        <w:t>处</w:t>
      </w:r>
    </w:p>
    <w:p w14:paraId="52294342">
      <w:pPr>
        <w:pStyle w:val="281"/>
        <w:spacing w:line="400" w:lineRule="exact"/>
        <w:ind w:firstLine="420"/>
        <w:rPr>
          <w:rFonts w:ascii="宋体"/>
          <w:color w:val="auto"/>
        </w:rPr>
      </w:pPr>
      <w:r>
        <w:rPr>
          <w:rFonts w:hint="eastAsia" w:ascii="宋体" w:hAnsi="宋体"/>
          <w:color w:val="auto"/>
        </w:rPr>
        <w:t xml:space="preserve"> 21.19.4排水沟、沉淀池不经常疏通罚款50元/次</w:t>
      </w:r>
      <w:r>
        <w:rPr>
          <w:rFonts w:hint="eastAsia" w:ascii="宋体"/>
          <w:color w:val="auto"/>
        </w:rPr>
        <w:t>.</w:t>
      </w:r>
      <w:r>
        <w:rPr>
          <w:rFonts w:hint="eastAsia" w:ascii="宋体" w:hAnsi="宋体"/>
          <w:color w:val="auto"/>
        </w:rPr>
        <w:t>处</w:t>
      </w:r>
    </w:p>
    <w:p w14:paraId="48D0C3A9">
      <w:pPr>
        <w:pStyle w:val="281"/>
        <w:spacing w:line="400" w:lineRule="exact"/>
        <w:ind w:firstLine="422"/>
        <w:rPr>
          <w:rFonts w:ascii="宋体"/>
          <w:b/>
          <w:bCs/>
          <w:color w:val="auto"/>
        </w:rPr>
      </w:pPr>
      <w:r>
        <w:rPr>
          <w:rFonts w:hint="eastAsia" w:ascii="宋体" w:hAnsi="宋体"/>
          <w:b/>
          <w:bCs/>
          <w:color w:val="auto"/>
        </w:rPr>
        <w:t>21.20综合管理</w:t>
      </w:r>
    </w:p>
    <w:p w14:paraId="5AD42A95">
      <w:pPr>
        <w:pStyle w:val="281"/>
        <w:spacing w:line="400" w:lineRule="exact"/>
        <w:ind w:firstLine="420"/>
        <w:rPr>
          <w:rFonts w:ascii="宋体"/>
          <w:color w:val="auto"/>
        </w:rPr>
      </w:pPr>
      <w:r>
        <w:rPr>
          <w:rFonts w:hint="eastAsia" w:ascii="宋体" w:hAnsi="宋体"/>
          <w:color w:val="auto"/>
        </w:rPr>
        <w:t>21.20.1项目经理或现场主要负责人擅自离岗罚款200元/次</w:t>
      </w:r>
      <w:r>
        <w:rPr>
          <w:rFonts w:hint="eastAsia" w:ascii="宋体"/>
          <w:color w:val="auto"/>
        </w:rPr>
        <w:t>.</w:t>
      </w:r>
      <w:r>
        <w:rPr>
          <w:rFonts w:hint="eastAsia" w:ascii="宋体" w:hAnsi="宋体"/>
          <w:color w:val="auto"/>
        </w:rPr>
        <w:t>人</w:t>
      </w:r>
    </w:p>
    <w:p w14:paraId="4EDF266A">
      <w:pPr>
        <w:pStyle w:val="281"/>
        <w:spacing w:line="400" w:lineRule="exact"/>
        <w:ind w:firstLine="420"/>
        <w:rPr>
          <w:rFonts w:ascii="宋体"/>
          <w:color w:val="auto"/>
        </w:rPr>
      </w:pPr>
      <w:r>
        <w:rPr>
          <w:rFonts w:hint="eastAsia" w:ascii="宋体" w:hAnsi="宋体"/>
          <w:color w:val="auto"/>
        </w:rPr>
        <w:t>21.20.2工程资料与工程进度不同步罚款100元/次</w:t>
      </w:r>
    </w:p>
    <w:p w14:paraId="256F3F17">
      <w:pPr>
        <w:pStyle w:val="281"/>
        <w:spacing w:line="400" w:lineRule="exact"/>
        <w:ind w:firstLine="420"/>
        <w:rPr>
          <w:rFonts w:ascii="宋体"/>
          <w:color w:val="auto"/>
        </w:rPr>
      </w:pPr>
      <w:r>
        <w:rPr>
          <w:rFonts w:hint="eastAsia" w:ascii="宋体" w:hAnsi="宋体"/>
          <w:color w:val="auto"/>
        </w:rPr>
        <w:t>21.20.3现场打架斗殴不听劝阻罚款200-1000元/次</w:t>
      </w:r>
    </w:p>
    <w:p w14:paraId="52F90E07">
      <w:pPr>
        <w:pStyle w:val="281"/>
        <w:spacing w:line="400" w:lineRule="exact"/>
        <w:ind w:firstLine="420"/>
        <w:rPr>
          <w:rFonts w:ascii="宋体"/>
          <w:color w:val="auto"/>
        </w:rPr>
      </w:pPr>
      <w:r>
        <w:rPr>
          <w:rFonts w:hint="eastAsia" w:ascii="宋体" w:hAnsi="宋体"/>
          <w:color w:val="auto"/>
        </w:rPr>
        <w:t>21.20.4业主、监理工程师提出的问题多次未解决罚款200元/次</w:t>
      </w:r>
    </w:p>
    <w:p w14:paraId="1DAD668B">
      <w:pPr>
        <w:pStyle w:val="281"/>
        <w:spacing w:line="400" w:lineRule="exact"/>
        <w:ind w:firstLine="420"/>
        <w:rPr>
          <w:color w:val="auto"/>
        </w:rPr>
      </w:pPr>
      <w:r>
        <w:rPr>
          <w:rFonts w:hint="eastAsia"/>
          <w:color w:val="auto"/>
        </w:rPr>
        <w:t>21.20</w:t>
      </w:r>
      <w:r>
        <w:rPr>
          <w:color w:val="auto"/>
        </w:rPr>
        <w:t>.5</w:t>
      </w:r>
      <w:r>
        <w:rPr>
          <w:rFonts w:hint="eastAsia" w:ascii="宋体" w:hAnsi="宋体"/>
          <w:color w:val="auto"/>
        </w:rPr>
        <w:t>例会迟到、无故未参加例会罚款</w:t>
      </w:r>
      <w:r>
        <w:rPr>
          <w:color w:val="auto"/>
        </w:rPr>
        <w:t>20-50</w:t>
      </w:r>
      <w:r>
        <w:rPr>
          <w:rFonts w:hint="eastAsia" w:ascii="宋体" w:hAnsi="宋体"/>
          <w:color w:val="auto"/>
        </w:rPr>
        <w:t>元</w:t>
      </w:r>
      <w:r>
        <w:rPr>
          <w:color w:val="auto"/>
        </w:rPr>
        <w:t>/</w:t>
      </w:r>
      <w:r>
        <w:rPr>
          <w:rFonts w:hint="eastAsia" w:ascii="宋体" w:hAnsi="宋体"/>
          <w:color w:val="auto"/>
        </w:rPr>
        <w:t>次</w:t>
      </w:r>
      <w:r>
        <w:rPr>
          <w:color w:val="auto"/>
        </w:rPr>
        <w:t>.</w:t>
      </w:r>
      <w:r>
        <w:rPr>
          <w:rFonts w:hint="eastAsia" w:ascii="宋体" w:hAnsi="宋体"/>
          <w:color w:val="auto"/>
        </w:rPr>
        <w:t>人</w:t>
      </w:r>
      <w:r>
        <w:rPr>
          <w:color w:val="auto"/>
        </w:rPr>
        <w:t xml:space="preserve">100 </w:t>
      </w:r>
      <w:r>
        <w:rPr>
          <w:rFonts w:hint="eastAsia" w:ascii="宋体" w:hAnsi="宋体"/>
          <w:color w:val="auto"/>
        </w:rPr>
        <w:t>监理工程师通知单或暂</w:t>
      </w:r>
    </w:p>
    <w:p w14:paraId="0BA52356">
      <w:pPr>
        <w:pStyle w:val="255"/>
        <w:spacing w:line="460" w:lineRule="exact"/>
        <w:ind w:firstLine="420" w:firstLineChars="200"/>
        <w:rPr>
          <w:rFonts w:ascii="宋体" w:hAnsi="宋体"/>
          <w:color w:val="auto"/>
        </w:rPr>
      </w:pPr>
      <w:r>
        <w:rPr>
          <w:rFonts w:hint="eastAsia" w:ascii="宋体" w:hAnsi="宋体"/>
          <w:color w:val="auto"/>
        </w:rPr>
        <w:t>停令不及时报送回复单或复工申请单罚款</w:t>
      </w:r>
      <w:r>
        <w:rPr>
          <w:color w:val="auto"/>
        </w:rPr>
        <w:t>100</w:t>
      </w:r>
      <w:r>
        <w:rPr>
          <w:rFonts w:hint="eastAsia" w:ascii="宋体" w:hAnsi="宋体"/>
          <w:color w:val="auto"/>
        </w:rPr>
        <w:t>元</w:t>
      </w:r>
      <w:r>
        <w:rPr>
          <w:color w:val="auto"/>
        </w:rPr>
        <w:t>/</w:t>
      </w:r>
      <w:r>
        <w:rPr>
          <w:rFonts w:hint="eastAsia" w:ascii="宋体" w:hAnsi="宋体"/>
          <w:color w:val="auto"/>
        </w:rPr>
        <w:t>次</w:t>
      </w:r>
    </w:p>
    <w:p w14:paraId="09A8A70E">
      <w:pPr>
        <w:pStyle w:val="281"/>
        <w:spacing w:line="400" w:lineRule="exact"/>
        <w:ind w:firstLine="422"/>
        <w:rPr>
          <w:rFonts w:ascii="宋体" w:hAnsi="宋体"/>
          <w:b/>
          <w:bCs/>
          <w:color w:val="auto"/>
        </w:rPr>
      </w:pPr>
      <w:r>
        <w:rPr>
          <w:rFonts w:hint="eastAsia" w:ascii="宋体" w:hAnsi="宋体"/>
          <w:b/>
          <w:bCs/>
          <w:color w:val="auto"/>
        </w:rPr>
        <w:t>21.21项目工程款管理</w:t>
      </w:r>
    </w:p>
    <w:p w14:paraId="6C7A3F39">
      <w:pPr>
        <w:pStyle w:val="255"/>
        <w:spacing w:line="460" w:lineRule="exact"/>
        <w:ind w:firstLine="420" w:firstLineChars="200"/>
        <w:rPr>
          <w:rFonts w:ascii="宋体" w:hAnsi="宋体"/>
          <w:color w:val="auto"/>
        </w:rPr>
      </w:pPr>
      <w:r>
        <w:rPr>
          <w:rFonts w:hint="eastAsia" w:ascii="宋体" w:hAnsi="宋体"/>
          <w:color w:val="auto"/>
        </w:rPr>
        <w:t>21.21.1本工程资金属于业主自筹，承包人在施工期间必须保证资金的专项使用，不得挪作他用，并自觉接受业主和银行的监督，否则将视为承包人违约。</w:t>
      </w:r>
    </w:p>
    <w:p w14:paraId="0E115423">
      <w:pPr>
        <w:pStyle w:val="255"/>
        <w:spacing w:line="460" w:lineRule="exact"/>
        <w:ind w:firstLine="420" w:firstLineChars="200"/>
        <w:rPr>
          <w:rFonts w:ascii="宋体" w:hAnsi="宋体"/>
          <w:color w:val="auto"/>
        </w:rPr>
      </w:pPr>
      <w:r>
        <w:rPr>
          <w:rFonts w:hint="eastAsia" w:ascii="宋体" w:hAnsi="宋体"/>
          <w:color w:val="auto"/>
        </w:rPr>
        <w:t>21.21.2承包人必须按施工进度及时支付用于本工程的各种材料、施工机械设备、配件款，不得将材料款挪用。</w:t>
      </w:r>
    </w:p>
    <w:p w14:paraId="69BF0A2A">
      <w:pPr>
        <w:pStyle w:val="255"/>
        <w:spacing w:line="460" w:lineRule="exact"/>
        <w:ind w:firstLine="420" w:firstLineChars="200"/>
        <w:rPr>
          <w:rFonts w:ascii="宋体" w:hAnsi="宋体"/>
          <w:color w:val="auto"/>
        </w:rPr>
      </w:pPr>
      <w:r>
        <w:rPr>
          <w:rFonts w:hint="eastAsia" w:ascii="宋体" w:hAnsi="宋体"/>
          <w:color w:val="auto"/>
        </w:rPr>
        <w:t>21.23本工程要求为承包人自营项目，合同签订后发现属承包方出借资质证书、营业执照以及其他方式给予外单位、个人挂靠经营的，本合同无效。承包人须按合同总造价的5%向发包人支付赔偿金。以承包人名义完成的工程量由发包人按成本支付。承包人按相关法规规定承担相应责任。</w:t>
      </w:r>
    </w:p>
    <w:p w14:paraId="60CFB8C1">
      <w:pPr>
        <w:pStyle w:val="255"/>
        <w:spacing w:line="460" w:lineRule="exact"/>
        <w:ind w:firstLine="420" w:firstLineChars="200"/>
        <w:rPr>
          <w:rFonts w:ascii="宋体" w:hAnsi="宋体"/>
          <w:color w:val="auto"/>
        </w:rPr>
      </w:pPr>
      <w:r>
        <w:rPr>
          <w:rFonts w:hint="eastAsia" w:ascii="宋体" w:hAnsi="宋体"/>
          <w:color w:val="auto"/>
        </w:rPr>
        <w:t>21.24承包人有义务配合发包人办理工程竣工备案工作，以及墙改退费和农民工工资保障金的退费等工作。</w:t>
      </w:r>
    </w:p>
    <w:p w14:paraId="0EBAF981">
      <w:pPr>
        <w:pStyle w:val="255"/>
        <w:spacing w:line="460" w:lineRule="exact"/>
        <w:ind w:firstLine="420" w:firstLineChars="200"/>
        <w:rPr>
          <w:rFonts w:ascii="宋体" w:hAnsi="宋体"/>
          <w:color w:val="auto"/>
        </w:rPr>
      </w:pPr>
      <w:r>
        <w:rPr>
          <w:rFonts w:hint="eastAsia" w:ascii="宋体" w:hAnsi="宋体"/>
          <w:color w:val="auto"/>
        </w:rPr>
        <w:t>21.25承包人应及时办理工程质监安临备案、夜间施工备案等手续，发包人给予配合。</w:t>
      </w:r>
    </w:p>
    <w:p w14:paraId="2EF4ED38">
      <w:pPr>
        <w:pStyle w:val="255"/>
        <w:spacing w:line="460" w:lineRule="exact"/>
        <w:ind w:firstLine="420" w:firstLineChars="200"/>
        <w:rPr>
          <w:rFonts w:ascii="宋体" w:hAnsi="宋体"/>
          <w:color w:val="auto"/>
        </w:rPr>
      </w:pPr>
      <w:r>
        <w:rPr>
          <w:rFonts w:hint="eastAsia" w:ascii="宋体" w:hAnsi="宋体"/>
          <w:color w:val="auto"/>
        </w:rPr>
        <w:t>21.26承包人投入本项目的管理机构必须于中标通知书发出之日全部到岗，并于中标通知书发出之日起30日内完成质监、安监备案手续及施工许可证的办理。</w:t>
      </w:r>
    </w:p>
    <w:p w14:paraId="78819385">
      <w:pPr>
        <w:pStyle w:val="242"/>
        <w:spacing w:line="360" w:lineRule="auto"/>
        <w:ind w:firstLine="420" w:firstLineChars="200"/>
        <w:rPr>
          <w:color w:val="auto"/>
        </w:rPr>
      </w:pPr>
      <w:r>
        <w:rPr>
          <w:rFonts w:hint="eastAsia" w:ascii="宋体" w:hAnsi="宋体"/>
          <w:color w:val="auto"/>
        </w:rPr>
        <w:t>21.27本《专用条款》未约定的，双方另行协商。有适用于《通用条款》的。</w:t>
      </w:r>
    </w:p>
    <w:p w14:paraId="32D61461">
      <w:pPr>
        <w:pStyle w:val="274"/>
        <w:wordWrap w:val="0"/>
        <w:topLinePunct/>
        <w:spacing w:line="420" w:lineRule="exact"/>
        <w:ind w:firstLine="422" w:firstLineChars="200"/>
        <w:jc w:val="left"/>
        <w:rPr>
          <w:rFonts w:ascii="宋体" w:hAnsi="宋体" w:cs="宋体"/>
          <w:b/>
          <w:color w:val="auto"/>
          <w:szCs w:val="21"/>
        </w:rPr>
      </w:pPr>
    </w:p>
    <w:p w14:paraId="7A782215">
      <w:pPr>
        <w:pStyle w:val="274"/>
        <w:wordWrap w:val="0"/>
        <w:topLinePunct/>
        <w:spacing w:line="420" w:lineRule="exact"/>
        <w:ind w:firstLine="422" w:firstLineChars="200"/>
        <w:jc w:val="left"/>
        <w:rPr>
          <w:rFonts w:ascii="宋体" w:hAnsi="宋体" w:cs="宋体"/>
          <w:b/>
          <w:color w:val="auto"/>
          <w:szCs w:val="21"/>
        </w:rPr>
      </w:pPr>
    </w:p>
    <w:p w14:paraId="3AC1FA98">
      <w:pPr>
        <w:pStyle w:val="274"/>
        <w:wordWrap w:val="0"/>
        <w:topLinePunct/>
        <w:spacing w:line="420" w:lineRule="exact"/>
        <w:jc w:val="left"/>
        <w:rPr>
          <w:rFonts w:ascii="宋体" w:hAnsi="宋体" w:cs="宋体"/>
          <w:b/>
          <w:color w:val="auto"/>
          <w:szCs w:val="21"/>
        </w:rPr>
      </w:pPr>
    </w:p>
    <w:p w14:paraId="701DC5DF">
      <w:pPr>
        <w:pStyle w:val="274"/>
        <w:wordWrap w:val="0"/>
        <w:topLinePunct/>
        <w:spacing w:line="420" w:lineRule="exact"/>
        <w:ind w:firstLine="422" w:firstLineChars="200"/>
        <w:jc w:val="left"/>
        <w:rPr>
          <w:rFonts w:ascii="宋体" w:hAnsi="宋体" w:cs="宋体"/>
          <w:b/>
          <w:color w:val="auto"/>
          <w:szCs w:val="21"/>
        </w:rPr>
      </w:pPr>
      <w:r>
        <w:rPr>
          <w:rFonts w:hint="eastAsia" w:ascii="宋体" w:hAnsi="宋体" w:cs="宋体"/>
          <w:b/>
          <w:color w:val="auto"/>
          <w:szCs w:val="21"/>
        </w:rPr>
        <w:t>附件</w:t>
      </w:r>
    </w:p>
    <w:p w14:paraId="1EEBD732">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附件1：承包人承揽工程项目一览表</w:t>
      </w:r>
    </w:p>
    <w:p w14:paraId="2B9071E4">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附件2：支付担保格式</w:t>
      </w:r>
    </w:p>
    <w:p w14:paraId="6E062C2B">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附件3：承包人主要施工管理人员表</w:t>
      </w:r>
    </w:p>
    <w:p w14:paraId="65A48827">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附件4：分包人主要施工管理人员表</w:t>
      </w:r>
    </w:p>
    <w:p w14:paraId="21E68EA3">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附件5：履约担保格式</w:t>
      </w:r>
    </w:p>
    <w:p w14:paraId="19D18A24">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附件6：承包人用于本工程施工的机械设备表</w:t>
      </w:r>
    </w:p>
    <w:p w14:paraId="6C47A0F8">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附件7：预付款担保格式</w:t>
      </w:r>
    </w:p>
    <w:p w14:paraId="56E7231C">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附件8：工程质量保修书、廉政合同</w:t>
      </w:r>
    </w:p>
    <w:p w14:paraId="02CD184B">
      <w:pPr>
        <w:pStyle w:val="274"/>
        <w:wordWrap w:val="0"/>
        <w:topLinePunct/>
        <w:spacing w:line="420" w:lineRule="exact"/>
        <w:ind w:firstLine="420" w:firstLineChars="200"/>
        <w:jc w:val="left"/>
        <w:rPr>
          <w:rFonts w:ascii="宋体" w:hAnsi="宋体" w:cs="宋体"/>
          <w:color w:val="auto"/>
          <w:szCs w:val="21"/>
        </w:rPr>
      </w:pPr>
    </w:p>
    <w:p w14:paraId="34B3F651">
      <w:pPr>
        <w:pStyle w:val="274"/>
        <w:wordWrap w:val="0"/>
        <w:topLinePunct/>
        <w:spacing w:before="120" w:after="120" w:line="420" w:lineRule="exact"/>
        <w:jc w:val="left"/>
        <w:rPr>
          <w:rFonts w:ascii="宋体" w:hAnsi="宋体" w:cs="宋体"/>
          <w:color w:val="auto"/>
          <w:sz w:val="24"/>
          <w:szCs w:val="24"/>
        </w:rPr>
      </w:pPr>
    </w:p>
    <w:p w14:paraId="1FC58BD4">
      <w:pPr>
        <w:pStyle w:val="274"/>
        <w:wordWrap w:val="0"/>
        <w:topLinePunct/>
        <w:spacing w:before="120" w:after="120" w:line="420" w:lineRule="exact"/>
        <w:jc w:val="left"/>
        <w:rPr>
          <w:rFonts w:ascii="宋体" w:hAnsi="宋体" w:cs="宋体"/>
          <w:color w:val="auto"/>
          <w:sz w:val="24"/>
          <w:szCs w:val="24"/>
        </w:rPr>
      </w:pPr>
    </w:p>
    <w:p w14:paraId="205D15BE">
      <w:pPr>
        <w:widowControl/>
        <w:jc w:val="left"/>
        <w:rPr>
          <w:rFonts w:ascii="宋体" w:hAnsi="宋体" w:cs="宋体"/>
          <w:color w:val="auto"/>
          <w:sz w:val="24"/>
        </w:rPr>
      </w:pPr>
      <w:r>
        <w:rPr>
          <w:rFonts w:ascii="宋体" w:hAnsi="宋体" w:cs="宋体"/>
          <w:color w:val="auto"/>
          <w:sz w:val="24"/>
        </w:rPr>
        <w:br w:type="page"/>
      </w:r>
    </w:p>
    <w:p w14:paraId="5347BB07">
      <w:pPr>
        <w:pStyle w:val="274"/>
        <w:wordWrap w:val="0"/>
        <w:topLinePunct/>
        <w:spacing w:before="120" w:after="120" w:line="420" w:lineRule="exact"/>
        <w:jc w:val="left"/>
        <w:rPr>
          <w:rFonts w:ascii="宋体" w:hAnsi="宋体" w:cs="宋体"/>
          <w:color w:val="auto"/>
          <w:sz w:val="24"/>
          <w:szCs w:val="24"/>
        </w:rPr>
      </w:pPr>
    </w:p>
    <w:p w14:paraId="692059C5">
      <w:pPr>
        <w:pStyle w:val="274"/>
        <w:wordWrap w:val="0"/>
        <w:topLinePunct/>
        <w:spacing w:before="120" w:after="120" w:line="420" w:lineRule="exact"/>
        <w:jc w:val="left"/>
        <w:rPr>
          <w:rFonts w:ascii="宋体" w:hAnsi="宋体" w:cs="宋体"/>
          <w:color w:val="auto"/>
          <w:sz w:val="24"/>
          <w:szCs w:val="24"/>
        </w:rPr>
      </w:pPr>
      <w:r>
        <w:rPr>
          <w:rFonts w:hint="eastAsia" w:ascii="宋体" w:hAnsi="宋体" w:cs="宋体"/>
          <w:color w:val="auto"/>
          <w:sz w:val="24"/>
          <w:szCs w:val="24"/>
        </w:rPr>
        <w:t>附件1：       承包人承揽工程项目一览表</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4"/>
        <w:gridCol w:w="953"/>
        <w:gridCol w:w="1271"/>
        <w:gridCol w:w="953"/>
        <w:gridCol w:w="814"/>
        <w:gridCol w:w="934"/>
        <w:gridCol w:w="736"/>
        <w:gridCol w:w="1112"/>
        <w:gridCol w:w="812"/>
        <w:gridCol w:w="778"/>
        <w:gridCol w:w="16"/>
      </w:tblGrid>
      <w:tr w14:paraId="33992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gridAfter w:val="1"/>
          <w:wAfter w:w="16" w:type="dxa"/>
          <w:trHeight w:val="883" w:hRule="atLeast"/>
          <w:jc w:val="center"/>
        </w:trPr>
        <w:tc>
          <w:tcPr>
            <w:tcW w:w="694" w:type="dxa"/>
            <w:tcBorders>
              <w:top w:val="single" w:color="auto" w:sz="12" w:space="0"/>
              <w:bottom w:val="double" w:color="auto" w:sz="6" w:space="0"/>
            </w:tcBorders>
            <w:vAlign w:val="center"/>
          </w:tcPr>
          <w:p w14:paraId="28E5F82F">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单位工程名称</w:t>
            </w:r>
          </w:p>
        </w:tc>
        <w:tc>
          <w:tcPr>
            <w:tcW w:w="953" w:type="dxa"/>
            <w:tcBorders>
              <w:top w:val="single" w:color="auto" w:sz="12" w:space="0"/>
              <w:bottom w:val="double" w:color="auto" w:sz="6" w:space="0"/>
            </w:tcBorders>
            <w:vAlign w:val="center"/>
          </w:tcPr>
          <w:p w14:paraId="4BA7AAC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建设规模</w:t>
            </w:r>
          </w:p>
        </w:tc>
        <w:tc>
          <w:tcPr>
            <w:tcW w:w="1271" w:type="dxa"/>
            <w:tcBorders>
              <w:top w:val="single" w:color="auto" w:sz="12" w:space="0"/>
              <w:bottom w:val="double" w:color="auto" w:sz="6" w:space="0"/>
            </w:tcBorders>
            <w:vAlign w:val="center"/>
          </w:tcPr>
          <w:p w14:paraId="25F45444">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建筑面积(平方米)</w:t>
            </w:r>
          </w:p>
        </w:tc>
        <w:tc>
          <w:tcPr>
            <w:tcW w:w="953" w:type="dxa"/>
            <w:tcBorders>
              <w:top w:val="single" w:color="auto" w:sz="12" w:space="0"/>
              <w:bottom w:val="double" w:color="auto" w:sz="6" w:space="0"/>
            </w:tcBorders>
            <w:vAlign w:val="center"/>
          </w:tcPr>
          <w:p w14:paraId="5E362DED">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结构形式</w:t>
            </w:r>
          </w:p>
        </w:tc>
        <w:tc>
          <w:tcPr>
            <w:tcW w:w="814" w:type="dxa"/>
            <w:tcBorders>
              <w:top w:val="single" w:color="auto" w:sz="12" w:space="0"/>
              <w:bottom w:val="double" w:color="auto" w:sz="6" w:space="0"/>
            </w:tcBorders>
            <w:vAlign w:val="center"/>
          </w:tcPr>
          <w:p w14:paraId="1CE7D0C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层数</w:t>
            </w:r>
          </w:p>
        </w:tc>
        <w:tc>
          <w:tcPr>
            <w:tcW w:w="934" w:type="dxa"/>
            <w:tcBorders>
              <w:top w:val="single" w:color="auto" w:sz="12" w:space="0"/>
              <w:bottom w:val="double" w:color="auto" w:sz="6" w:space="0"/>
            </w:tcBorders>
            <w:vAlign w:val="center"/>
          </w:tcPr>
          <w:p w14:paraId="753CBB41">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生产能力</w:t>
            </w:r>
          </w:p>
        </w:tc>
        <w:tc>
          <w:tcPr>
            <w:tcW w:w="736" w:type="dxa"/>
            <w:tcBorders>
              <w:top w:val="single" w:color="auto" w:sz="12" w:space="0"/>
              <w:bottom w:val="double" w:color="auto" w:sz="6" w:space="0"/>
            </w:tcBorders>
            <w:vAlign w:val="center"/>
          </w:tcPr>
          <w:p w14:paraId="3E18F12D">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设备安装内容</w:t>
            </w:r>
          </w:p>
        </w:tc>
        <w:tc>
          <w:tcPr>
            <w:tcW w:w="1112" w:type="dxa"/>
            <w:tcBorders>
              <w:top w:val="single" w:color="auto" w:sz="12" w:space="0"/>
              <w:bottom w:val="double" w:color="auto" w:sz="6" w:space="0"/>
            </w:tcBorders>
            <w:vAlign w:val="center"/>
          </w:tcPr>
          <w:p w14:paraId="0350D161">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合同价格（元）</w:t>
            </w:r>
          </w:p>
        </w:tc>
        <w:tc>
          <w:tcPr>
            <w:tcW w:w="812" w:type="dxa"/>
            <w:tcBorders>
              <w:top w:val="single" w:color="auto" w:sz="12" w:space="0"/>
              <w:bottom w:val="double" w:color="auto" w:sz="6" w:space="0"/>
            </w:tcBorders>
            <w:vAlign w:val="center"/>
          </w:tcPr>
          <w:p w14:paraId="51CABE28">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开工日期</w:t>
            </w:r>
          </w:p>
        </w:tc>
        <w:tc>
          <w:tcPr>
            <w:tcW w:w="778" w:type="dxa"/>
            <w:tcBorders>
              <w:top w:val="single" w:color="auto" w:sz="12" w:space="0"/>
              <w:bottom w:val="double" w:color="auto" w:sz="6" w:space="0"/>
            </w:tcBorders>
            <w:vAlign w:val="center"/>
          </w:tcPr>
          <w:p w14:paraId="5C4367E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竣工日期</w:t>
            </w:r>
          </w:p>
        </w:tc>
      </w:tr>
      <w:tr w14:paraId="5F896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1" w:hRule="atLeast"/>
          <w:jc w:val="center"/>
        </w:trPr>
        <w:tc>
          <w:tcPr>
            <w:tcW w:w="694" w:type="dxa"/>
            <w:tcBorders>
              <w:top w:val="double" w:color="auto" w:sz="6" w:space="0"/>
              <w:bottom w:val="single" w:color="auto" w:sz="6" w:space="0"/>
            </w:tcBorders>
            <w:vAlign w:val="center"/>
          </w:tcPr>
          <w:p w14:paraId="0E392B8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double" w:color="auto" w:sz="6" w:space="0"/>
              <w:bottom w:val="single" w:color="auto" w:sz="6" w:space="0"/>
            </w:tcBorders>
            <w:vAlign w:val="center"/>
          </w:tcPr>
          <w:p w14:paraId="6112709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tcBorders>
              <w:top w:val="double" w:color="auto" w:sz="6" w:space="0"/>
              <w:bottom w:val="single" w:color="auto" w:sz="6" w:space="0"/>
            </w:tcBorders>
            <w:vAlign w:val="center"/>
          </w:tcPr>
          <w:p w14:paraId="15B8482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double" w:color="auto" w:sz="6" w:space="0"/>
              <w:bottom w:val="single" w:color="auto" w:sz="6" w:space="0"/>
            </w:tcBorders>
            <w:vAlign w:val="center"/>
          </w:tcPr>
          <w:p w14:paraId="7283EA9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tcBorders>
              <w:top w:val="double" w:color="auto" w:sz="6" w:space="0"/>
              <w:bottom w:val="single" w:color="auto" w:sz="6" w:space="0"/>
            </w:tcBorders>
            <w:vAlign w:val="center"/>
          </w:tcPr>
          <w:p w14:paraId="4E3B24B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tcBorders>
              <w:top w:val="double" w:color="auto" w:sz="6" w:space="0"/>
              <w:bottom w:val="single" w:color="auto" w:sz="6" w:space="0"/>
            </w:tcBorders>
            <w:vAlign w:val="center"/>
          </w:tcPr>
          <w:p w14:paraId="7EAF57B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tcBorders>
              <w:top w:val="double" w:color="auto" w:sz="6" w:space="0"/>
              <w:bottom w:val="single" w:color="auto" w:sz="6" w:space="0"/>
            </w:tcBorders>
            <w:vAlign w:val="center"/>
          </w:tcPr>
          <w:p w14:paraId="53963CB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tcBorders>
              <w:top w:val="double" w:color="auto" w:sz="6" w:space="0"/>
              <w:bottom w:val="single" w:color="auto" w:sz="6" w:space="0"/>
            </w:tcBorders>
            <w:vAlign w:val="center"/>
          </w:tcPr>
          <w:p w14:paraId="2457EC9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tcBorders>
              <w:top w:val="double" w:color="auto" w:sz="6" w:space="0"/>
              <w:bottom w:val="single" w:color="auto" w:sz="6" w:space="0"/>
            </w:tcBorders>
            <w:vAlign w:val="center"/>
          </w:tcPr>
          <w:p w14:paraId="33441A1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tcBorders>
              <w:top w:val="double" w:color="auto" w:sz="6" w:space="0"/>
              <w:bottom w:val="single" w:color="auto" w:sz="6" w:space="0"/>
            </w:tcBorders>
            <w:vAlign w:val="center"/>
          </w:tcPr>
          <w:p w14:paraId="7D1340FE">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4B0D4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694" w:type="dxa"/>
            <w:tcBorders>
              <w:top w:val="nil"/>
            </w:tcBorders>
            <w:vAlign w:val="center"/>
          </w:tcPr>
          <w:p w14:paraId="77F3CD1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4F681BC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tcBorders>
              <w:top w:val="nil"/>
            </w:tcBorders>
            <w:vAlign w:val="center"/>
          </w:tcPr>
          <w:p w14:paraId="4CC5CE9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6441677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tcBorders>
              <w:top w:val="nil"/>
            </w:tcBorders>
            <w:vAlign w:val="center"/>
          </w:tcPr>
          <w:p w14:paraId="4C8BB18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tcBorders>
              <w:top w:val="nil"/>
            </w:tcBorders>
            <w:vAlign w:val="center"/>
          </w:tcPr>
          <w:p w14:paraId="3D3EBEC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tcBorders>
              <w:top w:val="nil"/>
            </w:tcBorders>
            <w:vAlign w:val="center"/>
          </w:tcPr>
          <w:p w14:paraId="49454BD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tcBorders>
              <w:top w:val="nil"/>
            </w:tcBorders>
            <w:vAlign w:val="center"/>
          </w:tcPr>
          <w:p w14:paraId="44E6E53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tcBorders>
              <w:top w:val="nil"/>
            </w:tcBorders>
            <w:vAlign w:val="center"/>
          </w:tcPr>
          <w:p w14:paraId="4988B9A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tcBorders>
              <w:top w:val="nil"/>
            </w:tcBorders>
            <w:vAlign w:val="center"/>
          </w:tcPr>
          <w:p w14:paraId="77CA43A0">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6EDC1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694" w:type="dxa"/>
            <w:tcBorders>
              <w:top w:val="nil"/>
            </w:tcBorders>
            <w:vAlign w:val="center"/>
          </w:tcPr>
          <w:p w14:paraId="2C26BAC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68E165C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tcBorders>
              <w:top w:val="nil"/>
            </w:tcBorders>
            <w:vAlign w:val="center"/>
          </w:tcPr>
          <w:p w14:paraId="65A6DB9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0E45CB8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tcBorders>
              <w:top w:val="nil"/>
            </w:tcBorders>
            <w:vAlign w:val="center"/>
          </w:tcPr>
          <w:p w14:paraId="284350B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tcBorders>
              <w:top w:val="nil"/>
            </w:tcBorders>
            <w:vAlign w:val="center"/>
          </w:tcPr>
          <w:p w14:paraId="3127C6E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tcBorders>
              <w:top w:val="nil"/>
            </w:tcBorders>
            <w:vAlign w:val="center"/>
          </w:tcPr>
          <w:p w14:paraId="7DCFED6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tcBorders>
              <w:top w:val="nil"/>
            </w:tcBorders>
            <w:vAlign w:val="center"/>
          </w:tcPr>
          <w:p w14:paraId="70981B4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tcBorders>
              <w:top w:val="nil"/>
            </w:tcBorders>
            <w:vAlign w:val="center"/>
          </w:tcPr>
          <w:p w14:paraId="0E9F648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tcBorders>
              <w:top w:val="nil"/>
            </w:tcBorders>
            <w:vAlign w:val="center"/>
          </w:tcPr>
          <w:p w14:paraId="251D13F6">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EF2E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6" w:hRule="atLeast"/>
          <w:jc w:val="center"/>
        </w:trPr>
        <w:tc>
          <w:tcPr>
            <w:tcW w:w="694" w:type="dxa"/>
            <w:vAlign w:val="center"/>
          </w:tcPr>
          <w:p w14:paraId="0EC4663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vAlign w:val="center"/>
          </w:tcPr>
          <w:p w14:paraId="41B37A4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vAlign w:val="center"/>
          </w:tcPr>
          <w:p w14:paraId="23E0C37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vAlign w:val="center"/>
          </w:tcPr>
          <w:p w14:paraId="72A411A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vAlign w:val="center"/>
          </w:tcPr>
          <w:p w14:paraId="7E2A576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vAlign w:val="center"/>
          </w:tcPr>
          <w:p w14:paraId="158C1A6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vAlign w:val="center"/>
          </w:tcPr>
          <w:p w14:paraId="3682087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vAlign w:val="center"/>
          </w:tcPr>
          <w:p w14:paraId="21F6974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vAlign w:val="center"/>
          </w:tcPr>
          <w:p w14:paraId="328DD82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vAlign w:val="center"/>
          </w:tcPr>
          <w:p w14:paraId="6671EBA4">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5E24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694" w:type="dxa"/>
            <w:tcBorders>
              <w:top w:val="nil"/>
            </w:tcBorders>
            <w:vAlign w:val="center"/>
          </w:tcPr>
          <w:p w14:paraId="57A4E2E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2B4DF95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tcBorders>
              <w:top w:val="nil"/>
            </w:tcBorders>
            <w:vAlign w:val="center"/>
          </w:tcPr>
          <w:p w14:paraId="24F27F1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7D14B64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tcBorders>
              <w:top w:val="nil"/>
            </w:tcBorders>
            <w:vAlign w:val="center"/>
          </w:tcPr>
          <w:p w14:paraId="34F62B5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tcBorders>
              <w:top w:val="nil"/>
            </w:tcBorders>
            <w:vAlign w:val="center"/>
          </w:tcPr>
          <w:p w14:paraId="5378335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tcBorders>
              <w:top w:val="nil"/>
            </w:tcBorders>
            <w:vAlign w:val="center"/>
          </w:tcPr>
          <w:p w14:paraId="752EB12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tcBorders>
              <w:top w:val="nil"/>
            </w:tcBorders>
            <w:vAlign w:val="center"/>
          </w:tcPr>
          <w:p w14:paraId="7D7837C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tcBorders>
              <w:top w:val="nil"/>
            </w:tcBorders>
            <w:vAlign w:val="center"/>
          </w:tcPr>
          <w:p w14:paraId="4984327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tcBorders>
              <w:top w:val="nil"/>
            </w:tcBorders>
            <w:vAlign w:val="center"/>
          </w:tcPr>
          <w:p w14:paraId="36AB7553">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716FD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694" w:type="dxa"/>
            <w:vAlign w:val="center"/>
          </w:tcPr>
          <w:p w14:paraId="4C70BE4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vAlign w:val="center"/>
          </w:tcPr>
          <w:p w14:paraId="7FC2399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vAlign w:val="center"/>
          </w:tcPr>
          <w:p w14:paraId="092F3F1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vAlign w:val="center"/>
          </w:tcPr>
          <w:p w14:paraId="2805F47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vAlign w:val="center"/>
          </w:tcPr>
          <w:p w14:paraId="046537A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vAlign w:val="center"/>
          </w:tcPr>
          <w:p w14:paraId="4FB67D9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vAlign w:val="center"/>
          </w:tcPr>
          <w:p w14:paraId="308199F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vAlign w:val="center"/>
          </w:tcPr>
          <w:p w14:paraId="6AC3029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vAlign w:val="center"/>
          </w:tcPr>
          <w:p w14:paraId="790B563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vAlign w:val="center"/>
          </w:tcPr>
          <w:p w14:paraId="3B366D7D">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EBD6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694" w:type="dxa"/>
            <w:tcBorders>
              <w:top w:val="nil"/>
            </w:tcBorders>
            <w:vAlign w:val="center"/>
          </w:tcPr>
          <w:p w14:paraId="5544098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1C3D833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tcBorders>
              <w:top w:val="nil"/>
            </w:tcBorders>
            <w:vAlign w:val="center"/>
          </w:tcPr>
          <w:p w14:paraId="1D62429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2EE0610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tcBorders>
              <w:top w:val="nil"/>
            </w:tcBorders>
            <w:vAlign w:val="center"/>
          </w:tcPr>
          <w:p w14:paraId="480D5CD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tcBorders>
              <w:top w:val="nil"/>
            </w:tcBorders>
            <w:vAlign w:val="center"/>
          </w:tcPr>
          <w:p w14:paraId="06C53B8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tcBorders>
              <w:top w:val="nil"/>
            </w:tcBorders>
            <w:vAlign w:val="center"/>
          </w:tcPr>
          <w:p w14:paraId="310ADC4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tcBorders>
              <w:top w:val="nil"/>
            </w:tcBorders>
            <w:vAlign w:val="center"/>
          </w:tcPr>
          <w:p w14:paraId="1FB8013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tcBorders>
              <w:top w:val="nil"/>
            </w:tcBorders>
            <w:vAlign w:val="center"/>
          </w:tcPr>
          <w:p w14:paraId="4F12536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tcBorders>
              <w:top w:val="nil"/>
            </w:tcBorders>
            <w:vAlign w:val="center"/>
          </w:tcPr>
          <w:p w14:paraId="2DA2537E">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9F02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1" w:hRule="atLeast"/>
          <w:jc w:val="center"/>
        </w:trPr>
        <w:tc>
          <w:tcPr>
            <w:tcW w:w="694" w:type="dxa"/>
            <w:tcBorders>
              <w:top w:val="nil"/>
            </w:tcBorders>
            <w:vAlign w:val="center"/>
          </w:tcPr>
          <w:p w14:paraId="548B4ED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6A87393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271" w:type="dxa"/>
            <w:tcBorders>
              <w:top w:val="nil"/>
            </w:tcBorders>
            <w:vAlign w:val="center"/>
          </w:tcPr>
          <w:p w14:paraId="5908167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53" w:type="dxa"/>
            <w:tcBorders>
              <w:top w:val="nil"/>
            </w:tcBorders>
            <w:vAlign w:val="center"/>
          </w:tcPr>
          <w:p w14:paraId="793868B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4" w:type="dxa"/>
            <w:tcBorders>
              <w:top w:val="nil"/>
            </w:tcBorders>
            <w:vAlign w:val="center"/>
          </w:tcPr>
          <w:p w14:paraId="10FCB65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34" w:type="dxa"/>
            <w:tcBorders>
              <w:top w:val="nil"/>
            </w:tcBorders>
            <w:vAlign w:val="center"/>
          </w:tcPr>
          <w:p w14:paraId="7268B78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36" w:type="dxa"/>
            <w:tcBorders>
              <w:top w:val="nil"/>
            </w:tcBorders>
            <w:vAlign w:val="center"/>
          </w:tcPr>
          <w:p w14:paraId="2AD5C5B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12" w:type="dxa"/>
            <w:tcBorders>
              <w:top w:val="nil"/>
            </w:tcBorders>
            <w:vAlign w:val="center"/>
          </w:tcPr>
          <w:p w14:paraId="424119F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12" w:type="dxa"/>
            <w:tcBorders>
              <w:top w:val="nil"/>
            </w:tcBorders>
            <w:vAlign w:val="center"/>
          </w:tcPr>
          <w:p w14:paraId="27207B0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794" w:type="dxa"/>
            <w:gridSpan w:val="2"/>
            <w:tcBorders>
              <w:top w:val="nil"/>
            </w:tcBorders>
            <w:vAlign w:val="center"/>
          </w:tcPr>
          <w:p w14:paraId="7FA4A541">
            <w:pPr>
              <w:pStyle w:val="284"/>
              <w:wordWrap w:val="0"/>
              <w:topLinePunct/>
              <w:adjustRightInd/>
              <w:spacing w:after="0" w:line="420" w:lineRule="exact"/>
              <w:ind w:left="0" w:leftChars="0" w:right="0" w:rightChars="0"/>
              <w:rPr>
                <w:rFonts w:ascii="宋体" w:hAnsi="宋体" w:cs="宋体"/>
                <w:color w:val="auto"/>
                <w:kern w:val="2"/>
                <w:sz w:val="21"/>
                <w:szCs w:val="21"/>
              </w:rPr>
            </w:pPr>
          </w:p>
        </w:tc>
      </w:tr>
    </w:tbl>
    <w:p w14:paraId="28674F9C">
      <w:pPr>
        <w:pStyle w:val="274"/>
        <w:wordWrap w:val="0"/>
        <w:topLinePunct/>
        <w:spacing w:line="420" w:lineRule="exact"/>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附</w:t>
      </w:r>
      <w:bookmarkStart w:id="852" w:name="_Toc296891053"/>
      <w:bookmarkStart w:id="853" w:name="_Toc296891265"/>
      <w:bookmarkStart w:id="854" w:name="_Toc267261692"/>
      <w:bookmarkStart w:id="855" w:name="_Toc296347224"/>
      <w:bookmarkStart w:id="856" w:name="_Toc296944564"/>
      <w:bookmarkStart w:id="857" w:name="_Toc296503225"/>
      <w:bookmarkStart w:id="858" w:name="_Toc296346726"/>
      <w:r>
        <w:rPr>
          <w:rFonts w:hint="eastAsia" w:ascii="宋体" w:hAnsi="宋体" w:cs="宋体"/>
          <w:color w:val="auto"/>
          <w:sz w:val="24"/>
          <w:szCs w:val="24"/>
        </w:rPr>
        <w:t>件2:</w:t>
      </w:r>
    </w:p>
    <w:p w14:paraId="737577CC">
      <w:pPr>
        <w:pStyle w:val="274"/>
        <w:wordWrap w:val="0"/>
        <w:topLinePunct/>
        <w:spacing w:before="120" w:after="120" w:line="420" w:lineRule="exact"/>
        <w:jc w:val="center"/>
        <w:rPr>
          <w:rFonts w:ascii="宋体" w:hAnsi="宋体" w:cs="宋体"/>
          <w:color w:val="auto"/>
          <w:sz w:val="24"/>
          <w:szCs w:val="24"/>
        </w:rPr>
      </w:pPr>
      <w:r>
        <w:rPr>
          <w:rFonts w:hint="eastAsia" w:ascii="宋体" w:hAnsi="宋体" w:cs="宋体"/>
          <w:color w:val="auto"/>
          <w:sz w:val="24"/>
          <w:szCs w:val="24"/>
        </w:rPr>
        <w:t>支付担保</w:t>
      </w:r>
    </w:p>
    <w:p w14:paraId="082D2409">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（承包人）：</w:t>
      </w:r>
    </w:p>
    <w:p w14:paraId="4878BCD2">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rPr>
        <w:t xml:space="preserve"> </w:t>
      </w:r>
    </w:p>
    <w:p w14:paraId="13CA7112">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鉴于你方作为承包人已经与</w:t>
      </w:r>
      <w:r>
        <w:rPr>
          <w:rFonts w:hint="eastAsia" w:ascii="宋体" w:hAnsi="宋体" w:cs="宋体"/>
          <w:color w:val="auto"/>
          <w:szCs w:val="21"/>
          <w:u w:val="single"/>
        </w:rPr>
        <w:t xml:space="preserve">           </w:t>
      </w:r>
      <w:r>
        <w:rPr>
          <w:rFonts w:hint="eastAsia" w:ascii="宋体" w:hAnsi="宋体" w:cs="宋体"/>
          <w:color w:val="auto"/>
          <w:szCs w:val="21"/>
        </w:rPr>
        <w:t>（发包人名称）（以下称“发包人”）于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日签订了</w:t>
      </w:r>
      <w:r>
        <w:rPr>
          <w:rFonts w:hint="eastAsia" w:ascii="宋体" w:hAnsi="宋体" w:cs="宋体"/>
          <w:color w:val="auto"/>
          <w:szCs w:val="21"/>
          <w:u w:val="single"/>
        </w:rPr>
        <w:t xml:space="preserve">                          </w:t>
      </w:r>
      <w:r>
        <w:rPr>
          <w:rFonts w:hint="eastAsia" w:ascii="宋体" w:hAnsi="宋体" w:cs="宋体"/>
          <w:color w:val="auto"/>
          <w:szCs w:val="21"/>
        </w:rPr>
        <w:t>（工程名称）《建设工程施工合同》（以下称“主合同”），应发包人的申请，我方愿就发包人履行主合同约定的工程款支付义务以保证的方式向你方提供如下担保：</w:t>
      </w:r>
    </w:p>
    <w:p w14:paraId="10E587A1">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一、保证的范围及保证金额</w:t>
      </w:r>
    </w:p>
    <w:p w14:paraId="137D6E42">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1. 我方的保证范围是主合同约定的工程款。</w:t>
      </w:r>
    </w:p>
    <w:p w14:paraId="5F3E8C3B">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2. 本保函所称主合同约定的工程款是指主合同约定的除工程质量保证金以外的合同价款。</w:t>
      </w:r>
    </w:p>
    <w:p w14:paraId="57BAB963">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3. 我方保证的金额是主合同约定的工程款的</w:t>
      </w:r>
      <w:r>
        <w:rPr>
          <w:rFonts w:hint="eastAsia" w:ascii="宋体" w:hAnsi="宋体" w:cs="宋体"/>
          <w:color w:val="auto"/>
          <w:szCs w:val="21"/>
          <w:u w:val="single"/>
        </w:rPr>
        <w:t xml:space="preserve">      </w:t>
      </w:r>
      <w:r>
        <w:rPr>
          <w:rFonts w:hint="eastAsia" w:ascii="宋体" w:hAnsi="宋体" w:cs="宋体"/>
          <w:color w:val="auto"/>
          <w:szCs w:val="21"/>
        </w:rPr>
        <w:t>%，数额最高不超过人民币元（大写：</w:t>
      </w:r>
      <w:r>
        <w:rPr>
          <w:rFonts w:hint="eastAsia" w:ascii="宋体" w:hAnsi="宋体" w:cs="宋体"/>
          <w:color w:val="auto"/>
          <w:szCs w:val="21"/>
          <w:u w:val="single"/>
        </w:rPr>
        <w:t xml:space="preserve">        </w:t>
      </w:r>
      <w:r>
        <w:rPr>
          <w:rFonts w:hint="eastAsia" w:ascii="宋体" w:hAnsi="宋体" w:cs="宋体"/>
          <w:color w:val="auto"/>
          <w:szCs w:val="21"/>
        </w:rPr>
        <w:t>）。</w:t>
      </w:r>
    </w:p>
    <w:p w14:paraId="62F88A8A">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二、保证的方式及保证期间</w:t>
      </w:r>
    </w:p>
    <w:p w14:paraId="697F2DAE">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1. 我方保证的方式为：连带责任保证。</w:t>
      </w:r>
    </w:p>
    <w:p w14:paraId="7CEAC1FA">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2. 我方保证的期间为：自本合同生效之日起至主合同约定的工程款支付完毕之日后</w:t>
      </w:r>
      <w:r>
        <w:rPr>
          <w:rFonts w:hint="eastAsia" w:ascii="宋体" w:hAnsi="宋体" w:cs="宋体"/>
          <w:color w:val="auto"/>
          <w:szCs w:val="21"/>
          <w:u w:val="single"/>
        </w:rPr>
        <w:t xml:space="preserve">    </w:t>
      </w:r>
      <w:r>
        <w:rPr>
          <w:rFonts w:hint="eastAsia" w:ascii="宋体" w:hAnsi="宋体" w:cs="宋体"/>
          <w:color w:val="auto"/>
          <w:szCs w:val="21"/>
        </w:rPr>
        <w:t>日内。</w:t>
      </w:r>
    </w:p>
    <w:p w14:paraId="57155DE7">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3. 你方与发包人协议变更工程款支付日期的，经我方书面同意后，保证期间按照变更后的支付日期做相应调整。</w:t>
      </w:r>
    </w:p>
    <w:p w14:paraId="41102FD2">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三、承担保证责任的形式</w:t>
      </w:r>
    </w:p>
    <w:p w14:paraId="5493D529">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我方承担保证责任的形式是代为支付。发包人未按主合同约定向你方支付工程款的，由我方在保证金额内代为支付。</w:t>
      </w:r>
    </w:p>
    <w:p w14:paraId="4A436AEF">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四、代偿的安排</w:t>
      </w:r>
    </w:p>
    <w:p w14:paraId="2DC58A1D">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1. 你方要求我方承担保证责任的，应向我方发出书面索赔通知及发包人未支付主合同约定工程款的证明材料。索赔通知应写明要求索赔的金额，支付款项应到达的账号。</w:t>
      </w:r>
    </w:p>
    <w:p w14:paraId="7E76C933">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18D2305B">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3. 我方收到你方的书面索赔通知及相应的证明材料后７天内无条件支付。</w:t>
      </w:r>
    </w:p>
    <w:p w14:paraId="533F4782">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五、保证责任的解除</w:t>
      </w:r>
    </w:p>
    <w:p w14:paraId="0E22E511">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1. 在本保函承诺的保证期间内，你方未书面向我方主张保证责任的，自保证期间届满次日起，我方保证责任解除。</w:t>
      </w:r>
    </w:p>
    <w:p w14:paraId="00426935">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2. 发包人按主合同约定履行了工程款的全部支付义务的，自本保函承诺的保证期间届满次日起，我方保证责任解除。</w:t>
      </w:r>
    </w:p>
    <w:p w14:paraId="731D44AA">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3. 我方按照本保函向你方履行保证责任所支付金额达到本保函保证金额时，自我方向你方支付（支付款项从我方账户划出）之日起，保证责任即解除。</w:t>
      </w:r>
    </w:p>
    <w:p w14:paraId="35F21C40">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4. 按照法律法规的规定或出现应解除我方保证责任的其他情形的，我方在本保函项下的保证责任亦解除。</w:t>
      </w:r>
    </w:p>
    <w:p w14:paraId="766E6C14">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5. 我方解除保证责任后，你方应自我方保证责任解除之日起</w:t>
      </w:r>
      <w:r>
        <w:rPr>
          <w:rFonts w:hint="eastAsia" w:ascii="宋体" w:hAnsi="宋体" w:cs="宋体"/>
          <w:color w:val="auto"/>
          <w:szCs w:val="21"/>
          <w:u w:val="single"/>
        </w:rPr>
        <w:t xml:space="preserve">  </w:t>
      </w:r>
      <w:r>
        <w:rPr>
          <w:rFonts w:hint="eastAsia" w:ascii="宋体" w:hAnsi="宋体" w:cs="宋体"/>
          <w:color w:val="auto"/>
          <w:szCs w:val="21"/>
        </w:rPr>
        <w:t>个工作日内，将本保函原件返还我方。</w:t>
      </w:r>
    </w:p>
    <w:p w14:paraId="2E345748">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六、免责条款</w:t>
      </w:r>
    </w:p>
    <w:p w14:paraId="1B8DA187">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1. 因你方违约致使发包人不能履行义务的，我方不承担保证责任。</w:t>
      </w:r>
    </w:p>
    <w:p w14:paraId="61C82F15">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2. 依照法律法规的规定或你方与发包人的另行约定，免除发包人部分或全部义务的，我方亦免除其相应的保证责任。</w:t>
      </w:r>
    </w:p>
    <w:p w14:paraId="1718BDB7">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2C91AB9E">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4. 因不可抗力造成发包人不能履行义务的，我方不承担保证责任。</w:t>
      </w:r>
    </w:p>
    <w:p w14:paraId="4D03EEED">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七、争议解决</w:t>
      </w:r>
    </w:p>
    <w:p w14:paraId="35C3AF0E">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因本保函或本保函相关事项发生的纠纷，可由双方协商解决，协商不成的，按下列第</w:t>
      </w:r>
      <w:r>
        <w:rPr>
          <w:rFonts w:hint="eastAsia" w:ascii="宋体" w:hAnsi="宋体" w:cs="宋体"/>
          <w:color w:val="auto"/>
          <w:szCs w:val="21"/>
          <w:u w:val="single"/>
        </w:rPr>
        <w:t xml:space="preserve">    </w:t>
      </w:r>
      <w:r>
        <w:rPr>
          <w:rFonts w:hint="eastAsia" w:ascii="宋体" w:hAnsi="宋体" w:cs="宋体"/>
          <w:color w:val="auto"/>
          <w:szCs w:val="21"/>
        </w:rPr>
        <w:t>种方式解决：</w:t>
      </w:r>
    </w:p>
    <w:p w14:paraId="29E99657">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（1）向</w:t>
      </w:r>
      <w:r>
        <w:rPr>
          <w:rFonts w:hint="eastAsia" w:ascii="宋体" w:hAnsi="宋体" w:cs="宋体"/>
          <w:color w:val="auto"/>
          <w:szCs w:val="21"/>
          <w:u w:val="single"/>
        </w:rPr>
        <w:t xml:space="preserve">                     </w:t>
      </w:r>
      <w:r>
        <w:rPr>
          <w:rFonts w:hint="eastAsia" w:ascii="宋体" w:hAnsi="宋体" w:cs="宋体"/>
          <w:color w:val="auto"/>
          <w:szCs w:val="21"/>
        </w:rPr>
        <w:t>仲裁委员会申请仲裁；</w:t>
      </w:r>
    </w:p>
    <w:p w14:paraId="375B6FE4">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（2）向</w:t>
      </w:r>
      <w:r>
        <w:rPr>
          <w:rFonts w:hint="eastAsia" w:ascii="宋体" w:hAnsi="宋体" w:cs="宋体"/>
          <w:color w:val="auto"/>
          <w:szCs w:val="21"/>
          <w:u w:val="single"/>
        </w:rPr>
        <w:t xml:space="preserve">                     </w:t>
      </w:r>
      <w:r>
        <w:rPr>
          <w:rFonts w:hint="eastAsia" w:ascii="宋体" w:hAnsi="宋体" w:cs="宋体"/>
          <w:color w:val="auto"/>
          <w:szCs w:val="21"/>
        </w:rPr>
        <w:t>人民法院起诉。</w:t>
      </w:r>
    </w:p>
    <w:p w14:paraId="0A028869">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八、保函的生效</w:t>
      </w:r>
    </w:p>
    <w:p w14:paraId="7AAF99B6">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本保函自我方法定代表人（或其授权代理人）签字并加盖公章之日起生效。</w:t>
      </w:r>
    </w:p>
    <w:p w14:paraId="25800CA9">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rPr>
        <w:t xml:space="preserve"> </w:t>
      </w:r>
    </w:p>
    <w:p w14:paraId="42CDCD7D">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rPr>
        <w:t xml:space="preserve"> </w:t>
      </w:r>
    </w:p>
    <w:p w14:paraId="01C78531">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rPr>
        <w:t>担保人：</w:t>
      </w:r>
      <w:r>
        <w:rPr>
          <w:rFonts w:hint="eastAsia" w:ascii="宋体" w:hAnsi="宋体" w:cs="宋体"/>
          <w:color w:val="auto"/>
          <w:szCs w:val="21"/>
          <w:u w:val="single"/>
        </w:rPr>
        <w:t xml:space="preserve">                                   </w:t>
      </w:r>
      <w:r>
        <w:rPr>
          <w:rFonts w:hint="eastAsia" w:ascii="宋体" w:hAnsi="宋体" w:cs="宋体"/>
          <w:color w:val="auto"/>
          <w:szCs w:val="21"/>
        </w:rPr>
        <w:t>（盖章）</w:t>
      </w:r>
    </w:p>
    <w:p w14:paraId="729E8F08">
      <w:pPr>
        <w:pStyle w:val="274"/>
        <w:wordWrap w:val="0"/>
        <w:topLinePunct/>
        <w:spacing w:line="420" w:lineRule="exact"/>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w:t>
      </w:r>
    </w:p>
    <w:p w14:paraId="08B1B403">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p w14:paraId="332384CE">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rPr>
        <w:t>邮政编码：</w:t>
      </w:r>
      <w:r>
        <w:rPr>
          <w:rFonts w:hint="eastAsia" w:ascii="宋体" w:hAnsi="宋体" w:cs="宋体"/>
          <w:color w:val="auto"/>
          <w:szCs w:val="21"/>
          <w:u w:val="single"/>
        </w:rPr>
        <w:t xml:space="preserve">                                        </w:t>
      </w:r>
    </w:p>
    <w:p w14:paraId="7730E40C">
      <w:pPr>
        <w:pStyle w:val="274"/>
        <w:wordWrap w:val="0"/>
        <w:topLinePunct/>
        <w:spacing w:line="420" w:lineRule="exact"/>
        <w:jc w:val="left"/>
        <w:rPr>
          <w:rFonts w:ascii="宋体" w:hAnsi="宋体" w:cs="宋体"/>
          <w:color w:val="auto"/>
          <w:szCs w:val="21"/>
        </w:rPr>
      </w:pPr>
      <w:r>
        <w:rPr>
          <w:rFonts w:hint="eastAsia" w:ascii="宋体" w:hAnsi="宋体" w:cs="宋体"/>
          <w:color w:val="auto"/>
          <w:szCs w:val="21"/>
        </w:rPr>
        <w:t>传    真：</w:t>
      </w:r>
      <w:r>
        <w:rPr>
          <w:rFonts w:hint="eastAsia" w:ascii="宋体" w:hAnsi="宋体" w:cs="宋体"/>
          <w:color w:val="auto"/>
          <w:szCs w:val="21"/>
          <w:u w:val="single"/>
        </w:rPr>
        <w:t xml:space="preserve">                                        </w:t>
      </w:r>
    </w:p>
    <w:p w14:paraId="439C4ED6">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D33F9EC">
      <w:pPr>
        <w:pStyle w:val="274"/>
        <w:wordWrap w:val="0"/>
        <w:topLinePunct/>
        <w:spacing w:line="420" w:lineRule="exact"/>
        <w:ind w:firstLine="420" w:firstLineChars="200"/>
        <w:jc w:val="left"/>
        <w:rPr>
          <w:rFonts w:ascii="宋体" w:hAnsi="宋体" w:cs="宋体"/>
          <w:color w:val="auto"/>
          <w:szCs w:val="21"/>
        </w:rPr>
      </w:pPr>
    </w:p>
    <w:p w14:paraId="3A2BB78D">
      <w:pPr>
        <w:pStyle w:val="274"/>
        <w:wordWrap w:val="0"/>
        <w:topLinePunct/>
        <w:spacing w:line="420" w:lineRule="exact"/>
        <w:ind w:firstLine="420" w:firstLineChars="200"/>
        <w:jc w:val="left"/>
        <w:rPr>
          <w:rFonts w:ascii="宋体" w:hAnsi="宋体" w:cs="宋体"/>
          <w:color w:val="auto"/>
          <w:szCs w:val="21"/>
        </w:rPr>
      </w:pPr>
    </w:p>
    <w:p w14:paraId="1B1DAB1A">
      <w:pPr>
        <w:pStyle w:val="274"/>
        <w:wordWrap w:val="0"/>
        <w:topLinePunct/>
        <w:spacing w:line="420" w:lineRule="exact"/>
        <w:ind w:firstLine="420" w:firstLineChars="200"/>
        <w:jc w:val="left"/>
        <w:rPr>
          <w:rFonts w:ascii="宋体" w:hAnsi="宋体" w:cs="宋体"/>
          <w:color w:val="auto"/>
          <w:szCs w:val="21"/>
        </w:rPr>
      </w:pPr>
    </w:p>
    <w:p w14:paraId="3CFEFDF0">
      <w:pPr>
        <w:pStyle w:val="274"/>
        <w:wordWrap w:val="0"/>
        <w:topLinePunct/>
        <w:spacing w:line="420" w:lineRule="exact"/>
        <w:ind w:firstLine="420" w:firstLineChars="200"/>
        <w:jc w:val="left"/>
        <w:rPr>
          <w:rFonts w:ascii="宋体" w:hAnsi="宋体" w:cs="宋体"/>
          <w:color w:val="auto"/>
          <w:szCs w:val="21"/>
        </w:rPr>
      </w:pPr>
    </w:p>
    <w:p w14:paraId="3DF810D6">
      <w:pPr>
        <w:pStyle w:val="274"/>
        <w:wordWrap w:val="0"/>
        <w:topLinePunct/>
        <w:spacing w:line="420" w:lineRule="exact"/>
        <w:ind w:firstLine="420" w:firstLineChars="200"/>
        <w:jc w:val="left"/>
        <w:rPr>
          <w:rFonts w:ascii="宋体" w:hAnsi="宋体" w:cs="宋体"/>
          <w:color w:val="auto"/>
          <w:szCs w:val="21"/>
        </w:rPr>
      </w:pPr>
    </w:p>
    <w:p w14:paraId="2634920C">
      <w:pPr>
        <w:pStyle w:val="274"/>
        <w:wordWrap w:val="0"/>
        <w:topLinePunct/>
        <w:spacing w:line="420" w:lineRule="exact"/>
        <w:ind w:firstLine="420" w:firstLineChars="200"/>
        <w:jc w:val="left"/>
        <w:rPr>
          <w:rFonts w:ascii="宋体" w:hAnsi="宋体" w:cs="宋体"/>
          <w:color w:val="auto"/>
          <w:szCs w:val="21"/>
        </w:rPr>
      </w:pPr>
    </w:p>
    <w:p w14:paraId="43DE49D5">
      <w:pPr>
        <w:pStyle w:val="274"/>
        <w:wordWrap w:val="0"/>
        <w:topLinePunct/>
        <w:spacing w:line="420" w:lineRule="exact"/>
        <w:ind w:firstLine="420" w:firstLineChars="200"/>
        <w:jc w:val="left"/>
        <w:rPr>
          <w:rFonts w:ascii="宋体" w:hAnsi="宋体" w:cs="宋体"/>
          <w:color w:val="auto"/>
          <w:szCs w:val="21"/>
        </w:rPr>
      </w:pPr>
    </w:p>
    <w:p w14:paraId="531FD6B9">
      <w:pPr>
        <w:pStyle w:val="274"/>
        <w:wordWrap w:val="0"/>
        <w:topLinePunct/>
        <w:spacing w:line="420" w:lineRule="exact"/>
        <w:ind w:firstLine="420" w:firstLineChars="200"/>
        <w:jc w:val="left"/>
        <w:rPr>
          <w:rFonts w:ascii="宋体" w:hAnsi="宋体" w:cs="宋体"/>
          <w:color w:val="auto"/>
          <w:szCs w:val="21"/>
        </w:rPr>
      </w:pPr>
    </w:p>
    <w:p w14:paraId="5A32BBB4">
      <w:pPr>
        <w:pStyle w:val="274"/>
        <w:wordWrap w:val="0"/>
        <w:topLinePunct/>
        <w:spacing w:line="420" w:lineRule="exact"/>
        <w:rPr>
          <w:rFonts w:ascii="宋体" w:hAnsi="宋体" w:cs="宋体"/>
          <w:color w:val="auto"/>
          <w:szCs w:val="21"/>
        </w:rPr>
      </w:pPr>
    </w:p>
    <w:bookmarkEnd w:id="852"/>
    <w:bookmarkEnd w:id="853"/>
    <w:bookmarkEnd w:id="854"/>
    <w:bookmarkEnd w:id="855"/>
    <w:bookmarkEnd w:id="856"/>
    <w:bookmarkEnd w:id="857"/>
    <w:bookmarkEnd w:id="858"/>
    <w:p w14:paraId="300ECF57">
      <w:pPr>
        <w:pStyle w:val="274"/>
        <w:wordWrap w:val="0"/>
        <w:topLinePunct/>
        <w:spacing w:line="420" w:lineRule="exact"/>
        <w:rPr>
          <w:rFonts w:ascii="宋体" w:hAnsi="宋体" w:cs="宋体"/>
          <w:color w:val="auto"/>
          <w:sz w:val="24"/>
          <w:szCs w:val="24"/>
        </w:rPr>
      </w:pPr>
      <w:r>
        <w:rPr>
          <w:rFonts w:hint="eastAsia" w:ascii="宋体" w:hAnsi="宋体" w:cs="宋体"/>
          <w:color w:val="auto"/>
          <w:sz w:val="24"/>
          <w:szCs w:val="24"/>
        </w:rPr>
        <w:t>附件3：</w:t>
      </w:r>
    </w:p>
    <w:p w14:paraId="0F3F132A">
      <w:pPr>
        <w:pStyle w:val="274"/>
        <w:wordWrap w:val="0"/>
        <w:topLinePunct/>
        <w:spacing w:before="120" w:after="120" w:line="420" w:lineRule="exact"/>
        <w:jc w:val="center"/>
        <w:rPr>
          <w:rFonts w:ascii="宋体" w:hAnsi="宋体" w:cs="宋体"/>
          <w:color w:val="auto"/>
          <w:sz w:val="24"/>
          <w:szCs w:val="24"/>
        </w:rPr>
      </w:pPr>
      <w:r>
        <w:rPr>
          <w:rFonts w:hint="eastAsia" w:ascii="宋体" w:hAnsi="宋体" w:cs="宋体"/>
          <w:color w:val="auto"/>
          <w:sz w:val="24"/>
          <w:szCs w:val="24"/>
        </w:rPr>
        <w:t>承包人主要施工管理人员表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0878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408E8E21">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名    称</w:t>
            </w:r>
          </w:p>
        </w:tc>
        <w:tc>
          <w:tcPr>
            <w:tcW w:w="1418" w:type="dxa"/>
            <w:tcBorders>
              <w:top w:val="single" w:color="auto" w:sz="4" w:space="0"/>
              <w:left w:val="nil"/>
              <w:bottom w:val="single" w:color="auto" w:sz="4" w:space="0"/>
              <w:right w:val="single" w:color="auto" w:sz="4" w:space="0"/>
            </w:tcBorders>
            <w:vAlign w:val="center"/>
          </w:tcPr>
          <w:p w14:paraId="630CC8D2">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姓名</w:t>
            </w:r>
          </w:p>
        </w:tc>
        <w:tc>
          <w:tcPr>
            <w:tcW w:w="1134" w:type="dxa"/>
            <w:tcBorders>
              <w:top w:val="single" w:color="auto" w:sz="4" w:space="0"/>
              <w:left w:val="nil"/>
              <w:bottom w:val="single" w:color="auto" w:sz="4" w:space="0"/>
              <w:right w:val="single" w:color="auto" w:sz="4" w:space="0"/>
            </w:tcBorders>
            <w:vAlign w:val="center"/>
          </w:tcPr>
          <w:p w14:paraId="74475CFE">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职务</w:t>
            </w:r>
          </w:p>
        </w:tc>
        <w:tc>
          <w:tcPr>
            <w:tcW w:w="1134" w:type="dxa"/>
            <w:tcBorders>
              <w:top w:val="single" w:color="auto" w:sz="4" w:space="0"/>
              <w:left w:val="nil"/>
              <w:bottom w:val="single" w:color="auto" w:sz="4" w:space="0"/>
              <w:right w:val="single" w:color="auto" w:sz="4" w:space="0"/>
            </w:tcBorders>
            <w:vAlign w:val="center"/>
          </w:tcPr>
          <w:p w14:paraId="7B5259D4">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职称</w:t>
            </w:r>
          </w:p>
        </w:tc>
        <w:tc>
          <w:tcPr>
            <w:tcW w:w="4252" w:type="dxa"/>
            <w:tcBorders>
              <w:top w:val="single" w:color="auto" w:sz="4" w:space="0"/>
              <w:left w:val="nil"/>
              <w:bottom w:val="single" w:color="auto" w:sz="4" w:space="0"/>
              <w:right w:val="single" w:color="auto" w:sz="4" w:space="0"/>
            </w:tcBorders>
            <w:vAlign w:val="center"/>
          </w:tcPr>
          <w:p w14:paraId="4707CE04">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计划进场时间</w:t>
            </w:r>
          </w:p>
        </w:tc>
      </w:tr>
      <w:tr w14:paraId="51D8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2D17224D">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一、总部人员</w:t>
            </w:r>
          </w:p>
        </w:tc>
      </w:tr>
      <w:tr w14:paraId="2A64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2A5A3E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项目主管</w:t>
            </w:r>
          </w:p>
        </w:tc>
        <w:tc>
          <w:tcPr>
            <w:tcW w:w="1418" w:type="dxa"/>
            <w:tcBorders>
              <w:top w:val="single" w:color="auto" w:sz="4" w:space="0"/>
              <w:left w:val="nil"/>
              <w:bottom w:val="single" w:color="auto" w:sz="4" w:space="0"/>
              <w:right w:val="single" w:color="auto" w:sz="4" w:space="0"/>
            </w:tcBorders>
            <w:vAlign w:val="center"/>
          </w:tcPr>
          <w:p w14:paraId="62098E6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A5E854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840FD8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823D884">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47D9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49FB574E">
            <w:pPr>
              <w:pStyle w:val="284"/>
              <w:wordWrap w:val="0"/>
              <w:topLinePunct/>
              <w:adjustRightInd/>
              <w:spacing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其他人员</w:t>
            </w:r>
          </w:p>
        </w:tc>
        <w:tc>
          <w:tcPr>
            <w:tcW w:w="1418" w:type="dxa"/>
            <w:tcBorders>
              <w:top w:val="single" w:color="auto" w:sz="4" w:space="0"/>
              <w:left w:val="nil"/>
              <w:bottom w:val="single" w:color="auto" w:sz="4" w:space="0"/>
              <w:right w:val="single" w:color="auto" w:sz="4" w:space="0"/>
            </w:tcBorders>
            <w:vAlign w:val="center"/>
          </w:tcPr>
          <w:p w14:paraId="0EC6010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BDB888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A6D5F7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41D227AA">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ADB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3B9F19C0">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742B946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81F03D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F1C5D0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394D5BAD">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75BE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78FFF688">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3DDB98C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4F25F2E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C7E86C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49F52042">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5FCB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765CF9D7">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二、现场人员</w:t>
            </w:r>
          </w:p>
        </w:tc>
      </w:tr>
      <w:tr w14:paraId="37DC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A793F54">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项目经理</w:t>
            </w:r>
          </w:p>
        </w:tc>
        <w:tc>
          <w:tcPr>
            <w:tcW w:w="1418" w:type="dxa"/>
            <w:tcBorders>
              <w:top w:val="single" w:color="auto" w:sz="4" w:space="0"/>
              <w:left w:val="nil"/>
              <w:bottom w:val="single" w:color="auto" w:sz="4" w:space="0"/>
              <w:right w:val="single" w:color="auto" w:sz="4" w:space="0"/>
            </w:tcBorders>
            <w:vAlign w:val="center"/>
          </w:tcPr>
          <w:p w14:paraId="1764C69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AD386A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5C4B552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316F8FFE">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5F74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E115CBD">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项目副经理</w:t>
            </w:r>
          </w:p>
        </w:tc>
        <w:tc>
          <w:tcPr>
            <w:tcW w:w="1418" w:type="dxa"/>
            <w:tcBorders>
              <w:top w:val="single" w:color="auto" w:sz="4" w:space="0"/>
              <w:left w:val="nil"/>
              <w:bottom w:val="single" w:color="auto" w:sz="4" w:space="0"/>
              <w:right w:val="single" w:color="auto" w:sz="4" w:space="0"/>
            </w:tcBorders>
            <w:vAlign w:val="center"/>
          </w:tcPr>
          <w:p w14:paraId="0941235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613CEE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E40887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45F4DC50">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4B3E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3887A77">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技术负责人</w:t>
            </w:r>
          </w:p>
        </w:tc>
        <w:tc>
          <w:tcPr>
            <w:tcW w:w="1418" w:type="dxa"/>
            <w:tcBorders>
              <w:top w:val="single" w:color="auto" w:sz="4" w:space="0"/>
              <w:left w:val="nil"/>
              <w:bottom w:val="single" w:color="auto" w:sz="4" w:space="0"/>
              <w:right w:val="single" w:color="auto" w:sz="4" w:space="0"/>
            </w:tcBorders>
            <w:vAlign w:val="center"/>
          </w:tcPr>
          <w:p w14:paraId="1A6A3E4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EA2043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E6CCFA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43AC5F91">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0D5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61A9F58">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造价管理</w:t>
            </w:r>
          </w:p>
        </w:tc>
        <w:tc>
          <w:tcPr>
            <w:tcW w:w="1418" w:type="dxa"/>
            <w:tcBorders>
              <w:top w:val="single" w:color="auto" w:sz="4" w:space="0"/>
              <w:left w:val="nil"/>
              <w:bottom w:val="single" w:color="auto" w:sz="4" w:space="0"/>
              <w:right w:val="single" w:color="auto" w:sz="4" w:space="0"/>
            </w:tcBorders>
            <w:vAlign w:val="center"/>
          </w:tcPr>
          <w:p w14:paraId="12AD2EF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D51732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0045A0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44E9D5C9">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6848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5D67B637">
            <w:pPr>
              <w:pStyle w:val="284"/>
              <w:wordWrap w:val="0"/>
              <w:topLinePunct/>
              <w:adjustRightInd/>
              <w:spacing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质量管理</w:t>
            </w:r>
          </w:p>
        </w:tc>
        <w:tc>
          <w:tcPr>
            <w:tcW w:w="1418" w:type="dxa"/>
            <w:tcBorders>
              <w:top w:val="single" w:color="auto" w:sz="4" w:space="0"/>
              <w:left w:val="nil"/>
              <w:bottom w:val="single" w:color="auto" w:sz="4" w:space="0"/>
              <w:right w:val="single" w:color="auto" w:sz="4" w:space="0"/>
            </w:tcBorders>
            <w:vAlign w:val="center"/>
          </w:tcPr>
          <w:p w14:paraId="4B632AC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2001DD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587362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2F574AF1">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48C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3781DA40">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5518843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2B0021B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A49A39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3A52C4AB">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2392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73CEF792">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723C211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C09947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68225A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1CBB19E7">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7AD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867A925">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材料管理</w:t>
            </w:r>
          </w:p>
        </w:tc>
        <w:tc>
          <w:tcPr>
            <w:tcW w:w="1418" w:type="dxa"/>
            <w:tcBorders>
              <w:top w:val="single" w:color="auto" w:sz="4" w:space="0"/>
              <w:left w:val="nil"/>
              <w:bottom w:val="single" w:color="auto" w:sz="4" w:space="0"/>
              <w:right w:val="single" w:color="auto" w:sz="4" w:space="0"/>
            </w:tcBorders>
            <w:vAlign w:val="center"/>
          </w:tcPr>
          <w:p w14:paraId="2A281CE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2E27B0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AE850B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39AB8F7B">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5476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0735DB2">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计划管理</w:t>
            </w:r>
          </w:p>
        </w:tc>
        <w:tc>
          <w:tcPr>
            <w:tcW w:w="1418" w:type="dxa"/>
            <w:tcBorders>
              <w:top w:val="single" w:color="auto" w:sz="4" w:space="0"/>
              <w:left w:val="nil"/>
              <w:bottom w:val="single" w:color="auto" w:sz="4" w:space="0"/>
              <w:right w:val="single" w:color="auto" w:sz="4" w:space="0"/>
            </w:tcBorders>
            <w:vAlign w:val="center"/>
          </w:tcPr>
          <w:p w14:paraId="134BB1B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DD7406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F0CCEF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5455C473">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167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5F065ECC">
            <w:pPr>
              <w:pStyle w:val="284"/>
              <w:wordWrap w:val="0"/>
              <w:topLinePunct/>
              <w:adjustRightInd/>
              <w:spacing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安全管理</w:t>
            </w:r>
          </w:p>
        </w:tc>
        <w:tc>
          <w:tcPr>
            <w:tcW w:w="1418" w:type="dxa"/>
            <w:tcBorders>
              <w:top w:val="single" w:color="auto" w:sz="4" w:space="0"/>
              <w:left w:val="nil"/>
              <w:bottom w:val="single" w:color="auto" w:sz="4" w:space="0"/>
              <w:right w:val="single" w:color="auto" w:sz="4" w:space="0"/>
            </w:tcBorders>
            <w:vAlign w:val="center"/>
          </w:tcPr>
          <w:p w14:paraId="726B9D2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4BB960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DC8921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0C45248F">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166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2D5752E9">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5247492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429E81E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CD4CA7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0980D8F9">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BC5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4C896F46">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28EE281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1AA28C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AB7B88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C150D39">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AD0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32FEBFA8">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其他人员</w:t>
            </w:r>
          </w:p>
        </w:tc>
        <w:tc>
          <w:tcPr>
            <w:tcW w:w="1418" w:type="dxa"/>
            <w:tcBorders>
              <w:top w:val="single" w:color="auto" w:sz="4" w:space="0"/>
              <w:left w:val="nil"/>
              <w:bottom w:val="single" w:color="auto" w:sz="4" w:space="0"/>
              <w:right w:val="single" w:color="auto" w:sz="4" w:space="0"/>
            </w:tcBorders>
            <w:vAlign w:val="center"/>
          </w:tcPr>
          <w:p w14:paraId="6CC0175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752B65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6FF44C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5369D7B9">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DA2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598DB6BD">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252C6C9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AE4A18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A4C934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5524ED23">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F67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76E18639">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1FD09A4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EF5570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26210E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7581068">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2EB3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58D21437">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4387C4B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4DB0164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D43E21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02D91526">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9AE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12B1641B">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0D52786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D0506F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24A3422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DD69406">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7FF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56140F60">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48A349F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2031113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60CE71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490D7E5A">
            <w:pPr>
              <w:pStyle w:val="284"/>
              <w:wordWrap w:val="0"/>
              <w:topLinePunct/>
              <w:adjustRightInd/>
              <w:spacing w:after="0" w:line="420" w:lineRule="exact"/>
              <w:ind w:left="0" w:leftChars="0" w:right="0" w:rightChars="0"/>
              <w:rPr>
                <w:rFonts w:ascii="宋体" w:hAnsi="宋体" w:cs="宋体"/>
                <w:color w:val="auto"/>
                <w:kern w:val="2"/>
                <w:sz w:val="21"/>
                <w:szCs w:val="21"/>
              </w:rPr>
            </w:pPr>
          </w:p>
        </w:tc>
      </w:tr>
    </w:tbl>
    <w:p w14:paraId="0A1EBE98">
      <w:pPr>
        <w:pStyle w:val="274"/>
        <w:wordWrap w:val="0"/>
        <w:topLinePunct/>
        <w:spacing w:line="420" w:lineRule="exact"/>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附件4：</w:t>
      </w:r>
    </w:p>
    <w:p w14:paraId="77571818">
      <w:pPr>
        <w:pStyle w:val="274"/>
        <w:wordWrap w:val="0"/>
        <w:topLinePunct/>
        <w:spacing w:before="120" w:after="120" w:line="420" w:lineRule="exact"/>
        <w:jc w:val="center"/>
        <w:rPr>
          <w:rFonts w:ascii="宋体" w:hAnsi="宋体" w:cs="宋体"/>
          <w:color w:val="auto"/>
          <w:sz w:val="24"/>
          <w:szCs w:val="24"/>
        </w:rPr>
      </w:pPr>
      <w:r>
        <w:rPr>
          <w:rFonts w:hint="eastAsia" w:ascii="宋体" w:hAnsi="宋体" w:cs="宋体"/>
          <w:color w:val="auto"/>
          <w:sz w:val="24"/>
          <w:szCs w:val="24"/>
        </w:rPr>
        <w:t>分包人主要施工管理人员表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11E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15C4D17">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名    称</w:t>
            </w:r>
          </w:p>
        </w:tc>
        <w:tc>
          <w:tcPr>
            <w:tcW w:w="1418" w:type="dxa"/>
            <w:tcBorders>
              <w:top w:val="single" w:color="auto" w:sz="4" w:space="0"/>
              <w:left w:val="nil"/>
              <w:bottom w:val="single" w:color="auto" w:sz="4" w:space="0"/>
              <w:right w:val="single" w:color="auto" w:sz="4" w:space="0"/>
            </w:tcBorders>
            <w:vAlign w:val="center"/>
          </w:tcPr>
          <w:p w14:paraId="0BDADCC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姓名</w:t>
            </w:r>
          </w:p>
        </w:tc>
        <w:tc>
          <w:tcPr>
            <w:tcW w:w="1134" w:type="dxa"/>
            <w:tcBorders>
              <w:top w:val="single" w:color="auto" w:sz="4" w:space="0"/>
              <w:left w:val="nil"/>
              <w:bottom w:val="single" w:color="auto" w:sz="4" w:space="0"/>
              <w:right w:val="single" w:color="auto" w:sz="4" w:space="0"/>
            </w:tcBorders>
            <w:vAlign w:val="center"/>
          </w:tcPr>
          <w:p w14:paraId="3C58765E">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职务</w:t>
            </w:r>
          </w:p>
        </w:tc>
        <w:tc>
          <w:tcPr>
            <w:tcW w:w="1134" w:type="dxa"/>
            <w:tcBorders>
              <w:top w:val="single" w:color="auto" w:sz="4" w:space="0"/>
              <w:left w:val="nil"/>
              <w:bottom w:val="single" w:color="auto" w:sz="4" w:space="0"/>
              <w:right w:val="single" w:color="auto" w:sz="4" w:space="0"/>
            </w:tcBorders>
            <w:vAlign w:val="center"/>
          </w:tcPr>
          <w:p w14:paraId="5949F471">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职称</w:t>
            </w:r>
          </w:p>
        </w:tc>
        <w:tc>
          <w:tcPr>
            <w:tcW w:w="4252" w:type="dxa"/>
            <w:tcBorders>
              <w:top w:val="single" w:color="auto" w:sz="4" w:space="0"/>
              <w:left w:val="nil"/>
              <w:bottom w:val="single" w:color="auto" w:sz="4" w:space="0"/>
              <w:right w:val="single" w:color="auto" w:sz="4" w:space="0"/>
            </w:tcBorders>
            <w:vAlign w:val="center"/>
          </w:tcPr>
          <w:p w14:paraId="2765A594">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主要资历、经验及承担过的项目</w:t>
            </w:r>
          </w:p>
        </w:tc>
      </w:tr>
      <w:tr w14:paraId="587E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719970D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一、总部人员</w:t>
            </w:r>
          </w:p>
        </w:tc>
      </w:tr>
      <w:tr w14:paraId="3D0E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33AB0AA">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项目主管</w:t>
            </w:r>
          </w:p>
        </w:tc>
        <w:tc>
          <w:tcPr>
            <w:tcW w:w="1418" w:type="dxa"/>
            <w:tcBorders>
              <w:top w:val="single" w:color="auto" w:sz="4" w:space="0"/>
              <w:left w:val="nil"/>
              <w:bottom w:val="single" w:color="auto" w:sz="4" w:space="0"/>
              <w:right w:val="single" w:color="auto" w:sz="4" w:space="0"/>
            </w:tcBorders>
            <w:vAlign w:val="center"/>
          </w:tcPr>
          <w:p w14:paraId="2D73196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4FEFF4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BBE989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32977D5F">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A21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545EA259">
            <w:pPr>
              <w:pStyle w:val="284"/>
              <w:wordWrap w:val="0"/>
              <w:topLinePunct/>
              <w:adjustRightInd/>
              <w:spacing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其他人员</w:t>
            </w:r>
          </w:p>
        </w:tc>
        <w:tc>
          <w:tcPr>
            <w:tcW w:w="1418" w:type="dxa"/>
            <w:tcBorders>
              <w:top w:val="single" w:color="auto" w:sz="4" w:space="0"/>
              <w:left w:val="nil"/>
              <w:bottom w:val="single" w:color="auto" w:sz="4" w:space="0"/>
              <w:right w:val="single" w:color="auto" w:sz="4" w:space="0"/>
            </w:tcBorders>
            <w:vAlign w:val="center"/>
          </w:tcPr>
          <w:p w14:paraId="128E6BD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A34157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26260C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0A7E72F2">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72FE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4D83E506">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6E26290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21A9108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D8DB23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2E270945">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584D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097E41C4">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5E6BF8E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33C919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1FA8D1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10362062">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7A89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tcBorders>
              <w:top w:val="single" w:color="auto" w:sz="4" w:space="0"/>
              <w:left w:val="single" w:color="auto" w:sz="4" w:space="0"/>
              <w:bottom w:val="single" w:color="auto" w:sz="4" w:space="0"/>
              <w:right w:val="single" w:color="auto" w:sz="4" w:space="0"/>
            </w:tcBorders>
            <w:vAlign w:val="center"/>
          </w:tcPr>
          <w:p w14:paraId="0F6C3AFE">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二、现场人员</w:t>
            </w:r>
          </w:p>
        </w:tc>
      </w:tr>
      <w:tr w14:paraId="30CD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E293A9A">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项目经理</w:t>
            </w:r>
          </w:p>
        </w:tc>
        <w:tc>
          <w:tcPr>
            <w:tcW w:w="1418" w:type="dxa"/>
            <w:tcBorders>
              <w:top w:val="single" w:color="auto" w:sz="4" w:space="0"/>
              <w:left w:val="nil"/>
              <w:bottom w:val="single" w:color="auto" w:sz="4" w:space="0"/>
              <w:right w:val="single" w:color="auto" w:sz="4" w:space="0"/>
            </w:tcBorders>
            <w:vAlign w:val="center"/>
          </w:tcPr>
          <w:p w14:paraId="784D28B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502AC3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7FCC3E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2D41302C">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2059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2B48E7A">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项目副经理</w:t>
            </w:r>
          </w:p>
        </w:tc>
        <w:tc>
          <w:tcPr>
            <w:tcW w:w="1418" w:type="dxa"/>
            <w:tcBorders>
              <w:top w:val="single" w:color="auto" w:sz="4" w:space="0"/>
              <w:left w:val="nil"/>
              <w:bottom w:val="single" w:color="auto" w:sz="4" w:space="0"/>
              <w:right w:val="single" w:color="auto" w:sz="4" w:space="0"/>
            </w:tcBorders>
            <w:vAlign w:val="center"/>
          </w:tcPr>
          <w:p w14:paraId="43EF3A3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BB52C4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8A9577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0FB7C8CE">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FAD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40D01835">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技术负责人</w:t>
            </w:r>
          </w:p>
        </w:tc>
        <w:tc>
          <w:tcPr>
            <w:tcW w:w="1418" w:type="dxa"/>
            <w:tcBorders>
              <w:top w:val="single" w:color="auto" w:sz="4" w:space="0"/>
              <w:left w:val="nil"/>
              <w:bottom w:val="single" w:color="auto" w:sz="4" w:space="0"/>
              <w:right w:val="single" w:color="auto" w:sz="4" w:space="0"/>
            </w:tcBorders>
            <w:vAlign w:val="center"/>
          </w:tcPr>
          <w:p w14:paraId="58D1730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5296D7F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5A68EE7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D3B7FC0">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6F55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8867512">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造价管理</w:t>
            </w:r>
          </w:p>
        </w:tc>
        <w:tc>
          <w:tcPr>
            <w:tcW w:w="1418" w:type="dxa"/>
            <w:tcBorders>
              <w:top w:val="single" w:color="auto" w:sz="4" w:space="0"/>
              <w:left w:val="nil"/>
              <w:bottom w:val="single" w:color="auto" w:sz="4" w:space="0"/>
              <w:right w:val="single" w:color="auto" w:sz="4" w:space="0"/>
            </w:tcBorders>
            <w:vAlign w:val="center"/>
          </w:tcPr>
          <w:p w14:paraId="5852812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C3CE69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95E410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5726EC70">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4AFC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61AC7454">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质量管理</w:t>
            </w:r>
          </w:p>
        </w:tc>
        <w:tc>
          <w:tcPr>
            <w:tcW w:w="1418" w:type="dxa"/>
            <w:tcBorders>
              <w:top w:val="single" w:color="auto" w:sz="4" w:space="0"/>
              <w:left w:val="nil"/>
              <w:bottom w:val="single" w:color="auto" w:sz="4" w:space="0"/>
              <w:right w:val="single" w:color="auto" w:sz="4" w:space="0"/>
            </w:tcBorders>
            <w:vAlign w:val="center"/>
          </w:tcPr>
          <w:p w14:paraId="774D1CC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581B675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BAD607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285D9AB6">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40AD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291C3AE8">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材料管理</w:t>
            </w:r>
          </w:p>
        </w:tc>
        <w:tc>
          <w:tcPr>
            <w:tcW w:w="1418" w:type="dxa"/>
            <w:tcBorders>
              <w:top w:val="single" w:color="auto" w:sz="4" w:space="0"/>
              <w:left w:val="nil"/>
              <w:bottom w:val="single" w:color="auto" w:sz="4" w:space="0"/>
              <w:right w:val="single" w:color="auto" w:sz="4" w:space="0"/>
            </w:tcBorders>
            <w:vAlign w:val="center"/>
          </w:tcPr>
          <w:p w14:paraId="0B22014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50AEDDE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35864C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27D62DF3">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4D36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370FB72F">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计划管理</w:t>
            </w:r>
          </w:p>
        </w:tc>
        <w:tc>
          <w:tcPr>
            <w:tcW w:w="1418" w:type="dxa"/>
            <w:tcBorders>
              <w:top w:val="single" w:color="auto" w:sz="4" w:space="0"/>
              <w:left w:val="nil"/>
              <w:bottom w:val="single" w:color="auto" w:sz="4" w:space="0"/>
              <w:right w:val="single" w:color="auto" w:sz="4" w:space="0"/>
            </w:tcBorders>
            <w:vAlign w:val="center"/>
          </w:tcPr>
          <w:p w14:paraId="6F611EB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22536C5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2F7526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DAEEFBA">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6BDF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0EFD14FA">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安全管理</w:t>
            </w:r>
          </w:p>
        </w:tc>
        <w:tc>
          <w:tcPr>
            <w:tcW w:w="1418" w:type="dxa"/>
            <w:tcBorders>
              <w:top w:val="single" w:color="auto" w:sz="4" w:space="0"/>
              <w:left w:val="nil"/>
              <w:bottom w:val="single" w:color="auto" w:sz="4" w:space="0"/>
              <w:right w:val="single" w:color="auto" w:sz="4" w:space="0"/>
            </w:tcBorders>
            <w:vAlign w:val="center"/>
          </w:tcPr>
          <w:p w14:paraId="5D98331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67CAA5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278BBF7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64D34540">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636C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tcBorders>
              <w:top w:val="nil"/>
              <w:left w:val="single" w:color="auto" w:sz="4" w:space="0"/>
              <w:bottom w:val="single" w:color="auto" w:sz="4" w:space="0"/>
              <w:right w:val="single" w:color="auto" w:sz="4" w:space="0"/>
            </w:tcBorders>
            <w:vAlign w:val="center"/>
          </w:tcPr>
          <w:p w14:paraId="3C9D25C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其他人员</w:t>
            </w:r>
          </w:p>
        </w:tc>
        <w:tc>
          <w:tcPr>
            <w:tcW w:w="1418" w:type="dxa"/>
            <w:tcBorders>
              <w:top w:val="single" w:color="auto" w:sz="4" w:space="0"/>
              <w:left w:val="nil"/>
              <w:bottom w:val="single" w:color="auto" w:sz="4" w:space="0"/>
              <w:right w:val="single" w:color="auto" w:sz="4" w:space="0"/>
            </w:tcBorders>
            <w:vAlign w:val="center"/>
          </w:tcPr>
          <w:p w14:paraId="3FB2DB1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4AAFC3D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631557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BBE8876">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2425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26E02251">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142D3F8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93E89C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59A16AB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24018FB8">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094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43041A82">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0C2C179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46CC3F7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09E8E49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0B9021DC">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652E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5D66CBFF">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2DC50AF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745A992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DBD469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7EF02FB9">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60D6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4E152A39">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0465BA9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38E0ED8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606936A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5B81097B">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00E3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tcBorders>
              <w:top w:val="nil"/>
              <w:left w:val="single" w:color="auto" w:sz="4" w:space="0"/>
              <w:bottom w:val="single" w:color="auto" w:sz="4" w:space="0"/>
              <w:right w:val="single" w:color="auto" w:sz="4" w:space="0"/>
            </w:tcBorders>
            <w:vAlign w:val="center"/>
          </w:tcPr>
          <w:p w14:paraId="581C33D0">
            <w:pPr>
              <w:pStyle w:val="274"/>
              <w:wordWrap w:val="0"/>
              <w:topLinePunct/>
              <w:spacing w:line="420" w:lineRule="exact"/>
              <w:jc w:val="lef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vAlign w:val="center"/>
          </w:tcPr>
          <w:p w14:paraId="594EF02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4A915DD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134" w:type="dxa"/>
            <w:tcBorders>
              <w:top w:val="single" w:color="auto" w:sz="4" w:space="0"/>
              <w:left w:val="nil"/>
              <w:bottom w:val="single" w:color="auto" w:sz="4" w:space="0"/>
              <w:right w:val="single" w:color="auto" w:sz="4" w:space="0"/>
            </w:tcBorders>
            <w:vAlign w:val="center"/>
          </w:tcPr>
          <w:p w14:paraId="1363EAD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4252" w:type="dxa"/>
            <w:tcBorders>
              <w:top w:val="single" w:color="auto" w:sz="4" w:space="0"/>
              <w:left w:val="nil"/>
              <w:bottom w:val="single" w:color="auto" w:sz="4" w:space="0"/>
              <w:right w:val="single" w:color="auto" w:sz="4" w:space="0"/>
            </w:tcBorders>
            <w:vAlign w:val="center"/>
          </w:tcPr>
          <w:p w14:paraId="4C6AB972">
            <w:pPr>
              <w:pStyle w:val="284"/>
              <w:wordWrap w:val="0"/>
              <w:topLinePunct/>
              <w:adjustRightInd/>
              <w:spacing w:after="0" w:line="420" w:lineRule="exact"/>
              <w:ind w:left="0" w:leftChars="0" w:right="0" w:rightChars="0"/>
              <w:rPr>
                <w:rFonts w:ascii="宋体" w:hAnsi="宋体" w:cs="宋体"/>
                <w:color w:val="auto"/>
                <w:kern w:val="2"/>
                <w:sz w:val="21"/>
                <w:szCs w:val="21"/>
              </w:rPr>
            </w:pPr>
          </w:p>
        </w:tc>
      </w:tr>
    </w:tbl>
    <w:p w14:paraId="211D4C9C">
      <w:pPr>
        <w:pStyle w:val="274"/>
        <w:wordWrap w:val="0"/>
        <w:topLinePunct/>
        <w:spacing w:line="420" w:lineRule="exact"/>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附件5：</w:t>
      </w:r>
    </w:p>
    <w:p w14:paraId="2E7FEC5A">
      <w:pPr>
        <w:pStyle w:val="274"/>
        <w:wordWrap w:val="0"/>
        <w:topLinePunct/>
        <w:spacing w:before="120" w:after="120" w:line="420" w:lineRule="exact"/>
        <w:jc w:val="center"/>
        <w:rPr>
          <w:rFonts w:ascii="宋体" w:hAnsi="宋体" w:cs="宋体"/>
          <w:color w:val="auto"/>
          <w:sz w:val="24"/>
          <w:szCs w:val="24"/>
        </w:rPr>
      </w:pPr>
      <w:r>
        <w:rPr>
          <w:rFonts w:hint="eastAsia" w:ascii="宋体" w:hAnsi="宋体" w:cs="宋体"/>
          <w:color w:val="auto"/>
          <w:sz w:val="24"/>
          <w:szCs w:val="24"/>
        </w:rPr>
        <w:t>履约担保</w:t>
      </w:r>
    </w:p>
    <w:p w14:paraId="3F4967C9">
      <w:pPr>
        <w:pStyle w:val="274"/>
        <w:wordWrap w:val="0"/>
        <w:topLinePunct/>
        <w:spacing w:line="420" w:lineRule="exact"/>
        <w:rPr>
          <w:rFonts w:ascii="宋体" w:hAnsi="宋体" w:cs="宋体"/>
          <w:color w:val="auto"/>
          <w:sz w:val="24"/>
          <w:szCs w:val="24"/>
          <w:u w:val="single"/>
        </w:rPr>
      </w:pPr>
    </w:p>
    <w:p w14:paraId="6E48E01E">
      <w:pPr>
        <w:pStyle w:val="274"/>
        <w:wordWrap w:val="0"/>
        <w:topLinePunct/>
        <w:spacing w:line="420" w:lineRule="exac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（发包人名称）：</w:t>
      </w:r>
    </w:p>
    <w:p w14:paraId="6DBF1D3F">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鉴于</w:t>
      </w:r>
      <w:r>
        <w:rPr>
          <w:rFonts w:hint="eastAsia" w:ascii="宋体" w:hAnsi="宋体" w:cs="宋体"/>
          <w:color w:val="auto"/>
          <w:szCs w:val="21"/>
          <w:u w:val="single"/>
        </w:rPr>
        <w:t xml:space="preserve">                                        </w:t>
      </w:r>
      <w:r>
        <w:rPr>
          <w:rFonts w:hint="eastAsia" w:ascii="宋体" w:hAnsi="宋体" w:cs="宋体"/>
          <w:color w:val="auto"/>
          <w:szCs w:val="21"/>
        </w:rPr>
        <w:t>（发包人名称，以下简称“发包人”） 已于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日发放中标通知书，明确</w:t>
      </w:r>
      <w:r>
        <w:rPr>
          <w:rFonts w:hint="eastAsia" w:ascii="宋体" w:hAnsi="宋体" w:cs="宋体"/>
          <w:color w:val="auto"/>
          <w:szCs w:val="21"/>
          <w:u w:val="single"/>
        </w:rPr>
        <w:t xml:space="preserve">                           </w:t>
      </w:r>
      <w:r>
        <w:rPr>
          <w:rFonts w:hint="eastAsia" w:ascii="宋体" w:hAnsi="宋体" w:cs="宋体"/>
          <w:color w:val="auto"/>
          <w:szCs w:val="21"/>
        </w:rPr>
        <w:t>（承包人名称）（以下称“承包人”）于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日为</w:t>
      </w:r>
      <w:r>
        <w:rPr>
          <w:rFonts w:hint="eastAsia" w:ascii="宋体" w:hAnsi="宋体" w:cs="宋体"/>
          <w:color w:val="auto"/>
          <w:szCs w:val="21"/>
          <w:u w:val="single"/>
        </w:rPr>
        <w:t xml:space="preserve">                       </w:t>
      </w:r>
      <w:r>
        <w:rPr>
          <w:rFonts w:hint="eastAsia" w:ascii="宋体" w:hAnsi="宋体" w:cs="宋体"/>
          <w:color w:val="auto"/>
          <w:szCs w:val="21"/>
        </w:rPr>
        <w:t xml:space="preserve">（工程名称）的中标人。我方愿意无条件地、不可撤销地就承包人履行与你方签订的合同，向你方提供连带责任担保。 </w:t>
      </w:r>
    </w:p>
    <w:p w14:paraId="2CF54B91">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1. 担保金额人民币（大写）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w:t>
      </w:r>
    </w:p>
    <w:p w14:paraId="5F850132">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2. 担保有效期自你方与承包人签订的合同生效之日起至你方签发或应签发工程接收证书之日止。</w:t>
      </w:r>
    </w:p>
    <w:p w14:paraId="7FB50787">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3. 在本担保有效期内，因承包人违反合同约定的义务给你方造成经济损失时，我方在收到你方以书面形式提出的在担保金额内的赔偿要求后，在7天内无条件支付。</w:t>
      </w:r>
    </w:p>
    <w:p w14:paraId="6F24491A">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4. 你方和承包人按合同约定变更合同时，我方承担本担保规定的义务不变。</w:t>
      </w:r>
    </w:p>
    <w:p w14:paraId="1A848911">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5. 因本保函发生的纠纷，可由双方协商解决，协商不成的，任何一方均可提请</w:t>
      </w:r>
      <w:r>
        <w:rPr>
          <w:rFonts w:hint="eastAsia" w:ascii="宋体" w:hAnsi="宋体" w:cs="宋体"/>
          <w:color w:val="auto"/>
          <w:szCs w:val="21"/>
          <w:u w:val="single"/>
        </w:rPr>
        <w:t xml:space="preserve">      </w:t>
      </w:r>
      <w:r>
        <w:rPr>
          <w:rFonts w:hint="eastAsia" w:ascii="宋体" w:hAnsi="宋体" w:cs="宋体"/>
          <w:color w:val="auto"/>
          <w:szCs w:val="21"/>
        </w:rPr>
        <w:t>仲裁委员会仲裁。</w:t>
      </w:r>
    </w:p>
    <w:p w14:paraId="2DDA0A64">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6. 本保函自我方法定代表人（或其授权代理人）签字并加盖公章之日起生效。</w:t>
      </w:r>
    </w:p>
    <w:p w14:paraId="33668B01">
      <w:pPr>
        <w:pStyle w:val="274"/>
        <w:wordWrap w:val="0"/>
        <w:topLinePunct/>
        <w:spacing w:line="420" w:lineRule="exact"/>
        <w:rPr>
          <w:rFonts w:ascii="宋体" w:hAnsi="宋体" w:cs="宋体"/>
          <w:color w:val="auto"/>
          <w:szCs w:val="21"/>
        </w:rPr>
      </w:pPr>
      <w:r>
        <w:rPr>
          <w:rFonts w:hint="eastAsia" w:ascii="宋体" w:hAnsi="宋体" w:cs="宋体"/>
          <w:color w:val="auto"/>
          <w:szCs w:val="21"/>
        </w:rPr>
        <w:t xml:space="preserve"> </w:t>
      </w:r>
    </w:p>
    <w:p w14:paraId="549F86B4">
      <w:pPr>
        <w:pStyle w:val="274"/>
        <w:wordWrap w:val="0"/>
        <w:topLinePunct/>
        <w:spacing w:line="420" w:lineRule="exact"/>
        <w:rPr>
          <w:rFonts w:ascii="宋体" w:hAnsi="宋体" w:cs="宋体"/>
          <w:color w:val="auto"/>
          <w:szCs w:val="21"/>
        </w:rPr>
      </w:pPr>
      <w:r>
        <w:rPr>
          <w:rFonts w:hint="eastAsia" w:ascii="宋体" w:hAnsi="宋体" w:cs="宋体"/>
          <w:color w:val="auto"/>
          <w:szCs w:val="21"/>
        </w:rPr>
        <w:t>担 保 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7967E048">
      <w:pPr>
        <w:pStyle w:val="274"/>
        <w:wordWrap w:val="0"/>
        <w:topLinePunct/>
        <w:spacing w:line="420" w:lineRule="exact"/>
        <w:rPr>
          <w:rFonts w:ascii="宋体" w:hAnsi="宋体" w:cs="宋体"/>
          <w:color w:val="auto"/>
          <w:szCs w:val="21"/>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w:t>
      </w:r>
      <w:r>
        <w:rPr>
          <w:rFonts w:hint="eastAsia" w:ascii="宋体" w:hAnsi="宋体" w:cs="宋体"/>
          <w:color w:val="auto"/>
          <w:szCs w:val="21"/>
        </w:rPr>
        <w:t>（签字）</w:t>
      </w:r>
    </w:p>
    <w:p w14:paraId="4FDDD900">
      <w:pPr>
        <w:pStyle w:val="274"/>
        <w:wordWrap w:val="0"/>
        <w:topLinePunct/>
        <w:spacing w:line="420" w:lineRule="exact"/>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p w14:paraId="45A8678C">
      <w:pPr>
        <w:pStyle w:val="274"/>
        <w:wordWrap w:val="0"/>
        <w:topLinePunct/>
        <w:spacing w:line="420" w:lineRule="exact"/>
        <w:rPr>
          <w:rFonts w:ascii="宋体" w:hAnsi="宋体" w:cs="宋体"/>
          <w:color w:val="auto"/>
          <w:szCs w:val="21"/>
        </w:rPr>
      </w:pPr>
      <w:r>
        <w:rPr>
          <w:rFonts w:hint="eastAsia" w:ascii="宋体" w:hAnsi="宋体" w:cs="宋体"/>
          <w:color w:val="auto"/>
          <w:szCs w:val="21"/>
        </w:rPr>
        <w:t>邮政编码：</w:t>
      </w:r>
      <w:r>
        <w:rPr>
          <w:rFonts w:hint="eastAsia" w:ascii="宋体" w:hAnsi="宋体" w:cs="宋体"/>
          <w:color w:val="auto"/>
          <w:szCs w:val="21"/>
          <w:u w:val="single"/>
        </w:rPr>
        <w:t xml:space="preserve">                                      </w:t>
      </w:r>
    </w:p>
    <w:p w14:paraId="2DABB9D1">
      <w:pPr>
        <w:pStyle w:val="274"/>
        <w:wordWrap w:val="0"/>
        <w:topLinePunct/>
        <w:spacing w:line="420" w:lineRule="exact"/>
        <w:rPr>
          <w:rFonts w:ascii="宋体" w:hAnsi="宋体" w:cs="宋体"/>
          <w:color w:val="auto"/>
          <w:szCs w:val="21"/>
          <w:u w:val="single"/>
        </w:rPr>
      </w:pPr>
      <w:r>
        <w:rPr>
          <w:rFonts w:hint="eastAsia" w:ascii="宋体" w:hAnsi="宋体" w:cs="宋体"/>
          <w:color w:val="auto"/>
          <w:szCs w:val="21"/>
        </w:rPr>
        <w:t>电    话：</w:t>
      </w:r>
      <w:r>
        <w:rPr>
          <w:rFonts w:hint="eastAsia" w:ascii="宋体" w:hAnsi="宋体" w:cs="宋体"/>
          <w:color w:val="auto"/>
          <w:szCs w:val="21"/>
          <w:u w:val="single"/>
        </w:rPr>
        <w:t xml:space="preserve">                                      </w:t>
      </w:r>
    </w:p>
    <w:p w14:paraId="29D6785D">
      <w:pPr>
        <w:pStyle w:val="274"/>
        <w:wordWrap w:val="0"/>
        <w:topLinePunct/>
        <w:spacing w:line="420" w:lineRule="exact"/>
        <w:rPr>
          <w:rFonts w:ascii="宋体" w:hAnsi="宋体" w:cs="宋体"/>
          <w:color w:val="auto"/>
          <w:szCs w:val="21"/>
        </w:rPr>
      </w:pPr>
      <w:r>
        <w:rPr>
          <w:rFonts w:hint="eastAsia" w:ascii="宋体" w:hAnsi="宋体" w:cs="宋体"/>
          <w:color w:val="auto"/>
          <w:szCs w:val="21"/>
        </w:rPr>
        <w:t>传    真：</w:t>
      </w:r>
      <w:r>
        <w:rPr>
          <w:rFonts w:hint="eastAsia" w:ascii="宋体" w:hAnsi="宋体" w:cs="宋体"/>
          <w:color w:val="auto"/>
          <w:szCs w:val="21"/>
          <w:u w:val="single"/>
        </w:rPr>
        <w:t xml:space="preserve">                                      </w:t>
      </w:r>
    </w:p>
    <w:p w14:paraId="4ACB3C61">
      <w:pPr>
        <w:pStyle w:val="274"/>
        <w:wordWrap w:val="0"/>
        <w:topLinePunct/>
        <w:spacing w:line="420" w:lineRule="exact"/>
        <w:ind w:left="1329" w:hanging="1329" w:hangingChars="633"/>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029922D">
      <w:pPr>
        <w:pStyle w:val="274"/>
        <w:wordWrap w:val="0"/>
        <w:topLinePunct/>
        <w:spacing w:line="420" w:lineRule="exact"/>
        <w:ind w:left="1329" w:hanging="1329" w:hangingChars="633"/>
        <w:rPr>
          <w:rFonts w:ascii="宋体" w:hAnsi="宋体" w:cs="宋体"/>
          <w:color w:val="auto"/>
          <w:szCs w:val="21"/>
        </w:rPr>
      </w:pPr>
      <w:r>
        <w:rPr>
          <w:rFonts w:hint="eastAsia" w:ascii="宋体" w:hAnsi="宋体" w:cs="宋体"/>
          <w:color w:val="auto"/>
          <w:szCs w:val="21"/>
        </w:rPr>
        <w:t xml:space="preserve"> </w:t>
      </w:r>
    </w:p>
    <w:p w14:paraId="4449CB5D">
      <w:pPr>
        <w:pStyle w:val="274"/>
        <w:wordWrap w:val="0"/>
        <w:topLinePunct/>
        <w:spacing w:line="420" w:lineRule="exact"/>
        <w:rPr>
          <w:rFonts w:ascii="宋体" w:hAnsi="宋体" w:cs="宋体"/>
          <w:color w:val="auto"/>
          <w:sz w:val="24"/>
          <w:szCs w:val="24"/>
        </w:rPr>
      </w:pPr>
      <w:r>
        <w:rPr>
          <w:rFonts w:hint="eastAsia" w:ascii="宋体" w:hAnsi="宋体" w:cs="宋体"/>
          <w:color w:val="auto"/>
          <w:szCs w:val="21"/>
        </w:rPr>
        <w:br w:type="page"/>
      </w:r>
      <w:r>
        <w:rPr>
          <w:rFonts w:hint="eastAsia" w:ascii="宋体" w:hAnsi="宋体" w:cs="宋体"/>
          <w:color w:val="auto"/>
          <w:sz w:val="24"/>
          <w:szCs w:val="24"/>
        </w:rPr>
        <w:t>附件6：</w:t>
      </w:r>
    </w:p>
    <w:p w14:paraId="23D22856">
      <w:pPr>
        <w:pStyle w:val="274"/>
        <w:wordWrap w:val="0"/>
        <w:topLinePunct/>
        <w:spacing w:before="120" w:after="120" w:line="420" w:lineRule="exact"/>
        <w:jc w:val="center"/>
        <w:rPr>
          <w:rFonts w:ascii="宋体" w:hAnsi="宋体" w:cs="宋体"/>
          <w:color w:val="auto"/>
          <w:sz w:val="24"/>
          <w:szCs w:val="24"/>
        </w:rPr>
      </w:pPr>
      <w:r>
        <w:rPr>
          <w:rFonts w:hint="eastAsia" w:ascii="宋体" w:hAnsi="宋体" w:cs="宋体"/>
          <w:color w:val="auto"/>
          <w:sz w:val="24"/>
          <w:szCs w:val="24"/>
        </w:rPr>
        <w:t>承包人用于本工程施工的机械设备表</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DA0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tcBorders>
              <w:top w:val="single" w:color="auto" w:sz="4" w:space="0"/>
              <w:left w:val="single" w:color="auto" w:sz="4" w:space="0"/>
              <w:bottom w:val="single" w:color="auto" w:sz="4" w:space="0"/>
              <w:right w:val="single" w:color="auto" w:sz="4" w:space="0"/>
            </w:tcBorders>
            <w:vAlign w:val="center"/>
          </w:tcPr>
          <w:p w14:paraId="5A268241">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序号</w:t>
            </w:r>
          </w:p>
        </w:tc>
        <w:tc>
          <w:tcPr>
            <w:tcW w:w="1418" w:type="dxa"/>
            <w:tcBorders>
              <w:top w:val="single" w:color="auto" w:sz="4" w:space="0"/>
              <w:left w:val="nil"/>
              <w:bottom w:val="single" w:color="auto" w:sz="4" w:space="0"/>
              <w:right w:val="single" w:color="auto" w:sz="4" w:space="0"/>
            </w:tcBorders>
            <w:vAlign w:val="center"/>
          </w:tcPr>
          <w:p w14:paraId="41019E39">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机械或设备名称</w:t>
            </w:r>
          </w:p>
        </w:tc>
        <w:tc>
          <w:tcPr>
            <w:tcW w:w="850" w:type="dxa"/>
            <w:tcBorders>
              <w:top w:val="single" w:color="auto" w:sz="4" w:space="0"/>
              <w:left w:val="nil"/>
              <w:bottom w:val="single" w:color="auto" w:sz="4" w:space="0"/>
              <w:right w:val="single" w:color="auto" w:sz="4" w:space="0"/>
            </w:tcBorders>
            <w:vAlign w:val="center"/>
          </w:tcPr>
          <w:p w14:paraId="6DD8E823">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规格型号</w:t>
            </w:r>
          </w:p>
        </w:tc>
        <w:tc>
          <w:tcPr>
            <w:tcW w:w="1058" w:type="dxa"/>
            <w:tcBorders>
              <w:top w:val="single" w:color="auto" w:sz="4" w:space="0"/>
              <w:left w:val="nil"/>
              <w:bottom w:val="single" w:color="auto" w:sz="4" w:space="0"/>
              <w:right w:val="single" w:color="auto" w:sz="4" w:space="0"/>
            </w:tcBorders>
            <w:vAlign w:val="center"/>
          </w:tcPr>
          <w:p w14:paraId="54583F2F">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数量</w:t>
            </w:r>
          </w:p>
        </w:tc>
        <w:tc>
          <w:tcPr>
            <w:tcW w:w="880" w:type="dxa"/>
            <w:tcBorders>
              <w:top w:val="single" w:color="auto" w:sz="4" w:space="0"/>
              <w:left w:val="nil"/>
              <w:bottom w:val="single" w:color="auto" w:sz="4" w:space="0"/>
              <w:right w:val="single" w:color="auto" w:sz="4" w:space="0"/>
            </w:tcBorders>
            <w:vAlign w:val="center"/>
          </w:tcPr>
          <w:p w14:paraId="46598895">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产地</w:t>
            </w:r>
          </w:p>
        </w:tc>
        <w:tc>
          <w:tcPr>
            <w:tcW w:w="1020" w:type="dxa"/>
            <w:tcBorders>
              <w:top w:val="single" w:color="auto" w:sz="4" w:space="0"/>
              <w:left w:val="nil"/>
              <w:bottom w:val="single" w:color="auto" w:sz="4" w:space="0"/>
              <w:right w:val="single" w:color="auto" w:sz="4" w:space="0"/>
            </w:tcBorders>
            <w:vAlign w:val="center"/>
          </w:tcPr>
          <w:p w14:paraId="1F9C859B">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制造年份</w:t>
            </w:r>
          </w:p>
        </w:tc>
        <w:tc>
          <w:tcPr>
            <w:tcW w:w="1480" w:type="dxa"/>
            <w:tcBorders>
              <w:top w:val="single" w:color="auto" w:sz="4" w:space="0"/>
              <w:left w:val="nil"/>
              <w:bottom w:val="single" w:color="auto" w:sz="4" w:space="0"/>
              <w:right w:val="single" w:color="auto" w:sz="4" w:space="0"/>
            </w:tcBorders>
            <w:vAlign w:val="center"/>
          </w:tcPr>
          <w:p w14:paraId="131FCFFD">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额定功率（kW）</w:t>
            </w:r>
          </w:p>
        </w:tc>
        <w:tc>
          <w:tcPr>
            <w:tcW w:w="1020" w:type="dxa"/>
            <w:tcBorders>
              <w:top w:val="single" w:color="auto" w:sz="4" w:space="0"/>
              <w:left w:val="nil"/>
              <w:bottom w:val="single" w:color="auto" w:sz="4" w:space="0"/>
              <w:right w:val="single" w:color="auto" w:sz="4" w:space="0"/>
            </w:tcBorders>
            <w:vAlign w:val="center"/>
          </w:tcPr>
          <w:p w14:paraId="6FE4736A">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生产能力</w:t>
            </w:r>
          </w:p>
        </w:tc>
        <w:tc>
          <w:tcPr>
            <w:tcW w:w="921" w:type="dxa"/>
            <w:tcBorders>
              <w:top w:val="single" w:color="auto" w:sz="4" w:space="0"/>
              <w:left w:val="nil"/>
              <w:bottom w:val="single" w:color="auto" w:sz="4" w:space="0"/>
              <w:right w:val="single" w:color="auto" w:sz="4" w:space="0"/>
            </w:tcBorders>
            <w:vAlign w:val="center"/>
          </w:tcPr>
          <w:p w14:paraId="4D8752A5">
            <w:pPr>
              <w:pStyle w:val="284"/>
              <w:wordWrap w:val="0"/>
              <w:topLinePunct/>
              <w:adjustRightInd/>
              <w:spacing w:after="0" w:line="420" w:lineRule="exact"/>
              <w:ind w:left="0" w:leftChars="0" w:right="0" w:rightChars="0"/>
              <w:rPr>
                <w:rFonts w:ascii="宋体" w:hAnsi="宋体" w:cs="宋体"/>
                <w:color w:val="auto"/>
                <w:kern w:val="2"/>
                <w:sz w:val="21"/>
                <w:szCs w:val="21"/>
              </w:rPr>
            </w:pPr>
            <w:r>
              <w:rPr>
                <w:rFonts w:hint="eastAsia" w:ascii="宋体" w:hAnsi="宋体" w:cs="宋体"/>
                <w:color w:val="auto"/>
                <w:kern w:val="2"/>
                <w:sz w:val="21"/>
                <w:szCs w:val="21"/>
              </w:rPr>
              <w:t>备注</w:t>
            </w:r>
          </w:p>
        </w:tc>
      </w:tr>
      <w:tr w14:paraId="74F6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3699FA5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4326042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3BED6DC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5C170C1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1502C79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68ADB54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04AE584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22C4D7C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27C6B301">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731F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79914F8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1113C8B0">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7C2BE91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5654A18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3019D39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323E485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3EAC9AC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5DF4956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06B65AE2">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358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66A9364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4519BF8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3129921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66A5AF5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167C88D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4248021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1F12AB5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66166E4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400C5049">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7AD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2786DED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4704E93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7E4E364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1D08724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4DAB6D4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45D9398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15E1A66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6036D58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48E1CCD3">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8FA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0F36716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41C3ECA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6928DB0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76E8418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1A5A5B4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7481E27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7E23AE3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6D20F35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7170EBE2">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29D4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00AD298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3B298D8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7757D39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5203C88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47A1B9EB">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11E63036">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355C283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1EB9BB7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679B96B8">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7F51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697C3F7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13F7C4C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578ACD9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4ADDE76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1D043114">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229FD70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03B3B24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5EA9DBA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51B4E376">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EB4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311B9DD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45BADD3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49E57343">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35B4550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01258DA8">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6BD723BF">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4AA6CC4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5BB34545">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7AC64FD7">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11EC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0E04E606">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41A21124">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7E1AAF3A">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709E804B">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722EA7B3">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7E208395">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490163EA">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5D7204D6">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75DBBD64">
            <w:pPr>
              <w:pStyle w:val="274"/>
              <w:wordWrap w:val="0"/>
              <w:topLinePunct/>
              <w:spacing w:line="420" w:lineRule="exact"/>
              <w:rPr>
                <w:rFonts w:ascii="宋体" w:hAnsi="宋体" w:cs="宋体"/>
                <w:color w:val="auto"/>
                <w:szCs w:val="21"/>
              </w:rPr>
            </w:pPr>
          </w:p>
        </w:tc>
      </w:tr>
      <w:tr w14:paraId="3198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vAlign w:val="center"/>
          </w:tcPr>
          <w:p w14:paraId="6B4DED0A">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18" w:type="dxa"/>
            <w:tcBorders>
              <w:top w:val="single" w:color="auto" w:sz="4" w:space="0"/>
              <w:left w:val="nil"/>
              <w:bottom w:val="single" w:color="auto" w:sz="4" w:space="0"/>
              <w:right w:val="single" w:color="auto" w:sz="4" w:space="0"/>
            </w:tcBorders>
            <w:vAlign w:val="center"/>
          </w:tcPr>
          <w:p w14:paraId="107022AC">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50" w:type="dxa"/>
            <w:tcBorders>
              <w:top w:val="single" w:color="auto" w:sz="4" w:space="0"/>
              <w:left w:val="nil"/>
              <w:bottom w:val="single" w:color="auto" w:sz="4" w:space="0"/>
              <w:right w:val="single" w:color="auto" w:sz="4" w:space="0"/>
            </w:tcBorders>
            <w:vAlign w:val="center"/>
          </w:tcPr>
          <w:p w14:paraId="59F42D57">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58" w:type="dxa"/>
            <w:tcBorders>
              <w:top w:val="single" w:color="auto" w:sz="4" w:space="0"/>
              <w:left w:val="nil"/>
              <w:bottom w:val="single" w:color="auto" w:sz="4" w:space="0"/>
              <w:right w:val="single" w:color="auto" w:sz="4" w:space="0"/>
            </w:tcBorders>
            <w:vAlign w:val="center"/>
          </w:tcPr>
          <w:p w14:paraId="12E5B85E">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880" w:type="dxa"/>
            <w:tcBorders>
              <w:top w:val="single" w:color="auto" w:sz="4" w:space="0"/>
              <w:left w:val="nil"/>
              <w:bottom w:val="single" w:color="auto" w:sz="4" w:space="0"/>
              <w:right w:val="single" w:color="auto" w:sz="4" w:space="0"/>
            </w:tcBorders>
            <w:vAlign w:val="center"/>
          </w:tcPr>
          <w:p w14:paraId="33D5D0DD">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20309002">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480" w:type="dxa"/>
            <w:tcBorders>
              <w:top w:val="single" w:color="auto" w:sz="4" w:space="0"/>
              <w:left w:val="nil"/>
              <w:bottom w:val="single" w:color="auto" w:sz="4" w:space="0"/>
              <w:right w:val="single" w:color="auto" w:sz="4" w:space="0"/>
            </w:tcBorders>
            <w:vAlign w:val="center"/>
          </w:tcPr>
          <w:p w14:paraId="641A0261">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1020" w:type="dxa"/>
            <w:tcBorders>
              <w:top w:val="single" w:color="auto" w:sz="4" w:space="0"/>
              <w:left w:val="nil"/>
              <w:bottom w:val="single" w:color="auto" w:sz="4" w:space="0"/>
              <w:right w:val="single" w:color="auto" w:sz="4" w:space="0"/>
            </w:tcBorders>
            <w:vAlign w:val="center"/>
          </w:tcPr>
          <w:p w14:paraId="3AD1D079">
            <w:pPr>
              <w:pStyle w:val="284"/>
              <w:wordWrap w:val="0"/>
              <w:topLinePunct/>
              <w:adjustRightInd/>
              <w:spacing w:after="0" w:line="420" w:lineRule="exact"/>
              <w:ind w:left="0" w:leftChars="0" w:right="0" w:rightChars="0"/>
              <w:rPr>
                <w:rFonts w:ascii="宋体" w:hAnsi="宋体" w:cs="宋体"/>
                <w:color w:val="auto"/>
                <w:kern w:val="2"/>
                <w:sz w:val="21"/>
                <w:szCs w:val="21"/>
              </w:rPr>
            </w:pPr>
          </w:p>
        </w:tc>
        <w:tc>
          <w:tcPr>
            <w:tcW w:w="921" w:type="dxa"/>
            <w:tcBorders>
              <w:top w:val="single" w:color="auto" w:sz="4" w:space="0"/>
              <w:left w:val="nil"/>
              <w:bottom w:val="single" w:color="auto" w:sz="4" w:space="0"/>
              <w:right w:val="single" w:color="auto" w:sz="4" w:space="0"/>
            </w:tcBorders>
            <w:vAlign w:val="center"/>
          </w:tcPr>
          <w:p w14:paraId="23715B75">
            <w:pPr>
              <w:pStyle w:val="284"/>
              <w:wordWrap w:val="0"/>
              <w:topLinePunct/>
              <w:adjustRightInd/>
              <w:spacing w:after="0" w:line="420" w:lineRule="exact"/>
              <w:ind w:left="0" w:leftChars="0" w:right="0" w:rightChars="0"/>
              <w:rPr>
                <w:rFonts w:ascii="宋体" w:hAnsi="宋体" w:cs="宋体"/>
                <w:color w:val="auto"/>
                <w:kern w:val="2"/>
                <w:sz w:val="21"/>
                <w:szCs w:val="21"/>
              </w:rPr>
            </w:pPr>
          </w:p>
        </w:tc>
      </w:tr>
      <w:tr w14:paraId="331A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49878183">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1306769A">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3C0A2769">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1652157D">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60563C04">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11484224">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291E678E">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71DE2B9C">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11FA2EFC">
            <w:pPr>
              <w:pStyle w:val="274"/>
              <w:wordWrap w:val="0"/>
              <w:topLinePunct/>
              <w:spacing w:line="420" w:lineRule="exact"/>
              <w:rPr>
                <w:rFonts w:ascii="宋体" w:hAnsi="宋体" w:cs="宋体"/>
                <w:color w:val="auto"/>
                <w:szCs w:val="21"/>
              </w:rPr>
            </w:pPr>
          </w:p>
        </w:tc>
      </w:tr>
      <w:tr w14:paraId="496B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5E6C3D19">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015FDCBB">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47063369">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25C788E6">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2264A8C9">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482471EB">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63D59D49">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43867172">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57256EC3">
            <w:pPr>
              <w:pStyle w:val="274"/>
              <w:wordWrap w:val="0"/>
              <w:topLinePunct/>
              <w:spacing w:line="420" w:lineRule="exact"/>
              <w:rPr>
                <w:rFonts w:ascii="宋体" w:hAnsi="宋体" w:cs="宋体"/>
                <w:color w:val="auto"/>
                <w:szCs w:val="21"/>
              </w:rPr>
            </w:pPr>
          </w:p>
        </w:tc>
      </w:tr>
      <w:tr w14:paraId="4DB1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6F75BC05">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49E70700">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1293F68D">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1B74697A">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2232DC51">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7E00E533">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05EE1A06">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59F60CB9">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26041AF3">
            <w:pPr>
              <w:pStyle w:val="274"/>
              <w:wordWrap w:val="0"/>
              <w:topLinePunct/>
              <w:spacing w:line="420" w:lineRule="exact"/>
              <w:rPr>
                <w:rFonts w:ascii="宋体" w:hAnsi="宋体" w:cs="宋体"/>
                <w:color w:val="auto"/>
                <w:szCs w:val="21"/>
              </w:rPr>
            </w:pPr>
          </w:p>
        </w:tc>
      </w:tr>
      <w:tr w14:paraId="5E71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108C0BFB">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5DA6A614">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67772949">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7EACFF57">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3E6D700C">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6D0CBCC2">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22C907C7">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3277C71F">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4F137C30">
            <w:pPr>
              <w:pStyle w:val="274"/>
              <w:wordWrap w:val="0"/>
              <w:topLinePunct/>
              <w:spacing w:line="420" w:lineRule="exact"/>
              <w:rPr>
                <w:rFonts w:ascii="宋体" w:hAnsi="宋体" w:cs="宋体"/>
                <w:color w:val="auto"/>
                <w:szCs w:val="21"/>
              </w:rPr>
            </w:pPr>
          </w:p>
        </w:tc>
      </w:tr>
      <w:tr w14:paraId="5ADF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7F672BCF">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4934DAEA">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5603D7FB">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0C8DC621">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5B4FCCCD">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2520F93B">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52908E8F">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59ABA15F">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5557412F">
            <w:pPr>
              <w:pStyle w:val="274"/>
              <w:wordWrap w:val="0"/>
              <w:topLinePunct/>
              <w:spacing w:line="420" w:lineRule="exact"/>
              <w:rPr>
                <w:rFonts w:ascii="宋体" w:hAnsi="宋体" w:cs="宋体"/>
                <w:color w:val="auto"/>
                <w:szCs w:val="21"/>
              </w:rPr>
            </w:pPr>
          </w:p>
        </w:tc>
      </w:tr>
      <w:tr w14:paraId="1B53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4EF92A7B">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5AED1179">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432C34BE">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549D0056">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453A6417">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28FEE424">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54B41E86">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2ABA9331">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1A82D827">
            <w:pPr>
              <w:pStyle w:val="274"/>
              <w:wordWrap w:val="0"/>
              <w:topLinePunct/>
              <w:spacing w:line="420" w:lineRule="exact"/>
              <w:rPr>
                <w:rFonts w:ascii="宋体" w:hAnsi="宋体" w:cs="宋体"/>
                <w:color w:val="auto"/>
                <w:szCs w:val="21"/>
              </w:rPr>
            </w:pPr>
          </w:p>
        </w:tc>
      </w:tr>
      <w:tr w14:paraId="4DF4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1707D232">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0BC5CF56">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0ACB3A6F">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5B9292CF">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0D9A4355">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43CCB448">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02864616">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3A6CDB32">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69B19E41">
            <w:pPr>
              <w:pStyle w:val="274"/>
              <w:wordWrap w:val="0"/>
              <w:topLinePunct/>
              <w:spacing w:line="420" w:lineRule="exact"/>
              <w:rPr>
                <w:rFonts w:ascii="宋体" w:hAnsi="宋体" w:cs="宋体"/>
                <w:color w:val="auto"/>
                <w:szCs w:val="21"/>
              </w:rPr>
            </w:pPr>
          </w:p>
        </w:tc>
      </w:tr>
      <w:tr w14:paraId="56FA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64B2E285">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78BBB73C">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6C95EEC9">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6371888F">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2693E17A">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6B14670F">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32899E8F">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0759BC68">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6CB70229">
            <w:pPr>
              <w:pStyle w:val="274"/>
              <w:wordWrap w:val="0"/>
              <w:topLinePunct/>
              <w:spacing w:line="420" w:lineRule="exact"/>
              <w:rPr>
                <w:rFonts w:ascii="宋体" w:hAnsi="宋体" w:cs="宋体"/>
                <w:color w:val="auto"/>
                <w:szCs w:val="21"/>
              </w:rPr>
            </w:pPr>
          </w:p>
        </w:tc>
      </w:tr>
      <w:tr w14:paraId="3A51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tcBorders>
              <w:top w:val="single" w:color="auto" w:sz="4" w:space="0"/>
              <w:left w:val="single" w:color="auto" w:sz="4" w:space="0"/>
              <w:bottom w:val="single" w:color="auto" w:sz="4" w:space="0"/>
              <w:right w:val="single" w:color="auto" w:sz="4" w:space="0"/>
            </w:tcBorders>
          </w:tcPr>
          <w:p w14:paraId="6E4D47C3">
            <w:pPr>
              <w:pStyle w:val="274"/>
              <w:wordWrap w:val="0"/>
              <w:topLinePunct/>
              <w:spacing w:line="420" w:lineRule="exact"/>
              <w:rPr>
                <w:rFonts w:ascii="宋体" w:hAnsi="宋体" w:cs="宋体"/>
                <w:color w:val="auto"/>
                <w:szCs w:val="21"/>
              </w:rPr>
            </w:pPr>
          </w:p>
        </w:tc>
        <w:tc>
          <w:tcPr>
            <w:tcW w:w="1418" w:type="dxa"/>
            <w:tcBorders>
              <w:top w:val="single" w:color="auto" w:sz="4" w:space="0"/>
              <w:left w:val="nil"/>
              <w:bottom w:val="single" w:color="auto" w:sz="4" w:space="0"/>
              <w:right w:val="single" w:color="auto" w:sz="4" w:space="0"/>
            </w:tcBorders>
          </w:tcPr>
          <w:p w14:paraId="14F8F06F">
            <w:pPr>
              <w:pStyle w:val="274"/>
              <w:wordWrap w:val="0"/>
              <w:topLinePunct/>
              <w:spacing w:line="420" w:lineRule="exact"/>
              <w:rPr>
                <w:rFonts w:ascii="宋体" w:hAnsi="宋体" w:cs="宋体"/>
                <w:color w:val="auto"/>
                <w:szCs w:val="21"/>
              </w:rPr>
            </w:pPr>
          </w:p>
        </w:tc>
        <w:tc>
          <w:tcPr>
            <w:tcW w:w="850" w:type="dxa"/>
            <w:tcBorders>
              <w:top w:val="single" w:color="auto" w:sz="4" w:space="0"/>
              <w:left w:val="nil"/>
              <w:bottom w:val="single" w:color="auto" w:sz="4" w:space="0"/>
              <w:right w:val="single" w:color="auto" w:sz="4" w:space="0"/>
            </w:tcBorders>
          </w:tcPr>
          <w:p w14:paraId="103386ED">
            <w:pPr>
              <w:pStyle w:val="274"/>
              <w:wordWrap w:val="0"/>
              <w:topLinePunct/>
              <w:spacing w:line="420" w:lineRule="exact"/>
              <w:rPr>
                <w:rFonts w:ascii="宋体" w:hAnsi="宋体" w:cs="宋体"/>
                <w:color w:val="auto"/>
                <w:szCs w:val="21"/>
              </w:rPr>
            </w:pPr>
          </w:p>
        </w:tc>
        <w:tc>
          <w:tcPr>
            <w:tcW w:w="1058" w:type="dxa"/>
            <w:tcBorders>
              <w:top w:val="single" w:color="auto" w:sz="4" w:space="0"/>
              <w:left w:val="nil"/>
              <w:bottom w:val="single" w:color="auto" w:sz="4" w:space="0"/>
              <w:right w:val="single" w:color="auto" w:sz="4" w:space="0"/>
            </w:tcBorders>
          </w:tcPr>
          <w:p w14:paraId="5E4A1C98">
            <w:pPr>
              <w:pStyle w:val="274"/>
              <w:wordWrap w:val="0"/>
              <w:topLinePunct/>
              <w:spacing w:line="420" w:lineRule="exact"/>
              <w:rPr>
                <w:rFonts w:ascii="宋体" w:hAnsi="宋体" w:cs="宋体"/>
                <w:color w:val="auto"/>
                <w:szCs w:val="21"/>
              </w:rPr>
            </w:pPr>
          </w:p>
        </w:tc>
        <w:tc>
          <w:tcPr>
            <w:tcW w:w="880" w:type="dxa"/>
            <w:tcBorders>
              <w:top w:val="single" w:color="auto" w:sz="4" w:space="0"/>
              <w:left w:val="nil"/>
              <w:bottom w:val="single" w:color="auto" w:sz="4" w:space="0"/>
              <w:right w:val="single" w:color="auto" w:sz="4" w:space="0"/>
            </w:tcBorders>
          </w:tcPr>
          <w:p w14:paraId="5F4F9FD2">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75DD7836">
            <w:pPr>
              <w:pStyle w:val="274"/>
              <w:wordWrap w:val="0"/>
              <w:topLinePunct/>
              <w:spacing w:line="420" w:lineRule="exact"/>
              <w:rPr>
                <w:rFonts w:ascii="宋体" w:hAnsi="宋体" w:cs="宋体"/>
                <w:color w:val="auto"/>
                <w:szCs w:val="21"/>
              </w:rPr>
            </w:pPr>
          </w:p>
        </w:tc>
        <w:tc>
          <w:tcPr>
            <w:tcW w:w="1480" w:type="dxa"/>
            <w:tcBorders>
              <w:top w:val="single" w:color="auto" w:sz="4" w:space="0"/>
              <w:left w:val="nil"/>
              <w:bottom w:val="single" w:color="auto" w:sz="4" w:space="0"/>
              <w:right w:val="single" w:color="auto" w:sz="4" w:space="0"/>
            </w:tcBorders>
          </w:tcPr>
          <w:p w14:paraId="22F3A117">
            <w:pPr>
              <w:pStyle w:val="274"/>
              <w:wordWrap w:val="0"/>
              <w:topLinePunct/>
              <w:spacing w:line="420" w:lineRule="exact"/>
              <w:rPr>
                <w:rFonts w:ascii="宋体" w:hAnsi="宋体" w:cs="宋体"/>
                <w:color w:val="auto"/>
                <w:szCs w:val="21"/>
              </w:rPr>
            </w:pPr>
          </w:p>
        </w:tc>
        <w:tc>
          <w:tcPr>
            <w:tcW w:w="1020" w:type="dxa"/>
            <w:tcBorders>
              <w:top w:val="single" w:color="auto" w:sz="4" w:space="0"/>
              <w:left w:val="nil"/>
              <w:bottom w:val="single" w:color="auto" w:sz="4" w:space="0"/>
              <w:right w:val="single" w:color="auto" w:sz="4" w:space="0"/>
            </w:tcBorders>
          </w:tcPr>
          <w:p w14:paraId="3A267E58">
            <w:pPr>
              <w:pStyle w:val="274"/>
              <w:wordWrap w:val="0"/>
              <w:topLinePunct/>
              <w:spacing w:line="420" w:lineRule="exact"/>
              <w:rPr>
                <w:rFonts w:ascii="宋体" w:hAnsi="宋体" w:cs="宋体"/>
                <w:color w:val="auto"/>
                <w:szCs w:val="21"/>
              </w:rPr>
            </w:pPr>
          </w:p>
        </w:tc>
        <w:tc>
          <w:tcPr>
            <w:tcW w:w="921" w:type="dxa"/>
            <w:tcBorders>
              <w:top w:val="single" w:color="auto" w:sz="4" w:space="0"/>
              <w:left w:val="nil"/>
              <w:bottom w:val="single" w:color="auto" w:sz="4" w:space="0"/>
              <w:right w:val="single" w:color="auto" w:sz="4" w:space="0"/>
            </w:tcBorders>
          </w:tcPr>
          <w:p w14:paraId="05927E49">
            <w:pPr>
              <w:pStyle w:val="274"/>
              <w:wordWrap w:val="0"/>
              <w:topLinePunct/>
              <w:spacing w:line="420" w:lineRule="exact"/>
              <w:rPr>
                <w:rFonts w:ascii="宋体" w:hAnsi="宋体" w:cs="宋体"/>
                <w:color w:val="auto"/>
                <w:szCs w:val="21"/>
              </w:rPr>
            </w:pPr>
          </w:p>
        </w:tc>
      </w:tr>
    </w:tbl>
    <w:p w14:paraId="06538CB4">
      <w:pPr>
        <w:pStyle w:val="274"/>
        <w:wordWrap w:val="0"/>
        <w:topLinePunct/>
        <w:spacing w:line="420" w:lineRule="exact"/>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附件7：</w:t>
      </w:r>
    </w:p>
    <w:p w14:paraId="5A30B6E9">
      <w:pPr>
        <w:pStyle w:val="274"/>
        <w:wordWrap w:val="0"/>
        <w:topLinePunct/>
        <w:spacing w:before="120" w:after="120" w:line="420" w:lineRule="exact"/>
        <w:jc w:val="center"/>
        <w:rPr>
          <w:rFonts w:ascii="宋体" w:hAnsi="宋体" w:cs="宋体"/>
          <w:color w:val="auto"/>
          <w:sz w:val="24"/>
          <w:szCs w:val="24"/>
        </w:rPr>
      </w:pPr>
      <w:r>
        <w:rPr>
          <w:rFonts w:hint="eastAsia" w:ascii="宋体" w:hAnsi="宋体" w:cs="宋体"/>
          <w:color w:val="auto"/>
          <w:sz w:val="24"/>
          <w:szCs w:val="24"/>
        </w:rPr>
        <w:t>预付款担保</w:t>
      </w:r>
    </w:p>
    <w:p w14:paraId="042F8F5A">
      <w:pPr>
        <w:pStyle w:val="274"/>
        <w:wordWrap w:val="0"/>
        <w:topLinePunct/>
        <w:spacing w:line="420" w:lineRule="exac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 xml:space="preserve"> （发包人名称）：</w:t>
      </w:r>
    </w:p>
    <w:p w14:paraId="2054B6E1">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根据</w:t>
      </w:r>
      <w:r>
        <w:rPr>
          <w:rFonts w:hint="eastAsia" w:ascii="宋体" w:hAnsi="宋体" w:cs="宋体"/>
          <w:color w:val="auto"/>
          <w:szCs w:val="21"/>
          <w:u w:val="single"/>
        </w:rPr>
        <w:t xml:space="preserve">                 </w:t>
      </w:r>
      <w:r>
        <w:rPr>
          <w:rFonts w:hint="eastAsia" w:ascii="宋体" w:hAnsi="宋体" w:cs="宋体"/>
          <w:color w:val="auto"/>
          <w:szCs w:val="21"/>
        </w:rPr>
        <w:t>（承包人名称）（以下称“承包人”）与</w:t>
      </w:r>
      <w:r>
        <w:rPr>
          <w:rFonts w:hint="eastAsia" w:ascii="宋体" w:hAnsi="宋体" w:cs="宋体"/>
          <w:color w:val="auto"/>
          <w:szCs w:val="21"/>
          <w:u w:val="single"/>
        </w:rPr>
        <w:t xml:space="preserve">                        </w:t>
      </w:r>
      <w:r>
        <w:rPr>
          <w:rFonts w:hint="eastAsia" w:ascii="宋体" w:hAnsi="宋体" w:cs="宋体"/>
          <w:color w:val="auto"/>
          <w:szCs w:val="21"/>
        </w:rPr>
        <w:t>（发包人名称）（以下简称“发包人”）于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日签订的</w:t>
      </w:r>
      <w:r>
        <w:rPr>
          <w:rFonts w:hint="eastAsia" w:ascii="宋体" w:hAnsi="宋体" w:cs="宋体"/>
          <w:color w:val="auto"/>
          <w:szCs w:val="21"/>
          <w:u w:val="single"/>
        </w:rPr>
        <w:t xml:space="preserve">                   </w:t>
      </w:r>
      <w:r>
        <w:rPr>
          <w:rFonts w:hint="eastAsia" w:ascii="宋体" w:hAnsi="宋体" w:cs="宋体"/>
          <w:color w:val="auto"/>
          <w:szCs w:val="21"/>
        </w:rPr>
        <w:t>（工程名称）《建设工程施工合同》，承包人按约定的金额向你方提交一份预付款担保，即有权得到你方支付相等金额的预付款。我方愿意就你方提供给承包人的预付款为承包人提供连带责任担保。</w:t>
      </w:r>
    </w:p>
    <w:p w14:paraId="05A93531">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1. 担保金额人民币（大写）</w:t>
      </w:r>
      <w:r>
        <w:rPr>
          <w:rFonts w:hint="eastAsia" w:ascii="宋体" w:hAnsi="宋体" w:cs="宋体"/>
          <w:color w:val="auto"/>
          <w:szCs w:val="21"/>
          <w:u w:val="single"/>
        </w:rPr>
        <w:t xml:space="preserve">                </w:t>
      </w:r>
      <w:r>
        <w:rPr>
          <w:rFonts w:hint="eastAsia" w:ascii="宋体" w:hAnsi="宋体" w:cs="宋体"/>
          <w:color w:val="auto"/>
          <w:szCs w:val="21"/>
        </w:rPr>
        <w:t>元（¥</w:t>
      </w:r>
      <w:r>
        <w:rPr>
          <w:rFonts w:hint="eastAsia" w:ascii="宋体" w:hAnsi="宋体" w:cs="宋体"/>
          <w:color w:val="auto"/>
          <w:szCs w:val="21"/>
          <w:u w:val="single"/>
        </w:rPr>
        <w:t xml:space="preserve">             </w:t>
      </w:r>
      <w:r>
        <w:rPr>
          <w:rFonts w:hint="eastAsia" w:ascii="宋体" w:hAnsi="宋体" w:cs="宋体"/>
          <w:color w:val="auto"/>
          <w:szCs w:val="21"/>
        </w:rPr>
        <w:t>）。</w:t>
      </w:r>
    </w:p>
    <w:p w14:paraId="02278B8E">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2. 担保有效期自预付款支付给承包人起生效，至你方签发的进度款支付证书说明已完全扣清止。</w:t>
      </w:r>
    </w:p>
    <w:p w14:paraId="48D05C3B">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87D4AED">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4. 你方和承包人按合同约定变更合同时，我方承担本保函规定的义务不变。</w:t>
      </w:r>
    </w:p>
    <w:p w14:paraId="60C8530D">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5. 因本保函发生的纠纷，可由双方协商解决，协商不成的，任何一方均可提请</w:t>
      </w:r>
      <w:r>
        <w:rPr>
          <w:rFonts w:hint="eastAsia" w:ascii="宋体" w:hAnsi="宋体" w:cs="宋体"/>
          <w:color w:val="auto"/>
          <w:szCs w:val="21"/>
          <w:u w:val="single"/>
        </w:rPr>
        <w:t xml:space="preserve">      </w:t>
      </w:r>
      <w:r>
        <w:rPr>
          <w:rFonts w:hint="eastAsia" w:ascii="宋体" w:hAnsi="宋体" w:cs="宋体"/>
          <w:color w:val="auto"/>
          <w:szCs w:val="21"/>
        </w:rPr>
        <w:t>仲裁委员会仲裁。</w:t>
      </w:r>
    </w:p>
    <w:p w14:paraId="708B56CC">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rPr>
        <w:t>6. 本保函自我方法定代表人（或其授权代理人）签字并加盖公章之日起生效。</w:t>
      </w:r>
    </w:p>
    <w:p w14:paraId="775C72DC">
      <w:pPr>
        <w:pStyle w:val="274"/>
        <w:wordWrap w:val="0"/>
        <w:topLinePunct/>
        <w:spacing w:line="420" w:lineRule="exact"/>
        <w:rPr>
          <w:rFonts w:ascii="宋体" w:hAnsi="宋体" w:cs="宋体"/>
          <w:color w:val="auto"/>
          <w:szCs w:val="21"/>
        </w:rPr>
      </w:pPr>
      <w:r>
        <w:rPr>
          <w:rFonts w:hint="eastAsia" w:ascii="宋体" w:hAnsi="宋体" w:cs="宋体"/>
          <w:color w:val="auto"/>
          <w:szCs w:val="21"/>
        </w:rPr>
        <w:t xml:space="preserve"> </w:t>
      </w:r>
    </w:p>
    <w:p w14:paraId="0B9257CA">
      <w:pPr>
        <w:pStyle w:val="274"/>
        <w:wordWrap w:val="0"/>
        <w:topLinePunct/>
        <w:spacing w:line="420" w:lineRule="exact"/>
        <w:rPr>
          <w:rFonts w:ascii="宋体" w:hAnsi="宋体" w:cs="宋体"/>
          <w:color w:val="auto"/>
          <w:szCs w:val="21"/>
        </w:rPr>
      </w:pPr>
      <w:r>
        <w:rPr>
          <w:rFonts w:hint="eastAsia" w:ascii="宋体" w:hAnsi="宋体" w:cs="宋体"/>
          <w:color w:val="auto"/>
          <w:szCs w:val="21"/>
        </w:rPr>
        <w:t>担保人：</w:t>
      </w:r>
      <w:r>
        <w:rPr>
          <w:rFonts w:hint="eastAsia" w:ascii="宋体" w:hAnsi="宋体" w:cs="宋体"/>
          <w:color w:val="auto"/>
          <w:szCs w:val="21"/>
          <w:u w:val="single"/>
        </w:rPr>
        <w:t xml:space="preserve">                          </w:t>
      </w:r>
      <w:r>
        <w:rPr>
          <w:rFonts w:hint="eastAsia" w:ascii="宋体" w:hAnsi="宋体" w:cs="宋体"/>
          <w:color w:val="auto"/>
          <w:szCs w:val="21"/>
        </w:rPr>
        <w:t>（盖单位章）</w:t>
      </w:r>
    </w:p>
    <w:p w14:paraId="7F8F080C">
      <w:pPr>
        <w:pStyle w:val="274"/>
        <w:wordWrap w:val="0"/>
        <w:topLinePunct/>
        <w:spacing w:line="420" w:lineRule="exact"/>
        <w:rPr>
          <w:rFonts w:ascii="宋体" w:hAnsi="宋体" w:cs="宋体"/>
          <w:color w:val="auto"/>
          <w:szCs w:val="21"/>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w:t>
      </w:r>
      <w:r>
        <w:rPr>
          <w:rFonts w:hint="eastAsia" w:ascii="宋体" w:hAnsi="宋体" w:cs="宋体"/>
          <w:color w:val="auto"/>
          <w:szCs w:val="21"/>
        </w:rPr>
        <w:t>（签字）</w:t>
      </w:r>
    </w:p>
    <w:p w14:paraId="3C14D986">
      <w:pPr>
        <w:pStyle w:val="274"/>
        <w:wordWrap w:val="0"/>
        <w:topLinePunct/>
        <w:spacing w:line="420" w:lineRule="exact"/>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p w14:paraId="476C5D71">
      <w:pPr>
        <w:pStyle w:val="274"/>
        <w:wordWrap w:val="0"/>
        <w:topLinePunct/>
        <w:spacing w:line="420" w:lineRule="exact"/>
        <w:rPr>
          <w:rFonts w:ascii="宋体" w:hAnsi="宋体" w:cs="宋体"/>
          <w:color w:val="auto"/>
          <w:szCs w:val="21"/>
          <w:u w:val="single"/>
        </w:rPr>
      </w:pPr>
      <w:r>
        <w:rPr>
          <w:rFonts w:hint="eastAsia" w:ascii="宋体" w:hAnsi="宋体" w:cs="宋体"/>
          <w:color w:val="auto"/>
          <w:szCs w:val="21"/>
        </w:rPr>
        <w:t>邮政编码：</w:t>
      </w:r>
      <w:r>
        <w:rPr>
          <w:rFonts w:hint="eastAsia" w:ascii="宋体" w:hAnsi="宋体" w:cs="宋体"/>
          <w:color w:val="auto"/>
          <w:szCs w:val="21"/>
          <w:u w:val="single"/>
        </w:rPr>
        <w:t xml:space="preserve">                            </w:t>
      </w:r>
    </w:p>
    <w:p w14:paraId="334A4F1E">
      <w:pPr>
        <w:pStyle w:val="274"/>
        <w:wordWrap w:val="0"/>
        <w:topLinePunct/>
        <w:spacing w:line="420" w:lineRule="exact"/>
        <w:rPr>
          <w:rFonts w:ascii="宋体" w:hAnsi="宋体" w:cs="宋体"/>
          <w:color w:val="auto"/>
          <w:szCs w:val="21"/>
          <w:u w:val="single"/>
        </w:rPr>
      </w:pPr>
      <w:r>
        <w:rPr>
          <w:rFonts w:hint="eastAsia" w:ascii="宋体" w:hAnsi="宋体" w:cs="宋体"/>
          <w:color w:val="auto"/>
          <w:szCs w:val="21"/>
        </w:rPr>
        <w:t>电    话：</w:t>
      </w:r>
      <w:r>
        <w:rPr>
          <w:rFonts w:hint="eastAsia" w:ascii="宋体" w:hAnsi="宋体" w:cs="宋体"/>
          <w:color w:val="auto"/>
          <w:szCs w:val="21"/>
          <w:u w:val="single"/>
        </w:rPr>
        <w:t xml:space="preserve">                            </w:t>
      </w:r>
    </w:p>
    <w:p w14:paraId="09ABEFDA">
      <w:pPr>
        <w:pStyle w:val="274"/>
        <w:wordWrap w:val="0"/>
        <w:topLinePunct/>
        <w:spacing w:line="420" w:lineRule="exact"/>
        <w:rPr>
          <w:rFonts w:ascii="宋体" w:hAnsi="宋体" w:cs="宋体"/>
          <w:color w:val="auto"/>
          <w:szCs w:val="21"/>
          <w:u w:val="single"/>
        </w:rPr>
      </w:pPr>
      <w:r>
        <w:rPr>
          <w:rFonts w:hint="eastAsia" w:ascii="宋体" w:hAnsi="宋体" w:cs="宋体"/>
          <w:color w:val="auto"/>
          <w:szCs w:val="21"/>
        </w:rPr>
        <w:t>传    真：</w:t>
      </w:r>
      <w:r>
        <w:rPr>
          <w:rFonts w:hint="eastAsia" w:ascii="宋体" w:hAnsi="宋体" w:cs="宋体"/>
          <w:color w:val="auto"/>
          <w:szCs w:val="21"/>
          <w:u w:val="single"/>
        </w:rPr>
        <w:t xml:space="preserve">                            </w:t>
      </w:r>
    </w:p>
    <w:p w14:paraId="40969521">
      <w:pPr>
        <w:pStyle w:val="274"/>
        <w:wordWrap w:val="0"/>
        <w:topLinePunct/>
        <w:spacing w:line="420" w:lineRule="exact"/>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4383C700">
      <w:pPr>
        <w:pStyle w:val="274"/>
        <w:wordWrap w:val="0"/>
        <w:topLinePunct/>
        <w:spacing w:line="420" w:lineRule="exact"/>
        <w:rPr>
          <w:rFonts w:ascii="宋体" w:hAnsi="宋体" w:cs="宋体"/>
          <w:color w:val="auto"/>
          <w:szCs w:val="21"/>
        </w:rPr>
      </w:pPr>
      <w:r>
        <w:rPr>
          <w:rFonts w:hint="eastAsia" w:ascii="宋体" w:hAnsi="宋体" w:cs="宋体"/>
          <w:color w:val="auto"/>
          <w:szCs w:val="21"/>
        </w:rPr>
        <w:t xml:space="preserve"> </w:t>
      </w:r>
    </w:p>
    <w:p w14:paraId="5BC64D72">
      <w:pPr>
        <w:pStyle w:val="274"/>
        <w:wordWrap w:val="0"/>
        <w:topLinePunct/>
        <w:spacing w:line="420" w:lineRule="exact"/>
        <w:rPr>
          <w:rFonts w:ascii="宋体" w:hAnsi="宋体" w:cs="宋体"/>
          <w:color w:val="auto"/>
          <w:sz w:val="24"/>
          <w:szCs w:val="24"/>
        </w:rPr>
      </w:pPr>
      <w:r>
        <w:rPr>
          <w:rFonts w:hint="eastAsia" w:ascii="宋体" w:hAnsi="宋体" w:cs="宋体"/>
          <w:color w:val="auto"/>
          <w:szCs w:val="21"/>
        </w:rPr>
        <w:br w:type="page"/>
      </w:r>
      <w:r>
        <w:rPr>
          <w:rFonts w:hint="eastAsia" w:ascii="宋体" w:hAnsi="宋体" w:cs="宋体"/>
          <w:color w:val="auto"/>
          <w:sz w:val="24"/>
          <w:szCs w:val="24"/>
        </w:rPr>
        <w:t>附件8：</w:t>
      </w:r>
    </w:p>
    <w:p w14:paraId="0C7096CA">
      <w:pPr>
        <w:pStyle w:val="274"/>
        <w:wordWrap w:val="0"/>
        <w:topLinePunct/>
        <w:spacing w:before="120" w:after="120" w:line="420" w:lineRule="exact"/>
        <w:jc w:val="center"/>
        <w:rPr>
          <w:rFonts w:ascii="宋体" w:hAnsi="宋体" w:cs="宋体"/>
          <w:color w:val="auto"/>
          <w:sz w:val="24"/>
          <w:szCs w:val="24"/>
        </w:rPr>
      </w:pPr>
      <w:r>
        <w:rPr>
          <w:rFonts w:hint="eastAsia" w:ascii="宋体" w:hAnsi="宋体" w:cs="宋体"/>
          <w:color w:val="auto"/>
          <w:sz w:val="24"/>
          <w:szCs w:val="24"/>
        </w:rPr>
        <w:t>工程质量保修书（房屋建筑工程）</w:t>
      </w:r>
    </w:p>
    <w:p w14:paraId="1D783A4D">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发包人（全称）：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0BC0084">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承包人（全称）：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543536D4">
      <w:pPr>
        <w:pStyle w:val="274"/>
        <w:wordWrap w:val="0"/>
        <w:topLinePunct/>
        <w:spacing w:line="420" w:lineRule="exact"/>
        <w:rPr>
          <w:rFonts w:ascii="宋体" w:hAnsi="宋体" w:cs="宋体"/>
          <w:color w:val="auto"/>
          <w:szCs w:val="21"/>
        </w:rPr>
      </w:pPr>
      <w:r>
        <w:rPr>
          <w:rFonts w:hint="eastAsia" w:ascii="宋体" w:hAnsi="宋体" w:cs="宋体"/>
          <w:color w:val="auto"/>
          <w:szCs w:val="21"/>
        </w:rPr>
        <w:t xml:space="preserve"> </w:t>
      </w:r>
    </w:p>
    <w:p w14:paraId="0ADC759E">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发包人和承包人根据《中华人民共和国建筑法》和《建设工程质量管理条例》，经协商一致就</w:t>
      </w:r>
      <w:r>
        <w:rPr>
          <w:rFonts w:hint="eastAsia" w:ascii="宋体" w:hAnsi="宋体" w:cs="宋体"/>
          <w:color w:val="auto"/>
          <w:szCs w:val="21"/>
          <w:u w:val="single"/>
        </w:rPr>
        <w:t xml:space="preserve">                                   </w:t>
      </w:r>
      <w:r>
        <w:rPr>
          <w:rFonts w:hint="eastAsia" w:ascii="宋体" w:hAnsi="宋体" w:cs="宋体"/>
          <w:color w:val="auto"/>
          <w:szCs w:val="21"/>
        </w:rPr>
        <w:t>（工程全称）签订工程质量保修书。</w:t>
      </w:r>
    </w:p>
    <w:p w14:paraId="4EF9A95B">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一、工程质量保修范围和内容</w:t>
      </w:r>
    </w:p>
    <w:p w14:paraId="3F186E3F">
      <w:pPr>
        <w:pStyle w:val="274"/>
        <w:wordWrap w:val="0"/>
        <w:topLinePunct/>
        <w:spacing w:line="420" w:lineRule="exact"/>
        <w:ind w:firstLine="420" w:firstLineChars="200"/>
        <w:rPr>
          <w:rFonts w:ascii="宋体" w:hAnsi="宋体" w:cs="宋体"/>
          <w:color w:val="auto"/>
          <w:szCs w:val="21"/>
        </w:rPr>
      </w:pPr>
      <w:r>
        <w:rPr>
          <w:rFonts w:hint="eastAsia" w:ascii="宋体" w:hAnsi="宋体" w:cs="宋体"/>
          <w:color w:val="auto"/>
          <w:szCs w:val="21"/>
        </w:rPr>
        <w:t>承包人在质量保修期内，按照有关法律规定和合同约定，承担工程质量保修责任。</w:t>
      </w:r>
    </w:p>
    <w:p w14:paraId="12E5850B">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质量保修范围包括</w:t>
      </w:r>
      <w:r>
        <w:rPr>
          <w:rFonts w:hint="eastAsia" w:ascii="宋体" w:hAnsi="宋体" w:cs="宋体"/>
          <w:color w:val="auto"/>
          <w:szCs w:val="21"/>
          <w:u w:val="single"/>
        </w:rPr>
        <w:t>按</w:t>
      </w:r>
      <w:r>
        <w:rPr>
          <w:rFonts w:hint="eastAsia" w:ascii="宋体" w:hAnsi="宋体" w:cs="宋体"/>
          <w:b/>
          <w:bCs/>
          <w:color w:val="auto"/>
          <w:szCs w:val="21"/>
          <w:u w:val="thick"/>
        </w:rPr>
        <w:t>设计图纸施工的全部工程</w:t>
      </w:r>
      <w:r>
        <w:rPr>
          <w:rFonts w:hint="eastAsia" w:ascii="宋体" w:hAnsi="宋体" w:cs="宋体"/>
          <w:color w:val="auto"/>
          <w:szCs w:val="21"/>
        </w:rPr>
        <w:t>。具体保修的内容，双方约定如下：</w:t>
      </w:r>
      <w:r>
        <w:rPr>
          <w:rFonts w:hint="eastAsia" w:ascii="宋体" w:hAnsi="宋体" w:cs="宋体"/>
          <w:color w:val="auto"/>
          <w:szCs w:val="21"/>
          <w:u w:val="single"/>
        </w:rPr>
        <w:t xml:space="preserve">     /       </w:t>
      </w:r>
      <w:r>
        <w:rPr>
          <w:rFonts w:hint="eastAsia" w:ascii="宋体" w:hAnsi="宋体" w:cs="宋体"/>
          <w:color w:val="auto"/>
          <w:szCs w:val="21"/>
        </w:rPr>
        <w:t>。</w:t>
      </w:r>
    </w:p>
    <w:p w14:paraId="45ADE587">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二、质量保修期</w:t>
      </w:r>
    </w:p>
    <w:p w14:paraId="3255F286">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根据《建设工程质量管理条例》及有关规定，工程的质量保修期如下：</w:t>
      </w:r>
    </w:p>
    <w:p w14:paraId="6FBA0ED4">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1．地基基础工程和主体结构工程为设计文件规定的工程合理使用年限；</w:t>
      </w:r>
    </w:p>
    <w:p w14:paraId="4922AA56">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2．屋面防水工程、有防水要求的卫生间、房间和外墙面的防渗为</w:t>
      </w:r>
      <w:r>
        <w:rPr>
          <w:rFonts w:hint="eastAsia" w:ascii="宋体" w:hAnsi="宋体" w:cs="宋体"/>
          <w:color w:val="auto"/>
          <w:szCs w:val="21"/>
          <w:u w:val="single"/>
        </w:rPr>
        <w:t xml:space="preserve">  5  </w:t>
      </w:r>
      <w:r>
        <w:rPr>
          <w:rFonts w:hint="eastAsia" w:ascii="宋体" w:hAnsi="宋体" w:cs="宋体"/>
          <w:color w:val="auto"/>
          <w:szCs w:val="21"/>
        </w:rPr>
        <w:t>年；</w:t>
      </w:r>
    </w:p>
    <w:p w14:paraId="1A973EB1">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3．装修工程为</w:t>
      </w:r>
      <w:r>
        <w:rPr>
          <w:rFonts w:hint="eastAsia" w:ascii="宋体" w:hAnsi="宋体" w:cs="宋体"/>
          <w:color w:val="auto"/>
          <w:szCs w:val="21"/>
          <w:u w:val="single"/>
        </w:rPr>
        <w:t xml:space="preserve"> 2  </w:t>
      </w:r>
      <w:r>
        <w:rPr>
          <w:rFonts w:hint="eastAsia" w:ascii="宋体" w:hAnsi="宋体" w:cs="宋体"/>
          <w:color w:val="auto"/>
          <w:szCs w:val="21"/>
        </w:rPr>
        <w:t>年；</w:t>
      </w:r>
    </w:p>
    <w:p w14:paraId="2F21EAB9">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4．电气管线、给排水管道、设备安装工程为</w:t>
      </w:r>
      <w:r>
        <w:rPr>
          <w:rFonts w:hint="eastAsia" w:ascii="宋体" w:hAnsi="宋体" w:cs="宋体"/>
          <w:color w:val="auto"/>
          <w:szCs w:val="21"/>
          <w:u w:val="single"/>
        </w:rPr>
        <w:t xml:space="preserve">   2   </w:t>
      </w:r>
      <w:r>
        <w:rPr>
          <w:rFonts w:hint="eastAsia" w:ascii="宋体" w:hAnsi="宋体" w:cs="宋体"/>
          <w:color w:val="auto"/>
          <w:szCs w:val="21"/>
        </w:rPr>
        <w:t>年；</w:t>
      </w:r>
    </w:p>
    <w:p w14:paraId="6CA55657">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5．供热与供冷系统为</w:t>
      </w:r>
      <w:r>
        <w:rPr>
          <w:rFonts w:hint="eastAsia" w:ascii="宋体" w:hAnsi="宋体" w:cs="宋体"/>
          <w:color w:val="auto"/>
          <w:szCs w:val="21"/>
          <w:u w:val="single"/>
        </w:rPr>
        <w:t xml:space="preserve">     2    </w:t>
      </w:r>
      <w:r>
        <w:rPr>
          <w:rFonts w:hint="eastAsia" w:ascii="宋体" w:hAnsi="宋体" w:cs="宋体"/>
          <w:color w:val="auto"/>
          <w:szCs w:val="21"/>
        </w:rPr>
        <w:t>个采暖期、供冷期；</w:t>
      </w:r>
    </w:p>
    <w:p w14:paraId="0694B5EF">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6．住宅小区内的给排水设施、道路等配套工程为</w:t>
      </w:r>
      <w:r>
        <w:rPr>
          <w:rFonts w:hint="eastAsia" w:ascii="宋体" w:hAnsi="宋体" w:cs="宋体"/>
          <w:color w:val="auto"/>
          <w:szCs w:val="21"/>
          <w:u w:val="single"/>
        </w:rPr>
        <w:t xml:space="preserve">      2   </w:t>
      </w:r>
      <w:r>
        <w:rPr>
          <w:rFonts w:hint="eastAsia" w:ascii="宋体" w:hAnsi="宋体" w:cs="宋体"/>
          <w:color w:val="auto"/>
          <w:szCs w:val="21"/>
        </w:rPr>
        <w:t>年；</w:t>
      </w:r>
    </w:p>
    <w:p w14:paraId="36DD745D">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7．其他项目保修期限约定如下：</w:t>
      </w:r>
    </w:p>
    <w:p w14:paraId="16F5BAE9">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w:t>
      </w:r>
    </w:p>
    <w:p w14:paraId="2832DD72">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质量保修期自工程竣工验收合格之日起计算。</w:t>
      </w:r>
    </w:p>
    <w:p w14:paraId="7FCB07F1">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三、缺陷责任期</w:t>
      </w:r>
    </w:p>
    <w:p w14:paraId="2AEC0DBC">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工程缺陷责任期为</w:t>
      </w:r>
      <w:r>
        <w:rPr>
          <w:rFonts w:hint="eastAsia" w:ascii="宋体" w:hAnsi="宋体" w:cs="宋体"/>
          <w:color w:val="auto"/>
          <w:szCs w:val="21"/>
          <w:u w:val="single"/>
        </w:rPr>
        <w:t xml:space="preserve">   12  </w:t>
      </w:r>
      <w:r>
        <w:rPr>
          <w:rFonts w:hint="eastAsia" w:ascii="宋体" w:hAnsi="宋体" w:cs="宋体"/>
          <w:color w:val="auto"/>
          <w:szCs w:val="21"/>
        </w:rPr>
        <w:t>个月（最长不超过24个月），缺陷责任期自工程竣工验收合格之日起计算。单位工程先于全部工程进行验收，单位工程缺陷责任期自单位工程验收合格之日起算。</w:t>
      </w:r>
    </w:p>
    <w:p w14:paraId="7B486978">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缺陷责任期终止后，发包人应退还剩余的质量保证金。</w:t>
      </w:r>
    </w:p>
    <w:p w14:paraId="73230F50">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四、质量保修责任</w:t>
      </w:r>
    </w:p>
    <w:p w14:paraId="1143BC7B">
      <w:pPr>
        <w:pStyle w:val="274"/>
        <w:wordWrap w:val="0"/>
        <w:topLinePunct/>
        <w:spacing w:line="420" w:lineRule="exact"/>
        <w:ind w:firstLine="430" w:firstLineChars="205"/>
        <w:rPr>
          <w:rFonts w:ascii="宋体" w:hAnsi="宋体" w:cs="宋体"/>
          <w:color w:val="auto"/>
          <w:szCs w:val="21"/>
        </w:rPr>
      </w:pPr>
      <w:r>
        <w:rPr>
          <w:rFonts w:hint="eastAsia" w:ascii="宋体" w:hAnsi="宋体" w:cs="宋体"/>
          <w:color w:val="auto"/>
          <w:szCs w:val="21"/>
        </w:rPr>
        <w:t>1．属于保修范围、内容的项目，承包人应当在接到保修通知之日起</w:t>
      </w:r>
      <w:r>
        <w:rPr>
          <w:rFonts w:hint="eastAsia" w:ascii="宋体" w:hAnsi="宋体" w:cs="宋体"/>
          <w:color w:val="auto"/>
          <w:szCs w:val="21"/>
          <w:u w:val="single"/>
        </w:rPr>
        <w:t xml:space="preserve">   2 </w:t>
      </w:r>
      <w:r>
        <w:rPr>
          <w:rFonts w:hint="eastAsia" w:ascii="宋体" w:hAnsi="宋体" w:cs="宋体"/>
          <w:color w:val="auto"/>
          <w:szCs w:val="21"/>
        </w:rPr>
        <w:t>天内派人保修。承包人不在约定期限内派人保修的，发包人可以委托他人修理，修理费用从质量保修金内扣除。</w:t>
      </w:r>
    </w:p>
    <w:p w14:paraId="57F92588">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2．发生紧急事故需抢修的，承包人在接到事故通知后，应当立即到达事故现场抢修。</w:t>
      </w:r>
    </w:p>
    <w:p w14:paraId="246E3EB5">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7F9D12F">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4．质量保修完成后，由发包人组织验收。</w:t>
      </w:r>
    </w:p>
    <w:p w14:paraId="5EA8C6AA">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五、保修费用</w:t>
      </w:r>
    </w:p>
    <w:p w14:paraId="64EC4DD9">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保修费用由造成质量缺陷的责任方承担。</w:t>
      </w:r>
    </w:p>
    <w:p w14:paraId="3BD3F1B8">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 xml:space="preserve">六、双方约定的其他工程质量保修事项： </w:t>
      </w:r>
    </w:p>
    <w:p w14:paraId="34AE8283">
      <w:pPr>
        <w:pStyle w:val="274"/>
        <w:wordWrap w:val="0"/>
        <w:topLinePunct/>
        <w:spacing w:line="420" w:lineRule="exact"/>
        <w:ind w:firstLine="420" w:firstLineChars="200"/>
        <w:jc w:val="left"/>
        <w:rPr>
          <w:rFonts w:ascii="宋体" w:hAnsi="宋体" w:cs="宋体"/>
          <w:color w:val="auto"/>
          <w:szCs w:val="21"/>
        </w:rPr>
      </w:pPr>
      <w:r>
        <w:rPr>
          <w:rFonts w:hint="eastAsia" w:ascii="宋体" w:hAnsi="宋体" w:cs="宋体"/>
          <w:color w:val="auto"/>
          <w:szCs w:val="21"/>
          <w:u w:val="single"/>
        </w:rPr>
        <w:t xml:space="preserve">双方约定的其他工程质量保修事项：质量保修金比例：工程结算价的3%  </w:t>
      </w:r>
      <w:r>
        <w:rPr>
          <w:rFonts w:hint="eastAsia" w:ascii="宋体" w:hAnsi="宋体" w:cs="宋体"/>
          <w:color w:val="auto"/>
          <w:szCs w:val="21"/>
        </w:rPr>
        <w:t>。</w:t>
      </w:r>
    </w:p>
    <w:p w14:paraId="5FE9B370">
      <w:pPr>
        <w:pStyle w:val="274"/>
        <w:wordWrap w:val="0"/>
        <w:topLinePunct/>
        <w:spacing w:line="420" w:lineRule="exact"/>
        <w:ind w:firstLine="399" w:firstLineChars="190"/>
        <w:rPr>
          <w:rFonts w:ascii="宋体" w:hAnsi="宋体" w:cs="宋体"/>
          <w:color w:val="auto"/>
          <w:szCs w:val="21"/>
        </w:rPr>
      </w:pPr>
      <w:r>
        <w:rPr>
          <w:rFonts w:hint="eastAsia" w:ascii="宋体" w:hAnsi="宋体" w:cs="宋体"/>
          <w:color w:val="auto"/>
          <w:szCs w:val="21"/>
        </w:rPr>
        <w:t>工程质量保修书由发包人、承包人在工程竣工验收前共同签署，作为施工合同附件，其有效期限至保修期满。</w:t>
      </w:r>
    </w:p>
    <w:p w14:paraId="059B404D">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 xml:space="preserve"> </w:t>
      </w:r>
    </w:p>
    <w:p w14:paraId="36C062F0">
      <w:pPr>
        <w:pStyle w:val="274"/>
        <w:wordWrap w:val="0"/>
        <w:topLinePunct/>
        <w:spacing w:line="420" w:lineRule="exact"/>
        <w:rPr>
          <w:rFonts w:ascii="宋体" w:hAnsi="宋体" w:cs="宋体"/>
          <w:color w:val="auto"/>
          <w:szCs w:val="21"/>
        </w:rPr>
      </w:pPr>
      <w:r>
        <w:rPr>
          <w:rFonts w:hint="eastAsia" w:ascii="宋体" w:hAnsi="宋体" w:cs="宋体"/>
          <w:color w:val="auto"/>
          <w:szCs w:val="21"/>
        </w:rPr>
        <w:t>发包人（公章）：</w:t>
      </w:r>
      <w:r>
        <w:rPr>
          <w:rFonts w:hint="eastAsia" w:ascii="宋体" w:hAnsi="宋体" w:cs="宋体"/>
          <w:color w:val="auto"/>
          <w:szCs w:val="21"/>
          <w:u w:val="single"/>
        </w:rPr>
        <w:t xml:space="preserve">         </w:t>
      </w:r>
      <w:r>
        <w:rPr>
          <w:rFonts w:hint="eastAsia" w:ascii="宋体" w:hAnsi="宋体" w:cs="宋体"/>
          <w:color w:val="auto"/>
          <w:szCs w:val="21"/>
        </w:rPr>
        <w:t xml:space="preserve">             承包人（公章）：</w:t>
      </w:r>
      <w:r>
        <w:rPr>
          <w:rFonts w:hint="eastAsia" w:ascii="宋体" w:hAnsi="宋体" w:cs="宋体"/>
          <w:color w:val="auto"/>
          <w:szCs w:val="21"/>
          <w:u w:val="single"/>
        </w:rPr>
        <w:t>          </w:t>
      </w:r>
    </w:p>
    <w:p w14:paraId="3E208C88">
      <w:pPr>
        <w:pStyle w:val="274"/>
        <w:wordWrap w:val="0"/>
        <w:topLinePunct/>
        <w:spacing w:line="420" w:lineRule="exact"/>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      </w:t>
      </w:r>
      <w:r>
        <w:rPr>
          <w:rFonts w:hint="eastAsia" w:ascii="宋体" w:hAnsi="宋体" w:cs="宋体"/>
          <w:color w:val="auto"/>
          <w:szCs w:val="21"/>
        </w:rPr>
        <w:t xml:space="preserve">              地  址：</w:t>
      </w:r>
      <w:r>
        <w:rPr>
          <w:rFonts w:hint="eastAsia" w:ascii="宋体" w:hAnsi="宋体" w:cs="宋体"/>
          <w:color w:val="auto"/>
          <w:szCs w:val="21"/>
          <w:u w:val="single"/>
        </w:rPr>
        <w:t>      </w:t>
      </w:r>
    </w:p>
    <w:p w14:paraId="68CB0203">
      <w:pPr>
        <w:pStyle w:val="274"/>
        <w:wordWrap w:val="0"/>
        <w:topLinePunct/>
        <w:spacing w:line="420" w:lineRule="exact"/>
        <w:rPr>
          <w:rFonts w:ascii="宋体" w:hAnsi="宋体" w:cs="宋体"/>
          <w:color w:val="auto"/>
          <w:szCs w:val="21"/>
        </w:rPr>
      </w:pPr>
      <w:r>
        <w:rPr>
          <w:rFonts w:hint="eastAsia" w:ascii="宋体" w:hAnsi="宋体" w:cs="宋体"/>
          <w:color w:val="auto"/>
          <w:szCs w:val="21"/>
        </w:rPr>
        <w:t>法定代表人（签字）：</w:t>
      </w:r>
      <w:r>
        <w:rPr>
          <w:rFonts w:hint="eastAsia" w:ascii="宋体" w:hAnsi="宋体" w:cs="宋体"/>
          <w:color w:val="auto"/>
          <w:szCs w:val="21"/>
          <w:u w:val="single"/>
        </w:rPr>
        <w:t xml:space="preserve">      </w:t>
      </w:r>
      <w:r>
        <w:rPr>
          <w:rFonts w:hint="eastAsia" w:ascii="宋体" w:hAnsi="宋体" w:cs="宋体"/>
          <w:color w:val="auto"/>
          <w:szCs w:val="21"/>
        </w:rPr>
        <w:t xml:space="preserve">              法定代表人（签字）：</w:t>
      </w:r>
      <w:r>
        <w:rPr>
          <w:rFonts w:hint="eastAsia" w:ascii="宋体" w:hAnsi="宋体" w:cs="宋体"/>
          <w:color w:val="auto"/>
          <w:szCs w:val="21"/>
          <w:u w:val="single"/>
        </w:rPr>
        <w:t>     </w:t>
      </w:r>
    </w:p>
    <w:p w14:paraId="35655351">
      <w:pPr>
        <w:pStyle w:val="274"/>
        <w:wordWrap w:val="0"/>
        <w:topLinePunct/>
        <w:spacing w:line="420" w:lineRule="exact"/>
        <w:rPr>
          <w:rFonts w:ascii="宋体" w:hAnsi="宋体" w:cs="宋体"/>
          <w:color w:val="auto"/>
          <w:szCs w:val="21"/>
        </w:rPr>
      </w:pPr>
      <w:r>
        <w:rPr>
          <w:rFonts w:hint="eastAsia" w:ascii="宋体" w:hAnsi="宋体" w:cs="宋体"/>
          <w:color w:val="auto"/>
          <w:szCs w:val="21"/>
        </w:rPr>
        <w:t>委托代理人（签字）：</w:t>
      </w:r>
      <w:r>
        <w:rPr>
          <w:rFonts w:hint="eastAsia" w:ascii="宋体" w:hAnsi="宋体" w:cs="宋体"/>
          <w:color w:val="auto"/>
          <w:szCs w:val="21"/>
          <w:u w:val="single"/>
        </w:rPr>
        <w:t xml:space="preserve">      </w:t>
      </w:r>
      <w:r>
        <w:rPr>
          <w:rFonts w:hint="eastAsia" w:ascii="宋体" w:hAnsi="宋体" w:cs="宋体"/>
          <w:color w:val="auto"/>
          <w:szCs w:val="21"/>
        </w:rPr>
        <w:t xml:space="preserve">              委托代理人（签字）：</w:t>
      </w:r>
      <w:r>
        <w:rPr>
          <w:rFonts w:hint="eastAsia" w:ascii="宋体" w:hAnsi="宋体" w:cs="宋体"/>
          <w:color w:val="auto"/>
          <w:szCs w:val="21"/>
          <w:u w:val="single"/>
        </w:rPr>
        <w:t>     </w:t>
      </w:r>
    </w:p>
    <w:p w14:paraId="71E57866">
      <w:pPr>
        <w:pStyle w:val="274"/>
        <w:wordWrap w:val="0"/>
        <w:topLinePunct/>
        <w:spacing w:line="420" w:lineRule="exact"/>
        <w:rPr>
          <w:rFonts w:ascii="宋体" w:hAnsi="宋体" w:cs="宋体"/>
          <w:color w:val="auto"/>
          <w:szCs w:val="21"/>
        </w:rPr>
      </w:pPr>
      <w:r>
        <w:rPr>
          <w:rFonts w:hint="eastAsia" w:ascii="宋体" w:hAnsi="宋体" w:cs="宋体"/>
          <w:color w:val="auto"/>
          <w:szCs w:val="21"/>
        </w:rPr>
        <w:t>电  话：</w:t>
      </w:r>
      <w:r>
        <w:rPr>
          <w:rFonts w:hint="eastAsia" w:ascii="宋体" w:hAnsi="宋体" w:cs="宋体"/>
          <w:color w:val="auto"/>
          <w:szCs w:val="21"/>
          <w:u w:val="single"/>
        </w:rPr>
        <w:t xml:space="preserve">     </w:t>
      </w:r>
      <w:r>
        <w:rPr>
          <w:rFonts w:hint="eastAsia" w:ascii="宋体" w:hAnsi="宋体" w:cs="宋体"/>
          <w:color w:val="auto"/>
          <w:szCs w:val="21"/>
        </w:rPr>
        <w:t xml:space="preserve">              电  话：</w:t>
      </w:r>
      <w:r>
        <w:rPr>
          <w:rFonts w:hint="eastAsia" w:ascii="宋体" w:hAnsi="宋体" w:cs="宋体"/>
          <w:color w:val="auto"/>
          <w:szCs w:val="21"/>
          <w:u w:val="single"/>
        </w:rPr>
        <w:t>      </w:t>
      </w:r>
    </w:p>
    <w:p w14:paraId="779D99F4">
      <w:pPr>
        <w:pStyle w:val="274"/>
        <w:wordWrap w:val="0"/>
        <w:topLinePunct/>
        <w:spacing w:line="420" w:lineRule="exact"/>
        <w:rPr>
          <w:rFonts w:ascii="宋体" w:hAnsi="宋体" w:cs="宋体"/>
          <w:color w:val="auto"/>
          <w:szCs w:val="21"/>
        </w:rPr>
      </w:pPr>
      <w:r>
        <w:rPr>
          <w:rFonts w:hint="eastAsia" w:ascii="宋体" w:hAnsi="宋体" w:cs="宋体"/>
          <w:color w:val="auto"/>
          <w:szCs w:val="21"/>
        </w:rPr>
        <w:t>传  真：</w:t>
      </w:r>
      <w:r>
        <w:rPr>
          <w:rFonts w:hint="eastAsia" w:ascii="宋体" w:hAnsi="宋体" w:cs="宋体"/>
          <w:color w:val="auto"/>
          <w:szCs w:val="21"/>
          <w:u w:val="single"/>
        </w:rPr>
        <w:t xml:space="preserve">     </w:t>
      </w:r>
      <w:r>
        <w:rPr>
          <w:rFonts w:hint="eastAsia" w:ascii="宋体" w:hAnsi="宋体" w:cs="宋体"/>
          <w:color w:val="auto"/>
          <w:szCs w:val="21"/>
        </w:rPr>
        <w:t xml:space="preserve">              传  真：</w:t>
      </w:r>
      <w:r>
        <w:rPr>
          <w:rFonts w:hint="eastAsia" w:ascii="宋体" w:hAnsi="宋体" w:cs="宋体"/>
          <w:color w:val="auto"/>
          <w:szCs w:val="21"/>
          <w:u w:val="single"/>
        </w:rPr>
        <w:t>    </w:t>
      </w:r>
    </w:p>
    <w:p w14:paraId="719BACC5">
      <w:pPr>
        <w:pStyle w:val="274"/>
        <w:wordWrap w:val="0"/>
        <w:topLinePunct/>
        <w:spacing w:line="420" w:lineRule="exact"/>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r>
        <w:rPr>
          <w:rFonts w:hint="eastAsia" w:ascii="宋体" w:hAnsi="宋体" w:cs="宋体"/>
          <w:color w:val="auto"/>
          <w:szCs w:val="21"/>
        </w:rPr>
        <w:t xml:space="preserve">              开户银行：</w:t>
      </w:r>
      <w:r>
        <w:rPr>
          <w:rFonts w:hint="eastAsia" w:ascii="宋体" w:hAnsi="宋体" w:cs="宋体"/>
          <w:color w:val="auto"/>
          <w:szCs w:val="21"/>
          <w:u w:val="single"/>
        </w:rPr>
        <w:t>  </w:t>
      </w:r>
    </w:p>
    <w:p w14:paraId="315963E2">
      <w:pPr>
        <w:pStyle w:val="274"/>
        <w:wordWrap w:val="0"/>
        <w:topLinePunct/>
        <w:spacing w:line="420" w:lineRule="exact"/>
        <w:rPr>
          <w:rFonts w:ascii="宋体" w:hAnsi="宋体" w:cs="宋体"/>
          <w:color w:val="auto"/>
          <w:szCs w:val="21"/>
        </w:rPr>
      </w:pPr>
      <w:r>
        <w:rPr>
          <w:rFonts w:hint="eastAsia" w:ascii="宋体" w:hAnsi="宋体" w:cs="宋体"/>
          <w:color w:val="auto"/>
          <w:szCs w:val="21"/>
        </w:rPr>
        <w:t>账  号：</w:t>
      </w:r>
      <w:r>
        <w:rPr>
          <w:rFonts w:hint="eastAsia" w:ascii="宋体" w:hAnsi="宋体" w:cs="宋体"/>
          <w:color w:val="auto"/>
          <w:szCs w:val="21"/>
          <w:u w:val="single"/>
        </w:rPr>
        <w:t xml:space="preserve">          </w:t>
      </w:r>
      <w:r>
        <w:rPr>
          <w:rFonts w:hint="eastAsia" w:ascii="宋体" w:hAnsi="宋体" w:cs="宋体"/>
          <w:color w:val="auto"/>
          <w:szCs w:val="21"/>
        </w:rPr>
        <w:t xml:space="preserve">              账  号：</w:t>
      </w:r>
      <w:r>
        <w:rPr>
          <w:rFonts w:hint="eastAsia" w:ascii="宋体" w:hAnsi="宋体" w:cs="宋体"/>
          <w:color w:val="auto"/>
          <w:szCs w:val="21"/>
          <w:u w:val="single"/>
        </w:rPr>
        <w:t>    </w:t>
      </w:r>
    </w:p>
    <w:p w14:paraId="2CD887A5">
      <w:pPr>
        <w:pStyle w:val="274"/>
        <w:wordWrap w:val="0"/>
        <w:topLinePunct/>
        <w:spacing w:before="120" w:after="120" w:line="420" w:lineRule="exact"/>
        <w:rPr>
          <w:rFonts w:ascii="黑体" w:hAnsi="宋体" w:eastAsia="黑体"/>
          <w:color w:val="auto"/>
          <w:szCs w:val="21"/>
        </w:rPr>
      </w:pPr>
      <w:r>
        <w:rPr>
          <w:rFonts w:hint="eastAsia" w:ascii="宋体" w:hAnsi="宋体" w:cs="宋体"/>
          <w:color w:val="auto"/>
          <w:szCs w:val="21"/>
        </w:rPr>
        <w:t>邮政编码：</w:t>
      </w:r>
      <w:r>
        <w:rPr>
          <w:rFonts w:hint="eastAsia" w:ascii="宋体" w:hAnsi="宋体" w:cs="宋体"/>
          <w:color w:val="auto"/>
          <w:szCs w:val="21"/>
          <w:u w:val="single"/>
        </w:rPr>
        <w:t xml:space="preserve">       </w:t>
      </w:r>
      <w:r>
        <w:rPr>
          <w:rFonts w:hint="eastAsia" w:ascii="宋体" w:hAnsi="宋体" w:cs="宋体"/>
          <w:color w:val="auto"/>
          <w:szCs w:val="21"/>
        </w:rPr>
        <w:t xml:space="preserve">              邮政编码：</w:t>
      </w:r>
      <w:r>
        <w:rPr>
          <w:rFonts w:hint="eastAsia" w:ascii="宋体" w:hAnsi="宋体" w:cs="宋体"/>
          <w:color w:val="auto"/>
          <w:szCs w:val="21"/>
          <w:u w:val="single"/>
        </w:rPr>
        <w:t>   </w:t>
      </w:r>
      <w:r>
        <w:rPr>
          <w:rFonts w:hint="eastAsia" w:ascii="黑体" w:hAnsi="宋体" w:eastAsia="黑体"/>
          <w:color w:val="auto"/>
          <w:szCs w:val="21"/>
        </w:rPr>
        <w:t xml:space="preserve"> </w:t>
      </w:r>
    </w:p>
    <w:p w14:paraId="3A1044E4">
      <w:pPr>
        <w:pStyle w:val="24"/>
        <w:wordWrap w:val="0"/>
        <w:topLinePunct/>
        <w:jc w:val="center"/>
        <w:outlineLvl w:val="0"/>
        <w:rPr>
          <w:rFonts w:hAnsi="宋体"/>
          <w:color w:val="auto"/>
          <w:szCs w:val="21"/>
        </w:rPr>
      </w:pPr>
    </w:p>
    <w:p w14:paraId="2B823162">
      <w:pPr>
        <w:wordWrap w:val="0"/>
        <w:topLinePunct/>
        <w:jc w:val="center"/>
        <w:rPr>
          <w:rFonts w:hAnsi="宋体"/>
          <w:bCs/>
          <w:color w:val="auto"/>
          <w:sz w:val="32"/>
          <w:szCs w:val="32"/>
        </w:rPr>
      </w:pPr>
    </w:p>
    <w:p w14:paraId="58B8A0E2">
      <w:pPr>
        <w:rPr>
          <w:rFonts w:ascii="宋体" w:hAnsi="宋体" w:cs="宋体"/>
          <w:color w:val="auto"/>
        </w:rPr>
      </w:pPr>
    </w:p>
    <w:p w14:paraId="2350784B">
      <w:pPr>
        <w:pStyle w:val="24"/>
        <w:spacing w:line="360" w:lineRule="auto"/>
        <w:ind w:left="178" w:leftChars="85"/>
        <w:rPr>
          <w:rFonts w:hAnsi="宋体" w:cs="宋体"/>
          <w:color w:val="auto"/>
        </w:rPr>
      </w:pPr>
    </w:p>
    <w:p w14:paraId="483A64B8">
      <w:pPr>
        <w:pStyle w:val="24"/>
        <w:tabs>
          <w:tab w:val="left" w:pos="2472"/>
        </w:tabs>
        <w:spacing w:line="460" w:lineRule="exact"/>
        <w:ind w:firstLine="723"/>
        <w:jc w:val="center"/>
        <w:rPr>
          <w:rFonts w:hAnsi="宋体" w:cs="宋体"/>
          <w:b/>
          <w:color w:val="auto"/>
          <w:sz w:val="36"/>
        </w:rPr>
      </w:pPr>
    </w:p>
    <w:p w14:paraId="45D3BC9B">
      <w:pPr>
        <w:pStyle w:val="24"/>
        <w:tabs>
          <w:tab w:val="left" w:pos="2472"/>
        </w:tabs>
        <w:spacing w:line="460" w:lineRule="exact"/>
        <w:ind w:firstLine="723"/>
        <w:jc w:val="center"/>
        <w:rPr>
          <w:rFonts w:hAnsi="宋体" w:cs="宋体"/>
          <w:b/>
          <w:color w:val="auto"/>
          <w:sz w:val="36"/>
        </w:rPr>
      </w:pPr>
    </w:p>
    <w:p w14:paraId="6CF3DAA9">
      <w:pPr>
        <w:pStyle w:val="24"/>
        <w:tabs>
          <w:tab w:val="left" w:pos="2472"/>
        </w:tabs>
        <w:spacing w:line="460" w:lineRule="exact"/>
        <w:ind w:firstLine="723"/>
        <w:jc w:val="center"/>
        <w:rPr>
          <w:rFonts w:hAnsi="宋体" w:cs="宋体"/>
          <w:b/>
          <w:color w:val="auto"/>
          <w:sz w:val="36"/>
        </w:rPr>
      </w:pPr>
    </w:p>
    <w:p w14:paraId="42BC836D">
      <w:pPr>
        <w:pStyle w:val="24"/>
        <w:tabs>
          <w:tab w:val="left" w:pos="2472"/>
        </w:tabs>
        <w:spacing w:line="460" w:lineRule="exact"/>
        <w:ind w:firstLine="723"/>
        <w:jc w:val="center"/>
        <w:rPr>
          <w:rFonts w:hAnsi="宋体" w:cs="宋体"/>
          <w:b/>
          <w:color w:val="auto"/>
          <w:sz w:val="36"/>
        </w:rPr>
      </w:pPr>
    </w:p>
    <w:p w14:paraId="1253451B">
      <w:pPr>
        <w:pStyle w:val="24"/>
        <w:tabs>
          <w:tab w:val="left" w:pos="2472"/>
        </w:tabs>
        <w:spacing w:line="460" w:lineRule="exact"/>
        <w:ind w:firstLine="723"/>
        <w:jc w:val="center"/>
        <w:rPr>
          <w:rFonts w:hAnsi="宋体" w:cs="宋体"/>
          <w:b/>
          <w:color w:val="auto"/>
          <w:sz w:val="36"/>
        </w:rPr>
      </w:pPr>
    </w:p>
    <w:p w14:paraId="19C1A538">
      <w:pPr>
        <w:pStyle w:val="24"/>
        <w:tabs>
          <w:tab w:val="left" w:pos="2472"/>
        </w:tabs>
        <w:spacing w:line="460" w:lineRule="exact"/>
        <w:ind w:firstLine="723"/>
        <w:jc w:val="center"/>
        <w:rPr>
          <w:rFonts w:hAnsi="宋体" w:cs="宋体"/>
          <w:b/>
          <w:color w:val="auto"/>
          <w:sz w:val="36"/>
        </w:rPr>
      </w:pPr>
    </w:p>
    <w:p w14:paraId="23612505">
      <w:pPr>
        <w:pStyle w:val="24"/>
        <w:tabs>
          <w:tab w:val="left" w:pos="2472"/>
        </w:tabs>
        <w:spacing w:line="460" w:lineRule="exact"/>
        <w:ind w:firstLine="723"/>
        <w:jc w:val="center"/>
        <w:rPr>
          <w:rFonts w:hAnsi="宋体" w:cs="宋体"/>
          <w:b/>
          <w:color w:val="auto"/>
          <w:sz w:val="36"/>
        </w:rPr>
      </w:pPr>
    </w:p>
    <w:p w14:paraId="51089BE4">
      <w:pPr>
        <w:pStyle w:val="24"/>
        <w:tabs>
          <w:tab w:val="left" w:pos="2472"/>
        </w:tabs>
        <w:spacing w:line="460" w:lineRule="exact"/>
        <w:ind w:firstLine="723"/>
        <w:jc w:val="center"/>
        <w:rPr>
          <w:rFonts w:hAnsi="宋体" w:cs="宋体"/>
          <w:b/>
          <w:color w:val="auto"/>
          <w:sz w:val="36"/>
        </w:rPr>
      </w:pPr>
    </w:p>
    <w:p w14:paraId="083912A2">
      <w:pPr>
        <w:pStyle w:val="24"/>
        <w:tabs>
          <w:tab w:val="left" w:pos="2472"/>
        </w:tabs>
        <w:spacing w:line="460" w:lineRule="exact"/>
        <w:ind w:firstLine="723"/>
        <w:jc w:val="center"/>
        <w:rPr>
          <w:rFonts w:hAnsi="宋体" w:cs="宋体"/>
          <w:b/>
          <w:color w:val="auto"/>
          <w:sz w:val="36"/>
        </w:rPr>
      </w:pPr>
    </w:p>
    <w:p w14:paraId="0356FDB6">
      <w:pPr>
        <w:pStyle w:val="242"/>
        <w:wordWrap w:val="0"/>
        <w:spacing w:line="540" w:lineRule="exact"/>
        <w:ind w:firstLine="480" w:firstLineChars="200"/>
        <w:rPr>
          <w:rFonts w:ascii="宋体" w:hAnsi="宋体" w:cs="宋体"/>
          <w:bCs/>
          <w:color w:val="auto"/>
          <w:sz w:val="24"/>
          <w:szCs w:val="24"/>
        </w:rPr>
      </w:pPr>
      <w:bookmarkStart w:id="859" w:name="_Toc419321449"/>
      <w:bookmarkStart w:id="860" w:name="_Toc491277457"/>
      <w:bookmarkStart w:id="861" w:name="_Toc433988907"/>
      <w:bookmarkStart w:id="862" w:name="_Toc10780"/>
      <w:bookmarkStart w:id="863" w:name="_Toc389647395"/>
      <w:bookmarkStart w:id="864" w:name="_Toc419364536"/>
      <w:bookmarkStart w:id="865" w:name="_Toc419320413"/>
      <w:bookmarkStart w:id="866" w:name="_Toc12126"/>
      <w:bookmarkStart w:id="867" w:name="_Toc419363879"/>
      <w:bookmarkStart w:id="868" w:name="_Toc403896985"/>
    </w:p>
    <w:p w14:paraId="3A6E112C">
      <w:pPr>
        <w:pStyle w:val="242"/>
        <w:wordWrap w:val="0"/>
        <w:spacing w:line="540" w:lineRule="exact"/>
        <w:ind w:firstLine="480" w:firstLineChars="200"/>
        <w:rPr>
          <w:rFonts w:ascii="宋体" w:hAnsi="宋体" w:cs="宋体"/>
          <w:bCs/>
          <w:color w:val="auto"/>
          <w:sz w:val="24"/>
          <w:szCs w:val="24"/>
        </w:rPr>
      </w:pPr>
    </w:p>
    <w:p w14:paraId="45659447">
      <w:pPr>
        <w:pStyle w:val="242"/>
        <w:wordWrap w:val="0"/>
        <w:spacing w:line="540" w:lineRule="exact"/>
        <w:ind w:firstLine="480" w:firstLineChars="200"/>
        <w:rPr>
          <w:rFonts w:ascii="宋体" w:hAnsi="宋体" w:cs="宋体"/>
          <w:bCs/>
          <w:color w:val="auto"/>
          <w:sz w:val="24"/>
          <w:szCs w:val="24"/>
        </w:rPr>
      </w:pPr>
      <w:r>
        <w:rPr>
          <w:rFonts w:hint="eastAsia" w:ascii="宋体" w:hAnsi="宋体" w:cs="宋体"/>
          <w:bCs/>
          <w:color w:val="auto"/>
          <w:sz w:val="24"/>
          <w:szCs w:val="24"/>
        </w:rPr>
        <w:t>附件8</w:t>
      </w:r>
    </w:p>
    <w:p w14:paraId="158CFB52">
      <w:pPr>
        <w:pStyle w:val="242"/>
        <w:wordWrap w:val="0"/>
        <w:spacing w:line="540" w:lineRule="exact"/>
        <w:ind w:firstLine="602" w:firstLineChars="200"/>
        <w:jc w:val="center"/>
        <w:rPr>
          <w:rFonts w:ascii="宋体" w:hAnsi="宋体" w:cs="宋体"/>
          <w:b/>
          <w:color w:val="auto"/>
          <w:sz w:val="30"/>
          <w:szCs w:val="30"/>
        </w:rPr>
      </w:pPr>
      <w:r>
        <w:rPr>
          <w:rFonts w:hint="eastAsia" w:ascii="宋体" w:hAnsi="宋体" w:cs="宋体"/>
          <w:b/>
          <w:color w:val="auto"/>
          <w:sz w:val="30"/>
          <w:szCs w:val="30"/>
        </w:rPr>
        <w:t>廉政合同</w:t>
      </w:r>
      <w:bookmarkEnd w:id="859"/>
      <w:bookmarkEnd w:id="860"/>
      <w:bookmarkEnd w:id="861"/>
      <w:bookmarkEnd w:id="862"/>
      <w:bookmarkEnd w:id="863"/>
      <w:bookmarkEnd w:id="864"/>
      <w:bookmarkEnd w:id="865"/>
      <w:bookmarkEnd w:id="866"/>
      <w:bookmarkEnd w:id="867"/>
      <w:bookmarkEnd w:id="868"/>
    </w:p>
    <w:p w14:paraId="6C8040E5">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根据国家有关工程建设、廉政建设的规定，为做好工程建设中的党风廉政建设，保证工程建设高效优质，保证建设资金的安全和有效使用以及投资效益，建设工程的项目法人</w:t>
      </w:r>
      <w:r>
        <w:rPr>
          <w:rFonts w:hint="eastAsia" w:ascii="宋体" w:hAnsi="宋体" w:cs="宋体"/>
          <w:color w:val="auto"/>
          <w:szCs w:val="21"/>
          <w:u w:val="single"/>
        </w:rPr>
        <w:t xml:space="preserve">              </w:t>
      </w:r>
      <w:r>
        <w:rPr>
          <w:rFonts w:hint="eastAsia" w:ascii="宋体" w:hAnsi="宋体" w:cs="宋体"/>
          <w:color w:val="auto"/>
          <w:szCs w:val="21"/>
        </w:rPr>
        <w:t>（以下简称“发包人”）与总承包单位（以下简称“承包人”），特订立如下合同。</w:t>
      </w:r>
    </w:p>
    <w:p w14:paraId="1B554984">
      <w:pPr>
        <w:pStyle w:val="274"/>
        <w:wordWrap w:val="0"/>
        <w:topLinePunct/>
        <w:spacing w:line="420" w:lineRule="exact"/>
        <w:ind w:firstLine="420"/>
        <w:rPr>
          <w:rFonts w:ascii="宋体" w:hAnsi="宋体" w:cs="宋体"/>
          <w:color w:val="auto"/>
          <w:szCs w:val="21"/>
        </w:rPr>
      </w:pPr>
      <w:bookmarkStart w:id="869" w:name="_Toc419363880"/>
      <w:r>
        <w:rPr>
          <w:rFonts w:hint="eastAsia" w:ascii="宋体" w:hAnsi="宋体" w:cs="宋体"/>
          <w:color w:val="auto"/>
          <w:szCs w:val="21"/>
        </w:rPr>
        <w:t>1.甲乙双方的权利和义务</w:t>
      </w:r>
      <w:bookmarkEnd w:id="869"/>
    </w:p>
    <w:p w14:paraId="19BC2270">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（1）严格遵守党和国家的有关法律法规及中纪委监察部的有关规定。</w:t>
      </w:r>
    </w:p>
    <w:p w14:paraId="775E673D">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（2）严格执行</w:t>
      </w:r>
      <w:r>
        <w:rPr>
          <w:rFonts w:hint="eastAsia" w:ascii="宋体" w:hAnsi="宋体" w:cs="宋体"/>
          <w:color w:val="auto"/>
          <w:szCs w:val="21"/>
          <w:u w:val="single"/>
        </w:rPr>
        <w:t xml:space="preserve">       </w:t>
      </w:r>
      <w:r>
        <w:rPr>
          <w:rFonts w:hint="eastAsia" w:ascii="宋体" w:hAnsi="宋体" w:cs="宋体"/>
          <w:color w:val="auto"/>
          <w:szCs w:val="21"/>
        </w:rPr>
        <w:t>工程的合同文件，自觉按合同办事。</w:t>
      </w:r>
    </w:p>
    <w:p w14:paraId="25927278">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（3）双方的业务活动坚持公开、公正、诚信、透明的原则（法律认定的商业秘密和合同文件另有规定除外），不得损害国家和集体利益，违反工程建设管理规章制度。</w:t>
      </w:r>
    </w:p>
    <w:p w14:paraId="4F39C714">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（4）建立健全廉政制度，开展廉政教育，设立廉政告示牌，公布举报电话，监督并认真查处违法违纪行为。</w:t>
      </w:r>
    </w:p>
    <w:p w14:paraId="6523E8F2">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（5）发现对方在业务活动中有违反廉政规定的行为，有及时提醒对方纠正的权利及义务。</w:t>
      </w:r>
    </w:p>
    <w:p w14:paraId="429AAC41">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（6）发现对方严重违反本合同义务条款的行为，有向其上级有关部门举报、建议给予处理并要求告知处理结果的权利。</w:t>
      </w:r>
    </w:p>
    <w:p w14:paraId="69D90C98">
      <w:pPr>
        <w:pStyle w:val="274"/>
        <w:wordWrap w:val="0"/>
        <w:topLinePunct/>
        <w:spacing w:line="420" w:lineRule="exact"/>
        <w:ind w:firstLine="420"/>
        <w:rPr>
          <w:rFonts w:ascii="宋体" w:hAnsi="宋体" w:cs="宋体"/>
          <w:color w:val="auto"/>
          <w:szCs w:val="21"/>
        </w:rPr>
      </w:pPr>
      <w:bookmarkStart w:id="870" w:name="_Toc419363881"/>
      <w:r>
        <w:rPr>
          <w:rFonts w:hint="eastAsia" w:ascii="宋体" w:hAnsi="宋体" w:cs="宋体"/>
          <w:color w:val="auto"/>
          <w:szCs w:val="21"/>
        </w:rPr>
        <w:t>2.发包人的义务</w:t>
      </w:r>
      <w:bookmarkEnd w:id="870"/>
    </w:p>
    <w:p w14:paraId="48FBB78C">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（1）发包人及其工作人员不得索要或接受承包人的礼金、有价证券和贵重物品，不得在承包人报销任何应由发包人或发包人工作人员个人支付的费用等。</w:t>
      </w:r>
    </w:p>
    <w:p w14:paraId="047ED63F">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（2）发包人工作人员不得参加承包人安排的超标准宴请和娱乐活动；不得接受承包人提供的通讯工具、交通工具和高档办公用品等。</w:t>
      </w:r>
    </w:p>
    <w:p w14:paraId="0EC3B5E8">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（3）发包人及其工作人员不得要求或者接受承包人为其住房装修、婚丧嫁娶活动、配偶子女的工作安排以及出国出境、旅游等提供方便等。</w:t>
      </w:r>
    </w:p>
    <w:p w14:paraId="6944D088">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（4）发包人工作人及其配偶、子女不得从事与发包人工程有关的材料设备供应、工程分包、劳务等经济活动等。</w:t>
      </w:r>
    </w:p>
    <w:p w14:paraId="0D6655CC">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（5）发包人及其工作人员不得以任何理由向承包人推荐分包单位或推销材料，不得要求承包人购买合同规定外的材料和设备。</w:t>
      </w:r>
    </w:p>
    <w:p w14:paraId="152B2D62">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（6）发包人工作人员要秉公办事，不准营私舞弊，不准利用职权从事各种个人有偿中介活动和安排个人施工队伍。</w:t>
      </w:r>
    </w:p>
    <w:p w14:paraId="7C3D87D8">
      <w:pPr>
        <w:pStyle w:val="274"/>
        <w:wordWrap w:val="0"/>
        <w:topLinePunct/>
        <w:spacing w:line="420" w:lineRule="exact"/>
        <w:ind w:firstLine="420"/>
        <w:rPr>
          <w:rFonts w:ascii="宋体" w:hAnsi="宋体" w:cs="宋体"/>
          <w:color w:val="auto"/>
          <w:szCs w:val="21"/>
        </w:rPr>
      </w:pPr>
      <w:bookmarkStart w:id="871" w:name="_Toc419363882"/>
      <w:r>
        <w:rPr>
          <w:rFonts w:hint="eastAsia" w:ascii="宋体" w:hAnsi="宋体" w:cs="宋体"/>
          <w:color w:val="auto"/>
          <w:szCs w:val="21"/>
        </w:rPr>
        <w:t>3.承包人义务</w:t>
      </w:r>
      <w:bookmarkEnd w:id="871"/>
    </w:p>
    <w:p w14:paraId="4239BB22">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（1）承包人不得以任何理由向发包人及其工作人员行贿或馈赠礼金、有价证券、贵重礼品。</w:t>
      </w:r>
    </w:p>
    <w:p w14:paraId="3566B0CB">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（2）承包人不得以任何名义为发包人及其工作人员报销应由发包人单位或个人支付的任何费用。</w:t>
      </w:r>
    </w:p>
    <w:p w14:paraId="40CDD341">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（3）承包人不得以任何理由安排发包人工作人员参加超标准宴请及娱乐活动。</w:t>
      </w:r>
    </w:p>
    <w:p w14:paraId="7B18BFD9">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（4）承包人不得为发包人单位和个人购置或提供通讯工具、交通工具和高档办公用品等。</w:t>
      </w:r>
    </w:p>
    <w:p w14:paraId="61730E2D">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4.违约责任</w:t>
      </w:r>
    </w:p>
    <w:p w14:paraId="6DF7489E">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（1）发包人及其工作人员违反本合同第一、二条，按管理权限，依据有关规定给予党纪、政纪或组织处理；涉嫌犯罪的，移交司法机关追究刑事责任；给承包人单位造成经济损失的，应予以赔偿。</w:t>
      </w:r>
    </w:p>
    <w:p w14:paraId="5DB5315B">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2）承包人及其工作人员违反本合同第一、三条，按管理权限，依据有关规定给予党纪、政纪或组织处理；给发包人单位造成经济损失的，应予以赔偿；情节严重的，发包人建议工程建设主管部门给予承包人一至三年内不得进入其主管的工程建设市场的处罚。</w:t>
      </w:r>
    </w:p>
    <w:p w14:paraId="5990840C">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5.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14:paraId="4C72BC74">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6.本合同有效期为甲乙双签署之日起至该工程项目竣工验收后止。</w:t>
      </w:r>
    </w:p>
    <w:p w14:paraId="3A6467C7">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7.本合同作为       合同的附件，与工程施工合同具有同等的法律效力。</w:t>
      </w:r>
    </w:p>
    <w:p w14:paraId="6C38C2E6">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8. 本合同作为主合同附件，正本和副本份数与本合同协议书的约定相同。由双方法定代表人或其授权的代理人签署与加盖公章后生效，全部工程竣工验收后失效。</w:t>
      </w:r>
    </w:p>
    <w:p w14:paraId="1CA7F791">
      <w:pPr>
        <w:pStyle w:val="274"/>
        <w:wordWrap w:val="0"/>
        <w:topLinePunct/>
        <w:spacing w:line="420" w:lineRule="exact"/>
        <w:ind w:firstLine="420"/>
        <w:rPr>
          <w:rFonts w:ascii="宋体" w:hAnsi="宋体" w:cs="宋体"/>
          <w:color w:val="auto"/>
          <w:szCs w:val="21"/>
        </w:rPr>
      </w:pPr>
    </w:p>
    <w:p w14:paraId="6873D7D3">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发包人：                          承包人：</w:t>
      </w:r>
    </w:p>
    <w:p w14:paraId="5E588EBC">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（公章或合同专用章）              （公章或合同专用章）</w:t>
      </w:r>
    </w:p>
    <w:p w14:paraId="02B7E27C">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法定代表人：                      法定代表人：</w:t>
      </w:r>
    </w:p>
    <w:p w14:paraId="4C5F47F6">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（签字或盖章）                    （签字或盖章）　　</w:t>
      </w:r>
    </w:p>
    <w:p w14:paraId="409578C1">
      <w:pPr>
        <w:pStyle w:val="274"/>
        <w:wordWrap w:val="0"/>
        <w:topLinePunct/>
        <w:spacing w:line="420" w:lineRule="exact"/>
        <w:ind w:firstLine="420"/>
        <w:rPr>
          <w:rFonts w:ascii="宋体" w:hAnsi="宋体" w:cs="宋体"/>
          <w:color w:val="auto"/>
          <w:szCs w:val="21"/>
        </w:rPr>
      </w:pPr>
      <w:r>
        <w:rPr>
          <w:rFonts w:hint="eastAsia" w:ascii="宋体" w:hAnsi="宋体" w:cs="宋体"/>
          <w:color w:val="auto"/>
          <w:szCs w:val="21"/>
        </w:rPr>
        <w:t>地址：                             地址：</w:t>
      </w:r>
    </w:p>
    <w:p w14:paraId="5E015B56">
      <w:pPr>
        <w:pStyle w:val="274"/>
        <w:wordWrap w:val="0"/>
        <w:topLinePunct/>
        <w:spacing w:line="420" w:lineRule="exact"/>
        <w:ind w:firstLine="420"/>
        <w:rPr>
          <w:rFonts w:ascii="宋体" w:hAnsi="宋体" w:cs="宋体"/>
          <w:color w:val="auto"/>
          <w:sz w:val="32"/>
        </w:rPr>
      </w:pPr>
      <w:r>
        <w:rPr>
          <w:rFonts w:hint="eastAsia" w:ascii="宋体" w:hAnsi="宋体" w:cs="宋体"/>
          <w:color w:val="auto"/>
          <w:szCs w:val="21"/>
        </w:rPr>
        <w:t xml:space="preserve">                               日期：    年  月   日</w:t>
      </w:r>
    </w:p>
    <w:p w14:paraId="6B4ADEED">
      <w:pPr>
        <w:pStyle w:val="3"/>
        <w:spacing w:line="500" w:lineRule="exact"/>
        <w:rPr>
          <w:rFonts w:ascii="宋体" w:hAnsi="宋体" w:cs="宋体"/>
          <w:color w:val="auto"/>
          <w:sz w:val="32"/>
        </w:rPr>
      </w:pPr>
    </w:p>
    <w:bookmarkEnd w:id="149"/>
    <w:p w14:paraId="7C5A2F7B">
      <w:pPr>
        <w:rPr>
          <w:rFonts w:ascii="宋体" w:hAnsi="宋体"/>
          <w:color w:val="auto"/>
        </w:rPr>
      </w:pPr>
    </w:p>
    <w:p w14:paraId="74C37945">
      <w:pPr>
        <w:rPr>
          <w:rFonts w:ascii="宋体" w:hAnsi="宋体"/>
          <w:color w:val="auto"/>
        </w:rPr>
      </w:pPr>
    </w:p>
    <w:p w14:paraId="794BD437">
      <w:pPr>
        <w:rPr>
          <w:rFonts w:ascii="宋体" w:hAnsi="宋体"/>
          <w:color w:val="auto"/>
        </w:rPr>
      </w:pPr>
    </w:p>
    <w:p w14:paraId="6C285970">
      <w:pPr>
        <w:rPr>
          <w:rFonts w:ascii="宋体" w:hAnsi="宋体"/>
          <w:color w:val="auto"/>
        </w:rPr>
      </w:pPr>
    </w:p>
    <w:p w14:paraId="331A3AF4">
      <w:pPr>
        <w:rPr>
          <w:rFonts w:ascii="宋体" w:hAnsi="宋体"/>
          <w:color w:val="auto"/>
        </w:rPr>
      </w:pPr>
    </w:p>
    <w:p w14:paraId="06659413">
      <w:pPr>
        <w:rPr>
          <w:rFonts w:ascii="宋体" w:hAnsi="宋体"/>
          <w:color w:val="auto"/>
        </w:rPr>
      </w:pPr>
    </w:p>
    <w:p w14:paraId="36B97239">
      <w:pPr>
        <w:rPr>
          <w:rFonts w:ascii="宋体" w:hAnsi="宋体"/>
          <w:color w:val="auto"/>
        </w:rPr>
      </w:pPr>
    </w:p>
    <w:p w14:paraId="58402770">
      <w:pPr>
        <w:rPr>
          <w:rFonts w:ascii="宋体" w:hAnsi="宋体"/>
          <w:color w:val="auto"/>
        </w:rPr>
      </w:pPr>
    </w:p>
    <w:p w14:paraId="6942D846">
      <w:pPr>
        <w:rPr>
          <w:rFonts w:ascii="宋体" w:hAnsi="宋体"/>
          <w:color w:val="auto"/>
        </w:rPr>
      </w:pPr>
    </w:p>
    <w:p w14:paraId="1C6E0176">
      <w:pPr>
        <w:rPr>
          <w:rFonts w:ascii="宋体" w:hAnsi="宋体"/>
          <w:color w:val="auto"/>
        </w:rPr>
      </w:pPr>
    </w:p>
    <w:p w14:paraId="04737740">
      <w:pPr>
        <w:rPr>
          <w:rFonts w:ascii="宋体" w:hAnsi="宋体"/>
          <w:color w:val="auto"/>
        </w:rPr>
      </w:pPr>
    </w:p>
    <w:p w14:paraId="431749FE">
      <w:pPr>
        <w:rPr>
          <w:rFonts w:ascii="宋体" w:hAnsi="宋体"/>
          <w:color w:val="auto"/>
        </w:rPr>
      </w:pPr>
    </w:p>
    <w:p w14:paraId="0DA8AC9E">
      <w:pPr>
        <w:rPr>
          <w:rFonts w:ascii="宋体" w:hAnsi="宋体"/>
          <w:color w:val="auto"/>
        </w:rPr>
      </w:pPr>
    </w:p>
    <w:p w14:paraId="22543F00">
      <w:pPr>
        <w:rPr>
          <w:rFonts w:ascii="宋体" w:hAnsi="宋体"/>
          <w:color w:val="auto"/>
        </w:rPr>
      </w:pPr>
    </w:p>
    <w:p w14:paraId="3A1BAAFA">
      <w:pPr>
        <w:rPr>
          <w:rFonts w:ascii="宋体" w:hAnsi="宋体"/>
          <w:color w:val="auto"/>
        </w:rPr>
      </w:pPr>
    </w:p>
    <w:p w14:paraId="5B809EC6">
      <w:pPr>
        <w:rPr>
          <w:rFonts w:ascii="宋体" w:hAnsi="宋体"/>
          <w:color w:val="auto"/>
        </w:rPr>
      </w:pPr>
    </w:p>
    <w:p w14:paraId="0222DC89">
      <w:pPr>
        <w:rPr>
          <w:rFonts w:ascii="宋体" w:hAnsi="宋体"/>
          <w:color w:val="auto"/>
        </w:rPr>
      </w:pPr>
    </w:p>
    <w:p w14:paraId="00349797">
      <w:pPr>
        <w:pStyle w:val="3"/>
        <w:spacing w:line="500" w:lineRule="exact"/>
        <w:jc w:val="center"/>
        <w:rPr>
          <w:rFonts w:ascii="宋体" w:hAnsi="宋体" w:cs="宋体"/>
          <w:color w:val="auto"/>
          <w:sz w:val="32"/>
        </w:rPr>
      </w:pPr>
      <w:bookmarkStart w:id="872" w:name="_Toc31109"/>
      <w:r>
        <w:rPr>
          <w:rFonts w:hint="eastAsia" w:ascii="宋体" w:hAnsi="宋体" w:cs="宋体"/>
          <w:color w:val="auto"/>
          <w:sz w:val="32"/>
        </w:rPr>
        <w:t>第四章  图纸</w:t>
      </w:r>
      <w:bookmarkEnd w:id="872"/>
    </w:p>
    <w:p w14:paraId="13A2321F">
      <w:pPr>
        <w:pStyle w:val="3"/>
        <w:jc w:val="center"/>
        <w:rPr>
          <w:rFonts w:ascii="宋体" w:hAnsi="宋体"/>
          <w:color w:val="auto"/>
          <w:sz w:val="32"/>
          <w:szCs w:val="32"/>
        </w:rPr>
      </w:pPr>
      <w:bookmarkStart w:id="873" w:name="_Toc80818642"/>
      <w:bookmarkStart w:id="874" w:name="_Toc16943"/>
      <w:r>
        <w:rPr>
          <w:rFonts w:hint="eastAsia" w:ascii="宋体" w:hAnsi="宋体"/>
          <w:b w:val="0"/>
          <w:color w:val="auto"/>
          <w:sz w:val="32"/>
          <w:szCs w:val="32"/>
        </w:rPr>
        <w:t>请供应商自行到广西政府采购云平台（https://www.gcy.zfcg.gxzf.gov.cn/）下载。</w:t>
      </w:r>
      <w:bookmarkEnd w:id="873"/>
      <w:bookmarkEnd w:id="874"/>
    </w:p>
    <w:p w14:paraId="3100E317">
      <w:pPr>
        <w:rPr>
          <w:rFonts w:ascii="宋体" w:hAnsi="宋体"/>
          <w:color w:val="auto"/>
        </w:rPr>
      </w:pPr>
    </w:p>
    <w:p w14:paraId="6988E08D">
      <w:pPr>
        <w:rPr>
          <w:rFonts w:ascii="宋体" w:hAnsi="宋体"/>
          <w:color w:val="auto"/>
        </w:rPr>
      </w:pPr>
    </w:p>
    <w:p w14:paraId="12470AA7">
      <w:pPr>
        <w:rPr>
          <w:rFonts w:ascii="宋体" w:hAnsi="宋体"/>
          <w:color w:val="auto"/>
        </w:rPr>
      </w:pPr>
    </w:p>
    <w:p w14:paraId="2035B28F">
      <w:pPr>
        <w:rPr>
          <w:rFonts w:ascii="宋体" w:hAnsi="宋体"/>
          <w:color w:val="auto"/>
        </w:rPr>
      </w:pPr>
    </w:p>
    <w:p w14:paraId="3CC0A958">
      <w:pPr>
        <w:rPr>
          <w:rFonts w:ascii="宋体" w:hAnsi="宋体"/>
          <w:color w:val="auto"/>
        </w:rPr>
      </w:pPr>
    </w:p>
    <w:p w14:paraId="78A8EC2F">
      <w:pPr>
        <w:rPr>
          <w:rFonts w:ascii="宋体" w:hAnsi="宋体"/>
          <w:color w:val="auto"/>
        </w:rPr>
      </w:pPr>
    </w:p>
    <w:p w14:paraId="0E762B8E">
      <w:pPr>
        <w:rPr>
          <w:rFonts w:ascii="宋体" w:hAnsi="宋体"/>
          <w:color w:val="auto"/>
        </w:rPr>
      </w:pPr>
    </w:p>
    <w:p w14:paraId="09B6472F">
      <w:pPr>
        <w:rPr>
          <w:rFonts w:ascii="宋体" w:hAnsi="宋体"/>
          <w:color w:val="auto"/>
        </w:rPr>
      </w:pPr>
    </w:p>
    <w:p w14:paraId="2EBB9072">
      <w:pPr>
        <w:rPr>
          <w:rFonts w:ascii="宋体" w:hAnsi="宋体"/>
          <w:color w:val="auto"/>
        </w:rPr>
      </w:pPr>
    </w:p>
    <w:p w14:paraId="2D958128">
      <w:pPr>
        <w:rPr>
          <w:rFonts w:ascii="宋体" w:hAnsi="宋体"/>
          <w:color w:val="auto"/>
        </w:rPr>
      </w:pPr>
    </w:p>
    <w:p w14:paraId="1843B698">
      <w:pPr>
        <w:rPr>
          <w:rFonts w:ascii="宋体" w:hAnsi="宋体"/>
          <w:color w:val="auto"/>
        </w:rPr>
      </w:pPr>
    </w:p>
    <w:p w14:paraId="3C580609">
      <w:pPr>
        <w:rPr>
          <w:rFonts w:ascii="宋体" w:hAnsi="宋体"/>
          <w:color w:val="auto"/>
        </w:rPr>
      </w:pPr>
    </w:p>
    <w:p w14:paraId="769F1459">
      <w:pPr>
        <w:rPr>
          <w:rFonts w:ascii="宋体" w:hAnsi="宋体"/>
          <w:color w:val="auto"/>
        </w:rPr>
      </w:pPr>
    </w:p>
    <w:p w14:paraId="6B990CD2">
      <w:pPr>
        <w:rPr>
          <w:rFonts w:ascii="宋体" w:hAnsi="宋体"/>
          <w:color w:val="auto"/>
        </w:rPr>
      </w:pPr>
    </w:p>
    <w:p w14:paraId="46D274A9">
      <w:pPr>
        <w:rPr>
          <w:rFonts w:ascii="宋体" w:hAnsi="宋体"/>
          <w:color w:val="auto"/>
        </w:rPr>
      </w:pPr>
    </w:p>
    <w:p w14:paraId="3AC24363">
      <w:pPr>
        <w:rPr>
          <w:rFonts w:ascii="宋体" w:hAnsi="宋体"/>
          <w:color w:val="auto"/>
        </w:rPr>
      </w:pPr>
    </w:p>
    <w:p w14:paraId="7208D7CF">
      <w:pPr>
        <w:rPr>
          <w:rFonts w:ascii="宋体" w:hAnsi="宋体"/>
          <w:color w:val="auto"/>
        </w:rPr>
      </w:pPr>
    </w:p>
    <w:p w14:paraId="6B0A9802">
      <w:pPr>
        <w:rPr>
          <w:rFonts w:ascii="宋体" w:hAnsi="宋体"/>
          <w:color w:val="auto"/>
        </w:rPr>
      </w:pPr>
    </w:p>
    <w:p w14:paraId="317BC5E7">
      <w:pPr>
        <w:rPr>
          <w:rFonts w:ascii="宋体" w:hAnsi="宋体"/>
          <w:color w:val="auto"/>
        </w:rPr>
      </w:pPr>
    </w:p>
    <w:p w14:paraId="31C5EE51">
      <w:pPr>
        <w:rPr>
          <w:rFonts w:ascii="宋体" w:hAnsi="宋体"/>
          <w:color w:val="auto"/>
        </w:rPr>
      </w:pPr>
    </w:p>
    <w:p w14:paraId="446D867B">
      <w:pPr>
        <w:rPr>
          <w:rFonts w:ascii="宋体" w:hAnsi="宋体"/>
          <w:color w:val="auto"/>
        </w:rPr>
      </w:pPr>
    </w:p>
    <w:p w14:paraId="2412A7E2">
      <w:pPr>
        <w:rPr>
          <w:rFonts w:ascii="宋体" w:hAnsi="宋体"/>
          <w:color w:val="auto"/>
        </w:rPr>
      </w:pPr>
    </w:p>
    <w:p w14:paraId="530BC5A9">
      <w:pPr>
        <w:widowControl/>
        <w:jc w:val="left"/>
        <w:rPr>
          <w:rFonts w:ascii="宋体" w:hAnsi="宋体"/>
          <w:color w:val="auto"/>
        </w:rPr>
      </w:pPr>
      <w:r>
        <w:rPr>
          <w:rFonts w:ascii="宋体" w:hAnsi="宋体"/>
          <w:color w:val="auto"/>
        </w:rPr>
        <w:br w:type="page"/>
      </w:r>
    </w:p>
    <w:p w14:paraId="339F3C18">
      <w:pPr>
        <w:pStyle w:val="3"/>
        <w:jc w:val="center"/>
        <w:rPr>
          <w:rFonts w:ascii="宋体" w:hAnsi="宋体"/>
          <w:color w:val="auto"/>
          <w:sz w:val="32"/>
          <w:szCs w:val="32"/>
        </w:rPr>
      </w:pPr>
      <w:bookmarkStart w:id="875" w:name="_Toc13346"/>
      <w:r>
        <w:rPr>
          <w:rFonts w:hint="eastAsia" w:ascii="宋体" w:hAnsi="宋体"/>
          <w:color w:val="auto"/>
          <w:sz w:val="32"/>
          <w:szCs w:val="32"/>
        </w:rPr>
        <w:t>第五章  采购需求</w:t>
      </w:r>
      <w:bookmarkEnd w:id="875"/>
    </w:p>
    <w:p w14:paraId="68118737">
      <w:pPr>
        <w:pStyle w:val="24"/>
        <w:spacing w:line="360" w:lineRule="auto"/>
        <w:ind w:firstLine="422"/>
        <w:rPr>
          <w:b/>
          <w:bCs/>
          <w:color w:val="auto"/>
        </w:rPr>
      </w:pPr>
      <w:r>
        <w:rPr>
          <w:rFonts w:hint="eastAsia"/>
          <w:b/>
          <w:bCs/>
          <w:color w:val="auto"/>
        </w:rPr>
        <w:t>一、项目概况</w:t>
      </w:r>
    </w:p>
    <w:p w14:paraId="156FB296">
      <w:pPr>
        <w:pStyle w:val="24"/>
        <w:spacing w:line="360" w:lineRule="auto"/>
        <w:ind w:firstLine="420" w:firstLineChars="200"/>
        <w:rPr>
          <w:rFonts w:hint="eastAsia" w:eastAsia="宋体"/>
          <w:color w:val="auto"/>
          <w:lang w:eastAsia="zh-CN"/>
        </w:rPr>
      </w:pPr>
      <w:r>
        <w:rPr>
          <w:rFonts w:hint="eastAsia"/>
          <w:color w:val="auto"/>
        </w:rPr>
        <w:t>标的名称：玉林市玉州区委党校食堂楼（原玉州区图书馆）修缮改造工程</w:t>
      </w:r>
    </w:p>
    <w:p w14:paraId="7F93764B">
      <w:pPr>
        <w:pStyle w:val="24"/>
        <w:spacing w:line="360" w:lineRule="auto"/>
        <w:ind w:firstLine="420" w:firstLineChars="200"/>
        <w:rPr>
          <w:color w:val="auto"/>
        </w:rPr>
      </w:pPr>
      <w:r>
        <w:rPr>
          <w:rFonts w:hint="eastAsia"/>
          <w:color w:val="auto"/>
        </w:rPr>
        <w:t>预算金额：591042.99元</w:t>
      </w:r>
    </w:p>
    <w:p w14:paraId="0DE663EC">
      <w:pPr>
        <w:pStyle w:val="24"/>
        <w:spacing w:line="360" w:lineRule="auto"/>
        <w:ind w:firstLine="420" w:firstLineChars="200"/>
        <w:rPr>
          <w:color w:val="auto"/>
        </w:rPr>
      </w:pPr>
      <w:r>
        <w:rPr>
          <w:rFonts w:hint="eastAsia"/>
          <w:color w:val="auto"/>
        </w:rPr>
        <w:t>建设地点：玉林市玉州区委党校食堂楼（原玉州区图书馆）</w:t>
      </w:r>
    </w:p>
    <w:p w14:paraId="417A41F7">
      <w:pPr>
        <w:pStyle w:val="24"/>
        <w:spacing w:line="360" w:lineRule="auto"/>
        <w:ind w:firstLine="420" w:firstLineChars="200"/>
        <w:rPr>
          <w:color w:val="auto"/>
        </w:rPr>
      </w:pPr>
      <w:r>
        <w:rPr>
          <w:rFonts w:hint="eastAsia"/>
          <w:color w:val="auto"/>
        </w:rPr>
        <w:t>主要建设内容：本项目包含拆除工程、装饰装修工程、水电及照明安装、厨房鲜风系统安装、厨房排烟系统安装、餐梯安装等修缮内容。具体以经审图合格的设计施工图纸、工程量清单所包含的内容为准。</w:t>
      </w:r>
    </w:p>
    <w:p w14:paraId="487A8B92">
      <w:pPr>
        <w:pStyle w:val="24"/>
        <w:spacing w:line="360" w:lineRule="auto"/>
        <w:ind w:firstLine="422"/>
        <w:rPr>
          <w:b/>
          <w:bCs/>
          <w:color w:val="auto"/>
        </w:rPr>
      </w:pPr>
      <w:r>
        <w:rPr>
          <w:rFonts w:hint="eastAsia"/>
          <w:b/>
          <w:bCs/>
          <w:color w:val="auto"/>
        </w:rPr>
        <w:t>二、施工要求</w:t>
      </w:r>
    </w:p>
    <w:p w14:paraId="1869853E">
      <w:pPr>
        <w:pStyle w:val="24"/>
        <w:spacing w:line="360" w:lineRule="auto"/>
        <w:ind w:firstLine="420" w:firstLineChars="200"/>
        <w:rPr>
          <w:color w:val="auto"/>
        </w:rPr>
      </w:pPr>
      <w:r>
        <w:rPr>
          <w:rFonts w:hint="eastAsia"/>
          <w:color w:val="auto"/>
        </w:rPr>
        <w:t>（1）施工单位必须具备相应施工资质；（2）施工单位必须严格按设计图纸规范施工；（3）施工单位必须安全、文明施工；（4）工程隐蔽部分必须经设计单位、建设单位现场验收；（5）所有设备必须符合国家行业标准。</w:t>
      </w:r>
    </w:p>
    <w:p w14:paraId="146CACB1">
      <w:pPr>
        <w:pStyle w:val="24"/>
        <w:spacing w:line="360" w:lineRule="auto"/>
        <w:ind w:firstLine="422"/>
        <w:rPr>
          <w:b/>
          <w:bCs/>
          <w:color w:val="auto"/>
        </w:rPr>
      </w:pPr>
      <w:r>
        <w:rPr>
          <w:rFonts w:hint="eastAsia"/>
          <w:b/>
          <w:bCs/>
          <w:color w:val="auto"/>
        </w:rPr>
        <w:t>三、验收要求</w:t>
      </w:r>
    </w:p>
    <w:p w14:paraId="21BC1F8B">
      <w:pPr>
        <w:pStyle w:val="24"/>
        <w:spacing w:line="360" w:lineRule="auto"/>
        <w:ind w:firstLine="420" w:firstLineChars="200"/>
        <w:rPr>
          <w:color w:val="auto"/>
        </w:rPr>
      </w:pPr>
      <w:r>
        <w:rPr>
          <w:rFonts w:hint="eastAsia"/>
          <w:color w:val="auto"/>
        </w:rPr>
        <w:t>1、达到国家施工验收规范合格标准，工程验收合格。</w:t>
      </w:r>
    </w:p>
    <w:p w14:paraId="262B8908">
      <w:pPr>
        <w:pStyle w:val="24"/>
        <w:spacing w:line="360" w:lineRule="auto"/>
        <w:ind w:firstLine="422"/>
        <w:rPr>
          <w:b/>
          <w:bCs/>
          <w:color w:val="auto"/>
        </w:rPr>
      </w:pPr>
      <w:r>
        <w:rPr>
          <w:rFonts w:hint="eastAsia"/>
          <w:b/>
          <w:bCs/>
          <w:color w:val="auto"/>
        </w:rPr>
        <w:t>四、控制价文本及图纸：另册发放</w:t>
      </w:r>
    </w:p>
    <w:p w14:paraId="75534AF4">
      <w:pPr>
        <w:pStyle w:val="24"/>
        <w:spacing w:line="360" w:lineRule="auto"/>
        <w:ind w:firstLine="422"/>
        <w:rPr>
          <w:b/>
          <w:bCs/>
          <w:color w:val="auto"/>
        </w:rPr>
      </w:pPr>
      <w:r>
        <w:rPr>
          <w:rFonts w:hint="eastAsia"/>
          <w:b/>
          <w:bCs/>
          <w:color w:val="auto"/>
        </w:rPr>
        <w:t>五、商务条款</w:t>
      </w:r>
    </w:p>
    <w:p w14:paraId="74635AD7">
      <w:pPr>
        <w:pStyle w:val="24"/>
        <w:spacing w:line="360" w:lineRule="auto"/>
        <w:ind w:firstLine="420" w:firstLineChars="200"/>
        <w:rPr>
          <w:color w:val="auto"/>
        </w:rPr>
      </w:pPr>
      <w:r>
        <w:rPr>
          <w:rFonts w:hint="eastAsia"/>
          <w:color w:val="auto"/>
        </w:rPr>
        <w:t>1.要求工期（合同履行期限）：</w:t>
      </w:r>
      <w:r>
        <w:rPr>
          <w:rFonts w:hint="eastAsia"/>
          <w:color w:val="auto"/>
          <w:lang w:val="en-US" w:eastAsia="zh-CN"/>
        </w:rPr>
        <w:t>60</w:t>
      </w:r>
      <w:r>
        <w:rPr>
          <w:rFonts w:hint="eastAsia"/>
          <w:color w:val="auto"/>
        </w:rPr>
        <w:t>日历天</w:t>
      </w:r>
    </w:p>
    <w:p w14:paraId="613CBE3A">
      <w:pPr>
        <w:pStyle w:val="24"/>
        <w:spacing w:line="360" w:lineRule="auto"/>
        <w:ind w:firstLine="420" w:firstLineChars="200"/>
        <w:rPr>
          <w:color w:val="auto"/>
        </w:rPr>
      </w:pPr>
      <w:r>
        <w:rPr>
          <w:rFonts w:hint="eastAsia"/>
          <w:color w:val="auto"/>
        </w:rPr>
        <w:t>2.合同签订时间: 自成交通知书发出之日起 25 日内（最迟不能超过 25 日）</w:t>
      </w:r>
    </w:p>
    <w:p w14:paraId="4F1BC171">
      <w:pPr>
        <w:pStyle w:val="24"/>
        <w:spacing w:line="360" w:lineRule="auto"/>
        <w:ind w:firstLine="420" w:firstLineChars="200"/>
        <w:rPr>
          <w:color w:val="auto"/>
        </w:rPr>
      </w:pPr>
      <w:r>
        <w:rPr>
          <w:rFonts w:hint="eastAsia"/>
          <w:color w:val="auto"/>
        </w:rPr>
        <w:t>3.质量标准：</w:t>
      </w:r>
      <w:r>
        <w:rPr>
          <w:rFonts w:hint="eastAsia" w:ascii="宋体" w:hAnsi="宋体"/>
          <w:color w:val="auto"/>
          <w:szCs w:val="21"/>
        </w:rPr>
        <w:t>达到国家施工验收规范合格标准。</w:t>
      </w:r>
    </w:p>
    <w:p w14:paraId="7ED64FE9">
      <w:pPr>
        <w:pStyle w:val="24"/>
        <w:spacing w:line="360" w:lineRule="auto"/>
        <w:ind w:firstLine="420" w:firstLineChars="200"/>
        <w:rPr>
          <w:color w:val="auto"/>
        </w:rPr>
      </w:pPr>
      <w:r>
        <w:rPr>
          <w:rFonts w:hint="eastAsia"/>
          <w:color w:val="auto"/>
        </w:rPr>
        <w:t>4.付款方式：</w:t>
      </w:r>
    </w:p>
    <w:p w14:paraId="4045374A">
      <w:pPr>
        <w:pStyle w:val="24"/>
        <w:spacing w:line="360" w:lineRule="auto"/>
        <w:ind w:firstLine="420" w:firstLineChars="200"/>
        <w:rPr>
          <w:color w:val="auto"/>
        </w:rPr>
      </w:pPr>
      <w:r>
        <w:rPr>
          <w:color w:val="auto"/>
        </w:rPr>
        <w:t>（1）</w:t>
      </w:r>
      <w:r>
        <w:rPr>
          <w:rFonts w:hint="eastAsia"/>
          <w:color w:val="auto"/>
        </w:rPr>
        <w:t>签订合同后采购人向</w:t>
      </w:r>
      <w:r>
        <w:rPr>
          <w:rFonts w:hint="eastAsia"/>
          <w:color w:val="auto"/>
          <w:lang w:eastAsia="zh-CN"/>
        </w:rPr>
        <w:t>成交人</w:t>
      </w:r>
      <w:r>
        <w:rPr>
          <w:rFonts w:hint="eastAsia"/>
          <w:color w:val="auto"/>
        </w:rPr>
        <w:t>支付合同金额的30%预付款</w:t>
      </w:r>
      <w:r>
        <w:rPr>
          <w:color w:val="auto"/>
        </w:rPr>
        <w:t>；</w:t>
      </w:r>
      <w:r>
        <w:rPr>
          <w:color w:val="auto"/>
        </w:rPr>
        <w:br w:type="textWrapping"/>
      </w:r>
      <w:r>
        <w:rPr>
          <w:rFonts w:hint="eastAsia"/>
          <w:color w:val="auto"/>
        </w:rPr>
        <w:t xml:space="preserve">    </w:t>
      </w:r>
      <w:r>
        <w:rPr>
          <w:rFonts w:hint="eastAsia" w:hAnsi="宋体" w:cs="Courier New"/>
          <w:bCs/>
          <w:color w:val="auto"/>
          <w:spacing w:val="2"/>
          <w:szCs w:val="21"/>
        </w:rPr>
        <w:t>（2）工程款按工程进度支付，合同内进度款支付限额为已完成工程量的80%，工程变更部分进度款支付限额为已完成工程量的80%；工程完工验收达到质量要求，结算经有关部门审定后，工程款支付至结算总价的 97%；发包人按工程价款结算总额的3%预留工程质量保修金，待工程缺陷责任期满（一年）并且承包人完成缺陷修复后十个工作日内返还（无息）。</w:t>
      </w:r>
    </w:p>
    <w:p w14:paraId="5FF7D2E7">
      <w:pPr>
        <w:pStyle w:val="24"/>
        <w:spacing w:line="360" w:lineRule="auto"/>
        <w:rPr>
          <w:color w:val="auto"/>
        </w:rPr>
      </w:pPr>
    </w:p>
    <w:p w14:paraId="76FDBD23">
      <w:pPr>
        <w:spacing w:line="360" w:lineRule="auto"/>
        <w:rPr>
          <w:rFonts w:ascii="宋体" w:hAnsi="宋体"/>
          <w:color w:val="auto"/>
        </w:rPr>
      </w:pPr>
    </w:p>
    <w:p w14:paraId="4DDECFF7">
      <w:pPr>
        <w:rPr>
          <w:rFonts w:ascii="宋体" w:hAnsi="宋体"/>
          <w:color w:val="auto"/>
        </w:rPr>
      </w:pPr>
    </w:p>
    <w:p w14:paraId="5C83D848">
      <w:pPr>
        <w:rPr>
          <w:rFonts w:ascii="宋体" w:hAnsi="宋体"/>
          <w:color w:val="auto"/>
        </w:rPr>
      </w:pPr>
    </w:p>
    <w:p w14:paraId="20F742AF">
      <w:pPr>
        <w:widowControl/>
        <w:jc w:val="left"/>
        <w:rPr>
          <w:rFonts w:ascii="宋体" w:hAnsi="宋体"/>
          <w:color w:val="auto"/>
        </w:rPr>
      </w:pPr>
      <w:r>
        <w:rPr>
          <w:rFonts w:ascii="宋体" w:hAnsi="宋体"/>
          <w:color w:val="auto"/>
        </w:rPr>
        <w:br w:type="page"/>
      </w:r>
    </w:p>
    <w:p w14:paraId="5A02D24E">
      <w:pPr>
        <w:pStyle w:val="3"/>
        <w:spacing w:line="276" w:lineRule="auto"/>
        <w:jc w:val="center"/>
        <w:rPr>
          <w:rFonts w:ascii="宋体" w:hAnsi="宋体"/>
          <w:color w:val="auto"/>
          <w:sz w:val="32"/>
          <w:szCs w:val="32"/>
        </w:rPr>
      </w:pPr>
      <w:bookmarkStart w:id="876" w:name="_Toc17697"/>
      <w:r>
        <w:rPr>
          <w:rFonts w:ascii="宋体" w:hAnsi="宋体"/>
          <w:color w:val="auto"/>
          <w:sz w:val="32"/>
          <w:szCs w:val="32"/>
        </w:rPr>
        <w:t>第</w:t>
      </w:r>
      <w:r>
        <w:rPr>
          <w:rFonts w:hint="eastAsia" w:ascii="宋体" w:hAnsi="宋体"/>
          <w:color w:val="auto"/>
          <w:sz w:val="32"/>
          <w:szCs w:val="32"/>
        </w:rPr>
        <w:t>六</w:t>
      </w:r>
      <w:r>
        <w:rPr>
          <w:rFonts w:ascii="宋体" w:hAnsi="宋体"/>
          <w:color w:val="auto"/>
          <w:sz w:val="32"/>
          <w:szCs w:val="32"/>
        </w:rPr>
        <w:t>章</w:t>
      </w:r>
      <w:r>
        <w:rPr>
          <w:rFonts w:hint="eastAsia" w:ascii="宋体" w:hAnsi="宋体"/>
          <w:color w:val="auto"/>
          <w:sz w:val="32"/>
          <w:szCs w:val="32"/>
        </w:rPr>
        <w:t xml:space="preserve">  </w:t>
      </w:r>
      <w:r>
        <w:rPr>
          <w:rFonts w:ascii="宋体" w:hAnsi="宋体"/>
          <w:color w:val="auto"/>
          <w:sz w:val="32"/>
          <w:szCs w:val="32"/>
        </w:rPr>
        <w:t>工程量清单</w:t>
      </w:r>
      <w:bookmarkEnd w:id="876"/>
    </w:p>
    <w:p w14:paraId="1C779E2D">
      <w:pPr>
        <w:spacing w:line="390" w:lineRule="exact"/>
        <w:rPr>
          <w:rFonts w:ascii="宋体" w:hAnsi="宋体"/>
          <w:color w:val="auto"/>
          <w:szCs w:val="21"/>
        </w:rPr>
      </w:pPr>
      <w:bookmarkStart w:id="877" w:name="_Toc346264361"/>
    </w:p>
    <w:p w14:paraId="287631E1">
      <w:pPr>
        <w:pStyle w:val="3"/>
        <w:jc w:val="center"/>
        <w:rPr>
          <w:rFonts w:ascii="宋体" w:hAnsi="宋体"/>
          <w:color w:val="auto"/>
          <w:sz w:val="32"/>
          <w:szCs w:val="32"/>
        </w:rPr>
      </w:pPr>
      <w:bookmarkStart w:id="878" w:name="_Toc80818645"/>
      <w:bookmarkStart w:id="879" w:name="_Toc15760"/>
      <w:r>
        <w:rPr>
          <w:rFonts w:hint="eastAsia" w:ascii="宋体" w:hAnsi="宋体"/>
          <w:b w:val="0"/>
          <w:color w:val="auto"/>
          <w:sz w:val="32"/>
          <w:szCs w:val="32"/>
        </w:rPr>
        <w:t>请供应商自行到政采云平台（https://www.zcygov.cn/）下载。</w:t>
      </w:r>
      <w:bookmarkEnd w:id="878"/>
      <w:bookmarkEnd w:id="879"/>
    </w:p>
    <w:p w14:paraId="63D3FCE0">
      <w:pPr>
        <w:spacing w:line="390" w:lineRule="exact"/>
        <w:rPr>
          <w:rFonts w:ascii="宋体" w:hAnsi="宋体"/>
          <w:b/>
          <w:color w:val="auto"/>
          <w:szCs w:val="21"/>
        </w:rPr>
      </w:pPr>
    </w:p>
    <w:p w14:paraId="1B56E0E8">
      <w:pPr>
        <w:spacing w:line="390" w:lineRule="exact"/>
        <w:rPr>
          <w:rFonts w:ascii="宋体" w:hAnsi="宋体"/>
          <w:b/>
          <w:color w:val="auto"/>
          <w:szCs w:val="21"/>
        </w:rPr>
      </w:pPr>
    </w:p>
    <w:p w14:paraId="09574D6C">
      <w:pPr>
        <w:spacing w:line="390" w:lineRule="exact"/>
        <w:rPr>
          <w:rFonts w:ascii="宋体" w:hAnsi="宋体"/>
          <w:b/>
          <w:color w:val="auto"/>
          <w:szCs w:val="21"/>
        </w:rPr>
      </w:pPr>
    </w:p>
    <w:p w14:paraId="18676DAF">
      <w:pPr>
        <w:spacing w:line="390" w:lineRule="exact"/>
        <w:rPr>
          <w:rFonts w:ascii="宋体" w:hAnsi="宋体"/>
          <w:b/>
          <w:color w:val="auto"/>
          <w:szCs w:val="21"/>
        </w:rPr>
      </w:pPr>
    </w:p>
    <w:p w14:paraId="4713A118">
      <w:pPr>
        <w:spacing w:line="390" w:lineRule="exact"/>
        <w:rPr>
          <w:rFonts w:ascii="宋体" w:hAnsi="宋体"/>
          <w:b/>
          <w:color w:val="auto"/>
          <w:szCs w:val="21"/>
        </w:rPr>
      </w:pPr>
    </w:p>
    <w:p w14:paraId="59EBA044">
      <w:pPr>
        <w:spacing w:line="390" w:lineRule="exact"/>
        <w:rPr>
          <w:rFonts w:ascii="宋体" w:hAnsi="宋体"/>
          <w:b/>
          <w:color w:val="auto"/>
          <w:szCs w:val="21"/>
        </w:rPr>
      </w:pPr>
    </w:p>
    <w:p w14:paraId="06D0E328">
      <w:pPr>
        <w:spacing w:line="390" w:lineRule="exact"/>
        <w:rPr>
          <w:rFonts w:ascii="宋体" w:hAnsi="宋体"/>
          <w:b/>
          <w:color w:val="auto"/>
          <w:szCs w:val="21"/>
        </w:rPr>
      </w:pPr>
    </w:p>
    <w:p w14:paraId="381591E9">
      <w:pPr>
        <w:spacing w:line="390" w:lineRule="exact"/>
        <w:rPr>
          <w:rFonts w:ascii="宋体" w:hAnsi="宋体"/>
          <w:b/>
          <w:color w:val="auto"/>
          <w:szCs w:val="21"/>
        </w:rPr>
      </w:pPr>
    </w:p>
    <w:p w14:paraId="44C87A4B">
      <w:pPr>
        <w:spacing w:line="390" w:lineRule="exact"/>
        <w:rPr>
          <w:rFonts w:ascii="宋体" w:hAnsi="宋体"/>
          <w:b/>
          <w:color w:val="auto"/>
          <w:szCs w:val="21"/>
        </w:rPr>
      </w:pPr>
    </w:p>
    <w:p w14:paraId="424DC34B">
      <w:pPr>
        <w:spacing w:line="390" w:lineRule="exact"/>
        <w:rPr>
          <w:rFonts w:ascii="宋体" w:hAnsi="宋体"/>
          <w:b/>
          <w:color w:val="auto"/>
          <w:szCs w:val="21"/>
        </w:rPr>
      </w:pPr>
    </w:p>
    <w:p w14:paraId="34A4F01A">
      <w:pPr>
        <w:spacing w:line="390" w:lineRule="exact"/>
        <w:rPr>
          <w:rFonts w:ascii="宋体" w:hAnsi="宋体"/>
          <w:b/>
          <w:color w:val="auto"/>
          <w:szCs w:val="21"/>
        </w:rPr>
      </w:pPr>
    </w:p>
    <w:p w14:paraId="4A46B695">
      <w:pPr>
        <w:spacing w:line="390" w:lineRule="exact"/>
        <w:rPr>
          <w:rFonts w:ascii="宋体" w:hAnsi="宋体"/>
          <w:b/>
          <w:color w:val="auto"/>
          <w:szCs w:val="21"/>
        </w:rPr>
      </w:pPr>
    </w:p>
    <w:p w14:paraId="65C7AB46">
      <w:pPr>
        <w:spacing w:line="390" w:lineRule="exact"/>
        <w:rPr>
          <w:rFonts w:ascii="宋体" w:hAnsi="宋体"/>
          <w:b/>
          <w:color w:val="auto"/>
          <w:szCs w:val="21"/>
        </w:rPr>
      </w:pPr>
    </w:p>
    <w:p w14:paraId="31B90D4E">
      <w:pPr>
        <w:spacing w:line="390" w:lineRule="exact"/>
        <w:rPr>
          <w:rFonts w:ascii="宋体" w:hAnsi="宋体"/>
          <w:b/>
          <w:color w:val="auto"/>
          <w:szCs w:val="21"/>
        </w:rPr>
      </w:pPr>
    </w:p>
    <w:p w14:paraId="65003EFE">
      <w:pPr>
        <w:spacing w:line="390" w:lineRule="exact"/>
        <w:rPr>
          <w:rFonts w:ascii="宋体" w:hAnsi="宋体"/>
          <w:b/>
          <w:color w:val="auto"/>
          <w:szCs w:val="21"/>
        </w:rPr>
      </w:pPr>
    </w:p>
    <w:p w14:paraId="0CE8ED87">
      <w:pPr>
        <w:spacing w:line="390" w:lineRule="exact"/>
        <w:rPr>
          <w:rFonts w:ascii="宋体" w:hAnsi="宋体"/>
          <w:b/>
          <w:color w:val="auto"/>
          <w:szCs w:val="21"/>
        </w:rPr>
      </w:pPr>
    </w:p>
    <w:p w14:paraId="5DAC0761">
      <w:pPr>
        <w:spacing w:line="390" w:lineRule="exact"/>
        <w:rPr>
          <w:rFonts w:ascii="宋体" w:hAnsi="宋体"/>
          <w:b/>
          <w:color w:val="auto"/>
          <w:szCs w:val="21"/>
        </w:rPr>
      </w:pPr>
    </w:p>
    <w:p w14:paraId="6C9A4FD2">
      <w:pPr>
        <w:spacing w:line="390" w:lineRule="exact"/>
        <w:rPr>
          <w:rFonts w:ascii="宋体" w:hAnsi="宋体"/>
          <w:b/>
          <w:color w:val="auto"/>
          <w:szCs w:val="21"/>
        </w:rPr>
      </w:pPr>
    </w:p>
    <w:p w14:paraId="33FB4522">
      <w:pPr>
        <w:spacing w:line="390" w:lineRule="exact"/>
        <w:rPr>
          <w:rFonts w:ascii="宋体" w:hAnsi="宋体"/>
          <w:b/>
          <w:color w:val="auto"/>
          <w:szCs w:val="21"/>
        </w:rPr>
      </w:pPr>
    </w:p>
    <w:p w14:paraId="2EA9C590">
      <w:pPr>
        <w:spacing w:line="390" w:lineRule="exact"/>
        <w:rPr>
          <w:rFonts w:ascii="宋体" w:hAnsi="宋体"/>
          <w:b/>
          <w:color w:val="auto"/>
          <w:szCs w:val="21"/>
        </w:rPr>
      </w:pPr>
    </w:p>
    <w:p w14:paraId="1E009AA6">
      <w:pPr>
        <w:spacing w:line="390" w:lineRule="exact"/>
        <w:rPr>
          <w:rFonts w:ascii="宋体" w:hAnsi="宋体"/>
          <w:b/>
          <w:color w:val="auto"/>
          <w:szCs w:val="21"/>
        </w:rPr>
      </w:pPr>
    </w:p>
    <w:p w14:paraId="72BA260B">
      <w:pPr>
        <w:spacing w:line="390" w:lineRule="exact"/>
        <w:rPr>
          <w:rFonts w:ascii="宋体" w:hAnsi="宋体"/>
          <w:b/>
          <w:color w:val="auto"/>
          <w:szCs w:val="21"/>
        </w:rPr>
      </w:pPr>
    </w:p>
    <w:p w14:paraId="5C2383A9">
      <w:pPr>
        <w:spacing w:line="390" w:lineRule="exact"/>
        <w:rPr>
          <w:rFonts w:ascii="宋体" w:hAnsi="宋体"/>
          <w:b/>
          <w:color w:val="auto"/>
          <w:szCs w:val="21"/>
        </w:rPr>
      </w:pPr>
    </w:p>
    <w:p w14:paraId="57DF0ACC">
      <w:pPr>
        <w:spacing w:line="390" w:lineRule="exact"/>
        <w:rPr>
          <w:rFonts w:ascii="宋体" w:hAnsi="宋体"/>
          <w:b/>
          <w:color w:val="auto"/>
        </w:rPr>
      </w:pPr>
    </w:p>
    <w:p w14:paraId="0DBD79A8">
      <w:pPr>
        <w:spacing w:line="390" w:lineRule="exact"/>
        <w:rPr>
          <w:rFonts w:ascii="宋体" w:hAnsi="宋体"/>
          <w:b/>
          <w:color w:val="auto"/>
        </w:rPr>
      </w:pPr>
    </w:p>
    <w:p w14:paraId="24103E00">
      <w:pPr>
        <w:spacing w:line="390" w:lineRule="exact"/>
        <w:rPr>
          <w:rFonts w:ascii="宋体" w:hAnsi="宋体"/>
          <w:b/>
          <w:color w:val="auto"/>
        </w:rPr>
      </w:pPr>
    </w:p>
    <w:p w14:paraId="5FB3D83E">
      <w:pPr>
        <w:spacing w:line="390" w:lineRule="exact"/>
        <w:rPr>
          <w:rFonts w:ascii="宋体" w:hAnsi="宋体"/>
          <w:b/>
          <w:color w:val="auto"/>
        </w:rPr>
      </w:pPr>
    </w:p>
    <w:p w14:paraId="3ED8B319">
      <w:pPr>
        <w:pStyle w:val="3"/>
        <w:jc w:val="center"/>
        <w:rPr>
          <w:rFonts w:ascii="宋体" w:hAnsi="宋体"/>
          <w:color w:val="auto"/>
          <w:sz w:val="40"/>
          <w:szCs w:val="32"/>
        </w:rPr>
      </w:pPr>
      <w:bookmarkStart w:id="880" w:name="_Toc29235"/>
      <w:r>
        <w:rPr>
          <w:rFonts w:hint="eastAsia" w:ascii="宋体" w:hAnsi="宋体"/>
          <w:color w:val="auto"/>
          <w:sz w:val="40"/>
          <w:szCs w:val="32"/>
        </w:rPr>
        <w:t>第七章  响应文件格式</w:t>
      </w:r>
      <w:bookmarkEnd w:id="877"/>
      <w:bookmarkEnd w:id="880"/>
    </w:p>
    <w:p w14:paraId="4CB2F88F">
      <w:pPr>
        <w:widowControl/>
        <w:ind w:firstLine="420"/>
        <w:jc w:val="left"/>
        <w:rPr>
          <w:rFonts w:ascii="宋体" w:hAnsi="宋体"/>
          <w:color w:val="auto"/>
          <w:kern w:val="0"/>
          <w:sz w:val="24"/>
        </w:rPr>
      </w:pPr>
      <w:r>
        <w:rPr>
          <w:rFonts w:hint="eastAsia" w:ascii="宋体" w:hAnsi="宋体"/>
          <w:color w:val="auto"/>
          <w:kern w:val="0"/>
          <w:sz w:val="24"/>
        </w:rPr>
        <w:t>封面格式</w:t>
      </w:r>
    </w:p>
    <w:p w14:paraId="6D1AE588">
      <w:pPr>
        <w:widowControl/>
        <w:ind w:firstLine="420"/>
        <w:jc w:val="left"/>
        <w:rPr>
          <w:rFonts w:ascii="宋体" w:hAnsi="宋体"/>
          <w:color w:val="auto"/>
          <w:kern w:val="0"/>
          <w:sz w:val="24"/>
        </w:rPr>
      </w:pPr>
    </w:p>
    <w:p w14:paraId="6AC37164">
      <w:pPr>
        <w:widowControl/>
        <w:ind w:firstLine="420"/>
        <w:jc w:val="left"/>
        <w:rPr>
          <w:rFonts w:ascii="宋体" w:hAnsi="宋体"/>
          <w:color w:val="auto"/>
          <w:kern w:val="0"/>
          <w:sz w:val="24"/>
        </w:rPr>
      </w:pPr>
    </w:p>
    <w:p w14:paraId="6E8398C8">
      <w:pPr>
        <w:widowControl/>
        <w:jc w:val="center"/>
        <w:rPr>
          <w:rFonts w:ascii="宋体" w:hAnsi="宋体"/>
          <w:color w:val="auto"/>
          <w:kern w:val="0"/>
          <w:sz w:val="32"/>
          <w:szCs w:val="32"/>
          <w:u w:val="single"/>
        </w:rPr>
      </w:pPr>
      <w:r>
        <w:rPr>
          <w:rFonts w:hint="eastAsia" w:ascii="宋体" w:hAnsi="宋体"/>
          <w:color w:val="auto"/>
          <w:kern w:val="0"/>
          <w:sz w:val="32"/>
          <w:szCs w:val="32"/>
          <w:u w:val="single"/>
        </w:rPr>
        <w:t>玉林市玉州区委党校食堂楼（原玉州区图书馆）修缮改造工程</w:t>
      </w:r>
    </w:p>
    <w:p w14:paraId="622FAA09">
      <w:pPr>
        <w:spacing w:line="540" w:lineRule="exact"/>
        <w:ind w:firstLine="1968" w:firstLineChars="700"/>
        <w:rPr>
          <w:rFonts w:hint="eastAsia" w:ascii="宋体" w:hAnsi="宋体"/>
          <w:b/>
          <w:color w:val="auto"/>
          <w:kern w:val="0"/>
          <w:sz w:val="28"/>
          <w:szCs w:val="28"/>
        </w:rPr>
      </w:pPr>
    </w:p>
    <w:p w14:paraId="77A429D0">
      <w:pPr>
        <w:spacing w:line="540" w:lineRule="exact"/>
        <w:ind w:firstLine="1968" w:firstLineChars="700"/>
        <w:rPr>
          <w:rFonts w:ascii="宋体" w:hAnsi="宋体"/>
          <w:b/>
          <w:color w:val="auto"/>
          <w:sz w:val="28"/>
          <w:szCs w:val="28"/>
          <w:u w:val="single"/>
        </w:rPr>
      </w:pPr>
      <w:r>
        <w:rPr>
          <w:rFonts w:hint="eastAsia" w:ascii="宋体" w:hAnsi="宋体"/>
          <w:b/>
          <w:color w:val="auto"/>
          <w:kern w:val="0"/>
          <w:sz w:val="28"/>
          <w:szCs w:val="28"/>
        </w:rPr>
        <w:t>项目编号：</w:t>
      </w:r>
    </w:p>
    <w:p w14:paraId="4235804C">
      <w:pPr>
        <w:widowControl/>
        <w:ind w:firstLine="689" w:firstLineChars="245"/>
        <w:jc w:val="center"/>
        <w:rPr>
          <w:rFonts w:ascii="宋体" w:hAnsi="宋体"/>
          <w:b/>
          <w:color w:val="auto"/>
          <w:kern w:val="0"/>
          <w:sz w:val="28"/>
          <w:szCs w:val="28"/>
        </w:rPr>
      </w:pPr>
    </w:p>
    <w:p w14:paraId="473B5D9B">
      <w:pPr>
        <w:widowControl/>
        <w:ind w:firstLine="992" w:firstLineChars="310"/>
        <w:jc w:val="left"/>
        <w:rPr>
          <w:rFonts w:ascii="宋体" w:hAnsi="宋体"/>
          <w:color w:val="auto"/>
          <w:kern w:val="0"/>
          <w:sz w:val="32"/>
          <w:szCs w:val="32"/>
          <w:u w:val="single"/>
        </w:rPr>
      </w:pPr>
    </w:p>
    <w:p w14:paraId="0D385125">
      <w:pPr>
        <w:widowControl/>
        <w:ind w:firstLine="992" w:firstLineChars="310"/>
        <w:jc w:val="left"/>
        <w:rPr>
          <w:rFonts w:ascii="宋体" w:hAnsi="宋体"/>
          <w:color w:val="auto"/>
          <w:kern w:val="0"/>
          <w:sz w:val="32"/>
          <w:szCs w:val="32"/>
          <w:u w:val="single"/>
        </w:rPr>
      </w:pPr>
    </w:p>
    <w:p w14:paraId="72E1FAC7">
      <w:pPr>
        <w:widowControl/>
        <w:ind w:firstLine="992" w:firstLineChars="310"/>
        <w:jc w:val="left"/>
        <w:rPr>
          <w:rFonts w:ascii="宋体" w:hAnsi="宋体"/>
          <w:color w:val="auto"/>
          <w:kern w:val="0"/>
          <w:sz w:val="32"/>
          <w:szCs w:val="32"/>
          <w:u w:val="single"/>
        </w:rPr>
      </w:pPr>
    </w:p>
    <w:p w14:paraId="569B96BF">
      <w:pPr>
        <w:widowControl/>
        <w:jc w:val="center"/>
        <w:rPr>
          <w:rFonts w:ascii="宋体" w:hAnsi="宋体"/>
          <w:b/>
          <w:color w:val="auto"/>
          <w:kern w:val="0"/>
          <w:sz w:val="48"/>
          <w:szCs w:val="32"/>
        </w:rPr>
      </w:pPr>
      <w:r>
        <w:rPr>
          <w:rFonts w:hint="eastAsia" w:ascii="宋体" w:hAnsi="宋体"/>
          <w:b/>
          <w:color w:val="auto"/>
          <w:kern w:val="0"/>
          <w:sz w:val="48"/>
          <w:szCs w:val="32"/>
        </w:rPr>
        <w:t xml:space="preserve"> 响 应 文 件</w:t>
      </w:r>
    </w:p>
    <w:p w14:paraId="07FBF055">
      <w:pPr>
        <w:widowControl/>
        <w:ind w:firstLine="868" w:firstLineChars="310"/>
        <w:jc w:val="left"/>
        <w:rPr>
          <w:rFonts w:ascii="宋体" w:hAnsi="宋体"/>
          <w:color w:val="auto"/>
          <w:kern w:val="0"/>
          <w:sz w:val="28"/>
          <w:szCs w:val="28"/>
        </w:rPr>
      </w:pPr>
    </w:p>
    <w:p w14:paraId="1838A6D2">
      <w:pPr>
        <w:widowControl/>
        <w:jc w:val="center"/>
        <w:rPr>
          <w:rFonts w:ascii="宋体" w:hAnsi="宋体"/>
          <w:color w:val="auto"/>
          <w:kern w:val="0"/>
          <w:sz w:val="28"/>
          <w:szCs w:val="28"/>
        </w:rPr>
      </w:pPr>
    </w:p>
    <w:p w14:paraId="3B6CECBB">
      <w:pPr>
        <w:widowControl/>
        <w:jc w:val="center"/>
        <w:rPr>
          <w:rFonts w:ascii="宋体" w:hAnsi="宋体"/>
          <w:b/>
          <w:color w:val="auto"/>
          <w:kern w:val="0"/>
          <w:sz w:val="28"/>
          <w:szCs w:val="28"/>
        </w:rPr>
      </w:pPr>
      <w:r>
        <w:rPr>
          <w:rFonts w:hint="eastAsia" w:ascii="宋体" w:hAnsi="宋体"/>
          <w:b/>
          <w:color w:val="auto"/>
          <w:kern w:val="0"/>
          <w:sz w:val="28"/>
          <w:szCs w:val="28"/>
        </w:rPr>
        <w:t xml:space="preserve"> </w:t>
      </w:r>
    </w:p>
    <w:p w14:paraId="4F9CE524">
      <w:pPr>
        <w:widowControl/>
        <w:ind w:firstLine="868" w:firstLineChars="310"/>
        <w:rPr>
          <w:rFonts w:ascii="宋体" w:hAnsi="宋体"/>
          <w:color w:val="auto"/>
          <w:kern w:val="0"/>
          <w:sz w:val="28"/>
          <w:szCs w:val="28"/>
        </w:rPr>
      </w:pPr>
    </w:p>
    <w:p w14:paraId="56864565">
      <w:pPr>
        <w:widowControl/>
        <w:jc w:val="left"/>
        <w:rPr>
          <w:rFonts w:ascii="宋体" w:hAnsi="宋体"/>
          <w:color w:val="auto"/>
          <w:kern w:val="0"/>
          <w:sz w:val="20"/>
          <w:szCs w:val="20"/>
        </w:rPr>
      </w:pPr>
    </w:p>
    <w:p w14:paraId="09F56F4A">
      <w:pPr>
        <w:widowControl/>
        <w:ind w:firstLine="420"/>
        <w:jc w:val="left"/>
        <w:rPr>
          <w:rFonts w:ascii="宋体" w:hAnsi="宋体"/>
          <w:color w:val="auto"/>
          <w:kern w:val="0"/>
          <w:sz w:val="20"/>
          <w:szCs w:val="20"/>
        </w:rPr>
      </w:pPr>
    </w:p>
    <w:p w14:paraId="5E9177CF">
      <w:pPr>
        <w:widowControl/>
        <w:ind w:firstLine="420"/>
        <w:jc w:val="left"/>
        <w:rPr>
          <w:rFonts w:ascii="宋体" w:hAnsi="宋体"/>
          <w:color w:val="auto"/>
          <w:kern w:val="0"/>
          <w:sz w:val="20"/>
          <w:szCs w:val="20"/>
        </w:rPr>
      </w:pPr>
    </w:p>
    <w:p w14:paraId="51FC60B4">
      <w:pPr>
        <w:widowControl/>
        <w:ind w:firstLine="700" w:firstLineChars="249"/>
        <w:rPr>
          <w:rFonts w:ascii="宋体" w:hAnsi="宋体"/>
          <w:b/>
          <w:color w:val="auto"/>
          <w:kern w:val="0"/>
          <w:sz w:val="28"/>
          <w:szCs w:val="28"/>
          <w:u w:val="single"/>
        </w:rPr>
      </w:pPr>
      <w:r>
        <w:rPr>
          <w:rFonts w:hint="eastAsia" w:ascii="宋体" w:hAnsi="宋体"/>
          <w:b/>
          <w:color w:val="auto"/>
          <w:kern w:val="0"/>
          <w:sz w:val="28"/>
          <w:szCs w:val="28"/>
        </w:rPr>
        <w:t>供应商：</w:t>
      </w:r>
      <w:r>
        <w:rPr>
          <w:rFonts w:hint="eastAsia" w:ascii="宋体" w:hAnsi="宋体"/>
          <w:b/>
          <w:color w:val="auto"/>
          <w:kern w:val="0"/>
          <w:sz w:val="28"/>
          <w:szCs w:val="28"/>
          <w:u w:val="single"/>
        </w:rPr>
        <w:t xml:space="preserve">                                   （盖章）</w:t>
      </w:r>
    </w:p>
    <w:p w14:paraId="5402F34E">
      <w:pPr>
        <w:widowControl/>
        <w:ind w:firstLine="647" w:firstLineChars="230"/>
        <w:rPr>
          <w:rFonts w:ascii="宋体" w:hAnsi="宋体"/>
          <w:b/>
          <w:color w:val="auto"/>
          <w:kern w:val="0"/>
          <w:sz w:val="28"/>
          <w:szCs w:val="28"/>
        </w:rPr>
      </w:pPr>
    </w:p>
    <w:p w14:paraId="0984B04A">
      <w:pPr>
        <w:widowControl/>
        <w:ind w:firstLine="647" w:firstLineChars="230"/>
        <w:rPr>
          <w:rFonts w:ascii="宋体" w:hAnsi="宋体"/>
          <w:b/>
          <w:color w:val="auto"/>
          <w:kern w:val="0"/>
          <w:sz w:val="28"/>
          <w:szCs w:val="28"/>
          <w:u w:val="single"/>
        </w:rPr>
      </w:pPr>
      <w:r>
        <w:rPr>
          <w:rFonts w:hint="eastAsia" w:ascii="宋体" w:hAnsi="宋体"/>
          <w:b/>
          <w:color w:val="auto"/>
          <w:kern w:val="0"/>
          <w:sz w:val="28"/>
          <w:szCs w:val="28"/>
        </w:rPr>
        <w:t>法定代表人或其委托代理人：</w:t>
      </w:r>
      <w:r>
        <w:rPr>
          <w:rFonts w:hint="eastAsia" w:ascii="宋体" w:hAnsi="宋体"/>
          <w:b/>
          <w:color w:val="auto"/>
          <w:kern w:val="0"/>
          <w:sz w:val="28"/>
          <w:szCs w:val="28"/>
          <w:u w:val="single"/>
        </w:rPr>
        <w:t xml:space="preserve">               （签字或盖章）</w:t>
      </w:r>
    </w:p>
    <w:p w14:paraId="2C601B23">
      <w:pPr>
        <w:adjustRightInd w:val="0"/>
        <w:spacing w:line="312" w:lineRule="atLeast"/>
        <w:jc w:val="center"/>
        <w:textAlignment w:val="baseline"/>
        <w:rPr>
          <w:rFonts w:ascii="宋体" w:hAnsi="宋体"/>
          <w:b/>
          <w:color w:val="auto"/>
          <w:kern w:val="0"/>
          <w:sz w:val="28"/>
          <w:szCs w:val="28"/>
        </w:rPr>
      </w:pPr>
    </w:p>
    <w:p w14:paraId="7273F085">
      <w:pPr>
        <w:adjustRightInd w:val="0"/>
        <w:spacing w:line="312" w:lineRule="atLeast"/>
        <w:ind w:firstLine="689" w:firstLineChars="245"/>
        <w:textAlignment w:val="baseline"/>
        <w:rPr>
          <w:rFonts w:ascii="宋体" w:hAnsi="宋体"/>
          <w:b/>
          <w:color w:val="auto"/>
          <w:kern w:val="0"/>
          <w:sz w:val="28"/>
          <w:szCs w:val="28"/>
        </w:rPr>
      </w:pPr>
      <w:r>
        <w:rPr>
          <w:rFonts w:hint="eastAsia" w:ascii="宋体" w:hAnsi="宋体"/>
          <w:b/>
          <w:color w:val="auto"/>
          <w:kern w:val="0"/>
          <w:sz w:val="28"/>
          <w:szCs w:val="28"/>
        </w:rPr>
        <w:t>日期：</w:t>
      </w:r>
      <w:r>
        <w:rPr>
          <w:rFonts w:hint="eastAsia" w:ascii="宋体" w:hAnsi="宋体"/>
          <w:b/>
          <w:color w:val="auto"/>
          <w:kern w:val="0"/>
          <w:sz w:val="28"/>
          <w:szCs w:val="28"/>
          <w:u w:val="single"/>
        </w:rPr>
        <w:t xml:space="preserve">         </w:t>
      </w:r>
      <w:r>
        <w:rPr>
          <w:rFonts w:hint="eastAsia" w:ascii="宋体" w:hAnsi="宋体"/>
          <w:b/>
          <w:color w:val="auto"/>
          <w:kern w:val="0"/>
          <w:sz w:val="28"/>
          <w:szCs w:val="28"/>
        </w:rPr>
        <w:t>年</w:t>
      </w:r>
      <w:r>
        <w:rPr>
          <w:rFonts w:hint="eastAsia" w:ascii="宋体" w:hAnsi="宋体"/>
          <w:b/>
          <w:color w:val="auto"/>
          <w:kern w:val="0"/>
          <w:sz w:val="28"/>
          <w:szCs w:val="28"/>
          <w:u w:val="single"/>
        </w:rPr>
        <w:t xml:space="preserve">          </w:t>
      </w:r>
      <w:r>
        <w:rPr>
          <w:rFonts w:hint="eastAsia" w:ascii="宋体" w:hAnsi="宋体"/>
          <w:b/>
          <w:color w:val="auto"/>
          <w:kern w:val="0"/>
          <w:sz w:val="28"/>
          <w:szCs w:val="28"/>
        </w:rPr>
        <w:t>月</w:t>
      </w:r>
      <w:r>
        <w:rPr>
          <w:rFonts w:hint="eastAsia" w:ascii="宋体" w:hAnsi="宋体"/>
          <w:b/>
          <w:color w:val="auto"/>
          <w:kern w:val="0"/>
          <w:sz w:val="28"/>
          <w:szCs w:val="28"/>
          <w:u w:val="single"/>
        </w:rPr>
        <w:t xml:space="preserve">        </w:t>
      </w:r>
      <w:r>
        <w:rPr>
          <w:rFonts w:hint="eastAsia" w:ascii="宋体" w:hAnsi="宋体"/>
          <w:b/>
          <w:color w:val="auto"/>
          <w:kern w:val="0"/>
          <w:sz w:val="28"/>
          <w:szCs w:val="28"/>
        </w:rPr>
        <w:t>日</w:t>
      </w:r>
    </w:p>
    <w:p w14:paraId="68CA6B6D">
      <w:pPr>
        <w:spacing w:line="400" w:lineRule="exact"/>
        <w:jc w:val="center"/>
        <w:rPr>
          <w:rFonts w:ascii="宋体" w:hAnsi="宋体"/>
          <w:b/>
          <w:color w:val="auto"/>
          <w:sz w:val="44"/>
          <w:szCs w:val="44"/>
        </w:rPr>
      </w:pPr>
      <w:r>
        <w:rPr>
          <w:rFonts w:ascii="宋体" w:hAnsi="宋体"/>
          <w:b/>
          <w:color w:val="auto"/>
          <w:kern w:val="0"/>
          <w:szCs w:val="20"/>
        </w:rPr>
        <w:br w:type="page"/>
      </w:r>
      <w:r>
        <w:rPr>
          <w:rFonts w:hint="eastAsia" w:ascii="宋体" w:hAnsi="宋体"/>
          <w:b/>
          <w:color w:val="auto"/>
          <w:sz w:val="44"/>
          <w:szCs w:val="44"/>
        </w:rPr>
        <w:t>目  录</w:t>
      </w:r>
    </w:p>
    <w:p w14:paraId="6BD20D26">
      <w:pPr>
        <w:spacing w:line="360" w:lineRule="auto"/>
        <w:jc w:val="center"/>
        <w:rPr>
          <w:rFonts w:ascii="宋体" w:hAnsi="宋体"/>
          <w:b/>
          <w:color w:val="auto"/>
          <w:sz w:val="44"/>
          <w:szCs w:val="44"/>
        </w:rPr>
      </w:pPr>
    </w:p>
    <w:p w14:paraId="136CD6AC">
      <w:pPr>
        <w:spacing w:line="600" w:lineRule="exact"/>
        <w:ind w:firstLine="472" w:firstLineChars="196"/>
        <w:rPr>
          <w:rFonts w:ascii="宋体" w:hAnsi="宋体"/>
          <w:b/>
          <w:color w:val="auto"/>
          <w:sz w:val="24"/>
        </w:rPr>
      </w:pPr>
      <w:r>
        <w:rPr>
          <w:rFonts w:hint="eastAsia" w:ascii="宋体" w:hAnsi="宋体"/>
          <w:b/>
          <w:color w:val="auto"/>
          <w:sz w:val="24"/>
        </w:rPr>
        <w:t>一、资格文件</w:t>
      </w:r>
    </w:p>
    <w:p w14:paraId="7BDA39CB">
      <w:pPr>
        <w:snapToGrid w:val="0"/>
        <w:spacing w:line="600" w:lineRule="exact"/>
        <w:ind w:firstLine="480" w:firstLineChars="200"/>
        <w:rPr>
          <w:rFonts w:ascii="宋体" w:hAnsi="宋体"/>
          <w:bCs/>
          <w:color w:val="auto"/>
          <w:sz w:val="24"/>
        </w:rPr>
      </w:pPr>
      <w:r>
        <w:rPr>
          <w:rFonts w:hint="eastAsia" w:ascii="宋体" w:hAnsi="宋体"/>
          <w:bCs/>
          <w:color w:val="auto"/>
          <w:sz w:val="24"/>
        </w:rPr>
        <w:t>（按供应商须知第9.2条要求内容顺序编写）</w:t>
      </w:r>
    </w:p>
    <w:p w14:paraId="0AF9C76B">
      <w:pPr>
        <w:spacing w:line="600" w:lineRule="exact"/>
        <w:ind w:firstLine="472" w:firstLineChars="196"/>
        <w:rPr>
          <w:rFonts w:ascii="宋体" w:hAnsi="宋体"/>
          <w:b/>
          <w:color w:val="auto"/>
          <w:sz w:val="24"/>
        </w:rPr>
      </w:pPr>
      <w:r>
        <w:rPr>
          <w:rFonts w:hint="eastAsia" w:ascii="宋体" w:hAnsi="宋体"/>
          <w:b/>
          <w:color w:val="auto"/>
          <w:sz w:val="24"/>
        </w:rPr>
        <w:t>二、</w:t>
      </w:r>
      <w:r>
        <w:rPr>
          <w:rFonts w:ascii="宋体" w:hAnsi="宋体"/>
          <w:b/>
          <w:color w:val="auto"/>
          <w:sz w:val="24"/>
        </w:rPr>
        <w:t>商务</w:t>
      </w:r>
      <w:r>
        <w:rPr>
          <w:rFonts w:hint="eastAsia" w:ascii="宋体" w:hAnsi="宋体"/>
          <w:b/>
          <w:color w:val="auto"/>
          <w:sz w:val="24"/>
        </w:rPr>
        <w:t>技术文件</w:t>
      </w:r>
    </w:p>
    <w:p w14:paraId="28C528A2">
      <w:pPr>
        <w:snapToGrid w:val="0"/>
        <w:spacing w:line="600" w:lineRule="exact"/>
        <w:ind w:firstLine="480" w:firstLineChars="200"/>
        <w:rPr>
          <w:rFonts w:ascii="宋体" w:hAnsi="宋体"/>
          <w:bCs/>
          <w:color w:val="auto"/>
          <w:sz w:val="24"/>
        </w:rPr>
      </w:pPr>
      <w:r>
        <w:rPr>
          <w:rFonts w:hint="eastAsia" w:ascii="宋体" w:hAnsi="宋体"/>
          <w:bCs/>
          <w:color w:val="auto"/>
          <w:sz w:val="24"/>
        </w:rPr>
        <w:t>（按供应商须知第9.3条要求内容顺序编写）</w:t>
      </w:r>
    </w:p>
    <w:p w14:paraId="3B72ECA2">
      <w:pPr>
        <w:spacing w:line="600" w:lineRule="exact"/>
        <w:ind w:firstLine="472" w:firstLineChars="196"/>
        <w:rPr>
          <w:rFonts w:ascii="宋体" w:hAnsi="宋体"/>
          <w:b/>
          <w:color w:val="auto"/>
          <w:sz w:val="24"/>
        </w:rPr>
      </w:pPr>
      <w:r>
        <w:rPr>
          <w:rFonts w:hint="eastAsia" w:ascii="宋体" w:hAnsi="宋体"/>
          <w:b/>
          <w:color w:val="auto"/>
          <w:sz w:val="24"/>
        </w:rPr>
        <w:t>三、报价文件</w:t>
      </w:r>
    </w:p>
    <w:p w14:paraId="49099AD4">
      <w:pPr>
        <w:spacing w:line="600" w:lineRule="exact"/>
        <w:ind w:firstLine="470" w:firstLineChars="196"/>
        <w:rPr>
          <w:rFonts w:ascii="宋体" w:hAnsi="宋体"/>
          <w:bCs/>
          <w:color w:val="auto"/>
          <w:sz w:val="24"/>
        </w:rPr>
      </w:pPr>
      <w:r>
        <w:rPr>
          <w:rFonts w:hint="eastAsia" w:ascii="宋体" w:hAnsi="宋体"/>
          <w:bCs/>
          <w:color w:val="auto"/>
          <w:sz w:val="24"/>
        </w:rPr>
        <w:t>（按供应商须知第9.4条要求内容顺序编写）</w:t>
      </w:r>
    </w:p>
    <w:p w14:paraId="7E3C8390">
      <w:pPr>
        <w:snapToGrid w:val="0"/>
        <w:spacing w:line="600" w:lineRule="exact"/>
        <w:ind w:firstLine="552" w:firstLineChars="250"/>
        <w:rPr>
          <w:rFonts w:ascii="宋体" w:hAnsi="宋体" w:cs="宋体"/>
          <w:b/>
          <w:color w:val="auto"/>
          <w:sz w:val="22"/>
          <w:szCs w:val="21"/>
        </w:rPr>
      </w:pPr>
    </w:p>
    <w:p w14:paraId="5A691C98">
      <w:pPr>
        <w:spacing w:line="600" w:lineRule="exact"/>
        <w:rPr>
          <w:rFonts w:ascii="宋体" w:hAnsi="宋体" w:cs="宋体"/>
          <w:color w:val="auto"/>
        </w:rPr>
      </w:pPr>
    </w:p>
    <w:p w14:paraId="2C027B29">
      <w:pPr>
        <w:spacing w:line="600" w:lineRule="exact"/>
        <w:ind w:firstLine="660" w:firstLineChars="300"/>
        <w:rPr>
          <w:rFonts w:ascii="宋体" w:hAnsi="宋体" w:cs="宋体"/>
          <w:color w:val="auto"/>
          <w:sz w:val="22"/>
          <w:szCs w:val="21"/>
        </w:rPr>
      </w:pPr>
    </w:p>
    <w:p w14:paraId="67E31926">
      <w:pPr>
        <w:snapToGrid w:val="0"/>
        <w:spacing w:line="600" w:lineRule="exact"/>
        <w:ind w:firstLine="315" w:firstLineChars="150"/>
        <w:rPr>
          <w:rFonts w:ascii="宋体" w:hAnsi="宋体" w:cs="宋体"/>
          <w:color w:val="auto"/>
          <w:szCs w:val="21"/>
        </w:rPr>
      </w:pPr>
    </w:p>
    <w:p w14:paraId="22D545ED">
      <w:pPr>
        <w:snapToGrid w:val="0"/>
        <w:spacing w:line="600" w:lineRule="exact"/>
        <w:ind w:firstLine="315" w:firstLineChars="150"/>
        <w:rPr>
          <w:rFonts w:ascii="宋体" w:hAnsi="宋体" w:cs="宋体"/>
          <w:color w:val="auto"/>
          <w:szCs w:val="21"/>
        </w:rPr>
      </w:pPr>
    </w:p>
    <w:p w14:paraId="23DB8018">
      <w:pPr>
        <w:snapToGrid w:val="0"/>
        <w:spacing w:line="360" w:lineRule="auto"/>
        <w:ind w:firstLine="315" w:firstLineChars="150"/>
        <w:rPr>
          <w:rFonts w:ascii="宋体" w:hAnsi="宋体" w:cs="宋体"/>
          <w:color w:val="auto"/>
          <w:szCs w:val="21"/>
        </w:rPr>
      </w:pPr>
    </w:p>
    <w:p w14:paraId="17C21C05">
      <w:pPr>
        <w:snapToGrid w:val="0"/>
        <w:spacing w:line="360" w:lineRule="auto"/>
        <w:ind w:firstLine="315" w:firstLineChars="150"/>
        <w:rPr>
          <w:rFonts w:ascii="宋体" w:hAnsi="宋体" w:cs="宋体"/>
          <w:color w:val="auto"/>
          <w:szCs w:val="21"/>
        </w:rPr>
      </w:pPr>
    </w:p>
    <w:p w14:paraId="3D59B1FD">
      <w:pPr>
        <w:snapToGrid w:val="0"/>
        <w:spacing w:line="360" w:lineRule="auto"/>
        <w:ind w:firstLine="315" w:firstLineChars="150"/>
        <w:rPr>
          <w:rFonts w:ascii="宋体" w:hAnsi="宋体" w:cs="宋体"/>
          <w:color w:val="auto"/>
          <w:szCs w:val="21"/>
        </w:rPr>
      </w:pPr>
    </w:p>
    <w:p w14:paraId="67911200">
      <w:pPr>
        <w:snapToGrid w:val="0"/>
        <w:spacing w:line="360" w:lineRule="auto"/>
        <w:ind w:firstLine="315" w:firstLineChars="150"/>
        <w:rPr>
          <w:rFonts w:ascii="宋体" w:hAnsi="宋体" w:cs="宋体"/>
          <w:color w:val="auto"/>
          <w:szCs w:val="21"/>
        </w:rPr>
      </w:pPr>
    </w:p>
    <w:p w14:paraId="094E6FCA">
      <w:pPr>
        <w:snapToGrid w:val="0"/>
        <w:spacing w:line="360" w:lineRule="auto"/>
        <w:ind w:firstLine="315" w:firstLineChars="150"/>
        <w:rPr>
          <w:rFonts w:ascii="宋体" w:hAnsi="宋体" w:cs="宋体"/>
          <w:color w:val="auto"/>
          <w:szCs w:val="21"/>
        </w:rPr>
      </w:pPr>
    </w:p>
    <w:p w14:paraId="6D9B1C27">
      <w:pPr>
        <w:adjustRightInd w:val="0"/>
        <w:spacing w:line="360" w:lineRule="auto"/>
        <w:jc w:val="center"/>
        <w:textAlignment w:val="baseline"/>
        <w:rPr>
          <w:rFonts w:ascii="宋体" w:hAnsi="宋体"/>
          <w:b/>
          <w:color w:val="auto"/>
          <w:kern w:val="0"/>
          <w:sz w:val="32"/>
          <w:szCs w:val="20"/>
        </w:rPr>
      </w:pPr>
    </w:p>
    <w:p w14:paraId="0EBC0F3B">
      <w:pPr>
        <w:adjustRightInd w:val="0"/>
        <w:spacing w:line="360" w:lineRule="auto"/>
        <w:jc w:val="center"/>
        <w:textAlignment w:val="baseline"/>
        <w:rPr>
          <w:rFonts w:ascii="宋体" w:hAnsi="宋体"/>
          <w:b/>
          <w:color w:val="auto"/>
          <w:kern w:val="0"/>
          <w:sz w:val="32"/>
          <w:szCs w:val="20"/>
        </w:rPr>
      </w:pPr>
    </w:p>
    <w:p w14:paraId="4487DBCB">
      <w:pPr>
        <w:adjustRightInd w:val="0"/>
        <w:spacing w:line="360" w:lineRule="auto"/>
        <w:jc w:val="center"/>
        <w:textAlignment w:val="baseline"/>
        <w:rPr>
          <w:rFonts w:ascii="宋体" w:hAnsi="宋体"/>
          <w:b/>
          <w:color w:val="auto"/>
          <w:kern w:val="0"/>
          <w:sz w:val="32"/>
          <w:szCs w:val="20"/>
        </w:rPr>
      </w:pPr>
    </w:p>
    <w:p w14:paraId="22D869F6">
      <w:pPr>
        <w:adjustRightInd w:val="0"/>
        <w:spacing w:line="360" w:lineRule="auto"/>
        <w:jc w:val="center"/>
        <w:textAlignment w:val="baseline"/>
        <w:rPr>
          <w:rFonts w:ascii="宋体" w:hAnsi="宋体"/>
          <w:b/>
          <w:color w:val="auto"/>
          <w:kern w:val="0"/>
          <w:sz w:val="32"/>
          <w:szCs w:val="20"/>
        </w:rPr>
      </w:pPr>
    </w:p>
    <w:p w14:paraId="5576DD60">
      <w:pPr>
        <w:adjustRightInd w:val="0"/>
        <w:spacing w:line="360" w:lineRule="auto"/>
        <w:jc w:val="center"/>
        <w:textAlignment w:val="baseline"/>
        <w:rPr>
          <w:rFonts w:ascii="宋体" w:hAnsi="宋体"/>
          <w:b/>
          <w:color w:val="auto"/>
          <w:kern w:val="0"/>
          <w:sz w:val="32"/>
          <w:szCs w:val="20"/>
        </w:rPr>
      </w:pPr>
    </w:p>
    <w:p w14:paraId="17023082">
      <w:pPr>
        <w:adjustRightInd w:val="0"/>
        <w:spacing w:line="360" w:lineRule="auto"/>
        <w:jc w:val="center"/>
        <w:textAlignment w:val="baseline"/>
        <w:rPr>
          <w:rFonts w:ascii="宋体" w:hAnsi="宋体"/>
          <w:b/>
          <w:color w:val="auto"/>
          <w:kern w:val="0"/>
          <w:sz w:val="32"/>
          <w:szCs w:val="20"/>
        </w:rPr>
      </w:pPr>
    </w:p>
    <w:p w14:paraId="01B260F2">
      <w:pPr>
        <w:adjustRightInd w:val="0"/>
        <w:spacing w:line="360" w:lineRule="auto"/>
        <w:jc w:val="center"/>
        <w:textAlignment w:val="baseline"/>
        <w:rPr>
          <w:rFonts w:ascii="宋体" w:hAnsi="宋体"/>
          <w:b/>
          <w:color w:val="auto"/>
          <w:kern w:val="0"/>
          <w:sz w:val="32"/>
          <w:szCs w:val="20"/>
        </w:rPr>
      </w:pPr>
    </w:p>
    <w:p w14:paraId="277386B1">
      <w:pPr>
        <w:rPr>
          <w:rFonts w:ascii="宋体" w:hAnsi="宋体"/>
          <w:b/>
          <w:color w:val="auto"/>
          <w:sz w:val="24"/>
        </w:rPr>
      </w:pPr>
    </w:p>
    <w:p w14:paraId="7614A241">
      <w:pPr>
        <w:jc w:val="left"/>
        <w:rPr>
          <w:rFonts w:ascii="宋体" w:hAnsi="宋体"/>
          <w:b/>
          <w:color w:val="auto"/>
          <w:sz w:val="24"/>
        </w:rPr>
      </w:pPr>
      <w:r>
        <w:rPr>
          <w:rFonts w:hint="eastAsia" w:ascii="宋体" w:hAnsi="宋体"/>
          <w:b/>
          <w:color w:val="auto"/>
          <w:sz w:val="24"/>
        </w:rPr>
        <w:t>格式一：</w:t>
      </w:r>
    </w:p>
    <w:p w14:paraId="06AE3768">
      <w:pPr>
        <w:spacing w:line="420" w:lineRule="exact"/>
        <w:ind w:firstLine="482" w:firstLineChars="200"/>
        <w:jc w:val="left"/>
        <w:rPr>
          <w:rFonts w:ascii="宋体" w:hAnsi="宋体"/>
          <w:b/>
          <w:color w:val="auto"/>
          <w:sz w:val="24"/>
        </w:rPr>
      </w:pPr>
    </w:p>
    <w:p w14:paraId="224859E1">
      <w:pPr>
        <w:spacing w:line="420" w:lineRule="exact"/>
        <w:ind w:firstLine="482" w:firstLineChars="200"/>
        <w:jc w:val="left"/>
        <w:rPr>
          <w:rFonts w:ascii="宋体" w:hAnsi="宋体"/>
          <w:color w:val="auto"/>
          <w:sz w:val="24"/>
        </w:rPr>
      </w:pPr>
      <w:r>
        <w:rPr>
          <w:rFonts w:hint="eastAsia" w:ascii="宋体" w:hAnsi="宋体"/>
          <w:b/>
          <w:color w:val="auto"/>
          <w:sz w:val="24"/>
        </w:rPr>
        <w:t>供应商参与政府采购活动前三年在经营活动中没有重大违法记录的书面声明函</w:t>
      </w:r>
    </w:p>
    <w:p w14:paraId="4EB4DDD9">
      <w:pPr>
        <w:spacing w:line="400" w:lineRule="exact"/>
        <w:ind w:left="28" w:firstLine="452"/>
        <w:jc w:val="center"/>
        <w:rPr>
          <w:rFonts w:ascii="宋体" w:hAnsi="宋体"/>
          <w:b/>
          <w:color w:val="auto"/>
          <w:sz w:val="24"/>
        </w:rPr>
      </w:pPr>
    </w:p>
    <w:p w14:paraId="776BF20E">
      <w:pPr>
        <w:spacing w:line="400" w:lineRule="exact"/>
        <w:ind w:left="28" w:firstLine="452"/>
        <w:jc w:val="center"/>
        <w:rPr>
          <w:rFonts w:ascii="宋体" w:hAnsi="宋体"/>
          <w:b/>
          <w:color w:val="auto"/>
          <w:sz w:val="24"/>
        </w:rPr>
      </w:pPr>
    </w:p>
    <w:p w14:paraId="60717B0A">
      <w:pPr>
        <w:spacing w:line="460" w:lineRule="exact"/>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（采购人） </w:t>
      </w:r>
    </w:p>
    <w:p w14:paraId="4020CD1F">
      <w:pPr>
        <w:spacing w:line="460" w:lineRule="exact"/>
        <w:ind w:firstLine="315" w:firstLineChars="150"/>
        <w:rPr>
          <w:rFonts w:ascii="宋体" w:hAnsi="宋体"/>
          <w:color w:val="auto"/>
          <w:szCs w:val="21"/>
        </w:rPr>
      </w:pPr>
    </w:p>
    <w:p w14:paraId="0ABFA317">
      <w:pPr>
        <w:spacing w:line="460" w:lineRule="exact"/>
        <w:ind w:firstLine="315" w:firstLineChars="150"/>
        <w:rPr>
          <w:rFonts w:ascii="宋体" w:hAnsi="宋体"/>
          <w:color w:val="auto"/>
          <w:szCs w:val="21"/>
        </w:rPr>
      </w:pPr>
      <w:r>
        <w:rPr>
          <w:rFonts w:hint="eastAsia" w:ascii="宋体" w:hAnsi="宋体"/>
          <w:color w:val="auto"/>
          <w:szCs w:val="21"/>
        </w:rPr>
        <w:t>我单位近三年在经营活动中没有重大违法记录（包括：因违法经营受到刑事处罚或者责令停产停业，吊销许可证或者执照、较大数额罚款等行政处罚），特此声明。</w:t>
      </w:r>
    </w:p>
    <w:p w14:paraId="7D817F5A">
      <w:pPr>
        <w:spacing w:line="460" w:lineRule="exact"/>
        <w:ind w:firstLine="315" w:firstLineChars="150"/>
        <w:rPr>
          <w:rFonts w:ascii="宋体" w:hAnsi="宋体"/>
          <w:color w:val="auto"/>
          <w:szCs w:val="21"/>
        </w:rPr>
      </w:pPr>
      <w:r>
        <w:rPr>
          <w:rFonts w:hint="eastAsia" w:ascii="宋体" w:hAnsi="宋体"/>
          <w:color w:val="auto"/>
          <w:szCs w:val="21"/>
        </w:rPr>
        <w:t>若采购单位在本项目采购过程中发现我单位近三年内在经营活动中有重大违法记录，我单位将无条件地退出本项目的磋商，并承担因此引起的一切后果。</w:t>
      </w:r>
    </w:p>
    <w:p w14:paraId="19D26AD9">
      <w:pPr>
        <w:spacing w:line="460" w:lineRule="exact"/>
        <w:ind w:firstLine="315" w:firstLineChars="150"/>
        <w:rPr>
          <w:rFonts w:ascii="宋体" w:hAnsi="宋体"/>
          <w:color w:val="auto"/>
          <w:szCs w:val="21"/>
        </w:rPr>
      </w:pPr>
    </w:p>
    <w:p w14:paraId="111F613F">
      <w:pPr>
        <w:spacing w:line="360" w:lineRule="exact"/>
        <w:rPr>
          <w:rFonts w:ascii="宋体" w:hAnsi="宋体"/>
          <w:color w:val="auto"/>
          <w:szCs w:val="21"/>
        </w:rPr>
      </w:pPr>
    </w:p>
    <w:p w14:paraId="1D1B5EA1">
      <w:pPr>
        <w:spacing w:line="360" w:lineRule="exact"/>
        <w:ind w:firstLine="315" w:firstLineChars="150"/>
        <w:rPr>
          <w:rFonts w:ascii="宋体" w:hAnsi="宋体"/>
          <w:color w:val="auto"/>
          <w:szCs w:val="21"/>
        </w:rPr>
      </w:pPr>
      <w:r>
        <w:rPr>
          <w:rFonts w:hint="eastAsia" w:ascii="宋体" w:hAnsi="宋体"/>
          <w:color w:val="auto"/>
          <w:szCs w:val="21"/>
        </w:rPr>
        <w:t>供应商（电子签章）：</w:t>
      </w:r>
      <w:r>
        <w:rPr>
          <w:rFonts w:hint="eastAsia" w:ascii="宋体" w:hAnsi="宋体"/>
          <w:color w:val="auto"/>
          <w:szCs w:val="21"/>
          <w:u w:val="single"/>
        </w:rPr>
        <w:t xml:space="preserve">                  </w:t>
      </w:r>
      <w:r>
        <w:rPr>
          <w:rFonts w:hint="eastAsia" w:ascii="宋体" w:hAnsi="宋体"/>
          <w:color w:val="auto"/>
          <w:szCs w:val="21"/>
        </w:rPr>
        <w:t xml:space="preserve">     </w:t>
      </w:r>
    </w:p>
    <w:p w14:paraId="60466104">
      <w:pPr>
        <w:spacing w:line="360" w:lineRule="exact"/>
        <w:ind w:firstLine="315" w:firstLineChars="150"/>
        <w:rPr>
          <w:rFonts w:ascii="宋体" w:hAnsi="宋体"/>
          <w:color w:val="auto"/>
          <w:szCs w:val="21"/>
        </w:rPr>
      </w:pPr>
      <w:r>
        <w:rPr>
          <w:rFonts w:hint="eastAsia" w:ascii="宋体" w:hAnsi="宋体"/>
          <w:color w:val="auto"/>
          <w:szCs w:val="21"/>
        </w:rPr>
        <w:t xml:space="preserve"> </w:t>
      </w:r>
    </w:p>
    <w:p w14:paraId="5B08872D">
      <w:pPr>
        <w:spacing w:line="360" w:lineRule="exact"/>
        <w:ind w:firstLine="315" w:firstLineChars="150"/>
        <w:rPr>
          <w:rFonts w:ascii="宋体" w:hAnsi="宋体"/>
          <w:color w:val="auto"/>
          <w:szCs w:val="21"/>
        </w:rPr>
      </w:pPr>
      <w:r>
        <w:rPr>
          <w:rFonts w:hint="eastAsia" w:ascii="宋体" w:hAnsi="宋体"/>
          <w:color w:val="auto"/>
          <w:szCs w:val="21"/>
        </w:rPr>
        <w:t>法定代表人或授权委托代理人（签字）：</w:t>
      </w:r>
      <w:r>
        <w:rPr>
          <w:rFonts w:hint="eastAsia" w:ascii="宋体" w:hAnsi="宋体"/>
          <w:color w:val="auto"/>
          <w:szCs w:val="21"/>
          <w:u w:val="single"/>
        </w:rPr>
        <w:t xml:space="preserve">                  </w:t>
      </w:r>
      <w:r>
        <w:rPr>
          <w:rFonts w:hint="eastAsia" w:ascii="宋体" w:hAnsi="宋体"/>
          <w:color w:val="auto"/>
          <w:szCs w:val="21"/>
        </w:rPr>
        <w:t xml:space="preserve"> </w:t>
      </w:r>
    </w:p>
    <w:p w14:paraId="0DB0C682">
      <w:pPr>
        <w:spacing w:line="360" w:lineRule="exact"/>
        <w:ind w:firstLine="315" w:firstLineChars="150"/>
        <w:rPr>
          <w:rFonts w:ascii="宋体" w:hAnsi="宋体"/>
          <w:color w:val="auto"/>
          <w:szCs w:val="21"/>
        </w:rPr>
      </w:pPr>
    </w:p>
    <w:p w14:paraId="2206160C">
      <w:pPr>
        <w:spacing w:line="360" w:lineRule="exact"/>
        <w:ind w:firstLine="315" w:firstLineChars="150"/>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p>
    <w:p w14:paraId="013C467E">
      <w:pPr>
        <w:jc w:val="center"/>
        <w:rPr>
          <w:rFonts w:ascii="宋体" w:hAnsi="宋体"/>
          <w:b/>
          <w:color w:val="auto"/>
          <w:sz w:val="24"/>
        </w:rPr>
      </w:pPr>
    </w:p>
    <w:p w14:paraId="763492CC">
      <w:pPr>
        <w:jc w:val="center"/>
        <w:rPr>
          <w:rFonts w:ascii="宋体" w:hAnsi="宋体"/>
          <w:b/>
          <w:color w:val="auto"/>
          <w:sz w:val="24"/>
        </w:rPr>
      </w:pPr>
    </w:p>
    <w:p w14:paraId="27D51EA0">
      <w:pPr>
        <w:jc w:val="center"/>
        <w:rPr>
          <w:rFonts w:ascii="宋体" w:hAnsi="宋体"/>
          <w:b/>
          <w:color w:val="auto"/>
          <w:sz w:val="24"/>
        </w:rPr>
      </w:pPr>
    </w:p>
    <w:p w14:paraId="423423D9">
      <w:pPr>
        <w:jc w:val="center"/>
        <w:rPr>
          <w:rFonts w:ascii="宋体" w:hAnsi="宋体"/>
          <w:b/>
          <w:color w:val="auto"/>
          <w:sz w:val="24"/>
        </w:rPr>
      </w:pPr>
    </w:p>
    <w:p w14:paraId="711CCC13">
      <w:pPr>
        <w:jc w:val="center"/>
        <w:rPr>
          <w:rFonts w:ascii="宋体" w:hAnsi="宋体"/>
          <w:b/>
          <w:color w:val="auto"/>
          <w:sz w:val="24"/>
        </w:rPr>
      </w:pPr>
    </w:p>
    <w:p w14:paraId="3F1866CD">
      <w:pPr>
        <w:jc w:val="center"/>
        <w:rPr>
          <w:rFonts w:ascii="宋体" w:hAnsi="宋体"/>
          <w:b/>
          <w:color w:val="auto"/>
          <w:sz w:val="24"/>
        </w:rPr>
      </w:pPr>
    </w:p>
    <w:p w14:paraId="79F5B7D9">
      <w:pPr>
        <w:jc w:val="center"/>
        <w:rPr>
          <w:rFonts w:ascii="宋体" w:hAnsi="宋体"/>
          <w:b/>
          <w:color w:val="auto"/>
          <w:sz w:val="24"/>
        </w:rPr>
      </w:pPr>
    </w:p>
    <w:p w14:paraId="2B914328">
      <w:pPr>
        <w:jc w:val="center"/>
        <w:rPr>
          <w:rFonts w:ascii="宋体" w:hAnsi="宋体"/>
          <w:b/>
          <w:color w:val="auto"/>
          <w:sz w:val="24"/>
        </w:rPr>
      </w:pPr>
    </w:p>
    <w:p w14:paraId="35DCDCDD">
      <w:pPr>
        <w:jc w:val="center"/>
        <w:rPr>
          <w:rFonts w:ascii="宋体" w:hAnsi="宋体"/>
          <w:b/>
          <w:color w:val="auto"/>
          <w:sz w:val="24"/>
        </w:rPr>
      </w:pPr>
    </w:p>
    <w:p w14:paraId="5104DA13">
      <w:pPr>
        <w:jc w:val="center"/>
        <w:rPr>
          <w:rFonts w:ascii="宋体" w:hAnsi="宋体"/>
          <w:b/>
          <w:color w:val="auto"/>
          <w:sz w:val="24"/>
        </w:rPr>
      </w:pPr>
    </w:p>
    <w:p w14:paraId="4165F847">
      <w:pPr>
        <w:jc w:val="center"/>
        <w:rPr>
          <w:rFonts w:ascii="宋体" w:hAnsi="宋体"/>
          <w:b/>
          <w:color w:val="auto"/>
          <w:sz w:val="24"/>
        </w:rPr>
      </w:pPr>
    </w:p>
    <w:p w14:paraId="40457CFE">
      <w:pPr>
        <w:jc w:val="center"/>
        <w:rPr>
          <w:rFonts w:ascii="宋体" w:hAnsi="宋体"/>
          <w:b/>
          <w:color w:val="auto"/>
          <w:sz w:val="24"/>
        </w:rPr>
      </w:pPr>
    </w:p>
    <w:p w14:paraId="2917D858">
      <w:pPr>
        <w:jc w:val="center"/>
        <w:rPr>
          <w:rFonts w:ascii="宋体" w:hAnsi="宋体"/>
          <w:b/>
          <w:color w:val="auto"/>
          <w:sz w:val="24"/>
        </w:rPr>
      </w:pPr>
    </w:p>
    <w:p w14:paraId="15174675">
      <w:pPr>
        <w:jc w:val="center"/>
        <w:rPr>
          <w:rFonts w:ascii="宋体" w:hAnsi="宋体"/>
          <w:b/>
          <w:color w:val="auto"/>
          <w:sz w:val="24"/>
        </w:rPr>
      </w:pPr>
    </w:p>
    <w:p w14:paraId="7E3156CB">
      <w:pPr>
        <w:jc w:val="center"/>
        <w:rPr>
          <w:rFonts w:ascii="宋体" w:hAnsi="宋体"/>
          <w:b/>
          <w:color w:val="auto"/>
          <w:sz w:val="24"/>
        </w:rPr>
      </w:pPr>
    </w:p>
    <w:p w14:paraId="409568F2">
      <w:pPr>
        <w:jc w:val="center"/>
        <w:rPr>
          <w:rFonts w:ascii="宋体" w:hAnsi="宋体"/>
          <w:b/>
          <w:color w:val="auto"/>
          <w:sz w:val="24"/>
        </w:rPr>
      </w:pPr>
    </w:p>
    <w:p w14:paraId="1D06F9DA">
      <w:pPr>
        <w:jc w:val="center"/>
        <w:rPr>
          <w:rFonts w:ascii="宋体" w:hAnsi="宋体"/>
          <w:b/>
          <w:color w:val="auto"/>
          <w:sz w:val="24"/>
        </w:rPr>
      </w:pPr>
    </w:p>
    <w:p w14:paraId="53BB874E">
      <w:pPr>
        <w:jc w:val="center"/>
        <w:rPr>
          <w:rFonts w:ascii="宋体" w:hAnsi="宋体"/>
          <w:b/>
          <w:color w:val="auto"/>
          <w:sz w:val="24"/>
        </w:rPr>
      </w:pPr>
    </w:p>
    <w:p w14:paraId="3D986D8C">
      <w:pPr>
        <w:jc w:val="center"/>
        <w:rPr>
          <w:rFonts w:ascii="宋体" w:hAnsi="宋体"/>
          <w:b/>
          <w:color w:val="auto"/>
          <w:sz w:val="24"/>
        </w:rPr>
      </w:pPr>
    </w:p>
    <w:p w14:paraId="51B506D0">
      <w:pPr>
        <w:jc w:val="center"/>
        <w:rPr>
          <w:rFonts w:ascii="宋体" w:hAnsi="宋体"/>
          <w:b/>
          <w:color w:val="auto"/>
          <w:sz w:val="24"/>
        </w:rPr>
      </w:pPr>
    </w:p>
    <w:p w14:paraId="3C3C9CB6">
      <w:pPr>
        <w:jc w:val="center"/>
        <w:rPr>
          <w:rFonts w:ascii="宋体" w:hAnsi="宋体"/>
          <w:b/>
          <w:color w:val="auto"/>
          <w:sz w:val="24"/>
        </w:rPr>
      </w:pPr>
    </w:p>
    <w:p w14:paraId="04508515">
      <w:pPr>
        <w:jc w:val="center"/>
        <w:rPr>
          <w:rFonts w:ascii="宋体" w:hAnsi="宋体"/>
          <w:b/>
          <w:color w:val="auto"/>
          <w:sz w:val="24"/>
        </w:rPr>
      </w:pPr>
    </w:p>
    <w:p w14:paraId="14B3C9DD">
      <w:pPr>
        <w:jc w:val="left"/>
        <w:rPr>
          <w:rFonts w:ascii="宋体" w:hAnsi="宋体"/>
          <w:b/>
          <w:color w:val="auto"/>
          <w:sz w:val="24"/>
        </w:rPr>
      </w:pPr>
      <w:r>
        <w:rPr>
          <w:rFonts w:hint="eastAsia" w:ascii="宋体" w:hAnsi="宋体"/>
          <w:b/>
          <w:color w:val="auto"/>
          <w:sz w:val="24"/>
        </w:rPr>
        <w:t>格式二：</w:t>
      </w:r>
    </w:p>
    <w:p w14:paraId="42A41E01">
      <w:pPr>
        <w:jc w:val="center"/>
        <w:rPr>
          <w:rFonts w:ascii="宋体" w:hAnsi="宋体"/>
          <w:b/>
          <w:color w:val="auto"/>
          <w:sz w:val="24"/>
        </w:rPr>
      </w:pPr>
    </w:p>
    <w:p w14:paraId="72E49B60">
      <w:pPr>
        <w:snapToGrid w:val="0"/>
        <w:spacing w:beforeLines="50" w:after="50"/>
        <w:ind w:left="420"/>
        <w:jc w:val="center"/>
        <w:rPr>
          <w:rFonts w:ascii="宋体" w:hAnsi="宋体" w:cs="宋体"/>
          <w:b/>
          <w:color w:val="auto"/>
          <w:sz w:val="32"/>
          <w:szCs w:val="32"/>
        </w:rPr>
      </w:pPr>
      <w:r>
        <w:rPr>
          <w:rFonts w:hint="eastAsia" w:ascii="宋体" w:hAnsi="宋体"/>
          <w:b/>
          <w:color w:val="auto"/>
          <w:sz w:val="24"/>
        </w:rPr>
        <w:t xml:space="preserve"> </w:t>
      </w:r>
      <w:bookmarkStart w:id="881" w:name="_Toc163270989"/>
      <w:bookmarkStart w:id="882" w:name="_Toc158458008"/>
      <w:r>
        <w:rPr>
          <w:rFonts w:hint="eastAsia" w:ascii="宋体" w:hAnsi="宋体" w:cs="宋体"/>
          <w:b/>
          <w:color w:val="auto"/>
          <w:sz w:val="32"/>
          <w:szCs w:val="32"/>
        </w:rPr>
        <w:t>磋商供应商参加本项目无围标串标行为的承诺函</w:t>
      </w:r>
    </w:p>
    <w:p w14:paraId="332E5448">
      <w:pPr>
        <w:snapToGrid w:val="0"/>
        <w:spacing w:beforeLines="50" w:after="50"/>
        <w:rPr>
          <w:rFonts w:ascii="宋体" w:hAnsi="宋体" w:cs="宋体"/>
          <w:b/>
          <w:color w:val="auto"/>
          <w:szCs w:val="21"/>
        </w:rPr>
      </w:pPr>
    </w:p>
    <w:p w14:paraId="0353B2F0">
      <w:pPr>
        <w:snapToGrid w:val="0"/>
        <w:spacing w:beforeLines="50" w:after="50" w:line="360" w:lineRule="auto"/>
        <w:jc w:val="left"/>
        <w:rPr>
          <w:rFonts w:ascii="宋体" w:hAnsi="宋体" w:cs="宋体"/>
          <w:b/>
          <w:color w:val="auto"/>
          <w:szCs w:val="21"/>
        </w:rPr>
      </w:pPr>
      <w:r>
        <w:rPr>
          <w:rFonts w:hint="eastAsia" w:ascii="宋体" w:hAnsi="宋体" w:cs="宋体"/>
          <w:b/>
          <w:color w:val="auto"/>
          <w:szCs w:val="21"/>
        </w:rPr>
        <w:t>一、我方承诺无下列相互串通投标的情形：</w:t>
      </w:r>
    </w:p>
    <w:p w14:paraId="1F9B2EA6">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1.不同磋商供应商的响应文件由同一单位或者个人编制；或者不同磋商供应商报名的IP地址一致的；</w:t>
      </w:r>
    </w:p>
    <w:p w14:paraId="6897431C">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2.不同磋商供应商委托同一单位或者个人办理竞标事宜；</w:t>
      </w:r>
    </w:p>
    <w:p w14:paraId="210463F7">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3.不同的磋商供应商的响应文件载明的项目管理员为同一个人；</w:t>
      </w:r>
    </w:p>
    <w:p w14:paraId="5D1635C2">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4.不同磋商供应商的响应文件异常一致或者竞标报价呈规律性差异；</w:t>
      </w:r>
    </w:p>
    <w:p w14:paraId="4979DA4F">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5.不同磋商供应商的响应文件相互混装；</w:t>
      </w:r>
    </w:p>
    <w:p w14:paraId="5D91CE3A">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6.不同磋商供应商的磋商保证金从同一单位或者个人账户转出。</w:t>
      </w:r>
    </w:p>
    <w:p w14:paraId="648E9DAA">
      <w:pPr>
        <w:snapToGrid w:val="0"/>
        <w:spacing w:beforeLines="50" w:after="50" w:line="360" w:lineRule="auto"/>
        <w:jc w:val="left"/>
        <w:rPr>
          <w:rFonts w:ascii="宋体" w:hAnsi="宋体" w:cs="宋体"/>
          <w:color w:val="auto"/>
          <w:szCs w:val="21"/>
        </w:rPr>
      </w:pPr>
      <w:r>
        <w:rPr>
          <w:rFonts w:hint="eastAsia" w:ascii="宋体" w:hAnsi="宋体" w:cs="宋体"/>
          <w:b/>
          <w:color w:val="auto"/>
          <w:szCs w:val="21"/>
        </w:rPr>
        <w:t>二、我方承诺无下列恶意串通的情形：</w:t>
      </w:r>
    </w:p>
    <w:p w14:paraId="1D2A32EF">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1. 磋商供应商直接或者间接从采购人或者采购代理机构处获得其他磋商供应商的相关信息并修改其响应文件或者响应文件；</w:t>
      </w:r>
    </w:p>
    <w:p w14:paraId="3F82C3A1">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2. 磋商供应商按照采购人或者采购代理机构的授意撤换、修改响应文件或者响应文件；</w:t>
      </w:r>
    </w:p>
    <w:p w14:paraId="11C87DEC">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3. 磋商供应商之间协商报价、技术方案等响应文件或者响应文件的实质性内容；</w:t>
      </w:r>
    </w:p>
    <w:p w14:paraId="5527CE82">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4.属于同一集团、协会、商会等组织成员的磋商供应商按照该组织要求协同参加政府采购活动；</w:t>
      </w:r>
    </w:p>
    <w:p w14:paraId="73E3C2D2">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5. 磋商供应商之间事先约定一致抬高或者压低竞标报价，或者在招标项目中事先约定轮流以高价位或者低价位成交，或者事先约定由某一特定磋商供应商成交，然后再参加竞标；</w:t>
      </w:r>
    </w:p>
    <w:p w14:paraId="0C27D4D6">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6.磋商供应商之间商定部分磋商供应商放弃参加政府采购活动或者放弃成交；</w:t>
      </w:r>
    </w:p>
    <w:p w14:paraId="4CBC3702">
      <w:pPr>
        <w:snapToGrid w:val="0"/>
        <w:spacing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7.磋商供应商与采购人或者采购代理机构之间、磋商供应商相互之间，为谋求特定磋商供应商成交或者排斥其他磋商供应商的其他串通行为。</w:t>
      </w:r>
    </w:p>
    <w:p w14:paraId="57E7CA30">
      <w:pPr>
        <w:snapToGrid w:val="0"/>
        <w:spacing w:beforeLines="50" w:after="50" w:line="360" w:lineRule="auto"/>
        <w:ind w:firstLine="413" w:firstLineChars="196"/>
        <w:jc w:val="left"/>
        <w:rPr>
          <w:rFonts w:ascii="宋体" w:hAnsi="宋体" w:cs="宋体"/>
          <w:b/>
          <w:color w:val="auto"/>
          <w:szCs w:val="21"/>
        </w:rPr>
      </w:pPr>
      <w:r>
        <w:rPr>
          <w:rFonts w:hint="eastAsia" w:ascii="宋体" w:hAnsi="宋体" w:cs="宋体"/>
          <w:b/>
          <w:color w:val="auto"/>
          <w:szCs w:val="21"/>
        </w:rPr>
        <w:t>以上情形一经核查属实，我方愿意承担一切后果，并不再寻求任何旨在减轻或者免除法律责任的辩解。</w:t>
      </w:r>
    </w:p>
    <w:p w14:paraId="43AFEFFA">
      <w:pPr>
        <w:snapToGrid w:val="0"/>
        <w:spacing w:line="360" w:lineRule="auto"/>
        <w:ind w:firstLine="4935" w:firstLineChars="2350"/>
        <w:rPr>
          <w:rFonts w:ascii="宋体" w:hAnsi="宋体" w:cs="宋体"/>
          <w:color w:val="auto"/>
          <w:szCs w:val="21"/>
        </w:rPr>
      </w:pPr>
      <w:r>
        <w:rPr>
          <w:rFonts w:hint="eastAsia" w:ascii="宋体" w:hAnsi="宋体" w:cs="宋体"/>
          <w:color w:val="auto"/>
          <w:szCs w:val="21"/>
        </w:rPr>
        <w:t xml:space="preserve"> </w:t>
      </w:r>
    </w:p>
    <w:p w14:paraId="5792862D">
      <w:pPr>
        <w:snapToGrid w:val="0"/>
        <w:spacing w:line="360" w:lineRule="auto"/>
        <w:ind w:firstLine="4935" w:firstLineChars="2350"/>
        <w:rPr>
          <w:rFonts w:ascii="宋体" w:hAnsi="宋体" w:cs="宋体"/>
          <w:color w:val="auto"/>
          <w:szCs w:val="21"/>
        </w:rPr>
      </w:pPr>
    </w:p>
    <w:p w14:paraId="42B71A0D">
      <w:pPr>
        <w:snapToGrid w:val="0"/>
        <w:spacing w:line="360" w:lineRule="auto"/>
        <w:ind w:firstLine="4935" w:firstLineChars="2350"/>
        <w:rPr>
          <w:rFonts w:ascii="宋体" w:hAnsi="宋体" w:cs="宋体"/>
          <w:color w:val="auto"/>
          <w:kern w:val="0"/>
          <w:sz w:val="24"/>
        </w:rPr>
      </w:pPr>
      <w:r>
        <w:rPr>
          <w:rFonts w:hint="eastAsia" w:ascii="宋体" w:hAnsi="宋体" w:cs="宋体"/>
          <w:color w:val="auto"/>
          <w:szCs w:val="21"/>
        </w:rPr>
        <w:t xml:space="preserve"> </w:t>
      </w:r>
      <w:r>
        <w:rPr>
          <w:rFonts w:hint="eastAsia" w:ascii="宋体" w:hAnsi="宋体" w:cs="宋体"/>
          <w:color w:val="auto"/>
          <w:kern w:val="0"/>
          <w:sz w:val="24"/>
        </w:rPr>
        <w:t>供应商</w:t>
      </w:r>
      <w:r>
        <w:rPr>
          <w:rFonts w:hint="eastAsia" w:ascii="宋体" w:hAnsi="宋体" w:cs="宋体"/>
          <w:color w:val="auto"/>
          <w:kern w:val="0"/>
          <w:sz w:val="24"/>
          <w:lang w:val="zh-CN"/>
        </w:rPr>
        <w:t>名称(电子签章)：</w:t>
      </w:r>
    </w:p>
    <w:p w14:paraId="7F95009C">
      <w:pPr>
        <w:snapToGrid w:val="0"/>
        <w:spacing w:line="360" w:lineRule="auto"/>
        <w:ind w:firstLine="5160" w:firstLineChars="2150"/>
        <w:rPr>
          <w:rFonts w:ascii="宋体" w:hAnsi="宋体"/>
          <w:color w:val="auto"/>
          <w:sz w:val="24"/>
        </w:rPr>
      </w:pP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4B7AA24D">
      <w:pPr>
        <w:spacing w:line="440" w:lineRule="exact"/>
        <w:rPr>
          <w:rFonts w:ascii="宋体" w:hAnsi="宋体"/>
          <w:color w:val="auto"/>
          <w:sz w:val="24"/>
        </w:rPr>
      </w:pPr>
    </w:p>
    <w:p w14:paraId="29049FAE">
      <w:pPr>
        <w:spacing w:line="440" w:lineRule="exact"/>
        <w:jc w:val="left"/>
        <w:rPr>
          <w:rFonts w:ascii="宋体" w:hAnsi="宋体"/>
          <w:b/>
          <w:color w:val="auto"/>
          <w:sz w:val="24"/>
        </w:rPr>
      </w:pPr>
      <w:bookmarkStart w:id="883" w:name="_Toc173558684"/>
      <w:r>
        <w:rPr>
          <w:rFonts w:hint="eastAsia" w:ascii="宋体" w:hAnsi="宋体"/>
          <w:b/>
          <w:color w:val="auto"/>
          <w:sz w:val="24"/>
        </w:rPr>
        <w:t>格式三：</w:t>
      </w:r>
    </w:p>
    <w:p w14:paraId="390DDF30">
      <w:pPr>
        <w:jc w:val="center"/>
        <w:rPr>
          <w:rFonts w:ascii="宋体" w:hAnsi="宋体"/>
          <w:b/>
          <w:color w:val="auto"/>
          <w:sz w:val="24"/>
        </w:rPr>
      </w:pPr>
      <w:r>
        <w:rPr>
          <w:rFonts w:hint="eastAsia" w:ascii="宋体" w:hAnsi="宋体"/>
          <w:b/>
          <w:color w:val="auto"/>
          <w:sz w:val="24"/>
        </w:rPr>
        <w:t>法定代表人授权委托书</w:t>
      </w:r>
    </w:p>
    <w:p w14:paraId="6EE36F9D">
      <w:pPr>
        <w:spacing w:after="156" w:line="360" w:lineRule="auto"/>
        <w:rPr>
          <w:rFonts w:ascii="宋体" w:hAnsi="宋体"/>
          <w:color w:val="auto"/>
        </w:rPr>
      </w:pPr>
    </w:p>
    <w:p w14:paraId="4FB5DD64">
      <w:pPr>
        <w:spacing w:line="440" w:lineRule="exact"/>
        <w:ind w:firstLine="420" w:firstLineChars="200"/>
        <w:rPr>
          <w:rFonts w:ascii="宋体" w:hAnsi="宋体"/>
          <w:color w:val="auto"/>
        </w:rPr>
      </w:pPr>
      <w:r>
        <w:rPr>
          <w:rFonts w:ascii="宋体" w:hAnsi="宋体"/>
          <w:color w:val="auto"/>
        </w:rPr>
        <w:t>本授权委托书声明：我</w:t>
      </w:r>
      <w:r>
        <w:rPr>
          <w:rFonts w:ascii="宋体" w:hAnsi="宋体"/>
          <w:color w:val="auto"/>
          <w:u w:val="single"/>
        </w:rPr>
        <w:t xml:space="preserve">             </w:t>
      </w:r>
      <w:r>
        <w:rPr>
          <w:rFonts w:ascii="宋体" w:hAnsi="宋体"/>
          <w:color w:val="auto"/>
        </w:rPr>
        <w:t>（姓名）系</w:t>
      </w:r>
      <w:r>
        <w:rPr>
          <w:rFonts w:ascii="宋体" w:hAnsi="宋体"/>
          <w:color w:val="auto"/>
          <w:u w:val="single"/>
        </w:rPr>
        <w:t xml:space="preserve">        </w:t>
      </w:r>
      <w:r>
        <w:rPr>
          <w:rFonts w:ascii="宋体" w:hAnsi="宋体"/>
          <w:color w:val="auto"/>
        </w:rPr>
        <w:t>（</w:t>
      </w:r>
      <w:r>
        <w:rPr>
          <w:rFonts w:hint="eastAsia" w:ascii="宋体" w:hAnsi="宋体"/>
          <w:color w:val="auto"/>
        </w:rPr>
        <w:t>供应商</w:t>
      </w:r>
      <w:r>
        <w:rPr>
          <w:rFonts w:ascii="宋体" w:hAnsi="宋体"/>
          <w:color w:val="auto"/>
        </w:rPr>
        <w:t>名称）的法定代表人，现授权委托</w:t>
      </w:r>
      <w:r>
        <w:rPr>
          <w:rFonts w:ascii="宋体" w:hAnsi="宋体"/>
          <w:color w:val="auto"/>
          <w:u w:val="single"/>
        </w:rPr>
        <w:t xml:space="preserve">      </w:t>
      </w:r>
      <w:r>
        <w:rPr>
          <w:rFonts w:ascii="宋体" w:hAnsi="宋体"/>
          <w:color w:val="auto"/>
        </w:rPr>
        <w:t>（单位名称）的</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（姓名）为我公司签署</w:t>
      </w:r>
      <w:r>
        <w:rPr>
          <w:rFonts w:hint="eastAsia" w:ascii="宋体" w:hAnsi="宋体"/>
          <w:color w:val="auto"/>
          <w:u w:val="single"/>
        </w:rPr>
        <w:t xml:space="preserve">    </w:t>
      </w:r>
      <w:r>
        <w:rPr>
          <w:rFonts w:hint="eastAsia" w:ascii="宋体" w:hAnsi="宋体"/>
          <w:color w:val="auto"/>
        </w:rPr>
        <w:t>（项目名称），项目编号为</w:t>
      </w:r>
      <w:r>
        <w:rPr>
          <w:rFonts w:hint="eastAsia" w:ascii="宋体" w:hAnsi="宋体"/>
          <w:color w:val="auto"/>
          <w:u w:val="single"/>
        </w:rPr>
        <w:t xml:space="preserve">           </w:t>
      </w:r>
      <w:r>
        <w:rPr>
          <w:rFonts w:ascii="宋体" w:hAnsi="宋体"/>
          <w:color w:val="auto"/>
        </w:rPr>
        <w:t>的</w:t>
      </w:r>
      <w:r>
        <w:rPr>
          <w:rFonts w:hint="eastAsia" w:ascii="宋体" w:hAnsi="宋体"/>
          <w:color w:val="auto"/>
        </w:rPr>
        <w:t>响应文件</w:t>
      </w:r>
      <w:r>
        <w:rPr>
          <w:rFonts w:ascii="宋体" w:hAnsi="宋体"/>
          <w:color w:val="auto"/>
        </w:rPr>
        <w:t>的法定代表人授权委托代理人，我承认代理人全权代表我所签署的本工程的</w:t>
      </w:r>
      <w:r>
        <w:rPr>
          <w:rFonts w:hint="eastAsia" w:ascii="宋体" w:hAnsi="宋体"/>
          <w:color w:val="auto"/>
        </w:rPr>
        <w:t>响应文件</w:t>
      </w:r>
      <w:r>
        <w:rPr>
          <w:rFonts w:ascii="宋体" w:hAnsi="宋体"/>
          <w:color w:val="auto"/>
        </w:rPr>
        <w:t>的内容。</w:t>
      </w:r>
    </w:p>
    <w:p w14:paraId="62FA2417">
      <w:pPr>
        <w:spacing w:line="440" w:lineRule="exact"/>
        <w:ind w:firstLine="420" w:firstLineChars="200"/>
        <w:rPr>
          <w:rFonts w:ascii="宋体" w:hAnsi="宋体"/>
          <w:color w:val="auto"/>
        </w:rPr>
      </w:pPr>
      <w:r>
        <w:rPr>
          <w:rFonts w:ascii="宋体" w:hAnsi="宋体"/>
          <w:color w:val="auto"/>
        </w:rPr>
        <w:t>代理人无转委托权，特此委托。</w:t>
      </w:r>
    </w:p>
    <w:p w14:paraId="277E31B0">
      <w:pPr>
        <w:spacing w:line="440" w:lineRule="exact"/>
        <w:ind w:firstLine="420" w:firstLineChars="200"/>
        <w:rPr>
          <w:rFonts w:ascii="宋体" w:hAnsi="宋体"/>
          <w:color w:val="auto"/>
        </w:rPr>
      </w:pPr>
      <w:r>
        <w:rPr>
          <w:rFonts w:ascii="宋体" w:hAnsi="宋体"/>
          <w:color w:val="auto"/>
        </w:rPr>
        <w:t>授权</w:t>
      </w:r>
      <w:r>
        <w:rPr>
          <w:rFonts w:hint="eastAsia" w:ascii="宋体" w:hAnsi="宋体"/>
          <w:color w:val="auto"/>
        </w:rPr>
        <w:t>委托</w:t>
      </w:r>
      <w:r>
        <w:rPr>
          <w:rFonts w:ascii="宋体" w:hAnsi="宋体"/>
          <w:color w:val="auto"/>
        </w:rPr>
        <w:t>代理</w:t>
      </w:r>
      <w:r>
        <w:rPr>
          <w:rFonts w:hint="eastAsia" w:ascii="宋体" w:hAnsi="宋体"/>
          <w:color w:val="auto"/>
        </w:rPr>
        <w:t>期限：</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日至</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0CEA4701">
      <w:pPr>
        <w:spacing w:line="440" w:lineRule="exact"/>
        <w:ind w:firstLine="413" w:firstLineChars="196"/>
        <w:rPr>
          <w:rFonts w:ascii="宋体" w:hAnsi="宋体"/>
          <w:color w:val="auto"/>
        </w:rPr>
      </w:pPr>
      <w:r>
        <w:rPr>
          <w:rFonts w:hint="eastAsia" w:ascii="宋体" w:hAnsi="宋体"/>
          <w:b/>
          <w:color w:val="auto"/>
        </w:rPr>
        <w:t>附：委托代理人身份证复印件</w:t>
      </w:r>
    </w:p>
    <w:p w14:paraId="2F188C70">
      <w:pPr>
        <w:spacing w:line="440" w:lineRule="exact"/>
        <w:rPr>
          <w:rFonts w:ascii="宋体" w:hAnsi="宋体"/>
          <w:color w:val="auto"/>
        </w:rPr>
      </w:pPr>
    </w:p>
    <w:p w14:paraId="4BF856AA">
      <w:pPr>
        <w:spacing w:line="440" w:lineRule="exact"/>
        <w:ind w:left="2699"/>
        <w:rPr>
          <w:rFonts w:ascii="宋体" w:hAnsi="宋体"/>
          <w:color w:val="auto"/>
          <w:u w:val="single"/>
        </w:rPr>
      </w:pPr>
      <w:r>
        <w:rPr>
          <w:rFonts w:ascii="宋体" w:hAnsi="宋体"/>
          <w:color w:val="auto"/>
        </w:rPr>
        <w:t>代理人：</w:t>
      </w:r>
      <w:r>
        <w:rPr>
          <w:rFonts w:ascii="宋体" w:hAnsi="宋体"/>
          <w:color w:val="auto"/>
          <w:u w:val="single"/>
        </w:rPr>
        <w:t xml:space="preserve">   （签字）</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性别 ：</w:t>
      </w:r>
      <w:r>
        <w:rPr>
          <w:rFonts w:ascii="宋体" w:hAnsi="宋体"/>
          <w:color w:val="auto"/>
          <w:u w:val="single"/>
        </w:rPr>
        <w:t xml:space="preserve">          </w:t>
      </w:r>
      <w:r>
        <w:rPr>
          <w:rFonts w:ascii="宋体" w:hAnsi="宋体"/>
          <w:color w:val="auto"/>
        </w:rPr>
        <w:t>年龄：_______</w:t>
      </w:r>
    </w:p>
    <w:p w14:paraId="5C8071F3">
      <w:pPr>
        <w:spacing w:line="440" w:lineRule="exact"/>
        <w:ind w:left="2699"/>
        <w:rPr>
          <w:rFonts w:ascii="宋体" w:hAnsi="宋体"/>
          <w:b/>
          <w:color w:val="auto"/>
          <w:u w:val="single"/>
        </w:rPr>
      </w:pPr>
      <w:r>
        <w:rPr>
          <w:rFonts w:ascii="宋体" w:hAnsi="宋体"/>
          <w:color w:val="auto"/>
        </w:rPr>
        <w:t>身份证号码：</w:t>
      </w:r>
      <w:r>
        <w:rPr>
          <w:rFonts w:ascii="宋体" w:hAnsi="宋体"/>
          <w:color w:val="auto"/>
          <w:u w:val="single"/>
        </w:rPr>
        <w:t xml:space="preserve">                    </w:t>
      </w:r>
      <w:r>
        <w:rPr>
          <w:rFonts w:ascii="宋体" w:hAnsi="宋体"/>
          <w:color w:val="auto"/>
        </w:rPr>
        <w:t>职务：</w:t>
      </w:r>
      <w:r>
        <w:rPr>
          <w:rFonts w:ascii="宋体" w:hAnsi="宋体"/>
          <w:b/>
          <w:color w:val="auto"/>
          <w:u w:val="single"/>
        </w:rPr>
        <w:t xml:space="preserve">       </w:t>
      </w:r>
      <w:r>
        <w:rPr>
          <w:rFonts w:hint="eastAsia" w:ascii="宋体" w:hAnsi="宋体"/>
          <w:b/>
          <w:color w:val="auto"/>
          <w:u w:val="single"/>
        </w:rPr>
        <w:t xml:space="preserve">      </w:t>
      </w:r>
      <w:r>
        <w:rPr>
          <w:rFonts w:ascii="宋体" w:hAnsi="宋体"/>
          <w:b/>
          <w:color w:val="auto"/>
          <w:u w:val="single"/>
        </w:rPr>
        <w:t xml:space="preserve">  </w:t>
      </w:r>
    </w:p>
    <w:p w14:paraId="125E578C">
      <w:pPr>
        <w:spacing w:line="440" w:lineRule="exact"/>
        <w:ind w:left="2699"/>
        <w:rPr>
          <w:rFonts w:ascii="宋体" w:hAnsi="宋体"/>
          <w:color w:val="auto"/>
        </w:rPr>
      </w:pPr>
      <w:r>
        <w:rPr>
          <w:rFonts w:hint="eastAsia" w:ascii="宋体" w:hAnsi="宋体"/>
          <w:color w:val="auto"/>
        </w:rPr>
        <w:t>供应商</w:t>
      </w:r>
      <w:r>
        <w:rPr>
          <w:rFonts w:ascii="宋体" w:hAnsi="宋体"/>
          <w:color w:val="auto"/>
        </w:rPr>
        <w:t>：</w:t>
      </w:r>
      <w:r>
        <w:rPr>
          <w:rFonts w:ascii="宋体" w:hAnsi="宋体"/>
          <w:color w:val="auto"/>
          <w:u w:val="single"/>
        </w:rPr>
        <w:t xml:space="preserve">   </w:t>
      </w:r>
      <w:r>
        <w:rPr>
          <w:rFonts w:hint="eastAsia" w:ascii="宋体" w:hAnsi="宋体"/>
          <w:color w:val="auto"/>
          <w:u w:val="single"/>
        </w:rPr>
        <w:t>（全称）</w:t>
      </w:r>
      <w:r>
        <w:rPr>
          <w:rFonts w:ascii="宋体" w:hAnsi="宋体"/>
          <w:color w:val="auto"/>
          <w:u w:val="single"/>
        </w:rPr>
        <w:t xml:space="preserve">                 </w:t>
      </w:r>
      <w:r>
        <w:rPr>
          <w:rFonts w:ascii="宋体" w:hAnsi="宋体"/>
          <w:color w:val="auto"/>
        </w:rPr>
        <w:t>（</w:t>
      </w:r>
      <w:r>
        <w:rPr>
          <w:rFonts w:hint="eastAsia" w:ascii="宋体" w:hAnsi="宋体"/>
          <w:color w:val="auto"/>
        </w:rPr>
        <w:t>电子签章</w:t>
      </w:r>
      <w:r>
        <w:rPr>
          <w:rFonts w:ascii="宋体" w:hAnsi="宋体"/>
          <w:color w:val="auto"/>
        </w:rPr>
        <w:t>）</w:t>
      </w:r>
    </w:p>
    <w:p w14:paraId="7128ED34">
      <w:pPr>
        <w:spacing w:line="440" w:lineRule="exact"/>
        <w:ind w:left="2699"/>
        <w:rPr>
          <w:rFonts w:ascii="宋体" w:hAnsi="宋体"/>
          <w:color w:val="auto"/>
        </w:rPr>
      </w:pPr>
      <w:r>
        <w:rPr>
          <w:rFonts w:ascii="宋体" w:hAnsi="宋体"/>
          <w:color w:val="auto"/>
        </w:rPr>
        <w:t>法定代表人：</w:t>
      </w:r>
      <w:r>
        <w:rPr>
          <w:rFonts w:ascii="宋体" w:hAnsi="宋体"/>
          <w:color w:val="auto"/>
          <w:u w:val="single"/>
        </w:rPr>
        <w:t xml:space="preserve">                            </w:t>
      </w:r>
      <w:r>
        <w:rPr>
          <w:rFonts w:ascii="宋体" w:hAnsi="宋体"/>
          <w:color w:val="auto"/>
        </w:rPr>
        <w:t>（</w:t>
      </w:r>
      <w:r>
        <w:rPr>
          <w:rFonts w:hint="eastAsia" w:ascii="宋体" w:hAnsi="宋体"/>
          <w:color w:val="auto"/>
        </w:rPr>
        <w:t>电子签名</w:t>
      </w:r>
      <w:r>
        <w:rPr>
          <w:rFonts w:ascii="宋体" w:hAnsi="宋体"/>
          <w:color w:val="auto"/>
        </w:rPr>
        <w:t>）</w:t>
      </w:r>
    </w:p>
    <w:p w14:paraId="273909F8">
      <w:pPr>
        <w:spacing w:line="440" w:lineRule="exact"/>
        <w:ind w:left="2699"/>
        <w:rPr>
          <w:rFonts w:ascii="宋体" w:hAnsi="宋体"/>
          <w:color w:val="auto"/>
        </w:rPr>
      </w:pPr>
      <w:r>
        <w:rPr>
          <w:rFonts w:ascii="宋体" w:hAnsi="宋体"/>
          <w:color w:val="auto"/>
        </w:rPr>
        <w:t>授权委托日期：</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rPr>
        <w:t>年</w:t>
      </w:r>
      <w:r>
        <w:rPr>
          <w:rFonts w:ascii="宋体" w:hAnsi="宋体"/>
          <w:color w:val="auto"/>
          <w:u w:val="single"/>
        </w:rPr>
        <w:t xml:space="preserve">     </w:t>
      </w:r>
      <w:r>
        <w:rPr>
          <w:rFonts w:ascii="宋体" w:hAnsi="宋体"/>
          <w:color w:val="auto"/>
        </w:rPr>
        <w:t>月</w:t>
      </w:r>
      <w:r>
        <w:rPr>
          <w:rFonts w:ascii="宋体" w:hAnsi="宋体"/>
          <w:color w:val="auto"/>
          <w:u w:val="single"/>
        </w:rPr>
        <w:t xml:space="preserve">     </w:t>
      </w:r>
      <w:r>
        <w:rPr>
          <w:rFonts w:ascii="宋体" w:hAnsi="宋体"/>
          <w:color w:val="auto"/>
        </w:rPr>
        <w:t>日</w:t>
      </w:r>
    </w:p>
    <w:p w14:paraId="7D28CED8">
      <w:pPr>
        <w:spacing w:line="360" w:lineRule="auto"/>
        <w:rPr>
          <w:rFonts w:ascii="宋体" w:hAnsi="宋体"/>
          <w:color w:val="auto"/>
        </w:rPr>
      </w:pPr>
    </w:p>
    <w:p w14:paraId="66371211">
      <w:pPr>
        <w:spacing w:line="400" w:lineRule="exact"/>
        <w:ind w:left="28" w:firstLine="452"/>
        <w:rPr>
          <w:rFonts w:ascii="宋体" w:hAnsi="宋体"/>
          <w:color w:val="auto"/>
        </w:rPr>
      </w:pPr>
      <w:r>
        <w:rPr>
          <w:rFonts w:ascii="宋体" w:hAnsi="宋体"/>
          <w:color w:val="auto"/>
        </w:rPr>
        <w:br w:type="page"/>
      </w:r>
      <w:r>
        <w:rPr>
          <w:rFonts w:hint="eastAsia" w:ascii="宋体" w:hAnsi="宋体"/>
          <w:b/>
          <w:color w:val="auto"/>
          <w:sz w:val="24"/>
        </w:rPr>
        <w:t>格式四：</w:t>
      </w:r>
    </w:p>
    <w:p w14:paraId="1A5A0611">
      <w:pPr>
        <w:spacing w:line="400" w:lineRule="exact"/>
        <w:ind w:left="28" w:firstLine="452"/>
        <w:rPr>
          <w:rFonts w:ascii="宋体" w:hAnsi="宋体"/>
          <w:color w:val="auto"/>
        </w:rPr>
      </w:pPr>
    </w:p>
    <w:p w14:paraId="2BDDBB95">
      <w:pPr>
        <w:spacing w:line="400" w:lineRule="exact"/>
        <w:ind w:left="28" w:firstLine="452"/>
        <w:jc w:val="center"/>
        <w:rPr>
          <w:rFonts w:ascii="宋体" w:hAnsi="宋体"/>
          <w:b/>
          <w:color w:val="auto"/>
          <w:sz w:val="24"/>
        </w:rPr>
      </w:pPr>
      <w:r>
        <w:rPr>
          <w:rFonts w:hint="eastAsia" w:ascii="宋体" w:hAnsi="宋体"/>
          <w:b/>
          <w:color w:val="auto"/>
          <w:sz w:val="24"/>
        </w:rPr>
        <w:t>足额缴纳农民工工资的承诺书</w:t>
      </w:r>
    </w:p>
    <w:p w14:paraId="5B50EC4A">
      <w:pPr>
        <w:spacing w:line="400" w:lineRule="exact"/>
        <w:ind w:left="28" w:firstLine="452"/>
        <w:jc w:val="center"/>
        <w:rPr>
          <w:rFonts w:ascii="宋体" w:hAnsi="宋体" w:cs="宋体"/>
          <w:color w:val="auto"/>
        </w:rPr>
      </w:pPr>
    </w:p>
    <w:p w14:paraId="46E1C234">
      <w:pPr>
        <w:spacing w:line="480" w:lineRule="auto"/>
        <w:jc w:val="left"/>
        <w:rPr>
          <w:rFonts w:ascii="宋体" w:hAnsi="宋体"/>
          <w:color w:val="auto"/>
        </w:rPr>
      </w:pPr>
      <w:r>
        <w:rPr>
          <w:rFonts w:hint="eastAsia" w:ascii="宋体" w:hAnsi="宋体" w:cs="宋体"/>
          <w:color w:val="auto"/>
        </w:rPr>
        <w:t>致</w:t>
      </w:r>
      <w:r>
        <w:rPr>
          <w:rFonts w:ascii="宋体" w:hAnsi="宋体"/>
          <w:color w:val="auto"/>
          <w:u w:val="single"/>
        </w:rPr>
        <w:t xml:space="preserve">                        </w:t>
      </w:r>
      <w:r>
        <w:rPr>
          <w:rFonts w:hint="eastAsia" w:ascii="宋体" w:hAnsi="宋体" w:cs="宋体"/>
          <w:color w:val="auto"/>
        </w:rPr>
        <w:t>（采购人名称）：</w:t>
      </w:r>
    </w:p>
    <w:p w14:paraId="4D66A6EF">
      <w:pPr>
        <w:spacing w:line="520" w:lineRule="exact"/>
        <w:ind w:left="-10" w:firstLine="455" w:firstLineChars="217"/>
        <w:jc w:val="left"/>
        <w:rPr>
          <w:rFonts w:ascii="宋体" w:hAnsi="宋体"/>
          <w:b/>
          <w:color w:val="auto"/>
          <w:sz w:val="24"/>
        </w:rPr>
      </w:pPr>
      <w:r>
        <w:rPr>
          <w:rFonts w:hint="eastAsia" w:ascii="宋体" w:hAnsi="宋体" w:cs="宋体"/>
          <w:color w:val="auto"/>
        </w:rPr>
        <w:t>作为参与</w:t>
      </w:r>
      <w:r>
        <w:rPr>
          <w:rFonts w:ascii="宋体" w:hAnsi="宋体"/>
          <w:color w:val="auto"/>
          <w:u w:val="single"/>
        </w:rPr>
        <w:t xml:space="preserve">                  </w:t>
      </w:r>
      <w:r>
        <w:rPr>
          <w:rFonts w:hint="eastAsia" w:ascii="宋体" w:hAnsi="宋体" w:cs="宋体"/>
          <w:color w:val="auto"/>
        </w:rPr>
        <w:t>（工程名称）项目的供应商，根据国家、自治区相关文件规定，我方在此向采标人承诺：</w:t>
      </w:r>
    </w:p>
    <w:p w14:paraId="4CFC1799">
      <w:pPr>
        <w:spacing w:line="520" w:lineRule="exact"/>
        <w:ind w:left="-10" w:firstLine="455" w:firstLineChars="217"/>
        <w:jc w:val="left"/>
        <w:rPr>
          <w:rFonts w:ascii="宋体" w:hAnsi="宋体" w:cs="宋体"/>
          <w:color w:val="auto"/>
        </w:rPr>
      </w:pPr>
      <w:r>
        <w:rPr>
          <w:rFonts w:hint="eastAsia" w:ascii="宋体" w:hAnsi="宋体" w:cs="宋体"/>
          <w:color w:val="auto"/>
        </w:rPr>
        <w:t>一旦成交，我方保证按照政府相关部门的规定，在发出成交通知书之日起</w:t>
      </w:r>
      <w:r>
        <w:rPr>
          <w:rFonts w:ascii="宋体" w:hAnsi="宋体"/>
          <w:color w:val="auto"/>
        </w:rPr>
        <w:t>7</w:t>
      </w:r>
      <w:r>
        <w:rPr>
          <w:rFonts w:hint="eastAsia" w:ascii="宋体" w:hAnsi="宋体" w:cs="宋体"/>
          <w:color w:val="auto"/>
        </w:rPr>
        <w:t>个工作日内足额将农民工工资保障金转入农民工工资保障金专用账户，或向采购人提供由工程项目所在地（工程项目所在省区范围内）商业银行出具同等金额农民工工资保证金银行保函，作为支付承包人拖欠的农民工工资的保证。一旦我方所承包的该项目中出现拖欠农民工工资情况，由劳动保障、住房城乡建设行政主管部门按照《关于进一步完善建筑行业农民工工资保证金制度的通知》（桂劳社发〔</w:t>
      </w:r>
      <w:r>
        <w:rPr>
          <w:rFonts w:ascii="宋体" w:hAnsi="宋体"/>
          <w:color w:val="auto"/>
        </w:rPr>
        <w:t>2009</w:t>
      </w:r>
      <w:r>
        <w:rPr>
          <w:rFonts w:hint="eastAsia" w:ascii="宋体" w:hAnsi="宋体" w:cs="宋体"/>
          <w:color w:val="auto"/>
        </w:rPr>
        <w:t>〕</w:t>
      </w:r>
      <w:r>
        <w:rPr>
          <w:rFonts w:ascii="宋体" w:hAnsi="宋体"/>
          <w:color w:val="auto"/>
        </w:rPr>
        <w:t>50</w:t>
      </w:r>
      <w:r>
        <w:rPr>
          <w:rFonts w:hint="eastAsia" w:ascii="宋体" w:hAnsi="宋体" w:cs="宋体"/>
          <w:color w:val="auto"/>
        </w:rPr>
        <w:t>号）从我方农民工工资保障金中先予划支。</w:t>
      </w:r>
    </w:p>
    <w:p w14:paraId="76727527">
      <w:pPr>
        <w:spacing w:line="520" w:lineRule="exact"/>
        <w:ind w:left="-10" w:firstLine="455" w:firstLineChars="217"/>
        <w:jc w:val="left"/>
        <w:rPr>
          <w:rFonts w:ascii="宋体" w:hAnsi="宋体" w:cs="宋体"/>
          <w:color w:val="auto"/>
        </w:rPr>
      </w:pPr>
    </w:p>
    <w:p w14:paraId="460FF9B6">
      <w:pPr>
        <w:pStyle w:val="24"/>
        <w:ind w:firstLine="480"/>
        <w:rPr>
          <w:rFonts w:hAnsi="宋体"/>
          <w:color w:val="auto"/>
          <w:sz w:val="24"/>
          <w:u w:val="single"/>
        </w:rPr>
      </w:pPr>
    </w:p>
    <w:p w14:paraId="7211BEB6">
      <w:pPr>
        <w:spacing w:line="360" w:lineRule="exact"/>
        <w:ind w:firstLine="315" w:firstLineChars="150"/>
        <w:rPr>
          <w:rFonts w:ascii="宋体" w:hAnsi="宋体"/>
          <w:color w:val="auto"/>
          <w:szCs w:val="21"/>
        </w:rPr>
      </w:pPr>
      <w:r>
        <w:rPr>
          <w:rFonts w:hint="eastAsia" w:ascii="宋体" w:hAnsi="宋体"/>
          <w:color w:val="auto"/>
          <w:szCs w:val="21"/>
        </w:rPr>
        <w:t>供应商（电子签章）：</w:t>
      </w:r>
      <w:r>
        <w:rPr>
          <w:rFonts w:hint="eastAsia" w:ascii="宋体" w:hAnsi="宋体"/>
          <w:color w:val="auto"/>
          <w:szCs w:val="21"/>
          <w:u w:val="single"/>
        </w:rPr>
        <w:t xml:space="preserve">                  </w:t>
      </w:r>
      <w:r>
        <w:rPr>
          <w:rFonts w:hint="eastAsia" w:ascii="宋体" w:hAnsi="宋体"/>
          <w:color w:val="auto"/>
          <w:szCs w:val="21"/>
        </w:rPr>
        <w:t xml:space="preserve">      </w:t>
      </w:r>
    </w:p>
    <w:p w14:paraId="372DAE08">
      <w:pPr>
        <w:spacing w:line="360" w:lineRule="exact"/>
        <w:ind w:firstLine="315" w:firstLineChars="150"/>
        <w:rPr>
          <w:rFonts w:ascii="宋体" w:hAnsi="宋体"/>
          <w:color w:val="auto"/>
          <w:szCs w:val="21"/>
        </w:rPr>
      </w:pPr>
    </w:p>
    <w:p w14:paraId="3AD7A33F">
      <w:pPr>
        <w:spacing w:line="360" w:lineRule="exact"/>
        <w:ind w:firstLine="315" w:firstLineChars="150"/>
        <w:rPr>
          <w:rFonts w:ascii="宋体" w:hAnsi="宋体"/>
          <w:color w:val="auto"/>
          <w:szCs w:val="21"/>
        </w:rPr>
      </w:pPr>
      <w:r>
        <w:rPr>
          <w:rFonts w:hint="eastAsia" w:ascii="宋体" w:hAnsi="宋体"/>
          <w:color w:val="auto"/>
          <w:szCs w:val="21"/>
        </w:rPr>
        <w:t>法定代表人或授权委托代理人（电子签名）：</w:t>
      </w:r>
      <w:r>
        <w:rPr>
          <w:rFonts w:hint="eastAsia" w:ascii="宋体" w:hAnsi="宋体"/>
          <w:color w:val="auto"/>
          <w:szCs w:val="21"/>
          <w:u w:val="single"/>
        </w:rPr>
        <w:t xml:space="preserve">                  </w:t>
      </w:r>
      <w:r>
        <w:rPr>
          <w:rFonts w:hint="eastAsia" w:ascii="宋体" w:hAnsi="宋体"/>
          <w:color w:val="auto"/>
          <w:szCs w:val="21"/>
        </w:rPr>
        <w:t xml:space="preserve"> </w:t>
      </w:r>
    </w:p>
    <w:p w14:paraId="7EE87A7C">
      <w:pPr>
        <w:spacing w:line="360" w:lineRule="exact"/>
        <w:ind w:firstLine="315" w:firstLineChars="150"/>
        <w:rPr>
          <w:rFonts w:ascii="宋体" w:hAnsi="宋体"/>
          <w:color w:val="auto"/>
          <w:szCs w:val="21"/>
        </w:rPr>
      </w:pPr>
    </w:p>
    <w:p w14:paraId="3E7A9C72">
      <w:pPr>
        <w:spacing w:line="360" w:lineRule="exact"/>
        <w:ind w:firstLine="315" w:firstLineChars="150"/>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p>
    <w:p w14:paraId="5C895091">
      <w:pPr>
        <w:spacing w:line="520" w:lineRule="exact"/>
        <w:ind w:left="-10" w:firstLine="455" w:firstLineChars="217"/>
        <w:jc w:val="left"/>
        <w:rPr>
          <w:rFonts w:ascii="宋体" w:hAnsi="宋体"/>
          <w:color w:val="auto"/>
        </w:rPr>
      </w:pPr>
    </w:p>
    <w:p w14:paraId="64226331">
      <w:pPr>
        <w:spacing w:line="520" w:lineRule="exact"/>
        <w:ind w:left="-10" w:firstLine="455" w:firstLineChars="217"/>
        <w:jc w:val="left"/>
        <w:rPr>
          <w:rFonts w:ascii="宋体" w:hAnsi="宋体"/>
          <w:color w:val="auto"/>
        </w:rPr>
      </w:pPr>
    </w:p>
    <w:p w14:paraId="5958B656">
      <w:pPr>
        <w:spacing w:line="520" w:lineRule="exact"/>
        <w:ind w:left="-10" w:firstLine="455" w:firstLineChars="217"/>
        <w:jc w:val="left"/>
        <w:rPr>
          <w:rFonts w:ascii="宋体" w:hAnsi="宋体"/>
          <w:color w:val="auto"/>
        </w:rPr>
      </w:pPr>
    </w:p>
    <w:p w14:paraId="4C3EBFA9">
      <w:pPr>
        <w:spacing w:line="520" w:lineRule="exact"/>
        <w:ind w:left="-10" w:firstLine="455" w:firstLineChars="217"/>
        <w:jc w:val="left"/>
        <w:rPr>
          <w:rFonts w:ascii="宋体" w:hAnsi="宋体"/>
          <w:color w:val="auto"/>
        </w:rPr>
      </w:pPr>
    </w:p>
    <w:p w14:paraId="60CF5DDB">
      <w:pPr>
        <w:spacing w:line="520" w:lineRule="exact"/>
        <w:ind w:left="-10" w:firstLine="455" w:firstLineChars="217"/>
        <w:jc w:val="left"/>
        <w:rPr>
          <w:rFonts w:ascii="宋体" w:hAnsi="宋体"/>
          <w:color w:val="auto"/>
        </w:rPr>
      </w:pPr>
    </w:p>
    <w:p w14:paraId="01E148CE">
      <w:pPr>
        <w:spacing w:line="520" w:lineRule="exact"/>
        <w:ind w:left="-10" w:firstLine="455" w:firstLineChars="217"/>
        <w:jc w:val="left"/>
        <w:rPr>
          <w:rFonts w:ascii="宋体" w:hAnsi="宋体"/>
          <w:color w:val="auto"/>
        </w:rPr>
      </w:pPr>
    </w:p>
    <w:p w14:paraId="5B2D8D9E">
      <w:pPr>
        <w:spacing w:line="520" w:lineRule="exact"/>
        <w:ind w:left="-10" w:firstLine="455" w:firstLineChars="217"/>
        <w:jc w:val="left"/>
        <w:rPr>
          <w:rFonts w:ascii="宋体" w:hAnsi="宋体"/>
          <w:color w:val="auto"/>
        </w:rPr>
      </w:pPr>
    </w:p>
    <w:p w14:paraId="0ECED96E">
      <w:pPr>
        <w:spacing w:line="520" w:lineRule="exact"/>
        <w:ind w:left="-10" w:firstLine="455" w:firstLineChars="217"/>
        <w:jc w:val="left"/>
        <w:rPr>
          <w:rFonts w:ascii="宋体" w:hAnsi="宋体"/>
          <w:color w:val="auto"/>
        </w:rPr>
      </w:pPr>
    </w:p>
    <w:p w14:paraId="003CFCC0">
      <w:pPr>
        <w:spacing w:line="520" w:lineRule="exact"/>
        <w:ind w:left="-10" w:firstLine="455" w:firstLineChars="217"/>
        <w:jc w:val="left"/>
        <w:rPr>
          <w:rFonts w:ascii="宋体" w:hAnsi="宋体"/>
          <w:color w:val="auto"/>
        </w:rPr>
      </w:pPr>
    </w:p>
    <w:p w14:paraId="1C2EDFD5">
      <w:pPr>
        <w:spacing w:line="520" w:lineRule="exact"/>
        <w:ind w:left="-10" w:firstLine="455" w:firstLineChars="217"/>
        <w:jc w:val="left"/>
        <w:rPr>
          <w:rFonts w:ascii="宋体" w:hAnsi="宋体"/>
          <w:color w:val="auto"/>
        </w:rPr>
      </w:pPr>
    </w:p>
    <w:p w14:paraId="53563B87">
      <w:pPr>
        <w:spacing w:line="520" w:lineRule="exact"/>
        <w:ind w:left="-10" w:firstLine="523" w:firstLineChars="217"/>
        <w:jc w:val="left"/>
        <w:rPr>
          <w:rFonts w:ascii="宋体" w:hAnsi="宋体"/>
          <w:color w:val="auto"/>
        </w:rPr>
      </w:pPr>
      <w:r>
        <w:rPr>
          <w:rFonts w:hint="eastAsia" w:ascii="宋体" w:hAnsi="宋体"/>
          <w:b/>
          <w:color w:val="auto"/>
          <w:sz w:val="24"/>
        </w:rPr>
        <w:t>格式五：</w:t>
      </w:r>
    </w:p>
    <w:p w14:paraId="3DF9716A">
      <w:pPr>
        <w:spacing w:line="520" w:lineRule="exact"/>
        <w:ind w:left="-10" w:firstLine="523" w:firstLineChars="217"/>
        <w:jc w:val="center"/>
        <w:rPr>
          <w:rFonts w:ascii="宋体" w:hAnsi="宋体"/>
          <w:b/>
          <w:color w:val="auto"/>
          <w:sz w:val="24"/>
        </w:rPr>
      </w:pPr>
      <w:r>
        <w:rPr>
          <w:rFonts w:hint="eastAsia" w:ascii="宋体" w:hAnsi="宋体"/>
          <w:b/>
          <w:color w:val="auto"/>
          <w:sz w:val="24"/>
        </w:rPr>
        <w:t>安全防护、文明施工措施方案的承诺书</w:t>
      </w:r>
    </w:p>
    <w:p w14:paraId="08D0932E">
      <w:pPr>
        <w:spacing w:line="520" w:lineRule="exact"/>
        <w:ind w:left="-10" w:firstLine="523" w:firstLineChars="217"/>
        <w:jc w:val="center"/>
        <w:rPr>
          <w:rFonts w:ascii="宋体" w:hAnsi="宋体"/>
          <w:b/>
          <w:color w:val="auto"/>
          <w:sz w:val="24"/>
        </w:rPr>
      </w:pPr>
    </w:p>
    <w:p w14:paraId="6E866FF5">
      <w:pPr>
        <w:spacing w:line="480" w:lineRule="auto"/>
        <w:jc w:val="left"/>
        <w:rPr>
          <w:rFonts w:ascii="宋体" w:hAnsi="宋体"/>
          <w:color w:val="auto"/>
        </w:rPr>
      </w:pPr>
      <w:r>
        <w:rPr>
          <w:rFonts w:hint="eastAsia" w:ascii="宋体" w:hAnsi="宋体" w:cs="宋体"/>
          <w:color w:val="auto"/>
        </w:rPr>
        <w:t>致</w:t>
      </w:r>
      <w:r>
        <w:rPr>
          <w:rFonts w:ascii="宋体" w:hAnsi="宋体" w:cs="宋体"/>
          <w:color w:val="auto"/>
          <w:u w:val="single"/>
        </w:rPr>
        <w:t xml:space="preserve">      </w:t>
      </w:r>
      <w:r>
        <w:rPr>
          <w:rFonts w:hint="eastAsia" w:ascii="宋体" w:hAnsi="宋体" w:cs="宋体"/>
          <w:color w:val="auto"/>
          <w:u w:val="single"/>
        </w:rPr>
        <w:t>（采购人名称）</w:t>
      </w:r>
      <w:r>
        <w:rPr>
          <w:rFonts w:ascii="宋体" w:hAnsi="宋体" w:cs="宋体"/>
          <w:color w:val="auto"/>
          <w:u w:val="single"/>
        </w:rPr>
        <w:t xml:space="preserve">     </w:t>
      </w:r>
      <w:r>
        <w:rPr>
          <w:rFonts w:hint="eastAsia" w:ascii="宋体" w:hAnsi="宋体" w:cs="宋体"/>
          <w:color w:val="auto"/>
        </w:rPr>
        <w:t>：</w:t>
      </w:r>
    </w:p>
    <w:p w14:paraId="032CAA93">
      <w:pPr>
        <w:spacing w:line="480" w:lineRule="auto"/>
        <w:ind w:firstLine="422" w:firstLineChars="201"/>
        <w:jc w:val="left"/>
        <w:rPr>
          <w:rFonts w:ascii="宋体" w:hAnsi="宋体"/>
          <w:color w:val="auto"/>
        </w:rPr>
      </w:pPr>
      <w:r>
        <w:rPr>
          <w:rFonts w:hint="eastAsia" w:ascii="宋体" w:hAnsi="宋体" w:cs="宋体"/>
          <w:color w:val="auto"/>
        </w:rPr>
        <w:t>根据桂建质</w:t>
      </w:r>
      <w:r>
        <w:rPr>
          <w:rFonts w:ascii="宋体" w:hAnsi="宋体" w:cs="宋体"/>
          <w:color w:val="auto"/>
        </w:rPr>
        <w:t>[2015]16</w:t>
      </w:r>
      <w:r>
        <w:rPr>
          <w:rFonts w:hint="eastAsia" w:ascii="宋体" w:hAnsi="宋体" w:cs="宋体"/>
          <w:color w:val="auto"/>
        </w:rPr>
        <w:t>号文件规定，我方在此向采购人承诺：</w:t>
      </w:r>
    </w:p>
    <w:p w14:paraId="5ACB8B83">
      <w:pPr>
        <w:spacing w:line="480" w:lineRule="auto"/>
        <w:ind w:left="-10" w:firstLine="455" w:firstLineChars="217"/>
        <w:jc w:val="left"/>
        <w:rPr>
          <w:rFonts w:ascii="宋体" w:hAnsi="宋体"/>
          <w:color w:val="auto"/>
        </w:rPr>
      </w:pPr>
      <w:r>
        <w:rPr>
          <w:rFonts w:ascii="宋体" w:hAnsi="宋体" w:cs="宋体"/>
          <w:color w:val="auto"/>
        </w:rPr>
        <w:t>1</w:t>
      </w:r>
      <w:r>
        <w:rPr>
          <w:rFonts w:hint="eastAsia" w:ascii="宋体" w:hAnsi="宋体" w:cs="宋体"/>
          <w:color w:val="auto"/>
        </w:rPr>
        <w:t>、我方参与磋商的</w:t>
      </w:r>
      <w:r>
        <w:rPr>
          <w:rFonts w:ascii="宋体" w:hAnsi="宋体" w:cs="宋体"/>
          <w:color w:val="auto"/>
          <w:u w:val="single"/>
        </w:rPr>
        <w:t xml:space="preserve">    </w:t>
      </w:r>
      <w:r>
        <w:rPr>
          <w:rFonts w:hint="eastAsia" w:ascii="宋体" w:hAnsi="宋体" w:cs="宋体"/>
          <w:color w:val="auto"/>
          <w:u w:val="single"/>
        </w:rPr>
        <w:t xml:space="preserve">（工程名称） </w:t>
      </w:r>
      <w:r>
        <w:rPr>
          <w:rFonts w:ascii="宋体" w:hAnsi="宋体"/>
          <w:color w:val="auto"/>
          <w:u w:val="single"/>
        </w:rPr>
        <w:t xml:space="preserve"> </w:t>
      </w:r>
      <w:r>
        <w:rPr>
          <w:rFonts w:ascii="宋体" w:hAnsi="宋体" w:cs="宋体"/>
          <w:color w:val="auto"/>
          <w:u w:val="single"/>
        </w:rPr>
        <w:t xml:space="preserve">   </w:t>
      </w:r>
      <w:r>
        <w:rPr>
          <w:rFonts w:hint="eastAsia" w:ascii="宋体" w:hAnsi="宋体" w:cs="宋体"/>
          <w:color w:val="auto"/>
        </w:rPr>
        <w:t>项目，一旦成交，我方保证在施工过程中，严格执行《广西壮族自治区建筑工程安全防护、文明施工措施费及使用管理细则》（桂建质</w:t>
      </w:r>
      <w:r>
        <w:rPr>
          <w:rFonts w:ascii="宋体" w:hAnsi="宋体" w:cs="宋体"/>
          <w:color w:val="auto"/>
        </w:rPr>
        <w:t>[2015]16</w:t>
      </w:r>
      <w:r>
        <w:rPr>
          <w:rFonts w:hint="eastAsia" w:ascii="宋体" w:hAnsi="宋体" w:cs="宋体"/>
          <w:color w:val="auto"/>
        </w:rPr>
        <w:t>号文）的有关规定，确保建设工程各项安全防护、文明施工措施落实到位。</w:t>
      </w:r>
    </w:p>
    <w:p w14:paraId="7811B877">
      <w:pPr>
        <w:spacing w:line="480" w:lineRule="auto"/>
        <w:ind w:left="-10" w:firstLine="455" w:firstLineChars="217"/>
        <w:jc w:val="left"/>
        <w:rPr>
          <w:rFonts w:ascii="宋体" w:hAnsi="宋体"/>
          <w:color w:val="auto"/>
        </w:rPr>
      </w:pPr>
      <w:r>
        <w:rPr>
          <w:rFonts w:ascii="宋体" w:hAnsi="宋体" w:cs="宋体"/>
          <w:color w:val="auto"/>
        </w:rPr>
        <w:t>2</w:t>
      </w:r>
      <w:r>
        <w:rPr>
          <w:rFonts w:hint="eastAsia" w:ascii="宋体" w:hAnsi="宋体" w:cs="宋体"/>
          <w:color w:val="auto"/>
        </w:rPr>
        <w:t>、如我方在承包的</w:t>
      </w:r>
      <w:r>
        <w:rPr>
          <w:rFonts w:ascii="宋体" w:hAnsi="宋体" w:cs="宋体"/>
          <w:color w:val="auto"/>
          <w:u w:val="single"/>
        </w:rPr>
        <w:t xml:space="preserve">    </w:t>
      </w:r>
      <w:r>
        <w:rPr>
          <w:rFonts w:hint="eastAsia" w:ascii="宋体" w:hAnsi="宋体" w:cs="宋体"/>
          <w:color w:val="auto"/>
          <w:u w:val="single"/>
        </w:rPr>
        <w:t>（工程名称）</w:t>
      </w:r>
      <w:r>
        <w:rPr>
          <w:rFonts w:ascii="宋体" w:hAnsi="宋体"/>
          <w:color w:val="auto"/>
          <w:u w:val="single"/>
        </w:rPr>
        <w:t xml:space="preserve"> </w:t>
      </w:r>
      <w:r>
        <w:rPr>
          <w:rFonts w:ascii="宋体" w:hAnsi="宋体" w:cs="宋体"/>
          <w:color w:val="auto"/>
          <w:u w:val="single"/>
        </w:rPr>
        <w:t xml:space="preserve">    </w:t>
      </w:r>
      <w:r>
        <w:rPr>
          <w:rFonts w:hint="eastAsia" w:ascii="宋体" w:hAnsi="宋体" w:cs="宋体"/>
          <w:color w:val="auto"/>
        </w:rPr>
        <w:t>项目中出现未按桂建质</w:t>
      </w:r>
      <w:r>
        <w:rPr>
          <w:rFonts w:ascii="宋体" w:hAnsi="宋体" w:cs="宋体"/>
          <w:color w:val="auto"/>
        </w:rPr>
        <w:t>[2015]16</w:t>
      </w:r>
      <w:r>
        <w:rPr>
          <w:rFonts w:hint="eastAsia" w:ascii="宋体" w:hAnsi="宋体" w:cs="宋体"/>
          <w:color w:val="auto"/>
        </w:rPr>
        <w:t>号文附件一规定执行的情形，我方愿意按照相关规定接受采购人及有关主管部门的处罚。</w:t>
      </w:r>
    </w:p>
    <w:p w14:paraId="5C510E1D">
      <w:pPr>
        <w:spacing w:line="360" w:lineRule="auto"/>
        <w:ind w:left="-2" w:leftChars="-1" w:firstLine="449" w:firstLineChars="214"/>
        <w:jc w:val="left"/>
        <w:rPr>
          <w:rFonts w:ascii="宋体" w:hAnsi="宋体"/>
          <w:color w:val="auto"/>
        </w:rPr>
      </w:pPr>
    </w:p>
    <w:p w14:paraId="21095707">
      <w:pPr>
        <w:spacing w:line="360" w:lineRule="auto"/>
        <w:jc w:val="left"/>
        <w:rPr>
          <w:rFonts w:ascii="宋体" w:hAnsi="宋体"/>
          <w:color w:val="auto"/>
        </w:rPr>
      </w:pPr>
    </w:p>
    <w:p w14:paraId="516835B1">
      <w:pPr>
        <w:spacing w:line="360" w:lineRule="auto"/>
        <w:jc w:val="left"/>
        <w:rPr>
          <w:rFonts w:ascii="宋体" w:hAnsi="宋体"/>
          <w:color w:val="auto"/>
        </w:rPr>
      </w:pPr>
    </w:p>
    <w:p w14:paraId="712D460E">
      <w:pPr>
        <w:spacing w:line="360" w:lineRule="auto"/>
        <w:jc w:val="left"/>
        <w:rPr>
          <w:rFonts w:ascii="宋体" w:hAnsi="宋体"/>
          <w:color w:val="auto"/>
        </w:rPr>
      </w:pPr>
    </w:p>
    <w:p w14:paraId="4DBE0E5E">
      <w:pPr>
        <w:spacing w:line="360" w:lineRule="auto"/>
        <w:ind w:firstLine="1260" w:firstLineChars="600"/>
        <w:jc w:val="left"/>
        <w:rPr>
          <w:rFonts w:ascii="宋体" w:hAnsi="宋体"/>
          <w:color w:val="auto"/>
          <w:u w:val="single"/>
        </w:rPr>
      </w:pPr>
      <w:r>
        <w:rPr>
          <w:rFonts w:hint="eastAsia" w:ascii="宋体" w:hAnsi="宋体"/>
          <w:color w:val="auto"/>
        </w:rPr>
        <w:t>供应商</w:t>
      </w:r>
      <w:r>
        <w:rPr>
          <w:rFonts w:hint="eastAsia" w:ascii="宋体" w:hAnsi="宋体" w:cs="宋体"/>
          <w:color w:val="auto"/>
        </w:rPr>
        <w:t>：</w:t>
      </w:r>
      <w:r>
        <w:rPr>
          <w:rFonts w:ascii="宋体" w:hAnsi="宋体" w:cs="宋体"/>
          <w:color w:val="auto"/>
          <w:u w:val="single"/>
        </w:rPr>
        <w:t xml:space="preserve">    </w:t>
      </w:r>
      <w:r>
        <w:rPr>
          <w:rFonts w:hint="eastAsia" w:ascii="宋体" w:hAnsi="宋体" w:cs="宋体"/>
          <w:color w:val="auto"/>
          <w:u w:val="single"/>
        </w:rPr>
        <w:t>（供应商名称）</w:t>
      </w:r>
      <w:r>
        <w:rPr>
          <w:rFonts w:ascii="宋体" w:hAnsi="宋体" w:cs="宋体"/>
          <w:color w:val="auto"/>
          <w:u w:val="single"/>
        </w:rPr>
        <w:t xml:space="preserve">    </w:t>
      </w:r>
      <w:r>
        <w:rPr>
          <w:rFonts w:hint="eastAsia" w:ascii="宋体" w:hAnsi="宋体" w:cs="宋体"/>
          <w:color w:val="auto"/>
          <w:u w:val="single"/>
        </w:rPr>
        <w:t>（盖章）</w:t>
      </w:r>
    </w:p>
    <w:p w14:paraId="2353F01B">
      <w:pPr>
        <w:spacing w:line="360" w:lineRule="auto"/>
        <w:ind w:firstLine="1260" w:firstLineChars="600"/>
        <w:jc w:val="left"/>
        <w:rPr>
          <w:rFonts w:ascii="宋体" w:hAnsi="宋体"/>
          <w:color w:val="auto"/>
        </w:rPr>
      </w:pPr>
    </w:p>
    <w:p w14:paraId="2A66F871">
      <w:pPr>
        <w:spacing w:line="360" w:lineRule="auto"/>
        <w:ind w:firstLine="1260" w:firstLineChars="600"/>
        <w:jc w:val="left"/>
        <w:rPr>
          <w:rFonts w:ascii="宋体" w:hAnsi="宋体"/>
          <w:color w:val="auto"/>
        </w:rPr>
      </w:pPr>
      <w:r>
        <w:rPr>
          <w:rFonts w:hint="eastAsia" w:ascii="宋体" w:hAnsi="宋体" w:cs="宋体"/>
          <w:color w:val="auto"/>
        </w:rPr>
        <w:t>法定代表人或授权代理人：</w:t>
      </w:r>
      <w:r>
        <w:rPr>
          <w:rFonts w:ascii="宋体" w:hAnsi="宋体" w:cs="宋体"/>
          <w:color w:val="auto"/>
        </w:rPr>
        <w:t xml:space="preserve"> </w:t>
      </w:r>
      <w:r>
        <w:rPr>
          <w:rFonts w:hint="eastAsia" w:ascii="宋体" w:hAnsi="宋体" w:cs="宋体"/>
          <w:color w:val="auto"/>
        </w:rPr>
        <w:t>（电子签名）</w:t>
      </w:r>
      <w:r>
        <w:rPr>
          <w:rFonts w:ascii="宋体" w:hAnsi="宋体" w:cs="宋体"/>
          <w:color w:val="auto"/>
        </w:rPr>
        <w:t xml:space="preserve"> </w:t>
      </w:r>
    </w:p>
    <w:p w14:paraId="715A9402">
      <w:pPr>
        <w:spacing w:line="360" w:lineRule="auto"/>
        <w:ind w:firstLine="1260" w:firstLineChars="600"/>
        <w:jc w:val="left"/>
        <w:rPr>
          <w:rFonts w:ascii="宋体" w:hAnsi="宋体"/>
          <w:color w:val="auto"/>
        </w:rPr>
      </w:pPr>
    </w:p>
    <w:p w14:paraId="7C403856">
      <w:pPr>
        <w:spacing w:line="360" w:lineRule="auto"/>
        <w:ind w:firstLine="1260" w:firstLineChars="600"/>
        <w:jc w:val="left"/>
        <w:rPr>
          <w:rFonts w:ascii="宋体" w:hAnsi="宋体"/>
          <w:color w:val="auto"/>
        </w:rPr>
      </w:pPr>
      <w:r>
        <w:rPr>
          <w:rFonts w:hint="eastAsia" w:ascii="宋体" w:hAnsi="宋体" w:cs="宋体"/>
          <w:color w:val="auto"/>
        </w:rPr>
        <w:t>日期：</w:t>
      </w:r>
      <w:r>
        <w:rPr>
          <w:rFonts w:ascii="宋体" w:hAnsi="宋体" w:cs="宋体"/>
          <w:color w:val="auto"/>
        </w:rPr>
        <w:t xml:space="preserve">    </w:t>
      </w:r>
      <w:r>
        <w:rPr>
          <w:rFonts w:hint="eastAsia" w:ascii="宋体" w:hAnsi="宋体" w:cs="宋体"/>
          <w:color w:val="auto"/>
        </w:rPr>
        <w:t>年</w:t>
      </w:r>
      <w:r>
        <w:rPr>
          <w:rFonts w:ascii="宋体" w:hAnsi="宋体" w:cs="宋体"/>
          <w:color w:val="auto"/>
        </w:rPr>
        <w:t xml:space="preserve">   </w:t>
      </w:r>
      <w:r>
        <w:rPr>
          <w:rFonts w:hint="eastAsia" w:ascii="宋体" w:hAnsi="宋体" w:cs="宋体"/>
          <w:color w:val="auto"/>
        </w:rPr>
        <w:t>月</w:t>
      </w:r>
      <w:r>
        <w:rPr>
          <w:rFonts w:ascii="宋体" w:hAnsi="宋体" w:cs="宋体"/>
          <w:color w:val="auto"/>
        </w:rPr>
        <w:t xml:space="preserve">   </w:t>
      </w:r>
      <w:r>
        <w:rPr>
          <w:rFonts w:hint="eastAsia" w:ascii="宋体" w:hAnsi="宋体" w:cs="宋体"/>
          <w:color w:val="auto"/>
        </w:rPr>
        <w:t>日</w:t>
      </w:r>
    </w:p>
    <w:p w14:paraId="714C78F9">
      <w:pPr>
        <w:spacing w:line="520" w:lineRule="exact"/>
        <w:ind w:left="-10" w:firstLine="455" w:firstLineChars="217"/>
        <w:jc w:val="left"/>
        <w:rPr>
          <w:rFonts w:ascii="宋体" w:hAnsi="宋体"/>
          <w:color w:val="auto"/>
        </w:rPr>
      </w:pPr>
    </w:p>
    <w:p w14:paraId="4F146DC7">
      <w:pPr>
        <w:spacing w:line="520" w:lineRule="exact"/>
        <w:ind w:left="-10" w:firstLine="455" w:firstLineChars="217"/>
        <w:jc w:val="left"/>
        <w:rPr>
          <w:rFonts w:ascii="宋体" w:hAnsi="宋体"/>
          <w:color w:val="auto"/>
        </w:rPr>
      </w:pPr>
    </w:p>
    <w:p w14:paraId="615C35D8">
      <w:pPr>
        <w:spacing w:line="520" w:lineRule="exact"/>
        <w:ind w:left="-10" w:firstLine="455" w:firstLineChars="217"/>
        <w:jc w:val="left"/>
        <w:rPr>
          <w:rFonts w:ascii="宋体" w:hAnsi="宋体"/>
          <w:color w:val="auto"/>
        </w:rPr>
      </w:pPr>
    </w:p>
    <w:p w14:paraId="4838E88F">
      <w:pPr>
        <w:spacing w:line="520" w:lineRule="exact"/>
        <w:ind w:left="-10" w:firstLine="455" w:firstLineChars="217"/>
        <w:jc w:val="left"/>
        <w:rPr>
          <w:rFonts w:ascii="宋体" w:hAnsi="宋体"/>
          <w:color w:val="auto"/>
        </w:rPr>
      </w:pPr>
    </w:p>
    <w:p w14:paraId="15614BF5">
      <w:pPr>
        <w:spacing w:line="520" w:lineRule="exact"/>
        <w:ind w:left="-10" w:firstLine="455" w:firstLineChars="217"/>
        <w:jc w:val="left"/>
        <w:rPr>
          <w:rFonts w:ascii="宋体" w:hAnsi="宋体"/>
          <w:color w:val="auto"/>
        </w:rPr>
      </w:pPr>
    </w:p>
    <w:p w14:paraId="6FC8F181">
      <w:pPr>
        <w:spacing w:line="520" w:lineRule="exact"/>
        <w:ind w:left="-10" w:firstLine="455" w:firstLineChars="217"/>
        <w:jc w:val="left"/>
        <w:rPr>
          <w:rFonts w:ascii="宋体" w:hAnsi="宋体"/>
          <w:color w:val="auto"/>
        </w:rPr>
      </w:pPr>
      <w:r>
        <w:rPr>
          <w:rFonts w:ascii="宋体" w:hAnsi="宋体"/>
          <w:color w:val="auto"/>
        </w:rPr>
        <w:br w:type="page"/>
      </w:r>
      <w:bookmarkEnd w:id="881"/>
      <w:bookmarkEnd w:id="882"/>
      <w:bookmarkEnd w:id="883"/>
      <w:r>
        <w:rPr>
          <w:rFonts w:hint="eastAsia" w:ascii="宋体" w:hAnsi="宋体"/>
          <w:b/>
          <w:color w:val="auto"/>
          <w:sz w:val="24"/>
        </w:rPr>
        <w:t>格式六：</w:t>
      </w:r>
    </w:p>
    <w:p w14:paraId="1CB62700">
      <w:pPr>
        <w:pStyle w:val="24"/>
        <w:ind w:firstLine="562"/>
        <w:jc w:val="center"/>
        <w:rPr>
          <w:rFonts w:hAnsi="宋体"/>
          <w:b/>
          <w:color w:val="auto"/>
          <w:sz w:val="28"/>
          <w:szCs w:val="28"/>
        </w:rPr>
      </w:pPr>
    </w:p>
    <w:p w14:paraId="62C17D99">
      <w:pPr>
        <w:snapToGrid w:val="0"/>
        <w:spacing w:line="38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中小企业声明函</w:t>
      </w:r>
    </w:p>
    <w:p w14:paraId="3BE3871A">
      <w:pPr>
        <w:pStyle w:val="29"/>
        <w:rPr>
          <w:color w:val="auto"/>
        </w:rPr>
      </w:pPr>
    </w:p>
    <w:p w14:paraId="33B350DB">
      <w:pPr>
        <w:spacing w:line="408" w:lineRule="auto"/>
        <w:ind w:firstLine="422" w:firstLineChars="200"/>
        <w:rPr>
          <w:rFonts w:ascii="宋体" w:hAnsi="宋体" w:cs="宋体"/>
          <w:color w:val="auto"/>
          <w:spacing w:val="6"/>
          <w:szCs w:val="21"/>
        </w:rPr>
      </w:pPr>
      <w:r>
        <w:rPr>
          <w:rFonts w:hint="eastAsia" w:ascii="宋体" w:hAnsi="宋体" w:cs="宋体"/>
          <w:b/>
          <w:bCs/>
          <w:color w:val="auto"/>
          <w:kern w:val="0"/>
          <w:szCs w:val="21"/>
        </w:rPr>
        <w:t> </w:t>
      </w:r>
      <w:r>
        <w:rPr>
          <w:rFonts w:hint="eastAsia" w:ascii="宋体" w:hAnsi="宋体" w:cs="宋体"/>
          <w:color w:val="auto"/>
          <w:kern w:val="0"/>
          <w:szCs w:val="21"/>
        </w:rPr>
        <w:t xml:space="preserve">   </w:t>
      </w:r>
      <w:r>
        <w:rPr>
          <w:rFonts w:hint="eastAsia" w:ascii="宋体" w:hAnsi="宋体" w:cs="宋体"/>
          <w:color w:val="auto"/>
          <w:spacing w:val="6"/>
          <w:szCs w:val="21"/>
        </w:rPr>
        <w:t>本公司（联合体）郑重声明，根据《政府采购促进中小企业发展管理办法》（财库﹝2020﹞46 号）的规定，本公司 （联合体）参加（单位名称）的（项目名称）采购活动，工程的施工单位全部为符合政策要求的中小企业（或者：服务全部由符合政策要求的中小企业承接）。相关企业（含联合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14:paraId="405ED71B">
      <w:pPr>
        <w:spacing w:line="408" w:lineRule="auto"/>
        <w:ind w:firstLine="555" w:firstLineChars="250"/>
        <w:rPr>
          <w:rFonts w:ascii="宋体" w:hAnsi="宋体" w:cs="宋体"/>
          <w:color w:val="auto"/>
          <w:spacing w:val="6"/>
          <w:szCs w:val="21"/>
        </w:rPr>
      </w:pPr>
      <w:r>
        <w:rPr>
          <w:rFonts w:hint="eastAsia" w:ascii="宋体" w:hAnsi="宋体" w:cs="宋体"/>
          <w:color w:val="auto"/>
          <w:spacing w:val="6"/>
          <w:szCs w:val="21"/>
        </w:rPr>
        <w:t xml:space="preserve">1. </w:t>
      </w:r>
      <w:r>
        <w:rPr>
          <w:rFonts w:hint="eastAsia" w:ascii="宋体" w:hAnsi="宋体" w:cs="宋体"/>
          <w:color w:val="auto"/>
          <w:spacing w:val="6"/>
          <w:szCs w:val="21"/>
          <w:u w:val="single"/>
        </w:rPr>
        <w:t xml:space="preserve">（标的名称） </w:t>
      </w:r>
      <w:r>
        <w:rPr>
          <w:rFonts w:hint="eastAsia" w:ascii="宋体" w:hAnsi="宋体" w:cs="宋体"/>
          <w:color w:val="auto"/>
          <w:spacing w:val="6"/>
          <w:szCs w:val="21"/>
        </w:rPr>
        <w:t>，属于</w:t>
      </w:r>
      <w:r>
        <w:rPr>
          <w:rFonts w:hint="eastAsia" w:ascii="宋体" w:hAnsi="宋体" w:cs="宋体"/>
          <w:color w:val="auto"/>
          <w:spacing w:val="6"/>
          <w:szCs w:val="21"/>
          <w:u w:val="single"/>
        </w:rPr>
        <w:t>（采购文件中明确的所属行业）</w:t>
      </w:r>
      <w:r>
        <w:rPr>
          <w:rFonts w:hint="eastAsia" w:ascii="宋体" w:hAnsi="宋体" w:cs="宋体"/>
          <w:color w:val="auto"/>
          <w:spacing w:val="6"/>
          <w:szCs w:val="21"/>
        </w:rPr>
        <w:t>；承建（承接）企业为</w:t>
      </w:r>
      <w:r>
        <w:rPr>
          <w:rFonts w:hint="eastAsia" w:ascii="宋体" w:hAnsi="宋体" w:cs="宋体"/>
          <w:color w:val="auto"/>
          <w:spacing w:val="6"/>
          <w:szCs w:val="21"/>
          <w:u w:val="single"/>
        </w:rPr>
        <w:t>（企业名称）</w:t>
      </w:r>
      <w:r>
        <w:rPr>
          <w:rFonts w:hint="eastAsia" w:ascii="宋体" w:hAnsi="宋体" w:cs="宋体"/>
          <w:color w:val="auto"/>
          <w:spacing w:val="6"/>
          <w:szCs w:val="21"/>
        </w:rPr>
        <w:t>，从业人员</w:t>
      </w:r>
      <w:r>
        <w:rPr>
          <w:rFonts w:hint="eastAsia" w:ascii="宋体" w:hAnsi="宋体" w:cs="宋体"/>
          <w:color w:val="auto"/>
          <w:spacing w:val="6"/>
          <w:szCs w:val="21"/>
          <w:u w:val="single"/>
        </w:rPr>
        <w:t xml:space="preserve">    </w:t>
      </w:r>
      <w:r>
        <w:rPr>
          <w:rFonts w:hint="eastAsia" w:ascii="宋体" w:hAnsi="宋体" w:cs="宋体"/>
          <w:color w:val="auto"/>
          <w:spacing w:val="6"/>
          <w:szCs w:val="21"/>
        </w:rPr>
        <w:t xml:space="preserve">人，营业收入为 </w:t>
      </w:r>
      <w:r>
        <w:rPr>
          <w:rFonts w:hint="eastAsia" w:ascii="宋体" w:hAnsi="宋体" w:cs="宋体"/>
          <w:color w:val="auto"/>
          <w:spacing w:val="6"/>
          <w:szCs w:val="21"/>
          <w:u w:val="single"/>
        </w:rPr>
        <w:t xml:space="preserve">   万元</w:t>
      </w:r>
      <w:r>
        <w:rPr>
          <w:rFonts w:hint="eastAsia" w:ascii="宋体" w:hAnsi="宋体" w:cs="宋体"/>
          <w:color w:val="auto"/>
          <w:spacing w:val="6"/>
          <w:szCs w:val="21"/>
        </w:rPr>
        <w:t>，资产总额为</w:t>
      </w:r>
      <w:r>
        <w:rPr>
          <w:rFonts w:hint="eastAsia" w:ascii="宋体" w:hAnsi="宋体" w:cs="宋体"/>
          <w:color w:val="auto"/>
          <w:spacing w:val="6"/>
          <w:szCs w:val="21"/>
          <w:u w:val="single"/>
        </w:rPr>
        <w:t xml:space="preserve">     万元</w:t>
      </w:r>
      <w:r>
        <w:rPr>
          <w:rFonts w:hint="eastAsia" w:ascii="宋体" w:hAnsi="宋体" w:cs="宋体"/>
          <w:color w:val="auto"/>
          <w:spacing w:val="6"/>
          <w:szCs w:val="21"/>
        </w:rPr>
        <w:t>，属于</w:t>
      </w:r>
      <w:r>
        <w:rPr>
          <w:rFonts w:hint="eastAsia" w:ascii="宋体" w:hAnsi="宋体" w:cs="宋体"/>
          <w:color w:val="auto"/>
          <w:spacing w:val="6"/>
          <w:szCs w:val="21"/>
          <w:u w:val="single"/>
        </w:rPr>
        <w:t>（中型企业、小型企业、微型企业）</w:t>
      </w:r>
      <w:r>
        <w:rPr>
          <w:rFonts w:hint="eastAsia" w:ascii="宋体" w:hAnsi="宋体" w:cs="宋体"/>
          <w:color w:val="auto"/>
          <w:spacing w:val="6"/>
          <w:szCs w:val="21"/>
        </w:rPr>
        <w:t xml:space="preserve">； </w:t>
      </w:r>
    </w:p>
    <w:p w14:paraId="656A000D">
      <w:pPr>
        <w:spacing w:line="408" w:lineRule="auto"/>
        <w:ind w:firstLine="444" w:firstLineChars="200"/>
        <w:rPr>
          <w:rFonts w:ascii="宋体" w:hAnsi="宋体" w:cs="宋体"/>
          <w:color w:val="auto"/>
          <w:spacing w:val="6"/>
          <w:szCs w:val="21"/>
        </w:rPr>
      </w:pPr>
      <w:r>
        <w:rPr>
          <w:rFonts w:hint="eastAsia" w:ascii="宋体" w:hAnsi="宋体" w:cs="宋体"/>
          <w:color w:val="auto"/>
          <w:spacing w:val="6"/>
          <w:szCs w:val="21"/>
        </w:rPr>
        <w:t>2.</w:t>
      </w:r>
      <w:r>
        <w:rPr>
          <w:rFonts w:hint="eastAsia" w:ascii="宋体" w:hAnsi="宋体" w:cs="宋体"/>
          <w:color w:val="auto"/>
          <w:spacing w:val="6"/>
          <w:szCs w:val="21"/>
          <w:u w:val="single"/>
        </w:rPr>
        <w:t xml:space="preserve"> （标的名称） </w:t>
      </w:r>
      <w:r>
        <w:rPr>
          <w:rFonts w:hint="eastAsia" w:ascii="宋体" w:hAnsi="宋体" w:cs="宋体"/>
          <w:color w:val="auto"/>
          <w:spacing w:val="6"/>
          <w:szCs w:val="21"/>
        </w:rPr>
        <w:t>，属于</w:t>
      </w:r>
      <w:r>
        <w:rPr>
          <w:rFonts w:hint="eastAsia" w:ascii="宋体" w:hAnsi="宋体" w:cs="宋体"/>
          <w:color w:val="auto"/>
          <w:spacing w:val="6"/>
          <w:szCs w:val="21"/>
          <w:u w:val="single"/>
        </w:rPr>
        <w:t>（采购文件中明确的所属行业）</w:t>
      </w:r>
      <w:r>
        <w:rPr>
          <w:rFonts w:hint="eastAsia" w:ascii="宋体" w:hAnsi="宋体" w:cs="宋体"/>
          <w:color w:val="auto"/>
          <w:spacing w:val="6"/>
          <w:szCs w:val="21"/>
        </w:rPr>
        <w:t>； 承建（承接）企业为</w:t>
      </w:r>
      <w:r>
        <w:rPr>
          <w:rFonts w:hint="eastAsia" w:ascii="宋体" w:hAnsi="宋体" w:cs="宋体"/>
          <w:color w:val="auto"/>
          <w:spacing w:val="6"/>
          <w:szCs w:val="21"/>
          <w:u w:val="single"/>
        </w:rPr>
        <w:t>（企业名称）</w:t>
      </w:r>
      <w:r>
        <w:rPr>
          <w:rFonts w:hint="eastAsia" w:ascii="宋体" w:hAnsi="宋体" w:cs="宋体"/>
          <w:color w:val="auto"/>
          <w:spacing w:val="6"/>
          <w:szCs w:val="21"/>
        </w:rPr>
        <w:t>，从业人员</w:t>
      </w:r>
      <w:r>
        <w:rPr>
          <w:rFonts w:hint="eastAsia" w:ascii="宋体" w:hAnsi="宋体" w:cs="宋体"/>
          <w:color w:val="auto"/>
          <w:spacing w:val="6"/>
          <w:szCs w:val="21"/>
          <w:u w:val="single"/>
        </w:rPr>
        <w:t xml:space="preserve">    </w:t>
      </w:r>
      <w:r>
        <w:rPr>
          <w:rFonts w:hint="eastAsia" w:ascii="宋体" w:hAnsi="宋体" w:cs="宋体"/>
          <w:color w:val="auto"/>
          <w:spacing w:val="6"/>
          <w:szCs w:val="21"/>
        </w:rPr>
        <w:t>人，营业收入为</w:t>
      </w:r>
      <w:r>
        <w:rPr>
          <w:rFonts w:hint="eastAsia" w:ascii="宋体" w:hAnsi="宋体" w:cs="宋体"/>
          <w:color w:val="auto"/>
          <w:spacing w:val="6"/>
          <w:szCs w:val="21"/>
          <w:u w:val="single"/>
        </w:rPr>
        <w:t xml:space="preserve">     </w:t>
      </w:r>
      <w:r>
        <w:rPr>
          <w:rFonts w:hint="eastAsia" w:ascii="宋体" w:hAnsi="宋体" w:cs="宋体"/>
          <w:color w:val="auto"/>
          <w:spacing w:val="6"/>
          <w:szCs w:val="21"/>
        </w:rPr>
        <w:t>万元，资产总额为</w:t>
      </w:r>
      <w:r>
        <w:rPr>
          <w:rFonts w:hint="eastAsia" w:ascii="宋体" w:hAnsi="宋体" w:cs="宋体"/>
          <w:color w:val="auto"/>
          <w:spacing w:val="6"/>
          <w:szCs w:val="21"/>
          <w:u w:val="single"/>
        </w:rPr>
        <w:t xml:space="preserve">     </w:t>
      </w:r>
      <w:r>
        <w:rPr>
          <w:rFonts w:hint="eastAsia" w:ascii="宋体" w:hAnsi="宋体" w:cs="宋体"/>
          <w:color w:val="auto"/>
          <w:spacing w:val="6"/>
          <w:szCs w:val="21"/>
        </w:rPr>
        <w:t>万元，属于</w:t>
      </w:r>
      <w:r>
        <w:rPr>
          <w:rFonts w:hint="eastAsia" w:ascii="宋体" w:hAnsi="宋体" w:cs="宋体"/>
          <w:color w:val="auto"/>
          <w:spacing w:val="6"/>
          <w:szCs w:val="21"/>
          <w:u w:val="single"/>
        </w:rPr>
        <w:t>（中型企业、 小型企业、微型企业）</w:t>
      </w:r>
      <w:r>
        <w:rPr>
          <w:rFonts w:hint="eastAsia" w:ascii="宋体" w:hAnsi="宋体" w:cs="宋体"/>
          <w:color w:val="auto"/>
          <w:spacing w:val="6"/>
          <w:szCs w:val="21"/>
        </w:rPr>
        <w:t xml:space="preserve">； </w:t>
      </w:r>
    </w:p>
    <w:p w14:paraId="7BC1FDB6">
      <w:pPr>
        <w:spacing w:line="408" w:lineRule="auto"/>
        <w:rPr>
          <w:rFonts w:ascii="宋体" w:hAnsi="宋体" w:cs="宋体"/>
          <w:color w:val="auto"/>
          <w:spacing w:val="6"/>
          <w:szCs w:val="21"/>
        </w:rPr>
      </w:pPr>
      <w:r>
        <w:rPr>
          <w:rFonts w:hint="eastAsia" w:ascii="宋体" w:hAnsi="宋体" w:cs="宋体"/>
          <w:color w:val="auto"/>
          <w:spacing w:val="6"/>
          <w:szCs w:val="21"/>
        </w:rPr>
        <w:t>……</w:t>
      </w:r>
    </w:p>
    <w:p w14:paraId="63CC3C3B">
      <w:pPr>
        <w:spacing w:line="408" w:lineRule="auto"/>
        <w:ind w:firstLine="444" w:firstLineChars="200"/>
        <w:rPr>
          <w:rFonts w:ascii="宋体" w:hAnsi="宋体" w:cs="宋体"/>
          <w:color w:val="auto"/>
          <w:spacing w:val="6"/>
          <w:szCs w:val="21"/>
        </w:rPr>
      </w:pPr>
      <w:r>
        <w:rPr>
          <w:rFonts w:hint="eastAsia" w:ascii="宋体" w:hAnsi="宋体" w:cs="宋体"/>
          <w:color w:val="auto"/>
          <w:spacing w:val="6"/>
          <w:szCs w:val="21"/>
        </w:rPr>
        <w:t>以上企业，不属于大企业的分支机构，不存在控股股东为大企业的情形，也不存在与大企业的负责人为同一人的情形。</w:t>
      </w:r>
    </w:p>
    <w:p w14:paraId="3242B1CB">
      <w:pPr>
        <w:spacing w:line="408" w:lineRule="auto"/>
        <w:ind w:firstLine="444" w:firstLineChars="200"/>
        <w:rPr>
          <w:rFonts w:ascii="宋体" w:hAnsi="宋体" w:cs="宋体"/>
          <w:color w:val="auto"/>
          <w:spacing w:val="6"/>
          <w:szCs w:val="21"/>
        </w:rPr>
      </w:pPr>
      <w:r>
        <w:rPr>
          <w:rFonts w:hint="eastAsia" w:ascii="宋体" w:hAnsi="宋体" w:cs="宋体"/>
          <w:color w:val="auto"/>
          <w:spacing w:val="6"/>
          <w:szCs w:val="21"/>
        </w:rPr>
        <w:t xml:space="preserve">本企业对上述声明内容的真实性负责。如有虚假，将依法承担相应责任。 </w:t>
      </w:r>
    </w:p>
    <w:p w14:paraId="47FE07EC">
      <w:pPr>
        <w:pStyle w:val="29"/>
        <w:spacing w:line="408" w:lineRule="auto"/>
        <w:rPr>
          <w:rFonts w:ascii="宋体" w:hAnsi="宋体" w:cs="宋体"/>
          <w:color w:val="auto"/>
          <w:sz w:val="21"/>
          <w:szCs w:val="21"/>
        </w:rPr>
      </w:pPr>
    </w:p>
    <w:p w14:paraId="1FAA8CCF">
      <w:pPr>
        <w:pStyle w:val="29"/>
        <w:spacing w:line="408" w:lineRule="auto"/>
        <w:rPr>
          <w:rFonts w:ascii="宋体" w:hAnsi="宋体" w:cs="宋体"/>
          <w:color w:val="auto"/>
          <w:sz w:val="21"/>
          <w:szCs w:val="21"/>
        </w:rPr>
      </w:pPr>
    </w:p>
    <w:p w14:paraId="126B33FB">
      <w:pPr>
        <w:spacing w:line="408" w:lineRule="auto"/>
        <w:jc w:val="center"/>
        <w:rPr>
          <w:rFonts w:ascii="宋体" w:hAnsi="宋体" w:cs="宋体"/>
          <w:color w:val="auto"/>
          <w:spacing w:val="6"/>
          <w:szCs w:val="21"/>
        </w:rPr>
      </w:pPr>
      <w:r>
        <w:rPr>
          <w:rFonts w:hint="eastAsia" w:ascii="宋体" w:hAnsi="宋体" w:cs="宋体"/>
          <w:color w:val="auto"/>
          <w:spacing w:val="6"/>
          <w:szCs w:val="21"/>
        </w:rPr>
        <w:t>企业名称（盖章）：</w:t>
      </w:r>
    </w:p>
    <w:p w14:paraId="03A2D6B6">
      <w:pPr>
        <w:spacing w:line="408" w:lineRule="auto"/>
        <w:ind w:firstLine="444" w:firstLineChars="200"/>
        <w:jc w:val="center"/>
        <w:rPr>
          <w:rFonts w:ascii="宋体" w:hAnsi="宋体" w:cs="宋体"/>
          <w:color w:val="auto"/>
          <w:szCs w:val="21"/>
        </w:rPr>
      </w:pPr>
      <w:r>
        <w:rPr>
          <w:rFonts w:hint="eastAsia" w:ascii="宋体" w:hAnsi="宋体" w:cs="宋体"/>
          <w:color w:val="auto"/>
          <w:spacing w:val="6"/>
          <w:szCs w:val="21"/>
        </w:rPr>
        <w:t xml:space="preserve">     日  期： </w:t>
      </w:r>
      <w:r>
        <w:rPr>
          <w:rFonts w:hint="eastAsia" w:ascii="宋体" w:hAnsi="宋体" w:cs="宋体"/>
          <w:color w:val="auto"/>
          <w:szCs w:val="21"/>
        </w:rPr>
        <w:t xml:space="preserve">        </w:t>
      </w:r>
    </w:p>
    <w:p w14:paraId="32705F1E">
      <w:pPr>
        <w:spacing w:line="520" w:lineRule="exact"/>
        <w:rPr>
          <w:rFonts w:ascii="宋体" w:hAnsi="宋体" w:cs="宋体"/>
          <w:color w:val="auto"/>
          <w:szCs w:val="21"/>
        </w:rPr>
      </w:pPr>
    </w:p>
    <w:p w14:paraId="4A27DE88">
      <w:pPr>
        <w:spacing w:line="520" w:lineRule="exact"/>
        <w:rPr>
          <w:rFonts w:ascii="宋体" w:hAnsi="宋体" w:cs="宋体"/>
          <w:color w:val="auto"/>
          <w:szCs w:val="21"/>
        </w:rPr>
      </w:pPr>
      <w:r>
        <w:rPr>
          <w:rFonts w:hint="eastAsia" w:ascii="宋体" w:hAnsi="宋体" w:cs="宋体"/>
          <w:color w:val="auto"/>
          <w:szCs w:val="21"/>
        </w:rPr>
        <w:t>注：请根据自己的真实情况出具《中小企业声明函》。依法享受中小企业优惠政策的，采购人或采购代理机构在公告中标结果时，同时公告其《中小企业声明函》，接受社会监督。</w:t>
      </w:r>
    </w:p>
    <w:p w14:paraId="64B2D401">
      <w:pPr>
        <w:pStyle w:val="13"/>
        <w:rPr>
          <w:rFonts w:ascii="宋体" w:hAnsi="宋体"/>
          <w:b/>
          <w:color w:val="auto"/>
          <w:sz w:val="24"/>
        </w:rPr>
      </w:pPr>
    </w:p>
    <w:p w14:paraId="7E78DCC6">
      <w:pPr>
        <w:pStyle w:val="13"/>
        <w:rPr>
          <w:rFonts w:ascii="宋体" w:hAnsi="宋体"/>
          <w:b/>
          <w:color w:val="auto"/>
          <w:sz w:val="24"/>
        </w:rPr>
      </w:pPr>
    </w:p>
    <w:p w14:paraId="7B4D5153">
      <w:pPr>
        <w:pStyle w:val="13"/>
        <w:rPr>
          <w:rFonts w:ascii="宋体" w:hAnsi="宋体"/>
          <w:b/>
          <w:color w:val="auto"/>
          <w:sz w:val="24"/>
        </w:rPr>
      </w:pPr>
    </w:p>
    <w:p w14:paraId="6EDEADD4">
      <w:pPr>
        <w:pStyle w:val="13"/>
        <w:rPr>
          <w:rFonts w:ascii="宋体" w:hAnsi="宋体"/>
          <w:b/>
          <w:color w:val="auto"/>
          <w:sz w:val="24"/>
        </w:rPr>
      </w:pPr>
    </w:p>
    <w:p w14:paraId="2CC15557">
      <w:pPr>
        <w:pStyle w:val="13"/>
        <w:rPr>
          <w:rFonts w:ascii="宋体" w:hAnsi="宋体"/>
          <w:b/>
          <w:color w:val="auto"/>
          <w:sz w:val="24"/>
        </w:rPr>
      </w:pPr>
    </w:p>
    <w:p w14:paraId="7B6398AA">
      <w:pPr>
        <w:pStyle w:val="13"/>
        <w:rPr>
          <w:rFonts w:ascii="宋体" w:hAnsi="宋体"/>
          <w:b/>
          <w:color w:val="auto"/>
          <w:sz w:val="24"/>
        </w:rPr>
      </w:pPr>
    </w:p>
    <w:p w14:paraId="086C9BC6">
      <w:pPr>
        <w:pStyle w:val="13"/>
        <w:rPr>
          <w:rFonts w:ascii="宋体" w:hAnsi="宋体"/>
          <w:b/>
          <w:color w:val="auto"/>
          <w:sz w:val="24"/>
        </w:rPr>
      </w:pPr>
    </w:p>
    <w:p w14:paraId="148C20FF">
      <w:pPr>
        <w:pStyle w:val="13"/>
        <w:rPr>
          <w:rFonts w:ascii="宋体" w:hAnsi="宋体"/>
          <w:b/>
          <w:color w:val="auto"/>
          <w:sz w:val="24"/>
        </w:rPr>
      </w:pPr>
    </w:p>
    <w:p w14:paraId="010FD335">
      <w:pPr>
        <w:pStyle w:val="13"/>
        <w:rPr>
          <w:rFonts w:ascii="宋体" w:hAnsi="宋体"/>
          <w:b/>
          <w:color w:val="auto"/>
          <w:sz w:val="24"/>
        </w:rPr>
      </w:pPr>
    </w:p>
    <w:p w14:paraId="7F0B5149">
      <w:pPr>
        <w:pStyle w:val="13"/>
        <w:rPr>
          <w:rFonts w:ascii="宋体" w:hAnsi="宋体"/>
          <w:b/>
          <w:color w:val="auto"/>
          <w:sz w:val="28"/>
          <w:szCs w:val="28"/>
        </w:rPr>
      </w:pPr>
      <w:r>
        <w:rPr>
          <w:rFonts w:hint="eastAsia" w:ascii="宋体" w:hAnsi="宋体"/>
          <w:b/>
          <w:color w:val="auto"/>
          <w:sz w:val="24"/>
        </w:rPr>
        <w:t>格式七：</w:t>
      </w:r>
    </w:p>
    <w:p w14:paraId="75025778">
      <w:pPr>
        <w:pStyle w:val="24"/>
        <w:spacing w:line="500" w:lineRule="exact"/>
        <w:ind w:firstLine="562"/>
        <w:jc w:val="center"/>
        <w:rPr>
          <w:rFonts w:hAnsi="宋体"/>
          <w:b/>
          <w:color w:val="auto"/>
          <w:sz w:val="28"/>
          <w:szCs w:val="28"/>
        </w:rPr>
      </w:pPr>
      <w:r>
        <w:rPr>
          <w:rFonts w:hint="eastAsia" w:hAnsi="宋体"/>
          <w:b/>
          <w:color w:val="auto"/>
          <w:sz w:val="28"/>
          <w:szCs w:val="28"/>
        </w:rPr>
        <w:t xml:space="preserve"> 残疾人福利性单位声明函 </w:t>
      </w:r>
    </w:p>
    <w:p w14:paraId="4F999518">
      <w:pPr>
        <w:pStyle w:val="24"/>
        <w:spacing w:line="500" w:lineRule="exact"/>
        <w:ind w:firstLine="600" w:firstLineChars="250"/>
        <w:rPr>
          <w:rFonts w:hAnsi="宋体"/>
          <w:color w:val="auto"/>
          <w:sz w:val="24"/>
          <w:szCs w:val="24"/>
        </w:rPr>
      </w:pPr>
    </w:p>
    <w:p w14:paraId="2BF97B77">
      <w:pPr>
        <w:spacing w:line="588" w:lineRule="exact"/>
        <w:ind w:firstLine="444" w:firstLineChars="200"/>
        <w:rPr>
          <w:rFonts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 141</w:t>
      </w:r>
      <w:r>
        <w:rPr>
          <w:rFonts w:hint="eastAsia" w:ascii="宋体" w:hAnsi="宋体"/>
          <w:color w:val="auto"/>
          <w:spacing w:val="6"/>
          <w:szCs w:val="21"/>
        </w:rPr>
        <w:t>号）的规定，本单位为</w:t>
      </w:r>
      <w:r>
        <w:rPr>
          <w:rFonts w:hint="eastAsia" w:ascii="宋体" w:hAnsi="宋体"/>
          <w:color w:val="auto"/>
          <w:spacing w:val="6"/>
          <w:szCs w:val="21"/>
          <w:u w:val="single"/>
        </w:rPr>
        <w:t>(符合/不符合)</w:t>
      </w:r>
      <w:r>
        <w:rPr>
          <w:rFonts w:hint="eastAsia" w:ascii="宋体" w:hAnsi="宋体"/>
          <w:color w:val="auto"/>
          <w:spacing w:val="6"/>
          <w:szCs w:val="21"/>
        </w:rPr>
        <w:t>条件的残疾人福利性单位，且本单位参加</w:t>
      </w:r>
      <w:r>
        <w:rPr>
          <w:rFonts w:hint="eastAsia" w:ascii="宋体" w:hAnsi="宋体"/>
          <w:color w:val="auto"/>
          <w:szCs w:val="21"/>
          <w:u w:val="single"/>
        </w:rPr>
        <w:t xml:space="preserve">  （采购人名称）     </w:t>
      </w:r>
      <w:r>
        <w:rPr>
          <w:rFonts w:hint="eastAsia" w:ascii="宋体" w:hAnsi="宋体"/>
          <w:color w:val="auto"/>
          <w:spacing w:val="6"/>
          <w:szCs w:val="21"/>
        </w:rPr>
        <w:t>单位的</w:t>
      </w:r>
      <w:r>
        <w:rPr>
          <w:rFonts w:hint="eastAsia" w:ascii="宋体" w:hAnsi="宋体"/>
          <w:color w:val="auto"/>
          <w:szCs w:val="21"/>
          <w:u w:val="single"/>
        </w:rPr>
        <w:t xml:space="preserve">      （项目名称）         </w:t>
      </w:r>
      <w:r>
        <w:rPr>
          <w:rFonts w:hint="eastAsia" w:ascii="宋体" w:hAnsi="宋体"/>
          <w:color w:val="auto"/>
          <w:spacing w:val="6"/>
          <w:szCs w:val="21"/>
        </w:rPr>
        <w:t>项目采购活动提供本单位制造的货物（由本单位承担工程/提供服务），或者提供其他残疾人福利性单位制造的货物（不包括使用非残疾人福利性单位注册商标的货物）。</w:t>
      </w:r>
    </w:p>
    <w:p w14:paraId="45111E8E">
      <w:pPr>
        <w:spacing w:line="588" w:lineRule="exact"/>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14:paraId="1297F698">
      <w:pPr>
        <w:spacing w:line="588" w:lineRule="exact"/>
        <w:ind w:firstLine="444" w:firstLineChars="200"/>
        <w:rPr>
          <w:rFonts w:ascii="宋体" w:hAnsi="宋体"/>
          <w:color w:val="auto"/>
          <w:spacing w:val="6"/>
          <w:szCs w:val="21"/>
        </w:rPr>
      </w:pPr>
    </w:p>
    <w:p w14:paraId="51D7FFDF">
      <w:pPr>
        <w:spacing w:line="588" w:lineRule="exact"/>
        <w:ind w:firstLine="444" w:firstLineChars="200"/>
        <w:rPr>
          <w:rFonts w:ascii="宋体" w:hAnsi="宋体"/>
          <w:color w:val="auto"/>
          <w:spacing w:val="6"/>
          <w:szCs w:val="21"/>
        </w:rPr>
      </w:pPr>
    </w:p>
    <w:p w14:paraId="2AAA9B34">
      <w:pPr>
        <w:tabs>
          <w:tab w:val="left" w:pos="4860"/>
        </w:tabs>
        <w:spacing w:line="588" w:lineRule="exact"/>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单位名称（盖章）：</w:t>
      </w:r>
    </w:p>
    <w:p w14:paraId="12D3A2F2">
      <w:pPr>
        <w:tabs>
          <w:tab w:val="left" w:pos="4860"/>
        </w:tabs>
        <w:spacing w:line="588" w:lineRule="exact"/>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日  期：</w:t>
      </w:r>
    </w:p>
    <w:p w14:paraId="1D0FB303">
      <w:pPr>
        <w:pStyle w:val="24"/>
        <w:spacing w:line="500" w:lineRule="exact"/>
        <w:ind w:firstLine="422"/>
        <w:rPr>
          <w:rFonts w:hAnsi="宋体"/>
          <w:b/>
          <w:color w:val="auto"/>
        </w:rPr>
      </w:pPr>
    </w:p>
    <w:p w14:paraId="0572699B">
      <w:pPr>
        <w:pStyle w:val="24"/>
        <w:spacing w:line="500" w:lineRule="exact"/>
        <w:ind w:firstLine="422"/>
        <w:rPr>
          <w:rFonts w:hAnsi="宋体"/>
          <w:b/>
          <w:color w:val="auto"/>
        </w:rPr>
      </w:pPr>
    </w:p>
    <w:p w14:paraId="3F6A1EC3">
      <w:pPr>
        <w:pStyle w:val="24"/>
        <w:spacing w:line="500" w:lineRule="exact"/>
        <w:ind w:firstLine="422"/>
        <w:rPr>
          <w:rFonts w:hAnsi="宋体"/>
          <w:b/>
          <w:color w:val="auto"/>
        </w:rPr>
      </w:pPr>
    </w:p>
    <w:p w14:paraId="51D0BC19">
      <w:pPr>
        <w:pStyle w:val="24"/>
        <w:spacing w:line="500" w:lineRule="exact"/>
        <w:ind w:firstLine="422"/>
        <w:rPr>
          <w:rFonts w:hAnsi="宋体"/>
          <w:b/>
          <w:color w:val="auto"/>
        </w:rPr>
      </w:pPr>
    </w:p>
    <w:p w14:paraId="1CBC58F4">
      <w:pPr>
        <w:pStyle w:val="24"/>
        <w:spacing w:line="500" w:lineRule="exact"/>
        <w:ind w:firstLine="422"/>
        <w:rPr>
          <w:rFonts w:hAnsi="宋体"/>
          <w:b/>
          <w:color w:val="auto"/>
        </w:rPr>
      </w:pPr>
    </w:p>
    <w:p w14:paraId="7DDAE950">
      <w:pPr>
        <w:pStyle w:val="24"/>
        <w:spacing w:line="500" w:lineRule="exact"/>
        <w:ind w:firstLine="422"/>
        <w:rPr>
          <w:rFonts w:hAnsi="宋体"/>
          <w:b/>
          <w:color w:val="auto"/>
        </w:rPr>
      </w:pPr>
    </w:p>
    <w:p w14:paraId="27772D4F">
      <w:pPr>
        <w:pStyle w:val="24"/>
        <w:spacing w:line="500" w:lineRule="exact"/>
        <w:ind w:firstLine="422"/>
        <w:rPr>
          <w:rFonts w:hAnsi="宋体"/>
          <w:b/>
          <w:color w:val="auto"/>
        </w:rPr>
      </w:pPr>
    </w:p>
    <w:p w14:paraId="269177D1">
      <w:pPr>
        <w:pStyle w:val="24"/>
        <w:spacing w:line="500" w:lineRule="exact"/>
        <w:ind w:firstLine="422"/>
        <w:rPr>
          <w:rFonts w:hAnsi="宋体"/>
          <w:b/>
          <w:color w:val="auto"/>
        </w:rPr>
      </w:pPr>
    </w:p>
    <w:p w14:paraId="34411714">
      <w:pPr>
        <w:pStyle w:val="24"/>
        <w:spacing w:line="500" w:lineRule="exact"/>
        <w:ind w:firstLine="422"/>
        <w:rPr>
          <w:rFonts w:hAnsi="宋体"/>
          <w:b/>
          <w:color w:val="auto"/>
        </w:rPr>
      </w:pPr>
    </w:p>
    <w:p w14:paraId="07C1BB03">
      <w:pPr>
        <w:pStyle w:val="24"/>
        <w:spacing w:line="500" w:lineRule="exact"/>
        <w:ind w:firstLine="422"/>
        <w:rPr>
          <w:rFonts w:hAnsi="宋体"/>
          <w:b/>
          <w:color w:val="auto"/>
        </w:rPr>
      </w:pPr>
    </w:p>
    <w:p w14:paraId="1CD06ED2">
      <w:pPr>
        <w:pStyle w:val="24"/>
        <w:spacing w:line="500" w:lineRule="exact"/>
        <w:ind w:firstLine="422"/>
        <w:rPr>
          <w:rFonts w:hAnsi="宋体"/>
          <w:b/>
          <w:color w:val="auto"/>
        </w:rPr>
      </w:pPr>
    </w:p>
    <w:p w14:paraId="3B4253B4">
      <w:pPr>
        <w:pStyle w:val="24"/>
        <w:spacing w:line="500" w:lineRule="exact"/>
        <w:ind w:firstLine="422"/>
        <w:rPr>
          <w:rFonts w:hAnsi="宋体"/>
          <w:b/>
          <w:color w:val="auto"/>
        </w:rPr>
      </w:pPr>
    </w:p>
    <w:p w14:paraId="3D55CD82">
      <w:pPr>
        <w:pStyle w:val="24"/>
        <w:spacing w:line="500" w:lineRule="exact"/>
        <w:ind w:firstLine="422"/>
        <w:rPr>
          <w:rFonts w:hAnsi="宋体"/>
          <w:b/>
          <w:color w:val="auto"/>
        </w:rPr>
      </w:pPr>
    </w:p>
    <w:p w14:paraId="06F5427F">
      <w:pPr>
        <w:spacing w:line="360" w:lineRule="exact"/>
        <w:rPr>
          <w:rFonts w:ascii="宋体" w:hAnsi="宋体" w:cs="宋体"/>
          <w:color w:val="auto"/>
        </w:rPr>
      </w:pPr>
    </w:p>
    <w:p w14:paraId="10430C9C">
      <w:pPr>
        <w:spacing w:line="360" w:lineRule="exact"/>
        <w:rPr>
          <w:rFonts w:ascii="宋体" w:hAnsi="宋体" w:cs="宋体"/>
          <w:color w:val="auto"/>
        </w:rPr>
      </w:pPr>
      <w:r>
        <w:rPr>
          <w:rFonts w:hint="eastAsia" w:ascii="宋体" w:hAnsi="宋体"/>
          <w:b/>
          <w:color w:val="auto"/>
          <w:sz w:val="24"/>
        </w:rPr>
        <w:t>格式八：</w:t>
      </w:r>
    </w:p>
    <w:p w14:paraId="5795FE82">
      <w:pPr>
        <w:adjustRightInd w:val="0"/>
        <w:spacing w:line="300" w:lineRule="auto"/>
        <w:jc w:val="center"/>
        <w:rPr>
          <w:rFonts w:ascii="宋体" w:hAnsi="宋体" w:cs="宋体"/>
          <w:b/>
          <w:color w:val="auto"/>
          <w:sz w:val="24"/>
        </w:rPr>
      </w:pPr>
      <w:r>
        <w:rPr>
          <w:rFonts w:hint="eastAsia" w:ascii="宋体" w:hAnsi="宋体" w:cs="宋体"/>
          <w:b/>
          <w:color w:val="auto"/>
          <w:sz w:val="24"/>
        </w:rPr>
        <w:t>（一）项目管理机构配备情况表</w:t>
      </w:r>
    </w:p>
    <w:p w14:paraId="625966EB">
      <w:pPr>
        <w:pStyle w:val="250"/>
        <w:wordWrap w:val="0"/>
        <w:rPr>
          <w:rFonts w:ascii="宋体" w:hAnsi="宋体" w:cs="宋体"/>
          <w:b/>
          <w:color w:val="auto"/>
          <w:sz w:val="24"/>
        </w:rPr>
      </w:pPr>
    </w:p>
    <w:p w14:paraId="1A3980B6">
      <w:pPr>
        <w:pStyle w:val="181"/>
        <w:outlineLvl w:val="0"/>
        <w:rPr>
          <w:rFonts w:ascii="宋体" w:hAnsi="宋体" w:cs="宋体"/>
          <w:color w:val="auto"/>
          <w:u w:val="single"/>
        </w:rPr>
      </w:pPr>
    </w:p>
    <w:p w14:paraId="7BA885ED">
      <w:pPr>
        <w:pStyle w:val="181"/>
        <w:outlineLvl w:val="0"/>
        <w:rPr>
          <w:rFonts w:ascii="宋体" w:hAnsi="宋体" w:cs="宋体"/>
          <w:color w:val="auto"/>
        </w:rPr>
      </w:pPr>
      <w:r>
        <w:rPr>
          <w:rFonts w:hint="eastAsia" w:ascii="宋体" w:hAnsi="宋体" w:cs="宋体"/>
          <w:color w:val="auto"/>
          <w:u w:val="single"/>
        </w:rPr>
        <w:t xml:space="preserve">            </w:t>
      </w:r>
      <w:bookmarkStart w:id="884" w:name="_Toc15829"/>
      <w:r>
        <w:rPr>
          <w:rFonts w:hint="eastAsia" w:ascii="宋体" w:hAnsi="宋体" w:cs="宋体"/>
          <w:color w:val="auto"/>
          <w:u w:val="single"/>
        </w:rPr>
        <w:t xml:space="preserve">（招标工程项目名称）        </w:t>
      </w:r>
      <w:r>
        <w:rPr>
          <w:rFonts w:hint="eastAsia" w:ascii="宋体" w:hAnsi="宋体" w:cs="宋体"/>
          <w:color w:val="auto"/>
        </w:rPr>
        <w:t xml:space="preserve"> 工程</w:t>
      </w:r>
      <w:bookmarkEnd w:id="884"/>
    </w:p>
    <w:tbl>
      <w:tblPr>
        <w:tblStyle w:val="44"/>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679"/>
      </w:tblGrid>
      <w:tr w14:paraId="27AD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1F0D77BA">
            <w:pPr>
              <w:ind w:left="223" w:hanging="222" w:hangingChars="106"/>
              <w:jc w:val="center"/>
              <w:rPr>
                <w:rFonts w:ascii="宋体" w:hAnsi="宋体" w:cs="宋体"/>
                <w:color w:val="auto"/>
              </w:rPr>
            </w:pPr>
            <w:r>
              <w:rPr>
                <w:rFonts w:hint="eastAsia" w:ascii="宋体" w:hAnsi="宋体" w:cs="宋体"/>
                <w:color w:val="auto"/>
              </w:rPr>
              <w:t>岗位</w:t>
            </w:r>
          </w:p>
        </w:tc>
        <w:tc>
          <w:tcPr>
            <w:tcW w:w="829" w:type="dxa"/>
            <w:vMerge w:val="restart"/>
            <w:vAlign w:val="center"/>
          </w:tcPr>
          <w:p w14:paraId="30C5E31B">
            <w:pPr>
              <w:ind w:left="223" w:hanging="222" w:hangingChars="106"/>
              <w:jc w:val="center"/>
              <w:rPr>
                <w:rFonts w:ascii="宋体" w:hAnsi="宋体" w:cs="宋体"/>
                <w:color w:val="auto"/>
              </w:rPr>
            </w:pPr>
            <w:r>
              <w:rPr>
                <w:rFonts w:hint="eastAsia" w:ascii="宋体" w:hAnsi="宋体" w:cs="宋体"/>
                <w:color w:val="auto"/>
              </w:rPr>
              <w:t>姓名</w:t>
            </w:r>
          </w:p>
        </w:tc>
        <w:tc>
          <w:tcPr>
            <w:tcW w:w="816" w:type="dxa"/>
            <w:vMerge w:val="restart"/>
            <w:vAlign w:val="center"/>
          </w:tcPr>
          <w:p w14:paraId="263A2AAF">
            <w:pPr>
              <w:ind w:left="223" w:hanging="222" w:hangingChars="106"/>
              <w:jc w:val="center"/>
              <w:rPr>
                <w:rFonts w:ascii="宋体" w:hAnsi="宋体" w:cs="宋体"/>
                <w:color w:val="auto"/>
              </w:rPr>
            </w:pPr>
            <w:r>
              <w:rPr>
                <w:rFonts w:hint="eastAsia" w:ascii="宋体" w:hAnsi="宋体" w:cs="宋体"/>
                <w:color w:val="auto"/>
              </w:rPr>
              <w:t>职称</w:t>
            </w:r>
          </w:p>
        </w:tc>
        <w:tc>
          <w:tcPr>
            <w:tcW w:w="4592" w:type="dxa"/>
            <w:gridSpan w:val="4"/>
            <w:vAlign w:val="center"/>
          </w:tcPr>
          <w:p w14:paraId="602590B5">
            <w:pPr>
              <w:ind w:left="223" w:hanging="222" w:hangingChars="106"/>
              <w:jc w:val="center"/>
              <w:rPr>
                <w:rFonts w:ascii="宋体" w:hAnsi="宋体" w:cs="宋体"/>
                <w:color w:val="auto"/>
              </w:rPr>
            </w:pPr>
            <w:r>
              <w:rPr>
                <w:rFonts w:hint="eastAsia" w:ascii="宋体" w:hAnsi="宋体" w:cs="宋体"/>
                <w:color w:val="auto"/>
              </w:rPr>
              <w:t>执业或职业资格证明</w:t>
            </w:r>
          </w:p>
        </w:tc>
        <w:tc>
          <w:tcPr>
            <w:tcW w:w="2529" w:type="dxa"/>
            <w:gridSpan w:val="2"/>
            <w:vAlign w:val="center"/>
          </w:tcPr>
          <w:p w14:paraId="3A92DC5B">
            <w:pPr>
              <w:ind w:left="223" w:hanging="222" w:hangingChars="106"/>
              <w:jc w:val="center"/>
              <w:rPr>
                <w:rFonts w:ascii="宋体" w:hAnsi="宋体" w:cs="宋体"/>
                <w:color w:val="auto"/>
              </w:rPr>
            </w:pPr>
            <w:r>
              <w:rPr>
                <w:rFonts w:hint="eastAsia" w:ascii="宋体" w:hAnsi="宋体" w:cs="宋体"/>
                <w:color w:val="auto"/>
              </w:rPr>
              <w:t>承担完工工程情况</w:t>
            </w:r>
          </w:p>
        </w:tc>
      </w:tr>
      <w:tr w14:paraId="46B1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7ACE80CB">
            <w:pPr>
              <w:ind w:left="223" w:hanging="222" w:hangingChars="106"/>
              <w:jc w:val="center"/>
              <w:rPr>
                <w:rFonts w:ascii="宋体" w:hAnsi="宋体" w:cs="宋体"/>
                <w:color w:val="auto"/>
              </w:rPr>
            </w:pPr>
          </w:p>
        </w:tc>
        <w:tc>
          <w:tcPr>
            <w:tcW w:w="829" w:type="dxa"/>
            <w:vMerge w:val="continue"/>
            <w:vAlign w:val="center"/>
          </w:tcPr>
          <w:p w14:paraId="070BE81E">
            <w:pPr>
              <w:ind w:left="223" w:hanging="222" w:hangingChars="106"/>
              <w:jc w:val="center"/>
              <w:rPr>
                <w:rFonts w:ascii="宋体" w:hAnsi="宋体" w:cs="宋体"/>
                <w:color w:val="auto"/>
              </w:rPr>
            </w:pPr>
          </w:p>
        </w:tc>
        <w:tc>
          <w:tcPr>
            <w:tcW w:w="816" w:type="dxa"/>
            <w:vMerge w:val="continue"/>
            <w:vAlign w:val="center"/>
          </w:tcPr>
          <w:p w14:paraId="32206285">
            <w:pPr>
              <w:ind w:left="223" w:hanging="222" w:hangingChars="106"/>
              <w:jc w:val="center"/>
              <w:rPr>
                <w:rFonts w:ascii="宋体" w:hAnsi="宋体" w:cs="宋体"/>
                <w:color w:val="auto"/>
              </w:rPr>
            </w:pPr>
          </w:p>
        </w:tc>
        <w:tc>
          <w:tcPr>
            <w:tcW w:w="1148" w:type="dxa"/>
            <w:vAlign w:val="center"/>
          </w:tcPr>
          <w:p w14:paraId="5C5F49DC">
            <w:pPr>
              <w:ind w:left="223" w:hanging="222" w:hangingChars="106"/>
              <w:jc w:val="center"/>
              <w:rPr>
                <w:rFonts w:ascii="宋体" w:hAnsi="宋体" w:cs="宋体"/>
                <w:color w:val="auto"/>
              </w:rPr>
            </w:pPr>
            <w:r>
              <w:rPr>
                <w:rFonts w:hint="eastAsia" w:ascii="宋体" w:hAnsi="宋体" w:cs="宋体"/>
                <w:color w:val="auto"/>
              </w:rPr>
              <w:t>证书名称</w:t>
            </w:r>
          </w:p>
        </w:tc>
        <w:tc>
          <w:tcPr>
            <w:tcW w:w="1148" w:type="dxa"/>
            <w:vAlign w:val="center"/>
          </w:tcPr>
          <w:p w14:paraId="3DC5C705">
            <w:pPr>
              <w:ind w:left="223" w:hanging="222" w:hangingChars="106"/>
              <w:jc w:val="center"/>
              <w:rPr>
                <w:rFonts w:ascii="宋体" w:hAnsi="宋体" w:cs="宋体"/>
                <w:color w:val="auto"/>
              </w:rPr>
            </w:pPr>
            <w:r>
              <w:rPr>
                <w:rFonts w:hint="eastAsia" w:ascii="宋体" w:hAnsi="宋体" w:cs="宋体"/>
                <w:color w:val="auto"/>
              </w:rPr>
              <w:t>级别</w:t>
            </w:r>
          </w:p>
        </w:tc>
        <w:tc>
          <w:tcPr>
            <w:tcW w:w="1148" w:type="dxa"/>
            <w:vAlign w:val="center"/>
          </w:tcPr>
          <w:p w14:paraId="4F3E8077">
            <w:pPr>
              <w:ind w:left="223" w:hanging="222" w:hangingChars="106"/>
              <w:jc w:val="center"/>
              <w:rPr>
                <w:rFonts w:ascii="宋体" w:hAnsi="宋体" w:cs="宋体"/>
                <w:color w:val="auto"/>
              </w:rPr>
            </w:pPr>
            <w:r>
              <w:rPr>
                <w:rFonts w:hint="eastAsia" w:ascii="宋体" w:hAnsi="宋体" w:cs="宋体"/>
                <w:color w:val="auto"/>
              </w:rPr>
              <w:t>证号</w:t>
            </w:r>
          </w:p>
        </w:tc>
        <w:tc>
          <w:tcPr>
            <w:tcW w:w="1148" w:type="dxa"/>
            <w:vAlign w:val="center"/>
          </w:tcPr>
          <w:p w14:paraId="194273DC">
            <w:pPr>
              <w:ind w:left="223" w:hanging="222" w:hangingChars="106"/>
              <w:jc w:val="center"/>
              <w:rPr>
                <w:rFonts w:ascii="宋体" w:hAnsi="宋体" w:cs="宋体"/>
                <w:color w:val="auto"/>
              </w:rPr>
            </w:pPr>
            <w:r>
              <w:rPr>
                <w:rFonts w:hint="eastAsia" w:ascii="宋体" w:hAnsi="宋体" w:cs="宋体"/>
                <w:color w:val="auto"/>
              </w:rPr>
              <w:t>专业</w:t>
            </w:r>
          </w:p>
        </w:tc>
        <w:tc>
          <w:tcPr>
            <w:tcW w:w="850" w:type="dxa"/>
            <w:vAlign w:val="center"/>
          </w:tcPr>
          <w:p w14:paraId="3BF590A4">
            <w:pPr>
              <w:ind w:left="223" w:hanging="222" w:hangingChars="106"/>
              <w:jc w:val="center"/>
              <w:rPr>
                <w:rFonts w:ascii="宋体" w:hAnsi="宋体" w:cs="宋体"/>
                <w:color w:val="auto"/>
              </w:rPr>
            </w:pPr>
            <w:r>
              <w:rPr>
                <w:rFonts w:hint="eastAsia" w:ascii="宋体" w:hAnsi="宋体" w:cs="宋体"/>
                <w:color w:val="auto"/>
              </w:rPr>
              <w:t>项目数</w:t>
            </w:r>
          </w:p>
        </w:tc>
        <w:tc>
          <w:tcPr>
            <w:tcW w:w="1679" w:type="dxa"/>
            <w:vAlign w:val="center"/>
          </w:tcPr>
          <w:p w14:paraId="25AE2693">
            <w:pPr>
              <w:ind w:left="223" w:hanging="222" w:hangingChars="106"/>
              <w:jc w:val="center"/>
              <w:rPr>
                <w:rFonts w:ascii="宋体" w:hAnsi="宋体" w:cs="宋体"/>
                <w:color w:val="auto"/>
              </w:rPr>
            </w:pPr>
            <w:r>
              <w:rPr>
                <w:rFonts w:hint="eastAsia" w:ascii="宋体" w:hAnsi="宋体" w:cs="宋体"/>
                <w:color w:val="auto"/>
              </w:rPr>
              <w:t>主要项目</w:t>
            </w:r>
          </w:p>
          <w:p w14:paraId="38F90A04">
            <w:pPr>
              <w:ind w:left="223" w:hanging="222" w:hangingChars="106"/>
              <w:jc w:val="center"/>
              <w:rPr>
                <w:rFonts w:ascii="宋体" w:hAnsi="宋体" w:cs="宋体"/>
                <w:color w:val="auto"/>
              </w:rPr>
            </w:pPr>
            <w:r>
              <w:rPr>
                <w:rFonts w:hint="eastAsia" w:ascii="宋体" w:hAnsi="宋体" w:cs="宋体"/>
                <w:color w:val="auto"/>
              </w:rPr>
              <w:t>名称</w:t>
            </w:r>
          </w:p>
        </w:tc>
      </w:tr>
      <w:tr w14:paraId="31EE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1CCE9F2">
            <w:pPr>
              <w:ind w:left="223" w:hanging="222" w:hangingChars="106"/>
              <w:jc w:val="center"/>
              <w:rPr>
                <w:rFonts w:ascii="宋体" w:hAnsi="宋体" w:cs="宋体"/>
                <w:color w:val="auto"/>
              </w:rPr>
            </w:pPr>
          </w:p>
        </w:tc>
        <w:tc>
          <w:tcPr>
            <w:tcW w:w="829" w:type="dxa"/>
            <w:vAlign w:val="center"/>
          </w:tcPr>
          <w:p w14:paraId="2CB38DC4">
            <w:pPr>
              <w:ind w:left="223" w:hanging="222" w:hangingChars="106"/>
              <w:jc w:val="center"/>
              <w:rPr>
                <w:rFonts w:ascii="宋体" w:hAnsi="宋体" w:cs="宋体"/>
                <w:color w:val="auto"/>
              </w:rPr>
            </w:pPr>
          </w:p>
        </w:tc>
        <w:tc>
          <w:tcPr>
            <w:tcW w:w="816" w:type="dxa"/>
            <w:vAlign w:val="center"/>
          </w:tcPr>
          <w:p w14:paraId="49FD6A53">
            <w:pPr>
              <w:ind w:left="223" w:hanging="222" w:hangingChars="106"/>
              <w:jc w:val="center"/>
              <w:rPr>
                <w:rFonts w:ascii="宋体" w:hAnsi="宋体" w:cs="宋体"/>
                <w:color w:val="auto"/>
              </w:rPr>
            </w:pPr>
          </w:p>
        </w:tc>
        <w:tc>
          <w:tcPr>
            <w:tcW w:w="1148" w:type="dxa"/>
            <w:vAlign w:val="center"/>
          </w:tcPr>
          <w:p w14:paraId="597078C9">
            <w:pPr>
              <w:ind w:left="223" w:hanging="222" w:hangingChars="106"/>
              <w:jc w:val="center"/>
              <w:rPr>
                <w:rFonts w:ascii="宋体" w:hAnsi="宋体" w:cs="宋体"/>
                <w:color w:val="auto"/>
              </w:rPr>
            </w:pPr>
          </w:p>
        </w:tc>
        <w:tc>
          <w:tcPr>
            <w:tcW w:w="1148" w:type="dxa"/>
            <w:vAlign w:val="center"/>
          </w:tcPr>
          <w:p w14:paraId="620265E7">
            <w:pPr>
              <w:ind w:left="223" w:hanging="222" w:hangingChars="106"/>
              <w:jc w:val="center"/>
              <w:rPr>
                <w:rFonts w:ascii="宋体" w:hAnsi="宋体" w:cs="宋体"/>
                <w:color w:val="auto"/>
              </w:rPr>
            </w:pPr>
          </w:p>
        </w:tc>
        <w:tc>
          <w:tcPr>
            <w:tcW w:w="1148" w:type="dxa"/>
            <w:vAlign w:val="center"/>
          </w:tcPr>
          <w:p w14:paraId="5C8AEF69">
            <w:pPr>
              <w:ind w:left="223" w:hanging="222" w:hangingChars="106"/>
              <w:jc w:val="center"/>
              <w:rPr>
                <w:rFonts w:ascii="宋体" w:hAnsi="宋体" w:cs="宋体"/>
                <w:color w:val="auto"/>
              </w:rPr>
            </w:pPr>
          </w:p>
        </w:tc>
        <w:tc>
          <w:tcPr>
            <w:tcW w:w="1148" w:type="dxa"/>
            <w:vAlign w:val="center"/>
          </w:tcPr>
          <w:p w14:paraId="057F5514">
            <w:pPr>
              <w:ind w:left="223" w:hanging="222" w:hangingChars="106"/>
              <w:jc w:val="center"/>
              <w:rPr>
                <w:rFonts w:ascii="宋体" w:hAnsi="宋体" w:cs="宋体"/>
                <w:color w:val="auto"/>
              </w:rPr>
            </w:pPr>
          </w:p>
        </w:tc>
        <w:tc>
          <w:tcPr>
            <w:tcW w:w="850" w:type="dxa"/>
            <w:vAlign w:val="center"/>
          </w:tcPr>
          <w:p w14:paraId="181984E7">
            <w:pPr>
              <w:ind w:left="223" w:hanging="222" w:hangingChars="106"/>
              <w:jc w:val="center"/>
              <w:rPr>
                <w:rFonts w:ascii="宋体" w:hAnsi="宋体" w:cs="宋体"/>
                <w:color w:val="auto"/>
              </w:rPr>
            </w:pPr>
          </w:p>
        </w:tc>
        <w:tc>
          <w:tcPr>
            <w:tcW w:w="1679" w:type="dxa"/>
            <w:vAlign w:val="center"/>
          </w:tcPr>
          <w:p w14:paraId="12864986">
            <w:pPr>
              <w:ind w:left="223" w:hanging="222" w:hangingChars="106"/>
              <w:jc w:val="center"/>
              <w:rPr>
                <w:rFonts w:ascii="宋体" w:hAnsi="宋体" w:cs="宋体"/>
                <w:color w:val="auto"/>
              </w:rPr>
            </w:pPr>
          </w:p>
        </w:tc>
      </w:tr>
      <w:tr w14:paraId="6A4A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237EA36">
            <w:pPr>
              <w:ind w:left="223" w:hanging="222" w:hangingChars="106"/>
              <w:jc w:val="center"/>
              <w:rPr>
                <w:rFonts w:ascii="宋体" w:hAnsi="宋体" w:cs="宋体"/>
                <w:color w:val="auto"/>
              </w:rPr>
            </w:pPr>
          </w:p>
        </w:tc>
        <w:tc>
          <w:tcPr>
            <w:tcW w:w="829" w:type="dxa"/>
            <w:vAlign w:val="center"/>
          </w:tcPr>
          <w:p w14:paraId="205CCD79">
            <w:pPr>
              <w:ind w:left="223" w:hanging="222" w:hangingChars="106"/>
              <w:jc w:val="center"/>
              <w:rPr>
                <w:rFonts w:ascii="宋体" w:hAnsi="宋体" w:cs="宋体"/>
                <w:color w:val="auto"/>
              </w:rPr>
            </w:pPr>
          </w:p>
        </w:tc>
        <w:tc>
          <w:tcPr>
            <w:tcW w:w="816" w:type="dxa"/>
            <w:vAlign w:val="center"/>
          </w:tcPr>
          <w:p w14:paraId="26031A3E">
            <w:pPr>
              <w:ind w:left="223" w:hanging="222" w:hangingChars="106"/>
              <w:jc w:val="center"/>
              <w:rPr>
                <w:rFonts w:ascii="宋体" w:hAnsi="宋体" w:cs="宋体"/>
                <w:color w:val="auto"/>
              </w:rPr>
            </w:pPr>
          </w:p>
        </w:tc>
        <w:tc>
          <w:tcPr>
            <w:tcW w:w="1148" w:type="dxa"/>
            <w:vAlign w:val="center"/>
          </w:tcPr>
          <w:p w14:paraId="36B3121E">
            <w:pPr>
              <w:ind w:left="223" w:hanging="222" w:hangingChars="106"/>
              <w:jc w:val="center"/>
              <w:rPr>
                <w:rFonts w:ascii="宋体" w:hAnsi="宋体" w:cs="宋体"/>
                <w:color w:val="auto"/>
              </w:rPr>
            </w:pPr>
          </w:p>
        </w:tc>
        <w:tc>
          <w:tcPr>
            <w:tcW w:w="1148" w:type="dxa"/>
            <w:vAlign w:val="center"/>
          </w:tcPr>
          <w:p w14:paraId="1EA77B39">
            <w:pPr>
              <w:ind w:left="223" w:hanging="222" w:hangingChars="106"/>
              <w:jc w:val="center"/>
              <w:rPr>
                <w:rFonts w:ascii="宋体" w:hAnsi="宋体" w:cs="宋体"/>
                <w:color w:val="auto"/>
              </w:rPr>
            </w:pPr>
          </w:p>
        </w:tc>
        <w:tc>
          <w:tcPr>
            <w:tcW w:w="1148" w:type="dxa"/>
            <w:vAlign w:val="center"/>
          </w:tcPr>
          <w:p w14:paraId="4A62F8F8">
            <w:pPr>
              <w:ind w:left="223" w:hanging="222" w:hangingChars="106"/>
              <w:jc w:val="center"/>
              <w:rPr>
                <w:rFonts w:ascii="宋体" w:hAnsi="宋体" w:cs="宋体"/>
                <w:color w:val="auto"/>
              </w:rPr>
            </w:pPr>
          </w:p>
        </w:tc>
        <w:tc>
          <w:tcPr>
            <w:tcW w:w="1148" w:type="dxa"/>
            <w:vAlign w:val="center"/>
          </w:tcPr>
          <w:p w14:paraId="3FB3A205">
            <w:pPr>
              <w:ind w:left="223" w:hanging="222" w:hangingChars="106"/>
              <w:jc w:val="center"/>
              <w:rPr>
                <w:rFonts w:ascii="宋体" w:hAnsi="宋体" w:cs="宋体"/>
                <w:color w:val="auto"/>
              </w:rPr>
            </w:pPr>
          </w:p>
        </w:tc>
        <w:tc>
          <w:tcPr>
            <w:tcW w:w="850" w:type="dxa"/>
            <w:vAlign w:val="center"/>
          </w:tcPr>
          <w:p w14:paraId="50326FAB">
            <w:pPr>
              <w:ind w:left="223" w:hanging="222" w:hangingChars="106"/>
              <w:jc w:val="center"/>
              <w:rPr>
                <w:rFonts w:ascii="宋体" w:hAnsi="宋体" w:cs="宋体"/>
                <w:color w:val="auto"/>
              </w:rPr>
            </w:pPr>
          </w:p>
        </w:tc>
        <w:tc>
          <w:tcPr>
            <w:tcW w:w="1679" w:type="dxa"/>
            <w:vAlign w:val="center"/>
          </w:tcPr>
          <w:p w14:paraId="15A65262">
            <w:pPr>
              <w:ind w:left="223" w:hanging="222" w:hangingChars="106"/>
              <w:jc w:val="center"/>
              <w:rPr>
                <w:rFonts w:ascii="宋体" w:hAnsi="宋体" w:cs="宋体"/>
                <w:color w:val="auto"/>
              </w:rPr>
            </w:pPr>
          </w:p>
        </w:tc>
      </w:tr>
      <w:tr w14:paraId="62D2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83C3AC3">
            <w:pPr>
              <w:ind w:left="223" w:hanging="222" w:hangingChars="106"/>
              <w:jc w:val="center"/>
              <w:rPr>
                <w:rFonts w:ascii="宋体" w:hAnsi="宋体" w:cs="宋体"/>
                <w:color w:val="auto"/>
              </w:rPr>
            </w:pPr>
          </w:p>
        </w:tc>
        <w:tc>
          <w:tcPr>
            <w:tcW w:w="829" w:type="dxa"/>
            <w:vAlign w:val="center"/>
          </w:tcPr>
          <w:p w14:paraId="2A112C10">
            <w:pPr>
              <w:ind w:left="223" w:hanging="222" w:hangingChars="106"/>
              <w:jc w:val="center"/>
              <w:rPr>
                <w:rFonts w:ascii="宋体" w:hAnsi="宋体" w:cs="宋体"/>
                <w:color w:val="auto"/>
              </w:rPr>
            </w:pPr>
          </w:p>
        </w:tc>
        <w:tc>
          <w:tcPr>
            <w:tcW w:w="816" w:type="dxa"/>
            <w:vAlign w:val="center"/>
          </w:tcPr>
          <w:p w14:paraId="26CB6F8E">
            <w:pPr>
              <w:ind w:left="223" w:hanging="222" w:hangingChars="106"/>
              <w:jc w:val="center"/>
              <w:rPr>
                <w:rFonts w:ascii="宋体" w:hAnsi="宋体" w:cs="宋体"/>
                <w:color w:val="auto"/>
              </w:rPr>
            </w:pPr>
          </w:p>
        </w:tc>
        <w:tc>
          <w:tcPr>
            <w:tcW w:w="1148" w:type="dxa"/>
            <w:vAlign w:val="center"/>
          </w:tcPr>
          <w:p w14:paraId="27A3DE5C">
            <w:pPr>
              <w:ind w:left="223" w:hanging="222" w:hangingChars="106"/>
              <w:jc w:val="center"/>
              <w:rPr>
                <w:rFonts w:ascii="宋体" w:hAnsi="宋体" w:cs="宋体"/>
                <w:color w:val="auto"/>
              </w:rPr>
            </w:pPr>
          </w:p>
        </w:tc>
        <w:tc>
          <w:tcPr>
            <w:tcW w:w="1148" w:type="dxa"/>
            <w:vAlign w:val="center"/>
          </w:tcPr>
          <w:p w14:paraId="6B3DCAA5">
            <w:pPr>
              <w:ind w:left="223" w:hanging="222" w:hangingChars="106"/>
              <w:jc w:val="center"/>
              <w:rPr>
                <w:rFonts w:ascii="宋体" w:hAnsi="宋体" w:cs="宋体"/>
                <w:color w:val="auto"/>
              </w:rPr>
            </w:pPr>
          </w:p>
        </w:tc>
        <w:tc>
          <w:tcPr>
            <w:tcW w:w="1148" w:type="dxa"/>
            <w:vAlign w:val="center"/>
          </w:tcPr>
          <w:p w14:paraId="5AE82BF1">
            <w:pPr>
              <w:ind w:left="223" w:hanging="222" w:hangingChars="106"/>
              <w:jc w:val="center"/>
              <w:rPr>
                <w:rFonts w:ascii="宋体" w:hAnsi="宋体" w:cs="宋体"/>
                <w:color w:val="auto"/>
              </w:rPr>
            </w:pPr>
          </w:p>
        </w:tc>
        <w:tc>
          <w:tcPr>
            <w:tcW w:w="1148" w:type="dxa"/>
            <w:vAlign w:val="center"/>
          </w:tcPr>
          <w:p w14:paraId="40B09D0E">
            <w:pPr>
              <w:ind w:left="223" w:hanging="222" w:hangingChars="106"/>
              <w:jc w:val="center"/>
              <w:rPr>
                <w:rFonts w:ascii="宋体" w:hAnsi="宋体" w:cs="宋体"/>
                <w:color w:val="auto"/>
              </w:rPr>
            </w:pPr>
          </w:p>
        </w:tc>
        <w:tc>
          <w:tcPr>
            <w:tcW w:w="850" w:type="dxa"/>
            <w:vAlign w:val="center"/>
          </w:tcPr>
          <w:p w14:paraId="6724D10F">
            <w:pPr>
              <w:ind w:left="223" w:hanging="222" w:hangingChars="106"/>
              <w:jc w:val="center"/>
              <w:rPr>
                <w:rFonts w:ascii="宋体" w:hAnsi="宋体" w:cs="宋体"/>
                <w:color w:val="auto"/>
              </w:rPr>
            </w:pPr>
          </w:p>
        </w:tc>
        <w:tc>
          <w:tcPr>
            <w:tcW w:w="1679" w:type="dxa"/>
            <w:vAlign w:val="center"/>
          </w:tcPr>
          <w:p w14:paraId="463ABCBD">
            <w:pPr>
              <w:ind w:left="223" w:hanging="222" w:hangingChars="106"/>
              <w:jc w:val="center"/>
              <w:rPr>
                <w:rFonts w:ascii="宋体" w:hAnsi="宋体" w:cs="宋体"/>
                <w:color w:val="auto"/>
              </w:rPr>
            </w:pPr>
          </w:p>
        </w:tc>
      </w:tr>
      <w:tr w14:paraId="33E1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DA29272">
            <w:pPr>
              <w:ind w:left="223" w:hanging="222" w:hangingChars="106"/>
              <w:jc w:val="center"/>
              <w:rPr>
                <w:rFonts w:ascii="宋体" w:hAnsi="宋体" w:cs="宋体"/>
                <w:color w:val="auto"/>
              </w:rPr>
            </w:pPr>
          </w:p>
        </w:tc>
        <w:tc>
          <w:tcPr>
            <w:tcW w:w="829" w:type="dxa"/>
            <w:vAlign w:val="center"/>
          </w:tcPr>
          <w:p w14:paraId="32A0ADBF">
            <w:pPr>
              <w:ind w:left="223" w:hanging="222" w:hangingChars="106"/>
              <w:jc w:val="center"/>
              <w:rPr>
                <w:rFonts w:ascii="宋体" w:hAnsi="宋体" w:cs="宋体"/>
                <w:color w:val="auto"/>
              </w:rPr>
            </w:pPr>
          </w:p>
        </w:tc>
        <w:tc>
          <w:tcPr>
            <w:tcW w:w="816" w:type="dxa"/>
            <w:vAlign w:val="center"/>
          </w:tcPr>
          <w:p w14:paraId="7370F5B3">
            <w:pPr>
              <w:ind w:left="223" w:hanging="222" w:hangingChars="106"/>
              <w:jc w:val="center"/>
              <w:rPr>
                <w:rFonts w:ascii="宋体" w:hAnsi="宋体" w:cs="宋体"/>
                <w:color w:val="auto"/>
              </w:rPr>
            </w:pPr>
          </w:p>
        </w:tc>
        <w:tc>
          <w:tcPr>
            <w:tcW w:w="1148" w:type="dxa"/>
            <w:vAlign w:val="center"/>
          </w:tcPr>
          <w:p w14:paraId="0402E1BA">
            <w:pPr>
              <w:ind w:left="223" w:hanging="222" w:hangingChars="106"/>
              <w:jc w:val="center"/>
              <w:rPr>
                <w:rFonts w:ascii="宋体" w:hAnsi="宋体" w:cs="宋体"/>
                <w:color w:val="auto"/>
              </w:rPr>
            </w:pPr>
          </w:p>
        </w:tc>
        <w:tc>
          <w:tcPr>
            <w:tcW w:w="1148" w:type="dxa"/>
            <w:vAlign w:val="center"/>
          </w:tcPr>
          <w:p w14:paraId="621E7F1D">
            <w:pPr>
              <w:ind w:left="223" w:hanging="222" w:hangingChars="106"/>
              <w:jc w:val="center"/>
              <w:rPr>
                <w:rFonts w:ascii="宋体" w:hAnsi="宋体" w:cs="宋体"/>
                <w:color w:val="auto"/>
              </w:rPr>
            </w:pPr>
          </w:p>
        </w:tc>
        <w:tc>
          <w:tcPr>
            <w:tcW w:w="1148" w:type="dxa"/>
            <w:vAlign w:val="center"/>
          </w:tcPr>
          <w:p w14:paraId="318C8CB2">
            <w:pPr>
              <w:ind w:left="223" w:hanging="222" w:hangingChars="106"/>
              <w:jc w:val="center"/>
              <w:rPr>
                <w:rFonts w:ascii="宋体" w:hAnsi="宋体" w:cs="宋体"/>
                <w:color w:val="auto"/>
              </w:rPr>
            </w:pPr>
          </w:p>
        </w:tc>
        <w:tc>
          <w:tcPr>
            <w:tcW w:w="1148" w:type="dxa"/>
            <w:vAlign w:val="center"/>
          </w:tcPr>
          <w:p w14:paraId="161C6829">
            <w:pPr>
              <w:ind w:left="223" w:hanging="222" w:hangingChars="106"/>
              <w:jc w:val="center"/>
              <w:rPr>
                <w:rFonts w:ascii="宋体" w:hAnsi="宋体" w:cs="宋体"/>
                <w:color w:val="auto"/>
              </w:rPr>
            </w:pPr>
          </w:p>
        </w:tc>
        <w:tc>
          <w:tcPr>
            <w:tcW w:w="850" w:type="dxa"/>
            <w:vAlign w:val="center"/>
          </w:tcPr>
          <w:p w14:paraId="63AAB6F8">
            <w:pPr>
              <w:ind w:left="223" w:hanging="222" w:hangingChars="106"/>
              <w:jc w:val="center"/>
              <w:rPr>
                <w:rFonts w:ascii="宋体" w:hAnsi="宋体" w:cs="宋体"/>
                <w:color w:val="auto"/>
              </w:rPr>
            </w:pPr>
          </w:p>
        </w:tc>
        <w:tc>
          <w:tcPr>
            <w:tcW w:w="1679" w:type="dxa"/>
            <w:vAlign w:val="center"/>
          </w:tcPr>
          <w:p w14:paraId="05FD64CD">
            <w:pPr>
              <w:ind w:left="223" w:hanging="222" w:hangingChars="106"/>
              <w:jc w:val="center"/>
              <w:rPr>
                <w:rFonts w:ascii="宋体" w:hAnsi="宋体" w:cs="宋体"/>
                <w:color w:val="auto"/>
              </w:rPr>
            </w:pPr>
          </w:p>
        </w:tc>
      </w:tr>
      <w:tr w14:paraId="2D9E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8FD9658">
            <w:pPr>
              <w:ind w:left="223" w:hanging="222" w:hangingChars="106"/>
              <w:jc w:val="center"/>
              <w:rPr>
                <w:rFonts w:ascii="宋体" w:hAnsi="宋体" w:cs="宋体"/>
                <w:color w:val="auto"/>
              </w:rPr>
            </w:pPr>
          </w:p>
        </w:tc>
        <w:tc>
          <w:tcPr>
            <w:tcW w:w="829" w:type="dxa"/>
            <w:vAlign w:val="center"/>
          </w:tcPr>
          <w:p w14:paraId="1F182FEF">
            <w:pPr>
              <w:ind w:left="223" w:hanging="222" w:hangingChars="106"/>
              <w:jc w:val="center"/>
              <w:rPr>
                <w:rFonts w:ascii="宋体" w:hAnsi="宋体" w:cs="宋体"/>
                <w:color w:val="auto"/>
              </w:rPr>
            </w:pPr>
          </w:p>
        </w:tc>
        <w:tc>
          <w:tcPr>
            <w:tcW w:w="816" w:type="dxa"/>
            <w:vAlign w:val="center"/>
          </w:tcPr>
          <w:p w14:paraId="75A0B3FF">
            <w:pPr>
              <w:ind w:left="223" w:hanging="222" w:hangingChars="106"/>
              <w:jc w:val="center"/>
              <w:rPr>
                <w:rFonts w:ascii="宋体" w:hAnsi="宋体" w:cs="宋体"/>
                <w:color w:val="auto"/>
              </w:rPr>
            </w:pPr>
          </w:p>
        </w:tc>
        <w:tc>
          <w:tcPr>
            <w:tcW w:w="1148" w:type="dxa"/>
            <w:vAlign w:val="center"/>
          </w:tcPr>
          <w:p w14:paraId="60FB8F94">
            <w:pPr>
              <w:ind w:left="223" w:hanging="222" w:hangingChars="106"/>
              <w:jc w:val="center"/>
              <w:rPr>
                <w:rFonts w:ascii="宋体" w:hAnsi="宋体" w:cs="宋体"/>
                <w:color w:val="auto"/>
              </w:rPr>
            </w:pPr>
          </w:p>
        </w:tc>
        <w:tc>
          <w:tcPr>
            <w:tcW w:w="1148" w:type="dxa"/>
            <w:vAlign w:val="center"/>
          </w:tcPr>
          <w:p w14:paraId="3A9255C3">
            <w:pPr>
              <w:ind w:left="223" w:hanging="222" w:hangingChars="106"/>
              <w:jc w:val="center"/>
              <w:rPr>
                <w:rFonts w:ascii="宋体" w:hAnsi="宋体" w:cs="宋体"/>
                <w:color w:val="auto"/>
              </w:rPr>
            </w:pPr>
          </w:p>
        </w:tc>
        <w:tc>
          <w:tcPr>
            <w:tcW w:w="1148" w:type="dxa"/>
            <w:vAlign w:val="center"/>
          </w:tcPr>
          <w:p w14:paraId="47F87EB5">
            <w:pPr>
              <w:ind w:left="223" w:hanging="222" w:hangingChars="106"/>
              <w:jc w:val="center"/>
              <w:rPr>
                <w:rFonts w:ascii="宋体" w:hAnsi="宋体" w:cs="宋体"/>
                <w:color w:val="auto"/>
              </w:rPr>
            </w:pPr>
          </w:p>
        </w:tc>
        <w:tc>
          <w:tcPr>
            <w:tcW w:w="1148" w:type="dxa"/>
            <w:vAlign w:val="center"/>
          </w:tcPr>
          <w:p w14:paraId="2ECCEEE8">
            <w:pPr>
              <w:ind w:left="223" w:hanging="222" w:hangingChars="106"/>
              <w:jc w:val="center"/>
              <w:rPr>
                <w:rFonts w:ascii="宋体" w:hAnsi="宋体" w:cs="宋体"/>
                <w:color w:val="auto"/>
              </w:rPr>
            </w:pPr>
          </w:p>
        </w:tc>
        <w:tc>
          <w:tcPr>
            <w:tcW w:w="850" w:type="dxa"/>
            <w:vAlign w:val="center"/>
          </w:tcPr>
          <w:p w14:paraId="704111B5">
            <w:pPr>
              <w:ind w:left="223" w:hanging="222" w:hangingChars="106"/>
              <w:jc w:val="center"/>
              <w:rPr>
                <w:rFonts w:ascii="宋体" w:hAnsi="宋体" w:cs="宋体"/>
                <w:color w:val="auto"/>
              </w:rPr>
            </w:pPr>
          </w:p>
        </w:tc>
        <w:tc>
          <w:tcPr>
            <w:tcW w:w="1679" w:type="dxa"/>
            <w:vAlign w:val="center"/>
          </w:tcPr>
          <w:p w14:paraId="119920F9">
            <w:pPr>
              <w:ind w:left="223" w:hanging="222" w:hangingChars="106"/>
              <w:jc w:val="center"/>
              <w:rPr>
                <w:rFonts w:ascii="宋体" w:hAnsi="宋体" w:cs="宋体"/>
                <w:color w:val="auto"/>
              </w:rPr>
            </w:pPr>
          </w:p>
        </w:tc>
      </w:tr>
      <w:tr w14:paraId="51F39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759" w:type="dxa"/>
            <w:gridSpan w:val="9"/>
          </w:tcPr>
          <w:p w14:paraId="0121FC5A">
            <w:pPr>
              <w:spacing w:beforeLines="50" w:afterLines="50" w:line="360" w:lineRule="auto"/>
              <w:rPr>
                <w:rFonts w:ascii="宋体" w:hAnsi="宋体" w:cs="宋体"/>
                <w:color w:val="auto"/>
              </w:rPr>
            </w:pPr>
            <w:r>
              <w:rPr>
                <w:rFonts w:hint="eastAsia" w:ascii="宋体" w:hAnsi="宋体" w:cs="宋体"/>
                <w:color w:val="auto"/>
              </w:rPr>
              <w:t>一旦我单位中标，将实行项目经理负责制，我方保证并配备上述项目管理机构。上述填报内容真实，若不真实，愿按有关规定接受处理。项目管理班子机构设置、职责分工等情况另附资料说明。</w:t>
            </w:r>
          </w:p>
        </w:tc>
      </w:tr>
    </w:tbl>
    <w:p w14:paraId="63B810BA">
      <w:pPr>
        <w:pStyle w:val="24"/>
        <w:ind w:firstLine="2835" w:firstLineChars="1350"/>
        <w:rPr>
          <w:rFonts w:hAnsi="宋体"/>
          <w:color w:val="auto"/>
          <w:szCs w:val="21"/>
        </w:rPr>
      </w:pPr>
    </w:p>
    <w:p w14:paraId="3943F879">
      <w:pPr>
        <w:pStyle w:val="24"/>
        <w:ind w:firstLine="3990" w:firstLineChars="1900"/>
        <w:rPr>
          <w:rFonts w:hAnsi="宋体"/>
          <w:color w:val="auto"/>
          <w:szCs w:val="21"/>
        </w:rPr>
      </w:pPr>
      <w:r>
        <w:rPr>
          <w:rFonts w:hint="eastAsia" w:hAnsi="宋体"/>
          <w:color w:val="auto"/>
          <w:szCs w:val="21"/>
        </w:rPr>
        <w:t>法定代表人或委托代理人电子签名：</w:t>
      </w:r>
      <w:r>
        <w:rPr>
          <w:rFonts w:hint="eastAsia" w:hAnsi="宋体"/>
          <w:color w:val="auto"/>
          <w:szCs w:val="21"/>
          <w:u w:val="single"/>
        </w:rPr>
        <w:t>　　　　　　　　　　</w:t>
      </w:r>
    </w:p>
    <w:p w14:paraId="31098C3B">
      <w:pPr>
        <w:pStyle w:val="24"/>
        <w:ind w:firstLine="210" w:firstLineChars="100"/>
        <w:rPr>
          <w:rFonts w:hAnsi="宋体"/>
          <w:color w:val="auto"/>
          <w:szCs w:val="21"/>
        </w:rPr>
      </w:pPr>
    </w:p>
    <w:p w14:paraId="5CD87B58">
      <w:pPr>
        <w:pStyle w:val="24"/>
        <w:ind w:firstLine="3990" w:firstLineChars="1900"/>
        <w:rPr>
          <w:rFonts w:hAnsi="宋体"/>
          <w:color w:val="auto"/>
          <w:szCs w:val="21"/>
          <w:u w:val="single"/>
        </w:rPr>
      </w:pPr>
      <w:r>
        <w:rPr>
          <w:rFonts w:hint="eastAsia" w:hAnsi="宋体"/>
          <w:color w:val="auto"/>
          <w:szCs w:val="21"/>
        </w:rPr>
        <w:t>供应商（电子签章)：</w:t>
      </w:r>
      <w:r>
        <w:rPr>
          <w:rFonts w:hint="eastAsia" w:hAnsi="宋体"/>
          <w:color w:val="auto"/>
          <w:szCs w:val="21"/>
          <w:u w:val="single"/>
        </w:rPr>
        <w:t xml:space="preserve">　　　　　　　　　　             </w:t>
      </w:r>
    </w:p>
    <w:p w14:paraId="0F67CB3A">
      <w:pPr>
        <w:pStyle w:val="24"/>
        <w:ind w:firstLine="210" w:firstLineChars="100"/>
        <w:rPr>
          <w:rFonts w:hAnsi="宋体"/>
          <w:color w:val="auto"/>
          <w:szCs w:val="21"/>
        </w:rPr>
      </w:pPr>
    </w:p>
    <w:p w14:paraId="0C87AC69">
      <w:pPr>
        <w:pStyle w:val="24"/>
        <w:ind w:firstLine="4095" w:firstLineChars="1950"/>
        <w:rPr>
          <w:rFonts w:hAnsi="宋体"/>
          <w:color w:val="auto"/>
          <w:szCs w:val="21"/>
        </w:rPr>
      </w:pPr>
      <w:r>
        <w:rPr>
          <w:rFonts w:hint="eastAsia" w:hAnsi="宋体"/>
          <w:color w:val="auto"/>
          <w:szCs w:val="21"/>
        </w:rPr>
        <w:t>日　期：</w:t>
      </w:r>
      <w:r>
        <w:rPr>
          <w:rFonts w:hint="eastAsia" w:hAnsi="宋体"/>
          <w:color w:val="auto"/>
          <w:szCs w:val="21"/>
          <w:u w:val="single"/>
        </w:rPr>
        <w:t xml:space="preserve">　　　　　　　　　　　　　　            </w:t>
      </w:r>
    </w:p>
    <w:p w14:paraId="2FB11E7A">
      <w:pPr>
        <w:spacing w:line="360" w:lineRule="auto"/>
        <w:rPr>
          <w:rFonts w:ascii="宋体" w:hAnsi="宋体" w:cs="宋体"/>
          <w:color w:val="auto"/>
          <w:szCs w:val="21"/>
        </w:rPr>
      </w:pPr>
    </w:p>
    <w:p w14:paraId="3542AF4B">
      <w:pPr>
        <w:spacing w:line="360" w:lineRule="auto"/>
        <w:ind w:firstLine="420" w:firstLineChars="200"/>
        <w:rPr>
          <w:rFonts w:ascii="宋体" w:hAnsi="宋体" w:cs="宋体"/>
          <w:color w:val="auto"/>
          <w:szCs w:val="21"/>
        </w:rPr>
      </w:pPr>
      <w:r>
        <w:rPr>
          <w:rFonts w:hint="eastAsia" w:ascii="宋体" w:hAnsi="宋体" w:cs="宋体"/>
          <w:color w:val="auto"/>
          <w:szCs w:val="21"/>
        </w:rPr>
        <w:t>注：本表应附拟投入人员的身份证、岗位证（如有）、职称证（如有）、资格证书（如有）等证明材料，及供应商单位为拟投入人员所缴纳社保费的缴费证明复印件（要求缴费时间为磋商截止时间前半年内连续三个月）。</w:t>
      </w:r>
    </w:p>
    <w:p w14:paraId="7E2CDE79">
      <w:pPr>
        <w:pStyle w:val="24"/>
        <w:ind w:firstLine="482"/>
        <w:rPr>
          <w:rFonts w:hAnsi="宋体"/>
          <w:b/>
          <w:color w:val="auto"/>
          <w:sz w:val="24"/>
          <w:szCs w:val="24"/>
        </w:rPr>
      </w:pPr>
    </w:p>
    <w:p w14:paraId="71840797">
      <w:pPr>
        <w:pStyle w:val="24"/>
        <w:ind w:firstLine="482"/>
        <w:rPr>
          <w:rFonts w:hAnsi="宋体"/>
          <w:b/>
          <w:color w:val="auto"/>
          <w:sz w:val="24"/>
          <w:szCs w:val="24"/>
        </w:rPr>
      </w:pPr>
    </w:p>
    <w:p w14:paraId="1B0B6404">
      <w:pPr>
        <w:pStyle w:val="24"/>
        <w:ind w:firstLine="482"/>
        <w:rPr>
          <w:rFonts w:hAnsi="宋体" w:cs="宋体"/>
          <w:color w:val="auto"/>
        </w:rPr>
      </w:pPr>
      <w:r>
        <w:rPr>
          <w:rFonts w:hAnsi="宋体"/>
          <w:b/>
          <w:color w:val="auto"/>
          <w:sz w:val="24"/>
          <w:szCs w:val="24"/>
        </w:rPr>
        <w:br w:type="page"/>
      </w:r>
      <w:r>
        <w:rPr>
          <w:rFonts w:hint="eastAsia" w:hAnsi="宋体"/>
          <w:b/>
          <w:color w:val="auto"/>
          <w:sz w:val="24"/>
        </w:rPr>
        <w:t>格式九：</w:t>
      </w:r>
    </w:p>
    <w:p w14:paraId="52CF1468">
      <w:pPr>
        <w:jc w:val="center"/>
        <w:rPr>
          <w:rFonts w:ascii="宋体" w:hAnsi="宋体" w:cs="宋体"/>
          <w:b/>
          <w:color w:val="auto"/>
          <w:sz w:val="24"/>
        </w:rPr>
      </w:pPr>
    </w:p>
    <w:p w14:paraId="3036BB35">
      <w:pPr>
        <w:jc w:val="center"/>
        <w:rPr>
          <w:rFonts w:ascii="宋体" w:hAnsi="宋体" w:cs="宋体"/>
          <w:b/>
          <w:color w:val="auto"/>
          <w:sz w:val="24"/>
        </w:rPr>
      </w:pPr>
      <w:r>
        <w:rPr>
          <w:rFonts w:hint="eastAsia" w:ascii="宋体" w:hAnsi="宋体" w:cs="宋体"/>
          <w:b/>
          <w:color w:val="auto"/>
          <w:sz w:val="24"/>
        </w:rPr>
        <w:t xml:space="preserve">拟投入本工程项目经理的简历表  </w:t>
      </w:r>
    </w:p>
    <w:p w14:paraId="079218FD">
      <w:pPr>
        <w:pStyle w:val="250"/>
        <w:wordWrap w:val="0"/>
        <w:rPr>
          <w:rFonts w:ascii="宋体" w:hAnsi="宋体" w:cs="宋体"/>
          <w:color w:val="auto"/>
          <w:u w:val="single"/>
        </w:rPr>
      </w:pPr>
    </w:p>
    <w:tbl>
      <w:tblPr>
        <w:tblStyle w:val="4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42A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59639C4A">
            <w:pPr>
              <w:wordWrap w:val="0"/>
              <w:jc w:val="center"/>
              <w:rPr>
                <w:rFonts w:ascii="宋体" w:hAnsi="宋体" w:cs="宋体"/>
                <w:color w:val="auto"/>
              </w:rPr>
            </w:pPr>
            <w:r>
              <w:rPr>
                <w:rFonts w:hint="eastAsia" w:ascii="宋体" w:hAnsi="宋体" w:cs="宋体"/>
                <w:color w:val="auto"/>
              </w:rPr>
              <w:t>姓名</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452BE603">
            <w:pPr>
              <w:wordWrap w:val="0"/>
              <w:jc w:val="center"/>
              <w:rPr>
                <w:rFonts w:ascii="宋体" w:hAnsi="宋体" w:cs="宋体"/>
                <w:color w:val="auto"/>
              </w:rPr>
            </w:pP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5BD6EA72">
            <w:pPr>
              <w:wordWrap w:val="0"/>
              <w:jc w:val="center"/>
              <w:rPr>
                <w:rFonts w:ascii="宋体" w:hAnsi="宋体" w:cs="宋体"/>
                <w:color w:val="auto"/>
              </w:rPr>
            </w:pPr>
            <w:r>
              <w:rPr>
                <w:rFonts w:hint="eastAsia" w:ascii="宋体" w:hAnsi="宋体" w:cs="宋体"/>
                <w:color w:val="auto"/>
              </w:rPr>
              <w:t>性别</w:t>
            </w:r>
          </w:p>
        </w:tc>
        <w:tc>
          <w:tcPr>
            <w:tcW w:w="1585" w:type="dxa"/>
            <w:gridSpan w:val="2"/>
            <w:tcBorders>
              <w:top w:val="single" w:color="auto" w:sz="4" w:space="0"/>
              <w:left w:val="single" w:color="auto" w:sz="4" w:space="0"/>
              <w:bottom w:val="single" w:color="auto" w:sz="4" w:space="0"/>
              <w:right w:val="single" w:color="auto" w:sz="4" w:space="0"/>
            </w:tcBorders>
            <w:vAlign w:val="center"/>
          </w:tcPr>
          <w:p w14:paraId="5007E6C4">
            <w:pPr>
              <w:wordWrap w:val="0"/>
              <w:jc w:val="center"/>
              <w:rPr>
                <w:rFonts w:ascii="宋体" w:hAnsi="宋体" w:cs="宋体"/>
                <w:color w:val="auto"/>
              </w:rPr>
            </w:pPr>
          </w:p>
        </w:tc>
        <w:tc>
          <w:tcPr>
            <w:tcW w:w="1108" w:type="dxa"/>
            <w:gridSpan w:val="2"/>
            <w:tcBorders>
              <w:top w:val="single" w:color="auto" w:sz="4" w:space="0"/>
              <w:left w:val="single" w:color="auto" w:sz="4" w:space="0"/>
              <w:bottom w:val="single" w:color="auto" w:sz="4" w:space="0"/>
              <w:right w:val="single" w:color="auto" w:sz="4" w:space="0"/>
            </w:tcBorders>
            <w:vAlign w:val="center"/>
          </w:tcPr>
          <w:p w14:paraId="28CE6F6E">
            <w:pPr>
              <w:wordWrap w:val="0"/>
              <w:jc w:val="center"/>
              <w:rPr>
                <w:rFonts w:ascii="宋体" w:hAnsi="宋体" w:cs="宋体"/>
                <w:color w:val="auto"/>
              </w:rPr>
            </w:pPr>
            <w:r>
              <w:rPr>
                <w:rFonts w:hint="eastAsia" w:ascii="宋体" w:hAnsi="宋体" w:cs="宋体"/>
                <w:color w:val="auto"/>
              </w:rPr>
              <w:t>年龄</w:t>
            </w:r>
          </w:p>
        </w:tc>
        <w:tc>
          <w:tcPr>
            <w:tcW w:w="1276" w:type="dxa"/>
            <w:tcBorders>
              <w:top w:val="single" w:color="auto" w:sz="4" w:space="0"/>
              <w:left w:val="single" w:color="auto" w:sz="4" w:space="0"/>
              <w:bottom w:val="single" w:color="auto" w:sz="4" w:space="0"/>
              <w:right w:val="single" w:color="auto" w:sz="4" w:space="0"/>
            </w:tcBorders>
            <w:vAlign w:val="center"/>
          </w:tcPr>
          <w:p w14:paraId="41327713">
            <w:pPr>
              <w:wordWrap w:val="0"/>
              <w:jc w:val="center"/>
              <w:rPr>
                <w:rFonts w:ascii="宋体" w:hAnsi="宋体" w:cs="宋体"/>
                <w:color w:val="auto"/>
              </w:rPr>
            </w:pPr>
          </w:p>
        </w:tc>
      </w:tr>
      <w:tr w14:paraId="0BB6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tcBorders>
              <w:top w:val="single" w:color="auto" w:sz="4" w:space="0"/>
              <w:left w:val="single" w:color="auto" w:sz="4" w:space="0"/>
              <w:bottom w:val="single" w:color="auto" w:sz="4" w:space="0"/>
              <w:right w:val="single" w:color="auto" w:sz="4" w:space="0"/>
            </w:tcBorders>
            <w:vAlign w:val="center"/>
          </w:tcPr>
          <w:p w14:paraId="4B947014">
            <w:pPr>
              <w:wordWrap w:val="0"/>
              <w:jc w:val="center"/>
              <w:rPr>
                <w:rFonts w:ascii="宋体" w:hAnsi="宋体" w:cs="宋体"/>
                <w:color w:val="auto"/>
              </w:rPr>
            </w:pPr>
            <w:r>
              <w:rPr>
                <w:rFonts w:hint="eastAsia" w:ascii="宋体" w:hAnsi="宋体" w:cs="宋体"/>
                <w:color w:val="auto"/>
              </w:rPr>
              <w:t>职务</w:t>
            </w:r>
          </w:p>
        </w:tc>
        <w:tc>
          <w:tcPr>
            <w:tcW w:w="2340" w:type="dxa"/>
            <w:gridSpan w:val="3"/>
            <w:tcBorders>
              <w:top w:val="single" w:color="auto" w:sz="4" w:space="0"/>
              <w:left w:val="single" w:color="auto" w:sz="4" w:space="0"/>
              <w:bottom w:val="single" w:color="auto" w:sz="4" w:space="0"/>
              <w:right w:val="single" w:color="auto" w:sz="4" w:space="0"/>
            </w:tcBorders>
            <w:vAlign w:val="center"/>
          </w:tcPr>
          <w:p w14:paraId="35CC7F0D">
            <w:pPr>
              <w:wordWrap w:val="0"/>
              <w:jc w:val="center"/>
              <w:rPr>
                <w:rFonts w:ascii="宋体" w:hAnsi="宋体" w:cs="宋体"/>
                <w:color w:val="auto"/>
              </w:rPr>
            </w:pP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05385211">
            <w:pPr>
              <w:wordWrap w:val="0"/>
              <w:jc w:val="center"/>
              <w:rPr>
                <w:rFonts w:ascii="宋体" w:hAnsi="宋体" w:cs="宋体"/>
                <w:color w:val="auto"/>
              </w:rPr>
            </w:pPr>
            <w:r>
              <w:rPr>
                <w:rFonts w:hint="eastAsia" w:ascii="宋体" w:hAnsi="宋体" w:cs="宋体"/>
                <w:color w:val="auto"/>
              </w:rPr>
              <w:t>职称</w:t>
            </w:r>
          </w:p>
        </w:tc>
        <w:tc>
          <w:tcPr>
            <w:tcW w:w="1585" w:type="dxa"/>
            <w:gridSpan w:val="2"/>
            <w:tcBorders>
              <w:top w:val="single" w:color="auto" w:sz="4" w:space="0"/>
              <w:left w:val="single" w:color="auto" w:sz="4" w:space="0"/>
              <w:bottom w:val="single" w:color="auto" w:sz="4" w:space="0"/>
              <w:right w:val="single" w:color="auto" w:sz="4" w:space="0"/>
            </w:tcBorders>
            <w:vAlign w:val="center"/>
          </w:tcPr>
          <w:p w14:paraId="657CE81B">
            <w:pPr>
              <w:wordWrap w:val="0"/>
              <w:jc w:val="center"/>
              <w:rPr>
                <w:rFonts w:ascii="宋体" w:hAnsi="宋体" w:cs="宋体"/>
                <w:color w:val="auto"/>
              </w:rPr>
            </w:pPr>
          </w:p>
        </w:tc>
        <w:tc>
          <w:tcPr>
            <w:tcW w:w="1108" w:type="dxa"/>
            <w:gridSpan w:val="2"/>
            <w:tcBorders>
              <w:top w:val="single" w:color="auto" w:sz="4" w:space="0"/>
              <w:left w:val="single" w:color="auto" w:sz="4" w:space="0"/>
              <w:bottom w:val="single" w:color="auto" w:sz="4" w:space="0"/>
              <w:right w:val="single" w:color="auto" w:sz="4" w:space="0"/>
            </w:tcBorders>
            <w:vAlign w:val="center"/>
          </w:tcPr>
          <w:p w14:paraId="48E10AD5">
            <w:pPr>
              <w:wordWrap w:val="0"/>
              <w:jc w:val="center"/>
              <w:rPr>
                <w:rFonts w:ascii="宋体" w:hAnsi="宋体" w:cs="宋体"/>
                <w:color w:val="auto"/>
              </w:rPr>
            </w:pPr>
            <w:r>
              <w:rPr>
                <w:rFonts w:hint="eastAsia" w:ascii="宋体" w:hAnsi="宋体" w:cs="宋体"/>
                <w:color w:val="auto"/>
              </w:rPr>
              <w:t>学历</w:t>
            </w:r>
          </w:p>
        </w:tc>
        <w:tc>
          <w:tcPr>
            <w:tcW w:w="1276" w:type="dxa"/>
            <w:tcBorders>
              <w:top w:val="single" w:color="auto" w:sz="4" w:space="0"/>
              <w:left w:val="single" w:color="auto" w:sz="4" w:space="0"/>
              <w:bottom w:val="single" w:color="auto" w:sz="4" w:space="0"/>
              <w:right w:val="single" w:color="auto" w:sz="4" w:space="0"/>
            </w:tcBorders>
            <w:vAlign w:val="center"/>
          </w:tcPr>
          <w:p w14:paraId="0D0017DD">
            <w:pPr>
              <w:wordWrap w:val="0"/>
              <w:jc w:val="center"/>
              <w:rPr>
                <w:rFonts w:ascii="宋体" w:hAnsi="宋体" w:cs="宋体"/>
                <w:color w:val="auto"/>
              </w:rPr>
            </w:pPr>
          </w:p>
        </w:tc>
      </w:tr>
      <w:tr w14:paraId="5183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tcBorders>
              <w:top w:val="single" w:color="auto" w:sz="4" w:space="0"/>
              <w:left w:val="single" w:color="auto" w:sz="4" w:space="0"/>
              <w:bottom w:val="single" w:color="auto" w:sz="4" w:space="0"/>
              <w:right w:val="single" w:color="auto" w:sz="4" w:space="0"/>
            </w:tcBorders>
            <w:vAlign w:val="center"/>
          </w:tcPr>
          <w:p w14:paraId="1349DB1A">
            <w:pPr>
              <w:wordWrap w:val="0"/>
              <w:jc w:val="center"/>
              <w:rPr>
                <w:rFonts w:ascii="宋体" w:hAnsi="宋体" w:cs="宋体"/>
                <w:color w:val="auto"/>
              </w:rPr>
            </w:pPr>
            <w:r>
              <w:rPr>
                <w:rFonts w:hint="eastAsia" w:ascii="宋体" w:hAnsi="宋体" w:cs="宋体"/>
                <w:color w:val="auto"/>
              </w:rPr>
              <w:t>参加工作时间</w:t>
            </w: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492637B5">
            <w:pPr>
              <w:wordWrap w:val="0"/>
              <w:jc w:val="center"/>
              <w:rPr>
                <w:rFonts w:ascii="宋体" w:hAnsi="宋体" w:cs="宋体"/>
                <w:color w:val="auto"/>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0EB951BF">
            <w:pPr>
              <w:wordWrap w:val="0"/>
              <w:jc w:val="center"/>
              <w:rPr>
                <w:rFonts w:ascii="宋体" w:hAnsi="宋体" w:cs="宋体"/>
                <w:color w:val="auto"/>
              </w:rPr>
            </w:pPr>
            <w:r>
              <w:rPr>
                <w:rFonts w:hint="eastAsia" w:ascii="宋体" w:hAnsi="宋体" w:cs="宋体"/>
                <w:color w:val="auto"/>
              </w:rPr>
              <w:t>担任项目经理年限</w:t>
            </w:r>
          </w:p>
        </w:tc>
        <w:tc>
          <w:tcPr>
            <w:tcW w:w="1276" w:type="dxa"/>
            <w:tcBorders>
              <w:top w:val="single" w:color="auto" w:sz="4" w:space="0"/>
              <w:left w:val="single" w:color="auto" w:sz="4" w:space="0"/>
              <w:bottom w:val="single" w:color="auto" w:sz="4" w:space="0"/>
              <w:right w:val="single" w:color="auto" w:sz="4" w:space="0"/>
            </w:tcBorders>
            <w:vAlign w:val="center"/>
          </w:tcPr>
          <w:p w14:paraId="6C506DEA">
            <w:pPr>
              <w:wordWrap w:val="0"/>
              <w:jc w:val="center"/>
              <w:rPr>
                <w:rFonts w:ascii="宋体" w:hAnsi="宋体" w:cs="宋体"/>
                <w:color w:val="auto"/>
              </w:rPr>
            </w:pPr>
          </w:p>
        </w:tc>
      </w:tr>
      <w:tr w14:paraId="0821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tcBorders>
              <w:top w:val="single" w:color="auto" w:sz="4" w:space="0"/>
              <w:left w:val="single" w:color="auto" w:sz="4" w:space="0"/>
              <w:bottom w:val="single" w:color="auto" w:sz="4" w:space="0"/>
              <w:right w:val="single" w:color="auto" w:sz="4" w:space="0"/>
            </w:tcBorders>
            <w:vAlign w:val="center"/>
          </w:tcPr>
          <w:p w14:paraId="6B61EA6F">
            <w:pPr>
              <w:wordWrap w:val="0"/>
              <w:jc w:val="center"/>
              <w:rPr>
                <w:rFonts w:ascii="宋体" w:hAnsi="宋体" w:cs="宋体"/>
                <w:color w:val="auto"/>
              </w:rPr>
            </w:pPr>
            <w:r>
              <w:rPr>
                <w:rFonts w:hint="eastAsia" w:ascii="宋体" w:hAnsi="宋体" w:cs="宋体"/>
                <w:color w:val="auto"/>
              </w:rPr>
              <w:t>建造师注册编号</w:t>
            </w:r>
          </w:p>
        </w:tc>
        <w:tc>
          <w:tcPr>
            <w:tcW w:w="5862" w:type="dxa"/>
            <w:gridSpan w:val="7"/>
            <w:tcBorders>
              <w:top w:val="single" w:color="auto" w:sz="4" w:space="0"/>
              <w:left w:val="single" w:color="auto" w:sz="4" w:space="0"/>
              <w:bottom w:val="single" w:color="auto" w:sz="4" w:space="0"/>
              <w:right w:val="single" w:color="auto" w:sz="4" w:space="0"/>
            </w:tcBorders>
            <w:vAlign w:val="center"/>
          </w:tcPr>
          <w:p w14:paraId="266BFADE">
            <w:pPr>
              <w:wordWrap w:val="0"/>
              <w:jc w:val="center"/>
              <w:rPr>
                <w:rFonts w:ascii="宋体" w:hAnsi="宋体" w:cs="宋体"/>
                <w:color w:val="auto"/>
              </w:rPr>
            </w:pPr>
          </w:p>
        </w:tc>
      </w:tr>
      <w:tr w14:paraId="3B20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tcBorders>
              <w:top w:val="single" w:color="auto" w:sz="4" w:space="0"/>
              <w:left w:val="single" w:color="auto" w:sz="4" w:space="0"/>
              <w:bottom w:val="single" w:color="auto" w:sz="4" w:space="0"/>
              <w:right w:val="single" w:color="auto" w:sz="4" w:space="0"/>
            </w:tcBorders>
            <w:vAlign w:val="center"/>
          </w:tcPr>
          <w:p w14:paraId="02457F7C">
            <w:pPr>
              <w:wordWrap w:val="0"/>
              <w:jc w:val="center"/>
              <w:rPr>
                <w:rFonts w:ascii="宋体" w:hAnsi="宋体" w:cs="宋体"/>
                <w:color w:val="auto"/>
              </w:rPr>
            </w:pPr>
            <w:r>
              <w:rPr>
                <w:rFonts w:hint="eastAsia" w:ascii="宋体" w:hAnsi="宋体" w:cs="宋体"/>
                <w:color w:val="auto"/>
              </w:rPr>
              <w:t>在建和已完工程项目情况</w:t>
            </w:r>
          </w:p>
        </w:tc>
      </w:tr>
      <w:tr w14:paraId="421F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1F77564C">
            <w:pPr>
              <w:wordWrap w:val="0"/>
              <w:jc w:val="center"/>
              <w:rPr>
                <w:rFonts w:ascii="宋体" w:hAnsi="宋体" w:cs="宋体"/>
                <w:color w:val="auto"/>
              </w:rPr>
            </w:pPr>
            <w:r>
              <w:rPr>
                <w:rFonts w:hint="eastAsia" w:ascii="宋体" w:hAnsi="宋体" w:cs="宋体"/>
                <w:color w:val="auto"/>
              </w:rPr>
              <w:t>建设单位</w:t>
            </w:r>
          </w:p>
        </w:tc>
        <w:tc>
          <w:tcPr>
            <w:tcW w:w="1548" w:type="dxa"/>
            <w:tcBorders>
              <w:top w:val="single" w:color="auto" w:sz="4" w:space="0"/>
              <w:left w:val="single" w:color="auto" w:sz="4" w:space="0"/>
              <w:bottom w:val="single" w:color="auto" w:sz="4" w:space="0"/>
              <w:right w:val="single" w:color="auto" w:sz="4" w:space="0"/>
            </w:tcBorders>
            <w:vAlign w:val="center"/>
          </w:tcPr>
          <w:p w14:paraId="546B902E">
            <w:pPr>
              <w:wordWrap w:val="0"/>
              <w:jc w:val="center"/>
              <w:rPr>
                <w:rFonts w:ascii="宋体" w:hAnsi="宋体" w:cs="宋体"/>
                <w:color w:val="auto"/>
              </w:rPr>
            </w:pPr>
            <w:r>
              <w:rPr>
                <w:rFonts w:hint="eastAsia" w:ascii="宋体" w:hAnsi="宋体" w:cs="宋体"/>
                <w:color w:val="auto"/>
              </w:rPr>
              <w:t>项目名称</w:t>
            </w: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17F35F0F">
            <w:pPr>
              <w:wordWrap w:val="0"/>
              <w:jc w:val="center"/>
              <w:rPr>
                <w:rFonts w:ascii="宋体" w:hAnsi="宋体" w:cs="宋体"/>
                <w:color w:val="auto"/>
              </w:rPr>
            </w:pPr>
            <w:r>
              <w:rPr>
                <w:rFonts w:hint="eastAsia" w:ascii="宋体" w:hAnsi="宋体" w:cs="宋体"/>
                <w:color w:val="auto"/>
              </w:rPr>
              <w:t>建设规模</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61D7BCB">
            <w:pPr>
              <w:wordWrap w:val="0"/>
              <w:jc w:val="center"/>
              <w:rPr>
                <w:rFonts w:ascii="宋体" w:hAnsi="宋体" w:cs="宋体"/>
                <w:color w:val="auto"/>
              </w:rPr>
            </w:pPr>
            <w:r>
              <w:rPr>
                <w:rFonts w:hint="eastAsia" w:ascii="宋体" w:hAnsi="宋体" w:cs="宋体"/>
                <w:color w:val="auto"/>
              </w:rPr>
              <w:t>开、竣工日期</w:t>
            </w: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0F9BFC64">
            <w:pPr>
              <w:wordWrap w:val="0"/>
              <w:jc w:val="center"/>
              <w:rPr>
                <w:rFonts w:ascii="宋体" w:hAnsi="宋体" w:cs="宋体"/>
                <w:color w:val="auto"/>
              </w:rPr>
            </w:pPr>
            <w:r>
              <w:rPr>
                <w:rFonts w:hint="eastAsia" w:ascii="宋体" w:hAnsi="宋体" w:cs="宋体"/>
                <w:color w:val="auto"/>
              </w:rPr>
              <w:t>在建或已完</w:t>
            </w: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60523F0">
            <w:pPr>
              <w:wordWrap w:val="0"/>
              <w:jc w:val="center"/>
              <w:rPr>
                <w:rFonts w:ascii="宋体" w:hAnsi="宋体" w:cs="宋体"/>
                <w:color w:val="auto"/>
              </w:rPr>
            </w:pPr>
            <w:r>
              <w:rPr>
                <w:rFonts w:hint="eastAsia" w:ascii="宋体" w:hAnsi="宋体" w:cs="宋体"/>
                <w:color w:val="auto"/>
              </w:rPr>
              <w:t>工程质量</w:t>
            </w:r>
          </w:p>
        </w:tc>
      </w:tr>
      <w:tr w14:paraId="1F98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3436CE22">
            <w:pPr>
              <w:wordWrap w:val="0"/>
              <w:jc w:val="center"/>
              <w:rPr>
                <w:rFonts w:ascii="宋体" w:hAnsi="宋体" w:cs="宋体"/>
                <w:color w:val="auto"/>
              </w:rPr>
            </w:pPr>
          </w:p>
        </w:tc>
        <w:tc>
          <w:tcPr>
            <w:tcW w:w="1548" w:type="dxa"/>
            <w:tcBorders>
              <w:top w:val="single" w:color="auto" w:sz="4" w:space="0"/>
              <w:left w:val="single" w:color="auto" w:sz="4" w:space="0"/>
              <w:bottom w:val="single" w:color="auto" w:sz="4" w:space="0"/>
              <w:right w:val="single" w:color="auto" w:sz="4" w:space="0"/>
            </w:tcBorders>
            <w:vAlign w:val="center"/>
          </w:tcPr>
          <w:p w14:paraId="1C25B33A">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65BDE1F1">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41049673">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4DDC4A25">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1BB93B27">
            <w:pPr>
              <w:wordWrap w:val="0"/>
              <w:jc w:val="center"/>
              <w:rPr>
                <w:rFonts w:ascii="宋体" w:hAnsi="宋体" w:cs="宋体"/>
                <w:color w:val="auto"/>
              </w:rPr>
            </w:pPr>
          </w:p>
        </w:tc>
      </w:tr>
      <w:tr w14:paraId="146A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4F54F95C">
            <w:pPr>
              <w:wordWrap w:val="0"/>
              <w:jc w:val="center"/>
              <w:rPr>
                <w:rFonts w:ascii="宋体" w:hAnsi="宋体" w:cs="宋体"/>
                <w:color w:val="auto"/>
              </w:rPr>
            </w:pPr>
          </w:p>
        </w:tc>
        <w:tc>
          <w:tcPr>
            <w:tcW w:w="1548" w:type="dxa"/>
            <w:tcBorders>
              <w:top w:val="single" w:color="auto" w:sz="4" w:space="0"/>
              <w:left w:val="single" w:color="auto" w:sz="4" w:space="0"/>
              <w:bottom w:val="single" w:color="auto" w:sz="4" w:space="0"/>
              <w:right w:val="single" w:color="auto" w:sz="4" w:space="0"/>
            </w:tcBorders>
            <w:vAlign w:val="center"/>
          </w:tcPr>
          <w:p w14:paraId="16CD1A20">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01EFEF73">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738B6F86">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61F3BBF1">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0B035D7B">
            <w:pPr>
              <w:wordWrap w:val="0"/>
              <w:jc w:val="center"/>
              <w:rPr>
                <w:rFonts w:ascii="宋体" w:hAnsi="宋体" w:cs="宋体"/>
                <w:color w:val="auto"/>
              </w:rPr>
            </w:pPr>
          </w:p>
        </w:tc>
      </w:tr>
      <w:tr w14:paraId="615B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7ACBB06F">
            <w:pPr>
              <w:wordWrap w:val="0"/>
              <w:jc w:val="center"/>
              <w:rPr>
                <w:rFonts w:ascii="宋体" w:hAnsi="宋体" w:cs="宋体"/>
                <w:color w:val="auto"/>
              </w:rPr>
            </w:pPr>
          </w:p>
        </w:tc>
        <w:tc>
          <w:tcPr>
            <w:tcW w:w="1548" w:type="dxa"/>
            <w:tcBorders>
              <w:top w:val="single" w:color="auto" w:sz="4" w:space="0"/>
              <w:left w:val="single" w:color="auto" w:sz="4" w:space="0"/>
              <w:bottom w:val="single" w:color="auto" w:sz="4" w:space="0"/>
              <w:right w:val="single" w:color="auto" w:sz="4" w:space="0"/>
            </w:tcBorders>
            <w:vAlign w:val="center"/>
          </w:tcPr>
          <w:p w14:paraId="112C2913">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3B401792">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57FBC533">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61E87A15">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0EA1EFE">
            <w:pPr>
              <w:wordWrap w:val="0"/>
              <w:jc w:val="center"/>
              <w:rPr>
                <w:rFonts w:ascii="宋体" w:hAnsi="宋体" w:cs="宋体"/>
                <w:color w:val="auto"/>
              </w:rPr>
            </w:pPr>
          </w:p>
        </w:tc>
      </w:tr>
      <w:tr w14:paraId="7D57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14:paraId="61A48244">
            <w:pPr>
              <w:wordWrap w:val="0"/>
              <w:jc w:val="center"/>
              <w:rPr>
                <w:rFonts w:ascii="宋体" w:hAnsi="宋体" w:cs="宋体"/>
                <w:color w:val="auto"/>
              </w:rPr>
            </w:pPr>
          </w:p>
        </w:tc>
        <w:tc>
          <w:tcPr>
            <w:tcW w:w="1548" w:type="dxa"/>
            <w:tcBorders>
              <w:top w:val="single" w:color="auto" w:sz="4" w:space="0"/>
              <w:left w:val="single" w:color="auto" w:sz="4" w:space="0"/>
              <w:bottom w:val="single" w:color="auto" w:sz="4" w:space="0"/>
              <w:right w:val="single" w:color="auto" w:sz="4" w:space="0"/>
            </w:tcBorders>
            <w:vAlign w:val="center"/>
          </w:tcPr>
          <w:p w14:paraId="66F0C7BD">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653378C6">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742B3E8">
            <w:pPr>
              <w:wordWrap w:val="0"/>
              <w:jc w:val="center"/>
              <w:rPr>
                <w:rFonts w:ascii="宋体" w:hAnsi="宋体" w:cs="宋体"/>
                <w:color w:val="auto"/>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45BE22B1">
            <w:pPr>
              <w:wordWrap w:val="0"/>
              <w:jc w:val="center"/>
              <w:rPr>
                <w:rFonts w:ascii="宋体" w:hAnsi="宋体" w:cs="宋体"/>
                <w:color w:val="auto"/>
              </w:rPr>
            </w:pPr>
          </w:p>
        </w:tc>
        <w:tc>
          <w:tcPr>
            <w:tcW w:w="1548" w:type="dxa"/>
            <w:gridSpan w:val="2"/>
            <w:tcBorders>
              <w:top w:val="single" w:color="auto" w:sz="4" w:space="0"/>
              <w:left w:val="single" w:color="auto" w:sz="4" w:space="0"/>
              <w:bottom w:val="single" w:color="auto" w:sz="4" w:space="0"/>
              <w:right w:val="single" w:color="auto" w:sz="4" w:space="0"/>
            </w:tcBorders>
            <w:vAlign w:val="center"/>
          </w:tcPr>
          <w:p w14:paraId="601CA993">
            <w:pPr>
              <w:wordWrap w:val="0"/>
              <w:jc w:val="center"/>
              <w:rPr>
                <w:rFonts w:ascii="宋体" w:hAnsi="宋体" w:cs="宋体"/>
                <w:color w:val="auto"/>
              </w:rPr>
            </w:pPr>
          </w:p>
        </w:tc>
      </w:tr>
    </w:tbl>
    <w:p w14:paraId="4DD4BDA1">
      <w:pPr>
        <w:jc w:val="center"/>
        <w:rPr>
          <w:rFonts w:ascii="宋体" w:hAnsi="宋体" w:cs="宋体"/>
          <w:b/>
          <w:color w:val="auto"/>
          <w:sz w:val="24"/>
        </w:rPr>
      </w:pPr>
    </w:p>
    <w:p w14:paraId="2F605F4A">
      <w:pPr>
        <w:pStyle w:val="24"/>
        <w:ind w:firstLine="1050" w:firstLineChars="500"/>
        <w:rPr>
          <w:rFonts w:hAnsi="宋体"/>
          <w:color w:val="auto"/>
          <w:szCs w:val="21"/>
        </w:rPr>
      </w:pPr>
    </w:p>
    <w:p w14:paraId="75926AC3">
      <w:pPr>
        <w:pStyle w:val="24"/>
        <w:ind w:firstLine="1050" w:firstLineChars="500"/>
        <w:rPr>
          <w:rFonts w:hAnsi="宋体"/>
          <w:color w:val="auto"/>
          <w:szCs w:val="21"/>
        </w:rPr>
      </w:pPr>
    </w:p>
    <w:p w14:paraId="49BA0D90">
      <w:pPr>
        <w:pStyle w:val="24"/>
        <w:ind w:firstLine="4620" w:firstLineChars="2200"/>
        <w:rPr>
          <w:rFonts w:hAnsi="宋体"/>
          <w:color w:val="auto"/>
          <w:szCs w:val="21"/>
        </w:rPr>
      </w:pPr>
      <w:r>
        <w:rPr>
          <w:rFonts w:hint="eastAsia" w:hAnsi="宋体"/>
          <w:color w:val="auto"/>
          <w:szCs w:val="21"/>
        </w:rPr>
        <w:t>法定代表人或委托代理人电子签名：</w:t>
      </w:r>
      <w:r>
        <w:rPr>
          <w:rFonts w:hint="eastAsia" w:hAnsi="宋体"/>
          <w:color w:val="auto"/>
          <w:szCs w:val="21"/>
          <w:u w:val="single"/>
        </w:rPr>
        <w:t>　　　　　</w:t>
      </w:r>
    </w:p>
    <w:p w14:paraId="76D4C6EE">
      <w:pPr>
        <w:pStyle w:val="24"/>
        <w:ind w:firstLine="210" w:firstLineChars="100"/>
        <w:rPr>
          <w:rFonts w:hAnsi="宋体"/>
          <w:color w:val="auto"/>
          <w:szCs w:val="21"/>
        </w:rPr>
      </w:pPr>
    </w:p>
    <w:p w14:paraId="4FB9BCCD">
      <w:pPr>
        <w:pStyle w:val="24"/>
        <w:ind w:firstLine="4620" w:firstLineChars="2200"/>
        <w:rPr>
          <w:rFonts w:hAnsi="宋体"/>
          <w:color w:val="auto"/>
          <w:szCs w:val="21"/>
          <w:u w:val="single"/>
        </w:rPr>
      </w:pPr>
      <w:r>
        <w:rPr>
          <w:rFonts w:hint="eastAsia" w:hAnsi="宋体"/>
          <w:color w:val="auto"/>
          <w:szCs w:val="21"/>
        </w:rPr>
        <w:t>供应商（电子签章)：</w:t>
      </w:r>
      <w:r>
        <w:rPr>
          <w:rFonts w:hint="eastAsia" w:hAnsi="宋体"/>
          <w:color w:val="auto"/>
          <w:szCs w:val="21"/>
          <w:u w:val="single"/>
        </w:rPr>
        <w:t>　　　　　　　　　　</w:t>
      </w:r>
    </w:p>
    <w:p w14:paraId="156CD72F">
      <w:pPr>
        <w:pStyle w:val="24"/>
        <w:ind w:firstLine="210" w:firstLineChars="100"/>
        <w:rPr>
          <w:rFonts w:hAnsi="宋体"/>
          <w:color w:val="auto"/>
          <w:szCs w:val="21"/>
        </w:rPr>
      </w:pPr>
    </w:p>
    <w:p w14:paraId="4BB34D32">
      <w:pPr>
        <w:pStyle w:val="24"/>
        <w:ind w:firstLine="5040" w:firstLineChars="2400"/>
        <w:rPr>
          <w:rFonts w:hAnsi="宋体"/>
          <w:color w:val="auto"/>
          <w:szCs w:val="21"/>
        </w:rPr>
      </w:pPr>
      <w:r>
        <w:rPr>
          <w:rFonts w:hint="eastAsia" w:hAnsi="宋体"/>
          <w:color w:val="auto"/>
          <w:szCs w:val="21"/>
        </w:rPr>
        <w:t>日　期：</w:t>
      </w:r>
      <w:r>
        <w:rPr>
          <w:rFonts w:hint="eastAsia" w:hAnsi="宋体"/>
          <w:color w:val="auto"/>
          <w:szCs w:val="21"/>
          <w:u w:val="single"/>
        </w:rPr>
        <w:t>　　　　　　　　　　　　　　</w:t>
      </w:r>
    </w:p>
    <w:p w14:paraId="385D83AD">
      <w:pPr>
        <w:adjustRightInd w:val="0"/>
        <w:spacing w:line="300" w:lineRule="auto"/>
        <w:ind w:firstLine="443" w:firstLineChars="210"/>
        <w:rPr>
          <w:rFonts w:ascii="宋体" w:hAnsi="宋体" w:cs="宋体"/>
          <w:b/>
          <w:color w:val="auto"/>
          <w:szCs w:val="21"/>
        </w:rPr>
      </w:pPr>
    </w:p>
    <w:p w14:paraId="1A41087E">
      <w:pPr>
        <w:pStyle w:val="24"/>
        <w:rPr>
          <w:rFonts w:hAnsi="宋体"/>
          <w:color w:val="auto"/>
          <w:szCs w:val="21"/>
        </w:rPr>
      </w:pPr>
    </w:p>
    <w:p w14:paraId="5B85ACF7">
      <w:pPr>
        <w:spacing w:line="400" w:lineRule="exact"/>
        <w:rPr>
          <w:rFonts w:ascii="宋体" w:hAnsi="宋体"/>
          <w:color w:val="auto"/>
          <w:szCs w:val="21"/>
        </w:rPr>
      </w:pPr>
    </w:p>
    <w:p w14:paraId="73E98A6D">
      <w:pPr>
        <w:widowControl/>
        <w:jc w:val="left"/>
        <w:rPr>
          <w:rFonts w:ascii="宋体" w:hAnsi="宋体"/>
          <w:b/>
          <w:color w:val="auto"/>
          <w:sz w:val="24"/>
        </w:rPr>
      </w:pPr>
      <w:r>
        <w:rPr>
          <w:rFonts w:ascii="宋体" w:hAnsi="宋体"/>
          <w:b/>
          <w:color w:val="auto"/>
          <w:sz w:val="24"/>
        </w:rPr>
        <w:br w:type="page"/>
      </w:r>
    </w:p>
    <w:p w14:paraId="78163C98">
      <w:pPr>
        <w:jc w:val="left"/>
        <w:rPr>
          <w:rFonts w:ascii="宋体" w:hAnsi="宋体"/>
          <w:b/>
          <w:color w:val="auto"/>
          <w:sz w:val="28"/>
          <w:szCs w:val="28"/>
        </w:rPr>
      </w:pPr>
      <w:r>
        <w:rPr>
          <w:rFonts w:hint="eastAsia" w:ascii="宋体" w:hAnsi="宋体"/>
          <w:b/>
          <w:color w:val="auto"/>
          <w:sz w:val="24"/>
        </w:rPr>
        <w:t>格式十：</w:t>
      </w:r>
    </w:p>
    <w:p w14:paraId="52D7C38E">
      <w:pPr>
        <w:jc w:val="center"/>
        <w:rPr>
          <w:rFonts w:ascii="宋体" w:hAnsi="宋体"/>
          <w:b/>
          <w:color w:val="auto"/>
          <w:sz w:val="28"/>
          <w:szCs w:val="28"/>
        </w:rPr>
      </w:pPr>
      <w:r>
        <w:rPr>
          <w:rFonts w:hint="eastAsia" w:ascii="宋体" w:hAnsi="宋体"/>
          <w:b/>
          <w:color w:val="auto"/>
          <w:sz w:val="28"/>
          <w:szCs w:val="28"/>
        </w:rPr>
        <w:t>磋商函</w:t>
      </w:r>
    </w:p>
    <w:p w14:paraId="6CFF1A58">
      <w:pPr>
        <w:spacing w:line="440" w:lineRule="exact"/>
        <w:rPr>
          <w:rFonts w:ascii="宋体" w:hAnsi="宋体"/>
          <w:color w:val="auto"/>
          <w:u w:val="single"/>
        </w:rPr>
      </w:pPr>
      <w:r>
        <w:rPr>
          <w:rFonts w:ascii="宋体" w:hAnsi="宋体"/>
          <w:color w:val="auto"/>
        </w:rPr>
        <w:t>致：</w:t>
      </w:r>
      <w:r>
        <w:rPr>
          <w:rFonts w:hint="eastAsia" w:ascii="宋体" w:hAnsi="宋体"/>
          <w:color w:val="auto"/>
        </w:rPr>
        <w:t>（</w:t>
      </w:r>
      <w:r>
        <w:rPr>
          <w:rFonts w:hint="eastAsia" w:ascii="宋体" w:hAnsi="宋体"/>
          <w:color w:val="auto"/>
          <w:u w:val="single"/>
        </w:rPr>
        <w:t>采购人名称）</w:t>
      </w:r>
    </w:p>
    <w:p w14:paraId="10AE005E">
      <w:pPr>
        <w:spacing w:line="440" w:lineRule="exact"/>
        <w:ind w:firstLine="488"/>
        <w:rPr>
          <w:rFonts w:ascii="宋体" w:hAnsi="宋体"/>
          <w:b/>
          <w:color w:val="auto"/>
          <w:szCs w:val="21"/>
        </w:rPr>
      </w:pPr>
      <w:r>
        <w:rPr>
          <w:rFonts w:ascii="宋体" w:hAnsi="宋体"/>
          <w:color w:val="auto"/>
        </w:rPr>
        <w:t>1</w:t>
      </w:r>
      <w:r>
        <w:rPr>
          <w:rFonts w:hint="eastAsia" w:ascii="宋体" w:hAnsi="宋体"/>
          <w:color w:val="auto"/>
        </w:rPr>
        <w:t xml:space="preserve">. </w:t>
      </w:r>
      <w:r>
        <w:rPr>
          <w:rFonts w:ascii="宋体" w:hAnsi="宋体"/>
          <w:color w:val="auto"/>
        </w:rPr>
        <w:t>根据你方项目编号为</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{项目编号}</w:t>
      </w:r>
      <w:r>
        <w:rPr>
          <w:rFonts w:hint="eastAsia" w:ascii="宋体" w:hAnsi="宋体"/>
          <w:color w:val="auto"/>
          <w:u w:val="single"/>
        </w:rPr>
        <w:t xml:space="preserve">  </w:t>
      </w:r>
      <w:r>
        <w:rPr>
          <w:rFonts w:ascii="宋体" w:hAnsi="宋体"/>
          <w:color w:val="auto"/>
          <w:u w:val="single"/>
        </w:rPr>
        <w:t xml:space="preserve">  </w:t>
      </w:r>
      <w:r>
        <w:rPr>
          <w:rFonts w:ascii="宋体" w:hAnsi="宋体"/>
          <w:color w:val="auto"/>
        </w:rPr>
        <w:t>的</w:t>
      </w:r>
      <w:r>
        <w:rPr>
          <w:rFonts w:hint="eastAsia" w:ascii="宋体" w:hAnsi="宋体"/>
          <w:color w:val="auto"/>
          <w:u w:val="single"/>
        </w:rPr>
        <w:t>（项目名称）标</w:t>
      </w:r>
      <w:r>
        <w:rPr>
          <w:rFonts w:ascii="宋体" w:hAnsi="宋体"/>
          <w:color w:val="auto"/>
        </w:rPr>
        <w:t>磋商文件，遵照</w:t>
      </w:r>
      <w:r>
        <w:rPr>
          <w:rFonts w:hint="eastAsia" w:ascii="宋体" w:hAnsi="宋体" w:cs="宋体"/>
          <w:color w:val="auto"/>
          <w:szCs w:val="21"/>
        </w:rPr>
        <w:t>《中华人民共和国政府采购法》、</w:t>
      </w:r>
      <w:r>
        <w:rPr>
          <w:rFonts w:hint="eastAsia" w:ascii="宋体" w:hAnsi="宋体" w:cs="Arial"/>
          <w:color w:val="auto"/>
          <w:szCs w:val="21"/>
        </w:rPr>
        <w:t>《中华人民共和国政府采购法实施条例》、《政府采购竞争性磋商采购方式管理暂行办法》</w:t>
      </w:r>
      <w:r>
        <w:rPr>
          <w:rFonts w:ascii="宋体" w:hAnsi="宋体" w:cs="Arial"/>
          <w:color w:val="auto"/>
          <w:szCs w:val="21"/>
        </w:rPr>
        <w:t>等</w:t>
      </w:r>
      <w:r>
        <w:rPr>
          <w:rFonts w:ascii="宋体" w:hAnsi="宋体"/>
          <w:color w:val="auto"/>
        </w:rPr>
        <w:t>有关规定，经踏勘项目现场和研究上述磋商文件的磋商须知、合同条款、图纸、工程建设标准和工程量清单及其他有关文件后，</w:t>
      </w:r>
      <w:r>
        <w:rPr>
          <w:rFonts w:ascii="宋体" w:hAnsi="宋体"/>
          <w:b/>
          <w:color w:val="auto"/>
          <w:szCs w:val="21"/>
        </w:rPr>
        <w:t>我方</w:t>
      </w:r>
      <w:r>
        <w:rPr>
          <w:rFonts w:hint="eastAsia" w:ascii="宋体" w:hAnsi="宋体"/>
          <w:b/>
          <w:color w:val="auto"/>
          <w:szCs w:val="21"/>
        </w:rPr>
        <w:t>愿以</w:t>
      </w:r>
      <w:r>
        <w:rPr>
          <w:rFonts w:ascii="宋体" w:hAnsi="宋体"/>
          <w:b/>
          <w:color w:val="auto"/>
          <w:szCs w:val="21"/>
        </w:rPr>
        <w:t>人民币(大写)</w:t>
      </w:r>
      <w:r>
        <w:rPr>
          <w:rFonts w:ascii="宋体" w:hAnsi="宋体"/>
          <w:b/>
          <w:color w:val="auto"/>
          <w:szCs w:val="21"/>
          <w:u w:val="single"/>
        </w:rPr>
        <w:t xml:space="preserve">    </w:t>
      </w:r>
      <w:r>
        <w:rPr>
          <w:rFonts w:hint="eastAsia" w:ascii="宋体" w:hAnsi="宋体"/>
          <w:b/>
          <w:color w:val="auto"/>
          <w:szCs w:val="21"/>
          <w:u w:val="single"/>
        </w:rPr>
        <w:t xml:space="preserve">    </w:t>
      </w:r>
      <w:r>
        <w:rPr>
          <w:rFonts w:ascii="宋体" w:hAnsi="宋体"/>
          <w:b/>
          <w:color w:val="auto"/>
          <w:szCs w:val="21"/>
          <w:u w:val="single"/>
        </w:rPr>
        <w:t xml:space="preserve">  </w:t>
      </w:r>
      <w:r>
        <w:rPr>
          <w:rFonts w:ascii="宋体" w:hAnsi="宋体"/>
          <w:b/>
          <w:color w:val="auto"/>
          <w:szCs w:val="21"/>
        </w:rPr>
        <w:t>元（RMB</w:t>
      </w:r>
      <w:r>
        <w:rPr>
          <w:rFonts w:ascii="宋体" w:hAnsi="宋体"/>
          <w:b/>
          <w:color w:val="auto"/>
          <w:szCs w:val="21"/>
          <w:u w:val="single"/>
        </w:rPr>
        <w:t xml:space="preserve">¥   </w:t>
      </w:r>
      <w:r>
        <w:rPr>
          <w:rFonts w:hint="eastAsia" w:ascii="宋体" w:hAnsi="宋体"/>
          <w:b/>
          <w:color w:val="auto"/>
          <w:szCs w:val="21"/>
          <w:u w:val="single"/>
        </w:rPr>
        <w:t xml:space="preserve"> </w:t>
      </w:r>
      <w:r>
        <w:rPr>
          <w:rFonts w:ascii="宋体" w:hAnsi="宋体"/>
          <w:b/>
          <w:color w:val="auto"/>
          <w:szCs w:val="21"/>
          <w:u w:val="single"/>
        </w:rPr>
        <w:t xml:space="preserve">   </w:t>
      </w:r>
      <w:r>
        <w:rPr>
          <w:rFonts w:ascii="宋体" w:hAnsi="宋体"/>
          <w:b/>
          <w:color w:val="auto"/>
          <w:szCs w:val="21"/>
        </w:rPr>
        <w:t>）磋商</w:t>
      </w:r>
      <w:r>
        <w:rPr>
          <w:rFonts w:hint="eastAsia" w:ascii="宋体" w:hAnsi="宋体"/>
          <w:b/>
          <w:color w:val="auto"/>
          <w:szCs w:val="21"/>
        </w:rPr>
        <w:t>总</w:t>
      </w:r>
      <w:r>
        <w:rPr>
          <w:rFonts w:ascii="宋体" w:hAnsi="宋体"/>
          <w:b/>
          <w:color w:val="auto"/>
          <w:szCs w:val="21"/>
        </w:rPr>
        <w:t>报价</w:t>
      </w:r>
      <w:r>
        <w:rPr>
          <w:rFonts w:hint="eastAsia" w:ascii="宋体" w:hAnsi="宋体"/>
          <w:b/>
          <w:color w:val="auto"/>
          <w:szCs w:val="21"/>
        </w:rPr>
        <w:t>；</w:t>
      </w:r>
      <w:r>
        <w:rPr>
          <w:rFonts w:ascii="宋体" w:hAnsi="宋体"/>
          <w:b/>
          <w:color w:val="auto"/>
          <w:szCs w:val="21"/>
        </w:rPr>
        <w:t>并按上述图纸、合同条款、工程建设标准和工程量清单的条件要求承包上述工程的施工、竣工，并承担任何质量缺陷保修责任。</w:t>
      </w:r>
      <w:r>
        <w:rPr>
          <w:rFonts w:hint="eastAsia" w:ascii="宋体" w:hAnsi="宋体"/>
          <w:b/>
          <w:color w:val="auto"/>
          <w:szCs w:val="21"/>
        </w:rPr>
        <w:t>施工工期为</w:t>
      </w:r>
      <w:r>
        <w:rPr>
          <w:rFonts w:hint="eastAsia" w:ascii="宋体" w:hAnsi="宋体"/>
          <w:b/>
          <w:color w:val="auto"/>
          <w:szCs w:val="21"/>
          <w:u w:val="single"/>
        </w:rPr>
        <w:t xml:space="preserve">      天</w:t>
      </w:r>
      <w:r>
        <w:rPr>
          <w:rFonts w:hint="eastAsia" w:ascii="宋体" w:hAnsi="宋体"/>
          <w:b/>
          <w:color w:val="auto"/>
          <w:szCs w:val="21"/>
        </w:rPr>
        <w:t>（日历</w:t>
      </w:r>
      <w:r>
        <w:rPr>
          <w:rFonts w:hint="eastAsia" w:ascii="宋体" w:hAnsi="宋体"/>
          <w:b/>
          <w:color w:val="auto"/>
          <w:szCs w:val="21"/>
          <w:lang w:eastAsia="zh-CN"/>
        </w:rPr>
        <w:t>天</w:t>
      </w:r>
      <w:r>
        <w:rPr>
          <w:rFonts w:hint="eastAsia" w:ascii="宋体" w:hAnsi="宋体"/>
          <w:b/>
          <w:color w:val="auto"/>
          <w:szCs w:val="21"/>
        </w:rPr>
        <w:t>），工程质量标准</w:t>
      </w:r>
      <w:r>
        <w:rPr>
          <w:rFonts w:hint="eastAsia" w:ascii="宋体" w:hAnsi="宋体"/>
          <w:b/>
          <w:color w:val="auto"/>
          <w:szCs w:val="21"/>
          <w:u w:val="single"/>
        </w:rPr>
        <w:t xml:space="preserve">       </w:t>
      </w:r>
      <w:r>
        <w:rPr>
          <w:rFonts w:hint="eastAsia" w:ascii="宋体" w:hAnsi="宋体"/>
          <w:b/>
          <w:color w:val="auto"/>
          <w:szCs w:val="21"/>
        </w:rPr>
        <w:t>。</w:t>
      </w:r>
    </w:p>
    <w:p w14:paraId="0B535DED">
      <w:pPr>
        <w:spacing w:line="440" w:lineRule="exact"/>
        <w:ind w:firstLine="442"/>
        <w:rPr>
          <w:rFonts w:ascii="宋体" w:hAnsi="宋体"/>
          <w:color w:val="auto"/>
        </w:rPr>
      </w:pPr>
      <w:r>
        <w:rPr>
          <w:rFonts w:ascii="宋体" w:hAnsi="宋体"/>
          <w:color w:val="auto"/>
        </w:rPr>
        <w:t>2</w:t>
      </w:r>
      <w:r>
        <w:rPr>
          <w:rFonts w:hint="eastAsia" w:ascii="宋体" w:hAnsi="宋体"/>
          <w:color w:val="auto"/>
        </w:rPr>
        <w:t xml:space="preserve">. </w:t>
      </w:r>
      <w:r>
        <w:rPr>
          <w:rFonts w:ascii="宋体" w:hAnsi="宋体"/>
          <w:color w:val="auto"/>
        </w:rPr>
        <w:t>我方已详细审核全部磋商文件，包括修改文件（如有时）及有关附件。</w:t>
      </w:r>
    </w:p>
    <w:p w14:paraId="2D167F58">
      <w:pPr>
        <w:spacing w:line="440" w:lineRule="exact"/>
        <w:ind w:firstLine="442"/>
        <w:rPr>
          <w:rFonts w:ascii="宋体" w:hAnsi="宋体"/>
          <w:color w:val="auto"/>
        </w:rPr>
      </w:pPr>
      <w:r>
        <w:rPr>
          <w:rFonts w:hint="eastAsia" w:ascii="宋体" w:hAnsi="宋体"/>
          <w:color w:val="auto"/>
        </w:rPr>
        <w:t xml:space="preserve">3. </w:t>
      </w:r>
      <w:r>
        <w:rPr>
          <w:rFonts w:ascii="宋体" w:hAnsi="宋体"/>
          <w:color w:val="auto"/>
        </w:rPr>
        <w:t>一旦我方成交，我方保证按合同书中规定的工期</w:t>
      </w:r>
      <w:r>
        <w:rPr>
          <w:rFonts w:ascii="宋体" w:hAnsi="宋体"/>
          <w:color w:val="auto"/>
          <w:u w:val="single"/>
        </w:rPr>
        <w:t xml:space="preserve"> {工期}  </w:t>
      </w:r>
      <w:r>
        <w:rPr>
          <w:rFonts w:ascii="宋体" w:hAnsi="宋体"/>
          <w:color w:val="auto"/>
        </w:rPr>
        <w:t>日历</w:t>
      </w:r>
      <w:r>
        <w:rPr>
          <w:rFonts w:hint="eastAsia" w:ascii="宋体" w:hAnsi="宋体"/>
          <w:color w:val="auto"/>
          <w:lang w:eastAsia="zh-CN"/>
        </w:rPr>
        <w:t>天</w:t>
      </w:r>
      <w:r>
        <w:rPr>
          <w:rFonts w:ascii="宋体" w:hAnsi="宋体"/>
          <w:color w:val="auto"/>
        </w:rPr>
        <w:t>内完成并移交全部工程。</w:t>
      </w:r>
    </w:p>
    <w:p w14:paraId="3A0A3F6C">
      <w:pPr>
        <w:spacing w:line="440" w:lineRule="exact"/>
        <w:ind w:firstLine="442"/>
        <w:rPr>
          <w:rFonts w:ascii="宋体" w:hAnsi="宋体"/>
          <w:color w:val="auto"/>
        </w:rPr>
      </w:pPr>
      <w:r>
        <w:rPr>
          <w:rFonts w:hint="eastAsia" w:ascii="宋体" w:hAnsi="宋体"/>
          <w:color w:val="auto"/>
        </w:rPr>
        <w:t xml:space="preserve">4. </w:t>
      </w:r>
      <w:r>
        <w:rPr>
          <w:rFonts w:ascii="宋体" w:hAnsi="宋体"/>
          <w:color w:val="auto"/>
        </w:rPr>
        <w:t>如果我方成交，我方将按照</w:t>
      </w:r>
      <w:r>
        <w:rPr>
          <w:rFonts w:hint="eastAsia" w:ascii="宋体" w:hAnsi="宋体"/>
          <w:color w:val="auto"/>
        </w:rPr>
        <w:t>磋商</w:t>
      </w:r>
      <w:r>
        <w:rPr>
          <w:rFonts w:ascii="宋体" w:hAnsi="宋体"/>
          <w:color w:val="auto"/>
        </w:rPr>
        <w:t>文件规定提交</w:t>
      </w:r>
      <w:r>
        <w:rPr>
          <w:rFonts w:hint="eastAsia" w:ascii="宋体" w:hAnsi="宋体"/>
          <w:color w:val="auto"/>
        </w:rPr>
        <w:t>履约保证金（如有）</w:t>
      </w:r>
      <w:r>
        <w:rPr>
          <w:rFonts w:ascii="宋体" w:hAnsi="宋体"/>
          <w:color w:val="auto"/>
        </w:rPr>
        <w:t>作为履约担保。</w:t>
      </w:r>
    </w:p>
    <w:p w14:paraId="665AC635">
      <w:pPr>
        <w:spacing w:line="440" w:lineRule="exact"/>
        <w:ind w:firstLine="442"/>
        <w:rPr>
          <w:rFonts w:ascii="宋体" w:hAnsi="宋体"/>
          <w:color w:val="auto"/>
        </w:rPr>
      </w:pPr>
      <w:r>
        <w:rPr>
          <w:rFonts w:hint="eastAsia" w:ascii="宋体" w:hAnsi="宋体"/>
          <w:color w:val="auto"/>
        </w:rPr>
        <w:t xml:space="preserve">5. </w:t>
      </w:r>
      <w:r>
        <w:rPr>
          <w:rFonts w:ascii="宋体" w:hAnsi="宋体"/>
          <w:color w:val="auto"/>
        </w:rPr>
        <w:t>我方同意所提交的</w:t>
      </w:r>
      <w:r>
        <w:rPr>
          <w:rFonts w:hint="eastAsia" w:ascii="宋体" w:hAnsi="宋体"/>
          <w:color w:val="auto"/>
        </w:rPr>
        <w:t>响应文件</w:t>
      </w:r>
      <w:r>
        <w:rPr>
          <w:rFonts w:ascii="宋体" w:hAnsi="宋体"/>
          <w:color w:val="auto"/>
        </w:rPr>
        <w:t>在磋商文件的磋商须知中第</w:t>
      </w:r>
      <w:r>
        <w:rPr>
          <w:rFonts w:hint="eastAsia" w:ascii="宋体" w:hAnsi="宋体"/>
          <w:color w:val="auto"/>
        </w:rPr>
        <w:t>10</w:t>
      </w:r>
      <w:r>
        <w:rPr>
          <w:rFonts w:ascii="宋体" w:hAnsi="宋体"/>
          <w:color w:val="auto"/>
        </w:rPr>
        <w:t>条规定的磋商有效期内有效，在此期间内如果成交，我方将受此约束。</w:t>
      </w:r>
    </w:p>
    <w:p w14:paraId="6F85A7CE">
      <w:pPr>
        <w:spacing w:line="440" w:lineRule="exact"/>
        <w:ind w:firstLine="442"/>
        <w:rPr>
          <w:rFonts w:ascii="宋体" w:hAnsi="宋体"/>
          <w:color w:val="auto"/>
        </w:rPr>
      </w:pPr>
      <w:r>
        <w:rPr>
          <w:rFonts w:ascii="宋体" w:hAnsi="宋体"/>
          <w:color w:val="auto"/>
        </w:rPr>
        <w:t>7</w:t>
      </w:r>
      <w:r>
        <w:rPr>
          <w:rFonts w:hint="eastAsia" w:ascii="宋体" w:hAnsi="宋体"/>
          <w:color w:val="auto"/>
        </w:rPr>
        <w:t xml:space="preserve">. </w:t>
      </w:r>
      <w:r>
        <w:rPr>
          <w:rFonts w:ascii="宋体" w:hAnsi="宋体"/>
          <w:color w:val="auto"/>
        </w:rPr>
        <w:t>除非另外达成协议并生效，你方的成交通知书和本</w:t>
      </w:r>
      <w:r>
        <w:rPr>
          <w:rFonts w:hint="eastAsia" w:ascii="宋体" w:hAnsi="宋体"/>
          <w:color w:val="auto"/>
        </w:rPr>
        <w:t>响应文件</w:t>
      </w:r>
      <w:r>
        <w:rPr>
          <w:rFonts w:ascii="宋体" w:hAnsi="宋体"/>
          <w:color w:val="auto"/>
        </w:rPr>
        <w:t>将成为约束双方的合同文件的组成部分。</w:t>
      </w:r>
    </w:p>
    <w:p w14:paraId="25EDF279">
      <w:pPr>
        <w:spacing w:line="440" w:lineRule="exact"/>
        <w:ind w:firstLine="442"/>
        <w:rPr>
          <w:rFonts w:ascii="宋体" w:hAnsi="宋体"/>
          <w:color w:val="auto"/>
        </w:rPr>
      </w:pPr>
      <w:r>
        <w:rPr>
          <w:rFonts w:ascii="宋体" w:hAnsi="宋体"/>
          <w:color w:val="auto"/>
        </w:rPr>
        <w:t>8</w:t>
      </w:r>
      <w:r>
        <w:rPr>
          <w:rFonts w:hint="eastAsia" w:ascii="宋体" w:hAnsi="宋体"/>
          <w:color w:val="auto"/>
        </w:rPr>
        <w:t xml:space="preserve">. </w:t>
      </w:r>
      <w:r>
        <w:rPr>
          <w:rFonts w:ascii="宋体" w:hAnsi="宋体"/>
          <w:color w:val="auto"/>
        </w:rPr>
        <w:t>我方将与本磋商函一起，提交人民币</w:t>
      </w:r>
      <w:r>
        <w:rPr>
          <w:rFonts w:ascii="宋体" w:hAnsi="宋体"/>
          <w:color w:val="auto"/>
          <w:u w:val="single"/>
        </w:rPr>
        <w:t xml:space="preserve">  </w:t>
      </w:r>
      <w:r>
        <w:rPr>
          <w:rFonts w:hint="eastAsia" w:ascii="宋体" w:hAnsi="宋体"/>
          <w:color w:val="auto"/>
          <w:u w:val="single"/>
        </w:rPr>
        <w:t>/</w:t>
      </w:r>
      <w:r>
        <w:rPr>
          <w:rFonts w:ascii="宋体" w:hAnsi="宋体"/>
          <w:color w:val="auto"/>
          <w:u w:val="single"/>
        </w:rPr>
        <w:t xml:space="preserve">  </w:t>
      </w:r>
      <w:r>
        <w:rPr>
          <w:rFonts w:ascii="宋体" w:hAnsi="宋体"/>
          <w:color w:val="auto"/>
        </w:rPr>
        <w:t>元作为磋商担保。</w:t>
      </w:r>
    </w:p>
    <w:p w14:paraId="19CE7F16">
      <w:pPr>
        <w:spacing w:line="440" w:lineRule="exact"/>
        <w:rPr>
          <w:rFonts w:ascii="宋体" w:hAnsi="宋体"/>
          <w:color w:val="auto"/>
        </w:rPr>
      </w:pPr>
    </w:p>
    <w:p w14:paraId="302BBF76">
      <w:pPr>
        <w:spacing w:line="440" w:lineRule="exact"/>
        <w:ind w:left="1000"/>
        <w:rPr>
          <w:rFonts w:ascii="宋体" w:hAnsi="宋体"/>
          <w:color w:val="auto"/>
          <w:u w:val="single"/>
        </w:rPr>
      </w:pPr>
      <w:r>
        <w:rPr>
          <w:rFonts w:ascii="宋体" w:hAnsi="宋体"/>
          <w:color w:val="auto"/>
        </w:rPr>
        <w:t xml:space="preserve">         </w:t>
      </w:r>
      <w:r>
        <w:rPr>
          <w:rFonts w:hint="eastAsia" w:ascii="宋体" w:hAnsi="宋体"/>
          <w:color w:val="auto"/>
        </w:rPr>
        <w:t>供应商</w:t>
      </w:r>
      <w:r>
        <w:rPr>
          <w:rFonts w:ascii="宋体" w:hAnsi="宋体"/>
          <w:color w:val="auto"/>
        </w:rPr>
        <w:t>：</w:t>
      </w:r>
      <w:r>
        <w:rPr>
          <w:rFonts w:ascii="宋体" w:hAnsi="宋体"/>
          <w:color w:val="auto"/>
          <w:u w:val="single"/>
        </w:rPr>
        <w:t xml:space="preserve">   </w:t>
      </w:r>
      <w:r>
        <w:rPr>
          <w:rFonts w:hint="eastAsia" w:ascii="宋体" w:hAnsi="宋体"/>
          <w:color w:val="auto"/>
          <w:u w:val="single"/>
        </w:rPr>
        <w:t>（全称）</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u w:val="single"/>
        </w:rPr>
        <w:t>电子签章</w:t>
      </w:r>
      <w:r>
        <w:rPr>
          <w:rFonts w:ascii="宋体" w:hAnsi="宋体"/>
          <w:color w:val="auto"/>
          <w:u w:val="single"/>
        </w:rPr>
        <w:t>）</w:t>
      </w:r>
    </w:p>
    <w:p w14:paraId="1083A141">
      <w:pPr>
        <w:spacing w:line="440" w:lineRule="exact"/>
        <w:ind w:left="1000"/>
        <w:rPr>
          <w:rFonts w:ascii="宋体" w:hAnsi="宋体"/>
          <w:color w:val="auto"/>
          <w:u w:val="single"/>
        </w:rPr>
      </w:pPr>
      <w:r>
        <w:rPr>
          <w:rFonts w:ascii="宋体" w:hAnsi="宋体"/>
          <w:color w:val="auto"/>
        </w:rPr>
        <w:t xml:space="preserve">         单位地址：</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49CFA5CF">
      <w:pPr>
        <w:spacing w:line="440" w:lineRule="exact"/>
        <w:ind w:left="1000"/>
        <w:rPr>
          <w:rFonts w:ascii="宋体" w:hAnsi="宋体"/>
          <w:color w:val="auto"/>
          <w:u w:val="single"/>
        </w:rPr>
      </w:pPr>
      <w:r>
        <w:rPr>
          <w:rFonts w:ascii="宋体" w:hAnsi="宋体"/>
          <w:color w:val="auto"/>
        </w:rPr>
        <w:t xml:space="preserve">         法定代表人或</w:t>
      </w:r>
      <w:r>
        <w:rPr>
          <w:rFonts w:hint="eastAsia" w:ascii="宋体" w:hAnsi="宋体"/>
          <w:color w:val="auto"/>
        </w:rPr>
        <w:t>授权</w:t>
      </w:r>
      <w:r>
        <w:rPr>
          <w:rFonts w:ascii="宋体" w:hAnsi="宋体"/>
          <w:color w:val="auto"/>
        </w:rPr>
        <w:t>委托代理人：</w:t>
      </w:r>
      <w:r>
        <w:rPr>
          <w:rFonts w:ascii="宋体" w:hAnsi="宋体"/>
          <w:color w:val="auto"/>
          <w:u w:val="single"/>
        </w:rPr>
        <w:t xml:space="preserve">    </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u w:val="single"/>
        </w:rPr>
        <w:t>电子签名</w:t>
      </w:r>
      <w:r>
        <w:rPr>
          <w:rFonts w:ascii="宋体" w:hAnsi="宋体"/>
          <w:color w:val="auto"/>
          <w:u w:val="single"/>
        </w:rPr>
        <w:t>）</w:t>
      </w:r>
    </w:p>
    <w:p w14:paraId="1C6F4C96">
      <w:pPr>
        <w:spacing w:line="440" w:lineRule="exact"/>
        <w:ind w:left="1000"/>
        <w:rPr>
          <w:rFonts w:ascii="宋体" w:hAnsi="宋体"/>
          <w:color w:val="auto"/>
        </w:rPr>
      </w:pPr>
      <w:r>
        <w:rPr>
          <w:rFonts w:ascii="宋体" w:hAnsi="宋体"/>
          <w:color w:val="auto"/>
        </w:rPr>
        <w:t xml:space="preserve">         邮政编码：</w:t>
      </w:r>
      <w:r>
        <w:rPr>
          <w:rFonts w:ascii="宋体" w:hAnsi="宋体"/>
          <w:color w:val="auto"/>
          <w:u w:val="single"/>
        </w:rPr>
        <w:tab/>
      </w:r>
      <w:r>
        <w:rPr>
          <w:rFonts w:ascii="宋体" w:hAnsi="宋体"/>
          <w:color w:val="auto"/>
          <w:u w:val="single"/>
        </w:rPr>
        <w:tab/>
      </w:r>
      <w:r>
        <w:rPr>
          <w:rFonts w:ascii="宋体" w:hAnsi="宋体"/>
          <w:color w:val="auto"/>
        </w:rPr>
        <w:t>电话：</w:t>
      </w:r>
      <w:r>
        <w:rPr>
          <w:rFonts w:ascii="宋体" w:hAnsi="宋体"/>
          <w:color w:val="auto"/>
          <w:u w:val="single"/>
        </w:rPr>
        <w:tab/>
      </w:r>
      <w:r>
        <w:rPr>
          <w:rFonts w:ascii="宋体" w:hAnsi="宋体"/>
          <w:color w:val="auto"/>
          <w:u w:val="single"/>
        </w:rPr>
        <w:tab/>
      </w:r>
      <w:r>
        <w:rPr>
          <w:rFonts w:ascii="宋体" w:hAnsi="宋体"/>
          <w:color w:val="auto"/>
        </w:rPr>
        <w:t xml:space="preserve"> 传真：</w:t>
      </w:r>
      <w:r>
        <w:rPr>
          <w:rFonts w:ascii="宋体" w:hAnsi="宋体"/>
          <w:color w:val="auto"/>
          <w:u w:val="single"/>
        </w:rPr>
        <w:tab/>
      </w:r>
      <w:r>
        <w:rPr>
          <w:rFonts w:ascii="宋体" w:hAnsi="宋体"/>
          <w:color w:val="auto"/>
          <w:u w:val="single"/>
        </w:rPr>
        <w:tab/>
      </w:r>
    </w:p>
    <w:p w14:paraId="06AB9C60">
      <w:pPr>
        <w:spacing w:line="440" w:lineRule="exact"/>
        <w:ind w:left="1000"/>
        <w:rPr>
          <w:rFonts w:ascii="宋体" w:hAnsi="宋体"/>
          <w:color w:val="auto"/>
        </w:rPr>
      </w:pPr>
      <w:r>
        <w:rPr>
          <w:rFonts w:ascii="宋体" w:hAnsi="宋体"/>
          <w:color w:val="auto"/>
        </w:rPr>
        <w:t xml:space="preserve">         开户银行名称：</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6CF0FFBC">
      <w:pPr>
        <w:spacing w:line="440" w:lineRule="exact"/>
        <w:ind w:left="1000"/>
        <w:rPr>
          <w:rFonts w:ascii="宋体" w:hAnsi="宋体"/>
          <w:color w:val="auto"/>
        </w:rPr>
      </w:pPr>
      <w:r>
        <w:rPr>
          <w:rFonts w:ascii="宋体" w:hAnsi="宋体"/>
          <w:color w:val="auto"/>
        </w:rPr>
        <w:t xml:space="preserve">         开户银行账号：</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 xml:space="preserve">  </w:t>
      </w:r>
      <w:r>
        <w:rPr>
          <w:rFonts w:ascii="宋体" w:hAnsi="宋体"/>
          <w:color w:val="auto"/>
          <w:u w:val="single"/>
        </w:rPr>
        <w:tab/>
      </w:r>
      <w:r>
        <w:rPr>
          <w:rFonts w:ascii="宋体" w:hAnsi="宋体"/>
          <w:color w:val="auto"/>
          <w:u w:val="single"/>
        </w:rPr>
        <w:tab/>
      </w:r>
      <w:r>
        <w:rPr>
          <w:rFonts w:ascii="宋体" w:hAnsi="宋体"/>
          <w:color w:val="auto"/>
          <w:u w:val="single"/>
        </w:rPr>
        <w:tab/>
      </w:r>
    </w:p>
    <w:p w14:paraId="4A29576D">
      <w:pPr>
        <w:spacing w:line="440" w:lineRule="exact"/>
        <w:ind w:left="1000"/>
        <w:rPr>
          <w:rFonts w:ascii="宋体" w:hAnsi="宋体"/>
          <w:color w:val="auto"/>
        </w:rPr>
      </w:pPr>
      <w:r>
        <w:rPr>
          <w:rFonts w:ascii="宋体" w:hAnsi="宋体"/>
          <w:color w:val="auto"/>
        </w:rPr>
        <w:t xml:space="preserve">         开户银行地址：</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1A8CC1F0">
      <w:pPr>
        <w:spacing w:line="440" w:lineRule="exact"/>
        <w:ind w:left="1000"/>
        <w:rPr>
          <w:rFonts w:ascii="宋体" w:hAnsi="宋体"/>
          <w:color w:val="auto"/>
        </w:rPr>
      </w:pPr>
      <w:r>
        <w:rPr>
          <w:rFonts w:ascii="宋体" w:hAnsi="宋体"/>
          <w:color w:val="auto"/>
        </w:rPr>
        <w:t xml:space="preserve">         开户银行电话：</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6C766141">
      <w:pPr>
        <w:spacing w:line="440" w:lineRule="exact"/>
        <w:ind w:firstLine="1890" w:firstLineChars="900"/>
        <w:rPr>
          <w:rFonts w:ascii="宋体" w:hAnsi="宋体"/>
          <w:color w:val="auto"/>
          <w:szCs w:val="21"/>
        </w:rPr>
      </w:pPr>
      <w:r>
        <w:rPr>
          <w:rFonts w:hint="eastAsia" w:ascii="宋体" w:hAnsi="宋体"/>
          <w:color w:val="auto"/>
        </w:rPr>
        <w:t xml:space="preserve"> </w:t>
      </w:r>
      <w:r>
        <w:rPr>
          <w:rFonts w:ascii="宋体" w:hAnsi="宋体"/>
          <w:color w:val="auto"/>
        </w:rPr>
        <w:t>日</w:t>
      </w:r>
      <w:r>
        <w:rPr>
          <w:rFonts w:hint="eastAsia" w:ascii="宋体" w:hAnsi="宋体"/>
          <w:color w:val="auto"/>
        </w:rPr>
        <w:t xml:space="preserve">    </w:t>
      </w:r>
      <w:r>
        <w:rPr>
          <w:rFonts w:ascii="宋体" w:hAnsi="宋体"/>
          <w:color w:val="auto"/>
        </w:rPr>
        <w:t>期：_____年____月___日</w:t>
      </w:r>
    </w:p>
    <w:p w14:paraId="6F9C9F45">
      <w:pPr>
        <w:tabs>
          <w:tab w:val="left" w:pos="0"/>
        </w:tabs>
        <w:spacing w:after="50" w:line="400" w:lineRule="exact"/>
        <w:rPr>
          <w:rFonts w:ascii="宋体" w:hAnsi="宋体"/>
          <w:b/>
          <w:bCs/>
          <w:color w:val="auto"/>
          <w:sz w:val="24"/>
        </w:rPr>
      </w:pPr>
    </w:p>
    <w:p w14:paraId="68D1CB85">
      <w:pPr>
        <w:tabs>
          <w:tab w:val="left" w:pos="0"/>
        </w:tabs>
        <w:spacing w:after="50" w:line="400" w:lineRule="exact"/>
        <w:rPr>
          <w:rFonts w:ascii="宋体" w:hAnsi="宋体"/>
          <w:b/>
          <w:bCs/>
          <w:color w:val="auto"/>
          <w:sz w:val="24"/>
        </w:rPr>
      </w:pPr>
    </w:p>
    <w:p w14:paraId="3E90F653">
      <w:pPr>
        <w:pStyle w:val="24"/>
        <w:ind w:firstLine="482"/>
        <w:jc w:val="center"/>
        <w:rPr>
          <w:rFonts w:hAnsi="宋体"/>
          <w:color w:val="auto"/>
          <w:szCs w:val="21"/>
        </w:rPr>
      </w:pPr>
      <w:r>
        <w:rPr>
          <w:rFonts w:hAnsi="宋体"/>
          <w:b/>
          <w:bCs/>
          <w:color w:val="auto"/>
          <w:sz w:val="24"/>
        </w:rPr>
        <w:br w:type="page"/>
      </w:r>
      <w:bookmarkStart w:id="885" w:name="_Toc3628"/>
      <w:bookmarkStart w:id="886" w:name="_Toc23013"/>
      <w:r>
        <w:rPr>
          <w:rStyle w:val="285"/>
          <w:rFonts w:hint="eastAsia"/>
          <w:color w:val="auto"/>
          <w:sz w:val="32"/>
          <w:szCs w:val="32"/>
        </w:rPr>
        <w:t>第八章  评标办法</w:t>
      </w:r>
      <w:bookmarkEnd w:id="885"/>
      <w:bookmarkEnd w:id="886"/>
    </w:p>
    <w:p w14:paraId="676B6526">
      <w:pPr>
        <w:spacing w:line="360" w:lineRule="auto"/>
        <w:ind w:firstLine="435"/>
        <w:rPr>
          <w:rFonts w:ascii="宋体" w:hAnsi="宋体"/>
          <w:b/>
          <w:bCs/>
          <w:color w:val="auto"/>
          <w:szCs w:val="21"/>
        </w:rPr>
      </w:pPr>
      <w:r>
        <w:rPr>
          <w:rFonts w:hint="eastAsia" w:ascii="宋体" w:hAnsi="宋体"/>
          <w:b/>
          <w:bCs/>
          <w:color w:val="auto"/>
          <w:szCs w:val="21"/>
        </w:rPr>
        <w:t>一、评标原则</w:t>
      </w:r>
    </w:p>
    <w:p w14:paraId="7FD2AA39">
      <w:pPr>
        <w:spacing w:line="420" w:lineRule="exact"/>
        <w:ind w:firstLine="435"/>
        <w:rPr>
          <w:rFonts w:ascii="宋体" w:hAnsi="宋体"/>
          <w:color w:val="auto"/>
          <w:szCs w:val="21"/>
        </w:rPr>
      </w:pPr>
      <w:r>
        <w:rPr>
          <w:rFonts w:hint="eastAsia" w:ascii="宋体" w:hAnsi="宋体"/>
          <w:color w:val="auto"/>
          <w:szCs w:val="21"/>
        </w:rPr>
        <w:t>磋商小组构成：本采购项目的磋商小组由评审专家三人以上（含3人）的单数组成，其中专家人数不得少于成员总数的三分之二。</w:t>
      </w:r>
    </w:p>
    <w:p w14:paraId="70D1F1CE">
      <w:pPr>
        <w:spacing w:line="420" w:lineRule="exact"/>
        <w:ind w:firstLine="435"/>
        <w:rPr>
          <w:rFonts w:ascii="宋体" w:hAnsi="宋体"/>
          <w:color w:val="auto"/>
          <w:szCs w:val="21"/>
        </w:rPr>
      </w:pPr>
      <w:r>
        <w:rPr>
          <w:rFonts w:hint="eastAsia" w:ascii="宋体" w:hAnsi="宋体"/>
          <w:color w:val="auto"/>
          <w:szCs w:val="21"/>
        </w:rPr>
        <w:t>评标依据：采购文件和磋商响应文件为评定依据。</w:t>
      </w:r>
    </w:p>
    <w:p w14:paraId="71EACB38">
      <w:pPr>
        <w:spacing w:line="420" w:lineRule="exact"/>
        <w:ind w:firstLine="435"/>
        <w:rPr>
          <w:rFonts w:hint="eastAsia" w:ascii="宋体" w:hAnsi="宋体"/>
          <w:color w:val="auto"/>
          <w:szCs w:val="21"/>
        </w:rPr>
      </w:pPr>
      <w:r>
        <w:rPr>
          <w:rFonts w:hint="eastAsia" w:ascii="宋体" w:hAnsi="宋体"/>
          <w:color w:val="auto"/>
          <w:szCs w:val="21"/>
        </w:rPr>
        <w:t>评标办法：</w:t>
      </w:r>
      <w:r>
        <w:rPr>
          <w:rFonts w:hint="eastAsia" w:ascii="宋体" w:hAnsi="宋体" w:cs="Courier New"/>
          <w:color w:val="auto"/>
          <w:szCs w:val="21"/>
          <w:shd w:val="clear" w:color="auto" w:fill="FFFFFF"/>
        </w:rPr>
        <w:t xml:space="preserve">采用综合评分法 </w:t>
      </w:r>
      <w:r>
        <w:rPr>
          <w:rFonts w:hint="eastAsia" w:ascii="宋体" w:hAnsi="宋体"/>
          <w:color w:val="auto"/>
          <w:szCs w:val="21"/>
        </w:rPr>
        <w:t>。</w:t>
      </w:r>
    </w:p>
    <w:p w14:paraId="076C857B">
      <w:pPr>
        <w:pStyle w:val="24"/>
        <w:spacing w:line="380" w:lineRule="exact"/>
        <w:ind w:firstLine="422" w:firstLineChars="200"/>
        <w:rPr>
          <w:rFonts w:hint="eastAsia" w:hAnsi="宋体"/>
          <w:b/>
          <w:bCs/>
          <w:color w:val="auto"/>
          <w:sz w:val="21"/>
          <w:highlight w:val="none"/>
          <w:lang w:eastAsia="zh-CN"/>
        </w:rPr>
      </w:pPr>
      <w:r>
        <w:rPr>
          <w:rFonts w:hint="eastAsia" w:hAnsi="宋体"/>
          <w:b/>
          <w:bCs/>
          <w:color w:val="auto"/>
          <w:sz w:val="21"/>
          <w:highlight w:val="none"/>
          <w:lang w:eastAsia="zh-CN"/>
        </w:rPr>
        <w:t>二、异常低价审查程序</w:t>
      </w:r>
    </w:p>
    <w:p w14:paraId="69C976B4">
      <w:pPr>
        <w:snapToGrid w:val="0"/>
        <w:spacing w:line="340" w:lineRule="exact"/>
        <w:ind w:firstLine="420" w:firstLineChars="200"/>
        <w:rPr>
          <w:rFonts w:hint="eastAsia" w:ascii="宋体" w:hAnsi="宋体" w:cs="宋体"/>
          <w:color w:val="auto"/>
          <w:kern w:val="0"/>
          <w:szCs w:val="21"/>
          <w:highlight w:val="none"/>
        </w:rPr>
      </w:pPr>
      <w:r>
        <w:rPr>
          <w:rFonts w:hint="eastAsia" w:ascii="宋体" w:hAnsi="宋体" w:cs="宋体"/>
          <w:bCs/>
          <w:color w:val="auto"/>
          <w:kern w:val="0"/>
          <w:szCs w:val="21"/>
          <w:highlight w:val="none"/>
        </w:rPr>
        <w:t>采购评审中出现下列情形之一的，评审委员会应当启动异常低价投标(响应)审查程序:</w:t>
      </w:r>
    </w:p>
    <w:p w14:paraId="79193448">
      <w:pPr>
        <w:snapToGrid w:val="0"/>
        <w:spacing w:line="34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①投标(响应)报价低于全部通过符合性审查供应商投标(响应)报价平均值</w:t>
      </w:r>
      <w:r>
        <w:rPr>
          <w:rFonts w:hint="eastAsia" w:ascii="宋体" w:hAnsi="宋体" w:cs="宋体"/>
          <w:bCs/>
          <w:color w:val="auto"/>
          <w:kern w:val="0"/>
          <w:szCs w:val="21"/>
          <w:highlight w:val="none"/>
          <w:lang w:val="en-US" w:eastAsia="zh-CN"/>
        </w:rPr>
        <w:t>65</w:t>
      </w:r>
      <w:r>
        <w:rPr>
          <w:rFonts w:hint="eastAsia" w:ascii="宋体" w:hAnsi="宋体" w:cs="宋体"/>
          <w:bCs/>
          <w:color w:val="auto"/>
          <w:kern w:val="0"/>
          <w:szCs w:val="21"/>
          <w:highlight w:val="none"/>
        </w:rPr>
        <w:t>%的，即投标(响应)报价〈全部通过符合性审查供应商投标(响应)报价平均值X</w:t>
      </w:r>
      <w:r>
        <w:rPr>
          <w:rFonts w:hint="eastAsia" w:ascii="宋体" w:hAnsi="宋体" w:cs="宋体"/>
          <w:bCs/>
          <w:color w:val="auto"/>
          <w:kern w:val="0"/>
          <w:szCs w:val="21"/>
          <w:highlight w:val="none"/>
          <w:lang w:val="en-US" w:eastAsia="zh-CN"/>
        </w:rPr>
        <w:t>65</w:t>
      </w:r>
      <w:r>
        <w:rPr>
          <w:rFonts w:hint="eastAsia" w:ascii="宋体" w:hAnsi="宋体" w:cs="宋体"/>
          <w:bCs/>
          <w:color w:val="auto"/>
          <w:kern w:val="0"/>
          <w:szCs w:val="21"/>
          <w:highlight w:val="none"/>
        </w:rPr>
        <w:t>%；</w:t>
      </w:r>
    </w:p>
    <w:p w14:paraId="265681C6">
      <w:pPr>
        <w:snapToGrid w:val="0"/>
        <w:spacing w:line="34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②投标(响应)报价低于通过符合性审查的次低报价供应商投标(响应)报价</w:t>
      </w:r>
      <w:r>
        <w:rPr>
          <w:rFonts w:hint="eastAsia" w:ascii="宋体" w:hAnsi="宋体" w:cs="宋体"/>
          <w:bCs/>
          <w:color w:val="auto"/>
          <w:kern w:val="0"/>
          <w:szCs w:val="21"/>
          <w:highlight w:val="none"/>
          <w:lang w:val="en-US" w:eastAsia="zh-CN"/>
        </w:rPr>
        <w:t>65</w:t>
      </w:r>
      <w:r>
        <w:rPr>
          <w:rFonts w:hint="eastAsia" w:ascii="宋体" w:hAnsi="宋体" w:cs="宋体"/>
          <w:bCs/>
          <w:color w:val="auto"/>
          <w:kern w:val="0"/>
          <w:szCs w:val="21"/>
          <w:highlight w:val="none"/>
        </w:rPr>
        <w:t>%的，即投标(响应)报价〈通过符合性审查的次低报价供应商投标(响应)报价X</w:t>
      </w:r>
      <w:r>
        <w:rPr>
          <w:rFonts w:hint="eastAsia" w:ascii="宋体" w:hAnsi="宋体" w:cs="宋体"/>
          <w:bCs/>
          <w:color w:val="auto"/>
          <w:kern w:val="0"/>
          <w:szCs w:val="21"/>
          <w:highlight w:val="none"/>
          <w:lang w:val="en-US" w:eastAsia="zh-CN"/>
        </w:rPr>
        <w:t>65</w:t>
      </w:r>
      <w:r>
        <w:rPr>
          <w:rFonts w:hint="eastAsia" w:ascii="宋体" w:hAnsi="宋体" w:cs="宋体"/>
          <w:bCs/>
          <w:color w:val="auto"/>
          <w:kern w:val="0"/>
          <w:szCs w:val="21"/>
          <w:highlight w:val="none"/>
        </w:rPr>
        <w:t>%；</w:t>
      </w:r>
    </w:p>
    <w:p w14:paraId="0AD9BA3D">
      <w:pPr>
        <w:snapToGrid w:val="0"/>
        <w:spacing w:line="34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③投标(响应)报价低于采购项目最高限价</w:t>
      </w:r>
      <w:r>
        <w:rPr>
          <w:rFonts w:hint="eastAsia" w:ascii="宋体" w:hAnsi="宋体" w:cs="宋体"/>
          <w:bCs/>
          <w:color w:val="auto"/>
          <w:kern w:val="0"/>
          <w:szCs w:val="21"/>
          <w:highlight w:val="none"/>
          <w:lang w:val="en-US" w:eastAsia="zh-CN"/>
        </w:rPr>
        <w:t>65</w:t>
      </w:r>
      <w:r>
        <w:rPr>
          <w:rFonts w:hint="eastAsia" w:ascii="宋体" w:hAnsi="宋体" w:cs="宋体"/>
          <w:bCs/>
          <w:color w:val="auto"/>
          <w:kern w:val="0"/>
          <w:szCs w:val="21"/>
          <w:highlight w:val="none"/>
        </w:rPr>
        <w:t>%的，即投标(响应)报价〈采购项目最高限价X</w:t>
      </w:r>
      <w:r>
        <w:rPr>
          <w:rFonts w:hint="eastAsia" w:ascii="宋体" w:hAnsi="宋体" w:cs="宋体"/>
          <w:bCs/>
          <w:color w:val="auto"/>
          <w:kern w:val="0"/>
          <w:szCs w:val="21"/>
          <w:highlight w:val="none"/>
          <w:lang w:val="en-US" w:eastAsia="zh-CN"/>
        </w:rPr>
        <w:t>65</w:t>
      </w:r>
      <w:r>
        <w:rPr>
          <w:rFonts w:hint="eastAsia" w:ascii="宋体" w:hAnsi="宋体" w:cs="宋体"/>
          <w:bCs/>
          <w:color w:val="auto"/>
          <w:kern w:val="0"/>
          <w:szCs w:val="21"/>
          <w:highlight w:val="none"/>
        </w:rPr>
        <w:t>%；</w:t>
      </w:r>
    </w:p>
    <w:p w14:paraId="566183D0">
      <w:pPr>
        <w:snapToGrid w:val="0"/>
        <w:spacing w:line="34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④评审委员会基于专业判断，认为供应商报价过低，有可能影响产品质量或者不能诚信履约的其他情形。</w:t>
      </w:r>
    </w:p>
    <w:p w14:paraId="17DBA626">
      <w:pPr>
        <w:snapToGrid w:val="0"/>
        <w:spacing w:line="34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评审委员会启动异常低价投标(响应)审查后，属于前述第①项至第④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响应)文件并提交相关书面说明及必要的证明材料的，在评审现场可不再重复提交。</w:t>
      </w:r>
    </w:p>
    <w:p w14:paraId="445AEC30">
      <w:pPr>
        <w:snapToGrid w:val="0"/>
        <w:spacing w:line="34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E5A36B8">
      <w:pPr>
        <w:snapToGrid w:val="0"/>
        <w:spacing w:line="34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1C99C50">
      <w:pPr>
        <w:snapToGrid w:val="0"/>
        <w:spacing w:line="340" w:lineRule="exact"/>
        <w:ind w:firstLine="420" w:firstLineChars="200"/>
        <w:rPr>
          <w:rFonts w:hint="eastAsia" w:hAnsi="宋体" w:cs="宋体"/>
          <w:bCs/>
          <w:color w:val="auto"/>
          <w:highlight w:val="none"/>
        </w:rPr>
      </w:pPr>
      <w:r>
        <w:rPr>
          <w:rFonts w:hint="eastAsia" w:ascii="宋体" w:hAnsi="宋体" w:cs="宋体"/>
          <w:bCs/>
          <w:color w:val="auto"/>
          <w:kern w:val="0"/>
          <w:szCs w:val="21"/>
          <w:highlight w:val="none"/>
        </w:rPr>
        <w:t>异常低价投标(响应)审查的启动原因、审查意见和审查结果应当在评审报告中记录，并随供应商提供的相关书面说明及证明材料，以及评审委员会有关互联网浏览、查询历史一并归档。</w:t>
      </w:r>
    </w:p>
    <w:p w14:paraId="19C9474E">
      <w:pPr>
        <w:numPr>
          <w:ilvl w:val="0"/>
          <w:numId w:val="0"/>
        </w:numPr>
        <w:spacing w:line="420" w:lineRule="exact"/>
        <w:ind w:firstLine="422" w:firstLineChars="200"/>
        <w:rPr>
          <w:rFonts w:ascii="宋体" w:hAnsi="宋体"/>
          <w:color w:val="auto"/>
          <w:szCs w:val="21"/>
        </w:rPr>
      </w:pPr>
      <w:r>
        <w:rPr>
          <w:rFonts w:hint="eastAsia" w:ascii="宋体" w:hAnsi="宋体"/>
          <w:b/>
          <w:bCs/>
          <w:color w:val="auto"/>
          <w:szCs w:val="21"/>
          <w:lang w:eastAsia="zh-CN"/>
        </w:rPr>
        <w:t>三、</w:t>
      </w:r>
      <w:r>
        <w:rPr>
          <w:rFonts w:hint="eastAsia" w:ascii="宋体" w:hAnsi="宋体"/>
          <w:b/>
          <w:bCs/>
          <w:color w:val="auto"/>
          <w:szCs w:val="21"/>
        </w:rPr>
        <w:t>评定方法：</w:t>
      </w:r>
      <w:r>
        <w:rPr>
          <w:rFonts w:hint="eastAsia" w:ascii="宋体" w:hAnsi="宋体"/>
          <w:color w:val="auto"/>
          <w:szCs w:val="21"/>
        </w:rPr>
        <w:t>对资格性和符合性检查合格的磋商响应文件，采用</w:t>
      </w:r>
      <w:r>
        <w:rPr>
          <w:rFonts w:hint="eastAsia" w:ascii="宋体" w:hAnsi="宋体" w:cs="Courier New"/>
          <w:color w:val="auto"/>
          <w:szCs w:val="21"/>
          <w:shd w:val="clear" w:color="auto" w:fill="FFFFFF"/>
        </w:rPr>
        <w:t>综合评分法</w:t>
      </w:r>
      <w:r>
        <w:rPr>
          <w:rFonts w:hint="eastAsia" w:ascii="宋体" w:hAnsi="宋体"/>
          <w:color w:val="auto"/>
          <w:szCs w:val="21"/>
        </w:rPr>
        <w:t>进行评审。只有通过了资格审查和符合性评审的供应商，才能进入详细评审程序。</w:t>
      </w:r>
    </w:p>
    <w:tbl>
      <w:tblPr>
        <w:tblStyle w:val="44"/>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6736"/>
        <w:gridCol w:w="736"/>
      </w:tblGrid>
      <w:tr w14:paraId="4135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5F4B6F34">
            <w:pPr>
              <w:widowControl/>
              <w:spacing w:line="320" w:lineRule="exact"/>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086" w:type="dxa"/>
            <w:tcBorders>
              <w:top w:val="single" w:color="auto" w:sz="4" w:space="0"/>
              <w:left w:val="single" w:color="auto" w:sz="4" w:space="0"/>
              <w:bottom w:val="single" w:color="auto" w:sz="4" w:space="0"/>
              <w:right w:val="single" w:color="auto" w:sz="4" w:space="0"/>
            </w:tcBorders>
            <w:vAlign w:val="center"/>
          </w:tcPr>
          <w:p w14:paraId="23E745C9">
            <w:pPr>
              <w:widowControl/>
              <w:spacing w:line="320" w:lineRule="exact"/>
              <w:jc w:val="center"/>
              <w:rPr>
                <w:rFonts w:ascii="宋体" w:hAnsi="宋体" w:cs="宋体"/>
                <w:b/>
                <w:bCs/>
                <w:color w:val="auto"/>
                <w:kern w:val="0"/>
                <w:szCs w:val="21"/>
              </w:rPr>
            </w:pPr>
            <w:r>
              <w:rPr>
                <w:rFonts w:hint="eastAsia" w:ascii="宋体" w:hAnsi="宋体" w:cs="宋体"/>
                <w:b/>
                <w:bCs/>
                <w:color w:val="auto"/>
                <w:kern w:val="0"/>
                <w:szCs w:val="21"/>
              </w:rPr>
              <w:t>评审因素</w:t>
            </w:r>
          </w:p>
        </w:tc>
        <w:tc>
          <w:tcPr>
            <w:tcW w:w="6736" w:type="dxa"/>
            <w:tcBorders>
              <w:top w:val="single" w:color="auto" w:sz="4" w:space="0"/>
              <w:left w:val="single" w:color="auto" w:sz="4" w:space="0"/>
              <w:bottom w:val="single" w:color="auto" w:sz="4" w:space="0"/>
              <w:right w:val="single" w:color="auto" w:sz="4" w:space="0"/>
            </w:tcBorders>
            <w:vAlign w:val="center"/>
          </w:tcPr>
          <w:p w14:paraId="082DACC7">
            <w:pPr>
              <w:widowControl/>
              <w:spacing w:line="320" w:lineRule="exact"/>
              <w:jc w:val="center"/>
              <w:rPr>
                <w:rFonts w:ascii="宋体" w:hAnsi="宋体" w:cs="宋体"/>
                <w:b/>
                <w:bCs/>
                <w:color w:val="auto"/>
                <w:kern w:val="0"/>
                <w:szCs w:val="21"/>
              </w:rPr>
            </w:pPr>
            <w:r>
              <w:rPr>
                <w:rFonts w:hint="eastAsia" w:ascii="宋体" w:hAnsi="宋体" w:cs="宋体"/>
                <w:b/>
                <w:bCs/>
                <w:color w:val="auto"/>
                <w:kern w:val="0"/>
                <w:szCs w:val="21"/>
              </w:rPr>
              <w:t>评审因素具体内容</w:t>
            </w:r>
          </w:p>
        </w:tc>
        <w:tc>
          <w:tcPr>
            <w:tcW w:w="736" w:type="dxa"/>
            <w:tcBorders>
              <w:top w:val="single" w:color="auto" w:sz="4" w:space="0"/>
              <w:left w:val="single" w:color="auto" w:sz="4" w:space="0"/>
              <w:bottom w:val="single" w:color="auto" w:sz="4" w:space="0"/>
              <w:right w:val="single" w:color="auto" w:sz="4" w:space="0"/>
            </w:tcBorders>
            <w:vAlign w:val="center"/>
          </w:tcPr>
          <w:p w14:paraId="3E02C12F">
            <w:pPr>
              <w:widowControl/>
              <w:spacing w:line="320" w:lineRule="exact"/>
              <w:jc w:val="center"/>
              <w:rPr>
                <w:rFonts w:ascii="宋体" w:hAnsi="宋体" w:cs="宋体"/>
                <w:b/>
                <w:bCs/>
                <w:color w:val="auto"/>
                <w:kern w:val="0"/>
                <w:szCs w:val="21"/>
              </w:rPr>
            </w:pPr>
            <w:r>
              <w:rPr>
                <w:rFonts w:hint="eastAsia" w:ascii="宋体" w:hAnsi="宋体" w:cs="宋体"/>
                <w:b/>
                <w:bCs/>
                <w:color w:val="auto"/>
                <w:kern w:val="0"/>
                <w:szCs w:val="21"/>
              </w:rPr>
              <w:t>分值</w:t>
            </w:r>
          </w:p>
        </w:tc>
      </w:tr>
      <w:tr w14:paraId="6926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3F761579">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1</w:t>
            </w:r>
          </w:p>
        </w:tc>
        <w:tc>
          <w:tcPr>
            <w:tcW w:w="1086" w:type="dxa"/>
            <w:tcBorders>
              <w:top w:val="single" w:color="auto" w:sz="4" w:space="0"/>
              <w:left w:val="single" w:color="auto" w:sz="4" w:space="0"/>
              <w:bottom w:val="single" w:color="auto" w:sz="4" w:space="0"/>
              <w:right w:val="single" w:color="auto" w:sz="4" w:space="0"/>
            </w:tcBorders>
            <w:vAlign w:val="center"/>
          </w:tcPr>
          <w:p w14:paraId="38A1EC3A">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价格分</w:t>
            </w:r>
          </w:p>
        </w:tc>
        <w:tc>
          <w:tcPr>
            <w:tcW w:w="6736" w:type="dxa"/>
            <w:tcBorders>
              <w:top w:val="single" w:color="auto" w:sz="4" w:space="0"/>
              <w:left w:val="single" w:color="auto" w:sz="4" w:space="0"/>
              <w:bottom w:val="single" w:color="auto" w:sz="4" w:space="0"/>
              <w:right w:val="single" w:color="auto" w:sz="4" w:space="0"/>
            </w:tcBorders>
          </w:tcPr>
          <w:p w14:paraId="17EB1810">
            <w:pPr>
              <w:pStyle w:val="24"/>
              <w:spacing w:line="400" w:lineRule="exact"/>
              <w:ind w:firstLine="420" w:firstLineChars="200"/>
              <w:rPr>
                <w:rFonts w:hAnsi="宋体" w:cs="宋体"/>
                <w:bCs/>
                <w:color w:val="auto"/>
                <w:szCs w:val="21"/>
              </w:rPr>
            </w:pPr>
            <w:r>
              <w:rPr>
                <w:rFonts w:hint="eastAsia" w:hAnsi="宋体" w:cs="宋体"/>
                <w:bCs/>
                <w:color w:val="auto"/>
              </w:rPr>
              <w:t>(1)本项目为专门面对中小企业项目，按照《政府采购促进中小企业发展管理办法》（财库〔2020〕46号）规定，小微企业、监狱企业、残疾人福利性单位不再执行价格评审优惠的扶持政策。</w:t>
            </w:r>
          </w:p>
          <w:p w14:paraId="79E4C18F">
            <w:pPr>
              <w:pStyle w:val="24"/>
              <w:spacing w:line="400" w:lineRule="exact"/>
              <w:ind w:firstLine="420" w:firstLineChars="200"/>
              <w:rPr>
                <w:rFonts w:hAnsi="宋体" w:cs="宋体"/>
                <w:bCs/>
                <w:color w:val="auto"/>
              </w:rPr>
            </w:pPr>
            <w:r>
              <w:rPr>
                <w:rFonts w:hint="eastAsia" w:hAnsi="宋体" w:cs="宋体"/>
                <w:bCs/>
                <w:color w:val="auto"/>
              </w:rPr>
              <w:t>(6)以进入比较与评价环节的最低的评审价为基准价，基准价得分为  30分 。</w:t>
            </w:r>
          </w:p>
          <w:p w14:paraId="6FB1A69D">
            <w:pPr>
              <w:pStyle w:val="24"/>
              <w:spacing w:line="400" w:lineRule="exact"/>
              <w:ind w:firstLine="420" w:firstLineChars="200"/>
              <w:rPr>
                <w:rFonts w:hAnsi="宋体" w:cs="宋体"/>
                <w:bCs/>
                <w:color w:val="auto"/>
              </w:rPr>
            </w:pPr>
            <w:r>
              <w:rPr>
                <w:rFonts w:hint="eastAsia" w:hAnsi="宋体" w:cs="宋体"/>
                <w:bCs/>
                <w:color w:val="auto"/>
              </w:rPr>
              <w:t>（2）价格分计算公式：</w:t>
            </w:r>
          </w:p>
          <w:p w14:paraId="77BEA7B4">
            <w:pPr>
              <w:pStyle w:val="24"/>
              <w:spacing w:line="320" w:lineRule="exact"/>
              <w:ind w:firstLine="420" w:firstLineChars="200"/>
              <w:rPr>
                <w:rFonts w:hAnsi="宋体" w:cs="宋体"/>
                <w:bCs/>
                <w:color w:val="auto"/>
              </w:rPr>
            </w:pPr>
            <w:r>
              <w:rPr>
                <w:rFonts w:hint="eastAsia" w:hAnsi="宋体" w:cs="宋体"/>
                <w:bCs/>
                <w:color w:val="auto"/>
              </w:rPr>
              <w:t>某供应商价格分=基准价/某供应商磋商最后报价×30分</w:t>
            </w:r>
          </w:p>
        </w:tc>
        <w:tc>
          <w:tcPr>
            <w:tcW w:w="736" w:type="dxa"/>
            <w:tcBorders>
              <w:top w:val="single" w:color="auto" w:sz="4" w:space="0"/>
              <w:left w:val="single" w:color="auto" w:sz="4" w:space="0"/>
              <w:bottom w:val="single" w:color="auto" w:sz="4" w:space="0"/>
              <w:right w:val="single" w:color="auto" w:sz="4" w:space="0"/>
            </w:tcBorders>
            <w:vAlign w:val="center"/>
          </w:tcPr>
          <w:p w14:paraId="7D24E4BB">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30分</w:t>
            </w:r>
          </w:p>
        </w:tc>
      </w:tr>
      <w:tr w14:paraId="6F16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17B1E04A">
            <w:pPr>
              <w:widowControl/>
              <w:spacing w:line="320" w:lineRule="exact"/>
              <w:jc w:val="center"/>
              <w:rPr>
                <w:rFonts w:ascii="宋体" w:hAnsi="宋体" w:cs="宋体"/>
                <w:color w:val="auto"/>
                <w:kern w:val="0"/>
                <w:szCs w:val="21"/>
              </w:rPr>
            </w:pPr>
            <w:r>
              <w:rPr>
                <w:rFonts w:hint="eastAsia" w:ascii="宋体" w:hAnsi="宋体" w:cs="宋体"/>
                <w:bCs/>
                <w:color w:val="auto"/>
                <w:kern w:val="0"/>
                <w:szCs w:val="21"/>
              </w:rPr>
              <w:t>2</w:t>
            </w:r>
          </w:p>
        </w:tc>
        <w:tc>
          <w:tcPr>
            <w:tcW w:w="1086" w:type="dxa"/>
            <w:tcBorders>
              <w:top w:val="single" w:color="auto" w:sz="4" w:space="0"/>
              <w:left w:val="single" w:color="auto" w:sz="4" w:space="0"/>
              <w:bottom w:val="single" w:color="auto" w:sz="4" w:space="0"/>
              <w:right w:val="single" w:color="auto" w:sz="4" w:space="0"/>
            </w:tcBorders>
            <w:vAlign w:val="center"/>
          </w:tcPr>
          <w:p w14:paraId="324FF428">
            <w:pPr>
              <w:widowControl/>
              <w:spacing w:line="320" w:lineRule="exact"/>
              <w:jc w:val="center"/>
              <w:rPr>
                <w:rFonts w:ascii="宋体" w:hAnsi="宋体" w:cs="宋体"/>
                <w:color w:val="auto"/>
                <w:kern w:val="0"/>
                <w:szCs w:val="21"/>
              </w:rPr>
            </w:pPr>
            <w:r>
              <w:rPr>
                <w:rFonts w:hint="eastAsia" w:ascii="宋体" w:hAnsi="宋体" w:cs="宋体"/>
                <w:bCs/>
                <w:color w:val="auto"/>
                <w:kern w:val="0"/>
                <w:szCs w:val="21"/>
              </w:rPr>
              <w:t>技术分（施工组织设计）</w:t>
            </w:r>
          </w:p>
        </w:tc>
        <w:tc>
          <w:tcPr>
            <w:tcW w:w="7472" w:type="dxa"/>
            <w:gridSpan w:val="2"/>
            <w:tcBorders>
              <w:top w:val="single" w:color="auto" w:sz="4" w:space="0"/>
              <w:left w:val="single" w:color="auto" w:sz="4" w:space="0"/>
              <w:bottom w:val="single" w:color="auto" w:sz="4" w:space="0"/>
              <w:right w:val="single" w:color="auto" w:sz="4" w:space="0"/>
            </w:tcBorders>
          </w:tcPr>
          <w:p w14:paraId="305FB64B">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评审因素</w:t>
            </w:r>
          </w:p>
        </w:tc>
      </w:tr>
      <w:tr w14:paraId="6A43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27D90181">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2.1</w:t>
            </w:r>
          </w:p>
        </w:tc>
        <w:tc>
          <w:tcPr>
            <w:tcW w:w="1086" w:type="dxa"/>
            <w:tcBorders>
              <w:top w:val="single" w:color="auto" w:sz="4" w:space="0"/>
              <w:left w:val="single" w:color="auto" w:sz="4" w:space="0"/>
              <w:bottom w:val="single" w:color="auto" w:sz="4" w:space="0"/>
              <w:right w:val="single" w:color="auto" w:sz="4" w:space="0"/>
            </w:tcBorders>
            <w:vAlign w:val="center"/>
          </w:tcPr>
          <w:p w14:paraId="3A45BEFA">
            <w:pPr>
              <w:adjustRightInd w:val="0"/>
              <w:spacing w:line="320" w:lineRule="exact"/>
              <w:jc w:val="center"/>
              <w:textAlignment w:val="baseline"/>
              <w:rPr>
                <w:rFonts w:ascii="宋体" w:hAnsi="宋体" w:cs="宋体"/>
                <w:bCs/>
                <w:color w:val="auto"/>
                <w:kern w:val="0"/>
                <w:szCs w:val="21"/>
              </w:rPr>
            </w:pPr>
            <w:r>
              <w:rPr>
                <w:rFonts w:hint="eastAsia" w:ascii="宋体" w:hAnsi="宋体" w:cs="宋体"/>
                <w:bCs/>
                <w:color w:val="auto"/>
                <w:kern w:val="0"/>
                <w:szCs w:val="21"/>
              </w:rPr>
              <w:t>主要施工方法</w:t>
            </w:r>
          </w:p>
        </w:tc>
        <w:tc>
          <w:tcPr>
            <w:tcW w:w="6736" w:type="dxa"/>
            <w:tcBorders>
              <w:top w:val="single" w:color="auto" w:sz="4" w:space="0"/>
              <w:left w:val="single" w:color="auto" w:sz="4" w:space="0"/>
              <w:bottom w:val="single" w:color="auto" w:sz="4" w:space="0"/>
              <w:right w:val="single" w:color="auto" w:sz="4" w:space="0"/>
            </w:tcBorders>
            <w:vAlign w:val="center"/>
          </w:tcPr>
          <w:p w14:paraId="3C6E2801">
            <w:pPr>
              <w:spacing w:line="40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 xml:space="preserve">一档（6分）：各主要分部施工方法正确完整，完全符合项目实际，有详尽的施工技术方案，工艺先进、方法科学合理、完全可行，完全能指导具体施工并确保安全。 </w:t>
            </w:r>
          </w:p>
          <w:p w14:paraId="44733722">
            <w:pPr>
              <w:spacing w:line="40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二档（4分）：各主要分部施工方法较完整，较符合项目实际，施工技术方案较详细，工艺、方法较合理可行，能指导具体施工并确保安全。</w:t>
            </w:r>
          </w:p>
          <w:p w14:paraId="3ACB18D9">
            <w:pPr>
              <w:spacing w:line="40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三档（2分）：各主要分部施工方法基本符合项目实际，施工技术方案基本、工艺、方法基本合理可行，基本能指导具体施工。</w:t>
            </w:r>
          </w:p>
          <w:p w14:paraId="19EDE4CA">
            <w:pPr>
              <w:pStyle w:val="24"/>
              <w:spacing w:line="320" w:lineRule="exact"/>
              <w:ind w:firstLine="420" w:firstLineChars="200"/>
              <w:rPr>
                <w:rFonts w:hAnsi="宋体" w:cs="宋体"/>
                <w:bCs/>
                <w:color w:val="auto"/>
              </w:rPr>
            </w:pPr>
            <w:r>
              <w:rPr>
                <w:rFonts w:hint="eastAsia" w:hAnsi="宋体" w:cs="宋体"/>
                <w:bCs/>
                <w:color w:val="auto"/>
              </w:rPr>
              <w:t>四档（1分）：各主要分部施工方法不完整，不符合项目实际，没有详尽的施工技术方案，工艺、方法不合理，不能指导具体施工。</w:t>
            </w:r>
          </w:p>
        </w:tc>
        <w:tc>
          <w:tcPr>
            <w:tcW w:w="736" w:type="dxa"/>
            <w:tcBorders>
              <w:top w:val="single" w:color="auto" w:sz="4" w:space="0"/>
              <w:left w:val="single" w:color="auto" w:sz="4" w:space="0"/>
              <w:bottom w:val="single" w:color="auto" w:sz="4" w:space="0"/>
              <w:right w:val="single" w:color="auto" w:sz="4" w:space="0"/>
            </w:tcBorders>
            <w:vAlign w:val="center"/>
          </w:tcPr>
          <w:p w14:paraId="2E63420D">
            <w:pPr>
              <w:spacing w:line="320" w:lineRule="exact"/>
              <w:jc w:val="center"/>
              <w:rPr>
                <w:rFonts w:ascii="宋体" w:hAnsi="宋体" w:cs="宋体"/>
                <w:color w:val="auto"/>
                <w:kern w:val="0"/>
                <w:szCs w:val="21"/>
              </w:rPr>
            </w:pPr>
            <w:r>
              <w:rPr>
                <w:rFonts w:hint="eastAsia" w:ascii="宋体" w:hAnsi="宋体" w:cs="宋体"/>
                <w:color w:val="auto"/>
                <w:kern w:val="0"/>
                <w:szCs w:val="21"/>
              </w:rPr>
              <w:t>6分</w:t>
            </w:r>
          </w:p>
        </w:tc>
      </w:tr>
      <w:tr w14:paraId="7DA1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17891B02">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2.2</w:t>
            </w:r>
          </w:p>
        </w:tc>
        <w:tc>
          <w:tcPr>
            <w:tcW w:w="1086" w:type="dxa"/>
            <w:tcBorders>
              <w:top w:val="single" w:color="auto" w:sz="4" w:space="0"/>
              <w:left w:val="single" w:color="auto" w:sz="4" w:space="0"/>
              <w:bottom w:val="single" w:color="auto" w:sz="4" w:space="0"/>
              <w:right w:val="single" w:color="auto" w:sz="4" w:space="0"/>
            </w:tcBorders>
            <w:vAlign w:val="center"/>
          </w:tcPr>
          <w:p w14:paraId="3931D46D">
            <w:pPr>
              <w:adjustRightInd w:val="0"/>
              <w:spacing w:line="320" w:lineRule="exact"/>
              <w:jc w:val="center"/>
              <w:textAlignment w:val="baseline"/>
              <w:rPr>
                <w:rFonts w:ascii="宋体" w:hAnsi="宋体" w:cs="宋体"/>
                <w:bCs/>
                <w:color w:val="auto"/>
                <w:kern w:val="0"/>
                <w:szCs w:val="21"/>
              </w:rPr>
            </w:pPr>
            <w:r>
              <w:rPr>
                <w:rFonts w:hint="eastAsia" w:ascii="宋体" w:hAnsi="宋体" w:cs="宋体"/>
                <w:bCs/>
                <w:color w:val="auto"/>
                <w:kern w:val="0"/>
                <w:szCs w:val="21"/>
              </w:rPr>
              <w:t>拟投入的主要物资计划</w:t>
            </w:r>
          </w:p>
        </w:tc>
        <w:tc>
          <w:tcPr>
            <w:tcW w:w="6736" w:type="dxa"/>
            <w:tcBorders>
              <w:top w:val="single" w:color="auto" w:sz="4" w:space="0"/>
              <w:left w:val="single" w:color="auto" w:sz="4" w:space="0"/>
              <w:bottom w:val="single" w:color="auto" w:sz="4" w:space="0"/>
              <w:right w:val="single" w:color="auto" w:sz="4" w:space="0"/>
            </w:tcBorders>
            <w:vAlign w:val="center"/>
          </w:tcPr>
          <w:p w14:paraId="500A9FAD">
            <w:pPr>
              <w:spacing w:line="40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一档（7分）：投入的施工材料有详细的组织计划且计划周密，数量、选型配置、进场时间符合项目实际，安排合理，完全满足施工需要。</w:t>
            </w:r>
          </w:p>
          <w:p w14:paraId="0D33C1C0">
            <w:pPr>
              <w:spacing w:line="40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二档（4分）：投入的施工材料有较详细的组织计划且计划 周密，数量、选型配置、进场时间较符合项目实际，安排基本合理，能满足施工需要。</w:t>
            </w:r>
          </w:p>
          <w:p w14:paraId="28724BF9">
            <w:pPr>
              <w:spacing w:line="400" w:lineRule="exact"/>
              <w:ind w:firstLine="420" w:firstLineChars="200"/>
              <w:jc w:val="left"/>
              <w:rPr>
                <w:rFonts w:ascii="宋体" w:hAnsi="宋体" w:cs="宋体"/>
                <w:bCs/>
                <w:color w:val="auto"/>
                <w:kern w:val="0"/>
                <w:szCs w:val="21"/>
              </w:rPr>
            </w:pPr>
            <w:r>
              <w:rPr>
                <w:rFonts w:hint="eastAsia" w:ascii="宋体" w:hAnsi="宋体" w:cs="宋体"/>
                <w:bCs/>
                <w:color w:val="auto"/>
                <w:kern w:val="0"/>
                <w:szCs w:val="21"/>
              </w:rPr>
              <w:t>三档（2分）：投入的施工材料及组织计划简单，数量、选型配置、进场时间基本安排合理，基本能满足施工需要。 </w:t>
            </w:r>
          </w:p>
          <w:p w14:paraId="16CB2A31">
            <w:pPr>
              <w:spacing w:line="400" w:lineRule="exact"/>
              <w:ind w:firstLine="420" w:firstLineChars="200"/>
              <w:jc w:val="left"/>
              <w:rPr>
                <w:rFonts w:ascii="宋体" w:hAnsi="宋体" w:cs="宋体"/>
                <w:bCs/>
                <w:color w:val="auto"/>
                <w:szCs w:val="21"/>
              </w:rPr>
            </w:pPr>
            <w:r>
              <w:rPr>
                <w:rFonts w:hint="eastAsia" w:ascii="宋体" w:hAnsi="宋体" w:cs="宋体"/>
                <w:bCs/>
                <w:color w:val="auto"/>
                <w:kern w:val="0"/>
                <w:szCs w:val="21"/>
              </w:rPr>
              <w:t xml:space="preserve">四档（1分）：投入的施工材料及组织计划很简单或明显不符合项目实际， 数量、选型配置、进场时间安排不合理，不能满足施工需要。 </w:t>
            </w:r>
          </w:p>
        </w:tc>
        <w:tc>
          <w:tcPr>
            <w:tcW w:w="736" w:type="dxa"/>
            <w:tcBorders>
              <w:top w:val="single" w:color="auto" w:sz="4" w:space="0"/>
              <w:left w:val="single" w:color="auto" w:sz="4" w:space="0"/>
              <w:bottom w:val="single" w:color="auto" w:sz="4" w:space="0"/>
              <w:right w:val="single" w:color="auto" w:sz="4" w:space="0"/>
            </w:tcBorders>
            <w:vAlign w:val="center"/>
          </w:tcPr>
          <w:p w14:paraId="4037D390">
            <w:pPr>
              <w:spacing w:line="320" w:lineRule="exact"/>
              <w:jc w:val="center"/>
              <w:rPr>
                <w:rFonts w:ascii="宋体" w:hAnsi="宋体" w:cs="宋体"/>
                <w:color w:val="auto"/>
                <w:kern w:val="0"/>
                <w:szCs w:val="21"/>
              </w:rPr>
            </w:pPr>
            <w:r>
              <w:rPr>
                <w:rFonts w:hint="eastAsia" w:ascii="宋体" w:hAnsi="宋体" w:cs="宋体"/>
                <w:color w:val="auto"/>
                <w:kern w:val="0"/>
                <w:szCs w:val="21"/>
              </w:rPr>
              <w:t>7分</w:t>
            </w:r>
          </w:p>
        </w:tc>
      </w:tr>
      <w:tr w14:paraId="070E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220C517D">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2.3</w:t>
            </w:r>
          </w:p>
        </w:tc>
        <w:tc>
          <w:tcPr>
            <w:tcW w:w="1086" w:type="dxa"/>
            <w:tcBorders>
              <w:top w:val="single" w:color="auto" w:sz="4" w:space="0"/>
              <w:left w:val="single" w:color="auto" w:sz="4" w:space="0"/>
              <w:bottom w:val="single" w:color="auto" w:sz="4" w:space="0"/>
              <w:right w:val="single" w:color="auto" w:sz="4" w:space="0"/>
            </w:tcBorders>
            <w:vAlign w:val="center"/>
          </w:tcPr>
          <w:p w14:paraId="03E54C03">
            <w:pPr>
              <w:adjustRightInd w:val="0"/>
              <w:snapToGrid w:val="0"/>
              <w:spacing w:line="320" w:lineRule="exact"/>
              <w:jc w:val="center"/>
              <w:rPr>
                <w:rFonts w:ascii="宋体" w:hAnsi="宋体" w:cs="宋体"/>
                <w:bCs/>
                <w:color w:val="auto"/>
                <w:szCs w:val="21"/>
              </w:rPr>
            </w:pPr>
            <w:r>
              <w:rPr>
                <w:rFonts w:hint="eastAsia" w:ascii="宋体" w:hAnsi="宋体" w:cs="宋体"/>
                <w:bCs/>
                <w:color w:val="auto"/>
                <w:szCs w:val="21"/>
              </w:rPr>
              <w:t>拟投入的主要施工机械、设备计划</w:t>
            </w:r>
          </w:p>
        </w:tc>
        <w:tc>
          <w:tcPr>
            <w:tcW w:w="6736" w:type="dxa"/>
            <w:tcBorders>
              <w:top w:val="single" w:color="auto" w:sz="4" w:space="0"/>
              <w:left w:val="single" w:color="auto" w:sz="4" w:space="0"/>
              <w:bottom w:val="single" w:color="auto" w:sz="4" w:space="0"/>
              <w:right w:val="single" w:color="auto" w:sz="4" w:space="0"/>
            </w:tcBorders>
            <w:vAlign w:val="center"/>
          </w:tcPr>
          <w:p w14:paraId="3FF3CDAB">
            <w:pPr>
              <w:pStyle w:val="24"/>
              <w:wordWrap w:val="0"/>
              <w:spacing w:line="400" w:lineRule="exact"/>
              <w:ind w:firstLine="420" w:firstLineChars="200"/>
              <w:rPr>
                <w:rFonts w:hAnsi="宋体" w:cs="宋体"/>
                <w:bCs/>
                <w:color w:val="auto"/>
                <w:szCs w:val="21"/>
              </w:rPr>
            </w:pPr>
            <w:r>
              <w:rPr>
                <w:rFonts w:hint="eastAsia" w:hAnsi="宋体" w:cs="宋体"/>
                <w:bCs/>
                <w:color w:val="auto"/>
              </w:rPr>
              <w:t>一档（7分）：投入的施工机械、设备、机具有详细的组织计划且计划周密，完全符合项目实际需求，设备数量、选型配置、进场时间安排很合理，完全满足施工需要。</w:t>
            </w:r>
          </w:p>
          <w:p w14:paraId="3EBD9C59">
            <w:pPr>
              <w:pStyle w:val="24"/>
              <w:wordWrap w:val="0"/>
              <w:spacing w:line="400" w:lineRule="exact"/>
              <w:ind w:firstLine="420" w:firstLineChars="200"/>
              <w:rPr>
                <w:rFonts w:hAnsi="宋体" w:cs="宋体"/>
                <w:bCs/>
                <w:color w:val="auto"/>
              </w:rPr>
            </w:pPr>
            <w:r>
              <w:rPr>
                <w:rFonts w:hint="eastAsia" w:hAnsi="宋体" w:cs="宋体"/>
                <w:bCs/>
                <w:color w:val="auto"/>
              </w:rPr>
              <w:t>二档（4分）：投入的施工机械、设备、机具有较详细的组织计划且计划周密，较符合项目需求，设备数量、选型配置、进场时间安排较合理，能满足施工需要。</w:t>
            </w:r>
          </w:p>
          <w:p w14:paraId="0B537219">
            <w:pPr>
              <w:pStyle w:val="24"/>
              <w:wordWrap w:val="0"/>
              <w:spacing w:line="400" w:lineRule="exact"/>
              <w:ind w:firstLine="420" w:firstLineChars="200"/>
              <w:rPr>
                <w:rFonts w:hAnsi="宋体" w:cs="宋体"/>
                <w:bCs/>
                <w:color w:val="auto"/>
              </w:rPr>
            </w:pPr>
            <w:r>
              <w:rPr>
                <w:rFonts w:hint="eastAsia" w:hAnsi="宋体" w:cs="宋体"/>
                <w:bCs/>
                <w:color w:val="auto"/>
              </w:rPr>
              <w:t>三档（2分）：投入的施工机械、设备、机具有基本的组织计划，基本符合项目需求，设备数量、选型配置、进场时间安排基本合理，基本满足施工需要。 </w:t>
            </w:r>
          </w:p>
          <w:p w14:paraId="5E11AE92">
            <w:pPr>
              <w:pStyle w:val="24"/>
              <w:wordWrap w:val="0"/>
              <w:spacing w:line="400" w:lineRule="exact"/>
              <w:ind w:firstLine="420" w:firstLineChars="200"/>
              <w:rPr>
                <w:rFonts w:hAnsi="宋体" w:cs="宋体"/>
                <w:bCs/>
                <w:color w:val="auto"/>
              </w:rPr>
            </w:pPr>
            <w:r>
              <w:rPr>
                <w:rFonts w:hint="eastAsia" w:hAnsi="宋体" w:cs="宋体"/>
                <w:bCs/>
                <w:color w:val="auto"/>
              </w:rPr>
              <w:t>四档（1分）：投入的施工机械、设备、机具简单，明显不符合项目需求，设备数量、选型配置、进场时间安排不合理，不能满足施工需要。</w:t>
            </w:r>
          </w:p>
        </w:tc>
        <w:tc>
          <w:tcPr>
            <w:tcW w:w="736" w:type="dxa"/>
            <w:tcBorders>
              <w:top w:val="single" w:color="auto" w:sz="4" w:space="0"/>
              <w:left w:val="single" w:color="auto" w:sz="4" w:space="0"/>
              <w:bottom w:val="single" w:color="auto" w:sz="4" w:space="0"/>
              <w:right w:val="single" w:color="auto" w:sz="4" w:space="0"/>
            </w:tcBorders>
            <w:vAlign w:val="center"/>
          </w:tcPr>
          <w:p w14:paraId="0F80BCDC">
            <w:pPr>
              <w:spacing w:line="320" w:lineRule="exact"/>
              <w:jc w:val="center"/>
              <w:rPr>
                <w:rFonts w:ascii="宋体" w:hAnsi="宋体" w:cs="宋体"/>
                <w:color w:val="auto"/>
                <w:kern w:val="0"/>
                <w:szCs w:val="21"/>
              </w:rPr>
            </w:pPr>
            <w:r>
              <w:rPr>
                <w:rFonts w:hint="eastAsia" w:ascii="宋体" w:hAnsi="宋体" w:cs="宋体"/>
                <w:color w:val="auto"/>
                <w:kern w:val="0"/>
                <w:szCs w:val="21"/>
              </w:rPr>
              <w:t>7分</w:t>
            </w:r>
          </w:p>
        </w:tc>
      </w:tr>
      <w:tr w14:paraId="625E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6F4BBAA8">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2.4</w:t>
            </w:r>
          </w:p>
        </w:tc>
        <w:tc>
          <w:tcPr>
            <w:tcW w:w="1086" w:type="dxa"/>
            <w:tcBorders>
              <w:top w:val="single" w:color="auto" w:sz="4" w:space="0"/>
              <w:left w:val="single" w:color="auto" w:sz="4" w:space="0"/>
              <w:bottom w:val="single" w:color="auto" w:sz="4" w:space="0"/>
              <w:right w:val="single" w:color="auto" w:sz="4" w:space="0"/>
            </w:tcBorders>
            <w:vAlign w:val="center"/>
          </w:tcPr>
          <w:p w14:paraId="09DCA848">
            <w:pPr>
              <w:spacing w:line="320" w:lineRule="exact"/>
              <w:jc w:val="center"/>
              <w:rPr>
                <w:rFonts w:ascii="宋体" w:hAnsi="宋体" w:cs="宋体"/>
                <w:bCs/>
                <w:color w:val="auto"/>
                <w:szCs w:val="21"/>
              </w:rPr>
            </w:pPr>
            <w:r>
              <w:rPr>
                <w:rFonts w:hint="eastAsia" w:ascii="宋体" w:hAnsi="宋体" w:cs="宋体"/>
                <w:bCs/>
                <w:color w:val="auto"/>
                <w:szCs w:val="21"/>
              </w:rPr>
              <w:t>劳动力安排计划</w:t>
            </w:r>
          </w:p>
        </w:tc>
        <w:tc>
          <w:tcPr>
            <w:tcW w:w="6736" w:type="dxa"/>
            <w:tcBorders>
              <w:top w:val="single" w:color="auto" w:sz="4" w:space="0"/>
              <w:left w:val="single" w:color="auto" w:sz="4" w:space="0"/>
              <w:bottom w:val="single" w:color="auto" w:sz="4" w:space="0"/>
              <w:right w:val="single" w:color="auto" w:sz="4" w:space="0"/>
            </w:tcBorders>
          </w:tcPr>
          <w:p w14:paraId="61E030AD">
            <w:pPr>
              <w:pStyle w:val="24"/>
              <w:wordWrap w:val="0"/>
              <w:spacing w:line="400" w:lineRule="exact"/>
              <w:ind w:firstLine="420" w:firstLineChars="200"/>
              <w:rPr>
                <w:rFonts w:hAnsi="宋体" w:cs="宋体"/>
                <w:bCs/>
                <w:color w:val="auto"/>
                <w:szCs w:val="21"/>
              </w:rPr>
            </w:pPr>
            <w:r>
              <w:rPr>
                <w:rFonts w:hint="eastAsia" w:hAnsi="宋体" w:cs="宋体"/>
                <w:bCs/>
                <w:color w:val="auto"/>
              </w:rPr>
              <w:t>一档（7分）：各主要施工工序有详细周密的劳动力安排计划和有各工种劳动力安排计划，劳动力投入完全合理，完全满足施工需要。 </w:t>
            </w:r>
          </w:p>
          <w:p w14:paraId="1DCC0D6E">
            <w:pPr>
              <w:pStyle w:val="24"/>
              <w:wordWrap w:val="0"/>
              <w:spacing w:line="400" w:lineRule="exact"/>
              <w:ind w:firstLine="420" w:firstLineChars="200"/>
              <w:rPr>
                <w:rFonts w:hAnsi="宋体" w:cs="宋体"/>
                <w:bCs/>
                <w:color w:val="auto"/>
              </w:rPr>
            </w:pPr>
            <w:r>
              <w:rPr>
                <w:rFonts w:hint="eastAsia" w:hAnsi="宋体" w:cs="宋体"/>
                <w:bCs/>
                <w:color w:val="auto"/>
              </w:rPr>
              <w:t>二档（4分）：各主要施工工序有较详细的劳动力安排计划和各工种劳动力安排计划，劳动力投入较合理，能满足施工需要。</w:t>
            </w:r>
          </w:p>
          <w:p w14:paraId="50405862">
            <w:pPr>
              <w:pStyle w:val="24"/>
              <w:wordWrap w:val="0"/>
              <w:spacing w:line="400" w:lineRule="exact"/>
              <w:ind w:firstLine="420" w:firstLineChars="200"/>
              <w:rPr>
                <w:rFonts w:hAnsi="宋体" w:cs="宋体"/>
                <w:bCs/>
                <w:color w:val="auto"/>
              </w:rPr>
            </w:pPr>
            <w:r>
              <w:rPr>
                <w:rFonts w:hint="eastAsia" w:hAnsi="宋体" w:cs="宋体"/>
                <w:bCs/>
                <w:color w:val="auto"/>
              </w:rPr>
              <w:t>三档（2分）：各主要施工工序劳动力安排计划和各工种劳动力安排计划简单，劳动力投入基本合理，基本满足施工需要。</w:t>
            </w:r>
          </w:p>
          <w:p w14:paraId="650283E9">
            <w:pPr>
              <w:pStyle w:val="24"/>
              <w:wordWrap w:val="0"/>
              <w:spacing w:line="400" w:lineRule="exact"/>
              <w:ind w:firstLine="420" w:firstLineChars="200"/>
              <w:rPr>
                <w:rFonts w:hAnsi="宋体" w:cs="宋体"/>
                <w:bCs/>
                <w:color w:val="auto"/>
              </w:rPr>
            </w:pPr>
            <w:r>
              <w:rPr>
                <w:rFonts w:hint="eastAsia" w:hAnsi="宋体" w:cs="宋体"/>
                <w:bCs/>
                <w:color w:val="auto"/>
              </w:rPr>
              <w:t>四档（1分）：各主要施工工序和各工种劳动力安排计划不清晰，劳动力投入明显不合理，不能满足施工需要。</w:t>
            </w:r>
          </w:p>
        </w:tc>
        <w:tc>
          <w:tcPr>
            <w:tcW w:w="736" w:type="dxa"/>
            <w:tcBorders>
              <w:top w:val="single" w:color="auto" w:sz="4" w:space="0"/>
              <w:left w:val="single" w:color="auto" w:sz="4" w:space="0"/>
              <w:bottom w:val="single" w:color="auto" w:sz="4" w:space="0"/>
              <w:right w:val="single" w:color="auto" w:sz="4" w:space="0"/>
            </w:tcBorders>
            <w:vAlign w:val="center"/>
          </w:tcPr>
          <w:p w14:paraId="14468B0D">
            <w:pPr>
              <w:spacing w:line="320" w:lineRule="exact"/>
              <w:jc w:val="center"/>
              <w:rPr>
                <w:rFonts w:ascii="宋体" w:hAnsi="宋体" w:cs="宋体"/>
                <w:color w:val="auto"/>
                <w:kern w:val="0"/>
                <w:szCs w:val="21"/>
              </w:rPr>
            </w:pPr>
            <w:r>
              <w:rPr>
                <w:rFonts w:hint="eastAsia" w:ascii="宋体" w:hAnsi="宋体" w:cs="宋体"/>
                <w:color w:val="auto"/>
                <w:kern w:val="0"/>
                <w:szCs w:val="21"/>
              </w:rPr>
              <w:t>7分</w:t>
            </w:r>
          </w:p>
        </w:tc>
      </w:tr>
      <w:tr w14:paraId="520D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01D49939">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2.5</w:t>
            </w:r>
          </w:p>
        </w:tc>
        <w:tc>
          <w:tcPr>
            <w:tcW w:w="1086" w:type="dxa"/>
            <w:tcBorders>
              <w:top w:val="single" w:color="auto" w:sz="4" w:space="0"/>
              <w:left w:val="single" w:color="auto" w:sz="4" w:space="0"/>
              <w:bottom w:val="single" w:color="auto" w:sz="4" w:space="0"/>
              <w:right w:val="single" w:color="auto" w:sz="4" w:space="0"/>
            </w:tcBorders>
            <w:vAlign w:val="center"/>
          </w:tcPr>
          <w:p w14:paraId="6296A833">
            <w:pPr>
              <w:spacing w:line="320" w:lineRule="exact"/>
              <w:jc w:val="center"/>
              <w:rPr>
                <w:rFonts w:ascii="宋体" w:hAnsi="宋体" w:cs="宋体"/>
                <w:bCs/>
                <w:color w:val="auto"/>
                <w:szCs w:val="21"/>
              </w:rPr>
            </w:pPr>
            <w:r>
              <w:rPr>
                <w:rFonts w:hint="eastAsia" w:ascii="宋体" w:hAnsi="宋体" w:cs="宋体"/>
                <w:bCs/>
                <w:color w:val="auto"/>
                <w:szCs w:val="21"/>
              </w:rPr>
              <w:t>确保工程质量的技术组织措施</w:t>
            </w:r>
          </w:p>
        </w:tc>
        <w:tc>
          <w:tcPr>
            <w:tcW w:w="6736" w:type="dxa"/>
            <w:tcBorders>
              <w:top w:val="single" w:color="auto" w:sz="4" w:space="0"/>
              <w:left w:val="single" w:color="auto" w:sz="4" w:space="0"/>
              <w:bottom w:val="single" w:color="auto" w:sz="4" w:space="0"/>
              <w:right w:val="single" w:color="auto" w:sz="4" w:space="0"/>
            </w:tcBorders>
          </w:tcPr>
          <w:p w14:paraId="6B4E3551">
            <w:pPr>
              <w:pStyle w:val="24"/>
              <w:wordWrap w:val="0"/>
              <w:spacing w:line="400" w:lineRule="exact"/>
              <w:ind w:firstLine="420" w:firstLineChars="200"/>
              <w:rPr>
                <w:rFonts w:hAnsi="宋体" w:cs="宋体"/>
                <w:bCs/>
                <w:color w:val="auto"/>
                <w:szCs w:val="21"/>
              </w:rPr>
            </w:pPr>
            <w:r>
              <w:rPr>
                <w:rFonts w:hint="eastAsia" w:hAnsi="宋体" w:cs="宋体"/>
                <w:bCs/>
                <w:color w:val="auto"/>
              </w:rPr>
              <w:t>一档（7分）：有专门的质量技术管理班子和制度，且人员配备合理，制度健全；主要工序质量技术保证措施和手段科学合理，自控体系完整，能有效保证技术质量，并能达到承诺的质量标准。 </w:t>
            </w:r>
          </w:p>
          <w:p w14:paraId="03F165DB">
            <w:pPr>
              <w:pStyle w:val="24"/>
              <w:wordWrap w:val="0"/>
              <w:spacing w:line="400" w:lineRule="exact"/>
              <w:ind w:firstLine="420" w:firstLineChars="200"/>
              <w:rPr>
                <w:rFonts w:hAnsi="宋体" w:cs="宋体"/>
                <w:bCs/>
                <w:color w:val="auto"/>
              </w:rPr>
            </w:pPr>
            <w:r>
              <w:rPr>
                <w:rFonts w:hint="eastAsia" w:hAnsi="宋体" w:cs="宋体"/>
                <w:bCs/>
                <w:color w:val="auto"/>
              </w:rPr>
              <w:t>二档（4分）：有一定的质量管理制度且制度健全；主要工序的质量技术保证措施和手段较好，自控体系较好，能保证技术质量达到承诺的质量标准。</w:t>
            </w:r>
          </w:p>
          <w:p w14:paraId="58AD6EBF">
            <w:pPr>
              <w:pStyle w:val="24"/>
              <w:wordWrap w:val="0"/>
              <w:spacing w:line="400" w:lineRule="exact"/>
              <w:ind w:firstLine="420" w:firstLineChars="200"/>
              <w:rPr>
                <w:rFonts w:hAnsi="宋体" w:cs="宋体"/>
                <w:bCs/>
                <w:color w:val="auto"/>
              </w:rPr>
            </w:pPr>
            <w:r>
              <w:rPr>
                <w:rFonts w:hint="eastAsia" w:hAnsi="宋体" w:cs="宋体"/>
                <w:bCs/>
                <w:color w:val="auto"/>
              </w:rPr>
              <w:t>三档（2分）：质量管理制度基本健全；主要工序的质量技术保证措施和手段基本合理，有简单的自控体系，基本能达到承诺的质量标准。</w:t>
            </w:r>
          </w:p>
          <w:p w14:paraId="12CE0431">
            <w:pPr>
              <w:pStyle w:val="24"/>
              <w:wordWrap w:val="0"/>
              <w:spacing w:line="400" w:lineRule="exact"/>
              <w:ind w:firstLine="420" w:firstLineChars="200"/>
              <w:rPr>
                <w:rFonts w:hAnsi="宋体" w:cs="宋体"/>
                <w:color w:val="auto"/>
              </w:rPr>
            </w:pPr>
            <w:r>
              <w:rPr>
                <w:rFonts w:hint="eastAsia" w:hAnsi="宋体" w:cs="宋体"/>
                <w:bCs/>
                <w:color w:val="auto"/>
              </w:rPr>
              <w:t>四档（1分）：质量管理制度不完整；主要工序的质量技术保证措施和手段不合理，没有自控体系，不能有效保证技术质量和质量标准</w:t>
            </w:r>
            <w:r>
              <w:rPr>
                <w:rFonts w:hint="eastAsia" w:hAnsi="宋体" w:cs="宋体"/>
                <w:color w:val="auto"/>
              </w:rPr>
              <w:t>。</w:t>
            </w:r>
          </w:p>
        </w:tc>
        <w:tc>
          <w:tcPr>
            <w:tcW w:w="736" w:type="dxa"/>
            <w:tcBorders>
              <w:top w:val="single" w:color="auto" w:sz="4" w:space="0"/>
              <w:left w:val="single" w:color="auto" w:sz="4" w:space="0"/>
              <w:bottom w:val="single" w:color="auto" w:sz="4" w:space="0"/>
              <w:right w:val="single" w:color="auto" w:sz="4" w:space="0"/>
            </w:tcBorders>
            <w:vAlign w:val="center"/>
          </w:tcPr>
          <w:p w14:paraId="792A69DF">
            <w:pPr>
              <w:spacing w:line="320" w:lineRule="exact"/>
              <w:jc w:val="center"/>
              <w:rPr>
                <w:rFonts w:ascii="宋体" w:hAnsi="宋体" w:cs="宋体"/>
                <w:color w:val="auto"/>
                <w:kern w:val="0"/>
                <w:szCs w:val="21"/>
              </w:rPr>
            </w:pPr>
            <w:r>
              <w:rPr>
                <w:rFonts w:hint="eastAsia" w:ascii="宋体" w:hAnsi="宋体" w:cs="宋体"/>
                <w:color w:val="auto"/>
                <w:kern w:val="0"/>
                <w:szCs w:val="21"/>
              </w:rPr>
              <w:t>7分</w:t>
            </w:r>
          </w:p>
        </w:tc>
      </w:tr>
      <w:tr w14:paraId="5DD8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39BE8E93">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2.6</w:t>
            </w:r>
          </w:p>
        </w:tc>
        <w:tc>
          <w:tcPr>
            <w:tcW w:w="1086" w:type="dxa"/>
            <w:tcBorders>
              <w:top w:val="single" w:color="auto" w:sz="4" w:space="0"/>
              <w:left w:val="single" w:color="auto" w:sz="4" w:space="0"/>
              <w:bottom w:val="single" w:color="auto" w:sz="4" w:space="0"/>
              <w:right w:val="single" w:color="auto" w:sz="4" w:space="0"/>
            </w:tcBorders>
            <w:vAlign w:val="center"/>
          </w:tcPr>
          <w:p w14:paraId="3A11D903">
            <w:pPr>
              <w:spacing w:line="320" w:lineRule="exact"/>
              <w:rPr>
                <w:rFonts w:ascii="宋体" w:hAnsi="宋体" w:cs="宋体"/>
                <w:bCs/>
                <w:color w:val="auto"/>
                <w:szCs w:val="21"/>
              </w:rPr>
            </w:pPr>
            <w:r>
              <w:rPr>
                <w:rFonts w:hint="eastAsia" w:ascii="宋体" w:hAnsi="宋体" w:cs="宋体"/>
                <w:bCs/>
                <w:color w:val="auto"/>
                <w:szCs w:val="21"/>
              </w:rPr>
              <w:t>确保安全生产的技术组织措施</w:t>
            </w:r>
          </w:p>
        </w:tc>
        <w:tc>
          <w:tcPr>
            <w:tcW w:w="6736" w:type="dxa"/>
            <w:tcBorders>
              <w:top w:val="single" w:color="auto" w:sz="4" w:space="0"/>
              <w:left w:val="single" w:color="auto" w:sz="4" w:space="0"/>
              <w:bottom w:val="single" w:color="auto" w:sz="4" w:space="0"/>
              <w:right w:val="single" w:color="auto" w:sz="4" w:space="0"/>
            </w:tcBorders>
          </w:tcPr>
          <w:p w14:paraId="71A50D1B">
            <w:pPr>
              <w:pStyle w:val="24"/>
              <w:wordWrap w:val="0"/>
              <w:spacing w:line="400" w:lineRule="exact"/>
              <w:ind w:firstLine="420" w:firstLineChars="200"/>
              <w:rPr>
                <w:rFonts w:hAnsi="宋体" w:cs="宋体"/>
                <w:bCs/>
                <w:color w:val="auto"/>
                <w:szCs w:val="21"/>
              </w:rPr>
            </w:pPr>
            <w:r>
              <w:rPr>
                <w:rFonts w:hint="eastAsia" w:hAnsi="宋体" w:cs="宋体"/>
                <w:bCs/>
                <w:color w:val="auto"/>
              </w:rPr>
              <w:t>一档（7分）：有专门的安全管理人员和制度，且人员配备合理，制度健全，各道工序安全技术措施针对性强，完全符合实际且能满足有关安全技术标准要求。现场防火、应急救援、社会治安等安全措施得力。 </w:t>
            </w:r>
          </w:p>
          <w:p w14:paraId="6ED82D7C">
            <w:pPr>
              <w:pStyle w:val="24"/>
              <w:wordWrap w:val="0"/>
              <w:spacing w:line="400" w:lineRule="exact"/>
              <w:ind w:firstLine="420" w:firstLineChars="200"/>
              <w:rPr>
                <w:rFonts w:hAnsi="宋体" w:cs="宋体"/>
                <w:bCs/>
                <w:color w:val="auto"/>
              </w:rPr>
            </w:pPr>
            <w:r>
              <w:rPr>
                <w:rFonts w:hint="eastAsia" w:hAnsi="宋体" w:cs="宋体"/>
                <w:bCs/>
                <w:color w:val="auto"/>
              </w:rPr>
              <w:t>二档（4分）：有安全管理制度且制度健全，安全管理人员配备较合理，各道工序安全技术措施针对性较符合实际，能满足有关安全技术标准要求。有各种现场安全措施。</w:t>
            </w:r>
          </w:p>
          <w:p w14:paraId="502D0CDD">
            <w:pPr>
              <w:pStyle w:val="24"/>
              <w:wordWrap w:val="0"/>
              <w:spacing w:line="400" w:lineRule="exact"/>
              <w:ind w:firstLine="420" w:firstLineChars="200"/>
              <w:rPr>
                <w:rFonts w:hAnsi="宋体" w:cs="宋体"/>
                <w:bCs/>
                <w:color w:val="auto"/>
              </w:rPr>
            </w:pPr>
            <w:r>
              <w:rPr>
                <w:rFonts w:hint="eastAsia" w:hAnsi="宋体" w:cs="宋体"/>
                <w:bCs/>
                <w:color w:val="auto"/>
              </w:rPr>
              <w:t>三档（2分）：安全管理制度基本健全，安全管理人员配备基本合理，各道工序安全技术措施基本符合实际，基本满足有关安全技术标准要求。有现场安全措施但简单。</w:t>
            </w:r>
          </w:p>
          <w:p w14:paraId="23529586">
            <w:pPr>
              <w:pStyle w:val="24"/>
              <w:wordWrap w:val="0"/>
              <w:spacing w:line="400" w:lineRule="exact"/>
              <w:ind w:firstLine="420" w:firstLineChars="200"/>
              <w:rPr>
                <w:rFonts w:hAnsi="宋体" w:cs="宋体"/>
                <w:color w:val="auto"/>
              </w:rPr>
            </w:pPr>
            <w:r>
              <w:rPr>
                <w:rFonts w:hint="eastAsia" w:hAnsi="宋体" w:cs="宋体"/>
                <w:bCs/>
                <w:color w:val="auto"/>
              </w:rPr>
              <w:t>四档（1分）：安全管理制度简单不健全，安全管理人员配备不合理，各道工序安全技术措施不适应实际需求，不能满足有关安全技术标准要求。没有现场安全措施或者不全。</w:t>
            </w:r>
          </w:p>
        </w:tc>
        <w:tc>
          <w:tcPr>
            <w:tcW w:w="736" w:type="dxa"/>
            <w:tcBorders>
              <w:top w:val="single" w:color="auto" w:sz="4" w:space="0"/>
              <w:left w:val="single" w:color="auto" w:sz="4" w:space="0"/>
              <w:bottom w:val="single" w:color="auto" w:sz="4" w:space="0"/>
              <w:right w:val="single" w:color="auto" w:sz="4" w:space="0"/>
            </w:tcBorders>
            <w:vAlign w:val="center"/>
          </w:tcPr>
          <w:p w14:paraId="0396AEF5">
            <w:pPr>
              <w:spacing w:line="320" w:lineRule="exact"/>
              <w:jc w:val="center"/>
              <w:rPr>
                <w:rFonts w:ascii="宋体" w:hAnsi="宋体" w:cs="宋体"/>
                <w:color w:val="auto"/>
                <w:kern w:val="0"/>
                <w:szCs w:val="21"/>
              </w:rPr>
            </w:pPr>
            <w:r>
              <w:rPr>
                <w:rFonts w:hint="eastAsia" w:ascii="宋体" w:hAnsi="宋体" w:cs="宋体"/>
                <w:color w:val="auto"/>
                <w:kern w:val="0"/>
                <w:szCs w:val="21"/>
              </w:rPr>
              <w:t>7分</w:t>
            </w:r>
          </w:p>
        </w:tc>
      </w:tr>
      <w:tr w14:paraId="5BA7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5F35D318">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2.7</w:t>
            </w:r>
          </w:p>
        </w:tc>
        <w:tc>
          <w:tcPr>
            <w:tcW w:w="1086" w:type="dxa"/>
            <w:tcBorders>
              <w:top w:val="single" w:color="auto" w:sz="4" w:space="0"/>
              <w:left w:val="single" w:color="auto" w:sz="4" w:space="0"/>
              <w:bottom w:val="single" w:color="auto" w:sz="4" w:space="0"/>
              <w:right w:val="single" w:color="auto" w:sz="4" w:space="0"/>
            </w:tcBorders>
            <w:vAlign w:val="center"/>
          </w:tcPr>
          <w:p w14:paraId="51CCC9AC">
            <w:pPr>
              <w:spacing w:line="320" w:lineRule="exact"/>
              <w:jc w:val="center"/>
              <w:rPr>
                <w:rFonts w:ascii="宋体" w:hAnsi="宋体" w:cs="宋体"/>
                <w:bCs/>
                <w:color w:val="auto"/>
                <w:szCs w:val="21"/>
              </w:rPr>
            </w:pPr>
            <w:r>
              <w:rPr>
                <w:rFonts w:hint="eastAsia" w:ascii="宋体" w:hAnsi="宋体" w:cs="宋体"/>
                <w:color w:val="auto"/>
                <w:szCs w:val="21"/>
              </w:rPr>
              <w:t>确保工期的技术组织措施</w:t>
            </w:r>
          </w:p>
        </w:tc>
        <w:tc>
          <w:tcPr>
            <w:tcW w:w="6736" w:type="dxa"/>
            <w:tcBorders>
              <w:top w:val="single" w:color="auto" w:sz="4" w:space="0"/>
              <w:left w:val="single" w:color="auto" w:sz="4" w:space="0"/>
              <w:bottom w:val="single" w:color="auto" w:sz="4" w:space="0"/>
              <w:right w:val="single" w:color="auto" w:sz="4" w:space="0"/>
            </w:tcBorders>
          </w:tcPr>
          <w:p w14:paraId="6D43298A">
            <w:pPr>
              <w:pStyle w:val="24"/>
              <w:wordWrap w:val="0"/>
              <w:spacing w:line="400" w:lineRule="exact"/>
              <w:ind w:firstLine="420" w:firstLineChars="200"/>
              <w:rPr>
                <w:rFonts w:hAnsi="宋体" w:cs="宋体"/>
                <w:bCs/>
                <w:color w:val="auto"/>
                <w:szCs w:val="21"/>
              </w:rPr>
            </w:pPr>
            <w:r>
              <w:rPr>
                <w:rFonts w:hint="eastAsia" w:hAnsi="宋体" w:cs="宋体"/>
                <w:bCs/>
                <w:color w:val="auto"/>
              </w:rPr>
              <w:t>一档（7分）：在施工工艺、施工方法、材料 选用、劳动力安排、技术等方面有保证工期的 具体措施且措施得当。有控制工期的施工进度的具体计划。有施工总进度表或施工网络图，各项计划图表编制完善，安排科学合理，完全符合本项目施工实际要求。 </w:t>
            </w:r>
          </w:p>
          <w:p w14:paraId="5D300A3D">
            <w:pPr>
              <w:pStyle w:val="24"/>
              <w:wordWrap w:val="0"/>
              <w:spacing w:line="400" w:lineRule="exact"/>
              <w:ind w:firstLine="420" w:firstLineChars="200"/>
              <w:rPr>
                <w:rFonts w:hAnsi="宋体" w:cs="宋体"/>
                <w:bCs/>
                <w:color w:val="auto"/>
              </w:rPr>
            </w:pPr>
            <w:r>
              <w:rPr>
                <w:rFonts w:hint="eastAsia" w:hAnsi="宋体" w:cs="宋体"/>
                <w:bCs/>
                <w:color w:val="auto"/>
              </w:rPr>
              <w:t>二档（4分）：在施工工艺、施工方法、材料选用、劳动力安排、技术等方面有较好的保证工期的具体措施。有控制工期的施工进度计划。有施工总进度表或施工网络图，安排较合理，符合本项目施工实际要求。</w:t>
            </w:r>
          </w:p>
          <w:p w14:paraId="1C105D08">
            <w:pPr>
              <w:pStyle w:val="24"/>
              <w:wordWrap w:val="0"/>
              <w:spacing w:line="400" w:lineRule="exact"/>
              <w:ind w:firstLine="420" w:firstLineChars="200"/>
              <w:rPr>
                <w:rFonts w:hAnsi="宋体" w:cs="宋体"/>
                <w:color w:val="auto"/>
              </w:rPr>
            </w:pPr>
            <w:r>
              <w:rPr>
                <w:rFonts w:hint="eastAsia" w:hAnsi="宋体" w:cs="宋体"/>
                <w:bCs/>
                <w:color w:val="auto"/>
              </w:rPr>
              <w:t>三档（2分）：在施工工艺、施工方法、材料选用、劳动力安排、技术等方面有基本的保证工期的具体措施。有施工进度计划。有施工总进度表或施工网络图，安排基本合理，基本符合本项目施工实际要求</w:t>
            </w:r>
          </w:p>
        </w:tc>
        <w:tc>
          <w:tcPr>
            <w:tcW w:w="736" w:type="dxa"/>
            <w:tcBorders>
              <w:top w:val="single" w:color="auto" w:sz="4" w:space="0"/>
              <w:left w:val="single" w:color="auto" w:sz="4" w:space="0"/>
              <w:bottom w:val="single" w:color="auto" w:sz="4" w:space="0"/>
              <w:right w:val="single" w:color="auto" w:sz="4" w:space="0"/>
            </w:tcBorders>
            <w:vAlign w:val="center"/>
          </w:tcPr>
          <w:p w14:paraId="7EEA8CF6">
            <w:pPr>
              <w:spacing w:line="320" w:lineRule="exact"/>
              <w:jc w:val="center"/>
              <w:rPr>
                <w:rFonts w:ascii="宋体" w:hAnsi="宋体" w:cs="宋体"/>
                <w:color w:val="auto"/>
                <w:kern w:val="0"/>
                <w:szCs w:val="21"/>
              </w:rPr>
            </w:pPr>
            <w:r>
              <w:rPr>
                <w:rFonts w:hint="eastAsia" w:ascii="宋体" w:hAnsi="宋体" w:cs="宋体"/>
                <w:color w:val="auto"/>
                <w:kern w:val="0"/>
                <w:szCs w:val="21"/>
              </w:rPr>
              <w:t>7分</w:t>
            </w:r>
          </w:p>
        </w:tc>
      </w:tr>
      <w:tr w14:paraId="21A5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596D319C">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2.8</w:t>
            </w:r>
          </w:p>
        </w:tc>
        <w:tc>
          <w:tcPr>
            <w:tcW w:w="1086" w:type="dxa"/>
            <w:tcBorders>
              <w:top w:val="single" w:color="auto" w:sz="4" w:space="0"/>
              <w:left w:val="single" w:color="auto" w:sz="4" w:space="0"/>
              <w:bottom w:val="single" w:color="auto" w:sz="4" w:space="0"/>
              <w:right w:val="single" w:color="auto" w:sz="4" w:space="0"/>
            </w:tcBorders>
            <w:vAlign w:val="center"/>
          </w:tcPr>
          <w:p w14:paraId="38814599">
            <w:pPr>
              <w:spacing w:line="320" w:lineRule="exact"/>
              <w:jc w:val="center"/>
              <w:rPr>
                <w:rFonts w:ascii="宋体" w:hAnsi="宋体" w:cs="宋体"/>
                <w:color w:val="auto"/>
                <w:szCs w:val="21"/>
              </w:rPr>
            </w:pPr>
            <w:r>
              <w:rPr>
                <w:rFonts w:hint="eastAsia" w:ascii="宋体" w:hAnsi="宋体" w:cs="宋体"/>
                <w:color w:val="auto"/>
                <w:szCs w:val="21"/>
              </w:rPr>
              <w:t>确保文明施工的技术组织措施</w:t>
            </w:r>
          </w:p>
        </w:tc>
        <w:tc>
          <w:tcPr>
            <w:tcW w:w="6736" w:type="dxa"/>
            <w:tcBorders>
              <w:top w:val="single" w:color="auto" w:sz="4" w:space="0"/>
              <w:left w:val="single" w:color="auto" w:sz="4" w:space="0"/>
              <w:bottom w:val="single" w:color="auto" w:sz="4" w:space="0"/>
              <w:right w:val="single" w:color="auto" w:sz="4" w:space="0"/>
            </w:tcBorders>
          </w:tcPr>
          <w:p w14:paraId="366B41AA">
            <w:pPr>
              <w:pStyle w:val="24"/>
              <w:wordWrap w:val="0"/>
              <w:spacing w:line="400" w:lineRule="exact"/>
              <w:ind w:firstLine="420" w:firstLineChars="200"/>
              <w:rPr>
                <w:rFonts w:hAnsi="宋体" w:cs="宋体"/>
                <w:bCs/>
                <w:color w:val="auto"/>
                <w:szCs w:val="21"/>
              </w:rPr>
            </w:pPr>
            <w:r>
              <w:rPr>
                <w:rFonts w:hint="eastAsia" w:hAnsi="宋体" w:cs="宋体"/>
                <w:bCs/>
                <w:color w:val="auto"/>
              </w:rPr>
              <w:t xml:space="preserve">一档（6分）：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 </w:t>
            </w:r>
          </w:p>
          <w:p w14:paraId="69CACC76">
            <w:pPr>
              <w:pStyle w:val="24"/>
              <w:wordWrap w:val="0"/>
              <w:spacing w:line="400" w:lineRule="exact"/>
              <w:ind w:firstLine="420" w:firstLineChars="200"/>
              <w:rPr>
                <w:rFonts w:hAnsi="宋体" w:cs="宋体"/>
                <w:bCs/>
                <w:color w:val="auto"/>
              </w:rPr>
            </w:pPr>
            <w:r>
              <w:rPr>
                <w:rFonts w:hint="eastAsia" w:hAnsi="宋体" w:cs="宋体"/>
                <w:bCs/>
                <w:color w:val="auto"/>
              </w:rPr>
              <w:t xml:space="preserve">二档（3分）：针对本工程项目特点，有现场文明施工、环境保护措施，且措施内容达到《建筑施工安全生产检查标准》（JGJ59-2011）合格标准并符合《广西壮族自治区建筑工程文明施工导则》要求。各项措施一般。有具体实现现场文明施工目标的承诺。 </w:t>
            </w:r>
          </w:p>
          <w:p w14:paraId="0BF5FADA">
            <w:pPr>
              <w:pStyle w:val="24"/>
              <w:wordWrap w:val="0"/>
              <w:spacing w:line="400" w:lineRule="exact"/>
              <w:ind w:firstLine="420" w:firstLineChars="200"/>
              <w:rPr>
                <w:rFonts w:hAnsi="宋体" w:cs="宋体"/>
                <w:bCs/>
                <w:color w:val="auto"/>
              </w:rPr>
            </w:pPr>
            <w:r>
              <w:rPr>
                <w:rFonts w:hint="eastAsia" w:hAnsi="宋体" w:cs="宋体"/>
                <w:bCs/>
                <w:color w:val="auto"/>
              </w:rPr>
              <w:t>三档（1分）：针对本工程项目特点，应有现场文明施工、环境保护措施，且措施内容应达到《建筑施工安全生产检查标准》（JGJ59-2011）合格标准并符合《广西壮族自治区建筑工程文明施工导则》要求。各项措施不合理。无具体实现现场文明施工目标的承诺。</w:t>
            </w:r>
          </w:p>
        </w:tc>
        <w:tc>
          <w:tcPr>
            <w:tcW w:w="736" w:type="dxa"/>
            <w:tcBorders>
              <w:top w:val="single" w:color="auto" w:sz="4" w:space="0"/>
              <w:left w:val="single" w:color="auto" w:sz="4" w:space="0"/>
              <w:bottom w:val="single" w:color="auto" w:sz="4" w:space="0"/>
              <w:right w:val="single" w:color="auto" w:sz="4" w:space="0"/>
            </w:tcBorders>
            <w:vAlign w:val="center"/>
          </w:tcPr>
          <w:p w14:paraId="2C8DBEB8">
            <w:pPr>
              <w:spacing w:line="320" w:lineRule="exact"/>
              <w:jc w:val="center"/>
              <w:rPr>
                <w:rFonts w:ascii="宋体" w:hAnsi="宋体" w:cs="宋体"/>
                <w:color w:val="auto"/>
                <w:kern w:val="0"/>
                <w:szCs w:val="21"/>
              </w:rPr>
            </w:pPr>
            <w:r>
              <w:rPr>
                <w:rFonts w:hint="eastAsia" w:ascii="宋体" w:hAnsi="宋体" w:cs="宋体"/>
                <w:color w:val="auto"/>
                <w:kern w:val="0"/>
                <w:szCs w:val="21"/>
              </w:rPr>
              <w:t>6分</w:t>
            </w:r>
          </w:p>
        </w:tc>
      </w:tr>
      <w:tr w14:paraId="0179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1B9BCB4F">
            <w:pPr>
              <w:adjustRightInd w:val="0"/>
              <w:spacing w:line="320" w:lineRule="exact"/>
              <w:ind w:left="-105" w:leftChars="-50" w:right="-105" w:rightChars="-50"/>
              <w:jc w:val="center"/>
              <w:textAlignment w:val="baseline"/>
              <w:rPr>
                <w:rFonts w:ascii="宋体" w:hAnsi="宋体" w:cs="宋体"/>
                <w:bCs/>
                <w:color w:val="auto"/>
                <w:kern w:val="0"/>
                <w:szCs w:val="21"/>
              </w:rPr>
            </w:pPr>
            <w:r>
              <w:rPr>
                <w:rFonts w:hint="eastAsia" w:ascii="宋体" w:hAnsi="宋体" w:cs="宋体"/>
                <w:bCs/>
                <w:color w:val="auto"/>
                <w:kern w:val="0"/>
                <w:szCs w:val="21"/>
              </w:rPr>
              <w:t>2.9</w:t>
            </w:r>
          </w:p>
        </w:tc>
        <w:tc>
          <w:tcPr>
            <w:tcW w:w="1086" w:type="dxa"/>
            <w:tcBorders>
              <w:top w:val="single" w:color="auto" w:sz="4" w:space="0"/>
              <w:left w:val="single" w:color="auto" w:sz="4" w:space="0"/>
              <w:bottom w:val="single" w:color="auto" w:sz="4" w:space="0"/>
              <w:right w:val="single" w:color="auto" w:sz="4" w:space="0"/>
            </w:tcBorders>
            <w:vAlign w:val="center"/>
          </w:tcPr>
          <w:p w14:paraId="68256228">
            <w:pPr>
              <w:spacing w:line="320" w:lineRule="exact"/>
              <w:jc w:val="center"/>
              <w:rPr>
                <w:rFonts w:ascii="宋体" w:hAnsi="宋体" w:cs="宋体"/>
                <w:color w:val="auto"/>
                <w:szCs w:val="21"/>
              </w:rPr>
            </w:pPr>
            <w:r>
              <w:rPr>
                <w:rFonts w:hint="eastAsia" w:ascii="宋体" w:hAnsi="宋体" w:cs="宋体"/>
                <w:color w:val="auto"/>
                <w:szCs w:val="21"/>
              </w:rPr>
              <w:t>工程施工的重点和难点及保证措施</w:t>
            </w:r>
          </w:p>
        </w:tc>
        <w:tc>
          <w:tcPr>
            <w:tcW w:w="6736" w:type="dxa"/>
            <w:tcBorders>
              <w:top w:val="single" w:color="auto" w:sz="4" w:space="0"/>
              <w:left w:val="single" w:color="auto" w:sz="4" w:space="0"/>
              <w:bottom w:val="single" w:color="auto" w:sz="4" w:space="0"/>
              <w:right w:val="single" w:color="auto" w:sz="4" w:space="0"/>
            </w:tcBorders>
          </w:tcPr>
          <w:p w14:paraId="35AAC490">
            <w:pPr>
              <w:pStyle w:val="24"/>
              <w:wordWrap w:val="0"/>
              <w:spacing w:line="400" w:lineRule="exact"/>
              <w:ind w:firstLine="420" w:firstLineChars="200"/>
              <w:rPr>
                <w:rFonts w:hAnsi="宋体" w:cs="宋体"/>
                <w:bCs/>
                <w:color w:val="auto"/>
                <w:szCs w:val="21"/>
              </w:rPr>
            </w:pPr>
            <w:r>
              <w:rPr>
                <w:rFonts w:hint="eastAsia" w:hAnsi="宋体" w:cs="宋体"/>
                <w:bCs/>
                <w:color w:val="auto"/>
              </w:rPr>
              <w:t xml:space="preserve">一档（6分）：针对本工程的特点，阐述本工程的重点和难点，解决重点和难点问题的方法科学合理。 </w:t>
            </w:r>
          </w:p>
          <w:p w14:paraId="710B1764">
            <w:pPr>
              <w:pStyle w:val="24"/>
              <w:wordWrap w:val="0"/>
              <w:spacing w:line="400" w:lineRule="exact"/>
              <w:ind w:firstLine="420" w:firstLineChars="200"/>
              <w:rPr>
                <w:rFonts w:hAnsi="宋体" w:cs="宋体"/>
                <w:bCs/>
                <w:color w:val="auto"/>
              </w:rPr>
            </w:pPr>
            <w:r>
              <w:rPr>
                <w:rFonts w:hint="eastAsia" w:hAnsi="宋体" w:cs="宋体"/>
                <w:bCs/>
                <w:color w:val="auto"/>
              </w:rPr>
              <w:t xml:space="preserve">二档（3分）：针对本工程的特点，阐述本工程的重点和难点，解决重点和难点问题的方法基本合理。 </w:t>
            </w:r>
          </w:p>
          <w:p w14:paraId="5206AAD9">
            <w:pPr>
              <w:pStyle w:val="24"/>
              <w:wordWrap w:val="0"/>
              <w:spacing w:line="400" w:lineRule="exact"/>
              <w:ind w:firstLine="420" w:firstLineChars="200"/>
              <w:rPr>
                <w:rFonts w:hAnsi="宋体" w:cs="宋体"/>
                <w:bCs/>
                <w:color w:val="auto"/>
              </w:rPr>
            </w:pPr>
            <w:r>
              <w:rPr>
                <w:rFonts w:hint="eastAsia" w:hAnsi="宋体" w:cs="宋体"/>
                <w:bCs/>
                <w:color w:val="auto"/>
              </w:rPr>
              <w:t>三档（1）：针对本工程的特点，阐述本工程的重点和难点，解决重点和难点问题的方法不合理。</w:t>
            </w:r>
          </w:p>
        </w:tc>
        <w:tc>
          <w:tcPr>
            <w:tcW w:w="736" w:type="dxa"/>
            <w:tcBorders>
              <w:top w:val="single" w:color="auto" w:sz="4" w:space="0"/>
              <w:left w:val="single" w:color="auto" w:sz="4" w:space="0"/>
              <w:bottom w:val="single" w:color="auto" w:sz="4" w:space="0"/>
              <w:right w:val="single" w:color="auto" w:sz="4" w:space="0"/>
            </w:tcBorders>
            <w:vAlign w:val="center"/>
          </w:tcPr>
          <w:p w14:paraId="63098E77">
            <w:pPr>
              <w:spacing w:line="320" w:lineRule="exact"/>
              <w:jc w:val="center"/>
              <w:rPr>
                <w:rFonts w:ascii="宋体" w:hAnsi="宋体" w:cs="宋体"/>
                <w:color w:val="auto"/>
                <w:kern w:val="0"/>
                <w:szCs w:val="21"/>
              </w:rPr>
            </w:pPr>
            <w:r>
              <w:rPr>
                <w:rFonts w:hint="eastAsia" w:ascii="宋体" w:hAnsi="宋体" w:cs="宋体"/>
                <w:color w:val="auto"/>
                <w:kern w:val="0"/>
                <w:szCs w:val="21"/>
              </w:rPr>
              <w:t>6分</w:t>
            </w:r>
          </w:p>
        </w:tc>
      </w:tr>
      <w:tr w14:paraId="08A1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01BD03AD">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3</w:t>
            </w:r>
          </w:p>
        </w:tc>
        <w:tc>
          <w:tcPr>
            <w:tcW w:w="1086" w:type="dxa"/>
            <w:tcBorders>
              <w:top w:val="single" w:color="auto" w:sz="4" w:space="0"/>
              <w:left w:val="single" w:color="auto" w:sz="4" w:space="0"/>
              <w:bottom w:val="single" w:color="auto" w:sz="4" w:space="0"/>
              <w:right w:val="single" w:color="auto" w:sz="4" w:space="0"/>
            </w:tcBorders>
            <w:vAlign w:val="center"/>
          </w:tcPr>
          <w:p w14:paraId="2D09D5FD">
            <w:pPr>
              <w:widowControl/>
              <w:spacing w:line="320" w:lineRule="exact"/>
              <w:jc w:val="center"/>
              <w:rPr>
                <w:rFonts w:ascii="宋体" w:hAnsi="宋体" w:cs="宋体"/>
                <w:bCs/>
                <w:color w:val="auto"/>
                <w:szCs w:val="21"/>
              </w:rPr>
            </w:pPr>
            <w:r>
              <w:rPr>
                <w:rFonts w:hint="eastAsia" w:ascii="宋体" w:hAnsi="宋体" w:cs="宋体"/>
                <w:bCs/>
                <w:color w:val="auto"/>
                <w:szCs w:val="21"/>
              </w:rPr>
              <w:t>商务分</w:t>
            </w:r>
          </w:p>
        </w:tc>
        <w:tc>
          <w:tcPr>
            <w:tcW w:w="7472" w:type="dxa"/>
            <w:gridSpan w:val="2"/>
            <w:tcBorders>
              <w:top w:val="single" w:color="auto" w:sz="4" w:space="0"/>
              <w:left w:val="single" w:color="auto" w:sz="4" w:space="0"/>
              <w:bottom w:val="single" w:color="auto" w:sz="4" w:space="0"/>
              <w:right w:val="single" w:color="auto" w:sz="4" w:space="0"/>
            </w:tcBorders>
            <w:vAlign w:val="center"/>
          </w:tcPr>
          <w:p w14:paraId="63508B8B">
            <w:pPr>
              <w:pStyle w:val="24"/>
              <w:wordWrap w:val="0"/>
              <w:spacing w:line="400" w:lineRule="exact"/>
              <w:ind w:firstLine="420" w:firstLineChars="200"/>
              <w:jc w:val="center"/>
              <w:rPr>
                <w:rFonts w:hAnsi="宋体" w:cs="宋体"/>
                <w:bCs/>
                <w:color w:val="auto"/>
              </w:rPr>
            </w:pPr>
            <w:r>
              <w:rPr>
                <w:rFonts w:hint="eastAsia" w:hAnsi="宋体" w:cs="宋体"/>
                <w:bCs/>
                <w:color w:val="auto"/>
              </w:rPr>
              <w:t>评审因素</w:t>
            </w:r>
          </w:p>
        </w:tc>
      </w:tr>
      <w:tr w14:paraId="7C9F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52" w:type="dxa"/>
            <w:tcBorders>
              <w:top w:val="single" w:color="auto" w:sz="4" w:space="0"/>
              <w:left w:val="single" w:color="auto" w:sz="4" w:space="0"/>
              <w:bottom w:val="single" w:color="auto" w:sz="4" w:space="0"/>
              <w:right w:val="single" w:color="auto" w:sz="4" w:space="0"/>
            </w:tcBorders>
            <w:vAlign w:val="center"/>
          </w:tcPr>
          <w:p w14:paraId="5F2C1F78">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3.1</w:t>
            </w:r>
          </w:p>
        </w:tc>
        <w:tc>
          <w:tcPr>
            <w:tcW w:w="1086" w:type="dxa"/>
            <w:tcBorders>
              <w:top w:val="single" w:color="auto" w:sz="4" w:space="0"/>
              <w:left w:val="single" w:color="auto" w:sz="4" w:space="0"/>
              <w:bottom w:val="single" w:color="auto" w:sz="4" w:space="0"/>
              <w:right w:val="single" w:color="auto" w:sz="4" w:space="0"/>
            </w:tcBorders>
            <w:vAlign w:val="center"/>
          </w:tcPr>
          <w:p w14:paraId="017BD5AA">
            <w:pPr>
              <w:widowControl/>
              <w:spacing w:line="320" w:lineRule="exact"/>
              <w:jc w:val="center"/>
              <w:rPr>
                <w:rFonts w:ascii="宋体" w:hAnsi="宋体" w:cs="宋体"/>
                <w:color w:val="auto"/>
                <w:kern w:val="0"/>
                <w:szCs w:val="21"/>
              </w:rPr>
            </w:pPr>
            <w:r>
              <w:rPr>
                <w:rFonts w:hint="eastAsia" w:ascii="宋体" w:hAnsi="宋体" w:cs="宋体"/>
                <w:bCs/>
                <w:color w:val="auto"/>
                <w:szCs w:val="21"/>
              </w:rPr>
              <w:t>业绩经验</w:t>
            </w:r>
          </w:p>
        </w:tc>
        <w:tc>
          <w:tcPr>
            <w:tcW w:w="6736" w:type="dxa"/>
            <w:tcBorders>
              <w:top w:val="single" w:color="auto" w:sz="4" w:space="0"/>
              <w:left w:val="single" w:color="auto" w:sz="4" w:space="0"/>
              <w:bottom w:val="single" w:color="auto" w:sz="4" w:space="0"/>
              <w:right w:val="single" w:color="auto" w:sz="4" w:space="0"/>
            </w:tcBorders>
          </w:tcPr>
          <w:p w14:paraId="7DB05BA8">
            <w:pPr>
              <w:pStyle w:val="24"/>
              <w:wordWrap w:val="0"/>
              <w:spacing w:line="400" w:lineRule="exact"/>
              <w:ind w:firstLine="420" w:firstLineChars="200"/>
              <w:rPr>
                <w:rFonts w:hAnsi="宋体" w:cs="宋体"/>
                <w:bCs/>
                <w:color w:val="auto"/>
              </w:rPr>
            </w:pPr>
            <w:r>
              <w:rPr>
                <w:rFonts w:hint="eastAsia" w:hAnsi="宋体" w:cs="宋体"/>
                <w:color w:val="auto"/>
                <w:szCs w:val="21"/>
              </w:rPr>
              <w:t>20</w:t>
            </w:r>
            <w:r>
              <w:rPr>
                <w:rFonts w:hint="eastAsia" w:hAnsi="宋体" w:cs="宋体"/>
                <w:color w:val="auto"/>
                <w:szCs w:val="21"/>
                <w:lang w:val="en-US" w:eastAsia="zh-CN"/>
              </w:rPr>
              <w:t>23</w:t>
            </w:r>
            <w:r>
              <w:rPr>
                <w:rFonts w:hint="eastAsia" w:hAnsi="宋体" w:cs="宋体"/>
                <w:color w:val="auto"/>
                <w:szCs w:val="21"/>
              </w:rPr>
              <w:t>年1月1日以后供应商承接过建筑类的施工业绩，每具有一项得2分，满分得10分【须在响应文件中提供施工合同或中标（成交）通知书的复印件并加盖单位公章，否则不得分】</w:t>
            </w:r>
          </w:p>
        </w:tc>
        <w:tc>
          <w:tcPr>
            <w:tcW w:w="736" w:type="dxa"/>
            <w:tcBorders>
              <w:top w:val="single" w:color="auto" w:sz="4" w:space="0"/>
              <w:left w:val="single" w:color="auto" w:sz="4" w:space="0"/>
              <w:bottom w:val="single" w:color="auto" w:sz="4" w:space="0"/>
              <w:right w:val="single" w:color="auto" w:sz="4" w:space="0"/>
            </w:tcBorders>
            <w:vAlign w:val="center"/>
          </w:tcPr>
          <w:p w14:paraId="107C00D8">
            <w:pPr>
              <w:widowControl/>
              <w:spacing w:line="320" w:lineRule="exact"/>
              <w:jc w:val="center"/>
              <w:rPr>
                <w:rFonts w:ascii="宋体" w:hAnsi="宋体" w:cs="宋体"/>
                <w:color w:val="auto"/>
                <w:kern w:val="0"/>
                <w:szCs w:val="21"/>
              </w:rPr>
            </w:pPr>
            <w:r>
              <w:rPr>
                <w:rFonts w:hint="eastAsia" w:ascii="宋体" w:hAnsi="宋体" w:cs="宋体"/>
                <w:color w:val="auto"/>
                <w:kern w:val="0"/>
                <w:szCs w:val="21"/>
              </w:rPr>
              <w:t>10分</w:t>
            </w:r>
          </w:p>
        </w:tc>
      </w:tr>
      <w:tr w14:paraId="16A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74" w:type="dxa"/>
            <w:gridSpan w:val="3"/>
            <w:tcBorders>
              <w:top w:val="single" w:color="auto" w:sz="4" w:space="0"/>
              <w:left w:val="single" w:color="auto" w:sz="4" w:space="0"/>
              <w:bottom w:val="single" w:color="auto" w:sz="4" w:space="0"/>
              <w:right w:val="single" w:color="auto" w:sz="4" w:space="0"/>
            </w:tcBorders>
            <w:vAlign w:val="center"/>
          </w:tcPr>
          <w:p w14:paraId="6B89EE55">
            <w:pPr>
              <w:pStyle w:val="24"/>
              <w:spacing w:line="320" w:lineRule="exact"/>
              <w:ind w:firstLine="420" w:firstLineChars="200"/>
              <w:jc w:val="left"/>
              <w:rPr>
                <w:rFonts w:hAnsi="宋体" w:cs="宋体"/>
                <w:bCs/>
                <w:color w:val="auto"/>
              </w:rPr>
            </w:pPr>
            <w:r>
              <w:rPr>
                <w:rFonts w:hint="eastAsia" w:hAnsi="宋体" w:cs="宋体"/>
                <w:bCs/>
                <w:color w:val="auto"/>
              </w:rPr>
              <w:t>总得分＝1＋2＋3</w:t>
            </w:r>
          </w:p>
        </w:tc>
        <w:tc>
          <w:tcPr>
            <w:tcW w:w="736" w:type="dxa"/>
            <w:tcBorders>
              <w:top w:val="single" w:color="auto" w:sz="4" w:space="0"/>
              <w:left w:val="single" w:color="auto" w:sz="4" w:space="0"/>
              <w:bottom w:val="single" w:color="auto" w:sz="4" w:space="0"/>
              <w:right w:val="single" w:color="auto" w:sz="4" w:space="0"/>
            </w:tcBorders>
            <w:vAlign w:val="center"/>
          </w:tcPr>
          <w:p w14:paraId="0A97271F">
            <w:pPr>
              <w:widowControl/>
              <w:spacing w:line="320" w:lineRule="exact"/>
              <w:jc w:val="left"/>
              <w:rPr>
                <w:rFonts w:ascii="宋体" w:hAnsi="宋体" w:cs="宋体"/>
                <w:color w:val="auto"/>
                <w:kern w:val="0"/>
                <w:szCs w:val="21"/>
              </w:rPr>
            </w:pPr>
          </w:p>
        </w:tc>
      </w:tr>
    </w:tbl>
    <w:p w14:paraId="12B75F11">
      <w:pPr>
        <w:pStyle w:val="60"/>
        <w:rPr>
          <w:color w:val="auto"/>
        </w:rPr>
      </w:pPr>
    </w:p>
    <w:p w14:paraId="4B1AA52A">
      <w:pPr>
        <w:spacing w:line="420" w:lineRule="exact"/>
        <w:ind w:firstLine="413" w:firstLineChars="196"/>
        <w:rPr>
          <w:rFonts w:ascii="宋体" w:hAnsi="宋体"/>
          <w:b/>
          <w:bCs/>
          <w:color w:val="auto"/>
          <w:szCs w:val="21"/>
        </w:rPr>
      </w:pPr>
      <w:r>
        <w:rPr>
          <w:rFonts w:hint="eastAsia" w:ascii="宋体" w:hAnsi="宋体"/>
          <w:b/>
          <w:bCs/>
          <w:color w:val="auto"/>
          <w:szCs w:val="21"/>
        </w:rPr>
        <w:t>三、总分（100分）</w:t>
      </w:r>
    </w:p>
    <w:p w14:paraId="0C103123">
      <w:pPr>
        <w:spacing w:line="420" w:lineRule="exact"/>
        <w:ind w:firstLine="411" w:firstLineChars="196"/>
        <w:rPr>
          <w:rFonts w:ascii="宋体" w:hAnsi="宋体" w:cs="宋体"/>
          <w:color w:val="auto"/>
          <w:szCs w:val="21"/>
        </w:rPr>
      </w:pPr>
      <w:r>
        <w:rPr>
          <w:rFonts w:hint="eastAsia" w:ascii="宋体" w:hAnsi="宋体" w:cs="宋体"/>
          <w:color w:val="auto"/>
          <w:szCs w:val="21"/>
        </w:rPr>
        <w:t>计算公式：总分＝</w:t>
      </w:r>
      <w:r>
        <w:rPr>
          <w:rFonts w:hint="eastAsia" w:ascii="宋体" w:hAnsi="宋体"/>
          <w:color w:val="auto"/>
          <w:szCs w:val="21"/>
        </w:rPr>
        <w:t>报价</w:t>
      </w:r>
      <w:r>
        <w:rPr>
          <w:rFonts w:ascii="宋体" w:hAnsi="宋体"/>
          <w:color w:val="auto"/>
          <w:szCs w:val="21"/>
        </w:rPr>
        <w:t>分+</w:t>
      </w:r>
      <w:r>
        <w:rPr>
          <w:rFonts w:hint="eastAsia" w:ascii="宋体" w:hAnsi="宋体"/>
          <w:color w:val="auto"/>
          <w:szCs w:val="21"/>
        </w:rPr>
        <w:t>技术</w:t>
      </w:r>
      <w:r>
        <w:rPr>
          <w:rFonts w:ascii="宋体" w:hAnsi="宋体"/>
          <w:color w:val="auto"/>
          <w:szCs w:val="21"/>
        </w:rPr>
        <w:t>分</w:t>
      </w:r>
      <w:r>
        <w:rPr>
          <w:rFonts w:hint="eastAsia" w:ascii="宋体" w:hAnsi="宋体"/>
          <w:color w:val="auto"/>
          <w:szCs w:val="21"/>
        </w:rPr>
        <w:t>+</w:t>
      </w:r>
      <w:r>
        <w:rPr>
          <w:rFonts w:hint="eastAsia" w:ascii="宋体" w:hAnsi="宋体" w:cs="宋体"/>
          <w:color w:val="auto"/>
          <w:kern w:val="0"/>
          <w:szCs w:val="21"/>
        </w:rPr>
        <w:t>商务分</w:t>
      </w:r>
    </w:p>
    <w:p w14:paraId="443ED6A5">
      <w:pPr>
        <w:spacing w:line="420" w:lineRule="exact"/>
        <w:ind w:firstLine="411" w:firstLineChars="196"/>
        <w:rPr>
          <w:rFonts w:ascii="宋体" w:hAnsi="宋体" w:cs="宋体"/>
          <w:color w:val="auto"/>
          <w:szCs w:val="21"/>
        </w:rPr>
      </w:pPr>
      <w:r>
        <w:rPr>
          <w:rFonts w:hint="eastAsia" w:ascii="宋体" w:hAnsi="宋体" w:cs="宋体"/>
          <w:color w:val="auto"/>
          <w:szCs w:val="21"/>
        </w:rPr>
        <w:t>备注：各项指标的分数计算四舍五入，取小数点后两位。</w:t>
      </w:r>
    </w:p>
    <w:p w14:paraId="01D7DB7A">
      <w:pPr>
        <w:spacing w:line="420" w:lineRule="exact"/>
        <w:ind w:firstLine="413" w:firstLineChars="196"/>
        <w:rPr>
          <w:rFonts w:ascii="宋体" w:hAnsi="宋体"/>
          <w:b/>
          <w:bCs/>
          <w:color w:val="auto"/>
          <w:szCs w:val="21"/>
        </w:rPr>
      </w:pPr>
      <w:r>
        <w:rPr>
          <w:rFonts w:hint="eastAsia" w:ascii="宋体" w:hAnsi="宋体"/>
          <w:b/>
          <w:bCs/>
          <w:color w:val="auto"/>
          <w:szCs w:val="21"/>
        </w:rPr>
        <w:t>四、</w:t>
      </w:r>
      <w:r>
        <w:rPr>
          <w:rFonts w:hint="eastAsia" w:ascii="宋体" w:hAnsi="宋体" w:cs="宋体"/>
          <w:b/>
          <w:color w:val="auto"/>
          <w:szCs w:val="21"/>
        </w:rPr>
        <w:t>成交候选供应商推荐原则</w:t>
      </w:r>
    </w:p>
    <w:p w14:paraId="73E1BC36">
      <w:pPr>
        <w:spacing w:line="420" w:lineRule="exact"/>
        <w:ind w:firstLine="435"/>
        <w:rPr>
          <w:rFonts w:ascii="宋体" w:hAnsi="宋体" w:cs="宋体"/>
          <w:color w:val="auto"/>
          <w:szCs w:val="21"/>
        </w:rPr>
      </w:pPr>
      <w:r>
        <w:rPr>
          <w:rFonts w:ascii="宋体" w:hAnsi="宋体" w:cs="宋体"/>
          <w:color w:val="auto"/>
          <w:szCs w:val="21"/>
        </w:rPr>
        <w:t>磋商小组应当根据综合评分情况，按照评审得分由高到低顺序推荐3名以上成交候选供应商，并编写评审报告。评审得分相同的，按照最后报价由低到高的顺序推荐。评审得分且最后报价相同的，按照</w:t>
      </w:r>
      <w:r>
        <w:rPr>
          <w:rFonts w:hint="eastAsia" w:ascii="宋体" w:hAnsi="宋体" w:cs="宋体"/>
          <w:color w:val="auto"/>
          <w:szCs w:val="21"/>
        </w:rPr>
        <w:t>技术部分得分从高到低</w:t>
      </w:r>
      <w:r>
        <w:rPr>
          <w:rFonts w:ascii="宋体" w:hAnsi="宋体" w:cs="宋体"/>
          <w:color w:val="auto"/>
          <w:szCs w:val="21"/>
        </w:rPr>
        <w:t>顺序推荐。</w:t>
      </w:r>
    </w:p>
    <w:p w14:paraId="04843DFD">
      <w:pPr>
        <w:spacing w:line="420" w:lineRule="exact"/>
        <w:ind w:firstLine="435"/>
        <w:rPr>
          <w:rFonts w:ascii="宋体" w:hAnsi="宋体" w:cs="宋体"/>
          <w:color w:val="auto"/>
          <w:szCs w:val="21"/>
        </w:rPr>
      </w:pPr>
      <w:r>
        <w:rPr>
          <w:rFonts w:ascii="宋体" w:hAnsi="宋体" w:cs="宋体"/>
          <w:color w:val="auto"/>
          <w:szCs w:val="21"/>
        </w:rPr>
        <w:t>采购人应当在收到评审报告后</w:t>
      </w:r>
      <w:r>
        <w:rPr>
          <w:rFonts w:hint="eastAsia" w:ascii="宋体" w:hAnsi="宋体" w:cs="宋体"/>
          <w:color w:val="auto"/>
          <w:szCs w:val="21"/>
        </w:rPr>
        <w:t>2</w:t>
      </w:r>
      <w:r>
        <w:rPr>
          <w:rFonts w:ascii="宋体" w:hAnsi="宋体" w:cs="宋体"/>
          <w:color w:val="auto"/>
          <w:szCs w:val="21"/>
        </w:rPr>
        <w:t>个工作日内，</w:t>
      </w:r>
      <w:r>
        <w:rPr>
          <w:rFonts w:hint="eastAsia" w:ascii="宋体" w:hAnsi="宋体" w:cs="宋体"/>
          <w:color w:val="auto"/>
          <w:szCs w:val="21"/>
        </w:rPr>
        <w:t>根据</w:t>
      </w:r>
      <w:r>
        <w:rPr>
          <w:rFonts w:ascii="宋体" w:hAnsi="宋体" w:cs="宋体"/>
          <w:color w:val="auto"/>
          <w:szCs w:val="21"/>
        </w:rPr>
        <w:t>评审报告按照</w:t>
      </w:r>
      <w:r>
        <w:rPr>
          <w:rFonts w:hint="eastAsia" w:ascii="宋体" w:hAnsi="宋体" w:cs="宋体"/>
          <w:color w:val="auto"/>
          <w:szCs w:val="21"/>
        </w:rPr>
        <w:t>评审总得分</w:t>
      </w:r>
      <w:r>
        <w:rPr>
          <w:rFonts w:ascii="宋体" w:hAnsi="宋体" w:cs="宋体"/>
          <w:color w:val="auto"/>
          <w:szCs w:val="21"/>
        </w:rPr>
        <w:t>排序由高到低的原则确定成交供应商。</w:t>
      </w:r>
      <w:r>
        <w:rPr>
          <w:rFonts w:hint="eastAsia" w:ascii="宋体" w:hAnsi="宋体" w:cs="宋体"/>
          <w:color w:val="auto"/>
          <w:szCs w:val="21"/>
        </w:rPr>
        <w:t>采购人逾期未确定成交供应商且不提出异议的，视为确定评审报告提出的排序第一的供应商为成交供应商。</w:t>
      </w:r>
    </w:p>
    <w:p w14:paraId="3AD68A62">
      <w:pPr>
        <w:spacing w:line="480" w:lineRule="exact"/>
        <w:jc w:val="left"/>
        <w:rPr>
          <w:rFonts w:ascii="宋体" w:hAnsi="宋体" w:cs="Courier New"/>
          <w:color w:val="auto"/>
          <w:sz w:val="24"/>
        </w:rPr>
      </w:pPr>
    </w:p>
    <w:sectPr>
      <w:headerReference r:id="rId5" w:type="default"/>
      <w:footerReference r:id="rId6" w:type="default"/>
      <w:footerReference r:id="rId7" w:type="even"/>
      <w:pgSz w:w="11906" w:h="16838"/>
      <w:pgMar w:top="1304" w:right="1134" w:bottom="1134" w:left="1304"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 体">
    <w:altName w:val="Times New Roman"/>
    <w:panose1 w:val="00000000000000000000"/>
    <w:charset w:val="00"/>
    <w:family w:val="auto"/>
    <w:pitch w:val="default"/>
    <w:sig w:usb0="00000000" w:usb1="00000000" w:usb2="00000000"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00CC">
    <w:pPr>
      <w:pStyle w:val="29"/>
      <w:jc w:val="center"/>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8ECC1">
    <w:pPr>
      <w:pStyle w:val="29"/>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06E14F9B">
                <w:pPr>
                  <w:pStyle w:val="29"/>
                </w:pPr>
                <w:r>
                  <w:fldChar w:fldCharType="begin"/>
                </w:r>
                <w:r>
                  <w:instrText xml:space="preserve"> PAGE  \* MERGEFORMAT </w:instrText>
                </w:r>
                <w:r>
                  <w:fldChar w:fldCharType="separate"/>
                </w:r>
                <w:r>
                  <w:t>26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18AE3">
    <w:pPr>
      <w:pStyle w:val="29"/>
      <w:framePr w:wrap="around" w:vAnchor="text" w:hAnchor="margin" w:xAlign="center" w:y="1"/>
      <w:rPr>
        <w:rStyle w:val="48"/>
      </w:rPr>
    </w:pPr>
    <w:r>
      <w:fldChar w:fldCharType="begin"/>
    </w:r>
    <w:r>
      <w:rPr>
        <w:rStyle w:val="48"/>
      </w:rPr>
      <w:instrText xml:space="preserve">PAGE  </w:instrText>
    </w:r>
    <w:r>
      <w:fldChar w:fldCharType="end"/>
    </w:r>
  </w:p>
  <w:p w14:paraId="25E8F406">
    <w:pPr>
      <w:pStyle w:val="29"/>
    </w:pPr>
  </w:p>
  <w:p w14:paraId="77A1E164"/>
  <w:p w14:paraId="4C62AD9F"/>
  <w:p w14:paraId="74C26831"/>
  <w:p w14:paraId="420B28D9"/>
  <w:p w14:paraId="683FACE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464FE">
    <w:pPr>
      <w:pStyle w:val="30"/>
      <w:pBdr>
        <w:bottom w:val="none" w:color="auto" w:sz="0" w:space="1"/>
      </w:pBdr>
      <w:jc w:val="both"/>
      <w:rPr>
        <w:rFonts w:ascii="宋体" w:hAnsi="宋体"/>
        <w:sz w:val="15"/>
        <w:szCs w:val="1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EE964">
    <w:pPr>
      <w:pStyle w:val="30"/>
      <w:pBdr>
        <w:bottom w:val="none" w:color="auto" w:sz="0" w:space="0"/>
      </w:pBdr>
      <w:jc w:val="right"/>
      <w:rPr>
        <w:u w:val="single"/>
      </w:rPr>
    </w:pPr>
  </w:p>
  <w:p w14:paraId="4C039C0E"/>
  <w:p w14:paraId="06858D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9DF6F"/>
    <w:multiLevelType w:val="singleLevel"/>
    <w:tmpl w:val="C199DF6F"/>
    <w:lvl w:ilvl="0" w:tentative="0">
      <w:start w:val="4"/>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pPr>
        <w:ind w:left="0" w:firstLine="0"/>
      </w:pPr>
    </w:lvl>
  </w:abstractNum>
  <w:abstractNum w:abstractNumId="2">
    <w:nsid w:val="2659688A"/>
    <w:multiLevelType w:val="singleLevel"/>
    <w:tmpl w:val="2659688A"/>
    <w:lvl w:ilvl="0" w:tentative="0">
      <w:start w:val="7"/>
      <w:numFmt w:val="decimal"/>
      <w:pStyle w:val="246"/>
      <w:lvlText w:val="%1、"/>
      <w:lvlJc w:val="left"/>
      <w:pPr>
        <w:tabs>
          <w:tab w:val="left" w:pos="1260"/>
        </w:tabs>
        <w:ind w:left="1260" w:hanging="720"/>
      </w:pPr>
      <w:rPr>
        <w:rFonts w:hint="eastAsia"/>
      </w:rPr>
    </w:lvl>
  </w:abstractNum>
  <w:abstractNum w:abstractNumId="3">
    <w:nsid w:val="6EDD6596"/>
    <w:multiLevelType w:val="multilevel"/>
    <w:tmpl w:val="6EDD6596"/>
    <w:lvl w:ilvl="0" w:tentative="0">
      <w:start w:val="1"/>
      <w:numFmt w:val="decimal"/>
      <w:suff w:val="space"/>
      <w:lvlText w:val="%1."/>
      <w:lvlJc w:val="left"/>
      <w:pPr>
        <w:textAlignment w:val="baseline"/>
      </w:pPr>
    </w:lvl>
    <w:lvl w:ilvl="1" w:tentative="0">
      <w:start w:val="1"/>
      <w:numFmt w:val="lowerLetter"/>
      <w:lvlText w:val="%2)"/>
      <w:lvlJc w:val="left"/>
      <w:pPr>
        <w:ind w:left="1208" w:hanging="420"/>
      </w:pPr>
    </w:lvl>
    <w:lvl w:ilvl="2" w:tentative="0">
      <w:start w:val="1"/>
      <w:numFmt w:val="lowerRoman"/>
      <w:lvlText w:val="%3."/>
      <w:lvlJc w:val="right"/>
      <w:pPr>
        <w:ind w:left="1628" w:hanging="420"/>
      </w:pPr>
    </w:lvl>
    <w:lvl w:ilvl="3" w:tentative="0">
      <w:start w:val="1"/>
      <w:numFmt w:val="decimal"/>
      <w:lvlText w:val="%4."/>
      <w:lvlJc w:val="left"/>
      <w:pPr>
        <w:ind w:left="2048" w:hanging="420"/>
      </w:pPr>
    </w:lvl>
    <w:lvl w:ilvl="4" w:tentative="0">
      <w:start w:val="1"/>
      <w:numFmt w:val="lowerLetter"/>
      <w:lvlText w:val="%5)"/>
      <w:lvlJc w:val="left"/>
      <w:pPr>
        <w:ind w:left="2468" w:hanging="420"/>
      </w:pPr>
    </w:lvl>
    <w:lvl w:ilvl="5" w:tentative="0">
      <w:start w:val="1"/>
      <w:numFmt w:val="lowerRoman"/>
      <w:lvlText w:val="%6."/>
      <w:lvlJc w:val="right"/>
      <w:pPr>
        <w:ind w:left="2888" w:hanging="420"/>
      </w:pPr>
    </w:lvl>
    <w:lvl w:ilvl="6" w:tentative="0">
      <w:start w:val="1"/>
      <w:numFmt w:val="decimal"/>
      <w:lvlText w:val="%7."/>
      <w:lvlJc w:val="left"/>
      <w:pPr>
        <w:ind w:left="3308" w:hanging="420"/>
      </w:pPr>
    </w:lvl>
    <w:lvl w:ilvl="7" w:tentative="0">
      <w:start w:val="1"/>
      <w:numFmt w:val="lowerLetter"/>
      <w:lvlText w:val="%8)"/>
      <w:lvlJc w:val="left"/>
      <w:pPr>
        <w:ind w:left="3728" w:hanging="420"/>
      </w:pPr>
    </w:lvl>
    <w:lvl w:ilvl="8" w:tentative="0">
      <w:start w:val="1"/>
      <w:numFmt w:val="lowerRoman"/>
      <w:lvlText w:val="%9."/>
      <w:lvlJc w:val="right"/>
      <w:pPr>
        <w:ind w:left="4148" w:hanging="420"/>
      </w:pPr>
    </w:lvl>
  </w:abstractNum>
  <w:num w:numId="1">
    <w:abstractNumId w:val="2"/>
  </w:num>
  <w:num w:numId="2">
    <w:abstractNumId w:val="0"/>
  </w:num>
  <w:num w:numId="3">
    <w:abstractNumId w:val="1"/>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dit="forms" w:formatting="1" w:enforcement="1" w:cryptProviderType="rsaFull" w:cryptAlgorithmClass="hash" w:cryptAlgorithmType="typeAny" w:cryptAlgorithmSid="4" w:cryptSpinCount="0" w:hash="E/RHjF/OHwozUBTdqfvD1YgmKvg=" w:salt="cxnG1kYoGDT7cibiMwCLIg=="/>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QxODJhMTRiMGZjMDQ0ZDA3ZjgxMjRjMjBlMTQwNjcifQ=="/>
  </w:docVars>
  <w:rsids>
    <w:rsidRoot w:val="00172A27"/>
    <w:rsid w:val="00000953"/>
    <w:rsid w:val="00000F72"/>
    <w:rsid w:val="00002848"/>
    <w:rsid w:val="00002D06"/>
    <w:rsid w:val="0000367E"/>
    <w:rsid w:val="0000401E"/>
    <w:rsid w:val="000043FB"/>
    <w:rsid w:val="00004564"/>
    <w:rsid w:val="00004A40"/>
    <w:rsid w:val="00007FDD"/>
    <w:rsid w:val="00010215"/>
    <w:rsid w:val="00010A88"/>
    <w:rsid w:val="00011934"/>
    <w:rsid w:val="00011BC1"/>
    <w:rsid w:val="00014128"/>
    <w:rsid w:val="00014131"/>
    <w:rsid w:val="000142D8"/>
    <w:rsid w:val="0001443F"/>
    <w:rsid w:val="00014639"/>
    <w:rsid w:val="00015073"/>
    <w:rsid w:val="00015369"/>
    <w:rsid w:val="00015C4D"/>
    <w:rsid w:val="00015F04"/>
    <w:rsid w:val="000162B6"/>
    <w:rsid w:val="00016791"/>
    <w:rsid w:val="00016E98"/>
    <w:rsid w:val="0001798A"/>
    <w:rsid w:val="00020532"/>
    <w:rsid w:val="000206AF"/>
    <w:rsid w:val="00021640"/>
    <w:rsid w:val="000229FD"/>
    <w:rsid w:val="00023164"/>
    <w:rsid w:val="0002331D"/>
    <w:rsid w:val="00023523"/>
    <w:rsid w:val="000237C4"/>
    <w:rsid w:val="000238DB"/>
    <w:rsid w:val="00023F63"/>
    <w:rsid w:val="000244F8"/>
    <w:rsid w:val="0002455D"/>
    <w:rsid w:val="00024676"/>
    <w:rsid w:val="000270D7"/>
    <w:rsid w:val="00027499"/>
    <w:rsid w:val="000316C1"/>
    <w:rsid w:val="000336DA"/>
    <w:rsid w:val="000340C8"/>
    <w:rsid w:val="00034923"/>
    <w:rsid w:val="00034DE8"/>
    <w:rsid w:val="000367A3"/>
    <w:rsid w:val="0003756D"/>
    <w:rsid w:val="000378C5"/>
    <w:rsid w:val="000379AC"/>
    <w:rsid w:val="00037B19"/>
    <w:rsid w:val="00040D09"/>
    <w:rsid w:val="0004192E"/>
    <w:rsid w:val="00041D16"/>
    <w:rsid w:val="00042022"/>
    <w:rsid w:val="000422BF"/>
    <w:rsid w:val="0004281C"/>
    <w:rsid w:val="00042FD9"/>
    <w:rsid w:val="00043EF5"/>
    <w:rsid w:val="000446F7"/>
    <w:rsid w:val="000448CD"/>
    <w:rsid w:val="0004529D"/>
    <w:rsid w:val="000454C0"/>
    <w:rsid w:val="000455CF"/>
    <w:rsid w:val="00045EE1"/>
    <w:rsid w:val="0004685F"/>
    <w:rsid w:val="00046B1D"/>
    <w:rsid w:val="00050775"/>
    <w:rsid w:val="00051D9B"/>
    <w:rsid w:val="0005239B"/>
    <w:rsid w:val="000528F2"/>
    <w:rsid w:val="00052F1B"/>
    <w:rsid w:val="000535D7"/>
    <w:rsid w:val="0005378E"/>
    <w:rsid w:val="00054C3C"/>
    <w:rsid w:val="0005511B"/>
    <w:rsid w:val="0005575C"/>
    <w:rsid w:val="00057322"/>
    <w:rsid w:val="000575E8"/>
    <w:rsid w:val="00062E51"/>
    <w:rsid w:val="00063067"/>
    <w:rsid w:val="0006319A"/>
    <w:rsid w:val="00063B28"/>
    <w:rsid w:val="00063D49"/>
    <w:rsid w:val="00065165"/>
    <w:rsid w:val="000653A8"/>
    <w:rsid w:val="00065FD8"/>
    <w:rsid w:val="00066821"/>
    <w:rsid w:val="00066860"/>
    <w:rsid w:val="0006702E"/>
    <w:rsid w:val="0006714B"/>
    <w:rsid w:val="000672AC"/>
    <w:rsid w:val="00067E8C"/>
    <w:rsid w:val="00070982"/>
    <w:rsid w:val="00070B71"/>
    <w:rsid w:val="00071007"/>
    <w:rsid w:val="00071318"/>
    <w:rsid w:val="0007168E"/>
    <w:rsid w:val="000728A8"/>
    <w:rsid w:val="000730A4"/>
    <w:rsid w:val="00074C10"/>
    <w:rsid w:val="000751B2"/>
    <w:rsid w:val="00075B61"/>
    <w:rsid w:val="00076B10"/>
    <w:rsid w:val="00077175"/>
    <w:rsid w:val="00080A9D"/>
    <w:rsid w:val="00080ABC"/>
    <w:rsid w:val="000822BF"/>
    <w:rsid w:val="000826B8"/>
    <w:rsid w:val="000835D4"/>
    <w:rsid w:val="0008484F"/>
    <w:rsid w:val="0008558E"/>
    <w:rsid w:val="00085833"/>
    <w:rsid w:val="00086937"/>
    <w:rsid w:val="00086A3B"/>
    <w:rsid w:val="00086DFC"/>
    <w:rsid w:val="00087072"/>
    <w:rsid w:val="00087E1B"/>
    <w:rsid w:val="0009202F"/>
    <w:rsid w:val="0009288C"/>
    <w:rsid w:val="000928D1"/>
    <w:rsid w:val="00094397"/>
    <w:rsid w:val="00095646"/>
    <w:rsid w:val="00095E53"/>
    <w:rsid w:val="000968BC"/>
    <w:rsid w:val="000A06CE"/>
    <w:rsid w:val="000A0D50"/>
    <w:rsid w:val="000A0EAB"/>
    <w:rsid w:val="000A124D"/>
    <w:rsid w:val="000A12CE"/>
    <w:rsid w:val="000A1461"/>
    <w:rsid w:val="000A1E84"/>
    <w:rsid w:val="000A3DFE"/>
    <w:rsid w:val="000A563C"/>
    <w:rsid w:val="000A7629"/>
    <w:rsid w:val="000A76DE"/>
    <w:rsid w:val="000A77D1"/>
    <w:rsid w:val="000A78ED"/>
    <w:rsid w:val="000B18EF"/>
    <w:rsid w:val="000B26F6"/>
    <w:rsid w:val="000B2783"/>
    <w:rsid w:val="000B34AE"/>
    <w:rsid w:val="000B3A3A"/>
    <w:rsid w:val="000B446F"/>
    <w:rsid w:val="000B44B8"/>
    <w:rsid w:val="000B5472"/>
    <w:rsid w:val="000B65D4"/>
    <w:rsid w:val="000B72C1"/>
    <w:rsid w:val="000B7448"/>
    <w:rsid w:val="000B7BA8"/>
    <w:rsid w:val="000C0EDC"/>
    <w:rsid w:val="000C16EA"/>
    <w:rsid w:val="000C17B5"/>
    <w:rsid w:val="000C2D68"/>
    <w:rsid w:val="000C3805"/>
    <w:rsid w:val="000C3A17"/>
    <w:rsid w:val="000C4574"/>
    <w:rsid w:val="000C548A"/>
    <w:rsid w:val="000C54F8"/>
    <w:rsid w:val="000C5DB5"/>
    <w:rsid w:val="000C647E"/>
    <w:rsid w:val="000D0A7A"/>
    <w:rsid w:val="000D0DCF"/>
    <w:rsid w:val="000D13A4"/>
    <w:rsid w:val="000D1F08"/>
    <w:rsid w:val="000D1F23"/>
    <w:rsid w:val="000D26D4"/>
    <w:rsid w:val="000D2911"/>
    <w:rsid w:val="000D2C68"/>
    <w:rsid w:val="000D4016"/>
    <w:rsid w:val="000D40CA"/>
    <w:rsid w:val="000D4253"/>
    <w:rsid w:val="000D4C3A"/>
    <w:rsid w:val="000D5065"/>
    <w:rsid w:val="000D5F15"/>
    <w:rsid w:val="000D6A91"/>
    <w:rsid w:val="000D6B0C"/>
    <w:rsid w:val="000D6E2A"/>
    <w:rsid w:val="000D6F43"/>
    <w:rsid w:val="000E0B20"/>
    <w:rsid w:val="000E0C60"/>
    <w:rsid w:val="000E1319"/>
    <w:rsid w:val="000E1CC6"/>
    <w:rsid w:val="000E5545"/>
    <w:rsid w:val="000E6288"/>
    <w:rsid w:val="000E6483"/>
    <w:rsid w:val="000F021E"/>
    <w:rsid w:val="000F026D"/>
    <w:rsid w:val="000F123C"/>
    <w:rsid w:val="000F1CA2"/>
    <w:rsid w:val="000F2A44"/>
    <w:rsid w:val="000F4D6A"/>
    <w:rsid w:val="000F7712"/>
    <w:rsid w:val="000F7A47"/>
    <w:rsid w:val="001009E3"/>
    <w:rsid w:val="00102DBD"/>
    <w:rsid w:val="001044F3"/>
    <w:rsid w:val="0010503C"/>
    <w:rsid w:val="00105C2B"/>
    <w:rsid w:val="001063A6"/>
    <w:rsid w:val="00107281"/>
    <w:rsid w:val="00107CB4"/>
    <w:rsid w:val="00107DBE"/>
    <w:rsid w:val="00107DC8"/>
    <w:rsid w:val="00107E74"/>
    <w:rsid w:val="0011033F"/>
    <w:rsid w:val="00110965"/>
    <w:rsid w:val="001122B7"/>
    <w:rsid w:val="00112F08"/>
    <w:rsid w:val="0011372F"/>
    <w:rsid w:val="00114E16"/>
    <w:rsid w:val="00115AFC"/>
    <w:rsid w:val="00115DA4"/>
    <w:rsid w:val="00116438"/>
    <w:rsid w:val="00116466"/>
    <w:rsid w:val="00117410"/>
    <w:rsid w:val="00117C93"/>
    <w:rsid w:val="00117FD1"/>
    <w:rsid w:val="00121E26"/>
    <w:rsid w:val="00122AF5"/>
    <w:rsid w:val="00123FAE"/>
    <w:rsid w:val="00127986"/>
    <w:rsid w:val="00127A4C"/>
    <w:rsid w:val="00127A81"/>
    <w:rsid w:val="00127AC3"/>
    <w:rsid w:val="00127BBE"/>
    <w:rsid w:val="00127D05"/>
    <w:rsid w:val="001305F4"/>
    <w:rsid w:val="00130640"/>
    <w:rsid w:val="0013259B"/>
    <w:rsid w:val="00132E42"/>
    <w:rsid w:val="00132E91"/>
    <w:rsid w:val="0013375D"/>
    <w:rsid w:val="001338A3"/>
    <w:rsid w:val="001404A1"/>
    <w:rsid w:val="001404A9"/>
    <w:rsid w:val="00140CE0"/>
    <w:rsid w:val="00140EE7"/>
    <w:rsid w:val="001417FC"/>
    <w:rsid w:val="00141A43"/>
    <w:rsid w:val="00141FF4"/>
    <w:rsid w:val="001420DC"/>
    <w:rsid w:val="00144107"/>
    <w:rsid w:val="00144308"/>
    <w:rsid w:val="001447E2"/>
    <w:rsid w:val="00144C52"/>
    <w:rsid w:val="001457FA"/>
    <w:rsid w:val="001479F5"/>
    <w:rsid w:val="00150819"/>
    <w:rsid w:val="00150D4B"/>
    <w:rsid w:val="00151917"/>
    <w:rsid w:val="001519F9"/>
    <w:rsid w:val="00152350"/>
    <w:rsid w:val="0015555B"/>
    <w:rsid w:val="00155A82"/>
    <w:rsid w:val="00155C3D"/>
    <w:rsid w:val="00156DD2"/>
    <w:rsid w:val="001571F3"/>
    <w:rsid w:val="00157E3B"/>
    <w:rsid w:val="00162C9C"/>
    <w:rsid w:val="00163C04"/>
    <w:rsid w:val="001650A5"/>
    <w:rsid w:val="001655AB"/>
    <w:rsid w:val="00165769"/>
    <w:rsid w:val="001712AF"/>
    <w:rsid w:val="00172A27"/>
    <w:rsid w:val="00172A7A"/>
    <w:rsid w:val="001730C0"/>
    <w:rsid w:val="00175751"/>
    <w:rsid w:val="00175826"/>
    <w:rsid w:val="001762FF"/>
    <w:rsid w:val="00176FA3"/>
    <w:rsid w:val="0017778E"/>
    <w:rsid w:val="00180895"/>
    <w:rsid w:val="00182D48"/>
    <w:rsid w:val="0018344B"/>
    <w:rsid w:val="001835F6"/>
    <w:rsid w:val="001850C4"/>
    <w:rsid w:val="001858C2"/>
    <w:rsid w:val="00185A5D"/>
    <w:rsid w:val="001909B5"/>
    <w:rsid w:val="00191610"/>
    <w:rsid w:val="00196485"/>
    <w:rsid w:val="00196A28"/>
    <w:rsid w:val="00196C36"/>
    <w:rsid w:val="001A0630"/>
    <w:rsid w:val="001A1BC9"/>
    <w:rsid w:val="001A42E4"/>
    <w:rsid w:val="001A456E"/>
    <w:rsid w:val="001A461C"/>
    <w:rsid w:val="001A50ED"/>
    <w:rsid w:val="001A768C"/>
    <w:rsid w:val="001A7B91"/>
    <w:rsid w:val="001B14E9"/>
    <w:rsid w:val="001B15D7"/>
    <w:rsid w:val="001B2580"/>
    <w:rsid w:val="001B2A61"/>
    <w:rsid w:val="001B3D80"/>
    <w:rsid w:val="001B4CF4"/>
    <w:rsid w:val="001B4E50"/>
    <w:rsid w:val="001B55B3"/>
    <w:rsid w:val="001B77A9"/>
    <w:rsid w:val="001C293E"/>
    <w:rsid w:val="001C2E31"/>
    <w:rsid w:val="001C30BA"/>
    <w:rsid w:val="001C322A"/>
    <w:rsid w:val="001C3A5C"/>
    <w:rsid w:val="001C3BF9"/>
    <w:rsid w:val="001C51B4"/>
    <w:rsid w:val="001C5FF6"/>
    <w:rsid w:val="001C6356"/>
    <w:rsid w:val="001D0015"/>
    <w:rsid w:val="001D09C2"/>
    <w:rsid w:val="001D1F31"/>
    <w:rsid w:val="001D2C4B"/>
    <w:rsid w:val="001D2E43"/>
    <w:rsid w:val="001D3F52"/>
    <w:rsid w:val="001D45D9"/>
    <w:rsid w:val="001D5F6E"/>
    <w:rsid w:val="001D6318"/>
    <w:rsid w:val="001D724F"/>
    <w:rsid w:val="001D7393"/>
    <w:rsid w:val="001D7EDF"/>
    <w:rsid w:val="001E0118"/>
    <w:rsid w:val="001E0904"/>
    <w:rsid w:val="001E09EB"/>
    <w:rsid w:val="001E1B6D"/>
    <w:rsid w:val="001E2405"/>
    <w:rsid w:val="001E2C78"/>
    <w:rsid w:val="001E2F92"/>
    <w:rsid w:val="001E6FAB"/>
    <w:rsid w:val="001E7CC1"/>
    <w:rsid w:val="001F0DA4"/>
    <w:rsid w:val="001F2668"/>
    <w:rsid w:val="001F2832"/>
    <w:rsid w:val="001F4E11"/>
    <w:rsid w:val="001F4E5A"/>
    <w:rsid w:val="001F5C08"/>
    <w:rsid w:val="001F6003"/>
    <w:rsid w:val="001F6CDF"/>
    <w:rsid w:val="001F710A"/>
    <w:rsid w:val="001F7B9E"/>
    <w:rsid w:val="001F7D02"/>
    <w:rsid w:val="00200DA4"/>
    <w:rsid w:val="002019C7"/>
    <w:rsid w:val="00201ADA"/>
    <w:rsid w:val="002021EC"/>
    <w:rsid w:val="00203238"/>
    <w:rsid w:val="00204403"/>
    <w:rsid w:val="00205ACE"/>
    <w:rsid w:val="00206C99"/>
    <w:rsid w:val="0020745E"/>
    <w:rsid w:val="002077EC"/>
    <w:rsid w:val="00207DF6"/>
    <w:rsid w:val="002105CE"/>
    <w:rsid w:val="00210B15"/>
    <w:rsid w:val="00211FB8"/>
    <w:rsid w:val="002127CE"/>
    <w:rsid w:val="00212C85"/>
    <w:rsid w:val="002134EE"/>
    <w:rsid w:val="00213994"/>
    <w:rsid w:val="002141AB"/>
    <w:rsid w:val="002156BD"/>
    <w:rsid w:val="00215C33"/>
    <w:rsid w:val="0021636E"/>
    <w:rsid w:val="002167C1"/>
    <w:rsid w:val="00216CCF"/>
    <w:rsid w:val="00216D92"/>
    <w:rsid w:val="00217053"/>
    <w:rsid w:val="00217E54"/>
    <w:rsid w:val="002208ED"/>
    <w:rsid w:val="00220CE7"/>
    <w:rsid w:val="00220FEC"/>
    <w:rsid w:val="00222618"/>
    <w:rsid w:val="002241B4"/>
    <w:rsid w:val="002245D0"/>
    <w:rsid w:val="00224621"/>
    <w:rsid w:val="00224835"/>
    <w:rsid w:val="00224E89"/>
    <w:rsid w:val="0022513E"/>
    <w:rsid w:val="00225674"/>
    <w:rsid w:val="00226514"/>
    <w:rsid w:val="00226703"/>
    <w:rsid w:val="00226813"/>
    <w:rsid w:val="0022756D"/>
    <w:rsid w:val="00227ED3"/>
    <w:rsid w:val="0023217A"/>
    <w:rsid w:val="002326AC"/>
    <w:rsid w:val="002328BA"/>
    <w:rsid w:val="00232BB2"/>
    <w:rsid w:val="00232CC0"/>
    <w:rsid w:val="00233456"/>
    <w:rsid w:val="002337C3"/>
    <w:rsid w:val="00233E1D"/>
    <w:rsid w:val="002348AB"/>
    <w:rsid w:val="00234C74"/>
    <w:rsid w:val="002350DE"/>
    <w:rsid w:val="0023705B"/>
    <w:rsid w:val="00241839"/>
    <w:rsid w:val="00241B23"/>
    <w:rsid w:val="0024214A"/>
    <w:rsid w:val="00243FB0"/>
    <w:rsid w:val="002448BA"/>
    <w:rsid w:val="00244A0F"/>
    <w:rsid w:val="00246392"/>
    <w:rsid w:val="002475F2"/>
    <w:rsid w:val="00250468"/>
    <w:rsid w:val="0025078A"/>
    <w:rsid w:val="00250A4B"/>
    <w:rsid w:val="00250AC0"/>
    <w:rsid w:val="002519E2"/>
    <w:rsid w:val="002529D3"/>
    <w:rsid w:val="002533C0"/>
    <w:rsid w:val="0025384F"/>
    <w:rsid w:val="002540FB"/>
    <w:rsid w:val="0025496A"/>
    <w:rsid w:val="00256C8C"/>
    <w:rsid w:val="0026020C"/>
    <w:rsid w:val="00260E9D"/>
    <w:rsid w:val="002621C8"/>
    <w:rsid w:val="0026256E"/>
    <w:rsid w:val="00262641"/>
    <w:rsid w:val="002632AD"/>
    <w:rsid w:val="0026330B"/>
    <w:rsid w:val="00263CE2"/>
    <w:rsid w:val="002645D9"/>
    <w:rsid w:val="00265F51"/>
    <w:rsid w:val="00267BB9"/>
    <w:rsid w:val="00270C1D"/>
    <w:rsid w:val="00273354"/>
    <w:rsid w:val="00274C65"/>
    <w:rsid w:val="00274D41"/>
    <w:rsid w:val="00276626"/>
    <w:rsid w:val="00276C2B"/>
    <w:rsid w:val="002771B6"/>
    <w:rsid w:val="0027724E"/>
    <w:rsid w:val="00280B23"/>
    <w:rsid w:val="00280CAD"/>
    <w:rsid w:val="002812C3"/>
    <w:rsid w:val="002814C0"/>
    <w:rsid w:val="0028156F"/>
    <w:rsid w:val="00281C5E"/>
    <w:rsid w:val="00282850"/>
    <w:rsid w:val="00282F80"/>
    <w:rsid w:val="00283998"/>
    <w:rsid w:val="002854D2"/>
    <w:rsid w:val="0028610B"/>
    <w:rsid w:val="00286146"/>
    <w:rsid w:val="002861A2"/>
    <w:rsid w:val="00286C08"/>
    <w:rsid w:val="0028709A"/>
    <w:rsid w:val="00290313"/>
    <w:rsid w:val="0029082A"/>
    <w:rsid w:val="00290999"/>
    <w:rsid w:val="00291BB8"/>
    <w:rsid w:val="00293093"/>
    <w:rsid w:val="00293322"/>
    <w:rsid w:val="00293704"/>
    <w:rsid w:val="00293B13"/>
    <w:rsid w:val="002941D5"/>
    <w:rsid w:val="00295AA8"/>
    <w:rsid w:val="00295C12"/>
    <w:rsid w:val="00295E45"/>
    <w:rsid w:val="00296FAA"/>
    <w:rsid w:val="0029736A"/>
    <w:rsid w:val="002976E2"/>
    <w:rsid w:val="00297F83"/>
    <w:rsid w:val="002A0175"/>
    <w:rsid w:val="002A223F"/>
    <w:rsid w:val="002A2B9E"/>
    <w:rsid w:val="002A2FF9"/>
    <w:rsid w:val="002A31A3"/>
    <w:rsid w:val="002A3A73"/>
    <w:rsid w:val="002A4DAB"/>
    <w:rsid w:val="002A5447"/>
    <w:rsid w:val="002A7933"/>
    <w:rsid w:val="002A7FA5"/>
    <w:rsid w:val="002B029F"/>
    <w:rsid w:val="002B02A0"/>
    <w:rsid w:val="002B1465"/>
    <w:rsid w:val="002B1787"/>
    <w:rsid w:val="002B1C25"/>
    <w:rsid w:val="002B2089"/>
    <w:rsid w:val="002B2689"/>
    <w:rsid w:val="002B2C27"/>
    <w:rsid w:val="002B3103"/>
    <w:rsid w:val="002B3352"/>
    <w:rsid w:val="002B458D"/>
    <w:rsid w:val="002B4783"/>
    <w:rsid w:val="002B4B47"/>
    <w:rsid w:val="002B570D"/>
    <w:rsid w:val="002B5713"/>
    <w:rsid w:val="002B5B83"/>
    <w:rsid w:val="002B6800"/>
    <w:rsid w:val="002B6EA3"/>
    <w:rsid w:val="002C07D4"/>
    <w:rsid w:val="002C0FEF"/>
    <w:rsid w:val="002C288F"/>
    <w:rsid w:val="002C375D"/>
    <w:rsid w:val="002C4800"/>
    <w:rsid w:val="002C4AA3"/>
    <w:rsid w:val="002C667A"/>
    <w:rsid w:val="002C7114"/>
    <w:rsid w:val="002D0139"/>
    <w:rsid w:val="002D075F"/>
    <w:rsid w:val="002D2BEC"/>
    <w:rsid w:val="002D2E68"/>
    <w:rsid w:val="002D3857"/>
    <w:rsid w:val="002D3DDE"/>
    <w:rsid w:val="002D4850"/>
    <w:rsid w:val="002D4B79"/>
    <w:rsid w:val="002D4C2E"/>
    <w:rsid w:val="002D4D19"/>
    <w:rsid w:val="002D5EE6"/>
    <w:rsid w:val="002D5F58"/>
    <w:rsid w:val="002D5FB6"/>
    <w:rsid w:val="002D7109"/>
    <w:rsid w:val="002D718E"/>
    <w:rsid w:val="002E0288"/>
    <w:rsid w:val="002E0587"/>
    <w:rsid w:val="002E0DDB"/>
    <w:rsid w:val="002E18B8"/>
    <w:rsid w:val="002E37EC"/>
    <w:rsid w:val="002E3A91"/>
    <w:rsid w:val="002E3BA2"/>
    <w:rsid w:val="002E5940"/>
    <w:rsid w:val="002E6286"/>
    <w:rsid w:val="002E639B"/>
    <w:rsid w:val="002E67FF"/>
    <w:rsid w:val="002E6E90"/>
    <w:rsid w:val="002E7349"/>
    <w:rsid w:val="002E74A0"/>
    <w:rsid w:val="002F1837"/>
    <w:rsid w:val="002F2ECE"/>
    <w:rsid w:val="002F2FB6"/>
    <w:rsid w:val="002F39E5"/>
    <w:rsid w:val="002F4459"/>
    <w:rsid w:val="002F4B93"/>
    <w:rsid w:val="002F5E70"/>
    <w:rsid w:val="002F6864"/>
    <w:rsid w:val="002F7841"/>
    <w:rsid w:val="002F7D67"/>
    <w:rsid w:val="00300A1B"/>
    <w:rsid w:val="00301944"/>
    <w:rsid w:val="00301C39"/>
    <w:rsid w:val="00301D8E"/>
    <w:rsid w:val="00303313"/>
    <w:rsid w:val="00303898"/>
    <w:rsid w:val="00305482"/>
    <w:rsid w:val="00306405"/>
    <w:rsid w:val="00306649"/>
    <w:rsid w:val="003078A6"/>
    <w:rsid w:val="00307AB2"/>
    <w:rsid w:val="003109D4"/>
    <w:rsid w:val="00311328"/>
    <w:rsid w:val="00311DB4"/>
    <w:rsid w:val="0031250A"/>
    <w:rsid w:val="003128F4"/>
    <w:rsid w:val="0031415A"/>
    <w:rsid w:val="003144BC"/>
    <w:rsid w:val="00314AC3"/>
    <w:rsid w:val="00314BC5"/>
    <w:rsid w:val="00315E45"/>
    <w:rsid w:val="00316886"/>
    <w:rsid w:val="00317172"/>
    <w:rsid w:val="0032337F"/>
    <w:rsid w:val="00323AEF"/>
    <w:rsid w:val="00324652"/>
    <w:rsid w:val="00324A8B"/>
    <w:rsid w:val="00324EEC"/>
    <w:rsid w:val="0032532C"/>
    <w:rsid w:val="00325C7B"/>
    <w:rsid w:val="003271CE"/>
    <w:rsid w:val="0033110E"/>
    <w:rsid w:val="003315B5"/>
    <w:rsid w:val="003315DD"/>
    <w:rsid w:val="00331A68"/>
    <w:rsid w:val="00333401"/>
    <w:rsid w:val="00334410"/>
    <w:rsid w:val="003371E1"/>
    <w:rsid w:val="0034036C"/>
    <w:rsid w:val="00340EF8"/>
    <w:rsid w:val="00343873"/>
    <w:rsid w:val="00343A34"/>
    <w:rsid w:val="00343ED8"/>
    <w:rsid w:val="003444E1"/>
    <w:rsid w:val="00345229"/>
    <w:rsid w:val="00345585"/>
    <w:rsid w:val="0034673C"/>
    <w:rsid w:val="0034754D"/>
    <w:rsid w:val="00347AA3"/>
    <w:rsid w:val="003501D9"/>
    <w:rsid w:val="00350420"/>
    <w:rsid w:val="003513A6"/>
    <w:rsid w:val="0035200C"/>
    <w:rsid w:val="0035238A"/>
    <w:rsid w:val="003534A5"/>
    <w:rsid w:val="00353F0D"/>
    <w:rsid w:val="00355BE4"/>
    <w:rsid w:val="00356129"/>
    <w:rsid w:val="00356165"/>
    <w:rsid w:val="00356E19"/>
    <w:rsid w:val="00357410"/>
    <w:rsid w:val="003601C9"/>
    <w:rsid w:val="00361552"/>
    <w:rsid w:val="00361849"/>
    <w:rsid w:val="0036193F"/>
    <w:rsid w:val="00361DC5"/>
    <w:rsid w:val="003620A9"/>
    <w:rsid w:val="003629C5"/>
    <w:rsid w:val="00363190"/>
    <w:rsid w:val="003642A6"/>
    <w:rsid w:val="003643D2"/>
    <w:rsid w:val="00367CE2"/>
    <w:rsid w:val="0037009D"/>
    <w:rsid w:val="003705B5"/>
    <w:rsid w:val="00370BC4"/>
    <w:rsid w:val="00371612"/>
    <w:rsid w:val="00371790"/>
    <w:rsid w:val="003717B0"/>
    <w:rsid w:val="0037294C"/>
    <w:rsid w:val="003729B4"/>
    <w:rsid w:val="0037306D"/>
    <w:rsid w:val="00373AAD"/>
    <w:rsid w:val="00374AEC"/>
    <w:rsid w:val="00376B16"/>
    <w:rsid w:val="003770B9"/>
    <w:rsid w:val="003774B5"/>
    <w:rsid w:val="003774F1"/>
    <w:rsid w:val="003779AD"/>
    <w:rsid w:val="00377A14"/>
    <w:rsid w:val="003819D8"/>
    <w:rsid w:val="00382421"/>
    <w:rsid w:val="003830F3"/>
    <w:rsid w:val="003838A4"/>
    <w:rsid w:val="00384CF8"/>
    <w:rsid w:val="003874A1"/>
    <w:rsid w:val="00391659"/>
    <w:rsid w:val="0039178F"/>
    <w:rsid w:val="00391E97"/>
    <w:rsid w:val="003923F8"/>
    <w:rsid w:val="00392F1E"/>
    <w:rsid w:val="003938A8"/>
    <w:rsid w:val="00393A78"/>
    <w:rsid w:val="00393C09"/>
    <w:rsid w:val="00393F7F"/>
    <w:rsid w:val="0039485D"/>
    <w:rsid w:val="00394F78"/>
    <w:rsid w:val="00396BC5"/>
    <w:rsid w:val="003974C4"/>
    <w:rsid w:val="00397505"/>
    <w:rsid w:val="0039769C"/>
    <w:rsid w:val="003A1D01"/>
    <w:rsid w:val="003A1D41"/>
    <w:rsid w:val="003A266E"/>
    <w:rsid w:val="003A3D05"/>
    <w:rsid w:val="003A642D"/>
    <w:rsid w:val="003A674E"/>
    <w:rsid w:val="003A6FA6"/>
    <w:rsid w:val="003A79EC"/>
    <w:rsid w:val="003A7CBF"/>
    <w:rsid w:val="003B015C"/>
    <w:rsid w:val="003B09C2"/>
    <w:rsid w:val="003B1360"/>
    <w:rsid w:val="003B14BD"/>
    <w:rsid w:val="003B2EC3"/>
    <w:rsid w:val="003B48F3"/>
    <w:rsid w:val="003B613D"/>
    <w:rsid w:val="003B792E"/>
    <w:rsid w:val="003B7951"/>
    <w:rsid w:val="003B7EAA"/>
    <w:rsid w:val="003C1773"/>
    <w:rsid w:val="003C1E47"/>
    <w:rsid w:val="003C394C"/>
    <w:rsid w:val="003C3DF1"/>
    <w:rsid w:val="003C403E"/>
    <w:rsid w:val="003C512E"/>
    <w:rsid w:val="003C5896"/>
    <w:rsid w:val="003C63E6"/>
    <w:rsid w:val="003C6F04"/>
    <w:rsid w:val="003C7250"/>
    <w:rsid w:val="003C7C91"/>
    <w:rsid w:val="003D04D6"/>
    <w:rsid w:val="003D1CD9"/>
    <w:rsid w:val="003D47E5"/>
    <w:rsid w:val="003D56E0"/>
    <w:rsid w:val="003E0281"/>
    <w:rsid w:val="003E1A49"/>
    <w:rsid w:val="003E1FE8"/>
    <w:rsid w:val="003E2556"/>
    <w:rsid w:val="003E3718"/>
    <w:rsid w:val="003E3E75"/>
    <w:rsid w:val="003E4307"/>
    <w:rsid w:val="003E43B3"/>
    <w:rsid w:val="003E448A"/>
    <w:rsid w:val="003E4CD9"/>
    <w:rsid w:val="003E53EF"/>
    <w:rsid w:val="003E611B"/>
    <w:rsid w:val="003E61BD"/>
    <w:rsid w:val="003F081F"/>
    <w:rsid w:val="003F111A"/>
    <w:rsid w:val="003F13FF"/>
    <w:rsid w:val="003F14BA"/>
    <w:rsid w:val="003F27E8"/>
    <w:rsid w:val="003F2B22"/>
    <w:rsid w:val="003F3851"/>
    <w:rsid w:val="003F3C7D"/>
    <w:rsid w:val="003F6AA4"/>
    <w:rsid w:val="003F6AC6"/>
    <w:rsid w:val="003F6C3C"/>
    <w:rsid w:val="003F7169"/>
    <w:rsid w:val="003F7284"/>
    <w:rsid w:val="00400679"/>
    <w:rsid w:val="004012DE"/>
    <w:rsid w:val="00401A53"/>
    <w:rsid w:val="00401D32"/>
    <w:rsid w:val="00402053"/>
    <w:rsid w:val="004027AE"/>
    <w:rsid w:val="00403E54"/>
    <w:rsid w:val="00403FDB"/>
    <w:rsid w:val="004044AE"/>
    <w:rsid w:val="00404750"/>
    <w:rsid w:val="00404F2A"/>
    <w:rsid w:val="00406015"/>
    <w:rsid w:val="00406795"/>
    <w:rsid w:val="00406B66"/>
    <w:rsid w:val="00406C81"/>
    <w:rsid w:val="00407EC8"/>
    <w:rsid w:val="004108A7"/>
    <w:rsid w:val="00410DB1"/>
    <w:rsid w:val="0041123B"/>
    <w:rsid w:val="004117C4"/>
    <w:rsid w:val="00412387"/>
    <w:rsid w:val="00412609"/>
    <w:rsid w:val="00412A2B"/>
    <w:rsid w:val="00412F92"/>
    <w:rsid w:val="00414A4B"/>
    <w:rsid w:val="00415470"/>
    <w:rsid w:val="00415E5C"/>
    <w:rsid w:val="004163FD"/>
    <w:rsid w:val="00420282"/>
    <w:rsid w:val="004202CF"/>
    <w:rsid w:val="0042095B"/>
    <w:rsid w:val="0042096B"/>
    <w:rsid w:val="0042125F"/>
    <w:rsid w:val="00421807"/>
    <w:rsid w:val="00421BE3"/>
    <w:rsid w:val="00422D62"/>
    <w:rsid w:val="0042375E"/>
    <w:rsid w:val="004240DD"/>
    <w:rsid w:val="00424831"/>
    <w:rsid w:val="00425BA4"/>
    <w:rsid w:val="00425F93"/>
    <w:rsid w:val="004268F1"/>
    <w:rsid w:val="0043056A"/>
    <w:rsid w:val="00430CC9"/>
    <w:rsid w:val="004346B4"/>
    <w:rsid w:val="00434D2F"/>
    <w:rsid w:val="004356C6"/>
    <w:rsid w:val="00435DB4"/>
    <w:rsid w:val="00436826"/>
    <w:rsid w:val="0044000F"/>
    <w:rsid w:val="00440887"/>
    <w:rsid w:val="00440B50"/>
    <w:rsid w:val="00441006"/>
    <w:rsid w:val="0044199C"/>
    <w:rsid w:val="0044268F"/>
    <w:rsid w:val="00442CC6"/>
    <w:rsid w:val="00442DC5"/>
    <w:rsid w:val="00442E3C"/>
    <w:rsid w:val="00443C0F"/>
    <w:rsid w:val="00444074"/>
    <w:rsid w:val="004449B8"/>
    <w:rsid w:val="00450CDC"/>
    <w:rsid w:val="0045246E"/>
    <w:rsid w:val="00452783"/>
    <w:rsid w:val="00453221"/>
    <w:rsid w:val="004532CB"/>
    <w:rsid w:val="0045372C"/>
    <w:rsid w:val="00453C76"/>
    <w:rsid w:val="00453D3C"/>
    <w:rsid w:val="004543F1"/>
    <w:rsid w:val="00456660"/>
    <w:rsid w:val="00456B56"/>
    <w:rsid w:val="004602CD"/>
    <w:rsid w:val="00461088"/>
    <w:rsid w:val="004615C2"/>
    <w:rsid w:val="0046184D"/>
    <w:rsid w:val="00461DD7"/>
    <w:rsid w:val="004623EA"/>
    <w:rsid w:val="00462446"/>
    <w:rsid w:val="004636E5"/>
    <w:rsid w:val="00463850"/>
    <w:rsid w:val="00463FC7"/>
    <w:rsid w:val="004652F4"/>
    <w:rsid w:val="00465A6B"/>
    <w:rsid w:val="0046659A"/>
    <w:rsid w:val="00466C5F"/>
    <w:rsid w:val="00467148"/>
    <w:rsid w:val="00467533"/>
    <w:rsid w:val="0047118D"/>
    <w:rsid w:val="00471C80"/>
    <w:rsid w:val="00472001"/>
    <w:rsid w:val="0047277C"/>
    <w:rsid w:val="00473F56"/>
    <w:rsid w:val="00476586"/>
    <w:rsid w:val="00476A03"/>
    <w:rsid w:val="00476A36"/>
    <w:rsid w:val="00476F44"/>
    <w:rsid w:val="00477194"/>
    <w:rsid w:val="00480112"/>
    <w:rsid w:val="00480199"/>
    <w:rsid w:val="00480BDA"/>
    <w:rsid w:val="00481C67"/>
    <w:rsid w:val="004821F7"/>
    <w:rsid w:val="00483D88"/>
    <w:rsid w:val="00486418"/>
    <w:rsid w:val="004865EF"/>
    <w:rsid w:val="004878A7"/>
    <w:rsid w:val="00487B1C"/>
    <w:rsid w:val="004919C0"/>
    <w:rsid w:val="00491C3C"/>
    <w:rsid w:val="00493597"/>
    <w:rsid w:val="0049392A"/>
    <w:rsid w:val="004942BB"/>
    <w:rsid w:val="00494C55"/>
    <w:rsid w:val="0049526A"/>
    <w:rsid w:val="004974E9"/>
    <w:rsid w:val="004A0A92"/>
    <w:rsid w:val="004A19EC"/>
    <w:rsid w:val="004A3915"/>
    <w:rsid w:val="004A548E"/>
    <w:rsid w:val="004A5911"/>
    <w:rsid w:val="004B0930"/>
    <w:rsid w:val="004B0B3C"/>
    <w:rsid w:val="004B1B05"/>
    <w:rsid w:val="004B1EC0"/>
    <w:rsid w:val="004B25E5"/>
    <w:rsid w:val="004B2716"/>
    <w:rsid w:val="004B32B1"/>
    <w:rsid w:val="004B412F"/>
    <w:rsid w:val="004B6648"/>
    <w:rsid w:val="004B6BE6"/>
    <w:rsid w:val="004B6F03"/>
    <w:rsid w:val="004B713E"/>
    <w:rsid w:val="004B7FC4"/>
    <w:rsid w:val="004C0655"/>
    <w:rsid w:val="004C09D6"/>
    <w:rsid w:val="004C0F6F"/>
    <w:rsid w:val="004C1344"/>
    <w:rsid w:val="004C13BF"/>
    <w:rsid w:val="004C3807"/>
    <w:rsid w:val="004C43A0"/>
    <w:rsid w:val="004C54EF"/>
    <w:rsid w:val="004C618F"/>
    <w:rsid w:val="004C651D"/>
    <w:rsid w:val="004C73A1"/>
    <w:rsid w:val="004C7858"/>
    <w:rsid w:val="004D0550"/>
    <w:rsid w:val="004D138F"/>
    <w:rsid w:val="004D152C"/>
    <w:rsid w:val="004D25EB"/>
    <w:rsid w:val="004D31F5"/>
    <w:rsid w:val="004D336E"/>
    <w:rsid w:val="004D3CDD"/>
    <w:rsid w:val="004D3EF0"/>
    <w:rsid w:val="004D44C1"/>
    <w:rsid w:val="004D4B44"/>
    <w:rsid w:val="004D57E2"/>
    <w:rsid w:val="004D5DA5"/>
    <w:rsid w:val="004E0226"/>
    <w:rsid w:val="004E0CF7"/>
    <w:rsid w:val="004E14EE"/>
    <w:rsid w:val="004E4123"/>
    <w:rsid w:val="004E442D"/>
    <w:rsid w:val="004E4616"/>
    <w:rsid w:val="004E588E"/>
    <w:rsid w:val="004F00A2"/>
    <w:rsid w:val="004F2817"/>
    <w:rsid w:val="004F31A2"/>
    <w:rsid w:val="004F4418"/>
    <w:rsid w:val="004F4922"/>
    <w:rsid w:val="004F5458"/>
    <w:rsid w:val="004F5723"/>
    <w:rsid w:val="004F58AE"/>
    <w:rsid w:val="004F625D"/>
    <w:rsid w:val="004F76F1"/>
    <w:rsid w:val="005005EB"/>
    <w:rsid w:val="005005F7"/>
    <w:rsid w:val="00500806"/>
    <w:rsid w:val="00501305"/>
    <w:rsid w:val="00504270"/>
    <w:rsid w:val="00505104"/>
    <w:rsid w:val="00506F17"/>
    <w:rsid w:val="00511212"/>
    <w:rsid w:val="0051199F"/>
    <w:rsid w:val="00511B46"/>
    <w:rsid w:val="00513452"/>
    <w:rsid w:val="00515759"/>
    <w:rsid w:val="00515C10"/>
    <w:rsid w:val="00515E88"/>
    <w:rsid w:val="0051612A"/>
    <w:rsid w:val="00516893"/>
    <w:rsid w:val="005170C7"/>
    <w:rsid w:val="0052147F"/>
    <w:rsid w:val="005215D6"/>
    <w:rsid w:val="00522063"/>
    <w:rsid w:val="005237BB"/>
    <w:rsid w:val="00524F29"/>
    <w:rsid w:val="00525221"/>
    <w:rsid w:val="00525760"/>
    <w:rsid w:val="00525A47"/>
    <w:rsid w:val="005261D7"/>
    <w:rsid w:val="00526DD1"/>
    <w:rsid w:val="005273AF"/>
    <w:rsid w:val="005279DC"/>
    <w:rsid w:val="005315A6"/>
    <w:rsid w:val="00531935"/>
    <w:rsid w:val="0053348A"/>
    <w:rsid w:val="0053375D"/>
    <w:rsid w:val="00533C39"/>
    <w:rsid w:val="00533DA1"/>
    <w:rsid w:val="0053404A"/>
    <w:rsid w:val="0053404F"/>
    <w:rsid w:val="00535430"/>
    <w:rsid w:val="005376BA"/>
    <w:rsid w:val="005377EB"/>
    <w:rsid w:val="00537A43"/>
    <w:rsid w:val="00540A85"/>
    <w:rsid w:val="00540B2A"/>
    <w:rsid w:val="005420D8"/>
    <w:rsid w:val="00542ADD"/>
    <w:rsid w:val="00542D40"/>
    <w:rsid w:val="0054343B"/>
    <w:rsid w:val="005443CF"/>
    <w:rsid w:val="00544B97"/>
    <w:rsid w:val="00544C87"/>
    <w:rsid w:val="00546555"/>
    <w:rsid w:val="00546F1B"/>
    <w:rsid w:val="00547FEC"/>
    <w:rsid w:val="005507F4"/>
    <w:rsid w:val="005518AC"/>
    <w:rsid w:val="00551CDA"/>
    <w:rsid w:val="00551ED4"/>
    <w:rsid w:val="005524D1"/>
    <w:rsid w:val="005527DE"/>
    <w:rsid w:val="0055322E"/>
    <w:rsid w:val="00560DCC"/>
    <w:rsid w:val="00560E2A"/>
    <w:rsid w:val="00561782"/>
    <w:rsid w:val="00562903"/>
    <w:rsid w:val="00562EE0"/>
    <w:rsid w:val="005634C6"/>
    <w:rsid w:val="00563D31"/>
    <w:rsid w:val="00564095"/>
    <w:rsid w:val="00564F5C"/>
    <w:rsid w:val="005653DE"/>
    <w:rsid w:val="00565496"/>
    <w:rsid w:val="00566BCB"/>
    <w:rsid w:val="00572272"/>
    <w:rsid w:val="00572D22"/>
    <w:rsid w:val="00573520"/>
    <w:rsid w:val="005740EC"/>
    <w:rsid w:val="00574DA7"/>
    <w:rsid w:val="005758BF"/>
    <w:rsid w:val="00577456"/>
    <w:rsid w:val="005779BC"/>
    <w:rsid w:val="00577A4A"/>
    <w:rsid w:val="00577D5E"/>
    <w:rsid w:val="00581259"/>
    <w:rsid w:val="005816AB"/>
    <w:rsid w:val="00583B94"/>
    <w:rsid w:val="00585402"/>
    <w:rsid w:val="00585A91"/>
    <w:rsid w:val="005862A9"/>
    <w:rsid w:val="00590066"/>
    <w:rsid w:val="00591765"/>
    <w:rsid w:val="00591E41"/>
    <w:rsid w:val="00591FF9"/>
    <w:rsid w:val="00592087"/>
    <w:rsid w:val="005920EB"/>
    <w:rsid w:val="00592556"/>
    <w:rsid w:val="00594804"/>
    <w:rsid w:val="005948AE"/>
    <w:rsid w:val="005955B4"/>
    <w:rsid w:val="005A0AEB"/>
    <w:rsid w:val="005A128B"/>
    <w:rsid w:val="005A2F4A"/>
    <w:rsid w:val="005A4534"/>
    <w:rsid w:val="005A50E2"/>
    <w:rsid w:val="005B0485"/>
    <w:rsid w:val="005B09A6"/>
    <w:rsid w:val="005B0CD9"/>
    <w:rsid w:val="005B1256"/>
    <w:rsid w:val="005B13EE"/>
    <w:rsid w:val="005B159C"/>
    <w:rsid w:val="005B2595"/>
    <w:rsid w:val="005B2C31"/>
    <w:rsid w:val="005B2E4B"/>
    <w:rsid w:val="005B3581"/>
    <w:rsid w:val="005B35EB"/>
    <w:rsid w:val="005B614A"/>
    <w:rsid w:val="005B72FC"/>
    <w:rsid w:val="005B74C8"/>
    <w:rsid w:val="005C1D71"/>
    <w:rsid w:val="005C20C9"/>
    <w:rsid w:val="005C2A5E"/>
    <w:rsid w:val="005C2CEF"/>
    <w:rsid w:val="005C2D60"/>
    <w:rsid w:val="005C36C7"/>
    <w:rsid w:val="005C3EB7"/>
    <w:rsid w:val="005C5FF2"/>
    <w:rsid w:val="005C644A"/>
    <w:rsid w:val="005C652E"/>
    <w:rsid w:val="005C6B78"/>
    <w:rsid w:val="005C72CF"/>
    <w:rsid w:val="005C73FA"/>
    <w:rsid w:val="005C7635"/>
    <w:rsid w:val="005C77EF"/>
    <w:rsid w:val="005C7DBD"/>
    <w:rsid w:val="005D0195"/>
    <w:rsid w:val="005D2492"/>
    <w:rsid w:val="005D2907"/>
    <w:rsid w:val="005D3633"/>
    <w:rsid w:val="005D455F"/>
    <w:rsid w:val="005D47D7"/>
    <w:rsid w:val="005D5634"/>
    <w:rsid w:val="005D7D62"/>
    <w:rsid w:val="005E0C8F"/>
    <w:rsid w:val="005E0DD3"/>
    <w:rsid w:val="005E126E"/>
    <w:rsid w:val="005E2A13"/>
    <w:rsid w:val="005E2FA0"/>
    <w:rsid w:val="005E305F"/>
    <w:rsid w:val="005E3700"/>
    <w:rsid w:val="005E3EEE"/>
    <w:rsid w:val="005E4F21"/>
    <w:rsid w:val="005E50FD"/>
    <w:rsid w:val="005E6007"/>
    <w:rsid w:val="005E6753"/>
    <w:rsid w:val="005E74BE"/>
    <w:rsid w:val="005E77C0"/>
    <w:rsid w:val="005F1CD7"/>
    <w:rsid w:val="005F2D4F"/>
    <w:rsid w:val="005F2FD7"/>
    <w:rsid w:val="005F3976"/>
    <w:rsid w:val="005F409E"/>
    <w:rsid w:val="005F57D3"/>
    <w:rsid w:val="005F59A3"/>
    <w:rsid w:val="005F682E"/>
    <w:rsid w:val="00600A3C"/>
    <w:rsid w:val="00600CF3"/>
    <w:rsid w:val="006038F1"/>
    <w:rsid w:val="00604A8B"/>
    <w:rsid w:val="00604E70"/>
    <w:rsid w:val="006061FA"/>
    <w:rsid w:val="00610585"/>
    <w:rsid w:val="00611093"/>
    <w:rsid w:val="00612360"/>
    <w:rsid w:val="00612F79"/>
    <w:rsid w:val="00615453"/>
    <w:rsid w:val="00615965"/>
    <w:rsid w:val="00615BE0"/>
    <w:rsid w:val="00615D76"/>
    <w:rsid w:val="00616161"/>
    <w:rsid w:val="00617133"/>
    <w:rsid w:val="00617A55"/>
    <w:rsid w:val="00620433"/>
    <w:rsid w:val="006224C5"/>
    <w:rsid w:val="006230DB"/>
    <w:rsid w:val="00623394"/>
    <w:rsid w:val="006261F5"/>
    <w:rsid w:val="0062639D"/>
    <w:rsid w:val="00626EA4"/>
    <w:rsid w:val="00627187"/>
    <w:rsid w:val="00627279"/>
    <w:rsid w:val="00627C0B"/>
    <w:rsid w:val="00630314"/>
    <w:rsid w:val="006303A1"/>
    <w:rsid w:val="00630AFC"/>
    <w:rsid w:val="0063305E"/>
    <w:rsid w:val="00634938"/>
    <w:rsid w:val="00634B1E"/>
    <w:rsid w:val="00634F3E"/>
    <w:rsid w:val="0063552C"/>
    <w:rsid w:val="006355FE"/>
    <w:rsid w:val="00635967"/>
    <w:rsid w:val="00635E0C"/>
    <w:rsid w:val="0063745E"/>
    <w:rsid w:val="006400C8"/>
    <w:rsid w:val="006419F3"/>
    <w:rsid w:val="006428B4"/>
    <w:rsid w:val="00642FDD"/>
    <w:rsid w:val="00643134"/>
    <w:rsid w:val="00643831"/>
    <w:rsid w:val="00644051"/>
    <w:rsid w:val="00644497"/>
    <w:rsid w:val="00644B34"/>
    <w:rsid w:val="00645D1E"/>
    <w:rsid w:val="00645DB6"/>
    <w:rsid w:val="00647D21"/>
    <w:rsid w:val="00650718"/>
    <w:rsid w:val="00650B77"/>
    <w:rsid w:val="006512C0"/>
    <w:rsid w:val="006512CA"/>
    <w:rsid w:val="00651767"/>
    <w:rsid w:val="006519FA"/>
    <w:rsid w:val="00652ADD"/>
    <w:rsid w:val="00654997"/>
    <w:rsid w:val="00654B50"/>
    <w:rsid w:val="00654F18"/>
    <w:rsid w:val="00655AC3"/>
    <w:rsid w:val="00655D4D"/>
    <w:rsid w:val="006563F5"/>
    <w:rsid w:val="00656511"/>
    <w:rsid w:val="006578A4"/>
    <w:rsid w:val="00657912"/>
    <w:rsid w:val="006608E2"/>
    <w:rsid w:val="00661658"/>
    <w:rsid w:val="00661C26"/>
    <w:rsid w:val="006625A1"/>
    <w:rsid w:val="00663110"/>
    <w:rsid w:val="0066404E"/>
    <w:rsid w:val="00664C74"/>
    <w:rsid w:val="00665010"/>
    <w:rsid w:val="006653B6"/>
    <w:rsid w:val="00666352"/>
    <w:rsid w:val="0066654A"/>
    <w:rsid w:val="00670787"/>
    <w:rsid w:val="006714DE"/>
    <w:rsid w:val="006715E4"/>
    <w:rsid w:val="006716E2"/>
    <w:rsid w:val="00671B3C"/>
    <w:rsid w:val="006723BE"/>
    <w:rsid w:val="00672CEB"/>
    <w:rsid w:val="006730D5"/>
    <w:rsid w:val="006732A4"/>
    <w:rsid w:val="00673592"/>
    <w:rsid w:val="006739F8"/>
    <w:rsid w:val="00673ADC"/>
    <w:rsid w:val="00674B91"/>
    <w:rsid w:val="00674D5E"/>
    <w:rsid w:val="00675EF5"/>
    <w:rsid w:val="00681D24"/>
    <w:rsid w:val="006821EC"/>
    <w:rsid w:val="00682468"/>
    <w:rsid w:val="00682C01"/>
    <w:rsid w:val="00682DA1"/>
    <w:rsid w:val="00683898"/>
    <w:rsid w:val="006840C3"/>
    <w:rsid w:val="00684452"/>
    <w:rsid w:val="00684B29"/>
    <w:rsid w:val="00685514"/>
    <w:rsid w:val="00685757"/>
    <w:rsid w:val="006871DF"/>
    <w:rsid w:val="00694995"/>
    <w:rsid w:val="00694AE4"/>
    <w:rsid w:val="0069533C"/>
    <w:rsid w:val="00696415"/>
    <w:rsid w:val="0069679E"/>
    <w:rsid w:val="006967D3"/>
    <w:rsid w:val="006A07E7"/>
    <w:rsid w:val="006A3C71"/>
    <w:rsid w:val="006A406F"/>
    <w:rsid w:val="006A455C"/>
    <w:rsid w:val="006A55FF"/>
    <w:rsid w:val="006A6442"/>
    <w:rsid w:val="006A64B1"/>
    <w:rsid w:val="006A7556"/>
    <w:rsid w:val="006A7B9A"/>
    <w:rsid w:val="006A7E25"/>
    <w:rsid w:val="006B0B89"/>
    <w:rsid w:val="006B22EC"/>
    <w:rsid w:val="006B2ED4"/>
    <w:rsid w:val="006B31FB"/>
    <w:rsid w:val="006B338D"/>
    <w:rsid w:val="006B50CF"/>
    <w:rsid w:val="006B526C"/>
    <w:rsid w:val="006B58F2"/>
    <w:rsid w:val="006B5F91"/>
    <w:rsid w:val="006B6C64"/>
    <w:rsid w:val="006B7020"/>
    <w:rsid w:val="006B761D"/>
    <w:rsid w:val="006B7BF9"/>
    <w:rsid w:val="006C017D"/>
    <w:rsid w:val="006C0DED"/>
    <w:rsid w:val="006C4F73"/>
    <w:rsid w:val="006C60FD"/>
    <w:rsid w:val="006C61D3"/>
    <w:rsid w:val="006C75D6"/>
    <w:rsid w:val="006D0530"/>
    <w:rsid w:val="006D1026"/>
    <w:rsid w:val="006D288C"/>
    <w:rsid w:val="006D390B"/>
    <w:rsid w:val="006D4FDF"/>
    <w:rsid w:val="006D5BA2"/>
    <w:rsid w:val="006D704C"/>
    <w:rsid w:val="006D7643"/>
    <w:rsid w:val="006E06B5"/>
    <w:rsid w:val="006E0E22"/>
    <w:rsid w:val="006E20E8"/>
    <w:rsid w:val="006E2685"/>
    <w:rsid w:val="006E277D"/>
    <w:rsid w:val="006E3385"/>
    <w:rsid w:val="006E5D43"/>
    <w:rsid w:val="006E679C"/>
    <w:rsid w:val="006E6A24"/>
    <w:rsid w:val="006F08F4"/>
    <w:rsid w:val="006F1433"/>
    <w:rsid w:val="006F14D0"/>
    <w:rsid w:val="006F1915"/>
    <w:rsid w:val="006F218D"/>
    <w:rsid w:val="006F2E4F"/>
    <w:rsid w:val="006F36BC"/>
    <w:rsid w:val="006F3B9D"/>
    <w:rsid w:val="006F41BA"/>
    <w:rsid w:val="006F44D3"/>
    <w:rsid w:val="006F5929"/>
    <w:rsid w:val="00700B04"/>
    <w:rsid w:val="007030BB"/>
    <w:rsid w:val="00703336"/>
    <w:rsid w:val="007037A3"/>
    <w:rsid w:val="00703DDB"/>
    <w:rsid w:val="00704851"/>
    <w:rsid w:val="00704AA9"/>
    <w:rsid w:val="00706E56"/>
    <w:rsid w:val="00707509"/>
    <w:rsid w:val="0070757E"/>
    <w:rsid w:val="0071064E"/>
    <w:rsid w:val="0071068A"/>
    <w:rsid w:val="00710978"/>
    <w:rsid w:val="007109F2"/>
    <w:rsid w:val="00711141"/>
    <w:rsid w:val="00711C85"/>
    <w:rsid w:val="00711E41"/>
    <w:rsid w:val="00712F42"/>
    <w:rsid w:val="00712F99"/>
    <w:rsid w:val="00713D5C"/>
    <w:rsid w:val="00716948"/>
    <w:rsid w:val="00717AC8"/>
    <w:rsid w:val="00717B16"/>
    <w:rsid w:val="00717F75"/>
    <w:rsid w:val="0072020A"/>
    <w:rsid w:val="00721667"/>
    <w:rsid w:val="007234FA"/>
    <w:rsid w:val="00723AB9"/>
    <w:rsid w:val="00724556"/>
    <w:rsid w:val="0072493A"/>
    <w:rsid w:val="00724D4D"/>
    <w:rsid w:val="00725309"/>
    <w:rsid w:val="00726B1C"/>
    <w:rsid w:val="00726FE2"/>
    <w:rsid w:val="00727521"/>
    <w:rsid w:val="00727AD2"/>
    <w:rsid w:val="00730518"/>
    <w:rsid w:val="00730524"/>
    <w:rsid w:val="00731D0F"/>
    <w:rsid w:val="00732416"/>
    <w:rsid w:val="00732511"/>
    <w:rsid w:val="00733308"/>
    <w:rsid w:val="00734C2F"/>
    <w:rsid w:val="00734CE5"/>
    <w:rsid w:val="00736688"/>
    <w:rsid w:val="00736A5C"/>
    <w:rsid w:val="00740443"/>
    <w:rsid w:val="00741DB6"/>
    <w:rsid w:val="007420AF"/>
    <w:rsid w:val="00742262"/>
    <w:rsid w:val="0074235B"/>
    <w:rsid w:val="00744235"/>
    <w:rsid w:val="00744472"/>
    <w:rsid w:val="007446C6"/>
    <w:rsid w:val="007446EA"/>
    <w:rsid w:val="00745021"/>
    <w:rsid w:val="00745203"/>
    <w:rsid w:val="007454A2"/>
    <w:rsid w:val="00745665"/>
    <w:rsid w:val="0074579E"/>
    <w:rsid w:val="00745F41"/>
    <w:rsid w:val="007472CC"/>
    <w:rsid w:val="00747707"/>
    <w:rsid w:val="00751F38"/>
    <w:rsid w:val="00752AB2"/>
    <w:rsid w:val="00753D2C"/>
    <w:rsid w:val="0075684D"/>
    <w:rsid w:val="00757696"/>
    <w:rsid w:val="00757916"/>
    <w:rsid w:val="007601BC"/>
    <w:rsid w:val="00761473"/>
    <w:rsid w:val="00762D86"/>
    <w:rsid w:val="0076360F"/>
    <w:rsid w:val="007639C5"/>
    <w:rsid w:val="00764209"/>
    <w:rsid w:val="00764D6B"/>
    <w:rsid w:val="00765948"/>
    <w:rsid w:val="0076750E"/>
    <w:rsid w:val="00767CA0"/>
    <w:rsid w:val="00770693"/>
    <w:rsid w:val="00770B81"/>
    <w:rsid w:val="00771C4F"/>
    <w:rsid w:val="00771E95"/>
    <w:rsid w:val="00772256"/>
    <w:rsid w:val="00772EAB"/>
    <w:rsid w:val="0077445A"/>
    <w:rsid w:val="007744C4"/>
    <w:rsid w:val="00774949"/>
    <w:rsid w:val="00774C45"/>
    <w:rsid w:val="00775027"/>
    <w:rsid w:val="007751B7"/>
    <w:rsid w:val="007764E2"/>
    <w:rsid w:val="0078006C"/>
    <w:rsid w:val="0078039F"/>
    <w:rsid w:val="00782596"/>
    <w:rsid w:val="00782654"/>
    <w:rsid w:val="00783E7F"/>
    <w:rsid w:val="00786AC7"/>
    <w:rsid w:val="00787628"/>
    <w:rsid w:val="007925C4"/>
    <w:rsid w:val="00792732"/>
    <w:rsid w:val="00793804"/>
    <w:rsid w:val="00793B7B"/>
    <w:rsid w:val="00793D5E"/>
    <w:rsid w:val="00793D81"/>
    <w:rsid w:val="007947CD"/>
    <w:rsid w:val="00794876"/>
    <w:rsid w:val="00794EA0"/>
    <w:rsid w:val="00794FBD"/>
    <w:rsid w:val="00796DAD"/>
    <w:rsid w:val="007A1001"/>
    <w:rsid w:val="007A58AD"/>
    <w:rsid w:val="007A6C23"/>
    <w:rsid w:val="007A71AA"/>
    <w:rsid w:val="007A722F"/>
    <w:rsid w:val="007A7BF9"/>
    <w:rsid w:val="007A7F52"/>
    <w:rsid w:val="007B07CC"/>
    <w:rsid w:val="007B0960"/>
    <w:rsid w:val="007B1BDC"/>
    <w:rsid w:val="007B3CCC"/>
    <w:rsid w:val="007B56AA"/>
    <w:rsid w:val="007B572E"/>
    <w:rsid w:val="007B6A4B"/>
    <w:rsid w:val="007B6B57"/>
    <w:rsid w:val="007C0CE2"/>
    <w:rsid w:val="007C144F"/>
    <w:rsid w:val="007C1E00"/>
    <w:rsid w:val="007C3D35"/>
    <w:rsid w:val="007C4D96"/>
    <w:rsid w:val="007C51F9"/>
    <w:rsid w:val="007C5BBA"/>
    <w:rsid w:val="007C71B1"/>
    <w:rsid w:val="007C7673"/>
    <w:rsid w:val="007C78F4"/>
    <w:rsid w:val="007D2D03"/>
    <w:rsid w:val="007D4367"/>
    <w:rsid w:val="007D62E5"/>
    <w:rsid w:val="007D6CC8"/>
    <w:rsid w:val="007D73FE"/>
    <w:rsid w:val="007D7ACE"/>
    <w:rsid w:val="007E05DF"/>
    <w:rsid w:val="007E0FFB"/>
    <w:rsid w:val="007E1AF9"/>
    <w:rsid w:val="007E271B"/>
    <w:rsid w:val="007E2B7F"/>
    <w:rsid w:val="007E301A"/>
    <w:rsid w:val="007E34FB"/>
    <w:rsid w:val="007E3779"/>
    <w:rsid w:val="007E3CCB"/>
    <w:rsid w:val="007E4ACF"/>
    <w:rsid w:val="007E4D9A"/>
    <w:rsid w:val="007E54C1"/>
    <w:rsid w:val="007E573C"/>
    <w:rsid w:val="007E6611"/>
    <w:rsid w:val="007E6813"/>
    <w:rsid w:val="007E7E59"/>
    <w:rsid w:val="007F0627"/>
    <w:rsid w:val="007F1A55"/>
    <w:rsid w:val="007F3526"/>
    <w:rsid w:val="007F38F7"/>
    <w:rsid w:val="007F4BF2"/>
    <w:rsid w:val="007F6344"/>
    <w:rsid w:val="007F799F"/>
    <w:rsid w:val="00801478"/>
    <w:rsid w:val="00801649"/>
    <w:rsid w:val="00802338"/>
    <w:rsid w:val="008024EE"/>
    <w:rsid w:val="0080274E"/>
    <w:rsid w:val="00803769"/>
    <w:rsid w:val="008047F4"/>
    <w:rsid w:val="008055D6"/>
    <w:rsid w:val="00805640"/>
    <w:rsid w:val="008057D6"/>
    <w:rsid w:val="008065A9"/>
    <w:rsid w:val="008079E0"/>
    <w:rsid w:val="00811C26"/>
    <w:rsid w:val="00811EED"/>
    <w:rsid w:val="008126AD"/>
    <w:rsid w:val="00814469"/>
    <w:rsid w:val="0081572E"/>
    <w:rsid w:val="00815F7E"/>
    <w:rsid w:val="00816E86"/>
    <w:rsid w:val="008173B2"/>
    <w:rsid w:val="00817655"/>
    <w:rsid w:val="008176C8"/>
    <w:rsid w:val="00817D13"/>
    <w:rsid w:val="0082082B"/>
    <w:rsid w:val="00821821"/>
    <w:rsid w:val="00822DE2"/>
    <w:rsid w:val="0082314D"/>
    <w:rsid w:val="008232DE"/>
    <w:rsid w:val="00823DE2"/>
    <w:rsid w:val="008240BA"/>
    <w:rsid w:val="008244DC"/>
    <w:rsid w:val="00824AFE"/>
    <w:rsid w:val="008264DC"/>
    <w:rsid w:val="00827400"/>
    <w:rsid w:val="00830000"/>
    <w:rsid w:val="0083021D"/>
    <w:rsid w:val="00833651"/>
    <w:rsid w:val="00833929"/>
    <w:rsid w:val="00834247"/>
    <w:rsid w:val="0083427D"/>
    <w:rsid w:val="0083437B"/>
    <w:rsid w:val="00834B4C"/>
    <w:rsid w:val="00834DF1"/>
    <w:rsid w:val="00834FE3"/>
    <w:rsid w:val="00835D77"/>
    <w:rsid w:val="008364D4"/>
    <w:rsid w:val="00836B80"/>
    <w:rsid w:val="00840BA0"/>
    <w:rsid w:val="00842207"/>
    <w:rsid w:val="00842289"/>
    <w:rsid w:val="008426FB"/>
    <w:rsid w:val="00844169"/>
    <w:rsid w:val="00844250"/>
    <w:rsid w:val="00844E7B"/>
    <w:rsid w:val="00845C27"/>
    <w:rsid w:val="0084685D"/>
    <w:rsid w:val="00850918"/>
    <w:rsid w:val="00850FB0"/>
    <w:rsid w:val="008533FB"/>
    <w:rsid w:val="00853E14"/>
    <w:rsid w:val="00854747"/>
    <w:rsid w:val="00856CA9"/>
    <w:rsid w:val="00856EF0"/>
    <w:rsid w:val="00857274"/>
    <w:rsid w:val="00857BC1"/>
    <w:rsid w:val="00857C32"/>
    <w:rsid w:val="00860975"/>
    <w:rsid w:val="008612F7"/>
    <w:rsid w:val="00861964"/>
    <w:rsid w:val="0086276F"/>
    <w:rsid w:val="00864285"/>
    <w:rsid w:val="00867A6F"/>
    <w:rsid w:val="00867E33"/>
    <w:rsid w:val="00867E5C"/>
    <w:rsid w:val="00867E91"/>
    <w:rsid w:val="00870317"/>
    <w:rsid w:val="008706BF"/>
    <w:rsid w:val="008721A5"/>
    <w:rsid w:val="00872873"/>
    <w:rsid w:val="00872A03"/>
    <w:rsid w:val="00875043"/>
    <w:rsid w:val="00875152"/>
    <w:rsid w:val="008757BB"/>
    <w:rsid w:val="00875AFC"/>
    <w:rsid w:val="00880474"/>
    <w:rsid w:val="0088136B"/>
    <w:rsid w:val="00881445"/>
    <w:rsid w:val="0088166E"/>
    <w:rsid w:val="0088195B"/>
    <w:rsid w:val="0088240E"/>
    <w:rsid w:val="00883012"/>
    <w:rsid w:val="00884104"/>
    <w:rsid w:val="00884194"/>
    <w:rsid w:val="00885B6D"/>
    <w:rsid w:val="008906E4"/>
    <w:rsid w:val="0089083B"/>
    <w:rsid w:val="00891205"/>
    <w:rsid w:val="00891D1E"/>
    <w:rsid w:val="00892EF0"/>
    <w:rsid w:val="00893270"/>
    <w:rsid w:val="00893B92"/>
    <w:rsid w:val="00894656"/>
    <w:rsid w:val="00894B76"/>
    <w:rsid w:val="008963A5"/>
    <w:rsid w:val="00896DFC"/>
    <w:rsid w:val="00897B59"/>
    <w:rsid w:val="00897DDE"/>
    <w:rsid w:val="00897E27"/>
    <w:rsid w:val="008A0884"/>
    <w:rsid w:val="008A0CFA"/>
    <w:rsid w:val="008A2B6E"/>
    <w:rsid w:val="008A3058"/>
    <w:rsid w:val="008A3E6A"/>
    <w:rsid w:val="008A3E72"/>
    <w:rsid w:val="008A40A8"/>
    <w:rsid w:val="008A43FE"/>
    <w:rsid w:val="008A4B0D"/>
    <w:rsid w:val="008A4F80"/>
    <w:rsid w:val="008A5325"/>
    <w:rsid w:val="008A5A5D"/>
    <w:rsid w:val="008B02FC"/>
    <w:rsid w:val="008B051E"/>
    <w:rsid w:val="008B0A38"/>
    <w:rsid w:val="008B0E7E"/>
    <w:rsid w:val="008B2DB8"/>
    <w:rsid w:val="008B2F74"/>
    <w:rsid w:val="008B3140"/>
    <w:rsid w:val="008B4FA3"/>
    <w:rsid w:val="008B7E6C"/>
    <w:rsid w:val="008C2139"/>
    <w:rsid w:val="008C258A"/>
    <w:rsid w:val="008C2A63"/>
    <w:rsid w:val="008C30A3"/>
    <w:rsid w:val="008C30BC"/>
    <w:rsid w:val="008C4AD3"/>
    <w:rsid w:val="008C63D4"/>
    <w:rsid w:val="008C6AA1"/>
    <w:rsid w:val="008C6DA2"/>
    <w:rsid w:val="008C7ADF"/>
    <w:rsid w:val="008D04C8"/>
    <w:rsid w:val="008D09D6"/>
    <w:rsid w:val="008D0EA4"/>
    <w:rsid w:val="008D1ABF"/>
    <w:rsid w:val="008D23AE"/>
    <w:rsid w:val="008D253E"/>
    <w:rsid w:val="008D2619"/>
    <w:rsid w:val="008D3A97"/>
    <w:rsid w:val="008D57D1"/>
    <w:rsid w:val="008D5C2E"/>
    <w:rsid w:val="008D5C4B"/>
    <w:rsid w:val="008D66E6"/>
    <w:rsid w:val="008D6A49"/>
    <w:rsid w:val="008D6E0E"/>
    <w:rsid w:val="008D714B"/>
    <w:rsid w:val="008D7E5B"/>
    <w:rsid w:val="008E03E6"/>
    <w:rsid w:val="008E094A"/>
    <w:rsid w:val="008E0A3C"/>
    <w:rsid w:val="008E0D32"/>
    <w:rsid w:val="008E11CD"/>
    <w:rsid w:val="008E3F5B"/>
    <w:rsid w:val="008E4DCE"/>
    <w:rsid w:val="008E5251"/>
    <w:rsid w:val="008E57BA"/>
    <w:rsid w:val="008E5AB1"/>
    <w:rsid w:val="008E5BD8"/>
    <w:rsid w:val="008E61E7"/>
    <w:rsid w:val="008E733A"/>
    <w:rsid w:val="008E7832"/>
    <w:rsid w:val="008F0F54"/>
    <w:rsid w:val="008F0F9F"/>
    <w:rsid w:val="008F151D"/>
    <w:rsid w:val="008F2419"/>
    <w:rsid w:val="008F2C09"/>
    <w:rsid w:val="008F2D11"/>
    <w:rsid w:val="008F31DD"/>
    <w:rsid w:val="008F5273"/>
    <w:rsid w:val="008F55FA"/>
    <w:rsid w:val="008F6068"/>
    <w:rsid w:val="008F693A"/>
    <w:rsid w:val="008F7562"/>
    <w:rsid w:val="008F78F4"/>
    <w:rsid w:val="008F7E1D"/>
    <w:rsid w:val="00900ED8"/>
    <w:rsid w:val="00902006"/>
    <w:rsid w:val="009021AA"/>
    <w:rsid w:val="00902793"/>
    <w:rsid w:val="00902878"/>
    <w:rsid w:val="009031FF"/>
    <w:rsid w:val="009048B4"/>
    <w:rsid w:val="009053A8"/>
    <w:rsid w:val="009102C9"/>
    <w:rsid w:val="0091048F"/>
    <w:rsid w:val="00911203"/>
    <w:rsid w:val="00911258"/>
    <w:rsid w:val="009119DF"/>
    <w:rsid w:val="00912ECE"/>
    <w:rsid w:val="0091305D"/>
    <w:rsid w:val="0091328B"/>
    <w:rsid w:val="0091360A"/>
    <w:rsid w:val="00915F41"/>
    <w:rsid w:val="00916985"/>
    <w:rsid w:val="00920017"/>
    <w:rsid w:val="009201E7"/>
    <w:rsid w:val="00920750"/>
    <w:rsid w:val="00921EFE"/>
    <w:rsid w:val="009220AE"/>
    <w:rsid w:val="00922FF6"/>
    <w:rsid w:val="00923954"/>
    <w:rsid w:val="00923CDA"/>
    <w:rsid w:val="00924DD4"/>
    <w:rsid w:val="00925B9F"/>
    <w:rsid w:val="0092609C"/>
    <w:rsid w:val="009262F7"/>
    <w:rsid w:val="009265D2"/>
    <w:rsid w:val="00926BF3"/>
    <w:rsid w:val="00927021"/>
    <w:rsid w:val="009274CA"/>
    <w:rsid w:val="0092784C"/>
    <w:rsid w:val="00930676"/>
    <w:rsid w:val="009317C7"/>
    <w:rsid w:val="00931ADB"/>
    <w:rsid w:val="009322B1"/>
    <w:rsid w:val="00936C96"/>
    <w:rsid w:val="00936CC2"/>
    <w:rsid w:val="00936E92"/>
    <w:rsid w:val="00937407"/>
    <w:rsid w:val="0093766E"/>
    <w:rsid w:val="0093771D"/>
    <w:rsid w:val="00937743"/>
    <w:rsid w:val="00943202"/>
    <w:rsid w:val="00943205"/>
    <w:rsid w:val="00943283"/>
    <w:rsid w:val="009440B1"/>
    <w:rsid w:val="009448A9"/>
    <w:rsid w:val="00944A52"/>
    <w:rsid w:val="00944B46"/>
    <w:rsid w:val="0094682A"/>
    <w:rsid w:val="00950C92"/>
    <w:rsid w:val="00950EDD"/>
    <w:rsid w:val="009515E4"/>
    <w:rsid w:val="00953119"/>
    <w:rsid w:val="0095384B"/>
    <w:rsid w:val="00954DD4"/>
    <w:rsid w:val="00955218"/>
    <w:rsid w:val="00955371"/>
    <w:rsid w:val="009557A8"/>
    <w:rsid w:val="00956FB9"/>
    <w:rsid w:val="00957373"/>
    <w:rsid w:val="009575A1"/>
    <w:rsid w:val="00960454"/>
    <w:rsid w:val="00960479"/>
    <w:rsid w:val="009608BA"/>
    <w:rsid w:val="00961121"/>
    <w:rsid w:val="00961301"/>
    <w:rsid w:val="009618CB"/>
    <w:rsid w:val="00962217"/>
    <w:rsid w:val="00962874"/>
    <w:rsid w:val="00962EA8"/>
    <w:rsid w:val="00963E4D"/>
    <w:rsid w:val="009643D6"/>
    <w:rsid w:val="00964649"/>
    <w:rsid w:val="009652C1"/>
    <w:rsid w:val="0096530F"/>
    <w:rsid w:val="009657F4"/>
    <w:rsid w:val="00966BA4"/>
    <w:rsid w:val="00967370"/>
    <w:rsid w:val="0097172E"/>
    <w:rsid w:val="009726AD"/>
    <w:rsid w:val="00972CD5"/>
    <w:rsid w:val="009751A9"/>
    <w:rsid w:val="00975B46"/>
    <w:rsid w:val="0097621B"/>
    <w:rsid w:val="009777BB"/>
    <w:rsid w:val="009819D0"/>
    <w:rsid w:val="0098211A"/>
    <w:rsid w:val="0098227E"/>
    <w:rsid w:val="00983015"/>
    <w:rsid w:val="009830F1"/>
    <w:rsid w:val="00984D5B"/>
    <w:rsid w:val="00985C6C"/>
    <w:rsid w:val="00985D82"/>
    <w:rsid w:val="00991902"/>
    <w:rsid w:val="00992956"/>
    <w:rsid w:val="00993B71"/>
    <w:rsid w:val="00993CE1"/>
    <w:rsid w:val="00994698"/>
    <w:rsid w:val="009946F1"/>
    <w:rsid w:val="009958A4"/>
    <w:rsid w:val="00997543"/>
    <w:rsid w:val="00997C62"/>
    <w:rsid w:val="009A0136"/>
    <w:rsid w:val="009A147C"/>
    <w:rsid w:val="009A161C"/>
    <w:rsid w:val="009A168B"/>
    <w:rsid w:val="009A195C"/>
    <w:rsid w:val="009A1BEF"/>
    <w:rsid w:val="009A1F47"/>
    <w:rsid w:val="009A229C"/>
    <w:rsid w:val="009A3973"/>
    <w:rsid w:val="009A43CB"/>
    <w:rsid w:val="009A5855"/>
    <w:rsid w:val="009A60D0"/>
    <w:rsid w:val="009A6134"/>
    <w:rsid w:val="009A6C10"/>
    <w:rsid w:val="009A6EBC"/>
    <w:rsid w:val="009A6EEA"/>
    <w:rsid w:val="009A6F08"/>
    <w:rsid w:val="009A7B86"/>
    <w:rsid w:val="009B2AC0"/>
    <w:rsid w:val="009B2B3F"/>
    <w:rsid w:val="009B32D3"/>
    <w:rsid w:val="009B3579"/>
    <w:rsid w:val="009B43E1"/>
    <w:rsid w:val="009B4A29"/>
    <w:rsid w:val="009B564D"/>
    <w:rsid w:val="009B5CD3"/>
    <w:rsid w:val="009B6546"/>
    <w:rsid w:val="009C058C"/>
    <w:rsid w:val="009C0D33"/>
    <w:rsid w:val="009C1C6A"/>
    <w:rsid w:val="009C3417"/>
    <w:rsid w:val="009C5462"/>
    <w:rsid w:val="009C6D3D"/>
    <w:rsid w:val="009C7F8D"/>
    <w:rsid w:val="009D1206"/>
    <w:rsid w:val="009D223F"/>
    <w:rsid w:val="009D400E"/>
    <w:rsid w:val="009D57B3"/>
    <w:rsid w:val="009D582F"/>
    <w:rsid w:val="009D6A22"/>
    <w:rsid w:val="009D6F7E"/>
    <w:rsid w:val="009E23C4"/>
    <w:rsid w:val="009E26E2"/>
    <w:rsid w:val="009E4CA8"/>
    <w:rsid w:val="009E5074"/>
    <w:rsid w:val="009E5DCD"/>
    <w:rsid w:val="009E652B"/>
    <w:rsid w:val="009E6901"/>
    <w:rsid w:val="009E7F43"/>
    <w:rsid w:val="009F215F"/>
    <w:rsid w:val="009F274E"/>
    <w:rsid w:val="009F2817"/>
    <w:rsid w:val="009F51F6"/>
    <w:rsid w:val="009F5DDA"/>
    <w:rsid w:val="009F5F36"/>
    <w:rsid w:val="009F615A"/>
    <w:rsid w:val="00A0055E"/>
    <w:rsid w:val="00A00620"/>
    <w:rsid w:val="00A00C13"/>
    <w:rsid w:val="00A00F16"/>
    <w:rsid w:val="00A01619"/>
    <w:rsid w:val="00A01FBA"/>
    <w:rsid w:val="00A0202F"/>
    <w:rsid w:val="00A02B0A"/>
    <w:rsid w:val="00A02DCF"/>
    <w:rsid w:val="00A047C6"/>
    <w:rsid w:val="00A04EE2"/>
    <w:rsid w:val="00A058BB"/>
    <w:rsid w:val="00A067EB"/>
    <w:rsid w:val="00A06924"/>
    <w:rsid w:val="00A07856"/>
    <w:rsid w:val="00A10269"/>
    <w:rsid w:val="00A102C2"/>
    <w:rsid w:val="00A103AB"/>
    <w:rsid w:val="00A10B87"/>
    <w:rsid w:val="00A120B4"/>
    <w:rsid w:val="00A12C6C"/>
    <w:rsid w:val="00A137CD"/>
    <w:rsid w:val="00A147FD"/>
    <w:rsid w:val="00A15B96"/>
    <w:rsid w:val="00A15CB1"/>
    <w:rsid w:val="00A178EC"/>
    <w:rsid w:val="00A17C08"/>
    <w:rsid w:val="00A20260"/>
    <w:rsid w:val="00A21E4D"/>
    <w:rsid w:val="00A21EF6"/>
    <w:rsid w:val="00A225AA"/>
    <w:rsid w:val="00A22BDB"/>
    <w:rsid w:val="00A249DC"/>
    <w:rsid w:val="00A24DC1"/>
    <w:rsid w:val="00A25124"/>
    <w:rsid w:val="00A26574"/>
    <w:rsid w:val="00A2664E"/>
    <w:rsid w:val="00A268EF"/>
    <w:rsid w:val="00A27DB3"/>
    <w:rsid w:val="00A309F3"/>
    <w:rsid w:val="00A31284"/>
    <w:rsid w:val="00A318BA"/>
    <w:rsid w:val="00A31C3C"/>
    <w:rsid w:val="00A320C5"/>
    <w:rsid w:val="00A32472"/>
    <w:rsid w:val="00A32720"/>
    <w:rsid w:val="00A32B52"/>
    <w:rsid w:val="00A32D2C"/>
    <w:rsid w:val="00A3344C"/>
    <w:rsid w:val="00A35140"/>
    <w:rsid w:val="00A3640F"/>
    <w:rsid w:val="00A36671"/>
    <w:rsid w:val="00A36798"/>
    <w:rsid w:val="00A3752B"/>
    <w:rsid w:val="00A37846"/>
    <w:rsid w:val="00A37A6B"/>
    <w:rsid w:val="00A37CB1"/>
    <w:rsid w:val="00A37E05"/>
    <w:rsid w:val="00A40F48"/>
    <w:rsid w:val="00A414F6"/>
    <w:rsid w:val="00A4222E"/>
    <w:rsid w:val="00A424C9"/>
    <w:rsid w:val="00A427AF"/>
    <w:rsid w:val="00A4307F"/>
    <w:rsid w:val="00A442DF"/>
    <w:rsid w:val="00A44E43"/>
    <w:rsid w:val="00A45A04"/>
    <w:rsid w:val="00A5035E"/>
    <w:rsid w:val="00A503C9"/>
    <w:rsid w:val="00A504DA"/>
    <w:rsid w:val="00A506A2"/>
    <w:rsid w:val="00A52139"/>
    <w:rsid w:val="00A53B5A"/>
    <w:rsid w:val="00A53E1A"/>
    <w:rsid w:val="00A548D7"/>
    <w:rsid w:val="00A55012"/>
    <w:rsid w:val="00A56DF8"/>
    <w:rsid w:val="00A573E8"/>
    <w:rsid w:val="00A57BE9"/>
    <w:rsid w:val="00A608A7"/>
    <w:rsid w:val="00A629C4"/>
    <w:rsid w:val="00A629D8"/>
    <w:rsid w:val="00A62F65"/>
    <w:rsid w:val="00A63AD8"/>
    <w:rsid w:val="00A63E3F"/>
    <w:rsid w:val="00A65755"/>
    <w:rsid w:val="00A65CB5"/>
    <w:rsid w:val="00A666B9"/>
    <w:rsid w:val="00A6712C"/>
    <w:rsid w:val="00A70CFE"/>
    <w:rsid w:val="00A71E73"/>
    <w:rsid w:val="00A734FD"/>
    <w:rsid w:val="00A7449F"/>
    <w:rsid w:val="00A747B1"/>
    <w:rsid w:val="00A74DBC"/>
    <w:rsid w:val="00A766A9"/>
    <w:rsid w:val="00A81201"/>
    <w:rsid w:val="00A82F97"/>
    <w:rsid w:val="00A8423D"/>
    <w:rsid w:val="00A84655"/>
    <w:rsid w:val="00A8542B"/>
    <w:rsid w:val="00A85516"/>
    <w:rsid w:val="00A86180"/>
    <w:rsid w:val="00A86682"/>
    <w:rsid w:val="00A870B1"/>
    <w:rsid w:val="00A87B68"/>
    <w:rsid w:val="00A9019C"/>
    <w:rsid w:val="00A907AE"/>
    <w:rsid w:val="00A907C4"/>
    <w:rsid w:val="00A90BEE"/>
    <w:rsid w:val="00A920B3"/>
    <w:rsid w:val="00A9239A"/>
    <w:rsid w:val="00A93B2C"/>
    <w:rsid w:val="00A94955"/>
    <w:rsid w:val="00A952FF"/>
    <w:rsid w:val="00A96234"/>
    <w:rsid w:val="00A96763"/>
    <w:rsid w:val="00A96936"/>
    <w:rsid w:val="00A97B0C"/>
    <w:rsid w:val="00AA13AF"/>
    <w:rsid w:val="00AA237D"/>
    <w:rsid w:val="00AA43C1"/>
    <w:rsid w:val="00AA4545"/>
    <w:rsid w:val="00AA643B"/>
    <w:rsid w:val="00AA68D6"/>
    <w:rsid w:val="00AA7F66"/>
    <w:rsid w:val="00AB4829"/>
    <w:rsid w:val="00AB588E"/>
    <w:rsid w:val="00AB6A7C"/>
    <w:rsid w:val="00AB6C38"/>
    <w:rsid w:val="00AB79A7"/>
    <w:rsid w:val="00AC0058"/>
    <w:rsid w:val="00AC0113"/>
    <w:rsid w:val="00AC01D8"/>
    <w:rsid w:val="00AC0645"/>
    <w:rsid w:val="00AC133A"/>
    <w:rsid w:val="00AC1340"/>
    <w:rsid w:val="00AC1620"/>
    <w:rsid w:val="00AC2D81"/>
    <w:rsid w:val="00AC306C"/>
    <w:rsid w:val="00AC32DF"/>
    <w:rsid w:val="00AC353D"/>
    <w:rsid w:val="00AC37D8"/>
    <w:rsid w:val="00AC4053"/>
    <w:rsid w:val="00AC44C9"/>
    <w:rsid w:val="00AC4611"/>
    <w:rsid w:val="00AC7F1C"/>
    <w:rsid w:val="00AD20E2"/>
    <w:rsid w:val="00AD24BF"/>
    <w:rsid w:val="00AD287D"/>
    <w:rsid w:val="00AD2F5D"/>
    <w:rsid w:val="00AD5997"/>
    <w:rsid w:val="00AD5CD2"/>
    <w:rsid w:val="00AD6408"/>
    <w:rsid w:val="00AD7528"/>
    <w:rsid w:val="00AE04AF"/>
    <w:rsid w:val="00AE2157"/>
    <w:rsid w:val="00AE3102"/>
    <w:rsid w:val="00AE3609"/>
    <w:rsid w:val="00AE3969"/>
    <w:rsid w:val="00AE4762"/>
    <w:rsid w:val="00AE4EC7"/>
    <w:rsid w:val="00AE524A"/>
    <w:rsid w:val="00AE6576"/>
    <w:rsid w:val="00AE7041"/>
    <w:rsid w:val="00AE7719"/>
    <w:rsid w:val="00AF0347"/>
    <w:rsid w:val="00AF0391"/>
    <w:rsid w:val="00AF28C7"/>
    <w:rsid w:val="00AF32E6"/>
    <w:rsid w:val="00AF4051"/>
    <w:rsid w:val="00AF45A7"/>
    <w:rsid w:val="00AF57FA"/>
    <w:rsid w:val="00AF6489"/>
    <w:rsid w:val="00AF7B59"/>
    <w:rsid w:val="00B003DA"/>
    <w:rsid w:val="00B016D4"/>
    <w:rsid w:val="00B01AE8"/>
    <w:rsid w:val="00B020EB"/>
    <w:rsid w:val="00B02D33"/>
    <w:rsid w:val="00B0366D"/>
    <w:rsid w:val="00B03F16"/>
    <w:rsid w:val="00B04777"/>
    <w:rsid w:val="00B04E87"/>
    <w:rsid w:val="00B05510"/>
    <w:rsid w:val="00B05A95"/>
    <w:rsid w:val="00B05AC3"/>
    <w:rsid w:val="00B068BD"/>
    <w:rsid w:val="00B06FE2"/>
    <w:rsid w:val="00B0752F"/>
    <w:rsid w:val="00B1017E"/>
    <w:rsid w:val="00B11A8B"/>
    <w:rsid w:val="00B1252E"/>
    <w:rsid w:val="00B12D64"/>
    <w:rsid w:val="00B12DEB"/>
    <w:rsid w:val="00B13F9B"/>
    <w:rsid w:val="00B141AE"/>
    <w:rsid w:val="00B158A7"/>
    <w:rsid w:val="00B204EA"/>
    <w:rsid w:val="00B21D90"/>
    <w:rsid w:val="00B23785"/>
    <w:rsid w:val="00B23C1A"/>
    <w:rsid w:val="00B252FB"/>
    <w:rsid w:val="00B263C9"/>
    <w:rsid w:val="00B26C01"/>
    <w:rsid w:val="00B27086"/>
    <w:rsid w:val="00B27667"/>
    <w:rsid w:val="00B3158E"/>
    <w:rsid w:val="00B32361"/>
    <w:rsid w:val="00B339DF"/>
    <w:rsid w:val="00B35C79"/>
    <w:rsid w:val="00B35C83"/>
    <w:rsid w:val="00B3614E"/>
    <w:rsid w:val="00B376F6"/>
    <w:rsid w:val="00B37D00"/>
    <w:rsid w:val="00B4047D"/>
    <w:rsid w:val="00B41579"/>
    <w:rsid w:val="00B420A3"/>
    <w:rsid w:val="00B43B64"/>
    <w:rsid w:val="00B441EE"/>
    <w:rsid w:val="00B44272"/>
    <w:rsid w:val="00B4454D"/>
    <w:rsid w:val="00B45970"/>
    <w:rsid w:val="00B50CF1"/>
    <w:rsid w:val="00B50E64"/>
    <w:rsid w:val="00B51031"/>
    <w:rsid w:val="00B52724"/>
    <w:rsid w:val="00B52731"/>
    <w:rsid w:val="00B52C02"/>
    <w:rsid w:val="00B52C0E"/>
    <w:rsid w:val="00B52F85"/>
    <w:rsid w:val="00B52FE4"/>
    <w:rsid w:val="00B5308B"/>
    <w:rsid w:val="00B53E28"/>
    <w:rsid w:val="00B55986"/>
    <w:rsid w:val="00B60C6F"/>
    <w:rsid w:val="00B61071"/>
    <w:rsid w:val="00B62292"/>
    <w:rsid w:val="00B62A8D"/>
    <w:rsid w:val="00B62FE6"/>
    <w:rsid w:val="00B634D8"/>
    <w:rsid w:val="00B63CDF"/>
    <w:rsid w:val="00B65206"/>
    <w:rsid w:val="00B65395"/>
    <w:rsid w:val="00B6551D"/>
    <w:rsid w:val="00B666CC"/>
    <w:rsid w:val="00B66E6F"/>
    <w:rsid w:val="00B67993"/>
    <w:rsid w:val="00B71C0C"/>
    <w:rsid w:val="00B7226F"/>
    <w:rsid w:val="00B72444"/>
    <w:rsid w:val="00B74B3A"/>
    <w:rsid w:val="00B76E46"/>
    <w:rsid w:val="00B7739B"/>
    <w:rsid w:val="00B80CE1"/>
    <w:rsid w:val="00B8108E"/>
    <w:rsid w:val="00B8279A"/>
    <w:rsid w:val="00B82B23"/>
    <w:rsid w:val="00B82F1A"/>
    <w:rsid w:val="00B830A3"/>
    <w:rsid w:val="00B835E3"/>
    <w:rsid w:val="00B85EDB"/>
    <w:rsid w:val="00B85FFE"/>
    <w:rsid w:val="00B864DD"/>
    <w:rsid w:val="00B86D0D"/>
    <w:rsid w:val="00B86D3B"/>
    <w:rsid w:val="00B86FC4"/>
    <w:rsid w:val="00B87866"/>
    <w:rsid w:val="00B900C1"/>
    <w:rsid w:val="00B903F8"/>
    <w:rsid w:val="00B91A8D"/>
    <w:rsid w:val="00B9261B"/>
    <w:rsid w:val="00B92647"/>
    <w:rsid w:val="00B932D3"/>
    <w:rsid w:val="00B93745"/>
    <w:rsid w:val="00B93EDD"/>
    <w:rsid w:val="00B946B1"/>
    <w:rsid w:val="00B94A4D"/>
    <w:rsid w:val="00B94F92"/>
    <w:rsid w:val="00B9659C"/>
    <w:rsid w:val="00B9667C"/>
    <w:rsid w:val="00B970BA"/>
    <w:rsid w:val="00B974B9"/>
    <w:rsid w:val="00BA03FB"/>
    <w:rsid w:val="00BA0EB5"/>
    <w:rsid w:val="00BA10D5"/>
    <w:rsid w:val="00BA1E9D"/>
    <w:rsid w:val="00BA1F1E"/>
    <w:rsid w:val="00BA2600"/>
    <w:rsid w:val="00BA43D5"/>
    <w:rsid w:val="00BA5A30"/>
    <w:rsid w:val="00BA6560"/>
    <w:rsid w:val="00BA658D"/>
    <w:rsid w:val="00BA6B3A"/>
    <w:rsid w:val="00BA702A"/>
    <w:rsid w:val="00BA7158"/>
    <w:rsid w:val="00BB09D0"/>
    <w:rsid w:val="00BB0D8E"/>
    <w:rsid w:val="00BB0F22"/>
    <w:rsid w:val="00BB1200"/>
    <w:rsid w:val="00BB1E2B"/>
    <w:rsid w:val="00BB2738"/>
    <w:rsid w:val="00BB2B65"/>
    <w:rsid w:val="00BB3402"/>
    <w:rsid w:val="00BB5E9B"/>
    <w:rsid w:val="00BB77D4"/>
    <w:rsid w:val="00BB79BB"/>
    <w:rsid w:val="00BC0D5B"/>
    <w:rsid w:val="00BC0DD3"/>
    <w:rsid w:val="00BC2203"/>
    <w:rsid w:val="00BC2333"/>
    <w:rsid w:val="00BC2541"/>
    <w:rsid w:val="00BC2557"/>
    <w:rsid w:val="00BC339D"/>
    <w:rsid w:val="00BC3E2D"/>
    <w:rsid w:val="00BC58A1"/>
    <w:rsid w:val="00BC58C3"/>
    <w:rsid w:val="00BC5BC7"/>
    <w:rsid w:val="00BC5E59"/>
    <w:rsid w:val="00BC656D"/>
    <w:rsid w:val="00BD03FC"/>
    <w:rsid w:val="00BD124D"/>
    <w:rsid w:val="00BD1289"/>
    <w:rsid w:val="00BD1D6F"/>
    <w:rsid w:val="00BD258E"/>
    <w:rsid w:val="00BD2742"/>
    <w:rsid w:val="00BD2BCD"/>
    <w:rsid w:val="00BD2FEC"/>
    <w:rsid w:val="00BD3368"/>
    <w:rsid w:val="00BD3613"/>
    <w:rsid w:val="00BD4D06"/>
    <w:rsid w:val="00BD4DDC"/>
    <w:rsid w:val="00BD5206"/>
    <w:rsid w:val="00BD72E6"/>
    <w:rsid w:val="00BD74A7"/>
    <w:rsid w:val="00BD787F"/>
    <w:rsid w:val="00BE17FB"/>
    <w:rsid w:val="00BE1AD8"/>
    <w:rsid w:val="00BE1C56"/>
    <w:rsid w:val="00BE4139"/>
    <w:rsid w:val="00BE4C2B"/>
    <w:rsid w:val="00BE4EFE"/>
    <w:rsid w:val="00BE5341"/>
    <w:rsid w:val="00BE762A"/>
    <w:rsid w:val="00BE7C58"/>
    <w:rsid w:val="00BF2EF4"/>
    <w:rsid w:val="00BF3759"/>
    <w:rsid w:val="00BF3CD9"/>
    <w:rsid w:val="00BF4769"/>
    <w:rsid w:val="00BF4958"/>
    <w:rsid w:val="00BF4973"/>
    <w:rsid w:val="00BF55F4"/>
    <w:rsid w:val="00BF5B17"/>
    <w:rsid w:val="00BF601B"/>
    <w:rsid w:val="00BF639E"/>
    <w:rsid w:val="00BF696E"/>
    <w:rsid w:val="00BF7BD1"/>
    <w:rsid w:val="00BF7DD8"/>
    <w:rsid w:val="00C00877"/>
    <w:rsid w:val="00C008C2"/>
    <w:rsid w:val="00C00F48"/>
    <w:rsid w:val="00C027CC"/>
    <w:rsid w:val="00C028A6"/>
    <w:rsid w:val="00C02929"/>
    <w:rsid w:val="00C045C9"/>
    <w:rsid w:val="00C04628"/>
    <w:rsid w:val="00C04EB1"/>
    <w:rsid w:val="00C0555B"/>
    <w:rsid w:val="00C05728"/>
    <w:rsid w:val="00C063AC"/>
    <w:rsid w:val="00C06674"/>
    <w:rsid w:val="00C073E0"/>
    <w:rsid w:val="00C07A1D"/>
    <w:rsid w:val="00C1146B"/>
    <w:rsid w:val="00C114CE"/>
    <w:rsid w:val="00C1174D"/>
    <w:rsid w:val="00C130A4"/>
    <w:rsid w:val="00C144ED"/>
    <w:rsid w:val="00C15643"/>
    <w:rsid w:val="00C16966"/>
    <w:rsid w:val="00C16A63"/>
    <w:rsid w:val="00C17443"/>
    <w:rsid w:val="00C17B8F"/>
    <w:rsid w:val="00C21EB0"/>
    <w:rsid w:val="00C259AC"/>
    <w:rsid w:val="00C268EC"/>
    <w:rsid w:val="00C26EBB"/>
    <w:rsid w:val="00C27541"/>
    <w:rsid w:val="00C27F29"/>
    <w:rsid w:val="00C304E7"/>
    <w:rsid w:val="00C31014"/>
    <w:rsid w:val="00C31E13"/>
    <w:rsid w:val="00C31EB3"/>
    <w:rsid w:val="00C31FA8"/>
    <w:rsid w:val="00C32924"/>
    <w:rsid w:val="00C32B95"/>
    <w:rsid w:val="00C334DC"/>
    <w:rsid w:val="00C3359B"/>
    <w:rsid w:val="00C33B6E"/>
    <w:rsid w:val="00C33FF7"/>
    <w:rsid w:val="00C34849"/>
    <w:rsid w:val="00C35086"/>
    <w:rsid w:val="00C3536A"/>
    <w:rsid w:val="00C36441"/>
    <w:rsid w:val="00C371E3"/>
    <w:rsid w:val="00C415AE"/>
    <w:rsid w:val="00C41B85"/>
    <w:rsid w:val="00C41DDF"/>
    <w:rsid w:val="00C42700"/>
    <w:rsid w:val="00C4463E"/>
    <w:rsid w:val="00C460FC"/>
    <w:rsid w:val="00C46ED9"/>
    <w:rsid w:val="00C47F6C"/>
    <w:rsid w:val="00C50248"/>
    <w:rsid w:val="00C52117"/>
    <w:rsid w:val="00C528E6"/>
    <w:rsid w:val="00C5318F"/>
    <w:rsid w:val="00C541B5"/>
    <w:rsid w:val="00C55C33"/>
    <w:rsid w:val="00C5630D"/>
    <w:rsid w:val="00C60F63"/>
    <w:rsid w:val="00C6110D"/>
    <w:rsid w:val="00C61646"/>
    <w:rsid w:val="00C619D3"/>
    <w:rsid w:val="00C61BED"/>
    <w:rsid w:val="00C6450E"/>
    <w:rsid w:val="00C660E6"/>
    <w:rsid w:val="00C66C7E"/>
    <w:rsid w:val="00C67B08"/>
    <w:rsid w:val="00C716EF"/>
    <w:rsid w:val="00C72044"/>
    <w:rsid w:val="00C72814"/>
    <w:rsid w:val="00C72871"/>
    <w:rsid w:val="00C72D46"/>
    <w:rsid w:val="00C73448"/>
    <w:rsid w:val="00C74E82"/>
    <w:rsid w:val="00C760AF"/>
    <w:rsid w:val="00C7629C"/>
    <w:rsid w:val="00C7632D"/>
    <w:rsid w:val="00C77214"/>
    <w:rsid w:val="00C77624"/>
    <w:rsid w:val="00C81D17"/>
    <w:rsid w:val="00C823FA"/>
    <w:rsid w:val="00C83A2A"/>
    <w:rsid w:val="00C83E2D"/>
    <w:rsid w:val="00C84137"/>
    <w:rsid w:val="00C84C76"/>
    <w:rsid w:val="00C85821"/>
    <w:rsid w:val="00C86713"/>
    <w:rsid w:val="00C87042"/>
    <w:rsid w:val="00C87D8C"/>
    <w:rsid w:val="00C905A2"/>
    <w:rsid w:val="00C910FC"/>
    <w:rsid w:val="00C9213B"/>
    <w:rsid w:val="00C92314"/>
    <w:rsid w:val="00C92F9D"/>
    <w:rsid w:val="00C93E3F"/>
    <w:rsid w:val="00C93E90"/>
    <w:rsid w:val="00C940E8"/>
    <w:rsid w:val="00C940EC"/>
    <w:rsid w:val="00C95CB9"/>
    <w:rsid w:val="00C97413"/>
    <w:rsid w:val="00C97588"/>
    <w:rsid w:val="00CA05B5"/>
    <w:rsid w:val="00CA0CC1"/>
    <w:rsid w:val="00CA36EA"/>
    <w:rsid w:val="00CA3D6B"/>
    <w:rsid w:val="00CA406F"/>
    <w:rsid w:val="00CA5985"/>
    <w:rsid w:val="00CA5F19"/>
    <w:rsid w:val="00CA5F95"/>
    <w:rsid w:val="00CB026D"/>
    <w:rsid w:val="00CB075D"/>
    <w:rsid w:val="00CB243C"/>
    <w:rsid w:val="00CB4469"/>
    <w:rsid w:val="00CB4863"/>
    <w:rsid w:val="00CB6A9D"/>
    <w:rsid w:val="00CB741D"/>
    <w:rsid w:val="00CC2747"/>
    <w:rsid w:val="00CC28D3"/>
    <w:rsid w:val="00CC3300"/>
    <w:rsid w:val="00CC3D36"/>
    <w:rsid w:val="00CC4045"/>
    <w:rsid w:val="00CC4800"/>
    <w:rsid w:val="00CC4FF7"/>
    <w:rsid w:val="00CC5CB7"/>
    <w:rsid w:val="00CC5DDF"/>
    <w:rsid w:val="00CC5F00"/>
    <w:rsid w:val="00CC6F65"/>
    <w:rsid w:val="00CC74DA"/>
    <w:rsid w:val="00CD0375"/>
    <w:rsid w:val="00CD051F"/>
    <w:rsid w:val="00CD140B"/>
    <w:rsid w:val="00CD21A7"/>
    <w:rsid w:val="00CD21D2"/>
    <w:rsid w:val="00CD2675"/>
    <w:rsid w:val="00CD2AE5"/>
    <w:rsid w:val="00CD3EEA"/>
    <w:rsid w:val="00CD3F29"/>
    <w:rsid w:val="00CD620F"/>
    <w:rsid w:val="00CD6553"/>
    <w:rsid w:val="00CD6E46"/>
    <w:rsid w:val="00CD7071"/>
    <w:rsid w:val="00CD7E81"/>
    <w:rsid w:val="00CE0933"/>
    <w:rsid w:val="00CE0C18"/>
    <w:rsid w:val="00CE1926"/>
    <w:rsid w:val="00CE1B14"/>
    <w:rsid w:val="00CE2299"/>
    <w:rsid w:val="00CE2EE1"/>
    <w:rsid w:val="00CE3AF9"/>
    <w:rsid w:val="00CE4341"/>
    <w:rsid w:val="00CE43DF"/>
    <w:rsid w:val="00CE48BD"/>
    <w:rsid w:val="00CE4D18"/>
    <w:rsid w:val="00CE66BA"/>
    <w:rsid w:val="00CE791E"/>
    <w:rsid w:val="00CE7E37"/>
    <w:rsid w:val="00CF0C4E"/>
    <w:rsid w:val="00CF0ED5"/>
    <w:rsid w:val="00CF1E9C"/>
    <w:rsid w:val="00CF2CA2"/>
    <w:rsid w:val="00CF3A5D"/>
    <w:rsid w:val="00CF4614"/>
    <w:rsid w:val="00CF5219"/>
    <w:rsid w:val="00CF6084"/>
    <w:rsid w:val="00CF6709"/>
    <w:rsid w:val="00CF6CCF"/>
    <w:rsid w:val="00D010CE"/>
    <w:rsid w:val="00D012AB"/>
    <w:rsid w:val="00D03CF6"/>
    <w:rsid w:val="00D03F9F"/>
    <w:rsid w:val="00D043FC"/>
    <w:rsid w:val="00D059CE"/>
    <w:rsid w:val="00D065D7"/>
    <w:rsid w:val="00D06B10"/>
    <w:rsid w:val="00D06E3D"/>
    <w:rsid w:val="00D109D4"/>
    <w:rsid w:val="00D10DB2"/>
    <w:rsid w:val="00D11B0D"/>
    <w:rsid w:val="00D12138"/>
    <w:rsid w:val="00D1290B"/>
    <w:rsid w:val="00D12D2C"/>
    <w:rsid w:val="00D131D0"/>
    <w:rsid w:val="00D134DC"/>
    <w:rsid w:val="00D13922"/>
    <w:rsid w:val="00D1453F"/>
    <w:rsid w:val="00D15009"/>
    <w:rsid w:val="00D16149"/>
    <w:rsid w:val="00D16946"/>
    <w:rsid w:val="00D169F0"/>
    <w:rsid w:val="00D17C22"/>
    <w:rsid w:val="00D20941"/>
    <w:rsid w:val="00D209F8"/>
    <w:rsid w:val="00D210F4"/>
    <w:rsid w:val="00D21225"/>
    <w:rsid w:val="00D218E2"/>
    <w:rsid w:val="00D21C2A"/>
    <w:rsid w:val="00D22A9B"/>
    <w:rsid w:val="00D22B8E"/>
    <w:rsid w:val="00D22DD9"/>
    <w:rsid w:val="00D23BFA"/>
    <w:rsid w:val="00D23DFB"/>
    <w:rsid w:val="00D26796"/>
    <w:rsid w:val="00D26D74"/>
    <w:rsid w:val="00D27639"/>
    <w:rsid w:val="00D30FDA"/>
    <w:rsid w:val="00D312B7"/>
    <w:rsid w:val="00D3161E"/>
    <w:rsid w:val="00D319B8"/>
    <w:rsid w:val="00D35299"/>
    <w:rsid w:val="00D3571B"/>
    <w:rsid w:val="00D36B42"/>
    <w:rsid w:val="00D3704A"/>
    <w:rsid w:val="00D37099"/>
    <w:rsid w:val="00D37FCD"/>
    <w:rsid w:val="00D40542"/>
    <w:rsid w:val="00D4381A"/>
    <w:rsid w:val="00D43E0C"/>
    <w:rsid w:val="00D4425C"/>
    <w:rsid w:val="00D4496A"/>
    <w:rsid w:val="00D45382"/>
    <w:rsid w:val="00D46675"/>
    <w:rsid w:val="00D47BC6"/>
    <w:rsid w:val="00D47DAA"/>
    <w:rsid w:val="00D506BC"/>
    <w:rsid w:val="00D51E56"/>
    <w:rsid w:val="00D52064"/>
    <w:rsid w:val="00D52F6C"/>
    <w:rsid w:val="00D53164"/>
    <w:rsid w:val="00D5377E"/>
    <w:rsid w:val="00D5380D"/>
    <w:rsid w:val="00D538AF"/>
    <w:rsid w:val="00D53B09"/>
    <w:rsid w:val="00D53CCD"/>
    <w:rsid w:val="00D53E0A"/>
    <w:rsid w:val="00D54846"/>
    <w:rsid w:val="00D54BE3"/>
    <w:rsid w:val="00D551C7"/>
    <w:rsid w:val="00D55A03"/>
    <w:rsid w:val="00D55A46"/>
    <w:rsid w:val="00D562E0"/>
    <w:rsid w:val="00D56A4B"/>
    <w:rsid w:val="00D5707A"/>
    <w:rsid w:val="00D5785C"/>
    <w:rsid w:val="00D60BAD"/>
    <w:rsid w:val="00D61988"/>
    <w:rsid w:val="00D62022"/>
    <w:rsid w:val="00D62080"/>
    <w:rsid w:val="00D62D48"/>
    <w:rsid w:val="00D64209"/>
    <w:rsid w:val="00D64966"/>
    <w:rsid w:val="00D65607"/>
    <w:rsid w:val="00D65E8F"/>
    <w:rsid w:val="00D66AD5"/>
    <w:rsid w:val="00D66DD5"/>
    <w:rsid w:val="00D67CB9"/>
    <w:rsid w:val="00D703E9"/>
    <w:rsid w:val="00D70FFE"/>
    <w:rsid w:val="00D71F0A"/>
    <w:rsid w:val="00D721B7"/>
    <w:rsid w:val="00D74024"/>
    <w:rsid w:val="00D745F2"/>
    <w:rsid w:val="00D759A3"/>
    <w:rsid w:val="00D767D0"/>
    <w:rsid w:val="00D77C23"/>
    <w:rsid w:val="00D823C9"/>
    <w:rsid w:val="00D84AD7"/>
    <w:rsid w:val="00D85C34"/>
    <w:rsid w:val="00D863AF"/>
    <w:rsid w:val="00D8704B"/>
    <w:rsid w:val="00D8776F"/>
    <w:rsid w:val="00D90328"/>
    <w:rsid w:val="00D90AAE"/>
    <w:rsid w:val="00D90C94"/>
    <w:rsid w:val="00D9182E"/>
    <w:rsid w:val="00D93EF2"/>
    <w:rsid w:val="00D93F96"/>
    <w:rsid w:val="00D9567A"/>
    <w:rsid w:val="00D97C1B"/>
    <w:rsid w:val="00D97CAE"/>
    <w:rsid w:val="00D97FE0"/>
    <w:rsid w:val="00D97FF5"/>
    <w:rsid w:val="00DA2F4B"/>
    <w:rsid w:val="00DA3145"/>
    <w:rsid w:val="00DA392A"/>
    <w:rsid w:val="00DA3B58"/>
    <w:rsid w:val="00DA3D88"/>
    <w:rsid w:val="00DA55A6"/>
    <w:rsid w:val="00DA597C"/>
    <w:rsid w:val="00DA6536"/>
    <w:rsid w:val="00DA6F8B"/>
    <w:rsid w:val="00DA7EFA"/>
    <w:rsid w:val="00DB13C0"/>
    <w:rsid w:val="00DB29AC"/>
    <w:rsid w:val="00DB2EC5"/>
    <w:rsid w:val="00DB2F86"/>
    <w:rsid w:val="00DB335C"/>
    <w:rsid w:val="00DB36CD"/>
    <w:rsid w:val="00DB3A6B"/>
    <w:rsid w:val="00DB3CB7"/>
    <w:rsid w:val="00DB451D"/>
    <w:rsid w:val="00DB571D"/>
    <w:rsid w:val="00DB6804"/>
    <w:rsid w:val="00DB74B9"/>
    <w:rsid w:val="00DB7DFA"/>
    <w:rsid w:val="00DC00D3"/>
    <w:rsid w:val="00DC0940"/>
    <w:rsid w:val="00DC2809"/>
    <w:rsid w:val="00DC3C89"/>
    <w:rsid w:val="00DC4184"/>
    <w:rsid w:val="00DC4337"/>
    <w:rsid w:val="00DC47D8"/>
    <w:rsid w:val="00DC4938"/>
    <w:rsid w:val="00DC5DE1"/>
    <w:rsid w:val="00DC68F1"/>
    <w:rsid w:val="00DC6A1C"/>
    <w:rsid w:val="00DD0CF2"/>
    <w:rsid w:val="00DD0E61"/>
    <w:rsid w:val="00DD1999"/>
    <w:rsid w:val="00DD1C5E"/>
    <w:rsid w:val="00DD2B20"/>
    <w:rsid w:val="00DD5A99"/>
    <w:rsid w:val="00DD6665"/>
    <w:rsid w:val="00DD682A"/>
    <w:rsid w:val="00DD77B1"/>
    <w:rsid w:val="00DE11C8"/>
    <w:rsid w:val="00DE22D2"/>
    <w:rsid w:val="00DE2B0A"/>
    <w:rsid w:val="00DE3DD6"/>
    <w:rsid w:val="00DE4453"/>
    <w:rsid w:val="00DE4604"/>
    <w:rsid w:val="00DE4DF9"/>
    <w:rsid w:val="00DE4DFB"/>
    <w:rsid w:val="00DE5FE7"/>
    <w:rsid w:val="00DE61EA"/>
    <w:rsid w:val="00DE6391"/>
    <w:rsid w:val="00DE64C6"/>
    <w:rsid w:val="00DE6973"/>
    <w:rsid w:val="00DE6BB9"/>
    <w:rsid w:val="00DE6E8D"/>
    <w:rsid w:val="00DE7F62"/>
    <w:rsid w:val="00DF1FC7"/>
    <w:rsid w:val="00DF229B"/>
    <w:rsid w:val="00DF2896"/>
    <w:rsid w:val="00DF2A1C"/>
    <w:rsid w:val="00DF4696"/>
    <w:rsid w:val="00DF5169"/>
    <w:rsid w:val="00DF55F7"/>
    <w:rsid w:val="00DF791F"/>
    <w:rsid w:val="00DF7D35"/>
    <w:rsid w:val="00E005E4"/>
    <w:rsid w:val="00E005F8"/>
    <w:rsid w:val="00E01756"/>
    <w:rsid w:val="00E02410"/>
    <w:rsid w:val="00E02F43"/>
    <w:rsid w:val="00E055FB"/>
    <w:rsid w:val="00E056F5"/>
    <w:rsid w:val="00E05F46"/>
    <w:rsid w:val="00E0698F"/>
    <w:rsid w:val="00E069DC"/>
    <w:rsid w:val="00E07038"/>
    <w:rsid w:val="00E11BBB"/>
    <w:rsid w:val="00E127D0"/>
    <w:rsid w:val="00E128EB"/>
    <w:rsid w:val="00E12A56"/>
    <w:rsid w:val="00E131EC"/>
    <w:rsid w:val="00E1329A"/>
    <w:rsid w:val="00E13A77"/>
    <w:rsid w:val="00E1414F"/>
    <w:rsid w:val="00E160B9"/>
    <w:rsid w:val="00E16B95"/>
    <w:rsid w:val="00E17F1E"/>
    <w:rsid w:val="00E20349"/>
    <w:rsid w:val="00E2166A"/>
    <w:rsid w:val="00E21F3D"/>
    <w:rsid w:val="00E22722"/>
    <w:rsid w:val="00E2301A"/>
    <w:rsid w:val="00E25DB4"/>
    <w:rsid w:val="00E2656B"/>
    <w:rsid w:val="00E27A02"/>
    <w:rsid w:val="00E30594"/>
    <w:rsid w:val="00E3093A"/>
    <w:rsid w:val="00E315AB"/>
    <w:rsid w:val="00E337FA"/>
    <w:rsid w:val="00E33C7A"/>
    <w:rsid w:val="00E34CE9"/>
    <w:rsid w:val="00E358F4"/>
    <w:rsid w:val="00E35F84"/>
    <w:rsid w:val="00E36D6D"/>
    <w:rsid w:val="00E36E40"/>
    <w:rsid w:val="00E37747"/>
    <w:rsid w:val="00E37FA0"/>
    <w:rsid w:val="00E37FF2"/>
    <w:rsid w:val="00E40283"/>
    <w:rsid w:val="00E402DC"/>
    <w:rsid w:val="00E41644"/>
    <w:rsid w:val="00E41B51"/>
    <w:rsid w:val="00E420F8"/>
    <w:rsid w:val="00E421B9"/>
    <w:rsid w:val="00E42FCB"/>
    <w:rsid w:val="00E45274"/>
    <w:rsid w:val="00E45D74"/>
    <w:rsid w:val="00E45F6A"/>
    <w:rsid w:val="00E463B3"/>
    <w:rsid w:val="00E46AF6"/>
    <w:rsid w:val="00E4735C"/>
    <w:rsid w:val="00E47DBC"/>
    <w:rsid w:val="00E502FD"/>
    <w:rsid w:val="00E50481"/>
    <w:rsid w:val="00E506D1"/>
    <w:rsid w:val="00E51955"/>
    <w:rsid w:val="00E519D3"/>
    <w:rsid w:val="00E51B9B"/>
    <w:rsid w:val="00E531B2"/>
    <w:rsid w:val="00E5376A"/>
    <w:rsid w:val="00E53D1A"/>
    <w:rsid w:val="00E56748"/>
    <w:rsid w:val="00E56992"/>
    <w:rsid w:val="00E60338"/>
    <w:rsid w:val="00E60501"/>
    <w:rsid w:val="00E60F25"/>
    <w:rsid w:val="00E6156D"/>
    <w:rsid w:val="00E620F2"/>
    <w:rsid w:val="00E630FB"/>
    <w:rsid w:val="00E6332E"/>
    <w:rsid w:val="00E64FFE"/>
    <w:rsid w:val="00E655A3"/>
    <w:rsid w:val="00E65C89"/>
    <w:rsid w:val="00E65D24"/>
    <w:rsid w:val="00E67194"/>
    <w:rsid w:val="00E671D3"/>
    <w:rsid w:val="00E673B7"/>
    <w:rsid w:val="00E70061"/>
    <w:rsid w:val="00E70CB3"/>
    <w:rsid w:val="00E717AE"/>
    <w:rsid w:val="00E72080"/>
    <w:rsid w:val="00E72179"/>
    <w:rsid w:val="00E7217D"/>
    <w:rsid w:val="00E7274F"/>
    <w:rsid w:val="00E7479F"/>
    <w:rsid w:val="00E74BBD"/>
    <w:rsid w:val="00E75A52"/>
    <w:rsid w:val="00E77102"/>
    <w:rsid w:val="00E7732A"/>
    <w:rsid w:val="00E77679"/>
    <w:rsid w:val="00E8012C"/>
    <w:rsid w:val="00E80308"/>
    <w:rsid w:val="00E8157B"/>
    <w:rsid w:val="00E81DA3"/>
    <w:rsid w:val="00E821D0"/>
    <w:rsid w:val="00E828CA"/>
    <w:rsid w:val="00E8341F"/>
    <w:rsid w:val="00E843B3"/>
    <w:rsid w:val="00E87884"/>
    <w:rsid w:val="00E87C4A"/>
    <w:rsid w:val="00E900C5"/>
    <w:rsid w:val="00E90170"/>
    <w:rsid w:val="00E9145B"/>
    <w:rsid w:val="00E92237"/>
    <w:rsid w:val="00E922D3"/>
    <w:rsid w:val="00E92E39"/>
    <w:rsid w:val="00E942A8"/>
    <w:rsid w:val="00E94916"/>
    <w:rsid w:val="00E96349"/>
    <w:rsid w:val="00E973DC"/>
    <w:rsid w:val="00EA015D"/>
    <w:rsid w:val="00EA01C4"/>
    <w:rsid w:val="00EA04CE"/>
    <w:rsid w:val="00EA0D9C"/>
    <w:rsid w:val="00EA16B2"/>
    <w:rsid w:val="00EA2426"/>
    <w:rsid w:val="00EA3359"/>
    <w:rsid w:val="00EA46E5"/>
    <w:rsid w:val="00EA51F4"/>
    <w:rsid w:val="00EA5438"/>
    <w:rsid w:val="00EA56B4"/>
    <w:rsid w:val="00EA6AFC"/>
    <w:rsid w:val="00EA7B14"/>
    <w:rsid w:val="00EB0B5D"/>
    <w:rsid w:val="00EB1DE1"/>
    <w:rsid w:val="00EB23BB"/>
    <w:rsid w:val="00EB2BF3"/>
    <w:rsid w:val="00EB30C9"/>
    <w:rsid w:val="00EB5063"/>
    <w:rsid w:val="00EB5283"/>
    <w:rsid w:val="00EB6215"/>
    <w:rsid w:val="00EB7125"/>
    <w:rsid w:val="00EB7975"/>
    <w:rsid w:val="00EB7985"/>
    <w:rsid w:val="00EC030A"/>
    <w:rsid w:val="00EC18A3"/>
    <w:rsid w:val="00EC292A"/>
    <w:rsid w:val="00EC3304"/>
    <w:rsid w:val="00EC4261"/>
    <w:rsid w:val="00EC50DB"/>
    <w:rsid w:val="00EC545A"/>
    <w:rsid w:val="00EC566A"/>
    <w:rsid w:val="00EC5769"/>
    <w:rsid w:val="00EC587C"/>
    <w:rsid w:val="00EC6891"/>
    <w:rsid w:val="00EC69F3"/>
    <w:rsid w:val="00EC6AF3"/>
    <w:rsid w:val="00EC6AF7"/>
    <w:rsid w:val="00ED1346"/>
    <w:rsid w:val="00ED2AFF"/>
    <w:rsid w:val="00ED2D3A"/>
    <w:rsid w:val="00ED2D5E"/>
    <w:rsid w:val="00ED2EC0"/>
    <w:rsid w:val="00ED50E0"/>
    <w:rsid w:val="00ED5169"/>
    <w:rsid w:val="00ED5986"/>
    <w:rsid w:val="00ED5EC8"/>
    <w:rsid w:val="00ED70CE"/>
    <w:rsid w:val="00EE0744"/>
    <w:rsid w:val="00EE26D8"/>
    <w:rsid w:val="00EE32B4"/>
    <w:rsid w:val="00EE3A41"/>
    <w:rsid w:val="00EE3FC6"/>
    <w:rsid w:val="00EE623A"/>
    <w:rsid w:val="00EE65F0"/>
    <w:rsid w:val="00EE6B93"/>
    <w:rsid w:val="00EE781F"/>
    <w:rsid w:val="00EE7D6E"/>
    <w:rsid w:val="00EF05D4"/>
    <w:rsid w:val="00EF1298"/>
    <w:rsid w:val="00EF1920"/>
    <w:rsid w:val="00EF1F61"/>
    <w:rsid w:val="00EF3440"/>
    <w:rsid w:val="00EF3920"/>
    <w:rsid w:val="00EF4AC9"/>
    <w:rsid w:val="00EF54D6"/>
    <w:rsid w:val="00EF5908"/>
    <w:rsid w:val="00EF5EB5"/>
    <w:rsid w:val="00EF6900"/>
    <w:rsid w:val="00EF73D3"/>
    <w:rsid w:val="00F00CFB"/>
    <w:rsid w:val="00F00D6E"/>
    <w:rsid w:val="00F00F91"/>
    <w:rsid w:val="00F01085"/>
    <w:rsid w:val="00F02C31"/>
    <w:rsid w:val="00F03EC9"/>
    <w:rsid w:val="00F0433B"/>
    <w:rsid w:val="00F05371"/>
    <w:rsid w:val="00F05932"/>
    <w:rsid w:val="00F05BF8"/>
    <w:rsid w:val="00F06302"/>
    <w:rsid w:val="00F10E6D"/>
    <w:rsid w:val="00F10EC9"/>
    <w:rsid w:val="00F10F52"/>
    <w:rsid w:val="00F111E2"/>
    <w:rsid w:val="00F11272"/>
    <w:rsid w:val="00F11CB8"/>
    <w:rsid w:val="00F16607"/>
    <w:rsid w:val="00F16D9B"/>
    <w:rsid w:val="00F17B49"/>
    <w:rsid w:val="00F2088C"/>
    <w:rsid w:val="00F20CB1"/>
    <w:rsid w:val="00F21437"/>
    <w:rsid w:val="00F228CC"/>
    <w:rsid w:val="00F23934"/>
    <w:rsid w:val="00F23E25"/>
    <w:rsid w:val="00F24155"/>
    <w:rsid w:val="00F242D6"/>
    <w:rsid w:val="00F24865"/>
    <w:rsid w:val="00F24B07"/>
    <w:rsid w:val="00F25535"/>
    <w:rsid w:val="00F25739"/>
    <w:rsid w:val="00F25E5B"/>
    <w:rsid w:val="00F2713B"/>
    <w:rsid w:val="00F304D3"/>
    <w:rsid w:val="00F30E04"/>
    <w:rsid w:val="00F3121E"/>
    <w:rsid w:val="00F319DD"/>
    <w:rsid w:val="00F31CC8"/>
    <w:rsid w:val="00F32A74"/>
    <w:rsid w:val="00F3518B"/>
    <w:rsid w:val="00F36BC1"/>
    <w:rsid w:val="00F40547"/>
    <w:rsid w:val="00F408BD"/>
    <w:rsid w:val="00F4189D"/>
    <w:rsid w:val="00F4216F"/>
    <w:rsid w:val="00F42314"/>
    <w:rsid w:val="00F42730"/>
    <w:rsid w:val="00F42C01"/>
    <w:rsid w:val="00F432AB"/>
    <w:rsid w:val="00F436D9"/>
    <w:rsid w:val="00F43704"/>
    <w:rsid w:val="00F43D55"/>
    <w:rsid w:val="00F44F3A"/>
    <w:rsid w:val="00F4536A"/>
    <w:rsid w:val="00F45FE8"/>
    <w:rsid w:val="00F46503"/>
    <w:rsid w:val="00F46DCE"/>
    <w:rsid w:val="00F473BA"/>
    <w:rsid w:val="00F478EC"/>
    <w:rsid w:val="00F47991"/>
    <w:rsid w:val="00F47E28"/>
    <w:rsid w:val="00F50061"/>
    <w:rsid w:val="00F50388"/>
    <w:rsid w:val="00F50F89"/>
    <w:rsid w:val="00F51339"/>
    <w:rsid w:val="00F52FD2"/>
    <w:rsid w:val="00F531DC"/>
    <w:rsid w:val="00F53748"/>
    <w:rsid w:val="00F538CF"/>
    <w:rsid w:val="00F53CE0"/>
    <w:rsid w:val="00F53F9F"/>
    <w:rsid w:val="00F541BD"/>
    <w:rsid w:val="00F547A3"/>
    <w:rsid w:val="00F56282"/>
    <w:rsid w:val="00F56C06"/>
    <w:rsid w:val="00F57096"/>
    <w:rsid w:val="00F57A3D"/>
    <w:rsid w:val="00F62698"/>
    <w:rsid w:val="00F635AD"/>
    <w:rsid w:val="00F63964"/>
    <w:rsid w:val="00F654E0"/>
    <w:rsid w:val="00F7014C"/>
    <w:rsid w:val="00F70B1F"/>
    <w:rsid w:val="00F70E1F"/>
    <w:rsid w:val="00F70F85"/>
    <w:rsid w:val="00F71B96"/>
    <w:rsid w:val="00F72435"/>
    <w:rsid w:val="00F72595"/>
    <w:rsid w:val="00F72AFF"/>
    <w:rsid w:val="00F74821"/>
    <w:rsid w:val="00F75C41"/>
    <w:rsid w:val="00F764FC"/>
    <w:rsid w:val="00F76862"/>
    <w:rsid w:val="00F7778B"/>
    <w:rsid w:val="00F77970"/>
    <w:rsid w:val="00F77B0D"/>
    <w:rsid w:val="00F8102D"/>
    <w:rsid w:val="00F81090"/>
    <w:rsid w:val="00F834F9"/>
    <w:rsid w:val="00F867BA"/>
    <w:rsid w:val="00F87897"/>
    <w:rsid w:val="00F87B63"/>
    <w:rsid w:val="00F90271"/>
    <w:rsid w:val="00F90340"/>
    <w:rsid w:val="00F9289A"/>
    <w:rsid w:val="00F92906"/>
    <w:rsid w:val="00F92DF7"/>
    <w:rsid w:val="00F948FB"/>
    <w:rsid w:val="00F94E1A"/>
    <w:rsid w:val="00F9509D"/>
    <w:rsid w:val="00F96273"/>
    <w:rsid w:val="00F97D05"/>
    <w:rsid w:val="00FA09AF"/>
    <w:rsid w:val="00FA1124"/>
    <w:rsid w:val="00FA3E38"/>
    <w:rsid w:val="00FA5545"/>
    <w:rsid w:val="00FA55AA"/>
    <w:rsid w:val="00FA615E"/>
    <w:rsid w:val="00FA7101"/>
    <w:rsid w:val="00FA7739"/>
    <w:rsid w:val="00FB0547"/>
    <w:rsid w:val="00FB2FDD"/>
    <w:rsid w:val="00FB3BDC"/>
    <w:rsid w:val="00FB3FD7"/>
    <w:rsid w:val="00FB62BE"/>
    <w:rsid w:val="00FB6386"/>
    <w:rsid w:val="00FC2555"/>
    <w:rsid w:val="00FC45A8"/>
    <w:rsid w:val="00FC50D4"/>
    <w:rsid w:val="00FC58B7"/>
    <w:rsid w:val="00FC715B"/>
    <w:rsid w:val="00FC7E02"/>
    <w:rsid w:val="00FD16BD"/>
    <w:rsid w:val="00FD37B5"/>
    <w:rsid w:val="00FD3FDC"/>
    <w:rsid w:val="00FD4757"/>
    <w:rsid w:val="00FD4CB9"/>
    <w:rsid w:val="00FD4EE7"/>
    <w:rsid w:val="00FD5DF1"/>
    <w:rsid w:val="00FD7C4F"/>
    <w:rsid w:val="00FD7FE0"/>
    <w:rsid w:val="00FE0699"/>
    <w:rsid w:val="00FE15E9"/>
    <w:rsid w:val="00FE1F46"/>
    <w:rsid w:val="00FE2721"/>
    <w:rsid w:val="00FE2AE4"/>
    <w:rsid w:val="00FE369B"/>
    <w:rsid w:val="00FE3C4B"/>
    <w:rsid w:val="00FE42F8"/>
    <w:rsid w:val="00FE5262"/>
    <w:rsid w:val="00FE55CF"/>
    <w:rsid w:val="00FE6BCF"/>
    <w:rsid w:val="00FF0D3D"/>
    <w:rsid w:val="00FF1DA5"/>
    <w:rsid w:val="00FF1FE6"/>
    <w:rsid w:val="00FF6B63"/>
    <w:rsid w:val="00FF7081"/>
    <w:rsid w:val="00FF7D18"/>
    <w:rsid w:val="00FF7E08"/>
    <w:rsid w:val="01101FB2"/>
    <w:rsid w:val="0111585B"/>
    <w:rsid w:val="01415CD2"/>
    <w:rsid w:val="017634E4"/>
    <w:rsid w:val="01A912DA"/>
    <w:rsid w:val="01A95359"/>
    <w:rsid w:val="01B65D6B"/>
    <w:rsid w:val="01BF7AFA"/>
    <w:rsid w:val="01C42B8B"/>
    <w:rsid w:val="020F3E3B"/>
    <w:rsid w:val="023000CF"/>
    <w:rsid w:val="023C2B5E"/>
    <w:rsid w:val="02624152"/>
    <w:rsid w:val="026B5620"/>
    <w:rsid w:val="02963DFC"/>
    <w:rsid w:val="02BB0FC3"/>
    <w:rsid w:val="02BD720C"/>
    <w:rsid w:val="033251B4"/>
    <w:rsid w:val="034A7CBD"/>
    <w:rsid w:val="03595555"/>
    <w:rsid w:val="035E6E25"/>
    <w:rsid w:val="03C25991"/>
    <w:rsid w:val="03CA1FAF"/>
    <w:rsid w:val="03D87216"/>
    <w:rsid w:val="04030E08"/>
    <w:rsid w:val="04150238"/>
    <w:rsid w:val="04E43544"/>
    <w:rsid w:val="04F44D17"/>
    <w:rsid w:val="04FC49B8"/>
    <w:rsid w:val="053346E4"/>
    <w:rsid w:val="059C5A3C"/>
    <w:rsid w:val="05E6612A"/>
    <w:rsid w:val="06500E17"/>
    <w:rsid w:val="0665030C"/>
    <w:rsid w:val="067C4C0F"/>
    <w:rsid w:val="067D2518"/>
    <w:rsid w:val="06A5135D"/>
    <w:rsid w:val="06D27AF8"/>
    <w:rsid w:val="06E4782C"/>
    <w:rsid w:val="06EE2458"/>
    <w:rsid w:val="06EF6037"/>
    <w:rsid w:val="074E4E7E"/>
    <w:rsid w:val="07535590"/>
    <w:rsid w:val="07C301EB"/>
    <w:rsid w:val="07C93273"/>
    <w:rsid w:val="07D465AB"/>
    <w:rsid w:val="08010BE6"/>
    <w:rsid w:val="080950AE"/>
    <w:rsid w:val="084E7652"/>
    <w:rsid w:val="08B17BE1"/>
    <w:rsid w:val="08EF4AFC"/>
    <w:rsid w:val="08FA25D2"/>
    <w:rsid w:val="09120680"/>
    <w:rsid w:val="09146933"/>
    <w:rsid w:val="09464DFA"/>
    <w:rsid w:val="099A68BC"/>
    <w:rsid w:val="09B71227"/>
    <w:rsid w:val="09CB032D"/>
    <w:rsid w:val="09F2640F"/>
    <w:rsid w:val="0A067C3B"/>
    <w:rsid w:val="0A461507"/>
    <w:rsid w:val="0A887B1D"/>
    <w:rsid w:val="0ADE38FD"/>
    <w:rsid w:val="0B217CEC"/>
    <w:rsid w:val="0B317F8F"/>
    <w:rsid w:val="0B3E7C46"/>
    <w:rsid w:val="0B5036E2"/>
    <w:rsid w:val="0B6643E5"/>
    <w:rsid w:val="0B747064"/>
    <w:rsid w:val="0B754EF6"/>
    <w:rsid w:val="0B8230A3"/>
    <w:rsid w:val="0BFB1AD5"/>
    <w:rsid w:val="0C7E427E"/>
    <w:rsid w:val="0CA05FA3"/>
    <w:rsid w:val="0CD45C4C"/>
    <w:rsid w:val="0D037946"/>
    <w:rsid w:val="0D2564A8"/>
    <w:rsid w:val="0DC43F13"/>
    <w:rsid w:val="0DFA2BFE"/>
    <w:rsid w:val="0E4D64C8"/>
    <w:rsid w:val="0E9B7F18"/>
    <w:rsid w:val="0EDC547B"/>
    <w:rsid w:val="0F443124"/>
    <w:rsid w:val="0F512AC0"/>
    <w:rsid w:val="0F621C35"/>
    <w:rsid w:val="0F640E0F"/>
    <w:rsid w:val="0F734171"/>
    <w:rsid w:val="0FC14BAE"/>
    <w:rsid w:val="0FDF3286"/>
    <w:rsid w:val="0FE95324"/>
    <w:rsid w:val="10233173"/>
    <w:rsid w:val="10370A0C"/>
    <w:rsid w:val="10FB7B84"/>
    <w:rsid w:val="11581701"/>
    <w:rsid w:val="11983F16"/>
    <w:rsid w:val="119E69F0"/>
    <w:rsid w:val="11C12C43"/>
    <w:rsid w:val="11E569CB"/>
    <w:rsid w:val="11E93F48"/>
    <w:rsid w:val="12034DF2"/>
    <w:rsid w:val="1209283C"/>
    <w:rsid w:val="12211934"/>
    <w:rsid w:val="123E18C8"/>
    <w:rsid w:val="12745F08"/>
    <w:rsid w:val="12D521DD"/>
    <w:rsid w:val="12D839D1"/>
    <w:rsid w:val="12E804D5"/>
    <w:rsid w:val="12EC3B28"/>
    <w:rsid w:val="13215580"/>
    <w:rsid w:val="132650F8"/>
    <w:rsid w:val="133576D0"/>
    <w:rsid w:val="13394A5B"/>
    <w:rsid w:val="136452C0"/>
    <w:rsid w:val="13662376"/>
    <w:rsid w:val="13751F1A"/>
    <w:rsid w:val="13906D71"/>
    <w:rsid w:val="13A10F7E"/>
    <w:rsid w:val="13B710B6"/>
    <w:rsid w:val="14184FB8"/>
    <w:rsid w:val="142A4914"/>
    <w:rsid w:val="1461426A"/>
    <w:rsid w:val="14800779"/>
    <w:rsid w:val="148447EE"/>
    <w:rsid w:val="14AB38D4"/>
    <w:rsid w:val="15415E49"/>
    <w:rsid w:val="15504E1F"/>
    <w:rsid w:val="155F001F"/>
    <w:rsid w:val="157D7A67"/>
    <w:rsid w:val="168E69B2"/>
    <w:rsid w:val="169C3C7F"/>
    <w:rsid w:val="16CE53F5"/>
    <w:rsid w:val="16D50F3F"/>
    <w:rsid w:val="173B3498"/>
    <w:rsid w:val="17B374D2"/>
    <w:rsid w:val="181300B2"/>
    <w:rsid w:val="18296142"/>
    <w:rsid w:val="183C1F53"/>
    <w:rsid w:val="188A5A9D"/>
    <w:rsid w:val="18C56D3B"/>
    <w:rsid w:val="18D771F0"/>
    <w:rsid w:val="18F17B7A"/>
    <w:rsid w:val="19571313"/>
    <w:rsid w:val="19D779EC"/>
    <w:rsid w:val="19E219ED"/>
    <w:rsid w:val="1A0C4C78"/>
    <w:rsid w:val="1A180016"/>
    <w:rsid w:val="1A3259AD"/>
    <w:rsid w:val="1A345F7C"/>
    <w:rsid w:val="1A432DD4"/>
    <w:rsid w:val="1AAE72A7"/>
    <w:rsid w:val="1B053056"/>
    <w:rsid w:val="1BC31CAE"/>
    <w:rsid w:val="1C1451B2"/>
    <w:rsid w:val="1C2629F1"/>
    <w:rsid w:val="1C517F83"/>
    <w:rsid w:val="1E0C2A73"/>
    <w:rsid w:val="1E201112"/>
    <w:rsid w:val="1E3A477C"/>
    <w:rsid w:val="1EEA0D43"/>
    <w:rsid w:val="1EF415B4"/>
    <w:rsid w:val="1F170BE0"/>
    <w:rsid w:val="1F841754"/>
    <w:rsid w:val="20BC03EC"/>
    <w:rsid w:val="20C20786"/>
    <w:rsid w:val="21012D4E"/>
    <w:rsid w:val="21014D2E"/>
    <w:rsid w:val="215658B1"/>
    <w:rsid w:val="219A4905"/>
    <w:rsid w:val="22173671"/>
    <w:rsid w:val="22511181"/>
    <w:rsid w:val="229248DE"/>
    <w:rsid w:val="22BA1565"/>
    <w:rsid w:val="232C7111"/>
    <w:rsid w:val="232F19D7"/>
    <w:rsid w:val="234467AB"/>
    <w:rsid w:val="237F4FDE"/>
    <w:rsid w:val="23A9020B"/>
    <w:rsid w:val="23E9380B"/>
    <w:rsid w:val="240A3215"/>
    <w:rsid w:val="2432177F"/>
    <w:rsid w:val="243A7A59"/>
    <w:rsid w:val="24433734"/>
    <w:rsid w:val="2455546D"/>
    <w:rsid w:val="24763AB7"/>
    <w:rsid w:val="24E707BB"/>
    <w:rsid w:val="25020536"/>
    <w:rsid w:val="25033A80"/>
    <w:rsid w:val="255B3E00"/>
    <w:rsid w:val="25732620"/>
    <w:rsid w:val="25A14BA2"/>
    <w:rsid w:val="25ED402C"/>
    <w:rsid w:val="260449B7"/>
    <w:rsid w:val="26107771"/>
    <w:rsid w:val="261B0AA7"/>
    <w:rsid w:val="26437C73"/>
    <w:rsid w:val="26487E79"/>
    <w:rsid w:val="26860885"/>
    <w:rsid w:val="26EE1FC0"/>
    <w:rsid w:val="26FA0563"/>
    <w:rsid w:val="270C6416"/>
    <w:rsid w:val="273238A4"/>
    <w:rsid w:val="273F2A16"/>
    <w:rsid w:val="27441CC8"/>
    <w:rsid w:val="27481510"/>
    <w:rsid w:val="278B6C42"/>
    <w:rsid w:val="27A94840"/>
    <w:rsid w:val="27AC56E3"/>
    <w:rsid w:val="28196E66"/>
    <w:rsid w:val="285100CD"/>
    <w:rsid w:val="285E0D94"/>
    <w:rsid w:val="286979D7"/>
    <w:rsid w:val="2891709F"/>
    <w:rsid w:val="28BB52B5"/>
    <w:rsid w:val="28E107A2"/>
    <w:rsid w:val="29143B49"/>
    <w:rsid w:val="2944442E"/>
    <w:rsid w:val="296B4121"/>
    <w:rsid w:val="29960B9A"/>
    <w:rsid w:val="29CE3CF8"/>
    <w:rsid w:val="2A334FBD"/>
    <w:rsid w:val="2A375458"/>
    <w:rsid w:val="2AB27EDE"/>
    <w:rsid w:val="2B231E21"/>
    <w:rsid w:val="2B245020"/>
    <w:rsid w:val="2B5E72FD"/>
    <w:rsid w:val="2B5F363F"/>
    <w:rsid w:val="2B634FBD"/>
    <w:rsid w:val="2B74267D"/>
    <w:rsid w:val="2B830B12"/>
    <w:rsid w:val="2B920D55"/>
    <w:rsid w:val="2BC628A0"/>
    <w:rsid w:val="2C1B212E"/>
    <w:rsid w:val="2C362F15"/>
    <w:rsid w:val="2C4C57BC"/>
    <w:rsid w:val="2D2B1556"/>
    <w:rsid w:val="2D5221E7"/>
    <w:rsid w:val="2D60110A"/>
    <w:rsid w:val="2D6107C2"/>
    <w:rsid w:val="2DBA5E9D"/>
    <w:rsid w:val="2E24482E"/>
    <w:rsid w:val="2E4A66F8"/>
    <w:rsid w:val="2E8801EE"/>
    <w:rsid w:val="2E9574DA"/>
    <w:rsid w:val="2EC769EE"/>
    <w:rsid w:val="2EDF1E7E"/>
    <w:rsid w:val="2EF531C6"/>
    <w:rsid w:val="2F3A3B86"/>
    <w:rsid w:val="2F94153F"/>
    <w:rsid w:val="2FD440C0"/>
    <w:rsid w:val="2FE87156"/>
    <w:rsid w:val="30071D11"/>
    <w:rsid w:val="301B02BA"/>
    <w:rsid w:val="304F2588"/>
    <w:rsid w:val="30943D2F"/>
    <w:rsid w:val="30E14F91"/>
    <w:rsid w:val="30EF5831"/>
    <w:rsid w:val="312F519A"/>
    <w:rsid w:val="313F45C2"/>
    <w:rsid w:val="31740BD8"/>
    <w:rsid w:val="318E140C"/>
    <w:rsid w:val="31AD68E8"/>
    <w:rsid w:val="31B47023"/>
    <w:rsid w:val="325A081E"/>
    <w:rsid w:val="326571C3"/>
    <w:rsid w:val="3287772F"/>
    <w:rsid w:val="32C61150"/>
    <w:rsid w:val="32D721E1"/>
    <w:rsid w:val="32EF5E01"/>
    <w:rsid w:val="330B38C7"/>
    <w:rsid w:val="3367054F"/>
    <w:rsid w:val="338152D2"/>
    <w:rsid w:val="33904F7E"/>
    <w:rsid w:val="33B201E6"/>
    <w:rsid w:val="342237CC"/>
    <w:rsid w:val="3454129D"/>
    <w:rsid w:val="348C4B17"/>
    <w:rsid w:val="34930D92"/>
    <w:rsid w:val="350D5DEE"/>
    <w:rsid w:val="35164262"/>
    <w:rsid w:val="35266411"/>
    <w:rsid w:val="353D343A"/>
    <w:rsid w:val="35867B20"/>
    <w:rsid w:val="358B5193"/>
    <w:rsid w:val="35A41005"/>
    <w:rsid w:val="366973BA"/>
    <w:rsid w:val="366F23BE"/>
    <w:rsid w:val="369B7EDF"/>
    <w:rsid w:val="36A302BA"/>
    <w:rsid w:val="37AB4837"/>
    <w:rsid w:val="381B0A50"/>
    <w:rsid w:val="386365FA"/>
    <w:rsid w:val="38B042EE"/>
    <w:rsid w:val="391B05DB"/>
    <w:rsid w:val="399A5379"/>
    <w:rsid w:val="3A266863"/>
    <w:rsid w:val="3A653769"/>
    <w:rsid w:val="3AC302AD"/>
    <w:rsid w:val="3BA94498"/>
    <w:rsid w:val="3C0417FB"/>
    <w:rsid w:val="3C107B84"/>
    <w:rsid w:val="3C1622DD"/>
    <w:rsid w:val="3C1A012A"/>
    <w:rsid w:val="3C1E3BBE"/>
    <w:rsid w:val="3C29411D"/>
    <w:rsid w:val="3C5C1637"/>
    <w:rsid w:val="3CA11EFC"/>
    <w:rsid w:val="3D277BF5"/>
    <w:rsid w:val="3D5A3DC8"/>
    <w:rsid w:val="3D8A3F82"/>
    <w:rsid w:val="3DA819B8"/>
    <w:rsid w:val="3DB30D52"/>
    <w:rsid w:val="3DC12254"/>
    <w:rsid w:val="3DD97C8D"/>
    <w:rsid w:val="3DE15F4F"/>
    <w:rsid w:val="3DED78D7"/>
    <w:rsid w:val="3DEE79A0"/>
    <w:rsid w:val="3DFC6C2D"/>
    <w:rsid w:val="3E366731"/>
    <w:rsid w:val="3E3B17BE"/>
    <w:rsid w:val="3E4D2C4B"/>
    <w:rsid w:val="3E4F22C8"/>
    <w:rsid w:val="3E7F135B"/>
    <w:rsid w:val="3E993FCC"/>
    <w:rsid w:val="3EFB0C93"/>
    <w:rsid w:val="3F686C16"/>
    <w:rsid w:val="3FE26263"/>
    <w:rsid w:val="3FE90322"/>
    <w:rsid w:val="3FF971C0"/>
    <w:rsid w:val="408420BB"/>
    <w:rsid w:val="40C17CBA"/>
    <w:rsid w:val="40D33704"/>
    <w:rsid w:val="40F52E9F"/>
    <w:rsid w:val="40FE73AD"/>
    <w:rsid w:val="41197AF6"/>
    <w:rsid w:val="41565937"/>
    <w:rsid w:val="417A5466"/>
    <w:rsid w:val="41C06A10"/>
    <w:rsid w:val="41D00779"/>
    <w:rsid w:val="41E3479F"/>
    <w:rsid w:val="4243478F"/>
    <w:rsid w:val="424C68C3"/>
    <w:rsid w:val="42544D6B"/>
    <w:rsid w:val="42E9148A"/>
    <w:rsid w:val="43137B46"/>
    <w:rsid w:val="43831F55"/>
    <w:rsid w:val="43AF701F"/>
    <w:rsid w:val="43EC7FC3"/>
    <w:rsid w:val="441B5AA4"/>
    <w:rsid w:val="44297E41"/>
    <w:rsid w:val="44374290"/>
    <w:rsid w:val="445D36B1"/>
    <w:rsid w:val="44B37668"/>
    <w:rsid w:val="44CC56D0"/>
    <w:rsid w:val="44D501D8"/>
    <w:rsid w:val="44ED5830"/>
    <w:rsid w:val="44F94751"/>
    <w:rsid w:val="44FB4BBF"/>
    <w:rsid w:val="458F58BE"/>
    <w:rsid w:val="45A34367"/>
    <w:rsid w:val="45EC031F"/>
    <w:rsid w:val="4614088C"/>
    <w:rsid w:val="46FD57C4"/>
    <w:rsid w:val="471562DB"/>
    <w:rsid w:val="4740402F"/>
    <w:rsid w:val="474927B8"/>
    <w:rsid w:val="47A74B69"/>
    <w:rsid w:val="47F80EF3"/>
    <w:rsid w:val="480B4BFD"/>
    <w:rsid w:val="480B4E16"/>
    <w:rsid w:val="481F429E"/>
    <w:rsid w:val="48F05286"/>
    <w:rsid w:val="490A030F"/>
    <w:rsid w:val="49331971"/>
    <w:rsid w:val="49910E74"/>
    <w:rsid w:val="49A716A5"/>
    <w:rsid w:val="49B57605"/>
    <w:rsid w:val="49BE599F"/>
    <w:rsid w:val="49DD71DE"/>
    <w:rsid w:val="49DF11B1"/>
    <w:rsid w:val="4A3D7A56"/>
    <w:rsid w:val="4A875F18"/>
    <w:rsid w:val="4AE20F59"/>
    <w:rsid w:val="4AF37504"/>
    <w:rsid w:val="4B07535B"/>
    <w:rsid w:val="4B1F2BBB"/>
    <w:rsid w:val="4B1F5161"/>
    <w:rsid w:val="4B6B5764"/>
    <w:rsid w:val="4BDC009E"/>
    <w:rsid w:val="4C1F078F"/>
    <w:rsid w:val="4C4902C6"/>
    <w:rsid w:val="4C603682"/>
    <w:rsid w:val="4C707265"/>
    <w:rsid w:val="4CA566E2"/>
    <w:rsid w:val="4CBE5929"/>
    <w:rsid w:val="4D2E10AD"/>
    <w:rsid w:val="4D3B1DE7"/>
    <w:rsid w:val="4D9F4D2C"/>
    <w:rsid w:val="4DA04681"/>
    <w:rsid w:val="4E6B74B7"/>
    <w:rsid w:val="4EFA5CAC"/>
    <w:rsid w:val="4F0A0A7E"/>
    <w:rsid w:val="4F4F5FCB"/>
    <w:rsid w:val="4F72505A"/>
    <w:rsid w:val="4F9F0519"/>
    <w:rsid w:val="4FFC0D0F"/>
    <w:rsid w:val="50002380"/>
    <w:rsid w:val="501D64A6"/>
    <w:rsid w:val="507210BD"/>
    <w:rsid w:val="5080101B"/>
    <w:rsid w:val="50811214"/>
    <w:rsid w:val="50813BBE"/>
    <w:rsid w:val="513749B3"/>
    <w:rsid w:val="515672E9"/>
    <w:rsid w:val="51976B08"/>
    <w:rsid w:val="52020133"/>
    <w:rsid w:val="52151C14"/>
    <w:rsid w:val="524A26A8"/>
    <w:rsid w:val="529945F3"/>
    <w:rsid w:val="52BC4786"/>
    <w:rsid w:val="52D675F5"/>
    <w:rsid w:val="52F70215"/>
    <w:rsid w:val="536310C8"/>
    <w:rsid w:val="537D2167"/>
    <w:rsid w:val="54085ED4"/>
    <w:rsid w:val="544F45AF"/>
    <w:rsid w:val="545A24A8"/>
    <w:rsid w:val="54853CAF"/>
    <w:rsid w:val="54E7744E"/>
    <w:rsid w:val="551A7B61"/>
    <w:rsid w:val="55277EAD"/>
    <w:rsid w:val="554276CD"/>
    <w:rsid w:val="55CA4039"/>
    <w:rsid w:val="55DD6F17"/>
    <w:rsid w:val="55E069DD"/>
    <w:rsid w:val="56443294"/>
    <w:rsid w:val="56960238"/>
    <w:rsid w:val="56D55E16"/>
    <w:rsid w:val="57477E4D"/>
    <w:rsid w:val="577E336E"/>
    <w:rsid w:val="578F1872"/>
    <w:rsid w:val="58287414"/>
    <w:rsid w:val="58D81BED"/>
    <w:rsid w:val="59582C6C"/>
    <w:rsid w:val="595C7E29"/>
    <w:rsid w:val="598633F7"/>
    <w:rsid w:val="59A57D21"/>
    <w:rsid w:val="59CF33D3"/>
    <w:rsid w:val="5A517EA9"/>
    <w:rsid w:val="5A81165A"/>
    <w:rsid w:val="5A8C2AB9"/>
    <w:rsid w:val="5AD37AE0"/>
    <w:rsid w:val="5B0867BA"/>
    <w:rsid w:val="5B0B12A0"/>
    <w:rsid w:val="5B0D5B7E"/>
    <w:rsid w:val="5B115639"/>
    <w:rsid w:val="5BEB658A"/>
    <w:rsid w:val="5BEF797A"/>
    <w:rsid w:val="5BFC15C5"/>
    <w:rsid w:val="5C610E45"/>
    <w:rsid w:val="5CBC3D00"/>
    <w:rsid w:val="5CCB1C73"/>
    <w:rsid w:val="5CE2702C"/>
    <w:rsid w:val="5D1A4582"/>
    <w:rsid w:val="5D743B69"/>
    <w:rsid w:val="5D861C18"/>
    <w:rsid w:val="5DB04DB9"/>
    <w:rsid w:val="5E0464D2"/>
    <w:rsid w:val="5E0B591A"/>
    <w:rsid w:val="5E4C2E61"/>
    <w:rsid w:val="5E7238AF"/>
    <w:rsid w:val="5E817C29"/>
    <w:rsid w:val="5E842182"/>
    <w:rsid w:val="5E8B6BF7"/>
    <w:rsid w:val="5E9B7945"/>
    <w:rsid w:val="5ECC0D90"/>
    <w:rsid w:val="5ECE050B"/>
    <w:rsid w:val="5ECF3E13"/>
    <w:rsid w:val="5EF06D5F"/>
    <w:rsid w:val="5F1E3693"/>
    <w:rsid w:val="5F1E7164"/>
    <w:rsid w:val="5F364B05"/>
    <w:rsid w:val="5FAA1D1A"/>
    <w:rsid w:val="5FFF2150"/>
    <w:rsid w:val="60023C8F"/>
    <w:rsid w:val="6025396A"/>
    <w:rsid w:val="606D70BF"/>
    <w:rsid w:val="60823F80"/>
    <w:rsid w:val="608A3F50"/>
    <w:rsid w:val="60931857"/>
    <w:rsid w:val="60A76942"/>
    <w:rsid w:val="60D34246"/>
    <w:rsid w:val="60E761A9"/>
    <w:rsid w:val="612D1541"/>
    <w:rsid w:val="613A66FA"/>
    <w:rsid w:val="6152018E"/>
    <w:rsid w:val="61B12968"/>
    <w:rsid w:val="61C615ED"/>
    <w:rsid w:val="61CE6D35"/>
    <w:rsid w:val="61D45648"/>
    <w:rsid w:val="620263AB"/>
    <w:rsid w:val="62233A0F"/>
    <w:rsid w:val="623D36E3"/>
    <w:rsid w:val="62BA482D"/>
    <w:rsid w:val="631E5CAD"/>
    <w:rsid w:val="63725D0E"/>
    <w:rsid w:val="638A31EC"/>
    <w:rsid w:val="639018D1"/>
    <w:rsid w:val="63B219B9"/>
    <w:rsid w:val="63ED0C43"/>
    <w:rsid w:val="64177A6E"/>
    <w:rsid w:val="641E0DFC"/>
    <w:rsid w:val="649D0C50"/>
    <w:rsid w:val="64C6241A"/>
    <w:rsid w:val="65077B51"/>
    <w:rsid w:val="650E4DE5"/>
    <w:rsid w:val="6571230A"/>
    <w:rsid w:val="65884052"/>
    <w:rsid w:val="65A23E19"/>
    <w:rsid w:val="65B110E9"/>
    <w:rsid w:val="663568D1"/>
    <w:rsid w:val="664D3C1B"/>
    <w:rsid w:val="66726157"/>
    <w:rsid w:val="66F27A6C"/>
    <w:rsid w:val="68253615"/>
    <w:rsid w:val="68531FFC"/>
    <w:rsid w:val="686A1C23"/>
    <w:rsid w:val="68A872B5"/>
    <w:rsid w:val="68E5013A"/>
    <w:rsid w:val="6906312E"/>
    <w:rsid w:val="69551F42"/>
    <w:rsid w:val="695A0B28"/>
    <w:rsid w:val="695F65F5"/>
    <w:rsid w:val="69AC70EC"/>
    <w:rsid w:val="69C2047C"/>
    <w:rsid w:val="6A085D71"/>
    <w:rsid w:val="6A1D56B2"/>
    <w:rsid w:val="6A5A6906"/>
    <w:rsid w:val="6A5F5CCB"/>
    <w:rsid w:val="6A8169BA"/>
    <w:rsid w:val="6AF74D12"/>
    <w:rsid w:val="6B202806"/>
    <w:rsid w:val="6B2F7D93"/>
    <w:rsid w:val="6BC14379"/>
    <w:rsid w:val="6BEE5558"/>
    <w:rsid w:val="6C787517"/>
    <w:rsid w:val="6C934ED8"/>
    <w:rsid w:val="6C9A4D76"/>
    <w:rsid w:val="6CBF13CB"/>
    <w:rsid w:val="6CDC1854"/>
    <w:rsid w:val="6CE10C19"/>
    <w:rsid w:val="6D6A50B2"/>
    <w:rsid w:val="6D785A21"/>
    <w:rsid w:val="6DA3601F"/>
    <w:rsid w:val="6DD923E6"/>
    <w:rsid w:val="6E023C70"/>
    <w:rsid w:val="6E113780"/>
    <w:rsid w:val="6E281529"/>
    <w:rsid w:val="6E791EB6"/>
    <w:rsid w:val="6EB63FC7"/>
    <w:rsid w:val="6F0137F4"/>
    <w:rsid w:val="6F0366CC"/>
    <w:rsid w:val="6F3E05A4"/>
    <w:rsid w:val="6FA971F0"/>
    <w:rsid w:val="6FBF1C4F"/>
    <w:rsid w:val="6FF3138F"/>
    <w:rsid w:val="6FF56708"/>
    <w:rsid w:val="703A3509"/>
    <w:rsid w:val="70BE1CC1"/>
    <w:rsid w:val="70DD5B9B"/>
    <w:rsid w:val="70F76C5D"/>
    <w:rsid w:val="71167885"/>
    <w:rsid w:val="713F5CFA"/>
    <w:rsid w:val="71665975"/>
    <w:rsid w:val="718B6892"/>
    <w:rsid w:val="718D4B5B"/>
    <w:rsid w:val="719C5A56"/>
    <w:rsid w:val="71BA13EF"/>
    <w:rsid w:val="71E35433"/>
    <w:rsid w:val="71E52F59"/>
    <w:rsid w:val="72133F6A"/>
    <w:rsid w:val="7239317F"/>
    <w:rsid w:val="72541995"/>
    <w:rsid w:val="73041B05"/>
    <w:rsid w:val="737D698E"/>
    <w:rsid w:val="73DF324D"/>
    <w:rsid w:val="73E515B6"/>
    <w:rsid w:val="741A51E1"/>
    <w:rsid w:val="745032CB"/>
    <w:rsid w:val="7479207F"/>
    <w:rsid w:val="747C597A"/>
    <w:rsid w:val="74A40EAA"/>
    <w:rsid w:val="74D15B6D"/>
    <w:rsid w:val="74E4574A"/>
    <w:rsid w:val="75096549"/>
    <w:rsid w:val="751834B0"/>
    <w:rsid w:val="752F5FFD"/>
    <w:rsid w:val="754742BA"/>
    <w:rsid w:val="7548234C"/>
    <w:rsid w:val="754A769E"/>
    <w:rsid w:val="75622B13"/>
    <w:rsid w:val="75675ABF"/>
    <w:rsid w:val="75716319"/>
    <w:rsid w:val="75770645"/>
    <w:rsid w:val="75972BB4"/>
    <w:rsid w:val="767A6F44"/>
    <w:rsid w:val="76A81442"/>
    <w:rsid w:val="76B04A9A"/>
    <w:rsid w:val="771341BE"/>
    <w:rsid w:val="771A43CC"/>
    <w:rsid w:val="775743C4"/>
    <w:rsid w:val="776668EA"/>
    <w:rsid w:val="77C737E6"/>
    <w:rsid w:val="77F77FB7"/>
    <w:rsid w:val="782C7B34"/>
    <w:rsid w:val="78B25EE0"/>
    <w:rsid w:val="78DA7590"/>
    <w:rsid w:val="78DD2BDC"/>
    <w:rsid w:val="7908577F"/>
    <w:rsid w:val="79450781"/>
    <w:rsid w:val="79800339"/>
    <w:rsid w:val="79C87163"/>
    <w:rsid w:val="79D57D57"/>
    <w:rsid w:val="79E852B0"/>
    <w:rsid w:val="79E87A8A"/>
    <w:rsid w:val="7A3443FD"/>
    <w:rsid w:val="7A523A3A"/>
    <w:rsid w:val="7A5549F4"/>
    <w:rsid w:val="7B476B4B"/>
    <w:rsid w:val="7BA95770"/>
    <w:rsid w:val="7C042B76"/>
    <w:rsid w:val="7C201D9F"/>
    <w:rsid w:val="7C75591A"/>
    <w:rsid w:val="7C8F68E3"/>
    <w:rsid w:val="7CA0464C"/>
    <w:rsid w:val="7CA7472C"/>
    <w:rsid w:val="7CB55B91"/>
    <w:rsid w:val="7D0D3FA6"/>
    <w:rsid w:val="7D144A09"/>
    <w:rsid w:val="7D50259B"/>
    <w:rsid w:val="7D5D42EC"/>
    <w:rsid w:val="7D7B0C16"/>
    <w:rsid w:val="7DA129F9"/>
    <w:rsid w:val="7DBA4644"/>
    <w:rsid w:val="7DD27ABB"/>
    <w:rsid w:val="7E4D0E98"/>
    <w:rsid w:val="7ED20D09"/>
    <w:rsid w:val="7EF3464B"/>
    <w:rsid w:val="7F62644E"/>
    <w:rsid w:val="7F934E56"/>
    <w:rsid w:val="7FE94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5"/>
    <w:autoRedefine/>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63"/>
    <w:autoRedefine/>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99"/>
    <w:pPr>
      <w:keepNext/>
      <w:keepLines/>
      <w:spacing w:before="260" w:after="260" w:line="416" w:lineRule="auto"/>
      <w:outlineLvl w:val="2"/>
    </w:pPr>
    <w:rPr>
      <w:b/>
      <w:bCs/>
      <w:sz w:val="32"/>
      <w:szCs w:val="32"/>
    </w:rPr>
  </w:style>
  <w:style w:type="paragraph" w:styleId="6">
    <w:name w:val="heading 4"/>
    <w:basedOn w:val="1"/>
    <w:next w:val="1"/>
    <w:link w:val="64"/>
    <w:autoRedefine/>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5"/>
    <w:autoRedefine/>
    <w:qFormat/>
    <w:uiPriority w:val="99"/>
    <w:pPr>
      <w:keepNext/>
      <w:keepLines/>
      <w:spacing w:before="280" w:after="290" w:line="376" w:lineRule="auto"/>
      <w:outlineLvl w:val="4"/>
    </w:pPr>
    <w:rPr>
      <w:b/>
      <w:bCs/>
      <w:sz w:val="28"/>
      <w:szCs w:val="28"/>
    </w:rPr>
  </w:style>
  <w:style w:type="paragraph" w:styleId="8">
    <w:name w:val="heading 6"/>
    <w:basedOn w:val="1"/>
    <w:next w:val="1"/>
    <w:link w:val="66"/>
    <w:autoRedefine/>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67"/>
    <w:autoRedefine/>
    <w:qFormat/>
    <w:uiPriority w:val="9"/>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68"/>
    <w:autoRedefine/>
    <w:qFormat/>
    <w:uiPriority w:val="9"/>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69"/>
    <w:autoRedefine/>
    <w:qFormat/>
    <w:uiPriority w:val="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83"/>
    <w:autoRedefine/>
    <w:qFormat/>
    <w:uiPriority w:val="0"/>
    <w:pPr>
      <w:spacing w:after="120"/>
      <w:jc w:val="left"/>
    </w:pPr>
    <w:rPr>
      <w:rFonts w:ascii="宋体" w:hAnsi="宋体" w:cs="宋体"/>
      <w:color w:val="FF0000"/>
    </w:rPr>
  </w:style>
  <w:style w:type="paragraph" w:styleId="12">
    <w:name w:val="toc 7"/>
    <w:basedOn w:val="1"/>
    <w:next w:val="1"/>
    <w:autoRedefine/>
    <w:qFormat/>
    <w:uiPriority w:val="39"/>
    <w:pPr>
      <w:ind w:left="1260"/>
      <w:jc w:val="left"/>
    </w:pPr>
    <w:rPr>
      <w:sz w:val="18"/>
      <w:szCs w:val="18"/>
    </w:rPr>
  </w:style>
  <w:style w:type="paragraph" w:styleId="13">
    <w:name w:val="Normal Indent"/>
    <w:basedOn w:val="1"/>
    <w:autoRedefine/>
    <w:qFormat/>
    <w:uiPriority w:val="99"/>
    <w:pPr>
      <w:widowControl/>
      <w:ind w:firstLine="420"/>
      <w:jc w:val="left"/>
    </w:pPr>
    <w:rPr>
      <w:kern w:val="0"/>
      <w:sz w:val="20"/>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70"/>
    <w:autoRedefine/>
    <w:qFormat/>
    <w:uiPriority w:val="99"/>
    <w:pPr>
      <w:shd w:val="clear" w:color="auto" w:fill="000080"/>
    </w:pPr>
  </w:style>
  <w:style w:type="paragraph" w:styleId="16">
    <w:name w:val="annotation text"/>
    <w:basedOn w:val="1"/>
    <w:link w:val="71"/>
    <w:autoRedefine/>
    <w:qFormat/>
    <w:uiPriority w:val="0"/>
    <w:pPr>
      <w:jc w:val="left"/>
    </w:pPr>
  </w:style>
  <w:style w:type="paragraph" w:styleId="17">
    <w:name w:val="Body Text 3"/>
    <w:basedOn w:val="1"/>
    <w:link w:val="72"/>
    <w:autoRedefine/>
    <w:qFormat/>
    <w:uiPriority w:val="0"/>
    <w:rPr>
      <w:rFonts w:ascii="宋体"/>
      <w:sz w:val="24"/>
      <w:szCs w:val="20"/>
    </w:rPr>
  </w:style>
  <w:style w:type="paragraph" w:styleId="18">
    <w:name w:val="Body Text"/>
    <w:basedOn w:val="1"/>
    <w:next w:val="1"/>
    <w:autoRedefine/>
    <w:qFormat/>
    <w:uiPriority w:val="99"/>
    <w:pPr>
      <w:spacing w:after="120"/>
    </w:pPr>
  </w:style>
  <w:style w:type="paragraph" w:styleId="19">
    <w:name w:val="Body Text Indent"/>
    <w:basedOn w:val="1"/>
    <w:link w:val="73"/>
    <w:autoRedefine/>
    <w:qFormat/>
    <w:uiPriority w:val="0"/>
    <w:pPr>
      <w:spacing w:line="200" w:lineRule="exact"/>
      <w:ind w:firstLine="301"/>
    </w:pPr>
    <w:rPr>
      <w:rFonts w:ascii="宋体" w:hAnsi="Courier New"/>
      <w:spacing w:val="-4"/>
      <w:sz w:val="18"/>
      <w:szCs w:val="20"/>
    </w:rPr>
  </w:style>
  <w:style w:type="paragraph" w:styleId="20">
    <w:name w:val="Block Text"/>
    <w:basedOn w:val="1"/>
    <w:autoRedefine/>
    <w:qFormat/>
    <w:uiPriority w:val="0"/>
    <w:pPr>
      <w:widowControl/>
      <w:spacing w:after="120" w:line="357" w:lineRule="atLeast"/>
      <w:ind w:left="1440" w:right="1440"/>
      <w:textAlignment w:val="baseline"/>
    </w:pPr>
    <w:rPr>
      <w:color w:val="000000"/>
      <w:kern w:val="0"/>
      <w:szCs w:val="20"/>
      <w:u w:color="000000"/>
    </w:rPr>
  </w:style>
  <w:style w:type="paragraph" w:styleId="21">
    <w:name w:val="index 4"/>
    <w:basedOn w:val="1"/>
    <w:next w:val="1"/>
    <w:autoRedefine/>
    <w:qFormat/>
    <w:uiPriority w:val="99"/>
    <w:pPr>
      <w:ind w:left="600" w:leftChars="600"/>
    </w:pPr>
    <w:rPr>
      <w:szCs w:val="21"/>
    </w:rPr>
  </w:style>
  <w:style w:type="paragraph" w:styleId="22">
    <w:name w:val="toc 5"/>
    <w:basedOn w:val="1"/>
    <w:next w:val="1"/>
    <w:autoRedefine/>
    <w:qFormat/>
    <w:uiPriority w:val="39"/>
    <w:pPr>
      <w:ind w:left="840"/>
      <w:jc w:val="left"/>
    </w:pPr>
    <w:rPr>
      <w:sz w:val="18"/>
      <w:szCs w:val="18"/>
    </w:rPr>
  </w:style>
  <w:style w:type="paragraph" w:styleId="23">
    <w:name w:val="toc 3"/>
    <w:basedOn w:val="1"/>
    <w:next w:val="1"/>
    <w:autoRedefine/>
    <w:qFormat/>
    <w:uiPriority w:val="39"/>
    <w:pPr>
      <w:ind w:left="840" w:leftChars="400"/>
    </w:pPr>
  </w:style>
  <w:style w:type="paragraph" w:styleId="24">
    <w:name w:val="Plain Text"/>
    <w:basedOn w:val="1"/>
    <w:next w:val="1"/>
    <w:link w:val="74"/>
    <w:autoRedefine/>
    <w:qFormat/>
    <w:uiPriority w:val="0"/>
    <w:rPr>
      <w:rFonts w:ascii="宋体" w:hAnsi="Courier New"/>
      <w:szCs w:val="20"/>
    </w:rPr>
  </w:style>
  <w:style w:type="paragraph" w:styleId="25">
    <w:name w:val="toc 8"/>
    <w:basedOn w:val="1"/>
    <w:next w:val="1"/>
    <w:autoRedefine/>
    <w:qFormat/>
    <w:uiPriority w:val="39"/>
    <w:pPr>
      <w:ind w:left="1470"/>
      <w:jc w:val="left"/>
    </w:pPr>
    <w:rPr>
      <w:sz w:val="18"/>
      <w:szCs w:val="18"/>
    </w:rPr>
  </w:style>
  <w:style w:type="paragraph" w:styleId="26">
    <w:name w:val="Date"/>
    <w:basedOn w:val="1"/>
    <w:next w:val="1"/>
    <w:link w:val="75"/>
    <w:autoRedefine/>
    <w:qFormat/>
    <w:uiPriority w:val="99"/>
    <w:pPr>
      <w:ind w:left="100" w:leftChars="2500"/>
    </w:pPr>
  </w:style>
  <w:style w:type="paragraph" w:styleId="27">
    <w:name w:val="Body Text Indent 2"/>
    <w:basedOn w:val="1"/>
    <w:link w:val="76"/>
    <w:autoRedefine/>
    <w:qFormat/>
    <w:uiPriority w:val="99"/>
    <w:pPr>
      <w:spacing w:after="120" w:line="480" w:lineRule="auto"/>
      <w:ind w:left="420" w:leftChars="200"/>
    </w:pPr>
  </w:style>
  <w:style w:type="paragraph" w:styleId="28">
    <w:name w:val="Balloon Text"/>
    <w:basedOn w:val="1"/>
    <w:link w:val="77"/>
    <w:autoRedefine/>
    <w:semiHidden/>
    <w:qFormat/>
    <w:uiPriority w:val="99"/>
    <w:rPr>
      <w:sz w:val="18"/>
      <w:szCs w:val="18"/>
    </w:rPr>
  </w:style>
  <w:style w:type="paragraph" w:styleId="29">
    <w:name w:val="footer"/>
    <w:basedOn w:val="1"/>
    <w:next w:val="1"/>
    <w:link w:val="78"/>
    <w:autoRedefine/>
    <w:qFormat/>
    <w:uiPriority w:val="99"/>
    <w:pPr>
      <w:tabs>
        <w:tab w:val="center" w:pos="4153"/>
        <w:tab w:val="right" w:pos="8306"/>
      </w:tabs>
      <w:snapToGrid w:val="0"/>
      <w:jc w:val="left"/>
    </w:pPr>
    <w:rPr>
      <w:sz w:val="18"/>
      <w:szCs w:val="18"/>
    </w:rPr>
  </w:style>
  <w:style w:type="paragraph" w:styleId="30">
    <w:name w:val="header"/>
    <w:basedOn w:val="1"/>
    <w:link w:val="79"/>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tabs>
        <w:tab w:val="left" w:pos="840"/>
        <w:tab w:val="right" w:leader="dot" w:pos="9628"/>
      </w:tabs>
    </w:pPr>
  </w:style>
  <w:style w:type="paragraph" w:styleId="32">
    <w:name w:val="toc 4"/>
    <w:basedOn w:val="1"/>
    <w:next w:val="1"/>
    <w:autoRedefine/>
    <w:qFormat/>
    <w:uiPriority w:val="39"/>
    <w:pPr>
      <w:ind w:left="630"/>
      <w:jc w:val="left"/>
    </w:pPr>
    <w:rPr>
      <w:sz w:val="18"/>
      <w:szCs w:val="18"/>
    </w:rPr>
  </w:style>
  <w:style w:type="paragraph" w:styleId="33">
    <w:name w:val="Subtitle"/>
    <w:basedOn w:val="1"/>
    <w:next w:val="1"/>
    <w:link w:val="80"/>
    <w:autoRedefine/>
    <w:qFormat/>
    <w:uiPriority w:val="11"/>
    <w:pPr>
      <w:spacing w:before="240" w:after="60" w:line="312" w:lineRule="auto"/>
      <w:jc w:val="center"/>
      <w:outlineLvl w:val="1"/>
    </w:pPr>
    <w:rPr>
      <w:rFonts w:ascii="Cambria" w:hAnsi="Cambria"/>
      <w:b/>
      <w:bCs/>
      <w:kern w:val="28"/>
      <w:sz w:val="32"/>
      <w:szCs w:val="32"/>
    </w:rPr>
  </w:style>
  <w:style w:type="paragraph" w:styleId="34">
    <w:name w:val="footnote text"/>
    <w:basedOn w:val="1"/>
    <w:link w:val="81"/>
    <w:autoRedefine/>
    <w:qFormat/>
    <w:uiPriority w:val="99"/>
    <w:pPr>
      <w:adjustRightInd w:val="0"/>
      <w:spacing w:line="312" w:lineRule="atLeast"/>
      <w:jc w:val="left"/>
      <w:textAlignment w:val="baseline"/>
    </w:pPr>
    <w:rPr>
      <w:kern w:val="0"/>
      <w:sz w:val="18"/>
      <w:szCs w:val="18"/>
    </w:rPr>
  </w:style>
  <w:style w:type="paragraph" w:styleId="35">
    <w:name w:val="toc 6"/>
    <w:basedOn w:val="1"/>
    <w:next w:val="1"/>
    <w:autoRedefine/>
    <w:qFormat/>
    <w:uiPriority w:val="39"/>
    <w:pPr>
      <w:ind w:left="1050"/>
      <w:jc w:val="left"/>
    </w:pPr>
    <w:rPr>
      <w:sz w:val="18"/>
      <w:szCs w:val="18"/>
    </w:rPr>
  </w:style>
  <w:style w:type="paragraph" w:styleId="36">
    <w:name w:val="Body Text Indent 3"/>
    <w:basedOn w:val="1"/>
    <w:link w:val="82"/>
    <w:autoRedefine/>
    <w:qFormat/>
    <w:uiPriority w:val="0"/>
    <w:pPr>
      <w:spacing w:after="120"/>
      <w:ind w:left="420" w:leftChars="200"/>
    </w:pPr>
    <w:rPr>
      <w:sz w:val="16"/>
      <w:szCs w:val="16"/>
    </w:rPr>
  </w:style>
  <w:style w:type="paragraph" w:styleId="37">
    <w:name w:val="toc 2"/>
    <w:basedOn w:val="1"/>
    <w:next w:val="1"/>
    <w:autoRedefine/>
    <w:qFormat/>
    <w:uiPriority w:val="39"/>
    <w:pPr>
      <w:ind w:left="420" w:leftChars="200"/>
    </w:pPr>
  </w:style>
  <w:style w:type="paragraph" w:styleId="38">
    <w:name w:val="toc 9"/>
    <w:basedOn w:val="1"/>
    <w:next w:val="1"/>
    <w:autoRedefine/>
    <w:qFormat/>
    <w:uiPriority w:val="39"/>
    <w:pPr>
      <w:ind w:left="1680"/>
      <w:jc w:val="left"/>
    </w:pPr>
    <w:rPr>
      <w:sz w:val="18"/>
      <w:szCs w:val="18"/>
    </w:rPr>
  </w:style>
  <w:style w:type="paragraph" w:styleId="39">
    <w:name w:val="HTML Preformatted"/>
    <w:basedOn w:val="1"/>
    <w:link w:val="8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0">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1">
    <w:name w:val="index 1"/>
    <w:basedOn w:val="1"/>
    <w:next w:val="1"/>
    <w:autoRedefine/>
    <w:semiHidden/>
    <w:qFormat/>
    <w:uiPriority w:val="0"/>
    <w:pPr>
      <w:spacing w:line="300" w:lineRule="exact"/>
      <w:ind w:firstLine="430" w:firstLineChars="205"/>
    </w:pPr>
    <w:rPr>
      <w:rFonts w:ascii="宋体" w:hAnsi="Courier New"/>
      <w:bCs/>
      <w:szCs w:val="36"/>
    </w:rPr>
  </w:style>
  <w:style w:type="paragraph" w:styleId="42">
    <w:name w:val="Title"/>
    <w:basedOn w:val="1"/>
    <w:link w:val="85"/>
    <w:autoRedefine/>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6"/>
    <w:next w:val="16"/>
    <w:link w:val="86"/>
    <w:autoRedefine/>
    <w:semiHidden/>
    <w:qFormat/>
    <w:uiPriority w:val="99"/>
    <w:rPr>
      <w:b/>
      <w:bCs/>
    </w:rPr>
  </w:style>
  <w:style w:type="table" w:styleId="45">
    <w:name w:val="Table Grid"/>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autoRedefine/>
    <w:qFormat/>
    <w:uiPriority w:val="22"/>
    <w:rPr>
      <w:b/>
      <w:bCs/>
    </w:rPr>
  </w:style>
  <w:style w:type="character" w:styleId="48">
    <w:name w:val="page number"/>
    <w:basedOn w:val="46"/>
    <w:autoRedefine/>
    <w:qFormat/>
    <w:uiPriority w:val="0"/>
  </w:style>
  <w:style w:type="character" w:styleId="49">
    <w:name w:val="FollowedHyperlink"/>
    <w:autoRedefine/>
    <w:qFormat/>
    <w:uiPriority w:val="99"/>
    <w:rPr>
      <w:rFonts w:ascii="Arial" w:hAnsi="Arial" w:eastAsia="黑体"/>
      <w:color w:val="800080"/>
      <w:kern w:val="2"/>
      <w:sz w:val="21"/>
      <w:szCs w:val="21"/>
      <w:u w:val="single"/>
      <w:lang w:val="en-US" w:eastAsia="zh-CN" w:bidi="ar-SA"/>
    </w:rPr>
  </w:style>
  <w:style w:type="character" w:styleId="50">
    <w:name w:val="Emphasis"/>
    <w:autoRedefine/>
    <w:qFormat/>
    <w:uiPriority w:val="99"/>
    <w:rPr>
      <w:color w:val="CC0000"/>
      <w:sz w:val="24"/>
      <w:szCs w:val="24"/>
    </w:rPr>
  </w:style>
  <w:style w:type="character" w:styleId="51">
    <w:name w:val="HTML Definition"/>
    <w:basedOn w:val="46"/>
    <w:autoRedefine/>
    <w:qFormat/>
    <w:uiPriority w:val="0"/>
    <w:rPr>
      <w:i/>
      <w:iCs/>
    </w:rPr>
  </w:style>
  <w:style w:type="character" w:styleId="52">
    <w:name w:val="Hyperlink"/>
    <w:basedOn w:val="46"/>
    <w:autoRedefine/>
    <w:qFormat/>
    <w:uiPriority w:val="99"/>
    <w:rPr>
      <w:color w:val="3177FD"/>
      <w:u w:val="none"/>
    </w:rPr>
  </w:style>
  <w:style w:type="character" w:styleId="53">
    <w:name w:val="HTML Code"/>
    <w:basedOn w:val="46"/>
    <w:autoRedefine/>
    <w:qFormat/>
    <w:uiPriority w:val="0"/>
    <w:rPr>
      <w:rFonts w:hint="default" w:ascii="Consolas" w:hAnsi="Consolas" w:eastAsia="Consolas" w:cs="Consolas"/>
      <w:sz w:val="21"/>
      <w:szCs w:val="21"/>
    </w:rPr>
  </w:style>
  <w:style w:type="character" w:styleId="54">
    <w:name w:val="annotation reference"/>
    <w:autoRedefine/>
    <w:qFormat/>
    <w:uiPriority w:val="0"/>
    <w:rPr>
      <w:sz w:val="21"/>
      <w:szCs w:val="21"/>
    </w:rPr>
  </w:style>
  <w:style w:type="character" w:styleId="55">
    <w:name w:val="HTML Keyboard"/>
    <w:basedOn w:val="46"/>
    <w:autoRedefine/>
    <w:qFormat/>
    <w:uiPriority w:val="0"/>
    <w:rPr>
      <w:rFonts w:ascii="Consolas" w:hAnsi="Consolas" w:eastAsia="Consolas" w:cs="Consolas"/>
      <w:sz w:val="21"/>
      <w:szCs w:val="21"/>
    </w:rPr>
  </w:style>
  <w:style w:type="character" w:styleId="56">
    <w:name w:val="HTML Sample"/>
    <w:basedOn w:val="46"/>
    <w:autoRedefine/>
    <w:qFormat/>
    <w:uiPriority w:val="0"/>
    <w:rPr>
      <w:rFonts w:hint="default" w:ascii="Consolas" w:hAnsi="Consolas" w:eastAsia="Consolas" w:cs="Consolas"/>
      <w:sz w:val="21"/>
      <w:szCs w:val="21"/>
    </w:rPr>
  </w:style>
  <w:style w:type="character" w:customStyle="1" w:styleId="57">
    <w:name w:val="标题 1 Char"/>
    <w:autoRedefine/>
    <w:qFormat/>
    <w:uiPriority w:val="99"/>
    <w:rPr>
      <w:rFonts w:eastAsia="宋体"/>
      <w:b/>
      <w:bCs/>
      <w:kern w:val="44"/>
      <w:sz w:val="44"/>
      <w:szCs w:val="44"/>
      <w:lang w:val="en-US" w:eastAsia="zh-CN" w:bidi="ar-SA"/>
    </w:rPr>
  </w:style>
  <w:style w:type="character" w:customStyle="1" w:styleId="58">
    <w:name w:val="标题 3 Char"/>
    <w:autoRedefine/>
    <w:qFormat/>
    <w:uiPriority w:val="99"/>
    <w:rPr>
      <w:rFonts w:ascii="宋体" w:eastAsia="宋体"/>
      <w:b/>
      <w:bCs/>
      <w:kern w:val="2"/>
      <w:sz w:val="24"/>
      <w:szCs w:val="24"/>
      <w:lang w:val="en-US" w:eastAsia="zh-CN" w:bidi="ar-SA"/>
    </w:rPr>
  </w:style>
  <w:style w:type="character" w:customStyle="1" w:styleId="59">
    <w:name w:val="正文文本 Char"/>
    <w:autoRedefine/>
    <w:qFormat/>
    <w:uiPriority w:val="99"/>
    <w:rPr>
      <w:rFonts w:eastAsia="宋体"/>
      <w:kern w:val="2"/>
      <w:sz w:val="28"/>
      <w:lang w:val="en-US" w:eastAsia="zh-CN" w:bidi="ar-SA"/>
    </w:rPr>
  </w:style>
  <w:style w:type="paragraph" w:customStyle="1" w:styleId="60">
    <w:name w:val="表格文字"/>
    <w:basedOn w:val="1"/>
    <w:autoRedefine/>
    <w:qFormat/>
    <w:uiPriority w:val="0"/>
    <w:pPr>
      <w:adjustRightInd w:val="0"/>
      <w:spacing w:line="420" w:lineRule="atLeast"/>
      <w:jc w:val="left"/>
      <w:textAlignment w:val="baseline"/>
    </w:pPr>
    <w:rPr>
      <w:kern w:val="0"/>
      <w:szCs w:val="20"/>
    </w:rPr>
  </w:style>
  <w:style w:type="paragraph" w:customStyle="1" w:styleId="61">
    <w:name w:val="Default"/>
    <w:autoRedefine/>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2">
    <w:name w:val="BodyText"/>
    <w:basedOn w:val="1"/>
    <w:autoRedefine/>
    <w:qFormat/>
    <w:uiPriority w:val="0"/>
    <w:pPr>
      <w:textAlignment w:val="baseline"/>
    </w:pPr>
    <w:rPr>
      <w:szCs w:val="21"/>
    </w:rPr>
  </w:style>
  <w:style w:type="character" w:customStyle="1" w:styleId="63">
    <w:name w:val="标题 2 Char"/>
    <w:link w:val="4"/>
    <w:autoRedefine/>
    <w:qFormat/>
    <w:locked/>
    <w:uiPriority w:val="99"/>
    <w:rPr>
      <w:rFonts w:ascii="Arial" w:hAnsi="Arial" w:eastAsia="黑体"/>
      <w:b/>
      <w:bCs/>
      <w:kern w:val="2"/>
      <w:sz w:val="32"/>
      <w:szCs w:val="32"/>
    </w:rPr>
  </w:style>
  <w:style w:type="character" w:customStyle="1" w:styleId="64">
    <w:name w:val="标题 4 Char"/>
    <w:link w:val="6"/>
    <w:autoRedefine/>
    <w:qFormat/>
    <w:uiPriority w:val="99"/>
    <w:rPr>
      <w:rFonts w:ascii="Arial" w:hAnsi="Arial" w:eastAsia="黑体"/>
      <w:b/>
      <w:bCs/>
      <w:kern w:val="2"/>
      <w:sz w:val="28"/>
      <w:szCs w:val="28"/>
    </w:rPr>
  </w:style>
  <w:style w:type="character" w:customStyle="1" w:styleId="65">
    <w:name w:val="标题 5 Char"/>
    <w:link w:val="7"/>
    <w:autoRedefine/>
    <w:qFormat/>
    <w:uiPriority w:val="99"/>
    <w:rPr>
      <w:b/>
      <w:bCs/>
      <w:kern w:val="2"/>
      <w:sz w:val="28"/>
      <w:szCs w:val="28"/>
    </w:rPr>
  </w:style>
  <w:style w:type="character" w:customStyle="1" w:styleId="66">
    <w:name w:val="标题 6 Char"/>
    <w:link w:val="8"/>
    <w:autoRedefine/>
    <w:qFormat/>
    <w:uiPriority w:val="9"/>
    <w:rPr>
      <w:rFonts w:ascii="Arial" w:hAnsi="Arial" w:eastAsia="黑体"/>
      <w:b/>
      <w:bCs/>
      <w:sz w:val="24"/>
      <w:szCs w:val="24"/>
    </w:rPr>
  </w:style>
  <w:style w:type="character" w:customStyle="1" w:styleId="67">
    <w:name w:val="标题 7 Char"/>
    <w:link w:val="9"/>
    <w:autoRedefine/>
    <w:qFormat/>
    <w:uiPriority w:val="9"/>
    <w:rPr>
      <w:b/>
      <w:bCs/>
      <w:sz w:val="24"/>
      <w:szCs w:val="24"/>
    </w:rPr>
  </w:style>
  <w:style w:type="character" w:customStyle="1" w:styleId="68">
    <w:name w:val="标题 8 Char"/>
    <w:link w:val="10"/>
    <w:autoRedefine/>
    <w:qFormat/>
    <w:uiPriority w:val="9"/>
    <w:rPr>
      <w:rFonts w:ascii="Arial" w:hAnsi="Arial" w:eastAsia="黑体"/>
      <w:sz w:val="24"/>
      <w:szCs w:val="24"/>
    </w:rPr>
  </w:style>
  <w:style w:type="character" w:customStyle="1" w:styleId="69">
    <w:name w:val="标题 9 Char"/>
    <w:link w:val="11"/>
    <w:autoRedefine/>
    <w:qFormat/>
    <w:uiPriority w:val="9"/>
    <w:rPr>
      <w:rFonts w:ascii="Arial" w:hAnsi="Arial" w:eastAsia="黑体"/>
      <w:sz w:val="21"/>
      <w:szCs w:val="21"/>
    </w:rPr>
  </w:style>
  <w:style w:type="character" w:customStyle="1" w:styleId="70">
    <w:name w:val="文档结构图 Char"/>
    <w:link w:val="15"/>
    <w:autoRedefine/>
    <w:qFormat/>
    <w:uiPriority w:val="99"/>
    <w:rPr>
      <w:kern w:val="2"/>
      <w:sz w:val="21"/>
      <w:szCs w:val="24"/>
      <w:shd w:val="clear" w:color="auto" w:fill="000080"/>
    </w:rPr>
  </w:style>
  <w:style w:type="character" w:customStyle="1" w:styleId="71">
    <w:name w:val="批注文字 Char2"/>
    <w:link w:val="16"/>
    <w:autoRedefine/>
    <w:qFormat/>
    <w:locked/>
    <w:uiPriority w:val="0"/>
    <w:rPr>
      <w:kern w:val="2"/>
      <w:sz w:val="21"/>
      <w:szCs w:val="24"/>
    </w:rPr>
  </w:style>
  <w:style w:type="character" w:customStyle="1" w:styleId="72">
    <w:name w:val="正文文本 3 Char"/>
    <w:link w:val="17"/>
    <w:autoRedefine/>
    <w:qFormat/>
    <w:uiPriority w:val="0"/>
    <w:rPr>
      <w:rFonts w:ascii="宋体"/>
      <w:kern w:val="2"/>
      <w:sz w:val="24"/>
    </w:rPr>
  </w:style>
  <w:style w:type="character" w:customStyle="1" w:styleId="73">
    <w:name w:val="正文文本缩进 Char"/>
    <w:link w:val="19"/>
    <w:autoRedefine/>
    <w:qFormat/>
    <w:locked/>
    <w:uiPriority w:val="0"/>
    <w:rPr>
      <w:rFonts w:ascii="宋体" w:hAnsi="Courier New"/>
      <w:spacing w:val="-4"/>
      <w:kern w:val="2"/>
      <w:sz w:val="18"/>
    </w:rPr>
  </w:style>
  <w:style w:type="character" w:customStyle="1" w:styleId="74">
    <w:name w:val="纯文本 Char"/>
    <w:link w:val="24"/>
    <w:autoRedefine/>
    <w:qFormat/>
    <w:uiPriority w:val="0"/>
    <w:rPr>
      <w:rFonts w:ascii="宋体" w:hAnsi="Courier New" w:eastAsia="宋体"/>
      <w:kern w:val="2"/>
      <w:sz w:val="21"/>
      <w:lang w:val="en-US" w:eastAsia="zh-CN" w:bidi="ar-SA"/>
    </w:rPr>
  </w:style>
  <w:style w:type="character" w:customStyle="1" w:styleId="75">
    <w:name w:val="日期 Char"/>
    <w:link w:val="26"/>
    <w:autoRedefine/>
    <w:qFormat/>
    <w:locked/>
    <w:uiPriority w:val="99"/>
    <w:rPr>
      <w:kern w:val="2"/>
      <w:sz w:val="21"/>
      <w:szCs w:val="24"/>
    </w:rPr>
  </w:style>
  <w:style w:type="character" w:customStyle="1" w:styleId="76">
    <w:name w:val="正文文本缩进 2 Char"/>
    <w:link w:val="27"/>
    <w:autoRedefine/>
    <w:qFormat/>
    <w:locked/>
    <w:uiPriority w:val="99"/>
    <w:rPr>
      <w:kern w:val="2"/>
      <w:sz w:val="21"/>
      <w:szCs w:val="24"/>
    </w:rPr>
  </w:style>
  <w:style w:type="character" w:customStyle="1" w:styleId="77">
    <w:name w:val="批注框文本 Char"/>
    <w:link w:val="28"/>
    <w:autoRedefine/>
    <w:semiHidden/>
    <w:qFormat/>
    <w:locked/>
    <w:uiPriority w:val="99"/>
    <w:rPr>
      <w:kern w:val="2"/>
      <w:sz w:val="18"/>
      <w:szCs w:val="18"/>
    </w:rPr>
  </w:style>
  <w:style w:type="character" w:customStyle="1" w:styleId="78">
    <w:name w:val="页脚 Char"/>
    <w:link w:val="29"/>
    <w:autoRedefine/>
    <w:qFormat/>
    <w:uiPriority w:val="99"/>
    <w:rPr>
      <w:kern w:val="2"/>
      <w:sz w:val="18"/>
      <w:szCs w:val="18"/>
    </w:rPr>
  </w:style>
  <w:style w:type="character" w:customStyle="1" w:styleId="79">
    <w:name w:val="页眉 Char"/>
    <w:link w:val="30"/>
    <w:autoRedefine/>
    <w:qFormat/>
    <w:uiPriority w:val="0"/>
    <w:rPr>
      <w:kern w:val="2"/>
      <w:sz w:val="18"/>
      <w:szCs w:val="18"/>
    </w:rPr>
  </w:style>
  <w:style w:type="character" w:customStyle="1" w:styleId="80">
    <w:name w:val="副标题 Char"/>
    <w:link w:val="33"/>
    <w:autoRedefine/>
    <w:qFormat/>
    <w:uiPriority w:val="11"/>
    <w:rPr>
      <w:rFonts w:ascii="Cambria" w:hAnsi="Cambria"/>
      <w:b/>
      <w:bCs/>
      <w:kern w:val="28"/>
      <w:sz w:val="32"/>
      <w:szCs w:val="32"/>
    </w:rPr>
  </w:style>
  <w:style w:type="character" w:customStyle="1" w:styleId="81">
    <w:name w:val="脚注文本 Char"/>
    <w:link w:val="34"/>
    <w:autoRedefine/>
    <w:qFormat/>
    <w:uiPriority w:val="99"/>
    <w:rPr>
      <w:sz w:val="18"/>
      <w:szCs w:val="18"/>
    </w:rPr>
  </w:style>
  <w:style w:type="character" w:customStyle="1" w:styleId="82">
    <w:name w:val="正文文本缩进 3 Char"/>
    <w:link w:val="36"/>
    <w:autoRedefine/>
    <w:qFormat/>
    <w:uiPriority w:val="0"/>
    <w:rPr>
      <w:kern w:val="2"/>
      <w:sz w:val="16"/>
      <w:szCs w:val="16"/>
    </w:rPr>
  </w:style>
  <w:style w:type="character" w:customStyle="1" w:styleId="83">
    <w:name w:val="正文文本 2 Char"/>
    <w:link w:val="2"/>
    <w:autoRedefine/>
    <w:qFormat/>
    <w:uiPriority w:val="0"/>
    <w:rPr>
      <w:rFonts w:ascii="宋体" w:hAnsi="宋体" w:cs="宋体"/>
      <w:color w:val="FF0000"/>
      <w:kern w:val="2"/>
      <w:sz w:val="21"/>
      <w:szCs w:val="24"/>
    </w:rPr>
  </w:style>
  <w:style w:type="character" w:customStyle="1" w:styleId="84">
    <w:name w:val="HTML 预设格式 Char"/>
    <w:link w:val="39"/>
    <w:autoRedefine/>
    <w:qFormat/>
    <w:uiPriority w:val="0"/>
    <w:rPr>
      <w:rFonts w:ascii="Arial" w:hAnsi="Arial" w:cs="Arial"/>
      <w:sz w:val="24"/>
      <w:szCs w:val="24"/>
    </w:rPr>
  </w:style>
  <w:style w:type="character" w:customStyle="1" w:styleId="85">
    <w:name w:val="标题 Char"/>
    <w:link w:val="42"/>
    <w:autoRedefine/>
    <w:qFormat/>
    <w:uiPriority w:val="99"/>
    <w:rPr>
      <w:rFonts w:ascii="Arial" w:hAnsi="Arial"/>
      <w:b/>
      <w:sz w:val="32"/>
    </w:rPr>
  </w:style>
  <w:style w:type="character" w:customStyle="1" w:styleId="86">
    <w:name w:val="批注主题 Char"/>
    <w:link w:val="43"/>
    <w:autoRedefine/>
    <w:semiHidden/>
    <w:qFormat/>
    <w:locked/>
    <w:uiPriority w:val="99"/>
    <w:rPr>
      <w:b/>
      <w:bCs/>
      <w:kern w:val="2"/>
      <w:sz w:val="21"/>
      <w:szCs w:val="24"/>
    </w:rPr>
  </w:style>
  <w:style w:type="character" w:customStyle="1" w:styleId="87">
    <w:name w:val="Plain Text Char"/>
    <w:autoRedefine/>
    <w:qFormat/>
    <w:uiPriority w:val="99"/>
    <w:rPr>
      <w:rFonts w:ascii="宋体" w:hAnsi="Courier New" w:eastAsia="宋体" w:cs="宋体"/>
      <w:sz w:val="24"/>
      <w:szCs w:val="24"/>
    </w:rPr>
  </w:style>
  <w:style w:type="character" w:customStyle="1" w:styleId="88">
    <w:name w:val="引用 Char1"/>
    <w:autoRedefine/>
    <w:qFormat/>
    <w:uiPriority w:val="99"/>
    <w:rPr>
      <w:rFonts w:ascii="Times New Roman" w:hAnsi="Times New Roman" w:eastAsia="宋体" w:cs="Times New Roman"/>
      <w:i/>
      <w:iCs/>
      <w:color w:val="000000"/>
      <w:sz w:val="24"/>
      <w:szCs w:val="24"/>
    </w:rPr>
  </w:style>
  <w:style w:type="character" w:customStyle="1" w:styleId="89">
    <w:name w:val="Heading 5 Char"/>
    <w:autoRedefine/>
    <w:qFormat/>
    <w:uiPriority w:val="99"/>
    <w:rPr>
      <w:rFonts w:eastAsia="宋体"/>
      <w:b/>
      <w:bCs/>
      <w:kern w:val="2"/>
      <w:sz w:val="28"/>
      <w:szCs w:val="28"/>
      <w:lang w:val="en-US" w:eastAsia="zh-CN"/>
    </w:rPr>
  </w:style>
  <w:style w:type="character" w:customStyle="1" w:styleId="90">
    <w:name w:val="10"/>
    <w:autoRedefine/>
    <w:qFormat/>
    <w:uiPriority w:val="0"/>
  </w:style>
  <w:style w:type="character" w:customStyle="1" w:styleId="91">
    <w:name w:val="cjn1"/>
    <w:autoRedefine/>
    <w:qFormat/>
    <w:uiPriority w:val="0"/>
    <w:rPr>
      <w:rFonts w:ascii="宋体" w:hAnsi="宋体" w:eastAsia="宋体"/>
      <w:spacing w:val="500"/>
      <w:sz w:val="22"/>
      <w:szCs w:val="22"/>
      <w:u w:val="none"/>
    </w:rPr>
  </w:style>
  <w:style w:type="character" w:customStyle="1" w:styleId="92">
    <w:name w:val="NormalCharacter"/>
    <w:autoRedefine/>
    <w:semiHidden/>
    <w:qFormat/>
    <w:uiPriority w:val="0"/>
  </w:style>
  <w:style w:type="character" w:customStyle="1" w:styleId="93">
    <w:name w:val="Footer Char"/>
    <w:autoRedefine/>
    <w:qFormat/>
    <w:uiPriority w:val="99"/>
    <w:rPr>
      <w:rFonts w:eastAsia="宋体"/>
      <w:kern w:val="2"/>
      <w:sz w:val="18"/>
      <w:szCs w:val="18"/>
      <w:lang w:val="en-US" w:eastAsia="zh-CN"/>
    </w:rPr>
  </w:style>
  <w:style w:type="character" w:customStyle="1" w:styleId="94">
    <w:name w:val="Comment Text Char"/>
    <w:autoRedefine/>
    <w:qFormat/>
    <w:uiPriority w:val="99"/>
    <w:rPr>
      <w:sz w:val="24"/>
      <w:szCs w:val="24"/>
    </w:rPr>
  </w:style>
  <w:style w:type="character" w:customStyle="1" w:styleId="95">
    <w:name w:val="Char Char20"/>
    <w:autoRedefine/>
    <w:qFormat/>
    <w:uiPriority w:val="99"/>
    <w:rPr>
      <w:rFonts w:ascii="Times New Roman" w:hAnsi="Times New Roman" w:eastAsia="宋体" w:cs="Times New Roman"/>
      <w:b/>
      <w:bCs/>
      <w:sz w:val="32"/>
      <w:szCs w:val="32"/>
    </w:rPr>
  </w:style>
  <w:style w:type="character" w:customStyle="1" w:styleId="96">
    <w:name w:val="Char Char18"/>
    <w:autoRedefine/>
    <w:qFormat/>
    <w:uiPriority w:val="99"/>
    <w:rPr>
      <w:rFonts w:ascii="Times New Roman" w:hAnsi="Times New Roman" w:eastAsia="宋体" w:cs="Times New Roman"/>
      <w:b/>
      <w:bCs/>
      <w:sz w:val="28"/>
      <w:szCs w:val="28"/>
    </w:rPr>
  </w:style>
  <w:style w:type="character" w:customStyle="1" w:styleId="97">
    <w:name w:val="Comment Text Char1"/>
    <w:autoRedefine/>
    <w:qFormat/>
    <w:uiPriority w:val="99"/>
    <w:rPr>
      <w:sz w:val="24"/>
      <w:szCs w:val="24"/>
    </w:rPr>
  </w:style>
  <w:style w:type="character" w:customStyle="1" w:styleId="98">
    <w:name w:val="textcontents"/>
    <w:autoRedefine/>
    <w:qFormat/>
    <w:uiPriority w:val="99"/>
  </w:style>
  <w:style w:type="character" w:customStyle="1" w:styleId="99">
    <w:name w:val="Char Char22"/>
    <w:autoRedefine/>
    <w:qFormat/>
    <w:uiPriority w:val="99"/>
    <w:rPr>
      <w:rFonts w:ascii="Times New Roman" w:hAnsi="Times New Roman" w:eastAsia="宋体" w:cs="Times New Roman"/>
      <w:b/>
      <w:bCs/>
      <w:kern w:val="44"/>
      <w:sz w:val="44"/>
      <w:szCs w:val="44"/>
    </w:rPr>
  </w:style>
  <w:style w:type="character" w:customStyle="1" w:styleId="100">
    <w:name w:val="Char Char181"/>
    <w:autoRedefine/>
    <w:qFormat/>
    <w:uiPriority w:val="99"/>
    <w:rPr>
      <w:b/>
      <w:bCs/>
      <w:kern w:val="44"/>
      <w:sz w:val="44"/>
      <w:szCs w:val="44"/>
    </w:rPr>
  </w:style>
  <w:style w:type="character" w:customStyle="1" w:styleId="101">
    <w:name w:val="Footnote Text Char"/>
    <w:autoRedefine/>
    <w:qFormat/>
    <w:uiPriority w:val="99"/>
    <w:rPr>
      <w:rFonts w:eastAsia="宋体"/>
      <w:sz w:val="18"/>
      <w:szCs w:val="18"/>
      <w:lang w:val="en-US" w:eastAsia="zh-CN"/>
    </w:rPr>
  </w:style>
  <w:style w:type="character" w:customStyle="1" w:styleId="102">
    <w:name w:val="批注文字 Char"/>
    <w:autoRedefine/>
    <w:qFormat/>
    <w:uiPriority w:val="0"/>
    <w:rPr>
      <w:kern w:val="2"/>
      <w:sz w:val="24"/>
      <w:szCs w:val="24"/>
    </w:rPr>
  </w:style>
  <w:style w:type="character" w:customStyle="1" w:styleId="103">
    <w:name w:val="Heading 4 Char"/>
    <w:autoRedefine/>
    <w:qFormat/>
    <w:uiPriority w:val="99"/>
    <w:rPr>
      <w:rFonts w:ascii="Arial" w:hAnsi="Arial" w:eastAsia="宋体" w:cs="Arial"/>
      <w:b/>
      <w:bCs/>
      <w:kern w:val="2"/>
      <w:sz w:val="28"/>
      <w:szCs w:val="28"/>
      <w:lang w:val="en-US" w:eastAsia="zh-CN"/>
    </w:rPr>
  </w:style>
  <w:style w:type="character" w:customStyle="1" w:styleId="104">
    <w:name w:val="批注框文本 Char1"/>
    <w:autoRedefine/>
    <w:qFormat/>
    <w:uiPriority w:val="99"/>
    <w:rPr>
      <w:rFonts w:ascii="Times New Roman" w:hAnsi="Times New Roman" w:eastAsia="宋体" w:cs="Times New Roman"/>
      <w:sz w:val="18"/>
      <w:szCs w:val="18"/>
    </w:rPr>
  </w:style>
  <w:style w:type="character" w:customStyle="1" w:styleId="105">
    <w:name w:val="Title Char"/>
    <w:autoRedefine/>
    <w:qFormat/>
    <w:uiPriority w:val="99"/>
    <w:rPr>
      <w:rFonts w:ascii="Cambria" w:hAnsi="Cambria" w:cs="Cambria"/>
      <w:b/>
      <w:bCs/>
      <w:sz w:val="32"/>
      <w:szCs w:val="32"/>
    </w:rPr>
  </w:style>
  <w:style w:type="character" w:customStyle="1" w:styleId="106">
    <w:name w:val="font161"/>
    <w:autoRedefine/>
    <w:qFormat/>
    <w:uiPriority w:val="0"/>
    <w:rPr>
      <w:rFonts w:ascii="Arial" w:hAnsi="Arial" w:eastAsia="黑体"/>
      <w:b/>
      <w:bCs/>
      <w:kern w:val="2"/>
      <w:sz w:val="32"/>
      <w:szCs w:val="32"/>
      <w:lang w:val="en-US" w:eastAsia="zh-CN" w:bidi="ar-SA"/>
    </w:rPr>
  </w:style>
  <w:style w:type="character" w:customStyle="1" w:styleId="107">
    <w:name w:val="明显引用 Char"/>
    <w:link w:val="108"/>
    <w:autoRedefine/>
    <w:qFormat/>
    <w:locked/>
    <w:uiPriority w:val="99"/>
    <w:rPr>
      <w:b/>
      <w:bCs/>
      <w:i/>
      <w:iCs/>
      <w:color w:val="4F81BD"/>
    </w:rPr>
  </w:style>
  <w:style w:type="paragraph" w:customStyle="1" w:styleId="108">
    <w:name w:val="明显引用1"/>
    <w:basedOn w:val="1"/>
    <w:next w:val="1"/>
    <w:link w:val="107"/>
    <w:autoRedefine/>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09">
    <w:name w:val="Header Char"/>
    <w:autoRedefine/>
    <w:qFormat/>
    <w:uiPriority w:val="99"/>
    <w:rPr>
      <w:rFonts w:eastAsia="宋体"/>
      <w:kern w:val="2"/>
      <w:sz w:val="18"/>
      <w:szCs w:val="18"/>
      <w:lang w:val="en-US" w:eastAsia="zh-CN"/>
    </w:rPr>
  </w:style>
  <w:style w:type="character" w:customStyle="1" w:styleId="110">
    <w:name w:val="Heading 3 Char"/>
    <w:autoRedefine/>
    <w:qFormat/>
    <w:uiPriority w:val="99"/>
    <w:rPr>
      <w:b/>
      <w:bCs/>
      <w:kern w:val="2"/>
      <w:sz w:val="32"/>
      <w:szCs w:val="32"/>
    </w:rPr>
  </w:style>
  <w:style w:type="character" w:customStyle="1" w:styleId="111">
    <w:name w:val="Heading 1 Char"/>
    <w:autoRedefine/>
    <w:qFormat/>
    <w:uiPriority w:val="99"/>
    <w:rPr>
      <w:rFonts w:eastAsia="宋体"/>
      <w:b/>
      <w:bCs/>
      <w:kern w:val="44"/>
      <w:sz w:val="44"/>
      <w:szCs w:val="44"/>
      <w:lang w:val="en-US" w:eastAsia="zh-CN"/>
    </w:rPr>
  </w:style>
  <w:style w:type="character" w:customStyle="1" w:styleId="112">
    <w:name w:val="标题 Char2"/>
    <w:autoRedefine/>
    <w:qFormat/>
    <w:uiPriority w:val="99"/>
    <w:rPr>
      <w:rFonts w:ascii="Cambria" w:hAnsi="Cambria" w:eastAsia="宋体" w:cs="Cambria"/>
      <w:b/>
      <w:bCs/>
      <w:sz w:val="32"/>
      <w:szCs w:val="32"/>
    </w:rPr>
  </w:style>
  <w:style w:type="character" w:customStyle="1" w:styleId="113">
    <w:name w:val="标题4 Char Char"/>
    <w:link w:val="114"/>
    <w:autoRedefine/>
    <w:qFormat/>
    <w:locked/>
    <w:uiPriority w:val="99"/>
    <w:rPr>
      <w:rFonts w:ascii="Arial" w:hAnsi="Arial" w:cs="Arial"/>
      <w:b/>
      <w:bCs/>
      <w:sz w:val="32"/>
      <w:szCs w:val="32"/>
    </w:rPr>
  </w:style>
  <w:style w:type="paragraph" w:customStyle="1" w:styleId="114">
    <w:name w:val="标题4"/>
    <w:basedOn w:val="4"/>
    <w:next w:val="21"/>
    <w:link w:val="113"/>
    <w:autoRedefine/>
    <w:qFormat/>
    <w:uiPriority w:val="99"/>
    <w:pPr>
      <w:spacing w:before="60" w:after="60" w:line="413" w:lineRule="auto"/>
    </w:pPr>
    <w:rPr>
      <w:rFonts w:eastAsia="宋体"/>
      <w:kern w:val="0"/>
    </w:rPr>
  </w:style>
  <w:style w:type="character" w:customStyle="1" w:styleId="115">
    <w:name w:val="明显强调1"/>
    <w:autoRedefine/>
    <w:qFormat/>
    <w:uiPriority w:val="99"/>
    <w:rPr>
      <w:b/>
      <w:bCs/>
      <w:i/>
      <w:iCs/>
      <w:color w:val="4F81BD"/>
    </w:rPr>
  </w:style>
  <w:style w:type="character" w:customStyle="1" w:styleId="116">
    <w:name w:val="正文文本 Char1"/>
    <w:autoRedefine/>
    <w:qFormat/>
    <w:uiPriority w:val="99"/>
    <w:rPr>
      <w:kern w:val="2"/>
      <w:sz w:val="22"/>
      <w:szCs w:val="22"/>
    </w:rPr>
  </w:style>
  <w:style w:type="character" w:customStyle="1" w:styleId="117">
    <w:name w:val="日期 Char1"/>
    <w:autoRedefine/>
    <w:qFormat/>
    <w:uiPriority w:val="99"/>
    <w:rPr>
      <w:rFonts w:ascii="Times New Roman" w:hAnsi="Times New Roman" w:eastAsia="宋体" w:cs="Times New Roman"/>
      <w:sz w:val="24"/>
      <w:szCs w:val="24"/>
    </w:rPr>
  </w:style>
  <w:style w:type="character" w:customStyle="1" w:styleId="118">
    <w:name w:val="普通文字 Char Char1"/>
    <w:autoRedefine/>
    <w:semiHidden/>
    <w:qFormat/>
    <w:uiPriority w:val="0"/>
    <w:rPr>
      <w:rFonts w:ascii="宋体" w:hAnsi="Courier New" w:eastAsia="宋体"/>
      <w:kern w:val="2"/>
      <w:sz w:val="21"/>
      <w:lang w:val="en-US" w:eastAsia="zh-CN" w:bidi="ar-SA"/>
    </w:rPr>
  </w:style>
  <w:style w:type="character" w:customStyle="1" w:styleId="119">
    <w:name w:val="col-icon8"/>
    <w:autoRedefine/>
    <w:qFormat/>
    <w:uiPriority w:val="0"/>
    <w:rPr>
      <w:shd w:val="clear" w:color="auto" w:fill="FFFFFF"/>
    </w:rPr>
  </w:style>
  <w:style w:type="character" w:customStyle="1" w:styleId="120">
    <w:name w:val="不明显强调1"/>
    <w:autoRedefine/>
    <w:qFormat/>
    <w:uiPriority w:val="99"/>
    <w:rPr>
      <w:i/>
      <w:iCs/>
      <w:color w:val="808080"/>
    </w:rPr>
  </w:style>
  <w:style w:type="character" w:customStyle="1" w:styleId="121">
    <w:name w:val="Char Char21"/>
    <w:autoRedefine/>
    <w:qFormat/>
    <w:uiPriority w:val="99"/>
    <w:rPr>
      <w:rFonts w:ascii="Arial" w:hAnsi="Arial" w:eastAsia="黑体" w:cs="Arial"/>
      <w:b/>
      <w:bCs/>
      <w:sz w:val="32"/>
      <w:szCs w:val="32"/>
    </w:rPr>
  </w:style>
  <w:style w:type="character" w:customStyle="1" w:styleId="122">
    <w:name w:val="Comment Subject Char"/>
    <w:autoRedefine/>
    <w:qFormat/>
    <w:uiPriority w:val="99"/>
    <w:rPr>
      <w:b/>
      <w:bCs/>
      <w:sz w:val="24"/>
      <w:szCs w:val="24"/>
    </w:rPr>
  </w:style>
  <w:style w:type="character" w:customStyle="1" w:styleId="123">
    <w:name w:val="Char Char"/>
    <w:autoRedefine/>
    <w:qFormat/>
    <w:uiPriority w:val="0"/>
    <w:rPr>
      <w:rFonts w:ascii="Arial" w:hAnsi="Arial" w:eastAsia="黑体"/>
      <w:b/>
      <w:bCs/>
      <w:kern w:val="2"/>
      <w:sz w:val="32"/>
      <w:szCs w:val="32"/>
      <w:lang w:val="en-US" w:eastAsia="zh-CN" w:bidi="ar-SA"/>
    </w:rPr>
  </w:style>
  <w:style w:type="character" w:customStyle="1" w:styleId="124">
    <w:name w:val="批注主题 Char1"/>
    <w:autoRedefine/>
    <w:qFormat/>
    <w:uiPriority w:val="99"/>
    <w:rPr>
      <w:rFonts w:ascii="Times New Roman" w:hAnsi="Times New Roman" w:eastAsia="宋体" w:cs="Times New Roman"/>
      <w:b/>
      <w:bCs/>
      <w:sz w:val="24"/>
      <w:szCs w:val="24"/>
    </w:rPr>
  </w:style>
  <w:style w:type="character" w:customStyle="1" w:styleId="125">
    <w:name w:val="Char Char9"/>
    <w:autoRedefine/>
    <w:qFormat/>
    <w:uiPriority w:val="99"/>
    <w:rPr>
      <w:rFonts w:eastAsia="宋体"/>
      <w:b/>
      <w:bCs/>
      <w:kern w:val="44"/>
      <w:sz w:val="44"/>
      <w:szCs w:val="44"/>
      <w:lang w:val="en-US" w:eastAsia="zh-CN"/>
    </w:rPr>
  </w:style>
  <w:style w:type="character" w:customStyle="1" w:styleId="126">
    <w:name w:val="Char Char6"/>
    <w:autoRedefine/>
    <w:qFormat/>
    <w:uiPriority w:val="99"/>
    <w:rPr>
      <w:rFonts w:eastAsia="宋体"/>
      <w:b/>
      <w:bCs/>
      <w:kern w:val="44"/>
      <w:sz w:val="44"/>
      <w:szCs w:val="44"/>
      <w:lang w:val="en-US" w:eastAsia="zh-CN"/>
    </w:rPr>
  </w:style>
  <w:style w:type="character" w:customStyle="1" w:styleId="127">
    <w:name w:val="纯文本 Char2"/>
    <w:autoRedefine/>
    <w:qFormat/>
    <w:uiPriority w:val="0"/>
    <w:rPr>
      <w:rFonts w:ascii="宋体" w:hAnsi="Courier New" w:cs="Courier New"/>
      <w:kern w:val="2"/>
      <w:sz w:val="21"/>
      <w:szCs w:val="21"/>
    </w:rPr>
  </w:style>
  <w:style w:type="character" w:customStyle="1" w:styleId="128">
    <w:name w:val="不明显参考1"/>
    <w:autoRedefine/>
    <w:qFormat/>
    <w:uiPriority w:val="99"/>
    <w:rPr>
      <w:smallCaps/>
      <w:color w:val="auto"/>
      <w:u w:val="single"/>
    </w:rPr>
  </w:style>
  <w:style w:type="character" w:customStyle="1" w:styleId="129">
    <w:name w:val="书籍标题1"/>
    <w:autoRedefine/>
    <w:qFormat/>
    <w:uiPriority w:val="99"/>
    <w:rPr>
      <w:b/>
      <w:bCs/>
      <w:smallCaps/>
      <w:spacing w:val="5"/>
    </w:rPr>
  </w:style>
  <w:style w:type="character" w:customStyle="1" w:styleId="130">
    <w:name w:val="Document Map Char"/>
    <w:autoRedefine/>
    <w:qFormat/>
    <w:uiPriority w:val="99"/>
    <w:rPr>
      <w:rFonts w:eastAsia="宋体"/>
      <w:kern w:val="2"/>
      <w:sz w:val="24"/>
      <w:szCs w:val="24"/>
      <w:lang w:val="en-US" w:eastAsia="zh-CN"/>
    </w:rPr>
  </w:style>
  <w:style w:type="character" w:customStyle="1" w:styleId="131">
    <w:name w:val="Balloon Text Char"/>
    <w:autoRedefine/>
    <w:qFormat/>
    <w:uiPriority w:val="99"/>
    <w:rPr>
      <w:sz w:val="18"/>
      <w:szCs w:val="18"/>
    </w:rPr>
  </w:style>
  <w:style w:type="character" w:customStyle="1" w:styleId="132">
    <w:name w:val="明显参考1"/>
    <w:autoRedefine/>
    <w:qFormat/>
    <w:uiPriority w:val="99"/>
    <w:rPr>
      <w:b/>
      <w:bCs/>
      <w:smallCaps/>
      <w:color w:val="auto"/>
      <w:spacing w:val="5"/>
      <w:u w:val="single"/>
    </w:rPr>
  </w:style>
  <w:style w:type="character" w:customStyle="1" w:styleId="133">
    <w:name w:val="纯文本 Char1"/>
    <w:autoRedefine/>
    <w:qFormat/>
    <w:uiPriority w:val="0"/>
    <w:rPr>
      <w:rFonts w:ascii="宋体" w:hAnsi="Courier New" w:eastAsia="宋体"/>
      <w:b/>
      <w:bCs/>
      <w:kern w:val="2"/>
      <w:sz w:val="21"/>
      <w:szCs w:val="32"/>
      <w:lang w:val="en-US" w:eastAsia="zh-CN" w:bidi="ar-SA"/>
    </w:rPr>
  </w:style>
  <w:style w:type="character" w:customStyle="1" w:styleId="134">
    <w:name w:val="Body Text Indent Char"/>
    <w:autoRedefine/>
    <w:qFormat/>
    <w:uiPriority w:val="99"/>
    <w:rPr>
      <w:rFonts w:ascii="宋体" w:hAnsi="宋体" w:eastAsia="宋体" w:cs="宋体"/>
      <w:kern w:val="2"/>
      <w:sz w:val="21"/>
      <w:szCs w:val="21"/>
      <w:lang w:val="en-US" w:eastAsia="zh-CN"/>
    </w:rPr>
  </w:style>
  <w:style w:type="character" w:customStyle="1" w:styleId="135">
    <w:name w:val="列出段落 Char"/>
    <w:link w:val="136"/>
    <w:autoRedefine/>
    <w:qFormat/>
    <w:uiPriority w:val="0"/>
    <w:rPr>
      <w:rFonts w:ascii="Calibri" w:hAnsi="Calibri"/>
      <w:kern w:val="2"/>
      <w:sz w:val="21"/>
      <w:szCs w:val="22"/>
    </w:rPr>
  </w:style>
  <w:style w:type="paragraph" w:styleId="136">
    <w:name w:val="List Paragraph"/>
    <w:basedOn w:val="1"/>
    <w:link w:val="135"/>
    <w:autoRedefine/>
    <w:qFormat/>
    <w:uiPriority w:val="0"/>
    <w:pPr>
      <w:ind w:firstLine="420" w:firstLineChars="200"/>
    </w:pPr>
    <w:rPr>
      <w:rFonts w:ascii="Calibri" w:hAnsi="Calibri"/>
      <w:szCs w:val="22"/>
    </w:rPr>
  </w:style>
  <w:style w:type="character" w:customStyle="1" w:styleId="137">
    <w:name w:val="文档结构图 Char1"/>
    <w:autoRedefine/>
    <w:qFormat/>
    <w:uiPriority w:val="99"/>
    <w:rPr>
      <w:rFonts w:ascii="宋体" w:hAnsi="Times New Roman" w:eastAsia="宋体" w:cs="宋体"/>
      <w:sz w:val="18"/>
      <w:szCs w:val="18"/>
    </w:rPr>
  </w:style>
  <w:style w:type="character" w:customStyle="1" w:styleId="138">
    <w:name w:val="批注文字 Char Char"/>
    <w:autoRedefine/>
    <w:qFormat/>
    <w:uiPriority w:val="99"/>
    <w:rPr>
      <w:rFonts w:ascii="宋体" w:hAnsi="Times New Roman" w:eastAsia="宋体" w:cs="宋体"/>
      <w:sz w:val="20"/>
      <w:szCs w:val="20"/>
    </w:rPr>
  </w:style>
  <w:style w:type="character" w:customStyle="1" w:styleId="139">
    <w:name w:val="Body Text Indent 2 Char"/>
    <w:autoRedefine/>
    <w:qFormat/>
    <w:uiPriority w:val="99"/>
    <w:rPr>
      <w:rFonts w:eastAsia="宋体"/>
      <w:kern w:val="2"/>
      <w:sz w:val="24"/>
      <w:szCs w:val="24"/>
      <w:lang w:val="en-US" w:eastAsia="zh-CN"/>
    </w:rPr>
  </w:style>
  <w:style w:type="character" w:customStyle="1" w:styleId="140">
    <w:name w:val="Char Char23"/>
    <w:autoRedefine/>
    <w:qFormat/>
    <w:uiPriority w:val="99"/>
    <w:rPr>
      <w:rFonts w:eastAsia="宋体"/>
      <w:b/>
      <w:bCs/>
      <w:kern w:val="44"/>
      <w:sz w:val="44"/>
      <w:szCs w:val="44"/>
      <w:lang w:val="en-US" w:eastAsia="zh-CN"/>
    </w:rPr>
  </w:style>
  <w:style w:type="character" w:customStyle="1" w:styleId="141">
    <w:name w:val="批注文字 Char1"/>
    <w:autoRedefine/>
    <w:qFormat/>
    <w:uiPriority w:val="99"/>
    <w:rPr>
      <w:rFonts w:ascii="Times New Roman" w:hAnsi="Times New Roman" w:eastAsia="宋体" w:cs="Times New Roman"/>
      <w:sz w:val="24"/>
      <w:szCs w:val="24"/>
    </w:rPr>
  </w:style>
  <w:style w:type="character" w:customStyle="1" w:styleId="142">
    <w:name w:val="引用 Char"/>
    <w:link w:val="143"/>
    <w:autoRedefine/>
    <w:qFormat/>
    <w:locked/>
    <w:uiPriority w:val="99"/>
    <w:rPr>
      <w:i/>
      <w:iCs/>
      <w:color w:val="000000"/>
    </w:rPr>
  </w:style>
  <w:style w:type="paragraph" w:customStyle="1" w:styleId="143">
    <w:name w:val="引用1"/>
    <w:basedOn w:val="1"/>
    <w:next w:val="1"/>
    <w:link w:val="142"/>
    <w:autoRedefine/>
    <w:qFormat/>
    <w:uiPriority w:val="99"/>
    <w:rPr>
      <w:i/>
      <w:iCs/>
      <w:color w:val="000000"/>
      <w:kern w:val="0"/>
      <w:sz w:val="20"/>
      <w:szCs w:val="20"/>
    </w:rPr>
  </w:style>
  <w:style w:type="character" w:customStyle="1" w:styleId="144">
    <w:name w:val="Date Char"/>
    <w:autoRedefine/>
    <w:qFormat/>
    <w:uiPriority w:val="99"/>
    <w:rPr>
      <w:rFonts w:eastAsia="宋体"/>
      <w:kern w:val="2"/>
      <w:sz w:val="24"/>
      <w:szCs w:val="24"/>
      <w:lang w:val="en-US" w:eastAsia="zh-CN"/>
    </w:rPr>
  </w:style>
  <w:style w:type="character" w:customStyle="1" w:styleId="145">
    <w:name w:val="Heading 2 Char"/>
    <w:autoRedefine/>
    <w:qFormat/>
    <w:uiPriority w:val="99"/>
    <w:rPr>
      <w:rFonts w:ascii="Arial" w:hAnsi="Arial" w:eastAsia="黑体" w:cs="Arial"/>
      <w:b/>
      <w:bCs/>
      <w:kern w:val="2"/>
      <w:sz w:val="32"/>
      <w:szCs w:val="32"/>
      <w:lang w:val="en-US" w:eastAsia="zh-CN"/>
    </w:rPr>
  </w:style>
  <w:style w:type="character" w:customStyle="1" w:styleId="146">
    <w:name w:val="正文文本 3 Char1"/>
    <w:autoRedefine/>
    <w:qFormat/>
    <w:uiPriority w:val="0"/>
    <w:rPr>
      <w:kern w:val="2"/>
      <w:sz w:val="16"/>
      <w:szCs w:val="16"/>
    </w:rPr>
  </w:style>
  <w:style w:type="character" w:customStyle="1" w:styleId="147">
    <w:name w:val="Char Char19"/>
    <w:autoRedefine/>
    <w:qFormat/>
    <w:uiPriority w:val="99"/>
    <w:rPr>
      <w:rFonts w:ascii="Arial" w:hAnsi="Arial" w:eastAsia="宋体" w:cs="Arial"/>
      <w:b/>
      <w:bCs/>
      <w:sz w:val="28"/>
      <w:szCs w:val="28"/>
    </w:rPr>
  </w:style>
  <w:style w:type="character" w:customStyle="1" w:styleId="148">
    <w:name w:val="font5 Char"/>
    <w:autoRedefine/>
    <w:qFormat/>
    <w:uiPriority w:val="0"/>
    <w:rPr>
      <w:rFonts w:ascii="宋体" w:hAnsi="宋体" w:eastAsia="宋体"/>
      <w:sz w:val="24"/>
      <w:szCs w:val="24"/>
      <w:lang w:val="en-US" w:eastAsia="zh-CN" w:bidi="ar-SA"/>
    </w:rPr>
  </w:style>
  <w:style w:type="character" w:customStyle="1" w:styleId="149">
    <w:name w:val="标题5 Char Char"/>
    <w:link w:val="150"/>
    <w:autoRedefine/>
    <w:qFormat/>
    <w:locked/>
    <w:uiPriority w:val="99"/>
    <w:rPr>
      <w:rFonts w:ascii="Arial" w:hAnsi="Arial" w:cs="Arial"/>
      <w:b/>
      <w:bCs/>
      <w:sz w:val="32"/>
      <w:szCs w:val="32"/>
    </w:rPr>
  </w:style>
  <w:style w:type="paragraph" w:customStyle="1" w:styleId="150">
    <w:name w:val="标题5"/>
    <w:basedOn w:val="5"/>
    <w:link w:val="149"/>
    <w:autoRedefine/>
    <w:qFormat/>
    <w:uiPriority w:val="99"/>
    <w:pPr>
      <w:spacing w:line="413" w:lineRule="auto"/>
    </w:pPr>
    <w:rPr>
      <w:rFonts w:ascii="Arial" w:hAnsi="Arial"/>
      <w:kern w:val="0"/>
    </w:rPr>
  </w:style>
  <w:style w:type="character" w:customStyle="1" w:styleId="151">
    <w:name w:val="Char Char24"/>
    <w:autoRedefine/>
    <w:qFormat/>
    <w:uiPriority w:val="99"/>
    <w:rPr>
      <w:rFonts w:eastAsia="宋体"/>
      <w:b/>
      <w:bCs/>
      <w:kern w:val="44"/>
      <w:sz w:val="44"/>
      <w:szCs w:val="44"/>
      <w:lang w:val="en-US" w:eastAsia="zh-CN"/>
    </w:rPr>
  </w:style>
  <w:style w:type="character" w:customStyle="1" w:styleId="152">
    <w:name w:val="Heading 3 Char1"/>
    <w:autoRedefine/>
    <w:qFormat/>
    <w:uiPriority w:val="99"/>
    <w:rPr>
      <w:rFonts w:eastAsia="宋体"/>
      <w:b/>
      <w:bCs/>
      <w:kern w:val="2"/>
      <w:sz w:val="32"/>
      <w:szCs w:val="32"/>
      <w:lang w:val="en-US" w:eastAsia="zh-CN"/>
    </w:rPr>
  </w:style>
  <w:style w:type="character" w:customStyle="1" w:styleId="153">
    <w:name w:val="标题 Char1"/>
    <w:autoRedefine/>
    <w:qFormat/>
    <w:uiPriority w:val="99"/>
    <w:rPr>
      <w:rFonts w:ascii="Cambria" w:hAnsi="Cambria" w:eastAsia="宋体" w:cs="Cambria"/>
      <w:b/>
      <w:bCs/>
      <w:sz w:val="32"/>
      <w:szCs w:val="32"/>
    </w:rPr>
  </w:style>
  <w:style w:type="character" w:customStyle="1" w:styleId="154">
    <w:name w:val="明显引用 Char1"/>
    <w:autoRedefine/>
    <w:qFormat/>
    <w:uiPriority w:val="99"/>
    <w:rPr>
      <w:rFonts w:ascii="Times New Roman" w:hAnsi="Times New Roman" w:eastAsia="宋体" w:cs="Times New Roman"/>
      <w:b/>
      <w:bCs/>
      <w:i/>
      <w:iCs/>
      <w:color w:val="4F81BD"/>
      <w:sz w:val="24"/>
      <w:szCs w:val="24"/>
    </w:rPr>
  </w:style>
  <w:style w:type="character" w:customStyle="1" w:styleId="155">
    <w:name w:val="Char Char91"/>
    <w:autoRedefine/>
    <w:qFormat/>
    <w:uiPriority w:val="99"/>
    <w:rPr>
      <w:rFonts w:eastAsia="宋体"/>
      <w:b/>
      <w:bCs/>
      <w:kern w:val="44"/>
      <w:sz w:val="44"/>
      <w:szCs w:val="44"/>
      <w:lang w:val="en-US" w:eastAsia="zh-CN"/>
    </w:rPr>
  </w:style>
  <w:style w:type="paragraph" w:customStyle="1" w:styleId="156">
    <w:name w:val="表头"/>
    <w:basedOn w:val="1"/>
    <w:autoRedefine/>
    <w:qFormat/>
    <w:uiPriority w:val="0"/>
    <w:pPr>
      <w:spacing w:line="300" w:lineRule="auto"/>
      <w:jc w:val="center"/>
    </w:pPr>
    <w:rPr>
      <w:rFonts w:eastAsia="黑体" w:cs="华文细黑"/>
      <w:color w:val="000000"/>
    </w:rPr>
  </w:style>
  <w:style w:type="paragraph" w:customStyle="1" w:styleId="157">
    <w:name w:val="Char Char Char Char Char Char Char"/>
    <w:basedOn w:val="1"/>
    <w:autoRedefine/>
    <w:qFormat/>
    <w:uiPriority w:val="0"/>
  </w:style>
  <w:style w:type="paragraph" w:customStyle="1" w:styleId="158">
    <w:name w:val="Normal_0"/>
    <w:basedOn w:val="159"/>
    <w:autoRedefine/>
    <w:qFormat/>
    <w:uiPriority w:val="0"/>
    <w:pPr>
      <w:widowControl/>
      <w:spacing w:line="384" w:lineRule="auto"/>
      <w:jc w:val="left"/>
    </w:pPr>
    <w:rPr>
      <w:rFonts w:ascii="宋体" w:hAnsi="宋体" w:cs="宋体"/>
      <w:kern w:val="0"/>
      <w:sz w:val="24"/>
      <w:szCs w:val="24"/>
    </w:rPr>
  </w:style>
  <w:style w:type="paragraph" w:customStyle="1" w:styleId="159">
    <w:name w:val="正文_0"/>
    <w:basedOn w:val="160"/>
    <w:autoRedefine/>
    <w:qFormat/>
    <w:uiPriority w:val="0"/>
    <w:rPr>
      <w:rFonts w:ascii="Calibri" w:hAnsi="Calibri"/>
      <w:szCs w:val="22"/>
    </w:rPr>
  </w:style>
  <w:style w:type="paragraph" w:customStyle="1" w:styleId="160">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61">
    <w:name w:val="xl34"/>
    <w:basedOn w:val="1"/>
    <w:autoRedefine/>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162">
    <w:name w:val="样式1"/>
    <w:basedOn w:val="1"/>
    <w:next w:val="6"/>
    <w:autoRedefine/>
    <w:qFormat/>
    <w:uiPriority w:val="99"/>
    <w:pPr>
      <w:spacing w:line="360" w:lineRule="auto"/>
      <w:ind w:firstLine="420" w:firstLineChars="200"/>
    </w:pPr>
    <w:rPr>
      <w:rFonts w:ascii="宋体" w:hAnsi="宋体" w:cs="宋体"/>
      <w:szCs w:val="21"/>
    </w:rPr>
  </w:style>
  <w:style w:type="paragraph" w:customStyle="1" w:styleId="16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164">
    <w:name w:val="z-窗体顶端1"/>
    <w:basedOn w:val="1"/>
    <w:next w:val="1"/>
    <w:autoRedefine/>
    <w:qFormat/>
    <w:uiPriority w:val="0"/>
    <w:pPr>
      <w:widowControl/>
      <w:pBdr>
        <w:bottom w:val="single" w:color="auto" w:sz="6" w:space="1"/>
      </w:pBdr>
      <w:jc w:val="center"/>
    </w:pPr>
    <w:rPr>
      <w:rFonts w:ascii="Arial" w:hAnsi="Arial" w:cs="Arial"/>
      <w:vanish/>
      <w:color w:val="000000"/>
      <w:kern w:val="0"/>
      <w:sz w:val="16"/>
      <w:szCs w:val="16"/>
    </w:rPr>
  </w:style>
  <w:style w:type="paragraph" w:customStyle="1" w:styleId="165">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6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67">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2-2ji"/>
    <w:basedOn w:val="4"/>
    <w:autoRedefine/>
    <w:qFormat/>
    <w:uiPriority w:val="99"/>
    <w:pPr>
      <w:spacing w:before="0" w:after="0" w:line="360" w:lineRule="auto"/>
      <w:jc w:val="center"/>
    </w:pPr>
    <w:rPr>
      <w:rFonts w:ascii="宋体" w:hAnsi="宋体" w:eastAsia="宋体" w:cs="宋体"/>
      <w:sz w:val="36"/>
      <w:szCs w:val="36"/>
      <w:lang w:val="zh-CN"/>
    </w:rPr>
  </w:style>
  <w:style w:type="paragraph" w:customStyle="1" w:styleId="169">
    <w:name w:val="Char Char Char2 Char"/>
    <w:basedOn w:val="1"/>
    <w:autoRedefine/>
    <w:qFormat/>
    <w:uiPriority w:val="0"/>
    <w:pPr>
      <w:tabs>
        <w:tab w:val="left" w:pos="815"/>
      </w:tabs>
      <w:ind w:left="815" w:hanging="360"/>
    </w:pPr>
  </w:style>
  <w:style w:type="paragraph" w:customStyle="1" w:styleId="17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17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72">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73">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174">
    <w:name w:val="简单回函地址"/>
    <w:basedOn w:val="1"/>
    <w:autoRedefine/>
    <w:qFormat/>
    <w:uiPriority w:val="0"/>
    <w:rPr>
      <w:rFonts w:ascii="仿宋_GB2312" w:hAnsi="宋体" w:eastAsia="仿宋_GB2312"/>
      <w:bCs/>
      <w:sz w:val="30"/>
      <w:szCs w:val="20"/>
    </w:rPr>
  </w:style>
  <w:style w:type="paragraph" w:customStyle="1" w:styleId="175">
    <w:name w:val="TOC 标题1"/>
    <w:basedOn w:val="3"/>
    <w:next w:val="1"/>
    <w:autoRedefine/>
    <w:qFormat/>
    <w:uiPriority w:val="99"/>
    <w:pPr>
      <w:spacing w:line="576" w:lineRule="auto"/>
      <w:outlineLvl w:val="9"/>
    </w:pPr>
    <w:rPr>
      <w:rFonts w:ascii="Calibri" w:hAnsi="Calibri" w:eastAsia="黑体" w:cs="Calibri"/>
      <w:lang w:val="zh-CN"/>
    </w:rPr>
  </w:style>
  <w:style w:type="paragraph" w:customStyle="1" w:styleId="176">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77">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178">
    <w:name w:val="font8"/>
    <w:basedOn w:val="1"/>
    <w:autoRedefine/>
    <w:qFormat/>
    <w:uiPriority w:val="0"/>
    <w:pPr>
      <w:widowControl/>
      <w:spacing w:before="100" w:beforeAutospacing="1" w:after="100" w:afterAutospacing="1"/>
      <w:jc w:val="left"/>
    </w:pPr>
    <w:rPr>
      <w:rFonts w:hint="eastAsia" w:ascii="宋体" w:hAnsi="宋体"/>
      <w:kern w:val="0"/>
      <w:sz w:val="40"/>
      <w:szCs w:val="40"/>
    </w:rPr>
  </w:style>
  <w:style w:type="paragraph" w:customStyle="1" w:styleId="17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180">
    <w:name w:val="xl44"/>
    <w:basedOn w:val="1"/>
    <w:autoRedefine/>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181">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82">
    <w:name w:val="font6"/>
    <w:basedOn w:val="1"/>
    <w:autoRedefine/>
    <w:qFormat/>
    <w:uiPriority w:val="0"/>
    <w:pPr>
      <w:widowControl/>
      <w:spacing w:before="100" w:beforeAutospacing="1" w:after="100" w:afterAutospacing="1"/>
      <w:jc w:val="left"/>
    </w:pPr>
    <w:rPr>
      <w:kern w:val="0"/>
      <w:sz w:val="24"/>
    </w:rPr>
  </w:style>
  <w:style w:type="paragraph" w:customStyle="1" w:styleId="183">
    <w:name w:val="表"/>
    <w:basedOn w:val="1"/>
    <w:autoRedefine/>
    <w:qFormat/>
    <w:uiPriority w:val="0"/>
    <w:pPr>
      <w:spacing w:line="300" w:lineRule="auto"/>
    </w:pPr>
    <w:rPr>
      <w:color w:val="000000"/>
      <w:szCs w:val="21"/>
    </w:rPr>
  </w:style>
  <w:style w:type="paragraph" w:customStyle="1" w:styleId="184">
    <w:name w:val="font9"/>
    <w:basedOn w:val="1"/>
    <w:autoRedefine/>
    <w:qFormat/>
    <w:uiPriority w:val="0"/>
    <w:pPr>
      <w:widowControl/>
      <w:spacing w:before="100" w:beforeAutospacing="1" w:after="100" w:afterAutospacing="1"/>
      <w:jc w:val="left"/>
    </w:pPr>
    <w:rPr>
      <w:kern w:val="0"/>
      <w:sz w:val="40"/>
      <w:szCs w:val="40"/>
    </w:rPr>
  </w:style>
  <w:style w:type="paragraph" w:customStyle="1" w:styleId="185">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8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8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18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89">
    <w:name w:val="样式 行距: 固定值 25 磅"/>
    <w:basedOn w:val="1"/>
    <w:autoRedefine/>
    <w:qFormat/>
    <w:uiPriority w:val="0"/>
    <w:pPr>
      <w:spacing w:line="500" w:lineRule="exact"/>
    </w:pPr>
    <w:rPr>
      <w:rFonts w:cs="宋体"/>
      <w:sz w:val="28"/>
      <w:szCs w:val="20"/>
    </w:rPr>
  </w:style>
  <w:style w:type="paragraph" w:customStyle="1" w:styleId="190">
    <w:name w:val="Char Char Char Char Char Char Char Char Char1 Char Char Char Char Char Char Char Char Char Char Char Char Char"/>
    <w:basedOn w:val="3"/>
    <w:autoRedefine/>
    <w:qFormat/>
    <w:uiPriority w:val="0"/>
    <w:pPr>
      <w:snapToGrid w:val="0"/>
      <w:spacing w:before="240" w:after="240" w:line="348" w:lineRule="auto"/>
    </w:pPr>
  </w:style>
  <w:style w:type="paragraph" w:customStyle="1" w:styleId="191">
    <w:name w:val="表格"/>
    <w:basedOn w:val="1"/>
    <w:autoRedefine/>
    <w:qFormat/>
    <w:uiPriority w:val="0"/>
    <w:pPr>
      <w:jc w:val="center"/>
      <w:textAlignment w:val="center"/>
    </w:pPr>
    <w:rPr>
      <w:rFonts w:ascii="华文细黑" w:hAnsi="华文细黑"/>
      <w:kern w:val="0"/>
      <w:szCs w:val="20"/>
    </w:rPr>
  </w:style>
  <w:style w:type="paragraph" w:customStyle="1" w:styleId="192">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93">
    <w:name w:val="标题2"/>
    <w:basedOn w:val="4"/>
    <w:next w:val="1"/>
    <w:autoRedefine/>
    <w:qFormat/>
    <w:uiPriority w:val="0"/>
    <w:pPr>
      <w:snapToGrid w:val="0"/>
      <w:spacing w:before="120" w:after="120" w:line="240" w:lineRule="auto"/>
      <w:jc w:val="left"/>
    </w:pPr>
    <w:rPr>
      <w:b w:val="0"/>
      <w:bCs w:val="0"/>
      <w:sz w:val="21"/>
      <w:szCs w:val="21"/>
    </w:rPr>
  </w:style>
  <w:style w:type="paragraph" w:customStyle="1" w:styleId="194">
    <w:name w:val="正文段"/>
    <w:basedOn w:val="1"/>
    <w:autoRedefine/>
    <w:qFormat/>
    <w:uiPriority w:val="0"/>
    <w:pPr>
      <w:widowControl/>
      <w:snapToGrid w:val="0"/>
      <w:spacing w:afterLines="50"/>
      <w:ind w:firstLine="200" w:firstLineChars="200"/>
    </w:pPr>
    <w:rPr>
      <w:kern w:val="0"/>
      <w:sz w:val="24"/>
      <w:szCs w:val="20"/>
    </w:rPr>
  </w:style>
  <w:style w:type="paragraph" w:customStyle="1" w:styleId="195">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196">
    <w:name w:val="p0"/>
    <w:basedOn w:val="1"/>
    <w:autoRedefine/>
    <w:qFormat/>
    <w:uiPriority w:val="99"/>
    <w:pPr>
      <w:widowControl/>
      <w:spacing w:before="100" w:beforeAutospacing="1" w:after="100" w:afterAutospacing="1" w:line="312" w:lineRule="auto"/>
      <w:jc w:val="left"/>
    </w:pPr>
    <w:rPr>
      <w:rFonts w:ascii="宋体" w:hAnsi="宋体" w:cs="宋体"/>
      <w:kern w:val="0"/>
      <w:sz w:val="24"/>
    </w:rPr>
  </w:style>
  <w:style w:type="paragraph" w:customStyle="1" w:styleId="197">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98">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19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200">
    <w:name w:val="1"/>
    <w:basedOn w:val="1"/>
    <w:next w:val="24"/>
    <w:autoRedefine/>
    <w:qFormat/>
    <w:uiPriority w:val="99"/>
    <w:rPr>
      <w:rFonts w:ascii="宋体" w:hAnsi="Courier New"/>
      <w:szCs w:val="20"/>
    </w:rPr>
  </w:style>
  <w:style w:type="paragraph" w:customStyle="1" w:styleId="201">
    <w:name w:val="文件目录"/>
    <w:basedOn w:val="1"/>
    <w:autoRedefine/>
    <w:qFormat/>
    <w:uiPriority w:val="0"/>
    <w:pPr>
      <w:spacing w:line="600" w:lineRule="exact"/>
      <w:jc w:val="left"/>
    </w:pPr>
    <w:rPr>
      <w:b/>
      <w:sz w:val="30"/>
      <w:szCs w:val="20"/>
    </w:rPr>
  </w:style>
  <w:style w:type="paragraph" w:customStyle="1" w:styleId="202">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203">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204">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05">
    <w:name w:val="Char Char Char Char Char Char Char Char Char Char Char Char Char Char Char Char Char Char Char"/>
    <w:basedOn w:val="1"/>
    <w:autoRedefine/>
    <w:semiHidden/>
    <w:qFormat/>
    <w:uiPriority w:val="0"/>
  </w:style>
  <w:style w:type="paragraph" w:customStyle="1" w:styleId="206">
    <w:name w:val="_Style 37"/>
    <w:basedOn w:val="1"/>
    <w:next w:val="1"/>
    <w:autoRedefine/>
    <w:qFormat/>
    <w:uiPriority w:val="99"/>
    <w:rPr>
      <w:szCs w:val="21"/>
    </w:rPr>
  </w:style>
  <w:style w:type="paragraph" w:customStyle="1" w:styleId="207">
    <w:name w:val="正文文本 21"/>
    <w:basedOn w:val="1"/>
    <w:autoRedefine/>
    <w:qFormat/>
    <w:uiPriority w:val="0"/>
    <w:pPr>
      <w:adjustRightInd w:val="0"/>
      <w:spacing w:line="460" w:lineRule="exact"/>
      <w:ind w:firstLine="635"/>
      <w:jc w:val="left"/>
      <w:textAlignment w:val="baseline"/>
    </w:pPr>
    <w:rPr>
      <w:sz w:val="28"/>
      <w:szCs w:val="20"/>
    </w:rPr>
  </w:style>
  <w:style w:type="paragraph" w:customStyle="1" w:styleId="20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09">
    <w:name w:val="text"/>
    <w:basedOn w:val="1"/>
    <w:autoRedefine/>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210">
    <w:name w:val="Char1"/>
    <w:basedOn w:val="1"/>
    <w:autoRedefine/>
    <w:qFormat/>
    <w:uiPriority w:val="99"/>
    <w:pPr>
      <w:widowControl/>
      <w:spacing w:after="160" w:line="240" w:lineRule="exact"/>
      <w:jc w:val="left"/>
    </w:pPr>
    <w:rPr>
      <w:szCs w:val="21"/>
    </w:rPr>
  </w:style>
  <w:style w:type="paragraph" w:customStyle="1" w:styleId="211">
    <w:name w:val="p17"/>
    <w:basedOn w:val="1"/>
    <w:autoRedefine/>
    <w:qFormat/>
    <w:uiPriority w:val="0"/>
    <w:pPr>
      <w:widowControl/>
      <w:spacing w:before="100" w:beforeAutospacing="1" w:after="100" w:afterAutospacing="1" w:line="312" w:lineRule="auto"/>
      <w:jc w:val="left"/>
    </w:pPr>
    <w:rPr>
      <w:rFonts w:ascii="宋体" w:hAnsi="宋体" w:cs="宋体"/>
      <w:kern w:val="0"/>
      <w:sz w:val="24"/>
    </w:rPr>
  </w:style>
  <w:style w:type="paragraph" w:customStyle="1" w:styleId="212">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213">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14">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215">
    <w:name w:val="文件标题"/>
    <w:basedOn w:val="1"/>
    <w:autoRedefine/>
    <w:qFormat/>
    <w:uiPriority w:val="0"/>
    <w:pPr>
      <w:jc w:val="center"/>
    </w:pPr>
    <w:rPr>
      <w:b/>
      <w:sz w:val="36"/>
      <w:szCs w:val="20"/>
    </w:rPr>
  </w:style>
  <w:style w:type="paragraph" w:customStyle="1" w:styleId="216">
    <w:name w:val="head1"/>
    <w:basedOn w:val="1"/>
    <w:autoRedefine/>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217">
    <w:name w:val="xl4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21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9">
    <w:name w:val="xl31"/>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22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221">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22">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223">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224">
    <w:name w:val="5 Char Char Char Char Char Char Char Char Char Char"/>
    <w:basedOn w:val="1"/>
    <w:autoRedefine/>
    <w:qFormat/>
    <w:uiPriority w:val="0"/>
  </w:style>
  <w:style w:type="paragraph" w:customStyle="1" w:styleId="225">
    <w:name w:val="合同正文"/>
    <w:basedOn w:val="1"/>
    <w:autoRedefine/>
    <w:qFormat/>
    <w:uiPriority w:val="0"/>
    <w:pPr>
      <w:adjustRightInd w:val="0"/>
      <w:spacing w:line="580" w:lineRule="exact"/>
    </w:pPr>
    <w:rPr>
      <w:b/>
      <w:sz w:val="24"/>
      <w:szCs w:val="20"/>
    </w:rPr>
  </w:style>
  <w:style w:type="paragraph" w:customStyle="1" w:styleId="226">
    <w:name w:val="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2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22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29">
    <w:name w:val="纯文本1"/>
    <w:basedOn w:val="1"/>
    <w:autoRedefine/>
    <w:qFormat/>
    <w:uiPriority w:val="0"/>
    <w:pPr>
      <w:adjustRightInd w:val="0"/>
      <w:jc w:val="left"/>
      <w:textAlignment w:val="baseline"/>
    </w:pPr>
    <w:rPr>
      <w:rFonts w:ascii="宋体" w:hAnsi="Courier New"/>
      <w:szCs w:val="20"/>
    </w:rPr>
  </w:style>
  <w:style w:type="paragraph" w:customStyle="1" w:styleId="230">
    <w:name w:val="列出段落1"/>
    <w:basedOn w:val="1"/>
    <w:autoRedefine/>
    <w:qFormat/>
    <w:uiPriority w:val="99"/>
    <w:pPr>
      <w:ind w:firstLine="420" w:firstLineChars="200"/>
    </w:pPr>
    <w:rPr>
      <w:rFonts w:ascii="Calibri" w:hAnsi="Calibri" w:cs="Calibri"/>
      <w:szCs w:val="21"/>
    </w:rPr>
  </w:style>
  <w:style w:type="paragraph" w:customStyle="1" w:styleId="231">
    <w:name w:val="xl45"/>
    <w:basedOn w:val="1"/>
    <w:autoRedefine/>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232">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233">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34">
    <w:name w:val="默认段落字体 Para Char Char Char Char Char Char Char"/>
    <w:basedOn w:val="1"/>
    <w:autoRedefine/>
    <w:qFormat/>
    <w:uiPriority w:val="0"/>
    <w:pPr>
      <w:adjustRightInd w:val="0"/>
      <w:spacing w:line="360" w:lineRule="auto"/>
      <w:ind w:left="200" w:hanging="200" w:hangingChars="200"/>
    </w:pPr>
    <w:rPr>
      <w:kern w:val="0"/>
      <w:sz w:val="24"/>
      <w:szCs w:val="20"/>
    </w:rPr>
  </w:style>
  <w:style w:type="paragraph" w:customStyle="1" w:styleId="235">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cs="宋体"/>
      <w:b w:val="0"/>
      <w:bCs w:val="0"/>
      <w:sz w:val="28"/>
      <w:szCs w:val="20"/>
    </w:rPr>
  </w:style>
  <w:style w:type="paragraph" w:customStyle="1" w:styleId="236">
    <w:name w:val="Char2"/>
    <w:basedOn w:val="1"/>
    <w:autoRedefine/>
    <w:qFormat/>
    <w:uiPriority w:val="0"/>
    <w:pPr>
      <w:snapToGrid w:val="0"/>
      <w:spacing w:line="360" w:lineRule="auto"/>
      <w:ind w:firstLine="200" w:firstLineChars="200"/>
    </w:pPr>
    <w:rPr>
      <w:rFonts w:ascii="Arial" w:hAnsi="Arial" w:eastAsia="黑体"/>
      <w:szCs w:val="21"/>
    </w:rPr>
  </w:style>
  <w:style w:type="paragraph" w:customStyle="1" w:styleId="237">
    <w:name w:val="Char Char Char Char Char Char Char1"/>
    <w:basedOn w:val="1"/>
    <w:autoRedefine/>
    <w:qFormat/>
    <w:uiPriority w:val="99"/>
    <w:pPr>
      <w:widowControl/>
      <w:spacing w:after="160" w:line="240" w:lineRule="exact"/>
      <w:jc w:val="left"/>
    </w:pPr>
    <w:rPr>
      <w:szCs w:val="21"/>
    </w:rPr>
  </w:style>
  <w:style w:type="paragraph" w:customStyle="1" w:styleId="23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239">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0">
    <w:name w:val="列出段落2"/>
    <w:basedOn w:val="1"/>
    <w:autoRedefine/>
    <w:qFormat/>
    <w:uiPriority w:val="99"/>
    <w:pPr>
      <w:ind w:firstLine="420" w:firstLineChars="200"/>
    </w:pPr>
    <w:rPr>
      <w:rFonts w:ascii="Calibri" w:hAnsi="Calibri" w:cs="Calibri"/>
      <w:szCs w:val="21"/>
    </w:rPr>
  </w:style>
  <w:style w:type="paragraph" w:customStyle="1" w:styleId="241">
    <w:name w:val="样式 标题 3 + (中文) 黑体 小四 非加粗 段前: 7.8 磅 段后: 0 磅 行距: 固定值 20 磅"/>
    <w:basedOn w:val="5"/>
    <w:autoRedefine/>
    <w:qFormat/>
    <w:uiPriority w:val="99"/>
    <w:pPr>
      <w:spacing w:before="0" w:after="0" w:line="400" w:lineRule="exact"/>
      <w:jc w:val="center"/>
    </w:pPr>
    <w:rPr>
      <w:rFonts w:ascii="宋体" w:hAnsi="宋体" w:eastAsia="黑体" w:cs="宋体"/>
      <w:b w:val="0"/>
      <w:bCs w:val="0"/>
      <w:kern w:val="0"/>
      <w:sz w:val="24"/>
      <w:szCs w:val="20"/>
    </w:rPr>
  </w:style>
  <w:style w:type="paragraph" w:customStyle="1" w:styleId="242">
    <w:name w:val="正文_2"/>
    <w:next w:val="24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3">
    <w:name w:val="纯文本_1"/>
    <w:basedOn w:val="242"/>
    <w:next w:val="242"/>
    <w:autoRedefine/>
    <w:qFormat/>
    <w:uiPriority w:val="0"/>
    <w:rPr>
      <w:rFonts w:ascii="宋体" w:hAnsi="Courier New" w:cs="宋体"/>
      <w:sz w:val="24"/>
      <w:szCs w:val="24"/>
    </w:rPr>
  </w:style>
  <w:style w:type="paragraph" w:customStyle="1" w:styleId="244">
    <w:name w:val="Char Char1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45">
    <w:name w:val="Char Char Char Char Char Char Char Char Char Char"/>
    <w:basedOn w:val="1"/>
    <w:autoRedefine/>
    <w:qFormat/>
    <w:uiPriority w:val="0"/>
  </w:style>
  <w:style w:type="paragraph" w:customStyle="1" w:styleId="246">
    <w:name w:val="."/>
    <w:basedOn w:val="1"/>
    <w:autoRedefine/>
    <w:qFormat/>
    <w:uiPriority w:val="0"/>
    <w:pPr>
      <w:widowControl/>
      <w:numPr>
        <w:ilvl w:val="0"/>
        <w:numId w:val="1"/>
      </w:numPr>
      <w:overflowPunct w:val="0"/>
      <w:autoSpaceDE w:val="0"/>
      <w:autoSpaceDN w:val="0"/>
      <w:adjustRightInd w:val="0"/>
      <w:spacing w:before="60" w:after="60" w:line="264" w:lineRule="auto"/>
      <w:ind w:left="1135" w:hanging="284"/>
      <w:textAlignment w:val="baseline"/>
    </w:pPr>
    <w:rPr>
      <w:rFonts w:ascii="宋体"/>
      <w:kern w:val="0"/>
      <w:sz w:val="24"/>
      <w:szCs w:val="20"/>
    </w:rPr>
  </w:style>
  <w:style w:type="character" w:customStyle="1" w:styleId="247">
    <w:name w:val="bookmark-item"/>
    <w:autoRedefine/>
    <w:qFormat/>
    <w:uiPriority w:val="0"/>
  </w:style>
  <w:style w:type="paragraph" w:customStyle="1" w:styleId="248">
    <w:name w:val="Normal_1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49">
    <w:name w:val="纯文本 Char3"/>
    <w:autoRedefine/>
    <w:qFormat/>
    <w:uiPriority w:val="0"/>
    <w:rPr>
      <w:rFonts w:ascii="宋体" w:hAnsi="Courier New" w:eastAsia="宋体" w:cs="Courier New"/>
      <w:kern w:val="2"/>
      <w:sz w:val="21"/>
      <w:szCs w:val="21"/>
      <w:lang w:val="en-US" w:eastAsia="zh-CN" w:bidi="ar-SA"/>
    </w:rPr>
  </w:style>
  <w:style w:type="paragraph" w:styleId="25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Blockquote"/>
    <w:basedOn w:val="1"/>
    <w:autoRedefine/>
    <w:qFormat/>
    <w:uiPriority w:val="0"/>
    <w:pPr>
      <w:adjustRightInd w:val="0"/>
      <w:spacing w:before="100" w:after="100"/>
      <w:ind w:left="360" w:right="360"/>
    </w:pPr>
    <w:rPr>
      <w:sz w:val="24"/>
    </w:rPr>
  </w:style>
  <w:style w:type="paragraph" w:customStyle="1" w:styleId="252">
    <w:name w:val="Table Paragraph"/>
    <w:basedOn w:val="1"/>
    <w:autoRedefine/>
    <w:qFormat/>
    <w:uiPriority w:val="1"/>
  </w:style>
  <w:style w:type="paragraph" w:customStyle="1" w:styleId="253">
    <w:name w:val="纯文本_0"/>
    <w:basedOn w:val="254"/>
    <w:autoRedefine/>
    <w:qFormat/>
    <w:uiPriority w:val="0"/>
    <w:rPr>
      <w:rFonts w:ascii="宋体" w:hAnsi="Courier New"/>
    </w:rPr>
  </w:style>
  <w:style w:type="paragraph" w:customStyle="1" w:styleId="254">
    <w:name w:val="正文_2_0"/>
    <w:basedOn w:val="255"/>
    <w:autoRedefine/>
    <w:qFormat/>
    <w:uiPriority w:val="0"/>
    <w:rPr>
      <w:szCs w:val="21"/>
    </w:rPr>
  </w:style>
  <w:style w:type="paragraph" w:customStyle="1" w:styleId="255">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PlainText"/>
    <w:basedOn w:val="1"/>
    <w:autoRedefine/>
    <w:qFormat/>
    <w:uiPriority w:val="0"/>
    <w:rPr>
      <w:rFonts w:ascii="宋体" w:hAnsi="Courier New"/>
      <w:szCs w:val="20"/>
    </w:rPr>
  </w:style>
  <w:style w:type="character" w:customStyle="1" w:styleId="257">
    <w:name w:val="ant-radio+*"/>
    <w:basedOn w:val="46"/>
    <w:autoRedefine/>
    <w:qFormat/>
    <w:uiPriority w:val="0"/>
  </w:style>
  <w:style w:type="character" w:customStyle="1" w:styleId="258">
    <w:name w:val="ant-radio+*1"/>
    <w:basedOn w:val="46"/>
    <w:autoRedefine/>
    <w:qFormat/>
    <w:uiPriority w:val="0"/>
  </w:style>
  <w:style w:type="character" w:customStyle="1" w:styleId="259">
    <w:name w:val="first-child1"/>
    <w:basedOn w:val="46"/>
    <w:autoRedefine/>
    <w:qFormat/>
    <w:uiPriority w:val="0"/>
  </w:style>
  <w:style w:type="character" w:customStyle="1" w:styleId="260">
    <w:name w:val="ant-input28"/>
    <w:basedOn w:val="46"/>
    <w:autoRedefine/>
    <w:qFormat/>
    <w:uiPriority w:val="0"/>
  </w:style>
  <w:style w:type="character" w:customStyle="1" w:styleId="261">
    <w:name w:val="last-child"/>
    <w:basedOn w:val="46"/>
    <w:autoRedefine/>
    <w:qFormat/>
    <w:uiPriority w:val="0"/>
  </w:style>
  <w:style w:type="character" w:customStyle="1" w:styleId="262">
    <w:name w:val="ant-select-tree-checkbox"/>
    <w:basedOn w:val="46"/>
    <w:autoRedefine/>
    <w:qFormat/>
    <w:uiPriority w:val="0"/>
  </w:style>
  <w:style w:type="character" w:customStyle="1" w:styleId="263">
    <w:name w:val="ant-select-tree-switcher"/>
    <w:basedOn w:val="46"/>
    <w:autoRedefine/>
    <w:qFormat/>
    <w:uiPriority w:val="0"/>
  </w:style>
  <w:style w:type="character" w:customStyle="1" w:styleId="264">
    <w:name w:val="nc-lang-cnt"/>
    <w:basedOn w:val="46"/>
    <w:autoRedefine/>
    <w:qFormat/>
    <w:uiPriority w:val="0"/>
    <w:rPr>
      <w:rFonts w:hint="cs"/>
      <w:rtl/>
      <w:cs/>
    </w:rPr>
  </w:style>
  <w:style w:type="character" w:customStyle="1" w:styleId="265">
    <w:name w:val="nc-lang-cnt1"/>
    <w:basedOn w:val="46"/>
    <w:autoRedefine/>
    <w:qFormat/>
    <w:uiPriority w:val="0"/>
    <w:rPr>
      <w:rFonts w:hint="cs"/>
      <w:rtl/>
      <w:cs/>
    </w:rPr>
  </w:style>
  <w:style w:type="character" w:customStyle="1" w:styleId="266">
    <w:name w:val="nc-lang-cnt2"/>
    <w:basedOn w:val="46"/>
    <w:autoRedefine/>
    <w:qFormat/>
    <w:uiPriority w:val="0"/>
  </w:style>
  <w:style w:type="character" w:customStyle="1" w:styleId="267">
    <w:name w:val="nc-lang-cnt3"/>
    <w:basedOn w:val="46"/>
    <w:autoRedefine/>
    <w:qFormat/>
    <w:uiPriority w:val="0"/>
  </w:style>
  <w:style w:type="character" w:customStyle="1" w:styleId="268">
    <w:name w:val="nc-lang-cnt4"/>
    <w:basedOn w:val="46"/>
    <w:autoRedefine/>
    <w:qFormat/>
    <w:uiPriority w:val="0"/>
    <w:rPr>
      <w:rFonts w:hint="cs"/>
      <w:rtl/>
      <w:cs/>
    </w:rPr>
  </w:style>
  <w:style w:type="character" w:customStyle="1" w:styleId="269">
    <w:name w:val="nc-lang-cnt5"/>
    <w:basedOn w:val="46"/>
    <w:autoRedefine/>
    <w:qFormat/>
    <w:uiPriority w:val="0"/>
    <w:rPr>
      <w:rFonts w:hint="cs"/>
      <w:rtl/>
      <w:cs/>
    </w:rPr>
  </w:style>
  <w:style w:type="character" w:customStyle="1" w:styleId="270">
    <w:name w:val="nc-lang-cnt6"/>
    <w:basedOn w:val="46"/>
    <w:autoRedefine/>
    <w:qFormat/>
    <w:uiPriority w:val="0"/>
  </w:style>
  <w:style w:type="character" w:customStyle="1" w:styleId="271">
    <w:name w:val="ant-select-tree-iconele"/>
    <w:basedOn w:val="46"/>
    <w:autoRedefine/>
    <w:qFormat/>
    <w:uiPriority w:val="0"/>
  </w:style>
  <w:style w:type="character" w:customStyle="1" w:styleId="272">
    <w:name w:val="ant-table-tbody1"/>
    <w:basedOn w:val="46"/>
    <w:autoRedefine/>
    <w:qFormat/>
    <w:uiPriority w:val="0"/>
  </w:style>
  <w:style w:type="paragraph" w:customStyle="1" w:styleId="273">
    <w:name w:val="标题 1_2"/>
    <w:basedOn w:val="274"/>
    <w:next w:val="274"/>
    <w:autoRedefine/>
    <w:qFormat/>
    <w:uiPriority w:val="0"/>
    <w:rPr>
      <w:b/>
      <w:bCs/>
      <w:kern w:val="0"/>
      <w:sz w:val="32"/>
      <w:szCs w:val="32"/>
    </w:rPr>
  </w:style>
  <w:style w:type="paragraph" w:customStyle="1" w:styleId="274">
    <w:name w:val="正文_4"/>
    <w:basedOn w:val="255"/>
    <w:autoRedefine/>
    <w:qFormat/>
    <w:uiPriority w:val="0"/>
    <w:rPr>
      <w:rFonts w:ascii="Calibri" w:hAnsi="Calibri"/>
    </w:rPr>
  </w:style>
  <w:style w:type="paragraph" w:customStyle="1" w:styleId="275">
    <w:name w:val="正文_7"/>
    <w:basedOn w:val="276"/>
    <w:autoRedefine/>
    <w:qFormat/>
    <w:uiPriority w:val="0"/>
  </w:style>
  <w:style w:type="paragraph" w:customStyle="1" w:styleId="276">
    <w:name w:val="正文_5"/>
    <w:basedOn w:val="277"/>
    <w:next w:val="278"/>
    <w:autoRedefine/>
    <w:qFormat/>
    <w:uiPriority w:val="0"/>
  </w:style>
  <w:style w:type="paragraph" w:customStyle="1" w:styleId="277">
    <w:name w:val="正文_6"/>
    <w:basedOn w:val="242"/>
    <w:autoRedefine/>
    <w:qFormat/>
    <w:uiPriority w:val="0"/>
    <w:rPr>
      <w:rFonts w:cs="宋体"/>
      <w:szCs w:val="21"/>
    </w:rPr>
  </w:style>
  <w:style w:type="paragraph" w:customStyle="1" w:styleId="278">
    <w:name w:val="标题 2_1"/>
    <w:basedOn w:val="276"/>
    <w:next w:val="276"/>
    <w:autoRedefine/>
    <w:qFormat/>
    <w:uiPriority w:val="0"/>
  </w:style>
  <w:style w:type="paragraph" w:customStyle="1" w:styleId="279">
    <w:name w:val="Default_0"/>
    <w:basedOn w:val="242"/>
    <w:autoRedefine/>
    <w:qFormat/>
    <w:uiPriority w:val="0"/>
    <w:pPr>
      <w:autoSpaceDE w:val="0"/>
      <w:autoSpaceDN w:val="0"/>
      <w:adjustRightInd w:val="0"/>
      <w:jc w:val="left"/>
    </w:pPr>
    <w:rPr>
      <w:rFonts w:cs="宋体"/>
      <w:color w:val="000000"/>
      <w:kern w:val="0"/>
      <w:sz w:val="24"/>
      <w:szCs w:val="24"/>
    </w:rPr>
  </w:style>
  <w:style w:type="paragraph" w:customStyle="1" w:styleId="280">
    <w:name w:val="批注文字_0"/>
    <w:basedOn w:val="276"/>
    <w:autoRedefine/>
    <w:semiHidden/>
    <w:qFormat/>
    <w:uiPriority w:val="0"/>
  </w:style>
  <w:style w:type="paragraph" w:customStyle="1" w:styleId="281">
    <w:name w:val="正文_5_0"/>
    <w:basedOn w:val="277"/>
    <w:link w:val="283"/>
    <w:autoRedefine/>
    <w:qFormat/>
    <w:uiPriority w:val="0"/>
  </w:style>
  <w:style w:type="paragraph" w:customStyle="1" w:styleId="282">
    <w:name w:val="reader-word-layer_0"/>
    <w:basedOn w:val="274"/>
    <w:autoRedefine/>
    <w:qFormat/>
    <w:uiPriority w:val="0"/>
  </w:style>
  <w:style w:type="character" w:customStyle="1" w:styleId="283">
    <w:name w:val="正文_5_0 Char"/>
    <w:link w:val="281"/>
    <w:autoRedefine/>
    <w:qFormat/>
    <w:uiPriority w:val="0"/>
  </w:style>
  <w:style w:type="paragraph" w:customStyle="1" w:styleId="284">
    <w:name w:val="正文文本_0"/>
    <w:basedOn w:val="274"/>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character" w:customStyle="1" w:styleId="285">
    <w:name w:val="标题 1 Char1"/>
    <w:link w:val="3"/>
    <w:autoRedefine/>
    <w:qFormat/>
    <w:uiPriority w:val="99"/>
    <w:rPr>
      <w:b/>
      <w:bCs/>
      <w:kern w:val="44"/>
      <w:sz w:val="44"/>
      <w:szCs w:val="44"/>
    </w:rPr>
  </w:style>
  <w:style w:type="paragraph" w:customStyle="1" w:styleId="286">
    <w:name w:val="Table Text"/>
    <w:basedOn w:val="1"/>
    <w:autoRedefine/>
    <w:semiHidden/>
    <w:qFormat/>
    <w:uiPriority w:val="0"/>
    <w:pPr>
      <w:widowControl/>
      <w:kinsoku w:val="0"/>
      <w:autoSpaceDE w:val="0"/>
      <w:autoSpaceDN w:val="0"/>
      <w:adjustRightInd w:val="0"/>
      <w:snapToGrid w:val="0"/>
      <w:jc w:val="left"/>
    </w:pPr>
    <w:rPr>
      <w:rFonts w:ascii="宋体" w:hAnsi="宋体" w:cs="宋体"/>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137</Pages>
  <Words>17041</Words>
  <Characters>18335</Characters>
  <Lines>791</Lines>
  <Paragraphs>222</Paragraphs>
  <TotalTime>51</TotalTime>
  <ScaleCrop>false</ScaleCrop>
  <LinksUpToDate>false</LinksUpToDate>
  <CharactersWithSpaces>20004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2022-03-23T01:58:00Z</dcterms:created>
  <dc:creator>USER</dc:creator>
  <cp:lastModifiedBy>两小姐^_^</cp:lastModifiedBy>
  <cp:lastPrinted>2023-02-24T07:51:00Z</cp:lastPrinted>
  <dcterms:modified xsi:type="dcterms:W3CDTF">2026-06-26T02:36:49Z</dcterms:modified>
  <dc:title>第三章  项目需求</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A0BCE14890F9435785F51F0481DC185D</vt:lpwstr>
  </property>
  <property fmtid="{D5CDD505-2E9C-101B-9397-08002B2CF9AE}" pid="4" name="KSOTemplateDocerSaveRecord">
    <vt:lpwstr>eyJoZGlkIjoiYjM5MmJhMjcyNjNhYjAwMWIwOTgyMTAyMGFlZTA4NDciLCJ1c2VySWQiOiIxMTM0NTMzMzQ2In0=</vt:lpwstr>
  </property>
</Properties>
</file>