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B4835B">
      <w:pPr>
        <w:spacing w:before="223" w:beforeLines="70"/>
        <w:ind w:left="-199" w:leftChars="-95" w:right="63" w:rightChars="30" w:firstLine="770"/>
        <w:rPr>
          <w:rFonts w:hint="eastAsia" w:ascii="宋体" w:hAnsi="宋体" w:cs="宋体"/>
          <w:b/>
          <w:sz w:val="40"/>
          <w:szCs w:val="40"/>
          <w:highlight w:val="none"/>
        </w:rPr>
      </w:pPr>
      <w:bookmarkStart w:id="0" w:name="_Hlt67893495"/>
      <w:bookmarkEnd w:id="0"/>
      <w:r>
        <w:rPr>
          <w:sz w:val="44"/>
          <w:highlight w:val="none"/>
        </w:rPr>
        <mc:AlternateContent>
          <mc:Choice Requires="wps">
            <w:drawing>
              <wp:anchor distT="0" distB="0" distL="114300" distR="114300" simplePos="0" relativeHeight="251662336" behindDoc="0" locked="0" layoutInCell="1" allowOverlap="1">
                <wp:simplePos x="0" y="0"/>
                <wp:positionH relativeFrom="column">
                  <wp:posOffset>1215390</wp:posOffset>
                </wp:positionH>
                <wp:positionV relativeFrom="paragraph">
                  <wp:posOffset>-27305</wp:posOffset>
                </wp:positionV>
                <wp:extent cx="0" cy="1200150"/>
                <wp:effectExtent l="6350" t="0" r="12700" b="0"/>
                <wp:wrapNone/>
                <wp:docPr id="1" name="直接连接符 1"/>
                <wp:cNvGraphicFramePr/>
                <a:graphic xmlns:a="http://schemas.openxmlformats.org/drawingml/2006/main">
                  <a:graphicData uri="http://schemas.microsoft.com/office/word/2010/wordprocessingShape">
                    <wps:wsp>
                      <wps:cNvCnPr/>
                      <wps:spPr>
                        <a:xfrm>
                          <a:off x="2608580" y="1134745"/>
                          <a:ext cx="0" cy="1200150"/>
                        </a:xfrm>
                        <a:prstGeom prst="line">
                          <a:avLst/>
                        </a:prstGeom>
                        <a:ln w="1270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95.7pt;margin-top:-2.15pt;height:94.5pt;width:0pt;z-index:251662336;mso-width-relative:page;mso-height-relative:page;" filled="f" stroked="t" coordsize="21600,21600" o:gfxdata="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m116a2QAA&#10;AAoBAAAPAAAAAAAAAAEAIAAAACIAAABkcnMvZG93bnJldi54bWxQSwECFAAUAAAACACHTuJAii9d&#10;XeQBAACnAwAADgAAAAAAAAABACAAAAAoAQAAZHJzL2Uyb0RvYy54bWxQSwUGAAAAAAYABgBZAQAA&#10;fgUAAAAA&#10;">
                <v:fill on="f" focussize="0,0"/>
                <v:stroke weight="1pt" color="#000000 [3213]" joinstyle="round"/>
                <v:imagedata o:title=""/>
                <o:lock v:ext="edit" aspectratio="f"/>
              </v:line>
            </w:pict>
          </mc:Fallback>
        </mc:AlternateContent>
      </w:r>
      <w:r>
        <w:rPr>
          <w:rFonts w:hint="eastAsia" w:ascii="宋体" w:hAnsi="宋体" w:cs="宋体"/>
          <w:b/>
          <w:sz w:val="44"/>
          <w:szCs w:val="44"/>
          <w:highlight w:val="none"/>
        </w:rPr>
        <w:drawing>
          <wp:anchor distT="0" distB="0" distL="114300" distR="114300" simplePos="0" relativeHeight="251663360" behindDoc="0" locked="0" layoutInCell="1" allowOverlap="1">
            <wp:simplePos x="0" y="0"/>
            <wp:positionH relativeFrom="column">
              <wp:posOffset>34925</wp:posOffset>
            </wp:positionH>
            <wp:positionV relativeFrom="paragraph">
              <wp:posOffset>-66040</wp:posOffset>
            </wp:positionV>
            <wp:extent cx="972185" cy="1182370"/>
            <wp:effectExtent l="0" t="0" r="18415" b="17780"/>
            <wp:wrapNone/>
            <wp:docPr id="18" name="图片 18" descr="农投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农投1"/>
                    <pic:cNvPicPr>
                      <a:picLocks noChangeAspect="1"/>
                    </pic:cNvPicPr>
                  </pic:nvPicPr>
                  <pic:blipFill>
                    <a:blip r:embed="rId9"/>
                    <a:stretch>
                      <a:fillRect/>
                    </a:stretch>
                  </pic:blipFill>
                  <pic:spPr>
                    <a:xfrm>
                      <a:off x="0" y="0"/>
                      <a:ext cx="972185" cy="1182370"/>
                    </a:xfrm>
                    <a:prstGeom prst="rect">
                      <a:avLst/>
                    </a:prstGeom>
                  </pic:spPr>
                </pic:pic>
              </a:graphicData>
            </a:graphic>
          </wp:anchor>
        </w:drawing>
      </w:r>
      <w:r>
        <w:rPr>
          <w:rFonts w:hint="eastAsia" w:ascii="宋体" w:hAnsi="宋体" w:cs="宋体"/>
          <w:b/>
          <w:sz w:val="44"/>
          <w:szCs w:val="44"/>
          <w:highlight w:val="none"/>
        </w:rPr>
        <w:t xml:space="preserve">           </w:t>
      </w:r>
      <w:r>
        <w:rPr>
          <w:rFonts w:hint="eastAsia" w:ascii="宋体" w:hAnsi="宋体" w:cs="宋体"/>
          <w:b/>
          <w:sz w:val="44"/>
          <w:szCs w:val="44"/>
          <w:highlight w:val="none"/>
          <w:lang w:val="en-US" w:eastAsia="zh-CN"/>
        </w:rPr>
        <w:t xml:space="preserve"> </w:t>
      </w:r>
      <w:r>
        <w:rPr>
          <w:rFonts w:hint="eastAsia" w:ascii="宋体" w:hAnsi="宋体" w:cs="宋体"/>
          <w:b/>
          <w:sz w:val="52"/>
          <w:szCs w:val="52"/>
          <w:highlight w:val="none"/>
        </w:rPr>
        <w:t>广西科联招标中心有限公司</w:t>
      </w:r>
      <w:r>
        <w:rPr>
          <w:rFonts w:hint="eastAsia" w:ascii="宋体" w:hAnsi="宋体" w:cs="宋体"/>
          <w:b/>
          <w:sz w:val="40"/>
          <w:szCs w:val="40"/>
          <w:highlight w:val="none"/>
        </w:rPr>
        <w:t xml:space="preserve"> </w:t>
      </w:r>
    </w:p>
    <w:p w14:paraId="296BE8D8">
      <w:pPr>
        <w:snapToGrid w:val="0"/>
        <w:spacing w:line="360" w:lineRule="auto"/>
        <w:ind w:right="-210" w:rightChars="-100" w:firstLine="3373" w:firstLineChars="1200"/>
        <w:rPr>
          <w:rFonts w:hint="eastAsia" w:ascii="宋体" w:hAnsi="宋体" w:cs="宋体"/>
          <w:b/>
          <w:bCs/>
          <w:color w:val="auto"/>
          <w:sz w:val="56"/>
          <w:szCs w:val="56"/>
          <w:highlight w:val="none"/>
          <w14:shadow w14:blurRad="50800" w14:dist="38100" w14:dir="2700000" w14:sx="100000" w14:sy="100000" w14:kx="0" w14:ky="0" w14:algn="tl">
            <w14:srgbClr w14:val="000000">
              <w14:alpha w14:val="60000"/>
            </w14:srgbClr>
          </w14:shadow>
        </w:rPr>
      </w:pPr>
      <w:r>
        <w:rPr>
          <w:rFonts w:hint="eastAsia" w:ascii="宋体" w:hAnsi="宋体" w:cs="宋体"/>
          <w:b/>
          <w:sz w:val="28"/>
          <w:szCs w:val="28"/>
          <w:highlight w:val="none"/>
        </w:rPr>
        <w:t>GUANGXI KELIAN TENDRING CENTER CO.,LTD</w:t>
      </w:r>
      <w:r>
        <w:rPr>
          <w:rFonts w:hint="eastAsia" w:ascii="宋体" w:hAnsi="宋体" w:cs="宋体"/>
          <w:b/>
          <w:sz w:val="32"/>
          <w:szCs w:val="32"/>
          <w:highlight w:val="none"/>
        </w:rPr>
        <w:t>.</w:t>
      </w:r>
      <w:r>
        <w:rPr>
          <w:rFonts w:hint="eastAsia" w:ascii="宋体" w:hAnsi="宋体" w:cs="宋体"/>
          <w:b/>
          <w:sz w:val="44"/>
          <w:szCs w:val="44"/>
          <w:highlight w:val="none"/>
        </w:rPr>
        <w:t xml:space="preserve">  </w:t>
      </w:r>
    </w:p>
    <w:p w14:paraId="2A289D15">
      <w:pPr>
        <w:pStyle w:val="30"/>
        <w:rPr>
          <w:rFonts w:hint="eastAsia" w:ascii="宋体" w:hAnsi="宋体" w:cs="宋体"/>
          <w:b/>
          <w:bCs/>
          <w:color w:val="auto"/>
          <w:sz w:val="56"/>
          <w:szCs w:val="56"/>
          <w:highlight w:val="none"/>
          <w14:shadow w14:blurRad="50800" w14:dist="38100" w14:dir="2700000" w14:sx="100000" w14:sy="100000" w14:kx="0" w14:ky="0" w14:algn="tl">
            <w14:srgbClr w14:val="000000">
              <w14:alpha w14:val="60000"/>
            </w14:srgbClr>
          </w14:shadow>
        </w:rPr>
      </w:pPr>
    </w:p>
    <w:p w14:paraId="46FE20D4">
      <w:pPr>
        <w:pStyle w:val="30"/>
        <w:rPr>
          <w:rFonts w:hint="eastAsia" w:ascii="宋体" w:hAnsi="宋体" w:cs="宋体"/>
          <w:b/>
          <w:bCs/>
          <w:color w:val="auto"/>
          <w:sz w:val="56"/>
          <w:szCs w:val="56"/>
          <w:highlight w:val="none"/>
          <w14:shadow w14:blurRad="50800" w14:dist="38100" w14:dir="2700000" w14:sx="100000" w14:sy="100000" w14:kx="0" w14:ky="0" w14:algn="tl">
            <w14:srgbClr w14:val="000000">
              <w14:alpha w14:val="60000"/>
            </w14:srgbClr>
          </w14:shadow>
        </w:rPr>
      </w:pPr>
    </w:p>
    <w:p w14:paraId="479DE2A8">
      <w:pPr>
        <w:snapToGrid w:val="0"/>
        <w:spacing w:before="842" w:beforeLines="351" w:after="962" w:afterLines="401" w:line="360" w:lineRule="auto"/>
        <w:ind w:left="-210" w:leftChars="-100" w:right="-210" w:rightChars="-100"/>
        <w:jc w:val="center"/>
        <w:rPr>
          <w:rFonts w:hint="eastAsia" w:ascii="宋体" w:hAnsi="宋体" w:cs="宋体"/>
          <w:b/>
          <w:bCs/>
          <w:color w:val="auto"/>
          <w:sz w:val="56"/>
          <w:szCs w:val="56"/>
          <w:highlight w:val="none"/>
          <w14:shadow w14:blurRad="50800" w14:dist="38100" w14:dir="2700000" w14:sx="100000" w14:sy="100000" w14:kx="0" w14:ky="0" w14:algn="tl">
            <w14:srgbClr w14:val="000000">
              <w14:alpha w14:val="60000"/>
            </w14:srgbClr>
          </w14:shadow>
        </w:rPr>
      </w:pPr>
      <w:r>
        <w:rPr>
          <w:rFonts w:hint="eastAsia" w:ascii="宋体" w:hAnsi="宋体" w:cs="宋体"/>
          <w:b/>
          <w:bCs/>
          <w:color w:val="auto"/>
          <w:sz w:val="56"/>
          <w:szCs w:val="56"/>
          <w:highlight w:val="none"/>
          <w14:shadow w14:blurRad="50800" w14:dist="38100" w14:dir="2700000" w14:sx="100000" w14:sy="100000" w14:kx="0" w14:ky="0" w14:algn="tl">
            <w14:srgbClr w14:val="000000">
              <w14:alpha w14:val="60000"/>
            </w14:srgbClr>
          </w14:shadow>
        </w:rPr>
        <w:t>竞 争 性 磋 商 文 件</w:t>
      </w:r>
    </w:p>
    <w:p w14:paraId="773431A8">
      <w:pPr>
        <w:pStyle w:val="30"/>
        <w:rPr>
          <w:rFonts w:hint="eastAsia" w:ascii="宋体" w:hAnsi="宋体" w:cs="宋体"/>
          <w:b/>
          <w:bCs/>
          <w:color w:val="auto"/>
          <w:sz w:val="56"/>
          <w:szCs w:val="56"/>
          <w:highlight w:val="none"/>
          <w14:shadow w14:blurRad="50800" w14:dist="38100" w14:dir="2700000" w14:sx="100000" w14:sy="100000" w14:kx="0" w14:ky="0" w14:algn="tl">
            <w14:srgbClr w14:val="000000">
              <w14:alpha w14:val="60000"/>
            </w14:srgbClr>
          </w14:shadow>
        </w:rPr>
      </w:pPr>
    </w:p>
    <w:tbl>
      <w:tblPr>
        <w:tblStyle w:val="41"/>
        <w:tblW w:w="75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81"/>
        <w:gridCol w:w="5359"/>
      </w:tblGrid>
      <w:tr w14:paraId="25CCB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2181" w:type="dxa"/>
            <w:noWrap w:val="0"/>
            <w:vAlign w:val="center"/>
          </w:tcPr>
          <w:p w14:paraId="0B958326">
            <w:pPr>
              <w:jc w:val="both"/>
              <w:rPr>
                <w:rFonts w:hint="eastAsia" w:ascii="宋体" w:hAnsi="宋体" w:eastAsia="宋体" w:cs="宋体"/>
                <w:b w:val="0"/>
                <w:bCs/>
                <w:color w:val="auto"/>
                <w:spacing w:val="159"/>
                <w:sz w:val="28"/>
                <w:szCs w:val="28"/>
                <w:highlight w:val="none"/>
                <w:vertAlign w:val="baseline"/>
                <w:lang w:val="en-US" w:eastAsia="zh-CN"/>
              </w:rPr>
            </w:pPr>
            <w:r>
              <w:rPr>
                <w:rFonts w:hint="eastAsia" w:ascii="宋体" w:hAnsi="宋体" w:eastAsia="宋体" w:cs="宋体"/>
                <w:b/>
                <w:bCs/>
                <w:color w:val="auto"/>
                <w:sz w:val="28"/>
                <w:szCs w:val="28"/>
                <w:highlight w:val="none"/>
              </w:rPr>
              <w:t>项</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目</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编</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号：</w:t>
            </w:r>
          </w:p>
        </w:tc>
        <w:tc>
          <w:tcPr>
            <w:tcW w:w="5359" w:type="dxa"/>
            <w:noWrap w:val="0"/>
            <w:vAlign w:val="center"/>
          </w:tcPr>
          <w:p w14:paraId="18FA9D24">
            <w:pPr>
              <w:jc w:val="both"/>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BHZC2026-C2-020018-GXKL</w:t>
            </w:r>
          </w:p>
        </w:tc>
      </w:tr>
      <w:tr w14:paraId="50575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9" w:hRule="atLeast"/>
          <w:jc w:val="center"/>
        </w:trPr>
        <w:tc>
          <w:tcPr>
            <w:tcW w:w="2181" w:type="dxa"/>
            <w:noWrap w:val="0"/>
            <w:vAlign w:val="center"/>
          </w:tcPr>
          <w:p w14:paraId="4495D6D8">
            <w:pPr>
              <w:jc w:val="both"/>
              <w:rPr>
                <w:rFonts w:hint="eastAsia" w:ascii="宋体" w:hAnsi="宋体" w:eastAsia="宋体" w:cs="宋体"/>
                <w:b w:val="0"/>
                <w:bCs/>
                <w:color w:val="auto"/>
                <w:spacing w:val="159"/>
                <w:sz w:val="28"/>
                <w:szCs w:val="28"/>
                <w:highlight w:val="none"/>
                <w:u w:val="none"/>
                <w:vertAlign w:val="baseline"/>
                <w:lang w:val="en-US" w:eastAsia="zh-CN"/>
              </w:rPr>
            </w:pPr>
            <w:r>
              <w:rPr>
                <w:rFonts w:hint="eastAsia" w:ascii="宋体" w:hAnsi="宋体" w:eastAsia="宋体" w:cs="宋体"/>
                <w:b/>
                <w:bCs/>
                <w:color w:val="auto"/>
                <w:sz w:val="28"/>
                <w:szCs w:val="28"/>
                <w:highlight w:val="none"/>
                <w:u w:val="none"/>
              </w:rPr>
              <w:t>项</w:t>
            </w:r>
            <w:r>
              <w:rPr>
                <w:rFonts w:hint="eastAsia" w:ascii="宋体" w:hAnsi="宋体" w:eastAsia="宋体" w:cs="宋体"/>
                <w:b/>
                <w:bCs/>
                <w:color w:val="auto"/>
                <w:sz w:val="28"/>
                <w:szCs w:val="28"/>
                <w:highlight w:val="none"/>
                <w:u w:val="none"/>
                <w:lang w:val="en-US" w:eastAsia="zh-CN"/>
              </w:rPr>
              <w:t xml:space="preserve"> </w:t>
            </w:r>
            <w:r>
              <w:rPr>
                <w:rFonts w:hint="eastAsia" w:ascii="宋体" w:hAnsi="宋体" w:eastAsia="宋体" w:cs="宋体"/>
                <w:b/>
                <w:bCs/>
                <w:color w:val="auto"/>
                <w:sz w:val="28"/>
                <w:szCs w:val="28"/>
                <w:highlight w:val="none"/>
                <w:u w:val="none"/>
              </w:rPr>
              <w:t>目</w:t>
            </w:r>
            <w:r>
              <w:rPr>
                <w:rFonts w:hint="eastAsia" w:ascii="宋体" w:hAnsi="宋体" w:eastAsia="宋体" w:cs="宋体"/>
                <w:b/>
                <w:bCs/>
                <w:color w:val="auto"/>
                <w:sz w:val="28"/>
                <w:szCs w:val="28"/>
                <w:highlight w:val="none"/>
                <w:u w:val="none"/>
                <w:lang w:val="en-US" w:eastAsia="zh-CN"/>
              </w:rPr>
              <w:t xml:space="preserve"> </w:t>
            </w:r>
            <w:r>
              <w:rPr>
                <w:rFonts w:hint="eastAsia" w:ascii="宋体" w:hAnsi="宋体" w:eastAsia="宋体" w:cs="宋体"/>
                <w:b/>
                <w:bCs/>
                <w:color w:val="auto"/>
                <w:sz w:val="28"/>
                <w:szCs w:val="28"/>
                <w:highlight w:val="none"/>
                <w:u w:val="none"/>
              </w:rPr>
              <w:t>名</w:t>
            </w:r>
            <w:r>
              <w:rPr>
                <w:rFonts w:hint="eastAsia" w:ascii="宋体" w:hAnsi="宋体" w:eastAsia="宋体" w:cs="宋体"/>
                <w:b/>
                <w:bCs/>
                <w:color w:val="auto"/>
                <w:sz w:val="28"/>
                <w:szCs w:val="28"/>
                <w:highlight w:val="none"/>
                <w:u w:val="none"/>
                <w:lang w:val="en-US" w:eastAsia="zh-CN"/>
              </w:rPr>
              <w:t xml:space="preserve"> </w:t>
            </w:r>
            <w:r>
              <w:rPr>
                <w:rFonts w:hint="eastAsia" w:ascii="宋体" w:hAnsi="宋体" w:eastAsia="宋体" w:cs="宋体"/>
                <w:b/>
                <w:bCs/>
                <w:color w:val="auto"/>
                <w:sz w:val="28"/>
                <w:szCs w:val="28"/>
                <w:highlight w:val="none"/>
                <w:u w:val="none"/>
              </w:rPr>
              <w:t>称：</w:t>
            </w:r>
          </w:p>
        </w:tc>
        <w:tc>
          <w:tcPr>
            <w:tcW w:w="5359" w:type="dxa"/>
            <w:noWrap w:val="0"/>
            <w:vAlign w:val="center"/>
          </w:tcPr>
          <w:p w14:paraId="73D05E44">
            <w:pPr>
              <w:jc w:val="both"/>
              <w:rPr>
                <w:rFonts w:hint="eastAsia" w:ascii="宋体" w:hAnsi="宋体" w:eastAsia="宋体" w:cs="宋体"/>
                <w:b w:val="0"/>
                <w:bCs/>
                <w:color w:val="auto"/>
                <w:spacing w:val="159"/>
                <w:sz w:val="28"/>
                <w:szCs w:val="28"/>
                <w:highlight w:val="none"/>
                <w:u w:val="none"/>
                <w:vertAlign w:val="baseline"/>
                <w:lang w:val="en-US" w:eastAsia="zh-CN"/>
              </w:rPr>
            </w:pPr>
            <w:r>
              <w:rPr>
                <w:rFonts w:hint="eastAsia" w:hAnsi="宋体" w:cs="宋体"/>
                <w:color w:val="auto"/>
                <w:sz w:val="28"/>
                <w:szCs w:val="28"/>
                <w:highlight w:val="none"/>
                <w:u w:val="none"/>
                <w:lang w:val="en-US" w:eastAsia="zh-CN"/>
              </w:rPr>
              <w:t>北海市海城区实验幼儿园教学楼装饰装修工程</w:t>
            </w:r>
          </w:p>
        </w:tc>
      </w:tr>
      <w:tr w14:paraId="3E339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9" w:hRule="atLeast"/>
          <w:jc w:val="center"/>
        </w:trPr>
        <w:tc>
          <w:tcPr>
            <w:tcW w:w="2181" w:type="dxa"/>
            <w:noWrap w:val="0"/>
            <w:vAlign w:val="center"/>
          </w:tcPr>
          <w:p w14:paraId="474F09FB">
            <w:pPr>
              <w:jc w:val="both"/>
              <w:rPr>
                <w:rFonts w:hint="eastAsia" w:ascii="宋体" w:hAnsi="宋体" w:eastAsia="宋体" w:cs="宋体"/>
                <w:b w:val="0"/>
                <w:bCs/>
                <w:color w:val="auto"/>
                <w:spacing w:val="159"/>
                <w:sz w:val="28"/>
                <w:szCs w:val="28"/>
                <w:highlight w:val="none"/>
                <w:u w:val="none"/>
                <w:vertAlign w:val="baseline"/>
                <w:lang w:val="en-US" w:eastAsia="zh-CN"/>
              </w:rPr>
            </w:pPr>
            <w:r>
              <w:rPr>
                <w:rFonts w:hint="eastAsia" w:ascii="宋体" w:hAnsi="宋体" w:eastAsia="宋体" w:cs="宋体"/>
                <w:b/>
                <w:color w:val="auto"/>
                <w:sz w:val="28"/>
                <w:szCs w:val="28"/>
                <w:highlight w:val="none"/>
                <w:u w:val="none"/>
              </w:rPr>
              <w:t>采</w:t>
            </w:r>
            <w:r>
              <w:rPr>
                <w:rFonts w:hint="eastAsia" w:ascii="宋体" w:hAnsi="宋体" w:eastAsia="宋体" w:cs="宋体"/>
                <w:b/>
                <w:color w:val="auto"/>
                <w:sz w:val="28"/>
                <w:szCs w:val="28"/>
                <w:highlight w:val="none"/>
                <w:u w:val="none"/>
                <w:lang w:val="en-US" w:eastAsia="zh-CN"/>
              </w:rPr>
              <w:t xml:space="preserve">   </w:t>
            </w:r>
            <w:r>
              <w:rPr>
                <w:rFonts w:hint="eastAsia" w:ascii="宋体" w:hAnsi="宋体" w:eastAsia="宋体" w:cs="宋体"/>
                <w:b/>
                <w:bCs/>
                <w:color w:val="auto"/>
                <w:kern w:val="2"/>
                <w:sz w:val="28"/>
                <w:szCs w:val="28"/>
                <w:highlight w:val="none"/>
                <w:u w:val="none"/>
                <w:lang w:val="en-US" w:eastAsia="zh-CN" w:bidi="ar-SA"/>
              </w:rPr>
              <w:t>购  人</w:t>
            </w:r>
            <w:r>
              <w:rPr>
                <w:rFonts w:hint="eastAsia" w:ascii="宋体" w:hAnsi="宋体" w:eastAsia="宋体" w:cs="宋体"/>
                <w:b/>
                <w:color w:val="auto"/>
                <w:sz w:val="28"/>
                <w:szCs w:val="28"/>
                <w:highlight w:val="none"/>
                <w:u w:val="none"/>
              </w:rPr>
              <w:t>：</w:t>
            </w:r>
          </w:p>
        </w:tc>
        <w:tc>
          <w:tcPr>
            <w:tcW w:w="5359" w:type="dxa"/>
            <w:noWrap w:val="0"/>
            <w:vAlign w:val="center"/>
          </w:tcPr>
          <w:p w14:paraId="44C7A98F">
            <w:pPr>
              <w:jc w:val="both"/>
              <w:rPr>
                <w:rFonts w:hint="eastAsia" w:ascii="宋体" w:hAnsi="宋体" w:eastAsia="宋体" w:cs="宋体"/>
                <w:b w:val="0"/>
                <w:bCs/>
                <w:color w:val="auto"/>
                <w:spacing w:val="159"/>
                <w:sz w:val="28"/>
                <w:szCs w:val="28"/>
                <w:highlight w:val="none"/>
                <w:u w:val="none"/>
                <w:vertAlign w:val="baseline"/>
                <w:lang w:val="en-US" w:eastAsia="zh-CN"/>
              </w:rPr>
            </w:pPr>
            <w:r>
              <w:rPr>
                <w:rFonts w:hint="eastAsia" w:hAnsi="宋体" w:cs="宋体"/>
                <w:color w:val="auto"/>
                <w:sz w:val="28"/>
                <w:szCs w:val="28"/>
                <w:highlight w:val="none"/>
                <w:u w:val="none"/>
                <w:lang w:eastAsia="zh-CN"/>
              </w:rPr>
              <w:t>北海市海城区实验幼儿园</w:t>
            </w:r>
          </w:p>
        </w:tc>
      </w:tr>
      <w:tr w14:paraId="4B2CB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jc w:val="center"/>
        </w:trPr>
        <w:tc>
          <w:tcPr>
            <w:tcW w:w="2181" w:type="dxa"/>
            <w:noWrap w:val="0"/>
            <w:vAlign w:val="center"/>
          </w:tcPr>
          <w:p w14:paraId="09A93EE8">
            <w:pPr>
              <w:jc w:val="both"/>
              <w:rPr>
                <w:rFonts w:hint="eastAsia" w:ascii="宋体" w:hAnsi="宋体" w:eastAsia="宋体" w:cs="宋体"/>
                <w:b w:val="0"/>
                <w:bCs/>
                <w:color w:val="auto"/>
                <w:spacing w:val="0"/>
                <w:sz w:val="28"/>
                <w:szCs w:val="28"/>
                <w:highlight w:val="none"/>
                <w:u w:val="none"/>
                <w:lang w:val="en-US" w:eastAsia="zh-CN"/>
              </w:rPr>
            </w:pPr>
            <w:r>
              <w:rPr>
                <w:rFonts w:hint="eastAsia" w:ascii="宋体" w:hAnsi="宋体" w:eastAsia="宋体" w:cs="宋体"/>
                <w:b/>
                <w:color w:val="auto"/>
                <w:sz w:val="28"/>
                <w:szCs w:val="28"/>
                <w:highlight w:val="none"/>
                <w:u w:val="none"/>
              </w:rPr>
              <w:t>采购代理机构：</w:t>
            </w:r>
          </w:p>
        </w:tc>
        <w:tc>
          <w:tcPr>
            <w:tcW w:w="5359" w:type="dxa"/>
            <w:noWrap w:val="0"/>
            <w:vAlign w:val="center"/>
          </w:tcPr>
          <w:p w14:paraId="5EBDA7F8">
            <w:pPr>
              <w:jc w:val="both"/>
              <w:rPr>
                <w:rFonts w:hint="eastAsia" w:ascii="宋体" w:hAnsi="宋体" w:eastAsia="宋体" w:cs="宋体"/>
                <w:b w:val="0"/>
                <w:bCs/>
                <w:color w:val="auto"/>
                <w:spacing w:val="0"/>
                <w:sz w:val="28"/>
                <w:szCs w:val="28"/>
                <w:highlight w:val="none"/>
                <w:u w:val="none"/>
                <w:lang w:val="en-US" w:eastAsia="zh-CN"/>
              </w:rPr>
            </w:pPr>
            <w:r>
              <w:rPr>
                <w:rFonts w:hint="eastAsia" w:ascii="宋体" w:hAnsi="宋体" w:eastAsia="宋体" w:cs="宋体"/>
                <w:bCs/>
                <w:color w:val="auto"/>
                <w:sz w:val="28"/>
                <w:szCs w:val="28"/>
                <w:highlight w:val="none"/>
                <w:u w:val="none"/>
              </w:rPr>
              <w:t>广西科联招标中心有限公司</w:t>
            </w:r>
          </w:p>
        </w:tc>
      </w:tr>
      <w:tr w14:paraId="4A366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1" w:hRule="atLeast"/>
          <w:jc w:val="center"/>
        </w:trPr>
        <w:tc>
          <w:tcPr>
            <w:tcW w:w="7540" w:type="dxa"/>
            <w:gridSpan w:val="2"/>
            <w:noWrap w:val="0"/>
            <w:vAlign w:val="center"/>
          </w:tcPr>
          <w:p w14:paraId="5D2633FC">
            <w:pPr>
              <w:pStyle w:val="26"/>
              <w:keepNext w:val="0"/>
              <w:keepLines w:val="0"/>
              <w:pageBreakBefore w:val="0"/>
              <w:widowControl w:val="0"/>
              <w:kinsoku/>
              <w:wordWrap/>
              <w:overflowPunct/>
              <w:topLinePunct w:val="0"/>
              <w:autoSpaceDE/>
              <w:autoSpaceDN/>
              <w:bidi w:val="0"/>
              <w:adjustRightInd/>
              <w:snapToGrid/>
              <w:spacing w:line="900" w:lineRule="exact"/>
              <w:jc w:val="center"/>
              <w:textAlignment w:val="auto"/>
              <w:rPr>
                <w:rFonts w:hint="eastAsia" w:ascii="宋体" w:hAnsi="宋体" w:eastAsia="宋体" w:cs="宋体"/>
                <w:bCs/>
                <w:color w:val="auto"/>
                <w:sz w:val="28"/>
                <w:szCs w:val="28"/>
                <w:highlight w:val="none"/>
                <w:u w:val="none"/>
              </w:rPr>
            </w:pPr>
            <w:r>
              <w:rPr>
                <w:rFonts w:hint="eastAsia" w:ascii="宋体" w:hAnsi="宋体" w:eastAsia="宋体" w:cs="宋体"/>
                <w:b w:val="0"/>
                <w:bCs/>
                <w:color w:val="auto"/>
                <w:sz w:val="28"/>
                <w:szCs w:val="28"/>
                <w:highlight w:val="none"/>
                <w:lang w:val="en-US" w:eastAsia="zh-CN"/>
              </w:rPr>
              <w:t>202</w:t>
            </w:r>
            <w:r>
              <w:rPr>
                <w:rFonts w:hint="eastAsia" w:hAnsi="宋体" w:cs="宋体"/>
                <w:b w:val="0"/>
                <w:bCs/>
                <w:color w:val="auto"/>
                <w:sz w:val="28"/>
                <w:szCs w:val="28"/>
                <w:highlight w:val="none"/>
                <w:lang w:val="en-US" w:eastAsia="zh-CN"/>
              </w:rPr>
              <w:t>6</w:t>
            </w:r>
            <w:r>
              <w:rPr>
                <w:rFonts w:hint="eastAsia" w:ascii="宋体" w:hAnsi="宋体" w:eastAsia="宋体" w:cs="宋体"/>
                <w:b w:val="0"/>
                <w:bCs/>
                <w:color w:val="auto"/>
                <w:sz w:val="28"/>
                <w:szCs w:val="28"/>
                <w:highlight w:val="none"/>
                <w:lang w:val="en-US" w:eastAsia="zh-CN"/>
              </w:rPr>
              <w:t>年</w:t>
            </w:r>
            <w:r>
              <w:rPr>
                <w:rFonts w:hint="eastAsia" w:hAnsi="宋体" w:cs="宋体"/>
                <w:b w:val="0"/>
                <w:bCs/>
                <w:color w:val="auto"/>
                <w:sz w:val="28"/>
                <w:szCs w:val="28"/>
                <w:highlight w:val="none"/>
                <w:lang w:val="en-US" w:eastAsia="zh-CN"/>
              </w:rPr>
              <w:t>7</w:t>
            </w:r>
            <w:bookmarkStart w:id="1235" w:name="_GoBack"/>
            <w:bookmarkEnd w:id="1235"/>
            <w:r>
              <w:rPr>
                <w:rFonts w:hint="eastAsia" w:ascii="宋体" w:hAnsi="宋体" w:cs="宋体"/>
                <w:b w:val="0"/>
                <w:bCs/>
                <w:color w:val="auto"/>
                <w:sz w:val="28"/>
                <w:szCs w:val="28"/>
                <w:highlight w:val="none"/>
                <w:lang w:val="en-US" w:eastAsia="zh-CN"/>
              </w:rPr>
              <w:t>月</w:t>
            </w:r>
          </w:p>
        </w:tc>
      </w:tr>
    </w:tbl>
    <w:p w14:paraId="0DC0194F">
      <w:pPr>
        <w:spacing w:line="800" w:lineRule="exact"/>
        <w:jc w:val="center"/>
        <w:rPr>
          <w:rFonts w:hint="eastAsia" w:ascii="黑体" w:hAnsi="Courier New" w:eastAsia="黑体" w:cs="Courier New"/>
          <w:color w:val="auto"/>
          <w:sz w:val="48"/>
          <w:szCs w:val="48"/>
          <w:highlight w:val="none"/>
        </w:rPr>
        <w:sectPr>
          <w:headerReference r:id="rId3" w:type="first"/>
          <w:footerReference r:id="rId4" w:type="first"/>
          <w:pgSz w:w="11906" w:h="16838"/>
          <w:pgMar w:top="1474" w:right="942" w:bottom="1134" w:left="884" w:header="851" w:footer="992" w:gutter="0"/>
          <w:pgNumType w:fmt="decimal" w:start="1"/>
          <w:cols w:space="720" w:num="1"/>
          <w:docGrid w:type="lines" w:linePitch="312" w:charSpace="0"/>
        </w:sectPr>
      </w:pPr>
    </w:p>
    <w:p w14:paraId="319D6604">
      <w:pPr>
        <w:pStyle w:val="3"/>
        <w:rPr>
          <w:rFonts w:hint="eastAsia"/>
          <w:highlight w:val="none"/>
        </w:rPr>
        <w:sectPr>
          <w:pgSz w:w="11906" w:h="16838"/>
          <w:pgMar w:top="1474" w:right="942" w:bottom="1134" w:left="884" w:header="851" w:footer="992" w:gutter="0"/>
          <w:pgNumType w:fmt="decimal" w:start="1"/>
          <w:cols w:space="720" w:num="1"/>
          <w:docGrid w:type="lines" w:linePitch="312" w:charSpace="0"/>
        </w:sectPr>
      </w:pPr>
    </w:p>
    <w:p w14:paraId="6DD81CCB">
      <w:pPr>
        <w:spacing w:line="800" w:lineRule="exact"/>
        <w:jc w:val="center"/>
        <w:rPr>
          <w:rFonts w:ascii="黑体" w:hAnsi="Courier New" w:eastAsia="黑体" w:cs="Courier New"/>
          <w:color w:val="auto"/>
          <w:sz w:val="48"/>
          <w:szCs w:val="48"/>
          <w:highlight w:val="none"/>
        </w:rPr>
      </w:pPr>
      <w:r>
        <w:rPr>
          <w:rFonts w:hint="eastAsia" w:ascii="黑体" w:hAnsi="Courier New" w:eastAsia="黑体" w:cs="Courier New"/>
          <w:color w:val="auto"/>
          <w:sz w:val="48"/>
          <w:szCs w:val="48"/>
          <w:highlight w:val="none"/>
        </w:rPr>
        <w:t>目   录</w:t>
      </w:r>
    </w:p>
    <w:p w14:paraId="475148D3">
      <w:pPr>
        <w:spacing w:line="560" w:lineRule="exact"/>
        <w:ind w:left="1" w:firstLine="2"/>
        <w:rPr>
          <w:rFonts w:ascii="宋体" w:hAnsi="宋体" w:cs="Courier New"/>
          <w:b/>
          <w:color w:val="auto"/>
          <w:spacing w:val="4"/>
          <w:sz w:val="32"/>
          <w:highlight w:val="none"/>
        </w:rPr>
      </w:pPr>
    </w:p>
    <w:p w14:paraId="2BA49E7F">
      <w:pPr>
        <w:spacing w:line="400" w:lineRule="exact"/>
        <w:jc w:val="center"/>
        <w:rPr>
          <w:rFonts w:ascii="仿宋_GB2312" w:hAnsi="宋体" w:eastAsia="仿宋_GB2312"/>
          <w:b/>
          <w:color w:val="auto"/>
          <w:sz w:val="32"/>
          <w:szCs w:val="32"/>
          <w:highlight w:val="none"/>
        </w:rPr>
      </w:pPr>
    </w:p>
    <w:p w14:paraId="64D76683">
      <w:pPr>
        <w:spacing w:line="400" w:lineRule="exact"/>
        <w:rPr>
          <w:rFonts w:ascii="仿宋_GB2312" w:hAnsi="宋体" w:eastAsia="仿宋_GB2312"/>
          <w:b/>
          <w:color w:val="auto"/>
          <w:sz w:val="32"/>
          <w:szCs w:val="32"/>
          <w:highlight w:val="none"/>
        </w:rPr>
      </w:pPr>
    </w:p>
    <w:p w14:paraId="2A9B608E">
      <w:pPr>
        <w:pStyle w:val="32"/>
        <w:tabs>
          <w:tab w:val="right" w:leader="dot" w:pos="9288"/>
        </w:tabs>
        <w:spacing w:line="360" w:lineRule="auto"/>
        <w:rPr>
          <w:rFonts w:ascii="宋体" w:hAnsi="宋体"/>
          <w:color w:val="auto"/>
          <w:sz w:val="32"/>
          <w:szCs w:val="32"/>
          <w:highlight w:val="none"/>
        </w:rPr>
      </w:pPr>
      <w:r>
        <w:rPr>
          <w:rFonts w:ascii="宋体" w:hAnsi="宋体" w:cs="Courier New"/>
          <w:bCs/>
          <w:color w:val="auto"/>
          <w:spacing w:val="4"/>
          <w:sz w:val="32"/>
          <w:szCs w:val="32"/>
          <w:highlight w:val="none"/>
        </w:rPr>
        <w:fldChar w:fldCharType="begin"/>
      </w:r>
      <w:r>
        <w:rPr>
          <w:rFonts w:ascii="宋体" w:hAnsi="宋体" w:cs="Courier New"/>
          <w:bCs/>
          <w:color w:val="auto"/>
          <w:spacing w:val="4"/>
          <w:sz w:val="32"/>
          <w:szCs w:val="32"/>
          <w:highlight w:val="none"/>
        </w:rPr>
        <w:instrText xml:space="preserve"> </w:instrText>
      </w:r>
      <w:r>
        <w:rPr>
          <w:rFonts w:hint="eastAsia" w:ascii="宋体" w:hAnsi="宋体" w:cs="Courier New"/>
          <w:bCs/>
          <w:color w:val="auto"/>
          <w:spacing w:val="4"/>
          <w:sz w:val="32"/>
          <w:szCs w:val="32"/>
          <w:highlight w:val="none"/>
        </w:rPr>
        <w:instrText xml:space="preserve">TOC \o "1-2" \h \z \u</w:instrText>
      </w:r>
      <w:r>
        <w:rPr>
          <w:rFonts w:ascii="宋体" w:hAnsi="宋体" w:cs="Courier New"/>
          <w:bCs/>
          <w:color w:val="auto"/>
          <w:spacing w:val="4"/>
          <w:sz w:val="32"/>
          <w:szCs w:val="32"/>
          <w:highlight w:val="none"/>
        </w:rPr>
        <w:instrText xml:space="preserve"> </w:instrText>
      </w:r>
      <w:r>
        <w:rPr>
          <w:rFonts w:ascii="宋体" w:hAnsi="宋体" w:cs="Courier New"/>
          <w:bCs/>
          <w:color w:val="auto"/>
          <w:spacing w:val="4"/>
          <w:sz w:val="32"/>
          <w:szCs w:val="32"/>
          <w:highlight w:val="none"/>
        </w:rPr>
        <w:fldChar w:fldCharType="separate"/>
      </w:r>
      <w:r>
        <w:rPr>
          <w:color w:val="auto"/>
          <w:highlight w:val="none"/>
        </w:rPr>
        <w:fldChar w:fldCharType="begin"/>
      </w:r>
      <w:r>
        <w:rPr>
          <w:color w:val="auto"/>
          <w:highlight w:val="none"/>
        </w:rPr>
        <w:instrText xml:space="preserve"> HYPERLINK \l "_Toc176861406" </w:instrText>
      </w:r>
      <w:r>
        <w:rPr>
          <w:color w:val="auto"/>
          <w:highlight w:val="none"/>
        </w:rPr>
        <w:fldChar w:fldCharType="separate"/>
      </w:r>
      <w:r>
        <w:rPr>
          <w:rStyle w:val="45"/>
          <w:rFonts w:hint="eastAsia" w:ascii="宋体" w:hAnsi="宋体"/>
          <w:color w:val="auto"/>
          <w:sz w:val="32"/>
          <w:szCs w:val="32"/>
          <w:highlight w:val="none"/>
        </w:rPr>
        <w:t>第一章</w:t>
      </w:r>
      <w:r>
        <w:rPr>
          <w:rStyle w:val="45"/>
          <w:rFonts w:ascii="宋体" w:hAnsi="宋体"/>
          <w:color w:val="auto"/>
          <w:sz w:val="32"/>
          <w:szCs w:val="32"/>
          <w:highlight w:val="none"/>
        </w:rPr>
        <w:t xml:space="preserve">  </w:t>
      </w:r>
      <w:r>
        <w:rPr>
          <w:rStyle w:val="45"/>
          <w:rFonts w:hint="eastAsia" w:ascii="宋体" w:hAnsi="宋体"/>
          <w:color w:val="auto"/>
          <w:sz w:val="32"/>
          <w:szCs w:val="32"/>
          <w:highlight w:val="none"/>
        </w:rPr>
        <w:t>竞争性磋商公告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_Toc176861406 \h </w:instrText>
      </w:r>
      <w:r>
        <w:rPr>
          <w:rFonts w:ascii="宋体" w:hAnsi="宋体"/>
          <w:color w:val="auto"/>
          <w:sz w:val="32"/>
          <w:szCs w:val="32"/>
          <w:highlight w:val="none"/>
        </w:rPr>
        <w:fldChar w:fldCharType="separate"/>
      </w:r>
      <w:r>
        <w:rPr>
          <w:rFonts w:ascii="宋体" w:hAnsi="宋体"/>
          <w:color w:val="auto"/>
          <w:sz w:val="32"/>
          <w:szCs w:val="32"/>
          <w:highlight w:val="none"/>
        </w:rPr>
        <w:t>2</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D2CEBA2">
      <w:pPr>
        <w:pStyle w:val="32"/>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"_Toc176861407" </w:instrText>
      </w:r>
      <w:r>
        <w:rPr>
          <w:color w:val="auto"/>
          <w:highlight w:val="none"/>
        </w:rPr>
        <w:fldChar w:fldCharType="separate"/>
      </w:r>
      <w:r>
        <w:rPr>
          <w:rStyle w:val="45"/>
          <w:rFonts w:hint="eastAsia" w:ascii="宋体" w:hAnsi="宋体"/>
          <w:color w:val="auto"/>
          <w:sz w:val="32"/>
          <w:szCs w:val="32"/>
          <w:highlight w:val="none"/>
        </w:rPr>
        <w:t>第二章</w:t>
      </w:r>
      <w:r>
        <w:rPr>
          <w:rStyle w:val="45"/>
          <w:rFonts w:ascii="宋体" w:hAnsi="宋体"/>
          <w:color w:val="auto"/>
          <w:sz w:val="32"/>
          <w:szCs w:val="32"/>
          <w:highlight w:val="none"/>
        </w:rPr>
        <w:t xml:space="preserve">  </w:t>
      </w:r>
      <w:r>
        <w:rPr>
          <w:rStyle w:val="45"/>
          <w:rFonts w:hint="eastAsia" w:ascii="宋体" w:hAnsi="宋体"/>
          <w:color w:val="auto"/>
          <w:sz w:val="32"/>
          <w:szCs w:val="32"/>
          <w:highlight w:val="none"/>
        </w:rPr>
        <w:t>磋商供应商须知</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_Toc176861407 \h </w:instrText>
      </w:r>
      <w:r>
        <w:rPr>
          <w:rFonts w:ascii="宋体" w:hAnsi="宋体"/>
          <w:color w:val="auto"/>
          <w:sz w:val="32"/>
          <w:szCs w:val="32"/>
          <w:highlight w:val="none"/>
        </w:rPr>
        <w:fldChar w:fldCharType="separate"/>
      </w:r>
      <w:r>
        <w:rPr>
          <w:rFonts w:ascii="宋体" w:hAnsi="宋体"/>
          <w:color w:val="auto"/>
          <w:sz w:val="32"/>
          <w:szCs w:val="32"/>
          <w:highlight w:val="none"/>
        </w:rPr>
        <w:t>6</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4604B9F5">
      <w:pPr>
        <w:pStyle w:val="32"/>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"_Toc176861408" </w:instrText>
      </w:r>
      <w:r>
        <w:rPr>
          <w:color w:val="auto"/>
          <w:highlight w:val="none"/>
        </w:rPr>
        <w:fldChar w:fldCharType="separate"/>
      </w:r>
      <w:r>
        <w:rPr>
          <w:rStyle w:val="45"/>
          <w:rFonts w:hint="eastAsia" w:ascii="宋体" w:hAnsi="宋体"/>
          <w:color w:val="auto"/>
          <w:sz w:val="32"/>
          <w:szCs w:val="32"/>
          <w:highlight w:val="none"/>
        </w:rPr>
        <w:t>第三章</w:t>
      </w:r>
      <w:r>
        <w:rPr>
          <w:rStyle w:val="45"/>
          <w:rFonts w:ascii="宋体" w:hAnsi="宋体"/>
          <w:color w:val="auto"/>
          <w:sz w:val="32"/>
          <w:szCs w:val="32"/>
          <w:highlight w:val="none"/>
        </w:rPr>
        <w:t xml:space="preserve">  </w:t>
      </w:r>
      <w:r>
        <w:rPr>
          <w:rStyle w:val="45"/>
          <w:rFonts w:hint="eastAsia" w:ascii="宋体" w:hAnsi="宋体"/>
          <w:color w:val="auto"/>
          <w:sz w:val="32"/>
          <w:szCs w:val="32"/>
          <w:highlight w:val="none"/>
        </w:rPr>
        <w:t>竞争性磋商响应文件格式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_Toc176861408 \h </w:instrText>
      </w:r>
      <w:r>
        <w:rPr>
          <w:rFonts w:ascii="宋体" w:hAnsi="宋体"/>
          <w:color w:val="auto"/>
          <w:sz w:val="32"/>
          <w:szCs w:val="32"/>
          <w:highlight w:val="none"/>
        </w:rPr>
        <w:fldChar w:fldCharType="separate"/>
      </w:r>
      <w:r>
        <w:rPr>
          <w:rFonts w:ascii="宋体" w:hAnsi="宋体"/>
          <w:color w:val="auto"/>
          <w:sz w:val="32"/>
          <w:szCs w:val="32"/>
          <w:highlight w:val="none"/>
        </w:rPr>
        <w:t>34</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7DCCD4A7">
      <w:pPr>
        <w:pStyle w:val="32"/>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"_Toc176861409" </w:instrText>
      </w:r>
      <w:r>
        <w:rPr>
          <w:color w:val="auto"/>
          <w:highlight w:val="none"/>
        </w:rPr>
        <w:fldChar w:fldCharType="separate"/>
      </w:r>
      <w:r>
        <w:rPr>
          <w:rStyle w:val="45"/>
          <w:rFonts w:hint="eastAsia" w:ascii="宋体" w:hAnsi="宋体"/>
          <w:color w:val="auto"/>
          <w:sz w:val="32"/>
          <w:szCs w:val="32"/>
          <w:highlight w:val="none"/>
        </w:rPr>
        <w:t>第四章</w:t>
      </w:r>
      <w:r>
        <w:rPr>
          <w:rStyle w:val="45"/>
          <w:rFonts w:ascii="宋体" w:hAnsi="宋体"/>
          <w:color w:val="auto"/>
          <w:sz w:val="32"/>
          <w:szCs w:val="32"/>
          <w:highlight w:val="none"/>
        </w:rPr>
        <w:t xml:space="preserve">  </w:t>
      </w:r>
      <w:r>
        <w:rPr>
          <w:rStyle w:val="45"/>
          <w:rFonts w:hint="eastAsia" w:ascii="宋体" w:hAnsi="宋体"/>
          <w:color w:val="auto"/>
          <w:sz w:val="32"/>
          <w:szCs w:val="32"/>
          <w:highlight w:val="none"/>
        </w:rPr>
        <w:t>采购项目需求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_Toc176861409 \h </w:instrText>
      </w:r>
      <w:r>
        <w:rPr>
          <w:rFonts w:ascii="宋体" w:hAnsi="宋体"/>
          <w:color w:val="auto"/>
          <w:sz w:val="32"/>
          <w:szCs w:val="32"/>
          <w:highlight w:val="none"/>
        </w:rPr>
        <w:fldChar w:fldCharType="separate"/>
      </w:r>
      <w:r>
        <w:rPr>
          <w:rFonts w:ascii="宋体" w:hAnsi="宋体"/>
          <w:color w:val="auto"/>
          <w:sz w:val="32"/>
          <w:szCs w:val="32"/>
          <w:highlight w:val="none"/>
        </w:rPr>
        <w:t>67</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1443C191">
      <w:pPr>
        <w:pStyle w:val="32"/>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"_Toc176861410" </w:instrText>
      </w:r>
      <w:r>
        <w:rPr>
          <w:color w:val="auto"/>
          <w:highlight w:val="none"/>
        </w:rPr>
        <w:fldChar w:fldCharType="separate"/>
      </w:r>
      <w:r>
        <w:rPr>
          <w:rStyle w:val="45"/>
          <w:rFonts w:hint="eastAsia" w:ascii="宋体" w:hAnsi="宋体"/>
          <w:color w:val="auto"/>
          <w:sz w:val="32"/>
          <w:szCs w:val="32"/>
          <w:highlight w:val="none"/>
        </w:rPr>
        <w:t>第五章</w:t>
      </w:r>
      <w:r>
        <w:rPr>
          <w:rStyle w:val="45"/>
          <w:rFonts w:ascii="宋体" w:hAnsi="宋体"/>
          <w:color w:val="auto"/>
          <w:sz w:val="32"/>
          <w:szCs w:val="32"/>
          <w:highlight w:val="none"/>
        </w:rPr>
        <w:t xml:space="preserve">  </w:t>
      </w:r>
      <w:r>
        <w:rPr>
          <w:rStyle w:val="45"/>
          <w:rFonts w:hint="eastAsia" w:ascii="宋体" w:hAnsi="宋体"/>
          <w:color w:val="auto"/>
          <w:sz w:val="32"/>
          <w:szCs w:val="32"/>
          <w:highlight w:val="none"/>
        </w:rPr>
        <w:t>工程量清单及图纸</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_Toc176861410 \h </w:instrText>
      </w:r>
      <w:r>
        <w:rPr>
          <w:rFonts w:ascii="宋体" w:hAnsi="宋体"/>
          <w:color w:val="auto"/>
          <w:sz w:val="32"/>
          <w:szCs w:val="32"/>
          <w:highlight w:val="none"/>
        </w:rPr>
        <w:fldChar w:fldCharType="separate"/>
      </w:r>
      <w:r>
        <w:rPr>
          <w:rFonts w:ascii="宋体" w:hAnsi="宋体"/>
          <w:color w:val="auto"/>
          <w:sz w:val="32"/>
          <w:szCs w:val="32"/>
          <w:highlight w:val="none"/>
        </w:rPr>
        <w:t>68</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1CA03624">
      <w:pPr>
        <w:pStyle w:val="32"/>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"_Toc176861411" </w:instrText>
      </w:r>
      <w:r>
        <w:rPr>
          <w:color w:val="auto"/>
          <w:highlight w:val="none"/>
        </w:rPr>
        <w:fldChar w:fldCharType="separate"/>
      </w:r>
      <w:r>
        <w:rPr>
          <w:rStyle w:val="45"/>
          <w:rFonts w:hint="eastAsia" w:ascii="宋体" w:hAnsi="宋体"/>
          <w:color w:val="auto"/>
          <w:kern w:val="0"/>
          <w:sz w:val="32"/>
          <w:szCs w:val="32"/>
          <w:highlight w:val="none"/>
        </w:rPr>
        <w:t>第六章</w:t>
      </w:r>
      <w:r>
        <w:rPr>
          <w:rStyle w:val="45"/>
          <w:rFonts w:ascii="宋体" w:hAnsi="宋体"/>
          <w:color w:val="auto"/>
          <w:kern w:val="0"/>
          <w:sz w:val="32"/>
          <w:szCs w:val="32"/>
          <w:highlight w:val="none"/>
        </w:rPr>
        <w:t xml:space="preserve">  </w:t>
      </w:r>
      <w:r>
        <w:rPr>
          <w:rStyle w:val="45"/>
          <w:rFonts w:hint="eastAsia" w:ascii="宋体" w:hAnsi="宋体"/>
          <w:color w:val="auto"/>
          <w:kern w:val="0"/>
          <w:sz w:val="32"/>
          <w:szCs w:val="32"/>
          <w:highlight w:val="none"/>
        </w:rPr>
        <w:t>合同格式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_Toc176861411 \h </w:instrText>
      </w:r>
      <w:r>
        <w:rPr>
          <w:rFonts w:ascii="宋体" w:hAnsi="宋体"/>
          <w:color w:val="auto"/>
          <w:sz w:val="32"/>
          <w:szCs w:val="32"/>
          <w:highlight w:val="none"/>
        </w:rPr>
        <w:fldChar w:fldCharType="separate"/>
      </w:r>
      <w:r>
        <w:rPr>
          <w:rFonts w:ascii="宋体" w:hAnsi="宋体"/>
          <w:color w:val="auto"/>
          <w:sz w:val="32"/>
          <w:szCs w:val="32"/>
          <w:highlight w:val="none"/>
        </w:rPr>
        <w:t>69</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1C22A123">
      <w:pPr>
        <w:pStyle w:val="32"/>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"_Toc176861412" </w:instrText>
      </w:r>
      <w:r>
        <w:rPr>
          <w:color w:val="auto"/>
          <w:highlight w:val="none"/>
        </w:rPr>
        <w:fldChar w:fldCharType="separate"/>
      </w:r>
      <w:r>
        <w:rPr>
          <w:rStyle w:val="45"/>
          <w:rFonts w:hint="eastAsia" w:ascii="宋体" w:hAnsi="宋体"/>
          <w:color w:val="auto"/>
          <w:kern w:val="0"/>
          <w:sz w:val="32"/>
          <w:szCs w:val="32"/>
          <w:highlight w:val="none"/>
        </w:rPr>
        <w:t>第七章</w:t>
      </w:r>
      <w:r>
        <w:rPr>
          <w:rStyle w:val="45"/>
          <w:rFonts w:ascii="宋体" w:hAnsi="宋体"/>
          <w:color w:val="auto"/>
          <w:kern w:val="0"/>
          <w:sz w:val="32"/>
          <w:szCs w:val="32"/>
          <w:highlight w:val="none"/>
        </w:rPr>
        <w:t xml:space="preserve">  </w:t>
      </w:r>
      <w:r>
        <w:rPr>
          <w:rStyle w:val="45"/>
          <w:rFonts w:hint="eastAsia" w:ascii="宋体" w:hAnsi="宋体"/>
          <w:color w:val="auto"/>
          <w:kern w:val="0"/>
          <w:sz w:val="32"/>
          <w:szCs w:val="32"/>
          <w:highlight w:val="none"/>
        </w:rPr>
        <w:t>评定标准</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_Toc176861412 \h </w:instrText>
      </w:r>
      <w:r>
        <w:rPr>
          <w:rFonts w:ascii="宋体" w:hAnsi="宋体"/>
          <w:color w:val="auto"/>
          <w:sz w:val="32"/>
          <w:szCs w:val="32"/>
          <w:highlight w:val="none"/>
        </w:rPr>
        <w:fldChar w:fldCharType="separate"/>
      </w:r>
      <w:r>
        <w:rPr>
          <w:rFonts w:ascii="宋体" w:hAnsi="宋体"/>
          <w:color w:val="auto"/>
          <w:sz w:val="32"/>
          <w:szCs w:val="32"/>
          <w:highlight w:val="none"/>
        </w:rPr>
        <w:t>128</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D587485">
      <w:pPr>
        <w:spacing w:line="360" w:lineRule="auto"/>
        <w:jc w:val="center"/>
        <w:rPr>
          <w:rFonts w:ascii="仿宋_GB2312" w:hAnsi="宋体" w:eastAsia="仿宋_GB2312"/>
          <w:b/>
          <w:color w:val="auto"/>
          <w:sz w:val="32"/>
          <w:szCs w:val="32"/>
          <w:highlight w:val="none"/>
        </w:rPr>
      </w:pPr>
      <w:r>
        <w:rPr>
          <w:rFonts w:ascii="宋体" w:hAnsi="宋体" w:cs="Courier New"/>
          <w:bCs/>
          <w:color w:val="auto"/>
          <w:spacing w:val="4"/>
          <w:sz w:val="32"/>
          <w:szCs w:val="32"/>
          <w:highlight w:val="none"/>
        </w:rPr>
        <w:fldChar w:fldCharType="end"/>
      </w:r>
    </w:p>
    <w:p w14:paraId="0F874281">
      <w:pPr>
        <w:spacing w:line="400" w:lineRule="exact"/>
        <w:jc w:val="center"/>
        <w:rPr>
          <w:rFonts w:ascii="仿宋_GB2312" w:hAnsi="宋体" w:eastAsia="仿宋_GB2312"/>
          <w:b/>
          <w:color w:val="auto"/>
          <w:sz w:val="32"/>
          <w:szCs w:val="32"/>
          <w:highlight w:val="none"/>
        </w:rPr>
      </w:pPr>
    </w:p>
    <w:p w14:paraId="0D12A86E">
      <w:pPr>
        <w:spacing w:line="400" w:lineRule="exact"/>
        <w:jc w:val="center"/>
        <w:rPr>
          <w:rFonts w:ascii="仿宋_GB2312" w:hAnsi="宋体" w:eastAsia="仿宋_GB2312"/>
          <w:b/>
          <w:color w:val="auto"/>
          <w:sz w:val="32"/>
          <w:szCs w:val="32"/>
          <w:highlight w:val="none"/>
        </w:rPr>
      </w:pPr>
    </w:p>
    <w:p w14:paraId="389F7F75">
      <w:pPr>
        <w:spacing w:line="400" w:lineRule="exact"/>
        <w:jc w:val="center"/>
        <w:rPr>
          <w:rFonts w:ascii="仿宋_GB2312" w:hAnsi="宋体" w:eastAsia="仿宋_GB2312"/>
          <w:b/>
          <w:color w:val="auto"/>
          <w:sz w:val="32"/>
          <w:szCs w:val="32"/>
          <w:highlight w:val="none"/>
        </w:rPr>
      </w:pPr>
    </w:p>
    <w:p w14:paraId="6FAD0686">
      <w:pPr>
        <w:spacing w:line="400" w:lineRule="exact"/>
        <w:jc w:val="center"/>
        <w:rPr>
          <w:rFonts w:ascii="仿宋_GB2312" w:hAnsi="宋体" w:eastAsia="仿宋_GB2312"/>
          <w:b/>
          <w:color w:val="auto"/>
          <w:sz w:val="32"/>
          <w:szCs w:val="32"/>
          <w:highlight w:val="none"/>
        </w:rPr>
      </w:pPr>
    </w:p>
    <w:p w14:paraId="2C64986E">
      <w:pPr>
        <w:spacing w:line="400" w:lineRule="exact"/>
        <w:jc w:val="center"/>
        <w:rPr>
          <w:rFonts w:ascii="仿宋_GB2312" w:hAnsi="宋体" w:eastAsia="仿宋_GB2312"/>
          <w:b/>
          <w:color w:val="auto"/>
          <w:sz w:val="32"/>
          <w:szCs w:val="32"/>
          <w:highlight w:val="none"/>
        </w:rPr>
      </w:pPr>
    </w:p>
    <w:p w14:paraId="07998468">
      <w:pPr>
        <w:spacing w:line="400" w:lineRule="exact"/>
        <w:jc w:val="center"/>
        <w:rPr>
          <w:rFonts w:ascii="仿宋_GB2312" w:hAnsi="宋体" w:eastAsia="仿宋_GB2312"/>
          <w:b/>
          <w:color w:val="auto"/>
          <w:sz w:val="32"/>
          <w:szCs w:val="32"/>
          <w:highlight w:val="none"/>
        </w:rPr>
      </w:pPr>
    </w:p>
    <w:p w14:paraId="22D59F8A">
      <w:pPr>
        <w:spacing w:line="400" w:lineRule="exact"/>
        <w:jc w:val="center"/>
        <w:rPr>
          <w:rFonts w:ascii="仿宋_GB2312" w:hAnsi="宋体" w:eastAsia="仿宋_GB2312"/>
          <w:b/>
          <w:color w:val="auto"/>
          <w:sz w:val="32"/>
          <w:szCs w:val="32"/>
          <w:highlight w:val="none"/>
        </w:rPr>
      </w:pPr>
    </w:p>
    <w:p w14:paraId="7049C1AA">
      <w:pPr>
        <w:spacing w:line="400" w:lineRule="exact"/>
        <w:jc w:val="center"/>
        <w:rPr>
          <w:rFonts w:ascii="仿宋_GB2312" w:hAnsi="宋体" w:eastAsia="仿宋_GB2312"/>
          <w:b/>
          <w:color w:val="auto"/>
          <w:sz w:val="32"/>
          <w:szCs w:val="32"/>
          <w:highlight w:val="none"/>
        </w:rPr>
      </w:pPr>
    </w:p>
    <w:p w14:paraId="664DCC42">
      <w:pPr>
        <w:spacing w:line="400" w:lineRule="exact"/>
        <w:jc w:val="center"/>
        <w:rPr>
          <w:rFonts w:ascii="仿宋_GB2312" w:hAnsi="宋体" w:eastAsia="仿宋_GB2312"/>
          <w:b/>
          <w:color w:val="auto"/>
          <w:sz w:val="32"/>
          <w:szCs w:val="32"/>
          <w:highlight w:val="none"/>
        </w:rPr>
      </w:pPr>
    </w:p>
    <w:p w14:paraId="6D3C677B">
      <w:pPr>
        <w:spacing w:line="400" w:lineRule="exact"/>
        <w:rPr>
          <w:rFonts w:ascii="仿宋_GB2312" w:hAnsi="宋体" w:eastAsia="仿宋_GB2312"/>
          <w:b/>
          <w:color w:val="auto"/>
          <w:sz w:val="32"/>
          <w:szCs w:val="32"/>
          <w:highlight w:val="none"/>
        </w:rPr>
      </w:pPr>
    </w:p>
    <w:p w14:paraId="2AB1DCC4">
      <w:pPr>
        <w:spacing w:line="400" w:lineRule="exact"/>
        <w:rPr>
          <w:rFonts w:ascii="仿宋_GB2312" w:hAnsi="宋体" w:eastAsia="仿宋_GB2312"/>
          <w:b/>
          <w:color w:val="auto"/>
          <w:sz w:val="32"/>
          <w:szCs w:val="32"/>
          <w:highlight w:val="none"/>
        </w:rPr>
        <w:sectPr>
          <w:footerReference r:id="rId5" w:type="default"/>
          <w:pgSz w:w="11906" w:h="16838"/>
          <w:pgMar w:top="1474" w:right="942" w:bottom="1134" w:left="884" w:header="851" w:footer="992" w:gutter="0"/>
          <w:pgNumType w:fmt="decimal" w:start="1"/>
          <w:cols w:space="720" w:num="1"/>
          <w:docGrid w:type="lines" w:linePitch="312" w:charSpace="0"/>
        </w:sectPr>
      </w:pPr>
    </w:p>
    <w:p w14:paraId="3F640FB8">
      <w:pPr>
        <w:spacing w:line="600" w:lineRule="exact"/>
        <w:jc w:val="center"/>
        <w:outlineLvl w:val="0"/>
        <w:rPr>
          <w:rFonts w:ascii="宋体" w:hAnsi="宋体"/>
          <w:b/>
          <w:color w:val="auto"/>
          <w:sz w:val="44"/>
          <w:szCs w:val="44"/>
          <w:highlight w:val="none"/>
        </w:rPr>
      </w:pPr>
      <w:bookmarkStart w:id="1" w:name="_Toc23639"/>
      <w:bookmarkStart w:id="2" w:name="_Toc3994503"/>
      <w:bookmarkStart w:id="3" w:name="_Toc176861406"/>
      <w:r>
        <w:rPr>
          <w:rFonts w:hint="eastAsia" w:ascii="宋体" w:hAnsi="宋体"/>
          <w:b/>
          <w:color w:val="auto"/>
          <w:sz w:val="44"/>
          <w:szCs w:val="44"/>
          <w:highlight w:val="none"/>
        </w:rPr>
        <w:t>第一章  竞争性磋商公告</w:t>
      </w:r>
      <w:bookmarkEnd w:id="1"/>
      <w:bookmarkEnd w:id="2"/>
      <w:bookmarkEnd w:id="3"/>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3"/>
      </w:tblGrid>
      <w:tr w14:paraId="3784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962" w:type="dxa"/>
          </w:tcPr>
          <w:p w14:paraId="79609CA5">
            <w:pPr>
              <w:tabs>
                <w:tab w:val="left" w:pos="9639"/>
                <w:tab w:val="left" w:pos="9746"/>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22F31719">
            <w:pPr>
              <w:tabs>
                <w:tab w:val="left" w:pos="9639"/>
                <w:tab w:val="left" w:pos="9746"/>
              </w:tabs>
              <w:adjustRightInd w:val="0"/>
              <w:snapToGrid w:val="0"/>
              <w:spacing w:line="360" w:lineRule="auto"/>
              <w:ind w:left="105" w:leftChars="50" w:firstLine="360" w:firstLineChars="150"/>
              <w:rPr>
                <w:rFonts w:ascii="宋体" w:hAnsi="宋体" w:cs="宋体"/>
                <w:color w:val="auto"/>
                <w:kern w:val="0"/>
                <w:szCs w:val="21"/>
                <w:highlight w:val="none"/>
              </w:rPr>
            </w:pPr>
            <w:r>
              <w:rPr>
                <w:rFonts w:hint="eastAsia" w:ascii="宋体" w:hAnsi="宋体" w:cs="宋体"/>
                <w:color w:val="auto"/>
                <w:kern w:val="0"/>
                <w:sz w:val="24"/>
                <w:highlight w:val="none"/>
                <w:u w:val="single"/>
                <w:lang w:eastAsia="zh-CN"/>
              </w:rPr>
              <w:t>北海市海城区实验幼儿园教学楼装饰装修工程</w:t>
            </w:r>
            <w:r>
              <w:rPr>
                <w:rFonts w:hint="eastAsia" w:ascii="宋体" w:hAnsi="宋体" w:cs="宋体"/>
                <w:color w:val="auto"/>
                <w:kern w:val="0"/>
                <w:sz w:val="24"/>
                <w:highlight w:val="none"/>
              </w:rPr>
              <w:t>采购项目的潜在供应商应在广西政府采购云平台（https://www.gcy.zfcg.gxzf.gov.cn/）获取采购文件，并于</w:t>
            </w:r>
            <w:r>
              <w:rPr>
                <w:rFonts w:hint="eastAsia" w:ascii="宋体" w:hAnsi="宋体" w:cs="宋体"/>
                <w:color w:val="auto"/>
                <w:kern w:val="0"/>
                <w:sz w:val="24"/>
                <w:highlight w:val="none"/>
                <w:u w:val="single"/>
                <w:lang w:eastAsia="zh-CN"/>
              </w:rPr>
              <w:t>2026年</w:t>
            </w:r>
            <w:r>
              <w:rPr>
                <w:rFonts w:hint="eastAsia" w:ascii="宋体" w:hAnsi="宋体" w:cs="宋体"/>
                <w:color w:val="auto"/>
                <w:kern w:val="0"/>
                <w:sz w:val="24"/>
                <w:highlight w:val="none"/>
                <w:u w:val="single"/>
                <w:lang w:val="en-US" w:eastAsia="zh-CN"/>
              </w:rPr>
              <w:t>7月13日</w:t>
            </w:r>
            <w:r>
              <w:rPr>
                <w:rFonts w:hint="eastAsia" w:ascii="宋体" w:hAnsi="宋体" w:cs="宋体"/>
                <w:color w:val="auto"/>
                <w:kern w:val="0"/>
                <w:sz w:val="24"/>
                <w:highlight w:val="none"/>
                <w:u w:val="single"/>
                <w:lang w:eastAsia="zh-CN"/>
              </w:rPr>
              <w:t>15时30分00秒</w:t>
            </w:r>
            <w:r>
              <w:rPr>
                <w:rFonts w:hint="eastAsia" w:ascii="宋体" w:hAnsi="宋体" w:cs="宋体"/>
                <w:color w:val="auto"/>
                <w:kern w:val="0"/>
                <w:sz w:val="24"/>
                <w:highlight w:val="none"/>
              </w:rPr>
              <w:t>（北京时间）前提交响应文件。</w:t>
            </w:r>
          </w:p>
        </w:tc>
      </w:tr>
    </w:tbl>
    <w:p w14:paraId="555F916E">
      <w:pPr>
        <w:tabs>
          <w:tab w:val="left" w:pos="9639"/>
          <w:tab w:val="left" w:pos="9746"/>
        </w:tabs>
        <w:adjustRightInd w:val="0"/>
        <w:snapToGrid w:val="0"/>
        <w:rPr>
          <w:rFonts w:ascii="宋体" w:hAnsi="宋体" w:cs="宋体"/>
          <w:color w:val="auto"/>
          <w:kern w:val="0"/>
          <w:szCs w:val="21"/>
          <w:highlight w:val="none"/>
        </w:rPr>
      </w:pPr>
    </w:p>
    <w:p w14:paraId="5CD374E5">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一、项目基本情况</w:t>
      </w:r>
    </w:p>
    <w:p w14:paraId="5428698A">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项目编号：BHZC2026-C2-020018-GXKL</w:t>
      </w:r>
    </w:p>
    <w:p w14:paraId="211A6C08">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采购计划编号：201047W2026001</w:t>
      </w:r>
    </w:p>
    <w:p w14:paraId="178F3FA2">
      <w:pPr>
        <w:adjustRightInd w:val="0"/>
        <w:spacing w:line="360" w:lineRule="auto"/>
        <w:ind w:firstLine="480" w:firstLineChars="200"/>
        <w:rPr>
          <w:rFonts w:hint="eastAsia" w:ascii="宋体" w:hAnsi="宋体" w:eastAsia="宋体"/>
          <w:color w:val="auto"/>
          <w:sz w:val="24"/>
          <w:highlight w:val="none"/>
          <w:u w:val="single"/>
          <w:lang w:eastAsia="zh-CN"/>
        </w:rPr>
      </w:pPr>
      <w:r>
        <w:rPr>
          <w:rFonts w:hint="eastAsia" w:ascii="宋体" w:hAnsi="宋体"/>
          <w:color w:val="auto"/>
          <w:sz w:val="24"/>
          <w:highlight w:val="none"/>
        </w:rPr>
        <w:t>项目名称：</w:t>
      </w:r>
      <w:r>
        <w:rPr>
          <w:rFonts w:hint="eastAsia" w:ascii="宋体" w:hAnsi="宋体"/>
          <w:color w:val="auto"/>
          <w:sz w:val="24"/>
          <w:highlight w:val="none"/>
          <w:lang w:eastAsia="zh-CN"/>
        </w:rPr>
        <w:t>北海市海城区实验幼儿园教学楼装饰装修工程</w:t>
      </w:r>
    </w:p>
    <w:p w14:paraId="40F889D3">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采购方式：竞争性磋商</w:t>
      </w:r>
    </w:p>
    <w:p w14:paraId="5AB1B59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预算金额（元）：</w:t>
      </w:r>
      <w:r>
        <w:rPr>
          <w:rFonts w:hint="eastAsia" w:ascii="宋体" w:hAnsi="宋体"/>
          <w:color w:val="auto"/>
          <w:sz w:val="24"/>
          <w:highlight w:val="none"/>
          <w:lang w:val="en-US" w:eastAsia="zh-CN"/>
        </w:rPr>
        <w:t>1885359.25</w:t>
      </w:r>
      <w:r>
        <w:rPr>
          <w:rFonts w:ascii="宋体" w:hAnsi="宋体"/>
          <w:color w:val="auto"/>
          <w:sz w:val="24"/>
          <w:highlight w:val="none"/>
        </w:rPr>
        <w:t xml:space="preserve"> </w:t>
      </w:r>
    </w:p>
    <w:p w14:paraId="5D244C1F">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最高限价（元）：</w:t>
      </w:r>
      <w:r>
        <w:rPr>
          <w:rFonts w:hint="eastAsia" w:ascii="宋体" w:hAnsi="宋体"/>
          <w:color w:val="auto"/>
          <w:sz w:val="24"/>
          <w:highlight w:val="none"/>
          <w:lang w:val="en-US" w:eastAsia="zh-CN"/>
        </w:rPr>
        <w:t>1885359.25</w:t>
      </w:r>
      <w:r>
        <w:rPr>
          <w:rFonts w:ascii="宋体" w:hAnsi="宋体"/>
          <w:color w:val="auto"/>
          <w:sz w:val="24"/>
          <w:highlight w:val="none"/>
        </w:rPr>
        <w:t xml:space="preserve"> </w:t>
      </w:r>
    </w:p>
    <w:p w14:paraId="5A227B3D">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采购需求：</w:t>
      </w:r>
      <w:r>
        <w:rPr>
          <w:rFonts w:hint="eastAsia" w:hAnsi="宋体" w:cs="宋体"/>
          <w:bCs/>
          <w:color w:val="auto"/>
          <w:sz w:val="24"/>
          <w:highlight w:val="none"/>
          <w:lang w:eastAsia="zh-CN"/>
        </w:rPr>
        <w:t>本工程主要建设北海市海城区实验幼儿园教学楼装饰装修工程，</w:t>
      </w:r>
      <w:r>
        <w:rPr>
          <w:rFonts w:hint="eastAsia" w:hAnsi="宋体" w:cs="宋体"/>
          <w:bCs/>
          <w:color w:val="auto"/>
          <w:sz w:val="24"/>
          <w:highlight w:val="none"/>
          <w:lang w:val="en-US" w:eastAsia="zh-CN"/>
        </w:rPr>
        <w:t>施工范围工程内容：教室、游泳区、走廊、楼梯间、零星装饰、电气工程、道路工程等；</w:t>
      </w:r>
      <w:r>
        <w:rPr>
          <w:rFonts w:hint="eastAsia" w:hAnsi="宋体" w:cs="宋体"/>
          <w:bCs/>
          <w:color w:val="auto"/>
          <w:sz w:val="24"/>
          <w:highlight w:val="none"/>
          <w:lang w:eastAsia="zh-CN"/>
        </w:rPr>
        <w:t>如需进一步了解详细内容，详见工程量清单。</w:t>
      </w:r>
    </w:p>
    <w:p w14:paraId="507EB917">
      <w:pPr>
        <w:adjustRightIn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合同履行期限：自合同签订之日起</w:t>
      </w:r>
      <w:r>
        <w:rPr>
          <w:rFonts w:hint="eastAsia" w:ascii="宋体" w:hAnsi="宋体"/>
          <w:color w:val="auto"/>
          <w:sz w:val="24"/>
          <w:highlight w:val="none"/>
          <w:lang w:val="en-US" w:eastAsia="zh-CN"/>
        </w:rPr>
        <w:t>60天内竣工验收</w:t>
      </w:r>
      <w:r>
        <w:rPr>
          <w:rFonts w:hint="eastAsia" w:ascii="宋体" w:hAnsi="宋体"/>
          <w:color w:val="auto"/>
          <w:sz w:val="24"/>
          <w:highlight w:val="none"/>
        </w:rPr>
        <w:t>并交付使用。</w:t>
      </w:r>
    </w:p>
    <w:p w14:paraId="48F08200">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本项目是否接受联合体磋商：否</w:t>
      </w:r>
    </w:p>
    <w:p w14:paraId="3B018E97">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二、申请人的资格要求</w:t>
      </w:r>
    </w:p>
    <w:p w14:paraId="530C6E5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w:t>
      </w:r>
    </w:p>
    <w:p w14:paraId="22C5981D">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ascii="宋体" w:hAnsi="宋体" w:cs="宋体"/>
          <w:color w:val="auto"/>
          <w:sz w:val="24"/>
          <w:highlight w:val="none"/>
        </w:rPr>
      </w:pP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kern w:val="0"/>
          <w:sz w:val="24"/>
          <w:highlight w:val="none"/>
          <w:lang w:eastAsia="zh-CN"/>
        </w:rPr>
        <w:t>专门面向小微企业，工程全部由符合政策要求的小微企业承接</w:t>
      </w:r>
      <w:r>
        <w:rPr>
          <w:rFonts w:hint="eastAsia" w:ascii="宋体" w:hAnsi="宋体" w:cs="宋体"/>
          <w:color w:val="auto"/>
          <w:sz w:val="24"/>
          <w:highlight w:val="none"/>
        </w:rPr>
        <w:t>；</w:t>
      </w:r>
    </w:p>
    <w:p w14:paraId="762E1112">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3.本项目的特定资格要求：供应商须具备</w:t>
      </w:r>
      <w:r>
        <w:rPr>
          <w:rFonts w:hint="eastAsia" w:ascii="宋体" w:hAnsi="宋体" w:cs="宋体"/>
          <w:color w:val="auto"/>
          <w:sz w:val="24"/>
          <w:highlight w:val="none"/>
          <w:lang w:val="en-US" w:eastAsia="zh-CN"/>
        </w:rPr>
        <w:t>建筑工程施工总承包贰级（含）</w:t>
      </w:r>
      <w:r>
        <w:rPr>
          <w:rFonts w:hint="eastAsia" w:ascii="宋体" w:hAnsi="宋体" w:cs="宋体"/>
          <w:color w:val="auto"/>
          <w:sz w:val="24"/>
          <w:highlight w:val="none"/>
        </w:rPr>
        <w:t>以上资质，并持有有效的安全生产许可证，并在人员、设备、资金等方面具备相应的施工能力</w:t>
      </w:r>
      <w:r>
        <w:rPr>
          <w:rFonts w:hint="eastAsia" w:ascii="宋体" w:hAnsi="宋体" w:cs="宋体"/>
          <w:color w:val="auto"/>
          <w:sz w:val="24"/>
          <w:highlight w:val="none"/>
          <w:lang w:eastAsia="zh-CN"/>
        </w:rPr>
        <w:t>。</w:t>
      </w:r>
    </w:p>
    <w:p w14:paraId="412828D4">
      <w:pPr>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三、获取响应文件</w:t>
      </w:r>
    </w:p>
    <w:p w14:paraId="145D1632">
      <w:pPr>
        <w:adjustRightInd w:val="0"/>
        <w:spacing w:line="360" w:lineRule="auto"/>
        <w:ind w:firstLine="540"/>
        <w:rPr>
          <w:rFonts w:ascii="宋体" w:hAnsi="宋体" w:cs="宋体"/>
          <w:color w:val="auto"/>
          <w:sz w:val="24"/>
          <w:highlight w:val="none"/>
        </w:rPr>
      </w:pPr>
      <w:r>
        <w:rPr>
          <w:rFonts w:hint="eastAsia" w:ascii="宋体" w:hAnsi="宋体" w:cs="宋体"/>
          <w:b/>
          <w:color w:val="auto"/>
          <w:sz w:val="24"/>
          <w:highlight w:val="none"/>
        </w:rPr>
        <w:t>时间：</w:t>
      </w: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7</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日，每天上午</w:t>
      </w:r>
      <w:r>
        <w:rPr>
          <w:rFonts w:hint="eastAsia" w:ascii="宋体" w:hAnsi="宋体"/>
          <w:color w:val="auto"/>
          <w:sz w:val="24"/>
          <w:highlight w:val="none"/>
        </w:rPr>
        <w:t>00:00至12:00 ，下午12:00至23:59</w:t>
      </w:r>
      <w:r>
        <w:rPr>
          <w:rFonts w:hint="eastAsia" w:ascii="宋体" w:hAnsi="宋体" w:cs="宋体"/>
          <w:color w:val="auto"/>
          <w:sz w:val="24"/>
          <w:highlight w:val="none"/>
        </w:rPr>
        <w:t>（北京时间，法定节假日除外）；</w:t>
      </w:r>
    </w:p>
    <w:p w14:paraId="19C4F6E9">
      <w:pPr>
        <w:adjustRightInd w:val="0"/>
        <w:spacing w:line="360" w:lineRule="auto"/>
        <w:ind w:firstLine="540"/>
        <w:rPr>
          <w:rFonts w:ascii="宋体" w:hAnsi="宋体" w:cs="宋体"/>
          <w:color w:val="auto"/>
          <w:sz w:val="28"/>
          <w:szCs w:val="28"/>
          <w:highlight w:val="none"/>
          <w:u w:val="single"/>
        </w:rPr>
      </w:pPr>
      <w:r>
        <w:rPr>
          <w:rFonts w:hint="eastAsia" w:ascii="宋体" w:hAnsi="宋体" w:cs="宋体"/>
          <w:b/>
          <w:color w:val="auto"/>
          <w:sz w:val="24"/>
          <w:highlight w:val="none"/>
        </w:rPr>
        <w:t>地点（网址）：</w:t>
      </w:r>
      <w:r>
        <w:rPr>
          <w:rFonts w:hint="eastAsia" w:ascii="宋体" w:hAnsi="宋体" w:cs="宋体"/>
          <w:color w:val="auto"/>
          <w:sz w:val="24"/>
          <w:highlight w:val="none"/>
        </w:rPr>
        <w:t>广西政府采购云平台（https://www.gcy.zfcg.gxzf.gov.cn/）</w:t>
      </w:r>
    </w:p>
    <w:p w14:paraId="4016C22C">
      <w:pPr>
        <w:adjustRightInd w:val="0"/>
        <w:spacing w:line="360" w:lineRule="auto"/>
        <w:ind w:firstLine="540"/>
        <w:rPr>
          <w:rFonts w:ascii="宋体" w:hAnsi="宋体" w:cs="宋体"/>
          <w:color w:val="auto"/>
          <w:sz w:val="24"/>
          <w:highlight w:val="none"/>
          <w:u w:val="single"/>
        </w:rPr>
      </w:pPr>
      <w:r>
        <w:rPr>
          <w:rFonts w:hint="eastAsia" w:ascii="宋体" w:hAnsi="宋体" w:cs="宋体"/>
          <w:b/>
          <w:color w:val="auto"/>
          <w:sz w:val="24"/>
          <w:highlight w:val="none"/>
        </w:rPr>
        <w:t>方式：</w:t>
      </w:r>
      <w:r>
        <w:rPr>
          <w:rFonts w:hint="eastAsia" w:ascii="宋体" w:hAnsi="宋体" w:cs="宋体"/>
          <w:color w:val="auto"/>
          <w:sz w:val="24"/>
          <w:highlight w:val="none"/>
        </w:rPr>
        <w:t>供应商登录广西政府采购云平台（https://www.gcy.zfcg.gxzf.gov.cn/）在线申请获取采购文件（进入“项目采购”应用，在获取采购文件菜单中选择项目，申请获取采购文件）。</w:t>
      </w:r>
    </w:p>
    <w:p w14:paraId="6434DA7E">
      <w:pPr>
        <w:adjustRightInd w:val="0"/>
        <w:spacing w:line="360" w:lineRule="auto"/>
        <w:ind w:firstLine="540"/>
        <w:rPr>
          <w:rFonts w:ascii="宋体" w:hAnsi="宋体" w:cs="宋体"/>
          <w:color w:val="auto"/>
          <w:sz w:val="28"/>
          <w:szCs w:val="28"/>
          <w:highlight w:val="none"/>
        </w:rPr>
      </w:pPr>
      <w:r>
        <w:rPr>
          <w:rFonts w:hint="eastAsia" w:ascii="宋体" w:hAnsi="宋体" w:cs="宋体"/>
          <w:b/>
          <w:color w:val="auto"/>
          <w:sz w:val="24"/>
          <w:highlight w:val="none"/>
        </w:rPr>
        <w:t>售价：</w:t>
      </w:r>
      <w:r>
        <w:rPr>
          <w:rFonts w:hint="eastAsia" w:ascii="宋体" w:hAnsi="宋体" w:cs="仿宋_GB2312"/>
          <w:color w:val="auto"/>
          <w:sz w:val="24"/>
          <w:highlight w:val="none"/>
        </w:rPr>
        <w:t>0。</w:t>
      </w:r>
    </w:p>
    <w:p w14:paraId="40D872E4">
      <w:pPr>
        <w:adjustRightInd w:val="0"/>
        <w:snapToGrid w:val="0"/>
        <w:spacing w:line="360" w:lineRule="auto"/>
        <w:jc w:val="left"/>
        <w:rPr>
          <w:rFonts w:ascii="宋体" w:hAnsi="宋体"/>
          <w:b/>
          <w:color w:val="auto"/>
          <w:kern w:val="0"/>
          <w:sz w:val="24"/>
          <w:szCs w:val="20"/>
          <w:highlight w:val="none"/>
        </w:rPr>
      </w:pPr>
      <w:bookmarkStart w:id="4" w:name="_Toc28359092"/>
      <w:bookmarkStart w:id="5" w:name="_Toc35393801"/>
      <w:bookmarkStart w:id="6" w:name="_Toc28359015"/>
      <w:bookmarkStart w:id="7" w:name="_Toc35393632"/>
      <w:r>
        <w:rPr>
          <w:rFonts w:hint="eastAsia" w:ascii="宋体" w:hAnsi="宋体"/>
          <w:b/>
          <w:color w:val="auto"/>
          <w:kern w:val="0"/>
          <w:sz w:val="24"/>
          <w:szCs w:val="20"/>
          <w:highlight w:val="none"/>
        </w:rPr>
        <w:t>四、响应文件提交</w:t>
      </w:r>
      <w:bookmarkEnd w:id="4"/>
      <w:bookmarkEnd w:id="5"/>
      <w:bookmarkEnd w:id="6"/>
      <w:bookmarkEnd w:id="7"/>
      <w:r>
        <w:rPr>
          <w:rFonts w:hint="eastAsia" w:ascii="宋体" w:hAnsi="宋体"/>
          <w:b/>
          <w:color w:val="auto"/>
          <w:kern w:val="0"/>
          <w:sz w:val="24"/>
          <w:szCs w:val="20"/>
          <w:highlight w:val="none"/>
        </w:rPr>
        <w:t>（上传）</w:t>
      </w:r>
    </w:p>
    <w:p w14:paraId="3E44289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olor w:val="auto"/>
          <w:sz w:val="24"/>
          <w:highlight w:val="none"/>
          <w:u w:val="single"/>
          <w:lang w:eastAsia="zh-CN"/>
        </w:rPr>
        <w:t>2026年</w:t>
      </w:r>
      <w:r>
        <w:rPr>
          <w:rFonts w:hint="eastAsia" w:ascii="宋体" w:hAnsi="宋体"/>
          <w:color w:val="auto"/>
          <w:sz w:val="24"/>
          <w:highlight w:val="none"/>
          <w:u w:val="single"/>
          <w:lang w:val="en-US" w:eastAsia="zh-CN"/>
        </w:rPr>
        <w:t>7月13日</w:t>
      </w:r>
      <w:r>
        <w:rPr>
          <w:rFonts w:hint="eastAsia" w:ascii="宋体" w:hAnsi="宋体"/>
          <w:color w:val="auto"/>
          <w:sz w:val="24"/>
          <w:highlight w:val="none"/>
          <w:u w:val="single"/>
          <w:lang w:eastAsia="zh-CN"/>
        </w:rPr>
        <w:t>15时30分00秒</w:t>
      </w:r>
      <w:r>
        <w:rPr>
          <w:rFonts w:hint="eastAsia" w:ascii="宋体" w:hAnsi="宋体"/>
          <w:bCs/>
          <w:color w:val="auto"/>
          <w:sz w:val="24"/>
          <w:highlight w:val="none"/>
        </w:rPr>
        <w:t>（北京时间）</w:t>
      </w:r>
    </w:p>
    <w:p w14:paraId="206C29C4">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r>
        <w:rPr>
          <w:rFonts w:hint="eastAsia" w:ascii="宋体" w:hAnsi="宋体" w:cs="仿宋_GB2312"/>
          <w:b/>
          <w:color w:val="auto"/>
          <w:sz w:val="24"/>
          <w:highlight w:val="none"/>
        </w:rPr>
        <w:t>。</w:t>
      </w:r>
    </w:p>
    <w:p w14:paraId="76FB268C">
      <w:pPr>
        <w:adjustRightInd w:val="0"/>
        <w:snapToGrid w:val="0"/>
        <w:spacing w:line="360" w:lineRule="auto"/>
        <w:jc w:val="left"/>
        <w:rPr>
          <w:rFonts w:ascii="宋体" w:hAnsi="宋体"/>
          <w:b/>
          <w:color w:val="auto"/>
          <w:kern w:val="0"/>
          <w:sz w:val="24"/>
          <w:szCs w:val="20"/>
          <w:highlight w:val="none"/>
        </w:rPr>
      </w:pPr>
      <w:bookmarkStart w:id="8" w:name="_Toc35393633"/>
      <w:bookmarkStart w:id="9" w:name="_Toc28359016"/>
      <w:bookmarkStart w:id="10" w:name="_Toc28359093"/>
      <w:bookmarkStart w:id="11" w:name="_Toc35393802"/>
      <w:r>
        <w:rPr>
          <w:rFonts w:hint="eastAsia" w:ascii="宋体" w:hAnsi="宋体"/>
          <w:b/>
          <w:color w:val="auto"/>
          <w:kern w:val="0"/>
          <w:sz w:val="24"/>
          <w:szCs w:val="20"/>
          <w:highlight w:val="none"/>
        </w:rPr>
        <w:t>五、响应文件开启</w:t>
      </w:r>
      <w:bookmarkEnd w:id="8"/>
      <w:bookmarkEnd w:id="9"/>
      <w:bookmarkEnd w:id="10"/>
      <w:bookmarkEnd w:id="11"/>
    </w:p>
    <w:p w14:paraId="5F5FF980">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时间：</w:t>
      </w:r>
      <w:r>
        <w:rPr>
          <w:rFonts w:hint="eastAsia" w:ascii="宋体" w:hAnsi="宋体"/>
          <w:color w:val="auto"/>
          <w:sz w:val="24"/>
          <w:highlight w:val="none"/>
          <w:u w:val="single"/>
          <w:lang w:eastAsia="zh-CN"/>
        </w:rPr>
        <w:t>2026年</w:t>
      </w:r>
      <w:r>
        <w:rPr>
          <w:rFonts w:hint="eastAsia" w:ascii="宋体" w:hAnsi="宋体"/>
          <w:color w:val="auto"/>
          <w:sz w:val="24"/>
          <w:highlight w:val="none"/>
          <w:u w:val="single"/>
          <w:lang w:val="en-US" w:eastAsia="zh-CN"/>
        </w:rPr>
        <w:t>7月13日</w:t>
      </w:r>
      <w:r>
        <w:rPr>
          <w:rFonts w:hint="eastAsia" w:ascii="宋体" w:hAnsi="宋体"/>
          <w:color w:val="auto"/>
          <w:sz w:val="24"/>
          <w:highlight w:val="none"/>
          <w:u w:val="single"/>
          <w:lang w:eastAsia="zh-CN"/>
        </w:rPr>
        <w:t>15时30分00秒</w:t>
      </w:r>
      <w:r>
        <w:rPr>
          <w:rFonts w:hint="eastAsia" w:ascii="宋体" w:hAnsi="宋体"/>
          <w:bCs/>
          <w:color w:val="auto"/>
          <w:sz w:val="24"/>
          <w:highlight w:val="none"/>
        </w:rPr>
        <w:t>（北京时间）</w:t>
      </w:r>
    </w:p>
    <w:p w14:paraId="6BF9DB54">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ascii="宋体" w:hAnsi="宋体" w:cs="宋体"/>
          <w:color w:val="auto"/>
          <w:sz w:val="24"/>
          <w:highlight w:val="none"/>
        </w:rPr>
        <w:t>广西政府采购云平台（https://www.gcy.zfcg.gxzf.gov.cn/）。</w:t>
      </w:r>
    </w:p>
    <w:p w14:paraId="2F7FFC6F">
      <w:pPr>
        <w:adjustRightInd w:val="0"/>
        <w:snapToGrid w:val="0"/>
        <w:spacing w:line="360" w:lineRule="auto"/>
        <w:jc w:val="left"/>
        <w:rPr>
          <w:rFonts w:ascii="宋体" w:hAnsi="宋体"/>
          <w:b/>
          <w:color w:val="auto"/>
          <w:kern w:val="0"/>
          <w:sz w:val="24"/>
          <w:szCs w:val="20"/>
          <w:highlight w:val="none"/>
        </w:rPr>
      </w:pPr>
      <w:bookmarkStart w:id="12" w:name="_Toc35393803"/>
      <w:bookmarkStart w:id="13" w:name="_Toc35393634"/>
      <w:bookmarkStart w:id="14" w:name="_Toc28359094"/>
      <w:bookmarkStart w:id="15" w:name="_Toc28359017"/>
      <w:r>
        <w:rPr>
          <w:rFonts w:hint="eastAsia" w:ascii="宋体" w:hAnsi="宋体"/>
          <w:b/>
          <w:color w:val="auto"/>
          <w:kern w:val="0"/>
          <w:sz w:val="24"/>
          <w:szCs w:val="20"/>
          <w:highlight w:val="none"/>
        </w:rPr>
        <w:t>六、公告期限</w:t>
      </w:r>
      <w:bookmarkEnd w:id="12"/>
      <w:bookmarkEnd w:id="13"/>
      <w:bookmarkEnd w:id="14"/>
      <w:bookmarkEnd w:id="15"/>
    </w:p>
    <w:p w14:paraId="329BA904">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个工作日。</w:t>
      </w:r>
    </w:p>
    <w:p w14:paraId="65FC94C3">
      <w:pPr>
        <w:adjustRightInd w:val="0"/>
        <w:snapToGrid w:val="0"/>
        <w:spacing w:line="360" w:lineRule="auto"/>
        <w:jc w:val="left"/>
        <w:rPr>
          <w:rFonts w:ascii="宋体" w:hAnsi="宋体"/>
          <w:b/>
          <w:color w:val="auto"/>
          <w:kern w:val="0"/>
          <w:sz w:val="24"/>
          <w:szCs w:val="20"/>
          <w:highlight w:val="none"/>
        </w:rPr>
      </w:pPr>
      <w:bookmarkStart w:id="16" w:name="_Toc35393635"/>
      <w:bookmarkStart w:id="17" w:name="_Toc35393804"/>
      <w:r>
        <w:rPr>
          <w:rFonts w:hint="eastAsia" w:ascii="宋体" w:hAnsi="宋体"/>
          <w:b/>
          <w:color w:val="auto"/>
          <w:kern w:val="0"/>
          <w:sz w:val="24"/>
          <w:szCs w:val="20"/>
          <w:highlight w:val="none"/>
        </w:rPr>
        <w:t>七、其他补充事宜</w:t>
      </w:r>
      <w:bookmarkEnd w:id="16"/>
      <w:bookmarkEnd w:id="17"/>
    </w:p>
    <w:p w14:paraId="44BA791B">
      <w:pPr>
        <w:adjustRightIn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无</w:t>
      </w:r>
    </w:p>
    <w:p w14:paraId="38AF89CC">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2.单位负责人为同一人或者存在直接控股、管理关系的不同供应商，不得参加同一合同项下的政府采购活动；为采购项目提供整体设计、规范编制或者项目管理、监理、检测等服务</w:t>
      </w:r>
      <w:r>
        <w:rPr>
          <w:rFonts w:hint="eastAsia" w:ascii="宋体" w:hAnsi="宋体" w:cs="宋体"/>
          <w:color w:val="auto"/>
          <w:sz w:val="24"/>
          <w:highlight w:val="none"/>
          <w:lang w:val="en-US" w:eastAsia="zh-CN"/>
        </w:rPr>
        <w:t>的供应商</w:t>
      </w:r>
      <w:r>
        <w:rPr>
          <w:rFonts w:hint="eastAsia" w:ascii="宋体" w:hAnsi="宋体" w:cs="宋体"/>
          <w:color w:val="auto"/>
          <w:sz w:val="24"/>
          <w:highlight w:val="none"/>
        </w:rPr>
        <w:t>不得再参加该采购项目的其他采购活动。</w:t>
      </w:r>
    </w:p>
    <w:p w14:paraId="56D65737">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本项目需要落实的政府采购政策：</w:t>
      </w:r>
    </w:p>
    <w:p w14:paraId="04AF2FB6">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（1）支持采用本国产品</w:t>
      </w:r>
    </w:p>
    <w:p w14:paraId="22E38F33">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（2）支持绿色发展</w:t>
      </w:r>
    </w:p>
    <w:p w14:paraId="4E8C38F3">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（3）支持中小企业发展</w:t>
      </w:r>
    </w:p>
    <w:p w14:paraId="06579198">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（4）支持监狱企业、残疾人福利性单位发展</w:t>
      </w:r>
    </w:p>
    <w:p w14:paraId="4FC6E007">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（5）支持创新发展</w:t>
      </w:r>
    </w:p>
    <w:p w14:paraId="0D9CCE76">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（6）平等对待内外资企业和符合条件的破产重整企业。</w:t>
      </w:r>
    </w:p>
    <w:p w14:paraId="19FF2B04">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4</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4208C46F">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.网上公告媒体查询：http://www.ccgp.gov.cn/</w:t>
      </w:r>
      <w:r>
        <w:rPr>
          <w:rFonts w:hint="eastAsia" w:ascii="宋体" w:hAnsi="宋体" w:cs="宋体"/>
          <w:color w:val="auto"/>
          <w:sz w:val="24"/>
          <w:highlight w:val="none"/>
          <w:lang w:eastAsia="zh-CN"/>
        </w:rPr>
        <w:t>（</w:t>
      </w:r>
      <w:r>
        <w:rPr>
          <w:rFonts w:hint="eastAsia" w:ascii="宋体" w:hAnsi="宋体" w:cs="宋体"/>
          <w:color w:val="auto"/>
          <w:sz w:val="24"/>
          <w:highlight w:val="none"/>
        </w:rPr>
        <w:t>中国政府采购网</w:t>
      </w:r>
      <w:r>
        <w:rPr>
          <w:rFonts w:hint="eastAsia" w:ascii="宋体" w:hAnsi="宋体" w:cs="宋体"/>
          <w:color w:val="auto"/>
          <w:sz w:val="24"/>
          <w:highlight w:val="none"/>
          <w:lang w:eastAsia="zh-CN"/>
        </w:rPr>
        <w:t>）</w:t>
      </w:r>
      <w:r>
        <w:rPr>
          <w:rFonts w:hint="eastAsia" w:ascii="宋体" w:hAnsi="宋体" w:cs="宋体"/>
          <w:color w:val="auto"/>
          <w:sz w:val="24"/>
          <w:highlight w:val="none"/>
        </w:rPr>
        <w:t>、http://zfcg.gxzf.gov.cn/</w:t>
      </w:r>
      <w:r>
        <w:rPr>
          <w:rFonts w:hint="eastAsia" w:ascii="宋体" w:hAnsi="宋体" w:cs="宋体"/>
          <w:color w:val="auto"/>
          <w:sz w:val="24"/>
          <w:highlight w:val="none"/>
          <w:lang w:eastAsia="zh-CN"/>
        </w:rPr>
        <w:t>（</w:t>
      </w:r>
      <w:r>
        <w:rPr>
          <w:rFonts w:hint="eastAsia" w:ascii="宋体" w:hAnsi="宋体" w:cs="宋体"/>
          <w:color w:val="auto"/>
          <w:sz w:val="24"/>
          <w:highlight w:val="none"/>
        </w:rPr>
        <w:t>广西政府采购网</w:t>
      </w:r>
      <w:r>
        <w:rPr>
          <w:rFonts w:hint="eastAsia" w:ascii="宋体" w:hAnsi="宋体" w:cs="宋体"/>
          <w:color w:val="auto"/>
          <w:sz w:val="24"/>
          <w:highlight w:val="none"/>
          <w:lang w:eastAsia="zh-CN"/>
        </w:rPr>
        <w:t>）</w:t>
      </w:r>
      <w:r>
        <w:rPr>
          <w:rFonts w:hint="eastAsia" w:ascii="宋体" w:hAnsi="宋体" w:cs="宋体"/>
          <w:color w:val="auto"/>
          <w:sz w:val="24"/>
          <w:highlight w:val="none"/>
        </w:rPr>
        <w:t>。</w:t>
      </w:r>
    </w:p>
    <w:p w14:paraId="7EA958BD">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textAlignment w:val="auto"/>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6.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3522750E">
      <w:p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7.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09CA55A7">
      <w:p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8.未被“信用中国”（www.creditchina.gov.cn)、中国政府采购网（www.ccgp.gov.cn）、中国执行信息公开网（https://zxgk.court.gov.cn/）列入失信被执行人、重大税收违法案件当事人名单、政府采购严重违法失信行为记录名单；</w:t>
      </w:r>
    </w:p>
    <w:p w14:paraId="411C2535">
      <w:p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 xml:space="preserve">9.以联合体形式响应的，提供联合协议(本项目不接受联合体响应或者供应商不以联合体形式响应的，则不需要提供) </w:t>
      </w:r>
    </w:p>
    <w:p w14:paraId="2047E842">
      <w:pPr>
        <w:adjustRightIn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lang w:val="en-US" w:eastAsia="zh-CN"/>
        </w:rPr>
        <w:t>10.本项目采用远程异地评标。</w:t>
      </w:r>
    </w:p>
    <w:p w14:paraId="28145607">
      <w:pPr>
        <w:adjustRightInd w:val="0"/>
        <w:snapToGrid w:val="0"/>
        <w:spacing w:line="360" w:lineRule="auto"/>
        <w:jc w:val="left"/>
        <w:rPr>
          <w:rFonts w:ascii="宋体" w:hAnsi="宋体"/>
          <w:b/>
          <w:color w:val="auto"/>
          <w:kern w:val="0"/>
          <w:sz w:val="24"/>
          <w:szCs w:val="20"/>
          <w:highlight w:val="none"/>
        </w:rPr>
      </w:pPr>
      <w:bookmarkStart w:id="18" w:name="_Toc28359018"/>
      <w:bookmarkStart w:id="19" w:name="_Toc35393636"/>
      <w:bookmarkStart w:id="20" w:name="_Toc28359095"/>
      <w:bookmarkStart w:id="21" w:name="_Toc35393805"/>
      <w:r>
        <w:rPr>
          <w:rFonts w:hint="eastAsia" w:ascii="宋体" w:hAnsi="宋体"/>
          <w:b/>
          <w:color w:val="auto"/>
          <w:kern w:val="0"/>
          <w:sz w:val="24"/>
          <w:szCs w:val="20"/>
          <w:highlight w:val="none"/>
        </w:rPr>
        <w:t>八、凡对本次采购提出询问、质疑、投诉，请按以下方式联系</w:t>
      </w:r>
      <w:bookmarkEnd w:id="18"/>
      <w:bookmarkEnd w:id="19"/>
      <w:bookmarkEnd w:id="20"/>
      <w:bookmarkEnd w:id="21"/>
    </w:p>
    <w:p w14:paraId="5078A84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rPr>
        <w:t>1.采购人</w:t>
      </w:r>
      <w:r>
        <w:rPr>
          <w:rFonts w:hint="eastAsia" w:ascii="宋体" w:hAnsi="宋体" w:eastAsia="宋体" w:cs="宋体"/>
          <w:color w:val="auto"/>
          <w:sz w:val="24"/>
          <w:highlight w:val="none"/>
        </w:rPr>
        <w:t>信息</w:t>
      </w:r>
    </w:p>
    <w:p w14:paraId="2FD5690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名   称：</w:t>
      </w:r>
      <w:r>
        <w:rPr>
          <w:rFonts w:hint="eastAsia" w:ascii="宋体" w:hAnsi="宋体" w:cs="宋体"/>
          <w:color w:val="auto"/>
          <w:sz w:val="24"/>
          <w:highlight w:val="none"/>
          <w:lang w:eastAsia="zh-CN"/>
        </w:rPr>
        <w:t>北海市海城区实验幼儿园</w:t>
      </w:r>
      <w:r>
        <w:rPr>
          <w:rFonts w:hint="eastAsia" w:ascii="宋体" w:hAnsi="宋体" w:eastAsia="宋体" w:cs="宋体"/>
          <w:color w:val="auto"/>
          <w:sz w:val="24"/>
          <w:highlight w:val="none"/>
        </w:rPr>
        <w:t xml:space="preserve"> </w:t>
      </w:r>
    </w:p>
    <w:p w14:paraId="0A3C3183">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   址：重庆路以北，湖南路以西地块内</w:t>
      </w:r>
    </w:p>
    <w:p w14:paraId="5A8ED1A1">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项目联系人：沈老师</w:t>
      </w:r>
    </w:p>
    <w:p w14:paraId="55270D38">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项目联系方式：1827899847</w:t>
      </w:r>
    </w:p>
    <w:p w14:paraId="271FC34C">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4CC218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2.采购代理机构信息            </w:t>
      </w:r>
    </w:p>
    <w:p w14:paraId="6ACC8C19">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名    称：广西科联招标中心有限公司 </w:t>
      </w:r>
    </w:p>
    <w:p w14:paraId="725B9797">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    址：北海市北海大道科技大厦三楼 </w:t>
      </w:r>
    </w:p>
    <w:p w14:paraId="7A28CE2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项目联系人：简良</w:t>
      </w:r>
    </w:p>
    <w:p w14:paraId="50566BDB">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项目联系方式：0779-3832133/3830266</w:t>
      </w:r>
    </w:p>
    <w:p w14:paraId="08D472A9">
      <w:pPr>
        <w:tabs>
          <w:tab w:val="left" w:pos="9639"/>
          <w:tab w:val="left" w:pos="9746"/>
        </w:tabs>
        <w:adjustRightInd w:val="0"/>
        <w:snapToGrid w:val="0"/>
        <w:ind w:firstLine="6377" w:firstLineChars="3037"/>
        <w:rPr>
          <w:rFonts w:ascii="宋体" w:hAnsi="宋体" w:cs="宋体"/>
          <w:color w:val="auto"/>
          <w:kern w:val="0"/>
          <w:szCs w:val="21"/>
          <w:highlight w:val="none"/>
        </w:rPr>
      </w:pPr>
    </w:p>
    <w:p w14:paraId="3938ED2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24900CE4">
      <w:pPr>
        <w:tabs>
          <w:tab w:val="left" w:pos="9639"/>
          <w:tab w:val="left" w:pos="9746"/>
        </w:tabs>
        <w:adjustRightInd w:val="0"/>
        <w:snapToGrid w:val="0"/>
        <w:ind w:firstLine="420" w:firstLineChars="200"/>
        <w:rPr>
          <w:rFonts w:ascii="宋体" w:hAnsi="宋体" w:cs="宋体"/>
          <w:color w:val="auto"/>
          <w:kern w:val="0"/>
          <w:szCs w:val="21"/>
          <w:highlight w:val="none"/>
        </w:rPr>
      </w:pPr>
    </w:p>
    <w:p w14:paraId="2F711FDA">
      <w:pPr>
        <w:tabs>
          <w:tab w:val="left" w:pos="9639"/>
          <w:tab w:val="left" w:pos="9746"/>
        </w:tabs>
        <w:adjustRightInd w:val="0"/>
        <w:snapToGrid w:val="0"/>
        <w:spacing w:line="260" w:lineRule="exact"/>
        <w:ind w:firstLine="6972" w:firstLineChars="3320"/>
        <w:rPr>
          <w:rFonts w:ascii="仿宋_GB2312" w:hAnsi="宋体" w:eastAsia="仿宋_GB2312"/>
          <w:b/>
          <w:color w:val="auto"/>
          <w:sz w:val="32"/>
          <w:szCs w:val="32"/>
          <w:highlight w:val="none"/>
        </w:rPr>
      </w:pPr>
      <w:r>
        <w:rPr>
          <w:rFonts w:hAnsi="宋体" w:cs="宋体"/>
          <w:color w:val="auto"/>
          <w:kern w:val="0"/>
          <w:szCs w:val="21"/>
          <w:highlight w:val="none"/>
        </w:rPr>
        <w:br w:type="page"/>
      </w:r>
    </w:p>
    <w:p w14:paraId="53D8693C">
      <w:pPr>
        <w:spacing w:line="600" w:lineRule="exact"/>
        <w:jc w:val="center"/>
        <w:outlineLvl w:val="0"/>
        <w:rPr>
          <w:rFonts w:ascii="宋体" w:hAnsi="宋体"/>
          <w:b/>
          <w:color w:val="auto"/>
          <w:sz w:val="44"/>
          <w:szCs w:val="44"/>
          <w:highlight w:val="none"/>
        </w:rPr>
      </w:pPr>
      <w:bookmarkStart w:id="22" w:name="_Toc3943"/>
      <w:bookmarkStart w:id="23" w:name="_Toc3994504"/>
      <w:bookmarkStart w:id="24" w:name="_Toc176861407"/>
      <w:r>
        <w:rPr>
          <w:rFonts w:hint="eastAsia" w:ascii="宋体" w:hAnsi="宋体"/>
          <w:b/>
          <w:color w:val="auto"/>
          <w:sz w:val="44"/>
          <w:szCs w:val="44"/>
          <w:highlight w:val="none"/>
        </w:rPr>
        <w:t>第二章  磋商供应商须知</w:t>
      </w:r>
      <w:bookmarkEnd w:id="22"/>
      <w:bookmarkEnd w:id="23"/>
      <w:bookmarkEnd w:id="24"/>
    </w:p>
    <w:p w14:paraId="34347071">
      <w:pPr>
        <w:spacing w:line="400" w:lineRule="exact"/>
        <w:jc w:val="center"/>
        <w:rPr>
          <w:rFonts w:ascii="宋体" w:hAnsi="宋体"/>
          <w:b/>
          <w:color w:val="auto"/>
          <w:sz w:val="30"/>
          <w:szCs w:val="30"/>
          <w:highlight w:val="none"/>
        </w:rPr>
      </w:pPr>
      <w:r>
        <w:rPr>
          <w:rFonts w:hint="eastAsia" w:ascii="宋体" w:hAnsi="宋体"/>
          <w:b/>
          <w:color w:val="auto"/>
          <w:sz w:val="30"/>
          <w:szCs w:val="30"/>
          <w:highlight w:val="none"/>
        </w:rPr>
        <w:t>磋商</w:t>
      </w:r>
      <w:r>
        <w:rPr>
          <w:rFonts w:ascii="宋体" w:hAnsi="宋体"/>
          <w:b/>
          <w:color w:val="auto"/>
          <w:sz w:val="30"/>
          <w:szCs w:val="30"/>
          <w:highlight w:val="none"/>
        </w:rPr>
        <w:t>供应商须知前附表</w:t>
      </w:r>
    </w:p>
    <w:tbl>
      <w:tblPr>
        <w:tblStyle w:val="40"/>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379"/>
        <w:gridCol w:w="8686"/>
      </w:tblGrid>
      <w:tr w14:paraId="45B0F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490288D6">
            <w:pPr>
              <w:pStyle w:val="71"/>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379" w:type="dxa"/>
            <w:vAlign w:val="center"/>
          </w:tcPr>
          <w:p w14:paraId="5149D0C8">
            <w:pPr>
              <w:pStyle w:val="71"/>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686" w:type="dxa"/>
            <w:vAlign w:val="center"/>
          </w:tcPr>
          <w:p w14:paraId="669CA82E">
            <w:pPr>
              <w:pStyle w:val="71"/>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116D6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351EF512">
            <w:pPr>
              <w:pStyle w:val="71"/>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379" w:type="dxa"/>
            <w:vAlign w:val="center"/>
          </w:tcPr>
          <w:p w14:paraId="3ABF06BE">
            <w:pPr>
              <w:pStyle w:val="71"/>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686" w:type="dxa"/>
            <w:vAlign w:val="center"/>
          </w:tcPr>
          <w:p w14:paraId="4D26B850">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color w:val="auto"/>
                <w:spacing w:val="2"/>
                <w:sz w:val="24"/>
                <w:highlight w:val="none"/>
                <w:lang w:eastAsia="zh-CN"/>
              </w:rPr>
              <w:t>北海市海城区实验幼儿园教学楼装饰装修工程</w:t>
            </w:r>
            <w:r>
              <w:rPr>
                <w:rFonts w:hint="eastAsia" w:ascii="宋体" w:hAnsi="宋体" w:cs="宋体"/>
                <w:color w:val="auto"/>
                <w:sz w:val="24"/>
                <w:highlight w:val="none"/>
              </w:rPr>
              <w:t xml:space="preserve"> </w:t>
            </w:r>
          </w:p>
          <w:p w14:paraId="47CD0F68">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项目编号：BHZC2026-C2-020018-GXKL</w:t>
            </w:r>
          </w:p>
          <w:p w14:paraId="4320CB23">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建设地点：</w:t>
            </w:r>
            <w:r>
              <w:rPr>
                <w:rFonts w:hint="eastAsia" w:ascii="宋体" w:hAnsi="宋体" w:cs="宋体"/>
                <w:color w:val="auto"/>
                <w:spacing w:val="2"/>
                <w:sz w:val="24"/>
                <w:highlight w:val="none"/>
                <w:lang w:val="en-US" w:eastAsia="zh-CN"/>
              </w:rPr>
              <w:t>北海市海城区</w:t>
            </w:r>
            <w:r>
              <w:rPr>
                <w:rFonts w:hint="eastAsia" w:ascii="宋体" w:hAnsi="宋体" w:cs="宋体"/>
                <w:color w:val="auto"/>
                <w:sz w:val="24"/>
                <w:highlight w:val="none"/>
              </w:rPr>
              <w:t xml:space="preserve"> </w:t>
            </w:r>
          </w:p>
          <w:p w14:paraId="21A75D6A">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1E0C46E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1C5B25AD">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要求工期：自合同签订之日起</w:t>
            </w:r>
            <w:r>
              <w:rPr>
                <w:rFonts w:hint="eastAsia" w:ascii="宋体" w:hAnsi="宋体" w:cs="宋体"/>
                <w:color w:val="auto"/>
                <w:spacing w:val="2"/>
                <w:sz w:val="24"/>
                <w:highlight w:val="none"/>
                <w:lang w:eastAsia="zh-CN"/>
              </w:rPr>
              <w:t>60天内</w:t>
            </w:r>
            <w:r>
              <w:rPr>
                <w:rFonts w:hint="eastAsia" w:ascii="宋体" w:hAnsi="宋体" w:cs="宋体"/>
                <w:color w:val="auto"/>
                <w:spacing w:val="2"/>
                <w:sz w:val="24"/>
                <w:highlight w:val="none"/>
              </w:rPr>
              <w:t xml:space="preserve">竣工验收并交付使用。 </w:t>
            </w:r>
          </w:p>
          <w:p w14:paraId="4BCA2C81">
            <w:pPr>
              <w:pStyle w:val="71"/>
              <w:spacing w:line="360" w:lineRule="auto"/>
              <w:rPr>
                <w:rFonts w:hAnsi="宋体"/>
                <w:color w:val="auto"/>
                <w:sz w:val="24"/>
                <w:szCs w:val="24"/>
                <w:highlight w:val="none"/>
              </w:rPr>
            </w:pPr>
            <w:r>
              <w:rPr>
                <w:rFonts w:hint="eastAsia" w:hAnsi="宋体" w:cs="宋体"/>
                <w:color w:val="auto"/>
                <w:spacing w:val="2"/>
                <w:sz w:val="24"/>
                <w:szCs w:val="24"/>
                <w:highlight w:val="none"/>
              </w:rPr>
              <w:t>采购范围：</w:t>
            </w:r>
            <w:r>
              <w:rPr>
                <w:rFonts w:hint="eastAsia" w:hAnsi="宋体" w:cs="宋体"/>
                <w:color w:val="auto"/>
                <w:spacing w:val="2"/>
                <w:sz w:val="24"/>
                <w:szCs w:val="24"/>
                <w:highlight w:val="none"/>
                <w:lang w:eastAsia="zh-CN"/>
              </w:rPr>
              <w:t>本工程主要建设北海市海城区实验幼儿园教学楼装饰装修工程，施工范围工程内容：教室、游泳区、走廊、楼梯间、零星装饰、电气工程、道路工程等；如需进一步了解详细内容，详见工程量清单。</w:t>
            </w:r>
            <w:r>
              <w:rPr>
                <w:rFonts w:hint="eastAsia" w:hAnsi="宋体" w:cs="宋体"/>
                <w:color w:val="auto"/>
                <w:spacing w:val="2"/>
                <w:sz w:val="24"/>
                <w:szCs w:val="24"/>
                <w:highlight w:val="none"/>
              </w:rPr>
              <w:t xml:space="preserve"> </w:t>
            </w:r>
          </w:p>
        </w:tc>
      </w:tr>
      <w:tr w14:paraId="2EE0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606AFC9A">
            <w:pPr>
              <w:pStyle w:val="71"/>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379" w:type="dxa"/>
            <w:vAlign w:val="center"/>
          </w:tcPr>
          <w:p w14:paraId="43A51D8B">
            <w:pPr>
              <w:pStyle w:val="71"/>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686" w:type="dxa"/>
            <w:vAlign w:val="center"/>
          </w:tcPr>
          <w:p w14:paraId="5CCF147E">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val="en-US"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194997CD">
            <w:pPr>
              <w:pStyle w:val="71"/>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w:t>
            </w:r>
            <w:r>
              <w:rPr>
                <w:rFonts w:hint="eastAsia" w:hAnsi="宋体" w:cs="宋体"/>
                <w:color w:val="auto"/>
                <w:spacing w:val="2"/>
                <w:sz w:val="24"/>
                <w:szCs w:val="24"/>
                <w:highlight w:val="none"/>
                <w:lang w:eastAsia="zh-CN"/>
              </w:rPr>
              <w:t>1885359.25</w:t>
            </w:r>
            <w:r>
              <w:rPr>
                <w:rFonts w:hint="eastAsia" w:hAnsi="宋体" w:cs="宋体"/>
                <w:color w:val="auto"/>
                <w:spacing w:val="2"/>
                <w:sz w:val="24"/>
                <w:szCs w:val="24"/>
                <w:highlight w:val="none"/>
                <w:lang w:val="en-US" w:eastAsia="zh-CN"/>
              </w:rPr>
              <w:t>元</w:t>
            </w:r>
            <w:r>
              <w:rPr>
                <w:rFonts w:hint="eastAsia" w:hAnsi="宋体" w:cs="宋体"/>
                <w:color w:val="auto"/>
                <w:spacing w:val="2"/>
                <w:sz w:val="24"/>
                <w:szCs w:val="24"/>
                <w:highlight w:val="none"/>
              </w:rPr>
              <w:t xml:space="preserve">  </w:t>
            </w:r>
          </w:p>
        </w:tc>
      </w:tr>
      <w:tr w14:paraId="5149C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2B8F837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379" w:type="dxa"/>
            <w:vAlign w:val="center"/>
          </w:tcPr>
          <w:p w14:paraId="475554B0">
            <w:pPr>
              <w:pStyle w:val="97"/>
              <w:ind w:firstLine="0"/>
              <w:jc w:val="center"/>
              <w:rPr>
                <w:color w:val="auto"/>
                <w:highlight w:val="none"/>
              </w:rPr>
            </w:pPr>
            <w:r>
              <w:rPr>
                <w:rFonts w:hint="eastAsia"/>
                <w:color w:val="auto"/>
                <w:highlight w:val="none"/>
              </w:rPr>
              <w:t>采购标的及其对应的中小企业划分标准所属行业</w:t>
            </w:r>
          </w:p>
        </w:tc>
        <w:tc>
          <w:tcPr>
            <w:tcW w:w="8686" w:type="dxa"/>
            <w:vAlign w:val="center"/>
          </w:tcPr>
          <w:p w14:paraId="3BB91AAF">
            <w:pPr>
              <w:pStyle w:val="97"/>
              <w:rPr>
                <w:color w:val="auto"/>
                <w:highlight w:val="none"/>
              </w:rPr>
            </w:pPr>
            <w:r>
              <w:rPr>
                <w:rFonts w:hint="eastAsia"/>
                <w:color w:val="auto"/>
                <w:highlight w:val="none"/>
              </w:rPr>
              <w:t>标的：</w:t>
            </w:r>
            <w:r>
              <w:rPr>
                <w:rFonts w:hint="eastAsia"/>
                <w:color w:val="auto"/>
                <w:highlight w:val="none"/>
                <w:u w:val="single"/>
              </w:rPr>
              <w:t xml:space="preserve"> </w:t>
            </w:r>
            <w:r>
              <w:rPr>
                <w:rFonts w:hint="eastAsia"/>
                <w:color w:val="auto"/>
                <w:highlight w:val="none"/>
                <w:u w:val="single"/>
                <w:lang w:eastAsia="zh-CN"/>
              </w:rPr>
              <w:t>北海市海城区实验幼儿园教学楼装饰装修工程</w:t>
            </w:r>
            <w:r>
              <w:rPr>
                <w:rFonts w:hint="eastAsia"/>
                <w:color w:val="auto"/>
                <w:highlight w:val="none"/>
                <w:u w:val="single"/>
              </w:rPr>
              <w:t xml:space="preserve"> </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tc>
      </w:tr>
      <w:tr w14:paraId="76DC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625C1823">
            <w:pPr>
              <w:pStyle w:val="71"/>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379" w:type="dxa"/>
            <w:vAlign w:val="center"/>
          </w:tcPr>
          <w:p w14:paraId="0A0F7F77">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磋商供应商资格</w:t>
            </w:r>
          </w:p>
        </w:tc>
        <w:tc>
          <w:tcPr>
            <w:tcW w:w="8686" w:type="dxa"/>
            <w:vAlign w:val="center"/>
          </w:tcPr>
          <w:p w14:paraId="70781C5B">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磋商供应商资格要求：</w:t>
            </w:r>
          </w:p>
          <w:p w14:paraId="4A6E9A1B">
            <w:pPr>
              <w:adjustRightInd w:val="0"/>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1.满足《中华人民共和国政府采购法》第二十二条规定；</w:t>
            </w:r>
          </w:p>
          <w:p w14:paraId="64EED604">
            <w:pPr>
              <w:adjustRightInd w:val="0"/>
              <w:spacing w:line="360" w:lineRule="auto"/>
              <w:rPr>
                <w:rFonts w:hint="eastAsia" w:ascii="宋体" w:hAnsi="宋体" w:eastAsia="宋体" w:cs="宋体"/>
                <w:color w:val="auto"/>
                <w:sz w:val="24"/>
                <w:highlight w:val="none"/>
                <w:lang w:eastAsia="zh-CN"/>
              </w:rPr>
            </w:pPr>
            <w:r>
              <w:rPr>
                <w:rFonts w:ascii="宋体" w:hAnsi="宋体" w:cs="宋体"/>
                <w:snapToGrid w:val="0"/>
                <w:color w:val="auto"/>
                <w:kern w:val="28"/>
                <w:sz w:val="24"/>
                <w:highlight w:val="none"/>
              </w:rPr>
              <w:t>3</w:t>
            </w:r>
            <w:r>
              <w:rPr>
                <w:rFonts w:hint="eastAsia" w:ascii="宋体" w:hAnsi="宋体" w:cs="宋体"/>
                <w:snapToGrid w:val="0"/>
                <w:color w:val="auto"/>
                <w:kern w:val="28"/>
                <w:sz w:val="24"/>
                <w:highlight w:val="none"/>
              </w:rPr>
              <w:t>.落实政府采购政策需满足的资格要求：</w:t>
            </w:r>
            <w:r>
              <w:rPr>
                <w:rFonts w:hint="eastAsia" w:ascii="宋体" w:hAnsi="宋体" w:cs="宋体"/>
                <w:color w:val="auto"/>
                <w:kern w:val="0"/>
                <w:sz w:val="24"/>
                <w:highlight w:val="none"/>
                <w:lang w:eastAsia="zh-CN"/>
              </w:rPr>
              <w:t>专门面向小微企业，工程全部由符合政策要求的小微企业承接</w:t>
            </w:r>
            <w:r>
              <w:rPr>
                <w:rFonts w:hint="eastAsia" w:ascii="宋体" w:hAnsi="宋体" w:cs="宋体"/>
                <w:color w:val="auto"/>
                <w:sz w:val="24"/>
                <w:highlight w:val="none"/>
                <w:lang w:eastAsia="zh-CN"/>
              </w:rPr>
              <w:t>；</w:t>
            </w:r>
          </w:p>
          <w:p w14:paraId="786CAE52">
            <w:pPr>
              <w:spacing w:line="360" w:lineRule="auto"/>
              <w:jc w:val="left"/>
              <w:rPr>
                <w:rFonts w:hint="eastAsia" w:ascii="宋体" w:hAnsi="宋体" w:eastAsia="宋体" w:cs="宋体"/>
                <w:color w:val="auto"/>
                <w:sz w:val="24"/>
                <w:highlight w:val="none"/>
                <w:lang w:eastAsia="zh-CN"/>
              </w:rPr>
            </w:pPr>
            <w:r>
              <w:rPr>
                <w:rFonts w:ascii="宋体" w:hAnsi="宋体" w:cs="宋体"/>
                <w:color w:val="auto"/>
                <w:sz w:val="24"/>
                <w:highlight w:val="none"/>
              </w:rPr>
              <w:t>4</w:t>
            </w:r>
            <w:r>
              <w:rPr>
                <w:rFonts w:hint="eastAsia" w:ascii="宋体" w:hAnsi="宋体" w:cs="宋体"/>
                <w:color w:val="auto"/>
                <w:sz w:val="24"/>
                <w:highlight w:val="none"/>
              </w:rPr>
              <w:t>.本项目的特定资格要求：供应商须具备</w:t>
            </w:r>
            <w:r>
              <w:rPr>
                <w:rFonts w:hint="eastAsia" w:ascii="宋体" w:hAnsi="宋体" w:cs="宋体"/>
                <w:color w:val="auto"/>
                <w:sz w:val="24"/>
                <w:highlight w:val="none"/>
                <w:lang w:val="en-US" w:eastAsia="zh-CN"/>
              </w:rPr>
              <w:t>建筑工程施工总承包贰级（含）</w:t>
            </w:r>
            <w:r>
              <w:rPr>
                <w:rFonts w:hint="eastAsia" w:ascii="宋体" w:hAnsi="宋体" w:cs="宋体"/>
                <w:color w:val="auto"/>
                <w:sz w:val="24"/>
                <w:highlight w:val="none"/>
              </w:rPr>
              <w:t>以上资质，并持有有效的安全生产许可证，并在人员、设备、资金等方面具备相应的施工能力</w:t>
            </w:r>
            <w:r>
              <w:rPr>
                <w:rFonts w:hint="eastAsia" w:ascii="宋体" w:hAnsi="宋体" w:cs="宋体"/>
                <w:color w:val="auto"/>
                <w:sz w:val="24"/>
                <w:highlight w:val="none"/>
                <w:lang w:eastAsia="zh-CN"/>
              </w:rPr>
              <w:t>。</w:t>
            </w:r>
          </w:p>
        </w:tc>
      </w:tr>
      <w:tr w14:paraId="7C78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6DBCE93F">
            <w:pPr>
              <w:pStyle w:val="71"/>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379" w:type="dxa"/>
            <w:vAlign w:val="center"/>
          </w:tcPr>
          <w:p w14:paraId="19E284E3">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磋商保证金</w:t>
            </w:r>
          </w:p>
        </w:tc>
        <w:tc>
          <w:tcPr>
            <w:tcW w:w="8686" w:type="dxa"/>
            <w:tcBorders>
              <w:top w:val="single" w:color="auto" w:sz="4" w:space="0"/>
              <w:left w:val="single" w:color="auto" w:sz="4" w:space="0"/>
              <w:bottom w:val="single" w:color="auto" w:sz="4" w:space="0"/>
              <w:right w:val="single" w:color="auto" w:sz="4" w:space="0"/>
            </w:tcBorders>
            <w:vAlign w:val="center"/>
          </w:tcPr>
          <w:p w14:paraId="4808D156">
            <w:pPr>
              <w:snapToGrid w:val="0"/>
              <w:spacing w:line="360" w:lineRule="auto"/>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本项目不收取磋商保证金</w:t>
            </w:r>
          </w:p>
        </w:tc>
      </w:tr>
      <w:tr w14:paraId="7A33C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8355B3F">
            <w:pPr>
              <w:pStyle w:val="71"/>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379" w:type="dxa"/>
            <w:vAlign w:val="center"/>
          </w:tcPr>
          <w:p w14:paraId="49C9E1AA">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分包</w:t>
            </w:r>
          </w:p>
        </w:tc>
        <w:tc>
          <w:tcPr>
            <w:tcW w:w="8686" w:type="dxa"/>
            <w:tcBorders>
              <w:top w:val="single" w:color="auto" w:sz="4" w:space="0"/>
              <w:left w:val="single" w:color="auto" w:sz="4" w:space="0"/>
              <w:bottom w:val="single" w:color="auto" w:sz="4" w:space="0"/>
              <w:right w:val="single" w:color="auto" w:sz="4" w:space="0"/>
            </w:tcBorders>
            <w:vAlign w:val="center"/>
          </w:tcPr>
          <w:p w14:paraId="20BC406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同意将非主体、非关键性的工作分包。</w:t>
            </w:r>
          </w:p>
          <w:p w14:paraId="70B1EDD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不同意分包。</w:t>
            </w:r>
          </w:p>
        </w:tc>
      </w:tr>
      <w:tr w14:paraId="6C549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2D712E43">
            <w:pPr>
              <w:pStyle w:val="71"/>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379" w:type="dxa"/>
            <w:vAlign w:val="center"/>
          </w:tcPr>
          <w:p w14:paraId="6B48DC66">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报价要求</w:t>
            </w:r>
          </w:p>
        </w:tc>
        <w:tc>
          <w:tcPr>
            <w:tcW w:w="8686" w:type="dxa"/>
            <w:vAlign w:val="center"/>
          </w:tcPr>
          <w:p w14:paraId="6C581B67">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供应商应就《采购需求》中所有的服务内容作完整唯一报价。</w:t>
            </w:r>
          </w:p>
        </w:tc>
      </w:tr>
      <w:tr w14:paraId="3F4AF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2B52870D">
            <w:pPr>
              <w:pStyle w:val="71"/>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379" w:type="dxa"/>
            <w:vAlign w:val="center"/>
          </w:tcPr>
          <w:p w14:paraId="006D87A1">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磋商前准备</w:t>
            </w:r>
          </w:p>
        </w:tc>
        <w:tc>
          <w:tcPr>
            <w:tcW w:w="8686" w:type="dxa"/>
            <w:vAlign w:val="center"/>
          </w:tcPr>
          <w:p w14:paraId="7509B2B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磋商</w:t>
            </w:r>
            <w:r>
              <w:rPr>
                <w:rFonts w:ascii="宋体" w:hAnsi="宋体"/>
                <w:color w:val="auto"/>
                <w:kern w:val="0"/>
                <w:sz w:val="24"/>
                <w:highlight w:val="none"/>
              </w:rPr>
              <w:t>，采用电子</w:t>
            </w:r>
            <w:r>
              <w:rPr>
                <w:rFonts w:hint="eastAsia" w:ascii="宋体" w:hAnsi="宋体"/>
                <w:color w:val="auto"/>
                <w:kern w:val="0"/>
                <w:sz w:val="24"/>
                <w:highlight w:val="none"/>
              </w:rPr>
              <w:t>磋商响应</w:t>
            </w:r>
            <w:r>
              <w:rPr>
                <w:rFonts w:ascii="宋体" w:hAnsi="宋体"/>
                <w:color w:val="auto"/>
                <w:kern w:val="0"/>
                <w:sz w:val="24"/>
                <w:highlight w:val="none"/>
              </w:rPr>
              <w:t>文件。若供应商参与</w:t>
            </w:r>
            <w:r>
              <w:rPr>
                <w:rFonts w:hint="eastAsia" w:ascii="宋体" w:hAnsi="宋体"/>
                <w:color w:val="auto"/>
                <w:kern w:val="0"/>
                <w:sz w:val="24"/>
                <w:highlight w:val="none"/>
              </w:rPr>
              <w:t>磋商</w:t>
            </w:r>
            <w:r>
              <w:rPr>
                <w:rFonts w:ascii="宋体" w:hAnsi="宋体"/>
                <w:color w:val="auto"/>
                <w:kern w:val="0"/>
                <w:sz w:val="24"/>
                <w:highlight w:val="none"/>
              </w:rPr>
              <w:t>，自行承担</w:t>
            </w:r>
            <w:r>
              <w:rPr>
                <w:rFonts w:hint="eastAsia" w:ascii="宋体" w:hAnsi="宋体"/>
                <w:color w:val="auto"/>
                <w:kern w:val="0"/>
                <w:sz w:val="24"/>
                <w:highlight w:val="none"/>
              </w:rPr>
              <w:t>磋商</w:t>
            </w:r>
            <w:r>
              <w:rPr>
                <w:rFonts w:ascii="宋体" w:hAnsi="宋体"/>
                <w:color w:val="auto"/>
                <w:kern w:val="0"/>
                <w:sz w:val="24"/>
                <w:highlight w:val="none"/>
              </w:rPr>
              <w:t>一切费用</w:t>
            </w:r>
            <w:r>
              <w:rPr>
                <w:rFonts w:hint="eastAsia" w:ascii="宋体" w:hAnsi="宋体"/>
                <w:color w:val="auto"/>
                <w:kern w:val="0"/>
                <w:sz w:val="24"/>
                <w:highlight w:val="none"/>
              </w:rPr>
              <w:t>。</w:t>
            </w:r>
          </w:p>
          <w:p w14:paraId="01DE1713">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磋商</w:t>
            </w:r>
            <w:r>
              <w:rPr>
                <w:rFonts w:ascii="宋体" w:hAnsi="宋体"/>
                <w:color w:val="auto"/>
                <w:kern w:val="0"/>
                <w:sz w:val="24"/>
                <w:highlight w:val="none"/>
              </w:rPr>
              <w:t>或</w:t>
            </w:r>
            <w:r>
              <w:rPr>
                <w:rFonts w:hint="eastAsia" w:ascii="宋体" w:hAnsi="宋体"/>
                <w:color w:val="auto"/>
                <w:kern w:val="0"/>
                <w:sz w:val="24"/>
                <w:highlight w:val="none"/>
              </w:rPr>
              <w:t>磋商</w:t>
            </w:r>
            <w:r>
              <w:rPr>
                <w:rFonts w:ascii="宋体" w:hAnsi="宋体"/>
                <w:color w:val="auto"/>
                <w:kern w:val="0"/>
                <w:sz w:val="24"/>
                <w:highlight w:val="none"/>
              </w:rPr>
              <w:t>失败等后果由供应商自行承担。</w:t>
            </w:r>
          </w:p>
          <w:p w14:paraId="56A83B0D">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磋商响应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广西政府采购网（http://zfcg.gxzf.gov.cn/）—办事服务—下载专区—广西政府采购云平台新版客户端。原在广西政府采购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4F285187">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4.通过“广西政府采购云平台”上传递交的“电子加密磋商响应文件”无法按时解密，视为磋商响应文件撤回，磋商无效。</w:t>
            </w:r>
          </w:p>
        </w:tc>
      </w:tr>
      <w:tr w14:paraId="0097D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442F31C2">
            <w:pPr>
              <w:pStyle w:val="71"/>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379" w:type="dxa"/>
            <w:vAlign w:val="center"/>
          </w:tcPr>
          <w:p w14:paraId="0C488036">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响应文件递交截止时间</w:t>
            </w:r>
          </w:p>
        </w:tc>
        <w:tc>
          <w:tcPr>
            <w:tcW w:w="8686" w:type="dxa"/>
            <w:vAlign w:val="center"/>
          </w:tcPr>
          <w:p w14:paraId="1B8B0B03">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rPr>
              <w:t>202</w:t>
            </w:r>
            <w:r>
              <w:rPr>
                <w:rFonts w:hint="eastAsia" w:ascii="宋体" w:hAnsi="宋体"/>
                <w:color w:val="auto"/>
                <w:sz w:val="24"/>
                <w:highlight w:val="none"/>
                <w:u w:val="single"/>
                <w:lang w:val="en-US" w:eastAsia="zh-CN"/>
              </w:rPr>
              <w:t>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7月13日15时30分</w:t>
            </w:r>
            <w:r>
              <w:rPr>
                <w:rFonts w:hint="eastAsia" w:ascii="宋体" w:hAnsi="宋体"/>
                <w:bCs/>
                <w:color w:val="auto"/>
                <w:sz w:val="24"/>
                <w:highlight w:val="none"/>
                <w:u w:val="single"/>
              </w:rPr>
              <w:t>00秒</w:t>
            </w:r>
            <w:r>
              <w:rPr>
                <w:rFonts w:hint="eastAsia" w:ascii="宋体" w:hAnsi="宋体"/>
                <w:color w:val="auto"/>
                <w:kern w:val="0"/>
                <w:sz w:val="24"/>
                <w:highlight w:val="none"/>
              </w:rPr>
              <w:t>之前将电子磋商响应文件上传到广西政府采购云平台。应按照本项目磋商文件和广西政府采购云平台的要求编制、加密传输磋商响应文件。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7CE5F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5CC30642">
            <w:pPr>
              <w:pStyle w:val="71"/>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379" w:type="dxa"/>
            <w:vAlign w:val="center"/>
          </w:tcPr>
          <w:p w14:paraId="1CEE745A">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有效期</w:t>
            </w:r>
          </w:p>
        </w:tc>
        <w:tc>
          <w:tcPr>
            <w:tcW w:w="8686" w:type="dxa"/>
            <w:vAlign w:val="center"/>
          </w:tcPr>
          <w:p w14:paraId="3DEE5CAE">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53C7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3CB8651C">
            <w:pPr>
              <w:pStyle w:val="71"/>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379" w:type="dxa"/>
            <w:vAlign w:val="center"/>
          </w:tcPr>
          <w:p w14:paraId="6705C9E7">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磋商响应文件解密时间</w:t>
            </w:r>
          </w:p>
        </w:tc>
        <w:tc>
          <w:tcPr>
            <w:tcW w:w="8686" w:type="dxa"/>
            <w:vAlign w:val="center"/>
          </w:tcPr>
          <w:p w14:paraId="6E405D6A">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13728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75068C2A">
            <w:pPr>
              <w:pStyle w:val="71"/>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379" w:type="dxa"/>
            <w:vAlign w:val="center"/>
          </w:tcPr>
          <w:p w14:paraId="4C88C048">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评审方法</w:t>
            </w:r>
          </w:p>
        </w:tc>
        <w:tc>
          <w:tcPr>
            <w:tcW w:w="8686" w:type="dxa"/>
            <w:vAlign w:val="center"/>
          </w:tcPr>
          <w:p w14:paraId="12D747FE">
            <w:pPr>
              <w:pStyle w:val="71"/>
              <w:spacing w:line="360" w:lineRule="auto"/>
              <w:rPr>
                <w:rFonts w:hAnsi="宋体"/>
                <w:color w:val="auto"/>
                <w:sz w:val="24"/>
                <w:szCs w:val="24"/>
                <w:highlight w:val="none"/>
              </w:rPr>
            </w:pPr>
            <w:r>
              <w:rPr>
                <w:rFonts w:hint="eastAsia" w:hAnsi="宋体"/>
                <w:color w:val="auto"/>
                <w:sz w:val="24"/>
                <w:szCs w:val="24"/>
                <w:highlight w:val="none"/>
              </w:rPr>
              <w:t>评审方法：综合评分法（详细见第六章）</w:t>
            </w:r>
          </w:p>
        </w:tc>
      </w:tr>
      <w:tr w14:paraId="71FCA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96989A7">
            <w:pPr>
              <w:pStyle w:val="71"/>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379" w:type="dxa"/>
            <w:vAlign w:val="center"/>
          </w:tcPr>
          <w:p w14:paraId="714EC963">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成交结果</w:t>
            </w:r>
          </w:p>
        </w:tc>
        <w:tc>
          <w:tcPr>
            <w:tcW w:w="8686" w:type="dxa"/>
            <w:tcBorders>
              <w:top w:val="single" w:color="auto" w:sz="4" w:space="0"/>
              <w:left w:val="single" w:color="auto" w:sz="4" w:space="0"/>
              <w:bottom w:val="single" w:color="auto" w:sz="4" w:space="0"/>
              <w:right w:val="single" w:color="auto" w:sz="4" w:space="0"/>
            </w:tcBorders>
            <w:vAlign w:val="center"/>
          </w:tcPr>
          <w:p w14:paraId="7A06D168">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采购代理机构在采购人依法确定成交人之日起2个工作日内发出成交通知书，并在http://www.ccgp.gov.cn/（中国政府采购网）、http://zfcg.gxzf.gov.cn/（广西政府采购网）发布成交公告。</w:t>
            </w:r>
          </w:p>
          <w:p w14:paraId="5AB0A4C1">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48AB5B65">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供应商成交后也可在“广西政府采购云平台”申请政采贷：操作路径：登录广西政府采购云平台-金融服务中心-【融资服务】，可在热门申请中选择产品直接申请。</w:t>
            </w:r>
          </w:p>
        </w:tc>
      </w:tr>
      <w:tr w14:paraId="44C7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0612B969">
            <w:pPr>
              <w:pStyle w:val="71"/>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379" w:type="dxa"/>
            <w:vAlign w:val="center"/>
          </w:tcPr>
          <w:p w14:paraId="1F55AB88">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签订合同</w:t>
            </w:r>
          </w:p>
        </w:tc>
        <w:tc>
          <w:tcPr>
            <w:tcW w:w="8686" w:type="dxa"/>
            <w:tcBorders>
              <w:top w:val="single" w:color="auto" w:sz="4" w:space="0"/>
              <w:left w:val="single" w:color="auto" w:sz="4" w:space="0"/>
              <w:bottom w:val="single" w:color="auto" w:sz="4" w:space="0"/>
              <w:right w:val="single" w:color="auto" w:sz="4" w:space="0"/>
            </w:tcBorders>
            <w:vAlign w:val="center"/>
          </w:tcPr>
          <w:p w14:paraId="37B19C8F">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361B3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E54A2A6">
            <w:pPr>
              <w:pStyle w:val="71"/>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379" w:type="dxa"/>
            <w:vAlign w:val="center"/>
          </w:tcPr>
          <w:p w14:paraId="65FC41E8">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电子签名</w:t>
            </w:r>
          </w:p>
        </w:tc>
        <w:tc>
          <w:tcPr>
            <w:tcW w:w="8686" w:type="dxa"/>
            <w:vAlign w:val="center"/>
          </w:tcPr>
          <w:p w14:paraId="17A61C2B">
            <w:pPr>
              <w:pStyle w:val="26"/>
              <w:adjustRightInd w:val="0"/>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“电子签名”系指数据电文中以电子形式所含、所附用于识别签名人身份并表明签名人认可其中内容的数据；“公章”系指单位法定名称章。磋商文件对响应文件签字、盖章的要求适用于电子签名。</w:t>
            </w:r>
          </w:p>
          <w:p w14:paraId="145132AE">
            <w:pPr>
              <w:pStyle w:val="26"/>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tc>
      </w:tr>
      <w:tr w14:paraId="01A0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3FF5A448">
            <w:pPr>
              <w:pStyle w:val="71"/>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379" w:type="dxa"/>
            <w:vAlign w:val="center"/>
          </w:tcPr>
          <w:p w14:paraId="66CA2E7A">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质疑及投诉联系方式</w:t>
            </w:r>
          </w:p>
        </w:tc>
        <w:tc>
          <w:tcPr>
            <w:tcW w:w="8686" w:type="dxa"/>
            <w:vAlign w:val="center"/>
          </w:tcPr>
          <w:p w14:paraId="17EA153F">
            <w:pPr>
              <w:pStyle w:val="26"/>
              <w:adjustRightInd w:val="0"/>
              <w:snapToGrid w:val="0"/>
              <w:spacing w:line="360" w:lineRule="auto"/>
              <w:rPr>
                <w:rFonts w:hint="eastAsia" w:hAnsi="宋体"/>
                <w:bCs/>
                <w:color w:val="auto"/>
                <w:sz w:val="24"/>
                <w:szCs w:val="24"/>
                <w:highlight w:val="none"/>
                <w:u w:val="none"/>
              </w:rPr>
            </w:pPr>
            <w:r>
              <w:rPr>
                <w:rFonts w:hint="eastAsia" w:hAnsi="宋体"/>
                <w:bCs/>
                <w:color w:val="auto"/>
                <w:sz w:val="24"/>
                <w:szCs w:val="24"/>
                <w:highlight w:val="none"/>
                <w:u w:val="none"/>
              </w:rPr>
              <w:t>质疑联系部门及电话为：</w:t>
            </w:r>
            <w:r>
              <w:rPr>
                <w:rFonts w:hint="eastAsia" w:hAnsi="宋体"/>
                <w:bCs/>
                <w:color w:val="auto"/>
                <w:sz w:val="24"/>
                <w:szCs w:val="24"/>
                <w:highlight w:val="none"/>
                <w:u w:val="none"/>
                <w:lang w:val="en-US" w:eastAsia="zh-CN"/>
              </w:rPr>
              <w:t>广西科联招标中心有限公司</w:t>
            </w:r>
          </w:p>
          <w:p w14:paraId="7809EAAC">
            <w:pPr>
              <w:pStyle w:val="26"/>
              <w:adjustRightInd w:val="0"/>
              <w:snapToGrid w:val="0"/>
              <w:spacing w:line="360" w:lineRule="auto"/>
              <w:rPr>
                <w:rFonts w:hAnsi="宋体"/>
                <w:bCs/>
                <w:color w:val="auto"/>
                <w:sz w:val="24"/>
                <w:szCs w:val="24"/>
                <w:highlight w:val="none"/>
                <w:u w:val="none"/>
              </w:rPr>
            </w:pPr>
            <w:r>
              <w:rPr>
                <w:rFonts w:hint="eastAsia" w:hAnsi="宋体"/>
                <w:bCs/>
                <w:color w:val="auto"/>
                <w:sz w:val="24"/>
                <w:szCs w:val="24"/>
                <w:highlight w:val="none"/>
                <w:u w:val="none"/>
              </w:rPr>
              <w:t>联系电话：</w:t>
            </w:r>
            <w:r>
              <w:rPr>
                <w:rFonts w:hint="eastAsia" w:hAnsi="宋体"/>
                <w:bCs/>
                <w:color w:val="auto"/>
                <w:sz w:val="24"/>
                <w:szCs w:val="24"/>
                <w:highlight w:val="none"/>
                <w:u w:val="none"/>
                <w:lang w:val="en-US" w:eastAsia="zh-CN"/>
              </w:rPr>
              <w:t>0779-3832133</w:t>
            </w:r>
            <w:r>
              <w:rPr>
                <w:rFonts w:hint="eastAsia" w:hAnsi="宋体"/>
                <w:bCs/>
                <w:color w:val="auto"/>
                <w:sz w:val="24"/>
                <w:szCs w:val="24"/>
                <w:highlight w:val="none"/>
                <w:u w:val="none"/>
              </w:rPr>
              <w:t xml:space="preserve"> </w:t>
            </w:r>
          </w:p>
          <w:p w14:paraId="571781F0">
            <w:pPr>
              <w:pStyle w:val="26"/>
              <w:adjustRightInd w:val="0"/>
              <w:snapToGrid w:val="0"/>
              <w:spacing w:line="360" w:lineRule="auto"/>
              <w:rPr>
                <w:rFonts w:hint="eastAsia" w:hAnsi="宋体"/>
                <w:bCs/>
                <w:color w:val="auto"/>
                <w:sz w:val="24"/>
                <w:szCs w:val="24"/>
                <w:highlight w:val="none"/>
                <w:u w:val="none"/>
              </w:rPr>
            </w:pPr>
            <w:r>
              <w:rPr>
                <w:rFonts w:hint="eastAsia" w:hAnsi="宋体"/>
                <w:bCs/>
                <w:color w:val="auto"/>
                <w:sz w:val="24"/>
                <w:szCs w:val="24"/>
                <w:highlight w:val="none"/>
                <w:u w:val="none"/>
              </w:rPr>
              <w:t xml:space="preserve">投诉联系部门及电话为： </w:t>
            </w:r>
            <w:r>
              <w:rPr>
                <w:rFonts w:hint="eastAsia" w:hAnsi="宋体"/>
                <w:bCs/>
                <w:color w:val="auto"/>
                <w:sz w:val="24"/>
                <w:szCs w:val="24"/>
                <w:highlight w:val="none"/>
                <w:u w:val="none"/>
                <w:lang w:val="en-US" w:eastAsia="zh-CN"/>
              </w:rPr>
              <w:t>北海市海城区财政局</w:t>
            </w:r>
            <w:r>
              <w:rPr>
                <w:rFonts w:hint="eastAsia" w:hAnsi="宋体"/>
                <w:bCs/>
                <w:color w:val="auto"/>
                <w:sz w:val="24"/>
                <w:szCs w:val="24"/>
                <w:highlight w:val="none"/>
                <w:u w:val="none"/>
              </w:rPr>
              <w:t xml:space="preserve">  </w:t>
            </w:r>
          </w:p>
          <w:p w14:paraId="2D6EABA8">
            <w:pPr>
              <w:pStyle w:val="26"/>
              <w:adjustRightInd w:val="0"/>
              <w:snapToGrid w:val="0"/>
              <w:spacing w:line="360" w:lineRule="auto"/>
              <w:rPr>
                <w:rFonts w:hAnsi="宋体"/>
                <w:bCs/>
                <w:color w:val="auto"/>
                <w:sz w:val="24"/>
                <w:szCs w:val="24"/>
                <w:highlight w:val="none"/>
              </w:rPr>
            </w:pPr>
            <w:r>
              <w:rPr>
                <w:rFonts w:hint="eastAsia" w:hAnsi="宋体"/>
                <w:bCs/>
                <w:color w:val="auto"/>
                <w:sz w:val="24"/>
                <w:szCs w:val="24"/>
                <w:highlight w:val="none"/>
                <w:u w:val="none"/>
              </w:rPr>
              <w:t>联系电话：</w:t>
            </w:r>
            <w:r>
              <w:rPr>
                <w:rFonts w:hint="eastAsia" w:hAnsi="宋体"/>
                <w:bCs/>
                <w:color w:val="auto"/>
                <w:sz w:val="24"/>
                <w:szCs w:val="24"/>
                <w:highlight w:val="none"/>
                <w:u w:val="none"/>
                <w:lang w:val="en-US" w:eastAsia="zh-CN"/>
              </w:rPr>
              <w:t>0779-3032655</w:t>
            </w:r>
          </w:p>
        </w:tc>
      </w:tr>
      <w:tr w14:paraId="6C23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5E991FE4">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17</w:t>
            </w:r>
          </w:p>
        </w:tc>
        <w:tc>
          <w:tcPr>
            <w:tcW w:w="1379" w:type="dxa"/>
            <w:vAlign w:val="center"/>
          </w:tcPr>
          <w:p w14:paraId="03A3D07E">
            <w:pPr>
              <w:pStyle w:val="71"/>
              <w:spacing w:line="360" w:lineRule="auto"/>
              <w:jc w:val="center"/>
              <w:rPr>
                <w:rFonts w:hint="eastAsia" w:hAnsi="宋体"/>
                <w:color w:val="auto"/>
                <w:sz w:val="24"/>
                <w:szCs w:val="24"/>
                <w:highlight w:val="none"/>
              </w:rPr>
            </w:pPr>
            <w:r>
              <w:rPr>
                <w:rFonts w:hint="eastAsia" w:hAnsi="宋体"/>
                <w:color w:val="auto"/>
                <w:sz w:val="24"/>
                <w:szCs w:val="24"/>
                <w:highlight w:val="none"/>
              </w:rPr>
              <w:t>解释权</w:t>
            </w:r>
          </w:p>
        </w:tc>
        <w:tc>
          <w:tcPr>
            <w:tcW w:w="8686" w:type="dxa"/>
            <w:vAlign w:val="center"/>
          </w:tcPr>
          <w:p w14:paraId="3F5C6083">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574DA632">
      <w:pPr>
        <w:spacing w:line="360" w:lineRule="auto"/>
        <w:ind w:firstLine="482" w:firstLineChars="200"/>
        <w:jc w:val="center"/>
        <w:rPr>
          <w:rFonts w:ascii="宋体" w:hAnsi="宋体"/>
          <w:b/>
          <w:color w:val="auto"/>
          <w:sz w:val="24"/>
          <w:highlight w:val="none"/>
        </w:rPr>
      </w:pPr>
    </w:p>
    <w:p w14:paraId="6DD75E96">
      <w:pPr>
        <w:rPr>
          <w:rFonts w:hint="eastAsia" w:ascii="宋体" w:hAnsi="宋体"/>
          <w:b/>
          <w:color w:val="auto"/>
          <w:sz w:val="24"/>
          <w:highlight w:val="none"/>
        </w:rPr>
      </w:pPr>
      <w:r>
        <w:rPr>
          <w:rFonts w:hint="eastAsia" w:ascii="宋体" w:hAnsi="宋体"/>
          <w:b/>
          <w:color w:val="auto"/>
          <w:sz w:val="24"/>
          <w:highlight w:val="none"/>
        </w:rPr>
        <w:br w:type="page"/>
      </w:r>
    </w:p>
    <w:p w14:paraId="5F66B130">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磋商</w:t>
      </w:r>
      <w:r>
        <w:rPr>
          <w:rFonts w:ascii="宋体" w:hAnsi="宋体"/>
          <w:b/>
          <w:color w:val="auto"/>
          <w:sz w:val="24"/>
          <w:highlight w:val="none"/>
        </w:rPr>
        <w:t>供应商须知</w:t>
      </w:r>
    </w:p>
    <w:p w14:paraId="5593B127">
      <w:pPr>
        <w:spacing w:line="360" w:lineRule="auto"/>
        <w:ind w:firstLine="480" w:firstLineChars="200"/>
        <w:rPr>
          <w:rFonts w:ascii="宋体" w:hAnsi="宋体"/>
          <w:color w:val="auto"/>
          <w:sz w:val="24"/>
          <w:highlight w:val="none"/>
        </w:rPr>
      </w:pPr>
    </w:p>
    <w:p w14:paraId="2D6D3E2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2636F766">
      <w:pPr>
        <w:snapToGrid w:val="0"/>
        <w:spacing w:line="360" w:lineRule="auto"/>
        <w:ind w:firstLine="482" w:firstLineChars="200"/>
        <w:jc w:val="left"/>
        <w:rPr>
          <w:rFonts w:ascii="宋体" w:hAnsi="宋体" w:cs="宋体"/>
          <w:b/>
          <w:color w:val="auto"/>
          <w:sz w:val="24"/>
          <w:highlight w:val="none"/>
        </w:rPr>
      </w:pPr>
      <w:bookmarkStart w:id="25" w:name="_Toc254970527"/>
      <w:bookmarkStart w:id="26" w:name="_Toc254970668"/>
      <w:r>
        <w:rPr>
          <w:rFonts w:hint="eastAsia" w:ascii="宋体" w:hAnsi="宋体" w:cs="宋体"/>
          <w:b/>
          <w:color w:val="auto"/>
          <w:sz w:val="24"/>
          <w:highlight w:val="none"/>
        </w:rPr>
        <w:t>1.适用范围</w:t>
      </w:r>
      <w:bookmarkEnd w:id="25"/>
      <w:bookmarkEnd w:id="26"/>
    </w:p>
    <w:p w14:paraId="0055660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本磋商文件适用于本项目的磋商、响应、评审、定标、验收、合同履约、付款等行为（法律、法规另有规定的，从其规定）。</w:t>
      </w:r>
    </w:p>
    <w:p w14:paraId="68D918AB">
      <w:pPr>
        <w:snapToGrid w:val="0"/>
        <w:spacing w:line="360" w:lineRule="auto"/>
        <w:ind w:firstLine="482" w:firstLineChars="200"/>
        <w:jc w:val="left"/>
        <w:rPr>
          <w:rFonts w:ascii="宋体" w:hAnsi="宋体" w:cs="宋体"/>
          <w:b/>
          <w:color w:val="auto"/>
          <w:sz w:val="24"/>
          <w:highlight w:val="none"/>
        </w:rPr>
      </w:pPr>
      <w:bookmarkStart w:id="27" w:name="_Toc254970528"/>
      <w:bookmarkStart w:id="28" w:name="_Toc254970669"/>
      <w:r>
        <w:rPr>
          <w:rFonts w:hint="eastAsia" w:ascii="宋体" w:hAnsi="宋体" w:cs="宋体"/>
          <w:b/>
          <w:color w:val="auto"/>
          <w:sz w:val="24"/>
          <w:highlight w:val="none"/>
        </w:rPr>
        <w:t>2.定义</w:t>
      </w:r>
      <w:bookmarkEnd w:id="27"/>
      <w:bookmarkEnd w:id="28"/>
    </w:p>
    <w:p w14:paraId="2873E510">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1“采购人”系指组织本次磋商的采购单位。</w:t>
      </w:r>
    </w:p>
    <w:p w14:paraId="21472CF4">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“采购代理机构”系指组织本次磋商的采购代理机构（以下简称“</w:t>
      </w:r>
      <w:r>
        <w:rPr>
          <w:rFonts w:hint="eastAsia" w:ascii="宋体" w:hAnsi="宋体"/>
          <w:color w:val="auto"/>
          <w:sz w:val="24"/>
          <w:highlight w:val="none"/>
        </w:rPr>
        <w:t>本代理机构</w:t>
      </w:r>
      <w:r>
        <w:rPr>
          <w:rFonts w:hint="eastAsia" w:ascii="宋体" w:hAnsi="宋体" w:cs="宋体"/>
          <w:color w:val="auto"/>
          <w:sz w:val="24"/>
          <w:highlight w:val="none"/>
        </w:rPr>
        <w:t>”）。</w:t>
      </w:r>
    </w:p>
    <w:p w14:paraId="6CB368E4">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“磋商供应商”系指响应磋商、参加磋商竞争的法人、其他组织或者自然人。</w:t>
      </w:r>
    </w:p>
    <w:p w14:paraId="7C2CA685">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436FBBA5">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5“项目”系指磋商供应商按竞争性磋商文件规定向采购人提供的产品和服务。</w:t>
      </w:r>
    </w:p>
    <w:p w14:paraId="22FE1048">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1D9DC2A0">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1028D3A7">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5651B29A">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3.1满足《中华人民共和国政府采购法》第二十二条规定；</w:t>
      </w:r>
    </w:p>
    <w:p w14:paraId="497B9866">
      <w:pPr>
        <w:adjustRightInd w:val="0"/>
        <w:spacing w:line="360" w:lineRule="auto"/>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 xml:space="preserve">    3.</w:t>
      </w: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以联合体形式响应的，提供联合协议(本项目不接受联合体响应或者供应商不以联合体形式响应的，则不需要提供) ；</w:t>
      </w:r>
    </w:p>
    <w:p w14:paraId="4E58878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eastAsia" w:ascii="宋体" w:hAnsi="宋体" w:eastAsia="宋体" w:cs="宋体"/>
          <w:color w:val="auto"/>
          <w:sz w:val="24"/>
          <w:highlight w:val="none"/>
          <w:lang w:eastAsia="zh-CN"/>
        </w:rPr>
      </w:pPr>
      <w:r>
        <w:rPr>
          <w:rFonts w:hint="eastAsia" w:ascii="宋体" w:hAnsi="宋体" w:cs="宋体"/>
          <w:snapToGrid w:val="0"/>
          <w:color w:val="auto"/>
          <w:kern w:val="28"/>
          <w:sz w:val="24"/>
          <w:szCs w:val="20"/>
          <w:highlight w:val="none"/>
        </w:rPr>
        <w:t>3.</w:t>
      </w:r>
      <w:r>
        <w:rPr>
          <w:rFonts w:ascii="宋体" w:hAnsi="宋体" w:cs="宋体"/>
          <w:snapToGrid w:val="0"/>
          <w:color w:val="auto"/>
          <w:kern w:val="28"/>
          <w:sz w:val="24"/>
          <w:szCs w:val="20"/>
          <w:highlight w:val="none"/>
        </w:rPr>
        <w:t>3</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snapToGrid w:val="0"/>
          <w:color w:val="auto"/>
          <w:kern w:val="28"/>
          <w:sz w:val="24"/>
          <w:szCs w:val="20"/>
          <w:highlight w:val="none"/>
          <w:lang w:eastAsia="zh-CN"/>
        </w:rPr>
        <w:t>专门面向小微企业，工程全部由符合政策要求的小微企业承接；</w:t>
      </w:r>
    </w:p>
    <w:p w14:paraId="5F673A96">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w:t>
      </w:r>
      <w:r>
        <w:rPr>
          <w:rFonts w:ascii="宋体" w:hAnsi="宋体" w:cs="宋体"/>
          <w:color w:val="auto"/>
          <w:sz w:val="24"/>
          <w:highlight w:val="none"/>
        </w:rPr>
        <w:t>4</w:t>
      </w:r>
      <w:r>
        <w:rPr>
          <w:rFonts w:hint="eastAsia" w:ascii="宋体" w:hAnsi="宋体" w:cs="宋体"/>
          <w:color w:val="auto"/>
          <w:sz w:val="24"/>
          <w:highlight w:val="none"/>
        </w:rPr>
        <w:t>本项目的特定资格要求：供应商须具备</w:t>
      </w:r>
      <w:r>
        <w:rPr>
          <w:rFonts w:hint="eastAsia" w:ascii="宋体" w:hAnsi="宋体" w:cs="宋体"/>
          <w:color w:val="auto"/>
          <w:sz w:val="24"/>
          <w:highlight w:val="none"/>
          <w:lang w:eastAsia="zh-CN"/>
        </w:rPr>
        <w:t>建筑工程施工总承包贰级（含）</w:t>
      </w:r>
      <w:r>
        <w:rPr>
          <w:rFonts w:hint="eastAsia" w:ascii="宋体" w:hAnsi="宋体" w:cs="宋体"/>
          <w:color w:val="auto"/>
          <w:sz w:val="24"/>
          <w:highlight w:val="none"/>
        </w:rPr>
        <w:t>以上资质，并持有有效的安全生产许可证，并在人员、设备、资金等方面具备相应的施工能力。</w:t>
      </w:r>
    </w:p>
    <w:p w14:paraId="342148C3">
      <w:pPr>
        <w:pStyle w:val="26"/>
        <w:adjustRightInd w:val="0"/>
        <w:snapToGrid w:val="0"/>
        <w:spacing w:line="360" w:lineRule="auto"/>
        <w:ind w:firstLine="480" w:firstLineChars="200"/>
        <w:rPr>
          <w:rFonts w:hint="eastAsia" w:hAnsi="宋体" w:cs="宋体"/>
          <w:color w:val="auto"/>
          <w:sz w:val="24"/>
          <w:highlight w:val="none"/>
        </w:rPr>
      </w:pPr>
      <w:r>
        <w:rPr>
          <w:rFonts w:hint="eastAsia" w:hAnsi="宋体" w:cs="宋体"/>
          <w:color w:val="auto"/>
          <w:sz w:val="24"/>
          <w:highlight w:val="none"/>
        </w:rPr>
        <w:t>3.5 未被“信用中国”（www.creditchina.gov.cn)、中国政府采购网（www.ccgp.gov.cn）</w:t>
      </w:r>
      <w:r>
        <w:rPr>
          <w:rFonts w:hint="eastAsia" w:hAnsi="宋体" w:cs="宋体"/>
          <w:color w:val="auto"/>
          <w:sz w:val="24"/>
          <w:highlight w:val="none"/>
          <w:lang w:eastAsia="zh-CN"/>
        </w:rPr>
        <w:t>、</w:t>
      </w:r>
      <w:r>
        <w:rPr>
          <w:rFonts w:hint="eastAsia" w:hAnsi="宋体" w:cs="宋体"/>
          <w:color w:val="auto"/>
          <w:sz w:val="24"/>
          <w:highlight w:val="none"/>
        </w:rPr>
        <w:t>中国执行信息公开网（https://zxgk.court.gov.cn/）列入失信被执行人、重大税收违法案件当事人名单、政府采购严重违法失信行为记录名单；</w:t>
      </w:r>
    </w:p>
    <w:p w14:paraId="5B80DE77">
      <w:pPr>
        <w:pStyle w:val="26"/>
        <w:adjustRightInd w:val="0"/>
        <w:snapToGrid w:val="0"/>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3.6 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2795AD7A">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3A837A60">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1AF58F4A">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433C88E0">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4A7B52B7">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▲采购人拟采购的产品属于政府强制采购的节能产品品目清单范围的，供应商相应的响应产品未获得国家确定的认证机构出具的、处于有效期之内的节能产品认证证书的，响应无效。</w:t>
      </w:r>
    </w:p>
    <w:p w14:paraId="235643F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29021734">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26B3165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2FCBEAD0">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0ADDA1BA">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4211024D">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2B8019A3">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88D422E">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15DB87F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0AF22430">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ascii="宋体" w:hAnsi="宋体" w:cs="宋体"/>
          <w:color w:val="auto"/>
          <w:sz w:val="24"/>
          <w:highlight w:val="none"/>
        </w:rPr>
        <w:t>3</w:t>
      </w:r>
      <w:r>
        <w:rPr>
          <w:rFonts w:hint="eastAsia" w:ascii="宋体" w:hAnsi="宋体" w:cs="宋体"/>
          <w:color w:val="auto"/>
          <w:sz w:val="24"/>
          <w:highlight w:val="none"/>
        </w:rPr>
        <w:t>）的残疾人福利性单位视同小型、微型企业；</w:t>
      </w:r>
    </w:p>
    <w:p w14:paraId="07A2025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4E4EADA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25F11D5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8D60ECE">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4.5</w:t>
      </w:r>
      <w:r>
        <w:rPr>
          <w:rFonts w:hint="eastAsia" w:ascii="宋体" w:hAnsi="宋体" w:cs="宋体"/>
          <w:b/>
          <w:bCs/>
          <w:color w:val="auto"/>
          <w:sz w:val="24"/>
          <w:highlight w:val="none"/>
        </w:rPr>
        <w:t>支持创新发展</w:t>
      </w:r>
    </w:p>
    <w:p w14:paraId="5C7B131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4.5.1 采购人优先采购被认定为首台套产品和“制造精品”的自主创新产品。</w:t>
      </w:r>
    </w:p>
    <w:p w14:paraId="11161E0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75C6C1E8">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4.6平等对待内外资企业</w:t>
      </w:r>
    </w:p>
    <w:p w14:paraId="31C24C2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09E9CD48">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4.7</w:t>
      </w:r>
      <w:r>
        <w:rPr>
          <w:rFonts w:hint="eastAsia" w:ascii="宋体" w:hAnsi="宋体"/>
          <w:b/>
          <w:color w:val="auto"/>
          <w:kern w:val="0"/>
          <w:sz w:val="24"/>
          <w:szCs w:val="20"/>
          <w:highlight w:val="none"/>
        </w:rPr>
        <w:t>平等对待符合条件的破产重整企业</w:t>
      </w:r>
    </w:p>
    <w:p w14:paraId="1B1282AA">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55481F5E">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5.联合体磋商</w:t>
      </w:r>
    </w:p>
    <w:p w14:paraId="74F8220E">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1联合体磋商要求:</w:t>
      </w:r>
    </w:p>
    <w:p w14:paraId="1B876DDC">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（1）两个以上供应商可以组成一个磋商联合体，以一个供应商的身份磋商。</w:t>
      </w:r>
    </w:p>
    <w:p w14:paraId="596E45F5">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（2）以联合体形式参加磋商的，联合体各方均应当符合“具有独立承担民事责任的能力”的条件。本项目有特殊要求规定供应商特定条件的，联合体各方中至少应当有一方符合磋商文件规定的特定条件。</w:t>
      </w:r>
    </w:p>
    <w:p w14:paraId="285BDB9D">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cs="宋体"/>
          <w:color w:val="auto"/>
          <w:kern w:val="0"/>
          <w:sz w:val="24"/>
          <w:highlight w:val="none"/>
        </w:rPr>
        <w:t>磋商</w:t>
      </w:r>
      <w:r>
        <w:rPr>
          <w:rFonts w:hint="eastAsia" w:ascii="宋体" w:hAnsi="宋体" w:cs="宋体"/>
          <w:color w:val="auto"/>
          <w:kern w:val="0"/>
          <w:sz w:val="24"/>
          <w:highlight w:val="none"/>
        </w:rPr>
        <w:t>，也不得组成新的联合体参加同一项目磋商。否则，与之相关的响应文件作废。</w:t>
      </w:r>
    </w:p>
    <w:p w14:paraId="1EAFB41B">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（4）磋商联合体的业绩和信誉按联合体主体方（或牵头方）计算。</w:t>
      </w:r>
    </w:p>
    <w:p w14:paraId="68045F8F">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联合体各方中至少有一方符合本文件规定的特定资质条件。联合体磋商的，须提供《联合协议》（格式见附件）。</w:t>
      </w:r>
    </w:p>
    <w:p w14:paraId="34E42046">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7FE5F485">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6. 磋商费用、竞争性磋商公告、竞争性磋商文件的澄清和修改</w:t>
      </w:r>
    </w:p>
    <w:p w14:paraId="50D24CB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6.1磋商费用：供应商应自行承担所有与编写和提交竞争性磋商响应文件有关的费用，不论磋商结果如何，采购人和本代理机构在任何情况下无义务和责任承担此类费用。</w:t>
      </w:r>
    </w:p>
    <w:p w14:paraId="358BF687">
      <w:pPr>
        <w:pStyle w:val="26"/>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6.2竞争性磋商公告：见</w:t>
      </w:r>
      <w:r>
        <w:rPr>
          <w:rFonts w:hint="eastAsia" w:hAnsi="宋体"/>
          <w:b/>
          <w:color w:val="auto"/>
          <w:sz w:val="24"/>
          <w:szCs w:val="24"/>
          <w:highlight w:val="none"/>
          <w:u w:val="single"/>
        </w:rPr>
        <w:t>202</w:t>
      </w:r>
      <w:r>
        <w:rPr>
          <w:rFonts w:hint="eastAsia" w:hAnsi="宋体"/>
          <w:b/>
          <w:color w:val="auto"/>
          <w:sz w:val="24"/>
          <w:szCs w:val="24"/>
          <w:highlight w:val="none"/>
          <w:u w:val="single"/>
          <w:lang w:val="en-US" w:eastAsia="zh-CN"/>
        </w:rPr>
        <w:t>6</w:t>
      </w:r>
      <w:r>
        <w:rPr>
          <w:rFonts w:hint="eastAsia" w:hAnsi="宋体"/>
          <w:b/>
          <w:color w:val="auto"/>
          <w:sz w:val="24"/>
          <w:szCs w:val="24"/>
          <w:highlight w:val="none"/>
          <w:u w:val="single"/>
        </w:rPr>
        <w:t>年</w:t>
      </w:r>
      <w:r>
        <w:rPr>
          <w:rFonts w:hint="eastAsia" w:hAnsi="宋体"/>
          <w:b/>
          <w:color w:val="auto"/>
          <w:sz w:val="24"/>
          <w:szCs w:val="24"/>
          <w:highlight w:val="none"/>
          <w:u w:val="single"/>
          <w:lang w:val="en-US" w:eastAsia="zh-CN"/>
        </w:rPr>
        <w:t xml:space="preserve">  月  日</w:t>
      </w:r>
      <w:r>
        <w:rPr>
          <w:rFonts w:hint="eastAsia" w:hAnsi="宋体" w:cs="宋体"/>
          <w:color w:val="auto"/>
          <w:sz w:val="24"/>
          <w:szCs w:val="24"/>
          <w:highlight w:val="none"/>
        </w:rPr>
        <w:t>http://www.ccgp.gov.cn/（中国政府采购网）、http://zfcg.gxzf.gov.cn/（广西政府采购网）。</w:t>
      </w:r>
    </w:p>
    <w:p w14:paraId="5B47979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6.3竞争性磋商文件的澄清和修改：</w:t>
      </w:r>
    </w:p>
    <w:p w14:paraId="16F734F9">
      <w:pPr>
        <w:pStyle w:val="26"/>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6.3.1</w:t>
      </w:r>
      <w:r>
        <w:rPr>
          <w:rFonts w:hint="eastAsia" w:hAnsi="宋体"/>
          <w:bCs/>
          <w:color w:val="auto"/>
          <w:sz w:val="24"/>
          <w:szCs w:val="24"/>
          <w:highlight w:val="none"/>
        </w:rPr>
        <w:t>供应商应认真审核《采购需求》中的服务要求，如发现采购需求中服务要求有误或要求不合理的，供应商必须在规定的时间前要求澄清，否则，由此产生的后果由供应商负责。</w:t>
      </w:r>
    </w:p>
    <w:p w14:paraId="102630C1">
      <w:pPr>
        <w:pStyle w:val="26"/>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6.3.2任何要求澄清竞争性磋商文件的供应商，均应在响应文件递交截止日期三日前的正常工作时间以传真等书面形式通知本代理机构，同时认定其他澄清方式为无效。本代理机构将以书面形式予以答复。</w:t>
      </w:r>
    </w:p>
    <w:p w14:paraId="4849A0F2">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jc w:val="left"/>
        <w:textAlignment w:val="auto"/>
        <w:rPr>
          <w:rFonts w:ascii="宋体" w:hAnsi="宋体"/>
          <w:color w:val="auto"/>
          <w:sz w:val="24"/>
          <w:highlight w:val="none"/>
        </w:rPr>
      </w:pPr>
      <w:r>
        <w:rPr>
          <w:rFonts w:hint="eastAsia" w:ascii="宋体" w:hAnsi="宋体"/>
          <w:color w:val="auto"/>
          <w:sz w:val="24"/>
          <w:highlight w:val="none"/>
        </w:rPr>
        <w:t>6.3.3本代理机构对已发出的磋商文件进行必要澄清或者修改的，在竞争性磋商文件要求提交竞争性磋商响应文件截止时间五日前（不足五日顺延），在</w:t>
      </w:r>
      <w:r>
        <w:rPr>
          <w:rFonts w:hint="eastAsia" w:ascii="宋体" w:hAnsi="宋体" w:cs="宋体"/>
          <w:color w:val="auto"/>
          <w:sz w:val="24"/>
          <w:highlight w:val="none"/>
        </w:rPr>
        <w:t>http://www.ccgp.gov.cn/（中国政府采购网）、http://zfcg.gxzf.gov.cn/（广西政府采购网）</w:t>
      </w:r>
      <w:r>
        <w:rPr>
          <w:rFonts w:hint="eastAsia" w:ascii="宋体" w:hAnsi="宋体"/>
          <w:color w:val="auto"/>
          <w:sz w:val="24"/>
          <w:highlight w:val="none"/>
        </w:rPr>
        <w:t>上发布更正公告，并以书面形式通知所有竞争性磋商文件收受人。该澄清或者修改的内容为竞争性磋商文件的组成部分。</w:t>
      </w:r>
    </w:p>
    <w:p w14:paraId="27FDD30C">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ascii="宋体" w:hAnsi="宋体"/>
          <w:color w:val="auto"/>
          <w:sz w:val="24"/>
          <w:highlight w:val="none"/>
        </w:rPr>
      </w:pPr>
      <w:r>
        <w:rPr>
          <w:rFonts w:hint="eastAsia" w:ascii="宋体" w:hAnsi="宋体"/>
          <w:color w:val="auto"/>
          <w:sz w:val="24"/>
          <w:highlight w:val="none"/>
        </w:rPr>
        <w:t>6.3.4本代理机构可视具体情况，延长响应文件递交截止时间和开标时间。本代理机构至少在竞争性磋商文件要求提交竞争性磋商响应文件的截止时间一日前，将变更时间书面通知所有竞争性磋商文件收受人，并在</w:t>
      </w:r>
      <w:r>
        <w:rPr>
          <w:rFonts w:hint="eastAsia" w:ascii="宋体" w:hAnsi="宋体" w:cs="宋体"/>
          <w:color w:val="auto"/>
          <w:sz w:val="24"/>
          <w:highlight w:val="none"/>
        </w:rPr>
        <w:t>http://www.ccgp.gov.cn/（中国政府采购网）、http://zfcg.gxzf.gov.cn/（广西政府采购网）</w:t>
      </w:r>
      <w:r>
        <w:rPr>
          <w:rFonts w:hint="eastAsia" w:ascii="宋体" w:hAnsi="宋体"/>
          <w:color w:val="auto"/>
          <w:sz w:val="24"/>
          <w:highlight w:val="none"/>
        </w:rPr>
        <w:t>上发布变更公告。</w:t>
      </w:r>
    </w:p>
    <w:p w14:paraId="7F0A58D3">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二、竞争性磋商响应文件的编制</w:t>
      </w:r>
    </w:p>
    <w:p w14:paraId="379275E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竞争性磋商响应文件编制基本要求</w:t>
      </w:r>
    </w:p>
    <w:p w14:paraId="6746D9A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磋商</w:t>
      </w:r>
      <w:r>
        <w:rPr>
          <w:rFonts w:ascii="宋体" w:hAnsi="宋体"/>
          <w:color w:val="auto"/>
          <w:sz w:val="24"/>
          <w:highlight w:val="none"/>
        </w:rPr>
        <w:t>，供应商应准备电子</w:t>
      </w:r>
      <w:r>
        <w:rPr>
          <w:rFonts w:hint="eastAsia" w:ascii="宋体" w:hAnsi="宋体"/>
          <w:color w:val="auto"/>
          <w:sz w:val="24"/>
          <w:highlight w:val="none"/>
        </w:rPr>
        <w:t>磋商</w:t>
      </w:r>
      <w:r>
        <w:rPr>
          <w:rFonts w:ascii="宋体" w:hAnsi="宋体"/>
          <w:color w:val="auto"/>
          <w:sz w:val="24"/>
          <w:highlight w:val="none"/>
        </w:rPr>
        <w:t>响应文件：</w:t>
      </w:r>
    </w:p>
    <w:p w14:paraId="4C24B7A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电子响应文件按广西政府采购云平台</w:t>
      </w:r>
      <w:r>
        <w:rPr>
          <w:rFonts w:hint="eastAsia" w:ascii="宋体" w:hAnsi="宋体"/>
          <w:color w:val="auto"/>
          <w:sz w:val="24"/>
          <w:highlight w:val="none"/>
        </w:rPr>
        <w:t>要求</w:t>
      </w:r>
      <w:r>
        <w:rPr>
          <w:rFonts w:ascii="宋体" w:hAnsi="宋体"/>
          <w:color w:val="auto"/>
          <w:sz w:val="24"/>
          <w:highlight w:val="none"/>
        </w:rPr>
        <w:t>及本磋商文件要求制作、加密并递交。具体操作流程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广西政府采购网进行查阅。</w:t>
      </w:r>
    </w:p>
    <w:p w14:paraId="245EDF7B">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7.1.3磋商响应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若磋商供应商在规定时间内无法解密或解密失败，视为磋商响应文件撤回，磋商无效。</w:t>
      </w:r>
    </w:p>
    <w:p w14:paraId="7755FC1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7.2供应商提交的竞争性磋商响应文件以及供应商与</w:t>
      </w:r>
      <w:r>
        <w:rPr>
          <w:rFonts w:hint="eastAsia" w:ascii="宋体" w:hAnsi="宋体"/>
          <w:color w:val="auto"/>
          <w:sz w:val="24"/>
          <w:highlight w:val="none"/>
          <w:lang w:eastAsia="zh-CN"/>
        </w:rPr>
        <w:t>广西科联招标中心有限公司</w:t>
      </w:r>
      <w:r>
        <w:rPr>
          <w:rFonts w:hint="eastAsia" w:ascii="宋体" w:hAnsi="宋体"/>
          <w:color w:val="auto"/>
          <w:sz w:val="24"/>
          <w:highlight w:val="none"/>
        </w:rPr>
        <w:t>和采购人就有关磋商的所有来往函电均应使用中文。供应商提交的支持文件和印刷的文献可以使用别的语言，但其相应内容必须附有中文翻译文本，在解释竞争性磋商响应文件时以翻译文本为主。</w:t>
      </w:r>
    </w:p>
    <w:p w14:paraId="07482CE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7.3供应商应认真阅读、并充分理解本文件的全部内容（包括所有的澄清、更改、补充、答疑等内容），承诺并履行本文件中各项条款规定及要求。</w:t>
      </w:r>
    </w:p>
    <w:p w14:paraId="7162F27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7.4竞争性磋商响应文件必须按本文件的全部内容，包括所有的澄清、更改、补充、答疑等内容及附件进行编制。</w:t>
      </w:r>
    </w:p>
    <w:p w14:paraId="610554D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7.5如因供应商只填写和提供了本文件要求的部分内容和附件，而给磋商小组评审造成困难，其可能导致的结果和责任由供应商自行承担。</w:t>
      </w:r>
    </w:p>
    <w:p w14:paraId="6600BCF7">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供应商须对所提供材料的真实性和一致性负责。</w:t>
      </w:r>
    </w:p>
    <w:p w14:paraId="59BB037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7.7竞争性磋商响应文件的组成：竞争性磋商响应文件应分为资格文件、价格文件和商务技术文件组成。</w:t>
      </w:r>
      <w:r>
        <w:rPr>
          <w:rFonts w:ascii="宋体" w:hAnsi="宋体"/>
          <w:color w:val="auto"/>
          <w:sz w:val="24"/>
          <w:highlight w:val="none"/>
        </w:rPr>
        <w:t>供应商应仔细阅读磋商采购文件的所有内容，按磋商采购文件的要求，详细编制磋商响应文件。</w:t>
      </w:r>
    </w:p>
    <w:p w14:paraId="37B2A31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10FA6225">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▲（1）具有独立承担民事责任的能力（磋商供应商为法人或者其他组织的具有有效的营业执照或者事业单位法人证书或者执业许可证；供应商为自然人的具有有效身份证）；</w:t>
      </w:r>
    </w:p>
    <w:p w14:paraId="6D52581D">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▲（2）具有良好的商业信誉和健全的财务会计制度（磋商供应商具有2024年</w:t>
      </w:r>
      <w:r>
        <w:rPr>
          <w:rFonts w:hint="eastAsia" w:ascii="宋体" w:hAnsi="宋体"/>
          <w:b w:val="0"/>
          <w:bCs w:val="0"/>
          <w:color w:val="auto"/>
          <w:sz w:val="24"/>
          <w:highlight w:val="none"/>
          <w:lang w:val="en-US" w:eastAsia="zh-CN"/>
        </w:rPr>
        <w:t>或2025年</w:t>
      </w:r>
      <w:r>
        <w:rPr>
          <w:rFonts w:hint="eastAsia" w:ascii="宋体" w:hAnsi="宋体"/>
          <w:b w:val="0"/>
          <w:bCs w:val="0"/>
          <w:color w:val="auto"/>
          <w:sz w:val="24"/>
          <w:highlight w:val="none"/>
        </w:rPr>
        <w:t>年度经审计的财务报告或者截标时间前半年内至少一个月能反映财务状况的报表或者截标时间前半年内至少一个月的财务情况说明）；</w:t>
      </w:r>
    </w:p>
    <w:p w14:paraId="2392A6A4">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▲（3）具有履行合同所必需的设备和专业技术能力的证明材料；</w:t>
      </w:r>
    </w:p>
    <w:p w14:paraId="0DA09614">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▲（4）具有依法缴纳税收的良好记录（磋商供应商具有税款所属时期为</w:t>
      </w:r>
      <w:r>
        <w:rPr>
          <w:rFonts w:hint="eastAsia" w:ascii="宋体" w:hAnsi="宋体"/>
          <w:b w:val="0"/>
          <w:bCs w:val="0"/>
          <w:color w:val="auto"/>
          <w:sz w:val="24"/>
          <w:highlight w:val="none"/>
          <w:lang w:eastAsia="zh-CN"/>
        </w:rPr>
        <w:t>2025年12月</w:t>
      </w:r>
      <w:r>
        <w:rPr>
          <w:rFonts w:hint="eastAsia" w:ascii="宋体" w:hAnsi="宋体"/>
          <w:b w:val="0"/>
          <w:bCs w:val="0"/>
          <w:color w:val="auto"/>
          <w:sz w:val="24"/>
          <w:highlight w:val="none"/>
        </w:rPr>
        <w:t>至首次响应文件提交截止时间止，任意三个月依法缴纳税费记录或依法免缴税费的记录）【从取得营业执照时间起到首次响应文件提交截止时间为止不足要求月数的，至少具有从取得营业执照起任意一个月依法缴纳税收的良好记录】）；</w:t>
      </w:r>
    </w:p>
    <w:p w14:paraId="7B6BC0C3">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▲（5）具有社会保障资金的良好记录（磋商供应商具有社保所属时期或缴费起始时间为</w:t>
      </w:r>
      <w:r>
        <w:rPr>
          <w:rFonts w:hint="eastAsia" w:ascii="宋体" w:hAnsi="宋体"/>
          <w:b w:val="0"/>
          <w:bCs w:val="0"/>
          <w:color w:val="auto"/>
          <w:sz w:val="24"/>
          <w:highlight w:val="none"/>
          <w:lang w:eastAsia="zh-CN"/>
        </w:rPr>
        <w:t>2025年12月</w:t>
      </w:r>
      <w:r>
        <w:rPr>
          <w:rFonts w:hint="eastAsia" w:ascii="宋体" w:hAnsi="宋体"/>
          <w:b w:val="0"/>
          <w:bCs w:val="0"/>
          <w:color w:val="auto"/>
          <w:sz w:val="24"/>
          <w:highlight w:val="none"/>
        </w:rPr>
        <w:t>至首次响应文件提交截止时间止，任意三个月依法缴纳社保费记录或依法免缴社保费的记录【从取得营业执照时间起到首次响应文件提交截止时间为止不足要求月数的，至少具有从取得营业执照起任意一个月依法缴纳社会保障资金的良好记录】）；</w:t>
      </w:r>
    </w:p>
    <w:p w14:paraId="303AB434">
      <w:pPr>
        <w:adjustRightInd w:val="0"/>
        <w:snapToGrid w:val="0"/>
        <w:spacing w:line="360" w:lineRule="auto"/>
        <w:ind w:firstLine="480" w:firstLineChars="200"/>
        <w:rPr>
          <w:rFonts w:hint="eastAsia" w:ascii="宋体" w:hAnsi="宋体"/>
          <w:b w:val="0"/>
          <w:bCs w:val="0"/>
          <w:color w:val="auto"/>
          <w:sz w:val="24"/>
          <w:highlight w:val="none"/>
        </w:rPr>
      </w:pPr>
      <w:r>
        <w:rPr>
          <w:rFonts w:hint="eastAsia" w:ascii="宋体" w:hAnsi="宋体"/>
          <w:b w:val="0"/>
          <w:bCs w:val="0"/>
          <w:color w:val="auto"/>
          <w:sz w:val="24"/>
          <w:highlight w:val="none"/>
        </w:rPr>
        <w:t>▲（6）参加政府采购活动前三年内，在经营活动中没有重大违法记录；</w:t>
      </w:r>
    </w:p>
    <w:p w14:paraId="2176F425">
      <w:pPr>
        <w:adjustRightInd w:val="0"/>
        <w:snapToGrid w:val="0"/>
        <w:spacing w:line="360" w:lineRule="auto"/>
        <w:ind w:firstLine="480" w:firstLineChars="200"/>
        <w:rPr>
          <w:rFonts w:hint="eastAsia" w:ascii="宋体" w:hAnsi="宋体" w:eastAsia="宋体"/>
          <w:b/>
          <w:bCs/>
          <w:color w:val="auto"/>
          <w:sz w:val="24"/>
          <w:highlight w:val="none"/>
          <w:lang w:eastAsia="zh-CN"/>
        </w:rPr>
      </w:pPr>
      <w:r>
        <w:rPr>
          <w:rFonts w:hint="eastAsia" w:ascii="宋体" w:hAnsi="宋体"/>
          <w:b w:val="0"/>
          <w:bCs w:val="0"/>
          <w:color w:val="auto"/>
          <w:sz w:val="24"/>
          <w:highlight w:val="none"/>
        </w:rPr>
        <w:t>▲（7）磋商供应商具备满足资格要求的资质：提供有效的</w:t>
      </w:r>
      <w:r>
        <w:rPr>
          <w:rFonts w:hint="eastAsia" w:ascii="宋体" w:hAnsi="宋体" w:cs="宋体"/>
          <w:color w:val="auto"/>
          <w:sz w:val="24"/>
          <w:highlight w:val="none"/>
          <w:lang w:val="en-US" w:eastAsia="zh-CN"/>
        </w:rPr>
        <w:t>建筑工程施工总承包贰级（含）</w:t>
      </w:r>
      <w:r>
        <w:rPr>
          <w:rFonts w:hint="eastAsia" w:ascii="宋体" w:hAnsi="宋体" w:cs="宋体"/>
          <w:color w:val="auto"/>
          <w:sz w:val="24"/>
          <w:highlight w:val="none"/>
        </w:rPr>
        <w:t>以上资质证书复印件、供应商有效的安全生产许可证复印件</w:t>
      </w:r>
      <w:r>
        <w:rPr>
          <w:rFonts w:hint="eastAsia" w:ascii="宋体" w:hAnsi="宋体"/>
          <w:b/>
          <w:bCs/>
          <w:color w:val="auto"/>
          <w:sz w:val="24"/>
          <w:highlight w:val="none"/>
        </w:rPr>
        <w:t>（必须提供）</w:t>
      </w:r>
      <w:r>
        <w:rPr>
          <w:rFonts w:hint="eastAsia" w:ascii="宋体" w:hAnsi="宋体"/>
          <w:b/>
          <w:bCs/>
          <w:color w:val="auto"/>
          <w:sz w:val="24"/>
          <w:highlight w:val="none"/>
          <w:lang w:eastAsia="zh-CN"/>
        </w:rPr>
        <w:t>；</w:t>
      </w:r>
    </w:p>
    <w:p w14:paraId="00C1D347">
      <w:pPr>
        <w:adjustRightInd w:val="0"/>
        <w:snapToGrid w:val="0"/>
        <w:spacing w:line="360" w:lineRule="auto"/>
        <w:ind w:firstLine="482" w:firstLineChars="200"/>
        <w:rPr>
          <w:rFonts w:hint="eastAsia" w:ascii="宋体" w:hAnsi="宋体" w:eastAsia="宋体"/>
          <w:color w:val="auto"/>
          <w:sz w:val="24"/>
          <w:highlight w:val="none"/>
          <w:lang w:eastAsia="zh-CN"/>
        </w:rPr>
      </w:pPr>
      <w:r>
        <w:rPr>
          <w:rFonts w:hint="eastAsia" w:ascii="宋体" w:hAnsi="宋体"/>
          <w:b/>
          <w:bCs/>
          <w:color w:val="auto"/>
          <w:sz w:val="24"/>
          <w:highlight w:val="none"/>
        </w:rPr>
        <w:t>▲</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8</w:t>
      </w:r>
      <w:r>
        <w:rPr>
          <w:rFonts w:hint="eastAsia" w:ascii="宋体" w:hAnsi="宋体"/>
          <w:color w:val="auto"/>
          <w:sz w:val="24"/>
          <w:highlight w:val="none"/>
          <w:lang w:eastAsia="zh-CN"/>
        </w:rPr>
        <w:t>）</w:t>
      </w:r>
      <w:r>
        <w:rPr>
          <w:rFonts w:hint="eastAsia" w:ascii="宋体" w:hAnsi="宋体"/>
          <w:color w:val="auto"/>
          <w:sz w:val="24"/>
          <w:highlight w:val="none"/>
        </w:rPr>
        <w:t>中小企业声明函或者残疾人福利性单位声明函或者磋商供应商属于监狱企业的证明材料（格式见第三章）</w:t>
      </w:r>
      <w:r>
        <w:rPr>
          <w:rFonts w:hint="eastAsia" w:ascii="宋体" w:hAnsi="宋体" w:cs="宋体"/>
          <w:b/>
          <w:bCs/>
          <w:color w:val="auto"/>
          <w:sz w:val="24"/>
          <w:highlight w:val="none"/>
        </w:rPr>
        <w:t>（必须提供）</w:t>
      </w:r>
      <w:r>
        <w:rPr>
          <w:rFonts w:hint="eastAsia" w:ascii="宋体" w:hAnsi="宋体" w:cs="宋体"/>
          <w:b/>
          <w:bCs/>
          <w:color w:val="auto"/>
          <w:sz w:val="24"/>
          <w:highlight w:val="none"/>
          <w:lang w:eastAsia="zh-CN"/>
        </w:rPr>
        <w:t>。</w:t>
      </w:r>
    </w:p>
    <w:p w14:paraId="17125A3A">
      <w:pPr>
        <w:pStyle w:val="26"/>
        <w:spacing w:line="360" w:lineRule="auto"/>
        <w:ind w:firstLine="482" w:firstLineChars="200"/>
        <w:outlineLvl w:val="9"/>
        <w:rPr>
          <w:rFonts w:hint="eastAsia" w:asciiTheme="minorEastAsia" w:hAnsiTheme="minorEastAsia" w:eastAsiaTheme="minorEastAsia"/>
          <w:b/>
          <w:bCs/>
          <w:color w:val="auto"/>
          <w:sz w:val="24"/>
          <w:highlight w:val="none"/>
          <w:lang w:val="en-US" w:eastAsia="zh-CN"/>
        </w:rPr>
      </w:pPr>
      <w:r>
        <w:rPr>
          <w:rFonts w:hint="eastAsia" w:asciiTheme="minorEastAsia" w:hAnsiTheme="minorEastAsia" w:eastAsiaTheme="minorEastAsia"/>
          <w:b/>
          <w:bCs/>
          <w:color w:val="auto"/>
          <w:sz w:val="24"/>
          <w:highlight w:val="none"/>
          <w:lang w:val="en-US" w:eastAsia="zh-CN"/>
        </w:rPr>
        <w:t>特别说明：1.（1）-（6）项材料，磋商供应商制作响应文件时资格证明文件可以书面信用承诺函（格式见第三章）的形式进行响应或提供符合采购文件要求的证明材料；以承诺函形式进行响应的，无需提供证明材料。磋商供应商若提供证明材料，提供的所有复印件必须加盖电子公章，否则磋商无效。磋商供应商未按要求提供材料或提供的证明材料不齐全或提供的承诺函不符合采购文件要求的或不如实填写承诺函的，磋商无效。（7）-（8）项材料按要求提供证明材料并加盖电子公章，第三章提供了格式要求的，必须按格式内容进行填写、签章，不提供或者不按要求填写、签章的，磋商无效。</w:t>
      </w:r>
    </w:p>
    <w:p w14:paraId="630914F1">
      <w:pPr>
        <w:adjustRightInd w:val="0"/>
        <w:snapToGrid w:val="0"/>
        <w:spacing w:line="360" w:lineRule="auto"/>
        <w:ind w:firstLine="482" w:firstLineChars="200"/>
        <w:rPr>
          <w:rFonts w:hint="eastAsia" w:ascii="宋体" w:hAnsi="宋体"/>
          <w:b/>
          <w:bCs/>
          <w:color w:val="auto"/>
          <w:sz w:val="24"/>
          <w:highlight w:val="none"/>
        </w:rPr>
      </w:pPr>
      <w:r>
        <w:rPr>
          <w:rFonts w:hint="eastAsia" w:asciiTheme="minorEastAsia" w:hAnsiTheme="minorEastAsia" w:eastAsiaTheme="minorEastAsia"/>
          <w:b/>
          <w:bCs/>
          <w:color w:val="auto"/>
          <w:sz w:val="24"/>
          <w:highlight w:val="none"/>
          <w:lang w:val="en-US" w:eastAsia="zh-CN"/>
        </w:rPr>
        <w:t>2.磋商供应商应当遵守诚实信用原则，如实承诺，否则属于提供虚假材料谋取中标（成交），将上报财政监管部门，按照《中华人民共和国政府采购法》第七十七条相关规定进行处罚。</w:t>
      </w:r>
    </w:p>
    <w:p w14:paraId="3D99289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7.7.2价格文件</w:t>
      </w:r>
    </w:p>
    <w:p w14:paraId="57131874">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62F3532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67F67EE8">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2109810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（4）供应商认为需要提供的其他有关资料。</w:t>
      </w:r>
    </w:p>
    <w:p w14:paraId="7B48C3E4">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rPr>
        <w:t>7.7.3 商务技术文件</w:t>
      </w:r>
      <w:r>
        <w:rPr>
          <w:rFonts w:hint="eastAsia" w:ascii="宋体" w:hAnsi="宋体"/>
          <w:color w:val="auto"/>
          <w:sz w:val="24"/>
          <w:highlight w:val="none"/>
        </w:rPr>
        <w:t>（应该有的必须提供,如未提供,磋商小组有权拒绝其磋商响应文件）。</w:t>
      </w:r>
    </w:p>
    <w:p w14:paraId="53A4613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▲（1）磋商书</w:t>
      </w:r>
      <w:r>
        <w:rPr>
          <w:rFonts w:hint="eastAsia" w:ascii="宋体" w:hAnsi="宋体"/>
          <w:b/>
          <w:color w:val="auto"/>
          <w:sz w:val="24"/>
          <w:highlight w:val="none"/>
        </w:rPr>
        <w:t xml:space="preserve"> （必须提供，格式见第三章）；</w:t>
      </w:r>
    </w:p>
    <w:p w14:paraId="47B25983">
      <w:pPr>
        <w:adjustRightInd w:val="0"/>
        <w:snapToGrid w:val="0"/>
        <w:spacing w:line="360" w:lineRule="auto"/>
        <w:ind w:firstLine="480" w:firstLineChars="200"/>
        <w:jc w:val="left"/>
        <w:rPr>
          <w:rFonts w:hint="eastAsia" w:ascii="宋体" w:hAnsi="宋体" w:eastAsia="宋体"/>
          <w:color w:val="auto"/>
          <w:sz w:val="24"/>
          <w:highlight w:val="none"/>
          <w:lang w:eastAsia="zh-CN"/>
        </w:rPr>
      </w:pPr>
      <w:r>
        <w:rPr>
          <w:rFonts w:hint="eastAsia" w:ascii="宋体" w:hAnsi="宋体"/>
          <w:color w:val="auto"/>
          <w:sz w:val="24"/>
          <w:highlight w:val="none"/>
        </w:rPr>
        <w:t>▲（2）法定代表人（负责人）身份证明书</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附营业执照及法人身份证</w:t>
      </w:r>
      <w:r>
        <w:rPr>
          <w:rFonts w:hint="eastAsia" w:ascii="宋体" w:hAnsi="宋体"/>
          <w:color w:val="auto"/>
          <w:sz w:val="24"/>
          <w:highlight w:val="none"/>
          <w:lang w:eastAsia="zh-CN"/>
        </w:rPr>
        <w:t>）</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b/>
          <w:bCs/>
          <w:color w:val="auto"/>
          <w:sz w:val="24"/>
          <w:highlight w:val="none"/>
          <w:lang w:eastAsia="zh-CN"/>
        </w:rPr>
        <w:t>；</w:t>
      </w:r>
    </w:p>
    <w:p w14:paraId="60DDC52F">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3</w:t>
      </w:r>
      <w:r>
        <w:rPr>
          <w:rFonts w:hint="eastAsia" w:ascii="宋体" w:hAnsi="宋体"/>
          <w:color w:val="auto"/>
          <w:sz w:val="24"/>
          <w:highlight w:val="none"/>
          <w:lang w:eastAsia="zh-CN"/>
        </w:rPr>
        <w:t>）</w:t>
      </w:r>
      <w:r>
        <w:rPr>
          <w:rFonts w:hint="eastAsia" w:ascii="宋体" w:hAnsi="宋体"/>
          <w:color w:val="auto"/>
          <w:sz w:val="24"/>
          <w:highlight w:val="none"/>
        </w:rPr>
        <w:t>法定代表人（负责人）授权委托书和委托代理人身份证复印件</w:t>
      </w:r>
      <w:r>
        <w:rPr>
          <w:rFonts w:hint="eastAsia" w:ascii="宋体" w:hAnsi="宋体"/>
          <w:b/>
          <w:bCs/>
          <w:color w:val="auto"/>
          <w:sz w:val="24"/>
          <w:highlight w:val="none"/>
        </w:rPr>
        <w:t>（委托代理时必须提供</w:t>
      </w:r>
      <w:r>
        <w:rPr>
          <w:rFonts w:hint="eastAsia" w:ascii="宋体" w:hAnsi="宋体"/>
          <w:b/>
          <w:bCs/>
          <w:color w:val="auto"/>
          <w:sz w:val="24"/>
          <w:highlight w:val="none"/>
          <w:lang w:eastAsia="zh-CN"/>
        </w:rPr>
        <w:t>，</w:t>
      </w:r>
      <w:r>
        <w:rPr>
          <w:rFonts w:hint="eastAsia" w:ascii="宋体" w:hAnsi="宋体"/>
          <w:b/>
          <w:color w:val="auto"/>
          <w:sz w:val="24"/>
          <w:highlight w:val="none"/>
        </w:rPr>
        <w:t>格式见第三章</w:t>
      </w:r>
      <w:r>
        <w:rPr>
          <w:rFonts w:hint="eastAsia" w:ascii="宋体" w:hAnsi="宋体"/>
          <w:b/>
          <w:bCs/>
          <w:color w:val="auto"/>
          <w:sz w:val="24"/>
          <w:highlight w:val="none"/>
        </w:rPr>
        <w:t>）</w:t>
      </w:r>
      <w:r>
        <w:rPr>
          <w:rFonts w:hint="eastAsia" w:ascii="宋体" w:hAnsi="宋体"/>
          <w:color w:val="auto"/>
          <w:sz w:val="24"/>
          <w:highlight w:val="none"/>
        </w:rPr>
        <w:t>；</w:t>
      </w:r>
    </w:p>
    <w:p w14:paraId="12C63A7D">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4</w:t>
      </w:r>
      <w:r>
        <w:rPr>
          <w:rFonts w:hint="eastAsia" w:ascii="宋体" w:hAnsi="宋体"/>
          <w:color w:val="auto"/>
          <w:sz w:val="24"/>
          <w:highlight w:val="none"/>
        </w:rPr>
        <w:t>）承诺函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2498CC7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054D4EC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6</w:t>
      </w:r>
      <w:r>
        <w:rPr>
          <w:rFonts w:hint="eastAsia" w:ascii="宋体" w:hAnsi="宋体"/>
          <w:color w:val="auto"/>
          <w:sz w:val="24"/>
          <w:highlight w:val="none"/>
        </w:rPr>
        <w:t>）项目管理机构配备情况表及主要人员简历表</w:t>
      </w:r>
      <w:r>
        <w:rPr>
          <w:rFonts w:hint="eastAsia" w:ascii="宋体" w:hAnsi="宋体"/>
          <w:color w:val="auto"/>
          <w:sz w:val="24"/>
          <w:highlight w:val="none"/>
          <w:lang w:eastAsia="zh-CN"/>
        </w:rPr>
        <w:t>，</w:t>
      </w:r>
      <w:r>
        <w:rPr>
          <w:rFonts w:hint="eastAsia" w:ascii="宋体" w:hAnsi="宋体" w:cs="宋体"/>
          <w:color w:val="auto"/>
          <w:sz w:val="24"/>
          <w:highlight w:val="none"/>
        </w:rPr>
        <w:t>同时提供拟投入本项目的项目经理无在建、已中标（成交）未开工或已列为其他项目中标（成交）候选人第一名的情况的承诺函（格式自拟）</w:t>
      </w:r>
      <w:r>
        <w:rPr>
          <w:rFonts w:hint="eastAsia" w:ascii="宋体" w:hAnsi="宋体"/>
          <w:b/>
          <w:color w:val="auto"/>
          <w:sz w:val="24"/>
          <w:highlight w:val="none"/>
        </w:rPr>
        <w:t>（根据采购需求相关要求提供，格式自拟，必须提供）</w:t>
      </w:r>
      <w:r>
        <w:rPr>
          <w:rFonts w:hint="eastAsia" w:ascii="宋体" w:hAnsi="宋体"/>
          <w:color w:val="auto"/>
          <w:sz w:val="24"/>
          <w:highlight w:val="none"/>
        </w:rPr>
        <w:t>；</w:t>
      </w:r>
    </w:p>
    <w:p w14:paraId="50BEE4EF">
      <w:pPr>
        <w:numPr>
          <w:ilvl w:val="0"/>
          <w:numId w:val="0"/>
        </w:numPr>
        <w:adjustRightInd w:val="0"/>
        <w:snapToGrid w:val="0"/>
        <w:spacing w:line="360" w:lineRule="auto"/>
        <w:ind w:firstLine="480" w:firstLineChars="200"/>
        <w:rPr>
          <w:rFonts w:ascii="宋体" w:hAnsi="宋体"/>
          <w:color w:val="auto"/>
          <w:sz w:val="24"/>
          <w:highlight w:val="none"/>
        </w:rPr>
      </w:pPr>
      <w:r>
        <w:rPr>
          <w:rFonts w:ascii="宋体" w:hAnsi="宋体" w:eastAsia="宋体" w:cs="Times New Roman"/>
          <w:color w:val="auto"/>
          <w:kern w:val="2"/>
          <w:sz w:val="24"/>
          <w:szCs w:val="24"/>
          <w:highlight w:val="none"/>
          <w:lang w:val="en-US" w:eastAsia="zh-CN" w:bidi="ar-SA"/>
        </w:rPr>
        <w:t>（</w:t>
      </w:r>
      <w:r>
        <w:rPr>
          <w:rFonts w:hint="eastAsia" w:ascii="宋体" w:hAnsi="宋体" w:cs="Times New Roman"/>
          <w:color w:val="auto"/>
          <w:kern w:val="2"/>
          <w:sz w:val="24"/>
          <w:szCs w:val="24"/>
          <w:highlight w:val="none"/>
          <w:lang w:val="en-US" w:eastAsia="zh-CN" w:bidi="ar-SA"/>
        </w:rPr>
        <w:t>7</w:t>
      </w:r>
      <w:r>
        <w:rPr>
          <w:rFonts w:ascii="宋体" w:hAnsi="宋体" w:eastAsia="宋体" w:cs="Times New Roman"/>
          <w:color w:val="auto"/>
          <w:kern w:val="2"/>
          <w:sz w:val="24"/>
          <w:szCs w:val="24"/>
          <w:highlight w:val="none"/>
          <w:lang w:val="en-US" w:eastAsia="zh-CN" w:bidi="ar-SA"/>
        </w:rPr>
        <w:t>）</w:t>
      </w:r>
      <w:r>
        <w:rPr>
          <w:rFonts w:hint="eastAsia" w:ascii="宋体" w:hAnsi="宋体" w:cs="宋体"/>
          <w:snapToGrid w:val="0"/>
          <w:color w:val="auto"/>
          <w:spacing w:val="-1"/>
          <w:kern w:val="0"/>
          <w:sz w:val="24"/>
          <w:highlight w:val="none"/>
        </w:rPr>
        <w:t>拟分包项目情况表（格式见第三章）；（如有）</w:t>
      </w:r>
    </w:p>
    <w:p w14:paraId="5E27A9C1">
      <w:pPr>
        <w:adjustRightInd w:val="0"/>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w:t>
      </w:r>
      <w:r>
        <w:rPr>
          <w:rFonts w:hint="eastAsia" w:ascii="宋体" w:hAnsi="宋体"/>
          <w:color w:val="auto"/>
          <w:sz w:val="24"/>
          <w:highlight w:val="none"/>
          <w:lang w:val="en-US" w:eastAsia="zh-CN"/>
        </w:rPr>
        <w:t>8</w:t>
      </w:r>
      <w:r>
        <w:rPr>
          <w:rFonts w:hint="eastAsia" w:ascii="宋体" w:hAnsi="宋体"/>
          <w:color w:val="auto"/>
          <w:sz w:val="24"/>
          <w:highlight w:val="none"/>
        </w:rPr>
        <w:t>）建设工程项目管理承诺书</w:t>
      </w:r>
      <w:r>
        <w:rPr>
          <w:rFonts w:hint="eastAsia" w:ascii="宋体" w:hAnsi="宋体"/>
          <w:b/>
          <w:color w:val="auto"/>
          <w:sz w:val="24"/>
          <w:highlight w:val="none"/>
        </w:rPr>
        <w:t>（必须提供，格式见第三章）</w:t>
      </w:r>
      <w:r>
        <w:rPr>
          <w:rFonts w:hint="eastAsia" w:ascii="宋体" w:hAnsi="宋体"/>
          <w:b/>
          <w:color w:val="auto"/>
          <w:sz w:val="24"/>
          <w:highlight w:val="none"/>
          <w:lang w:eastAsia="zh-CN"/>
        </w:rPr>
        <w:t>；</w:t>
      </w:r>
    </w:p>
    <w:p w14:paraId="419F116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9</w:t>
      </w:r>
      <w:r>
        <w:rPr>
          <w:rFonts w:hint="eastAsia" w:ascii="宋体" w:hAnsi="宋体"/>
          <w:color w:val="auto"/>
          <w:sz w:val="24"/>
          <w:highlight w:val="none"/>
        </w:rPr>
        <w:t>）供应商负责过与本项目相类似的成功案例和经验（如有，需提供合同复印件）；</w:t>
      </w:r>
    </w:p>
    <w:p w14:paraId="1ACDCB26">
      <w:pPr>
        <w:adjustRightInd w:val="0"/>
        <w:snapToGri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w:t>
      </w:r>
      <w:r>
        <w:rPr>
          <w:rFonts w:hint="eastAsia" w:ascii="宋体" w:hAnsi="宋体"/>
          <w:color w:val="auto"/>
          <w:sz w:val="24"/>
          <w:highlight w:val="none"/>
          <w:lang w:val="en-US" w:eastAsia="zh-CN"/>
        </w:rPr>
        <w:t>10</w:t>
      </w:r>
      <w:r>
        <w:rPr>
          <w:rFonts w:hint="eastAsia" w:ascii="宋体" w:hAnsi="宋体"/>
          <w:color w:val="auto"/>
          <w:sz w:val="24"/>
          <w:highlight w:val="none"/>
        </w:rPr>
        <w:t>）采购需求要求提供的材料</w:t>
      </w:r>
      <w:r>
        <w:rPr>
          <w:rFonts w:hint="eastAsia" w:ascii="宋体" w:hAnsi="宋体"/>
          <w:b/>
          <w:bCs/>
          <w:color w:val="auto"/>
          <w:sz w:val="24"/>
          <w:highlight w:val="none"/>
        </w:rPr>
        <w:t>（格式自拟，如有要求则提供）</w:t>
      </w:r>
      <w:r>
        <w:rPr>
          <w:rFonts w:hint="eastAsia" w:ascii="宋体" w:hAnsi="宋体"/>
          <w:b/>
          <w:bCs/>
          <w:color w:val="auto"/>
          <w:sz w:val="24"/>
          <w:highlight w:val="none"/>
          <w:lang w:eastAsia="zh-CN"/>
        </w:rPr>
        <w:t>；</w:t>
      </w:r>
    </w:p>
    <w:p w14:paraId="2D78F84C">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1</w:t>
      </w:r>
      <w:r>
        <w:rPr>
          <w:rFonts w:hint="eastAsia" w:ascii="宋体" w:hAnsi="宋体"/>
          <w:color w:val="auto"/>
          <w:sz w:val="24"/>
          <w:highlight w:val="none"/>
        </w:rPr>
        <w:t>）具备履行合同所必需的设备和专业技术能力的证明材料</w:t>
      </w:r>
      <w:r>
        <w:rPr>
          <w:rFonts w:hint="eastAsia" w:ascii="宋体" w:hAnsi="宋体"/>
          <w:b/>
          <w:color w:val="auto"/>
          <w:sz w:val="24"/>
          <w:highlight w:val="none"/>
        </w:rPr>
        <w:t>；</w:t>
      </w:r>
    </w:p>
    <w:p w14:paraId="40D54CF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2</w:t>
      </w:r>
      <w:r>
        <w:rPr>
          <w:rFonts w:hint="eastAsia" w:ascii="宋体" w:hAnsi="宋体"/>
          <w:color w:val="auto"/>
          <w:sz w:val="24"/>
          <w:highlight w:val="none"/>
        </w:rPr>
        <w:t>）磋商供应商认为需要提供的有关资料。</w:t>
      </w:r>
    </w:p>
    <w:p w14:paraId="42E50DB6">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若磋商文件中有专门标注的某关联点</w:t>
      </w:r>
      <w:r>
        <w:rPr>
          <w:rFonts w:hint="eastAsia" w:ascii="宋体" w:hAnsi="宋体"/>
          <w:b/>
          <w:color w:val="auto"/>
          <w:sz w:val="24"/>
          <w:highlight w:val="none"/>
        </w:rPr>
        <w:t>，</w:t>
      </w:r>
      <w:r>
        <w:rPr>
          <w:rFonts w:ascii="宋体" w:hAnsi="宋体"/>
          <w:b/>
          <w:color w:val="auto"/>
          <w:sz w:val="24"/>
          <w:highlight w:val="none"/>
        </w:rPr>
        <w:t>并要求供应商在电子投标系统中作出磋商响应的，如供应商未对关联点进行响应或者在响应文件其它内容进行描述，造成电子评审不能查询的责任由供应商自行承担。</w:t>
      </w:r>
    </w:p>
    <w:p w14:paraId="73F95655">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）磋商文件要求提供的各种复印件，必须加盖磋商供应商CA签章，否则其磋商无效。</w:t>
      </w:r>
    </w:p>
    <w:p w14:paraId="146165FA">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）磋商文件要求“必须提供”的证明等材料，磋商供应商必须全部提供，缺一不可，否则磋商无效。</w:t>
      </w:r>
    </w:p>
    <w:p w14:paraId="086C045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5489294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271554CC">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1E91FF3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9.1对于本文件中未列明，而供应商认为必需的费用也需列入总报价。在合同实施时，采购人将不予支付成交供应商没有列入的项目费用，并认为此项目的费用已包括在总报价中。</w:t>
      </w:r>
    </w:p>
    <w:p w14:paraId="24869CE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546FEB8C">
      <w:pPr>
        <w:pStyle w:val="26"/>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9.3供应商应用大写和小写分别详细填写基础指标报价表。大写和小写不一致的，以大写为准；对不同文字文本竞争性磋商响应文件的解释发生异议的，以中文文本为准。除上述原因以外，如果因供应商原因引起的报价失误，并在磋商时被接受，其后果由供应商自负。</w:t>
      </w:r>
    </w:p>
    <w:p w14:paraId="2396313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4D82D1E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四、竞争性磋商响应文件的封装和递交</w:t>
      </w:r>
    </w:p>
    <w:p w14:paraId="70CCABE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竞争性磋商响应文件的封装</w:t>
      </w:r>
    </w:p>
    <w:p w14:paraId="1270047F">
      <w:pPr>
        <w:pStyle w:val="26"/>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磋商</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磋商</w:t>
      </w:r>
      <w:r>
        <w:rPr>
          <w:rFonts w:hAnsi="宋体"/>
          <w:color w:val="auto"/>
          <w:sz w:val="24"/>
          <w:szCs w:val="24"/>
          <w:highlight w:val="none"/>
        </w:rPr>
        <w:t>文件规定的格式和顺序编制电子</w:t>
      </w:r>
      <w:r>
        <w:rPr>
          <w:rFonts w:hint="eastAsia" w:hAnsi="宋体"/>
          <w:color w:val="auto"/>
          <w:sz w:val="24"/>
          <w:szCs w:val="24"/>
          <w:highlight w:val="none"/>
        </w:rPr>
        <w:t>磋商</w:t>
      </w:r>
      <w:r>
        <w:rPr>
          <w:rFonts w:hAnsi="宋体"/>
          <w:color w:val="auto"/>
          <w:sz w:val="24"/>
          <w:szCs w:val="24"/>
          <w:highlight w:val="none"/>
        </w:rPr>
        <w:t>响应文件并进行关联定位，以便</w:t>
      </w:r>
      <w:r>
        <w:rPr>
          <w:rFonts w:hint="eastAsia" w:hAnsi="宋体"/>
          <w:color w:val="auto"/>
          <w:sz w:val="24"/>
          <w:szCs w:val="24"/>
          <w:highlight w:val="none"/>
        </w:rPr>
        <w:t>磋商小组</w:t>
      </w:r>
      <w:r>
        <w:rPr>
          <w:rFonts w:hAnsi="宋体"/>
          <w:color w:val="auto"/>
          <w:sz w:val="24"/>
          <w:szCs w:val="24"/>
          <w:highlight w:val="none"/>
        </w:rPr>
        <w:t>在评</w:t>
      </w:r>
      <w:r>
        <w:rPr>
          <w:rFonts w:hint="eastAsia" w:hAnsi="宋体"/>
          <w:color w:val="auto"/>
          <w:sz w:val="24"/>
          <w:szCs w:val="24"/>
          <w:highlight w:val="none"/>
          <w:lang w:val="en-US" w:eastAsia="zh-CN"/>
        </w:rPr>
        <w:t>审</w:t>
      </w:r>
      <w:r>
        <w:rPr>
          <w:rFonts w:hAnsi="宋体"/>
          <w:color w:val="auto"/>
          <w:sz w:val="24"/>
          <w:szCs w:val="24"/>
          <w:highlight w:val="none"/>
        </w:rPr>
        <w:t>时，点击评分项可直接定位到该评分项内容。如对</w:t>
      </w:r>
      <w:r>
        <w:rPr>
          <w:rFonts w:hint="eastAsia" w:hAnsi="宋体"/>
          <w:color w:val="auto"/>
          <w:sz w:val="24"/>
          <w:szCs w:val="24"/>
          <w:highlight w:val="none"/>
        </w:rPr>
        <w:t>磋商</w:t>
      </w:r>
      <w:r>
        <w:rPr>
          <w:rFonts w:hAnsi="宋体"/>
          <w:color w:val="auto"/>
          <w:sz w:val="24"/>
          <w:szCs w:val="24"/>
          <w:highlight w:val="none"/>
        </w:rPr>
        <w:t>文件的某项要求，供应商的电子</w:t>
      </w:r>
      <w:r>
        <w:rPr>
          <w:rFonts w:hint="eastAsia" w:hAnsi="宋体"/>
          <w:color w:val="auto"/>
          <w:sz w:val="24"/>
          <w:szCs w:val="24"/>
          <w:highlight w:val="none"/>
        </w:rPr>
        <w:t>磋商</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磋商小组</w:t>
      </w:r>
      <w:r>
        <w:rPr>
          <w:rFonts w:hAnsi="宋体"/>
          <w:color w:val="auto"/>
          <w:sz w:val="24"/>
          <w:szCs w:val="24"/>
          <w:highlight w:val="none"/>
        </w:rPr>
        <w:t>在评审时如做出对供应商不利的评审由供应商自行承担。电子</w:t>
      </w:r>
      <w:r>
        <w:rPr>
          <w:rFonts w:hint="eastAsia" w:hAnsi="宋体"/>
          <w:color w:val="auto"/>
          <w:sz w:val="24"/>
          <w:szCs w:val="24"/>
          <w:highlight w:val="none"/>
        </w:rPr>
        <w:t>磋商</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编排混乱导致磋商响应文件被误读、 漏读，或者在按采购文件规定的部位查找不到相关内容的，由供应商自行承担。</w:t>
      </w:r>
    </w:p>
    <w:p w14:paraId="405D0F34">
      <w:pPr>
        <w:pStyle w:val="26"/>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w:t>
      </w:r>
      <w:r>
        <w:rPr>
          <w:rFonts w:hAnsi="宋体"/>
          <w:color w:val="auto"/>
          <w:sz w:val="24"/>
          <w:szCs w:val="24"/>
          <w:highlight w:val="none"/>
        </w:rPr>
        <w:t>磋商响应文件不得涂改，若有修改错漏处，须法定代表人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w:t>
      </w:r>
      <w:r>
        <w:rPr>
          <w:rFonts w:hAnsi="宋体"/>
          <w:color w:val="auto"/>
          <w:sz w:val="24"/>
          <w:szCs w:val="24"/>
          <w:highlight w:val="none"/>
        </w:rPr>
        <w:t>磋商响应文件因字迹潦草或表达不清所引起的后果由供应商负责。</w:t>
      </w:r>
    </w:p>
    <w:p w14:paraId="74652DF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竞争性磋商响应文件的递交</w:t>
      </w:r>
    </w:p>
    <w:p w14:paraId="314BD92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11.1所有竞争性磋商响应文件应于竞争性磋商文件中规定的时间前</w:t>
      </w:r>
      <w:r>
        <w:rPr>
          <w:rFonts w:ascii="宋体" w:hAnsi="宋体"/>
          <w:color w:val="auto"/>
          <w:sz w:val="24"/>
          <w:highlight w:val="none"/>
        </w:rPr>
        <w:t>上传递交至广西政府采购云平台。</w:t>
      </w:r>
    </w:p>
    <w:p w14:paraId="6EF98164">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磋商</w:t>
      </w:r>
      <w:r>
        <w:rPr>
          <w:rFonts w:ascii="宋体" w:hAnsi="宋体"/>
          <w:b/>
          <w:color w:val="auto"/>
          <w:sz w:val="24"/>
          <w:highlight w:val="none"/>
        </w:rPr>
        <w:t>文件的相关说明</w:t>
      </w:r>
    </w:p>
    <w:p w14:paraId="1813B58C">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（1）供应商进行电子</w:t>
      </w:r>
      <w:r>
        <w:rPr>
          <w:rFonts w:hint="eastAsia" w:ascii="宋体" w:hAnsi="宋体"/>
          <w:b/>
          <w:color w:val="auto"/>
          <w:sz w:val="24"/>
          <w:highlight w:val="none"/>
        </w:rPr>
        <w:t>磋商</w:t>
      </w:r>
      <w:r>
        <w:rPr>
          <w:rFonts w:ascii="宋体" w:hAnsi="宋体"/>
          <w:b/>
          <w:color w:val="auto"/>
          <w:sz w:val="24"/>
          <w:highlight w:val="none"/>
        </w:rPr>
        <w:t>应安装客户端软件，并按照采购文件和电子交易平台的要求编制并加密磋商响应文件。供应商未按规定加密的磋商响应文件，电子交易平台将拒收。供应商应当在磋商截止时间前完成磋商响应文件的传输递交，并可以补充、修改或者撤回磋商响应文件。补充或者修改磋商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补充、修改后重新传输递交。磋商截止时间前未完成传输的，视为撤回磋商响应文件。磋商截止时间后递交的磋商响应文件，电子交易平台将拒收。</w:t>
      </w:r>
    </w:p>
    <w:p w14:paraId="0CADCE4E">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）如有特殊情况，采购代理机构延长截止时间和开标时间，采购代理机构和供应商的权利和义务将受到新的截止时间和开标时间的约束。</w:t>
      </w:r>
    </w:p>
    <w:p w14:paraId="7CA0188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11.2竞争性磋商响应文件从响应文件递交截止日期后六十日内有效。</w:t>
      </w:r>
    </w:p>
    <w:p w14:paraId="1D62DCB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12.迟交的竞争性磋商响应文件</w:t>
      </w:r>
    </w:p>
    <w:p w14:paraId="0E60F04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12.1在本文件要求竞争性磋商响应文件递交截止时间后送达的竞争性磋商响应文件为无效文件，本代理机构将拒收。</w:t>
      </w:r>
    </w:p>
    <w:p w14:paraId="70DB5543">
      <w:pPr>
        <w:spacing w:line="360" w:lineRule="auto"/>
        <w:ind w:firstLine="480" w:firstLineChars="200"/>
        <w:rPr>
          <w:rFonts w:ascii="宋体" w:hAnsi="宋体" w:cs="宋体"/>
          <w:b/>
          <w:snapToGrid w:val="0"/>
          <w:color w:val="auto"/>
          <w:highlight w:val="none"/>
        </w:rPr>
      </w:pPr>
      <w:r>
        <w:rPr>
          <w:rFonts w:hint="eastAsia" w:ascii="宋体" w:hAnsi="宋体"/>
          <w:color w:val="auto"/>
          <w:sz w:val="24"/>
          <w:highlight w:val="none"/>
        </w:rPr>
        <w:t>13.</w:t>
      </w:r>
      <w:r>
        <w:rPr>
          <w:rFonts w:hint="eastAsia" w:ascii="宋体" w:hAnsi="宋体" w:cs="宋体"/>
          <w:b/>
          <w:snapToGrid w:val="0"/>
          <w:color w:val="auto"/>
          <w:kern w:val="28"/>
          <w:sz w:val="24"/>
          <w:highlight w:val="none"/>
        </w:rPr>
        <w:t xml:space="preserve"> 磋商保证金</w:t>
      </w:r>
    </w:p>
    <w:p w14:paraId="09B47A4E">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13.1</w:t>
      </w:r>
      <w:r>
        <w:rPr>
          <w:rFonts w:hint="eastAsia" w:hAnsi="宋体" w:cs="宋体"/>
          <w:color w:val="auto"/>
          <w:sz w:val="24"/>
          <w:highlight w:val="none"/>
        </w:rPr>
        <w:t>采购人在采购文件中要求提交</w:t>
      </w:r>
      <w:r>
        <w:rPr>
          <w:rFonts w:hint="eastAsia" w:ascii="宋体" w:hAnsi="宋体" w:cs="宋体"/>
          <w:color w:val="auto"/>
          <w:sz w:val="24"/>
          <w:highlight w:val="none"/>
        </w:rPr>
        <w:t>磋商</w:t>
      </w:r>
      <w:r>
        <w:rPr>
          <w:rFonts w:hint="eastAsia" w:hAnsi="宋体" w:cs="宋体"/>
          <w:color w:val="auto"/>
          <w:sz w:val="24"/>
          <w:highlight w:val="none"/>
        </w:rPr>
        <w:t>保证金的，</w:t>
      </w:r>
      <w:r>
        <w:rPr>
          <w:rFonts w:hint="eastAsia" w:ascii="宋体" w:hAnsi="宋体" w:cs="宋体"/>
          <w:color w:val="auto"/>
          <w:sz w:val="24"/>
          <w:highlight w:val="none"/>
        </w:rPr>
        <w:t>磋商</w:t>
      </w:r>
      <w:r>
        <w:rPr>
          <w:rFonts w:hint="eastAsia" w:hAnsi="宋体" w:cs="宋体"/>
          <w:color w:val="auto"/>
          <w:sz w:val="24"/>
          <w:highlight w:val="none"/>
        </w:rPr>
        <w:t>保证金的数额不得超过采购项目预算金额的1%，鼓励对诚信记录良好的供应商免收或者减少收取</w:t>
      </w:r>
      <w:r>
        <w:rPr>
          <w:rFonts w:hint="eastAsia" w:ascii="宋体" w:hAnsi="宋体" w:cs="宋体"/>
          <w:color w:val="auto"/>
          <w:sz w:val="24"/>
          <w:highlight w:val="none"/>
        </w:rPr>
        <w:t>磋商</w:t>
      </w:r>
      <w:r>
        <w:rPr>
          <w:rFonts w:hint="eastAsia" w:hAnsi="宋体" w:cs="宋体"/>
          <w:color w:val="auto"/>
          <w:sz w:val="24"/>
          <w:highlight w:val="none"/>
        </w:rPr>
        <w:t>保证金，对于需要收取保证金的政府采购项目，政府采购信用白名单供应商可以免于缴纳保证金，降低信用白名单供应商参与政府采购活动成本。</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保证金应当以支票、汇票、本票或者金融机构、担保机构出具的保函等非现金形式提交。</w:t>
      </w:r>
    </w:p>
    <w:p w14:paraId="3052CBA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磋商保证金收取银行账户</w:t>
      </w:r>
    </w:p>
    <w:p w14:paraId="2CBD218C">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68DC6A89">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507F618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0779FA5A">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13.2</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在响应文件提交截止时间前撤回已提交的响应文件的，采购人或者采购代理机构应当自收到</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书面撤回通知之日起５个工作日内，退还已收取的</w:t>
      </w:r>
      <w:r>
        <w:rPr>
          <w:rFonts w:hint="eastAsia" w:ascii="宋体" w:hAnsi="宋体" w:cs="宋体"/>
          <w:color w:val="auto"/>
          <w:sz w:val="24"/>
          <w:highlight w:val="none"/>
        </w:rPr>
        <w:t>磋商</w:t>
      </w:r>
      <w:r>
        <w:rPr>
          <w:rFonts w:hint="eastAsia" w:ascii="宋体" w:hAnsi="宋体" w:cs="宋体"/>
          <w:snapToGrid w:val="0"/>
          <w:color w:val="auto"/>
          <w:kern w:val="28"/>
          <w:sz w:val="24"/>
          <w:szCs w:val="20"/>
          <w:highlight w:val="none"/>
        </w:rPr>
        <w:t>保证金，但因</w:t>
      </w:r>
      <w:r>
        <w:rPr>
          <w:rFonts w:hint="eastAsia" w:ascii="宋体" w:hAnsi="宋体" w:cs="宋体"/>
          <w:color w:val="auto"/>
          <w:sz w:val="24"/>
          <w:highlight w:val="none"/>
        </w:rPr>
        <w:t>磋商供应商</w:t>
      </w:r>
      <w:r>
        <w:rPr>
          <w:rFonts w:hint="eastAsia" w:ascii="宋体" w:hAnsi="宋体" w:cs="宋体"/>
          <w:snapToGrid w:val="0"/>
          <w:color w:val="auto"/>
          <w:kern w:val="28"/>
          <w:sz w:val="24"/>
          <w:szCs w:val="20"/>
          <w:highlight w:val="none"/>
        </w:rPr>
        <w:t>自身原因导致无法及时退还的除外。</w:t>
      </w:r>
    </w:p>
    <w:p w14:paraId="319B417C">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采购人或者采购代理机构应当自成交通知书发出之日起5个工作日内退还未成交供应商的磋商保证金，自采购合同签订之日起5个工作日内退还成交供应商的磋商保证金或者转为成交供应商的履约保证金。</w:t>
      </w:r>
    </w:p>
    <w:p w14:paraId="0F1D9A11">
      <w:pPr>
        <w:widowControl/>
        <w:adjustRightInd w:val="0"/>
        <w:snapToGrid w:val="0"/>
        <w:spacing w:line="360" w:lineRule="auto"/>
        <w:ind w:firstLine="470" w:firstLineChars="196"/>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采购人或者采购代理机构逾期退还磋商保证金的，除应当退还磋商保证金本金外，还应当按中国人民银行同期贷款基准利率上浮20％后的利率支付超期资金占用费，但因磋商供应商自身原因导致无法及时退还的除外。</w:t>
      </w:r>
    </w:p>
    <w:p w14:paraId="5F80264E">
      <w:pPr>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snapToGrid w:val="0"/>
          <w:color w:val="auto"/>
          <w:kern w:val="28"/>
          <w:sz w:val="24"/>
          <w:szCs w:val="20"/>
          <w:highlight w:val="none"/>
        </w:rPr>
        <w:t>13.3有下列情形之一的，磋商保证金不予退还：（一）供应商在提交响应文件截止时间后撤回响应文件的，但在提交最后报价之前退出磋商的情况除</w:t>
      </w:r>
      <w:r>
        <w:rPr>
          <w:rFonts w:hint="eastAsia" w:ascii="宋体" w:hAnsi="宋体" w:cs="宋体"/>
          <w:snapToGrid w:val="0"/>
          <w:color w:val="auto"/>
          <w:kern w:val="28"/>
          <w:sz w:val="24"/>
          <w:szCs w:val="20"/>
          <w:highlight w:val="none"/>
          <w:lang w:val="en-US" w:eastAsia="zh-CN"/>
        </w:rPr>
        <w:t>外</w:t>
      </w:r>
      <w:r>
        <w:rPr>
          <w:rFonts w:hint="eastAsia" w:ascii="宋体" w:hAnsi="宋体" w:cs="宋体"/>
          <w:snapToGrid w:val="0"/>
          <w:color w:val="auto"/>
          <w:kern w:val="28"/>
          <w:sz w:val="24"/>
          <w:szCs w:val="20"/>
          <w:highlight w:val="none"/>
        </w:rPr>
        <w:t>；（二）供应商在响应文件中提供虚假材料的；（三）除因不可抗力或磋商文件认可的情形以外，成交供应商不与采购人签订合同的；（四）供应商与采购人、其他供应商或者采购代理机构恶意串通的；（五）磋商文件规定的其他情形。</w:t>
      </w:r>
    </w:p>
    <w:p w14:paraId="2D1D63D3">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磋</w:t>
      </w:r>
      <w:r>
        <w:rPr>
          <w:rFonts w:hint="eastAsia" w:ascii="宋体" w:hAnsi="宋体"/>
          <w:b/>
          <w:bCs/>
          <w:color w:val="auto"/>
          <w:sz w:val="24"/>
          <w:highlight w:val="none"/>
        </w:rPr>
        <w:t>商程序及评审方法</w:t>
      </w:r>
    </w:p>
    <w:p w14:paraId="7FE6012C">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14．磋商程序</w:t>
      </w:r>
    </w:p>
    <w:p w14:paraId="33C0510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14.1磋商截止时间后，主持人宣布磋商开始。</w:t>
      </w:r>
    </w:p>
    <w:p w14:paraId="2982027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14.2供应商登录广西政府采购云平台，用“项目采购-开标评标”功能对电子磋商响应文件进行在线解密。在线解密电子磋商响应文件时间为开标时间起半小时内。</w:t>
      </w:r>
    </w:p>
    <w:p w14:paraId="089E2BDB">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14.3磋商小组对磋商响应文件进行评估和比较。</w:t>
      </w:r>
    </w:p>
    <w:p w14:paraId="67C1B1E8">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14.4以广西政府采购云平台中“项目采购”应用模块获取磋商文件顺序确定各供应商磋商、顺序。</w:t>
      </w:r>
    </w:p>
    <w:p w14:paraId="44489049">
      <w:pPr>
        <w:pStyle w:val="26"/>
        <w:adjustRightInd w:val="0"/>
        <w:snapToGrid w:val="0"/>
        <w:spacing w:line="360" w:lineRule="auto"/>
        <w:ind w:firstLine="480" w:firstLineChars="200"/>
        <w:rPr>
          <w:rFonts w:hint="eastAsia" w:hAnsi="宋体" w:eastAsia="宋体" w:cs="Times New Roman"/>
          <w:color w:val="auto"/>
          <w:sz w:val="24"/>
          <w:szCs w:val="24"/>
          <w:highlight w:val="none"/>
          <w:lang w:eastAsia="zh-CN"/>
        </w:rPr>
      </w:pPr>
      <w:r>
        <w:rPr>
          <w:rFonts w:hint="eastAsia" w:hAnsi="宋体" w:cs="Times New Roman"/>
          <w:color w:val="auto"/>
          <w:sz w:val="24"/>
          <w:szCs w:val="24"/>
          <w:highlight w:val="none"/>
        </w:rPr>
        <w:t>14.5磋商小组与单一供应商分别进行磋商。（磋商时供应商的技术资料、价格和其他信息在评审、磋商过程中保密）</w:t>
      </w:r>
      <w:r>
        <w:rPr>
          <w:rFonts w:hint="eastAsia" w:hAnsi="宋体" w:cs="Times New Roman"/>
          <w:color w:val="auto"/>
          <w:sz w:val="24"/>
          <w:szCs w:val="24"/>
          <w:highlight w:val="none"/>
          <w:lang w:eastAsia="zh-CN"/>
        </w:rPr>
        <w:t>。</w:t>
      </w:r>
    </w:p>
    <w:p w14:paraId="29E6F08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14.6磋商小组要求所有实质性响应的供应商在规定时间内提交最后报价（只公开最后报价，最后报价不得高于初次报价）。</w:t>
      </w:r>
    </w:p>
    <w:p w14:paraId="6304B2B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14.7由磋商小组采用综合评分法对提交最后报价的供应商的响应文件和最后报价进行综合评审，在符合采购需求、质量和服务要求的前提下，按评审得分从高到低顺序推荐确定成交候选供应商。</w:t>
      </w:r>
    </w:p>
    <w:p w14:paraId="3DBC30F0">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特别说明：广西政府采购云平台如对电子化磋商及评审程序有调整的，按调整后的程序操作。</w:t>
      </w:r>
    </w:p>
    <w:p w14:paraId="13C6BD5C">
      <w:pPr>
        <w:pStyle w:val="26"/>
        <w:adjustRightInd w:val="0"/>
        <w:snapToGrid w:val="0"/>
        <w:spacing w:line="360" w:lineRule="auto"/>
        <w:ind w:firstLine="480" w:firstLineChars="200"/>
        <w:rPr>
          <w:rFonts w:hint="eastAsia"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14.8重新开展采购活动</w:t>
      </w:r>
    </w:p>
    <w:p w14:paraId="36AD49C2">
      <w:pPr>
        <w:pStyle w:val="26"/>
        <w:adjustRightInd w:val="0"/>
        <w:snapToGrid w:val="0"/>
        <w:spacing w:line="360" w:lineRule="auto"/>
        <w:ind w:firstLine="480" w:firstLineChars="200"/>
        <w:rPr>
          <w:rFonts w:hint="eastAsia"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 xml:space="preserve"> 出现下列情形之一的，采购代理机构应当终止竞争性磋商采购活动，通过电子交易平台发布项目终止公告并说明原因，重新开展采购活动：</w:t>
      </w:r>
    </w:p>
    <w:p w14:paraId="7531BAD6">
      <w:pPr>
        <w:pStyle w:val="26"/>
        <w:adjustRightInd w:val="0"/>
        <w:snapToGrid w:val="0"/>
        <w:spacing w:line="360" w:lineRule="auto"/>
        <w:ind w:firstLine="480" w:firstLineChars="200"/>
        <w:rPr>
          <w:rFonts w:hint="eastAsia"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（1）因情况变化，不再符合规定的竞争性磋商采购方式适用情形的；</w:t>
      </w:r>
    </w:p>
    <w:p w14:paraId="6DD79DD8">
      <w:pPr>
        <w:pStyle w:val="26"/>
        <w:adjustRightInd w:val="0"/>
        <w:snapToGrid w:val="0"/>
        <w:spacing w:line="360" w:lineRule="auto"/>
        <w:ind w:firstLine="480" w:firstLineChars="200"/>
        <w:rPr>
          <w:rFonts w:hint="eastAsia"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（2）出现影响采购公正的违法、违规行为的；</w:t>
      </w:r>
    </w:p>
    <w:p w14:paraId="271C49C6">
      <w:pPr>
        <w:pStyle w:val="26"/>
        <w:adjustRightInd w:val="0"/>
        <w:snapToGrid w:val="0"/>
        <w:spacing w:line="360" w:lineRule="auto"/>
        <w:ind w:firstLine="480" w:firstLineChars="200"/>
        <w:rPr>
          <w:rFonts w:hint="eastAsia"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（3）在采购过程中符合要求的供应商或者最后报价未超过采购预算的供应商不足3家的（有特殊规定的从其规定）。</w:t>
      </w:r>
    </w:p>
    <w:p w14:paraId="2F190623">
      <w:pPr>
        <w:pStyle w:val="26"/>
        <w:adjustRightInd w:val="0"/>
        <w:snapToGrid w:val="0"/>
        <w:spacing w:line="360" w:lineRule="auto"/>
        <w:ind w:firstLine="480" w:firstLineChars="200"/>
        <w:rPr>
          <w:rFonts w:hint="eastAsia"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14.9终止采购活动</w:t>
      </w:r>
    </w:p>
    <w:p w14:paraId="042AC95D">
      <w:pPr>
        <w:pStyle w:val="26"/>
        <w:adjustRightInd w:val="0"/>
        <w:snapToGrid w:val="0"/>
        <w:spacing w:line="360" w:lineRule="auto"/>
        <w:ind w:firstLine="480" w:firstLineChars="200"/>
        <w:rPr>
          <w:rFonts w:hint="default"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在采购活动中因重大变故，采购任务取消的，采购代理机构将终止采购活动，通过电子交易平台通知所有参加采购活动的供应商，并将项目实施情况和采购任务取消原因报送本级财政部门。</w:t>
      </w:r>
    </w:p>
    <w:p w14:paraId="6CE6E2FE">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15.采购过程中出现以下情形，导致电子交易平台无法正常运行，或者无法保证电子交易的公平、公正和安全时，采购组织机构可中止电子交易活动：</w:t>
      </w:r>
    </w:p>
    <w:p w14:paraId="380852B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15.1电子交易平台发生故障而无法登录访问的； </w:t>
      </w:r>
    </w:p>
    <w:p w14:paraId="2C46791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15.2电子交易平台应用或数据库出现错误，不能进行正常操作的；</w:t>
      </w:r>
    </w:p>
    <w:p w14:paraId="119F7334">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15.3电子交易平台发现严重安全漏洞，有潜在泄密危险的；</w:t>
      </w:r>
    </w:p>
    <w:p w14:paraId="4C75750A">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15.4病毒发作导致不能进行正常操作的； </w:t>
      </w:r>
    </w:p>
    <w:p w14:paraId="5410264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15.5其他无法保证电子交易的公平、公正和安全的情况。</w:t>
      </w:r>
    </w:p>
    <w:p w14:paraId="5D7AA0E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7588CFBB">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16．磋商内容</w:t>
      </w:r>
    </w:p>
    <w:p w14:paraId="66192E7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16.1本次磋商内容为在磋商文件范围内就供应商的磋商响应文件，磋商小组与供应商在技术、价格、服务、合同等问题进行磋商，最终确定成交与否。</w:t>
      </w:r>
    </w:p>
    <w:p w14:paraId="3135DCB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16.2磋商应作书面记录，供应商并就磋商内容作出书面承诺，并由供应商法定代表人或其授权委托人签字后生效，作为磋商响应文件的一部分。</w:t>
      </w:r>
    </w:p>
    <w:p w14:paraId="0017DCA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16.3磋商文件有实质性变动的，磋商小组以书面形式通知所有参加磋商的供应商。</w:t>
      </w:r>
    </w:p>
    <w:p w14:paraId="7FAF139B">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17．磋商</w:t>
      </w:r>
    </w:p>
    <w:p w14:paraId="36C9101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17.1磋商小组由采购人、集中采购机构依法组建，负责评审活动。磋商小组遵循公开、公平、公正、科学合理、竞争择优的原则。</w:t>
      </w:r>
    </w:p>
    <w:p w14:paraId="3DCAD43C">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17.2磋商小组由采购人代表和有关方面专家组成，成员人数为3人以上单数。</w:t>
      </w:r>
    </w:p>
    <w:p w14:paraId="0420552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17.3磋商小组负责对供应商资格的最终审定。</w:t>
      </w:r>
    </w:p>
    <w:p w14:paraId="1A35163E">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17.4磋商小组可以要求供应商对其磋商响应文件中含义不明确的内容作必要的澄清或者说明，但澄清或者说明不得超过磋商响应文件的范围或者改变磋商响应文件的实质性内容。</w:t>
      </w:r>
    </w:p>
    <w:p w14:paraId="1313600A">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17.5磋商小组对磋商响应文件的判定，只依据磋商响应文件和磋商文件内容本身，不依据任何外来证明。</w:t>
      </w:r>
    </w:p>
    <w:p w14:paraId="6C4B1631">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17.6磋商小组不向落标方解释落标的原因，不退还磋商响应文件。</w:t>
      </w:r>
    </w:p>
    <w:p w14:paraId="5A9A0CDC">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18．磋商响应文件的初审鉴定</w:t>
      </w:r>
    </w:p>
    <w:p w14:paraId="165D3D28">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18.1资格性审查</w:t>
      </w:r>
    </w:p>
    <w:p w14:paraId="49571A19">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18.1.1依据法律、法规和磋商文件规定，对磋商响应文件提供的资格证明及通过“信用中国”网站（www.creditchina.gov.cn）</w:t>
      </w:r>
      <w:r>
        <w:rPr>
          <w:rFonts w:hint="eastAsia" w:hAnsi="宋体" w:cs="Times New Roman"/>
          <w:color w:val="auto"/>
          <w:sz w:val="24"/>
          <w:szCs w:val="24"/>
          <w:highlight w:val="none"/>
          <w:lang w:eastAsia="zh-CN"/>
        </w:rPr>
        <w:t>、</w:t>
      </w:r>
      <w:r>
        <w:rPr>
          <w:rFonts w:hint="eastAsia" w:hAnsi="宋体" w:cs="Times New Roman"/>
          <w:color w:val="auto"/>
          <w:sz w:val="24"/>
          <w:szCs w:val="24"/>
          <w:highlight w:val="none"/>
        </w:rPr>
        <w:t>中国政府采购网（www.ccgp.gov.cn）和中国执行信息公开网（https://zxgk.court.gov.cn/）查询的相关供应商主体信用记录（查询截止时点为磋商当日）等进行审查，以确定供应商是否具备磋商资格。</w:t>
      </w:r>
    </w:p>
    <w:p w14:paraId="54C94BAA">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18.2符合性审查</w:t>
      </w:r>
    </w:p>
    <w:p w14:paraId="43FDB24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137FFCD7">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hAnsi="宋体" w:cs="Times New Roman"/>
          <w:color w:val="auto"/>
          <w:sz w:val="24"/>
          <w:szCs w:val="24"/>
          <w:highlight w:val="none"/>
        </w:rPr>
        <w:t>1</w:t>
      </w:r>
      <w:r>
        <w:rPr>
          <w:rFonts w:hint="eastAsia" w:ascii="宋体" w:hAnsi="宋体" w:eastAsia="宋体" w:cs="Times New Roman"/>
          <w:color w:val="auto"/>
          <w:sz w:val="24"/>
          <w:szCs w:val="24"/>
          <w:highlight w:val="none"/>
        </w:rPr>
        <w:t>8.3如果磋商响应文件实质不响应磋商文件的各项要求，磋商小组将予以拒绝，并且不允许供应商通过修改或撤销其不符合要求的差异或保留，使之成为具有响应性的磋商。</w:t>
      </w:r>
    </w:p>
    <w:p w14:paraId="1375ACF8">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18.4</w:t>
      </w:r>
      <w:r>
        <w:rPr>
          <w:rFonts w:hint="eastAsia" w:ascii="宋体" w:hAnsi="宋体" w:eastAsia="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可就</w:t>
      </w:r>
      <w:r>
        <w:rPr>
          <w:rFonts w:hint="eastAsia" w:ascii="宋体" w:hAnsi="宋体" w:eastAsia="宋体" w:cs="Times New Roman"/>
          <w:color w:val="auto"/>
          <w:sz w:val="24"/>
          <w:szCs w:val="24"/>
          <w:highlight w:val="none"/>
          <w:lang w:eastAsia="zh-CN"/>
        </w:rPr>
        <w:t>响应文件</w:t>
      </w:r>
      <w:r>
        <w:rPr>
          <w:rFonts w:hint="eastAsia" w:ascii="宋体" w:hAnsi="宋体" w:eastAsia="宋体" w:cs="Times New Roman"/>
          <w:color w:val="auto"/>
          <w:sz w:val="24"/>
          <w:szCs w:val="24"/>
          <w:highlight w:val="none"/>
        </w:rPr>
        <w:t>中的报价合理性，存在下列报价合理性疑问的，可要求</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作出相应的澄清或说明：</w:t>
      </w:r>
    </w:p>
    <w:p w14:paraId="71FDB005">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对最高</w:t>
      </w:r>
      <w:r>
        <w:rPr>
          <w:rFonts w:hint="eastAsia" w:ascii="宋体" w:hAnsi="宋体" w:eastAsia="宋体" w:cs="Times New Roman"/>
          <w:color w:val="auto"/>
          <w:sz w:val="24"/>
          <w:szCs w:val="24"/>
          <w:highlight w:val="none"/>
          <w:lang w:val="en-US" w:eastAsia="zh-CN"/>
        </w:rPr>
        <w:t>响应报价</w:t>
      </w:r>
      <w:r>
        <w:rPr>
          <w:rFonts w:hint="eastAsia" w:ascii="宋体" w:hAnsi="宋体" w:eastAsia="宋体" w:cs="Times New Roman"/>
          <w:color w:val="auto"/>
          <w:sz w:val="24"/>
          <w:szCs w:val="24"/>
          <w:highlight w:val="none"/>
        </w:rPr>
        <w:t>限价和所有经过初步评审合格后的</w:t>
      </w:r>
      <w:r>
        <w:rPr>
          <w:rFonts w:hint="eastAsia" w:ascii="宋体" w:hAnsi="宋体" w:eastAsia="宋体" w:cs="Times New Roman"/>
          <w:color w:val="auto"/>
          <w:sz w:val="24"/>
          <w:szCs w:val="24"/>
          <w:highlight w:val="none"/>
          <w:lang w:val="en-US" w:eastAsia="zh-CN"/>
        </w:rPr>
        <w:t>响应</w:t>
      </w:r>
      <w:r>
        <w:rPr>
          <w:rFonts w:hint="eastAsia" w:ascii="宋体" w:hAnsi="宋体" w:eastAsia="宋体" w:cs="Times New Roman"/>
          <w:color w:val="auto"/>
          <w:sz w:val="24"/>
          <w:szCs w:val="24"/>
          <w:highlight w:val="none"/>
        </w:rPr>
        <w:t>报价计算出每项分部分项工程量清单综合单价算术平均值，以每项的综合单价算术平均值作为基准值，分部分项工程清单项目的综合单价与基准值相比非合理性偏低或偏高（非合理性偏低或偏高值为30%），可要求</w:t>
      </w:r>
      <w:r>
        <w:rPr>
          <w:rFonts w:hint="eastAsia" w:ascii="宋体" w:hAnsi="宋体" w:eastAsia="宋体" w:cs="Times New Roman"/>
          <w:color w:val="auto"/>
          <w:sz w:val="24"/>
          <w:szCs w:val="24"/>
          <w:highlight w:val="none"/>
          <w:lang w:val="en-US" w:eastAsia="zh-CN"/>
        </w:rPr>
        <w:t>供应商</w:t>
      </w:r>
      <w:r>
        <w:rPr>
          <w:rFonts w:hint="eastAsia" w:ascii="宋体" w:hAnsi="宋体" w:eastAsia="宋体" w:cs="Times New Roman"/>
          <w:color w:val="auto"/>
          <w:sz w:val="24"/>
          <w:szCs w:val="24"/>
          <w:highlight w:val="none"/>
        </w:rPr>
        <w:t>提供证明其所报综合单价不低于成本价或报价合理的支持资料。并要求</w:t>
      </w:r>
      <w:r>
        <w:rPr>
          <w:rFonts w:hint="eastAsia" w:ascii="宋体" w:hAnsi="宋体" w:eastAsia="宋体" w:cs="Times New Roman"/>
          <w:color w:val="auto"/>
          <w:sz w:val="24"/>
          <w:szCs w:val="24"/>
          <w:highlight w:val="none"/>
          <w:lang w:val="en-US" w:eastAsia="zh-CN"/>
        </w:rPr>
        <w:t>供应商</w:t>
      </w:r>
      <w:r>
        <w:rPr>
          <w:rFonts w:hint="eastAsia" w:ascii="宋体" w:hAnsi="宋体" w:eastAsia="宋体" w:cs="Times New Roman"/>
          <w:color w:val="auto"/>
          <w:sz w:val="24"/>
          <w:szCs w:val="24"/>
          <w:highlight w:val="none"/>
        </w:rPr>
        <w:t>在不改变</w:t>
      </w:r>
      <w:r>
        <w:rPr>
          <w:rFonts w:hint="eastAsia" w:ascii="宋体" w:hAnsi="宋体" w:eastAsia="宋体" w:cs="Times New Roman"/>
          <w:color w:val="auto"/>
          <w:sz w:val="24"/>
          <w:szCs w:val="24"/>
          <w:highlight w:val="none"/>
          <w:lang w:eastAsia="zh-CN"/>
        </w:rPr>
        <w:t>响应</w:t>
      </w:r>
      <w:r>
        <w:rPr>
          <w:rFonts w:hint="eastAsia" w:ascii="宋体" w:hAnsi="宋体" w:eastAsia="宋体" w:cs="Times New Roman"/>
          <w:color w:val="auto"/>
          <w:sz w:val="24"/>
          <w:szCs w:val="24"/>
          <w:highlight w:val="none"/>
          <w:lang w:val="en-US" w:eastAsia="zh-CN"/>
        </w:rPr>
        <w:t>报价</w:t>
      </w:r>
      <w:r>
        <w:rPr>
          <w:rFonts w:hint="eastAsia" w:ascii="宋体" w:hAnsi="宋体" w:eastAsia="宋体" w:cs="Times New Roman"/>
          <w:color w:val="auto"/>
          <w:sz w:val="24"/>
          <w:szCs w:val="24"/>
          <w:highlight w:val="none"/>
        </w:rPr>
        <w:t>总价的前提下，将基准值作为合理修正综合单价用于已标价工程量清单所列清单项目工程量增减的计价和工程变更计价。</w:t>
      </w:r>
    </w:p>
    <w:p w14:paraId="0FB40A81">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18.5</w:t>
      </w:r>
      <w:r>
        <w:rPr>
          <w:rFonts w:hint="eastAsia" w:ascii="宋体" w:hAnsi="宋体" w:eastAsia="宋体" w:cs="Times New Roman"/>
          <w:color w:val="auto"/>
          <w:sz w:val="24"/>
          <w:szCs w:val="24"/>
          <w:highlight w:val="none"/>
          <w:lang w:eastAsia="zh-CN"/>
        </w:rPr>
        <w:t>磋商小组</w:t>
      </w:r>
      <w:r>
        <w:rPr>
          <w:rFonts w:hint="eastAsia" w:ascii="宋体" w:hAnsi="宋体" w:eastAsia="宋体" w:cs="Times New Roman"/>
          <w:color w:val="auto"/>
          <w:sz w:val="24"/>
          <w:szCs w:val="24"/>
          <w:highlight w:val="none"/>
        </w:rPr>
        <w:t>发现</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存在下列未按要求完整（漏报或未报）填写</w:t>
      </w:r>
      <w:r>
        <w:rPr>
          <w:rFonts w:hint="eastAsia" w:ascii="宋体" w:hAnsi="宋体" w:eastAsia="宋体" w:cs="Times New Roman"/>
          <w:color w:val="auto"/>
          <w:sz w:val="24"/>
          <w:szCs w:val="24"/>
          <w:highlight w:val="none"/>
          <w:lang w:eastAsia="zh-CN"/>
        </w:rPr>
        <w:t>响应报价</w:t>
      </w:r>
      <w:r>
        <w:rPr>
          <w:rFonts w:hint="eastAsia" w:ascii="宋体" w:hAnsi="宋体" w:eastAsia="宋体" w:cs="Times New Roman"/>
          <w:color w:val="auto"/>
          <w:sz w:val="24"/>
          <w:szCs w:val="24"/>
          <w:highlight w:val="none"/>
        </w:rPr>
        <w:t>的，可要求</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澄清或说明：</w:t>
      </w:r>
    </w:p>
    <w:p w14:paraId="65D728D7">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（1）未按要求填报总价合同中分部分项工程清单项目综合单价及合价的，其费用应视为已包含在其他的清单项目综合单价、合价及</w:t>
      </w:r>
      <w:r>
        <w:rPr>
          <w:rFonts w:hint="eastAsia" w:ascii="宋体" w:hAnsi="宋体" w:eastAsia="宋体" w:cs="Times New Roman"/>
          <w:color w:val="auto"/>
          <w:sz w:val="24"/>
          <w:szCs w:val="24"/>
          <w:highlight w:val="none"/>
          <w:lang w:eastAsia="zh-CN"/>
        </w:rPr>
        <w:t>响应报价总价</w:t>
      </w:r>
      <w:r>
        <w:rPr>
          <w:rFonts w:hint="eastAsia" w:ascii="宋体" w:hAnsi="宋体" w:eastAsia="宋体" w:cs="Times New Roman"/>
          <w:color w:val="auto"/>
          <w:sz w:val="24"/>
          <w:szCs w:val="24"/>
          <w:highlight w:val="none"/>
        </w:rPr>
        <w:t>中，工程结算时不作重新计价及调整；</w:t>
      </w:r>
    </w:p>
    <w:p w14:paraId="4911782E">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（2）未按要求填报措施清单项目的价格、按项计价的分部分项工程清单项目的价格，其费用应视为已包含在其他的清单项目综合单价、合价及</w:t>
      </w:r>
      <w:r>
        <w:rPr>
          <w:rFonts w:hint="eastAsia" w:ascii="宋体" w:hAnsi="宋体" w:eastAsia="宋体" w:cs="Times New Roman"/>
          <w:color w:val="auto"/>
          <w:sz w:val="24"/>
          <w:szCs w:val="24"/>
          <w:highlight w:val="none"/>
          <w:lang w:eastAsia="zh-CN"/>
        </w:rPr>
        <w:t>响应报价总价</w:t>
      </w:r>
      <w:r>
        <w:rPr>
          <w:rFonts w:hint="eastAsia" w:ascii="宋体" w:hAnsi="宋体" w:eastAsia="宋体" w:cs="Times New Roman"/>
          <w:color w:val="auto"/>
          <w:sz w:val="24"/>
          <w:szCs w:val="24"/>
          <w:highlight w:val="none"/>
        </w:rPr>
        <w:t>中，工程结算时不作重新计价及调整；</w:t>
      </w:r>
    </w:p>
    <w:p w14:paraId="63A9C444">
      <w:pPr>
        <w:pStyle w:val="26"/>
        <w:adjustRightInd w:val="0"/>
        <w:snapToGrid w:val="0"/>
        <w:spacing w:line="360" w:lineRule="auto"/>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（3）未按要求填报单价合同中分部分项工程清单项目的综合单价及合价的，该清单项目价格视为包含在其他分部分项工程清单项目中，并要求</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在不改变</w:t>
      </w:r>
      <w:r>
        <w:rPr>
          <w:rFonts w:hint="eastAsia" w:ascii="宋体" w:hAnsi="宋体" w:eastAsia="宋体" w:cs="Times New Roman"/>
          <w:color w:val="auto"/>
          <w:sz w:val="24"/>
          <w:szCs w:val="24"/>
          <w:highlight w:val="none"/>
          <w:lang w:eastAsia="zh-CN"/>
        </w:rPr>
        <w:t>响应</w:t>
      </w:r>
      <w:r>
        <w:rPr>
          <w:rFonts w:hint="eastAsia" w:ascii="宋体" w:hAnsi="宋体" w:eastAsia="宋体" w:cs="Times New Roman"/>
          <w:color w:val="auto"/>
          <w:sz w:val="24"/>
          <w:szCs w:val="24"/>
          <w:highlight w:val="none"/>
          <w:lang w:val="en-US" w:eastAsia="zh-CN"/>
        </w:rPr>
        <w:t>报价</w:t>
      </w:r>
      <w:r>
        <w:rPr>
          <w:rFonts w:hint="eastAsia" w:ascii="宋体" w:hAnsi="宋体" w:eastAsia="宋体" w:cs="Times New Roman"/>
          <w:color w:val="auto"/>
          <w:sz w:val="24"/>
          <w:szCs w:val="24"/>
          <w:highlight w:val="none"/>
          <w:lang w:eastAsia="zh-CN"/>
        </w:rPr>
        <w:t>总价</w:t>
      </w:r>
      <w:r>
        <w:rPr>
          <w:rFonts w:hint="eastAsia" w:ascii="宋体" w:hAnsi="宋体" w:eastAsia="宋体" w:cs="Times New Roman"/>
          <w:color w:val="auto"/>
          <w:sz w:val="24"/>
          <w:szCs w:val="24"/>
          <w:highlight w:val="none"/>
        </w:rPr>
        <w:t>的前提下，将基准值作为合理修正综合单价（按</w:t>
      </w:r>
      <w:r>
        <w:rPr>
          <w:rFonts w:hint="eastAsia" w:ascii="宋体" w:hAnsi="宋体" w:eastAsia="宋体" w:cs="Times New Roman"/>
          <w:color w:val="auto"/>
          <w:sz w:val="24"/>
          <w:szCs w:val="24"/>
          <w:highlight w:val="none"/>
          <w:lang w:val="en-US" w:eastAsia="zh-CN"/>
        </w:rPr>
        <w:t>本章18.4</w:t>
      </w:r>
      <w:r>
        <w:rPr>
          <w:rFonts w:hint="eastAsia" w:ascii="宋体" w:hAnsi="宋体" w:eastAsia="宋体" w:cs="Times New Roman"/>
          <w:color w:val="auto"/>
          <w:sz w:val="24"/>
          <w:szCs w:val="24"/>
          <w:highlight w:val="none"/>
        </w:rPr>
        <w:t>款计算）用于已标价工程量清单所列清单项目工程量增减的计价和工程变更计价。</w:t>
      </w:r>
    </w:p>
    <w:p w14:paraId="576689B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 对明显的文字和计算错误的修正原则</w:t>
      </w:r>
    </w:p>
    <w:p w14:paraId="49E8CA09">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hAnsi="宋体" w:cs="Times New Roman"/>
          <w:color w:val="auto"/>
          <w:sz w:val="24"/>
          <w:szCs w:val="24"/>
          <w:highlight w:val="none"/>
        </w:rPr>
        <w:t>19.1磋商响应文件中报价</w:t>
      </w:r>
      <w:r>
        <w:rPr>
          <w:rFonts w:hint="eastAsia" w:ascii="宋体" w:hAnsi="宋体" w:eastAsia="宋体" w:cs="Times New Roman"/>
          <w:color w:val="auto"/>
          <w:sz w:val="24"/>
          <w:szCs w:val="24"/>
          <w:highlight w:val="none"/>
        </w:rPr>
        <w:t>一览表（报价表）内容与磋商响应文件中相应内容不一致的，以报价一览表（报价表）为准；</w:t>
      </w:r>
    </w:p>
    <w:p w14:paraId="3CD9AC5C">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19.2大写金额和小写金额不一致的，以大写金额为准；</w:t>
      </w:r>
    </w:p>
    <w:p w14:paraId="36752EBA">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19.3单价金额小数点或者百分比有明显错位的，以开标一览表的总价为准，并修改单价；</w:t>
      </w:r>
    </w:p>
    <w:p w14:paraId="715253CF">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19.4总价金额与按单价汇总金额不一致的，以单价金额计算结果为准。</w:t>
      </w:r>
    </w:p>
    <w:p w14:paraId="24866D6D">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19.5</w:t>
      </w:r>
      <w:r>
        <w:rPr>
          <w:rFonts w:hint="eastAsia" w:ascii="宋体" w:hAnsi="宋体" w:eastAsia="宋体" w:cs="Times New Roman"/>
          <w:color w:val="auto"/>
          <w:sz w:val="24"/>
          <w:szCs w:val="24"/>
          <w:highlight w:val="none"/>
          <w:lang w:eastAsia="zh-CN"/>
        </w:rPr>
        <w:t>响应报价总价</w:t>
      </w:r>
      <w:r>
        <w:rPr>
          <w:rFonts w:hint="eastAsia" w:ascii="宋体" w:hAnsi="宋体" w:eastAsia="宋体" w:cs="Times New Roman"/>
          <w:color w:val="auto"/>
          <w:sz w:val="24"/>
          <w:szCs w:val="24"/>
          <w:highlight w:val="none"/>
        </w:rPr>
        <w:t>中所列的暂列金额、专业工程暂估价、材料暂估价</w:t>
      </w:r>
      <w:r>
        <w:rPr>
          <w:rFonts w:hint="eastAsia" w:ascii="宋体" w:hAnsi="宋体" w:eastAsia="宋体" w:cs="Times New Roman"/>
          <w:color w:val="auto"/>
          <w:sz w:val="24"/>
          <w:szCs w:val="24"/>
          <w:highlight w:val="none"/>
          <w:lang w:eastAsia="zh-CN"/>
        </w:rPr>
        <w:t>、优良工程增加费</w:t>
      </w:r>
      <w:r>
        <w:rPr>
          <w:rFonts w:hint="eastAsia" w:ascii="宋体" w:hAnsi="宋体" w:eastAsia="宋体" w:cs="Times New Roman"/>
          <w:color w:val="auto"/>
          <w:sz w:val="24"/>
          <w:szCs w:val="24"/>
          <w:highlight w:val="none"/>
        </w:rPr>
        <w:t>与</w:t>
      </w:r>
      <w:r>
        <w:rPr>
          <w:rFonts w:hint="eastAsia" w:ascii="宋体" w:hAnsi="宋体" w:eastAsia="宋体" w:cs="Times New Roman"/>
          <w:color w:val="auto"/>
          <w:sz w:val="24"/>
          <w:szCs w:val="24"/>
          <w:highlight w:val="none"/>
          <w:lang w:eastAsia="zh-CN"/>
        </w:rPr>
        <w:t>工程量清单</w:t>
      </w:r>
      <w:r>
        <w:rPr>
          <w:rFonts w:hint="eastAsia" w:ascii="宋体" w:hAnsi="宋体" w:eastAsia="宋体" w:cs="Times New Roman"/>
          <w:color w:val="auto"/>
          <w:sz w:val="24"/>
          <w:szCs w:val="24"/>
          <w:highlight w:val="none"/>
        </w:rPr>
        <w:t>内提供的金额不一致的，应按</w:t>
      </w:r>
      <w:r>
        <w:rPr>
          <w:rFonts w:hint="eastAsia" w:ascii="宋体" w:hAnsi="宋体" w:eastAsia="宋体" w:cs="Times New Roman"/>
          <w:color w:val="auto"/>
          <w:sz w:val="24"/>
          <w:szCs w:val="24"/>
          <w:highlight w:val="none"/>
          <w:lang w:eastAsia="zh-CN"/>
        </w:rPr>
        <w:t>工程量清单</w:t>
      </w:r>
      <w:r>
        <w:rPr>
          <w:rFonts w:hint="eastAsia" w:ascii="宋体" w:hAnsi="宋体" w:eastAsia="宋体" w:cs="Times New Roman"/>
          <w:color w:val="auto"/>
          <w:sz w:val="24"/>
          <w:szCs w:val="24"/>
          <w:highlight w:val="none"/>
        </w:rPr>
        <w:t>内提供的金额修正其报价；</w:t>
      </w:r>
    </w:p>
    <w:p w14:paraId="0F31823C">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19.6</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所报的已标价工程量清单项目的合价与其清单项目数量乘以综合单价计算结果不一致的，应以清单项目综合单价为准，修正合价。但清单项目的综合单价小数点有明显错误或明显不合理的，应以清单项目合价为准，修正其综合单价；</w:t>
      </w:r>
    </w:p>
    <w:p w14:paraId="7D8A59FA">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val="en-US" w:eastAsia="zh-CN"/>
        </w:rPr>
        <w:t>19.7</w:t>
      </w:r>
      <w:r>
        <w:rPr>
          <w:rFonts w:hint="eastAsia" w:ascii="宋体" w:hAnsi="宋体" w:eastAsia="宋体" w:cs="Times New Roman"/>
          <w:color w:val="auto"/>
          <w:sz w:val="24"/>
          <w:szCs w:val="24"/>
          <w:highlight w:val="none"/>
          <w:lang w:eastAsia="zh-CN"/>
        </w:rPr>
        <w:t>供应商</w:t>
      </w:r>
      <w:r>
        <w:rPr>
          <w:rFonts w:hint="eastAsia" w:ascii="宋体" w:hAnsi="宋体" w:eastAsia="宋体" w:cs="Times New Roman"/>
          <w:color w:val="auto"/>
          <w:sz w:val="24"/>
          <w:szCs w:val="24"/>
          <w:highlight w:val="none"/>
        </w:rPr>
        <w:t>所报的单价计价的已标价工程量清单项目综合单价与其综合单价分析表中的综合单价不一致，或总价计价清单项目价格与其构成明细分析表中的清单项目价格不一致的，应以已标价工程量清单的清单项目综合单价和（或）清单项目价格为准，修正其分析表的报价；</w:t>
      </w:r>
    </w:p>
    <w:p w14:paraId="4370E035">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hAnsi="宋体" w:cs="Times New Roman"/>
          <w:color w:val="auto"/>
          <w:sz w:val="24"/>
          <w:szCs w:val="24"/>
          <w:highlight w:val="none"/>
        </w:rPr>
        <w:t>同时出现两种以上不一致的，按照前款规</w:t>
      </w:r>
      <w:r>
        <w:rPr>
          <w:rFonts w:hint="eastAsia" w:ascii="宋体" w:hAnsi="宋体" w:eastAsia="宋体" w:cs="Times New Roman"/>
          <w:color w:val="auto"/>
          <w:sz w:val="24"/>
          <w:szCs w:val="24"/>
          <w:highlight w:val="none"/>
        </w:rPr>
        <w:t>定的顺序修正。修正后的报价经磋商响应人确认后产生约束力，磋商响应人不确认的，其磋商无效。</w:t>
      </w:r>
    </w:p>
    <w:p w14:paraId="1D24CAFA">
      <w:pPr>
        <w:pStyle w:val="26"/>
        <w:adjustRightInd w:val="0"/>
        <w:snapToGrid w:val="0"/>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按上述规定完成修正的算术</w:t>
      </w:r>
      <w:r>
        <w:rPr>
          <w:rFonts w:hint="eastAsia" w:ascii="宋体" w:hAnsi="宋体" w:eastAsia="宋体" w:cs="Times New Roman"/>
          <w:color w:val="auto"/>
          <w:sz w:val="24"/>
          <w:szCs w:val="24"/>
          <w:highlight w:val="none"/>
          <w:lang w:eastAsia="zh-CN"/>
        </w:rPr>
        <w:t>响应报价总价</w:t>
      </w:r>
      <w:r>
        <w:rPr>
          <w:rFonts w:hint="eastAsia" w:ascii="宋体" w:hAnsi="宋体" w:eastAsia="宋体" w:cs="Times New Roman"/>
          <w:color w:val="auto"/>
          <w:sz w:val="24"/>
          <w:szCs w:val="24"/>
          <w:highlight w:val="none"/>
        </w:rPr>
        <w:t>小于</w:t>
      </w:r>
      <w:r>
        <w:rPr>
          <w:rFonts w:hint="eastAsia" w:ascii="宋体" w:hAnsi="宋体" w:eastAsia="宋体" w:cs="Times New Roman"/>
          <w:color w:val="auto"/>
          <w:sz w:val="24"/>
          <w:szCs w:val="24"/>
          <w:highlight w:val="none"/>
          <w:lang w:val="en-US" w:eastAsia="zh-CN"/>
        </w:rPr>
        <w:t>响应报价表（最终）</w:t>
      </w:r>
      <w:r>
        <w:rPr>
          <w:rFonts w:hint="eastAsia" w:ascii="宋体" w:hAnsi="宋体" w:eastAsia="宋体" w:cs="Times New Roman"/>
          <w:color w:val="auto"/>
          <w:sz w:val="24"/>
          <w:szCs w:val="24"/>
          <w:highlight w:val="none"/>
        </w:rPr>
        <w:t>内的</w:t>
      </w:r>
      <w:r>
        <w:rPr>
          <w:rFonts w:hint="eastAsia" w:ascii="宋体" w:hAnsi="宋体" w:eastAsia="宋体" w:cs="Times New Roman"/>
          <w:color w:val="auto"/>
          <w:sz w:val="24"/>
          <w:szCs w:val="24"/>
          <w:highlight w:val="none"/>
          <w:lang w:eastAsia="zh-CN"/>
        </w:rPr>
        <w:t>响应报价总价</w:t>
      </w:r>
      <w:r>
        <w:rPr>
          <w:rFonts w:hint="eastAsia" w:ascii="宋体" w:hAnsi="宋体" w:eastAsia="宋体" w:cs="Times New Roman"/>
          <w:color w:val="auto"/>
          <w:sz w:val="24"/>
          <w:szCs w:val="24"/>
          <w:highlight w:val="none"/>
        </w:rPr>
        <w:t>的，则签订合同时以修正的算术</w:t>
      </w:r>
      <w:r>
        <w:rPr>
          <w:rFonts w:hint="eastAsia" w:ascii="宋体" w:hAnsi="宋体" w:eastAsia="宋体" w:cs="Times New Roman"/>
          <w:color w:val="auto"/>
          <w:sz w:val="24"/>
          <w:szCs w:val="24"/>
          <w:highlight w:val="none"/>
          <w:lang w:eastAsia="zh-CN"/>
        </w:rPr>
        <w:t>响应报价总价</w:t>
      </w:r>
      <w:r>
        <w:rPr>
          <w:rFonts w:hint="eastAsia" w:ascii="宋体" w:hAnsi="宋体" w:eastAsia="宋体" w:cs="Times New Roman"/>
          <w:color w:val="auto"/>
          <w:sz w:val="24"/>
          <w:szCs w:val="24"/>
          <w:highlight w:val="none"/>
        </w:rPr>
        <w:t>为准；按上述规定完成修正的算术</w:t>
      </w:r>
      <w:r>
        <w:rPr>
          <w:rFonts w:hint="eastAsia" w:ascii="宋体" w:hAnsi="宋体" w:eastAsia="宋体" w:cs="Times New Roman"/>
          <w:color w:val="auto"/>
          <w:sz w:val="24"/>
          <w:szCs w:val="24"/>
          <w:highlight w:val="none"/>
          <w:lang w:eastAsia="zh-CN"/>
        </w:rPr>
        <w:t>响应报价总价</w:t>
      </w:r>
      <w:r>
        <w:rPr>
          <w:rFonts w:hint="eastAsia" w:ascii="宋体" w:hAnsi="宋体" w:eastAsia="宋体" w:cs="Times New Roman"/>
          <w:color w:val="auto"/>
          <w:sz w:val="24"/>
          <w:szCs w:val="24"/>
          <w:highlight w:val="none"/>
        </w:rPr>
        <w:t>大于</w:t>
      </w:r>
      <w:r>
        <w:rPr>
          <w:rFonts w:hint="eastAsia" w:ascii="宋体" w:hAnsi="宋体" w:eastAsia="宋体" w:cs="Times New Roman"/>
          <w:color w:val="auto"/>
          <w:sz w:val="24"/>
          <w:szCs w:val="24"/>
          <w:highlight w:val="none"/>
          <w:lang w:val="en-US" w:eastAsia="zh-CN"/>
        </w:rPr>
        <w:t>响应报价表（最终）</w:t>
      </w:r>
      <w:r>
        <w:rPr>
          <w:rFonts w:hint="eastAsia" w:ascii="宋体" w:hAnsi="宋体" w:eastAsia="宋体" w:cs="Times New Roman"/>
          <w:color w:val="auto"/>
          <w:sz w:val="24"/>
          <w:szCs w:val="24"/>
          <w:highlight w:val="none"/>
        </w:rPr>
        <w:t>内的</w:t>
      </w:r>
      <w:r>
        <w:rPr>
          <w:rFonts w:hint="eastAsia" w:ascii="宋体" w:hAnsi="宋体" w:eastAsia="宋体" w:cs="Times New Roman"/>
          <w:color w:val="auto"/>
          <w:sz w:val="24"/>
          <w:szCs w:val="24"/>
          <w:highlight w:val="none"/>
          <w:lang w:eastAsia="zh-CN"/>
        </w:rPr>
        <w:t>响应报价总价</w:t>
      </w:r>
      <w:r>
        <w:rPr>
          <w:rFonts w:hint="eastAsia" w:ascii="宋体" w:hAnsi="宋体" w:eastAsia="宋体" w:cs="Times New Roman"/>
          <w:color w:val="auto"/>
          <w:sz w:val="24"/>
          <w:szCs w:val="24"/>
          <w:highlight w:val="none"/>
        </w:rPr>
        <w:t>的，则签订合同时以</w:t>
      </w:r>
      <w:r>
        <w:rPr>
          <w:rFonts w:hint="eastAsia" w:ascii="宋体" w:hAnsi="宋体" w:eastAsia="宋体" w:cs="Times New Roman"/>
          <w:color w:val="auto"/>
          <w:sz w:val="24"/>
          <w:szCs w:val="24"/>
          <w:highlight w:val="none"/>
          <w:lang w:val="en-US" w:eastAsia="zh-CN"/>
        </w:rPr>
        <w:t>响应报价表（最终）</w:t>
      </w:r>
      <w:r>
        <w:rPr>
          <w:rFonts w:hint="eastAsia" w:ascii="宋体" w:hAnsi="宋体" w:eastAsia="宋体" w:cs="Times New Roman"/>
          <w:color w:val="auto"/>
          <w:sz w:val="24"/>
          <w:szCs w:val="24"/>
          <w:highlight w:val="none"/>
        </w:rPr>
        <w:t>大写金额报价为准，同时按比例修正（降低）相应预算清单子目的综合单价或合价。经修正后的综合单价作为工程进度款、工程变更以及单价合同竣工结算的计价依据。</w:t>
      </w:r>
    </w:p>
    <w:p w14:paraId="40D513FC">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20.磋商响应文件的评审、比较和否决</w:t>
      </w:r>
    </w:p>
    <w:p w14:paraId="5561012B">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20.1磋商小组将对在实质上响应磋商文件要求的磋商响应文件进行评估和比较。</w:t>
      </w:r>
    </w:p>
    <w:p w14:paraId="4E0BA668">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20.2在评审过程中，磋商小组可以书面形式要求供应商就磋商响应文件含义不明确的内容进行书面说明并提供相关材料。</w:t>
      </w:r>
    </w:p>
    <w:p w14:paraId="14CF52C6">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20.3在磋商过程中，如发现与磋商文件要求相偏离的，磋商小组应对其偏离情形进行必要的书面核实。</w:t>
      </w:r>
    </w:p>
    <w:p w14:paraId="4769C83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20.4在评审过程中，如属于实质性偏离或符合无效响应条件的，应当询问相关供应商，并允许其进行陈述申辩，但不允许对偏离条款撤回。</w:t>
      </w:r>
    </w:p>
    <w:p w14:paraId="13C40336">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20.5比较与评价。磋商小组依据磋商文件规定的评审标准和方法，对磋商响应文件进行商务和技术评估，综合比较与评价。</w:t>
      </w:r>
    </w:p>
    <w:p w14:paraId="5A56227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20.6汇总（商务技术得分情况）。磋商小组各成员应当独立对每个供应商的磋商响应文件进行评价，并汇总商务技术得分情况。</w:t>
      </w:r>
    </w:p>
    <w:p w14:paraId="6FA166F4">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2863FE10">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1B7D3434">
      <w:pPr>
        <w:pStyle w:val="26"/>
        <w:adjustRightInd w:val="0"/>
        <w:snapToGrid w:val="0"/>
        <w:spacing w:line="360" w:lineRule="auto"/>
        <w:ind w:firstLine="482" w:firstLineChars="200"/>
        <w:rPr>
          <w:rFonts w:hint="eastAsia" w:hAnsi="宋体" w:cs="Times New Roman"/>
          <w:b/>
          <w:bCs/>
          <w:color w:val="auto"/>
          <w:sz w:val="24"/>
          <w:szCs w:val="24"/>
          <w:highlight w:val="none"/>
          <w:lang w:val="en-US" w:eastAsia="zh-CN"/>
        </w:rPr>
      </w:pPr>
      <w:r>
        <w:rPr>
          <w:rFonts w:hint="eastAsia" w:hAnsi="宋体" w:cs="Times New Roman"/>
          <w:b/>
          <w:bCs/>
          <w:color w:val="auto"/>
          <w:sz w:val="24"/>
          <w:szCs w:val="24"/>
          <w:highlight w:val="none"/>
          <w:lang w:val="en-US" w:eastAsia="zh-CN"/>
        </w:rPr>
        <w:t>20.7.2采购评审中出现下列情形之一的，磋商小组应当启动异常低价响应审查程序：</w:t>
      </w:r>
    </w:p>
    <w:p w14:paraId="243B49DE">
      <w:pPr>
        <w:pStyle w:val="26"/>
        <w:adjustRightInd w:val="0"/>
        <w:snapToGrid w:val="0"/>
        <w:spacing w:line="360" w:lineRule="auto"/>
        <w:ind w:firstLine="482" w:firstLineChars="200"/>
        <w:rPr>
          <w:rFonts w:hint="eastAsia" w:hAnsi="宋体" w:cs="Times New Roman"/>
          <w:b/>
          <w:bCs/>
          <w:color w:val="auto"/>
          <w:sz w:val="24"/>
          <w:szCs w:val="24"/>
          <w:highlight w:val="none"/>
          <w:lang w:val="en-US" w:eastAsia="zh-CN"/>
        </w:rPr>
      </w:pPr>
      <w:r>
        <w:rPr>
          <w:rFonts w:hint="eastAsia" w:hAnsi="宋体" w:cs="Times New Roman"/>
          <w:b/>
          <w:bCs/>
          <w:color w:val="auto"/>
          <w:sz w:val="24"/>
          <w:szCs w:val="24"/>
          <w:highlight w:val="none"/>
          <w:lang w:val="en-US" w:eastAsia="zh-CN"/>
        </w:rPr>
        <w:t>（1）最后报价低于全部通过符合性审查供应商最后报价平均值50%的，即最后报价&lt;全部通过符合性审查供应商最后报价平均值×50%；</w:t>
      </w:r>
    </w:p>
    <w:p w14:paraId="393FF195">
      <w:pPr>
        <w:pStyle w:val="26"/>
        <w:adjustRightInd w:val="0"/>
        <w:snapToGrid w:val="0"/>
        <w:spacing w:line="360" w:lineRule="auto"/>
        <w:ind w:firstLine="482" w:firstLineChars="200"/>
        <w:rPr>
          <w:rFonts w:hint="eastAsia" w:hAnsi="宋体" w:cs="Times New Roman"/>
          <w:b/>
          <w:bCs/>
          <w:color w:val="auto"/>
          <w:sz w:val="24"/>
          <w:szCs w:val="24"/>
          <w:highlight w:val="none"/>
          <w:lang w:val="en-US" w:eastAsia="zh-CN"/>
        </w:rPr>
      </w:pPr>
      <w:r>
        <w:rPr>
          <w:rFonts w:hint="eastAsia" w:hAnsi="宋体" w:cs="Times New Roman"/>
          <w:b/>
          <w:bCs/>
          <w:color w:val="auto"/>
          <w:sz w:val="24"/>
          <w:szCs w:val="24"/>
          <w:highlight w:val="none"/>
          <w:lang w:val="en-US" w:eastAsia="zh-CN"/>
        </w:rPr>
        <w:t xml:space="preserve">（2）最后报价低于通过符合性审查且报价次低供应商最后报价50%的，即最后报价&lt;通过符合性审查且报价次低供应商最后报价×50%； </w:t>
      </w:r>
    </w:p>
    <w:p w14:paraId="3FEE1329">
      <w:pPr>
        <w:pStyle w:val="26"/>
        <w:adjustRightInd w:val="0"/>
        <w:snapToGrid w:val="0"/>
        <w:spacing w:line="360" w:lineRule="auto"/>
        <w:ind w:firstLine="482" w:firstLineChars="200"/>
        <w:rPr>
          <w:rFonts w:hint="eastAsia" w:hAnsi="宋体" w:cs="Times New Roman"/>
          <w:b/>
          <w:bCs/>
          <w:color w:val="auto"/>
          <w:sz w:val="24"/>
          <w:szCs w:val="24"/>
          <w:highlight w:val="none"/>
          <w:lang w:val="en-US" w:eastAsia="zh-CN"/>
        </w:rPr>
      </w:pPr>
      <w:r>
        <w:rPr>
          <w:rFonts w:hint="eastAsia" w:hAnsi="宋体" w:cs="Times New Roman"/>
          <w:b/>
          <w:bCs/>
          <w:color w:val="auto"/>
          <w:sz w:val="24"/>
          <w:szCs w:val="24"/>
          <w:highlight w:val="none"/>
          <w:lang w:val="en-US" w:eastAsia="zh-CN"/>
        </w:rPr>
        <w:t>（3）最后报价低于采购项目最高限价45%的，即最后报价&lt;采购项目最高限价×45%；</w:t>
      </w:r>
    </w:p>
    <w:p w14:paraId="1873956A">
      <w:pPr>
        <w:pStyle w:val="26"/>
        <w:adjustRightInd w:val="0"/>
        <w:snapToGrid w:val="0"/>
        <w:spacing w:line="360" w:lineRule="auto"/>
        <w:ind w:firstLine="482" w:firstLineChars="200"/>
        <w:rPr>
          <w:rFonts w:hint="eastAsia" w:hAnsi="宋体" w:cs="Times New Roman"/>
          <w:b/>
          <w:bCs/>
          <w:color w:val="auto"/>
          <w:sz w:val="24"/>
          <w:szCs w:val="24"/>
          <w:highlight w:val="none"/>
          <w:lang w:val="en-US" w:eastAsia="zh-CN"/>
        </w:rPr>
      </w:pPr>
      <w:r>
        <w:rPr>
          <w:rFonts w:hint="eastAsia" w:hAnsi="宋体" w:cs="Times New Roman"/>
          <w:b/>
          <w:bCs/>
          <w:color w:val="auto"/>
          <w:sz w:val="24"/>
          <w:szCs w:val="24"/>
          <w:highlight w:val="none"/>
          <w:lang w:val="en-US" w:eastAsia="zh-CN"/>
        </w:rPr>
        <w:t>（4）磋商小组基于专业判断，认为供应商报价过低，有可能影响产品质量或者不能诚信履约的其他情形。</w:t>
      </w:r>
    </w:p>
    <w:p w14:paraId="0980E886">
      <w:pPr>
        <w:pStyle w:val="26"/>
        <w:adjustRightInd w:val="0"/>
        <w:snapToGrid w:val="0"/>
        <w:spacing w:line="360" w:lineRule="auto"/>
        <w:ind w:firstLine="482" w:firstLineChars="200"/>
        <w:rPr>
          <w:rFonts w:hint="eastAsia" w:hAnsi="宋体" w:cs="Times New Roman"/>
          <w:b/>
          <w:bCs/>
          <w:color w:val="auto"/>
          <w:sz w:val="24"/>
          <w:szCs w:val="24"/>
          <w:highlight w:val="none"/>
          <w:lang w:val="en-US" w:eastAsia="zh-CN"/>
        </w:rPr>
      </w:pPr>
      <w:r>
        <w:rPr>
          <w:rFonts w:hint="eastAsia" w:hAnsi="宋体" w:cs="Times New Roman"/>
          <w:b/>
          <w:bCs/>
          <w:color w:val="auto"/>
          <w:sz w:val="24"/>
          <w:szCs w:val="24"/>
          <w:highlight w:val="none"/>
          <w:lang w:val="en-US" w:eastAsia="zh-CN"/>
        </w:rPr>
        <w:t>相关法律法规对供应商报价有规定的，从其规定。</w:t>
      </w:r>
    </w:p>
    <w:p w14:paraId="0ACAD79F">
      <w:pPr>
        <w:pStyle w:val="26"/>
        <w:adjustRightInd w:val="0"/>
        <w:snapToGrid w:val="0"/>
        <w:spacing w:line="360" w:lineRule="auto"/>
        <w:ind w:firstLine="482" w:firstLineChars="200"/>
        <w:rPr>
          <w:rFonts w:hint="eastAsia" w:hAnsi="宋体" w:cs="Times New Roman"/>
          <w:b/>
          <w:bCs/>
          <w:color w:val="auto"/>
          <w:sz w:val="24"/>
          <w:szCs w:val="24"/>
          <w:highlight w:val="none"/>
          <w:lang w:val="en-US" w:eastAsia="zh-CN"/>
        </w:rPr>
      </w:pPr>
      <w:r>
        <w:rPr>
          <w:rFonts w:hint="eastAsia" w:hAnsi="宋体" w:cs="Times New Roman"/>
          <w:b/>
          <w:bCs/>
          <w:color w:val="auto"/>
          <w:sz w:val="24"/>
          <w:szCs w:val="24"/>
          <w:highlight w:val="none"/>
          <w:lang w:val="en-US" w:eastAsia="zh-CN"/>
        </w:rPr>
        <w:t>磋商小组启动异常低价响应审查后，属于上述（1）项至（4）项情形的，应当要求相关供应商在评审现场合理的时间内对响应价格作出解释，提供项目具体成本测算等与报价合理性相关的书面说明及必要的证明材料，包括但不限于书面说明及必要的证明材料，对最后价格作出解释。书面说明、证明材料主要是项目具体成本测算等与报价合理性相关的说明、材料等，给予相关供应商的合理时间一般不少于30分钟。其中，属于上述（3）项情形，供应商已随响应文件一并提交相关书面说明及必要的证明材料的，在评审现场可不再重复提交。</w:t>
      </w:r>
    </w:p>
    <w:p w14:paraId="1A7FB6A4">
      <w:pPr>
        <w:pStyle w:val="26"/>
        <w:adjustRightInd w:val="0"/>
        <w:snapToGrid w:val="0"/>
        <w:spacing w:line="360" w:lineRule="auto"/>
        <w:ind w:firstLine="482" w:firstLineChars="200"/>
        <w:rPr>
          <w:rFonts w:hint="default" w:hAnsi="宋体" w:eastAsia="宋体" w:cs="Times New Roman"/>
          <w:color w:val="auto"/>
          <w:sz w:val="24"/>
          <w:szCs w:val="24"/>
          <w:highlight w:val="none"/>
          <w:lang w:val="en-US" w:eastAsia="zh-CN"/>
        </w:rPr>
      </w:pPr>
      <w:r>
        <w:rPr>
          <w:rFonts w:hint="eastAsia" w:hAnsi="宋体" w:cs="Times New Roman"/>
          <w:b/>
          <w:bCs/>
          <w:color w:val="auto"/>
          <w:sz w:val="24"/>
          <w:szCs w:val="24"/>
          <w:highlight w:val="none"/>
          <w:lang w:val="en-US" w:eastAsia="zh-CN"/>
        </w:rPr>
        <w:t>磋商小组依据专业经验，参考同类项目中标（成交）价格、类似产品市场价格水平、行业人工费用标准、国家有关部门指导行业协会发布的行业平均成本等情况，对报价合理性进行判断。对异常低价存在争议的，按照少数服从多数的原则作出结论。供应商不能提供书面说明、证明材料，或者提供的书面说明、证明材料不能证明其报价合理性的，磋商小组应当将其作为无效响应处理。</w:t>
      </w:r>
    </w:p>
    <w:p w14:paraId="59C0900D">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w:t>
      </w:r>
      <w:r>
        <w:rPr>
          <w:rFonts w:hint="eastAsia" w:hAnsi="宋体" w:cs="Times New Roman"/>
          <w:color w:val="auto"/>
          <w:sz w:val="24"/>
          <w:szCs w:val="24"/>
          <w:highlight w:val="none"/>
          <w:lang w:val="en-US" w:eastAsia="zh-CN"/>
        </w:rPr>
        <w:t>3</w:t>
      </w:r>
      <w:r>
        <w:rPr>
          <w:rFonts w:hint="eastAsia" w:hAnsi="宋体" w:cs="Times New Roman"/>
          <w:color w:val="auto"/>
          <w:sz w:val="24"/>
          <w:szCs w:val="24"/>
          <w:highlight w:val="none"/>
        </w:rPr>
        <w:t>供应商存在以下报价情形的，磋商无效</w:t>
      </w:r>
    </w:p>
    <w:p w14:paraId="1A817F7A">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 响应文件未提供“供应商须知前附表” 报价文件中规定的“竞标报价表”的； </w:t>
      </w:r>
    </w:p>
    <w:p w14:paraId="50AC8B69">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2）未采用人民币报价或者未按照磋商文件标明的币种报价的； </w:t>
      </w:r>
    </w:p>
    <w:p w14:paraId="0187DE6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 </w:t>
      </w:r>
    </w:p>
    <w:p w14:paraId="59EE5715">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1950AB03">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有要求并公布了分项采购预算金额或者最高限价）。 </w:t>
      </w:r>
    </w:p>
    <w:p w14:paraId="4F5FE144">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1285DE6E">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6622852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0733C5B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9）供应商已标价工程量清单的项目编码（12位）、计量单位、工程量任何一处与工程量清单不一致的； </w:t>
      </w:r>
    </w:p>
    <w:p w14:paraId="7AD480C2">
      <w:pPr>
        <w:pStyle w:val="26"/>
        <w:adjustRightInd w:val="0"/>
        <w:snapToGrid w:val="0"/>
        <w:spacing w:line="360" w:lineRule="auto"/>
        <w:ind w:firstLine="480" w:firstLineChars="200"/>
        <w:rPr>
          <w:rFonts w:hint="eastAsia" w:hAnsi="宋体" w:eastAsia="宋体" w:cs="Times New Roman"/>
          <w:color w:val="auto"/>
          <w:sz w:val="24"/>
          <w:szCs w:val="24"/>
          <w:highlight w:val="none"/>
          <w:lang w:eastAsia="zh-CN"/>
        </w:rPr>
      </w:pPr>
      <w:r>
        <w:rPr>
          <w:rFonts w:hint="eastAsia" w:hAnsi="宋体" w:cs="Times New Roman"/>
          <w:color w:val="auto"/>
          <w:sz w:val="24"/>
          <w:szCs w:val="24"/>
          <w:highlight w:val="none"/>
        </w:rPr>
        <w:t>10）供应商已标价工程量清单的项目名称或项目特征与工程量清单不一致，磋商小组要求澄清、说明或补正，但供应商拒绝澄清、说明或补正的（适用于房屋建筑和市政工程项目）</w:t>
      </w:r>
      <w:r>
        <w:rPr>
          <w:rFonts w:hint="eastAsia" w:hAnsi="宋体" w:cs="Times New Roman"/>
          <w:color w:val="auto"/>
          <w:sz w:val="24"/>
          <w:szCs w:val="24"/>
          <w:highlight w:val="none"/>
          <w:lang w:eastAsia="zh-CN"/>
        </w:rPr>
        <w:t>；</w:t>
      </w:r>
    </w:p>
    <w:p w14:paraId="6A7896F1">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11）设有暂估价、暂列金额的，竞标时未按工程量清单给出的暂估价总价、暂列金额总价计入竞标总报价中的； </w:t>
      </w:r>
    </w:p>
    <w:p w14:paraId="352DBF3A">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12）供应商对工程量清单内容进行增减或对竞标范围进行调整的； </w:t>
      </w:r>
    </w:p>
    <w:p w14:paraId="2D508144">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13）响应文件响应的标的数量及单位与竞争性磋商采购文件要求实质性不一致的； </w:t>
      </w:r>
    </w:p>
    <w:p w14:paraId="4DA2AE6D">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w:t>
      </w:r>
      <w:r>
        <w:rPr>
          <w:rFonts w:hint="eastAsia" w:hAnsi="宋体" w:cs="Times New Roman"/>
          <w:color w:val="auto"/>
          <w:sz w:val="24"/>
          <w:szCs w:val="24"/>
          <w:highlight w:val="none"/>
          <w:lang w:val="en-US" w:eastAsia="zh-CN"/>
        </w:rPr>
        <w:t>报价总价封面竞标供应商未盖章或者法定代表人（或其授权人）未签字（或盖章）或者编制人员未签字或未盖专用章的；</w:t>
      </w:r>
      <w:r>
        <w:rPr>
          <w:rFonts w:hint="eastAsia" w:hAnsi="宋体" w:cs="Times New Roman"/>
          <w:color w:val="auto"/>
          <w:sz w:val="24"/>
          <w:szCs w:val="24"/>
          <w:highlight w:val="none"/>
        </w:rPr>
        <w:t xml:space="preserve"> </w:t>
      </w:r>
    </w:p>
    <w:p w14:paraId="2D7F7D90">
      <w:pPr>
        <w:pStyle w:val="26"/>
        <w:adjustRightInd w:val="0"/>
        <w:snapToGrid w:val="0"/>
        <w:spacing w:line="360" w:lineRule="auto"/>
        <w:ind w:firstLine="480" w:firstLineChars="200"/>
        <w:rPr>
          <w:rFonts w:hint="default" w:hAnsi="宋体" w:eastAsia="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15）</w:t>
      </w:r>
      <w:r>
        <w:rPr>
          <w:rFonts w:hint="eastAsia" w:hAnsi="宋体" w:cs="Times New Roman"/>
          <w:color w:val="auto"/>
          <w:sz w:val="24"/>
          <w:szCs w:val="24"/>
          <w:highlight w:val="none"/>
        </w:rPr>
        <w:t>未响应磋商文件实质性要求的。</w:t>
      </w:r>
    </w:p>
    <w:p w14:paraId="5D8F2B6C">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lang w:val="en-US" w:eastAsia="zh-CN"/>
        </w:rPr>
        <w:t>20</w:t>
      </w:r>
      <w:r>
        <w:rPr>
          <w:rFonts w:hint="eastAsia" w:hAnsi="宋体" w:cs="Times New Roman"/>
          <w:color w:val="auto"/>
          <w:sz w:val="24"/>
          <w:szCs w:val="24"/>
          <w:highlight w:val="none"/>
        </w:rPr>
        <w:t>.8评标委员会依据磋商文件规定的评审标准和方法，对磋商响应文件进行评审和比较后，向</w:t>
      </w:r>
      <w:r>
        <w:rPr>
          <w:rFonts w:hint="eastAsia" w:hAnsi="宋体" w:cs="Times New Roman"/>
          <w:color w:val="auto"/>
          <w:sz w:val="24"/>
          <w:szCs w:val="24"/>
          <w:highlight w:val="none"/>
          <w:lang w:eastAsia="zh-CN"/>
        </w:rPr>
        <w:t>广西科联招标中心有限公司</w:t>
      </w:r>
      <w:r>
        <w:rPr>
          <w:rFonts w:hint="eastAsia" w:hAnsi="宋体" w:cs="Times New Roman"/>
          <w:color w:val="auto"/>
          <w:sz w:val="24"/>
          <w:szCs w:val="24"/>
          <w:highlight w:val="none"/>
        </w:rPr>
        <w:t>提供书面磋商报告，并按得分高低排序推荐成交候选供应商。</w:t>
      </w:r>
    </w:p>
    <w:p w14:paraId="07F42100">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lang w:val="en-US" w:eastAsia="zh-CN"/>
        </w:rPr>
        <w:t>20.9</w:t>
      </w:r>
      <w:r>
        <w:rPr>
          <w:rFonts w:hint="eastAsia" w:hAnsi="宋体" w:cs="Times New Roman"/>
          <w:color w:val="auto"/>
          <w:sz w:val="24"/>
          <w:szCs w:val="24"/>
          <w:highlight w:val="none"/>
        </w:rPr>
        <w:t>磋商响应文件的澄清</w:t>
      </w:r>
    </w:p>
    <w:p w14:paraId="0D97FA00">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为有利于对磋商响应文件的比较和评议，磋商小组可要求供应商对磋商响应文件进行澄清，必要时磋商小组可要求供应商对澄清的问题作出书面答复。</w:t>
      </w:r>
    </w:p>
    <w:p w14:paraId="7984D7A0">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供应商对磋商响应文件作出澄清、说明或者补正的，磋商小组和供应商应当通过广西政府采购云平台交换数据电文。给予供应商提交澄清说明或补正的时间不少于半小时，供应商已经明确表示澄清说明或补正完毕的除外。</w:t>
      </w:r>
    </w:p>
    <w:p w14:paraId="2AE7A2A0">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供应商通过广西政府采购云平台交换的数据电文必须进行电子签章。</w:t>
      </w:r>
    </w:p>
    <w:p w14:paraId="3BCB031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21．无效磋商的情形</w:t>
      </w:r>
    </w:p>
    <w:p w14:paraId="4D7FEC25">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磋商响应文件有下列情形之一的作无效磋商响应处理：</w:t>
      </w:r>
    </w:p>
    <w:p w14:paraId="1EFCFD84">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21.1未按照磋商文件规定要求签署、盖章的；</w:t>
      </w:r>
    </w:p>
    <w:p w14:paraId="14EC3A88">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21.2单位负责人为同一人或者存在直接控股、管理关系的不同供应商参加同一合同项下的政府采购活动的（均无效）；</w:t>
      </w:r>
    </w:p>
    <w:p w14:paraId="06AC0518">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4DE75C4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21.4供应商不具备磋商文件中规定的资格要求的（供应商未提供有效的资格证明文件的，视为其不具备磋商文件中规定的资格要求）；</w:t>
      </w:r>
    </w:p>
    <w:p w14:paraId="24640A33">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486A0049">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7879C4C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21.7磋商响应文件中的磋商响应函未加盖供应商的企业公章或填写不全的；</w:t>
      </w:r>
    </w:p>
    <w:p w14:paraId="4B25560B">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21.8报价一经涂改，未在涂改处加盖磋商响应单位公章或者未经法定代表人或授权代表签字或盖章的；</w:t>
      </w:r>
    </w:p>
    <w:p w14:paraId="5E1F9DA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21.9磋商响应文件中未按磋商文件规定的格式填写，或未详细应答磋商服务（或技术或产品等要求），经磋商后仍无法详细应答或应答不完整有缺失，致使磋商小组无法评审的；</w:t>
      </w:r>
    </w:p>
    <w:p w14:paraId="51B5838B">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21.10出现同一标的物或本次磋商产品(服务)内的主要产品(重要组成部分)出现商务技术（资信）文件资料、报价文件资料描述不一致或前后描述不一致，经磋商小组认定后为无法评审的；</w:t>
      </w:r>
    </w:p>
    <w:p w14:paraId="0D2E4363">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5F267B5C">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21.12磋商响应文件有采购人不能接受的条件；</w:t>
      </w:r>
    </w:p>
    <w:p w14:paraId="496825EC">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70CE831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21.14磋商小组认定有重大偏差或实质性不响应磋商文件要求的；</w:t>
      </w:r>
    </w:p>
    <w:p w14:paraId="4EF02050">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21.15采购人拟采购的产品属于政府强制采购的节能产品品目清单范围的，供应商未按磋商文件要求提供国家确定的认证机构出具的、处于有效期之内的节能产品认证证书的；</w:t>
      </w:r>
    </w:p>
    <w:p w14:paraId="1245AE73">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725C4749">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21.17供应商对根据修正原则修正后的报价不确认的；</w:t>
      </w:r>
    </w:p>
    <w:p w14:paraId="0AD1017A">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21.18供应商提供虚假材料磋商的（包括但不限于以下情节）；</w:t>
      </w:r>
    </w:p>
    <w:p w14:paraId="0449E189">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16A99F55">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5C020DAB">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7852DF5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1B830A49">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2CDAADF9">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21.19有下列情形之一的，视为供应商串通磋商，其磋商无效：</w:t>
      </w:r>
    </w:p>
    <w:p w14:paraId="04A8C01D">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21.19.1不同供应商的磋商响应文件由同一单位或者个人编制；</w:t>
      </w:r>
    </w:p>
    <w:p w14:paraId="6E8681EF">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21.19.2不同供应商委托同一单位或者个人办理磋商事宜；</w:t>
      </w:r>
    </w:p>
    <w:p w14:paraId="7C77A7E7">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21.19.3不同供应商的磋商响应文件载明的项目管理成员或者联系人员为同一人；</w:t>
      </w:r>
    </w:p>
    <w:p w14:paraId="75FDEF6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21.19.4不同供应商的磋商响应文件异常一致或者磋商报价呈规律性差异；</w:t>
      </w:r>
    </w:p>
    <w:p w14:paraId="20BD2E12">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21.19.5不同供应商的磋商响应文件相互混装；</w:t>
      </w:r>
    </w:p>
    <w:p w14:paraId="771F676A">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21.20有下列情形之一的，属于恶意串通，其磋商无效：</w:t>
      </w:r>
    </w:p>
    <w:p w14:paraId="39DDCF5E">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21.20.1供应商直接或者间接从采购人或者采购机构处获得其他供应商的相关情况并修改其磋商文件或者响应文件；</w:t>
      </w:r>
    </w:p>
    <w:p w14:paraId="40B53F15">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21.20.2供应商按照采购人或者采购机构的授意撤换、修改磋商文件或者响应文件；</w:t>
      </w:r>
    </w:p>
    <w:p w14:paraId="2733C186">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21.20.3供应商之间协商报价、技术方案等磋商文件或者响应文件的实质性内容；</w:t>
      </w:r>
    </w:p>
    <w:p w14:paraId="24932978">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21.20.4属于同一集团、协会、商会等组织成员的供应商按照该组织要求协同参加政府采购活动；</w:t>
      </w:r>
    </w:p>
    <w:p w14:paraId="3976331D">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21.20.5供应商之间事先约定由某一特定供应商成交；</w:t>
      </w:r>
    </w:p>
    <w:p w14:paraId="00B7E98B">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21.20.6供应商之间商定部分供应商放弃参加政府采购活动或者放弃成交；</w:t>
      </w:r>
    </w:p>
    <w:p w14:paraId="4E848FC3">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21.20.7供应商与采购人或者采购机构之间、供应商相互之间，为谋求特定供应商成交或者排斥其他供应商的其他串通行为。</w:t>
      </w:r>
    </w:p>
    <w:p w14:paraId="6FF01216">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654F63E6">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磋商过程保密</w:t>
      </w:r>
    </w:p>
    <w:p w14:paraId="4F79352D">
      <w:pPr>
        <w:pStyle w:val="26"/>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334DBDFF">
      <w:pPr>
        <w:pStyle w:val="26"/>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在磋商期间，供应商企图影响采购人、集中采购机构或磋商小组的任何活动，都将导致磋商被拒绝，并由其承担相应的法律责任。</w:t>
      </w:r>
    </w:p>
    <w:p w14:paraId="4696D993">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0F71DF62">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23.1根据以下原则确定成交供应商：</w:t>
      </w:r>
      <w:r>
        <w:rPr>
          <w:rFonts w:ascii="宋体" w:hAnsi="宋体" w:cs="宋体"/>
          <w:color w:val="auto"/>
          <w:sz w:val="24"/>
          <w:highlight w:val="none"/>
        </w:rPr>
        <w:t>确定成交供应商。采购代理机构应当在评审结束后2个工作日内将评审报告送采购人确认。采购人应当在收到评审报告后</w:t>
      </w:r>
      <w:r>
        <w:rPr>
          <w:rFonts w:hint="eastAsia" w:ascii="宋体" w:hAnsi="宋体" w:cs="宋体"/>
          <w:color w:val="auto"/>
          <w:sz w:val="24"/>
          <w:highlight w:val="none"/>
        </w:rPr>
        <w:t>2</w:t>
      </w:r>
      <w:r>
        <w:rPr>
          <w:rFonts w:ascii="宋体" w:hAnsi="宋体" w:cs="宋体"/>
          <w:color w:val="auto"/>
          <w:sz w:val="24"/>
          <w:highlight w:val="none"/>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56A35BB">
      <w:pPr>
        <w:pStyle w:val="26"/>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0B0B4657">
      <w:pPr>
        <w:adjustRightInd w:val="0"/>
        <w:spacing w:line="360" w:lineRule="auto"/>
        <w:ind w:firstLine="480" w:firstLineChars="200"/>
        <w:rPr>
          <w:rFonts w:ascii="宋体" w:hAnsi="宋体" w:cs="宋体"/>
          <w:color w:val="auto"/>
          <w:sz w:val="24"/>
          <w:highlight w:val="none"/>
        </w:rPr>
      </w:pPr>
      <w:r>
        <w:rPr>
          <w:rFonts w:hint="eastAsia" w:ascii="宋体" w:hAnsi="宋体"/>
          <w:color w:val="auto"/>
          <w:sz w:val="24"/>
          <w:szCs w:val="21"/>
          <w:highlight w:val="none"/>
        </w:rPr>
        <w:t>24.1自成交人确定之日起2个工作日内，采购代理机构发布采购成交结果公告，同时通过电子交易平台向成交人发出成交通知书。</w:t>
      </w:r>
    </w:p>
    <w:p w14:paraId="55452D25">
      <w:pPr>
        <w:adjustRightInd w:val="0"/>
        <w:spacing w:line="360" w:lineRule="auto"/>
        <w:ind w:firstLine="480" w:firstLineChars="200"/>
        <w:rPr>
          <w:rFonts w:ascii="宋体" w:hAnsi="宋体"/>
          <w:color w:val="auto"/>
          <w:sz w:val="24"/>
          <w:szCs w:val="21"/>
          <w:highlight w:val="none"/>
        </w:rPr>
      </w:pPr>
      <w:r>
        <w:rPr>
          <w:rFonts w:hint="eastAsia" w:ascii="宋体" w:hAnsi="宋体" w:cs="宋体"/>
          <w:color w:val="auto"/>
          <w:sz w:val="24"/>
          <w:highlight w:val="none"/>
        </w:rPr>
        <w:t>24.2</w:t>
      </w:r>
      <w:r>
        <w:rPr>
          <w:rFonts w:hint="eastAsia" w:ascii="宋体" w:hAnsi="宋体"/>
          <w:color w:val="auto"/>
          <w:sz w:val="24"/>
          <w:szCs w:val="21"/>
          <w:highlight w:val="none"/>
        </w:rPr>
        <w:t>成交</w:t>
      </w:r>
      <w:r>
        <w:rPr>
          <w:rFonts w:hint="eastAsia" w:ascii="宋体" w:hAnsi="宋体" w:cs="仿宋_GB2312"/>
          <w:color w:val="auto"/>
          <w:sz w:val="24"/>
          <w:highlight w:val="none"/>
        </w:rPr>
        <w:t>结果公告内容包括</w:t>
      </w:r>
      <w:r>
        <w:rPr>
          <w:rFonts w:hint="eastAsia" w:ascii="宋体" w:hAnsi="宋体" w:cs="宋体"/>
          <w:color w:val="auto"/>
          <w:sz w:val="24"/>
          <w:highlight w:val="none"/>
        </w:rPr>
        <w:t>采购人及其委托的采购代理机构的名称、地址、联系方式，项目名称和项目编号，成交人名称、地址和成交金额，主要成交标的的名称、规格型号、数量、单价、服务要求，</w:t>
      </w:r>
      <w:bookmarkStart w:id="29" w:name="_Hlk101184471"/>
      <w:r>
        <w:rPr>
          <w:rFonts w:hint="eastAsia" w:ascii="宋体" w:hAnsi="宋体" w:cs="宋体"/>
          <w:color w:val="auto"/>
          <w:sz w:val="24"/>
          <w:highlight w:val="none"/>
        </w:rPr>
        <w:t>评审专家抽取规则、</w:t>
      </w:r>
      <w:bookmarkEnd w:id="29"/>
      <w:r>
        <w:rPr>
          <w:rFonts w:hint="eastAsia" w:ascii="宋体" w:hAnsi="宋体" w:cs="宋体"/>
          <w:color w:val="auto"/>
          <w:sz w:val="24"/>
          <w:highlight w:val="none"/>
        </w:rPr>
        <w:t>未成交情况说明、成交公告期限以及评审专家名单、成交供应商和未成交供应商的评审总得分及排名。</w:t>
      </w:r>
    </w:p>
    <w:p w14:paraId="50C9F5FE">
      <w:pPr>
        <w:adjustRightInd w:val="0"/>
        <w:spacing w:line="360" w:lineRule="auto"/>
        <w:ind w:firstLine="480" w:firstLineChars="200"/>
        <w:rPr>
          <w:rFonts w:ascii="宋体" w:hAnsi="宋体"/>
          <w:color w:val="auto"/>
          <w:sz w:val="24"/>
          <w:szCs w:val="21"/>
          <w:highlight w:val="none"/>
        </w:rPr>
      </w:pPr>
      <w:r>
        <w:rPr>
          <w:rFonts w:hint="eastAsia" w:ascii="宋体" w:hAnsi="宋体"/>
          <w:color w:val="auto"/>
          <w:sz w:val="24"/>
          <w:szCs w:val="21"/>
          <w:highlight w:val="none"/>
        </w:rPr>
        <w:t>24.3公告期限为1个工作日。</w:t>
      </w:r>
    </w:p>
    <w:p w14:paraId="5EFEE788">
      <w:pPr>
        <w:pStyle w:val="26"/>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八、履约保证金</w:t>
      </w:r>
    </w:p>
    <w:p w14:paraId="350660E6">
      <w:pPr>
        <w:tabs>
          <w:tab w:val="left" w:pos="0"/>
        </w:tabs>
        <w:spacing w:line="360" w:lineRule="auto"/>
        <w:ind w:firstLine="482"/>
        <w:rPr>
          <w:rFonts w:ascii="宋体" w:hAnsi="宋体" w:cs="宋体"/>
          <w:color w:val="auto"/>
          <w:sz w:val="24"/>
          <w:highlight w:val="none"/>
        </w:rPr>
      </w:pPr>
      <w:r>
        <w:rPr>
          <w:rFonts w:hint="eastAsia" w:ascii="宋体" w:hAnsi="宋体"/>
          <w:color w:val="auto"/>
          <w:sz w:val="24"/>
          <w:highlight w:val="none"/>
        </w:rPr>
        <w:t>25.1</w:t>
      </w:r>
      <w:r>
        <w:rPr>
          <w:rFonts w:hint="eastAsia" w:ascii="宋体" w:hAnsi="宋体" w:cs="宋体"/>
          <w:color w:val="auto"/>
          <w:kern w:val="0"/>
          <w:sz w:val="24"/>
          <w:highlight w:val="none"/>
        </w:rPr>
        <w:t>拟签订的合同文本要求成交供应商提交履约保证金的，供应商应当以支票、汇票、本票或者金融机构、担保机构出具的保函等非现金形式提交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3B0B8482">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4A3CC71B">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 </w:t>
      </w:r>
    </w:p>
    <w:p w14:paraId="7CBD891B">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 </w:t>
      </w:r>
    </w:p>
    <w:p w14:paraId="284C847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w:t>
      </w:r>
    </w:p>
    <w:p w14:paraId="28D47980">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62947954">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48944DC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4FE3176C">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w:t>
      </w:r>
      <w:r>
        <w:rPr>
          <w:rFonts w:hint="eastAsia" w:ascii="宋体" w:hAnsi="宋体" w:cs="Courier New"/>
          <w:bCs/>
          <w:color w:val="auto"/>
          <w:sz w:val="24"/>
          <w:highlight w:val="none"/>
          <w:lang w:eastAsia="zh-CN"/>
        </w:rPr>
        <w:t>采购</w:t>
      </w:r>
      <w:r>
        <w:rPr>
          <w:rFonts w:hint="eastAsia" w:ascii="宋体" w:hAnsi="宋体" w:cs="Courier New"/>
          <w:bCs/>
          <w:color w:val="auto"/>
          <w:sz w:val="24"/>
          <w:highlight w:val="none"/>
        </w:rPr>
        <w:t>相关规定处理。</w:t>
      </w:r>
    </w:p>
    <w:p w14:paraId="20DA9B0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2D12C7CE">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14E2690E">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7B84AF15">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7D40031A">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57884C00">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5165235C">
      <w:pPr>
        <w:pStyle w:val="92"/>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73BE4A4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0E6D4656">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7A897F9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3FF8E129">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7748386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2C60A0F1">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23A6793B">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64A64F2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4391C53D">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111B91D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4297FFC4">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29B46045">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71811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16665922">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25DE90E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41E2344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2A1D86F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7F487C3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636EAE1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6F43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04226D2">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770F892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50FAD58F">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4622FEA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1AE3BADA">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6B542DB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28EDB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5F3375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23676A0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439BFE1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70B1C415">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3E5345FD">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4C41753B">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160FB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D42DA85">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5D3D76C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33CB6E24">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726E1A1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641B4FE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6B68C936">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4010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091F0F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1F2147AA">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1D408FD7">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69C34A05">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2F1FB7F9">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16D6C35D">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6609914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5046E369">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3235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9F61C0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6352064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671A5CEE">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7DCF3E7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49E4E6F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11D92F98">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78EB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562EDEA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42B07F2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1C521E0A">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42DDC955">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02DA7FFA">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1FEF4CEB">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213D6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132BE0A">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1BCC41A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7268EBD4">
            <w:pPr>
              <w:adjustRightInd w:val="0"/>
              <w:snapToGrid w:val="0"/>
              <w:spacing w:line="360" w:lineRule="auto"/>
              <w:jc w:val="left"/>
              <w:rPr>
                <w:rFonts w:ascii="宋体" w:hAnsi="宋体"/>
                <w:color w:val="auto"/>
                <w:kern w:val="0"/>
                <w:sz w:val="24"/>
                <w:szCs w:val="20"/>
                <w:highlight w:val="none"/>
              </w:rPr>
            </w:pPr>
          </w:p>
        </w:tc>
        <w:tc>
          <w:tcPr>
            <w:tcW w:w="993" w:type="dxa"/>
            <w:shd w:val="clear" w:color="auto" w:fill="auto"/>
            <w:vAlign w:val="center"/>
          </w:tcPr>
          <w:p w14:paraId="1EC4CE01">
            <w:pPr>
              <w:adjustRightInd w:val="0"/>
              <w:snapToGrid w:val="0"/>
              <w:spacing w:line="360" w:lineRule="auto"/>
              <w:jc w:val="center"/>
              <w:rPr>
                <w:rFonts w:ascii="宋体" w:hAnsi="宋体"/>
                <w:color w:val="auto"/>
                <w:kern w:val="0"/>
                <w:sz w:val="24"/>
                <w:szCs w:val="20"/>
                <w:highlight w:val="none"/>
              </w:rPr>
            </w:pPr>
          </w:p>
        </w:tc>
        <w:tc>
          <w:tcPr>
            <w:tcW w:w="850" w:type="dxa"/>
            <w:shd w:val="clear" w:color="auto" w:fill="auto"/>
            <w:vAlign w:val="center"/>
          </w:tcPr>
          <w:p w14:paraId="429E53E4">
            <w:pPr>
              <w:adjustRightInd w:val="0"/>
              <w:snapToGrid w:val="0"/>
              <w:spacing w:line="360" w:lineRule="auto"/>
              <w:jc w:val="center"/>
              <w:rPr>
                <w:rFonts w:ascii="宋体" w:hAnsi="宋体"/>
                <w:color w:val="auto"/>
                <w:kern w:val="0"/>
                <w:sz w:val="24"/>
                <w:szCs w:val="20"/>
                <w:highlight w:val="none"/>
              </w:rPr>
            </w:pPr>
          </w:p>
        </w:tc>
        <w:tc>
          <w:tcPr>
            <w:tcW w:w="3366" w:type="dxa"/>
            <w:shd w:val="clear" w:color="auto" w:fill="auto"/>
            <w:vAlign w:val="center"/>
          </w:tcPr>
          <w:p w14:paraId="50866BBD">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2838AB0A">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注：表中联系电话\授信金额、授信期限、最低利率等信息可能动态更新，仅供参考，具体以办理时相关银行公布的为准。</w:t>
      </w:r>
    </w:p>
    <w:p w14:paraId="3C057370">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1A5946E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039AA723">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11675D4E">
      <w:pPr>
        <w:numPr>
          <w:ilvl w:val="0"/>
          <w:numId w:val="3"/>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0650FED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27.1本项目不允许转包。</w:t>
      </w:r>
    </w:p>
    <w:p w14:paraId="41721A2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732A1D97">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25A676C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5F17E4FE">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w:t>
      </w:r>
      <w:r>
        <w:rPr>
          <w:rFonts w:hint="eastAsia" w:ascii="宋体" w:hAnsi="宋体" w:cs="Courier New"/>
          <w:bCs/>
          <w:color w:val="auto"/>
          <w:sz w:val="24"/>
          <w:highlight w:val="none"/>
          <w:lang w:eastAsia="zh-CN"/>
        </w:rPr>
        <w:t>采购</w:t>
      </w:r>
      <w:r>
        <w:rPr>
          <w:rFonts w:hint="eastAsia" w:ascii="宋体" w:hAnsi="宋体" w:cs="Courier New"/>
          <w:bCs/>
          <w:color w:val="auto"/>
          <w:sz w:val="24"/>
          <w:highlight w:val="none"/>
        </w:rPr>
        <w:t>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1C3FB5D5">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52837253">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0969797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8CAEAF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30.1采购当事人的一切活动均适用于《中华人民共和国政府采购法》及相关规定。最终磋商结束后，磋商小组不得再与供应商进行任何形式的磋商。</w:t>
      </w:r>
    </w:p>
    <w:p w14:paraId="2CB89B52">
      <w:pPr>
        <w:pStyle w:val="26"/>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50A79F7A">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3742EEEA">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695EDA2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32FC8866">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4894471A">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076F2DF2">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258F6406">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185B371B">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6B1578FD">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382D5E6E">
      <w:pPr>
        <w:widowControl/>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1B87B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4836DC0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1CF1630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57B20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3F9A104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7BD22006">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211B5AB1">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4EA85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008AAE94">
            <w:pPr>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2297F640">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7470F2D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03576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4AC345AF">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56625838">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7FCE04F9">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23D2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68AFF2B6">
            <w:pPr>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59694366">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1B501851">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52D45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12F9FA4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384BBC21">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362C5543">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18EDBC0D">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137DD207">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6058A5BE">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4AF18372">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65EEAC92">
      <w:pPr>
        <w:pStyle w:val="97"/>
        <w:rPr>
          <w:rFonts w:hint="eastAsia"/>
          <w:color w:val="auto"/>
          <w:highlight w:val="none"/>
        </w:rPr>
      </w:pPr>
      <w:r>
        <w:rPr>
          <w:rFonts w:hint="eastAsia"/>
          <w:color w:val="auto"/>
          <w:highlight w:val="none"/>
        </w:rPr>
        <w:t>询问联系部门：</w:t>
      </w:r>
      <w:r>
        <w:rPr>
          <w:rFonts w:hint="eastAsia"/>
          <w:color w:val="auto"/>
          <w:highlight w:val="none"/>
          <w:lang w:val="en-US" w:eastAsia="zh-CN"/>
        </w:rPr>
        <w:t>广西科联招标中心有限公司</w:t>
      </w:r>
      <w:r>
        <w:rPr>
          <w:rFonts w:hint="eastAsia"/>
          <w:color w:val="auto"/>
          <w:highlight w:val="none"/>
        </w:rPr>
        <w:t xml:space="preserve"> 联系电话：</w:t>
      </w:r>
      <w:r>
        <w:rPr>
          <w:rFonts w:hint="eastAsia"/>
          <w:color w:val="auto"/>
          <w:highlight w:val="none"/>
          <w:lang w:val="en-US" w:eastAsia="zh-CN"/>
        </w:rPr>
        <w:t>0779-3832133</w:t>
      </w:r>
      <w:r>
        <w:rPr>
          <w:rFonts w:hint="eastAsia"/>
          <w:color w:val="auto"/>
          <w:highlight w:val="none"/>
        </w:rPr>
        <w:t xml:space="preserve">  </w:t>
      </w:r>
    </w:p>
    <w:p w14:paraId="6E5EF30D">
      <w:pPr>
        <w:pStyle w:val="97"/>
        <w:rPr>
          <w:rFonts w:hint="default" w:eastAsia="宋体"/>
          <w:color w:val="auto"/>
          <w:highlight w:val="none"/>
          <w:lang w:val="en-US" w:eastAsia="zh-CN"/>
        </w:rPr>
      </w:pPr>
      <w:r>
        <w:rPr>
          <w:rFonts w:hint="eastAsia"/>
          <w:color w:val="auto"/>
          <w:highlight w:val="none"/>
        </w:rPr>
        <w:t>联系人：</w:t>
      </w:r>
      <w:r>
        <w:rPr>
          <w:rFonts w:hint="eastAsia"/>
          <w:color w:val="auto"/>
          <w:highlight w:val="none"/>
          <w:lang w:val="en-US" w:eastAsia="zh-CN"/>
        </w:rPr>
        <w:t>简良</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olor w:val="auto"/>
          <w:highlight w:val="none"/>
          <w:lang w:val="en-US" w:eastAsia="zh-CN"/>
        </w:rPr>
        <w:t>北海市北海大道科技大厦三楼</w:t>
      </w:r>
    </w:p>
    <w:p w14:paraId="4AF8B70D">
      <w:pPr>
        <w:pStyle w:val="97"/>
        <w:rPr>
          <w:rFonts w:hint="eastAsia"/>
          <w:color w:val="auto"/>
          <w:highlight w:val="none"/>
        </w:rPr>
      </w:pPr>
      <w:r>
        <w:rPr>
          <w:rFonts w:hint="eastAsia"/>
          <w:color w:val="auto"/>
          <w:highlight w:val="none"/>
        </w:rPr>
        <w:t>质疑联系部门：</w:t>
      </w:r>
      <w:r>
        <w:rPr>
          <w:rFonts w:hint="eastAsia"/>
          <w:color w:val="auto"/>
          <w:highlight w:val="none"/>
          <w:lang w:val="en-US" w:eastAsia="zh-CN"/>
        </w:rPr>
        <w:t>广西科联招标中心有限公司</w:t>
      </w:r>
      <w:r>
        <w:rPr>
          <w:rFonts w:hint="eastAsia"/>
          <w:color w:val="auto"/>
          <w:highlight w:val="none"/>
        </w:rPr>
        <w:t xml:space="preserve"> 联系电话：</w:t>
      </w:r>
      <w:r>
        <w:rPr>
          <w:rFonts w:hint="eastAsia"/>
          <w:color w:val="auto"/>
          <w:highlight w:val="none"/>
          <w:lang w:val="en-US" w:eastAsia="zh-CN"/>
        </w:rPr>
        <w:t>0779-3832133</w:t>
      </w:r>
      <w:r>
        <w:rPr>
          <w:rFonts w:hint="eastAsia"/>
          <w:color w:val="auto"/>
          <w:highlight w:val="none"/>
        </w:rPr>
        <w:t xml:space="preserve">  </w:t>
      </w:r>
    </w:p>
    <w:p w14:paraId="1A496D1B">
      <w:pPr>
        <w:pStyle w:val="97"/>
        <w:ind w:firstLine="480" w:firstLineChars="200"/>
        <w:rPr>
          <w:color w:val="auto"/>
          <w:highlight w:val="none"/>
        </w:rPr>
      </w:pPr>
      <w:r>
        <w:rPr>
          <w:rFonts w:hint="eastAsia"/>
          <w:color w:val="auto"/>
          <w:highlight w:val="none"/>
        </w:rPr>
        <w:t>联系人：</w:t>
      </w:r>
      <w:r>
        <w:rPr>
          <w:rFonts w:hint="eastAsia"/>
          <w:color w:val="auto"/>
          <w:highlight w:val="none"/>
          <w:lang w:val="en-US" w:eastAsia="zh-CN"/>
        </w:rPr>
        <w:t>简良</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olor w:val="auto"/>
          <w:highlight w:val="none"/>
          <w:lang w:val="en-US" w:eastAsia="zh-CN"/>
        </w:rPr>
        <w:t>北海市北海大道科技大厦三楼</w:t>
      </w:r>
    </w:p>
    <w:p w14:paraId="40B19C9E">
      <w:pPr>
        <w:pStyle w:val="97"/>
        <w:rPr>
          <w:rFonts w:hint="eastAsia"/>
          <w:color w:val="auto"/>
          <w:highlight w:val="none"/>
        </w:rPr>
      </w:pPr>
      <w:r>
        <w:rPr>
          <w:rFonts w:hint="eastAsia"/>
          <w:color w:val="auto"/>
          <w:highlight w:val="none"/>
        </w:rPr>
        <w:t>投诉联系部门：</w:t>
      </w:r>
      <w:r>
        <w:rPr>
          <w:rFonts w:hint="eastAsia"/>
          <w:color w:val="auto"/>
          <w:highlight w:val="none"/>
          <w:lang w:val="en-US" w:eastAsia="zh-CN"/>
        </w:rPr>
        <w:t>北海市海城区财政局</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联系电话：</w:t>
      </w:r>
      <w:r>
        <w:rPr>
          <w:rFonts w:hint="eastAsia"/>
          <w:color w:val="auto"/>
          <w:highlight w:val="none"/>
          <w:lang w:eastAsia="zh-CN"/>
        </w:rPr>
        <w:t>0779-3032655</w:t>
      </w:r>
      <w:r>
        <w:rPr>
          <w:rFonts w:hint="eastAsia"/>
          <w:color w:val="auto"/>
          <w:highlight w:val="none"/>
        </w:rPr>
        <w:t xml:space="preserve"> </w:t>
      </w:r>
    </w:p>
    <w:p w14:paraId="5A672851">
      <w:pPr>
        <w:pStyle w:val="97"/>
        <w:rPr>
          <w:rFonts w:hint="eastAsia" w:eastAsia="宋体"/>
          <w:color w:val="auto"/>
          <w:highlight w:val="none"/>
          <w:lang w:eastAsia="zh-CN"/>
        </w:rPr>
      </w:pPr>
      <w:r>
        <w:rPr>
          <w:rFonts w:hint="eastAsia"/>
          <w:color w:val="auto"/>
          <w:highlight w:val="none"/>
        </w:rPr>
        <w:t>联系人：</w:t>
      </w:r>
      <w:r>
        <w:rPr>
          <w:rFonts w:hint="eastAsia"/>
          <w:color w:val="auto"/>
          <w:highlight w:val="none"/>
          <w:lang w:val="en-US" w:eastAsia="zh-CN"/>
        </w:rPr>
        <w:t xml:space="preserve">陈工 </w:t>
      </w:r>
      <w:r>
        <w:rPr>
          <w:rFonts w:hint="eastAsia"/>
          <w:color w:val="auto"/>
          <w:highlight w:val="none"/>
        </w:rPr>
        <w:t xml:space="preserve"> </w:t>
      </w:r>
      <w:r>
        <w:rPr>
          <w:rFonts w:hint="eastAsia"/>
          <w:color w:val="auto"/>
          <w:highlight w:val="none"/>
          <w:lang w:val="en-US" w:eastAsia="zh-CN"/>
        </w:rPr>
        <w:t xml:space="preserve">     </w:t>
      </w:r>
      <w:r>
        <w:rPr>
          <w:rFonts w:hint="eastAsia"/>
          <w:color w:val="auto"/>
          <w:highlight w:val="none"/>
        </w:rPr>
        <w:t>地址：</w:t>
      </w:r>
      <w:r>
        <w:rPr>
          <w:rFonts w:hint="eastAsia"/>
          <w:color w:val="auto"/>
          <w:highlight w:val="none"/>
          <w:lang w:eastAsia="zh-CN"/>
        </w:rPr>
        <w:t>北海市海城区长青北路13号海城区人民政府大院内</w:t>
      </w:r>
    </w:p>
    <w:p w14:paraId="7BCADB0E">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381B0EBB">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362B6D77">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32.1采购代理费支付方式：</w:t>
      </w:r>
    </w:p>
    <w:p w14:paraId="1B766F7C">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本项目代理服务费由成交供应商一次性向采购代理机构支付。</w:t>
      </w:r>
    </w:p>
    <w:p w14:paraId="438F92DB">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rPr>
        <w:t>采购人支付。</w:t>
      </w:r>
    </w:p>
    <w:p w14:paraId="2018AB49">
      <w:pPr>
        <w:spacing w:line="360" w:lineRule="auto"/>
        <w:ind w:firstLine="480" w:firstLineChars="200"/>
        <w:rPr>
          <w:rFonts w:hint="eastAsia" w:ascii="宋体" w:hAnsi="宋体" w:eastAsia="宋体" w:cs="宋体"/>
          <w:bCs/>
          <w:color w:val="auto"/>
          <w:sz w:val="24"/>
          <w:highlight w:val="none"/>
          <w:lang w:eastAsia="zh-CN"/>
        </w:rPr>
      </w:pPr>
      <w:r>
        <w:rPr>
          <w:rFonts w:hint="eastAsia" w:ascii="宋体" w:hAnsi="宋体" w:cs="宋体"/>
          <w:color w:val="auto"/>
          <w:sz w:val="24"/>
          <w:highlight w:val="none"/>
        </w:rPr>
        <w:t>32.2采购代理费收取标准：</w:t>
      </w:r>
      <w:r>
        <w:rPr>
          <w:rFonts w:hint="eastAsia" w:ascii="宋体" w:hAnsi="宋体" w:cs="宋体"/>
          <w:bCs/>
          <w:color w:val="auto"/>
          <w:sz w:val="24"/>
          <w:highlight w:val="none"/>
        </w:rPr>
        <w:t>按《北海市海城区人民政府办公室关于印发海城区政府性投资项目服务性收费指导意见（暂行）的通知》（北城政办〔2021〕22号）文件收取。</w:t>
      </w:r>
    </w:p>
    <w:tbl>
      <w:tblPr>
        <w:tblStyle w:val="41"/>
        <w:tblW w:w="8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4"/>
        <w:gridCol w:w="2103"/>
        <w:gridCol w:w="1861"/>
        <w:gridCol w:w="2076"/>
      </w:tblGrid>
      <w:tr w14:paraId="60C7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2034" w:type="dxa"/>
            <w:vMerge w:val="restart"/>
            <w:noWrap w:val="0"/>
            <w:vAlign w:val="center"/>
          </w:tcPr>
          <w:p w14:paraId="478656E1">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
                <w:bCs/>
                <w:color w:val="auto"/>
                <w:spacing w:val="0"/>
                <w:kern w:val="2"/>
                <w:sz w:val="24"/>
                <w:szCs w:val="24"/>
                <w:highlight w:val="none"/>
                <w:lang w:val="en-US" w:eastAsia="zh-CN" w:bidi="ar-SA"/>
              </w:rPr>
            </w:pPr>
            <w:r>
              <w:rPr>
                <w:rFonts w:hint="eastAsia" w:ascii="宋体" w:hAnsi="宋体" w:eastAsia="宋体" w:cs="宋体"/>
                <w:b/>
                <w:bCs/>
                <w:color w:val="auto"/>
                <w:spacing w:val="0"/>
                <w:kern w:val="2"/>
                <w:sz w:val="24"/>
                <w:szCs w:val="24"/>
                <w:highlight w:val="none"/>
                <w:lang w:val="en-US" w:eastAsia="zh-CN" w:bidi="ar-SA"/>
              </w:rPr>
              <w:t>费用（万元）</w:t>
            </w:r>
          </w:p>
        </w:tc>
        <w:tc>
          <w:tcPr>
            <w:tcW w:w="6040" w:type="dxa"/>
            <w:gridSpan w:val="3"/>
            <w:noWrap w:val="0"/>
            <w:vAlign w:val="center"/>
          </w:tcPr>
          <w:p w14:paraId="71499EEE">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482" w:firstLineChars="200"/>
              <w:jc w:val="center"/>
              <w:textAlignment w:val="auto"/>
              <w:rPr>
                <w:rFonts w:hint="eastAsia" w:ascii="宋体" w:hAnsi="宋体" w:eastAsia="宋体" w:cs="宋体"/>
                <w:b/>
                <w:bCs/>
                <w:color w:val="auto"/>
                <w:spacing w:val="0"/>
                <w:kern w:val="2"/>
                <w:sz w:val="24"/>
                <w:szCs w:val="24"/>
                <w:highlight w:val="none"/>
                <w:lang w:val="en-US" w:eastAsia="zh-CN" w:bidi="ar-SA"/>
              </w:rPr>
            </w:pPr>
            <w:r>
              <w:rPr>
                <w:rFonts w:hint="eastAsia" w:ascii="宋体" w:hAnsi="宋体" w:eastAsia="宋体" w:cs="宋体"/>
                <w:b/>
                <w:bCs/>
                <w:color w:val="auto"/>
                <w:spacing w:val="0"/>
                <w:kern w:val="2"/>
                <w:sz w:val="24"/>
                <w:szCs w:val="24"/>
                <w:highlight w:val="none"/>
                <w:lang w:val="en-US" w:eastAsia="zh-CN" w:bidi="ar-SA"/>
              </w:rPr>
              <w:t>服务类型费率（‰）</w:t>
            </w:r>
          </w:p>
        </w:tc>
      </w:tr>
      <w:tr w14:paraId="029D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34" w:type="dxa"/>
            <w:vMerge w:val="continue"/>
            <w:noWrap w:val="0"/>
            <w:vAlign w:val="center"/>
          </w:tcPr>
          <w:p w14:paraId="4A6402CF">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482" w:firstLineChars="200"/>
              <w:jc w:val="center"/>
              <w:textAlignment w:val="auto"/>
              <w:rPr>
                <w:rFonts w:hint="eastAsia" w:ascii="宋体" w:hAnsi="宋体" w:eastAsia="宋体" w:cs="宋体"/>
                <w:b/>
                <w:bCs/>
                <w:color w:val="auto"/>
                <w:spacing w:val="0"/>
                <w:kern w:val="2"/>
                <w:sz w:val="24"/>
                <w:szCs w:val="24"/>
                <w:highlight w:val="none"/>
                <w:lang w:val="en-US" w:eastAsia="zh-CN" w:bidi="ar-SA"/>
              </w:rPr>
            </w:pPr>
          </w:p>
        </w:tc>
        <w:tc>
          <w:tcPr>
            <w:tcW w:w="2103" w:type="dxa"/>
            <w:noWrap w:val="0"/>
            <w:vAlign w:val="center"/>
          </w:tcPr>
          <w:p w14:paraId="431A7085">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
                <w:bCs/>
                <w:color w:val="auto"/>
                <w:spacing w:val="0"/>
                <w:kern w:val="2"/>
                <w:sz w:val="24"/>
                <w:szCs w:val="24"/>
                <w:highlight w:val="none"/>
                <w:lang w:val="en-US" w:eastAsia="zh-CN" w:bidi="ar-SA"/>
              </w:rPr>
            </w:pPr>
            <w:r>
              <w:rPr>
                <w:rFonts w:hint="eastAsia" w:ascii="宋体" w:hAnsi="宋体" w:eastAsia="宋体" w:cs="宋体"/>
                <w:b/>
                <w:bCs/>
                <w:color w:val="auto"/>
                <w:spacing w:val="0"/>
                <w:kern w:val="2"/>
                <w:sz w:val="24"/>
                <w:szCs w:val="24"/>
                <w:highlight w:val="none"/>
                <w:lang w:val="en-US" w:eastAsia="zh-CN" w:bidi="ar-SA"/>
              </w:rPr>
              <w:t>工程招标</w:t>
            </w:r>
          </w:p>
        </w:tc>
        <w:tc>
          <w:tcPr>
            <w:tcW w:w="1861" w:type="dxa"/>
            <w:noWrap w:val="0"/>
            <w:vAlign w:val="center"/>
          </w:tcPr>
          <w:p w14:paraId="08EB59A2">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
                <w:bCs/>
                <w:color w:val="auto"/>
                <w:spacing w:val="0"/>
                <w:kern w:val="2"/>
                <w:sz w:val="24"/>
                <w:szCs w:val="24"/>
                <w:highlight w:val="none"/>
                <w:lang w:val="en-US" w:eastAsia="zh-CN" w:bidi="ar-SA"/>
              </w:rPr>
            </w:pPr>
            <w:r>
              <w:rPr>
                <w:rFonts w:hint="eastAsia" w:ascii="宋体" w:hAnsi="宋体" w:eastAsia="宋体" w:cs="宋体"/>
                <w:b/>
                <w:bCs/>
                <w:color w:val="auto"/>
                <w:spacing w:val="0"/>
                <w:kern w:val="2"/>
                <w:sz w:val="24"/>
                <w:szCs w:val="24"/>
                <w:highlight w:val="none"/>
                <w:lang w:val="en-US" w:eastAsia="zh-CN" w:bidi="ar-SA"/>
              </w:rPr>
              <w:t>货物招标</w:t>
            </w:r>
          </w:p>
        </w:tc>
        <w:tc>
          <w:tcPr>
            <w:tcW w:w="2076" w:type="dxa"/>
            <w:noWrap w:val="0"/>
            <w:vAlign w:val="center"/>
          </w:tcPr>
          <w:p w14:paraId="738AD3E0">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
                <w:bCs/>
                <w:color w:val="auto"/>
                <w:spacing w:val="0"/>
                <w:kern w:val="2"/>
                <w:sz w:val="24"/>
                <w:szCs w:val="24"/>
                <w:highlight w:val="none"/>
                <w:lang w:val="en-US" w:eastAsia="zh-CN" w:bidi="ar-SA"/>
              </w:rPr>
            </w:pPr>
            <w:r>
              <w:rPr>
                <w:rFonts w:hint="eastAsia" w:ascii="宋体" w:hAnsi="宋体" w:eastAsia="宋体" w:cs="宋体"/>
                <w:b/>
                <w:bCs/>
                <w:color w:val="auto"/>
                <w:spacing w:val="0"/>
                <w:kern w:val="2"/>
                <w:sz w:val="24"/>
                <w:szCs w:val="24"/>
                <w:highlight w:val="none"/>
                <w:lang w:val="en-US" w:eastAsia="zh-CN" w:bidi="ar-SA"/>
              </w:rPr>
              <w:t>服务招标</w:t>
            </w:r>
          </w:p>
        </w:tc>
      </w:tr>
      <w:tr w14:paraId="470C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34" w:type="dxa"/>
            <w:noWrap w:val="0"/>
            <w:vAlign w:val="center"/>
          </w:tcPr>
          <w:p w14:paraId="4C723754">
            <w:pPr>
              <w:keepNext w:val="0"/>
              <w:keepLines w:val="0"/>
              <w:pageBreakBefore w:val="0"/>
              <w:widowControl w:val="0"/>
              <w:kinsoku/>
              <w:wordWrap/>
              <w:overflowPunct/>
              <w:topLinePunct w:val="0"/>
              <w:autoSpaceDE/>
              <w:autoSpaceDN/>
              <w:bidi w:val="0"/>
              <w:adjustRightInd/>
              <w:snapToGrid/>
              <w:spacing w:before="63" w:beforeLines="20" w:line="288" w:lineRule="auto"/>
              <w:jc w:val="center"/>
              <w:textAlignment w:val="auto"/>
              <w:rPr>
                <w:rFonts w:hint="eastAsia"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100以下</w:t>
            </w:r>
          </w:p>
        </w:tc>
        <w:tc>
          <w:tcPr>
            <w:tcW w:w="2103" w:type="dxa"/>
            <w:noWrap w:val="0"/>
            <w:vAlign w:val="center"/>
          </w:tcPr>
          <w:p w14:paraId="74E1F201">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6.300</w:t>
            </w:r>
          </w:p>
        </w:tc>
        <w:tc>
          <w:tcPr>
            <w:tcW w:w="1861" w:type="dxa"/>
            <w:noWrap w:val="0"/>
            <w:vAlign w:val="center"/>
          </w:tcPr>
          <w:p w14:paraId="26F97457">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9.450</w:t>
            </w:r>
          </w:p>
        </w:tc>
        <w:tc>
          <w:tcPr>
            <w:tcW w:w="2076" w:type="dxa"/>
            <w:noWrap w:val="0"/>
            <w:vAlign w:val="center"/>
          </w:tcPr>
          <w:p w14:paraId="4ABD2290">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9.450</w:t>
            </w:r>
          </w:p>
        </w:tc>
      </w:tr>
      <w:tr w14:paraId="2849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034" w:type="dxa"/>
            <w:noWrap w:val="0"/>
            <w:vAlign w:val="center"/>
          </w:tcPr>
          <w:p w14:paraId="1B43511A">
            <w:pPr>
              <w:keepNext w:val="0"/>
              <w:keepLines w:val="0"/>
              <w:pageBreakBefore w:val="0"/>
              <w:widowControl w:val="0"/>
              <w:kinsoku/>
              <w:wordWrap/>
              <w:overflowPunct/>
              <w:topLinePunct w:val="0"/>
              <w:autoSpaceDE/>
              <w:autoSpaceDN/>
              <w:bidi w:val="0"/>
              <w:adjustRightInd/>
              <w:snapToGrid/>
              <w:spacing w:before="63" w:beforeLines="20" w:line="288" w:lineRule="auto"/>
              <w:jc w:val="center"/>
              <w:textAlignment w:val="auto"/>
              <w:rPr>
                <w:rFonts w:hint="eastAsia"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100～500</w:t>
            </w:r>
          </w:p>
        </w:tc>
        <w:tc>
          <w:tcPr>
            <w:tcW w:w="2103" w:type="dxa"/>
            <w:noWrap w:val="0"/>
            <w:vAlign w:val="center"/>
          </w:tcPr>
          <w:p w14:paraId="511D00D8">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4.410</w:t>
            </w:r>
          </w:p>
        </w:tc>
        <w:tc>
          <w:tcPr>
            <w:tcW w:w="1861" w:type="dxa"/>
            <w:noWrap w:val="0"/>
            <w:vAlign w:val="center"/>
          </w:tcPr>
          <w:p w14:paraId="71DA1785">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6.930</w:t>
            </w:r>
          </w:p>
        </w:tc>
        <w:tc>
          <w:tcPr>
            <w:tcW w:w="2076" w:type="dxa"/>
            <w:noWrap w:val="0"/>
            <w:vAlign w:val="center"/>
          </w:tcPr>
          <w:p w14:paraId="7DE112A8">
            <w:pPr>
              <w:pStyle w:val="91"/>
              <w:keepNext w:val="0"/>
              <w:keepLines w:val="0"/>
              <w:pageBreakBefore w:val="0"/>
              <w:widowControl w:val="0"/>
              <w:kinsoku/>
              <w:wordWrap/>
              <w:overflowPunct/>
              <w:topLinePunct w:val="0"/>
              <w:autoSpaceDE/>
              <w:autoSpaceDN/>
              <w:bidi w:val="0"/>
              <w:adjustRightInd/>
              <w:snapToGrid/>
              <w:spacing w:before="63" w:beforeLines="20" w:line="288" w:lineRule="auto"/>
              <w:ind w:left="0" w:leftChars="0" w:firstLine="0" w:firstLineChars="0"/>
              <w:jc w:val="center"/>
              <w:textAlignment w:val="auto"/>
              <w:rPr>
                <w:rFonts w:hint="eastAsia" w:ascii="宋体" w:hAnsi="宋体" w:eastAsia="宋体" w:cs="宋体"/>
                <w:bCs w:val="0"/>
                <w:color w:val="auto"/>
                <w:spacing w:val="0"/>
                <w:kern w:val="2"/>
                <w:sz w:val="24"/>
                <w:szCs w:val="24"/>
                <w:highlight w:val="none"/>
                <w:lang w:val="en-US" w:eastAsia="zh-CN" w:bidi="ar-SA"/>
              </w:rPr>
            </w:pPr>
            <w:r>
              <w:rPr>
                <w:rFonts w:hint="eastAsia" w:ascii="宋体" w:hAnsi="宋体" w:eastAsia="宋体" w:cs="宋体"/>
                <w:bCs w:val="0"/>
                <w:color w:val="auto"/>
                <w:spacing w:val="0"/>
                <w:kern w:val="2"/>
                <w:sz w:val="24"/>
                <w:szCs w:val="24"/>
                <w:highlight w:val="none"/>
                <w:lang w:val="en-US" w:eastAsia="zh-CN" w:bidi="ar-SA"/>
              </w:rPr>
              <w:t>5.040</w:t>
            </w:r>
          </w:p>
        </w:tc>
      </w:tr>
    </w:tbl>
    <w:p w14:paraId="6A6AF3D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s="宋体"/>
          <w:color w:val="auto"/>
          <w:sz w:val="24"/>
          <w:szCs w:val="24"/>
          <w:highlight w:val="none"/>
        </w:rPr>
      </w:pPr>
      <w:r>
        <w:rPr>
          <w:rFonts w:hint="eastAsia" w:ascii="宋体" w:hAnsi="宋体" w:cs="宋体"/>
          <w:color w:val="auto"/>
          <w:sz w:val="24"/>
          <w:szCs w:val="24"/>
          <w:highlight w:val="none"/>
        </w:rPr>
        <w:t>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 xml:space="preserve"> </w:t>
      </w:r>
    </w:p>
    <w:p w14:paraId="34CBF4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（1）按本表费率计算的收费为采购代理的收费基准价格；</w:t>
      </w:r>
    </w:p>
    <w:p w14:paraId="6589289C">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szCs w:val="24"/>
          <w:highlight w:val="none"/>
        </w:rPr>
        <w:t>（2）采购代理收费按差额定率累进法计算。</w:t>
      </w:r>
    </w:p>
    <w:p w14:paraId="1AE38B46">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32.3采购代理费收取银行账户</w:t>
      </w:r>
    </w:p>
    <w:p w14:paraId="751A0EA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开户名称：广西科联招标中心有限公司北海分公司 </w:t>
      </w:r>
    </w:p>
    <w:p w14:paraId="545FD92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开户银行：中国建设银行股份有限公司北海北部湾东路支行 </w:t>
      </w:r>
    </w:p>
    <w:p w14:paraId="44BA021B">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银行账号：45050165510109188888</w:t>
      </w:r>
    </w:p>
    <w:p w14:paraId="333F67D5">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156B1867">
      <w:pPr>
        <w:pStyle w:val="26"/>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16CB37F1">
      <w:pPr>
        <w:pStyle w:val="26"/>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3F6DA410">
      <w:pPr>
        <w:pStyle w:val="26"/>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2043CCD2">
      <w:pPr>
        <w:pStyle w:val="26"/>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单位全称：</w:t>
      </w:r>
      <w:r>
        <w:rPr>
          <w:rFonts w:hint="eastAsia" w:hAnsi="宋体" w:cs="Times New Roman"/>
          <w:color w:val="auto"/>
          <w:kern w:val="0"/>
          <w:sz w:val="24"/>
          <w:szCs w:val="24"/>
          <w:highlight w:val="none"/>
        </w:rPr>
        <w:t>广西科联招标中心有限公司</w:t>
      </w:r>
    </w:p>
    <w:p w14:paraId="52D5FB5F">
      <w:pPr>
        <w:pStyle w:val="26"/>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通讯地址：</w:t>
      </w:r>
      <w:r>
        <w:rPr>
          <w:rFonts w:hint="eastAsia" w:ascii="宋体" w:hAnsi="宋体" w:eastAsia="宋体" w:cs="宋体"/>
          <w:color w:val="auto"/>
          <w:sz w:val="24"/>
          <w:highlight w:val="none"/>
        </w:rPr>
        <w:t>北海市北海大道科技大厦三楼</w:t>
      </w:r>
    </w:p>
    <w:p w14:paraId="5E462A80">
      <w:pPr>
        <w:pStyle w:val="26"/>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rPr>
        <w:t>0779-3832133/3830266</w:t>
      </w:r>
      <w:r>
        <w:rPr>
          <w:rFonts w:hAnsi="宋体" w:cs="Times New Roman"/>
          <w:color w:val="auto"/>
          <w:kern w:val="0"/>
          <w:sz w:val="24"/>
          <w:szCs w:val="24"/>
          <w:highlight w:val="none"/>
        </w:rPr>
        <w:t xml:space="preserve">   </w:t>
      </w:r>
    </w:p>
    <w:p w14:paraId="7CEBF082">
      <w:pPr>
        <w:pStyle w:val="26"/>
        <w:spacing w:line="360" w:lineRule="auto"/>
        <w:ind w:firstLine="480" w:firstLineChars="200"/>
        <w:rPr>
          <w:rFonts w:hint="eastAsia"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lang w:eastAsia="zh-CN"/>
        </w:rPr>
        <w:t>：</w:t>
      </w:r>
      <w:r>
        <w:rPr>
          <w:rFonts w:hint="eastAsia" w:hAnsi="宋体" w:cs="Times New Roman"/>
          <w:color w:val="auto"/>
          <w:kern w:val="0"/>
          <w:sz w:val="24"/>
          <w:szCs w:val="24"/>
          <w:highlight w:val="none"/>
          <w:lang w:val="en-US" w:eastAsia="zh-CN"/>
        </w:rPr>
        <w:t>简良</w:t>
      </w:r>
    </w:p>
    <w:p w14:paraId="5C5BA5CA">
      <w:pPr>
        <w:spacing w:line="620" w:lineRule="exact"/>
        <w:jc w:val="center"/>
        <w:outlineLvl w:val="0"/>
        <w:rPr>
          <w:rFonts w:hint="eastAsia" w:ascii="宋体" w:hAnsi="宋体"/>
          <w:b/>
          <w:color w:val="auto"/>
          <w:sz w:val="44"/>
          <w:szCs w:val="44"/>
          <w:highlight w:val="none"/>
        </w:rPr>
      </w:pPr>
      <w:bookmarkStart w:id="30" w:name="_Toc3994506"/>
      <w:bookmarkStart w:id="31" w:name="_Toc176861408"/>
      <w:bookmarkStart w:id="32" w:name="_Toc23819"/>
    </w:p>
    <w:p w14:paraId="03082E89">
      <w:pPr>
        <w:rPr>
          <w:rFonts w:hint="eastAsia" w:ascii="宋体" w:hAnsi="宋体"/>
          <w:b/>
          <w:color w:val="auto"/>
          <w:sz w:val="44"/>
          <w:szCs w:val="44"/>
          <w:highlight w:val="none"/>
        </w:rPr>
      </w:pPr>
      <w:r>
        <w:rPr>
          <w:rFonts w:hint="eastAsia" w:ascii="宋体" w:hAnsi="宋体"/>
          <w:b/>
          <w:color w:val="auto"/>
          <w:sz w:val="44"/>
          <w:szCs w:val="44"/>
          <w:highlight w:val="none"/>
        </w:rPr>
        <w:br w:type="page"/>
      </w:r>
    </w:p>
    <w:p w14:paraId="596DDCDA">
      <w:pPr>
        <w:spacing w:line="620" w:lineRule="exact"/>
        <w:jc w:val="center"/>
        <w:outlineLvl w:val="0"/>
        <w:rPr>
          <w:rFonts w:ascii="宋体" w:hAnsi="宋体"/>
          <w:b/>
          <w:color w:val="auto"/>
          <w:sz w:val="44"/>
          <w:szCs w:val="44"/>
          <w:highlight w:val="none"/>
        </w:rPr>
      </w:pPr>
      <w:r>
        <w:rPr>
          <w:rFonts w:hint="eastAsia" w:ascii="宋体" w:hAnsi="宋体"/>
          <w:b/>
          <w:color w:val="auto"/>
          <w:sz w:val="44"/>
          <w:szCs w:val="44"/>
          <w:highlight w:val="none"/>
        </w:rPr>
        <w:t>第三章  竞争性磋商响应文件格式</w:t>
      </w:r>
      <w:bookmarkEnd w:id="30"/>
      <w:bookmarkEnd w:id="31"/>
      <w:bookmarkEnd w:id="32"/>
    </w:p>
    <w:p w14:paraId="657F368C">
      <w:pPr>
        <w:spacing w:line="360" w:lineRule="auto"/>
        <w:rPr>
          <w:rFonts w:hint="eastAsia" w:ascii="宋体" w:hAnsi="宋体"/>
          <w:b/>
          <w:color w:val="auto"/>
          <w:sz w:val="28"/>
          <w:szCs w:val="28"/>
          <w:highlight w:val="none"/>
        </w:rPr>
      </w:pPr>
    </w:p>
    <w:p w14:paraId="782D1F5F">
      <w:pPr>
        <w:spacing w:line="360" w:lineRule="auto"/>
        <w:rPr>
          <w:rFonts w:hint="eastAsia" w:ascii="宋体" w:hAnsi="宋体"/>
          <w:b/>
          <w:color w:val="auto"/>
          <w:sz w:val="28"/>
          <w:szCs w:val="28"/>
          <w:highlight w:val="none"/>
        </w:rPr>
      </w:pPr>
    </w:p>
    <w:p w14:paraId="6C52351B">
      <w:pPr>
        <w:spacing w:line="360" w:lineRule="auto"/>
        <w:rPr>
          <w:rFonts w:hint="eastAsia" w:ascii="宋体" w:hAnsi="宋体"/>
          <w:b/>
          <w:color w:val="auto"/>
          <w:sz w:val="28"/>
          <w:szCs w:val="28"/>
          <w:highlight w:val="none"/>
        </w:rPr>
      </w:pPr>
    </w:p>
    <w:p w14:paraId="0439DA91">
      <w:pPr>
        <w:spacing w:line="360" w:lineRule="auto"/>
        <w:rPr>
          <w:rFonts w:hint="eastAsia" w:ascii="宋体" w:hAnsi="宋体"/>
          <w:b/>
          <w:color w:val="auto"/>
          <w:sz w:val="28"/>
          <w:szCs w:val="28"/>
          <w:highlight w:val="none"/>
        </w:rPr>
      </w:pPr>
    </w:p>
    <w:p w14:paraId="55F606D9">
      <w:pPr>
        <w:spacing w:line="360" w:lineRule="auto"/>
        <w:rPr>
          <w:rFonts w:ascii="宋体" w:hAnsi="宋体"/>
          <w:b/>
          <w:color w:val="auto"/>
          <w:sz w:val="28"/>
          <w:szCs w:val="28"/>
          <w:highlight w:val="none"/>
        </w:rPr>
      </w:pPr>
      <w:r>
        <w:rPr>
          <w:rFonts w:hint="eastAsia" w:ascii="宋体" w:hAnsi="宋体"/>
          <w:b/>
          <w:color w:val="auto"/>
          <w:sz w:val="28"/>
          <w:szCs w:val="28"/>
          <w:highlight w:val="none"/>
        </w:rPr>
        <w:t>一、竞争性磋商响应文件外包装封面</w:t>
      </w:r>
      <w:r>
        <w:rPr>
          <w:rFonts w:hint="eastAsia" w:ascii="宋体" w:hAnsi="宋体"/>
          <w:b/>
          <w:bCs/>
          <w:color w:val="auto"/>
          <w:sz w:val="28"/>
          <w:szCs w:val="28"/>
          <w:highlight w:val="none"/>
        </w:rPr>
        <w:t>及</w:t>
      </w:r>
      <w:r>
        <w:rPr>
          <w:rFonts w:hint="eastAsia" w:ascii="宋体" w:hAnsi="宋体"/>
          <w:b/>
          <w:color w:val="auto"/>
          <w:sz w:val="28"/>
          <w:szCs w:val="28"/>
          <w:highlight w:val="none"/>
        </w:rPr>
        <w:t>竞争性磋商响应文件封面</w:t>
      </w:r>
      <w:r>
        <w:rPr>
          <w:rFonts w:hint="eastAsia" w:ascii="宋体" w:hAnsi="宋体"/>
          <w:b/>
          <w:bCs/>
          <w:color w:val="auto"/>
          <w:sz w:val="28"/>
          <w:szCs w:val="28"/>
          <w:highlight w:val="none"/>
        </w:rPr>
        <w:t>格式</w:t>
      </w:r>
    </w:p>
    <w:p w14:paraId="5A7B09DF">
      <w:pPr>
        <w:snapToGrid w:val="0"/>
        <w:spacing w:line="360" w:lineRule="auto"/>
        <w:rPr>
          <w:rFonts w:ascii="宋体" w:hAnsi="宋体"/>
          <w:b/>
          <w:color w:val="auto"/>
          <w:szCs w:val="21"/>
          <w:highlight w:val="none"/>
        </w:rPr>
      </w:pPr>
    </w:p>
    <w:p w14:paraId="7281220C">
      <w:pPr>
        <w:snapToGrid w:val="0"/>
        <w:spacing w:line="360" w:lineRule="auto"/>
        <w:rPr>
          <w:rFonts w:ascii="宋体" w:hAnsi="宋体"/>
          <w:b/>
          <w:color w:val="auto"/>
          <w:szCs w:val="21"/>
          <w:highlight w:val="none"/>
        </w:rPr>
      </w:pPr>
      <w:r>
        <w:rPr>
          <w:rFonts w:hint="eastAsia" w:ascii="宋体" w:hAnsi="宋体"/>
          <w:b/>
          <w:color w:val="auto"/>
          <w:szCs w:val="21"/>
          <w:highlight w:val="none"/>
        </w:rPr>
        <w:t>一）.</w:t>
      </w:r>
      <w:r>
        <w:rPr>
          <w:rFonts w:hint="eastAsia" w:ascii="宋体" w:hAnsi="宋体"/>
          <w:b/>
          <w:color w:val="auto"/>
          <w:highlight w:val="none"/>
        </w:rPr>
        <w:t xml:space="preserve"> 竞争性磋商响应文件</w:t>
      </w:r>
      <w:r>
        <w:rPr>
          <w:rFonts w:hint="eastAsia" w:ascii="宋体" w:hAnsi="宋体"/>
          <w:b/>
          <w:color w:val="auto"/>
          <w:szCs w:val="21"/>
          <w:highlight w:val="none"/>
        </w:rPr>
        <w:t xml:space="preserve">的外包装封面格式： </w:t>
      </w:r>
    </w:p>
    <w:p w14:paraId="3C4C626B">
      <w:pPr>
        <w:snapToGrid w:val="0"/>
        <w:spacing w:line="360" w:lineRule="auto"/>
        <w:rPr>
          <w:rFonts w:ascii="宋体" w:hAnsi="宋体"/>
          <w:color w:val="auto"/>
          <w:szCs w:val="21"/>
          <w:highlight w:val="none"/>
        </w:rPr>
      </w:pPr>
    </w:p>
    <w:p w14:paraId="519D84EE">
      <w:pPr>
        <w:snapToGrid w:val="0"/>
        <w:spacing w:line="360" w:lineRule="auto"/>
        <w:ind w:firstLine="2638" w:firstLineChars="1095"/>
        <w:rPr>
          <w:rFonts w:ascii="宋体" w:hAnsi="宋体"/>
          <w:color w:val="auto"/>
          <w:sz w:val="24"/>
          <w:highlight w:val="none"/>
        </w:rPr>
      </w:pPr>
      <w:r>
        <w:rPr>
          <w:rFonts w:hint="eastAsia" w:ascii="宋体" w:hAnsi="宋体"/>
          <w:b/>
          <w:color w:val="auto"/>
          <w:sz w:val="24"/>
          <w:highlight w:val="none"/>
        </w:rPr>
        <w:t>竞争性磋商响应文件</w:t>
      </w:r>
      <w:r>
        <w:rPr>
          <w:rFonts w:hint="eastAsia" w:ascii="宋体" w:hAnsi="宋体"/>
          <w:b/>
          <w:bCs/>
          <w:color w:val="auto"/>
          <w:sz w:val="24"/>
          <w:highlight w:val="none"/>
        </w:rPr>
        <w:t xml:space="preserve">              </w:t>
      </w:r>
    </w:p>
    <w:p w14:paraId="284DA1B4">
      <w:pPr>
        <w:snapToGrid w:val="0"/>
        <w:spacing w:line="360" w:lineRule="auto"/>
        <w:ind w:firstLine="720" w:firstLineChars="300"/>
        <w:rPr>
          <w:rFonts w:ascii="宋体" w:hAnsi="宋体"/>
          <w:bCs/>
          <w:color w:val="auto"/>
          <w:sz w:val="24"/>
          <w:highlight w:val="none"/>
        </w:rPr>
      </w:pPr>
      <w:r>
        <w:rPr>
          <w:rFonts w:hint="eastAsia" w:ascii="宋体" w:hAnsi="宋体"/>
          <w:color w:val="auto"/>
          <w:sz w:val="24"/>
          <w:highlight w:val="none"/>
        </w:rPr>
        <w:t>项目名称</w:t>
      </w:r>
      <w:r>
        <w:rPr>
          <w:rFonts w:hint="eastAsia" w:ascii="宋体" w:hAnsi="宋体"/>
          <w:bCs/>
          <w:color w:val="auto"/>
          <w:sz w:val="24"/>
          <w:highlight w:val="none"/>
        </w:rPr>
        <w:t>：</w:t>
      </w:r>
    </w:p>
    <w:p w14:paraId="3D147897">
      <w:pPr>
        <w:snapToGrid w:val="0"/>
        <w:spacing w:line="360" w:lineRule="auto"/>
        <w:ind w:firstLine="720" w:firstLineChars="300"/>
        <w:rPr>
          <w:rFonts w:ascii="宋体" w:hAnsi="宋体"/>
          <w:bCs/>
          <w:color w:val="auto"/>
          <w:sz w:val="24"/>
          <w:highlight w:val="none"/>
        </w:rPr>
      </w:pPr>
      <w:r>
        <w:rPr>
          <w:rFonts w:hint="eastAsia" w:ascii="宋体" w:hAnsi="宋体"/>
          <w:color w:val="auto"/>
          <w:sz w:val="24"/>
          <w:highlight w:val="none"/>
        </w:rPr>
        <w:t>项目编号</w:t>
      </w:r>
      <w:r>
        <w:rPr>
          <w:rFonts w:hint="eastAsia" w:ascii="宋体" w:hAnsi="宋体"/>
          <w:bCs/>
          <w:color w:val="auto"/>
          <w:sz w:val="24"/>
          <w:highlight w:val="none"/>
        </w:rPr>
        <w:t>：</w:t>
      </w:r>
    </w:p>
    <w:p w14:paraId="40643E82">
      <w:pPr>
        <w:pStyle w:val="9"/>
        <w:snapToGrid w:val="0"/>
        <w:spacing w:line="360" w:lineRule="auto"/>
        <w:ind w:firstLine="720" w:firstLineChars="300"/>
        <w:rPr>
          <w:rFonts w:ascii="宋体" w:hAnsi="宋体"/>
          <w:bCs/>
          <w:color w:val="auto"/>
          <w:sz w:val="24"/>
          <w:szCs w:val="24"/>
          <w:highlight w:val="none"/>
        </w:rPr>
      </w:pPr>
      <w:r>
        <w:rPr>
          <w:rFonts w:hint="eastAsia" w:ascii="宋体" w:hAnsi="宋体"/>
          <w:color w:val="auto"/>
          <w:sz w:val="24"/>
          <w:szCs w:val="24"/>
          <w:highlight w:val="none"/>
        </w:rPr>
        <w:t>供应商名称</w:t>
      </w:r>
      <w:r>
        <w:rPr>
          <w:rFonts w:hint="eastAsia" w:ascii="宋体" w:hAnsi="宋体"/>
          <w:bCs/>
          <w:color w:val="auto"/>
          <w:sz w:val="24"/>
          <w:szCs w:val="24"/>
          <w:highlight w:val="none"/>
        </w:rPr>
        <w:t>：</w:t>
      </w:r>
    </w:p>
    <w:p w14:paraId="270B90BD">
      <w:pPr>
        <w:pStyle w:val="9"/>
        <w:snapToGrid w:val="0"/>
        <w:spacing w:line="360" w:lineRule="auto"/>
        <w:ind w:firstLine="720" w:firstLineChars="300"/>
        <w:rPr>
          <w:rFonts w:ascii="宋体" w:hAnsi="宋体"/>
          <w:bCs/>
          <w:color w:val="auto"/>
          <w:sz w:val="24"/>
          <w:szCs w:val="24"/>
          <w:highlight w:val="none"/>
        </w:rPr>
      </w:pPr>
      <w:r>
        <w:rPr>
          <w:rFonts w:hint="eastAsia" w:ascii="宋体" w:hAnsi="宋体"/>
          <w:bCs/>
          <w:color w:val="auto"/>
          <w:sz w:val="24"/>
          <w:szCs w:val="24"/>
          <w:highlight w:val="none"/>
        </w:rPr>
        <w:t>（截标时才能启封）</w:t>
      </w:r>
    </w:p>
    <w:p w14:paraId="1FAF9747">
      <w:pPr>
        <w:pStyle w:val="9"/>
        <w:snapToGrid w:val="0"/>
        <w:spacing w:line="360" w:lineRule="auto"/>
        <w:ind w:firstLine="630" w:firstLineChars="300"/>
        <w:rPr>
          <w:rFonts w:ascii="宋体" w:hAnsi="宋体"/>
          <w:bCs/>
          <w:color w:val="auto"/>
          <w:szCs w:val="21"/>
          <w:highlight w:val="none"/>
        </w:rPr>
      </w:pPr>
    </w:p>
    <w:p w14:paraId="4B37296D">
      <w:pPr>
        <w:snapToGrid w:val="0"/>
        <w:spacing w:line="360" w:lineRule="auto"/>
        <w:rPr>
          <w:rFonts w:ascii="宋体" w:hAnsi="宋体"/>
          <w:b/>
          <w:color w:val="auto"/>
          <w:sz w:val="24"/>
          <w:highlight w:val="none"/>
        </w:rPr>
      </w:pPr>
      <w:r>
        <w:rPr>
          <w:rFonts w:hint="eastAsia" w:ascii="宋体" w:hAnsi="宋体"/>
          <w:b/>
          <w:color w:val="auto"/>
          <w:szCs w:val="21"/>
          <w:highlight w:val="none"/>
        </w:rPr>
        <w:t>二）.</w:t>
      </w:r>
      <w:r>
        <w:rPr>
          <w:rFonts w:hint="eastAsia" w:ascii="宋体" w:hAnsi="宋体"/>
          <w:b/>
          <w:color w:val="auto"/>
          <w:highlight w:val="none"/>
        </w:rPr>
        <w:t xml:space="preserve"> 竞争性磋商响应文件</w:t>
      </w:r>
      <w:r>
        <w:rPr>
          <w:rFonts w:hint="eastAsia" w:ascii="宋体" w:hAnsi="宋体"/>
          <w:b/>
          <w:color w:val="auto"/>
          <w:szCs w:val="21"/>
          <w:highlight w:val="none"/>
        </w:rPr>
        <w:t>封面格式：</w:t>
      </w:r>
      <w:r>
        <w:rPr>
          <w:rFonts w:hint="eastAsia" w:ascii="宋体" w:hAnsi="宋体"/>
          <w:b/>
          <w:color w:val="auto"/>
          <w:sz w:val="24"/>
          <w:highlight w:val="none"/>
        </w:rPr>
        <w:t xml:space="preserve"> </w:t>
      </w:r>
    </w:p>
    <w:p w14:paraId="382565A5">
      <w:pPr>
        <w:snapToGrid w:val="0"/>
        <w:spacing w:line="360" w:lineRule="auto"/>
        <w:ind w:left="7200" w:hanging="7200" w:hangingChars="3000"/>
        <w:rPr>
          <w:rFonts w:ascii="宋体" w:hAnsi="宋体"/>
          <w:bCs/>
          <w:color w:val="auto"/>
          <w:sz w:val="24"/>
          <w:highlight w:val="none"/>
        </w:rPr>
      </w:pPr>
      <w:r>
        <w:rPr>
          <w:rFonts w:hint="eastAsia" w:ascii="宋体" w:hAnsi="宋体"/>
          <w:color w:val="auto"/>
          <w:sz w:val="24"/>
          <w:highlight w:val="none"/>
        </w:rPr>
        <w:t xml:space="preserve">                                                                                             </w:t>
      </w:r>
      <w:r>
        <w:rPr>
          <w:rFonts w:hint="eastAsia" w:ascii="宋体" w:hAnsi="宋体"/>
          <w:b/>
          <w:bCs/>
          <w:color w:val="auto"/>
          <w:szCs w:val="21"/>
          <w:highlight w:val="none"/>
        </w:rPr>
        <w:t>（正/副本）</w:t>
      </w:r>
    </w:p>
    <w:p w14:paraId="5283EE86">
      <w:pPr>
        <w:snapToGrid w:val="0"/>
        <w:spacing w:line="360" w:lineRule="auto"/>
        <w:ind w:firstLine="1915" w:firstLineChars="795"/>
        <w:rPr>
          <w:rFonts w:ascii="宋体" w:hAnsi="宋体"/>
          <w:bCs/>
          <w:color w:val="auto"/>
          <w:sz w:val="24"/>
          <w:highlight w:val="none"/>
        </w:rPr>
      </w:pPr>
      <w:r>
        <w:rPr>
          <w:rFonts w:hint="eastAsia" w:ascii="宋体" w:hAnsi="宋体"/>
          <w:b/>
          <w:color w:val="auto"/>
          <w:sz w:val="24"/>
          <w:highlight w:val="none"/>
        </w:rPr>
        <w:t>竞争性磋商响应文件（封面）</w:t>
      </w:r>
    </w:p>
    <w:p w14:paraId="6141FF07">
      <w:pPr>
        <w:spacing w:line="360" w:lineRule="auto"/>
        <w:ind w:firstLine="480" w:firstLineChars="200"/>
        <w:rPr>
          <w:rFonts w:ascii="宋体" w:hAnsi="宋体"/>
          <w:color w:val="auto"/>
          <w:sz w:val="24"/>
          <w:highlight w:val="none"/>
        </w:rPr>
      </w:pPr>
    </w:p>
    <w:p w14:paraId="2BC88D76">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p>
    <w:p w14:paraId="06DAE71A">
      <w:pPr>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项目编号</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4E053EFD">
      <w:pPr>
        <w:snapToGrid w:val="0"/>
        <w:spacing w:line="360" w:lineRule="auto"/>
        <w:ind w:firstLine="480" w:firstLineChars="200"/>
        <w:rPr>
          <w:rFonts w:ascii="宋体" w:hAnsi="宋体"/>
          <w:bCs/>
          <w:color w:val="auto"/>
          <w:sz w:val="24"/>
          <w:highlight w:val="none"/>
        </w:rPr>
      </w:pPr>
      <w:r>
        <w:rPr>
          <w:rFonts w:hint="eastAsia" w:ascii="宋体" w:hAnsi="宋体"/>
          <w:color w:val="auto"/>
          <w:sz w:val="24"/>
          <w:highlight w:val="none"/>
        </w:rPr>
        <w:t>供应商名称</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3CD89F5C">
      <w:pPr>
        <w:spacing w:line="360" w:lineRule="auto"/>
        <w:jc w:val="center"/>
        <w:rPr>
          <w:rFonts w:ascii="宋体" w:hAnsi="宋体"/>
          <w:color w:val="auto"/>
          <w:sz w:val="24"/>
          <w:highlight w:val="none"/>
        </w:rPr>
      </w:pPr>
      <w:r>
        <w:rPr>
          <w:rFonts w:hint="eastAsia" w:ascii="宋体" w:hAnsi="宋体"/>
          <w:color w:val="auto"/>
          <w:sz w:val="24"/>
          <w:highlight w:val="none"/>
        </w:rPr>
        <w:t xml:space="preserve">                      </w:t>
      </w:r>
    </w:p>
    <w:p w14:paraId="629AA7B1">
      <w:pPr>
        <w:snapToGrid w:val="0"/>
        <w:spacing w:line="360" w:lineRule="auto"/>
        <w:jc w:val="center"/>
        <w:rPr>
          <w:rFonts w:ascii="宋体" w:hAnsi="宋体"/>
          <w:color w:val="auto"/>
          <w:sz w:val="24"/>
          <w:highlight w:val="none"/>
        </w:rPr>
      </w:pPr>
      <w:r>
        <w:rPr>
          <w:rFonts w:hint="eastAsia" w:ascii="宋体" w:hAnsi="宋体"/>
          <w:color w:val="auto"/>
          <w:sz w:val="24"/>
          <w:highlight w:val="none"/>
        </w:rPr>
        <w:t xml:space="preserve">                                       年</w:t>
      </w:r>
      <w:r>
        <w:rPr>
          <w:rFonts w:hint="eastAsia" w:ascii="宋体" w:hAnsi="宋体" w:cs="宋体"/>
          <w:color w:val="auto"/>
          <w:sz w:val="24"/>
          <w:highlight w:val="none"/>
        </w:rPr>
        <w:t xml:space="preserve">    </w:t>
      </w:r>
      <w:r>
        <w:rPr>
          <w:rFonts w:hint="eastAsia" w:ascii="宋体" w:hAnsi="宋体"/>
          <w:color w:val="auto"/>
          <w:sz w:val="24"/>
          <w:highlight w:val="none"/>
        </w:rPr>
        <w:t>月    日</w:t>
      </w:r>
    </w:p>
    <w:p w14:paraId="5DCE22E7">
      <w:pPr>
        <w:spacing w:line="360" w:lineRule="auto"/>
        <w:ind w:firstLine="3229" w:firstLineChars="1340"/>
        <w:rPr>
          <w:rFonts w:ascii="宋体" w:hAnsi="宋体"/>
          <w:b/>
          <w:color w:val="auto"/>
          <w:sz w:val="24"/>
          <w:highlight w:val="none"/>
        </w:rPr>
      </w:pPr>
    </w:p>
    <w:p w14:paraId="17754CD1">
      <w:pPr>
        <w:spacing w:line="360" w:lineRule="auto"/>
        <w:rPr>
          <w:rFonts w:ascii="宋体" w:hAnsi="宋体"/>
          <w:b/>
          <w:color w:val="auto"/>
          <w:sz w:val="24"/>
          <w:highlight w:val="none"/>
        </w:rPr>
      </w:pPr>
    </w:p>
    <w:p w14:paraId="7C8BA99F">
      <w:pPr>
        <w:spacing w:line="360" w:lineRule="auto"/>
        <w:rPr>
          <w:rFonts w:ascii="宋体" w:hAnsi="宋体"/>
          <w:b/>
          <w:color w:val="auto"/>
          <w:sz w:val="24"/>
          <w:highlight w:val="none"/>
        </w:rPr>
      </w:pPr>
    </w:p>
    <w:p w14:paraId="1A78584E">
      <w:pPr>
        <w:spacing w:line="360" w:lineRule="auto"/>
        <w:rPr>
          <w:rFonts w:ascii="宋体" w:hAnsi="宋体"/>
          <w:b/>
          <w:color w:val="auto"/>
          <w:sz w:val="24"/>
          <w:highlight w:val="none"/>
        </w:rPr>
      </w:pPr>
    </w:p>
    <w:p w14:paraId="4270E935">
      <w:pPr>
        <w:spacing w:line="360" w:lineRule="auto"/>
        <w:rPr>
          <w:rFonts w:ascii="宋体" w:hAnsi="宋体"/>
          <w:b/>
          <w:color w:val="auto"/>
          <w:sz w:val="28"/>
          <w:szCs w:val="28"/>
          <w:highlight w:val="none"/>
        </w:rPr>
      </w:pPr>
      <w:r>
        <w:rPr>
          <w:rFonts w:hint="eastAsia" w:ascii="宋体" w:hAnsi="宋体"/>
          <w:b/>
          <w:color w:val="auto"/>
          <w:sz w:val="28"/>
          <w:szCs w:val="28"/>
          <w:highlight w:val="none"/>
        </w:rPr>
        <w:t>二、附  件</w:t>
      </w:r>
    </w:p>
    <w:p w14:paraId="6DF361D8">
      <w:pPr>
        <w:spacing w:line="360" w:lineRule="auto"/>
        <w:rPr>
          <w:rFonts w:ascii="宋体" w:hAnsi="宋体"/>
          <w:color w:val="auto"/>
          <w:szCs w:val="21"/>
          <w:highlight w:val="none"/>
        </w:rPr>
      </w:pPr>
    </w:p>
    <w:p w14:paraId="30A99D36">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附件1</w:t>
      </w:r>
    </w:p>
    <w:p w14:paraId="644F58D4">
      <w:pPr>
        <w:adjustRightInd w:val="0"/>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北海市政府采购供应商信用承诺函（格式）</w:t>
      </w:r>
    </w:p>
    <w:p w14:paraId="3C200419">
      <w:pPr>
        <w:widowControl/>
        <w:spacing w:line="360" w:lineRule="auto"/>
        <w:ind w:firstLine="480" w:firstLineChars="200"/>
        <w:jc w:val="left"/>
        <w:rPr>
          <w:rFonts w:ascii="宋体" w:hAnsi="宋体" w:cs="宋体"/>
          <w:color w:val="auto"/>
          <w:kern w:val="0"/>
          <w:sz w:val="24"/>
          <w:highlight w:val="none"/>
        </w:rPr>
      </w:pPr>
    </w:p>
    <w:p w14:paraId="09C5E4BF">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w:t>
      </w:r>
    </w:p>
    <w:p w14:paraId="3883D64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供应商名称：</w:t>
      </w:r>
    </w:p>
    <w:p w14:paraId="791B706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30BEBB77">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0737907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0C0EF6EF">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21DF119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029C3E6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0530304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6A4BF11E">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2EFFBF8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3B4EEAA4">
      <w:pPr>
        <w:widowControl/>
        <w:spacing w:line="360" w:lineRule="auto"/>
        <w:ind w:firstLine="480" w:firstLineChars="200"/>
        <w:jc w:val="left"/>
        <w:rPr>
          <w:rFonts w:ascii="宋体" w:hAnsi="宋体" w:cs="宋体"/>
          <w:color w:val="auto"/>
          <w:kern w:val="0"/>
          <w:sz w:val="24"/>
          <w:highlight w:val="none"/>
        </w:rPr>
      </w:pPr>
    </w:p>
    <w:p w14:paraId="0D07670D">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BC794D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3366B43">
      <w:pPr>
        <w:adjustRightInd w:val="0"/>
        <w:snapToGrid w:val="0"/>
        <w:spacing w:line="360" w:lineRule="auto"/>
        <w:ind w:firstLine="360" w:firstLineChars="150"/>
        <w:jc w:val="left"/>
        <w:rPr>
          <w:rFonts w:ascii="宋体" w:hAnsi="宋体"/>
          <w:color w:val="auto"/>
          <w:szCs w:val="21"/>
          <w:highlight w:val="none"/>
          <w:u w:val="single"/>
        </w:rPr>
      </w:pPr>
      <w:r>
        <w:rPr>
          <w:rFonts w:hint="eastAsia" w:ascii="宋体" w:hAnsi="宋体"/>
          <w:color w:val="auto"/>
          <w:sz w:val="24"/>
          <w:highlight w:val="none"/>
        </w:rPr>
        <w:t xml:space="preserve">     日期：  年   月   日</w:t>
      </w:r>
      <w:r>
        <w:rPr>
          <w:rFonts w:hint="eastAsia" w:ascii="宋体" w:hAnsi="宋体"/>
          <w:color w:val="auto"/>
          <w:sz w:val="24"/>
          <w:highlight w:val="none"/>
          <w:u w:val="single"/>
        </w:rPr>
        <w:t xml:space="preserve">                           </w:t>
      </w:r>
      <w:r>
        <w:rPr>
          <w:rFonts w:hint="eastAsia" w:ascii="宋体" w:hAnsi="宋体"/>
          <w:color w:val="auto"/>
          <w:szCs w:val="21"/>
          <w:highlight w:val="none"/>
          <w:u w:val="single"/>
        </w:rPr>
        <w:t xml:space="preserve">    </w:t>
      </w:r>
    </w:p>
    <w:p w14:paraId="40525598">
      <w:pPr>
        <w:adjustRightInd w:val="0"/>
        <w:snapToGrid w:val="0"/>
        <w:spacing w:line="360" w:lineRule="auto"/>
        <w:ind w:firstLine="315" w:firstLineChars="150"/>
        <w:jc w:val="left"/>
        <w:rPr>
          <w:rFonts w:ascii="宋体" w:hAnsi="宋体"/>
          <w:color w:val="auto"/>
          <w:szCs w:val="21"/>
          <w:highlight w:val="none"/>
          <w:u w:val="single"/>
        </w:rPr>
      </w:pPr>
    </w:p>
    <w:p w14:paraId="1B00E9FC">
      <w:pPr>
        <w:adjustRightInd w:val="0"/>
        <w:snapToGrid w:val="0"/>
        <w:spacing w:line="360" w:lineRule="auto"/>
        <w:ind w:firstLine="360" w:firstLineChars="150"/>
        <w:jc w:val="left"/>
        <w:rPr>
          <w:rFonts w:ascii="宋体" w:hAnsi="宋体"/>
          <w:color w:val="auto"/>
          <w:szCs w:val="21"/>
          <w:highlight w:val="none"/>
        </w:rPr>
      </w:pPr>
      <w:r>
        <w:rPr>
          <w:rFonts w:hint="eastAsia" w:ascii="宋体" w:hAnsi="宋体" w:cs="宋体"/>
          <w:color w:val="auto"/>
          <w:kern w:val="0"/>
          <w:sz w:val="24"/>
          <w:highlight w:val="none"/>
        </w:rPr>
        <w:t>注：供应商</w:t>
      </w:r>
      <w:r>
        <w:rPr>
          <w:rFonts w:hint="eastAsia" w:ascii="宋体" w:hAnsi="宋体" w:cs="宋体"/>
          <w:color w:val="auto"/>
          <w:kern w:val="0"/>
          <w:sz w:val="24"/>
          <w:highlight w:val="none"/>
          <w:lang w:val="en-US" w:eastAsia="zh-CN"/>
        </w:rPr>
        <w:t>若以承诺函方式响应资格要求时</w:t>
      </w:r>
      <w:r>
        <w:rPr>
          <w:rFonts w:hint="eastAsia" w:ascii="宋体" w:hAnsi="宋体" w:cs="宋体"/>
          <w:color w:val="auto"/>
          <w:kern w:val="0"/>
          <w:sz w:val="24"/>
          <w:highlight w:val="none"/>
        </w:rPr>
        <w:t>须在响应文件中按此模板提供承诺函，未提供视为未实质性响应采购文件要求，按无效响应处理。</w:t>
      </w:r>
    </w:p>
    <w:p w14:paraId="4E77CC66">
      <w:pPr>
        <w:spacing w:line="360" w:lineRule="auto"/>
        <w:ind w:left="420" w:hanging="420"/>
        <w:rPr>
          <w:rFonts w:ascii="宋体" w:hAnsi="宋体"/>
          <w:b/>
          <w:color w:val="auto"/>
          <w:highlight w:val="none"/>
        </w:rPr>
        <w:sectPr>
          <w:footerReference r:id="rId6" w:type="default"/>
          <w:pgSz w:w="11907" w:h="16839"/>
          <w:pgMar w:top="1431" w:right="1272" w:bottom="1364" w:left="1418" w:header="850" w:footer="1204" w:gutter="0"/>
          <w:pgNumType w:fmt="decimal"/>
          <w:cols w:space="720" w:num="1"/>
          <w:docGrid w:linePitch="286" w:charSpace="0"/>
        </w:sectPr>
      </w:pPr>
    </w:p>
    <w:p w14:paraId="53C52EF4">
      <w:pPr>
        <w:bidi w:val="0"/>
        <w:rPr>
          <w:rFonts w:hint="eastAsia"/>
          <w:b/>
          <w:bCs/>
          <w:color w:val="auto"/>
          <w:sz w:val="24"/>
          <w:szCs w:val="24"/>
          <w:highlight w:val="none"/>
          <w:lang w:val="en-US" w:eastAsia="zh-CN"/>
        </w:rPr>
      </w:pPr>
      <w:r>
        <w:rPr>
          <w:rFonts w:hint="eastAsia"/>
          <w:b/>
          <w:bCs/>
          <w:color w:val="auto"/>
          <w:sz w:val="24"/>
          <w:szCs w:val="24"/>
          <w:highlight w:val="none"/>
          <w:lang w:val="en-US" w:eastAsia="zh-CN"/>
        </w:rPr>
        <w:t>1.1法定代表人（负责人）授权委托书（信用承诺函由授权代表签名时，必须提供）</w:t>
      </w:r>
    </w:p>
    <w:p w14:paraId="6620F0EA">
      <w:pPr>
        <w:adjustRightInd w:val="0"/>
        <w:snapToGrid w:val="0"/>
        <w:spacing w:line="360" w:lineRule="auto"/>
        <w:jc w:val="both"/>
        <w:rPr>
          <w:rFonts w:hint="eastAsia" w:ascii="宋体" w:hAnsi="宋体"/>
          <w:b/>
          <w:color w:val="auto"/>
          <w:sz w:val="32"/>
          <w:szCs w:val="32"/>
          <w:highlight w:val="none"/>
        </w:rPr>
      </w:pPr>
    </w:p>
    <w:p w14:paraId="17D074ED">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p>
    <w:p w14:paraId="065213EF">
      <w:pPr>
        <w:adjustRightInd w:val="0"/>
        <w:snapToGrid w:val="0"/>
        <w:spacing w:line="360" w:lineRule="auto"/>
        <w:rPr>
          <w:rFonts w:ascii="宋体" w:hAnsi="宋体"/>
          <w:color w:val="auto"/>
          <w:szCs w:val="21"/>
          <w:highlight w:val="none"/>
        </w:rPr>
      </w:pPr>
    </w:p>
    <w:p w14:paraId="16741658">
      <w:pPr>
        <w:spacing w:line="360" w:lineRule="auto"/>
        <w:rPr>
          <w:rFonts w:ascii="宋体" w:hAnsi="宋体"/>
          <w:color w:val="auto"/>
          <w:sz w:val="24"/>
          <w:highlight w:val="none"/>
        </w:rPr>
      </w:pPr>
      <w:r>
        <w:rPr>
          <w:rFonts w:hint="eastAsia" w:hAnsi="宋体"/>
          <w:color w:val="auto"/>
          <w:sz w:val="24"/>
          <w:highlight w:val="none"/>
        </w:rPr>
        <w:t>（采购人）、（采购代理机构）</w:t>
      </w:r>
      <w:r>
        <w:rPr>
          <w:rFonts w:hint="eastAsia" w:ascii="宋体" w:hAnsi="宋体"/>
          <w:color w:val="auto"/>
          <w:sz w:val="24"/>
          <w:highlight w:val="none"/>
        </w:rPr>
        <w:t>：</w:t>
      </w:r>
    </w:p>
    <w:p w14:paraId="07B3F35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兹授权</w:t>
      </w:r>
      <w:r>
        <w:rPr>
          <w:rFonts w:hint="eastAsia" w:ascii="宋体" w:hAnsi="宋体"/>
          <w:color w:val="auto"/>
          <w:sz w:val="24"/>
          <w:highlight w:val="none"/>
          <w:u w:val="single"/>
        </w:rPr>
        <w:t xml:space="preserve">      </w:t>
      </w:r>
      <w:r>
        <w:rPr>
          <w:rFonts w:hint="eastAsia" w:ascii="宋体" w:hAnsi="宋体"/>
          <w:color w:val="auto"/>
          <w:sz w:val="24"/>
          <w:highlight w:val="none"/>
        </w:rPr>
        <w:t>同志为我公司参加贵单位组织的</w:t>
      </w:r>
      <w:r>
        <w:rPr>
          <w:rFonts w:hint="eastAsia" w:ascii="宋体" w:hAnsi="宋体"/>
          <w:color w:val="auto"/>
          <w:sz w:val="24"/>
          <w:highlight w:val="none"/>
          <w:u w:val="single"/>
        </w:rPr>
        <w:t xml:space="preserve">                     项目</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）竞争性磋商采购活动的委托代理人，全权代表我公司处理在该项目活动中的一切事宜。代理期限从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日起至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日止。 </w:t>
      </w:r>
    </w:p>
    <w:p w14:paraId="7FF317F7">
      <w:pPr>
        <w:spacing w:line="360" w:lineRule="auto"/>
        <w:rPr>
          <w:rFonts w:ascii="宋体" w:hAnsi="宋体"/>
          <w:color w:val="auto"/>
          <w:sz w:val="24"/>
          <w:highlight w:val="none"/>
        </w:rPr>
      </w:pPr>
    </w:p>
    <w:p w14:paraId="56D6E70C">
      <w:pPr>
        <w:spacing w:line="360" w:lineRule="auto"/>
        <w:rPr>
          <w:rFonts w:ascii="宋体" w:hAnsi="宋体"/>
          <w:color w:val="auto"/>
          <w:sz w:val="24"/>
          <w:highlight w:val="none"/>
        </w:rPr>
      </w:pPr>
      <w:r>
        <w:rPr>
          <w:rFonts w:hint="eastAsia" w:ascii="宋体" w:hAnsi="宋体"/>
          <w:color w:val="auto"/>
          <w:sz w:val="24"/>
          <w:highlight w:val="none"/>
        </w:rPr>
        <w:t>磋商供应商（公章）：</w:t>
      </w:r>
      <w:r>
        <w:rPr>
          <w:rFonts w:hint="eastAsia" w:ascii="宋体" w:hAnsi="宋体"/>
          <w:color w:val="auto"/>
          <w:sz w:val="24"/>
          <w:highlight w:val="none"/>
          <w:u w:val="single"/>
        </w:rPr>
        <w:t xml:space="preserve">               </w:t>
      </w:r>
    </w:p>
    <w:p w14:paraId="37FAAD36">
      <w:pPr>
        <w:spacing w:line="360" w:lineRule="auto"/>
        <w:rPr>
          <w:rFonts w:ascii="宋体" w:hAnsi="宋体"/>
          <w:color w:val="auto"/>
          <w:sz w:val="24"/>
          <w:highlight w:val="none"/>
        </w:rPr>
      </w:pPr>
      <w:r>
        <w:rPr>
          <w:rFonts w:hint="eastAsia" w:ascii="宋体" w:hAnsi="宋体"/>
          <w:color w:val="auto"/>
          <w:sz w:val="24"/>
          <w:highlight w:val="none"/>
        </w:rPr>
        <w:t>法定代表人（负责人）（签名）：</w:t>
      </w:r>
      <w:r>
        <w:rPr>
          <w:rFonts w:hint="eastAsia" w:ascii="宋体" w:hAnsi="宋体"/>
          <w:color w:val="auto"/>
          <w:sz w:val="24"/>
          <w:highlight w:val="none"/>
          <w:u w:val="single"/>
        </w:rPr>
        <w:t xml:space="preserve">       </w:t>
      </w:r>
    </w:p>
    <w:p w14:paraId="2AA69286">
      <w:pPr>
        <w:spacing w:line="360" w:lineRule="auto"/>
        <w:rPr>
          <w:rFonts w:ascii="宋体" w:hAnsi="宋体"/>
          <w:color w:val="auto"/>
          <w:sz w:val="24"/>
          <w:highlight w:val="none"/>
        </w:rPr>
      </w:pPr>
      <w:r>
        <w:rPr>
          <w:rFonts w:hint="eastAsia" w:ascii="宋体" w:hAnsi="宋体"/>
          <w:color w:val="auto"/>
          <w:sz w:val="24"/>
          <w:highlight w:val="none"/>
        </w:rPr>
        <w:t>签发日期：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21E871E8">
      <w:pPr>
        <w:spacing w:line="360" w:lineRule="auto"/>
        <w:rPr>
          <w:rFonts w:ascii="宋体" w:hAnsi="宋体"/>
          <w:color w:val="auto"/>
          <w:sz w:val="24"/>
          <w:highlight w:val="none"/>
        </w:rPr>
      </w:pPr>
    </w:p>
    <w:p w14:paraId="578644AC">
      <w:pPr>
        <w:spacing w:line="360" w:lineRule="auto"/>
        <w:rPr>
          <w:rFonts w:ascii="宋体" w:hAnsi="宋体"/>
          <w:color w:val="auto"/>
          <w:sz w:val="24"/>
          <w:highlight w:val="none"/>
        </w:rPr>
      </w:pPr>
      <w:r>
        <w:rPr>
          <w:rFonts w:hint="eastAsia" w:ascii="宋体" w:hAnsi="宋体"/>
          <w:color w:val="auto"/>
          <w:sz w:val="24"/>
          <w:highlight w:val="none"/>
        </w:rPr>
        <w:t>附：委托代理人工作单位</w:t>
      </w:r>
      <w:r>
        <w:rPr>
          <w:rFonts w:hint="eastAsia" w:ascii="宋体" w:hAnsi="宋体"/>
          <w:color w:val="auto"/>
          <w:sz w:val="24"/>
          <w:highlight w:val="none"/>
          <w:u w:val="single"/>
        </w:rPr>
        <w:t xml:space="preserve">               </w:t>
      </w:r>
    </w:p>
    <w:p w14:paraId="7ACB4AAD">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性别：</w:t>
      </w:r>
      <w:r>
        <w:rPr>
          <w:rFonts w:hint="eastAsia" w:ascii="宋体" w:hAnsi="宋体"/>
          <w:color w:val="auto"/>
          <w:sz w:val="24"/>
          <w:highlight w:val="none"/>
          <w:u w:val="single"/>
        </w:rPr>
        <w:t xml:space="preserve">    </w:t>
      </w:r>
    </w:p>
    <w:p w14:paraId="5BFD5FE3">
      <w:pPr>
        <w:adjustRightInd w:val="0"/>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tbl>
      <w:tblPr>
        <w:tblStyle w:val="40"/>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7DD0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07D38925">
            <w:pPr>
              <w:spacing w:line="360" w:lineRule="auto"/>
              <w:rPr>
                <w:rFonts w:ascii="宋体" w:hAnsi="宋体"/>
                <w:color w:val="auto"/>
                <w:sz w:val="24"/>
                <w:highlight w:val="none"/>
              </w:rPr>
            </w:pPr>
            <w:r>
              <w:rPr>
                <w:rFonts w:hint="eastAsia" w:ascii="宋体" w:hAnsi="宋体"/>
                <w:color w:val="auto"/>
                <w:sz w:val="24"/>
                <w:highlight w:val="none"/>
              </w:rPr>
              <w:t>粘贴委托代理人的正面及反面身份证复印件</w:t>
            </w:r>
          </w:p>
        </w:tc>
      </w:tr>
    </w:tbl>
    <w:p w14:paraId="25449BA5">
      <w:pPr>
        <w:rPr>
          <w:rFonts w:hint="eastAsia" w:ascii="宋体" w:hAnsi="宋体"/>
          <w:b/>
          <w:color w:val="auto"/>
          <w:sz w:val="24"/>
          <w:highlight w:val="none"/>
        </w:rPr>
      </w:pPr>
      <w:r>
        <w:rPr>
          <w:rFonts w:hint="eastAsia" w:ascii="宋体" w:hAnsi="宋体"/>
          <w:b/>
          <w:color w:val="auto"/>
          <w:sz w:val="24"/>
          <w:highlight w:val="none"/>
        </w:rPr>
        <w:br w:type="page"/>
      </w:r>
    </w:p>
    <w:p w14:paraId="1F2E6BD1">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附件2</w:t>
      </w:r>
    </w:p>
    <w:p w14:paraId="51B4FD88">
      <w:pPr>
        <w:pStyle w:val="30"/>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52467CE7">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4213202F">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463F24B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296432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6E0962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2CD1E7C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磋商文件的全部内容，愿意以人民币（大写）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1B8285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5D51A6A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2A6A7A5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311C6E9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414864E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（3）我方承诺按照磋商文件规定向你方递交履约担保。</w:t>
      </w:r>
    </w:p>
    <w:p w14:paraId="621C263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39585A8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066EBE4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6BFC56B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495C940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3BC2096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EF49D03">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064366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08BB3FD8">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3B03D268">
      <w:pPr>
        <w:spacing w:line="360" w:lineRule="auto"/>
        <w:ind w:left="3222"/>
        <w:rPr>
          <w:rFonts w:ascii="宋体" w:hAnsi="宋体"/>
          <w:color w:val="auto"/>
          <w:sz w:val="24"/>
          <w:highlight w:val="none"/>
        </w:rPr>
      </w:pPr>
    </w:p>
    <w:p w14:paraId="0A9E9254">
      <w:pPr>
        <w:spacing w:line="360" w:lineRule="auto"/>
        <w:ind w:left="3222"/>
        <w:rPr>
          <w:rFonts w:ascii="宋体" w:hAnsi="宋体"/>
          <w:color w:val="auto"/>
          <w:sz w:val="24"/>
          <w:highlight w:val="none"/>
        </w:rPr>
      </w:pPr>
    </w:p>
    <w:p w14:paraId="69E66982">
      <w:pPr>
        <w:spacing w:line="360" w:lineRule="auto"/>
        <w:ind w:left="3222"/>
        <w:rPr>
          <w:rFonts w:ascii="宋体" w:hAnsi="宋体"/>
          <w:color w:val="auto"/>
          <w:sz w:val="24"/>
          <w:highlight w:val="none"/>
        </w:rPr>
      </w:pPr>
    </w:p>
    <w:p w14:paraId="2921D18F">
      <w:pPr>
        <w:spacing w:line="360"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40"/>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2B8F1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4C40958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7291C05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A68BA4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395E632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6D906B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4054B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3F61A46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58FA561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212AFEC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9ED72D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6C384B5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E139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1D78BA8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56B6D17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649C82F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2966" w:type="dxa"/>
            <w:shd w:val="clear" w:color="auto" w:fill="auto"/>
            <w:vAlign w:val="center"/>
          </w:tcPr>
          <w:p w14:paraId="59B89C4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1A5C29A0">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3D26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2C390B80">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0CC4EE1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1177B66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07D5D4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5B9667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387339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755DBF9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50C6645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6B8566C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E07678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2AAE156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41F6D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4158BC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4DAD8B4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6771126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757C2B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27579C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71828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160784C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5F969E1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3E38A5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E08CB7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A5A03D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7E0EB7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96DEC0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66313880">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1524C0B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14F54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6635B6B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7B95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7A0FF93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5D3720F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5259964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4655D5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30E4F4F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48F870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26F05C7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787FE4E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485FA71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080244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27E9E9E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98A0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5CD8C08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18A3EF0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7303E10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A30383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5B7AE9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2F131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8CF7120">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5A01285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41CAA2E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D20F60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64DA8A1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D07F2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5BFE4E5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79ADCD9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02E385C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0D29D6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60288;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4B4979C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49BAE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0020344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2ACB327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531A2DC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38735E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115C6F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5BD2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6A5D5DF6">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78B73F9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4C9BF6A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694CDF0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5CDFD9A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2966" w:type="dxa"/>
            <w:shd w:val="clear" w:color="auto" w:fill="auto"/>
            <w:vAlign w:val="center"/>
          </w:tcPr>
          <w:p w14:paraId="02BADA7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A0C629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989C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79DA8A2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供应商在响应磋商文件中规定的实质性要求和条件的基础上，可做出其他有利于采购人的承诺。此类承诺可在本表中予以补充填写。</w:t>
            </w:r>
          </w:p>
        </w:tc>
      </w:tr>
    </w:tbl>
    <w:p w14:paraId="2AA53EC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21147B6F">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60EAF199">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1985408">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1E86210A">
      <w:pPr>
        <w:spacing w:line="360" w:lineRule="auto"/>
        <w:jc w:val="left"/>
        <w:rPr>
          <w:rFonts w:ascii="宋体" w:hAnsi="宋体" w:cs="宋体"/>
          <w:b/>
          <w:bCs/>
          <w:color w:val="auto"/>
          <w:spacing w:val="7"/>
          <w:sz w:val="24"/>
          <w:highlight w:val="none"/>
        </w:rPr>
      </w:pPr>
    </w:p>
    <w:p w14:paraId="65C4857E">
      <w:pPr>
        <w:spacing w:line="360"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751EAFE2">
      <w:pPr>
        <w:spacing w:line="360" w:lineRule="auto"/>
        <w:ind w:left="3643"/>
        <w:rPr>
          <w:rFonts w:ascii="宋体" w:hAnsi="宋体" w:cs="宋体"/>
          <w:color w:val="auto"/>
          <w:sz w:val="31"/>
          <w:szCs w:val="31"/>
          <w:highlight w:val="none"/>
        </w:rPr>
      </w:pPr>
      <w:r>
        <w:rPr>
          <w:rFonts w:hint="eastAsia" w:ascii="宋体" w:hAnsi="宋体" w:cs="宋体"/>
          <w:color w:val="auto"/>
          <w:spacing w:val="7"/>
          <w:sz w:val="31"/>
          <w:szCs w:val="31"/>
          <w:highlight w:val="none"/>
        </w:rPr>
        <w:t>竞标报价表</w:t>
      </w:r>
    </w:p>
    <w:p w14:paraId="1A841EE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0697AB0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分标（如有）：             </w:t>
      </w:r>
    </w:p>
    <w:p w14:paraId="7E9609F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4AF7215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40"/>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6BD55B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56" w:hRule="atLeast"/>
        </w:trPr>
        <w:tc>
          <w:tcPr>
            <w:tcW w:w="5109" w:type="dxa"/>
            <w:gridSpan w:val="2"/>
            <w:shd w:val="clear" w:color="auto" w:fill="auto"/>
            <w:vAlign w:val="center"/>
          </w:tcPr>
          <w:p w14:paraId="17625A82">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磋商报价</w:t>
            </w:r>
          </w:p>
        </w:tc>
        <w:tc>
          <w:tcPr>
            <w:tcW w:w="1984" w:type="dxa"/>
            <w:shd w:val="clear" w:color="auto" w:fill="auto"/>
            <w:vAlign w:val="center"/>
          </w:tcPr>
          <w:p w14:paraId="17AF8A51">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ABBF257">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06D25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2315291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ascii="宋体" w:hAnsi="宋体" w:cs="宋体"/>
                <w:color w:val="auto"/>
                <w:sz w:val="24"/>
                <w:highlight w:val="none"/>
              </w:rPr>
            </w:pPr>
          </w:p>
          <w:p w14:paraId="13A0EDB4">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2743B56E">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52FE70DD">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1BD705C9">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r>
      <w:tr w14:paraId="3A649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AD23E80">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5BCF7A23">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04B9C24F">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15A729E">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r>
      <w:tr w14:paraId="15005C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1764BC67">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57FAA07">
            <w:pPr>
              <w:keepNext w:val="0"/>
              <w:keepLines w:val="0"/>
              <w:pageBreakBefore w:val="0"/>
              <w:widowControl/>
              <w:kinsoku w:val="0"/>
              <w:wordWrap/>
              <w:overflowPunct/>
              <w:topLinePunct w:val="0"/>
              <w:autoSpaceDE w:val="0"/>
              <w:autoSpaceDN w:val="0"/>
              <w:bidi w:val="0"/>
              <w:adjustRightInd w:val="0"/>
              <w:snapToGrid w:val="0"/>
              <w:spacing w:line="400" w:lineRule="exact"/>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rPr>
              <w:t>承包人提供材料（设备）暂估价</w:t>
            </w:r>
            <w:r>
              <w:rPr>
                <w:rFonts w:hint="eastAsia" w:ascii="宋体" w:hAnsi="宋体" w:cs="宋体"/>
                <w:color w:val="auto"/>
                <w:sz w:val="24"/>
                <w:highlight w:val="none"/>
                <w:lang w:eastAsia="en-US"/>
              </w:rPr>
              <w:t>（如有）</w:t>
            </w:r>
          </w:p>
        </w:tc>
        <w:tc>
          <w:tcPr>
            <w:tcW w:w="1984" w:type="dxa"/>
            <w:shd w:val="clear" w:color="auto" w:fill="auto"/>
            <w:vAlign w:val="center"/>
          </w:tcPr>
          <w:p w14:paraId="61B8C036">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1DEAFB35">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r>
      <w:tr w14:paraId="6C53D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42D308FE">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756D6BDD">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7002CD6E">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12487292">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r>
      <w:tr w14:paraId="0B9C77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bottom w:val="nil"/>
            </w:tcBorders>
            <w:shd w:val="clear" w:color="auto" w:fill="auto"/>
            <w:vAlign w:val="center"/>
          </w:tcPr>
          <w:p w14:paraId="73688D33">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582FC353">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4459B6F9">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E76A419">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r>
      <w:tr w14:paraId="752283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tcBorders>
              <w:top w:val="nil"/>
            </w:tcBorders>
            <w:shd w:val="clear" w:color="auto" w:fill="auto"/>
            <w:vAlign w:val="center"/>
          </w:tcPr>
          <w:p w14:paraId="3E0F5BFC">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664FADD5">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left"/>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安全生产责任险</w:t>
            </w:r>
          </w:p>
        </w:tc>
        <w:tc>
          <w:tcPr>
            <w:tcW w:w="1984" w:type="dxa"/>
            <w:shd w:val="clear" w:color="auto" w:fill="auto"/>
            <w:vAlign w:val="center"/>
          </w:tcPr>
          <w:p w14:paraId="3A14138A">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hint="eastAsia"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07DB891">
            <w:pPr>
              <w:keepNext w:val="0"/>
              <w:keepLines w:val="0"/>
              <w:pageBreakBefore w:val="0"/>
              <w:widowControl/>
              <w:kinsoku w:val="0"/>
              <w:wordWrap/>
              <w:overflowPunct/>
              <w:topLinePunct w:val="0"/>
              <w:autoSpaceDE w:val="0"/>
              <w:autoSpaceDN w:val="0"/>
              <w:bidi w:val="0"/>
              <w:adjustRightInd w:val="0"/>
              <w:snapToGrid w:val="0"/>
              <w:spacing w:line="400" w:lineRule="exact"/>
              <w:ind w:firstLine="480" w:firstLineChars="200"/>
              <w:jc w:val="center"/>
              <w:textAlignment w:val="baseline"/>
              <w:rPr>
                <w:rFonts w:ascii="宋体" w:hAnsi="宋体" w:cs="宋体"/>
                <w:color w:val="auto"/>
                <w:sz w:val="24"/>
                <w:highlight w:val="none"/>
              </w:rPr>
            </w:pPr>
          </w:p>
        </w:tc>
      </w:tr>
    </w:tbl>
    <w:p w14:paraId="119835B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4B36C32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供应商的报价表使用电子签名，否则其响应文件按无效处理。</w:t>
      </w:r>
    </w:p>
    <w:p w14:paraId="3A17159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 报价一经涂改，应在涂改处使用电子签名，或由法定代表人或者授权委托人签字，否则其响应文件按无效处理。</w:t>
      </w:r>
    </w:p>
    <w:p w14:paraId="6558E2BB">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3.如为联合体竞标，“供应商名称”处必须列明联合体各方名称，标注联合体牵头人名称，否则其响应文件按无效处理。</w:t>
      </w:r>
    </w:p>
    <w:p w14:paraId="16DA24A2">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 如为联合体竞标，须使用联合体牵头人电子签名，否则其响应文件按无效处理。</w:t>
      </w:r>
    </w:p>
    <w:p w14:paraId="21913F9A">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5.如有多分标，分别列明各分标的报价表，否则其响应文件按无效处理。</w:t>
      </w:r>
    </w:p>
    <w:p w14:paraId="599B181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2D843883">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5A75F0B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6F888F17">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1F3F8EE9">
      <w:pPr>
        <w:spacing w:line="360" w:lineRule="auto"/>
        <w:rPr>
          <w:rFonts w:ascii="宋体" w:hAnsi="宋体"/>
          <w:b/>
          <w:bCs/>
          <w:color w:val="auto"/>
          <w:sz w:val="24"/>
          <w:highlight w:val="none"/>
        </w:rPr>
      </w:pPr>
    </w:p>
    <w:p w14:paraId="4ADC032C">
      <w:pPr>
        <w:spacing w:line="360" w:lineRule="auto"/>
        <w:rPr>
          <w:rFonts w:ascii="宋体" w:hAnsi="宋体"/>
          <w:b/>
          <w:bCs/>
          <w:color w:val="auto"/>
          <w:sz w:val="24"/>
          <w:highlight w:val="none"/>
        </w:rPr>
      </w:pPr>
    </w:p>
    <w:p w14:paraId="69E6B978">
      <w:pPr>
        <w:spacing w:line="360" w:lineRule="auto"/>
        <w:rPr>
          <w:rFonts w:ascii="宋体" w:hAnsi="宋体"/>
          <w:b/>
          <w:bCs/>
          <w:color w:val="auto"/>
          <w:sz w:val="24"/>
          <w:highlight w:val="none"/>
        </w:rPr>
      </w:pPr>
      <w:r>
        <w:rPr>
          <w:rFonts w:hint="eastAsia" w:ascii="宋体" w:hAnsi="宋体"/>
          <w:b/>
          <w:bCs/>
          <w:color w:val="auto"/>
          <w:sz w:val="24"/>
          <w:highlight w:val="none"/>
        </w:rPr>
        <w:t>附件4</w:t>
      </w:r>
    </w:p>
    <w:p w14:paraId="68013CE0">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704C431B">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79856B0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2438A98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2C84A2C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B908532">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6C3C7C6D">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09D7F6D5">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588E570C">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磋商处理。</w:t>
      </w:r>
    </w:p>
    <w:p w14:paraId="378BE5D6">
      <w:pPr>
        <w:spacing w:line="360" w:lineRule="auto"/>
        <w:ind w:firstLine="482" w:firstLineChars="200"/>
        <w:rPr>
          <w:rFonts w:ascii="宋体" w:hAnsi="宋体"/>
          <w:b/>
          <w:color w:val="auto"/>
          <w:sz w:val="24"/>
          <w:highlight w:val="none"/>
        </w:rPr>
        <w:sectPr>
          <w:pgSz w:w="11907" w:h="16839"/>
          <w:pgMar w:top="1431" w:right="1272" w:bottom="1364" w:left="1418" w:header="850" w:footer="1204" w:gutter="0"/>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（2）已标价工程量清单表格要严格按照工程量清单给出的表格要求和内容填报，否则按无效磋商处理。</w:t>
      </w:r>
    </w:p>
    <w:p w14:paraId="639198F1">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附件5</w:t>
      </w:r>
    </w:p>
    <w:p w14:paraId="7C454F7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磋 商 书</w:t>
      </w:r>
    </w:p>
    <w:p w14:paraId="14DA827F">
      <w:pPr>
        <w:spacing w:line="360" w:lineRule="auto"/>
        <w:jc w:val="center"/>
        <w:rPr>
          <w:rFonts w:ascii="宋体" w:hAnsi="宋体"/>
          <w:b/>
          <w:color w:val="auto"/>
          <w:sz w:val="24"/>
          <w:highlight w:val="none"/>
        </w:rPr>
      </w:pPr>
    </w:p>
    <w:p w14:paraId="1B277E5E">
      <w:pPr>
        <w:pStyle w:val="26"/>
        <w:spacing w:line="360" w:lineRule="auto"/>
        <w:rPr>
          <w:rFonts w:hAnsi="宋体"/>
          <w:color w:val="auto"/>
          <w:sz w:val="24"/>
          <w:szCs w:val="24"/>
          <w:highlight w:val="none"/>
        </w:rPr>
      </w:pPr>
      <w:r>
        <w:rPr>
          <w:rFonts w:hint="eastAsia" w:hAnsi="宋体"/>
          <w:color w:val="auto"/>
          <w:sz w:val="24"/>
          <w:szCs w:val="24"/>
          <w:highlight w:val="none"/>
        </w:rPr>
        <w:t>（采购人）、（采购代理机构）：</w:t>
      </w:r>
    </w:p>
    <w:p w14:paraId="2511CA72">
      <w:pPr>
        <w:pStyle w:val="26"/>
        <w:spacing w:line="360" w:lineRule="auto"/>
        <w:ind w:firstLine="480"/>
        <w:rPr>
          <w:rFonts w:hAnsi="宋体"/>
          <w:color w:val="auto"/>
          <w:sz w:val="24"/>
          <w:szCs w:val="24"/>
          <w:highlight w:val="none"/>
        </w:rPr>
      </w:pPr>
      <w:r>
        <w:rPr>
          <w:rFonts w:hint="eastAsia" w:hAnsi="宋体"/>
          <w:color w:val="auto"/>
          <w:sz w:val="24"/>
          <w:szCs w:val="24"/>
          <w:highlight w:val="none"/>
        </w:rPr>
        <w:t>依据贵方</w:t>
      </w:r>
      <w:r>
        <w:rPr>
          <w:rFonts w:hint="eastAsia" w:hAnsi="宋体"/>
          <w:color w:val="auto"/>
          <w:sz w:val="24"/>
          <w:szCs w:val="24"/>
          <w:highlight w:val="none"/>
          <w:u w:val="single"/>
        </w:rPr>
        <w:t>（项目名称/项目编号）</w:t>
      </w:r>
      <w:r>
        <w:rPr>
          <w:rFonts w:hint="eastAsia" w:hAnsi="宋体"/>
          <w:color w:val="auto"/>
          <w:sz w:val="24"/>
          <w:szCs w:val="24"/>
          <w:highlight w:val="none"/>
        </w:rPr>
        <w:t>项目政府采购的磋商邀请，我方</w:t>
      </w:r>
      <w:r>
        <w:rPr>
          <w:rFonts w:hint="eastAsia" w:hAnsi="宋体"/>
          <w:color w:val="auto"/>
          <w:sz w:val="24"/>
          <w:szCs w:val="24"/>
          <w:highlight w:val="none"/>
          <w:u w:val="single"/>
        </w:rPr>
        <w:t>（姓名和职务）</w:t>
      </w:r>
      <w:r>
        <w:rPr>
          <w:rFonts w:hint="eastAsia" w:hAnsi="宋体"/>
          <w:color w:val="auto"/>
          <w:sz w:val="24"/>
          <w:szCs w:val="24"/>
          <w:highlight w:val="none"/>
        </w:rPr>
        <w:t>经正式授权并代表本单位</w:t>
      </w:r>
      <w:r>
        <w:rPr>
          <w:rFonts w:hint="eastAsia" w:hAnsi="宋体"/>
          <w:color w:val="auto"/>
          <w:sz w:val="24"/>
          <w:szCs w:val="24"/>
          <w:highlight w:val="none"/>
          <w:u w:val="single"/>
        </w:rPr>
        <w:t>（供应商名称、地址）</w:t>
      </w:r>
      <w:r>
        <w:rPr>
          <w:rFonts w:hint="eastAsia" w:hAnsi="宋体"/>
          <w:color w:val="auto"/>
          <w:sz w:val="24"/>
          <w:szCs w:val="24"/>
          <w:highlight w:val="none"/>
        </w:rPr>
        <w:t>提交下述竞争性磋商响应文件</w:t>
      </w:r>
      <w:r>
        <w:rPr>
          <w:rFonts w:hint="eastAsia" w:hAnsi="宋体"/>
          <w:b/>
          <w:color w:val="auto"/>
          <w:sz w:val="24"/>
          <w:szCs w:val="24"/>
          <w:highlight w:val="none"/>
        </w:rPr>
        <w:t>（资格文件、价格文件、商务技术文件）</w:t>
      </w:r>
      <w:r>
        <w:rPr>
          <w:rFonts w:hint="eastAsia" w:hAnsi="宋体"/>
          <w:color w:val="auto"/>
          <w:sz w:val="24"/>
          <w:szCs w:val="24"/>
          <w:highlight w:val="none"/>
        </w:rPr>
        <w:t>。</w:t>
      </w:r>
    </w:p>
    <w:p w14:paraId="2C5C69A1">
      <w:pPr>
        <w:pStyle w:val="26"/>
        <w:spacing w:line="360" w:lineRule="auto"/>
        <w:ind w:firstLine="480"/>
        <w:rPr>
          <w:rFonts w:hAnsi="宋体"/>
          <w:color w:val="auto"/>
          <w:sz w:val="24"/>
          <w:szCs w:val="24"/>
          <w:highlight w:val="none"/>
        </w:rPr>
      </w:pPr>
      <w:r>
        <w:rPr>
          <w:rFonts w:hint="eastAsia" w:hAnsi="宋体"/>
          <w:color w:val="auto"/>
          <w:sz w:val="24"/>
          <w:szCs w:val="24"/>
          <w:highlight w:val="none"/>
        </w:rPr>
        <w:t>1. 报价表；</w:t>
      </w:r>
    </w:p>
    <w:p w14:paraId="0218B48C">
      <w:pPr>
        <w:pStyle w:val="26"/>
        <w:spacing w:line="360" w:lineRule="auto"/>
        <w:ind w:firstLine="480"/>
        <w:rPr>
          <w:rFonts w:hAnsi="宋体"/>
          <w:color w:val="auto"/>
          <w:sz w:val="24"/>
          <w:szCs w:val="24"/>
          <w:highlight w:val="none"/>
        </w:rPr>
      </w:pPr>
      <w:r>
        <w:rPr>
          <w:rFonts w:hint="eastAsia" w:hAnsi="宋体"/>
          <w:color w:val="auto"/>
          <w:sz w:val="24"/>
          <w:szCs w:val="24"/>
          <w:highlight w:val="none"/>
        </w:rPr>
        <w:t xml:space="preserve">2. 资格证明文件； </w:t>
      </w:r>
    </w:p>
    <w:p w14:paraId="0189B14D">
      <w:pPr>
        <w:pStyle w:val="26"/>
        <w:spacing w:line="360" w:lineRule="auto"/>
        <w:ind w:firstLine="480"/>
        <w:rPr>
          <w:rFonts w:hAnsi="宋体"/>
          <w:color w:val="auto"/>
          <w:sz w:val="24"/>
          <w:szCs w:val="24"/>
          <w:highlight w:val="none"/>
        </w:rPr>
      </w:pPr>
      <w:r>
        <w:rPr>
          <w:rFonts w:hint="eastAsia" w:hAnsi="宋体"/>
          <w:color w:val="auto"/>
          <w:sz w:val="24"/>
          <w:szCs w:val="24"/>
          <w:highlight w:val="none"/>
        </w:rPr>
        <w:t>3. 按竞争性磋商文件供应商须知和采购需求提供的有关文件。</w:t>
      </w:r>
    </w:p>
    <w:p w14:paraId="62CC8E53">
      <w:pPr>
        <w:pStyle w:val="26"/>
        <w:spacing w:line="360" w:lineRule="auto"/>
        <w:ind w:firstLine="360" w:firstLineChars="150"/>
        <w:rPr>
          <w:rFonts w:hAnsi="宋体"/>
          <w:color w:val="auto"/>
          <w:sz w:val="24"/>
          <w:szCs w:val="24"/>
          <w:highlight w:val="none"/>
        </w:rPr>
      </w:pPr>
      <w:r>
        <w:rPr>
          <w:rFonts w:hint="eastAsia" w:hAnsi="宋体"/>
          <w:color w:val="auto"/>
          <w:sz w:val="24"/>
          <w:szCs w:val="24"/>
          <w:highlight w:val="none"/>
        </w:rPr>
        <w:t>在此，授权代表宣布同意如下：</w:t>
      </w:r>
    </w:p>
    <w:p w14:paraId="7F607A8C">
      <w:pPr>
        <w:pStyle w:val="26"/>
        <w:spacing w:line="360" w:lineRule="auto"/>
        <w:ind w:firstLine="480" w:firstLineChars="200"/>
        <w:rPr>
          <w:rFonts w:hAnsi="宋体"/>
          <w:color w:val="auto"/>
          <w:sz w:val="24"/>
          <w:szCs w:val="24"/>
          <w:highlight w:val="none"/>
        </w:rPr>
      </w:pPr>
      <w:r>
        <w:rPr>
          <w:rFonts w:hint="eastAsia" w:hAnsi="宋体"/>
          <w:color w:val="auto"/>
          <w:sz w:val="24"/>
          <w:szCs w:val="24"/>
          <w:highlight w:val="none"/>
        </w:rPr>
        <w:t>1. 将按竞争性磋商文件的约定履行合同责任和义务；</w:t>
      </w:r>
    </w:p>
    <w:p w14:paraId="2756D3D7">
      <w:pPr>
        <w:pStyle w:val="26"/>
        <w:spacing w:line="360" w:lineRule="auto"/>
        <w:ind w:firstLine="480" w:firstLineChars="200"/>
        <w:rPr>
          <w:rFonts w:hAnsi="宋体"/>
          <w:color w:val="auto"/>
          <w:sz w:val="24"/>
          <w:szCs w:val="24"/>
          <w:highlight w:val="none"/>
        </w:rPr>
      </w:pPr>
      <w:r>
        <w:rPr>
          <w:rFonts w:hint="eastAsia" w:hAnsi="宋体"/>
          <w:color w:val="auto"/>
          <w:sz w:val="24"/>
          <w:szCs w:val="24"/>
          <w:highlight w:val="none"/>
        </w:rPr>
        <w:t>2. 已详细审查全部竞争性磋商文件，包括</w:t>
      </w:r>
      <w:r>
        <w:rPr>
          <w:rFonts w:hint="eastAsia" w:hAnsi="宋体"/>
          <w:color w:val="auto"/>
          <w:sz w:val="24"/>
          <w:szCs w:val="24"/>
          <w:highlight w:val="none"/>
          <w:u w:val="single"/>
        </w:rPr>
        <w:t>（补遗文件）（如果有的话）</w:t>
      </w:r>
      <w:r>
        <w:rPr>
          <w:rFonts w:hint="eastAsia" w:hAnsi="宋体"/>
          <w:color w:val="auto"/>
          <w:sz w:val="24"/>
          <w:szCs w:val="24"/>
          <w:highlight w:val="none"/>
        </w:rPr>
        <w:t>；</w:t>
      </w:r>
    </w:p>
    <w:p w14:paraId="4A5FBA67">
      <w:pPr>
        <w:pStyle w:val="26"/>
        <w:spacing w:line="360" w:lineRule="auto"/>
        <w:ind w:firstLine="480" w:firstLineChars="200"/>
        <w:rPr>
          <w:rFonts w:hAnsi="宋体"/>
          <w:color w:val="auto"/>
          <w:sz w:val="24"/>
          <w:szCs w:val="24"/>
          <w:highlight w:val="none"/>
        </w:rPr>
      </w:pPr>
      <w:r>
        <w:rPr>
          <w:rFonts w:hint="eastAsia" w:hAnsi="宋体"/>
          <w:color w:val="auto"/>
          <w:sz w:val="24"/>
          <w:szCs w:val="24"/>
          <w:highlight w:val="none"/>
        </w:rPr>
        <w:t>3. 同意提供按照贵方可能要求的与其磋商有关的一切数据或资料；</w:t>
      </w:r>
    </w:p>
    <w:p w14:paraId="69194135">
      <w:pPr>
        <w:pStyle w:val="26"/>
        <w:spacing w:line="360" w:lineRule="auto"/>
        <w:ind w:firstLine="480" w:firstLineChars="200"/>
        <w:rPr>
          <w:rFonts w:hAnsi="宋体"/>
          <w:color w:val="auto"/>
          <w:sz w:val="24"/>
          <w:szCs w:val="24"/>
          <w:highlight w:val="none"/>
          <w:u w:val="single"/>
        </w:rPr>
      </w:pPr>
      <w:r>
        <w:rPr>
          <w:rFonts w:hint="eastAsia" w:hAnsi="宋体"/>
          <w:color w:val="auto"/>
          <w:sz w:val="24"/>
          <w:szCs w:val="24"/>
          <w:highlight w:val="none"/>
        </w:rPr>
        <w:t>4. 与本磋商有关的一切正式往来信函请寄：</w:t>
      </w:r>
      <w:r>
        <w:rPr>
          <w:rFonts w:hint="eastAsia" w:hAnsi="宋体"/>
          <w:color w:val="auto"/>
          <w:sz w:val="24"/>
          <w:szCs w:val="24"/>
          <w:highlight w:val="none"/>
          <w:u w:val="single"/>
        </w:rPr>
        <w:t xml:space="preserve">                       </w:t>
      </w:r>
    </w:p>
    <w:p w14:paraId="1B22D6AB">
      <w:pPr>
        <w:pStyle w:val="26"/>
        <w:spacing w:line="360" w:lineRule="auto"/>
        <w:ind w:firstLine="840"/>
        <w:rPr>
          <w:rFonts w:hAnsi="宋体"/>
          <w:color w:val="auto"/>
          <w:sz w:val="24"/>
          <w:szCs w:val="24"/>
          <w:highlight w:val="none"/>
          <w:u w:val="single"/>
        </w:rPr>
      </w:pPr>
      <w:r>
        <w:rPr>
          <w:rFonts w:hint="eastAsia" w:hAnsi="宋体"/>
          <w:color w:val="auto"/>
          <w:sz w:val="24"/>
          <w:szCs w:val="24"/>
          <w:highlight w:val="none"/>
        </w:rPr>
        <w:t>开户银行：</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r>
        <w:rPr>
          <w:rFonts w:hint="eastAsia" w:hAnsi="宋体"/>
          <w:color w:val="auto"/>
          <w:sz w:val="24"/>
          <w:szCs w:val="24"/>
          <w:highlight w:val="none"/>
          <w:lang w:eastAsia="zh-CN"/>
        </w:rPr>
        <w:t>账号</w:t>
      </w:r>
      <w:r>
        <w:rPr>
          <w:rFonts w:hint="eastAsia" w:hAnsi="宋体"/>
          <w:color w:val="auto"/>
          <w:sz w:val="24"/>
          <w:szCs w:val="24"/>
          <w:highlight w:val="none"/>
        </w:rPr>
        <w:t>/行号：</w:t>
      </w:r>
      <w:r>
        <w:rPr>
          <w:rFonts w:hint="eastAsia" w:hAnsi="宋体"/>
          <w:color w:val="auto"/>
          <w:sz w:val="24"/>
          <w:szCs w:val="24"/>
          <w:highlight w:val="none"/>
          <w:u w:val="single"/>
        </w:rPr>
        <w:t xml:space="preserve">          </w:t>
      </w:r>
    </w:p>
    <w:p w14:paraId="57459E4E">
      <w:pPr>
        <w:pStyle w:val="26"/>
        <w:spacing w:line="360" w:lineRule="auto"/>
        <w:ind w:firstLine="840"/>
        <w:rPr>
          <w:rFonts w:hAnsi="宋体"/>
          <w:color w:val="auto"/>
          <w:sz w:val="24"/>
          <w:szCs w:val="24"/>
          <w:highlight w:val="none"/>
        </w:rPr>
      </w:pPr>
      <w:r>
        <w:rPr>
          <w:rFonts w:hint="eastAsia" w:hAnsi="宋体"/>
          <w:color w:val="auto"/>
          <w:sz w:val="24"/>
          <w:szCs w:val="24"/>
          <w:highlight w:val="none"/>
        </w:rPr>
        <w:t>电话/传真：</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电子函件：</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284E57BB">
      <w:pPr>
        <w:pStyle w:val="26"/>
        <w:spacing w:line="360" w:lineRule="auto"/>
        <w:ind w:firstLine="840"/>
        <w:rPr>
          <w:rFonts w:hAnsi="宋体"/>
          <w:color w:val="auto"/>
          <w:sz w:val="24"/>
          <w:szCs w:val="24"/>
          <w:highlight w:val="none"/>
          <w:u w:val="single"/>
        </w:rPr>
      </w:pPr>
      <w:r>
        <w:rPr>
          <w:rFonts w:hint="eastAsia" w:hAnsi="宋体"/>
          <w:color w:val="auto"/>
          <w:sz w:val="24"/>
          <w:szCs w:val="24"/>
          <w:highlight w:val="none"/>
        </w:rPr>
        <w:t>日期：</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6E91C4BD">
      <w:pPr>
        <w:adjustRightInd w:val="0"/>
        <w:snapToGrid w:val="0"/>
        <w:spacing w:line="360" w:lineRule="auto"/>
        <w:ind w:firstLine="1440" w:firstLineChars="600"/>
        <w:jc w:val="left"/>
        <w:rPr>
          <w:rFonts w:ascii="宋体" w:hAnsi="宋体"/>
          <w:color w:val="auto"/>
          <w:sz w:val="24"/>
          <w:highlight w:val="none"/>
        </w:rPr>
      </w:pPr>
    </w:p>
    <w:p w14:paraId="0B101365">
      <w:pPr>
        <w:adjustRightInd w:val="0"/>
        <w:snapToGrid w:val="0"/>
        <w:spacing w:line="360" w:lineRule="auto"/>
        <w:ind w:firstLine="1440" w:firstLineChars="600"/>
        <w:jc w:val="left"/>
        <w:rPr>
          <w:rFonts w:ascii="宋体" w:hAnsi="宋体"/>
          <w:color w:val="auto"/>
          <w:sz w:val="24"/>
          <w:highlight w:val="none"/>
        </w:rPr>
      </w:pPr>
    </w:p>
    <w:p w14:paraId="6D24E0E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DA33EB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0EF90327">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14859ACD">
      <w:pPr>
        <w:pStyle w:val="26"/>
        <w:spacing w:line="360" w:lineRule="auto"/>
        <w:ind w:firstLine="840"/>
        <w:rPr>
          <w:rFonts w:hAnsi="宋体"/>
          <w:color w:val="auto"/>
          <w:sz w:val="24"/>
          <w:szCs w:val="24"/>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1A7083FD">
      <w:pPr>
        <w:spacing w:line="360" w:lineRule="auto"/>
        <w:rPr>
          <w:rFonts w:ascii="宋体" w:hAnsi="宋体"/>
          <w:color w:val="auto"/>
          <w:sz w:val="24"/>
          <w:highlight w:val="none"/>
        </w:rPr>
      </w:pPr>
    </w:p>
    <w:p w14:paraId="32F97EAC">
      <w:pPr>
        <w:spacing w:line="360" w:lineRule="auto"/>
        <w:rPr>
          <w:rFonts w:ascii="宋体" w:hAnsi="宋体"/>
          <w:color w:val="auto"/>
          <w:highlight w:val="none"/>
        </w:rPr>
      </w:pPr>
    </w:p>
    <w:p w14:paraId="6A1F3F2C">
      <w:pPr>
        <w:spacing w:line="360" w:lineRule="auto"/>
        <w:rPr>
          <w:rFonts w:ascii="宋体" w:hAnsi="宋体"/>
          <w:color w:val="auto"/>
          <w:highlight w:val="none"/>
        </w:rPr>
      </w:pPr>
    </w:p>
    <w:p w14:paraId="06329EC2">
      <w:pPr>
        <w:spacing w:line="360" w:lineRule="auto"/>
        <w:ind w:left="420" w:hanging="420"/>
        <w:rPr>
          <w:rFonts w:ascii="宋体" w:hAnsi="宋体"/>
          <w:color w:val="auto"/>
          <w:highlight w:val="none"/>
        </w:rPr>
      </w:pPr>
    </w:p>
    <w:p w14:paraId="5FE24191">
      <w:pPr>
        <w:spacing w:line="360" w:lineRule="auto"/>
        <w:ind w:left="420" w:hanging="420"/>
        <w:rPr>
          <w:rFonts w:ascii="宋体" w:hAnsi="宋体"/>
          <w:b/>
          <w:color w:val="auto"/>
          <w:highlight w:val="none"/>
        </w:rPr>
      </w:pPr>
      <w:r>
        <w:rPr>
          <w:rFonts w:hint="eastAsia" w:ascii="宋体" w:hAnsi="宋体"/>
          <w:color w:val="auto"/>
          <w:highlight w:val="none"/>
        </w:rPr>
        <w:br w:type="page"/>
      </w:r>
    </w:p>
    <w:p w14:paraId="282FEC5C">
      <w:pPr>
        <w:spacing w:line="360" w:lineRule="auto"/>
        <w:ind w:left="420" w:hanging="420"/>
        <w:rPr>
          <w:rFonts w:ascii="宋体" w:hAnsi="宋体"/>
          <w:b/>
          <w:color w:val="auto"/>
          <w:highlight w:val="none"/>
        </w:rPr>
      </w:pPr>
    </w:p>
    <w:p w14:paraId="4B48E3A2">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附件6</w:t>
      </w:r>
    </w:p>
    <w:p w14:paraId="35BED0AA">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p>
    <w:p w14:paraId="0DBE994E">
      <w:pPr>
        <w:adjustRightInd w:val="0"/>
        <w:snapToGrid w:val="0"/>
        <w:spacing w:line="360" w:lineRule="auto"/>
        <w:rPr>
          <w:rFonts w:ascii="宋体" w:hAnsi="宋体"/>
          <w:color w:val="auto"/>
          <w:szCs w:val="21"/>
          <w:highlight w:val="none"/>
        </w:rPr>
      </w:pPr>
    </w:p>
    <w:p w14:paraId="4AE2DAAD">
      <w:pPr>
        <w:spacing w:line="360" w:lineRule="auto"/>
        <w:rPr>
          <w:rFonts w:ascii="宋体" w:hAnsi="宋体"/>
          <w:color w:val="auto"/>
          <w:sz w:val="24"/>
          <w:highlight w:val="none"/>
        </w:rPr>
      </w:pPr>
      <w:r>
        <w:rPr>
          <w:rFonts w:hint="eastAsia" w:hAnsi="宋体"/>
          <w:color w:val="auto"/>
          <w:sz w:val="24"/>
          <w:highlight w:val="none"/>
        </w:rPr>
        <w:t>（采购人）、（采购代理机构）</w:t>
      </w:r>
      <w:r>
        <w:rPr>
          <w:rFonts w:hint="eastAsia" w:ascii="宋体" w:hAnsi="宋体"/>
          <w:color w:val="auto"/>
          <w:sz w:val="24"/>
          <w:highlight w:val="none"/>
        </w:rPr>
        <w:t>：</w:t>
      </w:r>
    </w:p>
    <w:p w14:paraId="761116A7">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兹授权</w:t>
      </w:r>
      <w:r>
        <w:rPr>
          <w:rFonts w:hint="eastAsia" w:ascii="宋体" w:hAnsi="宋体"/>
          <w:color w:val="auto"/>
          <w:sz w:val="24"/>
          <w:highlight w:val="none"/>
          <w:u w:val="single"/>
        </w:rPr>
        <w:t xml:space="preserve">      </w:t>
      </w:r>
      <w:r>
        <w:rPr>
          <w:rFonts w:hint="eastAsia" w:ascii="宋体" w:hAnsi="宋体"/>
          <w:color w:val="auto"/>
          <w:sz w:val="24"/>
          <w:highlight w:val="none"/>
        </w:rPr>
        <w:t>同志为我公司参加贵单位组织的</w:t>
      </w:r>
      <w:r>
        <w:rPr>
          <w:rFonts w:hint="eastAsia" w:ascii="宋体" w:hAnsi="宋体"/>
          <w:color w:val="auto"/>
          <w:sz w:val="24"/>
          <w:highlight w:val="none"/>
          <w:u w:val="single"/>
        </w:rPr>
        <w:t xml:space="preserve">                     项目</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）竞争性磋商采购活动的委托代理人，全权代表我公司处理在该项目活动中的一切事宜。代理期限从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日起至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日止。 </w:t>
      </w:r>
    </w:p>
    <w:p w14:paraId="28C0AAB5">
      <w:pPr>
        <w:spacing w:line="360" w:lineRule="auto"/>
        <w:rPr>
          <w:rFonts w:ascii="宋体" w:hAnsi="宋体"/>
          <w:color w:val="auto"/>
          <w:sz w:val="24"/>
          <w:highlight w:val="none"/>
        </w:rPr>
      </w:pPr>
    </w:p>
    <w:p w14:paraId="52655DDE">
      <w:pPr>
        <w:spacing w:line="360" w:lineRule="auto"/>
        <w:rPr>
          <w:rFonts w:ascii="宋体" w:hAnsi="宋体"/>
          <w:color w:val="auto"/>
          <w:sz w:val="24"/>
          <w:highlight w:val="none"/>
        </w:rPr>
      </w:pPr>
      <w:r>
        <w:rPr>
          <w:rFonts w:hint="eastAsia" w:ascii="宋体" w:hAnsi="宋体"/>
          <w:color w:val="auto"/>
          <w:sz w:val="24"/>
          <w:highlight w:val="none"/>
        </w:rPr>
        <w:t>磋商供应商（公章）：</w:t>
      </w:r>
      <w:r>
        <w:rPr>
          <w:rFonts w:hint="eastAsia" w:ascii="宋体" w:hAnsi="宋体"/>
          <w:color w:val="auto"/>
          <w:sz w:val="24"/>
          <w:highlight w:val="none"/>
          <w:u w:val="single"/>
        </w:rPr>
        <w:t xml:space="preserve">               </w:t>
      </w:r>
    </w:p>
    <w:p w14:paraId="3659000E">
      <w:pPr>
        <w:spacing w:line="360" w:lineRule="auto"/>
        <w:rPr>
          <w:rFonts w:ascii="宋体" w:hAnsi="宋体"/>
          <w:color w:val="auto"/>
          <w:sz w:val="24"/>
          <w:highlight w:val="none"/>
        </w:rPr>
      </w:pPr>
      <w:r>
        <w:rPr>
          <w:rFonts w:hint="eastAsia" w:ascii="宋体" w:hAnsi="宋体"/>
          <w:color w:val="auto"/>
          <w:sz w:val="24"/>
          <w:highlight w:val="none"/>
        </w:rPr>
        <w:t>法定代表人（负责人）（签名）：</w:t>
      </w:r>
      <w:r>
        <w:rPr>
          <w:rFonts w:hint="eastAsia" w:ascii="宋体" w:hAnsi="宋体"/>
          <w:color w:val="auto"/>
          <w:sz w:val="24"/>
          <w:highlight w:val="none"/>
          <w:u w:val="single"/>
        </w:rPr>
        <w:t xml:space="preserve">       </w:t>
      </w:r>
    </w:p>
    <w:p w14:paraId="40DBB229">
      <w:pPr>
        <w:spacing w:line="360" w:lineRule="auto"/>
        <w:rPr>
          <w:rFonts w:ascii="宋体" w:hAnsi="宋体"/>
          <w:color w:val="auto"/>
          <w:sz w:val="24"/>
          <w:highlight w:val="none"/>
        </w:rPr>
      </w:pPr>
      <w:r>
        <w:rPr>
          <w:rFonts w:hint="eastAsia" w:ascii="宋体" w:hAnsi="宋体"/>
          <w:color w:val="auto"/>
          <w:sz w:val="24"/>
          <w:highlight w:val="none"/>
        </w:rPr>
        <w:t>签发日期：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109D9FA5">
      <w:pPr>
        <w:spacing w:line="360" w:lineRule="auto"/>
        <w:rPr>
          <w:rFonts w:ascii="宋体" w:hAnsi="宋体"/>
          <w:color w:val="auto"/>
          <w:sz w:val="24"/>
          <w:highlight w:val="none"/>
        </w:rPr>
      </w:pPr>
    </w:p>
    <w:p w14:paraId="07CA6B3E">
      <w:pPr>
        <w:spacing w:line="360" w:lineRule="auto"/>
        <w:rPr>
          <w:rFonts w:ascii="宋体" w:hAnsi="宋体"/>
          <w:color w:val="auto"/>
          <w:sz w:val="24"/>
          <w:highlight w:val="none"/>
        </w:rPr>
      </w:pPr>
      <w:r>
        <w:rPr>
          <w:rFonts w:hint="eastAsia" w:ascii="宋体" w:hAnsi="宋体"/>
          <w:color w:val="auto"/>
          <w:sz w:val="24"/>
          <w:highlight w:val="none"/>
        </w:rPr>
        <w:t>附：委托代理人工作单位</w:t>
      </w:r>
      <w:r>
        <w:rPr>
          <w:rFonts w:hint="eastAsia" w:ascii="宋体" w:hAnsi="宋体"/>
          <w:color w:val="auto"/>
          <w:sz w:val="24"/>
          <w:highlight w:val="none"/>
          <w:u w:val="single"/>
        </w:rPr>
        <w:t xml:space="preserve">               </w:t>
      </w:r>
    </w:p>
    <w:p w14:paraId="4E61343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性别：</w:t>
      </w:r>
      <w:r>
        <w:rPr>
          <w:rFonts w:hint="eastAsia" w:ascii="宋体" w:hAnsi="宋体"/>
          <w:color w:val="auto"/>
          <w:sz w:val="24"/>
          <w:highlight w:val="none"/>
          <w:u w:val="single"/>
        </w:rPr>
        <w:t xml:space="preserve">    </w:t>
      </w:r>
    </w:p>
    <w:p w14:paraId="37E4F8FD">
      <w:pPr>
        <w:adjustRightInd w:val="0"/>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tbl>
      <w:tblPr>
        <w:tblStyle w:val="40"/>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2C54A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2BD179C2">
            <w:pPr>
              <w:spacing w:line="360" w:lineRule="auto"/>
              <w:rPr>
                <w:rFonts w:ascii="宋体" w:hAnsi="宋体"/>
                <w:color w:val="auto"/>
                <w:sz w:val="24"/>
                <w:highlight w:val="none"/>
              </w:rPr>
            </w:pPr>
            <w:r>
              <w:rPr>
                <w:rFonts w:hint="eastAsia" w:ascii="宋体" w:hAnsi="宋体"/>
                <w:color w:val="auto"/>
                <w:sz w:val="24"/>
                <w:highlight w:val="none"/>
              </w:rPr>
              <w:t>粘贴委托代理人的正面及反面身份证复印件</w:t>
            </w:r>
          </w:p>
        </w:tc>
      </w:tr>
    </w:tbl>
    <w:p w14:paraId="3B8D287A">
      <w:pPr>
        <w:autoSpaceDE w:val="0"/>
        <w:autoSpaceDN w:val="0"/>
        <w:spacing w:line="360" w:lineRule="auto"/>
        <w:ind w:left="480" w:hanging="480"/>
        <w:rPr>
          <w:rFonts w:ascii="宋体" w:hAnsi="宋体"/>
          <w:color w:val="auto"/>
          <w:sz w:val="24"/>
          <w:highlight w:val="none"/>
        </w:rPr>
      </w:pPr>
    </w:p>
    <w:p w14:paraId="7C8E8F88">
      <w:pPr>
        <w:pStyle w:val="26"/>
        <w:spacing w:line="360" w:lineRule="auto"/>
        <w:rPr>
          <w:rFonts w:hAnsi="宋体"/>
          <w:color w:val="auto"/>
          <w:sz w:val="24"/>
          <w:szCs w:val="24"/>
          <w:highlight w:val="none"/>
        </w:rPr>
      </w:pPr>
    </w:p>
    <w:p w14:paraId="2EC5BFD9">
      <w:pPr>
        <w:pStyle w:val="26"/>
        <w:spacing w:line="360" w:lineRule="auto"/>
        <w:rPr>
          <w:rFonts w:hAnsi="宋体"/>
          <w:color w:val="auto"/>
          <w:sz w:val="24"/>
          <w:szCs w:val="24"/>
          <w:highlight w:val="none"/>
        </w:rPr>
      </w:pPr>
      <w:r>
        <w:rPr>
          <w:rFonts w:hAnsi="宋体"/>
          <w:color w:val="auto"/>
          <w:sz w:val="24"/>
          <w:szCs w:val="24"/>
          <w:highlight w:val="none"/>
        </w:rPr>
        <w:br w:type="page"/>
      </w:r>
    </w:p>
    <w:p w14:paraId="438FD92F">
      <w:pPr>
        <w:pStyle w:val="26"/>
        <w:spacing w:line="360" w:lineRule="auto"/>
        <w:rPr>
          <w:rFonts w:hAnsi="宋体"/>
          <w:color w:val="auto"/>
          <w:highlight w:val="none"/>
        </w:rPr>
      </w:pPr>
    </w:p>
    <w:p w14:paraId="144E9E3A">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附件7</w:t>
      </w:r>
    </w:p>
    <w:p w14:paraId="545A7A21">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法定代表人（负责人）身份证明书</w:t>
      </w:r>
    </w:p>
    <w:p w14:paraId="41F5E3D8">
      <w:pPr>
        <w:adjustRightInd w:val="0"/>
        <w:snapToGrid w:val="0"/>
        <w:spacing w:line="360" w:lineRule="auto"/>
        <w:ind w:firstLine="960" w:firstLineChars="400"/>
        <w:rPr>
          <w:rFonts w:ascii="宋体" w:hAnsi="宋体"/>
          <w:color w:val="auto"/>
          <w:sz w:val="24"/>
          <w:highlight w:val="none"/>
          <w:u w:val="single"/>
        </w:rPr>
      </w:pPr>
    </w:p>
    <w:p w14:paraId="16AB329B">
      <w:pPr>
        <w:adjustRightInd w:val="0"/>
        <w:snapToGrid w:val="0"/>
        <w:spacing w:line="360" w:lineRule="auto"/>
        <w:ind w:firstLine="960" w:firstLineChars="400"/>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 在我</w:t>
      </w:r>
      <w:r>
        <w:rPr>
          <w:rFonts w:hint="eastAsia" w:ascii="宋体" w:hAnsi="宋体"/>
          <w:color w:val="auto"/>
          <w:sz w:val="24"/>
          <w:highlight w:val="none"/>
          <w:u w:val="single"/>
        </w:rPr>
        <w:t xml:space="preserve">       </w:t>
      </w:r>
      <w:r>
        <w:rPr>
          <w:rFonts w:hint="eastAsia" w:ascii="宋体" w:hAnsi="宋体"/>
          <w:color w:val="auto"/>
          <w:sz w:val="24"/>
          <w:highlight w:val="none"/>
        </w:rPr>
        <w:t>任</w:t>
      </w:r>
      <w:r>
        <w:rPr>
          <w:rFonts w:hint="eastAsia" w:ascii="宋体" w:hAnsi="宋体"/>
          <w:color w:val="auto"/>
          <w:sz w:val="24"/>
          <w:highlight w:val="none"/>
          <w:u w:val="single"/>
        </w:rPr>
        <w:t xml:space="preserve">          </w:t>
      </w:r>
      <w:r>
        <w:rPr>
          <w:rFonts w:hint="eastAsia" w:ascii="宋体" w:hAnsi="宋体"/>
          <w:color w:val="auto"/>
          <w:sz w:val="24"/>
          <w:highlight w:val="none"/>
        </w:rPr>
        <w:t>职务，是我</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的法定代表人（负责人）。</w:t>
      </w:r>
    </w:p>
    <w:p w14:paraId="20F4B034">
      <w:pPr>
        <w:adjustRightInd w:val="0"/>
        <w:snapToGrid w:val="0"/>
        <w:spacing w:line="360" w:lineRule="auto"/>
        <w:ind w:firstLine="840" w:firstLineChars="350"/>
        <w:rPr>
          <w:rFonts w:ascii="宋体" w:hAnsi="宋体"/>
          <w:color w:val="auto"/>
          <w:sz w:val="24"/>
          <w:highlight w:val="none"/>
        </w:rPr>
      </w:pPr>
      <w:r>
        <w:rPr>
          <w:rFonts w:hint="eastAsia" w:ascii="宋体" w:hAnsi="宋体"/>
          <w:color w:val="auto"/>
          <w:sz w:val="24"/>
          <w:highlight w:val="none"/>
        </w:rPr>
        <w:t>特此证明。</w:t>
      </w:r>
    </w:p>
    <w:p w14:paraId="09F23939">
      <w:pPr>
        <w:adjustRightInd w:val="0"/>
        <w:snapToGrid w:val="0"/>
        <w:spacing w:line="360" w:lineRule="auto"/>
        <w:rPr>
          <w:rFonts w:ascii="宋体" w:hAnsi="宋体"/>
          <w:color w:val="auto"/>
          <w:sz w:val="24"/>
          <w:highlight w:val="none"/>
        </w:rPr>
      </w:pPr>
    </w:p>
    <w:p w14:paraId="71F3C9E4">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p>
    <w:p w14:paraId="0B7DFA01">
      <w:pPr>
        <w:adjustRightInd w:val="0"/>
        <w:snapToGrid w:val="0"/>
        <w:spacing w:line="360" w:lineRule="auto"/>
        <w:rPr>
          <w:rFonts w:ascii="宋体" w:hAnsi="宋体"/>
          <w:color w:val="auto"/>
          <w:sz w:val="24"/>
          <w:highlight w:val="none"/>
        </w:rPr>
      </w:pPr>
    </w:p>
    <w:p w14:paraId="2AB0C8C6">
      <w:pPr>
        <w:adjustRightInd w:val="0"/>
        <w:snapToGrid w:val="0"/>
        <w:spacing w:line="360" w:lineRule="auto"/>
        <w:ind w:firstLine="3360" w:firstLineChars="1400"/>
        <w:rPr>
          <w:rFonts w:ascii="宋体" w:hAnsi="宋体"/>
          <w:color w:val="auto"/>
          <w:sz w:val="24"/>
          <w:highlight w:val="none"/>
          <w:u w:val="single"/>
        </w:rPr>
      </w:pPr>
      <w:r>
        <w:rPr>
          <w:rFonts w:hint="eastAsia" w:ascii="宋体" w:hAnsi="宋体"/>
          <w:color w:val="auto"/>
          <w:sz w:val="24"/>
          <w:highlight w:val="none"/>
        </w:rPr>
        <w:t>单位名称：</w:t>
      </w:r>
      <w:r>
        <w:rPr>
          <w:rFonts w:hint="eastAsia" w:ascii="宋体" w:hAnsi="宋体"/>
          <w:color w:val="auto"/>
          <w:sz w:val="24"/>
          <w:highlight w:val="none"/>
          <w:u w:val="single"/>
        </w:rPr>
        <w:t xml:space="preserve">                              </w:t>
      </w:r>
    </w:p>
    <w:p w14:paraId="73D54625">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（单位公章）</w:t>
      </w:r>
    </w:p>
    <w:p w14:paraId="1FFFF29C">
      <w:pPr>
        <w:adjustRightInd w:val="0"/>
        <w:snapToGrid w:val="0"/>
        <w:spacing w:line="360" w:lineRule="auto"/>
        <w:rPr>
          <w:rFonts w:ascii="宋体" w:hAnsi="宋体"/>
          <w:color w:val="auto"/>
          <w:sz w:val="24"/>
          <w:highlight w:val="none"/>
        </w:rPr>
      </w:pPr>
    </w:p>
    <w:p w14:paraId="27BDFABD">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年     月    日</w:t>
      </w:r>
    </w:p>
    <w:p w14:paraId="3963211B">
      <w:pPr>
        <w:adjustRightInd w:val="0"/>
        <w:snapToGrid w:val="0"/>
        <w:spacing w:line="360" w:lineRule="auto"/>
        <w:rPr>
          <w:rFonts w:ascii="宋体" w:hAnsi="宋体"/>
          <w:color w:val="auto"/>
          <w:sz w:val="24"/>
          <w:highlight w:val="none"/>
        </w:rPr>
      </w:pPr>
    </w:p>
    <w:p w14:paraId="67BBF0CA">
      <w:pPr>
        <w:adjustRightInd w:val="0"/>
        <w:snapToGrid w:val="0"/>
        <w:spacing w:line="360" w:lineRule="auto"/>
        <w:ind w:firstLine="360" w:firstLineChars="150"/>
        <w:rPr>
          <w:rFonts w:ascii="宋体" w:hAnsi="宋体"/>
          <w:color w:val="auto"/>
          <w:sz w:val="24"/>
          <w:highlight w:val="none"/>
        </w:rPr>
      </w:pPr>
    </w:p>
    <w:p w14:paraId="5684419C">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住    址：</w:t>
      </w:r>
    </w:p>
    <w:p w14:paraId="1082765F">
      <w:pPr>
        <w:adjustRightInd w:val="0"/>
        <w:snapToGrid w:val="0"/>
        <w:spacing w:line="360" w:lineRule="auto"/>
        <w:ind w:firstLine="360" w:firstLineChars="150"/>
        <w:rPr>
          <w:rFonts w:ascii="宋体" w:hAnsi="宋体"/>
          <w:color w:val="auto"/>
          <w:sz w:val="24"/>
          <w:highlight w:val="none"/>
        </w:rPr>
      </w:pPr>
    </w:p>
    <w:p w14:paraId="498D85C0">
      <w:pPr>
        <w:pStyle w:val="26"/>
        <w:adjustRightInd w:val="0"/>
        <w:snapToGrid w:val="0"/>
        <w:spacing w:line="360" w:lineRule="auto"/>
        <w:ind w:firstLine="360" w:firstLineChars="150"/>
        <w:rPr>
          <w:rFonts w:hAnsi="宋体"/>
          <w:color w:val="auto"/>
          <w:sz w:val="24"/>
          <w:szCs w:val="24"/>
          <w:highlight w:val="none"/>
        </w:rPr>
      </w:pPr>
      <w:r>
        <w:rPr>
          <w:rFonts w:hint="eastAsia" w:hAnsi="宋体"/>
          <w:color w:val="auto"/>
          <w:sz w:val="24"/>
          <w:szCs w:val="24"/>
          <w:highlight w:val="none"/>
        </w:rPr>
        <w:t>联系电话：</w:t>
      </w:r>
    </w:p>
    <w:p w14:paraId="5A3EED3F">
      <w:pPr>
        <w:pStyle w:val="26"/>
        <w:adjustRightInd w:val="0"/>
        <w:snapToGrid w:val="0"/>
        <w:spacing w:line="360" w:lineRule="auto"/>
        <w:ind w:firstLine="360" w:firstLineChars="150"/>
        <w:rPr>
          <w:rFonts w:hAnsi="宋体"/>
          <w:color w:val="auto"/>
          <w:sz w:val="24"/>
          <w:szCs w:val="24"/>
          <w:highlight w:val="none"/>
        </w:r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2863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24" w:type="dxa"/>
          </w:tcPr>
          <w:p w14:paraId="2C783256">
            <w:pPr>
              <w:snapToGrid w:val="0"/>
              <w:spacing w:line="360" w:lineRule="auto"/>
              <w:rPr>
                <w:rFonts w:ascii="宋体" w:hAnsi="宋体"/>
                <w:color w:val="auto"/>
                <w:sz w:val="24"/>
                <w:highlight w:val="none"/>
              </w:rPr>
            </w:pPr>
            <w:r>
              <w:rPr>
                <w:rFonts w:hint="eastAsia" w:ascii="宋体" w:hAnsi="宋体"/>
                <w:color w:val="auto"/>
                <w:sz w:val="24"/>
                <w:highlight w:val="none"/>
              </w:rPr>
              <w:t>贴附“身份证复印件”（正反两面）</w:t>
            </w:r>
          </w:p>
        </w:tc>
      </w:tr>
      <w:tr w14:paraId="6CFF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1E2F1CA6">
            <w:pPr>
              <w:snapToGrid w:val="0"/>
              <w:spacing w:line="360" w:lineRule="auto"/>
              <w:rPr>
                <w:rFonts w:ascii="宋体" w:hAnsi="宋体"/>
                <w:color w:val="auto"/>
                <w:szCs w:val="21"/>
                <w:highlight w:val="none"/>
              </w:rPr>
            </w:pPr>
          </w:p>
        </w:tc>
      </w:tr>
    </w:tbl>
    <w:p w14:paraId="29E320A3">
      <w:pPr>
        <w:pStyle w:val="26"/>
        <w:spacing w:line="360" w:lineRule="auto"/>
        <w:rPr>
          <w:rFonts w:hAnsi="宋体"/>
          <w:color w:val="auto"/>
          <w:highlight w:val="none"/>
        </w:rPr>
      </w:pPr>
    </w:p>
    <w:p w14:paraId="3A87A974">
      <w:pPr>
        <w:autoSpaceDE w:val="0"/>
        <w:autoSpaceDN w:val="0"/>
        <w:adjustRightInd w:val="0"/>
        <w:snapToGrid w:val="0"/>
        <w:spacing w:line="360" w:lineRule="auto"/>
        <w:rPr>
          <w:rFonts w:ascii="宋体" w:hAnsi="宋体"/>
          <w:b/>
          <w:color w:val="auto"/>
          <w:kern w:val="0"/>
          <w:sz w:val="24"/>
          <w:highlight w:val="none"/>
        </w:rPr>
      </w:pPr>
      <w:r>
        <w:rPr>
          <w:rFonts w:hint="eastAsia" w:ascii="宋体" w:hAnsi="宋体"/>
          <w:b/>
          <w:color w:val="auto"/>
          <w:sz w:val="24"/>
          <w:highlight w:val="none"/>
        </w:rPr>
        <w:t>附件8</w:t>
      </w:r>
    </w:p>
    <w:p w14:paraId="4C371EF5">
      <w:pPr>
        <w:autoSpaceDE w:val="0"/>
        <w:autoSpaceDN w:val="0"/>
        <w:adjustRightInd w:val="0"/>
        <w:snapToGrid w:val="0"/>
        <w:spacing w:line="360" w:lineRule="auto"/>
        <w:ind w:firstLine="14753" w:firstLineChars="3340"/>
        <w:rPr>
          <w:rFonts w:ascii="宋体" w:hAnsi="宋体"/>
          <w:b/>
          <w:color w:val="auto"/>
          <w:kern w:val="0"/>
          <w:sz w:val="44"/>
          <w:szCs w:val="44"/>
          <w:highlight w:val="none"/>
        </w:rPr>
      </w:pPr>
    </w:p>
    <w:p w14:paraId="281BC8C1">
      <w:pPr>
        <w:spacing w:line="360" w:lineRule="auto"/>
        <w:ind w:firstLine="640" w:firstLineChars="200"/>
        <w:jc w:val="center"/>
        <w:rPr>
          <w:rFonts w:ascii="宋体" w:hAnsi="宋体"/>
          <w:color w:val="auto"/>
          <w:kern w:val="0"/>
          <w:sz w:val="32"/>
          <w:szCs w:val="21"/>
          <w:highlight w:val="none"/>
        </w:rPr>
      </w:pPr>
      <w:r>
        <w:rPr>
          <w:rFonts w:hint="eastAsia" w:ascii="宋体" w:hAnsi="宋体"/>
          <w:color w:val="auto"/>
          <w:kern w:val="0"/>
          <w:sz w:val="32"/>
          <w:szCs w:val="21"/>
          <w:highlight w:val="none"/>
        </w:rPr>
        <w:t>承诺函（格式）</w:t>
      </w:r>
    </w:p>
    <w:p w14:paraId="6734BF5F">
      <w:pPr>
        <w:widowControl/>
        <w:spacing w:line="360" w:lineRule="auto"/>
        <w:ind w:firstLine="480" w:firstLineChars="200"/>
        <w:jc w:val="left"/>
        <w:rPr>
          <w:rFonts w:ascii="宋体" w:hAnsi="宋体"/>
          <w:color w:val="auto"/>
          <w:kern w:val="0"/>
          <w:sz w:val="24"/>
          <w:highlight w:val="none"/>
        </w:rPr>
      </w:pPr>
    </w:p>
    <w:p w14:paraId="322360FA">
      <w:pPr>
        <w:widowControl/>
        <w:spacing w:line="360" w:lineRule="auto"/>
        <w:jc w:val="left"/>
        <w:rPr>
          <w:rFonts w:ascii="宋体" w:hAnsi="宋体"/>
          <w:color w:val="auto"/>
          <w:kern w:val="0"/>
          <w:sz w:val="24"/>
          <w:highlight w:val="none"/>
        </w:rPr>
      </w:pPr>
      <w:r>
        <w:rPr>
          <w:rFonts w:hint="eastAsia" w:ascii="宋体" w:hAnsi="宋体"/>
          <w:color w:val="auto"/>
          <w:kern w:val="0"/>
          <w:sz w:val="24"/>
          <w:highlight w:val="none"/>
          <w:u w:val="single"/>
        </w:rPr>
        <w:t>（采购人）、（采购代理机构）</w:t>
      </w:r>
      <w:r>
        <w:rPr>
          <w:rFonts w:hint="eastAsia" w:ascii="宋体" w:hAnsi="宋体"/>
          <w:color w:val="auto"/>
          <w:kern w:val="0"/>
          <w:sz w:val="24"/>
          <w:highlight w:val="none"/>
        </w:rPr>
        <w:t>：</w:t>
      </w:r>
    </w:p>
    <w:p w14:paraId="5993BD35">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我方作为本次采购项目的磋商供应商，根据磋商文件要求，现郑重承诺如下：</w:t>
      </w:r>
    </w:p>
    <w:p w14:paraId="61EA92DA">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4EBB716E">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二、参加本次采购活动，不存在与单位负责人为同一人或者存在直接控股、管理关系的其他供应商参与同一合同项下的政府采购活动的行为。</w:t>
      </w:r>
    </w:p>
    <w:p w14:paraId="1C71D782">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49D6831E">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58797A0E">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五、响应文件中提供的能够给予我方带来优惠、好处的任何材料资料和技术、服务、商务、响应产品等响应承诺情况都是真实的、有效的、合法的。</w:t>
      </w:r>
    </w:p>
    <w:p w14:paraId="7CEA3274">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六、参加本次采购活动，我方完全同意磋商文件第二章关于“成交费用”、 “履约保证金”的实质性要求，并承诺严格按照磋商文件要求履行。</w:t>
      </w:r>
    </w:p>
    <w:p w14:paraId="7DB2751A">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6016D199">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我方对上述承诺的内容事项真实性负责。如经查实上述承诺的内容事项存在虚假，我方愿意接受以提供虚假材料谋取成交追究法律责任。</w:t>
      </w:r>
    </w:p>
    <w:p w14:paraId="194AEEEF">
      <w:pPr>
        <w:adjustRightInd w:val="0"/>
        <w:snapToGrid w:val="0"/>
        <w:spacing w:line="360" w:lineRule="auto"/>
        <w:ind w:right="1470" w:rightChars="700"/>
        <w:rPr>
          <w:rFonts w:ascii="宋体" w:hAnsi="宋体"/>
          <w:color w:val="auto"/>
          <w:kern w:val="0"/>
          <w:sz w:val="24"/>
          <w:highlight w:val="none"/>
        </w:rPr>
      </w:pPr>
    </w:p>
    <w:p w14:paraId="24761434">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1258FFA6">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0B1F7D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2580CA51">
      <w:pPr>
        <w:pStyle w:val="91"/>
        <w:spacing w:before="0" w:after="0" w:line="360" w:lineRule="auto"/>
        <w:rPr>
          <w:rFonts w:ascii="宋体" w:hAnsi="宋体" w:eastAsia="宋体"/>
          <w:color w:val="auto"/>
          <w:highlight w:val="none"/>
        </w:rPr>
      </w:pPr>
    </w:p>
    <w:p w14:paraId="281E65FA">
      <w:pPr>
        <w:spacing w:line="360" w:lineRule="auto"/>
        <w:rPr>
          <w:rFonts w:hint="eastAsia" w:ascii="宋体" w:hAnsi="宋体"/>
          <w:b/>
          <w:color w:val="auto"/>
          <w:sz w:val="24"/>
          <w:highlight w:val="none"/>
        </w:rPr>
        <w:sectPr>
          <w:pgSz w:w="11907" w:h="16839"/>
          <w:pgMar w:top="1431" w:right="1272" w:bottom="1364" w:left="1418" w:header="850" w:footer="1204" w:gutter="0"/>
          <w:pgNumType w:fmt="decimal"/>
          <w:cols w:space="720" w:num="1"/>
          <w:docGrid w:linePitch="286" w:charSpace="0"/>
        </w:sectPr>
      </w:pPr>
    </w:p>
    <w:p w14:paraId="60191913">
      <w:pPr>
        <w:spacing w:line="360" w:lineRule="auto"/>
        <w:rPr>
          <w:rFonts w:ascii="宋体" w:hAnsi="宋体"/>
          <w:b/>
          <w:color w:val="auto"/>
          <w:sz w:val="24"/>
          <w:highlight w:val="none"/>
        </w:rPr>
      </w:pPr>
      <w:r>
        <w:rPr>
          <w:rFonts w:hint="eastAsia" w:ascii="宋体" w:hAnsi="宋体"/>
          <w:b/>
          <w:color w:val="auto"/>
          <w:sz w:val="24"/>
          <w:highlight w:val="none"/>
        </w:rPr>
        <w:t>附件9</w:t>
      </w:r>
    </w:p>
    <w:p w14:paraId="0DE500ED">
      <w:pPr>
        <w:tabs>
          <w:tab w:val="left" w:pos="5387"/>
        </w:tabs>
        <w:spacing w:line="360" w:lineRule="auto"/>
        <w:jc w:val="center"/>
        <w:rPr>
          <w:rFonts w:ascii="宋体" w:hAnsi="宋体" w:cs="宋体"/>
          <w:color w:val="auto"/>
          <w:sz w:val="24"/>
          <w:highlight w:val="none"/>
        </w:rPr>
      </w:pPr>
      <w:r>
        <w:rPr>
          <w:rFonts w:hint="eastAsia" w:ascii="宋体" w:hAnsi="宋体"/>
          <w:b/>
          <w:color w:val="auto"/>
          <w:sz w:val="24"/>
          <w:highlight w:val="none"/>
        </w:rPr>
        <w:t>施工组织设计</w:t>
      </w:r>
    </w:p>
    <w:p w14:paraId="34203A04">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0BB88C1B">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2191AF0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40585C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26AD6FC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0ABD68B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708B157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1E3BCE6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3DE9AF89">
      <w:pPr>
        <w:spacing w:line="360" w:lineRule="auto"/>
        <w:ind w:firstLine="480" w:firstLineChars="200"/>
        <w:rPr>
          <w:rFonts w:ascii="宋体" w:hAnsi="宋体" w:cs="宋体"/>
          <w:color w:val="auto"/>
          <w:sz w:val="24"/>
          <w:highlight w:val="none"/>
        </w:rPr>
      </w:pPr>
    </w:p>
    <w:p w14:paraId="1B7CD4C4">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40"/>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0ACDD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2DC3EA4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52D6AB9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01F03AF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329BE5B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1850CD2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64AE00E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60401CF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30B69B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383C293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7A31ED6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2A02526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5F9C01E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3B2554F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0968DBD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35AFC90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3F6DFA3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64986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262D082E">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206B1FFB">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3D679C9">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566BC3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91D7F1C">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5D78A58A">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2D939DE">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9726267">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0D05FE64">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92484A6">
            <w:pPr>
              <w:spacing w:line="360" w:lineRule="auto"/>
              <w:rPr>
                <w:rFonts w:ascii="宋体" w:hAnsi="宋体" w:cs="宋体"/>
                <w:color w:val="auto"/>
                <w:sz w:val="24"/>
                <w:highlight w:val="none"/>
              </w:rPr>
            </w:pPr>
          </w:p>
        </w:tc>
      </w:tr>
      <w:tr w14:paraId="5044B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7C4EAD4F">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13C3CFEF">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F14261F">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966E144">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4B605FE">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21427540">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7B789B2">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1C4BAC0">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2AE0EAA">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73438596">
            <w:pPr>
              <w:spacing w:line="360" w:lineRule="auto"/>
              <w:rPr>
                <w:rFonts w:ascii="宋体" w:hAnsi="宋体" w:cs="宋体"/>
                <w:color w:val="auto"/>
                <w:sz w:val="24"/>
                <w:highlight w:val="none"/>
              </w:rPr>
            </w:pPr>
          </w:p>
        </w:tc>
      </w:tr>
      <w:tr w14:paraId="0BEF9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67B81328">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73F4CCF6">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2CAC11C">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54F5D405">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605C2960">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524AE03">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79681EBE">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1B764FA">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831D8F7">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CE431E9">
            <w:pPr>
              <w:spacing w:line="360" w:lineRule="auto"/>
              <w:rPr>
                <w:rFonts w:ascii="宋体" w:hAnsi="宋体" w:cs="宋体"/>
                <w:color w:val="auto"/>
                <w:sz w:val="24"/>
                <w:highlight w:val="none"/>
              </w:rPr>
            </w:pPr>
          </w:p>
        </w:tc>
      </w:tr>
      <w:tr w14:paraId="19550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2D323F4">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22B8B853">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8FAADDA">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1B35E649">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663E11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7A8EB5D">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297D239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250B2DED">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F7075D8">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1EC24339">
            <w:pPr>
              <w:spacing w:line="360" w:lineRule="auto"/>
              <w:rPr>
                <w:rFonts w:ascii="宋体" w:hAnsi="宋体" w:cs="宋体"/>
                <w:color w:val="auto"/>
                <w:sz w:val="24"/>
                <w:highlight w:val="none"/>
              </w:rPr>
            </w:pPr>
          </w:p>
        </w:tc>
      </w:tr>
    </w:tbl>
    <w:p w14:paraId="7ACCDC7F">
      <w:pPr>
        <w:spacing w:line="360" w:lineRule="auto"/>
        <w:rPr>
          <w:rFonts w:ascii="宋体" w:hAnsi="宋体" w:cs="宋体"/>
          <w:color w:val="auto"/>
          <w:sz w:val="24"/>
          <w:highlight w:val="none"/>
        </w:rPr>
      </w:pPr>
    </w:p>
    <w:p w14:paraId="70338671">
      <w:pPr>
        <w:spacing w:line="360" w:lineRule="auto"/>
        <w:rPr>
          <w:rFonts w:ascii="宋体" w:hAnsi="宋体" w:cs="宋体"/>
          <w:color w:val="auto"/>
          <w:sz w:val="24"/>
          <w:highlight w:val="none"/>
        </w:rPr>
      </w:pPr>
    </w:p>
    <w:p w14:paraId="27C8E0FC">
      <w:pPr>
        <w:spacing w:line="360" w:lineRule="auto"/>
        <w:rPr>
          <w:rFonts w:hint="eastAsia" w:ascii="宋体" w:hAnsi="宋体" w:cs="宋体"/>
          <w:color w:val="auto"/>
          <w:sz w:val="24"/>
          <w:highlight w:val="none"/>
        </w:rPr>
        <w:sectPr>
          <w:pgSz w:w="11907" w:h="16839"/>
          <w:pgMar w:top="1431" w:right="1272" w:bottom="1364" w:left="1418" w:header="850" w:footer="1204" w:gutter="0"/>
          <w:pgNumType w:fmt="decimal"/>
          <w:cols w:space="720" w:num="1"/>
          <w:docGrid w:linePitch="286" w:charSpace="0"/>
        </w:sectPr>
      </w:pPr>
    </w:p>
    <w:p w14:paraId="0B962C8D">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1799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7E0A8C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247922C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35A0F8F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0E051E4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53096E6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00B32FB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097FB3A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5E096B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5BCC082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4446145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0DE4A01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321426F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4C277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1C2190B">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46299CEF">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50A8651">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1AEAB46A">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6E9F02CD">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AD25885">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0926E3E4">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C1590F7">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D1B77D7">
            <w:pPr>
              <w:spacing w:line="360" w:lineRule="auto"/>
              <w:ind w:firstLine="480" w:firstLineChars="200"/>
              <w:rPr>
                <w:rFonts w:ascii="宋体" w:hAnsi="宋体" w:cs="宋体"/>
                <w:color w:val="auto"/>
                <w:sz w:val="24"/>
                <w:highlight w:val="none"/>
              </w:rPr>
            </w:pPr>
          </w:p>
        </w:tc>
      </w:tr>
      <w:tr w14:paraId="2C26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CDF257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56FDFE47">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0EEF751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217B299">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3144352">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6A12765">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26A3B325">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2C766A7">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A0A2E98">
            <w:pPr>
              <w:spacing w:line="360" w:lineRule="auto"/>
              <w:ind w:firstLine="480" w:firstLineChars="200"/>
              <w:rPr>
                <w:rFonts w:ascii="宋体" w:hAnsi="宋体" w:cs="宋体"/>
                <w:color w:val="auto"/>
                <w:sz w:val="24"/>
                <w:highlight w:val="none"/>
              </w:rPr>
            </w:pPr>
          </w:p>
        </w:tc>
      </w:tr>
      <w:tr w14:paraId="1288E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0E30BD0">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AE8675B">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13D013E7">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A2F9587">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573F10F5">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22800B3">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8CDF80D">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A9E4B12">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7A2737C8">
            <w:pPr>
              <w:spacing w:line="360" w:lineRule="auto"/>
              <w:ind w:firstLine="480" w:firstLineChars="200"/>
              <w:rPr>
                <w:rFonts w:ascii="宋体" w:hAnsi="宋体" w:cs="宋体"/>
                <w:color w:val="auto"/>
                <w:sz w:val="24"/>
                <w:highlight w:val="none"/>
              </w:rPr>
            </w:pPr>
          </w:p>
        </w:tc>
      </w:tr>
      <w:tr w14:paraId="5168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3BC62D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54C40EE">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4033AAE4">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77F2C954">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11B09F1A">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66E27FCF">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4C30AD5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4D0861E">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531807DA">
            <w:pPr>
              <w:spacing w:line="360" w:lineRule="auto"/>
              <w:ind w:firstLine="480" w:firstLineChars="200"/>
              <w:rPr>
                <w:rFonts w:ascii="宋体" w:hAnsi="宋体" w:cs="宋体"/>
                <w:color w:val="auto"/>
                <w:sz w:val="24"/>
                <w:highlight w:val="none"/>
              </w:rPr>
            </w:pPr>
          </w:p>
        </w:tc>
      </w:tr>
      <w:tr w14:paraId="30D9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B3A198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6D0A358D">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663D6319">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40025C9">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AA29C9E">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C89E5E7">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1383F07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7097C74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66C67409">
            <w:pPr>
              <w:spacing w:line="360" w:lineRule="auto"/>
              <w:ind w:firstLine="480" w:firstLineChars="200"/>
              <w:rPr>
                <w:rFonts w:ascii="宋体" w:hAnsi="宋体" w:cs="宋体"/>
                <w:color w:val="auto"/>
                <w:sz w:val="24"/>
                <w:highlight w:val="none"/>
              </w:rPr>
            </w:pPr>
          </w:p>
        </w:tc>
      </w:tr>
    </w:tbl>
    <w:p w14:paraId="26D2CFAC">
      <w:pPr>
        <w:spacing w:line="360" w:lineRule="auto"/>
        <w:rPr>
          <w:rFonts w:ascii="宋体" w:hAnsi="宋体" w:cs="宋体"/>
          <w:color w:val="auto"/>
          <w:sz w:val="24"/>
          <w:highlight w:val="none"/>
        </w:rPr>
      </w:pPr>
    </w:p>
    <w:p w14:paraId="120EF03A">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120C671D">
      <w:pPr>
        <w:spacing w:line="360" w:lineRule="auto"/>
        <w:rPr>
          <w:rFonts w:ascii="宋体" w:hAnsi="宋体" w:cs="宋体"/>
          <w:color w:val="auto"/>
          <w:sz w:val="24"/>
          <w:highlight w:val="none"/>
        </w:rPr>
      </w:pPr>
      <w:r>
        <w:rPr>
          <w:rFonts w:hint="eastAsia" w:ascii="宋体" w:hAnsi="宋体" w:cs="宋体"/>
          <w:color w:val="auto"/>
          <w:sz w:val="24"/>
          <w:highlight w:val="none"/>
        </w:rPr>
        <w:t>单位：人</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5817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D9EA64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0180C0B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2752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DE3D7B4">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A62B4CE">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BE22B9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EB13C1C">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16CF113">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00CA1A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9DF51F6">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7358D522">
            <w:pPr>
              <w:spacing w:line="360" w:lineRule="auto"/>
              <w:jc w:val="center"/>
              <w:rPr>
                <w:rFonts w:ascii="宋体" w:hAnsi="宋体" w:cs="宋体"/>
                <w:color w:val="auto"/>
                <w:sz w:val="24"/>
                <w:highlight w:val="none"/>
              </w:rPr>
            </w:pPr>
          </w:p>
        </w:tc>
      </w:tr>
      <w:tr w14:paraId="69335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39365280">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8979AFB">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414E56D">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2076EA4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80C1A5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BAD37F9">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AE89D3E">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72BAC285">
            <w:pPr>
              <w:spacing w:line="360" w:lineRule="auto"/>
              <w:jc w:val="center"/>
              <w:rPr>
                <w:rFonts w:ascii="宋体" w:hAnsi="宋体" w:cs="宋体"/>
                <w:color w:val="auto"/>
                <w:sz w:val="24"/>
                <w:highlight w:val="none"/>
              </w:rPr>
            </w:pPr>
          </w:p>
        </w:tc>
      </w:tr>
      <w:tr w14:paraId="76372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8A2F47C">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6C48684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1E0305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39F9E2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7D50021">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3BD8DE8C">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81A02E4">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60ABEBE2">
            <w:pPr>
              <w:spacing w:line="360" w:lineRule="auto"/>
              <w:jc w:val="center"/>
              <w:rPr>
                <w:rFonts w:ascii="宋体" w:hAnsi="宋体" w:cs="宋体"/>
                <w:color w:val="auto"/>
                <w:sz w:val="24"/>
                <w:highlight w:val="none"/>
              </w:rPr>
            </w:pPr>
          </w:p>
        </w:tc>
      </w:tr>
      <w:tr w14:paraId="06EB5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7B1EB40B">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3D32CE7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42B5F63">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3664961E">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C541EC8">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7EDC6683">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111EF205">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69AF5FBC">
            <w:pPr>
              <w:spacing w:line="360" w:lineRule="auto"/>
              <w:jc w:val="center"/>
              <w:rPr>
                <w:rFonts w:ascii="宋体" w:hAnsi="宋体" w:cs="宋体"/>
                <w:color w:val="auto"/>
                <w:sz w:val="24"/>
                <w:highlight w:val="none"/>
              </w:rPr>
            </w:pPr>
          </w:p>
        </w:tc>
      </w:tr>
      <w:tr w14:paraId="5B48C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C299C7C">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5346911">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D2040A9">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0D26E6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705D63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3A4CFA5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FA70ACE">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3C45F092">
            <w:pPr>
              <w:spacing w:line="360" w:lineRule="auto"/>
              <w:jc w:val="center"/>
              <w:rPr>
                <w:rFonts w:ascii="宋体" w:hAnsi="宋体" w:cs="宋体"/>
                <w:color w:val="auto"/>
                <w:sz w:val="24"/>
                <w:highlight w:val="none"/>
              </w:rPr>
            </w:pPr>
          </w:p>
        </w:tc>
      </w:tr>
    </w:tbl>
    <w:p w14:paraId="6A284D5A">
      <w:pPr>
        <w:spacing w:line="360" w:lineRule="auto"/>
        <w:rPr>
          <w:rFonts w:ascii="宋体" w:hAnsi="宋体" w:cs="宋体"/>
          <w:color w:val="auto"/>
          <w:sz w:val="24"/>
          <w:highlight w:val="none"/>
        </w:rPr>
      </w:pPr>
    </w:p>
    <w:p w14:paraId="51C89DC7">
      <w:pPr>
        <w:spacing w:line="360" w:lineRule="auto"/>
        <w:rPr>
          <w:rFonts w:ascii="宋体" w:hAnsi="宋体" w:cs="宋体"/>
          <w:color w:val="auto"/>
          <w:sz w:val="24"/>
          <w:highlight w:val="none"/>
        </w:rPr>
      </w:pPr>
    </w:p>
    <w:p w14:paraId="42BDCD4A">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364321A2">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磋商供应商应提交施工进度计划，说明按磋商文件要求的工期进行施工的各个关键日期。成交的磋商供应商还应按合同条件有关条款的要求提交详细的施工进度计划。</w:t>
      </w:r>
    </w:p>
    <w:p w14:paraId="2FF95ABE">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22345BE1">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1F09FE2E">
      <w:pPr>
        <w:spacing w:line="360" w:lineRule="auto"/>
        <w:rPr>
          <w:rFonts w:ascii="宋体" w:hAnsi="宋体" w:cs="宋体"/>
          <w:color w:val="auto"/>
          <w:sz w:val="24"/>
          <w:highlight w:val="none"/>
        </w:rPr>
      </w:pPr>
    </w:p>
    <w:p w14:paraId="035BF331">
      <w:pPr>
        <w:spacing w:line="360" w:lineRule="auto"/>
        <w:rPr>
          <w:rFonts w:ascii="宋体" w:hAnsi="宋体" w:cs="宋体"/>
          <w:color w:val="auto"/>
          <w:sz w:val="24"/>
          <w:highlight w:val="none"/>
        </w:rPr>
      </w:pPr>
    </w:p>
    <w:p w14:paraId="09FE7032">
      <w:pPr>
        <w:rPr>
          <w:rFonts w:hint="eastAsia" w:ascii="宋体" w:hAnsi="宋体" w:cs="宋体"/>
          <w:color w:val="auto"/>
          <w:sz w:val="24"/>
          <w:highlight w:val="none"/>
        </w:rPr>
      </w:pPr>
      <w:r>
        <w:rPr>
          <w:rFonts w:hint="eastAsia" w:ascii="宋体" w:hAnsi="宋体" w:cs="宋体"/>
          <w:color w:val="auto"/>
          <w:sz w:val="24"/>
          <w:highlight w:val="none"/>
        </w:rPr>
        <w:br w:type="page"/>
      </w:r>
    </w:p>
    <w:p w14:paraId="20AA6A14">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1A1C771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磋商供应商应递交一份施工总平面图，绘出现场临时设施布置图表并附文字说明，说明临时设施、加工车间、现场办公、设备及仓储、供电、供水、卫生、生活、道路、消防等设施的情况和布置。</w:t>
      </w:r>
    </w:p>
    <w:p w14:paraId="3D335696">
      <w:pPr>
        <w:spacing w:line="360" w:lineRule="auto"/>
        <w:rPr>
          <w:rFonts w:ascii="宋体" w:hAnsi="宋体" w:cs="宋体"/>
          <w:color w:val="auto"/>
          <w:sz w:val="24"/>
          <w:highlight w:val="none"/>
        </w:rPr>
      </w:pPr>
    </w:p>
    <w:p w14:paraId="6FEDEE73">
      <w:pPr>
        <w:spacing w:line="360" w:lineRule="auto"/>
        <w:rPr>
          <w:rFonts w:ascii="宋体" w:hAnsi="宋体" w:cs="宋体"/>
          <w:color w:val="auto"/>
          <w:sz w:val="24"/>
          <w:highlight w:val="none"/>
        </w:rPr>
      </w:pPr>
    </w:p>
    <w:p w14:paraId="7C9A3F1A">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6CEC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6541B1E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27004AF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4136365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7BD363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5A9B6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00948B5B">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FB7D5D7">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5E3B292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8F19539">
            <w:pPr>
              <w:spacing w:line="360" w:lineRule="auto"/>
              <w:rPr>
                <w:rFonts w:ascii="宋体" w:hAnsi="宋体" w:cs="宋体"/>
                <w:color w:val="auto"/>
                <w:sz w:val="24"/>
                <w:highlight w:val="none"/>
              </w:rPr>
            </w:pPr>
          </w:p>
        </w:tc>
      </w:tr>
      <w:tr w14:paraId="28F3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6F314F8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4CB7235">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F598F08">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0E7A0839">
            <w:pPr>
              <w:spacing w:line="360" w:lineRule="auto"/>
              <w:rPr>
                <w:rFonts w:ascii="宋体" w:hAnsi="宋体" w:cs="宋体"/>
                <w:color w:val="auto"/>
                <w:sz w:val="24"/>
                <w:highlight w:val="none"/>
              </w:rPr>
            </w:pPr>
          </w:p>
        </w:tc>
      </w:tr>
      <w:tr w14:paraId="5E589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6E85595D">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2717BA7">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54EA3CC">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0BFCFBE7">
            <w:pPr>
              <w:spacing w:line="360" w:lineRule="auto"/>
              <w:rPr>
                <w:rFonts w:ascii="宋体" w:hAnsi="宋体" w:cs="宋体"/>
                <w:color w:val="auto"/>
                <w:sz w:val="24"/>
                <w:highlight w:val="none"/>
              </w:rPr>
            </w:pPr>
          </w:p>
        </w:tc>
      </w:tr>
      <w:tr w14:paraId="34207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00FF145B">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A463094">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5DBAB7EB">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1B8AEBCC">
            <w:pPr>
              <w:spacing w:line="360" w:lineRule="auto"/>
              <w:rPr>
                <w:rFonts w:ascii="宋体" w:hAnsi="宋体" w:cs="宋体"/>
                <w:color w:val="auto"/>
                <w:sz w:val="24"/>
                <w:highlight w:val="none"/>
              </w:rPr>
            </w:pPr>
          </w:p>
        </w:tc>
      </w:tr>
    </w:tbl>
    <w:p w14:paraId="195392DB">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lang w:eastAsia="en-US"/>
        </w:rPr>
      </w:pPr>
    </w:p>
    <w:p w14:paraId="67674BE9">
      <w:pPr>
        <w:spacing w:line="360" w:lineRule="auto"/>
        <w:rPr>
          <w:rFonts w:ascii="宋体" w:hAnsi="宋体" w:cs="宋体"/>
          <w:color w:val="auto"/>
          <w:highlight w:val="none"/>
        </w:rPr>
        <w:sectPr>
          <w:pgSz w:w="11907" w:h="16839"/>
          <w:pgMar w:top="1431" w:right="1272" w:bottom="1364" w:left="1418" w:header="850" w:footer="1204" w:gutter="0"/>
          <w:pgNumType w:fmt="decimal"/>
          <w:cols w:space="720" w:num="1"/>
          <w:docGrid w:linePitch="286" w:charSpace="0"/>
        </w:sectPr>
      </w:pPr>
    </w:p>
    <w:p w14:paraId="251B0578">
      <w:pPr>
        <w:spacing w:line="360" w:lineRule="auto"/>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2866F4D6">
      <w:pPr>
        <w:spacing w:line="360" w:lineRule="auto"/>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4DFA0790">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rPr>
      </w:pPr>
    </w:p>
    <w:p w14:paraId="7F9F731F">
      <w:pPr>
        <w:spacing w:line="360"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31F9EB22">
      <w:pPr>
        <w:spacing w:line="360" w:lineRule="auto"/>
        <w:ind w:left="511"/>
        <w:rPr>
          <w:rFonts w:ascii="宋体" w:hAnsi="宋体" w:cs="宋体"/>
          <w:color w:val="auto"/>
          <w:sz w:val="24"/>
          <w:highlight w:val="none"/>
        </w:rPr>
      </w:pPr>
      <w:r>
        <w:rPr>
          <w:rFonts w:hint="eastAsia" w:ascii="宋体" w:hAnsi="宋体" w:cs="宋体"/>
          <w:color w:val="auto"/>
          <w:spacing w:val="-25"/>
          <w:sz w:val="24"/>
          <w:highlight w:val="none"/>
        </w:rPr>
        <w:t>分标（如有</w:t>
      </w:r>
      <w:r>
        <w:rPr>
          <w:rFonts w:hint="eastAsia" w:ascii="宋体" w:hAnsi="宋体" w:cs="宋体"/>
          <w:color w:val="auto"/>
          <w:spacing w:val="-28"/>
          <w:sz w:val="24"/>
          <w:highlight w:val="none"/>
        </w:rPr>
        <w:t>）</w:t>
      </w:r>
      <w:r>
        <w:rPr>
          <w:rFonts w:hint="eastAsia" w:ascii="宋体" w:hAnsi="宋体" w:cs="宋体"/>
          <w:color w:val="auto"/>
          <w:spacing w:val="47"/>
          <w:sz w:val="24"/>
          <w:highlight w:val="none"/>
        </w:rPr>
        <w:t xml:space="preserve"> </w:t>
      </w:r>
      <w:r>
        <w:rPr>
          <w:rFonts w:hint="eastAsia" w:ascii="宋体" w:hAnsi="宋体" w:cs="宋体"/>
          <w:color w:val="auto"/>
          <w:spacing w:val="-28"/>
          <w:sz w:val="24"/>
          <w:highlight w:val="none"/>
        </w:rPr>
        <w:t>：</w:t>
      </w:r>
      <w:r>
        <w:rPr>
          <w:rFonts w:hint="eastAsia" w:ascii="宋体" w:hAnsi="宋体" w:cs="宋体"/>
          <w:color w:val="auto"/>
          <w:sz w:val="24"/>
          <w:highlight w:val="none"/>
          <w:u w:val="single"/>
        </w:rPr>
        <w:t xml:space="preserve">         </w:t>
      </w:r>
    </w:p>
    <w:p w14:paraId="5710E6A3">
      <w:pPr>
        <w:spacing w:line="360" w:lineRule="auto"/>
        <w:rPr>
          <w:rFonts w:ascii="宋体" w:hAnsi="宋体" w:cs="宋体"/>
          <w:color w:val="auto"/>
          <w:highlight w:val="none"/>
        </w:rPr>
      </w:pPr>
    </w:p>
    <w:tbl>
      <w:tblPr>
        <w:tblStyle w:val="40"/>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2AC897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7" w:hRule="atLeast"/>
          <w:jc w:val="center"/>
        </w:trPr>
        <w:tc>
          <w:tcPr>
            <w:tcW w:w="926" w:type="dxa"/>
            <w:vMerge w:val="restart"/>
            <w:tcBorders>
              <w:bottom w:val="nil"/>
            </w:tcBorders>
            <w:shd w:val="clear" w:color="auto" w:fill="auto"/>
            <w:vAlign w:val="center"/>
          </w:tcPr>
          <w:p w14:paraId="51DF8ED9">
            <w:pPr>
              <w:spacing w:line="360" w:lineRule="auto"/>
              <w:rPr>
                <w:rFonts w:ascii="宋体" w:hAnsi="宋体" w:cs="宋体"/>
                <w:color w:val="auto"/>
                <w:sz w:val="24"/>
                <w:highlight w:val="none"/>
              </w:rPr>
            </w:pPr>
          </w:p>
          <w:p w14:paraId="700A35B8">
            <w:pPr>
              <w:kinsoku w:val="0"/>
              <w:autoSpaceDE w:val="0"/>
              <w:autoSpaceDN w:val="0"/>
              <w:adjustRightInd w:val="0"/>
              <w:snapToGrid w:val="0"/>
              <w:spacing w:line="360" w:lineRule="auto"/>
              <w:ind w:left="28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00EEB58E">
            <w:pPr>
              <w:spacing w:line="360" w:lineRule="auto"/>
              <w:rPr>
                <w:rFonts w:ascii="宋体" w:hAnsi="宋体" w:cs="宋体"/>
                <w:color w:val="auto"/>
                <w:sz w:val="24"/>
                <w:highlight w:val="none"/>
              </w:rPr>
            </w:pPr>
          </w:p>
          <w:p w14:paraId="514D5022">
            <w:pPr>
              <w:kinsoku w:val="0"/>
              <w:autoSpaceDE w:val="0"/>
              <w:autoSpaceDN w:val="0"/>
              <w:adjustRightInd w:val="0"/>
              <w:snapToGrid w:val="0"/>
              <w:spacing w:line="360" w:lineRule="auto"/>
              <w:ind w:left="12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53B1C8AB">
            <w:pPr>
              <w:kinsoku w:val="0"/>
              <w:autoSpaceDE w:val="0"/>
              <w:autoSpaceDN w:val="0"/>
              <w:adjustRightInd w:val="0"/>
              <w:snapToGrid w:val="0"/>
              <w:spacing w:line="360" w:lineRule="auto"/>
              <w:ind w:left="21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391C14B5">
            <w:pPr>
              <w:kinsoku w:val="0"/>
              <w:autoSpaceDE w:val="0"/>
              <w:autoSpaceDN w:val="0"/>
              <w:adjustRightInd w:val="0"/>
              <w:snapToGrid w:val="0"/>
              <w:spacing w:line="360" w:lineRule="auto"/>
              <w:ind w:left="20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2BAF6D9B">
            <w:pPr>
              <w:spacing w:line="360" w:lineRule="auto"/>
              <w:rPr>
                <w:rFonts w:ascii="宋体" w:hAnsi="宋体" w:cs="宋体"/>
                <w:color w:val="auto"/>
                <w:sz w:val="24"/>
                <w:highlight w:val="none"/>
              </w:rPr>
            </w:pPr>
          </w:p>
          <w:p w14:paraId="6766C3AE">
            <w:pPr>
              <w:kinsoku w:val="0"/>
              <w:autoSpaceDE w:val="0"/>
              <w:autoSpaceDN w:val="0"/>
              <w:adjustRightInd w:val="0"/>
              <w:snapToGrid w:val="0"/>
              <w:spacing w:line="360" w:lineRule="auto"/>
              <w:ind w:left="2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38FA04DF">
            <w:pPr>
              <w:kinsoku w:val="0"/>
              <w:autoSpaceDE w:val="0"/>
              <w:autoSpaceDN w:val="0"/>
              <w:adjustRightInd w:val="0"/>
              <w:snapToGrid w:val="0"/>
              <w:spacing w:line="360" w:lineRule="auto"/>
              <w:ind w:left="136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46DEA3A4">
            <w:pPr>
              <w:kinsoku w:val="0"/>
              <w:autoSpaceDE w:val="0"/>
              <w:autoSpaceDN w:val="0"/>
              <w:adjustRightInd w:val="0"/>
              <w:snapToGrid w:val="0"/>
              <w:spacing w:line="360" w:lineRule="auto"/>
              <w:ind w:left="115"/>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686C5B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56AF44FD">
            <w:pPr>
              <w:spacing w:line="360" w:lineRule="auto"/>
              <w:rPr>
                <w:rFonts w:ascii="宋体" w:hAnsi="宋体" w:cs="宋体"/>
                <w:color w:val="auto"/>
                <w:sz w:val="24"/>
                <w:highlight w:val="none"/>
              </w:rPr>
            </w:pPr>
          </w:p>
        </w:tc>
        <w:tc>
          <w:tcPr>
            <w:tcW w:w="669" w:type="dxa"/>
            <w:vMerge w:val="continue"/>
            <w:tcBorders>
              <w:top w:val="nil"/>
            </w:tcBorders>
            <w:shd w:val="clear" w:color="auto" w:fill="auto"/>
            <w:vAlign w:val="center"/>
          </w:tcPr>
          <w:p w14:paraId="2D3A9AF5">
            <w:pPr>
              <w:spacing w:line="360" w:lineRule="auto"/>
              <w:rPr>
                <w:rFonts w:ascii="宋体" w:hAnsi="宋体" w:cs="宋体"/>
                <w:color w:val="auto"/>
                <w:sz w:val="24"/>
                <w:highlight w:val="none"/>
              </w:rPr>
            </w:pPr>
          </w:p>
        </w:tc>
        <w:tc>
          <w:tcPr>
            <w:tcW w:w="827" w:type="dxa"/>
            <w:vMerge w:val="continue"/>
            <w:tcBorders>
              <w:top w:val="nil"/>
            </w:tcBorders>
            <w:shd w:val="clear" w:color="auto" w:fill="auto"/>
            <w:vAlign w:val="center"/>
          </w:tcPr>
          <w:p w14:paraId="0A2D3E0F">
            <w:pPr>
              <w:spacing w:line="360" w:lineRule="auto"/>
              <w:rPr>
                <w:rFonts w:ascii="宋体" w:hAnsi="宋体" w:cs="宋体"/>
                <w:color w:val="auto"/>
                <w:sz w:val="24"/>
                <w:highlight w:val="none"/>
              </w:rPr>
            </w:pPr>
          </w:p>
        </w:tc>
        <w:tc>
          <w:tcPr>
            <w:tcW w:w="815" w:type="dxa"/>
            <w:vMerge w:val="continue"/>
            <w:tcBorders>
              <w:top w:val="nil"/>
            </w:tcBorders>
            <w:shd w:val="clear" w:color="auto" w:fill="auto"/>
            <w:vAlign w:val="center"/>
          </w:tcPr>
          <w:p w14:paraId="200FFB23">
            <w:pPr>
              <w:spacing w:line="360" w:lineRule="auto"/>
              <w:rPr>
                <w:rFonts w:ascii="宋体" w:hAnsi="宋体" w:cs="宋体"/>
                <w:color w:val="auto"/>
                <w:sz w:val="24"/>
                <w:highlight w:val="none"/>
              </w:rPr>
            </w:pPr>
          </w:p>
        </w:tc>
        <w:tc>
          <w:tcPr>
            <w:tcW w:w="1147" w:type="dxa"/>
            <w:shd w:val="clear" w:color="auto" w:fill="auto"/>
            <w:vAlign w:val="center"/>
          </w:tcPr>
          <w:p w14:paraId="6614F5E7">
            <w:pPr>
              <w:kinsoku w:val="0"/>
              <w:autoSpaceDE w:val="0"/>
              <w:autoSpaceDN w:val="0"/>
              <w:adjustRightInd w:val="0"/>
              <w:snapToGrid w:val="0"/>
              <w:spacing w:line="360" w:lineRule="auto"/>
              <w:ind w:left="15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23F6CE06">
            <w:pPr>
              <w:kinsoku w:val="0"/>
              <w:autoSpaceDE w:val="0"/>
              <w:autoSpaceDN w:val="0"/>
              <w:adjustRightInd w:val="0"/>
              <w:snapToGrid w:val="0"/>
              <w:spacing w:line="360" w:lineRule="auto"/>
              <w:ind w:left="37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0FE9A2C9">
            <w:pPr>
              <w:kinsoku w:val="0"/>
              <w:autoSpaceDE w:val="0"/>
              <w:autoSpaceDN w:val="0"/>
              <w:adjustRightInd w:val="0"/>
              <w:snapToGrid w:val="0"/>
              <w:spacing w:line="360" w:lineRule="auto"/>
              <w:ind w:left="3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745B3A3F">
            <w:pPr>
              <w:kinsoku w:val="0"/>
              <w:autoSpaceDE w:val="0"/>
              <w:autoSpaceDN w:val="0"/>
              <w:adjustRightInd w:val="0"/>
              <w:snapToGrid w:val="0"/>
              <w:spacing w:line="360" w:lineRule="auto"/>
              <w:ind w:left="16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0067864A">
            <w:pPr>
              <w:kinsoku w:val="0"/>
              <w:autoSpaceDE w:val="0"/>
              <w:autoSpaceDN w:val="0"/>
              <w:adjustRightInd w:val="0"/>
              <w:snapToGrid w:val="0"/>
              <w:spacing w:line="360" w:lineRule="auto"/>
              <w:ind w:left="1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5CFEA938">
            <w:pPr>
              <w:kinsoku w:val="0"/>
              <w:autoSpaceDE w:val="0"/>
              <w:autoSpaceDN w:val="0"/>
              <w:adjustRightInd w:val="0"/>
              <w:snapToGrid w:val="0"/>
              <w:spacing w:line="360" w:lineRule="auto"/>
              <w:ind w:left="439" w:right="213" w:hanging="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主要项目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3"/>
                <w:kern w:val="0"/>
                <w:sz w:val="24"/>
                <w:highlight w:val="none"/>
                <w:lang w:eastAsia="en-US"/>
              </w:rPr>
              <w:t>名称</w:t>
            </w:r>
          </w:p>
        </w:tc>
      </w:tr>
      <w:tr w14:paraId="646D0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46E8B9FC">
            <w:pPr>
              <w:kinsoku w:val="0"/>
              <w:autoSpaceDE w:val="0"/>
              <w:autoSpaceDN w:val="0"/>
              <w:adjustRightInd w:val="0"/>
              <w:snapToGrid w:val="0"/>
              <w:spacing w:line="360"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44C01060">
            <w:pPr>
              <w:kinsoku w:val="0"/>
              <w:autoSpaceDE w:val="0"/>
              <w:autoSpaceDN w:val="0"/>
              <w:adjustRightInd w:val="0"/>
              <w:snapToGrid w:val="0"/>
              <w:spacing w:line="36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24F27268">
            <w:pPr>
              <w:spacing w:line="360" w:lineRule="auto"/>
              <w:rPr>
                <w:rFonts w:ascii="宋体" w:hAnsi="宋体" w:cs="宋体"/>
                <w:color w:val="auto"/>
                <w:sz w:val="24"/>
                <w:highlight w:val="none"/>
              </w:rPr>
            </w:pPr>
          </w:p>
        </w:tc>
        <w:tc>
          <w:tcPr>
            <w:tcW w:w="827" w:type="dxa"/>
            <w:shd w:val="clear" w:color="auto" w:fill="auto"/>
            <w:vAlign w:val="center"/>
          </w:tcPr>
          <w:p w14:paraId="1DF7D682">
            <w:pPr>
              <w:spacing w:line="360" w:lineRule="auto"/>
              <w:rPr>
                <w:rFonts w:ascii="宋体" w:hAnsi="宋体" w:cs="宋体"/>
                <w:color w:val="auto"/>
                <w:sz w:val="24"/>
                <w:highlight w:val="none"/>
              </w:rPr>
            </w:pPr>
          </w:p>
        </w:tc>
        <w:tc>
          <w:tcPr>
            <w:tcW w:w="815" w:type="dxa"/>
            <w:shd w:val="clear" w:color="auto" w:fill="auto"/>
            <w:vAlign w:val="center"/>
          </w:tcPr>
          <w:p w14:paraId="25579AB0">
            <w:pPr>
              <w:spacing w:line="360" w:lineRule="auto"/>
              <w:rPr>
                <w:rFonts w:ascii="宋体" w:hAnsi="宋体" w:cs="宋体"/>
                <w:color w:val="auto"/>
                <w:sz w:val="24"/>
                <w:highlight w:val="none"/>
              </w:rPr>
            </w:pPr>
          </w:p>
        </w:tc>
        <w:tc>
          <w:tcPr>
            <w:tcW w:w="1147" w:type="dxa"/>
            <w:shd w:val="clear" w:color="auto" w:fill="auto"/>
            <w:vAlign w:val="center"/>
          </w:tcPr>
          <w:p w14:paraId="7C34B2B2">
            <w:pPr>
              <w:spacing w:line="360" w:lineRule="auto"/>
              <w:rPr>
                <w:rFonts w:ascii="宋体" w:hAnsi="宋体" w:cs="宋体"/>
                <w:color w:val="auto"/>
                <w:sz w:val="24"/>
                <w:highlight w:val="none"/>
              </w:rPr>
            </w:pPr>
          </w:p>
        </w:tc>
        <w:tc>
          <w:tcPr>
            <w:tcW w:w="1149" w:type="dxa"/>
            <w:shd w:val="clear" w:color="auto" w:fill="auto"/>
            <w:vAlign w:val="center"/>
          </w:tcPr>
          <w:p w14:paraId="30C617E6">
            <w:pPr>
              <w:spacing w:line="360" w:lineRule="auto"/>
              <w:rPr>
                <w:rFonts w:ascii="宋体" w:hAnsi="宋体" w:cs="宋体"/>
                <w:color w:val="auto"/>
                <w:sz w:val="24"/>
                <w:highlight w:val="none"/>
              </w:rPr>
            </w:pPr>
          </w:p>
        </w:tc>
        <w:tc>
          <w:tcPr>
            <w:tcW w:w="1147" w:type="dxa"/>
            <w:shd w:val="clear" w:color="auto" w:fill="auto"/>
            <w:vAlign w:val="center"/>
          </w:tcPr>
          <w:p w14:paraId="64DC6544">
            <w:pPr>
              <w:spacing w:line="360" w:lineRule="auto"/>
              <w:rPr>
                <w:rFonts w:ascii="宋体" w:hAnsi="宋体" w:cs="宋体"/>
                <w:color w:val="auto"/>
                <w:sz w:val="24"/>
                <w:highlight w:val="none"/>
              </w:rPr>
            </w:pPr>
          </w:p>
        </w:tc>
        <w:tc>
          <w:tcPr>
            <w:tcW w:w="744" w:type="dxa"/>
            <w:shd w:val="clear" w:color="auto" w:fill="auto"/>
            <w:vAlign w:val="center"/>
          </w:tcPr>
          <w:p w14:paraId="65C8BD00">
            <w:pPr>
              <w:spacing w:line="360" w:lineRule="auto"/>
              <w:rPr>
                <w:rFonts w:ascii="宋体" w:hAnsi="宋体" w:cs="宋体"/>
                <w:color w:val="auto"/>
                <w:sz w:val="24"/>
                <w:highlight w:val="none"/>
              </w:rPr>
            </w:pPr>
          </w:p>
        </w:tc>
        <w:tc>
          <w:tcPr>
            <w:tcW w:w="1166" w:type="dxa"/>
            <w:shd w:val="clear" w:color="auto" w:fill="auto"/>
            <w:vAlign w:val="center"/>
          </w:tcPr>
          <w:p w14:paraId="2136B5EE">
            <w:pPr>
              <w:spacing w:line="360" w:lineRule="auto"/>
              <w:rPr>
                <w:rFonts w:ascii="宋体" w:hAnsi="宋体" w:cs="宋体"/>
                <w:color w:val="auto"/>
                <w:sz w:val="24"/>
                <w:highlight w:val="none"/>
              </w:rPr>
            </w:pPr>
          </w:p>
        </w:tc>
        <w:tc>
          <w:tcPr>
            <w:tcW w:w="1281" w:type="dxa"/>
            <w:shd w:val="clear" w:color="auto" w:fill="auto"/>
            <w:vAlign w:val="center"/>
          </w:tcPr>
          <w:p w14:paraId="64DA862F">
            <w:pPr>
              <w:spacing w:line="360" w:lineRule="auto"/>
              <w:rPr>
                <w:rFonts w:ascii="宋体" w:hAnsi="宋体" w:cs="宋体"/>
                <w:color w:val="auto"/>
                <w:sz w:val="24"/>
                <w:highlight w:val="none"/>
              </w:rPr>
            </w:pPr>
          </w:p>
        </w:tc>
      </w:tr>
      <w:tr w14:paraId="4814B9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2633529F">
            <w:pPr>
              <w:kinsoku w:val="0"/>
              <w:autoSpaceDE w:val="0"/>
              <w:autoSpaceDN w:val="0"/>
              <w:adjustRightInd w:val="0"/>
              <w:snapToGrid w:val="0"/>
              <w:spacing w:line="360" w:lineRule="auto"/>
              <w:ind w:left="118" w:right="179" w:hanging="6"/>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24A9CA3F">
            <w:pPr>
              <w:spacing w:line="360" w:lineRule="auto"/>
              <w:rPr>
                <w:rFonts w:ascii="宋体" w:hAnsi="宋体" w:cs="宋体"/>
                <w:color w:val="auto"/>
                <w:sz w:val="24"/>
                <w:highlight w:val="none"/>
              </w:rPr>
            </w:pPr>
          </w:p>
        </w:tc>
        <w:tc>
          <w:tcPr>
            <w:tcW w:w="827" w:type="dxa"/>
            <w:shd w:val="clear" w:color="auto" w:fill="auto"/>
            <w:vAlign w:val="center"/>
          </w:tcPr>
          <w:p w14:paraId="567629AE">
            <w:pPr>
              <w:spacing w:line="360" w:lineRule="auto"/>
              <w:rPr>
                <w:rFonts w:ascii="宋体" w:hAnsi="宋体" w:cs="宋体"/>
                <w:color w:val="auto"/>
                <w:sz w:val="24"/>
                <w:highlight w:val="none"/>
              </w:rPr>
            </w:pPr>
          </w:p>
        </w:tc>
        <w:tc>
          <w:tcPr>
            <w:tcW w:w="815" w:type="dxa"/>
            <w:shd w:val="clear" w:color="auto" w:fill="auto"/>
            <w:vAlign w:val="center"/>
          </w:tcPr>
          <w:p w14:paraId="065E139E">
            <w:pPr>
              <w:spacing w:line="360" w:lineRule="auto"/>
              <w:rPr>
                <w:rFonts w:ascii="宋体" w:hAnsi="宋体" w:cs="宋体"/>
                <w:color w:val="auto"/>
                <w:sz w:val="24"/>
                <w:highlight w:val="none"/>
              </w:rPr>
            </w:pPr>
          </w:p>
        </w:tc>
        <w:tc>
          <w:tcPr>
            <w:tcW w:w="1147" w:type="dxa"/>
            <w:shd w:val="clear" w:color="auto" w:fill="auto"/>
            <w:vAlign w:val="center"/>
          </w:tcPr>
          <w:p w14:paraId="2BCDB9E4">
            <w:pPr>
              <w:spacing w:line="360" w:lineRule="auto"/>
              <w:rPr>
                <w:rFonts w:ascii="宋体" w:hAnsi="宋体" w:cs="宋体"/>
                <w:color w:val="auto"/>
                <w:sz w:val="24"/>
                <w:highlight w:val="none"/>
              </w:rPr>
            </w:pPr>
          </w:p>
        </w:tc>
        <w:tc>
          <w:tcPr>
            <w:tcW w:w="1149" w:type="dxa"/>
            <w:shd w:val="clear" w:color="auto" w:fill="auto"/>
            <w:vAlign w:val="center"/>
          </w:tcPr>
          <w:p w14:paraId="4C354A94">
            <w:pPr>
              <w:spacing w:line="360" w:lineRule="auto"/>
              <w:rPr>
                <w:rFonts w:ascii="宋体" w:hAnsi="宋体" w:cs="宋体"/>
                <w:color w:val="auto"/>
                <w:sz w:val="24"/>
                <w:highlight w:val="none"/>
              </w:rPr>
            </w:pPr>
          </w:p>
        </w:tc>
        <w:tc>
          <w:tcPr>
            <w:tcW w:w="1147" w:type="dxa"/>
            <w:shd w:val="clear" w:color="auto" w:fill="auto"/>
            <w:vAlign w:val="center"/>
          </w:tcPr>
          <w:p w14:paraId="23AFA180">
            <w:pPr>
              <w:spacing w:line="360" w:lineRule="auto"/>
              <w:rPr>
                <w:rFonts w:ascii="宋体" w:hAnsi="宋体" w:cs="宋体"/>
                <w:color w:val="auto"/>
                <w:sz w:val="24"/>
                <w:highlight w:val="none"/>
              </w:rPr>
            </w:pPr>
          </w:p>
        </w:tc>
        <w:tc>
          <w:tcPr>
            <w:tcW w:w="744" w:type="dxa"/>
            <w:shd w:val="clear" w:color="auto" w:fill="auto"/>
            <w:vAlign w:val="center"/>
          </w:tcPr>
          <w:p w14:paraId="5C891923">
            <w:pPr>
              <w:spacing w:line="360" w:lineRule="auto"/>
              <w:rPr>
                <w:rFonts w:ascii="宋体" w:hAnsi="宋体" w:cs="宋体"/>
                <w:color w:val="auto"/>
                <w:sz w:val="24"/>
                <w:highlight w:val="none"/>
              </w:rPr>
            </w:pPr>
          </w:p>
        </w:tc>
        <w:tc>
          <w:tcPr>
            <w:tcW w:w="1166" w:type="dxa"/>
            <w:shd w:val="clear" w:color="auto" w:fill="auto"/>
            <w:vAlign w:val="center"/>
          </w:tcPr>
          <w:p w14:paraId="1A729BEF">
            <w:pPr>
              <w:spacing w:line="360" w:lineRule="auto"/>
              <w:rPr>
                <w:rFonts w:ascii="宋体" w:hAnsi="宋体" w:cs="宋体"/>
                <w:color w:val="auto"/>
                <w:sz w:val="24"/>
                <w:highlight w:val="none"/>
              </w:rPr>
            </w:pPr>
          </w:p>
        </w:tc>
        <w:tc>
          <w:tcPr>
            <w:tcW w:w="1281" w:type="dxa"/>
            <w:shd w:val="clear" w:color="auto" w:fill="auto"/>
            <w:vAlign w:val="center"/>
          </w:tcPr>
          <w:p w14:paraId="093B59CF">
            <w:pPr>
              <w:spacing w:line="360" w:lineRule="auto"/>
              <w:rPr>
                <w:rFonts w:ascii="宋体" w:hAnsi="宋体" w:cs="宋体"/>
                <w:color w:val="auto"/>
                <w:sz w:val="24"/>
                <w:highlight w:val="none"/>
              </w:rPr>
            </w:pPr>
          </w:p>
        </w:tc>
      </w:tr>
      <w:tr w14:paraId="338CE7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36180778">
            <w:pPr>
              <w:kinsoku w:val="0"/>
              <w:autoSpaceDE w:val="0"/>
              <w:autoSpaceDN w:val="0"/>
              <w:adjustRightInd w:val="0"/>
              <w:snapToGrid w:val="0"/>
              <w:spacing w:line="360" w:lineRule="auto"/>
              <w:ind w:left="123" w:right="129" w:hanging="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施工</w:t>
            </w:r>
            <w:r>
              <w:rPr>
                <w:rFonts w:hint="eastAsia" w:ascii="宋体" w:hAnsi="宋体" w:cs="宋体"/>
                <w:snapToGrid w:val="0"/>
                <w:color w:val="auto"/>
                <w:spacing w:val="1"/>
                <w:kern w:val="0"/>
                <w:sz w:val="24"/>
                <w:highlight w:val="none"/>
                <w:lang w:eastAsia="en-US"/>
              </w:rPr>
              <w:t xml:space="preserve"> </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6FE8CA1B">
            <w:pPr>
              <w:spacing w:line="360" w:lineRule="auto"/>
              <w:rPr>
                <w:rFonts w:ascii="宋体" w:hAnsi="宋体" w:cs="宋体"/>
                <w:color w:val="auto"/>
                <w:sz w:val="24"/>
                <w:highlight w:val="none"/>
              </w:rPr>
            </w:pPr>
          </w:p>
        </w:tc>
        <w:tc>
          <w:tcPr>
            <w:tcW w:w="827" w:type="dxa"/>
            <w:shd w:val="clear" w:color="auto" w:fill="auto"/>
            <w:vAlign w:val="center"/>
          </w:tcPr>
          <w:p w14:paraId="53913857">
            <w:pPr>
              <w:spacing w:line="360" w:lineRule="auto"/>
              <w:rPr>
                <w:rFonts w:ascii="宋体" w:hAnsi="宋体" w:cs="宋体"/>
                <w:color w:val="auto"/>
                <w:sz w:val="24"/>
                <w:highlight w:val="none"/>
              </w:rPr>
            </w:pPr>
          </w:p>
        </w:tc>
        <w:tc>
          <w:tcPr>
            <w:tcW w:w="815" w:type="dxa"/>
            <w:shd w:val="clear" w:color="auto" w:fill="auto"/>
            <w:vAlign w:val="center"/>
          </w:tcPr>
          <w:p w14:paraId="6594CDF3">
            <w:pPr>
              <w:spacing w:line="360" w:lineRule="auto"/>
              <w:rPr>
                <w:rFonts w:ascii="宋体" w:hAnsi="宋体" w:cs="宋体"/>
                <w:color w:val="auto"/>
                <w:sz w:val="24"/>
                <w:highlight w:val="none"/>
              </w:rPr>
            </w:pPr>
          </w:p>
        </w:tc>
        <w:tc>
          <w:tcPr>
            <w:tcW w:w="1147" w:type="dxa"/>
            <w:shd w:val="clear" w:color="auto" w:fill="auto"/>
            <w:vAlign w:val="center"/>
          </w:tcPr>
          <w:p w14:paraId="6C72D408">
            <w:pPr>
              <w:spacing w:line="360" w:lineRule="auto"/>
              <w:rPr>
                <w:rFonts w:ascii="宋体" w:hAnsi="宋体" w:cs="宋体"/>
                <w:color w:val="auto"/>
                <w:sz w:val="24"/>
                <w:highlight w:val="none"/>
              </w:rPr>
            </w:pPr>
          </w:p>
        </w:tc>
        <w:tc>
          <w:tcPr>
            <w:tcW w:w="1149" w:type="dxa"/>
            <w:shd w:val="clear" w:color="auto" w:fill="auto"/>
            <w:vAlign w:val="center"/>
          </w:tcPr>
          <w:p w14:paraId="00C8B8D1">
            <w:pPr>
              <w:spacing w:line="360" w:lineRule="auto"/>
              <w:rPr>
                <w:rFonts w:ascii="宋体" w:hAnsi="宋体" w:cs="宋体"/>
                <w:color w:val="auto"/>
                <w:sz w:val="24"/>
                <w:highlight w:val="none"/>
              </w:rPr>
            </w:pPr>
          </w:p>
        </w:tc>
        <w:tc>
          <w:tcPr>
            <w:tcW w:w="1147" w:type="dxa"/>
            <w:shd w:val="clear" w:color="auto" w:fill="auto"/>
            <w:vAlign w:val="center"/>
          </w:tcPr>
          <w:p w14:paraId="1ACA76EF">
            <w:pPr>
              <w:spacing w:line="360" w:lineRule="auto"/>
              <w:rPr>
                <w:rFonts w:ascii="宋体" w:hAnsi="宋体" w:cs="宋体"/>
                <w:color w:val="auto"/>
                <w:sz w:val="24"/>
                <w:highlight w:val="none"/>
              </w:rPr>
            </w:pPr>
          </w:p>
        </w:tc>
        <w:tc>
          <w:tcPr>
            <w:tcW w:w="744" w:type="dxa"/>
            <w:shd w:val="clear" w:color="auto" w:fill="auto"/>
            <w:vAlign w:val="center"/>
          </w:tcPr>
          <w:p w14:paraId="6E8B2F9D">
            <w:pPr>
              <w:spacing w:line="360" w:lineRule="auto"/>
              <w:rPr>
                <w:rFonts w:ascii="宋体" w:hAnsi="宋体" w:cs="宋体"/>
                <w:color w:val="auto"/>
                <w:sz w:val="24"/>
                <w:highlight w:val="none"/>
              </w:rPr>
            </w:pPr>
          </w:p>
        </w:tc>
        <w:tc>
          <w:tcPr>
            <w:tcW w:w="1166" w:type="dxa"/>
            <w:shd w:val="clear" w:color="auto" w:fill="auto"/>
            <w:vAlign w:val="center"/>
          </w:tcPr>
          <w:p w14:paraId="533170BD">
            <w:pPr>
              <w:spacing w:line="360" w:lineRule="auto"/>
              <w:rPr>
                <w:rFonts w:ascii="宋体" w:hAnsi="宋体" w:cs="宋体"/>
                <w:color w:val="auto"/>
                <w:sz w:val="24"/>
                <w:highlight w:val="none"/>
              </w:rPr>
            </w:pPr>
          </w:p>
        </w:tc>
        <w:tc>
          <w:tcPr>
            <w:tcW w:w="1281" w:type="dxa"/>
            <w:shd w:val="clear" w:color="auto" w:fill="auto"/>
            <w:vAlign w:val="center"/>
          </w:tcPr>
          <w:p w14:paraId="35813F18">
            <w:pPr>
              <w:spacing w:line="360" w:lineRule="auto"/>
              <w:rPr>
                <w:rFonts w:ascii="宋体" w:hAnsi="宋体" w:cs="宋体"/>
                <w:color w:val="auto"/>
                <w:sz w:val="24"/>
                <w:highlight w:val="none"/>
              </w:rPr>
            </w:pPr>
          </w:p>
        </w:tc>
      </w:tr>
      <w:tr w14:paraId="0EE63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DED79E6">
            <w:pPr>
              <w:kinsoku w:val="0"/>
              <w:autoSpaceDE w:val="0"/>
              <w:autoSpaceDN w:val="0"/>
              <w:adjustRightInd w:val="0"/>
              <w:snapToGrid w:val="0"/>
              <w:spacing w:line="360" w:lineRule="auto"/>
              <w:ind w:left="1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11D508CD">
            <w:pPr>
              <w:kinsoku w:val="0"/>
              <w:autoSpaceDE w:val="0"/>
              <w:autoSpaceDN w:val="0"/>
              <w:adjustRightInd w:val="0"/>
              <w:snapToGrid w:val="0"/>
              <w:spacing w:line="360" w:lineRule="auto"/>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7FFB1C0">
            <w:pPr>
              <w:spacing w:line="360" w:lineRule="auto"/>
              <w:rPr>
                <w:rFonts w:ascii="宋体" w:hAnsi="宋体" w:cs="宋体"/>
                <w:color w:val="auto"/>
                <w:sz w:val="24"/>
                <w:highlight w:val="none"/>
              </w:rPr>
            </w:pPr>
          </w:p>
        </w:tc>
        <w:tc>
          <w:tcPr>
            <w:tcW w:w="827" w:type="dxa"/>
            <w:shd w:val="clear" w:color="auto" w:fill="auto"/>
            <w:vAlign w:val="center"/>
          </w:tcPr>
          <w:p w14:paraId="49CEE667">
            <w:pPr>
              <w:spacing w:line="360" w:lineRule="auto"/>
              <w:rPr>
                <w:rFonts w:ascii="宋体" w:hAnsi="宋体" w:cs="宋体"/>
                <w:color w:val="auto"/>
                <w:sz w:val="24"/>
                <w:highlight w:val="none"/>
              </w:rPr>
            </w:pPr>
          </w:p>
        </w:tc>
        <w:tc>
          <w:tcPr>
            <w:tcW w:w="815" w:type="dxa"/>
            <w:shd w:val="clear" w:color="auto" w:fill="auto"/>
            <w:vAlign w:val="center"/>
          </w:tcPr>
          <w:p w14:paraId="3D2518EE">
            <w:pPr>
              <w:spacing w:line="360" w:lineRule="auto"/>
              <w:rPr>
                <w:rFonts w:ascii="宋体" w:hAnsi="宋体" w:cs="宋体"/>
                <w:color w:val="auto"/>
                <w:sz w:val="24"/>
                <w:highlight w:val="none"/>
              </w:rPr>
            </w:pPr>
          </w:p>
        </w:tc>
        <w:tc>
          <w:tcPr>
            <w:tcW w:w="1147" w:type="dxa"/>
            <w:shd w:val="clear" w:color="auto" w:fill="auto"/>
            <w:vAlign w:val="center"/>
          </w:tcPr>
          <w:p w14:paraId="38DE6452">
            <w:pPr>
              <w:spacing w:line="360" w:lineRule="auto"/>
              <w:rPr>
                <w:rFonts w:ascii="宋体" w:hAnsi="宋体" w:cs="宋体"/>
                <w:color w:val="auto"/>
                <w:sz w:val="24"/>
                <w:highlight w:val="none"/>
              </w:rPr>
            </w:pPr>
          </w:p>
        </w:tc>
        <w:tc>
          <w:tcPr>
            <w:tcW w:w="1149" w:type="dxa"/>
            <w:shd w:val="clear" w:color="auto" w:fill="auto"/>
            <w:vAlign w:val="center"/>
          </w:tcPr>
          <w:p w14:paraId="5C402CDA">
            <w:pPr>
              <w:spacing w:line="360" w:lineRule="auto"/>
              <w:rPr>
                <w:rFonts w:ascii="宋体" w:hAnsi="宋体" w:cs="宋体"/>
                <w:color w:val="auto"/>
                <w:sz w:val="24"/>
                <w:highlight w:val="none"/>
              </w:rPr>
            </w:pPr>
          </w:p>
        </w:tc>
        <w:tc>
          <w:tcPr>
            <w:tcW w:w="1147" w:type="dxa"/>
            <w:shd w:val="clear" w:color="auto" w:fill="auto"/>
            <w:vAlign w:val="center"/>
          </w:tcPr>
          <w:p w14:paraId="774753D9">
            <w:pPr>
              <w:spacing w:line="360" w:lineRule="auto"/>
              <w:rPr>
                <w:rFonts w:ascii="宋体" w:hAnsi="宋体" w:cs="宋体"/>
                <w:color w:val="auto"/>
                <w:sz w:val="24"/>
                <w:highlight w:val="none"/>
              </w:rPr>
            </w:pPr>
          </w:p>
        </w:tc>
        <w:tc>
          <w:tcPr>
            <w:tcW w:w="744" w:type="dxa"/>
            <w:shd w:val="clear" w:color="auto" w:fill="auto"/>
            <w:vAlign w:val="center"/>
          </w:tcPr>
          <w:p w14:paraId="43E9162D">
            <w:pPr>
              <w:spacing w:line="360" w:lineRule="auto"/>
              <w:rPr>
                <w:rFonts w:ascii="宋体" w:hAnsi="宋体" w:cs="宋体"/>
                <w:color w:val="auto"/>
                <w:sz w:val="24"/>
                <w:highlight w:val="none"/>
              </w:rPr>
            </w:pPr>
          </w:p>
        </w:tc>
        <w:tc>
          <w:tcPr>
            <w:tcW w:w="1166" w:type="dxa"/>
            <w:shd w:val="clear" w:color="auto" w:fill="auto"/>
            <w:vAlign w:val="center"/>
          </w:tcPr>
          <w:p w14:paraId="441C89D8">
            <w:pPr>
              <w:spacing w:line="360" w:lineRule="auto"/>
              <w:rPr>
                <w:rFonts w:ascii="宋体" w:hAnsi="宋体" w:cs="宋体"/>
                <w:color w:val="auto"/>
                <w:sz w:val="24"/>
                <w:highlight w:val="none"/>
              </w:rPr>
            </w:pPr>
          </w:p>
        </w:tc>
        <w:tc>
          <w:tcPr>
            <w:tcW w:w="1281" w:type="dxa"/>
            <w:shd w:val="clear" w:color="auto" w:fill="auto"/>
            <w:vAlign w:val="center"/>
          </w:tcPr>
          <w:p w14:paraId="58268ECB">
            <w:pPr>
              <w:spacing w:line="360" w:lineRule="auto"/>
              <w:rPr>
                <w:rFonts w:ascii="宋体" w:hAnsi="宋体" w:cs="宋体"/>
                <w:color w:val="auto"/>
                <w:sz w:val="24"/>
                <w:highlight w:val="none"/>
              </w:rPr>
            </w:pPr>
          </w:p>
        </w:tc>
      </w:tr>
      <w:tr w14:paraId="76E24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3D4CF094">
            <w:pPr>
              <w:kinsoku w:val="0"/>
              <w:autoSpaceDE w:val="0"/>
              <w:autoSpaceDN w:val="0"/>
              <w:adjustRightInd w:val="0"/>
              <w:snapToGrid w:val="0"/>
              <w:spacing w:line="360" w:lineRule="auto"/>
              <w:ind w:left="123" w:right="129" w:hanging="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4FB72604">
            <w:pPr>
              <w:spacing w:line="360" w:lineRule="auto"/>
              <w:rPr>
                <w:rFonts w:ascii="宋体" w:hAnsi="宋体" w:cs="宋体"/>
                <w:color w:val="auto"/>
                <w:sz w:val="24"/>
                <w:highlight w:val="none"/>
              </w:rPr>
            </w:pPr>
          </w:p>
        </w:tc>
        <w:tc>
          <w:tcPr>
            <w:tcW w:w="827" w:type="dxa"/>
            <w:shd w:val="clear" w:color="auto" w:fill="auto"/>
            <w:vAlign w:val="center"/>
          </w:tcPr>
          <w:p w14:paraId="4F63463C">
            <w:pPr>
              <w:spacing w:line="360" w:lineRule="auto"/>
              <w:rPr>
                <w:rFonts w:ascii="宋体" w:hAnsi="宋体" w:cs="宋体"/>
                <w:color w:val="auto"/>
                <w:sz w:val="24"/>
                <w:highlight w:val="none"/>
              </w:rPr>
            </w:pPr>
          </w:p>
        </w:tc>
        <w:tc>
          <w:tcPr>
            <w:tcW w:w="815" w:type="dxa"/>
            <w:shd w:val="clear" w:color="auto" w:fill="auto"/>
            <w:vAlign w:val="center"/>
          </w:tcPr>
          <w:p w14:paraId="4ECB7A15">
            <w:pPr>
              <w:spacing w:line="360" w:lineRule="auto"/>
              <w:rPr>
                <w:rFonts w:ascii="宋体" w:hAnsi="宋体" w:cs="宋体"/>
                <w:color w:val="auto"/>
                <w:sz w:val="24"/>
                <w:highlight w:val="none"/>
              </w:rPr>
            </w:pPr>
          </w:p>
        </w:tc>
        <w:tc>
          <w:tcPr>
            <w:tcW w:w="1147" w:type="dxa"/>
            <w:shd w:val="clear" w:color="auto" w:fill="auto"/>
            <w:vAlign w:val="center"/>
          </w:tcPr>
          <w:p w14:paraId="4FD9E131">
            <w:pPr>
              <w:spacing w:line="360" w:lineRule="auto"/>
              <w:rPr>
                <w:rFonts w:ascii="宋体" w:hAnsi="宋体" w:cs="宋体"/>
                <w:color w:val="auto"/>
                <w:sz w:val="24"/>
                <w:highlight w:val="none"/>
              </w:rPr>
            </w:pPr>
          </w:p>
        </w:tc>
        <w:tc>
          <w:tcPr>
            <w:tcW w:w="1149" w:type="dxa"/>
            <w:shd w:val="clear" w:color="auto" w:fill="auto"/>
            <w:vAlign w:val="center"/>
          </w:tcPr>
          <w:p w14:paraId="625916D3">
            <w:pPr>
              <w:spacing w:line="360" w:lineRule="auto"/>
              <w:rPr>
                <w:rFonts w:ascii="宋体" w:hAnsi="宋体" w:cs="宋体"/>
                <w:color w:val="auto"/>
                <w:sz w:val="24"/>
                <w:highlight w:val="none"/>
              </w:rPr>
            </w:pPr>
          </w:p>
        </w:tc>
        <w:tc>
          <w:tcPr>
            <w:tcW w:w="1147" w:type="dxa"/>
            <w:shd w:val="clear" w:color="auto" w:fill="auto"/>
            <w:vAlign w:val="center"/>
          </w:tcPr>
          <w:p w14:paraId="50F936C2">
            <w:pPr>
              <w:spacing w:line="360" w:lineRule="auto"/>
              <w:rPr>
                <w:rFonts w:ascii="宋体" w:hAnsi="宋体" w:cs="宋体"/>
                <w:color w:val="auto"/>
                <w:sz w:val="24"/>
                <w:highlight w:val="none"/>
              </w:rPr>
            </w:pPr>
          </w:p>
        </w:tc>
        <w:tc>
          <w:tcPr>
            <w:tcW w:w="744" w:type="dxa"/>
            <w:shd w:val="clear" w:color="auto" w:fill="auto"/>
            <w:vAlign w:val="center"/>
          </w:tcPr>
          <w:p w14:paraId="1760FCA4">
            <w:pPr>
              <w:spacing w:line="360" w:lineRule="auto"/>
              <w:rPr>
                <w:rFonts w:ascii="宋体" w:hAnsi="宋体" w:cs="宋体"/>
                <w:color w:val="auto"/>
                <w:sz w:val="24"/>
                <w:highlight w:val="none"/>
              </w:rPr>
            </w:pPr>
          </w:p>
        </w:tc>
        <w:tc>
          <w:tcPr>
            <w:tcW w:w="1166" w:type="dxa"/>
            <w:shd w:val="clear" w:color="auto" w:fill="auto"/>
            <w:vAlign w:val="center"/>
          </w:tcPr>
          <w:p w14:paraId="0EABA597">
            <w:pPr>
              <w:spacing w:line="360" w:lineRule="auto"/>
              <w:rPr>
                <w:rFonts w:ascii="宋体" w:hAnsi="宋体" w:cs="宋体"/>
                <w:color w:val="auto"/>
                <w:sz w:val="24"/>
                <w:highlight w:val="none"/>
              </w:rPr>
            </w:pPr>
          </w:p>
        </w:tc>
        <w:tc>
          <w:tcPr>
            <w:tcW w:w="1281" w:type="dxa"/>
            <w:shd w:val="clear" w:color="auto" w:fill="auto"/>
            <w:vAlign w:val="center"/>
          </w:tcPr>
          <w:p w14:paraId="6448BE76">
            <w:pPr>
              <w:spacing w:line="360" w:lineRule="auto"/>
              <w:rPr>
                <w:rFonts w:ascii="宋体" w:hAnsi="宋体" w:cs="宋体"/>
                <w:color w:val="auto"/>
                <w:sz w:val="24"/>
                <w:highlight w:val="none"/>
              </w:rPr>
            </w:pPr>
          </w:p>
        </w:tc>
      </w:tr>
      <w:tr w14:paraId="2E6A3E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76DF516D">
            <w:pPr>
              <w:kinsoku w:val="0"/>
              <w:autoSpaceDE w:val="0"/>
              <w:autoSpaceDN w:val="0"/>
              <w:adjustRightInd w:val="0"/>
              <w:snapToGrid w:val="0"/>
              <w:spacing w:line="360" w:lineRule="auto"/>
              <w:ind w:left="1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5600EE6B">
            <w:pPr>
              <w:kinsoku w:val="0"/>
              <w:autoSpaceDE w:val="0"/>
              <w:autoSpaceDN w:val="0"/>
              <w:adjustRightInd w:val="0"/>
              <w:snapToGrid w:val="0"/>
              <w:spacing w:line="360" w:lineRule="auto"/>
              <w:ind w:left="1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2318FCED">
            <w:pPr>
              <w:spacing w:line="360" w:lineRule="auto"/>
              <w:rPr>
                <w:rFonts w:ascii="宋体" w:hAnsi="宋体" w:cs="宋体"/>
                <w:color w:val="auto"/>
                <w:sz w:val="24"/>
                <w:highlight w:val="none"/>
              </w:rPr>
            </w:pPr>
          </w:p>
        </w:tc>
        <w:tc>
          <w:tcPr>
            <w:tcW w:w="827" w:type="dxa"/>
            <w:shd w:val="clear" w:color="auto" w:fill="auto"/>
            <w:vAlign w:val="center"/>
          </w:tcPr>
          <w:p w14:paraId="2BCD7153">
            <w:pPr>
              <w:spacing w:line="360" w:lineRule="auto"/>
              <w:rPr>
                <w:rFonts w:ascii="宋体" w:hAnsi="宋体" w:cs="宋体"/>
                <w:color w:val="auto"/>
                <w:sz w:val="24"/>
                <w:highlight w:val="none"/>
              </w:rPr>
            </w:pPr>
          </w:p>
        </w:tc>
        <w:tc>
          <w:tcPr>
            <w:tcW w:w="815" w:type="dxa"/>
            <w:shd w:val="clear" w:color="auto" w:fill="auto"/>
            <w:vAlign w:val="center"/>
          </w:tcPr>
          <w:p w14:paraId="195A98E0">
            <w:pPr>
              <w:spacing w:line="360" w:lineRule="auto"/>
              <w:rPr>
                <w:rFonts w:ascii="宋体" w:hAnsi="宋体" w:cs="宋体"/>
                <w:color w:val="auto"/>
                <w:sz w:val="24"/>
                <w:highlight w:val="none"/>
              </w:rPr>
            </w:pPr>
          </w:p>
        </w:tc>
        <w:tc>
          <w:tcPr>
            <w:tcW w:w="1147" w:type="dxa"/>
            <w:shd w:val="clear" w:color="auto" w:fill="auto"/>
            <w:vAlign w:val="center"/>
          </w:tcPr>
          <w:p w14:paraId="6F92F9CD">
            <w:pPr>
              <w:spacing w:line="360" w:lineRule="auto"/>
              <w:rPr>
                <w:rFonts w:ascii="宋体" w:hAnsi="宋体" w:cs="宋体"/>
                <w:color w:val="auto"/>
                <w:sz w:val="24"/>
                <w:highlight w:val="none"/>
              </w:rPr>
            </w:pPr>
          </w:p>
        </w:tc>
        <w:tc>
          <w:tcPr>
            <w:tcW w:w="1149" w:type="dxa"/>
            <w:shd w:val="clear" w:color="auto" w:fill="auto"/>
            <w:vAlign w:val="center"/>
          </w:tcPr>
          <w:p w14:paraId="094CCD25">
            <w:pPr>
              <w:spacing w:line="360" w:lineRule="auto"/>
              <w:rPr>
                <w:rFonts w:ascii="宋体" w:hAnsi="宋体" w:cs="宋体"/>
                <w:color w:val="auto"/>
                <w:sz w:val="24"/>
                <w:highlight w:val="none"/>
              </w:rPr>
            </w:pPr>
          </w:p>
        </w:tc>
        <w:tc>
          <w:tcPr>
            <w:tcW w:w="1147" w:type="dxa"/>
            <w:shd w:val="clear" w:color="auto" w:fill="auto"/>
            <w:vAlign w:val="center"/>
          </w:tcPr>
          <w:p w14:paraId="598E9610">
            <w:pPr>
              <w:spacing w:line="360" w:lineRule="auto"/>
              <w:rPr>
                <w:rFonts w:ascii="宋体" w:hAnsi="宋体" w:cs="宋体"/>
                <w:color w:val="auto"/>
                <w:sz w:val="24"/>
                <w:highlight w:val="none"/>
              </w:rPr>
            </w:pPr>
          </w:p>
        </w:tc>
        <w:tc>
          <w:tcPr>
            <w:tcW w:w="744" w:type="dxa"/>
            <w:shd w:val="clear" w:color="auto" w:fill="auto"/>
            <w:vAlign w:val="center"/>
          </w:tcPr>
          <w:p w14:paraId="35A7B410">
            <w:pPr>
              <w:spacing w:line="360" w:lineRule="auto"/>
              <w:rPr>
                <w:rFonts w:ascii="宋体" w:hAnsi="宋体" w:cs="宋体"/>
                <w:color w:val="auto"/>
                <w:sz w:val="24"/>
                <w:highlight w:val="none"/>
              </w:rPr>
            </w:pPr>
          </w:p>
        </w:tc>
        <w:tc>
          <w:tcPr>
            <w:tcW w:w="1166" w:type="dxa"/>
            <w:shd w:val="clear" w:color="auto" w:fill="auto"/>
            <w:vAlign w:val="center"/>
          </w:tcPr>
          <w:p w14:paraId="5525272F">
            <w:pPr>
              <w:spacing w:line="360" w:lineRule="auto"/>
              <w:rPr>
                <w:rFonts w:ascii="宋体" w:hAnsi="宋体" w:cs="宋体"/>
                <w:color w:val="auto"/>
                <w:sz w:val="24"/>
                <w:highlight w:val="none"/>
              </w:rPr>
            </w:pPr>
          </w:p>
        </w:tc>
        <w:tc>
          <w:tcPr>
            <w:tcW w:w="1281" w:type="dxa"/>
            <w:shd w:val="clear" w:color="auto" w:fill="auto"/>
            <w:vAlign w:val="center"/>
          </w:tcPr>
          <w:p w14:paraId="70AA9C49">
            <w:pPr>
              <w:spacing w:line="360" w:lineRule="auto"/>
              <w:rPr>
                <w:rFonts w:ascii="宋体" w:hAnsi="宋体" w:cs="宋体"/>
                <w:color w:val="auto"/>
                <w:sz w:val="24"/>
                <w:highlight w:val="none"/>
              </w:rPr>
            </w:pPr>
          </w:p>
        </w:tc>
      </w:tr>
      <w:tr w14:paraId="292C23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2E7F50AD">
            <w:pPr>
              <w:spacing w:line="360" w:lineRule="auto"/>
              <w:rPr>
                <w:rFonts w:ascii="宋体" w:hAnsi="宋体" w:cs="宋体"/>
                <w:color w:val="auto"/>
                <w:sz w:val="24"/>
                <w:highlight w:val="none"/>
              </w:rPr>
            </w:pPr>
          </w:p>
        </w:tc>
        <w:tc>
          <w:tcPr>
            <w:tcW w:w="669" w:type="dxa"/>
            <w:shd w:val="clear" w:color="auto" w:fill="auto"/>
            <w:vAlign w:val="center"/>
          </w:tcPr>
          <w:p w14:paraId="7E1DADD7">
            <w:pPr>
              <w:spacing w:line="360" w:lineRule="auto"/>
              <w:rPr>
                <w:rFonts w:ascii="宋体" w:hAnsi="宋体" w:cs="宋体"/>
                <w:color w:val="auto"/>
                <w:sz w:val="24"/>
                <w:highlight w:val="none"/>
              </w:rPr>
            </w:pPr>
          </w:p>
        </w:tc>
        <w:tc>
          <w:tcPr>
            <w:tcW w:w="827" w:type="dxa"/>
            <w:shd w:val="clear" w:color="auto" w:fill="auto"/>
            <w:vAlign w:val="center"/>
          </w:tcPr>
          <w:p w14:paraId="1CDF95D4">
            <w:pPr>
              <w:spacing w:line="360" w:lineRule="auto"/>
              <w:rPr>
                <w:rFonts w:ascii="宋体" w:hAnsi="宋体" w:cs="宋体"/>
                <w:color w:val="auto"/>
                <w:sz w:val="24"/>
                <w:highlight w:val="none"/>
              </w:rPr>
            </w:pPr>
          </w:p>
        </w:tc>
        <w:tc>
          <w:tcPr>
            <w:tcW w:w="815" w:type="dxa"/>
            <w:shd w:val="clear" w:color="auto" w:fill="auto"/>
            <w:vAlign w:val="center"/>
          </w:tcPr>
          <w:p w14:paraId="6643C06B">
            <w:pPr>
              <w:spacing w:line="360" w:lineRule="auto"/>
              <w:rPr>
                <w:rFonts w:ascii="宋体" w:hAnsi="宋体" w:cs="宋体"/>
                <w:color w:val="auto"/>
                <w:sz w:val="24"/>
                <w:highlight w:val="none"/>
              </w:rPr>
            </w:pPr>
          </w:p>
        </w:tc>
        <w:tc>
          <w:tcPr>
            <w:tcW w:w="1147" w:type="dxa"/>
            <w:shd w:val="clear" w:color="auto" w:fill="auto"/>
            <w:vAlign w:val="center"/>
          </w:tcPr>
          <w:p w14:paraId="33D578CF">
            <w:pPr>
              <w:spacing w:line="360" w:lineRule="auto"/>
              <w:rPr>
                <w:rFonts w:ascii="宋体" w:hAnsi="宋体" w:cs="宋体"/>
                <w:color w:val="auto"/>
                <w:sz w:val="24"/>
                <w:highlight w:val="none"/>
              </w:rPr>
            </w:pPr>
          </w:p>
        </w:tc>
        <w:tc>
          <w:tcPr>
            <w:tcW w:w="1149" w:type="dxa"/>
            <w:shd w:val="clear" w:color="auto" w:fill="auto"/>
            <w:vAlign w:val="center"/>
          </w:tcPr>
          <w:p w14:paraId="5C9FAF65">
            <w:pPr>
              <w:spacing w:line="360" w:lineRule="auto"/>
              <w:rPr>
                <w:rFonts w:ascii="宋体" w:hAnsi="宋体" w:cs="宋体"/>
                <w:color w:val="auto"/>
                <w:sz w:val="24"/>
                <w:highlight w:val="none"/>
              </w:rPr>
            </w:pPr>
          </w:p>
        </w:tc>
        <w:tc>
          <w:tcPr>
            <w:tcW w:w="1147" w:type="dxa"/>
            <w:shd w:val="clear" w:color="auto" w:fill="auto"/>
            <w:vAlign w:val="center"/>
          </w:tcPr>
          <w:p w14:paraId="2AF3B788">
            <w:pPr>
              <w:spacing w:line="360" w:lineRule="auto"/>
              <w:rPr>
                <w:rFonts w:ascii="宋体" w:hAnsi="宋体" w:cs="宋体"/>
                <w:color w:val="auto"/>
                <w:sz w:val="24"/>
                <w:highlight w:val="none"/>
              </w:rPr>
            </w:pPr>
          </w:p>
        </w:tc>
        <w:tc>
          <w:tcPr>
            <w:tcW w:w="744" w:type="dxa"/>
            <w:shd w:val="clear" w:color="auto" w:fill="auto"/>
            <w:vAlign w:val="center"/>
          </w:tcPr>
          <w:p w14:paraId="3776E4F5">
            <w:pPr>
              <w:spacing w:line="360" w:lineRule="auto"/>
              <w:rPr>
                <w:rFonts w:ascii="宋体" w:hAnsi="宋体" w:cs="宋体"/>
                <w:color w:val="auto"/>
                <w:sz w:val="24"/>
                <w:highlight w:val="none"/>
              </w:rPr>
            </w:pPr>
          </w:p>
        </w:tc>
        <w:tc>
          <w:tcPr>
            <w:tcW w:w="1166" w:type="dxa"/>
            <w:shd w:val="clear" w:color="auto" w:fill="auto"/>
            <w:vAlign w:val="center"/>
          </w:tcPr>
          <w:p w14:paraId="220EA3EE">
            <w:pPr>
              <w:spacing w:line="360" w:lineRule="auto"/>
              <w:rPr>
                <w:rFonts w:ascii="宋体" w:hAnsi="宋体" w:cs="宋体"/>
                <w:color w:val="auto"/>
                <w:sz w:val="24"/>
                <w:highlight w:val="none"/>
              </w:rPr>
            </w:pPr>
          </w:p>
        </w:tc>
        <w:tc>
          <w:tcPr>
            <w:tcW w:w="1281" w:type="dxa"/>
            <w:shd w:val="clear" w:color="auto" w:fill="auto"/>
            <w:vAlign w:val="center"/>
          </w:tcPr>
          <w:p w14:paraId="0A44DF7E">
            <w:pPr>
              <w:spacing w:line="360" w:lineRule="auto"/>
              <w:rPr>
                <w:rFonts w:ascii="宋体" w:hAnsi="宋体" w:cs="宋体"/>
                <w:color w:val="auto"/>
                <w:sz w:val="24"/>
                <w:highlight w:val="none"/>
              </w:rPr>
            </w:pPr>
          </w:p>
        </w:tc>
      </w:tr>
      <w:tr w14:paraId="245C33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28B7365F">
            <w:pPr>
              <w:kinsoku w:val="0"/>
              <w:autoSpaceDE w:val="0"/>
              <w:autoSpaceDN w:val="0"/>
              <w:adjustRightInd w:val="0"/>
              <w:snapToGrid w:val="0"/>
              <w:spacing w:line="360" w:lineRule="auto"/>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467904F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24F0A11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2E399DC1">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2.供应商应当在本表后附所有管理人员的身份证、职称证、执业或职业资格证书的复印件并加盖供应商公章。</w:t>
      </w:r>
    </w:p>
    <w:p w14:paraId="6E42C314">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43804AB3">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4E494234">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01F12CE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4591A7D">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34457B63">
      <w:pPr>
        <w:spacing w:line="360" w:lineRule="auto"/>
        <w:ind w:left="1067"/>
        <w:rPr>
          <w:rFonts w:ascii="宋体" w:hAnsi="宋体" w:cs="宋体"/>
          <w:color w:val="auto"/>
          <w:sz w:val="24"/>
          <w:highlight w:val="none"/>
        </w:rPr>
      </w:pPr>
      <w:r>
        <w:rPr>
          <w:rFonts w:hint="eastAsia" w:ascii="宋体" w:hAnsi="宋体" w:cs="宋体"/>
          <w:color w:val="auto"/>
          <w:spacing w:val="3"/>
          <w:sz w:val="24"/>
          <w:highlight w:val="none"/>
          <w:u w:val="single"/>
        </w:rPr>
        <w:t xml:space="preserve">           </w:t>
      </w:r>
    </w:p>
    <w:p w14:paraId="6FE3B63D">
      <w:pPr>
        <w:spacing w:line="360" w:lineRule="auto"/>
        <w:rPr>
          <w:rFonts w:ascii="宋体" w:hAnsi="宋体"/>
          <w:color w:val="auto"/>
          <w:highlight w:val="none"/>
        </w:rPr>
      </w:pPr>
      <w:r>
        <w:rPr>
          <w:rFonts w:hint="eastAsia" w:ascii="宋体" w:hAnsi="宋体"/>
          <w:color w:val="auto"/>
          <w:highlight w:val="none"/>
        </w:rPr>
        <w:br w:type="page"/>
      </w:r>
    </w:p>
    <w:p w14:paraId="04867215">
      <w:pPr>
        <w:spacing w:line="360" w:lineRule="auto"/>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00515935">
      <w:pPr>
        <w:spacing w:line="360"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3429A040">
      <w:pPr>
        <w:spacing w:line="360" w:lineRule="auto"/>
        <w:rPr>
          <w:rFonts w:ascii="宋体" w:hAnsi="宋体" w:cs="宋体"/>
          <w:color w:val="auto"/>
          <w:highlight w:val="none"/>
        </w:rPr>
      </w:pPr>
    </w:p>
    <w:tbl>
      <w:tblPr>
        <w:tblStyle w:val="40"/>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18"/>
        <w:gridCol w:w="856"/>
        <w:gridCol w:w="692"/>
        <w:gridCol w:w="325"/>
        <w:gridCol w:w="208"/>
        <w:gridCol w:w="1441"/>
        <w:gridCol w:w="245"/>
        <w:gridCol w:w="1084"/>
        <w:gridCol w:w="89"/>
        <w:gridCol w:w="411"/>
        <w:gridCol w:w="1134"/>
        <w:gridCol w:w="87"/>
        <w:gridCol w:w="1396"/>
        <w:gridCol w:w="25"/>
      </w:tblGrid>
      <w:tr w14:paraId="3B950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12" w:type="dxa"/>
            <w:shd w:val="clear" w:color="auto" w:fill="auto"/>
          </w:tcPr>
          <w:p w14:paraId="0A7EE825">
            <w:pPr>
              <w:kinsoku w:val="0"/>
              <w:autoSpaceDE w:val="0"/>
              <w:autoSpaceDN w:val="0"/>
              <w:adjustRightInd w:val="0"/>
              <w:snapToGrid w:val="0"/>
              <w:spacing w:line="360" w:lineRule="auto"/>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291" w:type="dxa"/>
            <w:gridSpan w:val="4"/>
            <w:shd w:val="clear" w:color="auto" w:fill="auto"/>
          </w:tcPr>
          <w:p w14:paraId="35D1DDD8">
            <w:pPr>
              <w:spacing w:line="360" w:lineRule="auto"/>
              <w:rPr>
                <w:rFonts w:ascii="宋体" w:hAnsi="宋体" w:cs="宋体"/>
                <w:color w:val="auto"/>
                <w:sz w:val="24"/>
                <w:highlight w:val="none"/>
              </w:rPr>
            </w:pPr>
          </w:p>
        </w:tc>
        <w:tc>
          <w:tcPr>
            <w:tcW w:w="1894" w:type="dxa"/>
            <w:gridSpan w:val="3"/>
            <w:shd w:val="clear" w:color="auto" w:fill="auto"/>
          </w:tcPr>
          <w:p w14:paraId="7DBD6601">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53DFF2F1">
            <w:pPr>
              <w:spacing w:line="360" w:lineRule="auto"/>
              <w:rPr>
                <w:rFonts w:ascii="宋体" w:hAnsi="宋体" w:cs="宋体"/>
                <w:color w:val="auto"/>
                <w:sz w:val="24"/>
                <w:highlight w:val="none"/>
              </w:rPr>
            </w:pPr>
          </w:p>
        </w:tc>
        <w:tc>
          <w:tcPr>
            <w:tcW w:w="1134" w:type="dxa"/>
            <w:shd w:val="clear" w:color="auto" w:fill="auto"/>
          </w:tcPr>
          <w:p w14:paraId="49FA69A5">
            <w:pPr>
              <w:kinsoku w:val="0"/>
              <w:autoSpaceDE w:val="0"/>
              <w:autoSpaceDN w:val="0"/>
              <w:adjustRightInd w:val="0"/>
              <w:snapToGrid w:val="0"/>
              <w:spacing w:line="360" w:lineRule="auto"/>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3072AA0F">
            <w:pPr>
              <w:spacing w:line="360" w:lineRule="auto"/>
              <w:rPr>
                <w:rFonts w:ascii="宋体" w:hAnsi="宋体" w:cs="宋体"/>
                <w:color w:val="auto"/>
                <w:sz w:val="24"/>
                <w:highlight w:val="none"/>
              </w:rPr>
            </w:pPr>
          </w:p>
        </w:tc>
      </w:tr>
      <w:tr w14:paraId="4C40D1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116760D1">
            <w:pPr>
              <w:kinsoku w:val="0"/>
              <w:autoSpaceDE w:val="0"/>
              <w:autoSpaceDN w:val="0"/>
              <w:adjustRightInd w:val="0"/>
              <w:snapToGrid w:val="0"/>
              <w:spacing w:line="360" w:lineRule="auto"/>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291" w:type="dxa"/>
            <w:gridSpan w:val="4"/>
            <w:shd w:val="clear" w:color="auto" w:fill="auto"/>
          </w:tcPr>
          <w:p w14:paraId="63043FA4">
            <w:pPr>
              <w:kinsoku w:val="0"/>
              <w:autoSpaceDE w:val="0"/>
              <w:autoSpaceDN w:val="0"/>
              <w:adjustRightInd w:val="0"/>
              <w:snapToGrid w:val="0"/>
              <w:spacing w:line="360" w:lineRule="auto"/>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4C85A9F3">
            <w:pPr>
              <w:kinsoku w:val="0"/>
              <w:autoSpaceDE w:val="0"/>
              <w:autoSpaceDN w:val="0"/>
              <w:adjustRightInd w:val="0"/>
              <w:snapToGrid w:val="0"/>
              <w:spacing w:line="360" w:lineRule="auto"/>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670F1576">
            <w:pPr>
              <w:spacing w:line="360" w:lineRule="auto"/>
              <w:rPr>
                <w:rFonts w:ascii="宋体" w:hAnsi="宋体" w:cs="宋体"/>
                <w:color w:val="auto"/>
                <w:sz w:val="24"/>
                <w:highlight w:val="none"/>
              </w:rPr>
            </w:pPr>
          </w:p>
        </w:tc>
        <w:tc>
          <w:tcPr>
            <w:tcW w:w="1134" w:type="dxa"/>
            <w:shd w:val="clear" w:color="auto" w:fill="auto"/>
          </w:tcPr>
          <w:p w14:paraId="776C1558">
            <w:pPr>
              <w:kinsoku w:val="0"/>
              <w:autoSpaceDE w:val="0"/>
              <w:autoSpaceDN w:val="0"/>
              <w:adjustRightInd w:val="0"/>
              <w:snapToGrid w:val="0"/>
              <w:spacing w:line="360" w:lineRule="auto"/>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071E6512">
            <w:pPr>
              <w:spacing w:line="360" w:lineRule="auto"/>
              <w:rPr>
                <w:rFonts w:ascii="宋体" w:hAnsi="宋体" w:cs="宋体"/>
                <w:color w:val="auto"/>
                <w:sz w:val="24"/>
                <w:highlight w:val="none"/>
              </w:rPr>
            </w:pPr>
          </w:p>
        </w:tc>
      </w:tr>
      <w:tr w14:paraId="2427A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6BA80532">
            <w:pPr>
              <w:kinsoku w:val="0"/>
              <w:autoSpaceDE w:val="0"/>
              <w:autoSpaceDN w:val="0"/>
              <w:adjustRightInd w:val="0"/>
              <w:snapToGrid w:val="0"/>
              <w:spacing w:line="360" w:lineRule="auto"/>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291" w:type="dxa"/>
            <w:gridSpan w:val="4"/>
            <w:shd w:val="clear" w:color="auto" w:fill="auto"/>
          </w:tcPr>
          <w:p w14:paraId="107D897C">
            <w:pPr>
              <w:spacing w:line="360" w:lineRule="auto"/>
              <w:rPr>
                <w:rFonts w:ascii="宋体" w:hAnsi="宋体" w:cs="宋体"/>
                <w:color w:val="auto"/>
                <w:sz w:val="24"/>
                <w:highlight w:val="none"/>
              </w:rPr>
            </w:pPr>
          </w:p>
        </w:tc>
        <w:tc>
          <w:tcPr>
            <w:tcW w:w="1894" w:type="dxa"/>
            <w:gridSpan w:val="3"/>
            <w:shd w:val="clear" w:color="auto" w:fill="auto"/>
          </w:tcPr>
          <w:p w14:paraId="18D54124">
            <w:pPr>
              <w:kinsoku w:val="0"/>
              <w:autoSpaceDE w:val="0"/>
              <w:autoSpaceDN w:val="0"/>
              <w:adjustRightInd w:val="0"/>
              <w:snapToGrid w:val="0"/>
              <w:spacing w:line="360" w:lineRule="auto"/>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087F9979">
            <w:pPr>
              <w:spacing w:line="360" w:lineRule="auto"/>
              <w:rPr>
                <w:rFonts w:ascii="宋体" w:hAnsi="宋体" w:cs="宋体"/>
                <w:color w:val="auto"/>
                <w:sz w:val="24"/>
                <w:highlight w:val="none"/>
              </w:rPr>
            </w:pPr>
          </w:p>
        </w:tc>
        <w:tc>
          <w:tcPr>
            <w:tcW w:w="1134" w:type="dxa"/>
            <w:shd w:val="clear" w:color="auto" w:fill="auto"/>
          </w:tcPr>
          <w:p w14:paraId="3488B339">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682B8080">
            <w:pPr>
              <w:spacing w:line="360" w:lineRule="auto"/>
              <w:rPr>
                <w:rFonts w:ascii="宋体" w:hAnsi="宋体" w:cs="宋体"/>
                <w:color w:val="auto"/>
                <w:sz w:val="24"/>
                <w:highlight w:val="none"/>
              </w:rPr>
            </w:pPr>
          </w:p>
        </w:tc>
      </w:tr>
      <w:tr w14:paraId="61CDD8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20EF0D33">
            <w:pPr>
              <w:kinsoku w:val="0"/>
              <w:autoSpaceDE w:val="0"/>
              <w:autoSpaceDN w:val="0"/>
              <w:adjustRightInd w:val="0"/>
              <w:snapToGrid w:val="0"/>
              <w:spacing w:line="360" w:lineRule="auto"/>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291" w:type="dxa"/>
            <w:gridSpan w:val="4"/>
            <w:shd w:val="clear" w:color="auto" w:fill="auto"/>
          </w:tcPr>
          <w:p w14:paraId="18BEC89B">
            <w:pPr>
              <w:spacing w:line="360" w:lineRule="auto"/>
              <w:rPr>
                <w:rFonts w:ascii="宋体" w:hAnsi="宋体" w:cs="宋体"/>
                <w:color w:val="auto"/>
                <w:sz w:val="24"/>
                <w:highlight w:val="none"/>
              </w:rPr>
            </w:pPr>
          </w:p>
        </w:tc>
        <w:tc>
          <w:tcPr>
            <w:tcW w:w="1649" w:type="dxa"/>
            <w:gridSpan w:val="2"/>
            <w:shd w:val="clear" w:color="auto" w:fill="auto"/>
          </w:tcPr>
          <w:p w14:paraId="2FF945F6">
            <w:pPr>
              <w:kinsoku w:val="0"/>
              <w:autoSpaceDE w:val="0"/>
              <w:autoSpaceDN w:val="0"/>
              <w:adjustRightInd w:val="0"/>
              <w:snapToGrid w:val="0"/>
              <w:spacing w:line="360" w:lineRule="auto"/>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758D14F0">
            <w:pPr>
              <w:spacing w:line="360" w:lineRule="auto"/>
              <w:rPr>
                <w:rFonts w:ascii="宋体" w:hAnsi="宋体" w:cs="宋体"/>
                <w:color w:val="auto"/>
                <w:sz w:val="24"/>
                <w:highlight w:val="none"/>
              </w:rPr>
            </w:pPr>
          </w:p>
        </w:tc>
      </w:tr>
      <w:tr w14:paraId="512B3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12" w:type="dxa"/>
            <w:shd w:val="clear" w:color="auto" w:fill="auto"/>
          </w:tcPr>
          <w:p w14:paraId="3D01AAF1">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033162F1">
            <w:pPr>
              <w:kinsoku w:val="0"/>
              <w:autoSpaceDE w:val="0"/>
              <w:autoSpaceDN w:val="0"/>
              <w:adjustRightInd w:val="0"/>
              <w:snapToGrid w:val="0"/>
              <w:spacing w:line="360" w:lineRule="auto"/>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34CA44B6">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163C42A9">
            <w:pPr>
              <w:kinsoku w:val="0"/>
              <w:autoSpaceDE w:val="0"/>
              <w:autoSpaceDN w:val="0"/>
              <w:adjustRightInd w:val="0"/>
              <w:snapToGrid w:val="0"/>
              <w:spacing w:line="360" w:lineRule="auto"/>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79015436">
            <w:pPr>
              <w:kinsoku w:val="0"/>
              <w:autoSpaceDE w:val="0"/>
              <w:autoSpaceDN w:val="0"/>
              <w:adjustRightInd w:val="0"/>
              <w:snapToGrid w:val="0"/>
              <w:spacing w:line="360" w:lineRule="auto"/>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692DACCA">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1294CF8F">
            <w:pPr>
              <w:kinsoku w:val="0"/>
              <w:autoSpaceDE w:val="0"/>
              <w:autoSpaceDN w:val="0"/>
              <w:adjustRightInd w:val="0"/>
              <w:snapToGrid w:val="0"/>
              <w:spacing w:line="360" w:lineRule="auto"/>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3BF26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212" w:type="dxa"/>
            <w:shd w:val="clear" w:color="auto" w:fill="auto"/>
          </w:tcPr>
          <w:p w14:paraId="3406E9BB">
            <w:pPr>
              <w:spacing w:line="360" w:lineRule="auto"/>
              <w:rPr>
                <w:rFonts w:ascii="宋体" w:hAnsi="宋体" w:cs="宋体"/>
                <w:color w:val="auto"/>
                <w:sz w:val="24"/>
                <w:highlight w:val="none"/>
              </w:rPr>
            </w:pPr>
          </w:p>
        </w:tc>
        <w:tc>
          <w:tcPr>
            <w:tcW w:w="1274" w:type="dxa"/>
            <w:gridSpan w:val="2"/>
            <w:shd w:val="clear" w:color="auto" w:fill="auto"/>
          </w:tcPr>
          <w:p w14:paraId="0254ABAD">
            <w:pPr>
              <w:spacing w:line="360" w:lineRule="auto"/>
              <w:rPr>
                <w:rFonts w:ascii="宋体" w:hAnsi="宋体" w:cs="宋体"/>
                <w:color w:val="auto"/>
                <w:sz w:val="24"/>
                <w:highlight w:val="none"/>
              </w:rPr>
            </w:pPr>
          </w:p>
        </w:tc>
        <w:tc>
          <w:tcPr>
            <w:tcW w:w="1225" w:type="dxa"/>
            <w:gridSpan w:val="3"/>
            <w:shd w:val="clear" w:color="auto" w:fill="auto"/>
          </w:tcPr>
          <w:p w14:paraId="0B9D2C72">
            <w:pPr>
              <w:spacing w:line="360" w:lineRule="auto"/>
              <w:rPr>
                <w:rFonts w:ascii="宋体" w:hAnsi="宋体" w:cs="宋体"/>
                <w:color w:val="auto"/>
                <w:sz w:val="24"/>
                <w:highlight w:val="none"/>
              </w:rPr>
            </w:pPr>
          </w:p>
        </w:tc>
        <w:tc>
          <w:tcPr>
            <w:tcW w:w="1441" w:type="dxa"/>
            <w:shd w:val="clear" w:color="auto" w:fill="auto"/>
          </w:tcPr>
          <w:p w14:paraId="2E52EC7D">
            <w:pPr>
              <w:spacing w:line="360" w:lineRule="auto"/>
              <w:rPr>
                <w:rFonts w:ascii="宋体" w:hAnsi="宋体" w:cs="宋体"/>
                <w:color w:val="auto"/>
                <w:sz w:val="24"/>
                <w:highlight w:val="none"/>
              </w:rPr>
            </w:pPr>
          </w:p>
        </w:tc>
        <w:tc>
          <w:tcPr>
            <w:tcW w:w="1418" w:type="dxa"/>
            <w:gridSpan w:val="3"/>
            <w:shd w:val="clear" w:color="auto" w:fill="auto"/>
          </w:tcPr>
          <w:p w14:paraId="58CD5530">
            <w:pPr>
              <w:spacing w:line="360" w:lineRule="auto"/>
              <w:rPr>
                <w:rFonts w:ascii="宋体" w:hAnsi="宋体" w:cs="宋体"/>
                <w:color w:val="auto"/>
                <w:sz w:val="24"/>
                <w:highlight w:val="none"/>
              </w:rPr>
            </w:pPr>
          </w:p>
        </w:tc>
        <w:tc>
          <w:tcPr>
            <w:tcW w:w="1632" w:type="dxa"/>
            <w:gridSpan w:val="3"/>
            <w:shd w:val="clear" w:color="auto" w:fill="auto"/>
          </w:tcPr>
          <w:p w14:paraId="238294ED">
            <w:pPr>
              <w:spacing w:line="360" w:lineRule="auto"/>
              <w:rPr>
                <w:rFonts w:ascii="宋体" w:hAnsi="宋体" w:cs="宋体"/>
                <w:color w:val="auto"/>
                <w:sz w:val="24"/>
                <w:highlight w:val="none"/>
              </w:rPr>
            </w:pPr>
          </w:p>
        </w:tc>
        <w:tc>
          <w:tcPr>
            <w:tcW w:w="1421" w:type="dxa"/>
            <w:gridSpan w:val="2"/>
            <w:shd w:val="clear" w:color="auto" w:fill="auto"/>
          </w:tcPr>
          <w:p w14:paraId="3A8604B4">
            <w:pPr>
              <w:spacing w:line="360" w:lineRule="auto"/>
              <w:rPr>
                <w:rFonts w:ascii="宋体" w:hAnsi="宋体" w:cs="宋体"/>
                <w:color w:val="auto"/>
                <w:sz w:val="24"/>
                <w:highlight w:val="none"/>
              </w:rPr>
            </w:pPr>
          </w:p>
        </w:tc>
      </w:tr>
      <w:tr w14:paraId="7F4B2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212" w:type="dxa"/>
            <w:shd w:val="clear" w:color="auto" w:fill="auto"/>
          </w:tcPr>
          <w:p w14:paraId="0A91879C">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4ED947B6">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58F0C383">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7808A42A">
            <w:pPr>
              <w:spacing w:line="360" w:lineRule="auto"/>
              <w:rPr>
                <w:rFonts w:ascii="宋体" w:hAnsi="宋体" w:cs="宋体"/>
                <w:color w:val="auto"/>
                <w:sz w:val="24"/>
                <w:highlight w:val="none"/>
              </w:rPr>
            </w:pPr>
          </w:p>
        </w:tc>
        <w:tc>
          <w:tcPr>
            <w:tcW w:w="1225" w:type="dxa"/>
            <w:gridSpan w:val="3"/>
            <w:shd w:val="clear" w:color="auto" w:fill="auto"/>
          </w:tcPr>
          <w:p w14:paraId="5556DFB2">
            <w:pPr>
              <w:spacing w:line="360" w:lineRule="auto"/>
              <w:rPr>
                <w:rFonts w:ascii="宋体" w:hAnsi="宋体" w:cs="宋体"/>
                <w:color w:val="auto"/>
                <w:sz w:val="24"/>
                <w:highlight w:val="none"/>
              </w:rPr>
            </w:pPr>
          </w:p>
          <w:p w14:paraId="54B55ACB">
            <w:pPr>
              <w:kinsoku w:val="0"/>
              <w:autoSpaceDE w:val="0"/>
              <w:autoSpaceDN w:val="0"/>
              <w:adjustRightInd w:val="0"/>
              <w:snapToGrid w:val="0"/>
              <w:spacing w:line="360" w:lineRule="auto"/>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43519B16">
            <w:pPr>
              <w:spacing w:line="360" w:lineRule="auto"/>
              <w:rPr>
                <w:rFonts w:ascii="宋体" w:hAnsi="宋体" w:cs="宋体"/>
                <w:color w:val="auto"/>
                <w:sz w:val="24"/>
                <w:highlight w:val="none"/>
              </w:rPr>
            </w:pPr>
          </w:p>
        </w:tc>
        <w:tc>
          <w:tcPr>
            <w:tcW w:w="1418" w:type="dxa"/>
            <w:gridSpan w:val="3"/>
            <w:shd w:val="clear" w:color="auto" w:fill="auto"/>
          </w:tcPr>
          <w:p w14:paraId="684CE42F">
            <w:pPr>
              <w:spacing w:line="360" w:lineRule="auto"/>
              <w:rPr>
                <w:rFonts w:ascii="宋体" w:hAnsi="宋体" w:cs="宋体"/>
                <w:color w:val="auto"/>
                <w:sz w:val="24"/>
                <w:highlight w:val="none"/>
              </w:rPr>
            </w:pPr>
          </w:p>
        </w:tc>
        <w:tc>
          <w:tcPr>
            <w:tcW w:w="1632" w:type="dxa"/>
            <w:gridSpan w:val="3"/>
            <w:shd w:val="clear" w:color="auto" w:fill="auto"/>
          </w:tcPr>
          <w:p w14:paraId="34D54BFA">
            <w:pPr>
              <w:spacing w:line="360" w:lineRule="auto"/>
              <w:rPr>
                <w:rFonts w:ascii="宋体" w:hAnsi="宋体" w:cs="宋体"/>
                <w:color w:val="auto"/>
                <w:sz w:val="24"/>
                <w:highlight w:val="none"/>
              </w:rPr>
            </w:pPr>
          </w:p>
        </w:tc>
        <w:tc>
          <w:tcPr>
            <w:tcW w:w="1421" w:type="dxa"/>
            <w:gridSpan w:val="2"/>
            <w:shd w:val="clear" w:color="auto" w:fill="auto"/>
          </w:tcPr>
          <w:p w14:paraId="11D1080C">
            <w:pPr>
              <w:spacing w:line="360" w:lineRule="auto"/>
              <w:rPr>
                <w:rFonts w:ascii="宋体" w:hAnsi="宋体" w:cs="宋体"/>
                <w:color w:val="auto"/>
                <w:sz w:val="24"/>
                <w:highlight w:val="none"/>
              </w:rPr>
            </w:pPr>
          </w:p>
        </w:tc>
      </w:tr>
      <w:tr w14:paraId="43CAD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01DD43BE">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A690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26E8D8C4">
            <w:pPr>
              <w:spacing w:line="360" w:lineRule="auto"/>
              <w:rPr>
                <w:rFonts w:ascii="宋体" w:hAnsi="宋体" w:cs="宋体"/>
                <w:color w:val="auto"/>
                <w:sz w:val="24"/>
                <w:highlight w:val="none"/>
              </w:rPr>
            </w:pPr>
          </w:p>
        </w:tc>
        <w:tc>
          <w:tcPr>
            <w:tcW w:w="1548" w:type="dxa"/>
            <w:gridSpan w:val="2"/>
            <w:shd w:val="clear" w:color="auto" w:fill="auto"/>
          </w:tcPr>
          <w:p w14:paraId="7671DC16">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78E0C2D9">
            <w:pPr>
              <w:kinsoku w:val="0"/>
              <w:autoSpaceDE w:val="0"/>
              <w:autoSpaceDN w:val="0"/>
              <w:adjustRightInd w:val="0"/>
              <w:snapToGrid w:val="0"/>
              <w:spacing w:line="360" w:lineRule="auto"/>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129ED950">
            <w:pPr>
              <w:kinsoku w:val="0"/>
              <w:autoSpaceDE w:val="0"/>
              <w:autoSpaceDN w:val="0"/>
              <w:adjustRightInd w:val="0"/>
              <w:snapToGrid w:val="0"/>
              <w:spacing w:line="360" w:lineRule="auto"/>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06E9E0B9">
            <w:pPr>
              <w:kinsoku w:val="0"/>
              <w:autoSpaceDE w:val="0"/>
              <w:autoSpaceDN w:val="0"/>
              <w:adjustRightInd w:val="0"/>
              <w:snapToGrid w:val="0"/>
              <w:spacing w:line="360" w:lineRule="auto"/>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030DEFFA">
            <w:pPr>
              <w:kinsoku w:val="0"/>
              <w:autoSpaceDE w:val="0"/>
              <w:autoSpaceDN w:val="0"/>
              <w:adjustRightInd w:val="0"/>
              <w:snapToGrid w:val="0"/>
              <w:spacing w:line="360" w:lineRule="auto"/>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6D721548">
            <w:pPr>
              <w:spacing w:line="360" w:lineRule="auto"/>
              <w:rPr>
                <w:rFonts w:ascii="宋体" w:hAnsi="宋体" w:cs="宋体"/>
                <w:color w:val="auto"/>
                <w:sz w:val="24"/>
                <w:highlight w:val="none"/>
              </w:rPr>
            </w:pPr>
          </w:p>
        </w:tc>
      </w:tr>
      <w:tr w14:paraId="0BE4D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5A2BEB3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198D877A">
            <w:pPr>
              <w:spacing w:line="360" w:lineRule="auto"/>
              <w:rPr>
                <w:rFonts w:ascii="宋体" w:hAnsi="宋体" w:cs="宋体"/>
                <w:color w:val="auto"/>
                <w:sz w:val="24"/>
                <w:highlight w:val="none"/>
              </w:rPr>
            </w:pPr>
          </w:p>
        </w:tc>
        <w:tc>
          <w:tcPr>
            <w:tcW w:w="1974" w:type="dxa"/>
            <w:gridSpan w:val="3"/>
            <w:shd w:val="clear" w:color="auto" w:fill="auto"/>
          </w:tcPr>
          <w:p w14:paraId="60E39B01">
            <w:pPr>
              <w:spacing w:line="360" w:lineRule="auto"/>
              <w:rPr>
                <w:rFonts w:ascii="宋体" w:hAnsi="宋体" w:cs="宋体"/>
                <w:color w:val="auto"/>
                <w:sz w:val="24"/>
                <w:highlight w:val="none"/>
              </w:rPr>
            </w:pPr>
          </w:p>
        </w:tc>
        <w:tc>
          <w:tcPr>
            <w:tcW w:w="1329" w:type="dxa"/>
            <w:gridSpan w:val="2"/>
            <w:shd w:val="clear" w:color="auto" w:fill="auto"/>
          </w:tcPr>
          <w:p w14:paraId="3728B20E">
            <w:pPr>
              <w:spacing w:line="360" w:lineRule="auto"/>
              <w:rPr>
                <w:rFonts w:ascii="宋体" w:hAnsi="宋体" w:cs="宋体"/>
                <w:color w:val="auto"/>
                <w:sz w:val="24"/>
                <w:highlight w:val="none"/>
              </w:rPr>
            </w:pPr>
          </w:p>
        </w:tc>
        <w:tc>
          <w:tcPr>
            <w:tcW w:w="1634" w:type="dxa"/>
            <w:gridSpan w:val="3"/>
            <w:shd w:val="clear" w:color="auto" w:fill="auto"/>
          </w:tcPr>
          <w:p w14:paraId="5A0C4688">
            <w:pPr>
              <w:spacing w:line="360" w:lineRule="auto"/>
              <w:rPr>
                <w:rFonts w:ascii="宋体" w:hAnsi="宋体" w:cs="宋体"/>
                <w:color w:val="auto"/>
                <w:sz w:val="24"/>
                <w:highlight w:val="none"/>
              </w:rPr>
            </w:pPr>
          </w:p>
        </w:tc>
        <w:tc>
          <w:tcPr>
            <w:tcW w:w="1483" w:type="dxa"/>
            <w:gridSpan w:val="2"/>
            <w:shd w:val="clear" w:color="auto" w:fill="auto"/>
          </w:tcPr>
          <w:p w14:paraId="658313EF">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3B3D28C3">
            <w:pPr>
              <w:spacing w:line="360" w:lineRule="auto"/>
              <w:rPr>
                <w:rFonts w:ascii="宋体" w:hAnsi="宋体" w:cs="宋体"/>
                <w:color w:val="auto"/>
                <w:sz w:val="24"/>
                <w:highlight w:val="none"/>
              </w:rPr>
            </w:pPr>
          </w:p>
        </w:tc>
      </w:tr>
      <w:tr w14:paraId="4E3D50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3244D4BA">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162FC70">
            <w:pPr>
              <w:spacing w:line="360" w:lineRule="auto"/>
              <w:rPr>
                <w:rFonts w:ascii="宋体" w:hAnsi="宋体" w:cs="宋体"/>
                <w:color w:val="auto"/>
                <w:sz w:val="24"/>
                <w:highlight w:val="none"/>
              </w:rPr>
            </w:pPr>
          </w:p>
        </w:tc>
        <w:tc>
          <w:tcPr>
            <w:tcW w:w="1974" w:type="dxa"/>
            <w:gridSpan w:val="3"/>
            <w:shd w:val="clear" w:color="auto" w:fill="auto"/>
          </w:tcPr>
          <w:p w14:paraId="24798B54">
            <w:pPr>
              <w:spacing w:line="360" w:lineRule="auto"/>
              <w:rPr>
                <w:rFonts w:ascii="宋体" w:hAnsi="宋体" w:cs="宋体"/>
                <w:color w:val="auto"/>
                <w:sz w:val="24"/>
                <w:highlight w:val="none"/>
              </w:rPr>
            </w:pPr>
          </w:p>
        </w:tc>
        <w:tc>
          <w:tcPr>
            <w:tcW w:w="1329" w:type="dxa"/>
            <w:gridSpan w:val="2"/>
            <w:shd w:val="clear" w:color="auto" w:fill="auto"/>
          </w:tcPr>
          <w:p w14:paraId="0E86AB9D">
            <w:pPr>
              <w:spacing w:line="360" w:lineRule="auto"/>
              <w:rPr>
                <w:rFonts w:ascii="宋体" w:hAnsi="宋体" w:cs="宋体"/>
                <w:color w:val="auto"/>
                <w:sz w:val="24"/>
                <w:highlight w:val="none"/>
              </w:rPr>
            </w:pPr>
          </w:p>
        </w:tc>
        <w:tc>
          <w:tcPr>
            <w:tcW w:w="1634" w:type="dxa"/>
            <w:gridSpan w:val="3"/>
            <w:shd w:val="clear" w:color="auto" w:fill="auto"/>
          </w:tcPr>
          <w:p w14:paraId="238828E6">
            <w:pPr>
              <w:spacing w:line="360" w:lineRule="auto"/>
              <w:rPr>
                <w:rFonts w:ascii="宋体" w:hAnsi="宋体" w:cs="宋体"/>
                <w:color w:val="auto"/>
                <w:sz w:val="24"/>
                <w:highlight w:val="none"/>
              </w:rPr>
            </w:pPr>
          </w:p>
        </w:tc>
        <w:tc>
          <w:tcPr>
            <w:tcW w:w="1483" w:type="dxa"/>
            <w:gridSpan w:val="2"/>
            <w:shd w:val="clear" w:color="auto" w:fill="auto"/>
          </w:tcPr>
          <w:p w14:paraId="590A0595">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01E48478">
            <w:pPr>
              <w:spacing w:line="360" w:lineRule="auto"/>
              <w:rPr>
                <w:rFonts w:ascii="宋体" w:hAnsi="宋体" w:cs="宋体"/>
                <w:color w:val="auto"/>
                <w:sz w:val="24"/>
                <w:highlight w:val="none"/>
              </w:rPr>
            </w:pPr>
          </w:p>
        </w:tc>
      </w:tr>
      <w:tr w14:paraId="29E729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3C53EB82">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33A47CA4">
            <w:pPr>
              <w:spacing w:line="360" w:lineRule="auto"/>
              <w:rPr>
                <w:rFonts w:ascii="宋体" w:hAnsi="宋体" w:cs="宋体"/>
                <w:color w:val="auto"/>
                <w:sz w:val="24"/>
                <w:highlight w:val="none"/>
              </w:rPr>
            </w:pPr>
          </w:p>
        </w:tc>
        <w:tc>
          <w:tcPr>
            <w:tcW w:w="1974" w:type="dxa"/>
            <w:gridSpan w:val="3"/>
            <w:shd w:val="clear" w:color="auto" w:fill="auto"/>
          </w:tcPr>
          <w:p w14:paraId="36941D0B">
            <w:pPr>
              <w:spacing w:line="360" w:lineRule="auto"/>
              <w:rPr>
                <w:rFonts w:ascii="宋体" w:hAnsi="宋体" w:cs="宋体"/>
                <w:color w:val="auto"/>
                <w:sz w:val="24"/>
                <w:highlight w:val="none"/>
              </w:rPr>
            </w:pPr>
          </w:p>
        </w:tc>
        <w:tc>
          <w:tcPr>
            <w:tcW w:w="1329" w:type="dxa"/>
            <w:gridSpan w:val="2"/>
            <w:shd w:val="clear" w:color="auto" w:fill="auto"/>
          </w:tcPr>
          <w:p w14:paraId="1B9F7234">
            <w:pPr>
              <w:spacing w:line="360" w:lineRule="auto"/>
              <w:rPr>
                <w:rFonts w:ascii="宋体" w:hAnsi="宋体" w:cs="宋体"/>
                <w:color w:val="auto"/>
                <w:sz w:val="24"/>
                <w:highlight w:val="none"/>
              </w:rPr>
            </w:pPr>
          </w:p>
        </w:tc>
        <w:tc>
          <w:tcPr>
            <w:tcW w:w="1634" w:type="dxa"/>
            <w:gridSpan w:val="3"/>
            <w:shd w:val="clear" w:color="auto" w:fill="auto"/>
          </w:tcPr>
          <w:p w14:paraId="3B17C2BC">
            <w:pPr>
              <w:spacing w:line="360" w:lineRule="auto"/>
              <w:rPr>
                <w:rFonts w:ascii="宋体" w:hAnsi="宋体" w:cs="宋体"/>
                <w:color w:val="auto"/>
                <w:sz w:val="24"/>
                <w:highlight w:val="none"/>
              </w:rPr>
            </w:pPr>
          </w:p>
        </w:tc>
        <w:tc>
          <w:tcPr>
            <w:tcW w:w="1483" w:type="dxa"/>
            <w:gridSpan w:val="2"/>
            <w:shd w:val="clear" w:color="auto" w:fill="auto"/>
          </w:tcPr>
          <w:p w14:paraId="4E5CE983">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2254926">
            <w:pPr>
              <w:spacing w:line="360" w:lineRule="auto"/>
              <w:rPr>
                <w:rFonts w:ascii="宋体" w:hAnsi="宋体" w:cs="宋体"/>
                <w:color w:val="auto"/>
                <w:sz w:val="24"/>
                <w:highlight w:val="none"/>
              </w:rPr>
            </w:pPr>
          </w:p>
        </w:tc>
      </w:tr>
      <w:tr w14:paraId="4D5EA6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6D37EEEC">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7E9AA198">
            <w:pPr>
              <w:spacing w:line="360" w:lineRule="auto"/>
              <w:rPr>
                <w:rFonts w:ascii="宋体" w:hAnsi="宋体" w:cs="宋体"/>
                <w:color w:val="auto"/>
                <w:sz w:val="24"/>
                <w:highlight w:val="none"/>
              </w:rPr>
            </w:pPr>
          </w:p>
        </w:tc>
        <w:tc>
          <w:tcPr>
            <w:tcW w:w="1974" w:type="dxa"/>
            <w:gridSpan w:val="3"/>
            <w:shd w:val="clear" w:color="auto" w:fill="auto"/>
          </w:tcPr>
          <w:p w14:paraId="3FFFC651">
            <w:pPr>
              <w:spacing w:line="360" w:lineRule="auto"/>
              <w:rPr>
                <w:rFonts w:ascii="宋体" w:hAnsi="宋体" w:cs="宋体"/>
                <w:color w:val="auto"/>
                <w:sz w:val="24"/>
                <w:highlight w:val="none"/>
              </w:rPr>
            </w:pPr>
          </w:p>
        </w:tc>
        <w:tc>
          <w:tcPr>
            <w:tcW w:w="1329" w:type="dxa"/>
            <w:gridSpan w:val="2"/>
            <w:shd w:val="clear" w:color="auto" w:fill="auto"/>
          </w:tcPr>
          <w:p w14:paraId="60CE4290">
            <w:pPr>
              <w:spacing w:line="360" w:lineRule="auto"/>
              <w:rPr>
                <w:rFonts w:ascii="宋体" w:hAnsi="宋体" w:cs="宋体"/>
                <w:color w:val="auto"/>
                <w:sz w:val="24"/>
                <w:highlight w:val="none"/>
              </w:rPr>
            </w:pPr>
          </w:p>
        </w:tc>
        <w:tc>
          <w:tcPr>
            <w:tcW w:w="1634" w:type="dxa"/>
            <w:gridSpan w:val="3"/>
            <w:shd w:val="clear" w:color="auto" w:fill="auto"/>
          </w:tcPr>
          <w:p w14:paraId="1CBAB804">
            <w:pPr>
              <w:spacing w:line="360" w:lineRule="auto"/>
              <w:rPr>
                <w:rFonts w:ascii="宋体" w:hAnsi="宋体" w:cs="宋体"/>
                <w:color w:val="auto"/>
                <w:sz w:val="24"/>
                <w:highlight w:val="none"/>
              </w:rPr>
            </w:pPr>
          </w:p>
        </w:tc>
        <w:tc>
          <w:tcPr>
            <w:tcW w:w="1483" w:type="dxa"/>
            <w:gridSpan w:val="2"/>
            <w:shd w:val="clear" w:color="auto" w:fill="auto"/>
          </w:tcPr>
          <w:p w14:paraId="088988D6">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EBF61F3">
            <w:pPr>
              <w:spacing w:line="360" w:lineRule="auto"/>
              <w:rPr>
                <w:rFonts w:ascii="宋体" w:hAnsi="宋体" w:cs="宋体"/>
                <w:color w:val="auto"/>
                <w:sz w:val="24"/>
                <w:highlight w:val="none"/>
              </w:rPr>
            </w:pPr>
          </w:p>
        </w:tc>
      </w:tr>
      <w:tr w14:paraId="76E1FB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EB3309F">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76BB2788">
            <w:pPr>
              <w:spacing w:line="360" w:lineRule="auto"/>
              <w:rPr>
                <w:rFonts w:ascii="宋体" w:hAnsi="宋体" w:cs="宋体"/>
                <w:color w:val="auto"/>
                <w:sz w:val="24"/>
                <w:highlight w:val="none"/>
              </w:rPr>
            </w:pPr>
          </w:p>
        </w:tc>
        <w:tc>
          <w:tcPr>
            <w:tcW w:w="1974" w:type="dxa"/>
            <w:gridSpan w:val="3"/>
            <w:shd w:val="clear" w:color="auto" w:fill="auto"/>
          </w:tcPr>
          <w:p w14:paraId="3D35F443">
            <w:pPr>
              <w:spacing w:line="360" w:lineRule="auto"/>
              <w:rPr>
                <w:rFonts w:ascii="宋体" w:hAnsi="宋体" w:cs="宋体"/>
                <w:color w:val="auto"/>
                <w:sz w:val="24"/>
                <w:highlight w:val="none"/>
              </w:rPr>
            </w:pPr>
          </w:p>
        </w:tc>
        <w:tc>
          <w:tcPr>
            <w:tcW w:w="1329" w:type="dxa"/>
            <w:gridSpan w:val="2"/>
            <w:shd w:val="clear" w:color="auto" w:fill="auto"/>
          </w:tcPr>
          <w:p w14:paraId="1BFF814B">
            <w:pPr>
              <w:spacing w:line="360" w:lineRule="auto"/>
              <w:rPr>
                <w:rFonts w:ascii="宋体" w:hAnsi="宋体" w:cs="宋体"/>
                <w:color w:val="auto"/>
                <w:sz w:val="24"/>
                <w:highlight w:val="none"/>
              </w:rPr>
            </w:pPr>
          </w:p>
        </w:tc>
        <w:tc>
          <w:tcPr>
            <w:tcW w:w="1634" w:type="dxa"/>
            <w:gridSpan w:val="3"/>
            <w:shd w:val="clear" w:color="auto" w:fill="auto"/>
          </w:tcPr>
          <w:p w14:paraId="45D6C3EC">
            <w:pPr>
              <w:spacing w:line="360" w:lineRule="auto"/>
              <w:rPr>
                <w:rFonts w:ascii="宋体" w:hAnsi="宋体" w:cs="宋体"/>
                <w:color w:val="auto"/>
                <w:sz w:val="24"/>
                <w:highlight w:val="none"/>
              </w:rPr>
            </w:pPr>
          </w:p>
        </w:tc>
        <w:tc>
          <w:tcPr>
            <w:tcW w:w="1483" w:type="dxa"/>
            <w:gridSpan w:val="2"/>
            <w:shd w:val="clear" w:color="auto" w:fill="auto"/>
          </w:tcPr>
          <w:p w14:paraId="77E45A8E">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FEA5F65">
            <w:pPr>
              <w:spacing w:line="360" w:lineRule="auto"/>
              <w:rPr>
                <w:rFonts w:ascii="宋体" w:hAnsi="宋体" w:cs="宋体"/>
                <w:color w:val="auto"/>
                <w:sz w:val="24"/>
                <w:highlight w:val="none"/>
              </w:rPr>
            </w:pPr>
          </w:p>
        </w:tc>
      </w:tr>
      <w:tr w14:paraId="2B217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630EE02">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62E3A986">
            <w:pPr>
              <w:spacing w:line="360" w:lineRule="auto"/>
              <w:rPr>
                <w:rFonts w:ascii="宋体" w:hAnsi="宋体" w:cs="宋体"/>
                <w:color w:val="auto"/>
                <w:sz w:val="24"/>
                <w:highlight w:val="none"/>
              </w:rPr>
            </w:pPr>
          </w:p>
        </w:tc>
        <w:tc>
          <w:tcPr>
            <w:tcW w:w="1974" w:type="dxa"/>
            <w:gridSpan w:val="3"/>
            <w:shd w:val="clear" w:color="auto" w:fill="auto"/>
          </w:tcPr>
          <w:p w14:paraId="4D2FDB35">
            <w:pPr>
              <w:spacing w:line="360" w:lineRule="auto"/>
              <w:rPr>
                <w:rFonts w:ascii="宋体" w:hAnsi="宋体" w:cs="宋体"/>
                <w:color w:val="auto"/>
                <w:sz w:val="24"/>
                <w:highlight w:val="none"/>
              </w:rPr>
            </w:pPr>
          </w:p>
        </w:tc>
        <w:tc>
          <w:tcPr>
            <w:tcW w:w="1329" w:type="dxa"/>
            <w:gridSpan w:val="2"/>
            <w:shd w:val="clear" w:color="auto" w:fill="auto"/>
          </w:tcPr>
          <w:p w14:paraId="6F4983EB">
            <w:pPr>
              <w:spacing w:line="360" w:lineRule="auto"/>
              <w:rPr>
                <w:rFonts w:ascii="宋体" w:hAnsi="宋体" w:cs="宋体"/>
                <w:color w:val="auto"/>
                <w:sz w:val="24"/>
                <w:highlight w:val="none"/>
              </w:rPr>
            </w:pPr>
          </w:p>
        </w:tc>
        <w:tc>
          <w:tcPr>
            <w:tcW w:w="1634" w:type="dxa"/>
            <w:gridSpan w:val="3"/>
            <w:shd w:val="clear" w:color="auto" w:fill="auto"/>
          </w:tcPr>
          <w:p w14:paraId="78438792">
            <w:pPr>
              <w:spacing w:line="360" w:lineRule="auto"/>
              <w:rPr>
                <w:rFonts w:ascii="宋体" w:hAnsi="宋体" w:cs="宋体"/>
                <w:color w:val="auto"/>
                <w:sz w:val="24"/>
                <w:highlight w:val="none"/>
              </w:rPr>
            </w:pPr>
          </w:p>
        </w:tc>
        <w:tc>
          <w:tcPr>
            <w:tcW w:w="1483" w:type="dxa"/>
            <w:gridSpan w:val="2"/>
            <w:shd w:val="clear" w:color="auto" w:fill="auto"/>
          </w:tcPr>
          <w:p w14:paraId="5969BB82">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0391479">
            <w:pPr>
              <w:spacing w:line="360" w:lineRule="auto"/>
              <w:rPr>
                <w:rFonts w:ascii="宋体" w:hAnsi="宋体" w:cs="宋体"/>
                <w:color w:val="auto"/>
                <w:sz w:val="24"/>
                <w:highlight w:val="none"/>
              </w:rPr>
            </w:pPr>
          </w:p>
        </w:tc>
      </w:tr>
      <w:tr w14:paraId="3BFC0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89EE157">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41894861">
            <w:pPr>
              <w:spacing w:line="360" w:lineRule="auto"/>
              <w:rPr>
                <w:rFonts w:ascii="宋体" w:hAnsi="宋体" w:cs="宋体"/>
                <w:color w:val="auto"/>
                <w:sz w:val="24"/>
                <w:highlight w:val="none"/>
              </w:rPr>
            </w:pPr>
          </w:p>
        </w:tc>
        <w:tc>
          <w:tcPr>
            <w:tcW w:w="1974" w:type="dxa"/>
            <w:gridSpan w:val="3"/>
            <w:shd w:val="clear" w:color="auto" w:fill="auto"/>
          </w:tcPr>
          <w:p w14:paraId="73C58859">
            <w:pPr>
              <w:spacing w:line="360" w:lineRule="auto"/>
              <w:rPr>
                <w:rFonts w:ascii="宋体" w:hAnsi="宋体" w:cs="宋体"/>
                <w:color w:val="auto"/>
                <w:sz w:val="24"/>
                <w:highlight w:val="none"/>
              </w:rPr>
            </w:pPr>
          </w:p>
        </w:tc>
        <w:tc>
          <w:tcPr>
            <w:tcW w:w="1329" w:type="dxa"/>
            <w:gridSpan w:val="2"/>
            <w:shd w:val="clear" w:color="auto" w:fill="auto"/>
          </w:tcPr>
          <w:p w14:paraId="45C568E6">
            <w:pPr>
              <w:spacing w:line="360" w:lineRule="auto"/>
              <w:rPr>
                <w:rFonts w:ascii="宋体" w:hAnsi="宋体" w:cs="宋体"/>
                <w:color w:val="auto"/>
                <w:sz w:val="24"/>
                <w:highlight w:val="none"/>
              </w:rPr>
            </w:pPr>
          </w:p>
        </w:tc>
        <w:tc>
          <w:tcPr>
            <w:tcW w:w="1634" w:type="dxa"/>
            <w:gridSpan w:val="3"/>
            <w:shd w:val="clear" w:color="auto" w:fill="auto"/>
          </w:tcPr>
          <w:p w14:paraId="0DE4A8C8">
            <w:pPr>
              <w:spacing w:line="360" w:lineRule="auto"/>
              <w:rPr>
                <w:rFonts w:ascii="宋体" w:hAnsi="宋体" w:cs="宋体"/>
                <w:color w:val="auto"/>
                <w:sz w:val="24"/>
                <w:highlight w:val="none"/>
              </w:rPr>
            </w:pPr>
          </w:p>
        </w:tc>
        <w:tc>
          <w:tcPr>
            <w:tcW w:w="1483" w:type="dxa"/>
            <w:gridSpan w:val="2"/>
            <w:shd w:val="clear" w:color="auto" w:fill="auto"/>
          </w:tcPr>
          <w:p w14:paraId="1DF24F3C">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5275B905">
            <w:pPr>
              <w:spacing w:line="360" w:lineRule="auto"/>
              <w:rPr>
                <w:rFonts w:ascii="宋体" w:hAnsi="宋体" w:cs="宋体"/>
                <w:color w:val="auto"/>
                <w:sz w:val="24"/>
                <w:highlight w:val="none"/>
              </w:rPr>
            </w:pPr>
          </w:p>
        </w:tc>
      </w:tr>
      <w:tr w14:paraId="3A6332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0AD65929">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50AB9C70">
            <w:pPr>
              <w:spacing w:line="360" w:lineRule="auto"/>
              <w:rPr>
                <w:rFonts w:ascii="宋体" w:hAnsi="宋体" w:cs="宋体"/>
                <w:color w:val="auto"/>
                <w:sz w:val="24"/>
                <w:highlight w:val="none"/>
              </w:rPr>
            </w:pPr>
          </w:p>
        </w:tc>
        <w:tc>
          <w:tcPr>
            <w:tcW w:w="1974" w:type="dxa"/>
            <w:gridSpan w:val="3"/>
            <w:shd w:val="clear" w:color="auto" w:fill="auto"/>
          </w:tcPr>
          <w:p w14:paraId="778B86C8">
            <w:pPr>
              <w:spacing w:line="360" w:lineRule="auto"/>
              <w:rPr>
                <w:rFonts w:ascii="宋体" w:hAnsi="宋体" w:cs="宋体"/>
                <w:color w:val="auto"/>
                <w:sz w:val="24"/>
                <w:highlight w:val="none"/>
              </w:rPr>
            </w:pPr>
          </w:p>
        </w:tc>
        <w:tc>
          <w:tcPr>
            <w:tcW w:w="1329" w:type="dxa"/>
            <w:gridSpan w:val="2"/>
            <w:shd w:val="clear" w:color="auto" w:fill="auto"/>
          </w:tcPr>
          <w:p w14:paraId="719CF9B3">
            <w:pPr>
              <w:spacing w:line="360" w:lineRule="auto"/>
              <w:rPr>
                <w:rFonts w:ascii="宋体" w:hAnsi="宋体" w:cs="宋体"/>
                <w:color w:val="auto"/>
                <w:sz w:val="24"/>
                <w:highlight w:val="none"/>
              </w:rPr>
            </w:pPr>
          </w:p>
        </w:tc>
        <w:tc>
          <w:tcPr>
            <w:tcW w:w="1634" w:type="dxa"/>
            <w:gridSpan w:val="3"/>
            <w:shd w:val="clear" w:color="auto" w:fill="auto"/>
          </w:tcPr>
          <w:p w14:paraId="0A41C1A0">
            <w:pPr>
              <w:spacing w:line="360" w:lineRule="auto"/>
              <w:rPr>
                <w:rFonts w:ascii="宋体" w:hAnsi="宋体" w:cs="宋体"/>
                <w:color w:val="auto"/>
                <w:sz w:val="24"/>
                <w:highlight w:val="none"/>
              </w:rPr>
            </w:pPr>
          </w:p>
        </w:tc>
        <w:tc>
          <w:tcPr>
            <w:tcW w:w="1483" w:type="dxa"/>
            <w:gridSpan w:val="2"/>
            <w:shd w:val="clear" w:color="auto" w:fill="auto"/>
          </w:tcPr>
          <w:p w14:paraId="2F492D22">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BA296AC">
            <w:pPr>
              <w:spacing w:line="360" w:lineRule="auto"/>
              <w:rPr>
                <w:rFonts w:ascii="宋体" w:hAnsi="宋体" w:cs="宋体"/>
                <w:color w:val="auto"/>
                <w:sz w:val="24"/>
                <w:highlight w:val="none"/>
              </w:rPr>
            </w:pPr>
          </w:p>
        </w:tc>
      </w:tr>
      <w:tr w14:paraId="4DAD3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052D6A86">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49EA9F0F">
            <w:pPr>
              <w:spacing w:line="360" w:lineRule="auto"/>
              <w:rPr>
                <w:rFonts w:ascii="宋体" w:hAnsi="宋体" w:cs="宋体"/>
                <w:color w:val="auto"/>
                <w:sz w:val="24"/>
                <w:highlight w:val="none"/>
              </w:rPr>
            </w:pPr>
          </w:p>
        </w:tc>
        <w:tc>
          <w:tcPr>
            <w:tcW w:w="1974" w:type="dxa"/>
            <w:gridSpan w:val="3"/>
            <w:shd w:val="clear" w:color="auto" w:fill="auto"/>
          </w:tcPr>
          <w:p w14:paraId="2BC0D9D8">
            <w:pPr>
              <w:spacing w:line="360" w:lineRule="auto"/>
              <w:rPr>
                <w:rFonts w:ascii="宋体" w:hAnsi="宋体" w:cs="宋体"/>
                <w:color w:val="auto"/>
                <w:sz w:val="24"/>
                <w:highlight w:val="none"/>
              </w:rPr>
            </w:pPr>
          </w:p>
        </w:tc>
        <w:tc>
          <w:tcPr>
            <w:tcW w:w="1329" w:type="dxa"/>
            <w:gridSpan w:val="2"/>
            <w:shd w:val="clear" w:color="auto" w:fill="auto"/>
          </w:tcPr>
          <w:p w14:paraId="6516541A">
            <w:pPr>
              <w:spacing w:line="360" w:lineRule="auto"/>
              <w:rPr>
                <w:rFonts w:ascii="宋体" w:hAnsi="宋体" w:cs="宋体"/>
                <w:color w:val="auto"/>
                <w:sz w:val="24"/>
                <w:highlight w:val="none"/>
              </w:rPr>
            </w:pPr>
          </w:p>
        </w:tc>
        <w:tc>
          <w:tcPr>
            <w:tcW w:w="1634" w:type="dxa"/>
            <w:gridSpan w:val="3"/>
            <w:shd w:val="clear" w:color="auto" w:fill="auto"/>
          </w:tcPr>
          <w:p w14:paraId="596C5289">
            <w:pPr>
              <w:spacing w:line="360" w:lineRule="auto"/>
              <w:rPr>
                <w:rFonts w:ascii="宋体" w:hAnsi="宋体" w:cs="宋体"/>
                <w:color w:val="auto"/>
                <w:sz w:val="24"/>
                <w:highlight w:val="none"/>
              </w:rPr>
            </w:pPr>
          </w:p>
        </w:tc>
        <w:tc>
          <w:tcPr>
            <w:tcW w:w="1483" w:type="dxa"/>
            <w:gridSpan w:val="2"/>
            <w:shd w:val="clear" w:color="auto" w:fill="auto"/>
          </w:tcPr>
          <w:p w14:paraId="1B2D3195">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347F24B">
            <w:pPr>
              <w:spacing w:line="360" w:lineRule="auto"/>
              <w:rPr>
                <w:rFonts w:ascii="宋体" w:hAnsi="宋体" w:cs="宋体"/>
                <w:color w:val="auto"/>
                <w:sz w:val="24"/>
                <w:highlight w:val="none"/>
              </w:rPr>
            </w:pPr>
          </w:p>
        </w:tc>
      </w:tr>
    </w:tbl>
    <w:p w14:paraId="166EBC5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20093DC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2BF97CC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2.本表后附项目经理的学历证、安全生产考核合格证（B 类）、本表所列证书复印件并加盖供应商公章。</w:t>
      </w:r>
    </w:p>
    <w:p w14:paraId="2D1C6A39">
      <w:pPr>
        <w:spacing w:line="360" w:lineRule="auto"/>
        <w:rPr>
          <w:rFonts w:ascii="宋体" w:hAnsi="宋体"/>
          <w:color w:val="auto"/>
          <w:sz w:val="24"/>
          <w:highlight w:val="none"/>
        </w:rPr>
      </w:pPr>
      <w:r>
        <w:rPr>
          <w:rFonts w:hint="eastAsia" w:ascii="宋体" w:hAnsi="宋体"/>
          <w:color w:val="auto"/>
          <w:sz w:val="24"/>
          <w:highlight w:val="none"/>
        </w:rPr>
        <w:br w:type="page"/>
      </w:r>
    </w:p>
    <w:p w14:paraId="6C2793D3">
      <w:pPr>
        <w:spacing w:line="360" w:lineRule="auto"/>
        <w:ind w:left="1939"/>
        <w:rPr>
          <w:rFonts w:ascii="宋体" w:hAnsi="宋体" w:cs="宋体"/>
          <w:color w:val="auto"/>
          <w:sz w:val="31"/>
          <w:szCs w:val="31"/>
          <w:highlight w:val="none"/>
        </w:rPr>
      </w:pPr>
      <w:r>
        <w:rPr>
          <w:rFonts w:hint="eastAsia" w:ascii="宋体" w:hAnsi="宋体" w:cs="宋体"/>
          <w:color w:val="auto"/>
          <w:spacing w:val="3"/>
          <w:sz w:val="31"/>
          <w:szCs w:val="31"/>
          <w:highlight w:val="none"/>
        </w:rPr>
        <w:t>项目技术负责人（项目总工）</w:t>
      </w:r>
      <w:r>
        <w:rPr>
          <w:rFonts w:hint="eastAsia" w:ascii="宋体" w:hAnsi="宋体" w:cs="宋体"/>
          <w:color w:val="auto"/>
          <w:spacing w:val="-20"/>
          <w:sz w:val="31"/>
          <w:szCs w:val="31"/>
          <w:highlight w:val="none"/>
        </w:rPr>
        <w:t xml:space="preserve"> </w:t>
      </w:r>
      <w:r>
        <w:rPr>
          <w:rFonts w:hint="eastAsia" w:ascii="宋体" w:hAnsi="宋体" w:cs="宋体"/>
          <w:color w:val="auto"/>
          <w:spacing w:val="3"/>
          <w:sz w:val="31"/>
          <w:szCs w:val="31"/>
          <w:highlight w:val="none"/>
        </w:rPr>
        <w:t>简历表（如有）</w:t>
      </w:r>
    </w:p>
    <w:p w14:paraId="6FF2EE5F">
      <w:pPr>
        <w:spacing w:line="360" w:lineRule="auto"/>
        <w:rPr>
          <w:rFonts w:ascii="宋体" w:hAnsi="宋体" w:cs="宋体"/>
          <w:color w:val="auto"/>
          <w:highlight w:val="none"/>
        </w:rPr>
      </w:pPr>
    </w:p>
    <w:tbl>
      <w:tblPr>
        <w:tblStyle w:val="40"/>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29"/>
        <w:gridCol w:w="300"/>
        <w:gridCol w:w="887"/>
        <w:gridCol w:w="660"/>
        <w:gridCol w:w="328"/>
        <w:gridCol w:w="235"/>
        <w:gridCol w:w="1415"/>
        <w:gridCol w:w="242"/>
        <w:gridCol w:w="1087"/>
        <w:gridCol w:w="89"/>
        <w:gridCol w:w="408"/>
        <w:gridCol w:w="1136"/>
        <w:gridCol w:w="87"/>
        <w:gridCol w:w="1395"/>
        <w:gridCol w:w="25"/>
      </w:tblGrid>
      <w:tr w14:paraId="10B32C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329" w:type="dxa"/>
            <w:shd w:val="clear" w:color="auto" w:fill="auto"/>
          </w:tcPr>
          <w:p w14:paraId="4D1D0D6D">
            <w:pPr>
              <w:keepNext w:val="0"/>
              <w:keepLines w:val="0"/>
              <w:pageBreakBefore w:val="0"/>
              <w:widowControl w:val="0"/>
              <w:kinsoku w:val="0"/>
              <w:wordWrap/>
              <w:overflowPunct/>
              <w:topLinePunct w:val="0"/>
              <w:autoSpaceDE w:val="0"/>
              <w:autoSpaceDN w:val="0"/>
              <w:bidi w:val="0"/>
              <w:adjustRightInd w:val="0"/>
              <w:snapToGrid w:val="0"/>
              <w:spacing w:line="400" w:lineRule="exact"/>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175" w:type="dxa"/>
            <w:gridSpan w:val="4"/>
            <w:shd w:val="clear" w:color="auto" w:fill="auto"/>
          </w:tcPr>
          <w:p w14:paraId="0B930D1E">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892" w:type="dxa"/>
            <w:gridSpan w:val="3"/>
            <w:shd w:val="clear" w:color="auto" w:fill="auto"/>
          </w:tcPr>
          <w:p w14:paraId="07B36F88">
            <w:pPr>
              <w:keepNext w:val="0"/>
              <w:keepLines w:val="0"/>
              <w:pageBreakBefore w:val="0"/>
              <w:widowControl w:val="0"/>
              <w:kinsoku w:val="0"/>
              <w:wordWrap/>
              <w:overflowPunct/>
              <w:topLinePunct w:val="0"/>
              <w:autoSpaceDE w:val="0"/>
              <w:autoSpaceDN w:val="0"/>
              <w:bidi w:val="0"/>
              <w:adjustRightInd w:val="0"/>
              <w:snapToGrid w:val="0"/>
              <w:spacing w:line="400" w:lineRule="exact"/>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10C53E80">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136" w:type="dxa"/>
            <w:shd w:val="clear" w:color="auto" w:fill="auto"/>
          </w:tcPr>
          <w:p w14:paraId="124B53EA">
            <w:pPr>
              <w:keepNext w:val="0"/>
              <w:keepLines w:val="0"/>
              <w:pageBreakBefore w:val="0"/>
              <w:widowControl w:val="0"/>
              <w:kinsoku w:val="0"/>
              <w:wordWrap/>
              <w:overflowPunct/>
              <w:topLinePunct w:val="0"/>
              <w:autoSpaceDE w:val="0"/>
              <w:autoSpaceDN w:val="0"/>
              <w:bidi w:val="0"/>
              <w:adjustRightInd w:val="0"/>
              <w:snapToGrid w:val="0"/>
              <w:spacing w:line="400" w:lineRule="exact"/>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6A515912">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2C75A9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329" w:type="dxa"/>
            <w:shd w:val="clear" w:color="auto" w:fill="auto"/>
          </w:tcPr>
          <w:p w14:paraId="2983F29B">
            <w:pPr>
              <w:keepNext w:val="0"/>
              <w:keepLines w:val="0"/>
              <w:pageBreakBefore w:val="0"/>
              <w:widowControl w:val="0"/>
              <w:kinsoku w:val="0"/>
              <w:wordWrap/>
              <w:overflowPunct/>
              <w:topLinePunct w:val="0"/>
              <w:autoSpaceDE w:val="0"/>
              <w:autoSpaceDN w:val="0"/>
              <w:bidi w:val="0"/>
              <w:adjustRightInd w:val="0"/>
              <w:snapToGrid w:val="0"/>
              <w:spacing w:line="400" w:lineRule="exact"/>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175" w:type="dxa"/>
            <w:gridSpan w:val="4"/>
            <w:shd w:val="clear" w:color="auto" w:fill="auto"/>
          </w:tcPr>
          <w:p w14:paraId="51742EAE">
            <w:pPr>
              <w:keepNext w:val="0"/>
              <w:keepLines w:val="0"/>
              <w:pageBreakBefore w:val="0"/>
              <w:widowControl w:val="0"/>
              <w:kinsoku w:val="0"/>
              <w:wordWrap/>
              <w:overflowPunct/>
              <w:topLinePunct w:val="0"/>
              <w:autoSpaceDE w:val="0"/>
              <w:autoSpaceDN w:val="0"/>
              <w:bidi w:val="0"/>
              <w:adjustRightInd w:val="0"/>
              <w:snapToGrid w:val="0"/>
              <w:spacing w:line="400" w:lineRule="exact"/>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7A2B5A84">
            <w:pPr>
              <w:keepNext w:val="0"/>
              <w:keepLines w:val="0"/>
              <w:pageBreakBefore w:val="0"/>
              <w:widowControl w:val="0"/>
              <w:kinsoku w:val="0"/>
              <w:wordWrap/>
              <w:overflowPunct/>
              <w:topLinePunct w:val="0"/>
              <w:autoSpaceDE w:val="0"/>
              <w:autoSpaceDN w:val="0"/>
              <w:bidi w:val="0"/>
              <w:adjustRightInd w:val="0"/>
              <w:snapToGrid w:val="0"/>
              <w:spacing w:line="400" w:lineRule="exact"/>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6A6877A0">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136" w:type="dxa"/>
            <w:shd w:val="clear" w:color="auto" w:fill="auto"/>
          </w:tcPr>
          <w:p w14:paraId="5CF88DAE">
            <w:pPr>
              <w:keepNext w:val="0"/>
              <w:keepLines w:val="0"/>
              <w:pageBreakBefore w:val="0"/>
              <w:widowControl w:val="0"/>
              <w:kinsoku w:val="0"/>
              <w:wordWrap/>
              <w:overflowPunct/>
              <w:topLinePunct w:val="0"/>
              <w:autoSpaceDE w:val="0"/>
              <w:autoSpaceDN w:val="0"/>
              <w:bidi w:val="0"/>
              <w:adjustRightInd w:val="0"/>
              <w:snapToGrid w:val="0"/>
              <w:spacing w:line="400" w:lineRule="exact"/>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4608DD08">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1FFAD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329" w:type="dxa"/>
            <w:shd w:val="clear" w:color="auto" w:fill="auto"/>
          </w:tcPr>
          <w:p w14:paraId="740E4AA4">
            <w:pPr>
              <w:keepNext w:val="0"/>
              <w:keepLines w:val="0"/>
              <w:pageBreakBefore w:val="0"/>
              <w:widowControl w:val="0"/>
              <w:kinsoku w:val="0"/>
              <w:wordWrap/>
              <w:overflowPunct/>
              <w:topLinePunct w:val="0"/>
              <w:autoSpaceDE w:val="0"/>
              <w:autoSpaceDN w:val="0"/>
              <w:bidi w:val="0"/>
              <w:adjustRightInd w:val="0"/>
              <w:snapToGrid w:val="0"/>
              <w:spacing w:line="400" w:lineRule="exact"/>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175" w:type="dxa"/>
            <w:gridSpan w:val="4"/>
            <w:shd w:val="clear" w:color="auto" w:fill="auto"/>
          </w:tcPr>
          <w:p w14:paraId="4961E3C8">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892" w:type="dxa"/>
            <w:gridSpan w:val="3"/>
            <w:shd w:val="clear" w:color="auto" w:fill="auto"/>
          </w:tcPr>
          <w:p w14:paraId="50E82299">
            <w:pPr>
              <w:keepNext w:val="0"/>
              <w:keepLines w:val="0"/>
              <w:pageBreakBefore w:val="0"/>
              <w:widowControl w:val="0"/>
              <w:kinsoku w:val="0"/>
              <w:wordWrap/>
              <w:overflowPunct/>
              <w:topLinePunct w:val="0"/>
              <w:autoSpaceDE w:val="0"/>
              <w:autoSpaceDN w:val="0"/>
              <w:bidi w:val="0"/>
              <w:adjustRightInd w:val="0"/>
              <w:snapToGrid w:val="0"/>
              <w:spacing w:line="400" w:lineRule="exact"/>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292E5314">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136" w:type="dxa"/>
            <w:shd w:val="clear" w:color="auto" w:fill="auto"/>
          </w:tcPr>
          <w:p w14:paraId="331F8C8E">
            <w:pPr>
              <w:keepNext w:val="0"/>
              <w:keepLines w:val="0"/>
              <w:pageBreakBefore w:val="0"/>
              <w:widowControl w:val="0"/>
              <w:kinsoku w:val="0"/>
              <w:wordWrap/>
              <w:overflowPunct/>
              <w:topLinePunct w:val="0"/>
              <w:autoSpaceDE w:val="0"/>
              <w:autoSpaceDN w:val="0"/>
              <w:bidi w:val="0"/>
              <w:adjustRightInd w:val="0"/>
              <w:snapToGrid w:val="0"/>
              <w:spacing w:line="400" w:lineRule="exact"/>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7B3A6A6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5DA802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329" w:type="dxa"/>
            <w:shd w:val="clear" w:color="auto" w:fill="auto"/>
          </w:tcPr>
          <w:p w14:paraId="0FC2C1D0">
            <w:pPr>
              <w:keepNext w:val="0"/>
              <w:keepLines w:val="0"/>
              <w:pageBreakBefore w:val="0"/>
              <w:widowControl w:val="0"/>
              <w:kinsoku w:val="0"/>
              <w:wordWrap/>
              <w:overflowPunct/>
              <w:topLinePunct w:val="0"/>
              <w:autoSpaceDE w:val="0"/>
              <w:autoSpaceDN w:val="0"/>
              <w:bidi w:val="0"/>
              <w:adjustRightInd w:val="0"/>
              <w:snapToGrid w:val="0"/>
              <w:spacing w:line="400" w:lineRule="exact"/>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175" w:type="dxa"/>
            <w:gridSpan w:val="4"/>
            <w:shd w:val="clear" w:color="auto" w:fill="auto"/>
          </w:tcPr>
          <w:p w14:paraId="79861D0C">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50" w:type="dxa"/>
            <w:gridSpan w:val="2"/>
            <w:shd w:val="clear" w:color="auto" w:fill="auto"/>
          </w:tcPr>
          <w:p w14:paraId="5A31A824">
            <w:pPr>
              <w:keepNext w:val="0"/>
              <w:keepLines w:val="0"/>
              <w:pageBreakBefore w:val="0"/>
              <w:widowControl w:val="0"/>
              <w:kinsoku w:val="0"/>
              <w:wordWrap/>
              <w:overflowPunct/>
              <w:topLinePunct w:val="0"/>
              <w:autoSpaceDE w:val="0"/>
              <w:autoSpaceDN w:val="0"/>
              <w:bidi w:val="0"/>
              <w:adjustRightInd w:val="0"/>
              <w:snapToGrid w:val="0"/>
              <w:spacing w:line="400" w:lineRule="exact"/>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54AF84D">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5DFDFF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6F1BD8E5">
            <w:pPr>
              <w:keepNext w:val="0"/>
              <w:keepLines w:val="0"/>
              <w:pageBreakBefore w:val="0"/>
              <w:widowControl w:val="0"/>
              <w:kinsoku w:val="0"/>
              <w:wordWrap/>
              <w:overflowPunct/>
              <w:topLinePunct w:val="0"/>
              <w:autoSpaceDE w:val="0"/>
              <w:autoSpaceDN w:val="0"/>
              <w:bidi w:val="0"/>
              <w:adjustRightInd w:val="0"/>
              <w:snapToGrid w:val="0"/>
              <w:spacing w:line="400" w:lineRule="exact"/>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87" w:type="dxa"/>
            <w:gridSpan w:val="2"/>
            <w:shd w:val="clear" w:color="auto" w:fill="auto"/>
          </w:tcPr>
          <w:p w14:paraId="21FA8A14">
            <w:pPr>
              <w:keepNext w:val="0"/>
              <w:keepLines w:val="0"/>
              <w:pageBreakBefore w:val="0"/>
              <w:widowControl w:val="0"/>
              <w:kinsoku w:val="0"/>
              <w:wordWrap/>
              <w:overflowPunct/>
              <w:topLinePunct w:val="0"/>
              <w:autoSpaceDE w:val="0"/>
              <w:autoSpaceDN w:val="0"/>
              <w:bidi w:val="0"/>
              <w:adjustRightInd w:val="0"/>
              <w:snapToGrid w:val="0"/>
              <w:spacing w:line="400" w:lineRule="exact"/>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63E6D86A">
            <w:pPr>
              <w:keepNext w:val="0"/>
              <w:keepLines w:val="0"/>
              <w:pageBreakBefore w:val="0"/>
              <w:widowControl w:val="0"/>
              <w:kinsoku w:val="0"/>
              <w:wordWrap/>
              <w:overflowPunct/>
              <w:topLinePunct w:val="0"/>
              <w:autoSpaceDE w:val="0"/>
              <w:autoSpaceDN w:val="0"/>
              <w:bidi w:val="0"/>
              <w:adjustRightInd w:val="0"/>
              <w:snapToGrid w:val="0"/>
              <w:spacing w:line="400" w:lineRule="exact"/>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59A4C7A1">
            <w:pPr>
              <w:keepNext w:val="0"/>
              <w:keepLines w:val="0"/>
              <w:pageBreakBefore w:val="0"/>
              <w:widowControl w:val="0"/>
              <w:kinsoku w:val="0"/>
              <w:wordWrap/>
              <w:overflowPunct/>
              <w:topLinePunct w:val="0"/>
              <w:autoSpaceDE w:val="0"/>
              <w:autoSpaceDN w:val="0"/>
              <w:bidi w:val="0"/>
              <w:adjustRightInd w:val="0"/>
              <w:snapToGrid w:val="0"/>
              <w:spacing w:line="400" w:lineRule="exact"/>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5D443D01">
            <w:pPr>
              <w:keepNext w:val="0"/>
              <w:keepLines w:val="0"/>
              <w:pageBreakBefore w:val="0"/>
              <w:widowControl w:val="0"/>
              <w:kinsoku w:val="0"/>
              <w:wordWrap/>
              <w:overflowPunct/>
              <w:topLinePunct w:val="0"/>
              <w:autoSpaceDE w:val="0"/>
              <w:autoSpaceDN w:val="0"/>
              <w:bidi w:val="0"/>
              <w:adjustRightInd w:val="0"/>
              <w:snapToGrid w:val="0"/>
              <w:spacing w:line="400" w:lineRule="exact"/>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6974B1AB">
            <w:pPr>
              <w:keepNext w:val="0"/>
              <w:keepLines w:val="0"/>
              <w:pageBreakBefore w:val="0"/>
              <w:widowControl w:val="0"/>
              <w:kinsoku w:val="0"/>
              <w:wordWrap/>
              <w:overflowPunct/>
              <w:topLinePunct w:val="0"/>
              <w:autoSpaceDE w:val="0"/>
              <w:autoSpaceDN w:val="0"/>
              <w:bidi w:val="0"/>
              <w:adjustRightInd w:val="0"/>
              <w:snapToGrid w:val="0"/>
              <w:spacing w:line="400" w:lineRule="exact"/>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5FAE71C9">
            <w:pPr>
              <w:keepNext w:val="0"/>
              <w:keepLines w:val="0"/>
              <w:pageBreakBefore w:val="0"/>
              <w:widowControl w:val="0"/>
              <w:kinsoku w:val="0"/>
              <w:wordWrap/>
              <w:overflowPunct/>
              <w:topLinePunct w:val="0"/>
              <w:autoSpaceDE w:val="0"/>
              <w:autoSpaceDN w:val="0"/>
              <w:bidi w:val="0"/>
              <w:adjustRightInd w:val="0"/>
              <w:snapToGrid w:val="0"/>
              <w:spacing w:line="400" w:lineRule="exact"/>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E8AB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03693D1B">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187" w:type="dxa"/>
            <w:gridSpan w:val="2"/>
            <w:shd w:val="clear" w:color="auto" w:fill="auto"/>
          </w:tcPr>
          <w:p w14:paraId="714F9989">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223" w:type="dxa"/>
            <w:gridSpan w:val="3"/>
            <w:shd w:val="clear" w:color="auto" w:fill="auto"/>
          </w:tcPr>
          <w:p w14:paraId="46D56382">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15" w:type="dxa"/>
            <w:shd w:val="clear" w:color="auto" w:fill="auto"/>
          </w:tcPr>
          <w:p w14:paraId="7F29A01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18" w:type="dxa"/>
            <w:gridSpan w:val="3"/>
            <w:shd w:val="clear" w:color="auto" w:fill="auto"/>
          </w:tcPr>
          <w:p w14:paraId="6F830C7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1" w:type="dxa"/>
            <w:gridSpan w:val="3"/>
            <w:shd w:val="clear" w:color="auto" w:fill="auto"/>
          </w:tcPr>
          <w:p w14:paraId="297842B0">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20" w:type="dxa"/>
            <w:gridSpan w:val="2"/>
            <w:shd w:val="clear" w:color="auto" w:fill="auto"/>
          </w:tcPr>
          <w:p w14:paraId="217FDD37">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27509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329" w:type="dxa"/>
            <w:shd w:val="clear" w:color="auto" w:fill="auto"/>
          </w:tcPr>
          <w:p w14:paraId="250B8C81">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187" w:type="dxa"/>
            <w:gridSpan w:val="2"/>
            <w:shd w:val="clear" w:color="auto" w:fill="auto"/>
          </w:tcPr>
          <w:p w14:paraId="47FA60B0">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223" w:type="dxa"/>
            <w:gridSpan w:val="3"/>
            <w:shd w:val="clear" w:color="auto" w:fill="auto"/>
          </w:tcPr>
          <w:p w14:paraId="45743E20">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15" w:type="dxa"/>
            <w:shd w:val="clear" w:color="auto" w:fill="auto"/>
          </w:tcPr>
          <w:p w14:paraId="055BB799">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18" w:type="dxa"/>
            <w:gridSpan w:val="3"/>
            <w:shd w:val="clear" w:color="auto" w:fill="auto"/>
          </w:tcPr>
          <w:p w14:paraId="7430BDB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1" w:type="dxa"/>
            <w:gridSpan w:val="3"/>
            <w:shd w:val="clear" w:color="auto" w:fill="auto"/>
          </w:tcPr>
          <w:p w14:paraId="22A9435D">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20" w:type="dxa"/>
            <w:gridSpan w:val="2"/>
            <w:shd w:val="clear" w:color="auto" w:fill="auto"/>
          </w:tcPr>
          <w:p w14:paraId="6E03BC6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53B3B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5"/>
            <w:shd w:val="clear" w:color="auto" w:fill="auto"/>
          </w:tcPr>
          <w:p w14:paraId="63F4559C">
            <w:pPr>
              <w:keepNext w:val="0"/>
              <w:keepLines w:val="0"/>
              <w:pageBreakBefore w:val="0"/>
              <w:widowControl w:val="0"/>
              <w:kinsoku w:val="0"/>
              <w:wordWrap/>
              <w:overflowPunct/>
              <w:topLinePunct w:val="0"/>
              <w:autoSpaceDE w:val="0"/>
              <w:autoSpaceDN w:val="0"/>
              <w:bidi w:val="0"/>
              <w:adjustRightInd w:val="0"/>
              <w:snapToGrid w:val="0"/>
              <w:spacing w:line="400" w:lineRule="exact"/>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087B3A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055F7E0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547" w:type="dxa"/>
            <w:gridSpan w:val="2"/>
            <w:shd w:val="clear" w:color="auto" w:fill="auto"/>
          </w:tcPr>
          <w:p w14:paraId="77A6E519">
            <w:pPr>
              <w:keepNext w:val="0"/>
              <w:keepLines w:val="0"/>
              <w:pageBreakBefore w:val="0"/>
              <w:widowControl w:val="0"/>
              <w:kinsoku w:val="0"/>
              <w:wordWrap/>
              <w:overflowPunct/>
              <w:topLinePunct w:val="0"/>
              <w:autoSpaceDE w:val="0"/>
              <w:autoSpaceDN w:val="0"/>
              <w:bidi w:val="0"/>
              <w:adjustRightInd w:val="0"/>
              <w:snapToGrid w:val="0"/>
              <w:spacing w:line="400" w:lineRule="exact"/>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3E63488F">
            <w:pPr>
              <w:keepNext w:val="0"/>
              <w:keepLines w:val="0"/>
              <w:pageBreakBefore w:val="0"/>
              <w:widowControl w:val="0"/>
              <w:kinsoku w:val="0"/>
              <w:wordWrap/>
              <w:overflowPunct/>
              <w:topLinePunct w:val="0"/>
              <w:autoSpaceDE w:val="0"/>
              <w:autoSpaceDN w:val="0"/>
              <w:bidi w:val="0"/>
              <w:adjustRightInd w:val="0"/>
              <w:snapToGrid w:val="0"/>
              <w:spacing w:line="400" w:lineRule="exact"/>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00E61FEA">
            <w:pPr>
              <w:keepNext w:val="0"/>
              <w:keepLines w:val="0"/>
              <w:pageBreakBefore w:val="0"/>
              <w:widowControl w:val="0"/>
              <w:kinsoku w:val="0"/>
              <w:wordWrap/>
              <w:overflowPunct/>
              <w:topLinePunct w:val="0"/>
              <w:autoSpaceDE w:val="0"/>
              <w:autoSpaceDN w:val="0"/>
              <w:bidi w:val="0"/>
              <w:adjustRightInd w:val="0"/>
              <w:snapToGrid w:val="0"/>
              <w:spacing w:line="400" w:lineRule="exact"/>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4F8A0D4A">
            <w:pPr>
              <w:keepNext w:val="0"/>
              <w:keepLines w:val="0"/>
              <w:pageBreakBefore w:val="0"/>
              <w:widowControl w:val="0"/>
              <w:kinsoku w:val="0"/>
              <w:wordWrap/>
              <w:overflowPunct/>
              <w:topLinePunct w:val="0"/>
              <w:autoSpaceDE w:val="0"/>
              <w:autoSpaceDN w:val="0"/>
              <w:bidi w:val="0"/>
              <w:adjustRightInd w:val="0"/>
              <w:snapToGrid w:val="0"/>
              <w:spacing w:line="400" w:lineRule="exact"/>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3E15727F">
            <w:pPr>
              <w:keepNext w:val="0"/>
              <w:keepLines w:val="0"/>
              <w:pageBreakBefore w:val="0"/>
              <w:widowControl w:val="0"/>
              <w:kinsoku w:val="0"/>
              <w:wordWrap/>
              <w:overflowPunct/>
              <w:topLinePunct w:val="0"/>
              <w:autoSpaceDE w:val="0"/>
              <w:autoSpaceDN w:val="0"/>
              <w:bidi w:val="0"/>
              <w:adjustRightInd w:val="0"/>
              <w:snapToGrid w:val="0"/>
              <w:spacing w:line="400" w:lineRule="exact"/>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6601C641">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26F7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7FFA0F1B">
            <w:pPr>
              <w:keepNext w:val="0"/>
              <w:keepLines w:val="0"/>
              <w:pageBreakBefore w:val="0"/>
              <w:widowControl w:val="0"/>
              <w:kinsoku w:val="0"/>
              <w:wordWrap/>
              <w:overflowPunct/>
              <w:topLinePunct w:val="0"/>
              <w:autoSpaceDE w:val="0"/>
              <w:autoSpaceDN w:val="0"/>
              <w:bidi w:val="0"/>
              <w:adjustRightInd w:val="0"/>
              <w:snapToGrid w:val="0"/>
              <w:spacing w:line="400" w:lineRule="exact"/>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37B8B37B">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1EF761DC">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1FEB12F2">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7AE40F5D">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49E08AEC">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45B01A0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69C88C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56306511">
            <w:pPr>
              <w:keepNext w:val="0"/>
              <w:keepLines w:val="0"/>
              <w:pageBreakBefore w:val="0"/>
              <w:widowControl w:val="0"/>
              <w:kinsoku w:val="0"/>
              <w:wordWrap/>
              <w:overflowPunct/>
              <w:topLinePunct w:val="0"/>
              <w:autoSpaceDE w:val="0"/>
              <w:autoSpaceDN w:val="0"/>
              <w:bidi w:val="0"/>
              <w:adjustRightInd w:val="0"/>
              <w:snapToGrid w:val="0"/>
              <w:spacing w:line="400" w:lineRule="exact"/>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060A34AB">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2BEA23E1">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5AFBFD0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39082304">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572CF621">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4B03B8E7">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14A04B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2"/>
            <w:shd w:val="clear" w:color="auto" w:fill="auto"/>
          </w:tcPr>
          <w:p w14:paraId="42BD3B80">
            <w:pPr>
              <w:keepNext w:val="0"/>
              <w:keepLines w:val="0"/>
              <w:pageBreakBefore w:val="0"/>
              <w:widowControl w:val="0"/>
              <w:kinsoku w:val="0"/>
              <w:wordWrap/>
              <w:overflowPunct/>
              <w:topLinePunct w:val="0"/>
              <w:autoSpaceDE w:val="0"/>
              <w:autoSpaceDN w:val="0"/>
              <w:bidi w:val="0"/>
              <w:adjustRightInd w:val="0"/>
              <w:snapToGrid w:val="0"/>
              <w:spacing w:line="400" w:lineRule="exact"/>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2609CD9B">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06C167BF">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7DB87933">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40B5CEA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11EFBC09">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7D8B62B9">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07E472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58CB3A08">
            <w:pPr>
              <w:keepNext w:val="0"/>
              <w:keepLines w:val="0"/>
              <w:pageBreakBefore w:val="0"/>
              <w:widowControl w:val="0"/>
              <w:kinsoku w:val="0"/>
              <w:wordWrap/>
              <w:overflowPunct/>
              <w:topLinePunct w:val="0"/>
              <w:autoSpaceDE w:val="0"/>
              <w:autoSpaceDN w:val="0"/>
              <w:bidi w:val="0"/>
              <w:adjustRightInd w:val="0"/>
              <w:snapToGrid w:val="0"/>
              <w:spacing w:line="400" w:lineRule="exact"/>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1D7244F1">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2F0342CF">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7513AD80">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67C7E8E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1F2AAA6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5396D82B">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3BE30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2"/>
            <w:shd w:val="clear" w:color="auto" w:fill="auto"/>
          </w:tcPr>
          <w:p w14:paraId="4B378E52">
            <w:pPr>
              <w:keepNext w:val="0"/>
              <w:keepLines w:val="0"/>
              <w:pageBreakBefore w:val="0"/>
              <w:widowControl w:val="0"/>
              <w:kinsoku w:val="0"/>
              <w:wordWrap/>
              <w:overflowPunct/>
              <w:topLinePunct w:val="0"/>
              <w:autoSpaceDE w:val="0"/>
              <w:autoSpaceDN w:val="0"/>
              <w:bidi w:val="0"/>
              <w:adjustRightInd w:val="0"/>
              <w:snapToGrid w:val="0"/>
              <w:spacing w:line="400" w:lineRule="exact"/>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2161F52A">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1F6D4CC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546ED012">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454BED5C">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6C4D3728">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58D7930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276DF8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35216DB0">
            <w:pPr>
              <w:keepNext w:val="0"/>
              <w:keepLines w:val="0"/>
              <w:pageBreakBefore w:val="0"/>
              <w:widowControl w:val="0"/>
              <w:kinsoku w:val="0"/>
              <w:wordWrap/>
              <w:overflowPunct/>
              <w:topLinePunct w:val="0"/>
              <w:autoSpaceDE w:val="0"/>
              <w:autoSpaceDN w:val="0"/>
              <w:bidi w:val="0"/>
              <w:adjustRightInd w:val="0"/>
              <w:snapToGrid w:val="0"/>
              <w:spacing w:line="400" w:lineRule="exact"/>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50290FF2">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3189A11A">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179972B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5168BAB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71DC2241">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07BC23BA">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7AC3E8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39681A4E">
            <w:pPr>
              <w:keepNext w:val="0"/>
              <w:keepLines w:val="0"/>
              <w:pageBreakBefore w:val="0"/>
              <w:widowControl w:val="0"/>
              <w:kinsoku w:val="0"/>
              <w:wordWrap/>
              <w:overflowPunct/>
              <w:topLinePunct w:val="0"/>
              <w:autoSpaceDE w:val="0"/>
              <w:autoSpaceDN w:val="0"/>
              <w:bidi w:val="0"/>
              <w:adjustRightInd w:val="0"/>
              <w:snapToGrid w:val="0"/>
              <w:spacing w:line="400" w:lineRule="exact"/>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5DD3809A">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683D0F7E">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14535C9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7D636DD3">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0DA6ED62">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7F8E4A1A">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75055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0C1D6923">
            <w:pPr>
              <w:keepNext w:val="0"/>
              <w:keepLines w:val="0"/>
              <w:pageBreakBefore w:val="0"/>
              <w:widowControl w:val="0"/>
              <w:kinsoku w:val="0"/>
              <w:wordWrap/>
              <w:overflowPunct/>
              <w:topLinePunct w:val="0"/>
              <w:autoSpaceDE w:val="0"/>
              <w:autoSpaceDN w:val="0"/>
              <w:bidi w:val="0"/>
              <w:adjustRightInd w:val="0"/>
              <w:snapToGrid w:val="0"/>
              <w:spacing w:line="400" w:lineRule="exact"/>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54902EF1">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79653D4B">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2FE0117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5390620D">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02C9905F">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0D5574A4">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r w14:paraId="790609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2"/>
            <w:shd w:val="clear" w:color="auto" w:fill="auto"/>
          </w:tcPr>
          <w:p w14:paraId="2576BCD9">
            <w:pPr>
              <w:keepNext w:val="0"/>
              <w:keepLines w:val="0"/>
              <w:pageBreakBefore w:val="0"/>
              <w:widowControl w:val="0"/>
              <w:kinsoku w:val="0"/>
              <w:wordWrap/>
              <w:overflowPunct/>
              <w:topLinePunct w:val="0"/>
              <w:autoSpaceDE w:val="0"/>
              <w:autoSpaceDN w:val="0"/>
              <w:bidi w:val="0"/>
              <w:adjustRightInd w:val="0"/>
              <w:snapToGrid w:val="0"/>
              <w:spacing w:line="400" w:lineRule="exact"/>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2534701B">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978" w:type="dxa"/>
            <w:gridSpan w:val="3"/>
            <w:shd w:val="clear" w:color="auto" w:fill="auto"/>
          </w:tcPr>
          <w:p w14:paraId="43F7372D">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329" w:type="dxa"/>
            <w:gridSpan w:val="2"/>
            <w:shd w:val="clear" w:color="auto" w:fill="auto"/>
          </w:tcPr>
          <w:p w14:paraId="02E1CE8F">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633" w:type="dxa"/>
            <w:gridSpan w:val="3"/>
            <w:shd w:val="clear" w:color="auto" w:fill="auto"/>
          </w:tcPr>
          <w:p w14:paraId="15EB86F8">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1482" w:type="dxa"/>
            <w:gridSpan w:val="2"/>
            <w:shd w:val="clear" w:color="auto" w:fill="auto"/>
          </w:tcPr>
          <w:p w14:paraId="6A205AA6">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c>
          <w:tcPr>
            <w:tcW w:w="25" w:type="dxa"/>
            <w:tcBorders>
              <w:top w:val="nil"/>
              <w:bottom w:val="nil"/>
              <w:right w:val="nil"/>
            </w:tcBorders>
            <w:shd w:val="clear" w:color="auto" w:fill="auto"/>
          </w:tcPr>
          <w:p w14:paraId="6B9C3EB5">
            <w:pPr>
              <w:keepNext w:val="0"/>
              <w:keepLines w:val="0"/>
              <w:pageBreakBefore w:val="0"/>
              <w:widowControl w:val="0"/>
              <w:wordWrap/>
              <w:overflowPunct/>
              <w:topLinePunct w:val="0"/>
              <w:bidi w:val="0"/>
              <w:spacing w:line="400" w:lineRule="exact"/>
              <w:rPr>
                <w:rFonts w:ascii="宋体" w:hAnsi="宋体" w:cs="宋体"/>
                <w:color w:val="auto"/>
                <w:sz w:val="24"/>
                <w:highlight w:val="none"/>
              </w:rPr>
            </w:pPr>
          </w:p>
        </w:tc>
      </w:tr>
    </w:tbl>
    <w:p w14:paraId="57520777">
      <w:pPr>
        <w:keepNext w:val="0"/>
        <w:keepLines w:val="0"/>
        <w:pageBreakBefore w:val="0"/>
        <w:widowControl w:val="0"/>
        <w:wordWrap/>
        <w:overflowPunct/>
        <w:topLinePunct w:val="0"/>
        <w:bidi w:val="0"/>
        <w:spacing w:line="400" w:lineRule="exact"/>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5DE1572D">
      <w:pPr>
        <w:keepNext w:val="0"/>
        <w:keepLines w:val="0"/>
        <w:pageBreakBefore w:val="0"/>
        <w:widowControl w:val="0"/>
        <w:wordWrap/>
        <w:overflowPunct/>
        <w:topLinePunct w:val="0"/>
        <w:bidi w:val="0"/>
        <w:spacing w:line="400" w:lineRule="exact"/>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173DC6A3">
      <w:pPr>
        <w:keepNext w:val="0"/>
        <w:keepLines w:val="0"/>
        <w:pageBreakBefore w:val="0"/>
        <w:widowControl w:val="0"/>
        <w:wordWrap/>
        <w:overflowPunct/>
        <w:topLinePunct w:val="0"/>
        <w:bidi w:val="0"/>
        <w:spacing w:line="400" w:lineRule="exact"/>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的学历证、本表所列证书复</w:t>
      </w:r>
      <w:r>
        <w:rPr>
          <w:rFonts w:hint="eastAsia" w:ascii="宋体" w:hAnsi="宋体" w:cs="宋体"/>
          <w:color w:val="auto"/>
          <w:spacing w:val="-4"/>
          <w:sz w:val="24"/>
          <w:highlight w:val="none"/>
        </w:rPr>
        <w:t>印件并加盖供应商公章。</w:t>
      </w:r>
    </w:p>
    <w:p w14:paraId="6A73FDDD">
      <w:pPr>
        <w:spacing w:line="360" w:lineRule="auto"/>
        <w:rPr>
          <w:rFonts w:ascii="宋体" w:hAnsi="宋体"/>
          <w:color w:val="auto"/>
          <w:highlight w:val="none"/>
        </w:rPr>
      </w:pPr>
      <w:r>
        <w:rPr>
          <w:rFonts w:hint="eastAsia" w:ascii="宋体" w:hAnsi="宋体"/>
          <w:color w:val="auto"/>
          <w:sz w:val="24"/>
          <w:highlight w:val="none"/>
        </w:rPr>
        <w:br w:type="page"/>
      </w:r>
    </w:p>
    <w:p w14:paraId="59E1EA6A">
      <w:pPr>
        <w:spacing w:line="360" w:lineRule="auto"/>
        <w:ind w:left="2739"/>
        <w:rPr>
          <w:rFonts w:ascii="宋体" w:hAnsi="宋体" w:cs="宋体"/>
          <w:color w:val="auto"/>
          <w:sz w:val="31"/>
          <w:szCs w:val="31"/>
          <w:highlight w:val="none"/>
        </w:rPr>
      </w:pPr>
      <w:bookmarkStart w:id="33" w:name="_Toc4741"/>
      <w:bookmarkStart w:id="34" w:name="_Toc28941"/>
      <w:r>
        <w:rPr>
          <w:rFonts w:hint="eastAsia" w:ascii="宋体" w:hAnsi="宋体" w:cs="宋体"/>
          <w:color w:val="auto"/>
          <w:spacing w:val="10"/>
          <w:sz w:val="31"/>
          <w:szCs w:val="31"/>
          <w:highlight w:val="none"/>
        </w:rPr>
        <w:t>专职安全生产管理人员简历表</w:t>
      </w:r>
      <w:bookmarkEnd w:id="33"/>
      <w:bookmarkEnd w:id="34"/>
    </w:p>
    <w:p w14:paraId="37650A60">
      <w:pPr>
        <w:spacing w:line="360" w:lineRule="auto"/>
        <w:rPr>
          <w:rFonts w:ascii="宋体" w:hAnsi="宋体" w:cs="宋体"/>
          <w:color w:val="auto"/>
          <w:highlight w:val="none"/>
        </w:rPr>
      </w:pPr>
    </w:p>
    <w:tbl>
      <w:tblPr>
        <w:tblStyle w:val="40"/>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3"/>
        <w:gridCol w:w="704"/>
        <w:gridCol w:w="520"/>
        <w:gridCol w:w="1417"/>
        <w:gridCol w:w="1370"/>
        <w:gridCol w:w="49"/>
        <w:gridCol w:w="459"/>
        <w:gridCol w:w="1128"/>
        <w:gridCol w:w="45"/>
        <w:gridCol w:w="1437"/>
        <w:gridCol w:w="23"/>
      </w:tblGrid>
      <w:tr w14:paraId="13496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65AA62DA">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35FAFE3E">
            <w:pPr>
              <w:spacing w:line="360" w:lineRule="auto"/>
              <w:rPr>
                <w:rFonts w:ascii="宋体" w:hAnsi="宋体" w:cs="宋体"/>
                <w:color w:val="auto"/>
                <w:sz w:val="24"/>
                <w:highlight w:val="none"/>
              </w:rPr>
            </w:pPr>
          </w:p>
        </w:tc>
        <w:tc>
          <w:tcPr>
            <w:tcW w:w="1417" w:type="dxa"/>
            <w:shd w:val="clear" w:color="auto" w:fill="auto"/>
          </w:tcPr>
          <w:p w14:paraId="767F6EF1">
            <w:pPr>
              <w:kinsoku w:val="0"/>
              <w:autoSpaceDE w:val="0"/>
              <w:autoSpaceDN w:val="0"/>
              <w:adjustRightInd w:val="0"/>
              <w:snapToGrid w:val="0"/>
              <w:spacing w:line="360"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0F35D48C">
            <w:pPr>
              <w:spacing w:line="360" w:lineRule="auto"/>
              <w:rPr>
                <w:rFonts w:ascii="宋体" w:hAnsi="宋体" w:cs="宋体"/>
                <w:color w:val="auto"/>
                <w:sz w:val="24"/>
                <w:highlight w:val="none"/>
              </w:rPr>
            </w:pPr>
          </w:p>
        </w:tc>
        <w:tc>
          <w:tcPr>
            <w:tcW w:w="1128" w:type="dxa"/>
            <w:shd w:val="clear" w:color="auto" w:fill="auto"/>
          </w:tcPr>
          <w:p w14:paraId="46587876">
            <w:pPr>
              <w:kinsoku w:val="0"/>
              <w:autoSpaceDE w:val="0"/>
              <w:autoSpaceDN w:val="0"/>
              <w:adjustRightInd w:val="0"/>
              <w:snapToGrid w:val="0"/>
              <w:spacing w:line="360"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37B88D0F">
            <w:pPr>
              <w:spacing w:line="360" w:lineRule="auto"/>
              <w:rPr>
                <w:rFonts w:ascii="宋体" w:hAnsi="宋体" w:cs="宋体"/>
                <w:color w:val="auto"/>
                <w:sz w:val="24"/>
                <w:highlight w:val="none"/>
              </w:rPr>
            </w:pPr>
          </w:p>
        </w:tc>
      </w:tr>
      <w:tr w14:paraId="36E36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5DEE6FF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224D33BF">
            <w:pPr>
              <w:kinsoku w:val="0"/>
              <w:autoSpaceDE w:val="0"/>
              <w:autoSpaceDN w:val="0"/>
              <w:adjustRightInd w:val="0"/>
              <w:snapToGrid w:val="0"/>
              <w:spacing w:line="360"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4D5B8675">
            <w:pPr>
              <w:kinsoku w:val="0"/>
              <w:autoSpaceDE w:val="0"/>
              <w:autoSpaceDN w:val="0"/>
              <w:adjustRightInd w:val="0"/>
              <w:snapToGrid w:val="0"/>
              <w:spacing w:line="360"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10A99BB2">
            <w:pPr>
              <w:spacing w:line="360" w:lineRule="auto"/>
              <w:rPr>
                <w:rFonts w:ascii="宋体" w:hAnsi="宋体" w:cs="宋体"/>
                <w:color w:val="auto"/>
                <w:sz w:val="24"/>
                <w:highlight w:val="none"/>
              </w:rPr>
            </w:pPr>
          </w:p>
        </w:tc>
        <w:tc>
          <w:tcPr>
            <w:tcW w:w="1128" w:type="dxa"/>
            <w:shd w:val="clear" w:color="auto" w:fill="auto"/>
          </w:tcPr>
          <w:p w14:paraId="6A21C055">
            <w:pPr>
              <w:kinsoku w:val="0"/>
              <w:autoSpaceDE w:val="0"/>
              <w:autoSpaceDN w:val="0"/>
              <w:adjustRightInd w:val="0"/>
              <w:snapToGrid w:val="0"/>
              <w:spacing w:line="360"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6FF46684">
            <w:pPr>
              <w:spacing w:line="360" w:lineRule="auto"/>
              <w:rPr>
                <w:rFonts w:ascii="宋体" w:hAnsi="宋体" w:cs="宋体"/>
                <w:color w:val="auto"/>
                <w:sz w:val="24"/>
                <w:highlight w:val="none"/>
              </w:rPr>
            </w:pPr>
          </w:p>
        </w:tc>
      </w:tr>
      <w:tr w14:paraId="6352F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4E454124">
            <w:pPr>
              <w:kinsoku w:val="0"/>
              <w:autoSpaceDE w:val="0"/>
              <w:autoSpaceDN w:val="0"/>
              <w:adjustRightInd w:val="0"/>
              <w:snapToGrid w:val="0"/>
              <w:spacing w:line="360"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696B6A33">
            <w:pPr>
              <w:spacing w:line="360" w:lineRule="auto"/>
              <w:rPr>
                <w:rFonts w:ascii="宋体" w:hAnsi="宋体" w:cs="宋体"/>
                <w:color w:val="auto"/>
                <w:sz w:val="24"/>
                <w:highlight w:val="none"/>
              </w:rPr>
            </w:pPr>
          </w:p>
        </w:tc>
        <w:tc>
          <w:tcPr>
            <w:tcW w:w="1417" w:type="dxa"/>
            <w:shd w:val="clear" w:color="auto" w:fill="auto"/>
          </w:tcPr>
          <w:p w14:paraId="7E5EE817">
            <w:pPr>
              <w:kinsoku w:val="0"/>
              <w:autoSpaceDE w:val="0"/>
              <w:autoSpaceDN w:val="0"/>
              <w:adjustRightInd w:val="0"/>
              <w:snapToGrid w:val="0"/>
              <w:spacing w:line="360"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123B0ED4">
            <w:pPr>
              <w:spacing w:line="360" w:lineRule="auto"/>
              <w:rPr>
                <w:rFonts w:ascii="宋体" w:hAnsi="宋体" w:cs="宋体"/>
                <w:color w:val="auto"/>
                <w:sz w:val="24"/>
                <w:highlight w:val="none"/>
              </w:rPr>
            </w:pPr>
          </w:p>
        </w:tc>
        <w:tc>
          <w:tcPr>
            <w:tcW w:w="1128" w:type="dxa"/>
            <w:shd w:val="clear" w:color="auto" w:fill="auto"/>
          </w:tcPr>
          <w:p w14:paraId="113FD6F1">
            <w:pPr>
              <w:kinsoku w:val="0"/>
              <w:autoSpaceDE w:val="0"/>
              <w:autoSpaceDN w:val="0"/>
              <w:adjustRightInd w:val="0"/>
              <w:snapToGrid w:val="0"/>
              <w:spacing w:line="360"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769A2730">
            <w:pPr>
              <w:spacing w:line="360" w:lineRule="auto"/>
              <w:rPr>
                <w:rFonts w:ascii="宋体" w:hAnsi="宋体" w:cs="宋体"/>
                <w:color w:val="auto"/>
                <w:sz w:val="24"/>
                <w:highlight w:val="none"/>
              </w:rPr>
            </w:pPr>
          </w:p>
        </w:tc>
      </w:tr>
      <w:tr w14:paraId="6376C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3CC36E76">
            <w:pPr>
              <w:kinsoku w:val="0"/>
              <w:autoSpaceDE w:val="0"/>
              <w:autoSpaceDN w:val="0"/>
              <w:adjustRightInd w:val="0"/>
              <w:snapToGrid w:val="0"/>
              <w:spacing w:line="360"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18C68C69">
            <w:pPr>
              <w:spacing w:line="360" w:lineRule="auto"/>
              <w:rPr>
                <w:rFonts w:ascii="宋体" w:hAnsi="宋体" w:cs="宋体"/>
                <w:color w:val="auto"/>
                <w:sz w:val="24"/>
                <w:highlight w:val="none"/>
              </w:rPr>
            </w:pPr>
          </w:p>
        </w:tc>
        <w:tc>
          <w:tcPr>
            <w:tcW w:w="1417" w:type="dxa"/>
            <w:shd w:val="clear" w:color="auto" w:fill="auto"/>
          </w:tcPr>
          <w:p w14:paraId="5E7C1501">
            <w:pPr>
              <w:kinsoku w:val="0"/>
              <w:autoSpaceDE w:val="0"/>
              <w:autoSpaceDN w:val="0"/>
              <w:adjustRightInd w:val="0"/>
              <w:snapToGrid w:val="0"/>
              <w:spacing w:line="360"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67DBFAE6">
            <w:pPr>
              <w:spacing w:line="360" w:lineRule="auto"/>
              <w:rPr>
                <w:rFonts w:ascii="宋体" w:hAnsi="宋体" w:cs="宋体"/>
                <w:color w:val="auto"/>
                <w:sz w:val="24"/>
                <w:highlight w:val="none"/>
              </w:rPr>
            </w:pPr>
          </w:p>
        </w:tc>
      </w:tr>
      <w:tr w14:paraId="7FD0B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2C0A527B">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41C78123">
            <w:pPr>
              <w:kinsoku w:val="0"/>
              <w:autoSpaceDE w:val="0"/>
              <w:autoSpaceDN w:val="0"/>
              <w:adjustRightInd w:val="0"/>
              <w:snapToGrid w:val="0"/>
              <w:spacing w:line="360"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3A3C431D">
            <w:pPr>
              <w:kinsoku w:val="0"/>
              <w:autoSpaceDE w:val="0"/>
              <w:autoSpaceDN w:val="0"/>
              <w:adjustRightInd w:val="0"/>
              <w:snapToGrid w:val="0"/>
              <w:spacing w:line="360"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282FF7AE">
            <w:pPr>
              <w:kinsoku w:val="0"/>
              <w:autoSpaceDE w:val="0"/>
              <w:autoSpaceDN w:val="0"/>
              <w:adjustRightInd w:val="0"/>
              <w:snapToGrid w:val="0"/>
              <w:spacing w:line="360"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312A9079">
            <w:pPr>
              <w:kinsoku w:val="0"/>
              <w:autoSpaceDE w:val="0"/>
              <w:autoSpaceDN w:val="0"/>
              <w:adjustRightInd w:val="0"/>
              <w:snapToGrid w:val="0"/>
              <w:spacing w:line="360"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567526B2">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0E0135C4">
            <w:pPr>
              <w:kinsoku w:val="0"/>
              <w:autoSpaceDE w:val="0"/>
              <w:autoSpaceDN w:val="0"/>
              <w:adjustRightInd w:val="0"/>
              <w:snapToGrid w:val="0"/>
              <w:spacing w:line="360"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75D0A4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27C06B9D">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716AC0D5">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2123E8EC">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51235316">
            <w:pPr>
              <w:spacing w:line="360" w:lineRule="auto"/>
              <w:rPr>
                <w:rFonts w:ascii="宋体" w:hAnsi="宋体" w:cs="宋体"/>
                <w:color w:val="auto"/>
                <w:sz w:val="24"/>
                <w:highlight w:val="none"/>
              </w:rPr>
            </w:pPr>
          </w:p>
        </w:tc>
        <w:tc>
          <w:tcPr>
            <w:tcW w:w="1224" w:type="dxa"/>
            <w:gridSpan w:val="2"/>
            <w:shd w:val="clear" w:color="auto" w:fill="auto"/>
          </w:tcPr>
          <w:p w14:paraId="1DB4B3CB">
            <w:pPr>
              <w:spacing w:line="360" w:lineRule="auto"/>
              <w:rPr>
                <w:rFonts w:ascii="宋体" w:hAnsi="宋体" w:cs="宋体"/>
                <w:color w:val="auto"/>
                <w:sz w:val="24"/>
                <w:highlight w:val="none"/>
              </w:rPr>
            </w:pPr>
          </w:p>
          <w:p w14:paraId="22A89E1E">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05039FB1">
            <w:pPr>
              <w:spacing w:line="360" w:lineRule="auto"/>
              <w:rPr>
                <w:rFonts w:ascii="宋体" w:hAnsi="宋体" w:cs="宋体"/>
                <w:color w:val="auto"/>
                <w:sz w:val="24"/>
                <w:highlight w:val="none"/>
              </w:rPr>
            </w:pPr>
          </w:p>
        </w:tc>
        <w:tc>
          <w:tcPr>
            <w:tcW w:w="1419" w:type="dxa"/>
            <w:gridSpan w:val="2"/>
            <w:shd w:val="clear" w:color="auto" w:fill="auto"/>
          </w:tcPr>
          <w:p w14:paraId="238B2A05">
            <w:pPr>
              <w:spacing w:line="360" w:lineRule="auto"/>
              <w:rPr>
                <w:rFonts w:ascii="宋体" w:hAnsi="宋体" w:cs="宋体"/>
                <w:color w:val="auto"/>
                <w:sz w:val="24"/>
                <w:highlight w:val="none"/>
              </w:rPr>
            </w:pPr>
          </w:p>
        </w:tc>
        <w:tc>
          <w:tcPr>
            <w:tcW w:w="1632" w:type="dxa"/>
            <w:gridSpan w:val="3"/>
            <w:shd w:val="clear" w:color="auto" w:fill="auto"/>
          </w:tcPr>
          <w:p w14:paraId="1EABC3C1">
            <w:pPr>
              <w:spacing w:line="360" w:lineRule="auto"/>
              <w:rPr>
                <w:rFonts w:ascii="宋体" w:hAnsi="宋体" w:cs="宋体"/>
                <w:color w:val="auto"/>
                <w:sz w:val="24"/>
                <w:highlight w:val="none"/>
              </w:rPr>
            </w:pPr>
          </w:p>
        </w:tc>
        <w:tc>
          <w:tcPr>
            <w:tcW w:w="1457" w:type="dxa"/>
            <w:gridSpan w:val="2"/>
            <w:shd w:val="clear" w:color="auto" w:fill="auto"/>
          </w:tcPr>
          <w:p w14:paraId="4F5A0871">
            <w:pPr>
              <w:spacing w:line="360" w:lineRule="auto"/>
              <w:rPr>
                <w:rFonts w:ascii="宋体" w:hAnsi="宋体" w:cs="宋体"/>
                <w:color w:val="auto"/>
                <w:sz w:val="24"/>
                <w:highlight w:val="none"/>
              </w:rPr>
            </w:pPr>
          </w:p>
        </w:tc>
      </w:tr>
      <w:tr w14:paraId="39509C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3AD27756">
            <w:pPr>
              <w:spacing w:line="360" w:lineRule="auto"/>
              <w:rPr>
                <w:rFonts w:ascii="宋体" w:hAnsi="宋体" w:cs="宋体"/>
                <w:color w:val="auto"/>
                <w:sz w:val="24"/>
                <w:highlight w:val="none"/>
              </w:rPr>
            </w:pPr>
          </w:p>
        </w:tc>
        <w:tc>
          <w:tcPr>
            <w:tcW w:w="1274" w:type="dxa"/>
            <w:gridSpan w:val="2"/>
            <w:shd w:val="clear" w:color="auto" w:fill="auto"/>
          </w:tcPr>
          <w:p w14:paraId="15D58D61">
            <w:pPr>
              <w:spacing w:line="360" w:lineRule="auto"/>
              <w:rPr>
                <w:rFonts w:ascii="宋体" w:hAnsi="宋体" w:cs="宋体"/>
                <w:color w:val="auto"/>
                <w:sz w:val="24"/>
                <w:highlight w:val="none"/>
              </w:rPr>
            </w:pPr>
          </w:p>
        </w:tc>
        <w:tc>
          <w:tcPr>
            <w:tcW w:w="1224" w:type="dxa"/>
            <w:gridSpan w:val="2"/>
            <w:shd w:val="clear" w:color="auto" w:fill="auto"/>
          </w:tcPr>
          <w:p w14:paraId="16E780B2">
            <w:pPr>
              <w:spacing w:line="360" w:lineRule="auto"/>
              <w:rPr>
                <w:rFonts w:ascii="宋体" w:hAnsi="宋体" w:cs="宋体"/>
                <w:color w:val="auto"/>
                <w:sz w:val="24"/>
                <w:highlight w:val="none"/>
              </w:rPr>
            </w:pPr>
          </w:p>
        </w:tc>
        <w:tc>
          <w:tcPr>
            <w:tcW w:w="1417" w:type="dxa"/>
            <w:shd w:val="clear" w:color="auto" w:fill="auto"/>
          </w:tcPr>
          <w:p w14:paraId="3D75329D">
            <w:pPr>
              <w:spacing w:line="360" w:lineRule="auto"/>
              <w:rPr>
                <w:rFonts w:ascii="宋体" w:hAnsi="宋体" w:cs="宋体"/>
                <w:color w:val="auto"/>
                <w:sz w:val="24"/>
                <w:highlight w:val="none"/>
              </w:rPr>
            </w:pPr>
          </w:p>
        </w:tc>
        <w:tc>
          <w:tcPr>
            <w:tcW w:w="1419" w:type="dxa"/>
            <w:gridSpan w:val="2"/>
            <w:shd w:val="clear" w:color="auto" w:fill="auto"/>
          </w:tcPr>
          <w:p w14:paraId="651A3063">
            <w:pPr>
              <w:spacing w:line="360" w:lineRule="auto"/>
              <w:rPr>
                <w:rFonts w:ascii="宋体" w:hAnsi="宋体" w:cs="宋体"/>
                <w:color w:val="auto"/>
                <w:sz w:val="24"/>
                <w:highlight w:val="none"/>
              </w:rPr>
            </w:pPr>
          </w:p>
        </w:tc>
        <w:tc>
          <w:tcPr>
            <w:tcW w:w="1632" w:type="dxa"/>
            <w:gridSpan w:val="3"/>
            <w:shd w:val="clear" w:color="auto" w:fill="auto"/>
          </w:tcPr>
          <w:p w14:paraId="2BBFB552">
            <w:pPr>
              <w:spacing w:line="360" w:lineRule="auto"/>
              <w:rPr>
                <w:rFonts w:ascii="宋体" w:hAnsi="宋体" w:cs="宋体"/>
                <w:color w:val="auto"/>
                <w:sz w:val="24"/>
                <w:highlight w:val="none"/>
              </w:rPr>
            </w:pPr>
          </w:p>
        </w:tc>
        <w:tc>
          <w:tcPr>
            <w:tcW w:w="1457" w:type="dxa"/>
            <w:gridSpan w:val="2"/>
            <w:shd w:val="clear" w:color="auto" w:fill="auto"/>
          </w:tcPr>
          <w:p w14:paraId="2DEDFB8D">
            <w:pPr>
              <w:spacing w:line="360" w:lineRule="auto"/>
              <w:rPr>
                <w:rFonts w:ascii="宋体" w:hAnsi="宋体" w:cs="宋体"/>
                <w:color w:val="auto"/>
                <w:sz w:val="24"/>
                <w:highlight w:val="none"/>
              </w:rPr>
            </w:pPr>
          </w:p>
        </w:tc>
      </w:tr>
      <w:tr w14:paraId="3E792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176D754C">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4CAE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0EBEBC91">
            <w:pPr>
              <w:spacing w:line="360" w:lineRule="auto"/>
              <w:rPr>
                <w:rFonts w:ascii="宋体" w:hAnsi="宋体" w:cs="宋体"/>
                <w:color w:val="auto"/>
                <w:sz w:val="24"/>
                <w:highlight w:val="none"/>
              </w:rPr>
            </w:pPr>
          </w:p>
        </w:tc>
        <w:tc>
          <w:tcPr>
            <w:tcW w:w="1548" w:type="dxa"/>
            <w:gridSpan w:val="2"/>
            <w:shd w:val="clear" w:color="auto" w:fill="auto"/>
          </w:tcPr>
          <w:p w14:paraId="3740203B">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612FB020">
            <w:pPr>
              <w:kinsoku w:val="0"/>
              <w:autoSpaceDE w:val="0"/>
              <w:autoSpaceDN w:val="0"/>
              <w:adjustRightInd w:val="0"/>
              <w:snapToGrid w:val="0"/>
              <w:spacing w:line="360"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015D484A">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7C7695CF">
            <w:pPr>
              <w:kinsoku w:val="0"/>
              <w:autoSpaceDE w:val="0"/>
              <w:autoSpaceDN w:val="0"/>
              <w:adjustRightInd w:val="0"/>
              <w:snapToGrid w:val="0"/>
              <w:spacing w:line="360"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B08AB67">
            <w:pPr>
              <w:kinsoku w:val="0"/>
              <w:autoSpaceDE w:val="0"/>
              <w:autoSpaceDN w:val="0"/>
              <w:adjustRightInd w:val="0"/>
              <w:snapToGrid w:val="0"/>
              <w:spacing w:line="360" w:lineRule="auto"/>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34664B87">
            <w:pPr>
              <w:spacing w:line="360" w:lineRule="auto"/>
              <w:rPr>
                <w:rFonts w:ascii="宋体" w:hAnsi="宋体" w:cs="宋体"/>
                <w:color w:val="auto"/>
                <w:sz w:val="24"/>
                <w:highlight w:val="none"/>
              </w:rPr>
            </w:pPr>
          </w:p>
        </w:tc>
      </w:tr>
      <w:tr w14:paraId="15735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3EE89DF1">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7390E9BD">
            <w:pPr>
              <w:spacing w:line="360" w:lineRule="auto"/>
              <w:rPr>
                <w:rFonts w:ascii="宋体" w:hAnsi="宋体" w:cs="宋体"/>
                <w:color w:val="auto"/>
                <w:sz w:val="24"/>
                <w:highlight w:val="none"/>
              </w:rPr>
            </w:pPr>
          </w:p>
        </w:tc>
        <w:tc>
          <w:tcPr>
            <w:tcW w:w="1937" w:type="dxa"/>
            <w:gridSpan w:val="2"/>
            <w:shd w:val="clear" w:color="auto" w:fill="auto"/>
          </w:tcPr>
          <w:p w14:paraId="57510384">
            <w:pPr>
              <w:spacing w:line="360" w:lineRule="auto"/>
              <w:rPr>
                <w:rFonts w:ascii="宋体" w:hAnsi="宋体" w:cs="宋体"/>
                <w:color w:val="auto"/>
                <w:sz w:val="24"/>
                <w:highlight w:val="none"/>
              </w:rPr>
            </w:pPr>
          </w:p>
        </w:tc>
        <w:tc>
          <w:tcPr>
            <w:tcW w:w="1370" w:type="dxa"/>
            <w:shd w:val="clear" w:color="auto" w:fill="auto"/>
          </w:tcPr>
          <w:p w14:paraId="03D9EA99">
            <w:pPr>
              <w:spacing w:line="360" w:lineRule="auto"/>
              <w:rPr>
                <w:rFonts w:ascii="宋体" w:hAnsi="宋体" w:cs="宋体"/>
                <w:color w:val="auto"/>
                <w:sz w:val="24"/>
                <w:highlight w:val="none"/>
              </w:rPr>
            </w:pPr>
          </w:p>
        </w:tc>
        <w:tc>
          <w:tcPr>
            <w:tcW w:w="1636" w:type="dxa"/>
            <w:gridSpan w:val="3"/>
            <w:shd w:val="clear" w:color="auto" w:fill="auto"/>
          </w:tcPr>
          <w:p w14:paraId="55516336">
            <w:pPr>
              <w:spacing w:line="360" w:lineRule="auto"/>
              <w:rPr>
                <w:rFonts w:ascii="宋体" w:hAnsi="宋体" w:cs="宋体"/>
                <w:color w:val="auto"/>
                <w:sz w:val="24"/>
                <w:highlight w:val="none"/>
              </w:rPr>
            </w:pPr>
          </w:p>
        </w:tc>
        <w:tc>
          <w:tcPr>
            <w:tcW w:w="1482" w:type="dxa"/>
            <w:gridSpan w:val="2"/>
            <w:shd w:val="clear" w:color="auto" w:fill="auto"/>
          </w:tcPr>
          <w:p w14:paraId="33C53F4C">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719C9ED3">
            <w:pPr>
              <w:spacing w:line="360" w:lineRule="auto"/>
              <w:rPr>
                <w:rFonts w:ascii="宋体" w:hAnsi="宋体" w:cs="宋体"/>
                <w:color w:val="auto"/>
                <w:sz w:val="24"/>
                <w:highlight w:val="none"/>
              </w:rPr>
            </w:pPr>
          </w:p>
        </w:tc>
      </w:tr>
      <w:tr w14:paraId="35C10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7D27CFCB">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0B25948">
            <w:pPr>
              <w:spacing w:line="360" w:lineRule="auto"/>
              <w:rPr>
                <w:rFonts w:ascii="宋体" w:hAnsi="宋体" w:cs="宋体"/>
                <w:color w:val="auto"/>
                <w:sz w:val="24"/>
                <w:highlight w:val="none"/>
              </w:rPr>
            </w:pPr>
          </w:p>
        </w:tc>
        <w:tc>
          <w:tcPr>
            <w:tcW w:w="1937" w:type="dxa"/>
            <w:gridSpan w:val="2"/>
            <w:shd w:val="clear" w:color="auto" w:fill="auto"/>
          </w:tcPr>
          <w:p w14:paraId="09E34AFA">
            <w:pPr>
              <w:spacing w:line="360" w:lineRule="auto"/>
              <w:rPr>
                <w:rFonts w:ascii="宋体" w:hAnsi="宋体" w:cs="宋体"/>
                <w:color w:val="auto"/>
                <w:sz w:val="24"/>
                <w:highlight w:val="none"/>
              </w:rPr>
            </w:pPr>
          </w:p>
        </w:tc>
        <w:tc>
          <w:tcPr>
            <w:tcW w:w="1370" w:type="dxa"/>
            <w:shd w:val="clear" w:color="auto" w:fill="auto"/>
          </w:tcPr>
          <w:p w14:paraId="0A3ECA6E">
            <w:pPr>
              <w:spacing w:line="360" w:lineRule="auto"/>
              <w:rPr>
                <w:rFonts w:ascii="宋体" w:hAnsi="宋体" w:cs="宋体"/>
                <w:color w:val="auto"/>
                <w:sz w:val="24"/>
                <w:highlight w:val="none"/>
              </w:rPr>
            </w:pPr>
          </w:p>
        </w:tc>
        <w:tc>
          <w:tcPr>
            <w:tcW w:w="1636" w:type="dxa"/>
            <w:gridSpan w:val="3"/>
            <w:shd w:val="clear" w:color="auto" w:fill="auto"/>
          </w:tcPr>
          <w:p w14:paraId="44B3488A">
            <w:pPr>
              <w:spacing w:line="360" w:lineRule="auto"/>
              <w:rPr>
                <w:rFonts w:ascii="宋体" w:hAnsi="宋体" w:cs="宋体"/>
                <w:color w:val="auto"/>
                <w:sz w:val="24"/>
                <w:highlight w:val="none"/>
              </w:rPr>
            </w:pPr>
          </w:p>
        </w:tc>
        <w:tc>
          <w:tcPr>
            <w:tcW w:w="1482" w:type="dxa"/>
            <w:gridSpan w:val="2"/>
            <w:shd w:val="clear" w:color="auto" w:fill="auto"/>
          </w:tcPr>
          <w:p w14:paraId="19FDE118">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35CDD555">
            <w:pPr>
              <w:spacing w:line="360" w:lineRule="auto"/>
              <w:rPr>
                <w:rFonts w:ascii="宋体" w:hAnsi="宋体" w:cs="宋体"/>
                <w:color w:val="auto"/>
                <w:sz w:val="24"/>
                <w:highlight w:val="none"/>
              </w:rPr>
            </w:pPr>
          </w:p>
        </w:tc>
      </w:tr>
      <w:tr w14:paraId="27386F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2D1C7A4F">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57A11697">
            <w:pPr>
              <w:spacing w:line="360" w:lineRule="auto"/>
              <w:rPr>
                <w:rFonts w:ascii="宋体" w:hAnsi="宋体" w:cs="宋体"/>
                <w:color w:val="auto"/>
                <w:sz w:val="24"/>
                <w:highlight w:val="none"/>
              </w:rPr>
            </w:pPr>
          </w:p>
        </w:tc>
        <w:tc>
          <w:tcPr>
            <w:tcW w:w="1937" w:type="dxa"/>
            <w:gridSpan w:val="2"/>
            <w:shd w:val="clear" w:color="auto" w:fill="auto"/>
          </w:tcPr>
          <w:p w14:paraId="05229FC0">
            <w:pPr>
              <w:spacing w:line="360" w:lineRule="auto"/>
              <w:rPr>
                <w:rFonts w:ascii="宋体" w:hAnsi="宋体" w:cs="宋体"/>
                <w:color w:val="auto"/>
                <w:sz w:val="24"/>
                <w:highlight w:val="none"/>
              </w:rPr>
            </w:pPr>
          </w:p>
        </w:tc>
        <w:tc>
          <w:tcPr>
            <w:tcW w:w="1370" w:type="dxa"/>
            <w:shd w:val="clear" w:color="auto" w:fill="auto"/>
          </w:tcPr>
          <w:p w14:paraId="2498C4FC">
            <w:pPr>
              <w:spacing w:line="360" w:lineRule="auto"/>
              <w:rPr>
                <w:rFonts w:ascii="宋体" w:hAnsi="宋体" w:cs="宋体"/>
                <w:color w:val="auto"/>
                <w:sz w:val="24"/>
                <w:highlight w:val="none"/>
              </w:rPr>
            </w:pPr>
          </w:p>
        </w:tc>
        <w:tc>
          <w:tcPr>
            <w:tcW w:w="1636" w:type="dxa"/>
            <w:gridSpan w:val="3"/>
            <w:shd w:val="clear" w:color="auto" w:fill="auto"/>
          </w:tcPr>
          <w:p w14:paraId="70A61C51">
            <w:pPr>
              <w:spacing w:line="360" w:lineRule="auto"/>
              <w:rPr>
                <w:rFonts w:ascii="宋体" w:hAnsi="宋体" w:cs="宋体"/>
                <w:color w:val="auto"/>
                <w:sz w:val="24"/>
                <w:highlight w:val="none"/>
              </w:rPr>
            </w:pPr>
          </w:p>
        </w:tc>
        <w:tc>
          <w:tcPr>
            <w:tcW w:w="1482" w:type="dxa"/>
            <w:gridSpan w:val="2"/>
            <w:shd w:val="clear" w:color="auto" w:fill="auto"/>
          </w:tcPr>
          <w:p w14:paraId="5791AE46">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29EB78F6">
            <w:pPr>
              <w:spacing w:line="360" w:lineRule="auto"/>
              <w:rPr>
                <w:rFonts w:ascii="宋体" w:hAnsi="宋体" w:cs="宋体"/>
                <w:color w:val="auto"/>
                <w:sz w:val="24"/>
                <w:highlight w:val="none"/>
              </w:rPr>
            </w:pPr>
          </w:p>
        </w:tc>
      </w:tr>
      <w:tr w14:paraId="5DA8CD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46715819">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451FAEEB">
            <w:pPr>
              <w:spacing w:line="360" w:lineRule="auto"/>
              <w:rPr>
                <w:rFonts w:ascii="宋体" w:hAnsi="宋体" w:cs="宋体"/>
                <w:color w:val="auto"/>
                <w:sz w:val="24"/>
                <w:highlight w:val="none"/>
              </w:rPr>
            </w:pPr>
          </w:p>
        </w:tc>
        <w:tc>
          <w:tcPr>
            <w:tcW w:w="1937" w:type="dxa"/>
            <w:gridSpan w:val="2"/>
            <w:shd w:val="clear" w:color="auto" w:fill="auto"/>
          </w:tcPr>
          <w:p w14:paraId="74BB25BF">
            <w:pPr>
              <w:spacing w:line="360" w:lineRule="auto"/>
              <w:rPr>
                <w:rFonts w:ascii="宋体" w:hAnsi="宋体" w:cs="宋体"/>
                <w:color w:val="auto"/>
                <w:sz w:val="24"/>
                <w:highlight w:val="none"/>
              </w:rPr>
            </w:pPr>
          </w:p>
        </w:tc>
        <w:tc>
          <w:tcPr>
            <w:tcW w:w="1370" w:type="dxa"/>
            <w:shd w:val="clear" w:color="auto" w:fill="auto"/>
          </w:tcPr>
          <w:p w14:paraId="014D052E">
            <w:pPr>
              <w:spacing w:line="360" w:lineRule="auto"/>
              <w:rPr>
                <w:rFonts w:ascii="宋体" w:hAnsi="宋体" w:cs="宋体"/>
                <w:color w:val="auto"/>
                <w:sz w:val="24"/>
                <w:highlight w:val="none"/>
              </w:rPr>
            </w:pPr>
          </w:p>
        </w:tc>
        <w:tc>
          <w:tcPr>
            <w:tcW w:w="1636" w:type="dxa"/>
            <w:gridSpan w:val="3"/>
            <w:shd w:val="clear" w:color="auto" w:fill="auto"/>
          </w:tcPr>
          <w:p w14:paraId="5808D0A9">
            <w:pPr>
              <w:spacing w:line="360" w:lineRule="auto"/>
              <w:rPr>
                <w:rFonts w:ascii="宋体" w:hAnsi="宋体" w:cs="宋体"/>
                <w:color w:val="auto"/>
                <w:sz w:val="24"/>
                <w:highlight w:val="none"/>
              </w:rPr>
            </w:pPr>
          </w:p>
        </w:tc>
        <w:tc>
          <w:tcPr>
            <w:tcW w:w="1482" w:type="dxa"/>
            <w:gridSpan w:val="2"/>
            <w:shd w:val="clear" w:color="auto" w:fill="auto"/>
          </w:tcPr>
          <w:p w14:paraId="723F5C88">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5ECE6513">
            <w:pPr>
              <w:spacing w:line="360" w:lineRule="auto"/>
              <w:rPr>
                <w:rFonts w:ascii="宋体" w:hAnsi="宋体" w:cs="宋体"/>
                <w:color w:val="auto"/>
                <w:sz w:val="24"/>
                <w:highlight w:val="none"/>
              </w:rPr>
            </w:pPr>
          </w:p>
        </w:tc>
      </w:tr>
      <w:tr w14:paraId="50310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E48B52A">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4EE908E5">
            <w:pPr>
              <w:spacing w:line="360" w:lineRule="auto"/>
              <w:rPr>
                <w:rFonts w:ascii="宋体" w:hAnsi="宋体" w:cs="宋体"/>
                <w:color w:val="auto"/>
                <w:sz w:val="24"/>
                <w:highlight w:val="none"/>
              </w:rPr>
            </w:pPr>
          </w:p>
        </w:tc>
        <w:tc>
          <w:tcPr>
            <w:tcW w:w="1937" w:type="dxa"/>
            <w:gridSpan w:val="2"/>
            <w:shd w:val="clear" w:color="auto" w:fill="auto"/>
          </w:tcPr>
          <w:p w14:paraId="536CE6E4">
            <w:pPr>
              <w:spacing w:line="360" w:lineRule="auto"/>
              <w:rPr>
                <w:rFonts w:ascii="宋体" w:hAnsi="宋体" w:cs="宋体"/>
                <w:color w:val="auto"/>
                <w:sz w:val="24"/>
                <w:highlight w:val="none"/>
              </w:rPr>
            </w:pPr>
          </w:p>
        </w:tc>
        <w:tc>
          <w:tcPr>
            <w:tcW w:w="1370" w:type="dxa"/>
            <w:shd w:val="clear" w:color="auto" w:fill="auto"/>
          </w:tcPr>
          <w:p w14:paraId="58B527FB">
            <w:pPr>
              <w:spacing w:line="360" w:lineRule="auto"/>
              <w:rPr>
                <w:rFonts w:ascii="宋体" w:hAnsi="宋体" w:cs="宋体"/>
                <w:color w:val="auto"/>
                <w:sz w:val="24"/>
                <w:highlight w:val="none"/>
              </w:rPr>
            </w:pPr>
          </w:p>
        </w:tc>
        <w:tc>
          <w:tcPr>
            <w:tcW w:w="1636" w:type="dxa"/>
            <w:gridSpan w:val="3"/>
            <w:shd w:val="clear" w:color="auto" w:fill="auto"/>
          </w:tcPr>
          <w:p w14:paraId="4B3D1082">
            <w:pPr>
              <w:spacing w:line="360" w:lineRule="auto"/>
              <w:rPr>
                <w:rFonts w:ascii="宋体" w:hAnsi="宋体" w:cs="宋体"/>
                <w:color w:val="auto"/>
                <w:sz w:val="24"/>
                <w:highlight w:val="none"/>
              </w:rPr>
            </w:pPr>
          </w:p>
        </w:tc>
        <w:tc>
          <w:tcPr>
            <w:tcW w:w="1482" w:type="dxa"/>
            <w:gridSpan w:val="2"/>
            <w:shd w:val="clear" w:color="auto" w:fill="auto"/>
          </w:tcPr>
          <w:p w14:paraId="4AEE4B82">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4B76605">
            <w:pPr>
              <w:spacing w:line="360" w:lineRule="auto"/>
              <w:rPr>
                <w:rFonts w:ascii="宋体" w:hAnsi="宋体" w:cs="宋体"/>
                <w:color w:val="auto"/>
                <w:sz w:val="24"/>
                <w:highlight w:val="none"/>
              </w:rPr>
            </w:pPr>
          </w:p>
        </w:tc>
      </w:tr>
      <w:tr w14:paraId="52EA9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7824139">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104875E4">
            <w:pPr>
              <w:spacing w:line="360" w:lineRule="auto"/>
              <w:rPr>
                <w:rFonts w:ascii="宋体" w:hAnsi="宋体" w:cs="宋体"/>
                <w:color w:val="auto"/>
                <w:sz w:val="24"/>
                <w:highlight w:val="none"/>
              </w:rPr>
            </w:pPr>
          </w:p>
        </w:tc>
        <w:tc>
          <w:tcPr>
            <w:tcW w:w="1937" w:type="dxa"/>
            <w:gridSpan w:val="2"/>
            <w:shd w:val="clear" w:color="auto" w:fill="auto"/>
          </w:tcPr>
          <w:p w14:paraId="1E74ABC8">
            <w:pPr>
              <w:spacing w:line="360" w:lineRule="auto"/>
              <w:rPr>
                <w:rFonts w:ascii="宋体" w:hAnsi="宋体" w:cs="宋体"/>
                <w:color w:val="auto"/>
                <w:sz w:val="24"/>
                <w:highlight w:val="none"/>
              </w:rPr>
            </w:pPr>
          </w:p>
        </w:tc>
        <w:tc>
          <w:tcPr>
            <w:tcW w:w="1370" w:type="dxa"/>
            <w:shd w:val="clear" w:color="auto" w:fill="auto"/>
          </w:tcPr>
          <w:p w14:paraId="024E08D2">
            <w:pPr>
              <w:spacing w:line="360" w:lineRule="auto"/>
              <w:rPr>
                <w:rFonts w:ascii="宋体" w:hAnsi="宋体" w:cs="宋体"/>
                <w:color w:val="auto"/>
                <w:sz w:val="24"/>
                <w:highlight w:val="none"/>
              </w:rPr>
            </w:pPr>
          </w:p>
        </w:tc>
        <w:tc>
          <w:tcPr>
            <w:tcW w:w="1636" w:type="dxa"/>
            <w:gridSpan w:val="3"/>
            <w:shd w:val="clear" w:color="auto" w:fill="auto"/>
          </w:tcPr>
          <w:p w14:paraId="1430E552">
            <w:pPr>
              <w:spacing w:line="360" w:lineRule="auto"/>
              <w:rPr>
                <w:rFonts w:ascii="宋体" w:hAnsi="宋体" w:cs="宋体"/>
                <w:color w:val="auto"/>
                <w:sz w:val="24"/>
                <w:highlight w:val="none"/>
              </w:rPr>
            </w:pPr>
          </w:p>
        </w:tc>
        <w:tc>
          <w:tcPr>
            <w:tcW w:w="1482" w:type="dxa"/>
            <w:gridSpan w:val="2"/>
            <w:shd w:val="clear" w:color="auto" w:fill="auto"/>
          </w:tcPr>
          <w:p w14:paraId="228F3EDE">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7CD9406">
            <w:pPr>
              <w:spacing w:line="360" w:lineRule="auto"/>
              <w:rPr>
                <w:rFonts w:ascii="宋体" w:hAnsi="宋体" w:cs="宋体"/>
                <w:color w:val="auto"/>
                <w:sz w:val="24"/>
                <w:highlight w:val="none"/>
              </w:rPr>
            </w:pPr>
          </w:p>
        </w:tc>
      </w:tr>
      <w:tr w14:paraId="79C836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1E1F059">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6AC70F65">
            <w:pPr>
              <w:spacing w:line="360" w:lineRule="auto"/>
              <w:rPr>
                <w:rFonts w:ascii="宋体" w:hAnsi="宋体" w:cs="宋体"/>
                <w:color w:val="auto"/>
                <w:sz w:val="24"/>
                <w:highlight w:val="none"/>
              </w:rPr>
            </w:pPr>
          </w:p>
        </w:tc>
        <w:tc>
          <w:tcPr>
            <w:tcW w:w="1937" w:type="dxa"/>
            <w:gridSpan w:val="2"/>
            <w:shd w:val="clear" w:color="auto" w:fill="auto"/>
          </w:tcPr>
          <w:p w14:paraId="58AACC85">
            <w:pPr>
              <w:spacing w:line="360" w:lineRule="auto"/>
              <w:rPr>
                <w:rFonts w:ascii="宋体" w:hAnsi="宋体" w:cs="宋体"/>
                <w:color w:val="auto"/>
                <w:sz w:val="24"/>
                <w:highlight w:val="none"/>
              </w:rPr>
            </w:pPr>
          </w:p>
        </w:tc>
        <w:tc>
          <w:tcPr>
            <w:tcW w:w="1370" w:type="dxa"/>
            <w:shd w:val="clear" w:color="auto" w:fill="auto"/>
          </w:tcPr>
          <w:p w14:paraId="69E95017">
            <w:pPr>
              <w:spacing w:line="360" w:lineRule="auto"/>
              <w:rPr>
                <w:rFonts w:ascii="宋体" w:hAnsi="宋体" w:cs="宋体"/>
                <w:color w:val="auto"/>
                <w:sz w:val="24"/>
                <w:highlight w:val="none"/>
              </w:rPr>
            </w:pPr>
          </w:p>
        </w:tc>
        <w:tc>
          <w:tcPr>
            <w:tcW w:w="1636" w:type="dxa"/>
            <w:gridSpan w:val="3"/>
            <w:shd w:val="clear" w:color="auto" w:fill="auto"/>
          </w:tcPr>
          <w:p w14:paraId="0E95D2EA">
            <w:pPr>
              <w:spacing w:line="360" w:lineRule="auto"/>
              <w:rPr>
                <w:rFonts w:ascii="宋体" w:hAnsi="宋体" w:cs="宋体"/>
                <w:color w:val="auto"/>
                <w:sz w:val="24"/>
                <w:highlight w:val="none"/>
              </w:rPr>
            </w:pPr>
          </w:p>
        </w:tc>
        <w:tc>
          <w:tcPr>
            <w:tcW w:w="1482" w:type="dxa"/>
            <w:gridSpan w:val="2"/>
            <w:shd w:val="clear" w:color="auto" w:fill="auto"/>
          </w:tcPr>
          <w:p w14:paraId="46CE6B61">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3A82D3C0">
            <w:pPr>
              <w:spacing w:line="360" w:lineRule="auto"/>
              <w:rPr>
                <w:rFonts w:ascii="宋体" w:hAnsi="宋体" w:cs="宋体"/>
                <w:color w:val="auto"/>
                <w:sz w:val="24"/>
                <w:highlight w:val="none"/>
              </w:rPr>
            </w:pPr>
          </w:p>
        </w:tc>
      </w:tr>
      <w:tr w14:paraId="35DF00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2DDAB82D">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18F689D5">
            <w:pPr>
              <w:spacing w:line="360" w:lineRule="auto"/>
              <w:rPr>
                <w:rFonts w:ascii="宋体" w:hAnsi="宋体" w:cs="宋体"/>
                <w:color w:val="auto"/>
                <w:sz w:val="24"/>
                <w:highlight w:val="none"/>
              </w:rPr>
            </w:pPr>
          </w:p>
        </w:tc>
        <w:tc>
          <w:tcPr>
            <w:tcW w:w="1937" w:type="dxa"/>
            <w:gridSpan w:val="2"/>
            <w:shd w:val="clear" w:color="auto" w:fill="auto"/>
          </w:tcPr>
          <w:p w14:paraId="6ABB3924">
            <w:pPr>
              <w:spacing w:line="360" w:lineRule="auto"/>
              <w:rPr>
                <w:rFonts w:ascii="宋体" w:hAnsi="宋体" w:cs="宋体"/>
                <w:color w:val="auto"/>
                <w:sz w:val="24"/>
                <w:highlight w:val="none"/>
              </w:rPr>
            </w:pPr>
          </w:p>
        </w:tc>
        <w:tc>
          <w:tcPr>
            <w:tcW w:w="1370" w:type="dxa"/>
            <w:shd w:val="clear" w:color="auto" w:fill="auto"/>
          </w:tcPr>
          <w:p w14:paraId="7EC402F7">
            <w:pPr>
              <w:spacing w:line="360" w:lineRule="auto"/>
              <w:rPr>
                <w:rFonts w:ascii="宋体" w:hAnsi="宋体" w:cs="宋体"/>
                <w:color w:val="auto"/>
                <w:sz w:val="24"/>
                <w:highlight w:val="none"/>
              </w:rPr>
            </w:pPr>
          </w:p>
        </w:tc>
        <w:tc>
          <w:tcPr>
            <w:tcW w:w="1636" w:type="dxa"/>
            <w:gridSpan w:val="3"/>
            <w:shd w:val="clear" w:color="auto" w:fill="auto"/>
          </w:tcPr>
          <w:p w14:paraId="037CDB97">
            <w:pPr>
              <w:spacing w:line="360" w:lineRule="auto"/>
              <w:rPr>
                <w:rFonts w:ascii="宋体" w:hAnsi="宋体" w:cs="宋体"/>
                <w:color w:val="auto"/>
                <w:sz w:val="24"/>
                <w:highlight w:val="none"/>
              </w:rPr>
            </w:pPr>
          </w:p>
        </w:tc>
        <w:tc>
          <w:tcPr>
            <w:tcW w:w="1482" w:type="dxa"/>
            <w:gridSpan w:val="2"/>
            <w:shd w:val="clear" w:color="auto" w:fill="auto"/>
          </w:tcPr>
          <w:p w14:paraId="6AF0D8E6">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12715A2">
            <w:pPr>
              <w:spacing w:line="360" w:lineRule="auto"/>
              <w:rPr>
                <w:rFonts w:ascii="宋体" w:hAnsi="宋体" w:cs="宋体"/>
                <w:color w:val="auto"/>
                <w:sz w:val="24"/>
                <w:highlight w:val="none"/>
              </w:rPr>
            </w:pPr>
          </w:p>
        </w:tc>
      </w:tr>
      <w:tr w14:paraId="25D193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47BC0AE0">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5BB8F099">
            <w:pPr>
              <w:spacing w:line="360" w:lineRule="auto"/>
              <w:rPr>
                <w:rFonts w:ascii="宋体" w:hAnsi="宋体" w:cs="宋体"/>
                <w:color w:val="auto"/>
                <w:sz w:val="24"/>
                <w:highlight w:val="none"/>
              </w:rPr>
            </w:pPr>
          </w:p>
        </w:tc>
        <w:tc>
          <w:tcPr>
            <w:tcW w:w="1937" w:type="dxa"/>
            <w:gridSpan w:val="2"/>
            <w:shd w:val="clear" w:color="auto" w:fill="auto"/>
          </w:tcPr>
          <w:p w14:paraId="48B64310">
            <w:pPr>
              <w:spacing w:line="360" w:lineRule="auto"/>
              <w:rPr>
                <w:rFonts w:ascii="宋体" w:hAnsi="宋体" w:cs="宋体"/>
                <w:color w:val="auto"/>
                <w:sz w:val="24"/>
                <w:highlight w:val="none"/>
              </w:rPr>
            </w:pPr>
          </w:p>
        </w:tc>
        <w:tc>
          <w:tcPr>
            <w:tcW w:w="1370" w:type="dxa"/>
            <w:shd w:val="clear" w:color="auto" w:fill="auto"/>
          </w:tcPr>
          <w:p w14:paraId="2BC3FA49">
            <w:pPr>
              <w:spacing w:line="360" w:lineRule="auto"/>
              <w:rPr>
                <w:rFonts w:ascii="宋体" w:hAnsi="宋体" w:cs="宋体"/>
                <w:color w:val="auto"/>
                <w:sz w:val="24"/>
                <w:highlight w:val="none"/>
              </w:rPr>
            </w:pPr>
          </w:p>
        </w:tc>
        <w:tc>
          <w:tcPr>
            <w:tcW w:w="1636" w:type="dxa"/>
            <w:gridSpan w:val="3"/>
            <w:shd w:val="clear" w:color="auto" w:fill="auto"/>
          </w:tcPr>
          <w:p w14:paraId="30F8C9F7">
            <w:pPr>
              <w:spacing w:line="360" w:lineRule="auto"/>
              <w:rPr>
                <w:rFonts w:ascii="宋体" w:hAnsi="宋体" w:cs="宋体"/>
                <w:color w:val="auto"/>
                <w:sz w:val="24"/>
                <w:highlight w:val="none"/>
              </w:rPr>
            </w:pPr>
          </w:p>
        </w:tc>
        <w:tc>
          <w:tcPr>
            <w:tcW w:w="1482" w:type="dxa"/>
            <w:gridSpan w:val="2"/>
            <w:shd w:val="clear" w:color="auto" w:fill="auto"/>
          </w:tcPr>
          <w:p w14:paraId="243777F3">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48F2B9C1">
            <w:pPr>
              <w:spacing w:line="360" w:lineRule="auto"/>
              <w:rPr>
                <w:rFonts w:ascii="宋体" w:hAnsi="宋体" w:cs="宋体"/>
                <w:color w:val="auto"/>
                <w:sz w:val="24"/>
                <w:highlight w:val="none"/>
              </w:rPr>
            </w:pPr>
          </w:p>
        </w:tc>
      </w:tr>
    </w:tbl>
    <w:p w14:paraId="73CEEA9B">
      <w:pPr>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6248EDDD">
      <w:pPr>
        <w:adjustRightInd w:val="0"/>
        <w:snapToGrid w:val="0"/>
        <w:spacing w:line="360" w:lineRule="auto"/>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0810B9D6">
      <w:pPr>
        <w:adjustRightInd w:val="0"/>
        <w:snapToGrid w:val="0"/>
        <w:spacing w:line="360" w:lineRule="auto"/>
        <w:rPr>
          <w:rFonts w:ascii="宋体" w:hAnsi="宋体" w:cs="宋体"/>
          <w:color w:val="auto"/>
          <w:spacing w:val="-4"/>
          <w:sz w:val="24"/>
          <w:highlight w:val="none"/>
        </w:rPr>
      </w:pPr>
      <w:r>
        <w:rPr>
          <w:rFonts w:hint="eastAsia" w:ascii="宋体" w:hAnsi="宋体" w:cs="宋体"/>
          <w:color w:val="auto"/>
          <w:spacing w:val="-3"/>
          <w:position w:val="19"/>
          <w:sz w:val="24"/>
          <w:highlight w:val="none"/>
        </w:rPr>
        <w:t>2.本表后附专职安全生产管理人员的学历证、安全生产考核合格证（C</w:t>
      </w:r>
      <w:r>
        <w:rPr>
          <w:rFonts w:hint="eastAsia" w:ascii="宋体" w:hAnsi="宋体" w:cs="宋体"/>
          <w:color w:val="auto"/>
          <w:spacing w:val="-34"/>
          <w:position w:val="19"/>
          <w:sz w:val="24"/>
          <w:highlight w:val="none"/>
        </w:rPr>
        <w:t xml:space="preserve"> </w:t>
      </w:r>
      <w:r>
        <w:rPr>
          <w:rFonts w:hint="eastAsia" w:ascii="宋体" w:hAnsi="宋体" w:cs="宋体"/>
          <w:color w:val="auto"/>
          <w:spacing w:val="-3"/>
          <w:position w:val="19"/>
          <w:sz w:val="24"/>
          <w:highlight w:val="none"/>
        </w:rPr>
        <w:t>类）、本表所列证书复印件</w:t>
      </w:r>
    </w:p>
    <w:p w14:paraId="2A28D714">
      <w:pPr>
        <w:spacing w:line="360" w:lineRule="auto"/>
        <w:rPr>
          <w:rFonts w:ascii="宋体" w:hAnsi="宋体"/>
          <w:color w:val="auto"/>
          <w:sz w:val="24"/>
          <w:highlight w:val="none"/>
        </w:rPr>
      </w:pPr>
    </w:p>
    <w:p w14:paraId="76137551">
      <w:pPr>
        <w:pStyle w:val="26"/>
        <w:spacing w:line="360" w:lineRule="auto"/>
        <w:rPr>
          <w:rFonts w:hAnsi="宋体"/>
          <w:color w:val="auto"/>
          <w:sz w:val="24"/>
          <w:szCs w:val="24"/>
          <w:highlight w:val="none"/>
        </w:rPr>
      </w:pPr>
    </w:p>
    <w:p w14:paraId="638C5052">
      <w:pPr>
        <w:pStyle w:val="26"/>
        <w:spacing w:line="360" w:lineRule="auto"/>
        <w:rPr>
          <w:rFonts w:hAnsi="宋体"/>
          <w:color w:val="auto"/>
          <w:sz w:val="24"/>
          <w:szCs w:val="24"/>
          <w:highlight w:val="none"/>
        </w:rPr>
      </w:pPr>
    </w:p>
    <w:p w14:paraId="166CCCD1">
      <w:pPr>
        <w:pStyle w:val="26"/>
        <w:spacing w:line="360" w:lineRule="auto"/>
        <w:rPr>
          <w:rFonts w:hAnsi="宋体"/>
          <w:color w:val="auto"/>
          <w:sz w:val="24"/>
          <w:szCs w:val="24"/>
          <w:highlight w:val="none"/>
        </w:rPr>
      </w:pPr>
      <w:r>
        <w:rPr>
          <w:rFonts w:hint="eastAsia" w:hAnsi="宋体"/>
          <w:color w:val="auto"/>
          <w:sz w:val="24"/>
          <w:szCs w:val="24"/>
          <w:highlight w:val="none"/>
        </w:rPr>
        <w:t xml:space="preserve">                        </w:t>
      </w:r>
    </w:p>
    <w:p w14:paraId="01818A2A">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4D89C67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68C30BF1">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27C1707">
      <w:pPr>
        <w:pStyle w:val="26"/>
        <w:spacing w:line="360" w:lineRule="auto"/>
        <w:rPr>
          <w:rFonts w:hAnsi="宋体"/>
          <w:color w:val="auto"/>
          <w:sz w:val="24"/>
          <w:szCs w:val="24"/>
          <w:highlight w:val="none"/>
        </w:rPr>
      </w:pP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5CFE8E5A">
      <w:pPr>
        <w:adjustRightInd w:val="0"/>
        <w:snapToGrid w:val="0"/>
        <w:spacing w:line="360" w:lineRule="auto"/>
        <w:ind w:right="1470" w:rightChars="700"/>
        <w:rPr>
          <w:rFonts w:ascii="宋体" w:hAnsi="宋体" w:cs="宋体"/>
          <w:b/>
          <w:bCs/>
          <w:color w:val="auto"/>
          <w:spacing w:val="9"/>
          <w:sz w:val="24"/>
          <w:highlight w:val="none"/>
        </w:rPr>
      </w:pPr>
      <w:r>
        <w:rPr>
          <w:rFonts w:ascii="宋体" w:hAnsi="宋体"/>
          <w:color w:val="auto"/>
          <w:sz w:val="24"/>
          <w:highlight w:val="none"/>
        </w:rPr>
        <w:br w:type="page"/>
      </w:r>
      <w:r>
        <w:rPr>
          <w:rFonts w:hint="eastAsia" w:ascii="宋体" w:hAnsi="宋体" w:cs="宋体"/>
          <w:b/>
          <w:bCs/>
          <w:color w:val="auto"/>
          <w:spacing w:val="9"/>
          <w:sz w:val="24"/>
          <w:highlight w:val="none"/>
        </w:rPr>
        <w:t>附件11</w:t>
      </w:r>
    </w:p>
    <w:p w14:paraId="1A37EE61">
      <w:pPr>
        <w:spacing w:line="36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420F6229">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rPr>
      </w:pPr>
    </w:p>
    <w:p w14:paraId="7468A1C1">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2AA02A58">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17305ABC">
      <w:pPr>
        <w:spacing w:line="360" w:lineRule="auto"/>
        <w:ind w:left="233"/>
        <w:rPr>
          <w:rFonts w:ascii="宋体" w:hAnsi="宋体" w:cs="宋体"/>
          <w:color w:val="auto"/>
          <w:sz w:val="24"/>
          <w:highlight w:val="none"/>
        </w:rPr>
      </w:pPr>
      <w:r>
        <w:rPr>
          <w:rFonts w:hint="eastAsia" w:ascii="宋体" w:hAnsi="宋体" w:cs="宋体"/>
          <w:color w:val="auto"/>
          <w:spacing w:val="-27"/>
          <w:sz w:val="24"/>
          <w:highlight w:val="none"/>
        </w:rPr>
        <w:t>分标（如有）：</w:t>
      </w:r>
      <w:r>
        <w:rPr>
          <w:rFonts w:hint="eastAsia" w:ascii="宋体" w:hAnsi="宋体" w:cs="宋体"/>
          <w:color w:val="auto"/>
          <w:spacing w:val="55"/>
          <w:sz w:val="24"/>
          <w:highlight w:val="none"/>
        </w:rPr>
        <w:t xml:space="preserve"> </w:t>
      </w:r>
      <w:r>
        <w:rPr>
          <w:rFonts w:hint="eastAsia" w:ascii="宋体" w:hAnsi="宋体" w:cs="宋体"/>
          <w:color w:val="auto"/>
          <w:sz w:val="24"/>
          <w:highlight w:val="none"/>
          <w:u w:val="single"/>
        </w:rPr>
        <w:t xml:space="preserve">                 </w:t>
      </w:r>
    </w:p>
    <w:p w14:paraId="19609C25">
      <w:pPr>
        <w:spacing w:line="360" w:lineRule="auto"/>
        <w:rPr>
          <w:rFonts w:ascii="宋体" w:hAnsi="宋体" w:cs="宋体"/>
          <w:color w:val="auto"/>
          <w:sz w:val="24"/>
          <w:highlight w:val="none"/>
        </w:rPr>
      </w:pPr>
    </w:p>
    <w:tbl>
      <w:tblPr>
        <w:tblStyle w:val="40"/>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49439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vAlign w:val="center"/>
          </w:tcPr>
          <w:p w14:paraId="0AD46672">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序号</w:t>
            </w:r>
          </w:p>
        </w:tc>
        <w:tc>
          <w:tcPr>
            <w:tcW w:w="1693" w:type="dxa"/>
            <w:vMerge w:val="restart"/>
            <w:tcBorders>
              <w:bottom w:val="nil"/>
            </w:tcBorders>
            <w:shd w:val="clear" w:color="auto" w:fill="auto"/>
            <w:vAlign w:val="center"/>
          </w:tcPr>
          <w:p w14:paraId="5FAA17D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firstLine="0"/>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1"/>
                <w:kern w:val="0"/>
                <w:sz w:val="24"/>
                <w:highlight w:val="none"/>
              </w:rPr>
              <w:t>称、范围及理由</w:t>
            </w:r>
          </w:p>
        </w:tc>
        <w:tc>
          <w:tcPr>
            <w:tcW w:w="6376" w:type="dxa"/>
            <w:gridSpan w:val="6"/>
            <w:shd w:val="clear" w:color="auto" w:fill="auto"/>
          </w:tcPr>
          <w:p w14:paraId="3E8D19F3">
            <w:pPr>
              <w:kinsoku w:val="0"/>
              <w:autoSpaceDE w:val="0"/>
              <w:autoSpaceDN w:val="0"/>
              <w:adjustRightInd w:val="0"/>
              <w:snapToGrid w:val="0"/>
              <w:spacing w:line="360" w:lineRule="auto"/>
              <w:ind w:left="266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1A5C04C4">
            <w:pPr>
              <w:spacing w:line="360" w:lineRule="auto"/>
              <w:rPr>
                <w:rFonts w:ascii="宋体" w:hAnsi="宋体" w:cs="宋体"/>
                <w:color w:val="auto"/>
                <w:sz w:val="24"/>
                <w:highlight w:val="none"/>
              </w:rPr>
            </w:pPr>
          </w:p>
          <w:p w14:paraId="5D6440B5">
            <w:pPr>
              <w:kinsoku w:val="0"/>
              <w:autoSpaceDE w:val="0"/>
              <w:autoSpaceDN w:val="0"/>
              <w:adjustRightInd w:val="0"/>
              <w:snapToGrid w:val="0"/>
              <w:spacing w:line="360"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4628C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tcPr>
          <w:p w14:paraId="042C90D0">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61AC8095">
            <w:pPr>
              <w:spacing w:line="360" w:lineRule="auto"/>
              <w:rPr>
                <w:rFonts w:ascii="宋体" w:hAnsi="宋体" w:cs="宋体"/>
                <w:color w:val="auto"/>
                <w:sz w:val="24"/>
                <w:highlight w:val="none"/>
              </w:rPr>
            </w:pPr>
          </w:p>
        </w:tc>
        <w:tc>
          <w:tcPr>
            <w:tcW w:w="1698" w:type="dxa"/>
            <w:gridSpan w:val="2"/>
            <w:shd w:val="clear" w:color="auto" w:fill="auto"/>
          </w:tcPr>
          <w:p w14:paraId="50F0AEFF">
            <w:pPr>
              <w:kinsoku w:val="0"/>
              <w:autoSpaceDE w:val="0"/>
              <w:autoSpaceDN w:val="0"/>
              <w:adjustRightInd w:val="0"/>
              <w:snapToGrid w:val="0"/>
              <w:spacing w:line="360" w:lineRule="auto"/>
              <w:ind w:left="12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tcPr>
          <w:p w14:paraId="207E0A9A">
            <w:pPr>
              <w:kinsoku w:val="0"/>
              <w:autoSpaceDE w:val="0"/>
              <w:autoSpaceDN w:val="0"/>
              <w:adjustRightInd w:val="0"/>
              <w:snapToGrid w:val="0"/>
              <w:spacing w:line="360" w:lineRule="auto"/>
              <w:ind w:left="1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tcPr>
          <w:p w14:paraId="3C048095">
            <w:pPr>
              <w:kinsoku w:val="0"/>
              <w:autoSpaceDE w:val="0"/>
              <w:autoSpaceDN w:val="0"/>
              <w:adjustRightInd w:val="0"/>
              <w:snapToGrid w:val="0"/>
              <w:spacing w:line="360" w:lineRule="auto"/>
              <w:ind w:left="13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tcPr>
          <w:p w14:paraId="427F3886">
            <w:pPr>
              <w:kinsoku w:val="0"/>
              <w:autoSpaceDE w:val="0"/>
              <w:autoSpaceDN w:val="0"/>
              <w:adjustRightInd w:val="0"/>
              <w:snapToGrid w:val="0"/>
              <w:spacing w:line="360" w:lineRule="auto"/>
              <w:ind w:left="1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tcPr>
          <w:p w14:paraId="292CB2FF">
            <w:pPr>
              <w:kinsoku w:val="0"/>
              <w:autoSpaceDE w:val="0"/>
              <w:autoSpaceDN w:val="0"/>
              <w:adjustRightInd w:val="0"/>
              <w:snapToGrid w:val="0"/>
              <w:spacing w:line="360" w:lineRule="auto"/>
              <w:ind w:left="11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2D1FCCF5">
            <w:pPr>
              <w:spacing w:line="360" w:lineRule="auto"/>
              <w:rPr>
                <w:rFonts w:ascii="宋体" w:hAnsi="宋体" w:cs="宋体"/>
                <w:color w:val="auto"/>
                <w:sz w:val="24"/>
                <w:highlight w:val="none"/>
              </w:rPr>
            </w:pPr>
          </w:p>
        </w:tc>
      </w:tr>
      <w:tr w14:paraId="5B63EF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7B6AF87C">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2D86BB27">
            <w:pPr>
              <w:spacing w:line="360" w:lineRule="auto"/>
              <w:rPr>
                <w:rFonts w:ascii="宋体" w:hAnsi="宋体" w:cs="宋体"/>
                <w:color w:val="auto"/>
                <w:sz w:val="24"/>
                <w:highlight w:val="none"/>
              </w:rPr>
            </w:pPr>
          </w:p>
        </w:tc>
        <w:tc>
          <w:tcPr>
            <w:tcW w:w="751" w:type="dxa"/>
            <w:shd w:val="clear" w:color="auto" w:fill="auto"/>
          </w:tcPr>
          <w:p w14:paraId="59C8BAA2">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1CA3D91E">
            <w:pPr>
              <w:spacing w:line="360" w:lineRule="auto"/>
              <w:rPr>
                <w:rFonts w:ascii="宋体" w:hAnsi="宋体" w:cs="宋体"/>
                <w:color w:val="auto"/>
                <w:sz w:val="24"/>
                <w:highlight w:val="none"/>
              </w:rPr>
            </w:pPr>
          </w:p>
        </w:tc>
        <w:tc>
          <w:tcPr>
            <w:tcW w:w="1123" w:type="dxa"/>
            <w:shd w:val="clear" w:color="auto" w:fill="auto"/>
          </w:tcPr>
          <w:p w14:paraId="65DB5835">
            <w:pPr>
              <w:spacing w:line="360" w:lineRule="auto"/>
              <w:rPr>
                <w:rFonts w:ascii="宋体" w:hAnsi="宋体" w:cs="宋体"/>
                <w:color w:val="auto"/>
                <w:sz w:val="24"/>
                <w:highlight w:val="none"/>
              </w:rPr>
            </w:pPr>
          </w:p>
        </w:tc>
        <w:tc>
          <w:tcPr>
            <w:tcW w:w="1091" w:type="dxa"/>
            <w:shd w:val="clear" w:color="auto" w:fill="auto"/>
          </w:tcPr>
          <w:p w14:paraId="63FF2CB5">
            <w:pPr>
              <w:spacing w:line="360" w:lineRule="auto"/>
              <w:rPr>
                <w:rFonts w:ascii="宋体" w:hAnsi="宋体" w:cs="宋体"/>
                <w:color w:val="auto"/>
                <w:sz w:val="24"/>
                <w:highlight w:val="none"/>
              </w:rPr>
            </w:pPr>
          </w:p>
        </w:tc>
        <w:tc>
          <w:tcPr>
            <w:tcW w:w="1195" w:type="dxa"/>
            <w:shd w:val="clear" w:color="auto" w:fill="auto"/>
          </w:tcPr>
          <w:p w14:paraId="2F56226B">
            <w:pPr>
              <w:spacing w:line="360" w:lineRule="auto"/>
              <w:rPr>
                <w:rFonts w:ascii="宋体" w:hAnsi="宋体" w:cs="宋体"/>
                <w:color w:val="auto"/>
                <w:sz w:val="24"/>
                <w:highlight w:val="none"/>
              </w:rPr>
            </w:pPr>
          </w:p>
        </w:tc>
        <w:tc>
          <w:tcPr>
            <w:tcW w:w="1269" w:type="dxa"/>
            <w:shd w:val="clear" w:color="auto" w:fill="auto"/>
          </w:tcPr>
          <w:p w14:paraId="46867363">
            <w:pPr>
              <w:spacing w:line="360" w:lineRule="auto"/>
              <w:rPr>
                <w:rFonts w:ascii="宋体" w:hAnsi="宋体" w:cs="宋体"/>
                <w:color w:val="auto"/>
                <w:sz w:val="24"/>
                <w:highlight w:val="none"/>
              </w:rPr>
            </w:pPr>
          </w:p>
        </w:tc>
        <w:tc>
          <w:tcPr>
            <w:tcW w:w="676" w:type="dxa"/>
            <w:shd w:val="clear" w:color="auto" w:fill="auto"/>
          </w:tcPr>
          <w:p w14:paraId="56C4D78B">
            <w:pPr>
              <w:spacing w:line="360" w:lineRule="auto"/>
              <w:rPr>
                <w:rFonts w:ascii="宋体" w:hAnsi="宋体" w:cs="宋体"/>
                <w:color w:val="auto"/>
                <w:sz w:val="24"/>
                <w:highlight w:val="none"/>
              </w:rPr>
            </w:pPr>
          </w:p>
        </w:tc>
      </w:tr>
      <w:tr w14:paraId="0737FB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40A1E949">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30060B31">
            <w:pPr>
              <w:spacing w:line="360" w:lineRule="auto"/>
              <w:rPr>
                <w:rFonts w:ascii="宋体" w:hAnsi="宋体" w:cs="宋体"/>
                <w:color w:val="auto"/>
                <w:sz w:val="24"/>
                <w:highlight w:val="none"/>
              </w:rPr>
            </w:pPr>
          </w:p>
        </w:tc>
        <w:tc>
          <w:tcPr>
            <w:tcW w:w="751" w:type="dxa"/>
            <w:shd w:val="clear" w:color="auto" w:fill="auto"/>
          </w:tcPr>
          <w:p w14:paraId="47919D9B">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70D814A9">
            <w:pPr>
              <w:spacing w:line="360" w:lineRule="auto"/>
              <w:rPr>
                <w:rFonts w:ascii="宋体" w:hAnsi="宋体" w:cs="宋体"/>
                <w:color w:val="auto"/>
                <w:sz w:val="24"/>
                <w:highlight w:val="none"/>
              </w:rPr>
            </w:pPr>
          </w:p>
        </w:tc>
        <w:tc>
          <w:tcPr>
            <w:tcW w:w="1123" w:type="dxa"/>
            <w:shd w:val="clear" w:color="auto" w:fill="auto"/>
          </w:tcPr>
          <w:p w14:paraId="5617E5C4">
            <w:pPr>
              <w:spacing w:line="360" w:lineRule="auto"/>
              <w:rPr>
                <w:rFonts w:ascii="宋体" w:hAnsi="宋体" w:cs="宋体"/>
                <w:color w:val="auto"/>
                <w:sz w:val="24"/>
                <w:highlight w:val="none"/>
              </w:rPr>
            </w:pPr>
          </w:p>
        </w:tc>
        <w:tc>
          <w:tcPr>
            <w:tcW w:w="1091" w:type="dxa"/>
            <w:shd w:val="clear" w:color="auto" w:fill="auto"/>
          </w:tcPr>
          <w:p w14:paraId="270A0B79">
            <w:pPr>
              <w:spacing w:line="360" w:lineRule="auto"/>
              <w:rPr>
                <w:rFonts w:ascii="宋体" w:hAnsi="宋体" w:cs="宋体"/>
                <w:color w:val="auto"/>
                <w:sz w:val="24"/>
                <w:highlight w:val="none"/>
              </w:rPr>
            </w:pPr>
          </w:p>
        </w:tc>
        <w:tc>
          <w:tcPr>
            <w:tcW w:w="1195" w:type="dxa"/>
            <w:shd w:val="clear" w:color="auto" w:fill="auto"/>
          </w:tcPr>
          <w:p w14:paraId="4BB2D6E4">
            <w:pPr>
              <w:spacing w:line="360" w:lineRule="auto"/>
              <w:rPr>
                <w:rFonts w:ascii="宋体" w:hAnsi="宋体" w:cs="宋体"/>
                <w:color w:val="auto"/>
                <w:sz w:val="24"/>
                <w:highlight w:val="none"/>
              </w:rPr>
            </w:pPr>
          </w:p>
        </w:tc>
        <w:tc>
          <w:tcPr>
            <w:tcW w:w="1269" w:type="dxa"/>
            <w:shd w:val="clear" w:color="auto" w:fill="auto"/>
          </w:tcPr>
          <w:p w14:paraId="593CC384">
            <w:pPr>
              <w:spacing w:line="360" w:lineRule="auto"/>
              <w:rPr>
                <w:rFonts w:ascii="宋体" w:hAnsi="宋体" w:cs="宋体"/>
                <w:color w:val="auto"/>
                <w:sz w:val="24"/>
                <w:highlight w:val="none"/>
              </w:rPr>
            </w:pPr>
          </w:p>
        </w:tc>
        <w:tc>
          <w:tcPr>
            <w:tcW w:w="676" w:type="dxa"/>
            <w:shd w:val="clear" w:color="auto" w:fill="auto"/>
          </w:tcPr>
          <w:p w14:paraId="091DAAF0">
            <w:pPr>
              <w:spacing w:line="360" w:lineRule="auto"/>
              <w:rPr>
                <w:rFonts w:ascii="宋体" w:hAnsi="宋体" w:cs="宋体"/>
                <w:color w:val="auto"/>
                <w:sz w:val="24"/>
                <w:highlight w:val="none"/>
              </w:rPr>
            </w:pPr>
          </w:p>
        </w:tc>
      </w:tr>
      <w:tr w14:paraId="428AFD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1C94319F">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7E1428B4">
            <w:pPr>
              <w:spacing w:line="360" w:lineRule="auto"/>
              <w:rPr>
                <w:rFonts w:ascii="宋体" w:hAnsi="宋体" w:cs="宋体"/>
                <w:color w:val="auto"/>
                <w:sz w:val="24"/>
                <w:highlight w:val="none"/>
              </w:rPr>
            </w:pPr>
          </w:p>
        </w:tc>
        <w:tc>
          <w:tcPr>
            <w:tcW w:w="751" w:type="dxa"/>
            <w:shd w:val="clear" w:color="auto" w:fill="auto"/>
          </w:tcPr>
          <w:p w14:paraId="5983995F">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462E1346">
            <w:pPr>
              <w:spacing w:line="360" w:lineRule="auto"/>
              <w:rPr>
                <w:rFonts w:ascii="宋体" w:hAnsi="宋体" w:cs="宋体"/>
                <w:color w:val="auto"/>
                <w:sz w:val="24"/>
                <w:highlight w:val="none"/>
              </w:rPr>
            </w:pPr>
          </w:p>
        </w:tc>
        <w:tc>
          <w:tcPr>
            <w:tcW w:w="1123" w:type="dxa"/>
            <w:shd w:val="clear" w:color="auto" w:fill="auto"/>
          </w:tcPr>
          <w:p w14:paraId="06C9D197">
            <w:pPr>
              <w:spacing w:line="360" w:lineRule="auto"/>
              <w:rPr>
                <w:rFonts w:ascii="宋体" w:hAnsi="宋体" w:cs="宋体"/>
                <w:color w:val="auto"/>
                <w:sz w:val="24"/>
                <w:highlight w:val="none"/>
              </w:rPr>
            </w:pPr>
          </w:p>
        </w:tc>
        <w:tc>
          <w:tcPr>
            <w:tcW w:w="1091" w:type="dxa"/>
            <w:shd w:val="clear" w:color="auto" w:fill="auto"/>
          </w:tcPr>
          <w:p w14:paraId="76A7F60B">
            <w:pPr>
              <w:spacing w:line="360" w:lineRule="auto"/>
              <w:rPr>
                <w:rFonts w:ascii="宋体" w:hAnsi="宋体" w:cs="宋体"/>
                <w:color w:val="auto"/>
                <w:sz w:val="24"/>
                <w:highlight w:val="none"/>
              </w:rPr>
            </w:pPr>
          </w:p>
        </w:tc>
        <w:tc>
          <w:tcPr>
            <w:tcW w:w="1195" w:type="dxa"/>
            <w:shd w:val="clear" w:color="auto" w:fill="auto"/>
          </w:tcPr>
          <w:p w14:paraId="7BC40C44">
            <w:pPr>
              <w:spacing w:line="360" w:lineRule="auto"/>
              <w:rPr>
                <w:rFonts w:ascii="宋体" w:hAnsi="宋体" w:cs="宋体"/>
                <w:color w:val="auto"/>
                <w:sz w:val="24"/>
                <w:highlight w:val="none"/>
              </w:rPr>
            </w:pPr>
          </w:p>
        </w:tc>
        <w:tc>
          <w:tcPr>
            <w:tcW w:w="1269" w:type="dxa"/>
            <w:shd w:val="clear" w:color="auto" w:fill="auto"/>
          </w:tcPr>
          <w:p w14:paraId="70F5B6D2">
            <w:pPr>
              <w:spacing w:line="360" w:lineRule="auto"/>
              <w:rPr>
                <w:rFonts w:ascii="宋体" w:hAnsi="宋体" w:cs="宋体"/>
                <w:color w:val="auto"/>
                <w:sz w:val="24"/>
                <w:highlight w:val="none"/>
              </w:rPr>
            </w:pPr>
          </w:p>
        </w:tc>
        <w:tc>
          <w:tcPr>
            <w:tcW w:w="676" w:type="dxa"/>
            <w:shd w:val="clear" w:color="auto" w:fill="auto"/>
          </w:tcPr>
          <w:p w14:paraId="13FFF4FE">
            <w:pPr>
              <w:spacing w:line="360" w:lineRule="auto"/>
              <w:rPr>
                <w:rFonts w:ascii="宋体" w:hAnsi="宋体" w:cs="宋体"/>
                <w:color w:val="auto"/>
                <w:sz w:val="24"/>
                <w:highlight w:val="none"/>
              </w:rPr>
            </w:pPr>
          </w:p>
        </w:tc>
      </w:tr>
      <w:tr w14:paraId="3B264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27F7F274">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0A707F2A">
            <w:pPr>
              <w:spacing w:line="360" w:lineRule="auto"/>
              <w:rPr>
                <w:rFonts w:ascii="宋体" w:hAnsi="宋体" w:cs="宋体"/>
                <w:color w:val="auto"/>
                <w:sz w:val="24"/>
                <w:highlight w:val="none"/>
              </w:rPr>
            </w:pPr>
          </w:p>
        </w:tc>
        <w:tc>
          <w:tcPr>
            <w:tcW w:w="751" w:type="dxa"/>
            <w:shd w:val="clear" w:color="auto" w:fill="auto"/>
          </w:tcPr>
          <w:p w14:paraId="4C32D9AF">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72A25037">
            <w:pPr>
              <w:spacing w:line="360" w:lineRule="auto"/>
              <w:rPr>
                <w:rFonts w:ascii="宋体" w:hAnsi="宋体" w:cs="宋体"/>
                <w:color w:val="auto"/>
                <w:sz w:val="24"/>
                <w:highlight w:val="none"/>
              </w:rPr>
            </w:pPr>
          </w:p>
        </w:tc>
        <w:tc>
          <w:tcPr>
            <w:tcW w:w="1123" w:type="dxa"/>
            <w:shd w:val="clear" w:color="auto" w:fill="auto"/>
          </w:tcPr>
          <w:p w14:paraId="39DB65C2">
            <w:pPr>
              <w:spacing w:line="360" w:lineRule="auto"/>
              <w:rPr>
                <w:rFonts w:ascii="宋体" w:hAnsi="宋体" w:cs="宋体"/>
                <w:color w:val="auto"/>
                <w:sz w:val="24"/>
                <w:highlight w:val="none"/>
              </w:rPr>
            </w:pPr>
          </w:p>
        </w:tc>
        <w:tc>
          <w:tcPr>
            <w:tcW w:w="1091" w:type="dxa"/>
            <w:shd w:val="clear" w:color="auto" w:fill="auto"/>
          </w:tcPr>
          <w:p w14:paraId="5DBE4A41">
            <w:pPr>
              <w:spacing w:line="360" w:lineRule="auto"/>
              <w:rPr>
                <w:rFonts w:ascii="宋体" w:hAnsi="宋体" w:cs="宋体"/>
                <w:color w:val="auto"/>
                <w:sz w:val="24"/>
                <w:highlight w:val="none"/>
              </w:rPr>
            </w:pPr>
          </w:p>
        </w:tc>
        <w:tc>
          <w:tcPr>
            <w:tcW w:w="1195" w:type="dxa"/>
            <w:shd w:val="clear" w:color="auto" w:fill="auto"/>
          </w:tcPr>
          <w:p w14:paraId="3CAA823D">
            <w:pPr>
              <w:spacing w:line="360" w:lineRule="auto"/>
              <w:rPr>
                <w:rFonts w:ascii="宋体" w:hAnsi="宋体" w:cs="宋体"/>
                <w:color w:val="auto"/>
                <w:sz w:val="24"/>
                <w:highlight w:val="none"/>
              </w:rPr>
            </w:pPr>
          </w:p>
        </w:tc>
        <w:tc>
          <w:tcPr>
            <w:tcW w:w="1269" w:type="dxa"/>
            <w:shd w:val="clear" w:color="auto" w:fill="auto"/>
          </w:tcPr>
          <w:p w14:paraId="39ECC5E1">
            <w:pPr>
              <w:spacing w:line="360" w:lineRule="auto"/>
              <w:rPr>
                <w:rFonts w:ascii="宋体" w:hAnsi="宋体" w:cs="宋体"/>
                <w:color w:val="auto"/>
                <w:sz w:val="24"/>
                <w:highlight w:val="none"/>
              </w:rPr>
            </w:pPr>
          </w:p>
        </w:tc>
        <w:tc>
          <w:tcPr>
            <w:tcW w:w="676" w:type="dxa"/>
            <w:shd w:val="clear" w:color="auto" w:fill="auto"/>
          </w:tcPr>
          <w:p w14:paraId="3843D186">
            <w:pPr>
              <w:spacing w:line="360" w:lineRule="auto"/>
              <w:rPr>
                <w:rFonts w:ascii="宋体" w:hAnsi="宋体" w:cs="宋体"/>
                <w:color w:val="auto"/>
                <w:sz w:val="24"/>
                <w:highlight w:val="none"/>
              </w:rPr>
            </w:pPr>
          </w:p>
        </w:tc>
      </w:tr>
      <w:tr w14:paraId="2F706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46F64933">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2819D721">
            <w:pPr>
              <w:spacing w:line="360" w:lineRule="auto"/>
              <w:rPr>
                <w:rFonts w:ascii="宋体" w:hAnsi="宋体" w:cs="宋体"/>
                <w:color w:val="auto"/>
                <w:sz w:val="24"/>
                <w:highlight w:val="none"/>
              </w:rPr>
            </w:pPr>
          </w:p>
        </w:tc>
        <w:tc>
          <w:tcPr>
            <w:tcW w:w="751" w:type="dxa"/>
            <w:shd w:val="clear" w:color="auto" w:fill="auto"/>
          </w:tcPr>
          <w:p w14:paraId="1FEED145">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53757759">
            <w:pPr>
              <w:spacing w:line="360" w:lineRule="auto"/>
              <w:rPr>
                <w:rFonts w:ascii="宋体" w:hAnsi="宋体" w:cs="宋体"/>
                <w:color w:val="auto"/>
                <w:sz w:val="24"/>
                <w:highlight w:val="none"/>
              </w:rPr>
            </w:pPr>
          </w:p>
        </w:tc>
        <w:tc>
          <w:tcPr>
            <w:tcW w:w="1123" w:type="dxa"/>
            <w:shd w:val="clear" w:color="auto" w:fill="auto"/>
          </w:tcPr>
          <w:p w14:paraId="06CF5086">
            <w:pPr>
              <w:spacing w:line="360" w:lineRule="auto"/>
              <w:rPr>
                <w:rFonts w:ascii="宋体" w:hAnsi="宋体" w:cs="宋体"/>
                <w:color w:val="auto"/>
                <w:sz w:val="24"/>
                <w:highlight w:val="none"/>
              </w:rPr>
            </w:pPr>
          </w:p>
        </w:tc>
        <w:tc>
          <w:tcPr>
            <w:tcW w:w="1091" w:type="dxa"/>
            <w:shd w:val="clear" w:color="auto" w:fill="auto"/>
          </w:tcPr>
          <w:p w14:paraId="2FA211AC">
            <w:pPr>
              <w:spacing w:line="360" w:lineRule="auto"/>
              <w:rPr>
                <w:rFonts w:ascii="宋体" w:hAnsi="宋体" w:cs="宋体"/>
                <w:color w:val="auto"/>
                <w:sz w:val="24"/>
                <w:highlight w:val="none"/>
              </w:rPr>
            </w:pPr>
          </w:p>
        </w:tc>
        <w:tc>
          <w:tcPr>
            <w:tcW w:w="1195" w:type="dxa"/>
            <w:shd w:val="clear" w:color="auto" w:fill="auto"/>
          </w:tcPr>
          <w:p w14:paraId="29F06C77">
            <w:pPr>
              <w:spacing w:line="360" w:lineRule="auto"/>
              <w:rPr>
                <w:rFonts w:ascii="宋体" w:hAnsi="宋体" w:cs="宋体"/>
                <w:color w:val="auto"/>
                <w:sz w:val="24"/>
                <w:highlight w:val="none"/>
              </w:rPr>
            </w:pPr>
          </w:p>
        </w:tc>
        <w:tc>
          <w:tcPr>
            <w:tcW w:w="1269" w:type="dxa"/>
            <w:shd w:val="clear" w:color="auto" w:fill="auto"/>
          </w:tcPr>
          <w:p w14:paraId="63550CFD">
            <w:pPr>
              <w:spacing w:line="360" w:lineRule="auto"/>
              <w:rPr>
                <w:rFonts w:ascii="宋体" w:hAnsi="宋体" w:cs="宋体"/>
                <w:color w:val="auto"/>
                <w:sz w:val="24"/>
                <w:highlight w:val="none"/>
              </w:rPr>
            </w:pPr>
          </w:p>
        </w:tc>
        <w:tc>
          <w:tcPr>
            <w:tcW w:w="676" w:type="dxa"/>
            <w:shd w:val="clear" w:color="auto" w:fill="auto"/>
          </w:tcPr>
          <w:p w14:paraId="4409C52A">
            <w:pPr>
              <w:spacing w:line="360" w:lineRule="auto"/>
              <w:rPr>
                <w:rFonts w:ascii="宋体" w:hAnsi="宋体" w:cs="宋体"/>
                <w:color w:val="auto"/>
                <w:sz w:val="24"/>
                <w:highlight w:val="none"/>
              </w:rPr>
            </w:pPr>
          </w:p>
        </w:tc>
      </w:tr>
      <w:tr w14:paraId="10B8C7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64EB16A8">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5F475052">
            <w:pPr>
              <w:spacing w:line="360" w:lineRule="auto"/>
              <w:rPr>
                <w:rFonts w:ascii="宋体" w:hAnsi="宋体" w:cs="宋体"/>
                <w:color w:val="auto"/>
                <w:sz w:val="24"/>
                <w:highlight w:val="none"/>
              </w:rPr>
            </w:pPr>
          </w:p>
        </w:tc>
        <w:tc>
          <w:tcPr>
            <w:tcW w:w="751" w:type="dxa"/>
            <w:shd w:val="clear" w:color="auto" w:fill="auto"/>
          </w:tcPr>
          <w:p w14:paraId="2F7EEBC6">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6B06EE58">
            <w:pPr>
              <w:spacing w:line="360" w:lineRule="auto"/>
              <w:rPr>
                <w:rFonts w:ascii="宋体" w:hAnsi="宋体" w:cs="宋体"/>
                <w:color w:val="auto"/>
                <w:sz w:val="24"/>
                <w:highlight w:val="none"/>
              </w:rPr>
            </w:pPr>
          </w:p>
        </w:tc>
        <w:tc>
          <w:tcPr>
            <w:tcW w:w="1123" w:type="dxa"/>
            <w:shd w:val="clear" w:color="auto" w:fill="auto"/>
          </w:tcPr>
          <w:p w14:paraId="16D3658B">
            <w:pPr>
              <w:spacing w:line="360" w:lineRule="auto"/>
              <w:rPr>
                <w:rFonts w:ascii="宋体" w:hAnsi="宋体" w:cs="宋体"/>
                <w:color w:val="auto"/>
                <w:sz w:val="24"/>
                <w:highlight w:val="none"/>
              </w:rPr>
            </w:pPr>
          </w:p>
        </w:tc>
        <w:tc>
          <w:tcPr>
            <w:tcW w:w="1091" w:type="dxa"/>
            <w:shd w:val="clear" w:color="auto" w:fill="auto"/>
          </w:tcPr>
          <w:p w14:paraId="368E99EA">
            <w:pPr>
              <w:spacing w:line="360" w:lineRule="auto"/>
              <w:rPr>
                <w:rFonts w:ascii="宋体" w:hAnsi="宋体" w:cs="宋体"/>
                <w:color w:val="auto"/>
                <w:sz w:val="24"/>
                <w:highlight w:val="none"/>
              </w:rPr>
            </w:pPr>
          </w:p>
        </w:tc>
        <w:tc>
          <w:tcPr>
            <w:tcW w:w="1195" w:type="dxa"/>
            <w:shd w:val="clear" w:color="auto" w:fill="auto"/>
          </w:tcPr>
          <w:p w14:paraId="49800623">
            <w:pPr>
              <w:spacing w:line="360" w:lineRule="auto"/>
              <w:rPr>
                <w:rFonts w:ascii="宋体" w:hAnsi="宋体" w:cs="宋体"/>
                <w:color w:val="auto"/>
                <w:sz w:val="24"/>
                <w:highlight w:val="none"/>
              </w:rPr>
            </w:pPr>
          </w:p>
        </w:tc>
        <w:tc>
          <w:tcPr>
            <w:tcW w:w="1269" w:type="dxa"/>
            <w:shd w:val="clear" w:color="auto" w:fill="auto"/>
          </w:tcPr>
          <w:p w14:paraId="765BCD25">
            <w:pPr>
              <w:spacing w:line="360" w:lineRule="auto"/>
              <w:rPr>
                <w:rFonts w:ascii="宋体" w:hAnsi="宋体" w:cs="宋体"/>
                <w:color w:val="auto"/>
                <w:sz w:val="24"/>
                <w:highlight w:val="none"/>
              </w:rPr>
            </w:pPr>
          </w:p>
        </w:tc>
        <w:tc>
          <w:tcPr>
            <w:tcW w:w="676" w:type="dxa"/>
            <w:shd w:val="clear" w:color="auto" w:fill="auto"/>
          </w:tcPr>
          <w:p w14:paraId="362D4E14">
            <w:pPr>
              <w:spacing w:line="360" w:lineRule="auto"/>
              <w:rPr>
                <w:rFonts w:ascii="宋体" w:hAnsi="宋体" w:cs="宋体"/>
                <w:color w:val="auto"/>
                <w:sz w:val="24"/>
                <w:highlight w:val="none"/>
              </w:rPr>
            </w:pPr>
          </w:p>
        </w:tc>
      </w:tr>
    </w:tbl>
    <w:p w14:paraId="6666CCAE">
      <w:pPr>
        <w:spacing w:line="360"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331949D2">
      <w:pPr>
        <w:spacing w:line="360" w:lineRule="auto"/>
        <w:ind w:firstLine="1428" w:firstLineChars="600"/>
        <w:rPr>
          <w:rFonts w:ascii="宋体" w:hAnsi="宋体" w:cs="宋体"/>
          <w:color w:val="auto"/>
          <w:spacing w:val="-2"/>
          <w:sz w:val="24"/>
          <w:highlight w:val="none"/>
        </w:rPr>
        <w:sectPr>
          <w:pgSz w:w="11906" w:h="16838"/>
          <w:pgMar w:top="1247" w:right="1247" w:bottom="1247" w:left="1247" w:header="851" w:footer="992" w:gutter="0"/>
          <w:pgNumType w:fmt="decimal"/>
          <w:cols w:space="720" w:num="1"/>
          <w:titlePg/>
          <w:docGrid w:linePitch="312" w:charSpace="0"/>
        </w:sectPr>
      </w:pPr>
      <w:r>
        <w:rPr>
          <w:rFonts w:hint="eastAsia" w:ascii="宋体" w:hAnsi="宋体" w:cs="宋体"/>
          <w:color w:val="auto"/>
          <w:spacing w:val="-1"/>
          <w:sz w:val="24"/>
          <w:highlight w:val="none"/>
        </w:rPr>
        <w:t>2.本表所列分包仅限于承包人自行施工范围内的非主体</w:t>
      </w:r>
      <w:r>
        <w:rPr>
          <w:rFonts w:hint="eastAsia" w:ascii="宋体" w:hAnsi="宋体" w:cs="宋体"/>
          <w:color w:val="auto"/>
          <w:spacing w:val="-2"/>
          <w:sz w:val="24"/>
          <w:highlight w:val="none"/>
        </w:rPr>
        <w:t>、非关键工程。</w:t>
      </w:r>
    </w:p>
    <w:p w14:paraId="10080068">
      <w:pPr>
        <w:tabs>
          <w:tab w:val="left" w:pos="5387"/>
        </w:tabs>
        <w:spacing w:line="360" w:lineRule="auto"/>
        <w:jc w:val="left"/>
        <w:rPr>
          <w:rFonts w:ascii="宋体" w:hAnsi="宋体"/>
          <w:b/>
          <w:color w:val="auto"/>
          <w:sz w:val="24"/>
          <w:highlight w:val="none"/>
        </w:rPr>
      </w:pPr>
      <w:r>
        <w:rPr>
          <w:rFonts w:hint="eastAsia" w:ascii="宋体" w:hAnsi="宋体"/>
          <w:b/>
          <w:color w:val="auto"/>
          <w:sz w:val="24"/>
          <w:highlight w:val="none"/>
        </w:rPr>
        <w:t>附件12</w:t>
      </w:r>
    </w:p>
    <w:p w14:paraId="72252714">
      <w:pPr>
        <w:tabs>
          <w:tab w:val="left" w:pos="5387"/>
        </w:tabs>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7436F2EB">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61E7FBB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（工程名称）项目的磋商供应商，根据国家、自治区相关文件规定，我方在此向采购人承诺：</w:t>
      </w:r>
    </w:p>
    <w:p w14:paraId="7270AE68">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6827DE9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2834B3F8">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31FBD958">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10D80602">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F4D36CE">
      <w:pPr>
        <w:pStyle w:val="9"/>
        <w:overflowPunct w:val="0"/>
        <w:spacing w:line="360" w:lineRule="auto"/>
        <w:ind w:firstLine="0"/>
        <w:contextualSpacing/>
        <w:jc w:val="left"/>
        <w:rPr>
          <w:rFonts w:ascii="宋体" w:hAnsi="宋体" w:cs="方正小标宋简体"/>
          <w:color w:val="auto"/>
          <w:sz w:val="24"/>
          <w:szCs w:val="24"/>
          <w:highlight w:val="none"/>
        </w:rPr>
      </w:pPr>
    </w:p>
    <w:p w14:paraId="3BA11939">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0C8E3F8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01E7790C">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34653841">
      <w:pPr>
        <w:spacing w:line="360" w:lineRule="auto"/>
        <w:jc w:val="center"/>
        <w:rPr>
          <w:rFonts w:ascii="宋体" w:hAnsi="宋体"/>
          <w:b/>
          <w:color w:val="auto"/>
          <w:sz w:val="28"/>
          <w:szCs w:val="28"/>
          <w:highlight w:val="none"/>
        </w:rPr>
      </w:pPr>
    </w:p>
    <w:p w14:paraId="35370BA3">
      <w:pPr>
        <w:spacing w:line="360" w:lineRule="auto"/>
        <w:jc w:val="center"/>
        <w:rPr>
          <w:rFonts w:ascii="宋体" w:hAnsi="宋体"/>
          <w:b/>
          <w:color w:val="auto"/>
          <w:sz w:val="28"/>
          <w:szCs w:val="28"/>
          <w:highlight w:val="none"/>
        </w:rPr>
      </w:pPr>
    </w:p>
    <w:p w14:paraId="48292A52">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487D3CEA">
      <w:pPr>
        <w:spacing w:line="360" w:lineRule="auto"/>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2290D1CD">
      <w:pPr>
        <w:spacing w:line="360" w:lineRule="auto"/>
        <w:jc w:val="center"/>
        <w:rPr>
          <w:rFonts w:ascii="宋体" w:hAnsi="宋体"/>
          <w:b/>
          <w:color w:val="auto"/>
          <w:sz w:val="24"/>
          <w:highlight w:val="none"/>
        </w:rPr>
      </w:pPr>
      <w:r>
        <w:rPr>
          <w:rFonts w:hint="eastAsia" w:ascii="宋体" w:hAnsi="宋体"/>
          <w:b/>
          <w:color w:val="auto"/>
          <w:sz w:val="24"/>
          <w:highlight w:val="none"/>
        </w:rPr>
        <w:t>广西壮族自治区</w:t>
      </w:r>
    </w:p>
    <w:p w14:paraId="1375FFEA">
      <w:pPr>
        <w:spacing w:line="360" w:lineRule="auto"/>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40"/>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7EAD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5342FD39">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9CF0F4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038578B7">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354E6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239458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文明</w:t>
            </w:r>
          </w:p>
          <w:p w14:paraId="4E5D4DFC">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w:t>
            </w:r>
          </w:p>
          <w:p w14:paraId="1B6A387C">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与</w:t>
            </w:r>
          </w:p>
          <w:p w14:paraId="1A89719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环境</w:t>
            </w:r>
          </w:p>
          <w:p w14:paraId="4D4334B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55239B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1670DC8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2E3A9E5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3CA0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2AD4B54">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001DDA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4B17428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7A9191D1">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4E2F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CE09C0A">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EEE55A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332FC70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6966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2544B13">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73D033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6A86439E">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076D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B549BD1">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16AD9A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6862AED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387E6E5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210F65B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660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35E072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6C6961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187B945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63CEB25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280904B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79AA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52DE63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F8CDAD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4D903F8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5071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970296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5FB4952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179D847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1A726BB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4D3B2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81D22D4">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E66C13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2FD9757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13D89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D02523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526D26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04DC411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202D09E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28EA018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6840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152F6B2">
            <w:pPr>
              <w:spacing w:line="360" w:lineRule="auto"/>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7DAA777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292EA30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69C9C3E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638115C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548B6BC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74C1051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2887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EA55C28">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FFDF0B6">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45505BE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3E3006D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7D775D5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2D182A5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4E00049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46E0E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0EB424">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25C2E3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4A2067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4287C4B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4EDDF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CCF9491">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722A394">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C87602C">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156AE15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467F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30660B3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921B73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1024FFB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6E95E5F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3334D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E123B8">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B0AE956">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F69388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676420E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56BFE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FE065EF">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F0CF400">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09C940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53D36661">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36529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92EA9E4">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886E1D1">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C4253E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711593C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24C80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988F5F7">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89AD6E7">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1CB837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7744219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1168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DC17F83">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0DEC44B">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ADDA5F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322F42F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608A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282484A">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5785DA2">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A78929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32D25F88">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74FC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419144D3">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1A9099B3">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2F5CEA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02132CD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4541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55D2FAF">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949CC4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23D6A9C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168E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55D930A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61F8166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051514F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3C888B8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68D3B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497DE7D">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1317D2C">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947E37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021373B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7AD96F8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024EF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CDAE345">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F9976F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5129F55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765E8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171A987">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3F8E34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616FFBF1">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67F2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E3F7427">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C2A146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6E1CEBD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46079D7D">
      <w:pPr>
        <w:spacing w:line="360" w:lineRule="auto"/>
        <w:ind w:firstLine="480" w:firstLineChars="200"/>
        <w:rPr>
          <w:rFonts w:ascii="宋体" w:hAnsi="宋体" w:cs="宋体"/>
          <w:color w:val="auto"/>
          <w:sz w:val="24"/>
          <w:highlight w:val="none"/>
        </w:rPr>
      </w:pPr>
    </w:p>
    <w:p w14:paraId="3C2A11A8">
      <w:p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2239E466">
      <w:pPr>
        <w:pStyle w:val="3"/>
        <w:spacing w:line="360" w:lineRule="auto"/>
        <w:rPr>
          <w:rFonts w:ascii="宋体" w:hAnsi="宋体"/>
          <w:color w:val="auto"/>
          <w:highlight w:val="none"/>
        </w:rPr>
      </w:pPr>
    </w:p>
    <w:p w14:paraId="611F89EA">
      <w:pPr>
        <w:pStyle w:val="30"/>
        <w:spacing w:line="360" w:lineRule="auto"/>
        <w:rPr>
          <w:rFonts w:ascii="宋体" w:hAnsi="宋体"/>
          <w:color w:val="auto"/>
          <w:highlight w:val="none"/>
        </w:rPr>
      </w:pPr>
    </w:p>
    <w:p w14:paraId="7783891A">
      <w:pPr>
        <w:pStyle w:val="26"/>
        <w:spacing w:line="360" w:lineRule="auto"/>
        <w:rPr>
          <w:rFonts w:hAnsi="宋体"/>
          <w:color w:val="auto"/>
          <w:highlight w:val="none"/>
        </w:rPr>
        <w:sectPr>
          <w:pgSz w:w="11906" w:h="16838"/>
          <w:pgMar w:top="1247" w:right="1247" w:bottom="1247" w:left="1247" w:header="851" w:footer="992" w:gutter="0"/>
          <w:pgNumType w:fmt="decimal"/>
          <w:cols w:space="720" w:num="1"/>
          <w:titlePg/>
          <w:docGrid w:linePitch="312" w:charSpace="0"/>
        </w:sectPr>
      </w:pPr>
    </w:p>
    <w:p w14:paraId="703A0489">
      <w:pPr>
        <w:adjustRightInd w:val="0"/>
        <w:snapToGrid w:val="0"/>
        <w:spacing w:line="360" w:lineRule="auto"/>
        <w:rPr>
          <w:rFonts w:ascii="宋体" w:hAnsi="宋体"/>
          <w:b/>
          <w:color w:val="auto"/>
          <w:szCs w:val="21"/>
          <w:highlight w:val="none"/>
        </w:rPr>
      </w:pPr>
    </w:p>
    <w:p w14:paraId="6B3E62ED">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附件13</w:t>
      </w:r>
    </w:p>
    <w:p w14:paraId="5AB3C370">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43D6B288">
      <w:pPr>
        <w:spacing w:line="360" w:lineRule="auto"/>
        <w:ind w:firstLine="708" w:firstLineChars="294"/>
        <w:rPr>
          <w:rFonts w:ascii="宋体" w:hAnsi="宋体" w:cs="宋体"/>
          <w:b/>
          <w:bCs/>
          <w:color w:val="auto"/>
          <w:sz w:val="24"/>
          <w:highlight w:val="none"/>
        </w:rPr>
      </w:pPr>
    </w:p>
    <w:p w14:paraId="276558F3">
      <w:pPr>
        <w:spacing w:line="360" w:lineRule="auto"/>
        <w:ind w:firstLine="420"/>
        <w:rPr>
          <w:rFonts w:ascii="宋体" w:hAnsi="宋体"/>
          <w:bCs/>
          <w:color w:val="auto"/>
          <w:sz w:val="24"/>
          <w:highlight w:val="none"/>
        </w:rPr>
      </w:pPr>
      <w:r>
        <w:rPr>
          <w:rFonts w:ascii="宋体" w:hAnsi="宋体"/>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507B16E8">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3FA30376">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1F7025D2">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60306B1E">
      <w:pPr>
        <w:spacing w:line="360" w:lineRule="auto"/>
        <w:ind w:firstLine="420"/>
        <w:rPr>
          <w:rFonts w:ascii="宋体" w:hAnsi="宋体"/>
          <w:bCs/>
          <w:color w:val="auto"/>
          <w:sz w:val="24"/>
          <w:highlight w:val="none"/>
        </w:rPr>
      </w:pPr>
      <w:r>
        <w:rPr>
          <w:rFonts w:hint="eastAsia" w:ascii="宋体" w:hAnsi="宋体"/>
          <w:bCs/>
          <w:color w:val="auto"/>
          <w:sz w:val="24"/>
          <w:highlight w:val="none"/>
        </w:rPr>
        <w:t>以上企业，不属于大企业的分支机构，不存在控股股东为大企业的情形，也不存在与大企业的负责人为同一人的情形。</w:t>
      </w:r>
    </w:p>
    <w:p w14:paraId="14724A75">
      <w:pPr>
        <w:spacing w:line="360" w:lineRule="auto"/>
        <w:ind w:firstLine="420"/>
        <w:rPr>
          <w:rFonts w:ascii="宋体" w:hAnsi="宋体"/>
          <w:bCs/>
          <w:color w:val="auto"/>
          <w:sz w:val="24"/>
          <w:highlight w:val="none"/>
        </w:rPr>
      </w:pPr>
      <w:r>
        <w:rPr>
          <w:rFonts w:hint="eastAsia" w:ascii="宋体" w:hAnsi="宋体"/>
          <w:bCs/>
          <w:color w:val="auto"/>
          <w:sz w:val="24"/>
          <w:highlight w:val="none"/>
        </w:rPr>
        <w:t>本企业对上述声明内容的真实性负责。如有虚假，将依法承担相应责任。</w:t>
      </w:r>
    </w:p>
    <w:p w14:paraId="58164735">
      <w:pPr>
        <w:adjustRightInd w:val="0"/>
        <w:snapToGrid w:val="0"/>
        <w:spacing w:line="360" w:lineRule="auto"/>
        <w:ind w:firstLine="4200" w:firstLineChars="1750"/>
        <w:jc w:val="left"/>
        <w:rPr>
          <w:rFonts w:ascii="宋体" w:hAnsi="宋体"/>
          <w:color w:val="auto"/>
          <w:sz w:val="24"/>
          <w:highlight w:val="none"/>
        </w:rPr>
      </w:pPr>
    </w:p>
    <w:p w14:paraId="7AB79E2A">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sz w:val="24"/>
          <w:highlight w:val="none"/>
        </w:rPr>
        <w:t xml:space="preserve">供应商名称（公章）：                          </w:t>
      </w:r>
    </w:p>
    <w:p w14:paraId="75D9E0B6">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1C1FA243">
      <w:pPr>
        <w:spacing w:line="360" w:lineRule="auto"/>
        <w:jc w:val="left"/>
        <w:rPr>
          <w:rFonts w:ascii="宋体" w:hAnsi="宋体"/>
          <w:bCs/>
          <w:color w:val="auto"/>
          <w:sz w:val="24"/>
          <w:highlight w:val="none"/>
        </w:rPr>
      </w:pPr>
    </w:p>
    <w:p w14:paraId="3E8F3173">
      <w:pPr>
        <w:spacing w:line="360" w:lineRule="auto"/>
        <w:jc w:val="left"/>
        <w:rPr>
          <w:rFonts w:ascii="宋体" w:hAnsi="宋体"/>
          <w:bCs/>
          <w:color w:val="auto"/>
          <w:sz w:val="24"/>
          <w:highlight w:val="none"/>
        </w:rPr>
      </w:pPr>
      <w:r>
        <w:rPr>
          <w:rFonts w:hint="eastAsia" w:ascii="宋体" w:hAnsi="宋体"/>
          <w:bCs/>
          <w:color w:val="auto"/>
          <w:sz w:val="24"/>
          <w:highlight w:val="none"/>
        </w:rPr>
        <w:t>注：（</w:t>
      </w:r>
      <w:r>
        <w:rPr>
          <w:rFonts w:ascii="宋体" w:hAnsi="宋体"/>
          <w:bCs/>
          <w:color w:val="auto"/>
          <w:sz w:val="24"/>
          <w:highlight w:val="none"/>
        </w:rPr>
        <w:t>1</w:t>
      </w:r>
      <w:r>
        <w:rPr>
          <w:rFonts w:hint="eastAsia" w:ascii="宋体" w:hAnsi="宋体"/>
          <w:bCs/>
          <w:color w:val="auto"/>
          <w:sz w:val="24"/>
          <w:highlight w:val="none"/>
        </w:rPr>
        <w:t>）如磋商供应商为联合体或分包的，声明函中“项目名称”应填写联合体中中小企业承担的具体内容或者中小企业具体分包内容。</w:t>
      </w:r>
    </w:p>
    <w:p w14:paraId="1A4D2F5F">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2</w:t>
      </w:r>
      <w:r>
        <w:rPr>
          <w:rFonts w:hint="eastAsia" w:ascii="宋体" w:hAnsi="宋体"/>
          <w:bCs/>
          <w:color w:val="auto"/>
          <w:sz w:val="24"/>
          <w:highlight w:val="none"/>
        </w:rPr>
        <w:t>）请根据真实情况出具《中小企业声明函》。</w:t>
      </w:r>
      <w:r>
        <w:rPr>
          <w:rFonts w:hint="eastAsia" w:ascii="宋体" w:hAnsi="宋体"/>
          <w:color w:val="auto"/>
          <w:sz w:val="24"/>
          <w:highlight w:val="none"/>
        </w:rPr>
        <w:t>成交候选人享受《政府采购促进中小企业发展管理办法》（财库〔2020〕46号）</w:t>
      </w:r>
      <w:r>
        <w:rPr>
          <w:rFonts w:hint="eastAsia" w:ascii="宋体" w:hAnsi="宋体" w:cs="宋体"/>
          <w:color w:val="auto"/>
          <w:sz w:val="24"/>
          <w:highlight w:val="none"/>
        </w:rPr>
        <w:t>、</w:t>
      </w:r>
      <w:r>
        <w:rPr>
          <w:rFonts w:hint="eastAsia" w:ascii="宋体" w:hAnsi="宋体" w:cs="宋体"/>
          <w:color w:val="auto"/>
          <w:sz w:val="24"/>
          <w:highlight w:val="none"/>
          <w:lang w:bidi="ar"/>
        </w:rPr>
        <w:t>财政部《关于进一步加大政府采购支持中小企业力度的通知》（财库〔2022〕19号）</w:t>
      </w:r>
      <w:r>
        <w:rPr>
          <w:rFonts w:hint="eastAsia" w:ascii="宋体" w:hAnsi="宋体"/>
          <w:color w:val="auto"/>
          <w:sz w:val="24"/>
          <w:highlight w:val="none"/>
        </w:rPr>
        <w:t>规定的中小企业扶持政策的，采购人、采购代理机构应当随成交结果公开成交供应商的《中小企业声明函》</w:t>
      </w:r>
      <w:r>
        <w:rPr>
          <w:rFonts w:hint="eastAsia" w:ascii="宋体" w:hAnsi="宋体"/>
          <w:bCs/>
          <w:color w:val="auto"/>
          <w:sz w:val="24"/>
          <w:highlight w:val="none"/>
        </w:rPr>
        <w:t>，接受社会监督。</w:t>
      </w:r>
    </w:p>
    <w:p w14:paraId="7CF1FE10">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3</w:t>
      </w:r>
      <w:r>
        <w:rPr>
          <w:rFonts w:hint="eastAsia" w:ascii="宋体" w:hAnsi="宋体"/>
          <w:bCs/>
          <w:color w:val="auto"/>
          <w:sz w:val="24"/>
          <w:highlight w:val="none"/>
        </w:rPr>
        <w:t>）从业人员、营业收入、资产总额填报上一年度数据，无上一年度数据的新成立企业可不填报。</w:t>
      </w:r>
    </w:p>
    <w:p w14:paraId="5B0C0BFE">
      <w:pPr>
        <w:spacing w:line="360" w:lineRule="auto"/>
        <w:ind w:firstLine="6720" w:firstLineChars="3200"/>
        <w:rPr>
          <w:rFonts w:ascii="宋体" w:hAnsi="宋体" w:cs="Courier New"/>
          <w:color w:val="auto"/>
          <w:szCs w:val="21"/>
          <w:highlight w:val="none"/>
        </w:rPr>
      </w:pPr>
    </w:p>
    <w:p w14:paraId="7A4AC507">
      <w:pPr>
        <w:spacing w:line="360" w:lineRule="auto"/>
        <w:ind w:left="420" w:hanging="420"/>
        <w:rPr>
          <w:rFonts w:ascii="宋体" w:hAnsi="宋体"/>
          <w:color w:val="auto"/>
          <w:sz w:val="24"/>
          <w:highlight w:val="none"/>
        </w:rPr>
      </w:pPr>
      <w:r>
        <w:rPr>
          <w:rFonts w:hint="eastAsia" w:ascii="宋体" w:hAnsi="宋体"/>
          <w:b/>
          <w:color w:val="auto"/>
          <w:sz w:val="24"/>
          <w:highlight w:val="none"/>
        </w:rPr>
        <w:t>附件14</w:t>
      </w:r>
    </w:p>
    <w:p w14:paraId="280BDF1D">
      <w:pPr>
        <w:pStyle w:val="37"/>
        <w:widowControl w:val="0"/>
        <w:adjustRightInd w:val="0"/>
        <w:snapToGrid w:val="0"/>
        <w:spacing w:before="0" w:beforeAutospacing="0" w:after="0" w:afterAutospacing="0" w:line="360" w:lineRule="auto"/>
        <w:jc w:val="center"/>
        <w:rPr>
          <w:b/>
          <w:color w:val="auto"/>
          <w:kern w:val="2"/>
          <w:sz w:val="36"/>
          <w:szCs w:val="36"/>
          <w:highlight w:val="none"/>
        </w:rPr>
      </w:pPr>
    </w:p>
    <w:p w14:paraId="4D780AD0">
      <w:pPr>
        <w:pStyle w:val="37"/>
        <w:widowControl w:val="0"/>
        <w:adjustRightInd w:val="0"/>
        <w:snapToGrid w:val="0"/>
        <w:spacing w:before="0" w:beforeAutospacing="0" w:after="0" w:afterAutospacing="0" w:line="360" w:lineRule="auto"/>
        <w:jc w:val="center"/>
        <w:rPr>
          <w:b/>
          <w:color w:val="auto"/>
          <w:kern w:val="2"/>
          <w:sz w:val="36"/>
          <w:szCs w:val="36"/>
          <w:highlight w:val="none"/>
        </w:rPr>
      </w:pPr>
    </w:p>
    <w:p w14:paraId="25AF4237">
      <w:pPr>
        <w:pStyle w:val="37"/>
        <w:widowControl w:val="0"/>
        <w:adjustRightInd w:val="0"/>
        <w:snapToGrid w:val="0"/>
        <w:spacing w:before="0" w:beforeAutospacing="0" w:after="0" w:afterAutospacing="0" w:line="360" w:lineRule="auto"/>
        <w:jc w:val="center"/>
        <w:rPr>
          <w:b/>
          <w:color w:val="auto"/>
          <w:kern w:val="2"/>
          <w:sz w:val="36"/>
          <w:szCs w:val="36"/>
          <w:highlight w:val="none"/>
        </w:rPr>
      </w:pPr>
      <w:r>
        <w:rPr>
          <w:rFonts w:hint="eastAsia"/>
          <w:b/>
          <w:color w:val="auto"/>
          <w:kern w:val="2"/>
          <w:sz w:val="36"/>
          <w:szCs w:val="36"/>
          <w:highlight w:val="none"/>
        </w:rPr>
        <w:t>残疾人福利性单位声明函</w:t>
      </w:r>
    </w:p>
    <w:p w14:paraId="76B6FCDB">
      <w:pPr>
        <w:spacing w:line="360" w:lineRule="auto"/>
        <w:rPr>
          <w:rFonts w:ascii="宋体" w:hAnsi="宋体"/>
          <w:color w:val="auto"/>
          <w:szCs w:val="21"/>
          <w:highlight w:val="none"/>
        </w:rPr>
      </w:pPr>
    </w:p>
    <w:p w14:paraId="0EB3807B">
      <w:pPr>
        <w:spacing w:line="360" w:lineRule="auto"/>
        <w:rPr>
          <w:rFonts w:ascii="宋体" w:hAnsi="宋体"/>
          <w:bCs/>
          <w:color w:val="auto"/>
          <w:spacing w:val="6"/>
          <w:sz w:val="24"/>
          <w:highlight w:val="none"/>
        </w:rPr>
      </w:pPr>
    </w:p>
    <w:p w14:paraId="4DC9C858">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单位的</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项目采购活动由本单位承担工程</w:t>
      </w:r>
      <w:r>
        <w:rPr>
          <w:rFonts w:hint="eastAsia" w:ascii="宋体" w:hAnsi="宋体"/>
          <w:color w:val="auto"/>
          <w:spacing w:val="-6"/>
          <w:sz w:val="24"/>
          <w:highlight w:val="none"/>
        </w:rPr>
        <w:t>。</w:t>
      </w:r>
    </w:p>
    <w:p w14:paraId="76075A38">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6585770A">
      <w:pPr>
        <w:spacing w:line="360" w:lineRule="auto"/>
        <w:ind w:firstLine="480" w:firstLineChars="200"/>
        <w:rPr>
          <w:rFonts w:ascii="宋体" w:hAnsi="宋体"/>
          <w:color w:val="auto"/>
          <w:sz w:val="24"/>
          <w:highlight w:val="none"/>
        </w:rPr>
      </w:pPr>
    </w:p>
    <w:p w14:paraId="4243C8E7">
      <w:pPr>
        <w:spacing w:line="360" w:lineRule="auto"/>
        <w:ind w:firstLine="480" w:firstLineChars="200"/>
        <w:rPr>
          <w:rFonts w:ascii="宋体" w:hAnsi="宋体"/>
          <w:color w:val="auto"/>
          <w:sz w:val="24"/>
          <w:highlight w:val="none"/>
        </w:rPr>
      </w:pPr>
    </w:p>
    <w:p w14:paraId="56472AAA">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                   供应商名称（公章）：                          </w:t>
      </w:r>
    </w:p>
    <w:p w14:paraId="025CA0FC">
      <w:pPr>
        <w:tabs>
          <w:tab w:val="left" w:pos="4860"/>
        </w:tabs>
        <w:spacing w:line="360" w:lineRule="auto"/>
        <w:ind w:right="1560" w:firstLine="480" w:firstLineChars="200"/>
        <w:jc w:val="center"/>
        <w:rPr>
          <w:rFonts w:ascii="宋体" w:hAnsi="宋体"/>
          <w:color w:val="auto"/>
          <w:sz w:val="24"/>
          <w:highlight w:val="none"/>
        </w:rPr>
      </w:pPr>
      <w:r>
        <w:rPr>
          <w:rFonts w:hint="eastAsia" w:ascii="宋体" w:hAnsi="宋体"/>
          <w:color w:val="auto"/>
          <w:sz w:val="24"/>
          <w:highlight w:val="none"/>
        </w:rPr>
        <w:t xml:space="preserve">     日期：  年   月   日</w:t>
      </w:r>
    </w:p>
    <w:p w14:paraId="6BFDA5F8">
      <w:pPr>
        <w:tabs>
          <w:tab w:val="left" w:pos="4860"/>
        </w:tabs>
        <w:spacing w:line="360" w:lineRule="auto"/>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说明：符合条件的残疾人福利性单位在参加政府采购活动时，应当提供本通知规定的《残疾人福利性单位声明函》，并对声明的真实性负责。</w:t>
      </w:r>
    </w:p>
    <w:p w14:paraId="7744732A">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145039B3">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供应商提供的《残疾人福利性单位声明函》与事实不符的，依照《政府采购法》第七十七条第一款的规定追究法律责任。</w:t>
      </w:r>
    </w:p>
    <w:p w14:paraId="0E286E71">
      <w:pPr>
        <w:spacing w:line="360" w:lineRule="auto"/>
        <w:ind w:firstLine="7680" w:firstLineChars="3200"/>
        <w:rPr>
          <w:rFonts w:ascii="宋体" w:hAnsi="宋体" w:cs="Courier New"/>
          <w:color w:val="auto"/>
          <w:sz w:val="24"/>
          <w:highlight w:val="none"/>
        </w:rPr>
      </w:pPr>
    </w:p>
    <w:p w14:paraId="66D0CEF3">
      <w:pPr>
        <w:spacing w:line="360" w:lineRule="auto"/>
        <w:ind w:firstLine="7680" w:firstLineChars="3200"/>
        <w:rPr>
          <w:rFonts w:ascii="宋体" w:hAnsi="宋体" w:cs="Courier New"/>
          <w:color w:val="auto"/>
          <w:sz w:val="24"/>
          <w:highlight w:val="none"/>
        </w:rPr>
      </w:pPr>
    </w:p>
    <w:p w14:paraId="39B96513">
      <w:pPr>
        <w:spacing w:line="360" w:lineRule="auto"/>
        <w:ind w:firstLine="6720" w:firstLineChars="3200"/>
        <w:rPr>
          <w:rFonts w:ascii="宋体" w:hAnsi="宋体" w:cs="Courier New"/>
          <w:color w:val="auto"/>
          <w:szCs w:val="21"/>
          <w:highlight w:val="none"/>
        </w:rPr>
      </w:pPr>
    </w:p>
    <w:p w14:paraId="49460EF9">
      <w:pPr>
        <w:spacing w:line="360" w:lineRule="auto"/>
        <w:ind w:firstLine="6720" w:firstLineChars="3200"/>
        <w:rPr>
          <w:rFonts w:ascii="宋体" w:hAnsi="宋体" w:cs="Courier New"/>
          <w:color w:val="auto"/>
          <w:szCs w:val="21"/>
          <w:highlight w:val="none"/>
        </w:rPr>
      </w:pPr>
    </w:p>
    <w:p w14:paraId="6E46533B">
      <w:pPr>
        <w:spacing w:line="360" w:lineRule="auto"/>
        <w:rPr>
          <w:rFonts w:ascii="宋体" w:hAnsi="宋体" w:cs="宋体"/>
          <w:b/>
          <w:color w:val="auto"/>
          <w:spacing w:val="6"/>
          <w:sz w:val="28"/>
          <w:szCs w:val="28"/>
          <w:highlight w:val="none"/>
        </w:rPr>
      </w:pPr>
    </w:p>
    <w:p w14:paraId="61910B8A">
      <w:pPr>
        <w:spacing w:line="360" w:lineRule="auto"/>
        <w:rPr>
          <w:rFonts w:ascii="宋体" w:hAnsi="宋体" w:cs="宋体"/>
          <w:b/>
          <w:color w:val="auto"/>
          <w:spacing w:val="6"/>
          <w:sz w:val="28"/>
          <w:szCs w:val="28"/>
          <w:highlight w:val="none"/>
        </w:rPr>
      </w:pPr>
      <w:r>
        <w:rPr>
          <w:rFonts w:hint="eastAsia" w:ascii="宋体" w:hAnsi="宋体" w:cs="宋体"/>
          <w:b/>
          <w:color w:val="auto"/>
          <w:spacing w:val="6"/>
          <w:sz w:val="28"/>
          <w:szCs w:val="28"/>
          <w:highlight w:val="none"/>
        </w:rPr>
        <w:br w:type="page"/>
      </w:r>
    </w:p>
    <w:p w14:paraId="15B37C2E">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附件15</w:t>
      </w:r>
    </w:p>
    <w:p w14:paraId="0D0879E1">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质疑函范本格式：</w:t>
      </w:r>
    </w:p>
    <w:p w14:paraId="13523956">
      <w:pPr>
        <w:spacing w:line="360" w:lineRule="auto"/>
        <w:jc w:val="center"/>
        <w:rPr>
          <w:rFonts w:ascii="宋体" w:hAnsi="宋体" w:cs="宋体"/>
          <w:b/>
          <w:color w:val="auto"/>
          <w:spacing w:val="6"/>
          <w:sz w:val="24"/>
          <w:highlight w:val="none"/>
        </w:rPr>
      </w:pPr>
      <w:r>
        <w:rPr>
          <w:rFonts w:hint="eastAsia" w:ascii="宋体" w:hAnsi="宋体" w:cs="宋体"/>
          <w:b/>
          <w:color w:val="auto"/>
          <w:spacing w:val="6"/>
          <w:sz w:val="24"/>
          <w:highlight w:val="none"/>
        </w:rPr>
        <w:t>质疑函范本</w:t>
      </w:r>
    </w:p>
    <w:p w14:paraId="1BFBEC45">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3B57A1E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6DDAE57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602E154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7AFD7A5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71133AD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190C44B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1E7A7FC6">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11813FD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6DE40F1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6175C1C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750BD48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5EC947A2">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00981A53">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396069E2">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209219CE">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48D07B4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77F0108A">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332CAB89">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526D9D4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2D0E36CB">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576722FE">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307AFDDD">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66618EA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731980B7">
      <w:pPr>
        <w:spacing w:line="360" w:lineRule="auto"/>
        <w:jc w:val="center"/>
        <w:rPr>
          <w:rFonts w:ascii="宋体" w:hAnsi="宋体" w:cs="宋体"/>
          <w:b/>
          <w:bCs/>
          <w:color w:val="auto"/>
          <w:sz w:val="24"/>
          <w:highlight w:val="none"/>
        </w:rPr>
      </w:pPr>
    </w:p>
    <w:p w14:paraId="69429DF4">
      <w:pPr>
        <w:spacing w:line="360" w:lineRule="auto"/>
        <w:rPr>
          <w:rFonts w:ascii="宋体" w:hAnsi="宋体" w:cs="宋体"/>
          <w:b/>
          <w:color w:val="auto"/>
          <w:sz w:val="24"/>
          <w:highlight w:val="none"/>
        </w:rPr>
      </w:pPr>
    </w:p>
    <w:p w14:paraId="5D3405F1">
      <w:pPr>
        <w:spacing w:line="360" w:lineRule="auto"/>
        <w:rPr>
          <w:rFonts w:ascii="宋体" w:hAnsi="宋体" w:cs="宋体"/>
          <w:b/>
          <w:color w:val="auto"/>
          <w:sz w:val="24"/>
          <w:highlight w:val="none"/>
        </w:rPr>
      </w:pPr>
    </w:p>
    <w:p w14:paraId="354F83EB">
      <w:pPr>
        <w:spacing w:line="360" w:lineRule="auto"/>
        <w:rPr>
          <w:rFonts w:ascii="宋体" w:hAnsi="宋体" w:cs="宋体"/>
          <w:b/>
          <w:color w:val="auto"/>
          <w:sz w:val="24"/>
          <w:highlight w:val="none"/>
        </w:rPr>
      </w:pPr>
    </w:p>
    <w:p w14:paraId="5158BA91">
      <w:pPr>
        <w:spacing w:line="360" w:lineRule="auto"/>
        <w:rPr>
          <w:rFonts w:ascii="宋体" w:hAnsi="宋体" w:cs="宋体"/>
          <w:b/>
          <w:color w:val="auto"/>
          <w:sz w:val="24"/>
          <w:highlight w:val="none"/>
        </w:rPr>
      </w:pPr>
    </w:p>
    <w:p w14:paraId="152E85C3">
      <w:pPr>
        <w:spacing w:line="360" w:lineRule="auto"/>
        <w:rPr>
          <w:rFonts w:ascii="宋体" w:hAnsi="宋体" w:cs="宋体"/>
          <w:b/>
          <w:color w:val="auto"/>
          <w:sz w:val="24"/>
          <w:highlight w:val="none"/>
        </w:rPr>
      </w:pPr>
    </w:p>
    <w:p w14:paraId="5123BE31">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1C49913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7CBE16C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1A4ACEB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10FBD5CC">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5B7F213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255F5B7A">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447AD076">
      <w:pPr>
        <w:widowControl/>
        <w:spacing w:line="360" w:lineRule="auto"/>
        <w:ind w:firstLine="480" w:firstLineChars="200"/>
        <w:jc w:val="left"/>
        <w:rPr>
          <w:rFonts w:ascii="宋体" w:hAnsi="宋体" w:cs="宋体"/>
          <w:color w:val="auto"/>
          <w:sz w:val="24"/>
          <w:highlight w:val="none"/>
        </w:rPr>
      </w:pPr>
    </w:p>
    <w:p w14:paraId="6A7C463C">
      <w:pPr>
        <w:spacing w:line="360" w:lineRule="auto"/>
        <w:rPr>
          <w:rFonts w:ascii="宋体" w:hAnsi="宋体" w:cs="宋体"/>
          <w:b/>
          <w:color w:val="auto"/>
          <w:spacing w:val="6"/>
          <w:szCs w:val="21"/>
          <w:highlight w:val="none"/>
        </w:rPr>
        <w:sectPr>
          <w:pgSz w:w="11906" w:h="16838"/>
          <w:pgMar w:top="1247" w:right="1247" w:bottom="1247" w:left="1247" w:header="851" w:footer="992" w:gutter="0"/>
          <w:pgNumType w:fmt="decimal"/>
          <w:cols w:space="720" w:num="1"/>
          <w:titlePg/>
          <w:docGrid w:linePitch="312" w:charSpace="0"/>
        </w:sectPr>
      </w:pPr>
    </w:p>
    <w:p w14:paraId="62A3F46A">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附件16</w:t>
      </w:r>
    </w:p>
    <w:p w14:paraId="7845677E">
      <w:pPr>
        <w:spacing w:line="360" w:lineRule="auto"/>
        <w:rPr>
          <w:rFonts w:ascii="宋体" w:hAnsi="宋体" w:cs="宋体"/>
          <w:b/>
          <w:color w:val="auto"/>
          <w:spacing w:val="6"/>
          <w:sz w:val="24"/>
          <w:highlight w:val="none"/>
        </w:rPr>
      </w:pPr>
      <w:r>
        <w:rPr>
          <w:rFonts w:hint="eastAsia" w:ascii="宋体" w:hAnsi="宋体" w:cs="宋体"/>
          <w:b/>
          <w:color w:val="auto"/>
          <w:spacing w:val="6"/>
          <w:sz w:val="24"/>
          <w:highlight w:val="none"/>
        </w:rPr>
        <w:t>投诉书范本格式：</w:t>
      </w:r>
    </w:p>
    <w:p w14:paraId="0DE04FBB">
      <w:pPr>
        <w:snapToGrid w:val="0"/>
        <w:spacing w:line="360" w:lineRule="auto"/>
        <w:jc w:val="center"/>
        <w:rPr>
          <w:rFonts w:ascii="宋体" w:hAnsi="宋体" w:cs="宋体"/>
          <w:b/>
          <w:bCs/>
          <w:color w:val="auto"/>
          <w:kern w:val="0"/>
          <w:sz w:val="24"/>
          <w:highlight w:val="none"/>
        </w:rPr>
      </w:pPr>
      <w:r>
        <w:rPr>
          <w:rFonts w:ascii="宋体" w:hAnsi="宋体" w:cs="宋体"/>
          <w:b/>
          <w:bCs/>
          <w:color w:val="auto"/>
          <w:kern w:val="0"/>
          <w:sz w:val="24"/>
          <w:highlight w:val="none"/>
        </w:rPr>
        <w:t>政府采购供应商投诉书范本</w:t>
      </w:r>
    </w:p>
    <w:p w14:paraId="161DB1F5">
      <w:pPr>
        <w:snapToGrid w:val="0"/>
        <w:spacing w:line="360" w:lineRule="auto"/>
        <w:jc w:val="center"/>
        <w:rPr>
          <w:rFonts w:ascii="宋体" w:hAnsi="宋体" w:cs="宋体"/>
          <w:b/>
          <w:bCs/>
          <w:color w:val="auto"/>
          <w:kern w:val="0"/>
          <w:sz w:val="24"/>
          <w:highlight w:val="none"/>
        </w:rPr>
      </w:pPr>
    </w:p>
    <w:p w14:paraId="57052BD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一、投诉相关主体基本情况</w:t>
      </w:r>
    </w:p>
    <w:p w14:paraId="1FEC2B7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投诉人：</w:t>
      </w:r>
    </w:p>
    <w:p w14:paraId="7384AEF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7EF3F9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法定代表人/主要负责人：</w:t>
      </w:r>
    </w:p>
    <w:p w14:paraId="5F6DF839">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联系电话：</w:t>
      </w:r>
    </w:p>
    <w:p w14:paraId="3FC8947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授权代表：联系电话：</w:t>
      </w:r>
    </w:p>
    <w:p w14:paraId="61A974B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4B56536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被投诉人1：</w:t>
      </w:r>
    </w:p>
    <w:p w14:paraId="48C8C8E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175039F5">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66A1430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被投诉人2</w:t>
      </w:r>
    </w:p>
    <w:p w14:paraId="3598EE0F">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p>
    <w:p w14:paraId="17B5936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相关供应商：</w:t>
      </w:r>
    </w:p>
    <w:p w14:paraId="7839BCC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地址：   邮编：</w:t>
      </w:r>
    </w:p>
    <w:p w14:paraId="3507ED2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联系人：    联系电话：</w:t>
      </w:r>
    </w:p>
    <w:p w14:paraId="4493F9C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二、投诉项目基本情况</w:t>
      </w:r>
    </w:p>
    <w:p w14:paraId="618D9C5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采购项目名称：</w:t>
      </w:r>
    </w:p>
    <w:p w14:paraId="2C56EDA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采购项目编号：包号：</w:t>
      </w:r>
    </w:p>
    <w:p w14:paraId="2AEFAE8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采购人名称：</w:t>
      </w:r>
    </w:p>
    <w:p w14:paraId="2A36F98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代理机构名称：</w:t>
      </w:r>
    </w:p>
    <w:p w14:paraId="6B934D6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采购文件公告:是/否 公告期限：</w:t>
      </w:r>
    </w:p>
    <w:p w14:paraId="520B86E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采购结果公告:是/否 公告期限：</w:t>
      </w:r>
    </w:p>
    <w:p w14:paraId="56A7BCC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三、质疑基本情况</w:t>
      </w:r>
    </w:p>
    <w:p w14:paraId="1E25BE8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投诉人于年月 日,向</w:t>
      </w:r>
      <w:r>
        <w:rPr>
          <w:rFonts w:hint="eastAsia" w:ascii="宋体" w:hAnsi="宋体" w:cs="宋体"/>
          <w:color w:val="auto"/>
          <w:kern w:val="0"/>
          <w:sz w:val="24"/>
          <w:highlight w:val="none"/>
          <w:u w:val="single"/>
          <w:lang w:val="en-US" w:eastAsia="zh-CN"/>
        </w:rPr>
        <w:t xml:space="preserve">    </w:t>
      </w:r>
      <w:r>
        <w:rPr>
          <w:rFonts w:hint="eastAsia" w:ascii="宋体" w:hAnsi="宋体" w:cs="宋体"/>
          <w:color w:val="auto"/>
          <w:kern w:val="0"/>
          <w:sz w:val="24"/>
          <w:highlight w:val="none"/>
        </w:rPr>
        <w:t>提出质疑，质疑事项为：</w:t>
      </w:r>
    </w:p>
    <w:p w14:paraId="2AB62EC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采购人/代理机构于年月日,就质疑事项作出了答复/没有在法定期限内作出答复。</w:t>
      </w:r>
    </w:p>
    <w:p w14:paraId="581539B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四、投诉事项具体内容</w:t>
      </w:r>
    </w:p>
    <w:p w14:paraId="41B77FFD">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投诉事项1：</w:t>
      </w:r>
    </w:p>
    <w:p w14:paraId="5931A60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事实依据：</w:t>
      </w:r>
    </w:p>
    <w:p w14:paraId="06FEE1D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法律依据：</w:t>
      </w:r>
    </w:p>
    <w:p w14:paraId="70BB1B2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投诉事项2</w:t>
      </w:r>
    </w:p>
    <w:p w14:paraId="74730400">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w:t>
      </w:r>
    </w:p>
    <w:p w14:paraId="609FE7F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五、与投诉事项相关的投诉请求</w:t>
      </w:r>
    </w:p>
    <w:p w14:paraId="545EF0B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请求：</w:t>
      </w:r>
    </w:p>
    <w:p w14:paraId="423BD524">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签字(签章)：公章：</w:t>
      </w:r>
    </w:p>
    <w:p w14:paraId="65D91343">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日期：</w:t>
      </w:r>
    </w:p>
    <w:p w14:paraId="40AFA99C">
      <w:pPr>
        <w:snapToGrid w:val="0"/>
        <w:spacing w:line="360" w:lineRule="auto"/>
        <w:rPr>
          <w:rFonts w:ascii="宋体" w:hAnsi="宋体" w:cs="宋体"/>
          <w:color w:val="auto"/>
          <w:kern w:val="0"/>
          <w:sz w:val="24"/>
          <w:highlight w:val="none"/>
        </w:rPr>
      </w:pPr>
      <w:r>
        <w:rPr>
          <w:rFonts w:hint="eastAsia" w:ascii="宋体" w:hAnsi="宋体" w:cs="宋体"/>
          <w:b/>
          <w:bCs/>
          <w:color w:val="auto"/>
          <w:kern w:val="0"/>
          <w:sz w:val="24"/>
          <w:highlight w:val="none"/>
        </w:rPr>
        <w:t>投诉书制作说明：</w:t>
      </w:r>
    </w:p>
    <w:p w14:paraId="31481E9A">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1.投诉人提起投诉时，应当提交投诉书和必要的证明材料，并按照被投诉人和与投诉事项有关的供应商数量提供投诉书副本。</w:t>
      </w:r>
    </w:p>
    <w:p w14:paraId="755A55D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投诉人若委托代理人进行投诉的，投诉书应按照要求列明“授权代表”的有关内容，并在附件中提交由投诉人签署的授权委托书。授权委托书应当载明代理人的姓名或者名称、代理事项、具体权限、期限和相关事项。</w:t>
      </w:r>
    </w:p>
    <w:p w14:paraId="5DF4F508">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3.投诉人若对项目的某一分包进行投诉，投诉书应列明具体分包号。</w:t>
      </w:r>
    </w:p>
    <w:p w14:paraId="001F411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4.投诉书应简要列明质疑事项，质疑函、质疑答复等作为附件材料提供。</w:t>
      </w:r>
    </w:p>
    <w:p w14:paraId="60C4C48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5.投诉书的投诉事项应具体、明确，并有必要的事实依据和法律依据。</w:t>
      </w:r>
    </w:p>
    <w:p w14:paraId="2CAF30DB">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6.投诉书的投诉请求应与投诉事项相关。</w:t>
      </w:r>
    </w:p>
    <w:p w14:paraId="493775B2">
      <w:pPr>
        <w:snapToGrid w:val="0"/>
        <w:spacing w:line="360" w:lineRule="auto"/>
        <w:rPr>
          <w:rFonts w:ascii="宋体" w:hAnsi="宋体"/>
          <w:color w:val="auto"/>
          <w:sz w:val="24"/>
          <w:highlight w:val="none"/>
        </w:rPr>
      </w:pPr>
      <w:r>
        <w:rPr>
          <w:rFonts w:hint="eastAsia" w:ascii="宋体" w:hAnsi="宋体" w:cs="宋体"/>
          <w:color w:val="auto"/>
          <w:kern w:val="0"/>
          <w:sz w:val="24"/>
          <w:highlight w:val="none"/>
        </w:rPr>
        <w:t>7.投诉人为自然人的，投诉书应当由本人签字；投诉人为法人或者其他组织的，投诉书应当由法定代表人、主要负责人，或者其授权代表签字或者盖章，并加盖公章。</w:t>
      </w:r>
    </w:p>
    <w:p w14:paraId="43D3F676">
      <w:pPr>
        <w:pStyle w:val="26"/>
        <w:rPr>
          <w:color w:val="auto"/>
          <w:sz w:val="24"/>
          <w:szCs w:val="24"/>
          <w:highlight w:val="none"/>
        </w:rPr>
      </w:pPr>
    </w:p>
    <w:p w14:paraId="65F5CA8E">
      <w:pPr>
        <w:pStyle w:val="26"/>
        <w:rPr>
          <w:color w:val="auto"/>
          <w:highlight w:val="none"/>
        </w:rPr>
      </w:pPr>
    </w:p>
    <w:p w14:paraId="59619C4A">
      <w:pPr>
        <w:pStyle w:val="26"/>
        <w:rPr>
          <w:color w:val="auto"/>
          <w:highlight w:val="none"/>
        </w:rPr>
      </w:pPr>
    </w:p>
    <w:p w14:paraId="3954FED0">
      <w:pPr>
        <w:pStyle w:val="26"/>
        <w:rPr>
          <w:color w:val="auto"/>
          <w:highlight w:val="none"/>
        </w:rPr>
      </w:pPr>
    </w:p>
    <w:p w14:paraId="2149B9DE">
      <w:pPr>
        <w:pStyle w:val="97"/>
        <w:rPr>
          <w:color w:val="auto"/>
          <w:highlight w:val="none"/>
        </w:rPr>
      </w:pPr>
      <w:r>
        <w:rPr>
          <w:color w:val="auto"/>
          <w:highlight w:val="none"/>
        </w:rPr>
        <w:br w:type="page"/>
      </w:r>
    </w:p>
    <w:p w14:paraId="2856B44D">
      <w:pPr>
        <w:pStyle w:val="4"/>
        <w:spacing w:before="0" w:after="0" w:line="240" w:lineRule="auto"/>
        <w:jc w:val="center"/>
        <w:rPr>
          <w:rFonts w:ascii="宋体" w:hAnsi="宋体"/>
          <w:color w:val="auto"/>
          <w:sz w:val="44"/>
          <w:szCs w:val="44"/>
          <w:highlight w:val="none"/>
        </w:rPr>
      </w:pPr>
      <w:bookmarkStart w:id="35" w:name="_Toc176861409"/>
      <w:r>
        <w:rPr>
          <w:rFonts w:hint="eastAsia" w:ascii="宋体" w:hAnsi="宋体"/>
          <w:color w:val="auto"/>
          <w:sz w:val="44"/>
          <w:szCs w:val="44"/>
          <w:highlight w:val="none"/>
        </w:rPr>
        <w:t>第四章  采购项目需求</w:t>
      </w:r>
      <w:bookmarkEnd w:id="35"/>
    </w:p>
    <w:tbl>
      <w:tblPr>
        <w:tblStyle w:val="40"/>
        <w:tblW w:w="101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545"/>
        <w:gridCol w:w="1050"/>
        <w:gridCol w:w="6710"/>
      </w:tblGrid>
      <w:tr w14:paraId="7DB1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05" w:type="dxa"/>
            <w:gridSpan w:val="4"/>
            <w:tcBorders>
              <w:top w:val="single" w:color="auto" w:sz="4" w:space="0"/>
              <w:left w:val="single" w:color="auto" w:sz="4" w:space="0"/>
              <w:bottom w:val="single" w:color="auto" w:sz="4" w:space="0"/>
              <w:right w:val="single" w:color="auto" w:sz="4" w:space="0"/>
            </w:tcBorders>
            <w:noWrap w:val="0"/>
            <w:vAlign w:val="center"/>
          </w:tcPr>
          <w:p w14:paraId="2BBDEB53">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 w:val="32"/>
                <w:szCs w:val="32"/>
                <w:highlight w:val="none"/>
                <w:lang w:val="en-US" w:eastAsia="zh-CN"/>
              </w:rPr>
            </w:pPr>
            <w:r>
              <w:rPr>
                <w:rFonts w:hint="default"/>
                <w:color w:val="auto"/>
                <w:highlight w:val="none"/>
              </w:rPr>
              <w:t>▲</w:t>
            </w:r>
            <w:r>
              <w:rPr>
                <w:rFonts w:hint="eastAsia"/>
                <w:color w:val="auto"/>
                <w:highlight w:val="none"/>
                <w:lang w:val="en-US" w:eastAsia="zh-CN"/>
              </w:rPr>
              <w:t>一、技术要求</w:t>
            </w:r>
          </w:p>
        </w:tc>
      </w:tr>
      <w:tr w14:paraId="1BA0A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tcBorders>
              <w:top w:val="single" w:color="auto" w:sz="4" w:space="0"/>
            </w:tcBorders>
            <w:noWrap w:val="0"/>
            <w:vAlign w:val="center"/>
          </w:tcPr>
          <w:p w14:paraId="077A3D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1545" w:type="dxa"/>
            <w:tcBorders>
              <w:top w:val="single" w:color="auto" w:sz="4" w:space="0"/>
            </w:tcBorders>
            <w:noWrap w:val="0"/>
            <w:vAlign w:val="center"/>
          </w:tcPr>
          <w:p w14:paraId="58F2C75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标的名称</w:t>
            </w:r>
          </w:p>
        </w:tc>
        <w:tc>
          <w:tcPr>
            <w:tcW w:w="1050" w:type="dxa"/>
            <w:tcBorders>
              <w:top w:val="single" w:color="auto" w:sz="4" w:space="0"/>
            </w:tcBorders>
            <w:noWrap w:val="0"/>
            <w:vAlign w:val="center"/>
          </w:tcPr>
          <w:p w14:paraId="6734B7A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数量</w:t>
            </w:r>
          </w:p>
          <w:p w14:paraId="48DB5D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lang w:eastAsia="zh-CN"/>
              </w:rPr>
              <w:t>及</w:t>
            </w:r>
            <w:r>
              <w:rPr>
                <w:rFonts w:hint="default" w:ascii="Times New Roman" w:hAnsi="Times New Roman" w:eastAsia="宋体" w:cs="Times New Roman"/>
                <w:color w:val="auto"/>
                <w:sz w:val="21"/>
                <w:szCs w:val="21"/>
                <w:highlight w:val="none"/>
              </w:rPr>
              <w:t>单位</w:t>
            </w:r>
          </w:p>
        </w:tc>
        <w:tc>
          <w:tcPr>
            <w:tcW w:w="6710" w:type="dxa"/>
            <w:tcBorders>
              <w:top w:val="single" w:color="auto" w:sz="4" w:space="0"/>
            </w:tcBorders>
            <w:noWrap w:val="0"/>
            <w:vAlign w:val="center"/>
          </w:tcPr>
          <w:p w14:paraId="327BA5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lang w:eastAsia="zh-CN"/>
              </w:rPr>
              <w:t>技术要求</w:t>
            </w:r>
          </w:p>
        </w:tc>
      </w:tr>
      <w:tr w14:paraId="1A5F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00" w:type="dxa"/>
            <w:noWrap w:val="0"/>
            <w:vAlign w:val="center"/>
          </w:tcPr>
          <w:p w14:paraId="19EEF8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1</w:t>
            </w:r>
          </w:p>
        </w:tc>
        <w:tc>
          <w:tcPr>
            <w:tcW w:w="1545" w:type="dxa"/>
            <w:noWrap w:val="0"/>
            <w:vAlign w:val="center"/>
          </w:tcPr>
          <w:p w14:paraId="160A274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宋体" w:cs="Times New Roman"/>
                <w:color w:val="auto"/>
                <w:szCs w:val="21"/>
                <w:highlight w:val="none"/>
                <w:lang w:eastAsia="zh-CN"/>
              </w:rPr>
            </w:pPr>
            <w:r>
              <w:rPr>
                <w:rFonts w:hint="eastAsia" w:cs="Times New Roman"/>
                <w:color w:val="auto"/>
                <w:szCs w:val="21"/>
                <w:highlight w:val="none"/>
                <w:lang w:eastAsia="zh-CN"/>
              </w:rPr>
              <w:t>北海市海城区实验幼儿园教学楼装饰装修工程</w:t>
            </w:r>
          </w:p>
        </w:tc>
        <w:tc>
          <w:tcPr>
            <w:tcW w:w="1050" w:type="dxa"/>
            <w:noWrap w:val="0"/>
            <w:vAlign w:val="center"/>
          </w:tcPr>
          <w:p w14:paraId="6F43BF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1项</w:t>
            </w:r>
          </w:p>
        </w:tc>
        <w:tc>
          <w:tcPr>
            <w:tcW w:w="6710" w:type="dxa"/>
            <w:noWrap w:val="0"/>
            <w:vAlign w:val="center"/>
          </w:tcPr>
          <w:p w14:paraId="65C49EB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宋体" w:hAnsi="宋体" w:cs="宋体"/>
                <w:bCs/>
                <w:color w:val="auto"/>
                <w:szCs w:val="21"/>
                <w:highlight w:val="none"/>
                <w:lang w:eastAsia="zh-CN"/>
              </w:rPr>
            </w:pPr>
            <w:r>
              <w:rPr>
                <w:rFonts w:hint="eastAsia"/>
                <w:color w:val="auto"/>
                <w:highlight w:val="none"/>
                <w:lang w:val="en-US" w:eastAsia="zh-CN"/>
              </w:rPr>
              <w:t>1、</w:t>
            </w:r>
            <w:r>
              <w:rPr>
                <w:rFonts w:hint="eastAsia" w:ascii="宋体" w:hAnsi="宋体" w:eastAsia="宋体" w:cs="宋体"/>
                <w:color w:val="auto"/>
                <w:szCs w:val="21"/>
                <w:highlight w:val="none"/>
                <w:lang w:val="en-US" w:eastAsia="zh-CN"/>
              </w:rPr>
              <w:t>项目建设规模及主要建设内容：</w:t>
            </w:r>
            <w:r>
              <w:rPr>
                <w:rFonts w:hint="eastAsia" w:ascii="宋体" w:hAnsi="宋体" w:cs="宋体"/>
                <w:color w:val="auto"/>
                <w:sz w:val="21"/>
                <w:szCs w:val="21"/>
                <w:highlight w:val="none"/>
                <w:lang w:val="en-US" w:eastAsia="zh-CN"/>
              </w:rPr>
              <w:t>主要建设北海市海城区实验幼儿园教学楼装饰装修工程，施工范围工程内容:教室、游泳区、走廊、楼梯间、零星装饰、电气工程、道路工程等；具体内容详见工程量清单。</w:t>
            </w:r>
          </w:p>
          <w:p w14:paraId="7729F1D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eastAsia"/>
                <w:color w:val="auto"/>
                <w:highlight w:val="none"/>
                <w:lang w:val="en-US" w:eastAsia="zh-CN"/>
              </w:rPr>
              <w:t>2、建设地点：北海市海城区</w:t>
            </w:r>
          </w:p>
          <w:p w14:paraId="0F18BF0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eastAsia"/>
                <w:color w:val="auto"/>
                <w:highlight w:val="none"/>
                <w:lang w:val="en-US" w:eastAsia="zh-CN"/>
              </w:rPr>
              <w:t>3、质量要求：达到国家工程施工验收规范合格标准。</w:t>
            </w:r>
          </w:p>
          <w:p w14:paraId="71CAA61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eastAsia"/>
                <w:color w:val="auto"/>
                <w:highlight w:val="none"/>
                <w:lang w:val="en-US" w:eastAsia="zh-CN"/>
              </w:rPr>
              <w:t>4、</w:t>
            </w:r>
            <w:r>
              <w:rPr>
                <w:rFonts w:hint="eastAsia" w:ascii="Times New Roman" w:hAnsi="Times New Roman" w:eastAsia="宋体" w:cs="Times New Roman"/>
                <w:color w:val="auto"/>
                <w:highlight w:val="none"/>
              </w:rPr>
              <w:t>项目管理机构配备</w:t>
            </w:r>
            <w:r>
              <w:rPr>
                <w:rFonts w:hint="eastAsia" w:ascii="Times New Roman" w:hAnsi="Times New Roman" w:eastAsia="宋体" w:cs="Times New Roman"/>
                <w:color w:val="auto"/>
                <w:highlight w:val="none"/>
                <w:lang w:val="en-US" w:eastAsia="zh-CN"/>
              </w:rPr>
              <w:t>最低</w:t>
            </w:r>
            <w:r>
              <w:rPr>
                <w:rFonts w:hint="eastAsia" w:ascii="Times New Roman" w:hAnsi="Times New Roman" w:eastAsia="宋体" w:cs="Times New Roman"/>
                <w:color w:val="auto"/>
                <w:highlight w:val="none"/>
              </w:rPr>
              <w:t>要求：</w:t>
            </w:r>
            <w:r>
              <w:rPr>
                <w:rFonts w:hint="eastAsia" w:ascii="宋体" w:hAnsi="宋体" w:eastAsia="宋体" w:cs="宋体"/>
                <w:color w:val="auto"/>
                <w:szCs w:val="21"/>
                <w:highlight w:val="none"/>
                <w:lang w:val="en-US" w:eastAsia="zh-CN"/>
              </w:rPr>
              <w:t>拟投入人员不少于3人，须配备有项目经理、施工员、安全员，其中技术负责人、质量员可以由其他岗位人员兼任。</w:t>
            </w:r>
          </w:p>
          <w:p w14:paraId="1EF205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highlight w:val="none"/>
                <w:lang w:val="en-US" w:eastAsia="zh-CN"/>
              </w:rPr>
            </w:pPr>
            <w:r>
              <w:rPr>
                <w:rFonts w:hint="eastAsia"/>
                <w:color w:val="auto"/>
                <w:highlight w:val="none"/>
                <w:lang w:val="en-US" w:eastAsia="zh-CN"/>
              </w:rPr>
              <w:t>（1）项目经理：1名，具备</w:t>
            </w:r>
            <w:r>
              <w:rPr>
                <w:rFonts w:hint="eastAsia"/>
                <w:color w:val="auto"/>
                <w:highlight w:val="none"/>
                <w:u w:val="single"/>
                <w:lang w:eastAsia="zh-CN"/>
              </w:rPr>
              <w:t>“</w:t>
            </w:r>
            <w:r>
              <w:rPr>
                <w:rFonts w:hint="eastAsia"/>
                <w:color w:val="auto"/>
                <w:highlight w:val="none"/>
                <w:u w:val="single"/>
                <w:lang w:val="en-US" w:eastAsia="zh-CN"/>
              </w:rPr>
              <w:t>建筑工程</w:t>
            </w:r>
            <w:r>
              <w:rPr>
                <w:rFonts w:hint="eastAsia"/>
                <w:color w:val="auto"/>
                <w:highlight w:val="none"/>
                <w:u w:val="single"/>
                <w:lang w:eastAsia="zh-CN"/>
              </w:rPr>
              <w:t>”</w:t>
            </w:r>
            <w:r>
              <w:rPr>
                <w:rFonts w:hint="eastAsia"/>
                <w:color w:val="auto"/>
                <w:highlight w:val="none"/>
                <w:lang w:val="en-US" w:eastAsia="zh-CN"/>
              </w:rPr>
              <w:t>专业</w:t>
            </w:r>
            <w:r>
              <w:rPr>
                <w:rFonts w:hint="eastAsia"/>
                <w:color w:val="auto"/>
                <w:highlight w:val="none"/>
                <w:u w:val="none"/>
                <w:lang w:val="en-US" w:eastAsia="zh-CN"/>
              </w:rPr>
              <w:t>二</w:t>
            </w:r>
            <w:r>
              <w:rPr>
                <w:rFonts w:hint="eastAsia"/>
                <w:color w:val="auto"/>
                <w:highlight w:val="none"/>
                <w:lang w:val="en-US" w:eastAsia="zh-CN"/>
              </w:rPr>
              <w:t>级（含）以上注册建造师执业资格，具备有效的安全生产考核合格证书（B类）</w:t>
            </w:r>
            <w:r>
              <w:rPr>
                <w:rFonts w:hint="eastAsia" w:ascii="宋体" w:hAnsi="宋体" w:eastAsia="宋体" w:cs="宋体"/>
                <w:color w:val="auto"/>
                <w:highlight w:val="none"/>
                <w:lang w:eastAsia="zh-CN"/>
              </w:rPr>
              <w:t>；</w:t>
            </w:r>
          </w:p>
          <w:p w14:paraId="2154C9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eastAsia="宋体"/>
                <w:color w:val="auto"/>
                <w:highlight w:val="none"/>
                <w:lang w:val="en-US" w:eastAsia="zh-CN"/>
              </w:rPr>
            </w:pPr>
            <w:r>
              <w:rPr>
                <w:rFonts w:hint="eastAsia"/>
                <w:color w:val="auto"/>
                <w:highlight w:val="none"/>
                <w:lang w:val="en-US" w:eastAsia="zh-CN"/>
              </w:rPr>
              <w:t>（2）安全员：1名，具备有效的安全生产考核合格证书（C类）</w:t>
            </w:r>
            <w:r>
              <w:rPr>
                <w:rFonts w:hint="eastAsia" w:ascii="宋体" w:hAnsi="宋体" w:eastAsia="宋体" w:cs="宋体"/>
                <w:color w:val="auto"/>
                <w:highlight w:val="none"/>
                <w:lang w:eastAsia="zh-CN"/>
              </w:rPr>
              <w:t>；</w:t>
            </w:r>
          </w:p>
          <w:p w14:paraId="22C18E3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highlight w:val="none"/>
                <w:lang w:eastAsia="zh-CN"/>
              </w:rPr>
            </w:pPr>
            <w:r>
              <w:rPr>
                <w:rFonts w:hint="eastAsia"/>
                <w:color w:val="auto"/>
                <w:highlight w:val="none"/>
                <w:lang w:val="en-US" w:eastAsia="zh-CN"/>
              </w:rPr>
              <w:t>（3）施工员1名，</w:t>
            </w:r>
            <w:r>
              <w:rPr>
                <w:rFonts w:hint="eastAsia" w:cs="宋体"/>
                <w:color w:val="auto"/>
                <w:kern w:val="0"/>
                <w:highlight w:val="none"/>
              </w:rPr>
              <w:t>具有相应施工现场专业人</w:t>
            </w:r>
            <w:r>
              <w:rPr>
                <w:rFonts w:hint="eastAsia"/>
                <w:color w:val="auto"/>
                <w:highlight w:val="none"/>
              </w:rPr>
              <w:t>员职业培训合格证书</w:t>
            </w:r>
            <w:r>
              <w:rPr>
                <w:rFonts w:hint="eastAsia"/>
                <w:color w:val="auto"/>
                <w:highlight w:val="none"/>
                <w:lang w:eastAsia="zh-CN"/>
              </w:rPr>
              <w:t>并在有效期内</w:t>
            </w:r>
            <w:r>
              <w:rPr>
                <w:rFonts w:hint="eastAsia" w:ascii="宋体" w:hAnsi="宋体" w:eastAsia="宋体" w:cs="宋体"/>
                <w:color w:val="auto"/>
                <w:highlight w:val="none"/>
                <w:lang w:eastAsia="zh-CN"/>
              </w:rPr>
              <w:t>。</w:t>
            </w:r>
          </w:p>
          <w:p w14:paraId="2935EEE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cs="宋体"/>
                <w:color w:val="auto"/>
                <w:highlight w:val="none"/>
                <w:lang w:eastAsia="zh-CN"/>
              </w:rPr>
            </w:pPr>
            <w:r>
              <w:rPr>
                <w:rFonts w:hint="default" w:ascii="宋体" w:hAnsi="宋体" w:eastAsia="宋体" w:cs="宋体"/>
                <w:b/>
                <w:bCs/>
                <w:color w:val="auto"/>
                <w:highlight w:val="none"/>
                <w:lang w:eastAsia="zh-CN"/>
              </w:rPr>
              <w:t>响应文件中须提供项目经理、施工员、安全员证书复印件并加盖单位</w:t>
            </w:r>
            <w:r>
              <w:rPr>
                <w:rFonts w:hint="eastAsia" w:ascii="宋体" w:hAnsi="宋体" w:cs="宋体"/>
                <w:b/>
                <w:bCs/>
                <w:color w:val="auto"/>
                <w:highlight w:val="none"/>
                <w:lang w:val="en-US" w:eastAsia="zh-CN"/>
              </w:rPr>
              <w:t>电子</w:t>
            </w:r>
            <w:r>
              <w:rPr>
                <w:rFonts w:hint="default" w:ascii="宋体" w:hAnsi="宋体" w:eastAsia="宋体" w:cs="宋体"/>
                <w:b/>
                <w:bCs/>
                <w:color w:val="auto"/>
                <w:highlight w:val="none"/>
                <w:lang w:eastAsia="zh-CN"/>
              </w:rPr>
              <w:t>公章。</w:t>
            </w:r>
          </w:p>
        </w:tc>
      </w:tr>
      <w:tr w14:paraId="5C65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105" w:type="dxa"/>
            <w:gridSpan w:val="4"/>
            <w:noWrap w:val="0"/>
            <w:vAlign w:val="center"/>
          </w:tcPr>
          <w:p w14:paraId="2382479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eastAsia="宋体"/>
                <w:color w:val="auto"/>
                <w:highlight w:val="none"/>
                <w:lang w:val="en-US" w:eastAsia="zh-CN"/>
              </w:rPr>
            </w:pPr>
            <w:r>
              <w:rPr>
                <w:rFonts w:hint="default"/>
                <w:color w:val="auto"/>
                <w:highlight w:val="none"/>
              </w:rPr>
              <w:t>▲</w:t>
            </w:r>
            <w:r>
              <w:rPr>
                <w:rFonts w:hint="eastAsia"/>
                <w:color w:val="auto"/>
                <w:highlight w:val="none"/>
                <w:lang w:val="en-US" w:eastAsia="zh-CN"/>
              </w:rPr>
              <w:t>二、商务要求</w:t>
            </w:r>
          </w:p>
        </w:tc>
      </w:tr>
      <w:tr w14:paraId="3D77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05" w:type="dxa"/>
            <w:gridSpan w:val="4"/>
            <w:noWrap w:val="0"/>
            <w:vAlign w:val="center"/>
          </w:tcPr>
          <w:p w14:paraId="4A20384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w:t>
            </w:r>
            <w:r>
              <w:rPr>
                <w:rFonts w:hint="eastAsia"/>
                <w:color w:val="auto"/>
                <w:sz w:val="21"/>
                <w:szCs w:val="21"/>
                <w:highlight w:val="none"/>
              </w:rPr>
              <w:t>合同履约期限</w:t>
            </w:r>
            <w:r>
              <w:rPr>
                <w:rFonts w:hint="eastAsia"/>
                <w:color w:val="auto"/>
                <w:sz w:val="21"/>
                <w:szCs w:val="21"/>
                <w:highlight w:val="none"/>
                <w:lang w:eastAsia="zh-CN"/>
              </w:rPr>
              <w:t>（计划工期）</w:t>
            </w:r>
            <w:r>
              <w:rPr>
                <w:rFonts w:hint="eastAsia"/>
                <w:color w:val="auto"/>
                <w:highlight w:val="none"/>
                <w:lang w:val="en-US" w:eastAsia="zh-CN"/>
              </w:rPr>
              <w:t>：自合同签订之日起60天内竣工验收并交付使用。</w:t>
            </w:r>
          </w:p>
          <w:p w14:paraId="68A7C6F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eastAsia"/>
                <w:color w:val="auto"/>
                <w:highlight w:val="none"/>
                <w:lang w:val="en-US" w:eastAsia="zh-CN"/>
              </w:rPr>
              <w:t>2、质量保修期（工程缺陷责任期）</w:t>
            </w:r>
            <w:r>
              <w:rPr>
                <w:rFonts w:hint="default"/>
                <w:color w:val="auto"/>
                <w:highlight w:val="none"/>
                <w:lang w:val="en-US" w:eastAsia="zh-CN"/>
              </w:rPr>
              <w:t>：</w:t>
            </w:r>
            <w:r>
              <w:rPr>
                <w:rFonts w:hint="eastAsia"/>
                <w:color w:val="auto"/>
                <w:highlight w:val="none"/>
                <w:lang w:val="en-US" w:eastAsia="zh-CN"/>
              </w:rPr>
              <w:t>不少于12个月</w:t>
            </w:r>
            <w:r>
              <w:rPr>
                <w:rFonts w:hint="eastAsia" w:ascii="宋体" w:hAnsi="宋体" w:eastAsia="宋体" w:cs="宋体"/>
                <w:color w:val="auto"/>
                <w:szCs w:val="21"/>
                <w:highlight w:val="none"/>
                <w:u w:val="none"/>
              </w:rPr>
              <w:t>，</w:t>
            </w:r>
            <w:r>
              <w:rPr>
                <w:rFonts w:hint="eastAsia" w:ascii="宋体" w:hAnsi="宋体" w:eastAsia="宋体" w:cs="宋体"/>
                <w:color w:val="auto"/>
                <w:kern w:val="0"/>
                <w:szCs w:val="21"/>
                <w:highlight w:val="none"/>
                <w:u w:val="none"/>
              </w:rPr>
              <w:t>工程竣工验收合格，自交付使用之日起计算</w:t>
            </w:r>
            <w:r>
              <w:rPr>
                <w:rFonts w:hint="eastAsia" w:ascii="宋体" w:hAnsi="宋体" w:eastAsia="宋体" w:cs="宋体"/>
                <w:color w:val="auto"/>
                <w:szCs w:val="21"/>
                <w:highlight w:val="none"/>
                <w:u w:val="none"/>
              </w:rPr>
              <w:t>，按照《建设工程质量管理条例》执行</w:t>
            </w:r>
            <w:r>
              <w:rPr>
                <w:rFonts w:hint="eastAsia" w:ascii="宋体" w:hAnsi="宋体" w:eastAsia="宋体" w:cs="宋体"/>
                <w:color w:val="auto"/>
                <w:szCs w:val="21"/>
                <w:highlight w:val="none"/>
                <w:u w:val="none"/>
                <w:lang w:eastAsia="zh-CN"/>
              </w:rPr>
              <w:t>。</w:t>
            </w:r>
          </w:p>
          <w:p w14:paraId="089CFCD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eastAsia"/>
                <w:color w:val="auto"/>
                <w:highlight w:val="none"/>
                <w:lang w:val="en-US" w:eastAsia="zh-CN"/>
              </w:rPr>
              <w:t>3、</w:t>
            </w:r>
            <w:r>
              <w:rPr>
                <w:rFonts w:hint="default"/>
                <w:color w:val="auto"/>
                <w:highlight w:val="none"/>
                <w:lang w:val="en-US" w:eastAsia="zh-CN"/>
              </w:rPr>
              <w:t>付款方式：</w:t>
            </w:r>
          </w:p>
          <w:p w14:paraId="57966E6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lang w:val="en-US" w:eastAsia="zh-CN"/>
              </w:rPr>
            </w:pPr>
            <w:r>
              <w:rPr>
                <w:rFonts w:hint="eastAsia"/>
                <w:color w:val="auto"/>
                <w:highlight w:val="none"/>
                <w:lang w:val="en-US" w:eastAsia="zh-CN"/>
              </w:rPr>
              <w:t>（1）</w:t>
            </w:r>
            <w:r>
              <w:rPr>
                <w:rFonts w:hint="default"/>
                <w:color w:val="auto"/>
                <w:highlight w:val="none"/>
                <w:lang w:val="en-US" w:eastAsia="zh-CN"/>
              </w:rPr>
              <w:t>合同签订且成交供应商进场施工后，采购人一次性向成交供应商拨付合同价的30%作为</w:t>
            </w:r>
            <w:r>
              <w:rPr>
                <w:rFonts w:hint="eastAsia"/>
                <w:color w:val="auto"/>
                <w:highlight w:val="none"/>
                <w:lang w:val="en-US" w:eastAsia="zh-CN"/>
              </w:rPr>
              <w:t>预付款；</w:t>
            </w:r>
          </w:p>
          <w:p w14:paraId="3997C7A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eastAsia"/>
                <w:color w:val="auto"/>
                <w:highlight w:val="none"/>
                <w:lang w:val="en-US" w:eastAsia="zh-CN"/>
              </w:rPr>
              <w:t>（2）</w:t>
            </w:r>
            <w:r>
              <w:rPr>
                <w:rFonts w:hint="default"/>
                <w:color w:val="auto"/>
                <w:highlight w:val="none"/>
                <w:lang w:val="en-US" w:eastAsia="zh-CN"/>
              </w:rPr>
              <w:t>工程款按</w:t>
            </w:r>
            <w:r>
              <w:rPr>
                <w:rFonts w:hint="eastAsia"/>
                <w:color w:val="auto"/>
                <w:highlight w:val="none"/>
                <w:lang w:val="en-US" w:eastAsia="zh-CN"/>
              </w:rPr>
              <w:t>每月</w:t>
            </w:r>
            <w:r>
              <w:rPr>
                <w:rFonts w:hint="default"/>
                <w:color w:val="auto"/>
                <w:highlight w:val="none"/>
                <w:lang w:val="en-US" w:eastAsia="zh-CN"/>
              </w:rPr>
              <w:t>工程进度支付</w:t>
            </w:r>
            <w:r>
              <w:rPr>
                <w:rFonts w:hint="eastAsia"/>
                <w:color w:val="auto"/>
                <w:highlight w:val="none"/>
                <w:lang w:val="en-US" w:eastAsia="zh-CN"/>
              </w:rPr>
              <w:t>，</w:t>
            </w:r>
            <w:r>
              <w:rPr>
                <w:rFonts w:hint="default"/>
                <w:color w:val="auto"/>
                <w:highlight w:val="none"/>
                <w:lang w:val="en-US" w:eastAsia="zh-CN"/>
              </w:rPr>
              <w:t>合同内进度款支付限额为</w:t>
            </w:r>
            <w:r>
              <w:rPr>
                <w:rFonts w:hint="eastAsia"/>
                <w:color w:val="auto"/>
                <w:highlight w:val="none"/>
                <w:lang w:val="en-US" w:eastAsia="zh-CN"/>
              </w:rPr>
              <w:t>合同价的85%（</w:t>
            </w:r>
            <w:r>
              <w:rPr>
                <w:rFonts w:hint="default"/>
                <w:color w:val="auto"/>
                <w:highlight w:val="none"/>
                <w:lang w:val="en-US" w:eastAsia="zh-CN"/>
              </w:rPr>
              <w:t>以实际进度时间及完成工程量为准</w:t>
            </w:r>
            <w:r>
              <w:rPr>
                <w:rFonts w:hint="eastAsia"/>
                <w:color w:val="auto"/>
                <w:highlight w:val="none"/>
                <w:lang w:val="en-US" w:eastAsia="zh-CN"/>
              </w:rPr>
              <w:t>）</w:t>
            </w:r>
            <w:r>
              <w:rPr>
                <w:rFonts w:hint="default"/>
                <w:color w:val="auto"/>
                <w:highlight w:val="none"/>
                <w:lang w:val="en-US" w:eastAsia="zh-CN"/>
              </w:rPr>
              <w:t>。</w:t>
            </w:r>
          </w:p>
          <w:p w14:paraId="12E9F003">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eastAsia"/>
                <w:color w:val="auto"/>
                <w:highlight w:val="none"/>
                <w:lang w:val="en-US" w:eastAsia="zh-CN"/>
              </w:rPr>
              <w:t>（3）工程</w:t>
            </w:r>
            <w:r>
              <w:rPr>
                <w:rFonts w:hint="default"/>
                <w:color w:val="auto"/>
                <w:highlight w:val="none"/>
                <w:lang w:val="en-US" w:eastAsia="zh-CN"/>
              </w:rPr>
              <w:t>竣工验收并审计结算后</w:t>
            </w:r>
            <w:r>
              <w:rPr>
                <w:rFonts w:hint="eastAsia"/>
                <w:color w:val="auto"/>
                <w:highlight w:val="none"/>
                <w:lang w:val="en-US" w:eastAsia="zh-CN"/>
              </w:rPr>
              <w:t>，</w:t>
            </w:r>
            <w:r>
              <w:rPr>
                <w:rFonts w:hint="default"/>
                <w:color w:val="auto"/>
                <w:highlight w:val="none"/>
                <w:lang w:val="en-US" w:eastAsia="zh-CN"/>
              </w:rPr>
              <w:t>工程款支付至结算总价的97%。</w:t>
            </w:r>
            <w:r>
              <w:rPr>
                <w:rFonts w:hint="eastAsia"/>
                <w:color w:val="auto"/>
                <w:highlight w:val="none"/>
                <w:lang w:val="en-US" w:eastAsia="zh-CN"/>
              </w:rPr>
              <w:t>采购人</w:t>
            </w:r>
            <w:r>
              <w:rPr>
                <w:rFonts w:hint="default"/>
                <w:color w:val="auto"/>
                <w:highlight w:val="none"/>
                <w:lang w:val="en-US" w:eastAsia="zh-CN"/>
              </w:rPr>
              <w:t>按工程价款结算总额的3%预留工程质量保证金</w:t>
            </w:r>
            <w:r>
              <w:rPr>
                <w:rFonts w:hint="eastAsia"/>
                <w:color w:val="auto"/>
                <w:highlight w:val="none"/>
                <w:lang w:val="en-US" w:eastAsia="zh-CN"/>
              </w:rPr>
              <w:t>，</w:t>
            </w:r>
            <w:r>
              <w:rPr>
                <w:rFonts w:hint="default"/>
                <w:color w:val="auto"/>
                <w:highlight w:val="none"/>
                <w:lang w:val="en-US" w:eastAsia="zh-CN"/>
              </w:rPr>
              <w:t>待缺陷责任期</w:t>
            </w:r>
            <w:r>
              <w:rPr>
                <w:rFonts w:hint="eastAsia"/>
                <w:color w:val="auto"/>
                <w:highlight w:val="none"/>
                <w:lang w:val="en-US" w:eastAsia="zh-CN"/>
              </w:rPr>
              <w:t>（</w:t>
            </w:r>
            <w:r>
              <w:rPr>
                <w:rFonts w:hint="default"/>
                <w:color w:val="auto"/>
                <w:highlight w:val="none"/>
                <w:lang w:val="en-US" w:eastAsia="zh-CN"/>
              </w:rPr>
              <w:t>一年</w:t>
            </w:r>
            <w:r>
              <w:rPr>
                <w:rFonts w:hint="eastAsia"/>
                <w:color w:val="auto"/>
                <w:highlight w:val="none"/>
                <w:lang w:val="en-US" w:eastAsia="zh-CN"/>
              </w:rPr>
              <w:t>）</w:t>
            </w:r>
            <w:r>
              <w:rPr>
                <w:rFonts w:hint="default"/>
                <w:color w:val="auto"/>
                <w:highlight w:val="none"/>
                <w:lang w:val="en-US" w:eastAsia="zh-CN"/>
              </w:rPr>
              <w:t>满后一次性返还</w:t>
            </w:r>
            <w:r>
              <w:rPr>
                <w:rFonts w:hint="eastAsia"/>
                <w:color w:val="auto"/>
                <w:highlight w:val="none"/>
                <w:lang w:val="en-US" w:eastAsia="zh-CN"/>
              </w:rPr>
              <w:t>。</w:t>
            </w:r>
          </w:p>
          <w:p w14:paraId="01E3007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highlight w:val="none"/>
                <w:lang w:val="en-US" w:eastAsia="zh-CN"/>
              </w:rPr>
            </w:pPr>
            <w:r>
              <w:rPr>
                <w:rFonts w:hint="default"/>
                <w:color w:val="auto"/>
                <w:highlight w:val="none"/>
                <w:lang w:val="en-US" w:eastAsia="zh-CN"/>
              </w:rPr>
              <w:t>注</w:t>
            </w:r>
            <w:r>
              <w:rPr>
                <w:rFonts w:hint="eastAsia"/>
                <w:color w:val="auto"/>
                <w:highlight w:val="none"/>
                <w:lang w:val="en-US" w:eastAsia="zh-CN"/>
              </w:rPr>
              <w:t>：</w:t>
            </w:r>
            <w:r>
              <w:rPr>
                <w:rFonts w:hint="default"/>
                <w:color w:val="auto"/>
                <w:highlight w:val="none"/>
                <w:lang w:val="en-US" w:eastAsia="zh-CN"/>
              </w:rPr>
              <w:t>每付款前，成交供应商需开具相应金额的增值税发票给采购人。</w:t>
            </w:r>
          </w:p>
          <w:p w14:paraId="0C455D55">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宋体" w:cs="Times New Roman"/>
                <w:color w:val="auto"/>
                <w:highlight w:val="none"/>
                <w:lang w:val="en-US" w:eastAsia="zh-CN"/>
              </w:rPr>
            </w:pPr>
            <w:r>
              <w:rPr>
                <w:rFonts w:hint="eastAsia"/>
                <w:color w:val="auto"/>
                <w:highlight w:val="none"/>
                <w:lang w:val="en-US" w:eastAsia="zh-CN"/>
              </w:rPr>
              <w:t>4、</w:t>
            </w:r>
            <w:r>
              <w:rPr>
                <w:rFonts w:hint="default" w:ascii="Times New Roman" w:hAnsi="Times New Roman" w:eastAsia="宋体" w:cs="Times New Roman"/>
                <w:color w:val="auto"/>
                <w:highlight w:val="none"/>
              </w:rPr>
              <w:t>验收标准：符合现行国家相关标准、行业标准、地方标准或者其他标准、规范。</w:t>
            </w:r>
            <w:r>
              <w:rPr>
                <w:rFonts w:hint="eastAsia" w:ascii="Times New Roman" w:hAnsi="Times New Roman" w:eastAsia="宋体" w:cs="Times New Roman"/>
                <w:color w:val="auto"/>
                <w:highlight w:val="none"/>
                <w:lang w:val="en-US" w:eastAsia="zh-CN"/>
              </w:rPr>
              <w:t>上述标准、规范有冲突的以最高标准为准。</w:t>
            </w:r>
          </w:p>
        </w:tc>
      </w:tr>
    </w:tbl>
    <w:p w14:paraId="48B337A8">
      <w:pPr>
        <w:adjustRightInd w:val="0"/>
        <w:spacing w:line="360" w:lineRule="auto"/>
        <w:jc w:val="left"/>
        <w:rPr>
          <w:rFonts w:ascii="宋体" w:hAnsi="宋体" w:cs="仿宋_GB2312"/>
          <w:b/>
          <w:bCs/>
          <w:color w:val="auto"/>
          <w:sz w:val="24"/>
          <w:highlight w:val="none"/>
        </w:rPr>
      </w:pPr>
    </w:p>
    <w:p w14:paraId="594B4DF5">
      <w:pPr>
        <w:pStyle w:val="26"/>
        <w:rPr>
          <w:color w:val="auto"/>
          <w:highlight w:val="none"/>
        </w:rPr>
      </w:pPr>
    </w:p>
    <w:p w14:paraId="2BFA03E9">
      <w:pPr>
        <w:pStyle w:val="26"/>
        <w:rPr>
          <w:color w:val="auto"/>
          <w:highlight w:val="none"/>
        </w:rPr>
      </w:pPr>
    </w:p>
    <w:p w14:paraId="3B3FAFFC">
      <w:pPr>
        <w:pStyle w:val="26"/>
        <w:rPr>
          <w:color w:val="auto"/>
          <w:highlight w:val="none"/>
        </w:rPr>
      </w:pPr>
    </w:p>
    <w:p w14:paraId="37507993">
      <w:pPr>
        <w:pStyle w:val="26"/>
        <w:rPr>
          <w:color w:val="auto"/>
          <w:highlight w:val="none"/>
        </w:rPr>
      </w:pPr>
    </w:p>
    <w:p w14:paraId="6DA3C9DB">
      <w:pPr>
        <w:pStyle w:val="26"/>
        <w:rPr>
          <w:color w:val="auto"/>
          <w:highlight w:val="none"/>
        </w:rPr>
      </w:pPr>
    </w:p>
    <w:p w14:paraId="662ADAA8">
      <w:pPr>
        <w:pStyle w:val="26"/>
        <w:rPr>
          <w:color w:val="auto"/>
          <w:highlight w:val="none"/>
        </w:rPr>
      </w:pPr>
    </w:p>
    <w:p w14:paraId="6A4F94E6">
      <w:pPr>
        <w:pStyle w:val="26"/>
        <w:rPr>
          <w:color w:val="auto"/>
          <w:highlight w:val="none"/>
        </w:rPr>
      </w:pPr>
    </w:p>
    <w:p w14:paraId="53ABA436">
      <w:pPr>
        <w:pStyle w:val="26"/>
        <w:rPr>
          <w:color w:val="auto"/>
          <w:highlight w:val="none"/>
        </w:rPr>
      </w:pPr>
    </w:p>
    <w:p w14:paraId="35F95F10">
      <w:pPr>
        <w:pStyle w:val="26"/>
        <w:rPr>
          <w:color w:val="auto"/>
          <w:highlight w:val="none"/>
        </w:rPr>
      </w:pPr>
    </w:p>
    <w:p w14:paraId="0D6A8A38">
      <w:pPr>
        <w:pStyle w:val="26"/>
        <w:rPr>
          <w:color w:val="auto"/>
          <w:highlight w:val="none"/>
        </w:rPr>
      </w:pPr>
    </w:p>
    <w:p w14:paraId="2790DBC6">
      <w:pPr>
        <w:pStyle w:val="26"/>
        <w:rPr>
          <w:color w:val="auto"/>
          <w:highlight w:val="none"/>
        </w:rPr>
      </w:pPr>
    </w:p>
    <w:p w14:paraId="5D89F1ED">
      <w:pPr>
        <w:pStyle w:val="26"/>
        <w:rPr>
          <w:color w:val="auto"/>
          <w:highlight w:val="none"/>
        </w:rPr>
      </w:pPr>
    </w:p>
    <w:p w14:paraId="1235228D">
      <w:pPr>
        <w:pStyle w:val="4"/>
        <w:spacing w:before="0" w:after="0" w:line="240" w:lineRule="auto"/>
        <w:jc w:val="center"/>
        <w:rPr>
          <w:rFonts w:ascii="宋体" w:hAnsi="宋体"/>
          <w:color w:val="auto"/>
          <w:sz w:val="44"/>
          <w:szCs w:val="44"/>
          <w:highlight w:val="none"/>
        </w:rPr>
      </w:pPr>
      <w:bookmarkStart w:id="36" w:name="_Toc176861410"/>
      <w:r>
        <w:rPr>
          <w:rFonts w:hint="eastAsia" w:ascii="宋体" w:hAnsi="宋体"/>
          <w:color w:val="auto"/>
          <w:sz w:val="44"/>
          <w:szCs w:val="44"/>
          <w:highlight w:val="none"/>
        </w:rPr>
        <w:t>第五章  工程量清单及图纸</w:t>
      </w:r>
      <w:bookmarkEnd w:id="36"/>
    </w:p>
    <w:p w14:paraId="0742057C">
      <w:pPr>
        <w:rPr>
          <w:color w:val="auto"/>
          <w:sz w:val="30"/>
          <w:szCs w:val="30"/>
          <w:highlight w:val="none"/>
        </w:rPr>
      </w:pPr>
    </w:p>
    <w:p w14:paraId="46141C4E">
      <w:pPr>
        <w:rPr>
          <w:color w:val="auto"/>
          <w:sz w:val="30"/>
          <w:szCs w:val="30"/>
          <w:highlight w:val="none"/>
        </w:rPr>
      </w:pPr>
    </w:p>
    <w:p w14:paraId="0602746E">
      <w:pPr>
        <w:spacing w:line="440" w:lineRule="exact"/>
        <w:jc w:val="center"/>
        <w:rPr>
          <w:color w:val="auto"/>
          <w:sz w:val="30"/>
          <w:szCs w:val="30"/>
          <w:highlight w:val="none"/>
        </w:rPr>
      </w:pPr>
      <w:r>
        <w:rPr>
          <w:rFonts w:hint="eastAsia"/>
          <w:color w:val="auto"/>
          <w:sz w:val="30"/>
          <w:szCs w:val="30"/>
          <w:highlight w:val="none"/>
        </w:rPr>
        <w:t>工程量清单及图纸（另册）</w:t>
      </w:r>
    </w:p>
    <w:p w14:paraId="4D03072B">
      <w:pPr>
        <w:spacing w:line="440" w:lineRule="exact"/>
        <w:jc w:val="center"/>
        <w:rPr>
          <w:rFonts w:eastAsia="仿宋_GB2312"/>
          <w:color w:val="auto"/>
          <w:sz w:val="36"/>
          <w:szCs w:val="36"/>
          <w:highlight w:val="none"/>
        </w:rPr>
      </w:pPr>
    </w:p>
    <w:p w14:paraId="1D3FB5E5">
      <w:pPr>
        <w:pStyle w:val="5"/>
        <w:spacing w:before="0" w:after="0" w:line="360" w:lineRule="auto"/>
        <w:rPr>
          <w:color w:val="auto"/>
          <w:highlight w:val="none"/>
        </w:rPr>
      </w:pPr>
      <w:r>
        <w:rPr>
          <w:color w:val="auto"/>
          <w:highlight w:val="none"/>
        </w:rPr>
        <w:br w:type="page"/>
      </w:r>
    </w:p>
    <w:p w14:paraId="22F6D8D8">
      <w:pPr>
        <w:rPr>
          <w:color w:val="auto"/>
          <w:highlight w:val="none"/>
        </w:rPr>
      </w:pPr>
    </w:p>
    <w:p w14:paraId="78F7EF94">
      <w:pPr>
        <w:autoSpaceDE w:val="0"/>
        <w:autoSpaceDN w:val="0"/>
        <w:adjustRightInd w:val="0"/>
        <w:snapToGrid w:val="0"/>
        <w:spacing w:line="300" w:lineRule="auto"/>
        <w:jc w:val="center"/>
        <w:outlineLvl w:val="0"/>
        <w:rPr>
          <w:rFonts w:ascii="宋体" w:hAnsi="宋体"/>
          <w:b/>
          <w:color w:val="auto"/>
          <w:kern w:val="0"/>
          <w:sz w:val="44"/>
          <w:szCs w:val="44"/>
          <w:highlight w:val="none"/>
        </w:rPr>
      </w:pPr>
      <w:bookmarkStart w:id="37" w:name="_Toc3994507"/>
      <w:bookmarkStart w:id="38" w:name="_Toc31815"/>
      <w:bookmarkStart w:id="39" w:name="_Toc176861411"/>
      <w:r>
        <w:rPr>
          <w:rFonts w:hint="eastAsia" w:ascii="宋体" w:hAnsi="宋体"/>
          <w:b/>
          <w:color w:val="auto"/>
          <w:kern w:val="0"/>
          <w:sz w:val="44"/>
          <w:szCs w:val="44"/>
          <w:highlight w:val="none"/>
        </w:rPr>
        <w:t>第六章  合同格式</w:t>
      </w:r>
      <w:bookmarkEnd w:id="37"/>
      <w:bookmarkEnd w:id="38"/>
      <w:bookmarkEnd w:id="39"/>
    </w:p>
    <w:p w14:paraId="3D19714F">
      <w:pPr>
        <w:spacing w:line="360" w:lineRule="auto"/>
        <w:jc w:val="center"/>
        <w:rPr>
          <w:rFonts w:hint="eastAsia" w:ascii="宋体" w:hAnsi="宋体" w:eastAsia="宋体" w:cs="宋体"/>
          <w:b/>
          <w:bCs/>
          <w:color w:val="auto"/>
          <w:kern w:val="44"/>
          <w:sz w:val="72"/>
          <w:szCs w:val="72"/>
          <w:highlight w:val="none"/>
          <w:lang w:val="zh-CN"/>
        </w:rPr>
      </w:pPr>
      <w:bookmarkStart w:id="40" w:name="_Toc407135283"/>
      <w:bookmarkStart w:id="41" w:name="_Toc29015"/>
    </w:p>
    <w:p w14:paraId="1842924E">
      <w:pPr>
        <w:spacing w:line="360" w:lineRule="auto"/>
        <w:jc w:val="center"/>
        <w:rPr>
          <w:rFonts w:hint="eastAsia" w:ascii="宋体" w:hAnsi="宋体" w:eastAsia="宋体" w:cs="宋体"/>
          <w:b/>
          <w:bCs/>
          <w:color w:val="auto"/>
          <w:kern w:val="44"/>
          <w:sz w:val="72"/>
          <w:szCs w:val="72"/>
          <w:highlight w:val="none"/>
          <w:lang w:val="zh-CN"/>
        </w:rPr>
      </w:pPr>
    </w:p>
    <w:p w14:paraId="198F1626">
      <w:pPr>
        <w:spacing w:line="360" w:lineRule="auto"/>
        <w:jc w:val="center"/>
        <w:rPr>
          <w:rFonts w:ascii="宋体" w:hAnsi="宋体" w:eastAsia="宋体" w:cs="宋体"/>
          <w:b/>
          <w:bCs/>
          <w:color w:val="auto"/>
          <w:kern w:val="44"/>
          <w:sz w:val="72"/>
          <w:szCs w:val="72"/>
          <w:highlight w:val="none"/>
          <w:lang w:val="zh-CN"/>
        </w:rPr>
      </w:pPr>
      <w:r>
        <w:rPr>
          <w:rFonts w:hint="eastAsia" w:ascii="宋体" w:hAnsi="宋体" w:eastAsia="宋体" w:cs="宋体"/>
          <w:b/>
          <w:bCs/>
          <w:color w:val="auto"/>
          <w:kern w:val="44"/>
          <w:sz w:val="72"/>
          <w:szCs w:val="72"/>
          <w:highlight w:val="none"/>
          <w:lang w:val="zh-CN"/>
        </w:rPr>
        <w:t>建设工程施工合同</w:t>
      </w:r>
    </w:p>
    <w:p w14:paraId="17A5D549">
      <w:pPr>
        <w:spacing w:line="360" w:lineRule="auto"/>
        <w:rPr>
          <w:rFonts w:ascii="宋体" w:hAnsi="宋体" w:eastAsia="宋体" w:cs="宋体"/>
          <w:b/>
          <w:bCs/>
          <w:color w:val="auto"/>
          <w:kern w:val="44"/>
          <w:sz w:val="28"/>
          <w:szCs w:val="28"/>
          <w:highlight w:val="none"/>
          <w:lang w:val="zh-CN"/>
        </w:rPr>
      </w:pPr>
    </w:p>
    <w:p w14:paraId="4620EC4D">
      <w:pPr>
        <w:spacing w:line="360" w:lineRule="auto"/>
        <w:rPr>
          <w:rFonts w:ascii="宋体" w:hAnsi="宋体" w:eastAsia="宋体" w:cs="宋体"/>
          <w:b/>
          <w:bCs/>
          <w:color w:val="auto"/>
          <w:kern w:val="44"/>
          <w:sz w:val="28"/>
          <w:szCs w:val="28"/>
          <w:highlight w:val="none"/>
          <w:lang w:val="zh-CN"/>
        </w:rPr>
      </w:pPr>
    </w:p>
    <w:p w14:paraId="29C4416A">
      <w:pPr>
        <w:spacing w:line="360" w:lineRule="auto"/>
        <w:rPr>
          <w:rFonts w:ascii="宋体" w:hAnsi="宋体" w:eastAsia="宋体" w:cs="宋体"/>
          <w:b/>
          <w:bCs/>
          <w:color w:val="auto"/>
          <w:kern w:val="44"/>
          <w:sz w:val="28"/>
          <w:szCs w:val="28"/>
          <w:highlight w:val="none"/>
          <w:lang w:val="zh-CN"/>
        </w:rPr>
      </w:pPr>
    </w:p>
    <w:p w14:paraId="0479E008">
      <w:pPr>
        <w:spacing w:line="360" w:lineRule="auto"/>
        <w:rPr>
          <w:rFonts w:ascii="宋体" w:hAnsi="宋体" w:eastAsia="宋体" w:cs="宋体"/>
          <w:b/>
          <w:bCs/>
          <w:color w:val="auto"/>
          <w:kern w:val="44"/>
          <w:sz w:val="28"/>
          <w:szCs w:val="28"/>
          <w:highlight w:val="none"/>
          <w:lang w:val="zh-CN"/>
        </w:rPr>
      </w:pPr>
    </w:p>
    <w:tbl>
      <w:tblPr>
        <w:tblStyle w:val="41"/>
        <w:tblW w:w="0" w:type="auto"/>
        <w:tblInd w:w="30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82"/>
        <w:gridCol w:w="6613"/>
      </w:tblGrid>
      <w:tr w14:paraId="09A16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82" w:type="dxa"/>
            <w:noWrap w:val="0"/>
            <w:vAlign w:val="center"/>
          </w:tcPr>
          <w:p w14:paraId="73D11E83">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宋体" w:hAnsi="宋体" w:eastAsia="宋体" w:cs="宋体"/>
                <w:b w:val="0"/>
                <w:bCs w:val="0"/>
                <w:color w:val="auto"/>
                <w:kern w:val="44"/>
                <w:sz w:val="30"/>
                <w:szCs w:val="30"/>
                <w:highlight w:val="none"/>
                <w:u w:val="none"/>
                <w:vertAlign w:val="baseline"/>
                <w:lang w:val="zh-CN"/>
              </w:rPr>
            </w:pPr>
            <w:r>
              <w:rPr>
                <w:rFonts w:hint="eastAsia" w:ascii="宋体" w:hAnsi="宋体" w:eastAsia="宋体" w:cs="宋体"/>
                <w:b w:val="0"/>
                <w:bCs w:val="0"/>
                <w:color w:val="auto"/>
                <w:kern w:val="44"/>
                <w:sz w:val="30"/>
                <w:szCs w:val="30"/>
                <w:highlight w:val="none"/>
                <w:u w:val="none"/>
                <w:lang w:val="zh-CN"/>
              </w:rPr>
              <w:t>工程名称：</w:t>
            </w:r>
          </w:p>
        </w:tc>
        <w:tc>
          <w:tcPr>
            <w:tcW w:w="6613" w:type="dxa"/>
            <w:noWrap w:val="0"/>
            <w:vAlign w:val="center"/>
          </w:tcPr>
          <w:p w14:paraId="32431400">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宋体" w:hAnsi="宋体" w:eastAsia="宋体" w:cs="宋体"/>
                <w:b w:val="0"/>
                <w:bCs w:val="0"/>
                <w:color w:val="auto"/>
                <w:kern w:val="44"/>
                <w:sz w:val="30"/>
                <w:szCs w:val="30"/>
                <w:highlight w:val="none"/>
                <w:u w:val="none"/>
                <w:vertAlign w:val="baseline"/>
                <w:lang w:val="zh-CN"/>
              </w:rPr>
            </w:pPr>
            <w:r>
              <w:rPr>
                <w:rFonts w:hint="eastAsia" w:ascii="宋体" w:hAnsi="宋体" w:cs="宋体"/>
                <w:b w:val="0"/>
                <w:bCs w:val="0"/>
                <w:color w:val="auto"/>
                <w:kern w:val="44"/>
                <w:sz w:val="30"/>
                <w:szCs w:val="30"/>
                <w:highlight w:val="none"/>
                <w:u w:val="none"/>
                <w:lang w:val="en-US" w:eastAsia="zh-CN"/>
              </w:rPr>
              <w:t>北海市海城区实验幼儿园教学楼装饰装修工程</w:t>
            </w:r>
          </w:p>
        </w:tc>
      </w:tr>
      <w:tr w14:paraId="50B86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82" w:type="dxa"/>
            <w:noWrap w:val="0"/>
            <w:vAlign w:val="center"/>
          </w:tcPr>
          <w:p w14:paraId="7817E38F">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宋体" w:hAnsi="宋体" w:eastAsia="宋体" w:cs="宋体"/>
                <w:b w:val="0"/>
                <w:bCs w:val="0"/>
                <w:color w:val="auto"/>
                <w:kern w:val="44"/>
                <w:sz w:val="30"/>
                <w:szCs w:val="30"/>
                <w:highlight w:val="none"/>
                <w:u w:val="none"/>
                <w:vertAlign w:val="baseline"/>
                <w:lang w:val="zh-CN"/>
              </w:rPr>
            </w:pPr>
            <w:r>
              <w:rPr>
                <w:rFonts w:hint="eastAsia" w:ascii="宋体" w:hAnsi="宋体" w:eastAsia="宋体" w:cs="宋体"/>
                <w:b w:val="0"/>
                <w:bCs w:val="0"/>
                <w:color w:val="auto"/>
                <w:kern w:val="44"/>
                <w:sz w:val="30"/>
                <w:szCs w:val="30"/>
                <w:highlight w:val="none"/>
                <w:u w:val="none"/>
                <w:lang w:val="zh-CN"/>
              </w:rPr>
              <w:t>发包人：</w:t>
            </w:r>
          </w:p>
        </w:tc>
        <w:tc>
          <w:tcPr>
            <w:tcW w:w="6613" w:type="dxa"/>
            <w:noWrap w:val="0"/>
            <w:vAlign w:val="center"/>
          </w:tcPr>
          <w:p w14:paraId="32B8C0CE">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宋体" w:hAnsi="宋体" w:eastAsia="宋体" w:cs="宋体"/>
                <w:b w:val="0"/>
                <w:bCs w:val="0"/>
                <w:color w:val="auto"/>
                <w:kern w:val="44"/>
                <w:sz w:val="30"/>
                <w:szCs w:val="30"/>
                <w:highlight w:val="none"/>
                <w:u w:val="none"/>
                <w:vertAlign w:val="baseline"/>
                <w:lang w:val="zh-CN"/>
              </w:rPr>
            </w:pPr>
            <w:r>
              <w:rPr>
                <w:rFonts w:hint="eastAsia" w:ascii="宋体" w:hAnsi="宋体" w:cs="宋体"/>
                <w:b w:val="0"/>
                <w:bCs w:val="0"/>
                <w:color w:val="auto"/>
                <w:kern w:val="44"/>
                <w:sz w:val="30"/>
                <w:szCs w:val="30"/>
                <w:highlight w:val="none"/>
                <w:u w:val="none"/>
                <w:lang w:val="zh-CN"/>
              </w:rPr>
              <w:t>北海市海城区实验幼儿园</w:t>
            </w:r>
          </w:p>
        </w:tc>
      </w:tr>
      <w:tr w14:paraId="414C3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82" w:type="dxa"/>
            <w:noWrap w:val="0"/>
            <w:vAlign w:val="center"/>
          </w:tcPr>
          <w:p w14:paraId="46693096">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宋体" w:hAnsi="宋体" w:eastAsia="宋体" w:cs="宋体"/>
                <w:b w:val="0"/>
                <w:bCs w:val="0"/>
                <w:color w:val="auto"/>
                <w:kern w:val="44"/>
                <w:sz w:val="30"/>
                <w:szCs w:val="30"/>
                <w:highlight w:val="none"/>
                <w:u w:val="none"/>
                <w:vertAlign w:val="baseline"/>
                <w:lang w:val="zh-CN"/>
              </w:rPr>
            </w:pPr>
            <w:r>
              <w:rPr>
                <w:rFonts w:hint="eastAsia" w:ascii="宋体" w:hAnsi="宋体" w:eastAsia="宋体" w:cs="宋体"/>
                <w:b w:val="0"/>
                <w:bCs w:val="0"/>
                <w:color w:val="auto"/>
                <w:kern w:val="44"/>
                <w:sz w:val="30"/>
                <w:szCs w:val="30"/>
                <w:highlight w:val="none"/>
                <w:u w:val="none"/>
                <w:lang w:val="zh-CN"/>
              </w:rPr>
              <w:t>承包人：</w:t>
            </w:r>
          </w:p>
        </w:tc>
        <w:tc>
          <w:tcPr>
            <w:tcW w:w="6613" w:type="dxa"/>
            <w:noWrap w:val="0"/>
            <w:vAlign w:val="center"/>
          </w:tcPr>
          <w:p w14:paraId="7513CD73">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宋体" w:hAnsi="宋体" w:eastAsia="宋体" w:cs="宋体"/>
                <w:b w:val="0"/>
                <w:bCs w:val="0"/>
                <w:color w:val="auto"/>
                <w:kern w:val="44"/>
                <w:sz w:val="30"/>
                <w:szCs w:val="30"/>
                <w:highlight w:val="none"/>
                <w:u w:val="none"/>
                <w:vertAlign w:val="baseline"/>
                <w:lang w:val="zh-CN"/>
              </w:rPr>
            </w:pPr>
          </w:p>
        </w:tc>
      </w:tr>
      <w:tr w14:paraId="5024D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582" w:type="dxa"/>
            <w:noWrap w:val="0"/>
            <w:vAlign w:val="center"/>
          </w:tcPr>
          <w:p w14:paraId="3102B53F">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宋体" w:hAnsi="宋体" w:eastAsia="宋体" w:cs="宋体"/>
                <w:b w:val="0"/>
                <w:bCs w:val="0"/>
                <w:color w:val="auto"/>
                <w:kern w:val="44"/>
                <w:sz w:val="30"/>
                <w:szCs w:val="30"/>
                <w:highlight w:val="none"/>
                <w:u w:val="none"/>
                <w:vertAlign w:val="baseline"/>
                <w:lang w:val="zh-CN"/>
              </w:rPr>
            </w:pPr>
            <w:r>
              <w:rPr>
                <w:rFonts w:hint="eastAsia" w:ascii="宋体" w:hAnsi="宋体" w:eastAsia="宋体" w:cs="宋体"/>
                <w:b w:val="0"/>
                <w:bCs w:val="0"/>
                <w:color w:val="auto"/>
                <w:kern w:val="44"/>
                <w:sz w:val="30"/>
                <w:szCs w:val="30"/>
                <w:highlight w:val="none"/>
                <w:u w:val="none"/>
                <w:lang w:val="zh-CN"/>
              </w:rPr>
              <w:t>签订地点：</w:t>
            </w:r>
          </w:p>
        </w:tc>
        <w:tc>
          <w:tcPr>
            <w:tcW w:w="6613" w:type="dxa"/>
            <w:noWrap w:val="0"/>
            <w:vAlign w:val="center"/>
          </w:tcPr>
          <w:p w14:paraId="15ACC4D5">
            <w:pPr>
              <w:keepNext w:val="0"/>
              <w:keepLines w:val="0"/>
              <w:pageBreakBefore w:val="0"/>
              <w:widowControl w:val="0"/>
              <w:kinsoku/>
              <w:wordWrap/>
              <w:overflowPunct/>
              <w:topLinePunct w:val="0"/>
              <w:autoSpaceDE/>
              <w:autoSpaceDN/>
              <w:bidi w:val="0"/>
              <w:adjustRightInd/>
              <w:snapToGrid/>
              <w:spacing w:line="800" w:lineRule="exact"/>
              <w:jc w:val="both"/>
              <w:textAlignment w:val="auto"/>
              <w:rPr>
                <w:rFonts w:hint="eastAsia" w:ascii="宋体" w:hAnsi="宋体" w:eastAsia="宋体" w:cs="宋体"/>
                <w:b w:val="0"/>
                <w:bCs w:val="0"/>
                <w:color w:val="auto"/>
                <w:kern w:val="44"/>
                <w:sz w:val="30"/>
                <w:szCs w:val="30"/>
                <w:highlight w:val="none"/>
                <w:u w:val="none"/>
                <w:vertAlign w:val="baseline"/>
                <w:lang w:val="zh-CN"/>
              </w:rPr>
            </w:pPr>
          </w:p>
        </w:tc>
      </w:tr>
      <w:tr w14:paraId="7EC1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195" w:type="dxa"/>
            <w:gridSpan w:val="2"/>
            <w:noWrap w:val="0"/>
            <w:vAlign w:val="center"/>
          </w:tcPr>
          <w:p w14:paraId="6DAA0B1C">
            <w:pPr>
              <w:keepNext w:val="0"/>
              <w:keepLines w:val="0"/>
              <w:pageBreakBefore w:val="0"/>
              <w:widowControl w:val="0"/>
              <w:kinsoku/>
              <w:wordWrap/>
              <w:overflowPunct/>
              <w:topLinePunct w:val="0"/>
              <w:autoSpaceDE/>
              <w:autoSpaceDN/>
              <w:bidi w:val="0"/>
              <w:adjustRightInd/>
              <w:snapToGrid/>
              <w:spacing w:line="800" w:lineRule="exact"/>
              <w:jc w:val="center"/>
              <w:textAlignment w:val="auto"/>
              <w:rPr>
                <w:rFonts w:hint="eastAsia" w:ascii="宋体" w:hAnsi="宋体" w:eastAsia="宋体" w:cs="宋体"/>
                <w:b w:val="0"/>
                <w:bCs w:val="0"/>
                <w:color w:val="auto"/>
                <w:kern w:val="44"/>
                <w:sz w:val="30"/>
                <w:szCs w:val="30"/>
                <w:highlight w:val="none"/>
                <w:u w:val="none"/>
                <w:vertAlign w:val="baseline"/>
                <w:lang w:val="zh-CN"/>
              </w:rPr>
            </w:pPr>
            <w:r>
              <w:rPr>
                <w:rFonts w:hint="eastAsia" w:ascii="宋体" w:hAnsi="宋体" w:eastAsia="宋体" w:cs="宋体"/>
                <w:b w:val="0"/>
                <w:bCs w:val="0"/>
                <w:color w:val="auto"/>
                <w:kern w:val="44"/>
                <w:sz w:val="30"/>
                <w:szCs w:val="30"/>
                <w:highlight w:val="none"/>
                <w:u w:val="none"/>
                <w:vertAlign w:val="baseline"/>
                <w:lang w:val="zh-CN"/>
              </w:rPr>
              <w:t>签订时间：</w:t>
            </w:r>
            <w:r>
              <w:rPr>
                <w:rFonts w:hint="eastAsia" w:ascii="宋体" w:hAnsi="宋体" w:eastAsia="宋体" w:cs="宋体"/>
                <w:b w:val="0"/>
                <w:bCs w:val="0"/>
                <w:color w:val="auto"/>
                <w:kern w:val="44"/>
                <w:sz w:val="30"/>
                <w:szCs w:val="30"/>
                <w:highlight w:val="none"/>
                <w:u w:val="none"/>
                <w:vertAlign w:val="baseline"/>
                <w:lang w:val="en-US" w:eastAsia="zh-CN"/>
              </w:rPr>
              <w:t>202</w:t>
            </w:r>
            <w:r>
              <w:rPr>
                <w:rFonts w:hint="eastAsia" w:ascii="宋体" w:hAnsi="宋体" w:cs="宋体"/>
                <w:b w:val="0"/>
                <w:bCs w:val="0"/>
                <w:color w:val="auto"/>
                <w:kern w:val="44"/>
                <w:sz w:val="30"/>
                <w:szCs w:val="30"/>
                <w:highlight w:val="none"/>
                <w:u w:val="none"/>
                <w:vertAlign w:val="baseline"/>
                <w:lang w:val="en-US" w:eastAsia="zh-CN"/>
              </w:rPr>
              <w:t>6</w:t>
            </w:r>
            <w:r>
              <w:rPr>
                <w:rFonts w:hint="eastAsia" w:ascii="宋体" w:hAnsi="宋体" w:eastAsia="宋体" w:cs="宋体"/>
                <w:b w:val="0"/>
                <w:bCs w:val="0"/>
                <w:color w:val="auto"/>
                <w:kern w:val="44"/>
                <w:sz w:val="30"/>
                <w:szCs w:val="30"/>
                <w:highlight w:val="none"/>
                <w:u w:val="none"/>
                <w:vertAlign w:val="baseline"/>
                <w:lang w:val="zh-CN"/>
              </w:rPr>
              <w:t>年  月  日</w:t>
            </w:r>
          </w:p>
        </w:tc>
      </w:tr>
    </w:tbl>
    <w:p w14:paraId="21A2ABE6">
      <w:pPr>
        <w:widowControl w:val="0"/>
        <w:spacing w:line="360" w:lineRule="auto"/>
        <w:ind w:firstLine="0" w:firstLineChars="0"/>
        <w:jc w:val="center"/>
        <w:rPr>
          <w:rFonts w:hint="eastAsia" w:ascii="宋体" w:hAnsi="宋体" w:eastAsia="宋体" w:cs="宋体"/>
          <w:b/>
          <w:bCs/>
          <w:color w:val="auto"/>
          <w:kern w:val="44"/>
          <w:sz w:val="32"/>
          <w:szCs w:val="32"/>
          <w:highlight w:val="none"/>
          <w:lang w:val="zh-CN" w:eastAsia="zh-CN" w:bidi="ar-SA"/>
        </w:rPr>
      </w:pPr>
    </w:p>
    <w:bookmarkEnd w:id="40"/>
    <w:bookmarkEnd w:id="41"/>
    <w:p w14:paraId="2B010F17">
      <w:pPr>
        <w:keepNext w:val="0"/>
        <w:keepLines w:val="0"/>
        <w:pageBreakBefore w:val="0"/>
        <w:widowControl w:val="0"/>
        <w:kinsoku/>
        <w:wordWrap/>
        <w:overflowPunct/>
        <w:topLinePunct w:val="0"/>
        <w:bidi w:val="0"/>
        <w:adjustRightInd w:val="0"/>
        <w:snapToGrid w:val="0"/>
        <w:spacing w:before="156" w:beforeLines="50" w:after="156" w:afterLines="50" w:line="400" w:lineRule="exact"/>
        <w:jc w:val="center"/>
        <w:textAlignment w:val="auto"/>
        <w:outlineLvl w:val="9"/>
        <w:rPr>
          <w:rFonts w:hint="eastAsia" w:ascii="宋体" w:hAnsi="宋体" w:cs="宋体"/>
          <w:color w:val="auto"/>
          <w:sz w:val="32"/>
          <w:highlight w:val="none"/>
        </w:rPr>
      </w:pPr>
    </w:p>
    <w:p w14:paraId="0D0EB574">
      <w:pPr>
        <w:keepNext w:val="0"/>
        <w:keepLines w:val="0"/>
        <w:pageBreakBefore w:val="0"/>
        <w:widowControl w:val="0"/>
        <w:kinsoku/>
        <w:wordWrap/>
        <w:overflowPunct/>
        <w:topLinePunct w:val="0"/>
        <w:bidi w:val="0"/>
        <w:adjustRightInd w:val="0"/>
        <w:snapToGrid w:val="0"/>
        <w:spacing w:before="156" w:beforeLines="50" w:after="156" w:afterLines="50" w:line="400" w:lineRule="exact"/>
        <w:jc w:val="center"/>
        <w:textAlignment w:val="auto"/>
        <w:outlineLvl w:val="9"/>
        <w:rPr>
          <w:rFonts w:hint="eastAsia" w:ascii="宋体" w:hAnsi="宋体" w:cs="宋体"/>
          <w:color w:val="auto"/>
          <w:sz w:val="32"/>
          <w:highlight w:val="none"/>
        </w:rPr>
      </w:pPr>
    </w:p>
    <w:p w14:paraId="6822D156">
      <w:pPr>
        <w:keepNext w:val="0"/>
        <w:keepLines w:val="0"/>
        <w:pageBreakBefore w:val="0"/>
        <w:widowControl w:val="0"/>
        <w:kinsoku/>
        <w:wordWrap/>
        <w:overflowPunct/>
        <w:topLinePunct w:val="0"/>
        <w:bidi w:val="0"/>
        <w:adjustRightInd w:val="0"/>
        <w:snapToGrid w:val="0"/>
        <w:spacing w:before="156" w:beforeLines="50" w:after="156" w:afterLines="50" w:line="400" w:lineRule="exact"/>
        <w:jc w:val="center"/>
        <w:textAlignment w:val="auto"/>
        <w:outlineLvl w:val="9"/>
        <w:rPr>
          <w:rFonts w:hint="eastAsia" w:ascii="宋体" w:hAnsi="宋体" w:cs="宋体"/>
          <w:color w:val="auto"/>
          <w:sz w:val="32"/>
          <w:highlight w:val="none"/>
        </w:rPr>
      </w:pPr>
    </w:p>
    <w:p w14:paraId="1D7F45E6">
      <w:pPr>
        <w:keepNext w:val="0"/>
        <w:keepLines w:val="0"/>
        <w:pageBreakBefore w:val="0"/>
        <w:widowControl w:val="0"/>
        <w:kinsoku/>
        <w:wordWrap/>
        <w:overflowPunct/>
        <w:topLinePunct w:val="0"/>
        <w:bidi w:val="0"/>
        <w:adjustRightInd w:val="0"/>
        <w:snapToGrid w:val="0"/>
        <w:spacing w:before="156" w:beforeLines="50" w:after="156" w:afterLines="50" w:line="400" w:lineRule="exact"/>
        <w:jc w:val="center"/>
        <w:textAlignment w:val="auto"/>
        <w:outlineLvl w:val="9"/>
        <w:rPr>
          <w:rFonts w:hint="eastAsia" w:ascii="宋体" w:hAnsi="宋体" w:cs="宋体"/>
          <w:color w:val="auto"/>
          <w:sz w:val="32"/>
          <w:highlight w:val="none"/>
        </w:rPr>
      </w:pPr>
    </w:p>
    <w:p w14:paraId="264317B6">
      <w:pPr>
        <w:keepNext w:val="0"/>
        <w:keepLines w:val="0"/>
        <w:pageBreakBefore w:val="0"/>
        <w:widowControl w:val="0"/>
        <w:kinsoku/>
        <w:wordWrap/>
        <w:overflowPunct/>
        <w:topLinePunct w:val="0"/>
        <w:bidi w:val="0"/>
        <w:adjustRightInd w:val="0"/>
        <w:snapToGrid w:val="0"/>
        <w:spacing w:before="156" w:beforeLines="50" w:after="156" w:afterLines="50" w:line="400" w:lineRule="exact"/>
        <w:jc w:val="center"/>
        <w:textAlignment w:val="auto"/>
        <w:outlineLvl w:val="9"/>
        <w:rPr>
          <w:rFonts w:hint="eastAsia" w:ascii="宋体" w:hAnsi="宋体" w:cs="宋体"/>
          <w:color w:val="auto"/>
          <w:sz w:val="32"/>
          <w:highlight w:val="none"/>
        </w:rPr>
      </w:pPr>
      <w:r>
        <w:rPr>
          <w:rFonts w:hint="eastAsia" w:ascii="宋体" w:hAnsi="宋体" w:cs="宋体"/>
          <w:color w:val="auto"/>
          <w:sz w:val="32"/>
          <w:highlight w:val="none"/>
        </w:rPr>
        <w:t>第一部分  合同协议书</w:t>
      </w:r>
      <w:bookmarkStart w:id="42" w:name="_Toc337558727"/>
    </w:p>
    <w:bookmarkEnd w:id="42"/>
    <w:p w14:paraId="4E9A3EA9">
      <w:pPr>
        <w:pageBreakBefore w:val="0"/>
        <w:kinsoku/>
        <w:wordWrap/>
        <w:overflowPunct/>
        <w:topLinePunct w:val="0"/>
        <w:bidi w:val="0"/>
        <w:spacing w:line="360" w:lineRule="auto"/>
        <w:textAlignment w:val="auto"/>
        <w:rPr>
          <w:color w:val="auto"/>
          <w:highlight w:val="none"/>
          <w:u w:val="single"/>
        </w:rPr>
      </w:pPr>
      <w:r>
        <w:rPr>
          <w:rFonts w:hint="eastAsia" w:hAnsi="宋体" w:cs="宋体"/>
          <w:color w:val="auto"/>
          <w:highlight w:val="none"/>
        </w:rPr>
        <w:t>发包人（全称）：</w:t>
      </w:r>
      <w:r>
        <w:rPr>
          <w:rFonts w:hAnsi="宋体"/>
          <w:color w:val="auto"/>
          <w:highlight w:val="none"/>
          <w:u w:val="single"/>
        </w:rPr>
        <w:t xml:space="preserve">                              </w:t>
      </w:r>
    </w:p>
    <w:p w14:paraId="2568FE35">
      <w:pPr>
        <w:pageBreakBefore w:val="0"/>
        <w:kinsoku/>
        <w:wordWrap/>
        <w:overflowPunct/>
        <w:topLinePunct w:val="0"/>
        <w:bidi w:val="0"/>
        <w:spacing w:line="360" w:lineRule="auto"/>
        <w:textAlignment w:val="auto"/>
        <w:rPr>
          <w:color w:val="auto"/>
          <w:highlight w:val="none"/>
          <w:u w:val="single"/>
        </w:rPr>
      </w:pPr>
      <w:r>
        <w:rPr>
          <w:rFonts w:hint="eastAsia" w:hAnsi="宋体" w:cs="宋体"/>
          <w:color w:val="auto"/>
          <w:highlight w:val="none"/>
        </w:rPr>
        <w:t>承包人（全称）：</w:t>
      </w:r>
      <w:r>
        <w:rPr>
          <w:rFonts w:hAnsi="宋体"/>
          <w:color w:val="auto"/>
          <w:highlight w:val="none"/>
          <w:u w:val="single"/>
        </w:rPr>
        <w:t xml:space="preserve">                              </w:t>
      </w:r>
    </w:p>
    <w:p w14:paraId="43A0DC42">
      <w:pPr>
        <w:pageBreakBefore w:val="0"/>
        <w:kinsoku/>
        <w:wordWrap/>
        <w:overflowPunct/>
        <w:topLinePunct w:val="0"/>
        <w:bidi w:val="0"/>
        <w:spacing w:line="360" w:lineRule="auto"/>
        <w:ind w:firstLine="420" w:firstLineChars="200"/>
        <w:textAlignment w:val="auto"/>
        <w:rPr>
          <w:rFonts w:hAnsi="宋体"/>
          <w:color w:val="auto"/>
          <w:highlight w:val="none"/>
        </w:rPr>
      </w:pPr>
      <w:r>
        <w:rPr>
          <w:rFonts w:hint="eastAsia" w:hAnsi="宋体" w:cs="宋体"/>
          <w:color w:val="auto"/>
          <w:highlight w:val="none"/>
        </w:rPr>
        <w:t>根据《中华人民共和国民法典》、《中华人民共和国建筑法》及有关法律规定，遵循平等、自愿、公平和诚实信用的原则，双方就</w:t>
      </w:r>
      <w:r>
        <w:rPr>
          <w:color w:val="auto"/>
          <w:highlight w:val="none"/>
          <w:u w:val="single"/>
        </w:rPr>
        <w:t xml:space="preserve">   </w:t>
      </w:r>
      <w:r>
        <w:rPr>
          <w:rFonts w:hint="eastAsia"/>
          <w:color w:val="auto"/>
          <w:highlight w:val="none"/>
          <w:u w:val="single"/>
          <w:lang w:eastAsia="zh-CN"/>
        </w:rPr>
        <w:t>北海市海城区实验幼儿园教学楼装饰装修工程</w:t>
      </w:r>
      <w:r>
        <w:rPr>
          <w:color w:val="auto"/>
          <w:highlight w:val="none"/>
          <w:u w:val="single"/>
        </w:rPr>
        <w:t xml:space="preserve">   </w:t>
      </w:r>
      <w:r>
        <w:rPr>
          <w:rFonts w:hint="eastAsia" w:hAnsi="宋体" w:cs="宋体"/>
          <w:color w:val="auto"/>
          <w:highlight w:val="none"/>
        </w:rPr>
        <w:t>工程施工及有关事项协商一致，共同达成如下协议：</w:t>
      </w:r>
      <w:bookmarkStart w:id="43" w:name="_Toc351203481"/>
    </w:p>
    <w:p w14:paraId="047669B0">
      <w:pPr>
        <w:pageBreakBefore w:val="0"/>
        <w:kinsoku/>
        <w:wordWrap/>
        <w:overflowPunct/>
        <w:topLinePunct w:val="0"/>
        <w:bidi w:val="0"/>
        <w:spacing w:line="360" w:lineRule="auto"/>
        <w:ind w:firstLine="422" w:firstLineChars="200"/>
        <w:textAlignment w:val="auto"/>
        <w:outlineLvl w:val="0"/>
        <w:rPr>
          <w:b/>
          <w:bCs/>
          <w:color w:val="auto"/>
          <w:highlight w:val="none"/>
        </w:rPr>
      </w:pPr>
      <w:r>
        <w:rPr>
          <w:rFonts w:hint="eastAsia" w:hAnsi="宋体" w:cs="宋体"/>
          <w:b/>
          <w:bCs/>
          <w:color w:val="auto"/>
          <w:highlight w:val="none"/>
        </w:rPr>
        <w:t>一、工程概况</w:t>
      </w:r>
      <w:bookmarkEnd w:id="43"/>
    </w:p>
    <w:p w14:paraId="7286D74B">
      <w:pPr>
        <w:pageBreakBefore w:val="0"/>
        <w:kinsoku/>
        <w:wordWrap/>
        <w:overflowPunct/>
        <w:topLinePunct w:val="0"/>
        <w:bidi w:val="0"/>
        <w:spacing w:line="360" w:lineRule="auto"/>
        <w:ind w:firstLine="411" w:firstLineChars="196"/>
        <w:textAlignment w:val="auto"/>
        <w:rPr>
          <w:color w:val="auto"/>
          <w:highlight w:val="none"/>
          <w:u w:val="single"/>
        </w:rPr>
      </w:pPr>
      <w:r>
        <w:rPr>
          <w:color w:val="auto"/>
          <w:highlight w:val="none"/>
        </w:rPr>
        <w:t xml:space="preserve">1. </w:t>
      </w:r>
      <w:r>
        <w:rPr>
          <w:rFonts w:hint="eastAsia" w:hAnsi="宋体" w:cs="宋体"/>
          <w:color w:val="auto"/>
          <w:highlight w:val="none"/>
        </w:rPr>
        <w:t>工程名称：</w:t>
      </w:r>
      <w:r>
        <w:rPr>
          <w:color w:val="auto"/>
          <w:highlight w:val="none"/>
          <w:u w:val="single"/>
        </w:rPr>
        <w:t xml:space="preserve">  </w:t>
      </w:r>
      <w:r>
        <w:rPr>
          <w:rFonts w:hint="eastAsia"/>
          <w:color w:val="auto"/>
          <w:highlight w:val="none"/>
          <w:u w:val="single"/>
          <w:lang w:eastAsia="zh-CN"/>
        </w:rPr>
        <w:t>北海市海城区实验幼儿园教学楼装饰装修工程</w:t>
      </w:r>
      <w:r>
        <w:rPr>
          <w:rFonts w:hint="eastAsia"/>
          <w:color w:val="auto"/>
          <w:highlight w:val="none"/>
          <w:u w:val="single"/>
        </w:rPr>
        <w:t xml:space="preserve">  </w:t>
      </w:r>
      <w:r>
        <w:rPr>
          <w:rFonts w:hint="eastAsia" w:hAnsi="宋体" w:cs="宋体"/>
          <w:color w:val="auto"/>
          <w:highlight w:val="none"/>
        </w:rPr>
        <w:t>。</w:t>
      </w:r>
    </w:p>
    <w:p w14:paraId="0A341356">
      <w:pPr>
        <w:pageBreakBefore w:val="0"/>
        <w:kinsoku/>
        <w:wordWrap/>
        <w:overflowPunct/>
        <w:topLinePunct w:val="0"/>
        <w:bidi w:val="0"/>
        <w:spacing w:line="360" w:lineRule="auto"/>
        <w:ind w:firstLine="411" w:firstLineChars="196"/>
        <w:textAlignment w:val="auto"/>
        <w:rPr>
          <w:color w:val="auto"/>
          <w:highlight w:val="none"/>
        </w:rPr>
      </w:pPr>
      <w:r>
        <w:rPr>
          <w:color w:val="auto"/>
          <w:highlight w:val="none"/>
        </w:rPr>
        <w:t xml:space="preserve">2. </w:t>
      </w:r>
      <w:r>
        <w:rPr>
          <w:rFonts w:hint="eastAsia" w:hAnsi="宋体" w:cs="宋体"/>
          <w:color w:val="auto"/>
          <w:highlight w:val="none"/>
        </w:rPr>
        <w:t>工程地点：</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hAnsi="宋体" w:cs="宋体"/>
          <w:color w:val="auto"/>
          <w:highlight w:val="none"/>
        </w:rPr>
        <w:t>。</w:t>
      </w:r>
    </w:p>
    <w:p w14:paraId="2F4F0950">
      <w:pPr>
        <w:pageBreakBefore w:val="0"/>
        <w:kinsoku/>
        <w:wordWrap/>
        <w:overflowPunct/>
        <w:topLinePunct w:val="0"/>
        <w:bidi w:val="0"/>
        <w:spacing w:line="360" w:lineRule="auto"/>
        <w:ind w:firstLine="411" w:firstLineChars="196"/>
        <w:textAlignment w:val="auto"/>
        <w:rPr>
          <w:color w:val="auto"/>
          <w:highlight w:val="none"/>
        </w:rPr>
      </w:pPr>
      <w:r>
        <w:rPr>
          <w:color w:val="auto"/>
          <w:highlight w:val="none"/>
        </w:rPr>
        <w:t xml:space="preserve">3. </w:t>
      </w:r>
      <w:r>
        <w:rPr>
          <w:rFonts w:hint="eastAsia" w:hAnsi="宋体" w:cs="宋体"/>
          <w:color w:val="auto"/>
          <w:highlight w:val="none"/>
        </w:rPr>
        <w:t>工程立项批准文号：</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53B52BC5">
      <w:pPr>
        <w:pageBreakBefore w:val="0"/>
        <w:kinsoku/>
        <w:wordWrap/>
        <w:overflowPunct/>
        <w:topLinePunct w:val="0"/>
        <w:bidi w:val="0"/>
        <w:spacing w:line="360" w:lineRule="auto"/>
        <w:ind w:firstLine="411" w:firstLineChars="196"/>
        <w:textAlignment w:val="auto"/>
        <w:rPr>
          <w:color w:val="auto"/>
          <w:highlight w:val="none"/>
        </w:rPr>
      </w:pPr>
      <w:r>
        <w:rPr>
          <w:color w:val="auto"/>
          <w:highlight w:val="none"/>
        </w:rPr>
        <w:t xml:space="preserve">4. </w:t>
      </w:r>
      <w:r>
        <w:rPr>
          <w:rFonts w:hint="eastAsia" w:hAnsi="宋体" w:cs="宋体"/>
          <w:color w:val="auto"/>
          <w:highlight w:val="none"/>
        </w:rPr>
        <w:t>资金来源：</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highlight w:val="none"/>
        </w:rPr>
        <w:t>。</w:t>
      </w:r>
    </w:p>
    <w:p w14:paraId="267E2F5F">
      <w:pPr>
        <w:pageBreakBefore w:val="0"/>
        <w:kinsoku/>
        <w:wordWrap/>
        <w:overflowPunct/>
        <w:topLinePunct w:val="0"/>
        <w:bidi w:val="0"/>
        <w:spacing w:line="360" w:lineRule="auto"/>
        <w:ind w:firstLine="411" w:firstLineChars="196"/>
        <w:textAlignment w:val="auto"/>
        <w:rPr>
          <w:color w:val="auto"/>
          <w:highlight w:val="none"/>
        </w:rPr>
      </w:pPr>
      <w:r>
        <w:rPr>
          <w:color w:val="auto"/>
          <w:highlight w:val="none"/>
        </w:rPr>
        <w:t xml:space="preserve">5. </w:t>
      </w:r>
      <w:r>
        <w:rPr>
          <w:rFonts w:hint="eastAsia" w:hAnsi="宋体" w:cs="宋体"/>
          <w:color w:val="auto"/>
          <w:highlight w:val="none"/>
        </w:rPr>
        <w:t>工程内容：</w:t>
      </w:r>
      <w:r>
        <w:rPr>
          <w:color w:val="auto"/>
          <w:highlight w:val="none"/>
          <w:u w:val="single"/>
        </w:rPr>
        <w:t xml:space="preserve"> </w:t>
      </w:r>
      <w:r>
        <w:rPr>
          <w:rFonts w:hint="eastAsia"/>
          <w:color w:val="auto"/>
          <w:highlight w:val="none"/>
          <w:u w:val="single"/>
          <w:lang w:eastAsia="zh-CN"/>
        </w:rPr>
        <w:t>本工程主要建设北海市海城区实验幼儿园教学楼装饰装修工程，施工范围工程内容：教室、游泳区、走廊、楼梯间、零星装饰、电气工程、道路工程等；如需进一步了解详细内容，详见工程量清单</w:t>
      </w:r>
      <w:r>
        <w:rPr>
          <w:color w:val="auto"/>
          <w:highlight w:val="none"/>
          <w:u w:val="single"/>
        </w:rPr>
        <w:t xml:space="preserve"> </w:t>
      </w:r>
      <w:r>
        <w:rPr>
          <w:rFonts w:hint="eastAsia" w:hAnsi="宋体" w:cs="宋体"/>
          <w:color w:val="auto"/>
          <w:highlight w:val="none"/>
        </w:rPr>
        <w:t>。</w:t>
      </w:r>
    </w:p>
    <w:p w14:paraId="5A15F383">
      <w:pPr>
        <w:pageBreakBefore w:val="0"/>
        <w:kinsoku/>
        <w:wordWrap/>
        <w:overflowPunct/>
        <w:topLinePunct w:val="0"/>
        <w:bidi w:val="0"/>
        <w:spacing w:line="360" w:lineRule="auto"/>
        <w:ind w:firstLine="411" w:firstLineChars="196"/>
        <w:textAlignment w:val="auto"/>
        <w:rPr>
          <w:color w:val="auto"/>
          <w:highlight w:val="none"/>
        </w:rPr>
      </w:pPr>
      <w:r>
        <w:rPr>
          <w:rFonts w:hint="eastAsia" w:hAnsi="宋体" w:cs="宋体"/>
          <w:color w:val="auto"/>
          <w:highlight w:val="none"/>
        </w:rPr>
        <w:t>群体工程应附《承包人承揽工程项目一览表》（附件</w:t>
      </w:r>
      <w:r>
        <w:rPr>
          <w:color w:val="auto"/>
          <w:highlight w:val="none"/>
        </w:rPr>
        <w:t>1</w:t>
      </w:r>
      <w:r>
        <w:rPr>
          <w:rFonts w:hint="eastAsia" w:hAnsi="宋体" w:cs="宋体"/>
          <w:color w:val="auto"/>
          <w:highlight w:val="none"/>
        </w:rPr>
        <w:t>）。</w:t>
      </w:r>
    </w:p>
    <w:p w14:paraId="751A2362">
      <w:pPr>
        <w:pageBreakBefore w:val="0"/>
        <w:kinsoku/>
        <w:wordWrap/>
        <w:overflowPunct/>
        <w:topLinePunct w:val="0"/>
        <w:bidi w:val="0"/>
        <w:spacing w:line="360" w:lineRule="auto"/>
        <w:ind w:firstLine="411" w:firstLineChars="196"/>
        <w:textAlignment w:val="auto"/>
        <w:rPr>
          <w:rFonts w:hAnsi="宋体"/>
          <w:color w:val="auto"/>
          <w:highlight w:val="none"/>
        </w:rPr>
      </w:pPr>
      <w:r>
        <w:rPr>
          <w:color w:val="auto"/>
          <w:highlight w:val="none"/>
        </w:rPr>
        <w:t xml:space="preserve">6. </w:t>
      </w:r>
      <w:r>
        <w:rPr>
          <w:rFonts w:hint="eastAsia" w:hAnsi="宋体" w:cs="宋体"/>
          <w:color w:val="auto"/>
          <w:highlight w:val="none"/>
        </w:rPr>
        <w:t>工程承包范围：</w:t>
      </w:r>
      <w:r>
        <w:rPr>
          <w:color w:val="auto"/>
          <w:highlight w:val="none"/>
          <w:u w:val="single"/>
        </w:rPr>
        <w:t xml:space="preserve">  </w:t>
      </w:r>
      <w:r>
        <w:rPr>
          <w:rFonts w:hint="eastAsia"/>
          <w:color w:val="auto"/>
          <w:highlight w:val="none"/>
          <w:u w:val="single"/>
          <w:lang w:eastAsia="zh-CN"/>
        </w:rPr>
        <w:t>北海市海城区实验幼儿园教学楼装饰装修工程</w:t>
      </w:r>
      <w:r>
        <w:rPr>
          <w:rFonts w:hint="eastAsia"/>
          <w:color w:val="auto"/>
          <w:highlight w:val="none"/>
          <w:u w:val="single"/>
          <w:lang w:val="en-US" w:eastAsia="zh-CN"/>
        </w:rPr>
        <w:t>施工图纸及工程量清单包含的所有内容</w:t>
      </w:r>
      <w:r>
        <w:rPr>
          <w:rFonts w:hint="eastAsia"/>
          <w:color w:val="auto"/>
          <w:highlight w:val="none"/>
          <w:u w:val="single"/>
        </w:rPr>
        <w:t xml:space="preserve">  </w:t>
      </w:r>
      <w:r>
        <w:rPr>
          <w:rFonts w:hint="eastAsia" w:hAnsi="宋体" w:cs="宋体"/>
          <w:color w:val="auto"/>
          <w:highlight w:val="none"/>
        </w:rPr>
        <w:t>。</w:t>
      </w:r>
    </w:p>
    <w:p w14:paraId="618F8AD7">
      <w:pPr>
        <w:pageBreakBefore w:val="0"/>
        <w:kinsoku/>
        <w:wordWrap/>
        <w:overflowPunct/>
        <w:topLinePunct w:val="0"/>
        <w:bidi w:val="0"/>
        <w:spacing w:line="360" w:lineRule="auto"/>
        <w:ind w:firstLine="407" w:firstLineChars="193"/>
        <w:textAlignment w:val="auto"/>
        <w:outlineLvl w:val="0"/>
        <w:rPr>
          <w:b/>
          <w:bCs/>
          <w:color w:val="auto"/>
          <w:highlight w:val="none"/>
        </w:rPr>
      </w:pPr>
      <w:bookmarkStart w:id="44" w:name="_Toc351203482"/>
      <w:r>
        <w:rPr>
          <w:rFonts w:hint="eastAsia" w:hAnsi="宋体" w:cs="宋体"/>
          <w:b/>
          <w:bCs/>
          <w:color w:val="auto"/>
          <w:highlight w:val="none"/>
        </w:rPr>
        <w:t>二、合同工期</w:t>
      </w:r>
      <w:bookmarkEnd w:id="44"/>
    </w:p>
    <w:p w14:paraId="027E00E2">
      <w:pPr>
        <w:pageBreakBefore w:val="0"/>
        <w:kinsoku/>
        <w:wordWrap/>
        <w:overflowPunct/>
        <w:topLinePunct w:val="0"/>
        <w:bidi w:val="0"/>
        <w:spacing w:line="360" w:lineRule="auto"/>
        <w:ind w:firstLine="459"/>
        <w:textAlignment w:val="auto"/>
        <w:rPr>
          <w:color w:val="auto"/>
          <w:highlight w:val="none"/>
        </w:rPr>
      </w:pPr>
      <w:r>
        <w:rPr>
          <w:rFonts w:hint="eastAsia" w:hAnsi="宋体" w:cs="宋体"/>
          <w:color w:val="auto"/>
          <w:highlight w:val="none"/>
        </w:rPr>
        <w:t>计划开工日期：</w:t>
      </w:r>
      <w:r>
        <w:rPr>
          <w:rFonts w:hAnsi="宋体"/>
          <w:color w:val="auto"/>
          <w:highlight w:val="none"/>
          <w:u w:val="single"/>
        </w:rPr>
        <w:t></w:t>
      </w:r>
      <w:r>
        <w:rPr>
          <w:rFonts w:hAnsi="宋体"/>
          <w:color w:val="auto"/>
          <w:highlight w:val="none"/>
        </w:rPr>
        <w:t>年</w:t>
      </w:r>
      <w:r>
        <w:rPr>
          <w:rFonts w:hAnsi="宋体"/>
          <w:color w:val="auto"/>
          <w:highlight w:val="none"/>
          <w:u w:val="single"/>
        </w:rPr>
        <w:t></w:t>
      </w:r>
      <w:r>
        <w:rPr>
          <w:rFonts w:hAnsi="宋体"/>
          <w:color w:val="auto"/>
          <w:highlight w:val="none"/>
        </w:rPr>
        <w:t>月</w:t>
      </w:r>
      <w:r>
        <w:rPr>
          <w:rFonts w:hAnsi="宋体"/>
          <w:color w:val="auto"/>
          <w:highlight w:val="none"/>
          <w:u w:val="single"/>
        </w:rPr>
        <w:t></w:t>
      </w:r>
      <w:r>
        <w:rPr>
          <w:rFonts w:hAnsi="宋体"/>
          <w:color w:val="auto"/>
          <w:highlight w:val="none"/>
        </w:rPr>
        <w:t>日。</w:t>
      </w:r>
      <w:r>
        <w:rPr>
          <w:rFonts w:hint="eastAsia" w:hAnsi="宋体" w:cs="宋体"/>
          <w:color w:val="auto"/>
          <w:highlight w:val="none"/>
        </w:rPr>
        <w:t>（具体以发包人书面通知为准）</w:t>
      </w:r>
    </w:p>
    <w:p w14:paraId="6A544F8F">
      <w:pPr>
        <w:pageBreakBefore w:val="0"/>
        <w:kinsoku/>
        <w:wordWrap/>
        <w:overflowPunct/>
        <w:topLinePunct w:val="0"/>
        <w:bidi w:val="0"/>
        <w:spacing w:line="360" w:lineRule="auto"/>
        <w:ind w:firstLine="459"/>
        <w:textAlignment w:val="auto"/>
        <w:rPr>
          <w:color w:val="auto"/>
          <w:highlight w:val="none"/>
        </w:rPr>
      </w:pPr>
      <w:r>
        <w:rPr>
          <w:rFonts w:hint="eastAsia" w:hAnsi="宋体" w:cs="宋体"/>
          <w:color w:val="auto"/>
          <w:highlight w:val="none"/>
        </w:rPr>
        <w:t>计划竣工日期：</w:t>
      </w:r>
      <w:r>
        <w:rPr>
          <w:rFonts w:hAnsi="宋体"/>
          <w:color w:val="auto"/>
          <w:highlight w:val="none"/>
          <w:u w:val="single"/>
        </w:rPr>
        <w:t></w:t>
      </w:r>
      <w:r>
        <w:rPr>
          <w:rFonts w:hAnsi="宋体"/>
          <w:color w:val="auto"/>
          <w:highlight w:val="none"/>
        </w:rPr>
        <w:t>年</w:t>
      </w:r>
      <w:r>
        <w:rPr>
          <w:rFonts w:hAnsi="宋体"/>
          <w:color w:val="auto"/>
          <w:highlight w:val="none"/>
          <w:u w:val="single"/>
        </w:rPr>
        <w:t></w:t>
      </w:r>
      <w:r>
        <w:rPr>
          <w:rFonts w:hAnsi="宋体"/>
          <w:color w:val="auto"/>
          <w:highlight w:val="none"/>
        </w:rPr>
        <w:t>月</w:t>
      </w:r>
      <w:r>
        <w:rPr>
          <w:rFonts w:hAnsi="宋体"/>
          <w:color w:val="auto"/>
          <w:highlight w:val="none"/>
          <w:u w:val="single"/>
        </w:rPr>
        <w:t></w:t>
      </w:r>
      <w:r>
        <w:rPr>
          <w:rFonts w:hAnsi="宋体"/>
          <w:color w:val="auto"/>
          <w:highlight w:val="none"/>
        </w:rPr>
        <w:t>日</w:t>
      </w:r>
      <w:r>
        <w:rPr>
          <w:rFonts w:hint="eastAsia" w:hAnsi="宋体" w:cs="宋体"/>
          <w:color w:val="auto"/>
          <w:highlight w:val="none"/>
        </w:rPr>
        <w:t>。</w:t>
      </w:r>
    </w:p>
    <w:p w14:paraId="4212C813">
      <w:pPr>
        <w:pageBreakBefore w:val="0"/>
        <w:kinsoku/>
        <w:wordWrap/>
        <w:overflowPunct/>
        <w:topLinePunct w:val="0"/>
        <w:bidi w:val="0"/>
        <w:spacing w:line="360" w:lineRule="auto"/>
        <w:ind w:firstLine="459"/>
        <w:textAlignment w:val="auto"/>
        <w:rPr>
          <w:rFonts w:hAnsi="宋体"/>
          <w:color w:val="auto"/>
          <w:highlight w:val="none"/>
        </w:rPr>
      </w:pPr>
      <w:r>
        <w:rPr>
          <w:rFonts w:hint="eastAsia" w:hAnsi="宋体" w:cs="宋体"/>
          <w:color w:val="auto"/>
          <w:highlight w:val="none"/>
        </w:rPr>
        <w:t>工期总日历天数：</w:t>
      </w:r>
      <w:r>
        <w:rPr>
          <w:rFonts w:hint="eastAsia" w:hAnsi="宋体" w:cs="宋体"/>
          <w:color w:val="auto"/>
          <w:highlight w:val="none"/>
          <w:u w:val="single"/>
        </w:rPr>
        <w:t xml:space="preserve">         </w:t>
      </w:r>
      <w:r>
        <w:rPr>
          <w:rFonts w:hint="eastAsia" w:hAnsi="宋体" w:cs="宋体"/>
          <w:color w:val="auto"/>
          <w:highlight w:val="none"/>
        </w:rPr>
        <w:t>天。工期总日历天数与根据前述计划开竣工日期计算的工期天数不一致的，以工期总日历天数为准。</w:t>
      </w:r>
    </w:p>
    <w:p w14:paraId="42BE72F8">
      <w:pPr>
        <w:pageBreakBefore w:val="0"/>
        <w:kinsoku/>
        <w:wordWrap/>
        <w:overflowPunct/>
        <w:topLinePunct w:val="0"/>
        <w:bidi w:val="0"/>
        <w:spacing w:line="360" w:lineRule="auto"/>
        <w:ind w:firstLine="459"/>
        <w:textAlignment w:val="auto"/>
        <w:outlineLvl w:val="0"/>
        <w:rPr>
          <w:b/>
          <w:bCs/>
          <w:color w:val="auto"/>
          <w:highlight w:val="none"/>
        </w:rPr>
      </w:pPr>
      <w:bookmarkStart w:id="45" w:name="_Toc351203483"/>
      <w:r>
        <w:rPr>
          <w:rFonts w:hint="eastAsia" w:hAnsi="宋体" w:cs="宋体"/>
          <w:b/>
          <w:bCs/>
          <w:color w:val="auto"/>
          <w:highlight w:val="none"/>
        </w:rPr>
        <w:t>三、质量标准</w:t>
      </w:r>
      <w:bookmarkEnd w:id="45"/>
    </w:p>
    <w:p w14:paraId="329C9620">
      <w:pPr>
        <w:pageBreakBefore w:val="0"/>
        <w:kinsoku/>
        <w:wordWrap/>
        <w:overflowPunct/>
        <w:topLinePunct w:val="0"/>
        <w:bidi w:val="0"/>
        <w:spacing w:line="360" w:lineRule="auto"/>
        <w:ind w:firstLine="459"/>
        <w:textAlignment w:val="auto"/>
        <w:rPr>
          <w:rFonts w:hAnsi="宋体"/>
          <w:color w:val="auto"/>
          <w:highlight w:val="none"/>
        </w:rPr>
      </w:pPr>
      <w:r>
        <w:rPr>
          <w:rFonts w:hint="eastAsia" w:hAnsi="宋体" w:cs="宋体"/>
          <w:color w:val="auto"/>
          <w:highlight w:val="none"/>
        </w:rPr>
        <w:t>工程质量要求：达到国家工程施工验收规范合格标准</w:t>
      </w:r>
    </w:p>
    <w:p w14:paraId="368FC204">
      <w:pPr>
        <w:pageBreakBefore w:val="0"/>
        <w:kinsoku/>
        <w:wordWrap/>
        <w:overflowPunct/>
        <w:topLinePunct w:val="0"/>
        <w:bidi w:val="0"/>
        <w:spacing w:line="360" w:lineRule="auto"/>
        <w:ind w:firstLine="459"/>
        <w:textAlignment w:val="auto"/>
        <w:outlineLvl w:val="0"/>
        <w:rPr>
          <w:rFonts w:hAnsi="宋体"/>
          <w:b/>
          <w:bCs/>
          <w:color w:val="auto"/>
          <w:highlight w:val="none"/>
        </w:rPr>
      </w:pPr>
      <w:bookmarkStart w:id="46" w:name="_Toc351203484"/>
      <w:r>
        <w:rPr>
          <w:rFonts w:hint="eastAsia" w:hAnsi="宋体" w:cs="宋体"/>
          <w:b/>
          <w:bCs/>
          <w:color w:val="auto"/>
          <w:highlight w:val="none"/>
        </w:rPr>
        <w:t>四、签约合同价与合同价格形式</w:t>
      </w:r>
      <w:bookmarkEnd w:id="46"/>
    </w:p>
    <w:p w14:paraId="78449EB9">
      <w:pPr>
        <w:pageBreakBefore w:val="0"/>
        <w:kinsoku/>
        <w:wordWrap/>
        <w:overflowPunct/>
        <w:topLinePunct w:val="0"/>
        <w:bidi w:val="0"/>
        <w:spacing w:line="360" w:lineRule="auto"/>
        <w:ind w:firstLine="459"/>
        <w:textAlignment w:val="auto"/>
        <w:rPr>
          <w:color w:val="auto"/>
          <w:highlight w:val="none"/>
        </w:rPr>
      </w:pPr>
      <w:r>
        <w:rPr>
          <w:color w:val="auto"/>
          <w:highlight w:val="none"/>
        </w:rPr>
        <w:t xml:space="preserve">1. </w:t>
      </w:r>
      <w:r>
        <w:rPr>
          <w:rFonts w:hint="eastAsia" w:hAnsi="宋体" w:cs="宋体"/>
          <w:color w:val="auto"/>
          <w:highlight w:val="none"/>
        </w:rPr>
        <w:t>签约合同价为：</w:t>
      </w:r>
    </w:p>
    <w:p w14:paraId="1231F02B">
      <w:pPr>
        <w:pageBreakBefore w:val="0"/>
        <w:kinsoku/>
        <w:wordWrap/>
        <w:overflowPunct/>
        <w:topLinePunct w:val="0"/>
        <w:bidi w:val="0"/>
        <w:spacing w:line="360" w:lineRule="auto"/>
        <w:ind w:firstLine="525" w:firstLineChars="250"/>
        <w:textAlignment w:val="auto"/>
        <w:rPr>
          <w:rFonts w:hAnsi="宋体"/>
          <w:color w:val="auto"/>
          <w:highlight w:val="none"/>
        </w:rPr>
      </w:pPr>
      <w:r>
        <w:rPr>
          <w:rFonts w:hint="eastAsia" w:hAnsi="宋体" w:cs="宋体"/>
          <w:color w:val="auto"/>
          <w:highlight w:val="none"/>
        </w:rPr>
        <w:t>人民币（大写）</w:t>
      </w:r>
      <w:r>
        <w:rPr>
          <w:color w:val="auto"/>
          <w:highlight w:val="none"/>
          <w:u w:val="singl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6A3DB4F5">
      <w:pPr>
        <w:pageBreakBefore w:val="0"/>
        <w:kinsoku/>
        <w:wordWrap/>
        <w:overflowPunct/>
        <w:topLinePunct w:val="0"/>
        <w:bidi w:val="0"/>
        <w:spacing w:line="360" w:lineRule="auto"/>
        <w:ind w:firstLine="525" w:firstLineChars="250"/>
        <w:textAlignment w:val="auto"/>
        <w:rPr>
          <w:rFonts w:hAnsi="宋体"/>
          <w:color w:val="auto"/>
          <w:highlight w:val="none"/>
        </w:rPr>
      </w:pPr>
      <w:r>
        <w:rPr>
          <w:rFonts w:hint="eastAsia" w:hAnsi="宋体" w:cs="宋体"/>
          <w:color w:val="auto"/>
          <w:highlight w:val="none"/>
        </w:rPr>
        <w:t>其中：</w:t>
      </w:r>
    </w:p>
    <w:p w14:paraId="23C85564">
      <w:pPr>
        <w:pageBreakBefore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w:t>
      </w:r>
      <w:r>
        <w:rPr>
          <w:rFonts w:hAnsi="宋体"/>
          <w:color w:val="auto"/>
          <w:highlight w:val="none"/>
        </w:rPr>
        <w:t>1</w:t>
      </w:r>
      <w:r>
        <w:rPr>
          <w:rFonts w:hint="eastAsia" w:hAnsi="宋体" w:cs="宋体"/>
          <w:color w:val="auto"/>
          <w:highlight w:val="none"/>
        </w:rPr>
        <w:t>）安全文明施工费：</w:t>
      </w:r>
    </w:p>
    <w:p w14:paraId="62584C02">
      <w:pPr>
        <w:pageBreakBefore w:val="0"/>
        <w:kinsoku/>
        <w:wordWrap/>
        <w:overflowPunct/>
        <w:topLinePunct w:val="0"/>
        <w:bidi w:val="0"/>
        <w:spacing w:line="360" w:lineRule="auto"/>
        <w:ind w:left="420" w:leftChars="200" w:firstLine="525" w:firstLineChars="250"/>
        <w:textAlignment w:val="auto"/>
        <w:rPr>
          <w:rFonts w:hAnsi="宋体"/>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4046ECC7">
      <w:pPr>
        <w:pageBreakBefore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）材料和工程设备暂估价金额：</w:t>
      </w:r>
    </w:p>
    <w:p w14:paraId="53840744">
      <w:pPr>
        <w:pageBreakBefore w:val="0"/>
        <w:kinsoku/>
        <w:wordWrap/>
        <w:overflowPunct/>
        <w:topLinePunct w:val="0"/>
        <w:bidi w:val="0"/>
        <w:spacing w:line="360" w:lineRule="auto"/>
        <w:ind w:firstLine="945" w:firstLineChars="450"/>
        <w:textAlignment w:val="auto"/>
        <w:rPr>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050CA62A">
      <w:pPr>
        <w:pageBreakBefore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）专业工程暂估价金额：</w:t>
      </w:r>
    </w:p>
    <w:p w14:paraId="0360A562">
      <w:pPr>
        <w:pageBreakBefore w:val="0"/>
        <w:kinsoku/>
        <w:wordWrap/>
        <w:overflowPunct/>
        <w:topLinePunct w:val="0"/>
        <w:bidi w:val="0"/>
        <w:spacing w:line="360" w:lineRule="auto"/>
        <w:ind w:firstLine="945" w:firstLineChars="450"/>
        <w:textAlignment w:val="auto"/>
        <w:rPr>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1E3F81FB">
      <w:pPr>
        <w:pageBreakBefore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w:t>
      </w:r>
      <w:r>
        <w:rPr>
          <w:color w:val="auto"/>
          <w:highlight w:val="none"/>
        </w:rPr>
        <w:t>4</w:t>
      </w:r>
      <w:r>
        <w:rPr>
          <w:rFonts w:hint="eastAsia" w:hAnsi="宋体" w:cs="宋体"/>
          <w:color w:val="auto"/>
          <w:highlight w:val="none"/>
        </w:rPr>
        <w:t>）暂列金额：</w:t>
      </w:r>
    </w:p>
    <w:p w14:paraId="5E67D2B2">
      <w:pPr>
        <w:pageBreakBefore w:val="0"/>
        <w:kinsoku/>
        <w:wordWrap/>
        <w:overflowPunct/>
        <w:topLinePunct w:val="0"/>
        <w:bidi w:val="0"/>
        <w:spacing w:line="360" w:lineRule="auto"/>
        <w:ind w:firstLine="945" w:firstLineChars="450"/>
        <w:textAlignment w:val="auto"/>
        <w:rPr>
          <w:rFonts w:hAnsi="宋体"/>
          <w:color w:val="auto"/>
          <w:highlight w:val="none"/>
        </w:rPr>
      </w:pPr>
      <w:r>
        <w:rPr>
          <w:rFonts w:hint="eastAsia" w:hAnsi="宋体" w:cs="宋体"/>
          <w:color w:val="auto"/>
          <w:highlight w:val="none"/>
        </w:rPr>
        <w:t>人民币（大写）</w:t>
      </w:r>
      <w:r>
        <w:rPr>
          <w:color w:val="auto"/>
          <w:highlight w:val="none"/>
          <w:u w:val="single"/>
        </w:rPr>
        <w:t xml:space="preserve">              </w:t>
      </w:r>
      <w:r>
        <w:rPr>
          <w:color w:val="auto"/>
          <w:highlight w:val="none"/>
        </w:rPr>
        <w:t xml:space="preserve"> </w:t>
      </w:r>
      <w:r>
        <w:rPr>
          <w:rFonts w:hint="eastAsia" w:cs="宋体"/>
          <w:color w:val="auto"/>
          <w:highlight w:val="none"/>
        </w:rPr>
        <w:t>（</w:t>
      </w:r>
      <w:r>
        <w:rPr>
          <w:color w:val="auto"/>
          <w:highlight w:val="none"/>
        </w:rPr>
        <w:t>¥</w:t>
      </w:r>
      <w:r>
        <w:rPr>
          <w:color w:val="auto"/>
          <w:highlight w:val="none"/>
          <w:u w:val="single"/>
        </w:rPr>
        <w:t xml:space="preserve">          </w:t>
      </w:r>
      <w:r>
        <w:rPr>
          <w:rFonts w:hint="eastAsia" w:hAnsi="宋体" w:cs="宋体"/>
          <w:color w:val="auto"/>
          <w:highlight w:val="none"/>
        </w:rPr>
        <w:t>元</w:t>
      </w:r>
      <w:r>
        <w:rPr>
          <w:rFonts w:hint="eastAsia" w:cs="宋体"/>
          <w:color w:val="auto"/>
          <w:highlight w:val="none"/>
        </w:rPr>
        <w:t>）</w:t>
      </w:r>
      <w:r>
        <w:rPr>
          <w:rFonts w:hint="eastAsia" w:hAnsi="宋体" w:cs="宋体"/>
          <w:color w:val="auto"/>
          <w:highlight w:val="none"/>
        </w:rPr>
        <w:t>。</w:t>
      </w:r>
    </w:p>
    <w:p w14:paraId="132C8350">
      <w:pPr>
        <w:pageBreakBefore w:val="0"/>
        <w:kinsoku/>
        <w:wordWrap/>
        <w:overflowPunct/>
        <w:topLinePunct w:val="0"/>
        <w:bidi w:val="0"/>
        <w:spacing w:line="360" w:lineRule="auto"/>
        <w:ind w:firstLine="420" w:firstLineChars="200"/>
        <w:textAlignment w:val="auto"/>
        <w:rPr>
          <w:rFonts w:hint="eastAsia" w:hAnsi="宋体"/>
          <w:color w:val="auto"/>
          <w:highlight w:val="none"/>
        </w:rPr>
      </w:pPr>
      <w:r>
        <w:rPr>
          <w:color w:val="auto"/>
          <w:highlight w:val="none"/>
        </w:rPr>
        <w:t xml:space="preserve">2. </w:t>
      </w:r>
      <w:r>
        <w:rPr>
          <w:rFonts w:hint="eastAsia" w:hAnsi="宋体" w:cs="宋体"/>
          <w:color w:val="auto"/>
          <w:highlight w:val="none"/>
        </w:rPr>
        <w:t>合同价格形式：</w:t>
      </w:r>
      <w:r>
        <w:rPr>
          <w:color w:val="auto"/>
          <w:highlight w:val="none"/>
        </w:rPr>
        <w:t xml:space="preserve">   </w:t>
      </w:r>
      <w:r>
        <w:rPr>
          <w:color w:val="auto"/>
          <w:highlight w:val="none"/>
          <w:u w:val="single"/>
        </w:rPr>
        <w:t xml:space="preserve">  </w:t>
      </w:r>
      <w:r>
        <w:rPr>
          <w:rFonts w:hint="eastAsia"/>
          <w:color w:val="auto"/>
          <w:highlight w:val="none"/>
          <w:u w:val="single"/>
          <w:lang w:val="en-US" w:eastAsia="zh-CN"/>
        </w:rPr>
        <w:t>综合单价</w:t>
      </w:r>
      <w:r>
        <w:rPr>
          <w:color w:val="auto"/>
          <w:highlight w:val="none"/>
          <w:u w:val="single"/>
        </w:rPr>
        <w:t xml:space="preserve"> </w:t>
      </w:r>
      <w:r>
        <w:rPr>
          <w:rFonts w:hint="eastAsia" w:hAnsi="宋体" w:cs="宋体"/>
          <w:color w:val="auto"/>
          <w:highlight w:val="none"/>
        </w:rPr>
        <w:t>。</w:t>
      </w:r>
    </w:p>
    <w:p w14:paraId="44A09B0B">
      <w:pPr>
        <w:pageBreakBefore w:val="0"/>
        <w:kinsoku/>
        <w:wordWrap/>
        <w:overflowPunct/>
        <w:topLinePunct w:val="0"/>
        <w:bidi w:val="0"/>
        <w:spacing w:line="360" w:lineRule="auto"/>
        <w:ind w:firstLine="422" w:firstLineChars="200"/>
        <w:textAlignment w:val="auto"/>
        <w:outlineLvl w:val="0"/>
        <w:rPr>
          <w:b/>
          <w:bCs/>
          <w:color w:val="auto"/>
          <w:highlight w:val="none"/>
        </w:rPr>
      </w:pPr>
      <w:bookmarkStart w:id="47" w:name="_Toc351203485"/>
      <w:r>
        <w:rPr>
          <w:rFonts w:hint="eastAsia" w:hAnsi="宋体" w:cs="宋体"/>
          <w:b/>
          <w:bCs/>
          <w:color w:val="auto"/>
          <w:highlight w:val="none"/>
        </w:rPr>
        <w:t>五、</w:t>
      </w:r>
      <w:bookmarkEnd w:id="47"/>
      <w:r>
        <w:rPr>
          <w:rFonts w:hint="eastAsia" w:hAnsi="宋体" w:cs="宋体"/>
          <w:b/>
          <w:bCs/>
          <w:color w:val="auto"/>
          <w:highlight w:val="none"/>
        </w:rPr>
        <w:t>项目经理</w:t>
      </w:r>
    </w:p>
    <w:p w14:paraId="4831820D">
      <w:pPr>
        <w:pageBreakBefore w:val="0"/>
        <w:kinsoku/>
        <w:wordWrap/>
        <w:overflowPunct/>
        <w:topLinePunct w:val="0"/>
        <w:bidi w:val="0"/>
        <w:spacing w:line="360" w:lineRule="auto"/>
        <w:ind w:firstLine="420" w:firstLineChars="200"/>
        <w:textAlignment w:val="auto"/>
        <w:rPr>
          <w:rFonts w:hAnsi="宋体"/>
          <w:color w:val="auto"/>
          <w:highlight w:val="none"/>
        </w:rPr>
      </w:pPr>
      <w:r>
        <w:rPr>
          <w:rFonts w:hint="eastAsia" w:hAnsi="宋体" w:cs="宋体"/>
          <w:color w:val="auto"/>
          <w:highlight w:val="none"/>
        </w:rPr>
        <w:t>承包人项目经理：</w:t>
      </w:r>
      <w:r>
        <w:rPr>
          <w:color w:val="auto"/>
          <w:highlight w:val="none"/>
          <w:u w:val="single"/>
        </w:rPr>
        <w:t xml:space="preserve">                     </w:t>
      </w:r>
      <w:r>
        <w:rPr>
          <w:rFonts w:hint="eastAsia" w:hAnsi="宋体" w:cs="宋体"/>
          <w:color w:val="auto"/>
          <w:highlight w:val="none"/>
        </w:rPr>
        <w:t>。</w:t>
      </w:r>
    </w:p>
    <w:p w14:paraId="7EA239EC">
      <w:pPr>
        <w:pageBreakBefore w:val="0"/>
        <w:kinsoku/>
        <w:wordWrap/>
        <w:overflowPunct/>
        <w:topLinePunct w:val="0"/>
        <w:bidi w:val="0"/>
        <w:spacing w:line="360" w:lineRule="auto"/>
        <w:ind w:firstLine="422" w:firstLineChars="200"/>
        <w:textAlignment w:val="auto"/>
        <w:outlineLvl w:val="0"/>
        <w:rPr>
          <w:b/>
          <w:bCs/>
          <w:color w:val="auto"/>
          <w:highlight w:val="none"/>
        </w:rPr>
      </w:pPr>
      <w:bookmarkStart w:id="48" w:name="_Toc351203486"/>
      <w:r>
        <w:rPr>
          <w:rFonts w:hint="eastAsia" w:hAnsi="宋体" w:cs="宋体"/>
          <w:b/>
          <w:bCs/>
          <w:color w:val="auto"/>
          <w:highlight w:val="none"/>
        </w:rPr>
        <w:t>六、合同文件构成</w:t>
      </w:r>
      <w:bookmarkEnd w:id="48"/>
    </w:p>
    <w:p w14:paraId="13AB99F0">
      <w:pPr>
        <w:pageBreakBefore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本协议书与下列文件一起构成合同文件：</w:t>
      </w:r>
    </w:p>
    <w:p w14:paraId="245CBD0E">
      <w:pPr>
        <w:pageBreakBefore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w:t>
      </w:r>
      <w:r>
        <w:rPr>
          <w:rFonts w:hint="eastAsia" w:hAnsi="宋体" w:cs="宋体"/>
          <w:color w:val="auto"/>
          <w:highlight w:val="none"/>
          <w:lang w:eastAsia="zh-CN"/>
        </w:rPr>
        <w:t>成交通知书</w:t>
      </w:r>
      <w:r>
        <w:rPr>
          <w:rFonts w:hint="eastAsia" w:hAnsi="宋体" w:cs="宋体"/>
          <w:color w:val="auto"/>
          <w:highlight w:val="none"/>
        </w:rPr>
        <w:t>（如有）；</w:t>
      </w:r>
    </w:p>
    <w:p w14:paraId="50B56B88">
      <w:pPr>
        <w:pageBreakBefore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w:t>
      </w:r>
      <w:r>
        <w:rPr>
          <w:rFonts w:hint="eastAsia" w:hAnsi="宋体" w:cs="宋体"/>
          <w:color w:val="auto"/>
          <w:highlight w:val="none"/>
          <w:lang w:eastAsia="zh-CN"/>
        </w:rPr>
        <w:t>磋商函</w:t>
      </w:r>
      <w:r>
        <w:rPr>
          <w:rFonts w:hint="eastAsia" w:hAnsi="宋体" w:cs="宋体"/>
          <w:color w:val="auto"/>
          <w:highlight w:val="none"/>
        </w:rPr>
        <w:t>及其附录（如有）；</w:t>
      </w:r>
      <w:r>
        <w:rPr>
          <w:color w:val="auto"/>
          <w:highlight w:val="none"/>
        </w:rPr>
        <w:t xml:space="preserve"> </w:t>
      </w:r>
    </w:p>
    <w:p w14:paraId="1F81552B">
      <w:pPr>
        <w:pageBreakBefore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）专用合同条款及其附件；</w:t>
      </w:r>
    </w:p>
    <w:p w14:paraId="01DD44BB">
      <w:pPr>
        <w:pageBreakBefore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4</w:t>
      </w:r>
      <w:r>
        <w:rPr>
          <w:rFonts w:hint="eastAsia" w:hAnsi="宋体" w:cs="宋体"/>
          <w:color w:val="auto"/>
          <w:highlight w:val="none"/>
        </w:rPr>
        <w:t>）通用合同条款；</w:t>
      </w:r>
    </w:p>
    <w:p w14:paraId="69D6654B">
      <w:pPr>
        <w:pageBreakBefore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5</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u w:val="single"/>
          <w:lang w:eastAsia="zh-CN"/>
        </w:rPr>
        <w:t>采购文件</w:t>
      </w:r>
      <w:r>
        <w:rPr>
          <w:rFonts w:hint="eastAsia" w:hAnsi="宋体" w:cs="宋体"/>
          <w:color w:val="auto"/>
          <w:highlight w:val="none"/>
          <w:u w:val="single"/>
        </w:rPr>
        <w:t xml:space="preserve">及其附件（含所有补遗通知书和答疑） </w:t>
      </w:r>
      <w:r>
        <w:rPr>
          <w:rFonts w:hAnsi="宋体" w:cs="宋体"/>
          <w:color w:val="auto"/>
          <w:highlight w:val="none"/>
          <w:u w:val="single"/>
        </w:rPr>
        <w:t xml:space="preserve"> </w:t>
      </w:r>
      <w:r>
        <w:rPr>
          <w:rFonts w:hint="eastAsia" w:hAnsi="宋体" w:cs="宋体"/>
          <w:color w:val="auto"/>
          <w:highlight w:val="none"/>
        </w:rPr>
        <w:t>；</w:t>
      </w:r>
    </w:p>
    <w:p w14:paraId="56A232AF">
      <w:pPr>
        <w:pageBreakBefore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6</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u w:val="single"/>
          <w:lang w:val="en-US" w:eastAsia="zh-CN"/>
        </w:rPr>
        <w:t>技术标准和要求</w:t>
      </w:r>
      <w:r>
        <w:rPr>
          <w:rFonts w:hAnsi="宋体" w:cs="宋体"/>
          <w:color w:val="auto"/>
          <w:highlight w:val="none"/>
          <w:u w:val="single"/>
        </w:rPr>
        <w:t xml:space="preserve"> </w:t>
      </w:r>
      <w:r>
        <w:rPr>
          <w:rFonts w:hint="eastAsia" w:hAnsi="宋体" w:cs="宋体"/>
          <w:color w:val="auto"/>
          <w:highlight w:val="none"/>
        </w:rPr>
        <w:t>；</w:t>
      </w:r>
    </w:p>
    <w:p w14:paraId="0C419F1D">
      <w:pPr>
        <w:pageBreakBefore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7</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u w:val="single"/>
          <w:lang w:val="en-US" w:eastAsia="zh-CN"/>
        </w:rPr>
        <w:t>图纸（含图纸修改通知单及图纸设计变更文件）</w:t>
      </w:r>
      <w:r>
        <w:rPr>
          <w:rFonts w:hAnsi="宋体" w:cs="宋体"/>
          <w:color w:val="auto"/>
          <w:highlight w:val="none"/>
          <w:u w:val="single"/>
        </w:rPr>
        <w:t xml:space="preserve">   </w:t>
      </w:r>
      <w:r>
        <w:rPr>
          <w:rFonts w:hint="eastAsia" w:hAnsi="宋体" w:cs="宋体"/>
          <w:color w:val="auto"/>
          <w:highlight w:val="none"/>
        </w:rPr>
        <w:t>；</w:t>
      </w:r>
    </w:p>
    <w:p w14:paraId="17F06814">
      <w:pPr>
        <w:pageBreakBefore w:val="0"/>
        <w:kinsoku/>
        <w:wordWrap/>
        <w:overflowPunct/>
        <w:topLinePunct w:val="0"/>
        <w:autoSpaceDE w:val="0"/>
        <w:autoSpaceDN w:val="0"/>
        <w:bidi w:val="0"/>
        <w:adjustRightInd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w:t>
      </w:r>
      <w:r>
        <w:rPr>
          <w:rFonts w:hint="eastAsia" w:hAnsi="宋体" w:cs="宋体"/>
          <w:color w:val="auto"/>
          <w:highlight w:val="none"/>
          <w:lang w:val="en-US" w:eastAsia="zh-CN"/>
        </w:rPr>
        <w:t>8</w:t>
      </w:r>
      <w:r>
        <w:rPr>
          <w:rFonts w:hint="eastAsia" w:hAnsi="宋体" w:cs="宋体"/>
          <w:color w:val="auto"/>
          <w:highlight w:val="none"/>
        </w:rPr>
        <w:t>）</w:t>
      </w:r>
      <w:r>
        <w:rPr>
          <w:rFonts w:hint="eastAsia" w:hAnsi="宋体" w:cs="宋体"/>
          <w:color w:val="auto"/>
          <w:highlight w:val="none"/>
          <w:u w:val="single"/>
        </w:rPr>
        <w:t xml:space="preserve"> </w:t>
      </w:r>
      <w:r>
        <w:rPr>
          <w:rFonts w:hint="eastAsia" w:hAnsi="宋体" w:cs="宋体"/>
          <w:color w:val="auto"/>
          <w:highlight w:val="none"/>
          <w:u w:val="single"/>
          <w:lang w:val="en-US" w:eastAsia="zh-CN"/>
        </w:rPr>
        <w:t>已标价工程量清单</w:t>
      </w:r>
      <w:r>
        <w:rPr>
          <w:rFonts w:hint="eastAsia" w:hAnsi="宋体" w:cs="宋体"/>
          <w:color w:val="auto"/>
          <w:highlight w:val="none"/>
          <w:u w:val="single"/>
        </w:rPr>
        <w:t xml:space="preserve">  </w:t>
      </w:r>
      <w:r>
        <w:rPr>
          <w:rFonts w:hint="eastAsia" w:hAnsi="宋体" w:cs="宋体"/>
          <w:color w:val="auto"/>
          <w:highlight w:val="none"/>
        </w:rPr>
        <w:t>；</w:t>
      </w:r>
    </w:p>
    <w:p w14:paraId="20821733">
      <w:pPr>
        <w:pageBreakBefore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w:t>
      </w:r>
      <w:r>
        <w:rPr>
          <w:rFonts w:hint="eastAsia"/>
          <w:color w:val="auto"/>
          <w:highlight w:val="none"/>
          <w:lang w:val="en-US" w:eastAsia="zh-CN"/>
        </w:rPr>
        <w:t>9</w:t>
      </w:r>
      <w:r>
        <w:rPr>
          <w:rFonts w:hint="eastAsia" w:hAnsi="宋体" w:cs="宋体"/>
          <w:color w:val="auto"/>
          <w:highlight w:val="none"/>
        </w:rPr>
        <w:t>）其他合同文件：</w:t>
      </w:r>
    </w:p>
    <w:p w14:paraId="1CED23C6">
      <w:pPr>
        <w:pageBreakBefore w:val="0"/>
        <w:kinsoku/>
        <w:wordWrap/>
        <w:overflowPunct/>
        <w:topLinePunct w:val="0"/>
        <w:autoSpaceDE w:val="0"/>
        <w:autoSpaceDN w:val="0"/>
        <w:bidi w:val="0"/>
        <w:adjustRightInd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上述各项合同文件包括当事人就该项合同文件所作出的补充和修改，属于同一类内容的文件，应以最新签署的为准（违反</w:t>
      </w:r>
      <w:r>
        <w:rPr>
          <w:rFonts w:hint="eastAsia" w:hAnsi="宋体" w:cs="宋体"/>
          <w:color w:val="auto"/>
          <w:highlight w:val="none"/>
          <w:lang w:eastAsia="zh-CN"/>
        </w:rPr>
        <w:t>采购文件</w:t>
      </w:r>
      <w:r>
        <w:rPr>
          <w:rFonts w:hAnsi="宋体" w:cs="宋体"/>
          <w:color w:val="auto"/>
          <w:highlight w:val="none"/>
        </w:rPr>
        <w:t>实质性内容的约定除外</w:t>
      </w:r>
      <w:r>
        <w:rPr>
          <w:rFonts w:hint="eastAsia" w:hAnsi="宋体" w:cs="宋体"/>
          <w:color w:val="auto"/>
          <w:highlight w:val="none"/>
        </w:rPr>
        <w:t>）。专用合同条款及其附件须经合同当事人签字或盖章。</w:t>
      </w:r>
    </w:p>
    <w:p w14:paraId="11F26E45">
      <w:pPr>
        <w:pageBreakBefore w:val="0"/>
        <w:kinsoku/>
        <w:wordWrap/>
        <w:overflowPunct/>
        <w:topLinePunct w:val="0"/>
        <w:autoSpaceDE w:val="0"/>
        <w:autoSpaceDN w:val="0"/>
        <w:bidi w:val="0"/>
        <w:adjustRightInd w:val="0"/>
        <w:spacing w:line="360" w:lineRule="auto"/>
        <w:ind w:firstLine="422" w:firstLineChars="200"/>
        <w:jc w:val="left"/>
        <w:textAlignment w:val="auto"/>
        <w:outlineLvl w:val="0"/>
        <w:rPr>
          <w:b/>
          <w:bCs/>
          <w:color w:val="auto"/>
          <w:highlight w:val="none"/>
        </w:rPr>
      </w:pPr>
      <w:bookmarkStart w:id="49" w:name="_Toc351203487"/>
      <w:r>
        <w:rPr>
          <w:rFonts w:hint="eastAsia" w:hAnsi="宋体" w:cs="宋体"/>
          <w:b/>
          <w:bCs/>
          <w:color w:val="auto"/>
          <w:highlight w:val="none"/>
        </w:rPr>
        <w:t>七、承诺</w:t>
      </w:r>
      <w:bookmarkEnd w:id="49"/>
    </w:p>
    <w:p w14:paraId="18C3CD71">
      <w:pPr>
        <w:pageBreakBefore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1. </w:t>
      </w:r>
      <w:r>
        <w:rPr>
          <w:rFonts w:hint="eastAsia" w:hAnsi="宋体" w:cs="宋体"/>
          <w:color w:val="auto"/>
          <w:highlight w:val="none"/>
        </w:rPr>
        <w:t>发包人承诺按照法律规定履行项目审批手续、筹集工程建设资金并按照合同约定的期限和方式支付合同价款。</w:t>
      </w:r>
    </w:p>
    <w:p w14:paraId="28678543">
      <w:pPr>
        <w:pageBreakBefore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2. </w:t>
      </w:r>
      <w:r>
        <w:rPr>
          <w:rFonts w:hint="eastAsia" w:hAnsi="宋体" w:cs="宋体"/>
          <w:color w:val="auto"/>
          <w:highlight w:val="none"/>
        </w:rPr>
        <w:t>承包人承诺按照法律规定及合同约定组织完成工程施工，确保工程质量和安全，不进行转包及违法分包，并在缺陷责任期及保修期内承担相应的工程维修责任。</w:t>
      </w:r>
    </w:p>
    <w:p w14:paraId="5E1CAB01">
      <w:pPr>
        <w:pageBreakBefore w:val="0"/>
        <w:kinsoku/>
        <w:wordWrap/>
        <w:overflowPunct/>
        <w:topLinePunct w:val="0"/>
        <w:bidi w:val="0"/>
        <w:spacing w:line="360" w:lineRule="auto"/>
        <w:ind w:firstLine="420" w:firstLineChars="200"/>
        <w:textAlignment w:val="auto"/>
        <w:rPr>
          <w:rFonts w:hAnsi="宋体"/>
          <w:color w:val="auto"/>
          <w:highlight w:val="none"/>
        </w:rPr>
      </w:pPr>
      <w:r>
        <w:rPr>
          <w:color w:val="auto"/>
          <w:highlight w:val="none"/>
        </w:rPr>
        <w:t xml:space="preserve">3. </w:t>
      </w:r>
      <w:r>
        <w:rPr>
          <w:rFonts w:hint="eastAsia" w:hAnsi="宋体" w:cs="宋体"/>
          <w:color w:val="auto"/>
          <w:highlight w:val="none"/>
        </w:rPr>
        <w:t>发包人和承包人通过招投标形式签订合同的，双方理解并承诺不再就同一工程另行签订与合同实质性内容相背离的协议。</w:t>
      </w:r>
      <w:bookmarkStart w:id="50" w:name="_Toc351203488"/>
    </w:p>
    <w:p w14:paraId="5D82F968">
      <w:pPr>
        <w:pageBreakBefore w:val="0"/>
        <w:kinsoku/>
        <w:wordWrap/>
        <w:overflowPunct/>
        <w:topLinePunct w:val="0"/>
        <w:bidi w:val="0"/>
        <w:spacing w:line="360" w:lineRule="auto"/>
        <w:ind w:firstLine="422" w:firstLineChars="200"/>
        <w:textAlignment w:val="auto"/>
        <w:outlineLvl w:val="0"/>
        <w:rPr>
          <w:b/>
          <w:bCs/>
          <w:color w:val="auto"/>
          <w:highlight w:val="none"/>
        </w:rPr>
      </w:pPr>
      <w:r>
        <w:rPr>
          <w:rFonts w:hint="eastAsia" w:hAnsi="宋体" w:cs="宋体"/>
          <w:b/>
          <w:bCs/>
          <w:color w:val="auto"/>
          <w:highlight w:val="none"/>
        </w:rPr>
        <w:t>八、词语含义</w:t>
      </w:r>
      <w:bookmarkEnd w:id="50"/>
    </w:p>
    <w:p w14:paraId="50D2F3FA">
      <w:pPr>
        <w:pageBreakBefore w:val="0"/>
        <w:kinsoku/>
        <w:wordWrap/>
        <w:overflowPunct/>
        <w:topLinePunct w:val="0"/>
        <w:bidi w:val="0"/>
        <w:spacing w:line="360" w:lineRule="auto"/>
        <w:ind w:firstLine="420" w:firstLineChars="200"/>
        <w:textAlignment w:val="auto"/>
        <w:rPr>
          <w:rFonts w:hAnsi="宋体"/>
          <w:color w:val="auto"/>
          <w:highlight w:val="none"/>
        </w:rPr>
      </w:pPr>
      <w:r>
        <w:rPr>
          <w:rFonts w:hint="eastAsia" w:hAnsi="宋体" w:cs="宋体"/>
          <w:color w:val="auto"/>
          <w:highlight w:val="none"/>
        </w:rPr>
        <w:t>本协议书中词语含义与第二部分通用合同条款中赋予的含义相同。</w:t>
      </w:r>
    </w:p>
    <w:p w14:paraId="1D855EAE">
      <w:pPr>
        <w:pageBreakBefore w:val="0"/>
        <w:kinsoku/>
        <w:wordWrap/>
        <w:overflowPunct/>
        <w:topLinePunct w:val="0"/>
        <w:bidi w:val="0"/>
        <w:spacing w:line="360" w:lineRule="auto"/>
        <w:ind w:firstLine="422" w:firstLineChars="200"/>
        <w:textAlignment w:val="auto"/>
        <w:outlineLvl w:val="0"/>
        <w:rPr>
          <w:b/>
          <w:bCs/>
          <w:color w:val="auto"/>
          <w:highlight w:val="none"/>
        </w:rPr>
      </w:pPr>
      <w:bookmarkStart w:id="51" w:name="_Toc351203489"/>
      <w:r>
        <w:rPr>
          <w:rFonts w:hint="eastAsia" w:hAnsi="宋体" w:cs="宋体"/>
          <w:b/>
          <w:bCs/>
          <w:color w:val="auto"/>
          <w:highlight w:val="none"/>
        </w:rPr>
        <w:t>九、签订时间</w:t>
      </w:r>
      <w:bookmarkEnd w:id="51"/>
    </w:p>
    <w:p w14:paraId="5530ECED">
      <w:pPr>
        <w:pageBreakBefore w:val="0"/>
        <w:kinsoku/>
        <w:wordWrap/>
        <w:overflowPunct/>
        <w:topLinePunct w:val="0"/>
        <w:bidi w:val="0"/>
        <w:spacing w:line="360" w:lineRule="auto"/>
        <w:ind w:firstLine="420" w:firstLineChars="200"/>
        <w:textAlignment w:val="auto"/>
        <w:rPr>
          <w:rFonts w:hAnsi="宋体"/>
          <w:color w:val="auto"/>
          <w:highlight w:val="none"/>
        </w:rPr>
      </w:pPr>
      <w:r>
        <w:rPr>
          <w:rFonts w:hint="eastAsia" w:hAnsi="宋体" w:cs="宋体"/>
          <w:color w:val="auto"/>
          <w:highlight w:val="none"/>
        </w:rPr>
        <w:t>本合同于</w:t>
      </w:r>
      <w:r>
        <w:rPr>
          <w:color w:val="auto"/>
          <w:highlight w:val="none"/>
          <w:u w:val="single"/>
        </w:rPr>
        <w:t xml:space="preserve">         </w:t>
      </w:r>
      <w:r>
        <w:rPr>
          <w:rFonts w:hint="eastAsia" w:hAnsi="宋体" w:cs="宋体"/>
          <w:color w:val="auto"/>
          <w:highlight w:val="none"/>
        </w:rPr>
        <w:t>年</w:t>
      </w:r>
      <w:r>
        <w:rPr>
          <w:color w:val="auto"/>
          <w:highlight w:val="none"/>
          <w:u w:val="single"/>
        </w:rPr>
        <w:t xml:space="preserve">    </w:t>
      </w:r>
      <w:r>
        <w:rPr>
          <w:rFonts w:hint="eastAsia" w:hAnsi="宋体" w:cs="宋体"/>
          <w:color w:val="auto"/>
          <w:highlight w:val="none"/>
        </w:rPr>
        <w:t>月</w:t>
      </w:r>
      <w:r>
        <w:rPr>
          <w:color w:val="auto"/>
          <w:highlight w:val="none"/>
          <w:u w:val="single"/>
        </w:rPr>
        <w:t xml:space="preserve">    </w:t>
      </w:r>
      <w:r>
        <w:rPr>
          <w:rFonts w:hint="eastAsia" w:hAnsi="宋体" w:cs="宋体"/>
          <w:color w:val="auto"/>
          <w:highlight w:val="none"/>
        </w:rPr>
        <w:t>日签订。</w:t>
      </w:r>
    </w:p>
    <w:p w14:paraId="3A0F1EF1">
      <w:pPr>
        <w:pageBreakBefore w:val="0"/>
        <w:kinsoku/>
        <w:wordWrap/>
        <w:overflowPunct/>
        <w:topLinePunct w:val="0"/>
        <w:bidi w:val="0"/>
        <w:spacing w:line="360" w:lineRule="auto"/>
        <w:ind w:firstLine="422" w:firstLineChars="200"/>
        <w:textAlignment w:val="auto"/>
        <w:outlineLvl w:val="0"/>
        <w:rPr>
          <w:b/>
          <w:bCs/>
          <w:color w:val="auto"/>
          <w:highlight w:val="none"/>
        </w:rPr>
      </w:pPr>
      <w:bookmarkStart w:id="52" w:name="_Toc351203490"/>
      <w:r>
        <w:rPr>
          <w:rFonts w:hint="eastAsia" w:hAnsi="宋体" w:cs="宋体"/>
          <w:b/>
          <w:bCs/>
          <w:color w:val="auto"/>
          <w:highlight w:val="none"/>
        </w:rPr>
        <w:t>十、签订地点</w:t>
      </w:r>
      <w:bookmarkEnd w:id="52"/>
    </w:p>
    <w:p w14:paraId="53F02B7D">
      <w:pPr>
        <w:pageBreakBefore w:val="0"/>
        <w:kinsoku/>
        <w:wordWrap/>
        <w:overflowPunct/>
        <w:topLinePunct w:val="0"/>
        <w:bidi w:val="0"/>
        <w:spacing w:line="360" w:lineRule="auto"/>
        <w:ind w:firstLine="420" w:firstLineChars="200"/>
        <w:textAlignment w:val="auto"/>
        <w:rPr>
          <w:rFonts w:hAnsi="宋体"/>
          <w:color w:val="auto"/>
          <w:highlight w:val="none"/>
        </w:rPr>
      </w:pPr>
      <w:r>
        <w:rPr>
          <w:rFonts w:hint="eastAsia" w:hAnsi="宋体" w:cs="宋体"/>
          <w:color w:val="auto"/>
          <w:highlight w:val="none"/>
        </w:rPr>
        <w:t>本合同在</w:t>
      </w:r>
      <w:r>
        <w:rPr>
          <w:color w:val="auto"/>
          <w:highlight w:val="none"/>
          <w:u w:val="single"/>
        </w:rPr>
        <w:t xml:space="preserve">                                    </w:t>
      </w:r>
      <w:r>
        <w:rPr>
          <w:rFonts w:hint="eastAsia" w:hAnsi="宋体" w:cs="宋体"/>
          <w:color w:val="auto"/>
          <w:highlight w:val="none"/>
        </w:rPr>
        <w:t>签订。</w:t>
      </w:r>
    </w:p>
    <w:p w14:paraId="4AFF6A64">
      <w:pPr>
        <w:pageBreakBefore w:val="0"/>
        <w:kinsoku/>
        <w:wordWrap/>
        <w:overflowPunct/>
        <w:topLinePunct w:val="0"/>
        <w:bidi w:val="0"/>
        <w:spacing w:line="360" w:lineRule="auto"/>
        <w:ind w:firstLine="422" w:firstLineChars="200"/>
        <w:textAlignment w:val="auto"/>
        <w:outlineLvl w:val="0"/>
        <w:rPr>
          <w:b/>
          <w:bCs/>
          <w:color w:val="auto"/>
          <w:highlight w:val="none"/>
        </w:rPr>
      </w:pPr>
      <w:bookmarkStart w:id="53" w:name="_Toc351203491"/>
      <w:r>
        <w:rPr>
          <w:rFonts w:hint="eastAsia" w:hAnsi="宋体" w:cs="宋体"/>
          <w:b/>
          <w:bCs/>
          <w:color w:val="auto"/>
          <w:highlight w:val="none"/>
        </w:rPr>
        <w:t>十一、补充协议</w:t>
      </w:r>
      <w:bookmarkEnd w:id="53"/>
    </w:p>
    <w:p w14:paraId="4B9D3AB9">
      <w:pPr>
        <w:pageBreakBefore w:val="0"/>
        <w:kinsoku/>
        <w:wordWrap/>
        <w:overflowPunct/>
        <w:topLinePunct w:val="0"/>
        <w:bidi w:val="0"/>
        <w:spacing w:line="360" w:lineRule="auto"/>
        <w:ind w:firstLine="420" w:firstLineChars="200"/>
        <w:textAlignment w:val="auto"/>
        <w:rPr>
          <w:rFonts w:hAnsi="宋体"/>
          <w:color w:val="auto"/>
          <w:highlight w:val="none"/>
        </w:rPr>
      </w:pPr>
      <w:r>
        <w:rPr>
          <w:rFonts w:hint="eastAsia" w:hAnsi="宋体" w:cs="宋体"/>
          <w:color w:val="auto"/>
          <w:highlight w:val="none"/>
        </w:rPr>
        <w:t>合同未尽事宜，合同当事人另行签订补充协议，补充协议是合同的组成部分。</w:t>
      </w:r>
    </w:p>
    <w:p w14:paraId="6AFFBCE7">
      <w:pPr>
        <w:pageBreakBefore w:val="0"/>
        <w:kinsoku/>
        <w:wordWrap/>
        <w:overflowPunct/>
        <w:topLinePunct w:val="0"/>
        <w:bidi w:val="0"/>
        <w:spacing w:line="360" w:lineRule="auto"/>
        <w:ind w:firstLine="422" w:firstLineChars="200"/>
        <w:textAlignment w:val="auto"/>
        <w:outlineLvl w:val="0"/>
        <w:rPr>
          <w:b/>
          <w:bCs/>
          <w:color w:val="auto"/>
          <w:highlight w:val="none"/>
        </w:rPr>
      </w:pPr>
      <w:bookmarkStart w:id="54" w:name="_Toc351203492"/>
      <w:r>
        <w:rPr>
          <w:rFonts w:hint="eastAsia" w:hAnsi="宋体" w:cs="宋体"/>
          <w:b/>
          <w:bCs/>
          <w:color w:val="auto"/>
          <w:highlight w:val="none"/>
        </w:rPr>
        <w:t>十二、合同生效</w:t>
      </w:r>
      <w:bookmarkEnd w:id="54"/>
    </w:p>
    <w:p w14:paraId="78956859">
      <w:pPr>
        <w:pageBreakBefore w:val="0"/>
        <w:kinsoku/>
        <w:wordWrap/>
        <w:overflowPunct/>
        <w:topLinePunct w:val="0"/>
        <w:bidi w:val="0"/>
        <w:spacing w:line="360" w:lineRule="auto"/>
        <w:ind w:firstLine="420" w:firstLineChars="200"/>
        <w:textAlignment w:val="auto"/>
        <w:rPr>
          <w:rFonts w:hAnsi="宋体"/>
          <w:color w:val="auto"/>
          <w:highlight w:val="none"/>
        </w:rPr>
      </w:pPr>
      <w:r>
        <w:rPr>
          <w:rFonts w:hint="eastAsia" w:hAnsi="宋体" w:cs="宋体"/>
          <w:color w:val="auto"/>
          <w:highlight w:val="none"/>
        </w:rPr>
        <w:t>本合同自</w:t>
      </w:r>
      <w:r>
        <w:rPr>
          <w:color w:val="auto"/>
          <w:highlight w:val="none"/>
          <w:u w:val="single"/>
        </w:rPr>
        <w:t xml:space="preserve">                                   </w:t>
      </w:r>
      <w:r>
        <w:rPr>
          <w:rFonts w:hint="eastAsia" w:hAnsi="宋体" w:cs="宋体"/>
          <w:color w:val="auto"/>
          <w:highlight w:val="none"/>
        </w:rPr>
        <w:t>生效。</w:t>
      </w:r>
    </w:p>
    <w:p w14:paraId="1270DED6">
      <w:pPr>
        <w:pageBreakBefore w:val="0"/>
        <w:kinsoku/>
        <w:wordWrap/>
        <w:overflowPunct/>
        <w:topLinePunct w:val="0"/>
        <w:bidi w:val="0"/>
        <w:spacing w:line="360" w:lineRule="auto"/>
        <w:ind w:firstLine="422" w:firstLineChars="200"/>
        <w:textAlignment w:val="auto"/>
        <w:outlineLvl w:val="0"/>
        <w:rPr>
          <w:b/>
          <w:bCs/>
          <w:color w:val="auto"/>
          <w:highlight w:val="none"/>
        </w:rPr>
      </w:pPr>
      <w:bookmarkStart w:id="55" w:name="_Toc351203493"/>
      <w:r>
        <w:rPr>
          <w:rFonts w:hint="eastAsia" w:hAnsi="宋体" w:cs="宋体"/>
          <w:b/>
          <w:bCs/>
          <w:color w:val="auto"/>
          <w:highlight w:val="none"/>
        </w:rPr>
        <w:t>十三、合同份数</w:t>
      </w:r>
      <w:bookmarkEnd w:id="55"/>
    </w:p>
    <w:p w14:paraId="24CE65BD">
      <w:pPr>
        <w:pageBreakBefore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本合同一式</w:t>
      </w:r>
      <w:r>
        <w:rPr>
          <w:color w:val="auto"/>
          <w:highlight w:val="none"/>
          <w:u w:val="single"/>
        </w:rPr>
        <w:t xml:space="preserve"> </w:t>
      </w:r>
      <w:r>
        <w:rPr>
          <w:rFonts w:hint="eastAsia"/>
          <w:color w:val="auto"/>
          <w:highlight w:val="none"/>
          <w:u w:val="single"/>
          <w:lang w:val="en-US" w:eastAsia="zh-CN"/>
        </w:rPr>
        <w:t>柒</w:t>
      </w:r>
      <w:r>
        <w:rPr>
          <w:color w:val="auto"/>
          <w:highlight w:val="none"/>
          <w:u w:val="single"/>
        </w:rPr>
        <w:t xml:space="preserve"> </w:t>
      </w:r>
      <w:r>
        <w:rPr>
          <w:rFonts w:hint="eastAsia" w:hAnsi="宋体" w:cs="宋体"/>
          <w:color w:val="auto"/>
          <w:highlight w:val="none"/>
        </w:rPr>
        <w:t>份，均具有同等法律效力，发包人执</w:t>
      </w:r>
      <w:r>
        <w:rPr>
          <w:color w:val="auto"/>
          <w:highlight w:val="none"/>
          <w:u w:val="single"/>
        </w:rPr>
        <w:t xml:space="preserve"> </w:t>
      </w:r>
      <w:r>
        <w:rPr>
          <w:rFonts w:hint="eastAsia"/>
          <w:color w:val="auto"/>
          <w:highlight w:val="none"/>
          <w:u w:val="single"/>
          <w:lang w:val="en-US" w:eastAsia="zh-CN"/>
        </w:rPr>
        <w:t>伍</w:t>
      </w:r>
      <w:r>
        <w:rPr>
          <w:color w:val="auto"/>
          <w:highlight w:val="none"/>
          <w:u w:val="single"/>
        </w:rPr>
        <w:t xml:space="preserve"> </w:t>
      </w:r>
      <w:r>
        <w:rPr>
          <w:rFonts w:hint="eastAsia" w:hAnsi="宋体" w:cs="宋体"/>
          <w:color w:val="auto"/>
          <w:highlight w:val="none"/>
        </w:rPr>
        <w:t>份，承包人执</w:t>
      </w:r>
      <w:r>
        <w:rPr>
          <w:color w:val="auto"/>
          <w:highlight w:val="none"/>
          <w:u w:val="single"/>
        </w:rPr>
        <w:t xml:space="preserve"> </w:t>
      </w:r>
      <w:r>
        <w:rPr>
          <w:rFonts w:hint="eastAsia"/>
          <w:color w:val="auto"/>
          <w:highlight w:val="none"/>
          <w:u w:val="single"/>
          <w:lang w:val="en-US" w:eastAsia="zh-CN"/>
        </w:rPr>
        <w:t>贰</w:t>
      </w:r>
      <w:r>
        <w:rPr>
          <w:color w:val="auto"/>
          <w:highlight w:val="none"/>
          <w:u w:val="single"/>
        </w:rPr>
        <w:t xml:space="preserve"> </w:t>
      </w:r>
      <w:r>
        <w:rPr>
          <w:rFonts w:hint="eastAsia" w:hAnsi="宋体" w:cs="宋体"/>
          <w:color w:val="auto"/>
          <w:highlight w:val="none"/>
        </w:rPr>
        <w:t>份。</w:t>
      </w:r>
    </w:p>
    <w:p w14:paraId="2E75FBBB">
      <w:pPr>
        <w:pageBreakBefore w:val="0"/>
        <w:kinsoku/>
        <w:wordWrap/>
        <w:overflowPunct/>
        <w:topLinePunct w:val="0"/>
        <w:bidi w:val="0"/>
        <w:spacing w:line="360" w:lineRule="auto"/>
        <w:textAlignment w:val="auto"/>
        <w:rPr>
          <w:color w:val="auto"/>
          <w:highlight w:val="none"/>
        </w:rPr>
      </w:pPr>
    </w:p>
    <w:p w14:paraId="2E969050">
      <w:pPr>
        <w:pageBreakBefore w:val="0"/>
        <w:kinsoku/>
        <w:wordWrap/>
        <w:overflowPunct/>
        <w:topLinePunct w:val="0"/>
        <w:bidi w:val="0"/>
        <w:spacing w:line="360" w:lineRule="auto"/>
        <w:textAlignment w:val="auto"/>
        <w:rPr>
          <w:color w:val="auto"/>
          <w:highlight w:val="none"/>
        </w:rPr>
      </w:pPr>
    </w:p>
    <w:p w14:paraId="44864424">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发包人：</w:t>
      </w:r>
      <w:r>
        <w:rPr>
          <w:color w:val="auto"/>
          <w:highlight w:val="none"/>
        </w:rPr>
        <w:t xml:space="preserve">  </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r>
        <w:rPr>
          <w:color w:val="auto"/>
          <w:highlight w:val="none"/>
        </w:rPr>
        <w:t xml:space="preserve">                              </w:t>
      </w:r>
      <w:r>
        <w:rPr>
          <w:rFonts w:hint="eastAsia" w:hAnsi="宋体" w:cs="宋体"/>
          <w:color w:val="auto"/>
          <w:highlight w:val="none"/>
        </w:rPr>
        <w:t>承包人：</w:t>
      </w:r>
      <w:r>
        <w:rPr>
          <w:color w:val="auto"/>
          <w:highlight w:val="none"/>
        </w:rPr>
        <w:t xml:space="preserve">  </w:t>
      </w:r>
      <w:r>
        <w:rPr>
          <w:rFonts w:hint="eastAsia" w:cs="宋体"/>
          <w:color w:val="auto"/>
          <w:highlight w:val="none"/>
        </w:rPr>
        <w:t>（</w:t>
      </w:r>
      <w:r>
        <w:rPr>
          <w:rFonts w:hint="eastAsia" w:hAnsi="宋体" w:cs="宋体"/>
          <w:color w:val="auto"/>
          <w:highlight w:val="none"/>
        </w:rPr>
        <w:t>公章</w:t>
      </w:r>
      <w:r>
        <w:rPr>
          <w:rFonts w:hint="eastAsia" w:cs="宋体"/>
          <w:color w:val="auto"/>
          <w:highlight w:val="none"/>
        </w:rPr>
        <w:t>）</w:t>
      </w:r>
    </w:p>
    <w:p w14:paraId="5D18336F">
      <w:pPr>
        <w:pageBreakBefore w:val="0"/>
        <w:kinsoku/>
        <w:wordWrap/>
        <w:overflowPunct/>
        <w:topLinePunct w:val="0"/>
        <w:bidi w:val="0"/>
        <w:spacing w:line="360" w:lineRule="auto"/>
        <w:textAlignment w:val="auto"/>
        <w:rPr>
          <w:color w:val="auto"/>
          <w:highlight w:val="none"/>
          <w:u w:val="single"/>
        </w:rPr>
      </w:pPr>
      <w:r>
        <w:rPr>
          <w:color w:val="auto"/>
          <w:highlight w:val="none"/>
        </w:rPr>
        <w:t xml:space="preserve">                                 </w:t>
      </w:r>
    </w:p>
    <w:p w14:paraId="3E8C6370">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法定代表人或其委托代理人：</w:t>
      </w:r>
      <w:r>
        <w:rPr>
          <w:color w:val="auto"/>
          <w:highlight w:val="none"/>
        </w:rPr>
        <w:t xml:space="preserve">                    </w:t>
      </w:r>
      <w:r>
        <w:rPr>
          <w:rFonts w:hint="eastAsia" w:hAnsi="宋体" w:cs="宋体"/>
          <w:color w:val="auto"/>
          <w:highlight w:val="none"/>
        </w:rPr>
        <w:t>法定代表人或其委托代理人：</w:t>
      </w:r>
    </w:p>
    <w:p w14:paraId="44166B36">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（签字）</w:t>
      </w:r>
      <w:r>
        <w:rPr>
          <w:color w:val="auto"/>
          <w:highlight w:val="none"/>
        </w:rPr>
        <w:t xml:space="preserve">                                     </w:t>
      </w:r>
      <w:r>
        <w:rPr>
          <w:rFonts w:hint="eastAsia" w:hAnsi="宋体" w:cs="宋体"/>
          <w:color w:val="auto"/>
          <w:highlight w:val="none"/>
        </w:rPr>
        <w:t>（签字）</w:t>
      </w:r>
    </w:p>
    <w:p w14:paraId="0A894F26">
      <w:pPr>
        <w:pageBreakBefore w:val="0"/>
        <w:kinsoku/>
        <w:wordWrap/>
        <w:overflowPunct/>
        <w:topLinePunct w:val="0"/>
        <w:bidi w:val="0"/>
        <w:spacing w:line="360" w:lineRule="auto"/>
        <w:textAlignment w:val="auto"/>
        <w:rPr>
          <w:color w:val="auto"/>
          <w:highlight w:val="none"/>
          <w:u w:val="single"/>
        </w:rPr>
      </w:pPr>
    </w:p>
    <w:p w14:paraId="1013F4D3">
      <w:pPr>
        <w:pageBreakBefore w:val="0"/>
        <w:tabs>
          <w:tab w:val="left" w:pos="4410"/>
        </w:tabs>
        <w:kinsoku/>
        <w:wordWrap/>
        <w:overflowPunct/>
        <w:topLinePunct w:val="0"/>
        <w:bidi w:val="0"/>
        <w:spacing w:line="360" w:lineRule="auto"/>
        <w:textAlignment w:val="auto"/>
        <w:rPr>
          <w:color w:val="auto"/>
          <w:highlight w:val="none"/>
        </w:rPr>
      </w:pPr>
      <w:r>
        <w:rPr>
          <w:rFonts w:hint="eastAsia" w:hAnsi="宋体" w:cs="宋体"/>
          <w:color w:val="auto"/>
          <w:highlight w:val="none"/>
        </w:rPr>
        <w:t>统一社会信用代码：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s="宋体"/>
          <w:color w:val="auto"/>
          <w:highlight w:val="none"/>
        </w:rPr>
        <w:t>统一</w:t>
      </w:r>
      <w:r>
        <w:rPr>
          <w:rFonts w:hint="eastAsia" w:hAnsi="宋体" w:cs="宋体"/>
          <w:color w:val="auto"/>
          <w:highlight w:val="none"/>
        </w:rPr>
        <w:t>社会信用代码：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p>
    <w:p w14:paraId="539A35D6">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地</w:t>
      </w:r>
      <w:r>
        <w:rPr>
          <w:color w:val="auto"/>
          <w:highlight w:val="none"/>
        </w:rPr>
        <w:t xml:space="preserve">  </w:t>
      </w:r>
      <w:r>
        <w:rPr>
          <w:rFonts w:hint="eastAsia" w:hAnsi="宋体" w:cs="宋体"/>
          <w:color w:val="auto"/>
          <w:highlight w:val="none"/>
        </w:rPr>
        <w:t>址：</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地</w:t>
      </w:r>
      <w:r>
        <w:rPr>
          <w:color w:val="auto"/>
          <w:highlight w:val="none"/>
        </w:rPr>
        <w:t xml:space="preserve">  </w:t>
      </w:r>
      <w:r>
        <w:rPr>
          <w:rFonts w:hint="eastAsia" w:hAnsi="宋体" w:cs="宋体"/>
          <w:color w:val="auto"/>
          <w:highlight w:val="none"/>
        </w:rPr>
        <w:t>址：</w:t>
      </w:r>
      <w:r>
        <w:rPr>
          <w:color w:val="auto"/>
          <w:highlight w:val="none"/>
          <w:u w:val="single"/>
        </w:rPr>
        <w:t xml:space="preserve">        </w:t>
      </w:r>
      <w:r>
        <w:rPr>
          <w:rFonts w:hint="eastAsia"/>
          <w:color w:val="auto"/>
          <w:highlight w:val="none"/>
          <w:u w:val="single"/>
        </w:rPr>
        <w:t xml:space="preserve">                    </w:t>
      </w:r>
    </w:p>
    <w:p w14:paraId="57506B3C">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邮政编码：</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olor w:val="auto"/>
          <w:highlight w:val="none"/>
        </w:rPr>
        <w:t xml:space="preserve"> </w:t>
      </w:r>
      <w:r>
        <w:rPr>
          <w:rFonts w:hint="eastAsia" w:hAnsi="宋体" w:cs="宋体"/>
          <w:color w:val="auto"/>
          <w:highlight w:val="none"/>
        </w:rPr>
        <w:t>邮政编码：</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32E70B19">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法定代表人：</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法定代表人：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42437754">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lang w:val="en-US" w:eastAsia="zh-CN"/>
        </w:rPr>
        <w:t xml:space="preserve">经 办 </w:t>
      </w:r>
      <w:r>
        <w:rPr>
          <w:rFonts w:hint="eastAsia" w:hAnsi="宋体" w:cs="宋体"/>
          <w:color w:val="auto"/>
          <w:highlight w:val="none"/>
        </w:rPr>
        <w:t>人：</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color w:val="auto"/>
          <w:highlight w:val="none"/>
          <w:lang w:val="en-US" w:eastAsia="zh-CN"/>
        </w:rPr>
        <w:t xml:space="preserve">  </w:t>
      </w:r>
      <w:r>
        <w:rPr>
          <w:rFonts w:hint="eastAsia" w:hAnsi="宋体" w:cs="宋体"/>
          <w:color w:val="auto"/>
          <w:highlight w:val="none"/>
          <w:lang w:val="en-US" w:eastAsia="zh-CN"/>
        </w:rPr>
        <w:t xml:space="preserve">经 办 </w:t>
      </w:r>
      <w:r>
        <w:rPr>
          <w:rFonts w:hint="eastAsia" w:hAnsi="宋体" w:cs="宋体"/>
          <w:color w:val="auto"/>
          <w:highlight w:val="none"/>
        </w:rPr>
        <w:t>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155BEDBF">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电</w:t>
      </w:r>
      <w:r>
        <w:rPr>
          <w:color w:val="auto"/>
          <w:highlight w:val="none"/>
        </w:rPr>
        <w:t xml:space="preserve">  </w:t>
      </w:r>
      <w:r>
        <w:rPr>
          <w:rFonts w:hint="eastAsia" w:hAnsi="宋体" w:cs="宋体"/>
          <w:color w:val="auto"/>
          <w:highlight w:val="none"/>
        </w:rPr>
        <w:t>话：</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hAnsi="宋体" w:cs="宋体"/>
          <w:color w:val="auto"/>
          <w:highlight w:val="none"/>
        </w:rPr>
        <w:t>电</w:t>
      </w:r>
      <w:r>
        <w:rPr>
          <w:color w:val="auto"/>
          <w:highlight w:val="none"/>
        </w:rPr>
        <w:t xml:space="preserve">  </w:t>
      </w:r>
      <w:r>
        <w:rPr>
          <w:rFonts w:hint="eastAsia" w:hAnsi="宋体" w:cs="宋体"/>
          <w:color w:val="auto"/>
          <w:highlight w:val="none"/>
        </w:rPr>
        <w:t>话：</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50360F1D">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传</w:t>
      </w:r>
      <w:r>
        <w:rPr>
          <w:color w:val="auto"/>
          <w:highlight w:val="none"/>
        </w:rPr>
        <w:t xml:space="preserve">  </w:t>
      </w:r>
      <w:r>
        <w:rPr>
          <w:rFonts w:hint="eastAsia" w:hAnsi="宋体" w:cs="宋体"/>
          <w:color w:val="auto"/>
          <w:highlight w:val="none"/>
        </w:rPr>
        <w:t>真：</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传</w:t>
      </w:r>
      <w:r>
        <w:rPr>
          <w:color w:val="auto"/>
          <w:highlight w:val="none"/>
        </w:rPr>
        <w:t xml:space="preserve">  </w:t>
      </w:r>
      <w:r>
        <w:rPr>
          <w:rFonts w:hint="eastAsia" w:hAnsi="宋体" w:cs="宋体"/>
          <w:color w:val="auto"/>
          <w:highlight w:val="none"/>
        </w:rPr>
        <w:t>真：</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7BB73335">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电子信箱：</w:t>
      </w:r>
      <w:r>
        <w:rPr>
          <w:color w:val="auto"/>
          <w:highlight w:val="none"/>
          <w:u w:val="single"/>
        </w:rPr>
        <w:t xml:space="preserve">   </w:t>
      </w:r>
      <w:r>
        <w:rPr>
          <w:rFonts w:hint="eastAsia"/>
          <w:color w:val="auto"/>
          <w:highlight w:val="none"/>
          <w:u w:val="single"/>
        </w:rPr>
        <w:t xml:space="preserve">                      </w:t>
      </w:r>
    </w:p>
    <w:p w14:paraId="1C0522C0">
      <w:pPr>
        <w:pageBreakBefore w:val="0"/>
        <w:kinsoku/>
        <w:wordWrap/>
        <w:overflowPunct/>
        <w:topLinePunct w:val="0"/>
        <w:bidi w:val="0"/>
        <w:spacing w:line="360" w:lineRule="auto"/>
        <w:textAlignment w:val="auto"/>
        <w:rPr>
          <w:color w:val="auto"/>
          <w:highlight w:val="none"/>
        </w:rPr>
      </w:pPr>
      <w:r>
        <w:rPr>
          <w:rFonts w:hint="eastAsia" w:hAnsi="宋体" w:cs="宋体"/>
          <w:color w:val="auto"/>
          <w:highlight w:val="none"/>
        </w:rPr>
        <w:t>开户银行：</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开户银行：</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6ACD7C92">
      <w:pPr>
        <w:pageBreakBefore w:val="0"/>
        <w:kinsoku/>
        <w:wordWrap/>
        <w:overflowPunct/>
        <w:topLinePunct w:val="0"/>
        <w:bidi w:val="0"/>
        <w:spacing w:line="360" w:lineRule="auto"/>
        <w:textAlignment w:val="auto"/>
        <w:rPr>
          <w:color w:val="auto"/>
          <w:highlight w:val="none"/>
          <w:u w:val="single"/>
        </w:rPr>
      </w:pPr>
      <w:r>
        <w:rPr>
          <w:rFonts w:hint="eastAsia" w:hAnsi="宋体" w:cs="宋体"/>
          <w:color w:val="auto"/>
          <w:highlight w:val="none"/>
        </w:rPr>
        <w:t>账</w:t>
      </w:r>
      <w:r>
        <w:rPr>
          <w:color w:val="auto"/>
          <w:highlight w:val="none"/>
        </w:rPr>
        <w:t xml:space="preserve">  </w:t>
      </w:r>
      <w:r>
        <w:rPr>
          <w:rFonts w:hint="eastAsia" w:hAnsi="宋体" w:cs="宋体"/>
          <w:color w:val="auto"/>
          <w:highlight w:val="none"/>
        </w:rPr>
        <w:t>号：</w:t>
      </w:r>
      <w:r>
        <w:rPr>
          <w:color w:val="auto"/>
          <w:highlight w:val="none"/>
          <w:u w:val="single"/>
        </w:rPr>
        <w:t xml:space="preserve">       </w:t>
      </w:r>
      <w:r>
        <w:rPr>
          <w:rFonts w:hint="eastAsia"/>
          <w:color w:val="auto"/>
          <w:highlight w:val="none"/>
          <w:u w:val="single"/>
        </w:rPr>
        <w:t xml:space="preserve">              </w:t>
      </w:r>
      <w:r>
        <w:rPr>
          <w:color w:val="auto"/>
          <w:highlight w:val="none"/>
        </w:rPr>
        <w:t xml:space="preserve">                  </w:t>
      </w:r>
      <w:r>
        <w:rPr>
          <w:rFonts w:hint="eastAsia" w:hAnsi="宋体" w:cs="宋体"/>
          <w:color w:val="auto"/>
          <w:highlight w:val="none"/>
        </w:rPr>
        <w:t>账</w:t>
      </w:r>
      <w:r>
        <w:rPr>
          <w:color w:val="auto"/>
          <w:highlight w:val="none"/>
        </w:rPr>
        <w:t xml:space="preserve">  </w:t>
      </w:r>
      <w:r>
        <w:rPr>
          <w:rFonts w:hint="eastAsia" w:hAnsi="宋体" w:cs="宋体"/>
          <w:color w:val="auto"/>
          <w:highlight w:val="none"/>
        </w:rPr>
        <w:t>号：</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p>
    <w:p w14:paraId="499E9FE2">
      <w:pPr>
        <w:pageBreakBefore w:val="0"/>
        <w:widowControl/>
        <w:kinsoku/>
        <w:wordWrap/>
        <w:overflowPunct/>
        <w:topLinePunct w:val="0"/>
        <w:bidi w:val="0"/>
        <w:spacing w:line="360" w:lineRule="auto"/>
        <w:jc w:val="left"/>
        <w:textAlignment w:val="auto"/>
        <w:rPr>
          <w:color w:val="auto"/>
          <w:highlight w:val="none"/>
          <w:u w:val="single"/>
        </w:rPr>
      </w:pPr>
      <w:r>
        <w:rPr>
          <w:color w:val="auto"/>
          <w:highlight w:val="none"/>
        </w:rPr>
        <w:br w:type="page"/>
      </w:r>
    </w:p>
    <w:p w14:paraId="7C25B0AB">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 w:val="0"/>
          <w:bCs w:val="0"/>
          <w:color w:val="auto"/>
          <w:kern w:val="2"/>
          <w:sz w:val="32"/>
          <w:szCs w:val="24"/>
          <w:highlight w:val="none"/>
          <w:lang w:val="en-US" w:eastAsia="zh-CN" w:bidi="ar-SA"/>
        </w:rPr>
      </w:pPr>
      <w:bookmarkStart w:id="56" w:name="_Toc78449778"/>
      <w:bookmarkStart w:id="57" w:name="_Toc389065256"/>
      <w:bookmarkStart w:id="58" w:name="_Toc407135192"/>
      <w:bookmarkStart w:id="59" w:name="_Toc86847323"/>
      <w:bookmarkStart w:id="60" w:name="_Toc11277"/>
      <w:bookmarkStart w:id="61" w:name="_Toc373478338"/>
      <w:bookmarkStart w:id="62" w:name="_Toc351203632"/>
      <w:bookmarkStart w:id="63" w:name="_Toc373227691"/>
      <w:r>
        <w:rPr>
          <w:rFonts w:hint="eastAsia" w:ascii="宋体" w:hAnsi="宋体" w:eastAsia="宋体" w:cs="宋体"/>
          <w:b w:val="0"/>
          <w:bCs w:val="0"/>
          <w:color w:val="auto"/>
          <w:kern w:val="2"/>
          <w:sz w:val="32"/>
          <w:szCs w:val="24"/>
          <w:highlight w:val="none"/>
          <w:lang w:val="en-US" w:eastAsia="zh-CN" w:bidi="ar-SA"/>
        </w:rPr>
        <w:t>第二部分 通用合同条款</w:t>
      </w:r>
      <w:bookmarkEnd w:id="56"/>
      <w:bookmarkEnd w:id="57"/>
      <w:bookmarkEnd w:id="58"/>
      <w:bookmarkEnd w:id="59"/>
      <w:bookmarkEnd w:id="60"/>
    </w:p>
    <w:p w14:paraId="762DDB2B">
      <w:pPr>
        <w:pageBreakBefore w:val="0"/>
        <w:kinsoku/>
        <w:wordWrap/>
        <w:overflowPunct/>
        <w:topLinePunct w:val="0"/>
        <w:bidi w:val="0"/>
        <w:spacing w:line="360" w:lineRule="auto"/>
        <w:ind w:firstLine="420" w:firstLineChars="200"/>
        <w:textAlignment w:val="auto"/>
        <w:rPr>
          <w:rFonts w:hAnsi="宋体"/>
          <w:color w:val="auto"/>
          <w:kern w:val="0"/>
          <w:highlight w:val="none"/>
        </w:rPr>
      </w:pPr>
    </w:p>
    <w:p w14:paraId="10098047">
      <w:pPr>
        <w:pageBreakBefore w:val="0"/>
        <w:kinsoku/>
        <w:wordWrap/>
        <w:overflowPunct/>
        <w:topLinePunct w:val="0"/>
        <w:bidi w:val="0"/>
        <w:spacing w:line="360" w:lineRule="auto"/>
        <w:ind w:firstLine="422" w:firstLineChars="200"/>
        <w:textAlignment w:val="auto"/>
        <w:rPr>
          <w:rFonts w:hAnsi="宋体"/>
          <w:b/>
          <w:bCs/>
          <w:color w:val="auto"/>
          <w:kern w:val="0"/>
          <w:highlight w:val="none"/>
        </w:rPr>
      </w:pPr>
      <w:r>
        <w:rPr>
          <w:rFonts w:hint="eastAsia" w:hAnsi="宋体" w:cs="宋体"/>
          <w:b/>
          <w:bCs/>
          <w:color w:val="auto"/>
          <w:kern w:val="0"/>
          <w:highlight w:val="none"/>
        </w:rPr>
        <w:t>采用《建设工程施工合同（示范文本）》（</w:t>
      </w:r>
      <w:r>
        <w:rPr>
          <w:rFonts w:hAnsi="宋体"/>
          <w:b/>
          <w:bCs/>
          <w:color w:val="auto"/>
          <w:kern w:val="0"/>
          <w:highlight w:val="none"/>
        </w:rPr>
        <w:t>GF</w:t>
      </w:r>
      <w:r>
        <w:rPr>
          <w:rFonts w:hAnsi="宋体" w:cs="宋体"/>
          <w:b/>
          <w:bCs/>
          <w:color w:val="auto"/>
          <w:kern w:val="0"/>
          <w:highlight w:val="none"/>
        </w:rPr>
        <w:t>—</w:t>
      </w:r>
      <w:r>
        <w:rPr>
          <w:rFonts w:hAnsi="宋体"/>
          <w:b/>
          <w:bCs/>
          <w:color w:val="auto"/>
          <w:kern w:val="0"/>
          <w:highlight w:val="none"/>
        </w:rPr>
        <w:t>201</w:t>
      </w:r>
      <w:r>
        <w:rPr>
          <w:rFonts w:hint="eastAsia" w:hAnsi="宋体"/>
          <w:b/>
          <w:bCs/>
          <w:color w:val="auto"/>
          <w:kern w:val="0"/>
          <w:highlight w:val="none"/>
        </w:rPr>
        <w:t>7</w:t>
      </w:r>
      <w:r>
        <w:rPr>
          <w:rFonts w:hAnsi="宋体" w:cs="宋体"/>
          <w:b/>
          <w:bCs/>
          <w:color w:val="auto"/>
          <w:kern w:val="0"/>
          <w:highlight w:val="none"/>
        </w:rPr>
        <w:t>—</w:t>
      </w:r>
      <w:r>
        <w:rPr>
          <w:rFonts w:hAnsi="宋体"/>
          <w:b/>
          <w:bCs/>
          <w:color w:val="auto"/>
          <w:kern w:val="0"/>
          <w:highlight w:val="none"/>
        </w:rPr>
        <w:t>0201</w:t>
      </w:r>
      <w:r>
        <w:rPr>
          <w:rFonts w:hint="eastAsia" w:hAnsi="宋体" w:cs="宋体"/>
          <w:b/>
          <w:bCs/>
          <w:color w:val="auto"/>
          <w:kern w:val="0"/>
          <w:highlight w:val="none"/>
        </w:rPr>
        <w:t>）。</w:t>
      </w:r>
    </w:p>
    <w:p w14:paraId="62C92ECB">
      <w:pPr>
        <w:pStyle w:val="4"/>
        <w:keepNext/>
        <w:keepLines/>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宋体" w:hAnsi="宋体" w:eastAsia="宋体" w:cs="宋体"/>
          <w:b w:val="0"/>
          <w:bCs w:val="0"/>
          <w:color w:val="auto"/>
          <w:kern w:val="2"/>
          <w:sz w:val="32"/>
          <w:szCs w:val="24"/>
          <w:highlight w:val="none"/>
          <w:lang w:val="en-US" w:eastAsia="zh-CN" w:bidi="ar-SA"/>
        </w:rPr>
      </w:pPr>
      <w:bookmarkStart w:id="64" w:name="_Toc389065257"/>
      <w:bookmarkStart w:id="65" w:name="_Toc704444909"/>
      <w:bookmarkStart w:id="66" w:name="_Toc78449779"/>
      <w:bookmarkStart w:id="67" w:name="_Toc407135193"/>
      <w:bookmarkStart w:id="68" w:name="_Toc17099"/>
      <w:r>
        <w:rPr>
          <w:rFonts w:hint="eastAsia" w:ascii="宋体" w:hAnsi="宋体" w:eastAsia="宋体" w:cs="宋体"/>
          <w:b w:val="0"/>
          <w:bCs w:val="0"/>
          <w:color w:val="auto"/>
          <w:kern w:val="2"/>
          <w:sz w:val="32"/>
          <w:szCs w:val="24"/>
          <w:highlight w:val="none"/>
          <w:lang w:val="en-US" w:eastAsia="zh-CN" w:bidi="ar-SA"/>
        </w:rPr>
        <w:t>第三部分 专用合同条款</w:t>
      </w:r>
      <w:bookmarkEnd w:id="61"/>
      <w:bookmarkEnd w:id="62"/>
      <w:bookmarkEnd w:id="63"/>
      <w:bookmarkEnd w:id="64"/>
      <w:bookmarkEnd w:id="65"/>
      <w:bookmarkEnd w:id="66"/>
      <w:bookmarkEnd w:id="67"/>
      <w:bookmarkEnd w:id="68"/>
    </w:p>
    <w:p w14:paraId="2AFC87A7">
      <w:pPr>
        <w:pageBreakBefore w:val="0"/>
        <w:kinsoku/>
        <w:wordWrap/>
        <w:overflowPunct/>
        <w:topLinePunct w:val="0"/>
        <w:bidi w:val="0"/>
        <w:spacing w:line="360" w:lineRule="auto"/>
        <w:jc w:val="center"/>
        <w:textAlignment w:val="auto"/>
        <w:rPr>
          <w:rFonts w:hAnsi="宋体"/>
          <w:b/>
          <w:bCs/>
          <w:color w:val="auto"/>
          <w:kern w:val="0"/>
          <w:highlight w:val="none"/>
        </w:rPr>
      </w:pPr>
      <w:r>
        <w:rPr>
          <w:rFonts w:hint="eastAsia" w:hAnsi="宋体" w:cs="宋体"/>
          <w:b/>
          <w:bCs/>
          <w:color w:val="auto"/>
          <w:kern w:val="0"/>
          <w:highlight w:val="none"/>
        </w:rPr>
        <w:t>（注：专用合同条款每一条均应填写完整！）</w:t>
      </w:r>
    </w:p>
    <w:p w14:paraId="544A9E3C">
      <w:pPr>
        <w:pStyle w:val="5"/>
        <w:pageBreakBefore w:val="0"/>
        <w:widowControl w:val="0"/>
        <w:kinsoku/>
        <w:wordWrap/>
        <w:overflowPunct/>
        <w:topLinePunct w:val="0"/>
        <w:bidi w:val="0"/>
        <w:spacing w:before="0" w:after="0" w:line="360" w:lineRule="auto"/>
        <w:textAlignment w:val="auto"/>
        <w:rPr>
          <w:color w:val="auto"/>
          <w:highlight w:val="none"/>
        </w:rPr>
      </w:pPr>
      <w:bookmarkStart w:id="69" w:name="_Toc373478339"/>
      <w:bookmarkStart w:id="70" w:name="_Toc407135194"/>
      <w:bookmarkStart w:id="71" w:name="_Toc389065258"/>
      <w:bookmarkStart w:id="72" w:name="_Toc351203633"/>
      <w:bookmarkStart w:id="73" w:name="_Toc78449780"/>
      <w:bookmarkStart w:id="74" w:name="_Toc25552"/>
      <w:bookmarkStart w:id="75" w:name="_Toc373227692"/>
      <w:bookmarkStart w:id="76" w:name="_Toc1013968286"/>
      <w:r>
        <w:rPr>
          <w:color w:val="auto"/>
          <w:highlight w:val="none"/>
        </w:rPr>
        <w:t>1</w:t>
      </w:r>
      <w:bookmarkStart w:id="77" w:name="_Toc296503156"/>
      <w:bookmarkStart w:id="78" w:name="_Toc292559361"/>
      <w:bookmarkStart w:id="79" w:name="_Toc297120456"/>
      <w:bookmarkStart w:id="80" w:name="_Toc296346657"/>
      <w:bookmarkStart w:id="81" w:name="_Toc292559866"/>
      <w:bookmarkStart w:id="82" w:name="_Toc296891196"/>
      <w:bookmarkStart w:id="83" w:name="_Toc296347155"/>
      <w:bookmarkStart w:id="84" w:name="_Toc296944495"/>
      <w:bookmarkStart w:id="85" w:name="_Toc296890984"/>
      <w:bookmarkStart w:id="86" w:name="_Toc297048342"/>
      <w:r>
        <w:rPr>
          <w:color w:val="auto"/>
          <w:highlight w:val="none"/>
        </w:rPr>
        <w:t xml:space="preserve">. </w:t>
      </w:r>
      <w:r>
        <w:rPr>
          <w:rFonts w:hint="eastAsia" w:hAnsi="宋体" w:cs="黑体"/>
          <w:color w:val="auto"/>
          <w:highlight w:val="none"/>
        </w:rPr>
        <w:t>一般约定</w:t>
      </w:r>
      <w:bookmarkEnd w:id="69"/>
      <w:bookmarkEnd w:id="70"/>
      <w:bookmarkEnd w:id="71"/>
      <w:bookmarkEnd w:id="72"/>
      <w:bookmarkEnd w:id="73"/>
      <w:bookmarkEnd w:id="74"/>
      <w:bookmarkEnd w:id="75"/>
      <w:bookmarkEnd w:id="76"/>
    </w:p>
    <w:bookmarkEnd w:id="77"/>
    <w:bookmarkEnd w:id="78"/>
    <w:bookmarkEnd w:id="79"/>
    <w:bookmarkEnd w:id="80"/>
    <w:bookmarkEnd w:id="81"/>
    <w:bookmarkEnd w:id="82"/>
    <w:bookmarkEnd w:id="83"/>
    <w:bookmarkEnd w:id="84"/>
    <w:bookmarkEnd w:id="85"/>
    <w:bookmarkEnd w:id="86"/>
    <w:p w14:paraId="45E6D2EA">
      <w:pPr>
        <w:pStyle w:val="6"/>
        <w:pageBreakBefore w:val="0"/>
        <w:widowControl w:val="0"/>
        <w:kinsoku/>
        <w:wordWrap/>
        <w:overflowPunct/>
        <w:topLinePunct w:val="0"/>
        <w:bidi w:val="0"/>
        <w:spacing w:before="0" w:after="0" w:line="360" w:lineRule="auto"/>
        <w:textAlignment w:val="auto"/>
        <w:rPr>
          <w:color w:val="auto"/>
          <w:highlight w:val="none"/>
        </w:rPr>
      </w:pPr>
      <w:bookmarkStart w:id="87" w:name="_Toc9045"/>
      <w:bookmarkStart w:id="88" w:name="_Toc1618220701"/>
      <w:bookmarkStart w:id="89" w:name="_Toc407135195"/>
      <w:bookmarkStart w:id="90" w:name="_Toc78449781"/>
      <w:bookmarkStart w:id="91" w:name="_Toc373227693"/>
      <w:bookmarkStart w:id="92" w:name="_Toc373478340"/>
      <w:bookmarkStart w:id="93" w:name="_Toc389065259"/>
      <w:r>
        <w:rPr>
          <w:color w:val="auto"/>
          <w:highlight w:val="none"/>
        </w:rPr>
        <w:t xml:space="preserve">1.1 </w:t>
      </w:r>
      <w:r>
        <w:rPr>
          <w:rFonts w:hint="eastAsia" w:hAnsi="宋体" w:cs="黑体"/>
          <w:color w:val="auto"/>
          <w:highlight w:val="none"/>
        </w:rPr>
        <w:t>词语定义</w:t>
      </w:r>
      <w:bookmarkEnd w:id="87"/>
      <w:bookmarkEnd w:id="88"/>
      <w:bookmarkEnd w:id="89"/>
      <w:bookmarkEnd w:id="90"/>
      <w:bookmarkEnd w:id="91"/>
      <w:bookmarkEnd w:id="92"/>
      <w:bookmarkEnd w:id="93"/>
    </w:p>
    <w:p w14:paraId="1D3FECB4">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color w:val="auto"/>
          <w:kern w:val="0"/>
          <w:highlight w:val="none"/>
        </w:rPr>
        <w:t xml:space="preserve">1.1.1 </w:t>
      </w:r>
      <w:r>
        <w:rPr>
          <w:rFonts w:hint="eastAsia" w:hAnsi="宋体" w:cs="宋体"/>
          <w:color w:val="auto"/>
          <w:kern w:val="0"/>
          <w:highlight w:val="none"/>
        </w:rPr>
        <w:t>合同</w:t>
      </w:r>
    </w:p>
    <w:p w14:paraId="50E20C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kern w:val="0"/>
          <w:highlight w:val="none"/>
        </w:rPr>
      </w:pPr>
      <w:r>
        <w:rPr>
          <w:color w:val="auto"/>
          <w:kern w:val="0"/>
          <w:highlight w:val="none"/>
        </w:rPr>
        <w:t xml:space="preserve">1.1.1.10 </w:t>
      </w:r>
      <w:r>
        <w:rPr>
          <w:rFonts w:hint="eastAsia" w:hAnsi="宋体" w:cs="宋体"/>
          <w:color w:val="auto"/>
          <w:kern w:val="0"/>
          <w:highlight w:val="none"/>
        </w:rPr>
        <w:t>其他合同文件包括：</w:t>
      </w:r>
      <w:r>
        <w:rPr>
          <w:color w:val="auto"/>
          <w:highlight w:val="none"/>
          <w:u w:val="single"/>
        </w:rPr>
        <w:t xml:space="preserve">  </w:t>
      </w:r>
      <w:r>
        <w:rPr>
          <w:rFonts w:hint="eastAsia"/>
          <w:color w:val="auto"/>
          <w:highlight w:val="none"/>
          <w:u w:val="single"/>
        </w:rPr>
        <w:t>招标文件及附件（含所有补充通知）</w:t>
      </w:r>
      <w:r>
        <w:rPr>
          <w:color w:val="auto"/>
          <w:highlight w:val="none"/>
          <w:u w:val="single"/>
        </w:rPr>
        <w:t xml:space="preserve">   </w:t>
      </w:r>
      <w:r>
        <w:rPr>
          <w:rFonts w:hint="eastAsia" w:hAnsi="宋体" w:cs="宋体"/>
          <w:color w:val="auto"/>
          <w:highlight w:val="none"/>
        </w:rPr>
        <w:t>。</w:t>
      </w:r>
    </w:p>
    <w:p w14:paraId="34C64CBB">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1.1.2 </w:t>
      </w:r>
      <w:r>
        <w:rPr>
          <w:rFonts w:hint="eastAsia" w:hAnsi="宋体" w:cs="宋体"/>
          <w:color w:val="auto"/>
          <w:highlight w:val="none"/>
        </w:rPr>
        <w:t>合同当事人及其他相关方</w:t>
      </w:r>
    </w:p>
    <w:p w14:paraId="0F8891D3">
      <w:pPr>
        <w:pageBreakBefore w:val="0"/>
        <w:widowControl w:val="0"/>
        <w:kinsoku/>
        <w:wordWrap/>
        <w:overflowPunct/>
        <w:topLinePunct w:val="0"/>
        <w:bidi w:val="0"/>
        <w:spacing w:line="360" w:lineRule="auto"/>
        <w:ind w:firstLine="420" w:firstLineChars="200"/>
        <w:textAlignment w:val="auto"/>
        <w:outlineLvl w:val="0"/>
        <w:rPr>
          <w:color w:val="auto"/>
          <w:highlight w:val="none"/>
        </w:rPr>
      </w:pPr>
      <w:r>
        <w:rPr>
          <w:color w:val="auto"/>
          <w:highlight w:val="none"/>
        </w:rPr>
        <w:t xml:space="preserve">1.1.2.4 </w:t>
      </w:r>
      <w:r>
        <w:rPr>
          <w:rFonts w:hint="eastAsia" w:hAnsi="宋体" w:cs="宋体"/>
          <w:color w:val="auto"/>
          <w:highlight w:val="none"/>
        </w:rPr>
        <w:t>监理人：</w:t>
      </w:r>
    </w:p>
    <w:p w14:paraId="7D6ED9EA">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39928D8A">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245FA9D4">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662C0C26">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2E7DEEA9">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253F9BF6">
      <w:pPr>
        <w:pageBreakBefore w:val="0"/>
        <w:widowControl w:val="0"/>
        <w:kinsoku/>
        <w:wordWrap/>
        <w:overflowPunct/>
        <w:topLinePunct w:val="0"/>
        <w:bidi w:val="0"/>
        <w:spacing w:line="360" w:lineRule="auto"/>
        <w:ind w:firstLine="420" w:firstLineChars="200"/>
        <w:textAlignment w:val="auto"/>
        <w:outlineLvl w:val="0"/>
        <w:rPr>
          <w:color w:val="auto"/>
          <w:highlight w:val="none"/>
        </w:rPr>
      </w:pPr>
      <w:r>
        <w:rPr>
          <w:color w:val="auto"/>
          <w:highlight w:val="none"/>
        </w:rPr>
        <w:t xml:space="preserve">1.1.2.5 </w:t>
      </w:r>
      <w:r>
        <w:rPr>
          <w:rFonts w:hint="eastAsia" w:hAnsi="宋体" w:cs="宋体"/>
          <w:color w:val="auto"/>
          <w:highlight w:val="none"/>
        </w:rPr>
        <w:t>设计人：</w:t>
      </w:r>
    </w:p>
    <w:p w14:paraId="09FAA8A7">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名</w:t>
      </w:r>
      <w:r>
        <w:rPr>
          <w:color w:val="auto"/>
          <w:highlight w:val="none"/>
        </w:rPr>
        <w:t xml:space="preserve">    </w:t>
      </w:r>
      <w:r>
        <w:rPr>
          <w:rFonts w:hint="eastAsia" w:hAnsi="宋体" w:cs="宋体"/>
          <w:color w:val="auto"/>
          <w:highlight w:val="none"/>
        </w:rPr>
        <w:t>称：</w:t>
      </w:r>
      <w:r>
        <w:rPr>
          <w:color w:val="auto"/>
          <w:highlight w:val="none"/>
          <w:u w:val="single"/>
        </w:rPr>
        <w:t xml:space="preserve">                 </w:t>
      </w:r>
      <w:r>
        <w:rPr>
          <w:rFonts w:hint="eastAsia" w:hAnsi="宋体" w:cs="宋体"/>
          <w:color w:val="auto"/>
          <w:highlight w:val="none"/>
        </w:rPr>
        <w:t>；</w:t>
      </w:r>
    </w:p>
    <w:p w14:paraId="68AF71E9">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资质类别和等级：</w:t>
      </w:r>
      <w:r>
        <w:rPr>
          <w:color w:val="auto"/>
          <w:highlight w:val="none"/>
          <w:u w:val="single"/>
        </w:rPr>
        <w:t xml:space="preserve">               </w:t>
      </w:r>
      <w:r>
        <w:rPr>
          <w:rFonts w:hint="eastAsia" w:hAnsi="宋体" w:cs="宋体"/>
          <w:color w:val="auto"/>
          <w:highlight w:val="none"/>
        </w:rPr>
        <w:t>；</w:t>
      </w:r>
    </w:p>
    <w:p w14:paraId="51FB8D7E">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联系电话：</w:t>
      </w:r>
      <w:r>
        <w:rPr>
          <w:color w:val="auto"/>
          <w:highlight w:val="none"/>
          <w:u w:val="single"/>
        </w:rPr>
        <w:t xml:space="preserve">                 </w:t>
      </w:r>
      <w:r>
        <w:rPr>
          <w:rFonts w:hint="eastAsia" w:hAnsi="宋体" w:cs="宋体"/>
          <w:color w:val="auto"/>
          <w:highlight w:val="none"/>
        </w:rPr>
        <w:t>；</w:t>
      </w:r>
    </w:p>
    <w:p w14:paraId="6D454464">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电子信箱：</w:t>
      </w:r>
      <w:r>
        <w:rPr>
          <w:color w:val="auto"/>
          <w:highlight w:val="none"/>
          <w:u w:val="single"/>
        </w:rPr>
        <w:t xml:space="preserve">                    </w:t>
      </w:r>
      <w:r>
        <w:rPr>
          <w:rFonts w:hint="eastAsia" w:hAnsi="宋体" w:cs="宋体"/>
          <w:color w:val="auto"/>
          <w:highlight w:val="none"/>
        </w:rPr>
        <w:t>；</w:t>
      </w:r>
    </w:p>
    <w:p w14:paraId="60D5DA1F">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通信地址：</w:t>
      </w:r>
      <w:r>
        <w:rPr>
          <w:color w:val="auto"/>
          <w:highlight w:val="none"/>
          <w:u w:val="single"/>
        </w:rPr>
        <w:t xml:space="preserve">                </w:t>
      </w:r>
      <w:r>
        <w:rPr>
          <w:rFonts w:hint="eastAsia" w:hAnsi="宋体" w:cs="宋体"/>
          <w:color w:val="auto"/>
          <w:highlight w:val="none"/>
        </w:rPr>
        <w:t>。</w:t>
      </w:r>
    </w:p>
    <w:p w14:paraId="1306E66D">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1.1.3 </w:t>
      </w:r>
      <w:r>
        <w:rPr>
          <w:rFonts w:hint="eastAsia" w:hAnsi="宋体" w:cs="宋体"/>
          <w:color w:val="auto"/>
          <w:highlight w:val="none"/>
        </w:rPr>
        <w:t>工程和设备</w:t>
      </w:r>
    </w:p>
    <w:p w14:paraId="3BC2E3FC">
      <w:pPr>
        <w:pageBreakBefore w:val="0"/>
        <w:widowControl w:val="0"/>
        <w:kinsoku/>
        <w:wordWrap/>
        <w:overflowPunct/>
        <w:topLinePunct w:val="0"/>
        <w:bidi w:val="0"/>
        <w:spacing w:line="360" w:lineRule="auto"/>
        <w:ind w:firstLine="420" w:firstLineChars="200"/>
        <w:textAlignment w:val="auto"/>
        <w:outlineLvl w:val="0"/>
        <w:rPr>
          <w:color w:val="auto"/>
          <w:highlight w:val="none"/>
        </w:rPr>
      </w:pPr>
      <w:r>
        <w:rPr>
          <w:color w:val="auto"/>
          <w:highlight w:val="none"/>
        </w:rPr>
        <w:t xml:space="preserve">1.1.3.7 </w:t>
      </w:r>
      <w:r>
        <w:rPr>
          <w:rFonts w:hint="eastAsia" w:hAnsi="宋体" w:cs="宋体"/>
          <w:color w:val="auto"/>
          <w:highlight w:val="none"/>
        </w:rPr>
        <w:t>作为施工现场组成部分的其他场所包括：</w:t>
      </w:r>
      <w:r>
        <w:rPr>
          <w:color w:val="auto"/>
          <w:highlight w:val="none"/>
          <w:u w:val="single"/>
        </w:rPr>
        <w:t xml:space="preserve">  </w:t>
      </w:r>
      <w:r>
        <w:rPr>
          <w:rFonts w:hint="eastAsia"/>
          <w:color w:val="auto"/>
          <w:highlight w:val="none"/>
          <w:u w:val="single"/>
        </w:rPr>
        <w:t>临时设施场地</w:t>
      </w:r>
      <w:r>
        <w:rPr>
          <w:rFonts w:hAnsi="宋体"/>
          <w:color w:val="auto"/>
          <w:highlight w:val="none"/>
          <w:u w:val="single"/>
        </w:rPr>
        <w:t xml:space="preserve">   </w:t>
      </w:r>
      <w:r>
        <w:rPr>
          <w:rFonts w:hint="eastAsia" w:hAnsi="宋体" w:cs="宋体"/>
          <w:color w:val="auto"/>
          <w:highlight w:val="none"/>
        </w:rPr>
        <w:t>。</w:t>
      </w:r>
    </w:p>
    <w:p w14:paraId="7990A879">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color w:val="auto"/>
          <w:kern w:val="0"/>
          <w:highlight w:val="none"/>
        </w:rPr>
        <w:t xml:space="preserve">1.1.3.9 </w:t>
      </w:r>
      <w:r>
        <w:rPr>
          <w:rFonts w:hint="eastAsia" w:hAnsi="宋体" w:cs="宋体"/>
          <w:color w:val="auto"/>
          <w:kern w:val="0"/>
          <w:highlight w:val="none"/>
        </w:rPr>
        <w:t>永久占地包括：</w:t>
      </w:r>
      <w:r>
        <w:rPr>
          <w:color w:val="auto"/>
          <w:highlight w:val="none"/>
          <w:u w:val="single"/>
        </w:rPr>
        <w:t xml:space="preserve">  </w:t>
      </w:r>
      <w:r>
        <w:rPr>
          <w:rFonts w:hint="eastAsia"/>
          <w:color w:val="auto"/>
          <w:highlight w:val="none"/>
          <w:u w:val="single"/>
        </w:rPr>
        <w:t>实施合同工程需永久占用的场地</w:t>
      </w:r>
      <w:r>
        <w:rPr>
          <w:color w:val="auto"/>
          <w:highlight w:val="none"/>
          <w:u w:val="single"/>
        </w:rPr>
        <w:t xml:space="preserve">  </w:t>
      </w:r>
      <w:r>
        <w:rPr>
          <w:rFonts w:hint="eastAsia" w:hAnsi="宋体" w:cs="宋体"/>
          <w:color w:val="auto"/>
          <w:kern w:val="0"/>
          <w:highlight w:val="none"/>
        </w:rPr>
        <w:t>。</w:t>
      </w:r>
    </w:p>
    <w:p w14:paraId="266C3E16">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kern w:val="0"/>
          <w:highlight w:val="none"/>
        </w:rPr>
        <w:t xml:space="preserve">1.1.3.10 </w:t>
      </w:r>
      <w:r>
        <w:rPr>
          <w:rFonts w:hint="eastAsia" w:hAnsi="宋体" w:cs="宋体"/>
          <w:color w:val="auto"/>
          <w:kern w:val="0"/>
          <w:highlight w:val="none"/>
        </w:rPr>
        <w:t>临时占地包括：</w:t>
      </w:r>
      <w:r>
        <w:rPr>
          <w:color w:val="auto"/>
          <w:highlight w:val="none"/>
          <w:u w:val="single"/>
        </w:rPr>
        <w:t xml:space="preserve">  </w:t>
      </w:r>
      <w:r>
        <w:rPr>
          <w:rFonts w:hint="eastAsia"/>
          <w:color w:val="auto"/>
          <w:highlight w:val="none"/>
          <w:u w:val="single"/>
        </w:rPr>
        <w:t>实施合同工程需临时占用的场地</w:t>
      </w:r>
      <w:r>
        <w:rPr>
          <w:color w:val="auto"/>
          <w:highlight w:val="none"/>
          <w:u w:val="single"/>
        </w:rPr>
        <w:t xml:space="preserve">  </w:t>
      </w:r>
      <w:r>
        <w:rPr>
          <w:rFonts w:hint="eastAsia" w:hAnsi="宋体" w:cs="宋体"/>
          <w:color w:val="auto"/>
          <w:kern w:val="0"/>
          <w:highlight w:val="none"/>
        </w:rPr>
        <w:t>。</w:t>
      </w:r>
    </w:p>
    <w:p w14:paraId="47D44CDE">
      <w:pPr>
        <w:pStyle w:val="6"/>
        <w:pageBreakBefore w:val="0"/>
        <w:widowControl w:val="0"/>
        <w:kinsoku/>
        <w:wordWrap/>
        <w:overflowPunct/>
        <w:topLinePunct w:val="0"/>
        <w:bidi w:val="0"/>
        <w:spacing w:before="0" w:after="0" w:line="360" w:lineRule="auto"/>
        <w:textAlignment w:val="auto"/>
        <w:rPr>
          <w:color w:val="auto"/>
          <w:highlight w:val="none"/>
        </w:rPr>
      </w:pPr>
      <w:bookmarkStart w:id="94" w:name="_Toc78449782"/>
      <w:bookmarkStart w:id="95" w:name="_Toc1162259329"/>
      <w:bookmarkStart w:id="96" w:name="_Toc373227694"/>
      <w:bookmarkStart w:id="97" w:name="_Toc407135196"/>
      <w:bookmarkStart w:id="98" w:name="_Toc373478341"/>
      <w:bookmarkStart w:id="99" w:name="_Toc389065260"/>
      <w:bookmarkStart w:id="100" w:name="_Toc11286"/>
      <w:r>
        <w:rPr>
          <w:color w:val="auto"/>
          <w:highlight w:val="none"/>
        </w:rPr>
        <w:t xml:space="preserve">1.3 </w:t>
      </w:r>
      <w:r>
        <w:rPr>
          <w:rFonts w:hint="eastAsia" w:hAnsi="宋体" w:cs="黑体"/>
          <w:color w:val="auto"/>
          <w:highlight w:val="none"/>
        </w:rPr>
        <w:t>法律</w:t>
      </w:r>
      <w:bookmarkEnd w:id="94"/>
      <w:bookmarkEnd w:id="95"/>
      <w:bookmarkEnd w:id="96"/>
      <w:bookmarkEnd w:id="97"/>
      <w:bookmarkEnd w:id="98"/>
      <w:bookmarkEnd w:id="99"/>
      <w:bookmarkEnd w:id="100"/>
    </w:p>
    <w:p w14:paraId="48A2DA21">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color w:val="auto"/>
          <w:highlight w:val="none"/>
        </w:rPr>
      </w:pPr>
      <w:r>
        <w:rPr>
          <w:rFonts w:hint="eastAsia" w:hAnsi="宋体" w:cs="宋体"/>
          <w:color w:val="auto"/>
          <w:highlight w:val="none"/>
        </w:rPr>
        <w:t>适用于合同的其他规范性文件：</w:t>
      </w:r>
      <w:r>
        <w:rPr>
          <w:rFonts w:hAnsi="宋体"/>
          <w:color w:val="auto"/>
          <w:highlight w:val="none"/>
          <w:u w:val="single"/>
        </w:rPr>
        <w:t xml:space="preserve">   </w:t>
      </w:r>
      <w:r>
        <w:rPr>
          <w:rFonts w:hint="eastAsia" w:hAnsi="宋体"/>
          <w:color w:val="auto"/>
          <w:highlight w:val="none"/>
          <w:u w:val="single"/>
        </w:rPr>
        <w:t>发包人对工程的相关管理规定和文件</w:t>
      </w:r>
      <w:r>
        <w:rPr>
          <w:color w:val="auto"/>
          <w:highlight w:val="none"/>
          <w:u w:val="single"/>
        </w:rPr>
        <w:t xml:space="preserve">    </w:t>
      </w:r>
      <w:r>
        <w:rPr>
          <w:rFonts w:hint="eastAsia" w:hAnsi="宋体" w:cs="宋体"/>
          <w:color w:val="auto"/>
          <w:highlight w:val="none"/>
        </w:rPr>
        <w:t>。</w:t>
      </w:r>
    </w:p>
    <w:p w14:paraId="639EECA6">
      <w:pPr>
        <w:pStyle w:val="6"/>
        <w:pageBreakBefore w:val="0"/>
        <w:widowControl w:val="0"/>
        <w:kinsoku/>
        <w:wordWrap/>
        <w:overflowPunct/>
        <w:topLinePunct w:val="0"/>
        <w:bidi w:val="0"/>
        <w:spacing w:before="0" w:after="0" w:line="360" w:lineRule="auto"/>
        <w:textAlignment w:val="auto"/>
        <w:rPr>
          <w:color w:val="auto"/>
          <w:highlight w:val="none"/>
        </w:rPr>
      </w:pPr>
      <w:bookmarkStart w:id="101" w:name="_Toc389065261"/>
      <w:bookmarkStart w:id="102" w:name="_Toc373478342"/>
      <w:bookmarkStart w:id="103" w:name="_Toc407135197"/>
      <w:bookmarkStart w:id="104" w:name="_Toc1694357896"/>
      <w:bookmarkStart w:id="105" w:name="_Toc78449783"/>
      <w:bookmarkStart w:id="106" w:name="_Toc373227695"/>
      <w:bookmarkStart w:id="107" w:name="_Toc6293"/>
      <w:r>
        <w:rPr>
          <w:color w:val="auto"/>
          <w:highlight w:val="none"/>
        </w:rPr>
        <w:t xml:space="preserve">1.4 </w:t>
      </w:r>
      <w:r>
        <w:rPr>
          <w:rFonts w:hint="eastAsia" w:hAnsi="宋体" w:cs="黑体"/>
          <w:color w:val="auto"/>
          <w:highlight w:val="none"/>
        </w:rPr>
        <w:t>标准和规范</w:t>
      </w:r>
      <w:bookmarkEnd w:id="101"/>
      <w:bookmarkEnd w:id="102"/>
      <w:bookmarkEnd w:id="103"/>
      <w:bookmarkEnd w:id="104"/>
      <w:bookmarkEnd w:id="105"/>
      <w:bookmarkEnd w:id="106"/>
      <w:bookmarkEnd w:id="107"/>
    </w:p>
    <w:p w14:paraId="4362C8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color w:val="auto"/>
          <w:highlight w:val="none"/>
        </w:rPr>
        <w:t xml:space="preserve">1.4.1 </w:t>
      </w:r>
      <w:r>
        <w:rPr>
          <w:rFonts w:hint="eastAsia" w:hAnsi="宋体" w:cs="宋体"/>
          <w:color w:val="auto"/>
          <w:highlight w:val="none"/>
        </w:rPr>
        <w:t>适用于工程的标准规范包括：</w:t>
      </w:r>
      <w:r>
        <w:rPr>
          <w:rFonts w:hAnsi="宋体"/>
          <w:color w:val="auto"/>
          <w:highlight w:val="none"/>
          <w:u w:val="single"/>
        </w:rPr>
        <w:t xml:space="preserve">  </w:t>
      </w:r>
      <w:r>
        <w:rPr>
          <w:rFonts w:hint="eastAsia" w:hAnsi="宋体"/>
          <w:color w:val="auto"/>
          <w:highlight w:val="none"/>
          <w:u w:val="single"/>
        </w:rPr>
        <w:t>国家和广西区、北海市有关建设工程的相关规范、标准和要求</w:t>
      </w:r>
      <w:r>
        <w:rPr>
          <w:color w:val="auto"/>
          <w:highlight w:val="none"/>
          <w:u w:val="single"/>
        </w:rPr>
        <w:t xml:space="preserve">  </w:t>
      </w:r>
      <w:r>
        <w:rPr>
          <w:rFonts w:hint="eastAsia" w:hAnsi="宋体" w:cs="宋体"/>
          <w:color w:val="auto"/>
          <w:highlight w:val="none"/>
        </w:rPr>
        <w:t>。</w:t>
      </w:r>
    </w:p>
    <w:p w14:paraId="5813B8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kern w:val="0"/>
          <w:highlight w:val="none"/>
        </w:rPr>
      </w:pPr>
      <w:r>
        <w:rPr>
          <w:color w:val="auto"/>
          <w:kern w:val="0"/>
          <w:highlight w:val="none"/>
        </w:rPr>
        <w:t xml:space="preserve">1.4.2 </w:t>
      </w:r>
      <w:r>
        <w:rPr>
          <w:rFonts w:hint="eastAsia" w:hAnsi="宋体" w:cs="宋体"/>
          <w:color w:val="auto"/>
          <w:kern w:val="0"/>
          <w:highlight w:val="none"/>
        </w:rPr>
        <w:t>发包人提供国外标准、规范的名称：</w:t>
      </w:r>
      <w:r>
        <w:rPr>
          <w:rFonts w:hAnsi="宋体"/>
          <w:color w:val="auto"/>
          <w:highlight w:val="none"/>
          <w:u w:val="single"/>
        </w:rPr>
        <w:t xml:space="preserve">   </w:t>
      </w:r>
      <w:r>
        <w:rPr>
          <w:rFonts w:hint="eastAsia" w:hAnsi="宋体"/>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5BA9DF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kern w:val="0"/>
          <w:highlight w:val="none"/>
        </w:rPr>
      </w:pPr>
      <w:r>
        <w:rPr>
          <w:rFonts w:hint="eastAsia" w:hAnsi="宋体" w:cs="宋体"/>
          <w:color w:val="auto"/>
          <w:kern w:val="0"/>
          <w:highlight w:val="none"/>
        </w:rPr>
        <w:t>发包人提供国外标准、规范的份数：</w:t>
      </w:r>
      <w:r>
        <w:rPr>
          <w:color w:val="auto"/>
          <w:kern w:val="0"/>
          <w:highlight w:val="none"/>
          <w:u w:val="single"/>
        </w:rPr>
        <w:t xml:space="preserve">   </w:t>
      </w:r>
      <w:r>
        <w:rPr>
          <w:rFonts w:hint="eastAsia"/>
          <w:color w:val="auto"/>
          <w:kern w:val="0"/>
          <w:highlight w:val="none"/>
          <w:u w:val="single"/>
        </w:rPr>
        <w:t>无</w:t>
      </w:r>
      <w:r>
        <w:rPr>
          <w:color w:val="auto"/>
          <w:kern w:val="0"/>
          <w:highlight w:val="none"/>
          <w:u w:val="single"/>
        </w:rPr>
        <w:t xml:space="preserve">   </w:t>
      </w:r>
      <w:r>
        <w:rPr>
          <w:rFonts w:hint="eastAsia" w:hAnsi="宋体" w:cs="宋体"/>
          <w:color w:val="auto"/>
          <w:kern w:val="0"/>
          <w:highlight w:val="none"/>
        </w:rPr>
        <w:t>；</w:t>
      </w:r>
    </w:p>
    <w:p w14:paraId="6DBA02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rFonts w:hint="eastAsia" w:hAnsi="宋体" w:cs="宋体"/>
          <w:color w:val="auto"/>
          <w:kern w:val="0"/>
          <w:highlight w:val="none"/>
        </w:rPr>
        <w:t>发包人提供国外标准、规范的名称：</w:t>
      </w:r>
      <w:r>
        <w:rPr>
          <w:color w:val="auto"/>
          <w:kern w:val="0"/>
          <w:highlight w:val="none"/>
          <w:u w:val="single"/>
        </w:rPr>
        <w:t xml:space="preserve">   </w:t>
      </w:r>
      <w:r>
        <w:rPr>
          <w:rFonts w:hint="eastAsia"/>
          <w:color w:val="auto"/>
          <w:kern w:val="0"/>
          <w:highlight w:val="none"/>
          <w:u w:val="single"/>
        </w:rPr>
        <w:t>无</w:t>
      </w:r>
      <w:r>
        <w:rPr>
          <w:color w:val="auto"/>
          <w:kern w:val="0"/>
          <w:highlight w:val="none"/>
          <w:u w:val="single"/>
        </w:rPr>
        <w:t xml:space="preserve">   </w:t>
      </w:r>
      <w:r>
        <w:rPr>
          <w:rFonts w:hint="eastAsia" w:hAnsi="宋体" w:cs="宋体"/>
          <w:color w:val="auto"/>
          <w:kern w:val="0"/>
          <w:highlight w:val="none"/>
        </w:rPr>
        <w:t>。</w:t>
      </w:r>
    </w:p>
    <w:p w14:paraId="7E58D3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color w:val="auto"/>
          <w:highlight w:val="none"/>
        </w:rPr>
      </w:pPr>
      <w:r>
        <w:rPr>
          <w:color w:val="auto"/>
          <w:highlight w:val="none"/>
        </w:rPr>
        <w:t xml:space="preserve">1.4.3 </w:t>
      </w:r>
      <w:r>
        <w:rPr>
          <w:rFonts w:hint="eastAsia" w:hAnsi="宋体" w:cs="宋体"/>
          <w:color w:val="auto"/>
          <w:highlight w:val="none"/>
        </w:rPr>
        <w:t>发包人对工程的技术标准和功能要求的特殊要求：</w:t>
      </w:r>
      <w:r>
        <w:rPr>
          <w:rFonts w:hAnsi="宋体"/>
          <w:color w:val="auto"/>
          <w:highlight w:val="none"/>
          <w:u w:val="single"/>
        </w:rPr>
        <w:t xml:space="preserve">    </w:t>
      </w:r>
      <w:r>
        <w:rPr>
          <w:rFonts w:hint="eastAsia" w:hAnsi="宋体"/>
          <w:color w:val="auto"/>
          <w:highlight w:val="none"/>
          <w:u w:val="single"/>
        </w:rPr>
        <w:t>满足本工程的安全生产</w:t>
      </w:r>
      <w:r>
        <w:rPr>
          <w:rFonts w:hAnsi="宋体"/>
          <w:color w:val="auto"/>
          <w:highlight w:val="none"/>
          <w:u w:val="single"/>
        </w:rPr>
        <w:t xml:space="preserve">   </w:t>
      </w:r>
      <w:r>
        <w:rPr>
          <w:rFonts w:hint="eastAsia" w:hAnsi="宋体" w:cs="宋体"/>
          <w:color w:val="auto"/>
          <w:highlight w:val="none"/>
        </w:rPr>
        <w:t>。</w:t>
      </w:r>
    </w:p>
    <w:p w14:paraId="63597FA6">
      <w:pPr>
        <w:pStyle w:val="6"/>
        <w:pageBreakBefore w:val="0"/>
        <w:widowControl w:val="0"/>
        <w:kinsoku/>
        <w:wordWrap/>
        <w:overflowPunct/>
        <w:topLinePunct w:val="0"/>
        <w:bidi w:val="0"/>
        <w:spacing w:before="0" w:after="0" w:line="360" w:lineRule="auto"/>
        <w:textAlignment w:val="auto"/>
        <w:rPr>
          <w:color w:val="auto"/>
          <w:highlight w:val="none"/>
        </w:rPr>
      </w:pPr>
      <w:bookmarkStart w:id="108" w:name="_Toc24431861"/>
      <w:bookmarkStart w:id="109" w:name="_Toc373478343"/>
      <w:bookmarkStart w:id="110" w:name="_Toc78449784"/>
      <w:bookmarkStart w:id="111" w:name="_Toc389065262"/>
      <w:bookmarkStart w:id="112" w:name="_Toc373227696"/>
      <w:bookmarkStart w:id="113" w:name="_Toc407135198"/>
      <w:bookmarkStart w:id="114" w:name="_Toc26819"/>
      <w:r>
        <w:rPr>
          <w:color w:val="auto"/>
          <w:highlight w:val="none"/>
        </w:rPr>
        <w:t xml:space="preserve">1.5 </w:t>
      </w:r>
      <w:r>
        <w:rPr>
          <w:rFonts w:hint="eastAsia" w:cs="黑体"/>
          <w:color w:val="auto"/>
          <w:highlight w:val="none"/>
        </w:rPr>
        <w:t>合同文件的优先顺序</w:t>
      </w:r>
      <w:bookmarkEnd w:id="108"/>
      <w:bookmarkEnd w:id="109"/>
      <w:bookmarkEnd w:id="110"/>
      <w:bookmarkEnd w:id="111"/>
      <w:bookmarkEnd w:id="112"/>
      <w:bookmarkEnd w:id="113"/>
      <w:bookmarkEnd w:id="114"/>
    </w:p>
    <w:p w14:paraId="5C00456A">
      <w:pPr>
        <w:pageBreakBefore w:val="0"/>
        <w:widowControl w:val="0"/>
        <w:kinsoku/>
        <w:wordWrap/>
        <w:overflowPunct/>
        <w:topLinePunct w:val="0"/>
        <w:bidi w:val="0"/>
        <w:spacing w:line="360" w:lineRule="auto"/>
        <w:ind w:firstLine="420" w:firstLineChars="200"/>
        <w:textAlignment w:val="auto"/>
        <w:rPr>
          <w:rFonts w:hint="eastAsia" w:hAnsi="宋体" w:cs="宋体"/>
          <w:color w:val="auto"/>
          <w:kern w:val="0"/>
          <w:highlight w:val="none"/>
        </w:rPr>
      </w:pPr>
      <w:r>
        <w:rPr>
          <w:rFonts w:hint="eastAsia" w:hAnsi="宋体" w:cs="宋体"/>
          <w:color w:val="auto"/>
          <w:highlight w:val="none"/>
        </w:rPr>
        <w:t>合同文件组成及优先顺序为：</w:t>
      </w:r>
    </w:p>
    <w:p w14:paraId="3E1426E8">
      <w:pPr>
        <w:pageBreakBefore w:val="0"/>
        <w:widowControl w:val="0"/>
        <w:kinsoku/>
        <w:wordWrap/>
        <w:overflowPunct/>
        <w:topLinePunct w:val="0"/>
        <w:bidi w:val="0"/>
        <w:spacing w:line="360" w:lineRule="auto"/>
        <w:ind w:firstLine="420" w:firstLineChars="200"/>
        <w:textAlignment w:val="auto"/>
        <w:rPr>
          <w:rFonts w:hint="eastAsia" w:ascii="Times New Roman" w:hAnsi="宋体" w:eastAsia="宋体" w:cs="宋体"/>
          <w:color w:val="auto"/>
          <w:kern w:val="0"/>
          <w:highlight w:val="none"/>
        </w:rPr>
      </w:pP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1</w:t>
      </w:r>
      <w:r>
        <w:rPr>
          <w:rFonts w:hint="eastAsia" w:ascii="Times New Roman" w:hAnsi="宋体" w:eastAsia="宋体" w:cs="宋体"/>
          <w:color w:val="auto"/>
          <w:kern w:val="0"/>
          <w:highlight w:val="none"/>
        </w:rPr>
        <w:t>）合同协议书；</w:t>
      </w:r>
    </w:p>
    <w:p w14:paraId="3F5E07C5">
      <w:pPr>
        <w:pageBreakBefore w:val="0"/>
        <w:widowControl w:val="0"/>
        <w:kinsoku/>
        <w:wordWrap/>
        <w:overflowPunct/>
        <w:topLinePunct w:val="0"/>
        <w:bidi w:val="0"/>
        <w:spacing w:line="360" w:lineRule="auto"/>
        <w:ind w:firstLine="420" w:firstLineChars="200"/>
        <w:textAlignment w:val="auto"/>
        <w:rPr>
          <w:rFonts w:hint="eastAsia" w:ascii="Times New Roman" w:hAnsi="宋体" w:eastAsia="宋体" w:cs="宋体"/>
          <w:color w:val="auto"/>
          <w:kern w:val="0"/>
          <w:highlight w:val="none"/>
        </w:rPr>
      </w:pPr>
      <w:bookmarkStart w:id="115" w:name="bookmark916"/>
      <w:bookmarkEnd w:id="115"/>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2</w:t>
      </w:r>
      <w:r>
        <w:rPr>
          <w:rFonts w:hint="eastAsia" w:ascii="Times New Roman" w:hAnsi="宋体" w:eastAsia="宋体" w:cs="宋体"/>
          <w:color w:val="auto"/>
          <w:kern w:val="0"/>
          <w:highlight w:val="none"/>
        </w:rPr>
        <w:t>）中标通知书；</w:t>
      </w:r>
    </w:p>
    <w:p w14:paraId="1E198B6A">
      <w:pPr>
        <w:pageBreakBefore w:val="0"/>
        <w:widowControl w:val="0"/>
        <w:kinsoku/>
        <w:wordWrap/>
        <w:overflowPunct/>
        <w:topLinePunct w:val="0"/>
        <w:bidi w:val="0"/>
        <w:spacing w:line="360" w:lineRule="auto"/>
        <w:ind w:firstLineChars="200"/>
        <w:textAlignment w:val="auto"/>
        <w:rPr>
          <w:rFonts w:hint="eastAsia" w:ascii="Times New Roman" w:hAnsi="宋体" w:eastAsia="宋体" w:cs="宋体"/>
          <w:color w:val="auto"/>
          <w:kern w:val="0"/>
          <w:highlight w:val="none"/>
        </w:rPr>
      </w:pPr>
      <w:bookmarkStart w:id="116" w:name="bookmark917"/>
      <w:bookmarkEnd w:id="116"/>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3</w:t>
      </w:r>
      <w:r>
        <w:rPr>
          <w:rFonts w:hint="eastAsia" w:ascii="Times New Roman" w:hAnsi="宋体" w:eastAsia="宋体" w:cs="宋体"/>
          <w:color w:val="auto"/>
          <w:kern w:val="0"/>
          <w:highlight w:val="none"/>
        </w:rPr>
        <w:t>）投标函及投标函附录；</w:t>
      </w:r>
    </w:p>
    <w:p w14:paraId="5FFAF52A">
      <w:pPr>
        <w:pageBreakBefore w:val="0"/>
        <w:widowControl w:val="0"/>
        <w:kinsoku/>
        <w:wordWrap/>
        <w:overflowPunct/>
        <w:topLinePunct w:val="0"/>
        <w:bidi w:val="0"/>
        <w:spacing w:line="360" w:lineRule="auto"/>
        <w:ind w:firstLineChars="200"/>
        <w:textAlignment w:val="auto"/>
        <w:rPr>
          <w:rFonts w:hint="eastAsia" w:ascii="Times New Roman" w:hAnsi="宋体" w:eastAsia="宋体" w:cs="宋体"/>
          <w:color w:val="auto"/>
          <w:kern w:val="0"/>
          <w:highlight w:val="none"/>
        </w:rPr>
      </w:pPr>
      <w:bookmarkStart w:id="117" w:name="bookmark918"/>
      <w:bookmarkEnd w:id="117"/>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4</w:t>
      </w:r>
      <w:r>
        <w:rPr>
          <w:rFonts w:hint="eastAsia" w:ascii="Times New Roman" w:hAnsi="宋体" w:eastAsia="宋体" w:cs="宋体"/>
          <w:color w:val="auto"/>
          <w:kern w:val="0"/>
          <w:highlight w:val="none"/>
        </w:rPr>
        <w:t>）专用合同条款；</w:t>
      </w:r>
    </w:p>
    <w:p w14:paraId="057971CE">
      <w:pPr>
        <w:pageBreakBefore w:val="0"/>
        <w:widowControl w:val="0"/>
        <w:kinsoku/>
        <w:wordWrap/>
        <w:overflowPunct/>
        <w:topLinePunct w:val="0"/>
        <w:bidi w:val="0"/>
        <w:spacing w:line="360" w:lineRule="auto"/>
        <w:ind w:firstLineChars="200"/>
        <w:textAlignment w:val="auto"/>
        <w:rPr>
          <w:rFonts w:hint="eastAsia" w:ascii="Times New Roman" w:hAnsi="宋体" w:eastAsia="宋体" w:cs="宋体"/>
          <w:color w:val="auto"/>
          <w:kern w:val="0"/>
          <w:highlight w:val="none"/>
        </w:rPr>
      </w:pPr>
      <w:bookmarkStart w:id="118" w:name="bookmark919"/>
      <w:bookmarkEnd w:id="118"/>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5</w:t>
      </w:r>
      <w:r>
        <w:rPr>
          <w:rFonts w:hint="eastAsia" w:ascii="Times New Roman" w:hAnsi="宋体" w:eastAsia="宋体" w:cs="宋体"/>
          <w:color w:val="auto"/>
          <w:kern w:val="0"/>
          <w:highlight w:val="none"/>
        </w:rPr>
        <w:t>）通用合同条款；</w:t>
      </w:r>
    </w:p>
    <w:p w14:paraId="5E404344">
      <w:pPr>
        <w:pageBreakBefore w:val="0"/>
        <w:widowControl w:val="0"/>
        <w:kinsoku/>
        <w:wordWrap/>
        <w:overflowPunct/>
        <w:topLinePunct w:val="0"/>
        <w:bidi w:val="0"/>
        <w:spacing w:line="360" w:lineRule="auto"/>
        <w:ind w:firstLineChars="200"/>
        <w:textAlignment w:val="auto"/>
        <w:rPr>
          <w:rFonts w:hint="eastAsia" w:ascii="Times New Roman" w:hAnsi="宋体" w:eastAsia="宋体" w:cs="宋体"/>
          <w:color w:val="auto"/>
          <w:kern w:val="0"/>
          <w:highlight w:val="none"/>
        </w:rPr>
      </w:pPr>
      <w:bookmarkStart w:id="119" w:name="bookmark920"/>
      <w:bookmarkEnd w:id="119"/>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6</w:t>
      </w:r>
      <w:r>
        <w:rPr>
          <w:rFonts w:hint="eastAsia" w:ascii="Times New Roman" w:hAnsi="宋体" w:eastAsia="宋体" w:cs="宋体"/>
          <w:color w:val="auto"/>
          <w:kern w:val="0"/>
          <w:highlight w:val="none"/>
        </w:rPr>
        <w:t>）技术标准和要求；</w:t>
      </w:r>
    </w:p>
    <w:p w14:paraId="0AD0B711">
      <w:pPr>
        <w:pageBreakBefore w:val="0"/>
        <w:widowControl w:val="0"/>
        <w:kinsoku/>
        <w:wordWrap/>
        <w:overflowPunct/>
        <w:topLinePunct w:val="0"/>
        <w:bidi w:val="0"/>
        <w:spacing w:line="360" w:lineRule="auto"/>
        <w:ind w:firstLineChars="200"/>
        <w:textAlignment w:val="auto"/>
        <w:rPr>
          <w:rFonts w:hint="eastAsia" w:ascii="Times New Roman" w:hAnsi="宋体" w:eastAsia="宋体" w:cs="宋体"/>
          <w:color w:val="auto"/>
          <w:kern w:val="0"/>
          <w:highlight w:val="none"/>
        </w:rPr>
      </w:pPr>
      <w:bookmarkStart w:id="120" w:name="bookmark921"/>
      <w:bookmarkEnd w:id="120"/>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7</w:t>
      </w:r>
      <w:r>
        <w:rPr>
          <w:rFonts w:hint="eastAsia" w:ascii="Times New Roman" w:hAnsi="宋体" w:eastAsia="宋体" w:cs="宋体"/>
          <w:color w:val="auto"/>
          <w:kern w:val="0"/>
          <w:highlight w:val="none"/>
        </w:rPr>
        <w:t>）图纸；</w:t>
      </w:r>
    </w:p>
    <w:p w14:paraId="6A19DABA">
      <w:pPr>
        <w:pageBreakBefore w:val="0"/>
        <w:widowControl w:val="0"/>
        <w:kinsoku/>
        <w:wordWrap/>
        <w:overflowPunct/>
        <w:topLinePunct w:val="0"/>
        <w:bidi w:val="0"/>
        <w:spacing w:line="360" w:lineRule="auto"/>
        <w:ind w:firstLine="420" w:firstLineChars="200"/>
        <w:textAlignment w:val="auto"/>
        <w:rPr>
          <w:rFonts w:hint="eastAsia" w:ascii="Times New Roman" w:hAnsi="宋体" w:eastAsia="宋体" w:cs="宋体"/>
          <w:color w:val="auto"/>
          <w:kern w:val="0"/>
          <w:highlight w:val="none"/>
        </w:rPr>
      </w:pPr>
      <w:bookmarkStart w:id="121" w:name="bookmark922"/>
      <w:bookmarkEnd w:id="121"/>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8</w:t>
      </w:r>
      <w:r>
        <w:rPr>
          <w:rFonts w:hint="eastAsia" w:ascii="Times New Roman" w:hAnsi="宋体" w:eastAsia="宋体" w:cs="宋体"/>
          <w:color w:val="auto"/>
          <w:kern w:val="0"/>
          <w:highlight w:val="none"/>
        </w:rPr>
        <w:t>）已标价工程量清单；</w:t>
      </w:r>
    </w:p>
    <w:p w14:paraId="6DE717D7">
      <w:pPr>
        <w:pageBreakBefore w:val="0"/>
        <w:widowControl w:val="0"/>
        <w:kinsoku/>
        <w:wordWrap/>
        <w:overflowPunct/>
        <w:topLinePunct w:val="0"/>
        <w:autoSpaceDE/>
        <w:autoSpaceDN/>
        <w:bidi w:val="0"/>
        <w:adjustRightInd/>
        <w:spacing w:line="360" w:lineRule="auto"/>
        <w:ind w:firstLine="420" w:firstLineChars="200"/>
        <w:jc w:val="left"/>
        <w:textAlignment w:val="auto"/>
        <w:rPr>
          <w:rFonts w:hint="eastAsia" w:ascii="Times New Roman" w:hAnsi="宋体" w:eastAsia="宋体" w:cs="宋体"/>
          <w:color w:val="auto"/>
          <w:kern w:val="0"/>
          <w:highlight w:val="none"/>
          <w:u w:val="none"/>
        </w:rPr>
      </w:pP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val="en-US" w:eastAsia="zh-CN"/>
        </w:rPr>
        <w:t>9</w:t>
      </w: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u w:val="none"/>
        </w:rPr>
        <w:t>其他合同文件：</w:t>
      </w:r>
    </w:p>
    <w:p w14:paraId="6605C1CB">
      <w:pPr>
        <w:pageBreakBefore w:val="0"/>
        <w:widowControl w:val="0"/>
        <w:kinsoku/>
        <w:wordWrap/>
        <w:overflowPunct/>
        <w:topLinePunct w:val="0"/>
        <w:bidi w:val="0"/>
        <w:spacing w:line="360" w:lineRule="auto"/>
        <w:ind w:firstLine="420" w:firstLineChars="200"/>
        <w:textAlignment w:val="auto"/>
        <w:rPr>
          <w:rFonts w:hAnsi="宋体" w:cs="宋体"/>
          <w:color w:val="auto"/>
          <w:kern w:val="0"/>
          <w:highlight w:val="none"/>
        </w:rPr>
      </w:pPr>
      <w:r>
        <w:rPr>
          <w:rFonts w:hint="eastAsia" w:hAnsi="宋体" w:cs="宋体"/>
          <w:color w:val="auto"/>
          <w:kern w:val="0"/>
          <w:highlight w:val="none"/>
        </w:rPr>
        <w:t>上述各项合同文件包括合同当事人就该项合同文件所作出的补充和修改，属于同一类内容的文件，应以最新签署的为准（违反招标文件</w:t>
      </w:r>
      <w:r>
        <w:rPr>
          <w:rFonts w:hAnsi="宋体" w:cs="宋体"/>
          <w:color w:val="auto"/>
          <w:kern w:val="0"/>
          <w:highlight w:val="none"/>
        </w:rPr>
        <w:t>实质性内容的约定除外</w:t>
      </w:r>
      <w:r>
        <w:rPr>
          <w:rFonts w:hint="eastAsia" w:hAnsi="宋体" w:cs="宋体"/>
          <w:color w:val="auto"/>
          <w:kern w:val="0"/>
          <w:highlight w:val="none"/>
        </w:rPr>
        <w:t>）。专用合同条款及其附件须经合同当事人签字或盖章。</w:t>
      </w:r>
    </w:p>
    <w:p w14:paraId="3D775D1C">
      <w:pPr>
        <w:pStyle w:val="6"/>
        <w:pageBreakBefore w:val="0"/>
        <w:widowControl w:val="0"/>
        <w:kinsoku/>
        <w:wordWrap/>
        <w:overflowPunct/>
        <w:topLinePunct w:val="0"/>
        <w:bidi w:val="0"/>
        <w:spacing w:before="0" w:after="0" w:line="360" w:lineRule="auto"/>
        <w:textAlignment w:val="auto"/>
        <w:rPr>
          <w:color w:val="auto"/>
          <w:highlight w:val="none"/>
        </w:rPr>
      </w:pPr>
      <w:bookmarkStart w:id="122" w:name="_Toc78449785"/>
      <w:bookmarkStart w:id="123" w:name="_Toc31081"/>
      <w:bookmarkStart w:id="124" w:name="_Toc407135199"/>
      <w:bookmarkStart w:id="125" w:name="_Toc373227697"/>
      <w:bookmarkStart w:id="126" w:name="_Toc1531480704"/>
      <w:bookmarkStart w:id="127" w:name="_Toc373478344"/>
      <w:bookmarkStart w:id="128" w:name="_Toc389065263"/>
      <w:r>
        <w:rPr>
          <w:color w:val="auto"/>
          <w:highlight w:val="none"/>
        </w:rPr>
        <w:t xml:space="preserve">1.6 </w:t>
      </w:r>
      <w:r>
        <w:rPr>
          <w:rFonts w:hint="eastAsia" w:cs="黑体"/>
          <w:color w:val="auto"/>
          <w:highlight w:val="none"/>
        </w:rPr>
        <w:t>图纸和承包人文件</w:t>
      </w:r>
      <w:bookmarkEnd w:id="122"/>
      <w:bookmarkEnd w:id="123"/>
      <w:bookmarkEnd w:id="124"/>
      <w:bookmarkEnd w:id="125"/>
      <w:bookmarkEnd w:id="126"/>
      <w:bookmarkEnd w:id="127"/>
      <w:bookmarkEnd w:id="128"/>
      <w:r>
        <w:rPr>
          <w:color w:val="auto"/>
          <w:highlight w:val="none"/>
        </w:rPr>
        <w:tab/>
      </w:r>
    </w:p>
    <w:p w14:paraId="017096FF">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1.6.1 </w:t>
      </w:r>
      <w:r>
        <w:rPr>
          <w:rFonts w:hint="eastAsia" w:hAnsi="宋体" w:cs="宋体"/>
          <w:color w:val="auto"/>
          <w:highlight w:val="none"/>
        </w:rPr>
        <w:t>图纸的提供</w:t>
      </w:r>
    </w:p>
    <w:p w14:paraId="02554253">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发包人向承包人提供图纸的期限：</w:t>
      </w:r>
      <w:r>
        <w:rPr>
          <w:color w:val="auto"/>
          <w:highlight w:val="none"/>
          <w:u w:val="single"/>
        </w:rPr>
        <w:t xml:space="preserve">  </w:t>
      </w:r>
      <w:r>
        <w:rPr>
          <w:rFonts w:hint="eastAsia"/>
          <w:color w:val="auto"/>
          <w:highlight w:val="none"/>
          <w:u w:val="single"/>
        </w:rPr>
        <w:t xml:space="preserve">合同签订之日起7个工作日内 </w:t>
      </w:r>
      <w:r>
        <w:rPr>
          <w:color w:val="auto"/>
          <w:highlight w:val="none"/>
          <w:u w:val="single"/>
        </w:rPr>
        <w:t xml:space="preserve"> </w:t>
      </w:r>
      <w:r>
        <w:rPr>
          <w:rFonts w:hint="eastAsia" w:hAnsi="宋体" w:cs="宋体"/>
          <w:color w:val="auto"/>
          <w:highlight w:val="none"/>
        </w:rPr>
        <w:t>；</w:t>
      </w:r>
    </w:p>
    <w:p w14:paraId="295175AB">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发包人向承包人提供图纸的数量：</w:t>
      </w:r>
      <w:r>
        <w:rPr>
          <w:rFonts w:hint="eastAsia" w:hAnsi="宋体" w:cs="宋体"/>
          <w:color w:val="auto"/>
          <w:highlight w:val="none"/>
          <w:u w:val="single"/>
        </w:rPr>
        <w:t xml:space="preserve"> </w:t>
      </w:r>
      <w:r>
        <w:rPr>
          <w:rFonts w:hint="eastAsia" w:ascii="MingLiU_HKSCS" w:cs="MingLiU_HKSCS"/>
          <w:color w:val="auto"/>
          <w:highlight w:val="none"/>
          <w:u w:val="single"/>
        </w:rPr>
        <w:t xml:space="preserve"> </w:t>
      </w:r>
      <w:r>
        <w:rPr>
          <w:rFonts w:hint="eastAsia" w:ascii="MingLiU_HKSCS" w:cs="MingLiU_HKSCS"/>
          <w:color w:val="auto"/>
          <w:highlight w:val="none"/>
          <w:u w:val="single"/>
          <w:lang w:val="en-US" w:eastAsia="zh-CN"/>
        </w:rPr>
        <w:t>四</w:t>
      </w:r>
      <w:r>
        <w:rPr>
          <w:rFonts w:hint="eastAsia" w:ascii="MingLiU_HKSCS" w:cs="MingLiU_HKSCS"/>
          <w:color w:val="auto"/>
          <w:highlight w:val="none"/>
          <w:u w:val="single"/>
        </w:rPr>
        <w:t xml:space="preserve">  </w:t>
      </w:r>
      <w:r>
        <w:rPr>
          <w:rFonts w:hint="eastAsia" w:hAnsi="宋体" w:cs="宋体"/>
          <w:color w:val="auto"/>
          <w:highlight w:val="none"/>
        </w:rPr>
        <w:t>套（承包人需要增加图纸套数的，发包人应代为复制，复制费用由承包人承担）；</w:t>
      </w:r>
    </w:p>
    <w:p w14:paraId="5C60CE9F">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发包人向承包人提供图纸的内容：</w:t>
      </w:r>
      <w:r>
        <w:rPr>
          <w:color w:val="auto"/>
          <w:highlight w:val="none"/>
          <w:u w:val="single"/>
        </w:rPr>
        <w:t xml:space="preserve">  </w:t>
      </w:r>
      <w:r>
        <w:rPr>
          <w:rFonts w:hint="eastAsia"/>
          <w:color w:val="auto"/>
          <w:highlight w:val="none"/>
          <w:u w:val="single"/>
        </w:rPr>
        <w:t xml:space="preserve">招标范围内的全部图纸内容 </w:t>
      </w:r>
      <w:r>
        <w:rPr>
          <w:color w:val="auto"/>
          <w:highlight w:val="none"/>
          <w:u w:val="single"/>
        </w:rPr>
        <w:t xml:space="preserve"> </w:t>
      </w:r>
      <w:r>
        <w:rPr>
          <w:rFonts w:hint="eastAsia" w:hAnsi="宋体" w:cs="宋体"/>
          <w:color w:val="auto"/>
          <w:highlight w:val="none"/>
        </w:rPr>
        <w:t>。</w:t>
      </w:r>
    </w:p>
    <w:p w14:paraId="78E688C5">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1.6.4 </w:t>
      </w:r>
      <w:r>
        <w:rPr>
          <w:rFonts w:hint="eastAsia" w:hAnsi="宋体" w:cs="宋体"/>
          <w:color w:val="auto"/>
          <w:highlight w:val="none"/>
        </w:rPr>
        <w:t>承包人文件</w:t>
      </w:r>
    </w:p>
    <w:p w14:paraId="7F32CCDD">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需要由承包人提供的文件，包括：</w:t>
      </w:r>
      <w:r>
        <w:rPr>
          <w:color w:val="auto"/>
          <w:highlight w:val="none"/>
          <w:u w:val="single"/>
        </w:rPr>
        <w:t xml:space="preserve"> </w:t>
      </w:r>
      <w:r>
        <w:rPr>
          <w:rFonts w:hint="eastAsia"/>
          <w:color w:val="auto"/>
          <w:highlight w:val="none"/>
          <w:u w:val="single"/>
        </w:rPr>
        <w:t>施工组织设计、专项施工方案、安全生产应急救援预案、开工报告、施工月报、工程洽商、当月进度报表、次月工程进度计划报表、竣工报告、竣工资料及法律、法规规定应提交的其他文件。其中施工组织设计和专项施工方案的重要节点工期必须细化到具体日历天</w:t>
      </w:r>
      <w:r>
        <w:rPr>
          <w:color w:val="auto"/>
          <w:highlight w:val="none"/>
          <w:u w:val="single"/>
        </w:rPr>
        <w:t xml:space="preserve">  </w:t>
      </w:r>
      <w:r>
        <w:rPr>
          <w:rFonts w:hint="eastAsia" w:hAnsi="宋体" w:cs="宋体"/>
          <w:color w:val="auto"/>
          <w:highlight w:val="none"/>
        </w:rPr>
        <w:t>；</w:t>
      </w:r>
    </w:p>
    <w:p w14:paraId="7A78D6CF">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承包人提供的文件的期限为：</w:t>
      </w:r>
      <w:r>
        <w:rPr>
          <w:color w:val="auto"/>
          <w:highlight w:val="none"/>
          <w:u w:val="single"/>
        </w:rPr>
        <w:t xml:space="preserve">   </w:t>
      </w:r>
      <w:r>
        <w:rPr>
          <w:rFonts w:hint="eastAsia"/>
          <w:color w:val="auto"/>
          <w:highlight w:val="none"/>
          <w:u w:val="single"/>
        </w:rPr>
        <w:t>构件开始施工前7天内</w:t>
      </w:r>
      <w:r>
        <w:rPr>
          <w:color w:val="auto"/>
          <w:highlight w:val="none"/>
          <w:u w:val="single"/>
        </w:rPr>
        <w:t xml:space="preserve"> </w:t>
      </w:r>
      <w:r>
        <w:rPr>
          <w:rFonts w:hAnsi="宋体"/>
          <w:color w:val="auto"/>
          <w:highlight w:val="none"/>
          <w:u w:val="single"/>
        </w:rPr>
        <w:t xml:space="preserve">  </w:t>
      </w:r>
      <w:r>
        <w:rPr>
          <w:rFonts w:hint="eastAsia" w:hAnsi="宋体" w:cs="宋体"/>
          <w:color w:val="auto"/>
          <w:highlight w:val="none"/>
        </w:rPr>
        <w:t>；</w:t>
      </w:r>
    </w:p>
    <w:p w14:paraId="15509E19">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承包人提供的文件的数量为：</w:t>
      </w:r>
      <w:r>
        <w:rPr>
          <w:color w:val="auto"/>
          <w:highlight w:val="none"/>
          <w:u w:val="single"/>
        </w:rPr>
        <w:t xml:space="preserve">  </w:t>
      </w:r>
      <w:r>
        <w:rPr>
          <w:rFonts w:hint="eastAsia"/>
          <w:color w:val="auto"/>
          <w:highlight w:val="none"/>
          <w:u w:val="single"/>
        </w:rPr>
        <w:t>按发包人的要求</w:t>
      </w:r>
      <w:r>
        <w:rPr>
          <w:color w:val="auto"/>
          <w:highlight w:val="none"/>
          <w:u w:val="single"/>
        </w:rPr>
        <w:t xml:space="preserve">   </w:t>
      </w:r>
      <w:r>
        <w:rPr>
          <w:rFonts w:hint="eastAsia" w:hAnsi="宋体" w:cs="宋体"/>
          <w:color w:val="auto"/>
          <w:highlight w:val="none"/>
        </w:rPr>
        <w:t>；</w:t>
      </w:r>
    </w:p>
    <w:p w14:paraId="3D432E42">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承包人提供的文件的形式为：</w:t>
      </w:r>
      <w:r>
        <w:rPr>
          <w:color w:val="auto"/>
          <w:highlight w:val="none"/>
          <w:u w:val="single"/>
        </w:rPr>
        <w:t xml:space="preserve"> </w:t>
      </w:r>
      <w:r>
        <w:rPr>
          <w:rFonts w:hAnsi="宋体"/>
          <w:color w:val="auto"/>
          <w:highlight w:val="none"/>
          <w:u w:val="single"/>
        </w:rPr>
        <w:t xml:space="preserve"> </w:t>
      </w:r>
      <w:r>
        <w:rPr>
          <w:rFonts w:hint="eastAsia" w:hAnsi="宋体"/>
          <w:color w:val="auto"/>
          <w:highlight w:val="none"/>
          <w:u w:val="single"/>
        </w:rPr>
        <w:t>书面</w:t>
      </w:r>
      <w:r>
        <w:rPr>
          <w:rFonts w:hAnsi="宋体"/>
          <w:color w:val="auto"/>
          <w:highlight w:val="none"/>
          <w:u w:val="single"/>
        </w:rPr>
        <w:t xml:space="preserve">  </w:t>
      </w:r>
      <w:r>
        <w:rPr>
          <w:rFonts w:hint="eastAsia" w:hAnsi="宋体" w:cs="宋体"/>
          <w:color w:val="auto"/>
          <w:highlight w:val="none"/>
        </w:rPr>
        <w:t>；</w:t>
      </w:r>
    </w:p>
    <w:p w14:paraId="13651BEC">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发包人审批承包人文件的期限：</w:t>
      </w:r>
      <w:r>
        <w:rPr>
          <w:color w:val="auto"/>
          <w:highlight w:val="none"/>
          <w:u w:val="single"/>
        </w:rPr>
        <w:t xml:space="preserve">  </w:t>
      </w:r>
      <w:r>
        <w:rPr>
          <w:rFonts w:hint="eastAsia"/>
          <w:color w:val="auto"/>
          <w:highlight w:val="none"/>
          <w:u w:val="single"/>
        </w:rPr>
        <w:t>按发包人的要求</w:t>
      </w:r>
      <w:r>
        <w:rPr>
          <w:rFonts w:hAnsi="宋体"/>
          <w:color w:val="auto"/>
          <w:highlight w:val="none"/>
          <w:u w:val="single"/>
        </w:rPr>
        <w:t xml:space="preserve">   </w:t>
      </w:r>
      <w:r>
        <w:rPr>
          <w:rFonts w:hint="eastAsia" w:hAnsi="宋体" w:cs="宋体"/>
          <w:color w:val="auto"/>
          <w:highlight w:val="none"/>
        </w:rPr>
        <w:t>。</w:t>
      </w:r>
    </w:p>
    <w:p w14:paraId="14FC36EC">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1.6.5 </w:t>
      </w:r>
      <w:r>
        <w:rPr>
          <w:rFonts w:hint="eastAsia" w:hAnsi="宋体" w:cs="宋体"/>
          <w:color w:val="auto"/>
          <w:highlight w:val="none"/>
        </w:rPr>
        <w:t>现场图纸准备</w:t>
      </w:r>
    </w:p>
    <w:p w14:paraId="53B287C8">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关于现场图纸准备的约定：</w:t>
      </w:r>
      <w:r>
        <w:rPr>
          <w:color w:val="auto"/>
          <w:highlight w:val="none"/>
          <w:u w:val="single"/>
        </w:rPr>
        <w:t xml:space="preserve">  </w:t>
      </w:r>
      <w:r>
        <w:rPr>
          <w:rFonts w:hint="eastAsia"/>
          <w:color w:val="auto"/>
          <w:highlight w:val="none"/>
          <w:u w:val="single"/>
        </w:rPr>
        <w:t>在该工程或相应部位施工前15天签发图纸修改图</w:t>
      </w:r>
      <w:r>
        <w:rPr>
          <w:rFonts w:hAnsi="宋体"/>
          <w:color w:val="auto"/>
          <w:highlight w:val="none"/>
          <w:u w:val="single"/>
        </w:rPr>
        <w:t xml:space="preserve">  </w:t>
      </w:r>
      <w:r>
        <w:rPr>
          <w:rFonts w:hint="eastAsia" w:hAnsi="宋体" w:cs="宋体"/>
          <w:color w:val="auto"/>
          <w:highlight w:val="none"/>
        </w:rPr>
        <w:t>。</w:t>
      </w:r>
    </w:p>
    <w:p w14:paraId="63AE8C87">
      <w:pPr>
        <w:pStyle w:val="6"/>
        <w:pageBreakBefore w:val="0"/>
        <w:widowControl w:val="0"/>
        <w:kinsoku/>
        <w:wordWrap/>
        <w:overflowPunct/>
        <w:topLinePunct w:val="0"/>
        <w:bidi w:val="0"/>
        <w:spacing w:before="0" w:after="0" w:line="360" w:lineRule="auto"/>
        <w:textAlignment w:val="auto"/>
        <w:rPr>
          <w:color w:val="auto"/>
          <w:highlight w:val="none"/>
        </w:rPr>
      </w:pPr>
      <w:bookmarkStart w:id="129" w:name="_Toc373478345"/>
      <w:bookmarkStart w:id="130" w:name="_Toc389065264"/>
      <w:bookmarkStart w:id="131" w:name="_Toc110523719"/>
      <w:bookmarkStart w:id="132" w:name="_Toc78449786"/>
      <w:bookmarkStart w:id="133" w:name="_Toc407135200"/>
      <w:bookmarkStart w:id="134" w:name="_Toc15704"/>
      <w:bookmarkStart w:id="135" w:name="_Toc373227698"/>
      <w:r>
        <w:rPr>
          <w:color w:val="auto"/>
          <w:highlight w:val="none"/>
        </w:rPr>
        <w:t xml:space="preserve">1.7 </w:t>
      </w:r>
      <w:r>
        <w:rPr>
          <w:rFonts w:hint="eastAsia" w:hAnsi="宋体" w:cs="黑体"/>
          <w:color w:val="auto"/>
          <w:highlight w:val="none"/>
        </w:rPr>
        <w:t>联络</w:t>
      </w:r>
      <w:bookmarkEnd w:id="129"/>
      <w:bookmarkEnd w:id="130"/>
      <w:bookmarkEnd w:id="131"/>
      <w:bookmarkEnd w:id="132"/>
      <w:bookmarkEnd w:id="133"/>
      <w:bookmarkEnd w:id="134"/>
      <w:bookmarkEnd w:id="135"/>
    </w:p>
    <w:p w14:paraId="48BCF755">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color w:val="auto"/>
          <w:kern w:val="0"/>
          <w:highlight w:val="none"/>
        </w:rPr>
        <w:t>1.7.1</w:t>
      </w:r>
      <w:r>
        <w:rPr>
          <w:rFonts w:hint="eastAsia" w:hAnsi="宋体" w:cs="宋体"/>
          <w:color w:val="auto"/>
          <w:kern w:val="0"/>
          <w:highlight w:val="none"/>
        </w:rPr>
        <w:t>发包人和承包人应当在</w:t>
      </w:r>
      <w:r>
        <w:rPr>
          <w:color w:val="auto"/>
          <w:highlight w:val="none"/>
          <w:u w:val="single"/>
        </w:rPr>
        <w:t xml:space="preserve"> </w:t>
      </w:r>
      <w:r>
        <w:rPr>
          <w:rFonts w:hint="eastAsia"/>
          <w:color w:val="auto"/>
          <w:highlight w:val="none"/>
          <w:u w:val="single"/>
          <w:lang w:val="en-US" w:eastAsia="zh-CN"/>
        </w:rPr>
        <w:t>3</w:t>
      </w:r>
      <w:r>
        <w:rPr>
          <w:color w:val="auto"/>
          <w:highlight w:val="none"/>
          <w:u w:val="single"/>
        </w:rPr>
        <w:t xml:space="preserve"> </w:t>
      </w:r>
      <w:r>
        <w:rPr>
          <w:rFonts w:hint="eastAsia" w:hAnsi="宋体" w:cs="宋体"/>
          <w:color w:val="auto"/>
          <w:kern w:val="0"/>
          <w:highlight w:val="none"/>
        </w:rPr>
        <w:t>天内将与合同有关的通知、批准、证明、证书、指示、指令、要求、请求、同意、意见、确定和决定等书面函件送达对方当事人。</w:t>
      </w:r>
    </w:p>
    <w:p w14:paraId="5ED8A1B5">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color w:val="auto"/>
          <w:kern w:val="0"/>
          <w:highlight w:val="none"/>
        </w:rPr>
        <w:t xml:space="preserve">1.7.2 </w:t>
      </w:r>
      <w:r>
        <w:rPr>
          <w:rFonts w:hint="eastAsia" w:hAnsi="宋体" w:cs="宋体"/>
          <w:color w:val="auto"/>
          <w:kern w:val="0"/>
          <w:highlight w:val="none"/>
        </w:rPr>
        <w:t>发包人接收文件的地点：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7A7284FF">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hAnsi="宋体" w:cs="宋体"/>
          <w:color w:val="auto"/>
          <w:kern w:val="0"/>
          <w:highlight w:val="none"/>
        </w:rPr>
        <w:t>发包人指定的接收人为：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2C544A6A">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hAnsi="宋体" w:cs="宋体"/>
          <w:color w:val="auto"/>
          <w:kern w:val="0"/>
          <w:highlight w:val="none"/>
        </w:rPr>
        <w:t>承包人接收文件的地点：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776EBE17">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hAnsi="宋体" w:cs="宋体"/>
          <w:color w:val="auto"/>
          <w:kern w:val="0"/>
          <w:highlight w:val="none"/>
        </w:rPr>
        <w:t>承包人指定的接收人为：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1AAD96EE">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hAnsi="宋体" w:cs="宋体"/>
          <w:color w:val="auto"/>
          <w:kern w:val="0"/>
          <w:highlight w:val="none"/>
        </w:rPr>
        <w:t>监理人接收文件的地点：</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01DEC020">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hAnsi="宋体" w:cs="宋体"/>
          <w:color w:val="auto"/>
          <w:kern w:val="0"/>
          <w:highlight w:val="none"/>
        </w:rPr>
        <w:t>监理人指定的接收人为：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hAnsi="宋体" w:cs="宋体"/>
          <w:color w:val="auto"/>
          <w:kern w:val="0"/>
          <w:highlight w:val="none"/>
        </w:rPr>
        <w:t>。</w:t>
      </w:r>
    </w:p>
    <w:p w14:paraId="2D4895A0">
      <w:pPr>
        <w:pStyle w:val="6"/>
        <w:pageBreakBefore w:val="0"/>
        <w:widowControl w:val="0"/>
        <w:kinsoku/>
        <w:wordWrap/>
        <w:overflowPunct/>
        <w:topLinePunct w:val="0"/>
        <w:bidi w:val="0"/>
        <w:spacing w:before="0" w:after="0" w:line="360" w:lineRule="auto"/>
        <w:textAlignment w:val="auto"/>
        <w:rPr>
          <w:color w:val="auto"/>
          <w:highlight w:val="none"/>
        </w:rPr>
      </w:pPr>
      <w:bookmarkStart w:id="136" w:name="_Toc373478346"/>
      <w:bookmarkStart w:id="137" w:name="_Toc1387231545"/>
      <w:bookmarkStart w:id="138" w:name="_Toc25494"/>
      <w:bookmarkStart w:id="139" w:name="_Toc389065265"/>
      <w:bookmarkStart w:id="140" w:name="_Toc407135201"/>
      <w:bookmarkStart w:id="141" w:name="_Toc373227699"/>
      <w:bookmarkStart w:id="142" w:name="_Toc78449787"/>
      <w:r>
        <w:rPr>
          <w:color w:val="auto"/>
          <w:highlight w:val="none"/>
        </w:rPr>
        <w:t xml:space="preserve">1.10 </w:t>
      </w:r>
      <w:r>
        <w:rPr>
          <w:rFonts w:hint="eastAsia" w:hAnsi="宋体" w:cs="黑体"/>
          <w:color w:val="auto"/>
          <w:highlight w:val="none"/>
        </w:rPr>
        <w:t>交通运输</w:t>
      </w:r>
      <w:bookmarkEnd w:id="136"/>
      <w:bookmarkEnd w:id="137"/>
      <w:bookmarkEnd w:id="138"/>
      <w:bookmarkEnd w:id="139"/>
      <w:bookmarkEnd w:id="140"/>
      <w:bookmarkEnd w:id="141"/>
      <w:bookmarkEnd w:id="142"/>
    </w:p>
    <w:p w14:paraId="4C3F7E38">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1</w:t>
      </w:r>
      <w:bookmarkStart w:id="143" w:name="_Toc304295521"/>
      <w:bookmarkStart w:id="144" w:name="_Toc318581155"/>
      <w:bookmarkStart w:id="145" w:name="_Toc303539100"/>
      <w:bookmarkStart w:id="146" w:name="_Toc312677986"/>
      <w:bookmarkStart w:id="147" w:name="_Toc300934943"/>
      <w:r>
        <w:rPr>
          <w:color w:val="auto"/>
          <w:highlight w:val="none"/>
        </w:rPr>
        <w:t xml:space="preserve">.10.1 </w:t>
      </w:r>
      <w:r>
        <w:rPr>
          <w:rFonts w:hint="eastAsia" w:hAnsi="宋体" w:cs="宋体"/>
          <w:color w:val="auto"/>
          <w:highlight w:val="none"/>
        </w:rPr>
        <w:t>出入现场的权利</w:t>
      </w:r>
    </w:p>
    <w:p w14:paraId="1C53E01F">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hAnsi="宋体" w:cs="宋体"/>
          <w:color w:val="auto"/>
          <w:highlight w:val="none"/>
        </w:rPr>
        <w:t>关于出入现场的权利的约定：</w:t>
      </w:r>
      <w:r>
        <w:rPr>
          <w:color w:val="auto"/>
          <w:highlight w:val="none"/>
          <w:u w:val="single"/>
        </w:rPr>
        <w:t xml:space="preserve"> </w:t>
      </w:r>
      <w:r>
        <w:rPr>
          <w:rFonts w:hint="eastAsia"/>
          <w:color w:val="auto"/>
          <w:highlight w:val="none"/>
          <w:u w:val="single"/>
        </w:rPr>
        <w:t>由承包人按发包人要求负责取得出入施工现场所需的批准手续和全部权利，以及取得因施工所需修建道路、桥梁以及其他基础设施的权利，由承包人承担相关手续费用和建设费用</w:t>
      </w:r>
      <w:r>
        <w:rPr>
          <w:color w:val="auto"/>
          <w:highlight w:val="none"/>
          <w:u w:val="single"/>
        </w:rPr>
        <w:t xml:space="preserve"> </w:t>
      </w:r>
      <w:r>
        <w:rPr>
          <w:rFonts w:hint="eastAsia" w:hAnsi="宋体" w:cs="宋体"/>
          <w:color w:val="auto"/>
          <w:highlight w:val="none"/>
        </w:rPr>
        <w:t>。</w:t>
      </w:r>
    </w:p>
    <w:bookmarkEnd w:id="143"/>
    <w:bookmarkEnd w:id="144"/>
    <w:bookmarkEnd w:id="145"/>
    <w:bookmarkEnd w:id="146"/>
    <w:bookmarkEnd w:id="147"/>
    <w:p w14:paraId="343E0DC2">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1</w:t>
      </w:r>
      <w:bookmarkStart w:id="148" w:name="_Toc312677987"/>
      <w:bookmarkStart w:id="149" w:name="_Toc304295522"/>
      <w:bookmarkStart w:id="150" w:name="_Toc303539101"/>
      <w:bookmarkStart w:id="151" w:name="_Toc300934944"/>
      <w:bookmarkStart w:id="152" w:name="_Toc318581156"/>
      <w:r>
        <w:rPr>
          <w:color w:val="auto"/>
          <w:highlight w:val="none"/>
        </w:rPr>
        <w:t xml:space="preserve">.10.3 </w:t>
      </w:r>
      <w:r>
        <w:rPr>
          <w:rFonts w:hint="eastAsia" w:hAnsi="宋体" w:cs="宋体"/>
          <w:color w:val="auto"/>
          <w:highlight w:val="none"/>
        </w:rPr>
        <w:t>场内交通</w:t>
      </w:r>
    </w:p>
    <w:p w14:paraId="31BD8345">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关于场外交通和场内交通的边界的约定：</w:t>
      </w:r>
      <w:r>
        <w:rPr>
          <w:color w:val="auto"/>
          <w:highlight w:val="none"/>
          <w:u w:val="single"/>
        </w:rPr>
        <w:t xml:space="preserve"> </w:t>
      </w:r>
      <w:r>
        <w:rPr>
          <w:rFonts w:hint="eastAsia"/>
          <w:color w:val="auto"/>
          <w:highlight w:val="none"/>
          <w:u w:val="single"/>
        </w:rPr>
        <w:t>以施工红线为准，红线范围内为场内交通，施工红线范围以外为场外交通</w:t>
      </w:r>
      <w:r>
        <w:rPr>
          <w:color w:val="auto"/>
          <w:highlight w:val="none"/>
          <w:u w:val="single"/>
        </w:rPr>
        <w:t xml:space="preserve">  </w:t>
      </w:r>
      <w:r>
        <w:rPr>
          <w:rFonts w:hint="eastAsia" w:hAnsi="宋体" w:cs="宋体"/>
          <w:color w:val="auto"/>
          <w:highlight w:val="none"/>
        </w:rPr>
        <w:t>。</w:t>
      </w:r>
    </w:p>
    <w:p w14:paraId="117C54D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Ansi="宋体"/>
          <w:color w:val="auto"/>
          <w:highlight w:val="none"/>
        </w:rPr>
        <w:t>关于发包人向承包人免费提供满足工程施工需要的场内道路和交通设施的约定：</w:t>
      </w:r>
      <w:r>
        <w:rPr>
          <w:rFonts w:hAnsi="宋体"/>
          <w:color w:val="auto"/>
          <w:highlight w:val="none"/>
          <w:u w:val="single"/>
        </w:rPr>
        <w:t></w:t>
      </w:r>
      <w:r>
        <w:rPr>
          <w:rFonts w:hint="eastAsia" w:hAnsi="宋体"/>
          <w:color w:val="auto"/>
          <w:highlight w:val="none"/>
          <w:u w:val="single"/>
        </w:rPr>
        <w:t>场内交通由承包人自行解决</w:t>
      </w:r>
      <w:r>
        <w:rPr>
          <w:color w:val="auto"/>
          <w:highlight w:val="none"/>
          <w:u w:val="single"/>
        </w:rPr>
        <w:t xml:space="preserve">   </w:t>
      </w:r>
      <w:r>
        <w:rPr>
          <w:rFonts w:hAnsi="宋体"/>
          <w:color w:val="auto"/>
          <w:highlight w:val="none"/>
        </w:rPr>
        <w:t>。</w:t>
      </w:r>
      <w:bookmarkEnd w:id="148"/>
      <w:bookmarkEnd w:id="149"/>
      <w:bookmarkEnd w:id="150"/>
      <w:bookmarkEnd w:id="151"/>
      <w:bookmarkEnd w:id="152"/>
      <w:bookmarkStart w:id="153" w:name="_Toc318581157"/>
    </w:p>
    <w:p w14:paraId="51DFE00C">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1.10.4 </w:t>
      </w:r>
      <w:r>
        <w:rPr>
          <w:rFonts w:hint="eastAsia" w:hAnsi="宋体" w:cs="宋体"/>
          <w:color w:val="auto"/>
          <w:highlight w:val="none"/>
        </w:rPr>
        <w:t>超大件和超重件的运输</w:t>
      </w:r>
    </w:p>
    <w:p w14:paraId="7057706B">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运输超大件或超重件所需的道路和桥梁临时加固改造费用和其他有关费用由</w:t>
      </w:r>
      <w:r>
        <w:rPr>
          <w:color w:val="auto"/>
          <w:highlight w:val="none"/>
          <w:u w:val="single"/>
        </w:rPr>
        <w:t xml:space="preserve"> </w:t>
      </w:r>
      <w:r>
        <w:rPr>
          <w:rFonts w:hint="eastAsia"/>
          <w:color w:val="auto"/>
          <w:highlight w:val="none"/>
          <w:u w:val="single"/>
        </w:rPr>
        <w:t>承包人</w:t>
      </w:r>
      <w:r>
        <w:rPr>
          <w:color w:val="auto"/>
          <w:highlight w:val="none"/>
          <w:u w:val="single"/>
        </w:rPr>
        <w:t xml:space="preserve"> </w:t>
      </w:r>
      <w:r>
        <w:rPr>
          <w:rFonts w:hint="eastAsia" w:hAnsi="宋体" w:cs="宋体"/>
          <w:color w:val="auto"/>
          <w:highlight w:val="none"/>
        </w:rPr>
        <w:t>承担。</w:t>
      </w:r>
    </w:p>
    <w:bookmarkEnd w:id="153"/>
    <w:p w14:paraId="15C2EC84">
      <w:pPr>
        <w:pStyle w:val="6"/>
        <w:pageBreakBefore w:val="0"/>
        <w:widowControl w:val="0"/>
        <w:kinsoku/>
        <w:wordWrap/>
        <w:overflowPunct/>
        <w:topLinePunct w:val="0"/>
        <w:bidi w:val="0"/>
        <w:spacing w:before="0" w:after="0" w:line="360" w:lineRule="auto"/>
        <w:textAlignment w:val="auto"/>
        <w:rPr>
          <w:color w:val="auto"/>
          <w:highlight w:val="none"/>
        </w:rPr>
      </w:pPr>
      <w:bookmarkStart w:id="154" w:name="_Toc1495098807"/>
      <w:bookmarkStart w:id="155" w:name="_Toc373478347"/>
      <w:bookmarkStart w:id="156" w:name="_Toc407135202"/>
      <w:bookmarkStart w:id="157" w:name="_Toc78449788"/>
      <w:bookmarkStart w:id="158" w:name="_Toc389065266"/>
      <w:bookmarkStart w:id="159" w:name="_Toc373227700"/>
      <w:bookmarkStart w:id="160" w:name="_Toc24489"/>
      <w:r>
        <w:rPr>
          <w:color w:val="auto"/>
          <w:highlight w:val="none"/>
        </w:rPr>
        <w:t xml:space="preserve">1.11 </w:t>
      </w:r>
      <w:r>
        <w:rPr>
          <w:rFonts w:hint="eastAsia" w:hAnsi="宋体" w:cs="黑体"/>
          <w:color w:val="auto"/>
          <w:highlight w:val="none"/>
        </w:rPr>
        <w:t>知识产权</w:t>
      </w:r>
      <w:bookmarkEnd w:id="154"/>
      <w:bookmarkEnd w:id="155"/>
      <w:bookmarkEnd w:id="156"/>
      <w:bookmarkEnd w:id="157"/>
      <w:bookmarkEnd w:id="158"/>
      <w:bookmarkEnd w:id="159"/>
      <w:bookmarkEnd w:id="160"/>
    </w:p>
    <w:p w14:paraId="01398AD9">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1.11.1 </w:t>
      </w:r>
      <w:r>
        <w:rPr>
          <w:rFonts w:hint="eastAsia" w:hAnsi="宋体" w:cs="宋体"/>
          <w:color w:val="auto"/>
          <w:highlight w:val="none"/>
        </w:rPr>
        <w:t>关于发包人提供给承包人的图纸、发包人为实施工程自行编制或委托编制的技术规范以及反映发包人关于合同要求或其他类似性质的文件的著作权的归属：</w:t>
      </w:r>
      <w:r>
        <w:rPr>
          <w:color w:val="auto"/>
          <w:highlight w:val="none"/>
          <w:u w:val="single"/>
        </w:rPr>
        <w:t xml:space="preserve">    </w:t>
      </w:r>
      <w:r>
        <w:rPr>
          <w:rFonts w:hint="eastAsia"/>
          <w:color w:val="auto"/>
          <w:highlight w:val="none"/>
          <w:u w:val="single"/>
        </w:rPr>
        <w:t xml:space="preserve">发包人    </w:t>
      </w:r>
      <w:r>
        <w:rPr>
          <w:color w:val="auto"/>
          <w:highlight w:val="none"/>
          <w:u w:val="single"/>
        </w:rPr>
        <w:t xml:space="preserve"> </w:t>
      </w:r>
      <w:r>
        <w:rPr>
          <w:rFonts w:hint="eastAsia" w:hAnsi="宋体" w:cs="宋体"/>
          <w:color w:val="auto"/>
          <w:highlight w:val="none"/>
        </w:rPr>
        <w:t>。</w:t>
      </w:r>
    </w:p>
    <w:p w14:paraId="167C7054">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关于发包人提供的上述文件的使用限制的要求：</w:t>
      </w:r>
      <w:r>
        <w:rPr>
          <w:color w:val="auto"/>
          <w:highlight w:val="none"/>
          <w:u w:val="single"/>
        </w:rPr>
        <w:t xml:space="preserve">   </w:t>
      </w:r>
      <w:r>
        <w:rPr>
          <w:rFonts w:hint="eastAsia"/>
          <w:color w:val="auto"/>
          <w:highlight w:val="none"/>
          <w:u w:val="single"/>
        </w:rPr>
        <w:t>未经发包人同意，承包人不得提供给第三方</w:t>
      </w:r>
      <w:r>
        <w:rPr>
          <w:color w:val="auto"/>
          <w:highlight w:val="none"/>
          <w:u w:val="single"/>
        </w:rPr>
        <w:t xml:space="preserve">   </w:t>
      </w:r>
      <w:r>
        <w:rPr>
          <w:rFonts w:hint="eastAsia" w:hAnsi="宋体" w:cs="宋体"/>
          <w:color w:val="auto"/>
          <w:highlight w:val="none"/>
        </w:rPr>
        <w:t>。</w:t>
      </w:r>
    </w:p>
    <w:p w14:paraId="2A98E99A">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1.11.2 </w:t>
      </w:r>
      <w:r>
        <w:rPr>
          <w:rFonts w:hint="eastAsia" w:hAnsi="宋体" w:cs="宋体"/>
          <w:color w:val="auto"/>
          <w:highlight w:val="none"/>
        </w:rPr>
        <w:t>关于承包人为实施工程所编制文件的著作权的归属：</w:t>
      </w:r>
      <w:r>
        <w:rPr>
          <w:color w:val="auto"/>
          <w:highlight w:val="none"/>
          <w:u w:val="single"/>
        </w:rPr>
        <w:t xml:space="preserve">   </w:t>
      </w:r>
      <w:r>
        <w:rPr>
          <w:rFonts w:hint="eastAsia"/>
          <w:color w:val="auto"/>
          <w:highlight w:val="none"/>
          <w:u w:val="single"/>
        </w:rPr>
        <w:t>见通用条款</w:t>
      </w:r>
      <w:r>
        <w:rPr>
          <w:color w:val="auto"/>
          <w:highlight w:val="none"/>
          <w:u w:val="single"/>
        </w:rPr>
        <w:t xml:space="preserve">   </w:t>
      </w:r>
      <w:r>
        <w:rPr>
          <w:rFonts w:hint="eastAsia" w:hAnsi="宋体" w:cs="宋体"/>
          <w:color w:val="auto"/>
          <w:highlight w:val="none"/>
        </w:rPr>
        <w:t>。</w:t>
      </w:r>
    </w:p>
    <w:p w14:paraId="0625E555">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hAnsi="宋体" w:cs="宋体"/>
          <w:color w:val="auto"/>
          <w:highlight w:val="none"/>
        </w:rPr>
        <w:t>关于承包人提供的上述文件的使用限制的要求：</w:t>
      </w:r>
      <w:r>
        <w:rPr>
          <w:color w:val="auto"/>
          <w:highlight w:val="none"/>
          <w:u w:val="single"/>
        </w:rPr>
        <w:t xml:space="preserve">  </w:t>
      </w:r>
      <w:r>
        <w:rPr>
          <w:rFonts w:hint="eastAsia"/>
          <w:color w:val="auto"/>
          <w:highlight w:val="none"/>
          <w:u w:val="single"/>
        </w:rPr>
        <w:t xml:space="preserve">见通用条款  </w:t>
      </w:r>
      <w:r>
        <w:rPr>
          <w:color w:val="auto"/>
          <w:highlight w:val="none"/>
          <w:u w:val="single"/>
        </w:rPr>
        <w:t xml:space="preserve"> </w:t>
      </w:r>
      <w:r>
        <w:rPr>
          <w:rFonts w:hint="eastAsia" w:hAnsi="宋体" w:cs="宋体"/>
          <w:color w:val="auto"/>
          <w:highlight w:val="none"/>
        </w:rPr>
        <w:t>。</w:t>
      </w:r>
    </w:p>
    <w:p w14:paraId="41D3B327">
      <w:pPr>
        <w:pageBreakBefore w:val="0"/>
        <w:widowControl w:val="0"/>
        <w:kinsoku/>
        <w:wordWrap/>
        <w:overflowPunct/>
        <w:topLinePunct w:val="0"/>
        <w:bidi w:val="0"/>
        <w:spacing w:line="360" w:lineRule="auto"/>
        <w:ind w:firstLine="420" w:firstLineChars="200"/>
        <w:textAlignment w:val="auto"/>
        <w:rPr>
          <w:rFonts w:hAnsi="宋体"/>
          <w:color w:val="auto"/>
          <w:highlight w:val="none"/>
          <w:u w:val="single"/>
        </w:rPr>
      </w:pPr>
      <w:r>
        <w:rPr>
          <w:color w:val="auto"/>
          <w:highlight w:val="none"/>
        </w:rPr>
        <w:t xml:space="preserve">1.11.4 </w:t>
      </w:r>
      <w:r>
        <w:rPr>
          <w:rFonts w:hint="eastAsia" w:hAnsi="宋体" w:cs="宋体"/>
          <w:color w:val="auto"/>
          <w:highlight w:val="none"/>
        </w:rPr>
        <w:t>承包人在施工过程中所采用的专利、专有技术、技术秘密的使用费的承担方式：</w:t>
      </w:r>
    </w:p>
    <w:p w14:paraId="59E3DBF8">
      <w:pPr>
        <w:pageBreakBefore w:val="0"/>
        <w:widowControl w:val="0"/>
        <w:kinsoku/>
        <w:wordWrap/>
        <w:overflowPunct/>
        <w:topLinePunct w:val="0"/>
        <w:bidi w:val="0"/>
        <w:spacing w:line="360" w:lineRule="auto"/>
        <w:textAlignment w:val="auto"/>
        <w:rPr>
          <w:color w:val="auto"/>
          <w:kern w:val="0"/>
          <w:highlight w:val="none"/>
        </w:rPr>
      </w:pPr>
      <w:r>
        <w:rPr>
          <w:color w:val="auto"/>
          <w:highlight w:val="none"/>
          <w:u w:val="single"/>
        </w:rPr>
        <w:t xml:space="preserve">    </w:t>
      </w:r>
      <w:r>
        <w:rPr>
          <w:rFonts w:hint="eastAsia"/>
          <w:color w:val="auto"/>
          <w:highlight w:val="none"/>
          <w:u w:val="single"/>
        </w:rPr>
        <w:t xml:space="preserve">见通用条款   </w:t>
      </w:r>
      <w:r>
        <w:rPr>
          <w:color w:val="auto"/>
          <w:highlight w:val="none"/>
          <w:u w:val="single"/>
        </w:rPr>
        <w:t xml:space="preserve"> </w:t>
      </w:r>
      <w:r>
        <w:rPr>
          <w:rFonts w:hint="eastAsia" w:hAnsi="宋体" w:cs="宋体"/>
          <w:color w:val="auto"/>
          <w:kern w:val="0"/>
          <w:highlight w:val="none"/>
        </w:rPr>
        <w:t>。</w:t>
      </w:r>
    </w:p>
    <w:p w14:paraId="2D35EAC7">
      <w:pPr>
        <w:pStyle w:val="6"/>
        <w:pageBreakBefore w:val="0"/>
        <w:widowControl w:val="0"/>
        <w:kinsoku/>
        <w:wordWrap/>
        <w:overflowPunct/>
        <w:topLinePunct w:val="0"/>
        <w:bidi w:val="0"/>
        <w:spacing w:before="0" w:after="0" w:line="360" w:lineRule="auto"/>
        <w:textAlignment w:val="auto"/>
        <w:rPr>
          <w:color w:val="auto"/>
          <w:highlight w:val="none"/>
        </w:rPr>
      </w:pPr>
      <w:bookmarkStart w:id="161" w:name="_Toc373227701"/>
      <w:bookmarkStart w:id="162" w:name="_Toc389065267"/>
      <w:bookmarkStart w:id="163" w:name="_Toc4160"/>
      <w:bookmarkStart w:id="164" w:name="_Toc407135203"/>
      <w:bookmarkStart w:id="165" w:name="_Toc267680563"/>
      <w:bookmarkStart w:id="166" w:name="_Toc78449789"/>
      <w:bookmarkStart w:id="167" w:name="_Toc373478348"/>
      <w:r>
        <w:rPr>
          <w:color w:val="auto"/>
          <w:highlight w:val="none"/>
        </w:rPr>
        <w:t>1.13</w:t>
      </w:r>
      <w:r>
        <w:rPr>
          <w:rFonts w:hint="eastAsia" w:cs="黑体"/>
          <w:color w:val="auto"/>
          <w:highlight w:val="none"/>
        </w:rPr>
        <w:t>工程量清单错误的修正</w:t>
      </w:r>
      <w:bookmarkEnd w:id="161"/>
      <w:bookmarkEnd w:id="162"/>
      <w:bookmarkEnd w:id="163"/>
      <w:bookmarkEnd w:id="164"/>
      <w:bookmarkEnd w:id="165"/>
      <w:bookmarkEnd w:id="166"/>
      <w:bookmarkEnd w:id="167"/>
    </w:p>
    <w:p w14:paraId="49DBD338">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出现工程量清单工程量偏差时，是否调整合同价格：</w:t>
      </w:r>
      <w:r>
        <w:rPr>
          <w:rFonts w:hint="eastAsia" w:ascii="宋体" w:hAnsi="宋体" w:cs="宋体"/>
          <w:color w:val="auto"/>
          <w:highlight w:val="none"/>
          <w:u w:val="single"/>
          <w:lang w:eastAsia="zh-CN"/>
        </w:rPr>
        <w:t>☑</w:t>
      </w:r>
      <w:r>
        <w:rPr>
          <w:rFonts w:hint="eastAsia" w:hAnsi="宋体" w:cs="宋体"/>
          <w:color w:val="auto"/>
          <w:highlight w:val="none"/>
          <w:u w:val="single"/>
        </w:rPr>
        <w:t xml:space="preserve">是  </w:t>
      </w:r>
      <w:r>
        <w:rPr>
          <w:rFonts w:hint="eastAsia" w:ascii="宋体" w:hAnsi="宋体" w:cs="宋体"/>
          <w:color w:val="auto"/>
          <w:highlight w:val="none"/>
          <w:u w:val="single"/>
          <w:lang w:eastAsia="zh-CN"/>
        </w:rPr>
        <w:t>□</w:t>
      </w:r>
      <w:r>
        <w:rPr>
          <w:rFonts w:hint="eastAsia" w:hAnsi="宋体" w:cs="宋体"/>
          <w:color w:val="auto"/>
          <w:highlight w:val="none"/>
          <w:u w:val="single"/>
        </w:rPr>
        <w:t>否</w:t>
      </w:r>
      <w:r>
        <w:rPr>
          <w:rFonts w:hint="eastAsia" w:hAnsi="宋体" w:cs="宋体"/>
          <w:color w:val="auto"/>
          <w:kern w:val="0"/>
          <w:highlight w:val="none"/>
        </w:rPr>
        <w:t>。</w:t>
      </w:r>
    </w:p>
    <w:p w14:paraId="5C237F07">
      <w:pPr>
        <w:pageBreakBefore w:val="0"/>
        <w:widowControl w:val="0"/>
        <w:kinsoku/>
        <w:wordWrap/>
        <w:overflowPunct/>
        <w:topLinePunct w:val="0"/>
        <w:bidi w:val="0"/>
        <w:spacing w:line="360" w:lineRule="auto"/>
        <w:ind w:firstLine="420" w:firstLineChars="200"/>
        <w:textAlignment w:val="auto"/>
        <w:rPr>
          <w:rFonts w:hint="eastAsia" w:hAnsi="宋体" w:cs="宋体"/>
          <w:color w:val="auto"/>
          <w:highlight w:val="none"/>
        </w:rPr>
      </w:pPr>
      <w:r>
        <w:rPr>
          <w:rFonts w:hint="eastAsia" w:hAnsi="宋体" w:cs="宋体"/>
          <w:color w:val="auto"/>
          <w:highlight w:val="none"/>
        </w:rPr>
        <w:t>允许调整合同价格的工程量偏差范围及其调整办法：</w:t>
      </w:r>
    </w:p>
    <w:p w14:paraId="6369E793">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ascii="宋体" w:hAnsi="宋体" w:cs="宋体"/>
          <w:color w:val="auto"/>
          <w:highlight w:val="none"/>
        </w:rPr>
        <w:t>□</w:t>
      </w:r>
      <w:r>
        <w:rPr>
          <w:color w:val="auto"/>
          <w:highlight w:val="none"/>
          <w:u w:val="single"/>
        </w:rPr>
        <w:t xml:space="preserve"> </w:t>
      </w:r>
      <w:r>
        <w:rPr>
          <w:rFonts w:hint="eastAsia"/>
          <w:color w:val="auto"/>
          <w:highlight w:val="none"/>
          <w:u w:val="single"/>
        </w:rPr>
        <w:t>除严重不平衡报价外，无论分部分项工程量清单项目中的工程量变化多少均不调整</w:t>
      </w:r>
      <w:r>
        <w:rPr>
          <w:color w:val="auto"/>
          <w:highlight w:val="none"/>
          <w:u w:val="single"/>
        </w:rPr>
        <w:t xml:space="preserve"> </w:t>
      </w:r>
      <w:r>
        <w:rPr>
          <w:rFonts w:hint="eastAsia" w:hAnsi="宋体" w:cs="宋体"/>
          <w:color w:val="auto"/>
          <w:kern w:val="0"/>
          <w:highlight w:val="none"/>
        </w:rPr>
        <w:t>。</w:t>
      </w:r>
    </w:p>
    <w:p w14:paraId="2B74B01D">
      <w:pPr>
        <w:pageBreakBefore w:val="0"/>
        <w:widowControl w:val="0"/>
        <w:kinsoku/>
        <w:wordWrap/>
        <w:overflowPunct/>
        <w:topLinePunct w:val="0"/>
        <w:bidi w:val="0"/>
        <w:spacing w:line="360" w:lineRule="auto"/>
        <w:ind w:firstLine="420" w:firstLineChars="200"/>
        <w:textAlignment w:val="auto"/>
        <w:rPr>
          <w:rFonts w:hint="eastAsia" w:hAnsi="宋体" w:cs="宋体"/>
          <w:color w:val="auto"/>
          <w:highlight w:val="none"/>
          <w:u w:val="single"/>
        </w:rPr>
      </w:pPr>
      <w:r>
        <w:rPr>
          <w:rFonts w:hint="eastAsia" w:ascii="宋体" w:hAnsi="宋体" w:cs="宋体"/>
          <w:color w:val="auto"/>
          <w:highlight w:val="none"/>
          <w:lang w:eastAsia="zh-CN"/>
        </w:rPr>
        <w:t>☑</w:t>
      </w:r>
      <w:r>
        <w:rPr>
          <w:rFonts w:hint="eastAsia" w:ascii="Calibri" w:hAnsi="宋体" w:cs="宋体"/>
          <w:color w:val="auto"/>
          <w:highlight w:val="none"/>
          <w:u w:val="single"/>
        </w:rPr>
        <w:t>承包人实际完成的某单项清单项目工程量与招标工程量清单工程量偏差超过</w:t>
      </w:r>
      <w:r>
        <w:rPr>
          <w:rFonts w:hint="eastAsia" w:ascii="Calibri" w:hAnsi="宋体" w:cs="宋体"/>
          <w:color w:val="auto"/>
          <w:highlight w:val="none"/>
          <w:u w:val="single"/>
          <w:lang w:val="en-US" w:eastAsia="zh-CN"/>
        </w:rPr>
        <w:t>15</w:t>
      </w:r>
      <w:r>
        <w:rPr>
          <w:rFonts w:hint="eastAsia" w:ascii="Calibri" w:hAnsi="宋体" w:cs="宋体"/>
          <w:color w:val="auto"/>
          <w:highlight w:val="none"/>
          <w:u w:val="single"/>
        </w:rPr>
        <w:t>%且该单项清单造价超过合同总价</w:t>
      </w:r>
      <w:r>
        <w:rPr>
          <w:rFonts w:hint="eastAsia" w:ascii="Calibri" w:hAnsi="宋体" w:cs="宋体"/>
          <w:color w:val="auto"/>
          <w:highlight w:val="none"/>
          <w:u w:val="single"/>
          <w:lang w:val="en-US" w:eastAsia="zh-CN"/>
        </w:rPr>
        <w:t>1</w:t>
      </w:r>
      <w:r>
        <w:rPr>
          <w:rFonts w:hint="eastAsia" w:ascii="Calibri" w:hAnsi="宋体" w:cs="宋体"/>
          <w:color w:val="auto"/>
          <w:highlight w:val="none"/>
          <w:u w:val="single"/>
        </w:rPr>
        <w:t>%以上的，超过后增加部分工程量或减少后剩余部分工程量的综合单价按以下方法调整：有定额的套定额计算，执行本招标文件工程计价参考依据，并乘以下浮系数（中标价/经审定的工程招标控制价）结算，其中材料价格有信息价的按施工期间信息价的平均价计取，无信息价的由发包人、监理单位及承包人根据市场价格协商议定。</w:t>
      </w:r>
    </w:p>
    <w:p w14:paraId="73D902DD">
      <w:pPr>
        <w:pStyle w:val="5"/>
        <w:pageBreakBefore w:val="0"/>
        <w:widowControl w:val="0"/>
        <w:kinsoku/>
        <w:wordWrap/>
        <w:overflowPunct/>
        <w:topLinePunct w:val="0"/>
        <w:bidi w:val="0"/>
        <w:spacing w:before="0" w:after="0" w:line="360" w:lineRule="auto"/>
        <w:textAlignment w:val="auto"/>
        <w:rPr>
          <w:color w:val="auto"/>
          <w:highlight w:val="none"/>
        </w:rPr>
      </w:pPr>
      <w:bookmarkStart w:id="168" w:name="_Toc78449790"/>
      <w:bookmarkStart w:id="169" w:name="_Toc373227702"/>
      <w:bookmarkStart w:id="170" w:name="_Toc31864"/>
      <w:bookmarkStart w:id="171" w:name="_Toc351203634"/>
      <w:bookmarkStart w:id="172" w:name="_Toc373478349"/>
      <w:bookmarkStart w:id="173" w:name="_Toc389065268"/>
      <w:bookmarkStart w:id="174" w:name="_Toc143780453"/>
      <w:bookmarkStart w:id="175" w:name="_Toc407135204"/>
      <w:r>
        <w:rPr>
          <w:color w:val="auto"/>
          <w:highlight w:val="none"/>
        </w:rPr>
        <w:t>2</w:t>
      </w:r>
      <w:bookmarkStart w:id="176" w:name="_Toc292559867"/>
      <w:bookmarkStart w:id="177" w:name="_Toc292559362"/>
      <w:bookmarkStart w:id="178" w:name="_Toc296891197"/>
      <w:bookmarkStart w:id="179" w:name="_Toc297048343"/>
      <w:bookmarkStart w:id="180" w:name="_Toc296347156"/>
      <w:bookmarkStart w:id="181" w:name="_Toc296346658"/>
      <w:bookmarkStart w:id="182" w:name="_Toc296890985"/>
      <w:bookmarkStart w:id="183" w:name="_Toc296503157"/>
      <w:bookmarkStart w:id="184" w:name="_Toc296944496"/>
      <w:bookmarkStart w:id="185" w:name="_Toc297120457"/>
      <w:r>
        <w:rPr>
          <w:color w:val="auto"/>
          <w:highlight w:val="none"/>
        </w:rPr>
        <w:t xml:space="preserve">. </w:t>
      </w:r>
      <w:r>
        <w:rPr>
          <w:rFonts w:hint="eastAsia" w:hAnsi="宋体" w:cs="黑体"/>
          <w:color w:val="auto"/>
          <w:highlight w:val="none"/>
        </w:rPr>
        <w:t>发包人</w:t>
      </w:r>
      <w:bookmarkEnd w:id="168"/>
      <w:bookmarkEnd w:id="169"/>
      <w:bookmarkEnd w:id="170"/>
      <w:bookmarkEnd w:id="171"/>
      <w:bookmarkEnd w:id="172"/>
      <w:bookmarkEnd w:id="173"/>
      <w:bookmarkEnd w:id="174"/>
      <w:bookmarkEnd w:id="175"/>
    </w:p>
    <w:bookmarkEnd w:id="176"/>
    <w:bookmarkEnd w:id="177"/>
    <w:bookmarkEnd w:id="178"/>
    <w:bookmarkEnd w:id="179"/>
    <w:bookmarkEnd w:id="180"/>
    <w:bookmarkEnd w:id="181"/>
    <w:bookmarkEnd w:id="182"/>
    <w:bookmarkEnd w:id="183"/>
    <w:bookmarkEnd w:id="184"/>
    <w:bookmarkEnd w:id="185"/>
    <w:p w14:paraId="788393CE">
      <w:pPr>
        <w:pStyle w:val="6"/>
        <w:pageBreakBefore w:val="0"/>
        <w:widowControl w:val="0"/>
        <w:kinsoku/>
        <w:wordWrap/>
        <w:overflowPunct/>
        <w:topLinePunct w:val="0"/>
        <w:bidi w:val="0"/>
        <w:spacing w:before="0" w:after="0" w:line="360" w:lineRule="auto"/>
        <w:textAlignment w:val="auto"/>
        <w:rPr>
          <w:color w:val="auto"/>
          <w:highlight w:val="none"/>
        </w:rPr>
      </w:pPr>
      <w:bookmarkStart w:id="186" w:name="_Toc971240048"/>
      <w:bookmarkStart w:id="187" w:name="_Toc373478350"/>
      <w:bookmarkStart w:id="188" w:name="_Toc373227703"/>
      <w:bookmarkStart w:id="189" w:name="_Toc407135205"/>
      <w:bookmarkStart w:id="190" w:name="_Toc389065269"/>
      <w:bookmarkStart w:id="191" w:name="_Toc14468"/>
      <w:bookmarkStart w:id="192" w:name="_Toc78449791"/>
      <w:r>
        <w:rPr>
          <w:color w:val="auto"/>
          <w:highlight w:val="none"/>
        </w:rPr>
        <w:t xml:space="preserve">2.2 </w:t>
      </w:r>
      <w:r>
        <w:rPr>
          <w:rFonts w:hint="eastAsia" w:hAnsi="宋体" w:cs="黑体"/>
          <w:color w:val="auto"/>
          <w:highlight w:val="none"/>
        </w:rPr>
        <w:t>发包人代表</w:t>
      </w:r>
      <w:bookmarkEnd w:id="186"/>
      <w:bookmarkEnd w:id="187"/>
      <w:bookmarkEnd w:id="188"/>
      <w:bookmarkEnd w:id="189"/>
      <w:bookmarkEnd w:id="190"/>
      <w:bookmarkEnd w:id="191"/>
      <w:bookmarkEnd w:id="192"/>
    </w:p>
    <w:p w14:paraId="70067C9C">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发包人代表：</w:t>
      </w:r>
    </w:p>
    <w:p w14:paraId="5CF4FAAB">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D9DEA7B">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身份证号：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1C5B880">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10F5D37">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48CEDFC">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0D1F4933">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883DCE0">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hAnsi="宋体" w:cs="宋体"/>
          <w:color w:val="auto"/>
          <w:highlight w:val="none"/>
        </w:rPr>
        <w:t>发包人对发包人代表的授权范围如下：</w:t>
      </w:r>
      <w:r>
        <w:rPr>
          <w:color w:val="auto"/>
          <w:highlight w:val="none"/>
          <w:u w:val="single"/>
        </w:rPr>
        <w:t xml:space="preserve">  </w:t>
      </w:r>
      <w:r>
        <w:rPr>
          <w:rFonts w:hint="eastAsia"/>
          <w:color w:val="auto"/>
          <w:highlight w:val="none"/>
          <w:u w:val="single"/>
        </w:rPr>
        <w:t>负责现场协调管理，质量、安全、投资和工期的控制，现场工程有关的资料签证，对经济签证资料及时提出建议意见并交发包方组织研究后签字认可</w:t>
      </w:r>
      <w:r>
        <w:rPr>
          <w:color w:val="auto"/>
          <w:highlight w:val="none"/>
          <w:u w:val="single"/>
        </w:rPr>
        <w:t xml:space="preserve"> </w:t>
      </w:r>
      <w:r>
        <w:rPr>
          <w:rFonts w:hint="eastAsia" w:hAnsi="宋体" w:cs="宋体"/>
          <w:color w:val="auto"/>
          <w:highlight w:val="none"/>
        </w:rPr>
        <w:t>。</w:t>
      </w:r>
    </w:p>
    <w:p w14:paraId="63215AAA">
      <w:pPr>
        <w:pStyle w:val="6"/>
        <w:pageBreakBefore w:val="0"/>
        <w:widowControl w:val="0"/>
        <w:kinsoku/>
        <w:wordWrap/>
        <w:overflowPunct/>
        <w:topLinePunct w:val="0"/>
        <w:bidi w:val="0"/>
        <w:spacing w:before="0" w:after="0" w:line="360" w:lineRule="auto"/>
        <w:textAlignment w:val="auto"/>
        <w:rPr>
          <w:color w:val="auto"/>
          <w:highlight w:val="none"/>
        </w:rPr>
      </w:pPr>
      <w:bookmarkStart w:id="193" w:name="_Toc2077499244"/>
      <w:bookmarkStart w:id="194" w:name="_Toc21046"/>
      <w:bookmarkStart w:id="195" w:name="_Toc407135206"/>
      <w:bookmarkStart w:id="196" w:name="_Toc78449792"/>
      <w:bookmarkStart w:id="197" w:name="_Toc389065270"/>
      <w:bookmarkStart w:id="198" w:name="_Toc373478351"/>
      <w:bookmarkStart w:id="199" w:name="_Toc373227704"/>
      <w:r>
        <w:rPr>
          <w:color w:val="auto"/>
          <w:highlight w:val="none"/>
        </w:rPr>
        <w:t xml:space="preserve">2.4 </w:t>
      </w:r>
      <w:r>
        <w:rPr>
          <w:rFonts w:hint="eastAsia" w:cs="黑体"/>
          <w:color w:val="auto"/>
          <w:highlight w:val="none"/>
        </w:rPr>
        <w:t>施工现场、施工条件和基础资料的提供</w:t>
      </w:r>
      <w:bookmarkEnd w:id="193"/>
      <w:bookmarkEnd w:id="194"/>
      <w:bookmarkEnd w:id="195"/>
      <w:bookmarkEnd w:id="196"/>
      <w:bookmarkEnd w:id="197"/>
      <w:bookmarkEnd w:id="198"/>
      <w:bookmarkEnd w:id="199"/>
    </w:p>
    <w:p w14:paraId="579D5349">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2.4.1 </w:t>
      </w:r>
      <w:r>
        <w:rPr>
          <w:rFonts w:hint="eastAsia" w:hAnsi="宋体" w:cs="宋体"/>
          <w:color w:val="auto"/>
          <w:highlight w:val="none"/>
        </w:rPr>
        <w:t>提供施工现场</w:t>
      </w:r>
    </w:p>
    <w:p w14:paraId="3B42DC0F">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关于发包人移交施工现场的期限要求：</w:t>
      </w:r>
      <w:r>
        <w:rPr>
          <w:color w:val="auto"/>
          <w:highlight w:val="none"/>
          <w:u w:val="single"/>
        </w:rPr>
        <w:t xml:space="preserve"> </w:t>
      </w:r>
      <w:r>
        <w:rPr>
          <w:rFonts w:hint="eastAsia"/>
          <w:color w:val="auto"/>
          <w:highlight w:val="none"/>
          <w:u w:val="single"/>
        </w:rPr>
        <w:t>签订合同后5个工作日内</w:t>
      </w:r>
      <w:r>
        <w:rPr>
          <w:color w:val="auto"/>
          <w:highlight w:val="none"/>
          <w:u w:val="single"/>
        </w:rPr>
        <w:t xml:space="preserve"> </w:t>
      </w:r>
      <w:r>
        <w:rPr>
          <w:rFonts w:hint="eastAsia" w:hAnsi="宋体" w:cs="宋体"/>
          <w:color w:val="auto"/>
          <w:highlight w:val="none"/>
        </w:rPr>
        <w:t>。</w:t>
      </w:r>
    </w:p>
    <w:p w14:paraId="655A6CAB">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2.4.2 </w:t>
      </w:r>
      <w:r>
        <w:rPr>
          <w:rFonts w:hint="eastAsia" w:hAnsi="宋体" w:cs="宋体"/>
          <w:color w:val="auto"/>
          <w:highlight w:val="none"/>
        </w:rPr>
        <w:t>提供施工条件</w:t>
      </w:r>
    </w:p>
    <w:p w14:paraId="378784A6">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hAnsi="宋体" w:cs="宋体"/>
          <w:color w:val="auto"/>
          <w:highlight w:val="none"/>
        </w:rPr>
        <w:t>关于发包人应负责提供施工所需要的条件，包括：</w:t>
      </w:r>
      <w:r>
        <w:rPr>
          <w:color w:val="auto"/>
          <w:highlight w:val="none"/>
          <w:u w:val="single"/>
        </w:rPr>
        <w:t xml:space="preserve">  </w:t>
      </w:r>
      <w:r>
        <w:rPr>
          <w:rFonts w:hint="eastAsia"/>
          <w:color w:val="auto"/>
          <w:highlight w:val="none"/>
          <w:u w:val="single"/>
        </w:rPr>
        <w:t>发包人将施工用电接至用地红线范围内指定点，场地内的配电设施安装及使用等费用由承包人负责</w:t>
      </w:r>
      <w:r>
        <w:rPr>
          <w:color w:val="auto"/>
          <w:highlight w:val="none"/>
          <w:u w:val="single"/>
        </w:rPr>
        <w:t xml:space="preserve">  </w:t>
      </w:r>
      <w:r>
        <w:rPr>
          <w:rFonts w:hint="eastAsia" w:hAnsi="宋体" w:cs="宋体"/>
          <w:color w:val="auto"/>
          <w:highlight w:val="none"/>
        </w:rPr>
        <w:t>。</w:t>
      </w:r>
    </w:p>
    <w:p w14:paraId="3E46B0EF">
      <w:pPr>
        <w:pStyle w:val="6"/>
        <w:pageBreakBefore w:val="0"/>
        <w:widowControl w:val="0"/>
        <w:kinsoku/>
        <w:wordWrap/>
        <w:overflowPunct/>
        <w:topLinePunct w:val="0"/>
        <w:bidi w:val="0"/>
        <w:spacing w:before="0" w:after="0" w:line="360" w:lineRule="auto"/>
        <w:textAlignment w:val="auto"/>
        <w:rPr>
          <w:color w:val="auto"/>
          <w:highlight w:val="none"/>
        </w:rPr>
      </w:pPr>
      <w:bookmarkStart w:id="200" w:name="_Toc389065271"/>
      <w:bookmarkStart w:id="201" w:name="_Toc78449793"/>
      <w:bookmarkStart w:id="202" w:name="_Toc1238195908"/>
      <w:bookmarkStart w:id="203" w:name="_Toc407135207"/>
      <w:bookmarkStart w:id="204" w:name="_Toc27597"/>
      <w:bookmarkStart w:id="205" w:name="_Toc373227705"/>
      <w:bookmarkStart w:id="206" w:name="_Toc373478352"/>
      <w:r>
        <w:rPr>
          <w:color w:val="auto"/>
          <w:highlight w:val="none"/>
        </w:rPr>
        <w:t xml:space="preserve">2.5 </w:t>
      </w:r>
      <w:r>
        <w:rPr>
          <w:rFonts w:hint="eastAsia" w:cs="黑体"/>
          <w:color w:val="auto"/>
          <w:highlight w:val="none"/>
        </w:rPr>
        <w:t>资金来源证明及支付担保</w:t>
      </w:r>
      <w:bookmarkEnd w:id="200"/>
      <w:bookmarkEnd w:id="201"/>
      <w:bookmarkEnd w:id="202"/>
      <w:bookmarkEnd w:id="203"/>
      <w:bookmarkEnd w:id="204"/>
      <w:bookmarkEnd w:id="205"/>
      <w:bookmarkEnd w:id="206"/>
    </w:p>
    <w:p w14:paraId="5A73BB5A">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发包人提供资金来源证明的期限要求：</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3021B70B">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发包人是否提供支付担保：</w:t>
      </w:r>
      <w:r>
        <w:rPr>
          <w:color w:val="auto"/>
          <w:highlight w:val="none"/>
          <w:u w:val="single"/>
        </w:rPr>
        <w:t xml:space="preserve"> </w:t>
      </w:r>
      <w:r>
        <w:rPr>
          <w:rFonts w:hint="eastAsia"/>
          <w:color w:val="auto"/>
          <w:highlight w:val="none"/>
          <w:u w:val="single"/>
        </w:rPr>
        <w:t>否</w:t>
      </w:r>
      <w:r>
        <w:rPr>
          <w:color w:val="auto"/>
          <w:highlight w:val="none"/>
          <w:u w:val="single"/>
        </w:rPr>
        <w:t xml:space="preserve"> </w:t>
      </w:r>
      <w:r>
        <w:rPr>
          <w:rFonts w:hint="eastAsia" w:ascii="Times New Roman" w:hAnsi="宋体" w:eastAsia="宋体" w:cs="宋体"/>
          <w:color w:val="auto"/>
          <w:highlight w:val="none"/>
        </w:rPr>
        <w:t>。【</w:t>
      </w:r>
      <w:r>
        <w:rPr>
          <w:rFonts w:hint="eastAsia" w:ascii="Times New Roman" w:hAnsi="宋体" w:eastAsia="宋体" w:cs="宋体"/>
          <w:i w:val="0"/>
          <w:caps w:val="0"/>
          <w:color w:val="auto"/>
          <w:spacing w:val="0"/>
          <w:sz w:val="21"/>
          <w:szCs w:val="21"/>
          <w:highlight w:val="none"/>
          <w:lang w:eastAsia="zh-CN"/>
        </w:rPr>
        <w:t>发包</w:t>
      </w:r>
      <w:r>
        <w:rPr>
          <w:rFonts w:hint="eastAsia" w:ascii="Times New Roman" w:hAnsi="宋体" w:eastAsia="宋体" w:cs="宋体"/>
          <w:i w:val="0"/>
          <w:caps w:val="0"/>
          <w:color w:val="auto"/>
          <w:spacing w:val="0"/>
          <w:sz w:val="21"/>
          <w:szCs w:val="21"/>
          <w:highlight w:val="none"/>
        </w:rPr>
        <w:t>人要求</w:t>
      </w:r>
      <w:r>
        <w:rPr>
          <w:rFonts w:hint="eastAsia" w:ascii="Times New Roman" w:hAnsi="宋体" w:eastAsia="宋体" w:cs="宋体"/>
          <w:i w:val="0"/>
          <w:caps w:val="0"/>
          <w:color w:val="auto"/>
          <w:spacing w:val="0"/>
          <w:sz w:val="21"/>
          <w:szCs w:val="21"/>
          <w:highlight w:val="none"/>
          <w:lang w:eastAsia="zh-CN"/>
        </w:rPr>
        <w:t>承包</w:t>
      </w:r>
      <w:r>
        <w:rPr>
          <w:rFonts w:hint="eastAsia" w:ascii="Times New Roman" w:hAnsi="宋体" w:eastAsia="宋体" w:cs="宋体"/>
          <w:i w:val="0"/>
          <w:caps w:val="0"/>
          <w:color w:val="auto"/>
          <w:spacing w:val="0"/>
          <w:sz w:val="21"/>
          <w:szCs w:val="21"/>
          <w:highlight w:val="none"/>
        </w:rPr>
        <w:t>人提供履约担保的，应当同时向</w:t>
      </w:r>
      <w:r>
        <w:rPr>
          <w:rFonts w:hint="eastAsia" w:ascii="Times New Roman" w:hAnsi="宋体" w:eastAsia="宋体" w:cs="宋体"/>
          <w:i w:val="0"/>
          <w:caps w:val="0"/>
          <w:color w:val="auto"/>
          <w:spacing w:val="0"/>
          <w:sz w:val="21"/>
          <w:szCs w:val="21"/>
          <w:highlight w:val="none"/>
          <w:lang w:eastAsia="zh-CN"/>
        </w:rPr>
        <w:t>承包</w:t>
      </w:r>
      <w:r>
        <w:rPr>
          <w:rFonts w:hint="eastAsia" w:ascii="Times New Roman" w:hAnsi="宋体" w:eastAsia="宋体" w:cs="宋体"/>
          <w:i w:val="0"/>
          <w:caps w:val="0"/>
          <w:color w:val="auto"/>
          <w:spacing w:val="0"/>
          <w:sz w:val="21"/>
          <w:szCs w:val="21"/>
          <w:highlight w:val="none"/>
        </w:rPr>
        <w:t>人提供工程款支付担保。工程款支付担保可以全额担保，也可以分阶段担保。分阶段担保的，除保修金以外的全部款项，完成一个阶段清算后再进入下一阶段，有效期截至工程竣工结算款支付完毕。</w:t>
      </w:r>
      <w:r>
        <w:rPr>
          <w:rFonts w:hint="eastAsia" w:ascii="Times New Roman" w:hAnsi="宋体" w:eastAsia="宋体" w:cs="宋体"/>
          <w:i w:val="0"/>
          <w:caps w:val="0"/>
          <w:color w:val="auto"/>
          <w:spacing w:val="0"/>
          <w:sz w:val="21"/>
          <w:szCs w:val="21"/>
          <w:highlight w:val="none"/>
          <w:lang w:eastAsia="zh-CN"/>
        </w:rPr>
        <w:t>发包</w:t>
      </w:r>
      <w:r>
        <w:rPr>
          <w:rFonts w:hint="eastAsia" w:ascii="Times New Roman" w:hAnsi="宋体" w:eastAsia="宋体" w:cs="宋体"/>
          <w:i w:val="0"/>
          <w:caps w:val="0"/>
          <w:color w:val="auto"/>
          <w:spacing w:val="0"/>
          <w:sz w:val="21"/>
          <w:szCs w:val="21"/>
          <w:highlight w:val="none"/>
        </w:rPr>
        <w:t>人未按合同约定及时支付工程款的，工程担保保证人需承担担保责任。对政府投资项目，由建设单位提供落实财政资金来源的证明文件。</w:t>
      </w:r>
      <w:r>
        <w:rPr>
          <w:rFonts w:hint="eastAsia" w:ascii="Times New Roman" w:hAnsi="宋体" w:eastAsia="宋体" w:cs="宋体"/>
          <w:color w:val="auto"/>
          <w:highlight w:val="none"/>
        </w:rPr>
        <w:t>】</w:t>
      </w:r>
    </w:p>
    <w:p w14:paraId="2D7DD92E">
      <w:pPr>
        <w:pageBreakBefore w:val="0"/>
        <w:widowControl w:val="0"/>
        <w:kinsoku/>
        <w:wordWrap/>
        <w:overflowPunct/>
        <w:topLinePunct w:val="0"/>
        <w:bidi w:val="0"/>
        <w:spacing w:line="360" w:lineRule="auto"/>
        <w:ind w:firstLine="420" w:firstLineChars="200"/>
        <w:textAlignment w:val="auto"/>
        <w:rPr>
          <w:rFonts w:hint="eastAsia" w:hAnsi="宋体" w:cs="宋体"/>
          <w:color w:val="auto"/>
          <w:highlight w:val="none"/>
          <w:lang w:val="en" w:eastAsia="zh-CN"/>
        </w:rPr>
      </w:pPr>
      <w:r>
        <w:rPr>
          <w:rFonts w:hint="eastAsia" w:hAnsi="宋体" w:cs="宋体"/>
          <w:color w:val="auto"/>
          <w:highlight w:val="none"/>
        </w:rPr>
        <w:t>发包人提供支付担保的形式：</w:t>
      </w:r>
      <w:r>
        <w:rPr>
          <w:rFonts w:hint="eastAsia"/>
          <w:color w:val="auto"/>
          <w:highlight w:val="none"/>
          <w:u w:val="none"/>
          <w:lang w:eastAsia="zh-CN"/>
        </w:rPr>
        <w:t>可以是</w:t>
      </w:r>
      <w:r>
        <w:rPr>
          <w:rFonts w:hint="eastAsia" w:hAnsi="宋体" w:cs="宋体"/>
          <w:color w:val="auto"/>
          <w:highlight w:val="none"/>
        </w:rPr>
        <w:t>银行转账、电汇或网上支付、保函（银行保函、电子</w:t>
      </w:r>
      <w:r>
        <w:rPr>
          <w:rFonts w:hAnsi="宋体" w:cs="宋体"/>
          <w:color w:val="auto"/>
          <w:highlight w:val="none"/>
        </w:rPr>
        <w:t>保函</w:t>
      </w:r>
      <w:r>
        <w:rPr>
          <w:rFonts w:hint="eastAsia" w:hAnsi="宋体" w:cs="宋体"/>
          <w:color w:val="auto"/>
          <w:highlight w:val="none"/>
        </w:rPr>
        <w:t>、保证保险保函、工程担保保函）</w:t>
      </w:r>
      <w:r>
        <w:rPr>
          <w:rFonts w:hint="eastAsia" w:hAnsi="宋体"/>
          <w:color w:val="auto"/>
          <w:highlight w:val="none"/>
        </w:rPr>
        <w:t>等</w:t>
      </w:r>
      <w:r>
        <w:rPr>
          <w:rFonts w:hint="eastAsia" w:hAnsi="宋体" w:cs="宋体"/>
          <w:color w:val="auto"/>
          <w:highlight w:val="none"/>
        </w:rPr>
        <w:t>形</w:t>
      </w:r>
      <w:r>
        <w:rPr>
          <w:rFonts w:hint="eastAsia" w:hAnsi="宋体"/>
          <w:color w:val="auto"/>
          <w:highlight w:val="none"/>
        </w:rPr>
        <w:t>式</w:t>
      </w:r>
      <w:r>
        <w:rPr>
          <w:rFonts w:hint="eastAsia" w:hAnsi="宋体" w:cs="宋体"/>
          <w:color w:val="auto"/>
          <w:highlight w:val="none"/>
        </w:rPr>
        <w:t>。</w:t>
      </w:r>
      <w:r>
        <w:rPr>
          <w:rFonts w:hint="eastAsia" w:hAnsi="宋体" w:cs="宋体"/>
          <w:color w:val="auto"/>
          <w:highlight w:val="none"/>
          <w:lang w:eastAsia="zh-CN"/>
        </w:rPr>
        <w:t>工程担保保证人应将出具的保函相关信息录入“广西建筑市场监管云”平台（http：//gxjzsc.caihcloud.com），以实现保函查询及验真功能</w:t>
      </w:r>
      <w:r>
        <w:rPr>
          <w:rFonts w:hint="eastAsia" w:hAnsi="宋体" w:cs="宋体"/>
          <w:color w:val="auto"/>
          <w:highlight w:val="none"/>
          <w:lang w:val="en" w:eastAsia="zh-CN"/>
        </w:rPr>
        <w:t>。</w:t>
      </w:r>
    </w:p>
    <w:p w14:paraId="19B12018">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hAnsi="宋体" w:cs="宋体"/>
          <w:color w:val="auto"/>
          <w:highlight w:val="none"/>
        </w:rPr>
        <w:t>发包人提供的支付担保格式见合同附件</w:t>
      </w:r>
      <w:r>
        <w:rPr>
          <w:rFonts w:hint="eastAsia" w:hAnsi="宋体"/>
          <w:color w:val="auto"/>
          <w:highlight w:val="none"/>
        </w:rPr>
        <w:t>9</w:t>
      </w:r>
      <w:r>
        <w:rPr>
          <w:rFonts w:hint="eastAsia" w:hAnsi="宋体" w:cs="宋体"/>
          <w:color w:val="auto"/>
          <w:highlight w:val="none"/>
        </w:rPr>
        <w:t>。</w:t>
      </w:r>
    </w:p>
    <w:p w14:paraId="5FA9572E">
      <w:pPr>
        <w:pStyle w:val="5"/>
        <w:pageBreakBefore w:val="0"/>
        <w:widowControl w:val="0"/>
        <w:kinsoku/>
        <w:wordWrap/>
        <w:overflowPunct/>
        <w:topLinePunct w:val="0"/>
        <w:bidi w:val="0"/>
        <w:spacing w:before="0" w:after="0" w:line="360" w:lineRule="auto"/>
        <w:textAlignment w:val="auto"/>
        <w:rPr>
          <w:color w:val="auto"/>
          <w:highlight w:val="none"/>
        </w:rPr>
      </w:pPr>
      <w:bookmarkStart w:id="207" w:name="_Toc373227706"/>
      <w:bookmarkStart w:id="208" w:name="_Toc14962"/>
      <w:bookmarkStart w:id="209" w:name="_Toc389065272"/>
      <w:bookmarkStart w:id="210" w:name="_Toc373478353"/>
      <w:bookmarkStart w:id="211" w:name="_Toc351203635"/>
      <w:bookmarkStart w:id="212" w:name="_Toc1181400362"/>
      <w:bookmarkStart w:id="213" w:name="_Toc407135208"/>
      <w:bookmarkStart w:id="214" w:name="_Toc78449794"/>
      <w:r>
        <w:rPr>
          <w:color w:val="auto"/>
          <w:highlight w:val="none"/>
        </w:rPr>
        <w:t>3</w:t>
      </w:r>
      <w:bookmarkStart w:id="215" w:name="_Toc292559868"/>
      <w:bookmarkStart w:id="216" w:name="_Toc297120458"/>
      <w:bookmarkStart w:id="217" w:name="_Toc296347157"/>
      <w:bookmarkStart w:id="218" w:name="_Toc296944497"/>
      <w:bookmarkStart w:id="219" w:name="_Toc297048344"/>
      <w:bookmarkStart w:id="220" w:name="_Toc296346659"/>
      <w:bookmarkStart w:id="221" w:name="_Toc296890986"/>
      <w:bookmarkStart w:id="222" w:name="_Toc292559363"/>
      <w:bookmarkStart w:id="223" w:name="_Toc296503158"/>
      <w:bookmarkStart w:id="224" w:name="_Toc296891198"/>
      <w:r>
        <w:rPr>
          <w:color w:val="auto"/>
          <w:highlight w:val="none"/>
        </w:rPr>
        <w:t xml:space="preserve">. </w:t>
      </w:r>
      <w:r>
        <w:rPr>
          <w:rFonts w:hint="eastAsia" w:hAnsi="宋体" w:cs="黑体"/>
          <w:color w:val="auto"/>
          <w:highlight w:val="none"/>
        </w:rPr>
        <w:t>承包人</w:t>
      </w:r>
      <w:bookmarkEnd w:id="207"/>
      <w:bookmarkEnd w:id="208"/>
      <w:bookmarkEnd w:id="209"/>
      <w:bookmarkEnd w:id="210"/>
      <w:bookmarkEnd w:id="211"/>
      <w:bookmarkEnd w:id="212"/>
      <w:bookmarkEnd w:id="213"/>
      <w:bookmarkEnd w:id="214"/>
    </w:p>
    <w:bookmarkEnd w:id="215"/>
    <w:bookmarkEnd w:id="216"/>
    <w:bookmarkEnd w:id="217"/>
    <w:bookmarkEnd w:id="218"/>
    <w:bookmarkEnd w:id="219"/>
    <w:bookmarkEnd w:id="220"/>
    <w:bookmarkEnd w:id="221"/>
    <w:bookmarkEnd w:id="222"/>
    <w:bookmarkEnd w:id="223"/>
    <w:bookmarkEnd w:id="224"/>
    <w:p w14:paraId="13C545AD">
      <w:pPr>
        <w:pStyle w:val="6"/>
        <w:pageBreakBefore w:val="0"/>
        <w:widowControl w:val="0"/>
        <w:kinsoku/>
        <w:wordWrap/>
        <w:overflowPunct/>
        <w:topLinePunct w:val="0"/>
        <w:bidi w:val="0"/>
        <w:spacing w:before="0" w:after="0" w:line="360" w:lineRule="auto"/>
        <w:textAlignment w:val="auto"/>
        <w:rPr>
          <w:color w:val="auto"/>
          <w:highlight w:val="none"/>
        </w:rPr>
      </w:pPr>
      <w:bookmarkStart w:id="225" w:name="_Toc19961"/>
      <w:bookmarkStart w:id="226" w:name="_Toc407135209"/>
      <w:bookmarkStart w:id="227" w:name="_Toc962678435"/>
      <w:bookmarkStart w:id="228" w:name="_Toc373478354"/>
      <w:bookmarkStart w:id="229" w:name="_Toc389065273"/>
      <w:bookmarkStart w:id="230" w:name="_Toc78449795"/>
      <w:bookmarkStart w:id="231" w:name="_Toc373227707"/>
      <w:r>
        <w:rPr>
          <w:color w:val="auto"/>
          <w:highlight w:val="none"/>
        </w:rPr>
        <w:t xml:space="preserve">3.1 </w:t>
      </w:r>
      <w:r>
        <w:rPr>
          <w:rFonts w:hint="eastAsia" w:cs="黑体"/>
          <w:color w:val="auto"/>
          <w:highlight w:val="none"/>
        </w:rPr>
        <w:t>承包人的一般义务</w:t>
      </w:r>
      <w:bookmarkEnd w:id="225"/>
      <w:bookmarkEnd w:id="226"/>
      <w:bookmarkEnd w:id="227"/>
      <w:bookmarkEnd w:id="228"/>
      <w:bookmarkEnd w:id="229"/>
      <w:bookmarkEnd w:id="230"/>
      <w:bookmarkEnd w:id="231"/>
    </w:p>
    <w:p w14:paraId="752295C5">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w:t>
      </w:r>
      <w:r>
        <w:rPr>
          <w:color w:val="auto"/>
          <w:kern w:val="0"/>
          <w:highlight w:val="none"/>
        </w:rPr>
        <w:t>9</w:t>
      </w:r>
      <w:r>
        <w:rPr>
          <w:rFonts w:hint="eastAsia" w:hAnsi="宋体" w:cs="宋体"/>
          <w:color w:val="auto"/>
          <w:kern w:val="0"/>
          <w:highlight w:val="none"/>
        </w:rPr>
        <w:t>）</w:t>
      </w:r>
      <w:r>
        <w:rPr>
          <w:rFonts w:hint="eastAsia" w:hAnsi="宋体" w:cs="宋体"/>
          <w:color w:val="auto"/>
          <w:highlight w:val="none"/>
        </w:rPr>
        <w:t>承包人提交的竣工资料的内容：</w:t>
      </w:r>
      <w:r>
        <w:rPr>
          <w:color w:val="auto"/>
          <w:highlight w:val="none"/>
          <w:u w:val="single"/>
        </w:rPr>
        <w:t xml:space="preserve">  </w:t>
      </w:r>
      <w:r>
        <w:rPr>
          <w:rFonts w:hint="eastAsia"/>
          <w:color w:val="auto"/>
          <w:highlight w:val="none"/>
          <w:u w:val="single"/>
        </w:rPr>
        <w:t>工程具备竣工验收条件，承包人按工程竣工验收有关规定，向发包人提交完整竣工资料及竣工验收报告和竣工图</w:t>
      </w:r>
      <w:r>
        <w:rPr>
          <w:color w:val="auto"/>
          <w:highlight w:val="none"/>
          <w:u w:val="single"/>
        </w:rPr>
        <w:t xml:space="preserve">  </w:t>
      </w:r>
      <w:r>
        <w:rPr>
          <w:rFonts w:hint="eastAsia" w:hAnsi="宋体" w:cs="宋体"/>
          <w:color w:val="auto"/>
          <w:highlight w:val="none"/>
        </w:rPr>
        <w:t>。</w:t>
      </w:r>
    </w:p>
    <w:p w14:paraId="13265C91">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承包人需要提交的竣工资料套数：</w:t>
      </w:r>
      <w:r>
        <w:rPr>
          <w:color w:val="auto"/>
          <w:highlight w:val="none"/>
          <w:u w:val="single"/>
        </w:rPr>
        <w:t xml:space="preserve">  </w:t>
      </w:r>
      <w:r>
        <w:rPr>
          <w:rFonts w:hint="eastAsia"/>
          <w:color w:val="auto"/>
          <w:highlight w:val="none"/>
          <w:u w:val="single"/>
        </w:rPr>
        <w:t>8套</w:t>
      </w:r>
      <w:r>
        <w:rPr>
          <w:color w:val="auto"/>
          <w:highlight w:val="none"/>
          <w:u w:val="single"/>
        </w:rPr>
        <w:t xml:space="preserve">  </w:t>
      </w:r>
      <w:r>
        <w:rPr>
          <w:rFonts w:hint="eastAsia" w:hAnsi="宋体" w:cs="宋体"/>
          <w:color w:val="auto"/>
          <w:highlight w:val="none"/>
        </w:rPr>
        <w:t>。</w:t>
      </w:r>
    </w:p>
    <w:p w14:paraId="442CF68C">
      <w:pPr>
        <w:pageBreakBefore w:val="0"/>
        <w:widowControl w:val="0"/>
        <w:kinsoku/>
        <w:wordWrap/>
        <w:overflowPunct/>
        <w:topLinePunct w:val="0"/>
        <w:bidi w:val="0"/>
        <w:spacing w:line="360" w:lineRule="auto"/>
        <w:ind w:left="424" w:leftChars="202"/>
        <w:jc w:val="left"/>
        <w:textAlignment w:val="auto"/>
        <w:rPr>
          <w:color w:val="auto"/>
          <w:highlight w:val="none"/>
        </w:rPr>
      </w:pPr>
      <w:r>
        <w:rPr>
          <w:rFonts w:hint="eastAsia" w:hAnsi="宋体" w:cs="宋体"/>
          <w:color w:val="auto"/>
          <w:highlight w:val="none"/>
        </w:rPr>
        <w:t>承包人提交的竣工资料的费用承担：</w:t>
      </w:r>
      <w:r>
        <w:rPr>
          <w:color w:val="auto"/>
          <w:highlight w:val="none"/>
          <w:u w:val="single"/>
        </w:rPr>
        <w:t xml:space="preserve">  </w:t>
      </w:r>
      <w:r>
        <w:rPr>
          <w:rFonts w:hint="eastAsia"/>
          <w:color w:val="auto"/>
          <w:highlight w:val="none"/>
          <w:u w:val="single"/>
        </w:rPr>
        <w:t>承包人自行承担</w:t>
      </w:r>
      <w:r>
        <w:rPr>
          <w:color w:val="auto"/>
          <w:highlight w:val="none"/>
          <w:u w:val="single"/>
        </w:rPr>
        <w:t xml:space="preserve">  </w:t>
      </w:r>
      <w:r>
        <w:rPr>
          <w:rFonts w:hint="eastAsia" w:hAnsi="宋体" w:cs="宋体"/>
          <w:color w:val="auto"/>
          <w:highlight w:val="none"/>
        </w:rPr>
        <w:t>。</w:t>
      </w:r>
    </w:p>
    <w:p w14:paraId="7E77B3F5">
      <w:pPr>
        <w:pageBreakBefore w:val="0"/>
        <w:widowControl w:val="0"/>
        <w:kinsoku/>
        <w:wordWrap/>
        <w:overflowPunct/>
        <w:topLinePunct w:val="0"/>
        <w:bidi w:val="0"/>
        <w:spacing w:line="360" w:lineRule="auto"/>
        <w:ind w:left="424" w:leftChars="202"/>
        <w:jc w:val="left"/>
        <w:textAlignment w:val="auto"/>
        <w:rPr>
          <w:color w:val="auto"/>
          <w:highlight w:val="none"/>
        </w:rPr>
      </w:pPr>
      <w:r>
        <w:rPr>
          <w:rFonts w:hint="eastAsia" w:hAnsi="宋体" w:cs="宋体"/>
          <w:color w:val="auto"/>
          <w:highlight w:val="none"/>
        </w:rPr>
        <w:t>承包人提交的竣工资料移交时间：</w:t>
      </w:r>
      <w:r>
        <w:rPr>
          <w:color w:val="auto"/>
          <w:highlight w:val="none"/>
          <w:u w:val="single"/>
        </w:rPr>
        <w:t xml:space="preserve">  </w:t>
      </w:r>
      <w:r>
        <w:rPr>
          <w:rFonts w:hint="eastAsia"/>
          <w:color w:val="auto"/>
          <w:highlight w:val="none"/>
          <w:u w:val="single"/>
        </w:rPr>
        <w:t>28天内</w:t>
      </w:r>
      <w:r>
        <w:rPr>
          <w:color w:val="auto"/>
          <w:highlight w:val="none"/>
          <w:u w:val="single"/>
        </w:rPr>
        <w:t xml:space="preserve">  </w:t>
      </w:r>
      <w:r>
        <w:rPr>
          <w:rFonts w:hint="eastAsia" w:hAnsi="宋体" w:cs="宋体"/>
          <w:color w:val="auto"/>
          <w:highlight w:val="none"/>
        </w:rPr>
        <w:t>。</w:t>
      </w:r>
    </w:p>
    <w:p w14:paraId="36C00B47">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承包人提交的竣工资料形式要求：</w:t>
      </w:r>
      <w:r>
        <w:rPr>
          <w:color w:val="auto"/>
          <w:highlight w:val="none"/>
          <w:u w:val="single"/>
        </w:rPr>
        <w:t xml:space="preserve">   </w:t>
      </w:r>
      <w:r>
        <w:rPr>
          <w:rFonts w:hint="eastAsia"/>
          <w:color w:val="auto"/>
          <w:highlight w:val="none"/>
          <w:u w:val="single"/>
        </w:rPr>
        <w:t>按竣工资料整理归档的相关要求</w:t>
      </w:r>
      <w:r>
        <w:rPr>
          <w:color w:val="auto"/>
          <w:highlight w:val="none"/>
          <w:u w:val="single"/>
        </w:rPr>
        <w:t xml:space="preserve">   </w:t>
      </w:r>
      <w:r>
        <w:rPr>
          <w:rFonts w:hint="eastAsia" w:hAnsi="宋体" w:cs="宋体"/>
          <w:color w:val="auto"/>
          <w:highlight w:val="none"/>
        </w:rPr>
        <w:t>。</w:t>
      </w:r>
    </w:p>
    <w:p w14:paraId="0B2259A7">
      <w:pPr>
        <w:pageBreakBefore w:val="0"/>
        <w:widowControl w:val="0"/>
        <w:kinsoku/>
        <w:wordWrap/>
        <w:overflowPunct/>
        <w:topLinePunct w:val="0"/>
        <w:bidi w:val="0"/>
        <w:spacing w:line="360" w:lineRule="auto"/>
        <w:ind w:firstLine="420" w:firstLineChars="200"/>
        <w:textAlignment w:val="auto"/>
        <w:rPr>
          <w:color w:val="auto"/>
          <w:kern w:val="0"/>
          <w:highlight w:val="none"/>
          <w:u w:val="single"/>
        </w:rPr>
      </w:pPr>
      <w:r>
        <w:rPr>
          <w:rFonts w:hint="eastAsia" w:hAnsi="宋体" w:cs="宋体"/>
          <w:color w:val="auto"/>
          <w:kern w:val="0"/>
          <w:highlight w:val="none"/>
        </w:rPr>
        <w:t>（</w:t>
      </w:r>
      <w:r>
        <w:rPr>
          <w:color w:val="auto"/>
          <w:kern w:val="0"/>
          <w:highlight w:val="none"/>
        </w:rPr>
        <w:t>10</w:t>
      </w:r>
      <w:r>
        <w:rPr>
          <w:rFonts w:hint="eastAsia" w:hAnsi="宋体" w:cs="宋体"/>
          <w:color w:val="auto"/>
          <w:kern w:val="0"/>
          <w:highlight w:val="none"/>
        </w:rPr>
        <w:t>）承包人应履行的其他义务：</w:t>
      </w:r>
      <w:r>
        <w:rPr>
          <w:rFonts w:hint="eastAsia" w:hAnsi="宋体" w:cs="宋体"/>
          <w:color w:val="auto"/>
          <w:kern w:val="0"/>
          <w:highlight w:val="none"/>
          <w:u w:val="single"/>
        </w:rPr>
        <w:t xml:space="preserve">对开工的项目，须组建项目工会。 </w:t>
      </w:r>
      <w:r>
        <w:rPr>
          <w:rFonts w:hAnsi="宋体" w:cs="宋体"/>
          <w:color w:val="auto"/>
          <w:kern w:val="0"/>
          <w:highlight w:val="none"/>
          <w:u w:val="single"/>
        </w:rPr>
        <w:t xml:space="preserve">               </w:t>
      </w:r>
    </w:p>
    <w:p w14:paraId="26FA195A">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①配合发包人做好安全文明宣传、领导检查等工作，相关费用由承包人承担；</w:t>
      </w:r>
    </w:p>
    <w:p w14:paraId="45F48E46">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②本工程施工场地范围内水、电的使用、维护、拆除、恢复等由承包人负责，相关费用由承包人承担；</w:t>
      </w:r>
    </w:p>
    <w:p w14:paraId="24E241D4">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③承包人的临时占地（含项目部驻地等）租用费（含拆迁补偿）、临时用地的环保、恢复及施工范围内临时性占地的青苗补偿及地面附着物发生的费用均由承包人负责；</w:t>
      </w:r>
    </w:p>
    <w:p w14:paraId="0F83C932">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④承包人应为监理单位、发包人现场代表对施工现场的检查监督提供必要的配合，并对这种配合对施工的影响应有充分的考虑。</w:t>
      </w:r>
    </w:p>
    <w:p w14:paraId="1B81E8D4">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⑤经过城市道路的施工车辆，必须按交警、城管、环卫等部门规定执行。施工车辆的营运手续办理、清洗等一切费用由承包人承担。由于车辆带泥或洒漏造成的道路、环境等污染，其责任和费用均由承包人承担。</w:t>
      </w:r>
    </w:p>
    <w:p w14:paraId="43A7D603">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⑥取土料场和废土场的征（租）用、复耕、平整等工作由承包人负责，并负责提供检测合格的土料。</w:t>
      </w:r>
    </w:p>
    <w:p w14:paraId="3B4E1975">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⑦取土料场和废土场的征（租）用、复耕、平整等工作由承包人负责，并负责提供检测合格的土料。</w:t>
      </w:r>
    </w:p>
    <w:p w14:paraId="4BD233AD">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⑧承包人应负责施工场内交通管制和协调通行工作。连接施工场内外道路出口处须设洗车场，对从施工场地进入市区道路的所有车辆进行清洗，并派专人在出口处负责看守，严禁与工程施工无关的人员及车辆进出施工场地。如承包人违反以上有关规定，由此所造成的一切后果由承包人负责。</w:t>
      </w:r>
    </w:p>
    <w:p w14:paraId="61179B4C">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⑨承包人负责其本合同段在合同实施期内临时交通道路（含场内外连接公共交通道路）和临时交通设施的修建、维修、养护和交通管理工作，并承担一切费用。</w:t>
      </w:r>
    </w:p>
    <w:p w14:paraId="3A8402AB">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⑩承包人在实施本合同工程所使用公共道路、水源、公共设施等必须保障发包人及其他人的财产、利益和权利免受损害，造成损坏的由承包人负责维修或赔偿，并承担一切费用。</w:t>
      </w:r>
    </w:p>
    <w:p w14:paraId="3D772786">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⑪承包人的施工管理区及施工场地应设有临时的污水处理设施和施工排水设施，生活施工垃圾等处置应妥当，施工材料如涂料、化学品等应妥善存放，并设有防雨、防风、防火等措施，并承担一切费用。</w:t>
      </w:r>
    </w:p>
    <w:p w14:paraId="3D72C19A">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⑫移交证书签发后，承包人应立即从签发了移交证书的工地上将所有有关的承包人的设备、多余材料、垃圾及各种临时工程清除、移走，并使这一部分工程及工地保持清洁。</w:t>
      </w:r>
    </w:p>
    <w:p w14:paraId="42621B46">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⑬承包人应全权自费负责其劳务及职员的雇佣、工资的支付、房屋、膳食及运输的安排。承包人在任何时候应采取一切合理的预防措施，以防止其职员发生任何违法的、防碍治安的行为，并维护治安和保护工程附近的单位、个人或财产免遭上述行为的破坏，否则，由此造成的后果和费用均由承包人承担。</w:t>
      </w:r>
    </w:p>
    <w:p w14:paraId="693270A1">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⑭承包人应按安全施工管理有关规定，配备安全管理机构，配备合格的专职安全员，负责处理全体工作人员和劳务人员的安全保护和防止事故等问题，如因承包人原因造成人员伤亡、财产损失等一切事故，由承包人负全责并承担费用。</w:t>
      </w:r>
    </w:p>
    <w:p w14:paraId="0BFEF146">
      <w:pPr>
        <w:pageBreakBefore w:val="0"/>
        <w:widowControl w:val="0"/>
        <w:kinsoku/>
        <w:wordWrap/>
        <w:overflowPunct/>
        <w:topLinePunct w:val="0"/>
        <w:bidi w:val="0"/>
        <w:spacing w:line="360" w:lineRule="auto"/>
        <w:ind w:firstLine="420" w:firstLineChars="200"/>
        <w:textAlignment w:val="auto"/>
        <w:rPr>
          <w:rFonts w:hint="eastAsia"/>
          <w:color w:val="auto"/>
          <w:kern w:val="0"/>
          <w:highlight w:val="none"/>
          <w:u w:val="single"/>
        </w:rPr>
      </w:pPr>
      <w:r>
        <w:rPr>
          <w:rFonts w:hint="eastAsia"/>
          <w:color w:val="auto"/>
          <w:kern w:val="0"/>
          <w:highlight w:val="none"/>
          <w:u w:val="single"/>
        </w:rPr>
        <w:t>⑮承包人在施工期间应协调好与邻近相关单位（含居民、农民）的关系，应避免发生矛盾与冲突，否则，由此造成的一切后果由承包人承担。</w:t>
      </w:r>
    </w:p>
    <w:p w14:paraId="6DE28BED">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color w:val="auto"/>
          <w:kern w:val="0"/>
          <w:highlight w:val="none"/>
          <w:u w:val="single"/>
        </w:rPr>
        <w:t>⑯对上述工作，费用已包括在有关单价和总价中，发包人不再另行支付由此所发生的一切费用。</w:t>
      </w:r>
    </w:p>
    <w:p w14:paraId="47B0EDAC">
      <w:pPr>
        <w:pStyle w:val="6"/>
        <w:pageBreakBefore w:val="0"/>
        <w:widowControl w:val="0"/>
        <w:kinsoku/>
        <w:wordWrap/>
        <w:overflowPunct/>
        <w:topLinePunct w:val="0"/>
        <w:bidi w:val="0"/>
        <w:spacing w:before="0" w:after="0" w:line="360" w:lineRule="auto"/>
        <w:textAlignment w:val="auto"/>
        <w:rPr>
          <w:color w:val="auto"/>
          <w:highlight w:val="none"/>
        </w:rPr>
      </w:pPr>
      <w:bookmarkStart w:id="232" w:name="_Toc78449796"/>
      <w:bookmarkStart w:id="233" w:name="_Toc373478355"/>
      <w:bookmarkStart w:id="234" w:name="_Toc24562"/>
      <w:bookmarkStart w:id="235" w:name="_Toc407135210"/>
      <w:bookmarkStart w:id="236" w:name="_Toc389065274"/>
      <w:bookmarkStart w:id="237" w:name="_Toc373227708"/>
      <w:bookmarkStart w:id="238" w:name="_Toc501741485"/>
      <w:r>
        <w:rPr>
          <w:color w:val="auto"/>
          <w:highlight w:val="none"/>
        </w:rPr>
        <w:t xml:space="preserve">3.2 </w:t>
      </w:r>
      <w:r>
        <w:rPr>
          <w:rFonts w:hint="eastAsia" w:hAnsi="宋体" w:cs="黑体"/>
          <w:color w:val="auto"/>
          <w:highlight w:val="none"/>
        </w:rPr>
        <w:t>项目经理</w:t>
      </w:r>
      <w:bookmarkEnd w:id="232"/>
      <w:bookmarkEnd w:id="233"/>
      <w:bookmarkEnd w:id="234"/>
      <w:bookmarkEnd w:id="235"/>
      <w:bookmarkEnd w:id="236"/>
      <w:bookmarkEnd w:id="237"/>
      <w:bookmarkEnd w:id="238"/>
    </w:p>
    <w:p w14:paraId="58508FB2">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kern w:val="0"/>
          <w:highlight w:val="none"/>
        </w:rPr>
        <w:t xml:space="preserve">3.2.1 </w:t>
      </w:r>
      <w:r>
        <w:rPr>
          <w:rFonts w:hint="eastAsia" w:hAnsi="宋体" w:cs="宋体"/>
          <w:color w:val="auto"/>
          <w:highlight w:val="none"/>
        </w:rPr>
        <w:t>项目经理：</w:t>
      </w:r>
    </w:p>
    <w:p w14:paraId="6CBB5F83">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D673E53">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身份证号：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4BBE7CF">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建造师执业资格等级：</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522F523F">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建造师注册证书号：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7F2892E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Ansi="宋体"/>
          <w:color w:val="auto"/>
          <w:highlight w:val="none"/>
        </w:rPr>
      </w:pPr>
      <w:r>
        <w:rPr>
          <w:rFonts w:hAnsi="宋体"/>
          <w:color w:val="auto"/>
          <w:highlight w:val="none"/>
        </w:rPr>
        <w:t>安全生产考核合格证书号：</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22B09B1D">
      <w:pPr>
        <w:keepNext w:val="0"/>
        <w:keepLines w:val="0"/>
        <w:pageBreakBefore w:val="0"/>
        <w:widowControl w:val="0"/>
        <w:kinsoku/>
        <w:wordWrap/>
        <w:overflowPunct/>
        <w:topLinePunct w:val="0"/>
        <w:autoSpaceDE/>
        <w:autoSpaceDN/>
        <w:bidi w:val="0"/>
        <w:spacing w:line="360" w:lineRule="auto"/>
        <w:ind w:firstLine="420" w:firstLineChars="200"/>
        <w:textAlignment w:val="auto"/>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00B26C9">
      <w:pPr>
        <w:keepNext w:val="0"/>
        <w:keepLines w:val="0"/>
        <w:pageBreakBefore w:val="0"/>
        <w:widowControl w:val="0"/>
        <w:kinsoku/>
        <w:wordWrap/>
        <w:overflowPunct/>
        <w:topLinePunct w:val="0"/>
        <w:autoSpaceDE/>
        <w:autoSpaceDN/>
        <w:bidi w:val="0"/>
        <w:spacing w:line="360" w:lineRule="auto"/>
        <w:ind w:firstLine="420" w:firstLineChars="200"/>
        <w:textAlignment w:val="auto"/>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0E6A9C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hAnsi="宋体"/>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607682AD">
      <w:pPr>
        <w:keepNext w:val="0"/>
        <w:keepLines w:val="0"/>
        <w:pageBreakBefore w:val="0"/>
        <w:widowControl w:val="0"/>
        <w:kinsoku/>
        <w:wordWrap/>
        <w:overflowPunct/>
        <w:topLinePunct w:val="0"/>
        <w:autoSpaceDE/>
        <w:autoSpaceDN/>
        <w:bidi w:val="0"/>
        <w:spacing w:line="360" w:lineRule="auto"/>
        <w:ind w:firstLine="420" w:firstLineChars="200"/>
        <w:textAlignment w:val="auto"/>
        <w:rPr>
          <w:color w:val="auto"/>
          <w:highlight w:val="none"/>
        </w:rPr>
      </w:pPr>
      <w:r>
        <w:rPr>
          <w:rFonts w:hint="eastAsia" w:hAnsi="宋体" w:cs="宋体"/>
          <w:color w:val="auto"/>
          <w:highlight w:val="none"/>
        </w:rPr>
        <w:t>承包人对项目经理的授权范围如下：</w:t>
      </w:r>
      <w:r>
        <w:rPr>
          <w:color w:val="auto"/>
          <w:highlight w:val="none"/>
        </w:rPr>
        <w:t xml:space="preserve">  </w:t>
      </w:r>
      <w:r>
        <w:rPr>
          <w:color w:val="auto"/>
          <w:highlight w:val="none"/>
          <w:u w:val="single"/>
        </w:rPr>
        <w:t xml:space="preserve">  </w:t>
      </w:r>
      <w:r>
        <w:rPr>
          <w:rFonts w:hint="eastAsia"/>
          <w:color w:val="auto"/>
          <w:highlight w:val="none"/>
          <w:u w:val="single"/>
        </w:rPr>
        <w:t>项目经理仅限于工程现场施工管理，未经承包人盖章同意，不得以承包人名义向外采购材料设备、租用建筑周转材料、雇用劳动力、签订分包合同等从事一切为承包人设立义务或责任的行为</w:t>
      </w:r>
      <w:r>
        <w:rPr>
          <w:color w:val="auto"/>
          <w:highlight w:val="none"/>
          <w:u w:val="single"/>
        </w:rPr>
        <w:t xml:space="preserve">  </w:t>
      </w:r>
      <w:r>
        <w:rPr>
          <w:rFonts w:hint="eastAsia" w:hAnsi="宋体" w:cs="宋体"/>
          <w:color w:val="auto"/>
          <w:highlight w:val="none"/>
        </w:rPr>
        <w:t>。</w:t>
      </w:r>
    </w:p>
    <w:p w14:paraId="6C93F4BC">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关于项目经理每月在施工现场的时间要求：</w:t>
      </w:r>
      <w:r>
        <w:rPr>
          <w:color w:val="auto"/>
          <w:highlight w:val="none"/>
          <w:u w:val="single"/>
        </w:rPr>
        <w:t xml:space="preserve">  </w:t>
      </w:r>
      <w:r>
        <w:rPr>
          <w:rFonts w:hint="eastAsia"/>
          <w:color w:val="auto"/>
          <w:highlight w:val="none"/>
          <w:u w:val="single"/>
        </w:rPr>
        <w:t xml:space="preserve">项目经理须长驻施工现场（办公时间每周不少于5天，每天不少于8小时）   </w:t>
      </w:r>
      <w:r>
        <w:rPr>
          <w:rFonts w:hint="eastAsia" w:hAnsi="宋体" w:cs="宋体"/>
          <w:color w:val="auto"/>
          <w:highlight w:val="none"/>
        </w:rPr>
        <w:t>。</w:t>
      </w:r>
    </w:p>
    <w:p w14:paraId="4BED0322">
      <w:pPr>
        <w:keepNext w:val="0"/>
        <w:keepLines w:val="0"/>
        <w:pageBreakBefore w:val="0"/>
        <w:widowControl w:val="0"/>
        <w:kinsoku/>
        <w:wordWrap/>
        <w:overflowPunct/>
        <w:topLinePunct w:val="0"/>
        <w:autoSpaceDE/>
        <w:autoSpaceDN/>
        <w:bidi w:val="0"/>
        <w:spacing w:line="360" w:lineRule="auto"/>
        <w:ind w:firstLine="420" w:firstLineChars="200"/>
        <w:textAlignment w:val="auto"/>
        <w:rPr>
          <w:color w:val="auto"/>
          <w:kern w:val="0"/>
          <w:highlight w:val="none"/>
        </w:rPr>
      </w:pPr>
      <w:r>
        <w:rPr>
          <w:rFonts w:hint="eastAsia" w:hAnsi="宋体" w:cs="宋体"/>
          <w:color w:val="auto"/>
          <w:kern w:val="0"/>
          <w:highlight w:val="none"/>
        </w:rPr>
        <w:t>承包人未提交劳动合同，以及没有为项目经理缴纳社会保险证明的违约责任：</w:t>
      </w:r>
      <w:r>
        <w:rPr>
          <w:color w:val="auto"/>
          <w:highlight w:val="none"/>
          <w:u w:val="single"/>
        </w:rPr>
        <w:t xml:space="preserve">  </w:t>
      </w:r>
      <w:r>
        <w:rPr>
          <w:rFonts w:hint="eastAsia"/>
          <w:color w:val="auto"/>
          <w:highlight w:val="none"/>
          <w:u w:val="single"/>
          <w:lang w:val="en-US" w:eastAsia="zh-CN"/>
        </w:rPr>
        <w:t>发包人</w:t>
      </w:r>
      <w:r>
        <w:rPr>
          <w:rFonts w:hint="eastAsia"/>
          <w:color w:val="auto"/>
          <w:highlight w:val="none"/>
          <w:u w:val="single"/>
        </w:rPr>
        <w:t>有权处罚5万元以内罚款</w:t>
      </w:r>
      <w:r>
        <w:rPr>
          <w:rFonts w:hint="eastAsia" w:hAnsi="宋体"/>
          <w:color w:val="auto"/>
          <w:highlight w:val="none"/>
          <w:u w:val="single"/>
        </w:rPr>
        <w:t xml:space="preserve">   </w:t>
      </w:r>
      <w:r>
        <w:rPr>
          <w:rFonts w:hint="eastAsia" w:hAnsi="宋体" w:cs="宋体"/>
          <w:color w:val="auto"/>
          <w:highlight w:val="none"/>
        </w:rPr>
        <w:t>。</w:t>
      </w:r>
    </w:p>
    <w:p w14:paraId="441E113E">
      <w:pPr>
        <w:keepNext w:val="0"/>
        <w:keepLines w:val="0"/>
        <w:pageBreakBefore w:val="0"/>
        <w:widowControl w:val="0"/>
        <w:kinsoku/>
        <w:wordWrap/>
        <w:overflowPunct/>
        <w:topLinePunct w:val="0"/>
        <w:autoSpaceDE/>
        <w:autoSpaceDN/>
        <w:bidi w:val="0"/>
        <w:spacing w:line="360" w:lineRule="auto"/>
        <w:ind w:firstLine="420" w:firstLineChars="200"/>
        <w:textAlignment w:val="auto"/>
        <w:rPr>
          <w:color w:val="auto"/>
          <w:highlight w:val="none"/>
          <w:u w:val="single"/>
        </w:rPr>
      </w:pPr>
      <w:r>
        <w:rPr>
          <w:rFonts w:hint="eastAsia" w:hAnsi="宋体" w:cs="宋体"/>
          <w:color w:val="auto"/>
          <w:kern w:val="0"/>
          <w:highlight w:val="none"/>
        </w:rPr>
        <w:t>项目经理未经批准，擅自离开施工现场的违约责任：</w:t>
      </w:r>
      <w:r>
        <w:rPr>
          <w:rFonts w:hint="eastAsia" w:hAnsi="宋体" w:cs="宋体"/>
          <w:color w:val="auto"/>
          <w:highlight w:val="none"/>
          <w:u w:val="single"/>
        </w:rPr>
        <w:t>项目经理每月在岗带班时间不得少于当月施工时间的</w:t>
      </w:r>
      <w:r>
        <w:rPr>
          <w:rFonts w:hAnsi="宋体"/>
          <w:color w:val="auto"/>
          <w:highlight w:val="none"/>
          <w:u w:val="single"/>
        </w:rPr>
        <w:t>80%</w:t>
      </w:r>
      <w:r>
        <w:rPr>
          <w:rFonts w:hint="eastAsia" w:hAnsi="宋体" w:cs="宋体"/>
          <w:color w:val="auto"/>
          <w:highlight w:val="none"/>
          <w:u w:val="single"/>
        </w:rPr>
        <w:t>。未经发包人同意或正当理由，项目经理每月在岗带班时间少于当月施工时间</w:t>
      </w:r>
      <w:r>
        <w:rPr>
          <w:rFonts w:hAnsi="宋体"/>
          <w:color w:val="auto"/>
          <w:highlight w:val="none"/>
          <w:u w:val="single"/>
        </w:rPr>
        <w:t>80%</w:t>
      </w:r>
      <w:r>
        <w:rPr>
          <w:rFonts w:hint="eastAsia" w:hAnsi="宋体" w:cs="宋体"/>
          <w:color w:val="auto"/>
          <w:highlight w:val="none"/>
          <w:u w:val="single"/>
        </w:rPr>
        <w:t>的，少在岗带班一天，发包人有权处违约金</w:t>
      </w:r>
      <w:r>
        <w:rPr>
          <w:rFonts w:hint="eastAsia"/>
          <w:color w:val="auto"/>
          <w:highlight w:val="none"/>
          <w:u w:val="single"/>
          <w:lang w:val="en-US" w:eastAsia="zh-CN"/>
        </w:rPr>
        <w:t>1500.00</w:t>
      </w:r>
      <w:r>
        <w:rPr>
          <w:rFonts w:hint="eastAsia" w:hAnsi="宋体" w:cs="宋体"/>
          <w:color w:val="auto"/>
          <w:highlight w:val="none"/>
          <w:u w:val="single"/>
        </w:rPr>
        <w:t>元</w:t>
      </w:r>
      <w:r>
        <w:rPr>
          <w:color w:val="auto"/>
          <w:highlight w:val="none"/>
          <w:u w:val="single"/>
        </w:rPr>
        <w:t>/</w:t>
      </w:r>
      <w:r>
        <w:rPr>
          <w:rFonts w:hint="eastAsia" w:cs="宋体"/>
          <w:color w:val="auto"/>
          <w:highlight w:val="none"/>
          <w:u w:val="single"/>
        </w:rPr>
        <w:t>日（</w:t>
      </w:r>
      <w:r>
        <w:rPr>
          <w:rFonts w:hint="eastAsia" w:hAnsi="宋体" w:cs="宋体"/>
          <w:color w:val="auto"/>
          <w:highlight w:val="none"/>
          <w:u w:val="single"/>
        </w:rPr>
        <w:t>人民币</w:t>
      </w:r>
      <w:r>
        <w:rPr>
          <w:rFonts w:hint="eastAsia" w:cs="宋体"/>
          <w:color w:val="auto"/>
          <w:highlight w:val="none"/>
          <w:u w:val="single"/>
        </w:rPr>
        <w:t>）</w:t>
      </w:r>
      <w:r>
        <w:rPr>
          <w:color w:val="auto"/>
          <w:highlight w:val="none"/>
          <w:u w:val="single"/>
        </w:rPr>
        <w:t xml:space="preserve">  </w:t>
      </w:r>
      <w:r>
        <w:rPr>
          <w:rFonts w:hint="eastAsia" w:hAnsi="宋体" w:cs="宋体"/>
          <w:color w:val="auto"/>
          <w:highlight w:val="none"/>
        </w:rPr>
        <w:t>。</w:t>
      </w:r>
    </w:p>
    <w:p w14:paraId="383E6529">
      <w:pPr>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left"/>
        <w:textAlignment w:val="auto"/>
        <w:rPr>
          <w:rFonts w:ascii="Times New Roman" w:hAnsi="Times New Roman" w:eastAsia="宋体" w:cs="Times New Roman"/>
          <w:color w:val="auto"/>
          <w:highlight w:val="none"/>
        </w:rPr>
      </w:pPr>
      <w:r>
        <w:rPr>
          <w:color w:val="auto"/>
          <w:highlight w:val="none"/>
        </w:rPr>
        <w:t xml:space="preserve">3.2.3 </w:t>
      </w:r>
      <w:r>
        <w:rPr>
          <w:rFonts w:hint="eastAsia" w:hAnsi="宋体" w:cs="宋体"/>
          <w:color w:val="auto"/>
          <w:highlight w:val="none"/>
        </w:rPr>
        <w:t>承包人擅自更换项目经理的违约责任：</w:t>
      </w:r>
      <w:r>
        <w:rPr>
          <w:rFonts w:hint="eastAsia" w:hAnsi="宋体" w:cs="宋体"/>
          <w:color w:val="auto"/>
          <w:highlight w:val="none"/>
          <w:u w:val="single"/>
        </w:rPr>
        <w:t>承包人项目经理必须与承包人投标时所承诺的人员一致，并在</w:t>
      </w:r>
      <w:r>
        <w:rPr>
          <w:rFonts w:hint="eastAsia" w:hAnsi="宋体" w:cs="宋体"/>
          <w:color w:val="auto"/>
          <w:highlight w:val="none"/>
          <w:u w:val="single"/>
          <w:lang w:val="en-US" w:eastAsia="zh-CN"/>
        </w:rPr>
        <w:t xml:space="preserve"> </w:t>
      </w:r>
      <w:r>
        <w:rPr>
          <w:rFonts w:hint="eastAsia" w:hAnsi="宋体" w:cs="宋体"/>
          <w:color w:val="auto"/>
          <w:highlight w:val="none"/>
          <w:u w:val="single"/>
        </w:rPr>
        <w:t>（开工日期）</w:t>
      </w:r>
      <w:r>
        <w:rPr>
          <w:color w:val="auto"/>
          <w:highlight w:val="none"/>
          <w:u w:val="single"/>
        </w:rPr>
        <w:t xml:space="preserve">  </w:t>
      </w:r>
      <w:r>
        <w:rPr>
          <w:rFonts w:hint="eastAsia" w:hAnsi="宋体" w:cs="宋体"/>
          <w:color w:val="auto"/>
          <w:highlight w:val="none"/>
          <w:u w:val="single"/>
        </w:rPr>
        <w:t>前到</w:t>
      </w:r>
      <w:r>
        <w:rPr>
          <w:rFonts w:hint="default" w:ascii="Times New Roman" w:hAnsi="Times New Roman" w:eastAsia="宋体" w:cs="Times New Roman"/>
          <w:color w:val="auto"/>
          <w:highlight w:val="none"/>
          <w:u w:val="none"/>
        </w:rPr>
        <w:t>任。在监理人向承包人颁发</w:t>
      </w:r>
      <w:r>
        <w:rPr>
          <w:rFonts w:ascii="Times New Roman" w:hAnsi="Times New Roman" w:eastAsia="宋体" w:cs="Times New Roman"/>
          <w:color w:val="auto"/>
          <w:highlight w:val="none"/>
          <w:u w:val="none"/>
        </w:rPr>
        <w:t xml:space="preserve"> </w:t>
      </w:r>
      <w:r>
        <w:rPr>
          <w:rFonts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u w:val="single"/>
        </w:rPr>
        <w:t>（竣工证明材料名称）</w:t>
      </w:r>
      <w:r>
        <w:rPr>
          <w:rFonts w:ascii="Times New Roman" w:hAnsi="Times New Roman" w:eastAsia="宋体" w:cs="Times New Roman"/>
          <w:color w:val="auto"/>
          <w:highlight w:val="none"/>
          <w:u w:val="single"/>
        </w:rPr>
        <w:t xml:space="preserve">   </w:t>
      </w:r>
      <w:r>
        <w:rPr>
          <w:rFonts w:ascii="Times New Roman" w:hAnsi="Times New Roman" w:eastAsia="宋体" w:cs="Times New Roman"/>
          <w:color w:val="auto"/>
          <w:highlight w:val="none"/>
          <w:u w:val="none"/>
        </w:rPr>
        <w:t xml:space="preserve"> </w:t>
      </w:r>
      <w:r>
        <w:rPr>
          <w:rFonts w:hint="default" w:ascii="Times New Roman" w:hAnsi="Times New Roman" w:eastAsia="宋体" w:cs="Times New Roman"/>
          <w:color w:val="auto"/>
          <w:highlight w:val="none"/>
          <w:u w:val="none"/>
        </w:rPr>
        <w:t>前，项目经理不得同时兼任其他任何项目的项目经理</w:t>
      </w:r>
      <w:r>
        <w:rPr>
          <w:rFonts w:hint="default" w:ascii="Times New Roman" w:hAnsi="Times New Roman" w:eastAsia="宋体" w:cs="Times New Roman"/>
          <w:color w:val="auto"/>
          <w:kern w:val="2"/>
          <w:highlight w:val="none"/>
          <w:u w:val="none"/>
        </w:rPr>
        <w:t>（</w:t>
      </w:r>
      <w:r>
        <w:rPr>
          <w:rFonts w:hint="default" w:ascii="Times New Roman" w:hAnsi="Times New Roman" w:eastAsia="宋体" w:cs="Times New Roman"/>
          <w:color w:val="auto"/>
          <w:kern w:val="2"/>
          <w:highlight w:val="none"/>
          <w:u w:val="none"/>
          <w:lang w:eastAsia="zh-CN"/>
        </w:rPr>
        <w:t>符合</w:t>
      </w:r>
      <w:r>
        <w:rPr>
          <w:rFonts w:hint="default" w:ascii="Times New Roman" w:hAnsi="Times New Roman" w:eastAsia="宋体" w:cs="Times New Roman"/>
          <w:color w:val="auto"/>
          <w:highlight w:val="none"/>
        </w:rPr>
        <w:t>《广西壮族自治区建筑市场诚信卡管理暂行办法》第十六条第一款及桂建管</w:t>
      </w:r>
      <w:r>
        <w:rPr>
          <w:rFonts w:ascii="Times New Roman" w:hAnsi="Times New Roman" w:eastAsia="宋体" w:cs="Times New Roman"/>
          <w:color w:val="auto"/>
          <w:highlight w:val="none"/>
        </w:rPr>
        <w:t>﹝</w:t>
      </w:r>
      <w:r>
        <w:rPr>
          <w:rFonts w:hint="default" w:ascii="Times New Roman" w:hAnsi="Times New Roman" w:eastAsia="宋体" w:cs="Times New Roman"/>
          <w:color w:val="auto"/>
          <w:kern w:val="2"/>
          <w:highlight w:val="none"/>
        </w:rPr>
        <w:t>2016</w:t>
      </w:r>
      <w:r>
        <w:rPr>
          <w:rFonts w:ascii="Times New Roman" w:hAnsi="Times New Roman" w:eastAsia="宋体" w:cs="Times New Roman"/>
          <w:color w:val="auto"/>
          <w:highlight w:val="none"/>
        </w:rPr>
        <w:t>﹞</w:t>
      </w:r>
      <w:r>
        <w:rPr>
          <w:rFonts w:hint="default" w:ascii="Times New Roman" w:hAnsi="Times New Roman" w:eastAsia="宋体" w:cs="Times New Roman"/>
          <w:color w:val="auto"/>
          <w:highlight w:val="none"/>
        </w:rPr>
        <w:t>70号</w:t>
      </w:r>
      <w:r>
        <w:rPr>
          <w:rFonts w:hint="default" w:ascii="Times New Roman" w:hAnsi="Times New Roman" w:eastAsia="宋体" w:cs="Times New Roman"/>
          <w:color w:val="auto"/>
          <w:highlight w:val="none"/>
          <w:u w:val="none"/>
          <w:lang w:eastAsia="zh-CN"/>
        </w:rPr>
        <w:t>、</w:t>
      </w:r>
      <w:r>
        <w:rPr>
          <w:rFonts w:hint="default" w:ascii="Times New Roman" w:hAnsi="Times New Roman" w:eastAsia="宋体" w:cs="Times New Roman"/>
          <w:color w:val="auto"/>
          <w:sz w:val="21"/>
          <w:szCs w:val="21"/>
          <w:highlight w:val="none"/>
          <w:u w:val="none"/>
        </w:rPr>
        <w:t>桂建管〔2020〕11号</w:t>
      </w:r>
      <w:r>
        <w:rPr>
          <w:rFonts w:hint="default" w:ascii="Times New Roman" w:hAnsi="Times New Roman" w:eastAsia="宋体" w:cs="Times New Roman"/>
          <w:color w:val="auto"/>
          <w:kern w:val="2"/>
          <w:highlight w:val="none"/>
          <w:u w:val="none"/>
        </w:rPr>
        <w:t>文除外）</w:t>
      </w:r>
      <w:r>
        <w:rPr>
          <w:rFonts w:hint="default" w:ascii="Times New Roman" w:hAnsi="Times New Roman" w:eastAsia="宋体" w:cs="Times New Roman"/>
          <w:color w:val="auto"/>
          <w:highlight w:val="none"/>
          <w:u w:val="none"/>
        </w:rPr>
        <w:t>。未经发包人书面同意，承包人擅自更换项目经理的视为违约，违约金处</w:t>
      </w:r>
      <w:r>
        <w:rPr>
          <w:rFonts w:ascii="Times New Roman" w:hAnsi="Times New Roman" w:eastAsia="宋体" w:cs="Times New Roman"/>
          <w:color w:val="auto"/>
          <w:highlight w:val="none"/>
          <w:u w:val="single"/>
        </w:rPr>
        <w:t xml:space="preserve"> </w:t>
      </w:r>
      <w:r>
        <w:rPr>
          <w:rFonts w:hint="eastAsia" w:ascii="Times New Roman" w:hAnsi="Times New Roman" w:eastAsia="宋体" w:cs="Times New Roman"/>
          <w:color w:val="auto"/>
          <w:highlight w:val="none"/>
          <w:u w:val="single"/>
          <w:lang w:val="en-US" w:eastAsia="zh-CN"/>
        </w:rPr>
        <w:t>20000.00</w:t>
      </w:r>
      <w:r>
        <w:rPr>
          <w:rFonts w:ascii="Times New Roman" w:hAnsi="Times New Roman" w:eastAsia="宋体" w:cs="Times New Roman"/>
          <w:color w:val="auto"/>
          <w:highlight w:val="none"/>
          <w:u w:val="single"/>
        </w:rPr>
        <w:t xml:space="preserve"> </w:t>
      </w:r>
      <w:r>
        <w:rPr>
          <w:rFonts w:hint="default" w:ascii="Times New Roman" w:hAnsi="Times New Roman" w:eastAsia="宋体" w:cs="Times New Roman"/>
          <w:color w:val="auto"/>
          <w:highlight w:val="none"/>
          <w:u w:val="none"/>
        </w:rPr>
        <w:t>元</w:t>
      </w:r>
      <w:r>
        <w:rPr>
          <w:rFonts w:ascii="Times New Roman" w:hAnsi="Times New Roman" w:eastAsia="宋体" w:cs="Times New Roman"/>
          <w:color w:val="auto"/>
          <w:highlight w:val="none"/>
          <w:u w:val="none"/>
        </w:rPr>
        <w:t>/</w:t>
      </w:r>
      <w:r>
        <w:rPr>
          <w:rFonts w:hint="default" w:ascii="Times New Roman" w:hAnsi="Times New Roman" w:eastAsia="宋体" w:cs="Times New Roman"/>
          <w:color w:val="auto"/>
          <w:highlight w:val="none"/>
          <w:u w:val="none"/>
        </w:rPr>
        <w:t>人</w:t>
      </w:r>
      <w:r>
        <w:rPr>
          <w:rFonts w:ascii="Times New Roman" w:hAnsi="Times New Roman" w:eastAsia="宋体" w:cs="Times New Roman"/>
          <w:color w:val="auto"/>
          <w:highlight w:val="none"/>
          <w:u w:val="none"/>
        </w:rPr>
        <w:t>•</w:t>
      </w:r>
      <w:r>
        <w:rPr>
          <w:rFonts w:hint="default" w:ascii="Times New Roman" w:hAnsi="Times New Roman" w:eastAsia="宋体" w:cs="Times New Roman"/>
          <w:color w:val="auto"/>
          <w:highlight w:val="none"/>
          <w:u w:val="none"/>
        </w:rPr>
        <w:t>次（人民币）</w:t>
      </w:r>
      <w:r>
        <w:rPr>
          <w:rFonts w:hint="default" w:ascii="Times New Roman" w:hAnsi="Times New Roman" w:eastAsia="宋体" w:cs="Times New Roman"/>
          <w:color w:val="auto"/>
          <w:highlight w:val="none"/>
        </w:rPr>
        <w:t>。</w:t>
      </w:r>
    </w:p>
    <w:p w14:paraId="2D915982">
      <w:pPr>
        <w:keepNext w:val="0"/>
        <w:keepLines w:val="0"/>
        <w:pageBreakBefore w:val="0"/>
        <w:widowControl w:val="0"/>
        <w:kinsoku/>
        <w:wordWrap/>
        <w:overflowPunct/>
        <w:topLinePunct w:val="0"/>
        <w:autoSpaceDE/>
        <w:autoSpaceDN/>
        <w:bidi w:val="0"/>
        <w:spacing w:line="360" w:lineRule="auto"/>
        <w:ind w:firstLine="420" w:firstLineChars="200"/>
        <w:textAlignment w:val="auto"/>
        <w:rPr>
          <w:color w:val="auto"/>
          <w:highlight w:val="none"/>
        </w:rPr>
      </w:pPr>
      <w:r>
        <w:rPr>
          <w:color w:val="auto"/>
          <w:highlight w:val="none"/>
        </w:rPr>
        <w:t xml:space="preserve">3.2.4 </w:t>
      </w:r>
      <w:r>
        <w:rPr>
          <w:rFonts w:hint="eastAsia" w:hAnsi="宋体" w:cs="宋体"/>
          <w:color w:val="auto"/>
          <w:highlight w:val="none"/>
        </w:rPr>
        <w:t>承包人无正当理由拒绝更换项目经理的违约责任：</w:t>
      </w:r>
      <w:r>
        <w:rPr>
          <w:rFonts w:hint="eastAsia" w:hAnsi="宋体" w:cs="宋体"/>
          <w:color w:val="auto"/>
          <w:highlight w:val="none"/>
          <w:u w:val="single"/>
        </w:rPr>
        <w:t>因承包人项目经理不称职，发包人要求调换而未及时调换的，视为承包人违约，必须向发包人交纳处罚金</w:t>
      </w:r>
      <w:r>
        <w:rPr>
          <w:rFonts w:hint="eastAsia"/>
          <w:color w:val="auto"/>
          <w:highlight w:val="none"/>
          <w:u w:val="single"/>
          <w:lang w:val="en-US" w:eastAsia="zh-CN"/>
        </w:rPr>
        <w:t>50000.00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656BB38D">
      <w:pPr>
        <w:pStyle w:val="6"/>
        <w:pageBreakBefore w:val="0"/>
        <w:widowControl w:val="0"/>
        <w:kinsoku/>
        <w:wordWrap/>
        <w:overflowPunct/>
        <w:topLinePunct w:val="0"/>
        <w:bidi w:val="0"/>
        <w:spacing w:before="0" w:after="0" w:line="360" w:lineRule="auto"/>
        <w:textAlignment w:val="auto"/>
        <w:rPr>
          <w:color w:val="auto"/>
          <w:highlight w:val="none"/>
        </w:rPr>
      </w:pPr>
      <w:bookmarkStart w:id="239" w:name="_Toc78449797"/>
      <w:bookmarkStart w:id="240" w:name="_Toc1443830486"/>
      <w:bookmarkStart w:id="241" w:name="_Toc389065275"/>
      <w:bookmarkStart w:id="242" w:name="_Toc373227709"/>
      <w:bookmarkStart w:id="243" w:name="_Toc373478356"/>
      <w:bookmarkStart w:id="244" w:name="_Toc9099"/>
      <w:bookmarkStart w:id="245" w:name="_Toc407135211"/>
      <w:r>
        <w:rPr>
          <w:color w:val="auto"/>
          <w:highlight w:val="none"/>
        </w:rPr>
        <w:t xml:space="preserve">3.3 </w:t>
      </w:r>
      <w:r>
        <w:rPr>
          <w:rFonts w:hint="eastAsia" w:hAnsi="宋体" w:cs="黑体"/>
          <w:color w:val="auto"/>
          <w:highlight w:val="none"/>
        </w:rPr>
        <w:t>承包人人员</w:t>
      </w:r>
      <w:bookmarkEnd w:id="239"/>
      <w:bookmarkEnd w:id="240"/>
      <w:bookmarkEnd w:id="241"/>
      <w:bookmarkEnd w:id="242"/>
      <w:bookmarkEnd w:id="243"/>
      <w:bookmarkEnd w:id="244"/>
      <w:bookmarkEnd w:id="245"/>
    </w:p>
    <w:p w14:paraId="16AF9227">
      <w:pPr>
        <w:pageBreakBefore w:val="0"/>
        <w:widowControl w:val="0"/>
        <w:kinsoku/>
        <w:wordWrap/>
        <w:overflowPunct/>
        <w:topLinePunct w:val="0"/>
        <w:bidi w:val="0"/>
        <w:spacing w:line="360" w:lineRule="auto"/>
        <w:ind w:firstLine="420" w:firstLineChars="200"/>
        <w:textAlignment w:val="auto"/>
        <w:rPr>
          <w:rFonts w:hAnsi="宋体"/>
          <w:color w:val="auto"/>
          <w:highlight w:val="none"/>
        </w:rPr>
      </w:pPr>
      <w:r>
        <w:rPr>
          <w:color w:val="auto"/>
          <w:highlight w:val="none"/>
        </w:rPr>
        <w:t xml:space="preserve">3.3.1 </w:t>
      </w:r>
      <w:r>
        <w:rPr>
          <w:rFonts w:hint="eastAsia" w:hAnsi="宋体" w:cs="宋体"/>
          <w:color w:val="auto"/>
          <w:highlight w:val="none"/>
        </w:rPr>
        <w:t>承包人提交项目管理机构及施工现场管理人员安排报告（格式见合同附件</w:t>
      </w:r>
      <w:r>
        <w:rPr>
          <w:rFonts w:hint="eastAsia" w:hAnsi="宋体"/>
          <w:color w:val="auto"/>
          <w:highlight w:val="none"/>
        </w:rPr>
        <w:t>5</w:t>
      </w:r>
      <w:r>
        <w:rPr>
          <w:rFonts w:hint="eastAsia" w:hAnsi="宋体" w:cs="宋体"/>
          <w:color w:val="auto"/>
          <w:highlight w:val="none"/>
        </w:rPr>
        <w:t>）的期限：</w:t>
      </w:r>
    </w:p>
    <w:p w14:paraId="79CCD5D0">
      <w:pPr>
        <w:pageBreakBefore w:val="0"/>
        <w:widowControl w:val="0"/>
        <w:kinsoku/>
        <w:wordWrap/>
        <w:overflowPunct/>
        <w:topLinePunct w:val="0"/>
        <w:bidi w:val="0"/>
        <w:spacing w:line="360" w:lineRule="auto"/>
        <w:textAlignment w:val="auto"/>
        <w:rPr>
          <w:color w:val="auto"/>
          <w:highlight w:val="none"/>
        </w:rPr>
      </w:pPr>
      <w:r>
        <w:rPr>
          <w:color w:val="auto"/>
          <w:highlight w:val="none"/>
          <w:u w:val="single"/>
        </w:rPr>
        <w:t xml:space="preserve">  </w:t>
      </w:r>
      <w:r>
        <w:rPr>
          <w:rFonts w:hint="eastAsia"/>
          <w:color w:val="auto"/>
          <w:highlight w:val="none"/>
          <w:u w:val="single"/>
        </w:rPr>
        <w:t>签订施工合同后5日内提供所有现场管理人员名单及相关资质证书、上岗证书</w:t>
      </w:r>
      <w:r>
        <w:rPr>
          <w:color w:val="auto"/>
          <w:highlight w:val="none"/>
          <w:u w:val="single"/>
        </w:rPr>
        <w:t xml:space="preserve">  </w:t>
      </w:r>
      <w:r>
        <w:rPr>
          <w:rFonts w:hint="eastAsia" w:hAnsi="宋体" w:cs="宋体"/>
          <w:color w:val="auto"/>
          <w:highlight w:val="none"/>
        </w:rPr>
        <w:t>。</w:t>
      </w:r>
    </w:p>
    <w:p w14:paraId="2BD9DA5D">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3.3.3 </w:t>
      </w:r>
      <w:r>
        <w:rPr>
          <w:rFonts w:hint="eastAsia" w:hAnsi="宋体" w:cs="宋体"/>
          <w:color w:val="auto"/>
          <w:highlight w:val="none"/>
        </w:rPr>
        <w:t>承包人无正当理由拒绝撤换主要施工管理人员的违约责任：</w:t>
      </w:r>
      <w:r>
        <w:rPr>
          <w:rFonts w:hint="eastAsia" w:hAnsi="宋体" w:cs="宋体"/>
          <w:color w:val="auto"/>
          <w:highlight w:val="none"/>
          <w:u w:val="single"/>
        </w:rPr>
        <w:t>因承包人主要施工管理人员不称职，发包人要求调换而无正当理由拒绝撤换或未及时调换的，视为承包人违约，必须向发包人交纳处罚金，处罚标准：技术负责人</w:t>
      </w:r>
      <w:r>
        <w:rPr>
          <w:rFonts w:hint="eastAsia" w:hAnsi="宋体" w:cs="宋体"/>
          <w:color w:val="auto"/>
          <w:highlight w:val="none"/>
          <w:u w:val="single"/>
          <w:lang w:val="en-US" w:eastAsia="zh-CN"/>
        </w:rPr>
        <w:t>10000.00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；专业工程师</w:t>
      </w:r>
      <w:r>
        <w:rPr>
          <w:rFonts w:hint="eastAsia"/>
          <w:color w:val="auto"/>
          <w:highlight w:val="none"/>
          <w:u w:val="single"/>
          <w:lang w:val="en-US" w:eastAsia="zh-CN"/>
        </w:rPr>
        <w:t>5000.00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7341FA16">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color w:val="auto"/>
          <w:highlight w:val="none"/>
        </w:rPr>
        <w:t xml:space="preserve">3.3.4 </w:t>
      </w:r>
      <w:r>
        <w:rPr>
          <w:rFonts w:hint="eastAsia" w:hAnsi="宋体" w:cs="宋体"/>
          <w:color w:val="auto"/>
          <w:highlight w:val="none"/>
        </w:rPr>
        <w:t>承包人主要施工管理人员离开施工现场的批准要求：</w:t>
      </w:r>
      <w:r>
        <w:rPr>
          <w:color w:val="auto"/>
          <w:highlight w:val="none"/>
          <w:u w:val="single"/>
        </w:rPr>
        <w:t xml:space="preserve">  </w:t>
      </w:r>
      <w:r>
        <w:rPr>
          <w:rFonts w:hint="eastAsia"/>
          <w:color w:val="auto"/>
          <w:highlight w:val="none"/>
          <w:u w:val="single"/>
        </w:rPr>
        <w:t>须向发包人书面申请并经发包人书面批准同意</w:t>
      </w:r>
      <w:r>
        <w:rPr>
          <w:color w:val="auto"/>
          <w:highlight w:val="none"/>
          <w:u w:val="single"/>
        </w:rPr>
        <w:t xml:space="preserve">  </w:t>
      </w:r>
      <w:r>
        <w:rPr>
          <w:rFonts w:hint="eastAsia" w:hAnsi="宋体" w:cs="宋体"/>
          <w:color w:val="auto"/>
          <w:highlight w:val="none"/>
        </w:rPr>
        <w:t>。</w:t>
      </w:r>
    </w:p>
    <w:p w14:paraId="3562E1D6">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3.3.5 </w:t>
      </w:r>
      <w:r>
        <w:rPr>
          <w:rFonts w:hint="eastAsia" w:hAnsi="宋体" w:cs="宋体"/>
          <w:color w:val="auto"/>
          <w:highlight w:val="none"/>
        </w:rPr>
        <w:t>承包人擅自更换主要施工管理人员的违约责任：</w:t>
      </w:r>
      <w:r>
        <w:rPr>
          <w:rFonts w:hint="eastAsia" w:hAnsi="宋体" w:cs="宋体"/>
          <w:color w:val="auto"/>
          <w:highlight w:val="none"/>
          <w:u w:val="single"/>
        </w:rPr>
        <w:t>项目技术负责人、专职安全生产管理人员及其承诺的其它在场管理人员未经发包人书面同意不准擅自更换，擅自更换项目技术负责人处</w:t>
      </w:r>
      <w:r>
        <w:rPr>
          <w:rFonts w:hint="eastAsia"/>
          <w:color w:val="auto"/>
          <w:highlight w:val="none"/>
          <w:u w:val="single"/>
          <w:lang w:val="en-US" w:eastAsia="zh-CN"/>
        </w:rPr>
        <w:t>10000.00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违约金；擅自更换专职安全生产管理人员处</w:t>
      </w:r>
      <w:r>
        <w:rPr>
          <w:rFonts w:hint="eastAsia"/>
          <w:color w:val="auto"/>
          <w:highlight w:val="none"/>
          <w:u w:val="single"/>
          <w:lang w:val="en-US" w:eastAsia="zh-CN"/>
        </w:rPr>
        <w:t>5000.00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违约金；擅自更换其它在场管理人员处</w:t>
      </w:r>
      <w:r>
        <w:rPr>
          <w:rFonts w:hint="eastAsia"/>
          <w:color w:val="auto"/>
          <w:highlight w:val="none"/>
          <w:u w:val="single"/>
          <w:lang w:val="en-US" w:eastAsia="zh-CN"/>
        </w:rPr>
        <w:t>2000.00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违约金</w:t>
      </w:r>
      <w:r>
        <w:rPr>
          <w:rFonts w:hint="eastAsia" w:hAnsi="宋体" w:cs="宋体"/>
          <w:color w:val="auto"/>
          <w:highlight w:val="none"/>
        </w:rPr>
        <w:t>。</w:t>
      </w:r>
    </w:p>
    <w:p w14:paraId="1B790DDF">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承包人主要施工管理人员擅自离开施工现场的违约责任：</w:t>
      </w:r>
      <w:r>
        <w:rPr>
          <w:rFonts w:hint="eastAsia" w:hAnsi="宋体" w:cs="宋体"/>
          <w:color w:val="auto"/>
          <w:highlight w:val="none"/>
          <w:u w:val="single"/>
        </w:rPr>
        <w:t>未经发包人同意，项目技术负责人擅自离岗的，视为承包人违约，发包人有权处违约金</w:t>
      </w:r>
      <w:r>
        <w:rPr>
          <w:rFonts w:hint="eastAsia"/>
          <w:color w:val="auto"/>
          <w:highlight w:val="none"/>
          <w:u w:val="single"/>
          <w:lang w:val="en-US" w:eastAsia="zh-CN"/>
        </w:rPr>
        <w:t>5000.00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；未经发包人同意，专职安全生产管理人员擅自离岗的，视为承包人违约，发包人有权处违约金</w:t>
      </w:r>
      <w:r>
        <w:rPr>
          <w:rFonts w:hint="eastAsia"/>
          <w:color w:val="auto"/>
          <w:highlight w:val="none"/>
          <w:u w:val="single"/>
          <w:lang w:val="en-US" w:eastAsia="zh-CN"/>
        </w:rPr>
        <w:t>2000.00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u w:val="single"/>
        </w:rPr>
        <w:t>；其它在场管理人员擅自离岗的，视为承包人违约，发包人有权处违约金</w:t>
      </w:r>
      <w:r>
        <w:rPr>
          <w:rFonts w:hint="eastAsia"/>
          <w:color w:val="auto"/>
          <w:highlight w:val="none"/>
          <w:u w:val="single"/>
          <w:lang w:val="en-US" w:eastAsia="zh-CN"/>
        </w:rPr>
        <w:t>1000.00</w:t>
      </w:r>
      <w:r>
        <w:rPr>
          <w:rFonts w:hint="eastAsia" w:hAnsi="宋体" w:cs="宋体"/>
          <w:color w:val="auto"/>
          <w:highlight w:val="none"/>
          <w:u w:val="single"/>
        </w:rPr>
        <w:t>元</w:t>
      </w:r>
      <w:r>
        <w:rPr>
          <w:color w:val="auto"/>
          <w:highlight w:val="none"/>
          <w:u w:val="single"/>
        </w:rPr>
        <w:t>/</w:t>
      </w:r>
      <w:r>
        <w:rPr>
          <w:rFonts w:hint="eastAsia" w:hAnsi="宋体" w:cs="宋体"/>
          <w:color w:val="auto"/>
          <w:highlight w:val="none"/>
          <w:u w:val="single"/>
        </w:rPr>
        <w:t>人</w:t>
      </w:r>
      <w:r>
        <w:rPr>
          <w:color w:val="auto"/>
          <w:highlight w:val="none"/>
          <w:u w:val="single"/>
        </w:rPr>
        <w:t>•</w:t>
      </w:r>
      <w:r>
        <w:rPr>
          <w:rFonts w:hint="eastAsia" w:hAnsi="宋体" w:cs="宋体"/>
          <w:color w:val="auto"/>
          <w:highlight w:val="none"/>
          <w:u w:val="single"/>
        </w:rPr>
        <w:t>次</w:t>
      </w:r>
      <w:r>
        <w:rPr>
          <w:rFonts w:hint="eastAsia" w:cs="宋体"/>
          <w:color w:val="auto"/>
          <w:highlight w:val="none"/>
          <w:u w:val="single"/>
        </w:rPr>
        <w:t>（</w:t>
      </w:r>
      <w:r>
        <w:rPr>
          <w:rFonts w:hint="eastAsia" w:hAnsi="宋体" w:cs="宋体"/>
          <w:color w:val="auto"/>
          <w:highlight w:val="none"/>
          <w:u w:val="single"/>
        </w:rPr>
        <w:t>人民币</w:t>
      </w:r>
      <w:r>
        <w:rPr>
          <w:rFonts w:hint="eastAsia" w:cs="宋体"/>
          <w:color w:val="auto"/>
          <w:highlight w:val="none"/>
          <w:u w:val="single"/>
        </w:rPr>
        <w:t>）</w:t>
      </w:r>
      <w:r>
        <w:rPr>
          <w:rFonts w:hint="eastAsia" w:hAnsi="宋体" w:cs="宋体"/>
          <w:color w:val="auto"/>
          <w:highlight w:val="none"/>
        </w:rPr>
        <w:t>。</w:t>
      </w:r>
    </w:p>
    <w:p w14:paraId="66F8C3D6">
      <w:pPr>
        <w:pStyle w:val="6"/>
        <w:pageBreakBefore w:val="0"/>
        <w:widowControl w:val="0"/>
        <w:kinsoku/>
        <w:wordWrap/>
        <w:overflowPunct/>
        <w:topLinePunct w:val="0"/>
        <w:bidi w:val="0"/>
        <w:spacing w:before="0" w:after="0" w:line="360" w:lineRule="auto"/>
        <w:textAlignment w:val="auto"/>
        <w:rPr>
          <w:color w:val="auto"/>
          <w:highlight w:val="none"/>
        </w:rPr>
      </w:pPr>
      <w:bookmarkStart w:id="246" w:name="_Toc3742"/>
      <w:bookmarkStart w:id="247" w:name="_Toc78449798"/>
      <w:bookmarkStart w:id="248" w:name="_Toc2025600126"/>
      <w:bookmarkStart w:id="249" w:name="_Toc407135212"/>
      <w:bookmarkStart w:id="250" w:name="_Toc373227710"/>
      <w:bookmarkStart w:id="251" w:name="_Toc373478357"/>
      <w:bookmarkStart w:id="252" w:name="_Toc389065276"/>
      <w:r>
        <w:rPr>
          <w:color w:val="auto"/>
          <w:highlight w:val="none"/>
        </w:rPr>
        <w:t>3</w:t>
      </w:r>
      <w:bookmarkStart w:id="253" w:name="_Toc297120459"/>
      <w:bookmarkStart w:id="254" w:name="_Toc296503159"/>
      <w:bookmarkStart w:id="255" w:name="_Toc297123492"/>
      <w:bookmarkStart w:id="256" w:name="_Toc303539102"/>
      <w:bookmarkStart w:id="257" w:name="_Toc296890987"/>
      <w:bookmarkStart w:id="258" w:name="_Toc296346660"/>
      <w:bookmarkStart w:id="259" w:name="_Toc300934945"/>
      <w:bookmarkStart w:id="260" w:name="_Toc292559869"/>
      <w:bookmarkStart w:id="261" w:name="_Toc296891199"/>
      <w:bookmarkStart w:id="262" w:name="_Toc296944498"/>
      <w:bookmarkStart w:id="263" w:name="_Toc296347158"/>
      <w:bookmarkStart w:id="264" w:name="_Toc297216151"/>
      <w:bookmarkStart w:id="265" w:name="_Toc312677988"/>
      <w:bookmarkStart w:id="266" w:name="_Toc292559364"/>
      <w:bookmarkStart w:id="267" w:name="_Toc304295523"/>
      <w:bookmarkStart w:id="268" w:name="_Toc297048345"/>
      <w:r>
        <w:rPr>
          <w:color w:val="auto"/>
          <w:highlight w:val="none"/>
        </w:rPr>
        <w:t xml:space="preserve">.5 </w:t>
      </w:r>
      <w:r>
        <w:rPr>
          <w:rFonts w:hint="eastAsia" w:hAnsi="宋体" w:cs="黑体"/>
          <w:color w:val="auto"/>
          <w:highlight w:val="none"/>
        </w:rPr>
        <w:t>分包</w:t>
      </w:r>
      <w:bookmarkEnd w:id="246"/>
      <w:bookmarkEnd w:id="247"/>
      <w:bookmarkEnd w:id="248"/>
      <w:bookmarkEnd w:id="249"/>
      <w:bookmarkEnd w:id="250"/>
      <w:bookmarkEnd w:id="251"/>
      <w:bookmarkEnd w:id="252"/>
    </w:p>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14:paraId="2F1DD8A2">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3</w:t>
      </w:r>
      <w:bookmarkStart w:id="269" w:name="_Toc296503160"/>
      <w:bookmarkStart w:id="270" w:name="_Toc297120460"/>
      <w:bookmarkStart w:id="271" w:name="_Toc297048346"/>
      <w:bookmarkStart w:id="272" w:name="_Toc292559365"/>
      <w:bookmarkStart w:id="273" w:name="_Toc296347159"/>
      <w:bookmarkStart w:id="274" w:name="_Toc297216152"/>
      <w:bookmarkStart w:id="275" w:name="_Toc318581158"/>
      <w:bookmarkStart w:id="276" w:name="_Toc296891200"/>
      <w:bookmarkStart w:id="277" w:name="_Toc296944499"/>
      <w:bookmarkStart w:id="278" w:name="_Toc304295524"/>
      <w:bookmarkStart w:id="279" w:name="_Toc312677989"/>
      <w:bookmarkStart w:id="280" w:name="_Toc303539103"/>
      <w:bookmarkStart w:id="281" w:name="_Toc297123493"/>
      <w:bookmarkStart w:id="282" w:name="_Toc292559870"/>
      <w:bookmarkStart w:id="283" w:name="_Toc296890988"/>
      <w:bookmarkStart w:id="284" w:name="_Toc300934946"/>
      <w:bookmarkStart w:id="285" w:name="_Toc296346661"/>
      <w:r>
        <w:rPr>
          <w:color w:val="auto"/>
          <w:highlight w:val="none"/>
        </w:rPr>
        <w:t xml:space="preserve">.5.1 </w:t>
      </w:r>
      <w:r>
        <w:rPr>
          <w:rFonts w:hint="eastAsia" w:hAnsi="宋体" w:cs="宋体"/>
          <w:color w:val="auto"/>
          <w:highlight w:val="none"/>
        </w:rPr>
        <w:t>分包的一般约定</w:t>
      </w:r>
    </w:p>
    <w:p w14:paraId="66FD0148">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禁止分包的工程包括：</w:t>
      </w:r>
      <w:r>
        <w:rPr>
          <w:color w:val="auto"/>
          <w:highlight w:val="none"/>
          <w:u w:val="single"/>
        </w:rPr>
        <w:t xml:space="preserve">  </w:t>
      </w:r>
      <w:r>
        <w:rPr>
          <w:rFonts w:hint="eastAsia"/>
          <w:color w:val="auto"/>
          <w:highlight w:val="none"/>
          <w:u w:val="single"/>
          <w:lang w:val="en-US" w:eastAsia="zh-CN"/>
        </w:rPr>
        <w:t>本项目禁止分包</w:t>
      </w:r>
      <w:r>
        <w:rPr>
          <w:color w:val="auto"/>
          <w:highlight w:val="none"/>
          <w:u w:val="single"/>
        </w:rPr>
        <w:t xml:space="preserve">   </w:t>
      </w:r>
      <w:r>
        <w:rPr>
          <w:rFonts w:hint="eastAsia" w:hAnsi="宋体" w:cs="宋体"/>
          <w:color w:val="auto"/>
          <w:highlight w:val="none"/>
        </w:rPr>
        <w:t>。</w:t>
      </w:r>
    </w:p>
    <w:p w14:paraId="34AB2789">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主体结构、关键性工作的范围：</w:t>
      </w:r>
      <w:r>
        <w:rPr>
          <w:color w:val="auto"/>
          <w:highlight w:val="none"/>
          <w:u w:val="single"/>
        </w:rPr>
        <w:t xml:space="preserve">                  </w:t>
      </w:r>
      <w:r>
        <w:rPr>
          <w:rFonts w:hint="eastAsia" w:hAnsi="宋体" w:cs="宋体"/>
          <w:color w:val="auto"/>
          <w:highlight w:val="none"/>
        </w:rPr>
        <w:t>。</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14:paraId="0C3A8BFB">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3</w:t>
      </w:r>
      <w:bookmarkStart w:id="286" w:name="_Toc318581159"/>
      <w:bookmarkStart w:id="287" w:name="_Toc312677990"/>
      <w:r>
        <w:rPr>
          <w:color w:val="auto"/>
          <w:highlight w:val="none"/>
        </w:rPr>
        <w:t xml:space="preserve">.5.2 </w:t>
      </w:r>
      <w:r>
        <w:rPr>
          <w:rFonts w:hint="eastAsia" w:hAnsi="宋体" w:cs="宋体"/>
          <w:color w:val="auto"/>
          <w:highlight w:val="none"/>
        </w:rPr>
        <w:t>分包的确定</w:t>
      </w:r>
    </w:p>
    <w:p w14:paraId="2C78337D">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hAnsi="宋体" w:cs="宋体"/>
          <w:color w:val="auto"/>
          <w:highlight w:val="none"/>
        </w:rPr>
        <w:t>允许分包的专业工程包括：</w:t>
      </w:r>
      <w:r>
        <w:rPr>
          <w:color w:val="auto"/>
          <w:highlight w:val="none"/>
          <w:u w:val="single"/>
        </w:rPr>
        <w:t xml:space="preserve"> </w:t>
      </w:r>
      <w:r>
        <w:rPr>
          <w:rFonts w:hint="eastAsia"/>
          <w:color w:val="auto"/>
          <w:highlight w:val="none"/>
          <w:u w:val="single"/>
        </w:rPr>
        <w:t>不允许分包</w:t>
      </w:r>
      <w:r>
        <w:rPr>
          <w:color w:val="auto"/>
          <w:highlight w:val="none"/>
          <w:u w:val="single"/>
        </w:rPr>
        <w:t xml:space="preserve">  </w:t>
      </w:r>
      <w:r>
        <w:rPr>
          <w:rFonts w:hint="eastAsia" w:hAnsi="宋体" w:cs="宋体"/>
          <w:color w:val="auto"/>
          <w:highlight w:val="none"/>
        </w:rPr>
        <w:t>。</w:t>
      </w:r>
    </w:p>
    <w:p w14:paraId="17E5F7B0">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其他关于分包的约定：</w:t>
      </w:r>
    </w:p>
    <w:p w14:paraId="6D34A6C1">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cs="宋体"/>
          <w:color w:val="auto"/>
          <w:highlight w:val="none"/>
        </w:rPr>
        <w:t>（</w:t>
      </w:r>
      <w:r>
        <w:rPr>
          <w:color w:val="auto"/>
          <w:highlight w:val="none"/>
        </w:rPr>
        <w:t>1</w:t>
      </w:r>
      <w:r>
        <w:rPr>
          <w:rFonts w:hint="eastAsia" w:cs="宋体"/>
          <w:color w:val="auto"/>
          <w:highlight w:val="none"/>
        </w:rPr>
        <w:t>）</w:t>
      </w:r>
      <w:r>
        <w:rPr>
          <w:rFonts w:hint="eastAsia" w:hAnsi="宋体" w:cs="宋体"/>
          <w:color w:val="auto"/>
          <w:highlight w:val="none"/>
        </w:rPr>
        <w:t>除前款约定的分包内容外，经过发包人和监理人同意，承包人可以将其他非主体、非关键性工作分包给第三人，但分包人应当经过发包人和监理人审批。发包人和监理人有权拒绝承包人的分包请求和承包人选择的分包人。本项目分包人主要施工管理人员名单详见合同附件</w:t>
      </w:r>
      <w:r>
        <w:rPr>
          <w:rFonts w:hint="eastAsia" w:hAnsi="宋体"/>
          <w:color w:val="auto"/>
          <w:highlight w:val="none"/>
        </w:rPr>
        <w:t>6</w:t>
      </w:r>
      <w:r>
        <w:rPr>
          <w:rFonts w:hint="eastAsia" w:hAnsi="宋体" w:cs="宋体"/>
          <w:color w:val="auto"/>
          <w:highlight w:val="none"/>
        </w:rPr>
        <w:t>。</w:t>
      </w:r>
    </w:p>
    <w:p w14:paraId="659CCB1B">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cs="宋体"/>
          <w:color w:val="auto"/>
          <w:highlight w:val="none"/>
        </w:rPr>
        <w:t>（</w:t>
      </w:r>
      <w:r>
        <w:rPr>
          <w:color w:val="auto"/>
          <w:highlight w:val="none"/>
        </w:rPr>
        <w:t>2</w:t>
      </w:r>
      <w:r>
        <w:rPr>
          <w:rFonts w:hint="eastAsia" w:cs="宋体"/>
          <w:color w:val="auto"/>
          <w:highlight w:val="none"/>
        </w:rPr>
        <w:t>）</w:t>
      </w:r>
      <w:r>
        <w:rPr>
          <w:rFonts w:hint="eastAsia" w:hAnsi="宋体" w:cs="宋体"/>
          <w:color w:val="auto"/>
          <w:highlight w:val="none"/>
        </w:rPr>
        <w:t>在相关分包合同签订并报送有关建设行政主管部门备案后</w:t>
      </w:r>
      <w:r>
        <w:rPr>
          <w:color w:val="auto"/>
          <w:highlight w:val="none"/>
        </w:rPr>
        <w:t>7</w:t>
      </w:r>
      <w:r>
        <w:rPr>
          <w:rFonts w:hint="eastAsia" w:hAnsi="宋体" w:cs="宋体"/>
          <w:color w:val="auto"/>
          <w:highlight w:val="none"/>
        </w:rPr>
        <w:t>天内，承包人应当将一份副本提交给监理人，承包人应保障分包工作不得再次分包。</w:t>
      </w:r>
    </w:p>
    <w:p w14:paraId="5E06A24F">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未经承包人和监理人审批同意的分包工程和分包人，承包人有权拒绝验收分包工程和支付相应款项，由此引起的发包人费用增加和</w:t>
      </w:r>
      <w:r>
        <w:rPr>
          <w:rFonts w:hint="eastAsia"/>
          <w:color w:val="auto"/>
          <w:highlight w:val="none"/>
          <w:lang w:eastAsia="zh-CN"/>
        </w:rPr>
        <w:t>（</w:t>
      </w:r>
      <w:r>
        <w:rPr>
          <w:rFonts w:hint="eastAsia" w:hAnsi="宋体" w:cs="宋体"/>
          <w:color w:val="auto"/>
          <w:highlight w:val="none"/>
        </w:rPr>
        <w:t>或</w:t>
      </w:r>
      <w:r>
        <w:rPr>
          <w:rFonts w:hint="eastAsia"/>
          <w:color w:val="auto"/>
          <w:highlight w:val="none"/>
          <w:lang w:eastAsia="zh-CN"/>
        </w:rPr>
        <w:t>）</w:t>
      </w:r>
      <w:r>
        <w:rPr>
          <w:rFonts w:hint="eastAsia" w:hAnsi="宋体" w:cs="宋体"/>
          <w:color w:val="auto"/>
          <w:highlight w:val="none"/>
        </w:rPr>
        <w:t>延误的工期由发包人承担。</w:t>
      </w:r>
    </w:p>
    <w:p w14:paraId="58F37867">
      <w:pPr>
        <w:pStyle w:val="26"/>
        <w:pageBreakBefore w:val="0"/>
        <w:widowControl w:val="0"/>
        <w:kinsoku/>
        <w:wordWrap/>
        <w:overflowPunct/>
        <w:topLinePunct w:val="0"/>
        <w:bidi w:val="0"/>
        <w:spacing w:line="360" w:lineRule="auto"/>
        <w:ind w:firstLine="420" w:firstLineChars="200"/>
        <w:textAlignment w:val="auto"/>
        <w:rPr>
          <w:rFonts w:ascii="Times New Roman" w:hAnsi="Times New Roman"/>
          <w:color w:val="auto"/>
          <w:sz w:val="21"/>
          <w:szCs w:val="21"/>
          <w:highlight w:val="none"/>
        </w:rPr>
      </w:pPr>
      <w:r>
        <w:rPr>
          <w:rFonts w:hint="eastAsia" w:ascii="Times New Roman" w:hAnsi="Times New Roman"/>
          <w:color w:val="auto"/>
          <w:sz w:val="21"/>
          <w:szCs w:val="21"/>
          <w:highlight w:val="none"/>
        </w:rPr>
        <w:t>（</w:t>
      </w:r>
      <w:r>
        <w:rPr>
          <w:rFonts w:ascii="Times New Roman" w:hAnsi="Times New Roman"/>
          <w:color w:val="auto"/>
          <w:sz w:val="21"/>
          <w:szCs w:val="21"/>
          <w:highlight w:val="none"/>
        </w:rPr>
        <w:t>4</w:t>
      </w:r>
      <w:r>
        <w:rPr>
          <w:rFonts w:hint="eastAsia" w:ascii="Times New Roman" w:hAnsi="Times New Roman"/>
          <w:color w:val="auto"/>
          <w:sz w:val="21"/>
          <w:szCs w:val="21"/>
          <w:highlight w:val="none"/>
        </w:rPr>
        <w:t>）</w:t>
      </w:r>
      <w:r>
        <w:rPr>
          <w:rFonts w:hint="eastAsia" w:ascii="Times New Roman" w:hAnsi="宋体"/>
          <w:color w:val="auto"/>
          <w:sz w:val="21"/>
          <w:szCs w:val="21"/>
          <w:highlight w:val="none"/>
        </w:rPr>
        <w:t>承包人有以下情况之一者，发包人有权解除合同，并视情况扣除其履约保证金：</w:t>
      </w:r>
    </w:p>
    <w:p w14:paraId="7B78BFC1">
      <w:pPr>
        <w:pStyle w:val="26"/>
        <w:pageBreakBefore w:val="0"/>
        <w:widowControl w:val="0"/>
        <w:kinsoku/>
        <w:wordWrap/>
        <w:overflowPunct/>
        <w:topLinePunct w:val="0"/>
        <w:bidi w:val="0"/>
        <w:spacing w:line="360" w:lineRule="auto"/>
        <w:ind w:firstLine="441" w:firstLineChars="210"/>
        <w:textAlignment w:val="auto"/>
        <w:rPr>
          <w:rFonts w:ascii="Times New Roman" w:hAnsi="Times New Roman"/>
          <w:color w:val="auto"/>
          <w:sz w:val="21"/>
          <w:szCs w:val="21"/>
          <w:highlight w:val="none"/>
        </w:rPr>
      </w:pPr>
      <w:r>
        <w:rPr>
          <w:rFonts w:hint="eastAsia" w:ascii="Times New Roman" w:hAnsi="宋体"/>
          <w:color w:val="auto"/>
          <w:sz w:val="21"/>
          <w:szCs w:val="21"/>
          <w:highlight w:val="none"/>
        </w:rPr>
        <w:t>①个人承包工程，包括本人单位及外单位人员承包，发包人不承认其个人拥有任何资质等级及营业许可资格。没收全部履约保证金。</w:t>
      </w:r>
    </w:p>
    <w:p w14:paraId="5B024EE3">
      <w:pPr>
        <w:pStyle w:val="26"/>
        <w:pageBreakBefore w:val="0"/>
        <w:widowControl w:val="0"/>
        <w:kinsoku/>
        <w:wordWrap/>
        <w:overflowPunct/>
        <w:topLinePunct w:val="0"/>
        <w:bidi w:val="0"/>
        <w:spacing w:line="360" w:lineRule="auto"/>
        <w:ind w:firstLine="441" w:firstLineChars="210"/>
        <w:textAlignment w:val="auto"/>
        <w:rPr>
          <w:rFonts w:ascii="Times New Roman" w:hAnsi="Times New Roman"/>
          <w:color w:val="auto"/>
          <w:sz w:val="21"/>
          <w:szCs w:val="21"/>
          <w:highlight w:val="none"/>
        </w:rPr>
      </w:pPr>
      <w:r>
        <w:rPr>
          <w:rFonts w:hint="eastAsia" w:ascii="Times New Roman" w:hAnsi="宋体"/>
          <w:color w:val="auto"/>
          <w:sz w:val="21"/>
          <w:szCs w:val="21"/>
          <w:highlight w:val="none"/>
        </w:rPr>
        <w:t>②几个人联合承包工程，就地组织暗分包队伍，不具备完成本工程的技术、机械能力，被发包人判定为没有能力履行的承包人。没收全部履约保证金。</w:t>
      </w:r>
    </w:p>
    <w:p w14:paraId="0496BDB9">
      <w:pPr>
        <w:pStyle w:val="26"/>
        <w:pageBreakBefore w:val="0"/>
        <w:widowControl w:val="0"/>
        <w:kinsoku/>
        <w:wordWrap/>
        <w:overflowPunct/>
        <w:topLinePunct w:val="0"/>
        <w:bidi w:val="0"/>
        <w:spacing w:line="360" w:lineRule="auto"/>
        <w:ind w:firstLine="441" w:firstLineChars="210"/>
        <w:textAlignment w:val="auto"/>
        <w:rPr>
          <w:rFonts w:ascii="Times New Roman" w:hAnsi="Times New Roman"/>
          <w:color w:val="auto"/>
          <w:sz w:val="21"/>
          <w:szCs w:val="21"/>
          <w:highlight w:val="none"/>
        </w:rPr>
      </w:pPr>
      <w:r>
        <w:rPr>
          <w:rFonts w:hint="eastAsia" w:ascii="Times New Roman" w:hAnsi="宋体"/>
          <w:color w:val="auto"/>
          <w:sz w:val="21"/>
          <w:szCs w:val="21"/>
          <w:highlight w:val="none"/>
        </w:rPr>
        <w:t>③就地转包全部的工程，以谋取高额转让费、管理费的承包人。没收全部履约保证金。</w:t>
      </w:r>
    </w:p>
    <w:p w14:paraId="79D3280C">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hAnsi="宋体" w:cs="宋体"/>
          <w:color w:val="auto"/>
          <w:highlight w:val="none"/>
        </w:rPr>
        <w:t>④承包人有部分分包现象（其中包括冒充承包人下属单位的挂勾单位，凭口头协议参与施工的分包人及其他暗分包个体户），一经发现核实，发包人将采取驱逐该暗分包人措施。没收全部履约保证金。</w:t>
      </w:r>
    </w:p>
    <w:p w14:paraId="39BCEE02">
      <w:pPr>
        <w:pageBreakBefore w:val="0"/>
        <w:widowControl w:val="0"/>
        <w:kinsoku/>
        <w:wordWrap/>
        <w:overflowPunct/>
        <w:topLinePunct w:val="0"/>
        <w:bidi w:val="0"/>
        <w:spacing w:line="360" w:lineRule="auto"/>
        <w:ind w:firstLine="420" w:firstLineChars="200"/>
        <w:textAlignment w:val="auto"/>
        <w:rPr>
          <w:color w:val="auto"/>
          <w:highlight w:val="none"/>
        </w:rPr>
      </w:pPr>
      <w:r>
        <w:rPr>
          <w:color w:val="auto"/>
          <w:highlight w:val="none"/>
        </w:rPr>
        <w:t xml:space="preserve">3.5.4 </w:t>
      </w:r>
      <w:r>
        <w:rPr>
          <w:rFonts w:hint="eastAsia" w:hAnsi="宋体" w:cs="宋体"/>
          <w:color w:val="auto"/>
          <w:highlight w:val="none"/>
        </w:rPr>
        <w:t>分包合同价款</w:t>
      </w:r>
    </w:p>
    <w:bookmarkEnd w:id="286"/>
    <w:bookmarkEnd w:id="287"/>
    <w:p w14:paraId="48576017">
      <w:pPr>
        <w:pageBreakBefore w:val="0"/>
        <w:widowControl w:val="0"/>
        <w:kinsoku/>
        <w:wordWrap/>
        <w:overflowPunct/>
        <w:topLinePunct w:val="0"/>
        <w:bidi w:val="0"/>
        <w:spacing w:line="360" w:lineRule="auto"/>
        <w:ind w:firstLine="420" w:firstLineChars="200"/>
        <w:textAlignment w:val="auto"/>
        <w:rPr>
          <w:color w:val="auto"/>
          <w:highlight w:val="none"/>
        </w:rPr>
      </w:pPr>
      <w:bookmarkStart w:id="288" w:name="_Toc373478358"/>
      <w:bookmarkStart w:id="289" w:name="_Toc389065277"/>
      <w:bookmarkStart w:id="290" w:name="_Toc373227711"/>
      <w:r>
        <w:rPr>
          <w:rFonts w:hint="eastAsia" w:hAnsi="宋体" w:cs="宋体"/>
          <w:color w:val="auto"/>
          <w:highlight w:val="none"/>
        </w:rPr>
        <w:t>关于分包合同价款支付的约定：</w:t>
      </w:r>
      <w:r>
        <w:rPr>
          <w:rFonts w:hint="eastAsia" w:hAnsi="宋体" w:cs="宋体"/>
          <w:color w:val="auto"/>
          <w:highlight w:val="none"/>
          <w:u w:val="single"/>
        </w:rPr>
        <w:t>分包工程价款由承包人与分包人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结算。发包人未经承包人同意不得以任何形式向分包人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支付相关分包合同项下的任何工程款项。因发包人未经承包人同意直接向分包人</w:t>
      </w:r>
      <w:r>
        <w:rPr>
          <w:rFonts w:hint="eastAsia" w:cs="宋体"/>
          <w:color w:val="auto"/>
          <w:highlight w:val="none"/>
          <w:u w:val="single"/>
        </w:rPr>
        <w:t>（</w:t>
      </w:r>
      <w:r>
        <w:rPr>
          <w:rFonts w:hint="eastAsia" w:hAnsi="宋体" w:cs="宋体"/>
          <w:color w:val="auto"/>
          <w:highlight w:val="none"/>
          <w:u w:val="single"/>
        </w:rPr>
        <w:t>包括专业分包人</w:t>
      </w:r>
      <w:r>
        <w:rPr>
          <w:rFonts w:hint="eastAsia" w:cs="宋体"/>
          <w:color w:val="auto"/>
          <w:highlight w:val="none"/>
          <w:u w:val="single"/>
        </w:rPr>
        <w:t>）</w:t>
      </w:r>
      <w:r>
        <w:rPr>
          <w:rFonts w:hint="eastAsia" w:hAnsi="宋体" w:cs="宋体"/>
          <w:color w:val="auto"/>
          <w:highlight w:val="none"/>
          <w:u w:val="single"/>
        </w:rPr>
        <w:t>支付相关分包合同项下的任何工程款项而影响承包人工作的，所造成的承包人费用增加和</w:t>
      </w:r>
      <w:r>
        <w:rPr>
          <w:rFonts w:hint="eastAsia" w:cs="宋体"/>
          <w:color w:val="auto"/>
          <w:highlight w:val="none"/>
          <w:u w:val="single"/>
        </w:rPr>
        <w:t>（</w:t>
      </w:r>
      <w:r>
        <w:rPr>
          <w:rFonts w:hint="eastAsia" w:hAnsi="宋体" w:cs="宋体"/>
          <w:color w:val="auto"/>
          <w:highlight w:val="none"/>
          <w:u w:val="single"/>
        </w:rPr>
        <w:t>或</w:t>
      </w:r>
      <w:r>
        <w:rPr>
          <w:rFonts w:hint="eastAsia" w:cs="宋体"/>
          <w:color w:val="auto"/>
          <w:highlight w:val="none"/>
          <w:u w:val="single"/>
        </w:rPr>
        <w:t>）</w:t>
      </w:r>
      <w:r>
        <w:rPr>
          <w:rFonts w:hint="eastAsia" w:hAnsi="宋体" w:cs="宋体"/>
          <w:color w:val="auto"/>
          <w:highlight w:val="none"/>
          <w:u w:val="single"/>
        </w:rPr>
        <w:t>延误的工期由发包人承担。</w:t>
      </w:r>
    </w:p>
    <w:p w14:paraId="4432DF06">
      <w:pPr>
        <w:pStyle w:val="6"/>
        <w:pageBreakBefore w:val="0"/>
        <w:widowControl w:val="0"/>
        <w:kinsoku/>
        <w:wordWrap/>
        <w:overflowPunct/>
        <w:topLinePunct w:val="0"/>
        <w:bidi w:val="0"/>
        <w:spacing w:before="0" w:after="0" w:line="360" w:lineRule="auto"/>
        <w:textAlignment w:val="auto"/>
        <w:rPr>
          <w:color w:val="auto"/>
          <w:highlight w:val="none"/>
        </w:rPr>
      </w:pPr>
      <w:bookmarkStart w:id="291" w:name="_Toc1146"/>
      <w:bookmarkStart w:id="292" w:name="_Toc57329529"/>
      <w:bookmarkStart w:id="293" w:name="_Toc78449799"/>
      <w:bookmarkStart w:id="294" w:name="_Toc407135213"/>
      <w:r>
        <w:rPr>
          <w:color w:val="auto"/>
          <w:highlight w:val="none"/>
        </w:rPr>
        <w:t xml:space="preserve">3.6 </w:t>
      </w:r>
      <w:r>
        <w:rPr>
          <w:rFonts w:hint="eastAsia" w:cs="黑体"/>
          <w:color w:val="auto"/>
          <w:highlight w:val="none"/>
        </w:rPr>
        <w:t>工程照管与成品、半成品保护</w:t>
      </w:r>
      <w:bookmarkEnd w:id="288"/>
      <w:bookmarkEnd w:id="289"/>
      <w:bookmarkEnd w:id="290"/>
      <w:bookmarkEnd w:id="291"/>
      <w:bookmarkEnd w:id="292"/>
      <w:bookmarkEnd w:id="293"/>
      <w:bookmarkEnd w:id="294"/>
    </w:p>
    <w:p w14:paraId="267A3931">
      <w:pPr>
        <w:pageBreakBefore w:val="0"/>
        <w:widowControl w:val="0"/>
        <w:kinsoku/>
        <w:wordWrap/>
        <w:overflowPunct/>
        <w:topLinePunct w:val="0"/>
        <w:bidi w:val="0"/>
        <w:spacing w:line="360" w:lineRule="auto"/>
        <w:ind w:firstLine="420" w:firstLineChars="200"/>
        <w:textAlignment w:val="auto"/>
        <w:rPr>
          <w:color w:val="auto"/>
          <w:kern w:val="0"/>
          <w:highlight w:val="none"/>
          <w:u w:val="single"/>
        </w:rPr>
      </w:pPr>
      <w:r>
        <w:rPr>
          <w:rFonts w:hint="eastAsia" w:hAnsi="宋体" w:cs="宋体"/>
          <w:color w:val="auto"/>
          <w:kern w:val="0"/>
          <w:highlight w:val="none"/>
        </w:rPr>
        <w:t>承包人负责照管工程及工程相关的材料、工程设备的起始时间：</w:t>
      </w:r>
      <w:r>
        <w:rPr>
          <w:color w:val="auto"/>
          <w:kern w:val="0"/>
          <w:highlight w:val="none"/>
          <w:u w:val="single"/>
        </w:rPr>
        <w:t xml:space="preserve">  </w:t>
      </w:r>
      <w:r>
        <w:rPr>
          <w:rFonts w:hint="eastAsia"/>
          <w:color w:val="auto"/>
          <w:kern w:val="0"/>
          <w:highlight w:val="none"/>
          <w:u w:val="single"/>
        </w:rPr>
        <w:t>工程开工之日起至质量缺陷责任期终止证书之日止。承包人负责照管工程（包括已完成的工程）及工程相关的材料、工程设备（包括由发包人提供的工程相关的材料、工程设备）。在承包人负责照管期间，因承包人原因造成工程、材料、工程设备损坏的，由承包人负责修复或更换，并承担由此增加的费用和（或）延误的工期</w:t>
      </w:r>
      <w:r>
        <w:rPr>
          <w:color w:val="auto"/>
          <w:kern w:val="0"/>
          <w:highlight w:val="none"/>
          <w:u w:val="single"/>
        </w:rPr>
        <w:t xml:space="preserve">  </w:t>
      </w:r>
      <w:r>
        <w:rPr>
          <w:rFonts w:hint="eastAsia" w:hAnsi="宋体" w:cs="宋体"/>
          <w:color w:val="auto"/>
          <w:kern w:val="0"/>
          <w:highlight w:val="none"/>
        </w:rPr>
        <w:t>。</w:t>
      </w:r>
    </w:p>
    <w:p w14:paraId="59276CD5">
      <w:pPr>
        <w:pStyle w:val="6"/>
        <w:pageBreakBefore w:val="0"/>
        <w:widowControl w:val="0"/>
        <w:kinsoku/>
        <w:wordWrap/>
        <w:overflowPunct/>
        <w:topLinePunct w:val="0"/>
        <w:bidi w:val="0"/>
        <w:spacing w:before="0" w:after="0" w:line="360" w:lineRule="auto"/>
        <w:textAlignment w:val="auto"/>
        <w:rPr>
          <w:color w:val="auto"/>
          <w:highlight w:val="none"/>
        </w:rPr>
      </w:pPr>
      <w:bookmarkStart w:id="295" w:name="_Toc389065278"/>
      <w:bookmarkStart w:id="296" w:name="_Toc373478359"/>
      <w:bookmarkStart w:id="297" w:name="_Toc373227712"/>
      <w:bookmarkStart w:id="298" w:name="_Toc78449800"/>
      <w:bookmarkStart w:id="299" w:name="_Toc407135214"/>
      <w:bookmarkStart w:id="300" w:name="_Toc13208"/>
      <w:bookmarkStart w:id="301" w:name="_Toc1042049436"/>
      <w:r>
        <w:rPr>
          <w:color w:val="auto"/>
          <w:highlight w:val="none"/>
        </w:rPr>
        <w:t xml:space="preserve">3.7 </w:t>
      </w:r>
      <w:r>
        <w:rPr>
          <w:rFonts w:hint="eastAsia" w:hAnsi="宋体" w:cs="黑体"/>
          <w:color w:val="auto"/>
          <w:highlight w:val="none"/>
        </w:rPr>
        <w:t>履约</w:t>
      </w:r>
      <w:bookmarkEnd w:id="295"/>
      <w:bookmarkEnd w:id="296"/>
      <w:bookmarkEnd w:id="297"/>
      <w:r>
        <w:rPr>
          <w:rFonts w:hint="eastAsia" w:hAnsi="宋体" w:cs="黑体"/>
          <w:color w:val="auto"/>
          <w:highlight w:val="none"/>
        </w:rPr>
        <w:t>保证金</w:t>
      </w:r>
      <w:bookmarkEnd w:id="298"/>
      <w:bookmarkEnd w:id="299"/>
      <w:bookmarkEnd w:id="300"/>
      <w:bookmarkEnd w:id="301"/>
    </w:p>
    <w:p w14:paraId="7D013337">
      <w:pPr>
        <w:pageBreakBefore w:val="0"/>
        <w:widowControl w:val="0"/>
        <w:kinsoku/>
        <w:wordWrap/>
        <w:overflowPunct/>
        <w:topLinePunct w:val="0"/>
        <w:bidi w:val="0"/>
        <w:spacing w:line="360" w:lineRule="auto"/>
        <w:ind w:firstLine="420" w:firstLineChars="200"/>
        <w:textAlignment w:val="auto"/>
        <w:rPr>
          <w:rFonts w:hint="eastAsia" w:eastAsia="宋体"/>
          <w:color w:val="auto"/>
          <w:highlight w:val="none"/>
          <w:u w:val="single"/>
          <w:lang w:eastAsia="zh-CN"/>
        </w:rPr>
      </w:pPr>
      <w:bookmarkStart w:id="302" w:name="_Toc373227713"/>
      <w:bookmarkStart w:id="303" w:name="_Toc351203636"/>
      <w:bookmarkStart w:id="304" w:name="_Toc373478360"/>
      <w:bookmarkStart w:id="305" w:name="_Toc389065279"/>
      <w:r>
        <w:rPr>
          <w:rFonts w:hint="eastAsia" w:hAnsi="宋体" w:cs="宋体"/>
          <w:color w:val="auto"/>
          <w:highlight w:val="none"/>
          <w:lang w:val="en-US" w:eastAsia="zh-CN"/>
        </w:rPr>
        <w:t>无</w:t>
      </w:r>
    </w:p>
    <w:p w14:paraId="2F8B3497">
      <w:pPr>
        <w:pStyle w:val="5"/>
        <w:pageBreakBefore w:val="0"/>
        <w:widowControl w:val="0"/>
        <w:kinsoku/>
        <w:wordWrap/>
        <w:overflowPunct/>
        <w:topLinePunct w:val="0"/>
        <w:bidi w:val="0"/>
        <w:spacing w:before="0" w:after="0" w:line="360" w:lineRule="auto"/>
        <w:textAlignment w:val="auto"/>
        <w:rPr>
          <w:color w:val="auto"/>
          <w:highlight w:val="none"/>
        </w:rPr>
      </w:pPr>
      <w:bookmarkStart w:id="306" w:name="_Toc407135215"/>
      <w:bookmarkStart w:id="307" w:name="_Toc4698"/>
      <w:bookmarkStart w:id="308" w:name="_Toc78449801"/>
      <w:bookmarkStart w:id="309" w:name="_Toc907912356"/>
      <w:r>
        <w:rPr>
          <w:color w:val="auto"/>
          <w:highlight w:val="none"/>
        </w:rPr>
        <w:t>4</w:t>
      </w:r>
      <w:bookmarkStart w:id="310" w:name="_Toc267251413"/>
      <w:bookmarkStart w:id="311" w:name="_Toc296347161"/>
      <w:bookmarkStart w:id="312" w:name="_Toc296503162"/>
      <w:bookmarkStart w:id="313" w:name="_Toc296346663"/>
      <w:bookmarkStart w:id="314" w:name="_Toc292559871"/>
      <w:bookmarkStart w:id="315" w:name="_Toc297048348"/>
      <w:bookmarkStart w:id="316" w:name="_Toc297120462"/>
      <w:bookmarkStart w:id="317" w:name="_Toc296890990"/>
      <w:bookmarkStart w:id="318" w:name="_Toc292559366"/>
      <w:bookmarkStart w:id="319" w:name="_Toc296891202"/>
      <w:bookmarkStart w:id="320" w:name="_Toc296944501"/>
      <w:r>
        <w:rPr>
          <w:color w:val="auto"/>
          <w:highlight w:val="none"/>
        </w:rPr>
        <w:t xml:space="preserve">. </w:t>
      </w:r>
      <w:r>
        <w:rPr>
          <w:rFonts w:hint="eastAsia" w:hAnsi="宋体" w:cs="黑体"/>
          <w:color w:val="auto"/>
          <w:highlight w:val="none"/>
        </w:rPr>
        <w:t>监</w:t>
      </w:r>
      <w:bookmarkEnd w:id="310"/>
      <w:bookmarkEnd w:id="311"/>
      <w:bookmarkEnd w:id="312"/>
      <w:bookmarkEnd w:id="313"/>
      <w:bookmarkEnd w:id="314"/>
      <w:bookmarkEnd w:id="315"/>
      <w:bookmarkEnd w:id="316"/>
      <w:bookmarkEnd w:id="317"/>
      <w:bookmarkEnd w:id="318"/>
      <w:bookmarkEnd w:id="319"/>
      <w:bookmarkEnd w:id="320"/>
      <w:r>
        <w:rPr>
          <w:rFonts w:hint="eastAsia" w:hAnsi="宋体" w:cs="黑体"/>
          <w:color w:val="auto"/>
          <w:highlight w:val="none"/>
        </w:rPr>
        <w:t>理人</w:t>
      </w:r>
      <w:bookmarkEnd w:id="302"/>
      <w:bookmarkEnd w:id="303"/>
      <w:bookmarkEnd w:id="304"/>
      <w:bookmarkEnd w:id="305"/>
      <w:bookmarkEnd w:id="306"/>
      <w:bookmarkEnd w:id="307"/>
      <w:bookmarkEnd w:id="308"/>
      <w:bookmarkEnd w:id="309"/>
    </w:p>
    <w:p w14:paraId="523F3602">
      <w:pPr>
        <w:pStyle w:val="6"/>
        <w:pageBreakBefore w:val="0"/>
        <w:widowControl w:val="0"/>
        <w:kinsoku/>
        <w:wordWrap/>
        <w:overflowPunct/>
        <w:topLinePunct w:val="0"/>
        <w:bidi w:val="0"/>
        <w:spacing w:before="0" w:after="0" w:line="360" w:lineRule="auto"/>
        <w:textAlignment w:val="auto"/>
        <w:rPr>
          <w:color w:val="auto"/>
          <w:highlight w:val="none"/>
        </w:rPr>
      </w:pPr>
      <w:bookmarkStart w:id="321" w:name="_Toc407135216"/>
      <w:bookmarkStart w:id="322" w:name="_Toc5941"/>
      <w:bookmarkStart w:id="323" w:name="_Toc373227714"/>
      <w:bookmarkStart w:id="324" w:name="_Toc389065280"/>
      <w:bookmarkStart w:id="325" w:name="_Toc78449802"/>
      <w:bookmarkStart w:id="326" w:name="_Toc373478361"/>
      <w:bookmarkStart w:id="327" w:name="_Toc1595043148"/>
      <w:r>
        <w:rPr>
          <w:color w:val="auto"/>
          <w:highlight w:val="none"/>
        </w:rPr>
        <w:t xml:space="preserve">4.1 </w:t>
      </w:r>
      <w:r>
        <w:rPr>
          <w:rFonts w:hint="eastAsia" w:cs="黑体"/>
          <w:color w:val="auto"/>
          <w:highlight w:val="none"/>
        </w:rPr>
        <w:t>监理人的一般规定</w:t>
      </w:r>
      <w:bookmarkEnd w:id="321"/>
      <w:bookmarkEnd w:id="322"/>
      <w:bookmarkEnd w:id="323"/>
      <w:bookmarkEnd w:id="324"/>
      <w:bookmarkEnd w:id="325"/>
      <w:bookmarkEnd w:id="326"/>
      <w:bookmarkEnd w:id="327"/>
    </w:p>
    <w:p w14:paraId="179FB97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关于监理人的监理内容：</w:t>
      </w:r>
      <w:r>
        <w:rPr>
          <w:color w:val="auto"/>
          <w:highlight w:val="none"/>
          <w:u w:val="single"/>
        </w:rPr>
        <w:t xml:space="preserve">                               </w:t>
      </w:r>
      <w:r>
        <w:rPr>
          <w:rFonts w:hint="eastAsia" w:hAnsi="宋体" w:cs="宋体"/>
          <w:color w:val="auto"/>
          <w:highlight w:val="none"/>
        </w:rPr>
        <w:t>。</w:t>
      </w:r>
    </w:p>
    <w:p w14:paraId="7972A85A">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关于监理人的监理权限：</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5E4846CE">
      <w:pPr>
        <w:pageBreakBefore w:val="0"/>
        <w:widowControl w:val="0"/>
        <w:kinsoku/>
        <w:wordWrap/>
        <w:overflowPunct/>
        <w:topLinePunct w:val="0"/>
        <w:bidi w:val="0"/>
        <w:spacing w:line="360" w:lineRule="auto"/>
        <w:ind w:firstLine="420" w:firstLineChars="200"/>
        <w:textAlignment w:val="auto"/>
        <w:rPr>
          <w:color w:val="auto"/>
          <w:highlight w:val="none"/>
          <w:u w:val="single"/>
        </w:rPr>
      </w:pPr>
      <w:r>
        <w:rPr>
          <w:rFonts w:hint="eastAsia" w:hAnsi="宋体" w:cs="宋体"/>
          <w:color w:val="auto"/>
          <w:highlight w:val="none"/>
        </w:rPr>
        <w:t>关于监理人在施工现场的办公场所、生活场所的提供和费用承担的约定：</w:t>
      </w:r>
      <w:r>
        <w:rPr>
          <w:color w:val="auto"/>
          <w:highlight w:val="none"/>
          <w:u w:val="single"/>
        </w:rPr>
        <w:t xml:space="preserve">              </w:t>
      </w:r>
    </w:p>
    <w:p w14:paraId="2ECE74B7">
      <w:pPr>
        <w:pageBreakBefore w:val="0"/>
        <w:widowControl w:val="0"/>
        <w:kinsoku/>
        <w:wordWrap/>
        <w:overflowPunct/>
        <w:topLinePunct w:val="0"/>
        <w:bidi w:val="0"/>
        <w:spacing w:line="360" w:lineRule="auto"/>
        <w:textAlignment w:val="auto"/>
        <w:rPr>
          <w:color w:val="auto"/>
          <w:highlight w:val="none"/>
        </w:rPr>
      </w:pPr>
      <w:r>
        <w:rPr>
          <w:color w:val="auto"/>
          <w:highlight w:val="none"/>
          <w:u w:val="single"/>
        </w:rPr>
        <w:t xml:space="preserve">                                                                                </w:t>
      </w:r>
      <w:r>
        <w:rPr>
          <w:rFonts w:hint="eastAsia" w:hAnsi="宋体" w:cs="宋体"/>
          <w:color w:val="auto"/>
          <w:highlight w:val="none"/>
        </w:rPr>
        <w:t>。</w:t>
      </w:r>
    </w:p>
    <w:p w14:paraId="4E8090BC">
      <w:pPr>
        <w:pStyle w:val="6"/>
        <w:pageBreakBefore w:val="0"/>
        <w:widowControl w:val="0"/>
        <w:kinsoku/>
        <w:wordWrap/>
        <w:overflowPunct/>
        <w:topLinePunct w:val="0"/>
        <w:bidi w:val="0"/>
        <w:spacing w:before="0" w:after="0" w:line="360" w:lineRule="auto"/>
        <w:textAlignment w:val="auto"/>
        <w:rPr>
          <w:color w:val="auto"/>
          <w:highlight w:val="none"/>
        </w:rPr>
      </w:pPr>
      <w:bookmarkStart w:id="328" w:name="_Toc389065281"/>
      <w:bookmarkStart w:id="329" w:name="_Toc13554"/>
      <w:bookmarkStart w:id="330" w:name="_Toc407135217"/>
      <w:bookmarkStart w:id="331" w:name="_Toc373478362"/>
      <w:bookmarkStart w:id="332" w:name="_Toc78449803"/>
      <w:bookmarkStart w:id="333" w:name="_Toc373227715"/>
      <w:bookmarkStart w:id="334" w:name="_Toc386397261"/>
      <w:r>
        <w:rPr>
          <w:color w:val="auto"/>
          <w:highlight w:val="none"/>
        </w:rPr>
        <w:t xml:space="preserve">4.2 </w:t>
      </w:r>
      <w:r>
        <w:rPr>
          <w:rFonts w:hint="eastAsia" w:hAnsi="宋体" w:cs="黑体"/>
          <w:color w:val="auto"/>
          <w:highlight w:val="none"/>
        </w:rPr>
        <w:t>监理人员</w:t>
      </w:r>
      <w:bookmarkEnd w:id="328"/>
      <w:bookmarkEnd w:id="329"/>
      <w:bookmarkEnd w:id="330"/>
      <w:bookmarkEnd w:id="331"/>
      <w:bookmarkEnd w:id="332"/>
      <w:bookmarkEnd w:id="333"/>
      <w:bookmarkEnd w:id="334"/>
    </w:p>
    <w:p w14:paraId="118E0156">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总监理工程师：</w:t>
      </w:r>
    </w:p>
    <w:p w14:paraId="08C274F0">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姓</w:t>
      </w:r>
      <w:r>
        <w:rPr>
          <w:color w:val="auto"/>
          <w:highlight w:val="none"/>
        </w:rPr>
        <w:t xml:space="preserve">    </w:t>
      </w:r>
      <w:r>
        <w:rPr>
          <w:rFonts w:hAnsi="宋体"/>
          <w:color w:val="auto"/>
          <w:highlight w:val="none"/>
        </w:rPr>
        <w:t>名：</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2C062113">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职</w:t>
      </w:r>
      <w:r>
        <w:rPr>
          <w:color w:val="auto"/>
          <w:highlight w:val="none"/>
        </w:rPr>
        <w:t xml:space="preserve">    </w:t>
      </w:r>
      <w:r>
        <w:rPr>
          <w:rFonts w:hAnsi="宋体"/>
          <w:color w:val="auto"/>
          <w:highlight w:val="none"/>
        </w:rPr>
        <w:t>务：</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2064ACA1">
      <w:pPr>
        <w:pageBreakBefore w:val="0"/>
        <w:widowControl w:val="0"/>
        <w:kinsoku/>
        <w:wordWrap/>
        <w:overflowPunct/>
        <w:topLinePunct w:val="0"/>
        <w:bidi w:val="0"/>
        <w:spacing w:line="360" w:lineRule="auto"/>
        <w:ind w:firstLine="420" w:firstLineChars="200"/>
        <w:textAlignment w:val="auto"/>
        <w:rPr>
          <w:rFonts w:hAnsi="宋体"/>
          <w:color w:val="auto"/>
          <w:highlight w:val="none"/>
        </w:rPr>
      </w:pPr>
      <w:r>
        <w:rPr>
          <w:rFonts w:hAnsi="宋体"/>
          <w:color w:val="auto"/>
          <w:highlight w:val="none"/>
        </w:rPr>
        <w:t>监理工程师注册证书号：</w:t>
      </w:r>
      <w:r>
        <w:rPr>
          <w:rFonts w:hAnsi="宋体"/>
          <w:color w:val="auto"/>
          <w:highlight w:val="none"/>
          <w:u w:val="single"/>
        </w:rPr>
        <w:t></w:t>
      </w:r>
      <w:r>
        <w:rPr>
          <w:rFonts w:hint="eastAsia" w:hAnsi="宋体"/>
          <w:color w:val="auto"/>
          <w:highlight w:val="none"/>
          <w:u w:val="single"/>
        </w:rPr>
        <w:t xml:space="preserve">         </w:t>
      </w:r>
      <w:r>
        <w:rPr>
          <w:rFonts w:hAnsi="宋体"/>
          <w:color w:val="auto"/>
          <w:highlight w:val="none"/>
          <w:u w:val="single"/>
        </w:rPr>
        <w:t></w:t>
      </w:r>
      <w:r>
        <w:rPr>
          <w:rFonts w:hAnsi="宋体"/>
          <w:color w:val="auto"/>
          <w:highlight w:val="none"/>
        </w:rPr>
        <w:t>；</w:t>
      </w:r>
    </w:p>
    <w:p w14:paraId="3A6D42F6">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联系电话：</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9BADAF4">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电子信箱：</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C93A26C">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通信地址：</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1954383B">
      <w:pPr>
        <w:pageBreakBefore w:val="0"/>
        <w:widowControl w:val="0"/>
        <w:kinsoku/>
        <w:wordWrap/>
        <w:overflowPunct/>
        <w:topLinePunct w:val="0"/>
        <w:bidi w:val="0"/>
        <w:spacing w:line="360" w:lineRule="auto"/>
        <w:ind w:firstLine="420" w:firstLineChars="200"/>
        <w:textAlignment w:val="auto"/>
        <w:rPr>
          <w:color w:val="auto"/>
          <w:highlight w:val="none"/>
        </w:rPr>
      </w:pPr>
      <w:r>
        <w:rPr>
          <w:rFonts w:hAnsi="宋体"/>
          <w:color w:val="auto"/>
          <w:highlight w:val="none"/>
        </w:rPr>
        <w:t>关于监理人的其他约定：</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color w:val="auto"/>
          <w:highlight w:val="none"/>
          <w:u w:val="single"/>
        </w:rPr>
        <w:t xml:space="preserve"> </w:t>
      </w:r>
      <w:r>
        <w:rPr>
          <w:rFonts w:hAnsi="宋体"/>
          <w:color w:val="auto"/>
          <w:highlight w:val="none"/>
          <w:u w:val="single"/>
        </w:rPr>
        <w:t></w:t>
      </w:r>
      <w:r>
        <w:rPr>
          <w:rFonts w:hAnsi="宋体"/>
          <w:color w:val="auto"/>
          <w:highlight w:val="none"/>
        </w:rPr>
        <w:t>。</w:t>
      </w:r>
    </w:p>
    <w:p w14:paraId="4FACB243">
      <w:pPr>
        <w:pStyle w:val="6"/>
        <w:pageBreakBefore w:val="0"/>
        <w:widowControl w:val="0"/>
        <w:kinsoku/>
        <w:wordWrap/>
        <w:overflowPunct/>
        <w:topLinePunct w:val="0"/>
        <w:bidi w:val="0"/>
        <w:spacing w:before="0" w:after="0" w:line="360" w:lineRule="auto"/>
        <w:textAlignment w:val="auto"/>
        <w:rPr>
          <w:color w:val="auto"/>
          <w:highlight w:val="none"/>
        </w:rPr>
      </w:pPr>
      <w:bookmarkStart w:id="335" w:name="_Toc407135218"/>
      <w:bookmarkStart w:id="336" w:name="_Toc373227716"/>
      <w:bookmarkStart w:id="337" w:name="_Toc26556"/>
      <w:bookmarkStart w:id="338" w:name="_Toc78449804"/>
      <w:bookmarkStart w:id="339" w:name="_Toc539923186"/>
      <w:bookmarkStart w:id="340" w:name="_Toc373478363"/>
      <w:bookmarkStart w:id="341" w:name="_Toc389065282"/>
      <w:r>
        <w:rPr>
          <w:color w:val="auto"/>
          <w:highlight w:val="none"/>
        </w:rPr>
        <w:t xml:space="preserve">4.4 </w:t>
      </w:r>
      <w:r>
        <w:rPr>
          <w:rFonts w:hint="eastAsia" w:hAnsi="宋体" w:cs="黑体"/>
          <w:color w:val="auto"/>
          <w:highlight w:val="none"/>
        </w:rPr>
        <w:t>商定或确定</w:t>
      </w:r>
      <w:bookmarkEnd w:id="335"/>
      <w:bookmarkEnd w:id="336"/>
      <w:bookmarkEnd w:id="337"/>
      <w:bookmarkEnd w:id="338"/>
      <w:bookmarkEnd w:id="339"/>
      <w:bookmarkEnd w:id="340"/>
      <w:bookmarkEnd w:id="341"/>
    </w:p>
    <w:p w14:paraId="698ECBEF">
      <w:pPr>
        <w:pageBreakBefore w:val="0"/>
        <w:widowControl w:val="0"/>
        <w:kinsoku/>
        <w:wordWrap/>
        <w:overflowPunct/>
        <w:topLinePunct w:val="0"/>
        <w:bidi w:val="0"/>
        <w:spacing w:line="360" w:lineRule="auto"/>
        <w:ind w:firstLine="420" w:firstLineChars="200"/>
        <w:textAlignment w:val="auto"/>
        <w:rPr>
          <w:color w:val="auto"/>
          <w:highlight w:val="none"/>
        </w:rPr>
      </w:pPr>
      <w:bookmarkStart w:id="342" w:name="_Toc267251418"/>
      <w:r>
        <w:rPr>
          <w:rFonts w:hint="eastAsia" w:hAnsi="宋体" w:cs="宋体"/>
          <w:color w:val="auto"/>
          <w:highlight w:val="none"/>
        </w:rPr>
        <w:t>在发包人和承包人不能通过协商达成一致意见时，发包人授权监理人对以下事项进行确定：</w:t>
      </w:r>
    </w:p>
    <w:p w14:paraId="7D2861B0">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w:t>
      </w:r>
      <w:r>
        <w:rPr>
          <w:color w:val="auto"/>
          <w:highlight w:val="none"/>
          <w:u w:val="single"/>
        </w:rPr>
        <w:t xml:space="preserve">                                   </w:t>
      </w:r>
      <w:r>
        <w:rPr>
          <w:rFonts w:hint="eastAsia" w:hAnsi="宋体" w:cs="宋体"/>
          <w:color w:val="auto"/>
          <w:highlight w:val="none"/>
        </w:rPr>
        <w:t>；</w:t>
      </w:r>
    </w:p>
    <w:p w14:paraId="708CDCCA">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color w:val="auto"/>
          <w:highlight w:val="none"/>
          <w:u w:val="single"/>
        </w:rPr>
        <w:t xml:space="preserve">                                   </w:t>
      </w:r>
      <w:r>
        <w:rPr>
          <w:rFonts w:hint="eastAsia" w:hAnsi="宋体" w:cs="宋体"/>
          <w:color w:val="auto"/>
          <w:highlight w:val="none"/>
        </w:rPr>
        <w:t>；</w:t>
      </w:r>
    </w:p>
    <w:p w14:paraId="4AF21A68">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w:t>
      </w:r>
      <w:r>
        <w:rPr>
          <w:color w:val="auto"/>
          <w:highlight w:val="none"/>
          <w:u w:val="single"/>
        </w:rPr>
        <w:t xml:space="preserve">                                   </w:t>
      </w:r>
      <w:r>
        <w:rPr>
          <w:rFonts w:hint="eastAsia" w:hAnsi="宋体" w:cs="宋体"/>
          <w:color w:val="auto"/>
          <w:highlight w:val="none"/>
        </w:rPr>
        <w:t>。</w:t>
      </w:r>
    </w:p>
    <w:p w14:paraId="0BB93CBC">
      <w:pPr>
        <w:pStyle w:val="5"/>
        <w:pageBreakBefore w:val="0"/>
        <w:widowControl w:val="0"/>
        <w:kinsoku/>
        <w:wordWrap/>
        <w:overflowPunct/>
        <w:topLinePunct w:val="0"/>
        <w:bidi w:val="0"/>
        <w:spacing w:before="0" w:after="0" w:line="360" w:lineRule="auto"/>
        <w:textAlignment w:val="auto"/>
        <w:rPr>
          <w:color w:val="auto"/>
          <w:highlight w:val="none"/>
        </w:rPr>
      </w:pPr>
      <w:bookmarkStart w:id="343" w:name="_Toc389065283"/>
      <w:bookmarkStart w:id="344" w:name="_Toc373478364"/>
      <w:bookmarkStart w:id="345" w:name="_Toc1603077308"/>
      <w:bookmarkStart w:id="346" w:name="_Toc351203637"/>
      <w:bookmarkStart w:id="347" w:name="_Toc78449805"/>
      <w:bookmarkStart w:id="348" w:name="_Toc373227717"/>
      <w:bookmarkStart w:id="349" w:name="_Toc14473"/>
      <w:bookmarkStart w:id="350" w:name="_Toc407135219"/>
      <w:r>
        <w:rPr>
          <w:color w:val="auto"/>
          <w:highlight w:val="none"/>
        </w:rPr>
        <w:t>5</w:t>
      </w:r>
      <w:bookmarkEnd w:id="342"/>
      <w:bookmarkStart w:id="351" w:name="_Toc292559872"/>
      <w:bookmarkStart w:id="352" w:name="_Toc292559367"/>
      <w:bookmarkStart w:id="353" w:name="_Toc296346664"/>
      <w:bookmarkStart w:id="354" w:name="_Toc296890991"/>
      <w:bookmarkStart w:id="355" w:name="_Toc296944502"/>
      <w:bookmarkStart w:id="356" w:name="_Toc297048349"/>
      <w:bookmarkStart w:id="357" w:name="_Toc296503163"/>
      <w:bookmarkStart w:id="358" w:name="_Toc296347162"/>
      <w:bookmarkStart w:id="359" w:name="_Toc296891203"/>
      <w:bookmarkStart w:id="360" w:name="_Toc297120463"/>
      <w:r>
        <w:rPr>
          <w:color w:val="auto"/>
          <w:highlight w:val="none"/>
        </w:rPr>
        <w:t xml:space="preserve">. </w:t>
      </w:r>
      <w:r>
        <w:rPr>
          <w:rFonts w:hint="eastAsia" w:hAnsi="宋体" w:cs="黑体"/>
          <w:color w:val="auto"/>
          <w:highlight w:val="none"/>
        </w:rPr>
        <w:t>工程质量</w:t>
      </w:r>
      <w:bookmarkEnd w:id="343"/>
      <w:bookmarkEnd w:id="344"/>
      <w:bookmarkEnd w:id="345"/>
      <w:bookmarkEnd w:id="346"/>
      <w:bookmarkEnd w:id="347"/>
      <w:bookmarkEnd w:id="348"/>
      <w:bookmarkEnd w:id="349"/>
      <w:bookmarkEnd w:id="350"/>
    </w:p>
    <w:p w14:paraId="2FBD5D8C">
      <w:pPr>
        <w:pStyle w:val="6"/>
        <w:pageBreakBefore w:val="0"/>
        <w:widowControl w:val="0"/>
        <w:kinsoku/>
        <w:wordWrap/>
        <w:overflowPunct/>
        <w:topLinePunct w:val="0"/>
        <w:bidi w:val="0"/>
        <w:spacing w:before="0" w:after="0" w:line="360" w:lineRule="auto"/>
        <w:textAlignment w:val="auto"/>
        <w:rPr>
          <w:color w:val="auto"/>
          <w:highlight w:val="none"/>
        </w:rPr>
      </w:pPr>
      <w:bookmarkStart w:id="361" w:name="_Toc78449806"/>
      <w:bookmarkStart w:id="362" w:name="_Toc8977"/>
      <w:bookmarkStart w:id="363" w:name="_Toc407135220"/>
      <w:bookmarkStart w:id="364" w:name="_Toc1835421345"/>
      <w:bookmarkStart w:id="365" w:name="_Toc373227718"/>
      <w:bookmarkStart w:id="366" w:name="_Toc389065284"/>
      <w:bookmarkStart w:id="367" w:name="_Toc373478365"/>
      <w:r>
        <w:rPr>
          <w:color w:val="auto"/>
          <w:highlight w:val="none"/>
        </w:rPr>
        <w:t xml:space="preserve">5.1 </w:t>
      </w:r>
      <w:r>
        <w:rPr>
          <w:rFonts w:hint="eastAsia" w:hAnsi="宋体" w:cs="黑体"/>
          <w:color w:val="auto"/>
          <w:highlight w:val="none"/>
        </w:rPr>
        <w:t>质量要求</w:t>
      </w:r>
      <w:bookmarkEnd w:id="361"/>
      <w:bookmarkEnd w:id="362"/>
      <w:bookmarkEnd w:id="363"/>
      <w:bookmarkEnd w:id="364"/>
      <w:bookmarkEnd w:id="365"/>
      <w:bookmarkEnd w:id="366"/>
      <w:bookmarkEnd w:id="367"/>
    </w:p>
    <w:p w14:paraId="04566E53">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color w:val="auto"/>
          <w:highlight w:val="none"/>
        </w:rPr>
        <w:t>5</w:t>
      </w:r>
      <w:bookmarkStart w:id="368" w:name="_Toc297216155"/>
      <w:bookmarkStart w:id="369" w:name="_Toc303539106"/>
      <w:bookmarkStart w:id="370" w:name="_Toc300934949"/>
      <w:bookmarkStart w:id="371" w:name="_Toc297123496"/>
      <w:bookmarkStart w:id="372" w:name="_Toc304295527"/>
      <w:bookmarkStart w:id="373" w:name="_Toc318581164"/>
      <w:bookmarkStart w:id="374" w:name="_Toc312677997"/>
      <w:r>
        <w:rPr>
          <w:color w:val="auto"/>
          <w:highlight w:val="none"/>
        </w:rPr>
        <w:t xml:space="preserve">.1.1 </w:t>
      </w:r>
      <w:r>
        <w:rPr>
          <w:rFonts w:hint="eastAsia" w:hAnsi="宋体" w:cs="宋体"/>
          <w:color w:val="auto"/>
          <w:highlight w:val="none"/>
        </w:rPr>
        <w:t>特殊质量标准和要求：</w:t>
      </w:r>
      <w:r>
        <w:rPr>
          <w:color w:val="auto"/>
          <w:highlight w:val="none"/>
          <w:u w:val="single"/>
        </w:rPr>
        <w:t xml:space="preserve">  </w:t>
      </w:r>
      <w:r>
        <w:rPr>
          <w:rFonts w:hint="eastAsia"/>
          <w:color w:val="auto"/>
          <w:highlight w:val="none"/>
          <w:u w:val="single"/>
        </w:rPr>
        <w:t>执行现行国家有关工程施工验收规范和标准要求</w:t>
      </w:r>
      <w:r>
        <w:rPr>
          <w:color w:val="auto"/>
          <w:highlight w:val="none"/>
          <w:u w:val="single"/>
        </w:rPr>
        <w:t xml:space="preserve">  </w:t>
      </w:r>
      <w:r>
        <w:rPr>
          <w:rFonts w:hint="eastAsia" w:hAnsi="宋体" w:cs="宋体"/>
          <w:color w:val="auto"/>
          <w:highlight w:val="none"/>
        </w:rPr>
        <w:t>。</w:t>
      </w:r>
    </w:p>
    <w:p w14:paraId="189B0E9B">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关于工程奖项的约定：</w:t>
      </w:r>
      <w:r>
        <w:rPr>
          <w:color w:val="auto"/>
          <w:highlight w:val="none"/>
        </w:rPr>
        <w:t xml:space="preserve"> </w:t>
      </w:r>
      <w:r>
        <w:rPr>
          <w:rFonts w:hint="eastAsia"/>
          <w:color w:val="auto"/>
          <w:highlight w:val="none"/>
        </w:rPr>
        <w:t>如果</w:t>
      </w:r>
      <w:r>
        <w:rPr>
          <w:color w:val="auto"/>
          <w:highlight w:val="none"/>
        </w:rPr>
        <w:t>工程获得</w:t>
      </w:r>
      <w:r>
        <w:rPr>
          <w:rFonts w:hint="eastAsia"/>
          <w:color w:val="auto"/>
          <w:highlight w:val="none"/>
          <w:u w:val="single"/>
        </w:rPr>
        <w:t xml:space="preserve">             （奖项名称）</w:t>
      </w:r>
      <w:r>
        <w:rPr>
          <w:rFonts w:hint="eastAsia"/>
          <w:color w:val="auto"/>
          <w:highlight w:val="none"/>
        </w:rPr>
        <w:t>，</w:t>
      </w:r>
      <w:r>
        <w:rPr>
          <w:color w:val="auto"/>
          <w:highlight w:val="none"/>
        </w:rPr>
        <w:t>给予</w:t>
      </w:r>
      <w:r>
        <w:rPr>
          <w:rFonts w:hint="eastAsia"/>
          <w:color w:val="auto"/>
          <w:highlight w:val="none"/>
        </w:rPr>
        <w:t>承包人</w:t>
      </w:r>
      <w:r>
        <w:rPr>
          <w:color w:val="auto"/>
          <w:highlight w:val="none"/>
        </w:rPr>
        <w:t>合同价</w:t>
      </w:r>
      <w:r>
        <w:rPr>
          <w:rFonts w:hint="eastAsia"/>
          <w:color w:val="auto"/>
          <w:highlight w:val="none"/>
          <w:u w:val="single"/>
        </w:rPr>
        <w:t xml:space="preserve">   </w:t>
      </w:r>
      <w:r>
        <w:rPr>
          <w:color w:val="auto"/>
          <w:highlight w:val="none"/>
        </w:rPr>
        <w:t>%的奖励</w:t>
      </w:r>
      <w:r>
        <w:rPr>
          <w:rFonts w:hint="eastAsia" w:hAnsi="宋体" w:cs="宋体"/>
          <w:color w:val="auto"/>
          <w:highlight w:val="none"/>
        </w:rPr>
        <w:t>。（建设单位创建优质工程的，鼓励在招标控制价和预算中按我区工程建设定额规定计列工程优质费，并在招标文件中明确工程优质费不可竞争。）</w:t>
      </w:r>
    </w:p>
    <w:p w14:paraId="330619B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5.3 </w:t>
      </w:r>
      <w:r>
        <w:rPr>
          <w:rFonts w:hint="eastAsia" w:hAnsi="宋体" w:cs="宋体"/>
          <w:color w:val="auto"/>
          <w:highlight w:val="none"/>
        </w:rPr>
        <w:t>隐蔽工程检查</w:t>
      </w:r>
    </w:p>
    <w:p w14:paraId="5293B690">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color w:val="auto"/>
          <w:highlight w:val="none"/>
        </w:rPr>
        <w:t>5.3.2</w:t>
      </w:r>
      <w:r>
        <w:rPr>
          <w:rFonts w:hint="eastAsia" w:hAnsi="宋体" w:cs="宋体"/>
          <w:color w:val="auto"/>
          <w:highlight w:val="none"/>
        </w:rPr>
        <w:t>承包人提前通知监理人隐蔽工程检查的期限的约定：工程隐蔽或中间验收前</w:t>
      </w:r>
      <w:r>
        <w:rPr>
          <w:color w:val="auto"/>
          <w:highlight w:val="none"/>
        </w:rPr>
        <w:t>12</w:t>
      </w:r>
      <w:r>
        <w:rPr>
          <w:rFonts w:hint="eastAsia" w:hAnsi="宋体" w:cs="宋体"/>
          <w:color w:val="auto"/>
          <w:highlight w:val="none"/>
        </w:rPr>
        <w:t>小时以书面形式通知发包人和监理工程师验收的内容、时间、地点，承包人准备验收记录单（最好是印制的表格）由双方签证。验收合格，承包人可进行隐蔽和继续施工；验收不合格，双方商订时限内修改后按上述循序重新验收。</w:t>
      </w:r>
    </w:p>
    <w:p w14:paraId="08DF2003">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监理人不能按时进行检查时，应提前</w:t>
      </w:r>
      <w:r>
        <w:rPr>
          <w:color w:val="auto"/>
          <w:highlight w:val="none"/>
          <w:u w:val="single"/>
        </w:rPr>
        <w:t xml:space="preserve"> </w:t>
      </w:r>
      <w:r>
        <w:rPr>
          <w:rFonts w:hint="eastAsia"/>
          <w:color w:val="auto"/>
          <w:highlight w:val="none"/>
          <w:u w:val="single"/>
          <w:lang w:val="en-US" w:eastAsia="zh-CN"/>
        </w:rPr>
        <w:t>12</w:t>
      </w:r>
      <w:r>
        <w:rPr>
          <w:color w:val="auto"/>
          <w:highlight w:val="none"/>
          <w:u w:val="single"/>
        </w:rPr>
        <w:t xml:space="preserve"> </w:t>
      </w:r>
      <w:r>
        <w:rPr>
          <w:rFonts w:hint="eastAsia" w:hAnsi="宋体" w:cs="宋体"/>
          <w:color w:val="auto"/>
          <w:highlight w:val="none"/>
        </w:rPr>
        <w:t>小时提交书面延期要求。</w:t>
      </w:r>
    </w:p>
    <w:p w14:paraId="5E3F320A">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lang w:val="en-US" w:eastAsia="zh-CN"/>
        </w:rPr>
        <w:t>24</w:t>
      </w:r>
      <w:r>
        <w:rPr>
          <w:color w:val="auto"/>
          <w:highlight w:val="none"/>
          <w:u w:val="single"/>
        </w:rPr>
        <w:t xml:space="preserve"> </w:t>
      </w:r>
      <w:r>
        <w:rPr>
          <w:rFonts w:hint="eastAsia" w:hAnsi="宋体" w:cs="宋体"/>
          <w:color w:val="auto"/>
          <w:highlight w:val="none"/>
        </w:rPr>
        <w:t>小时。</w:t>
      </w:r>
    </w:p>
    <w:p w14:paraId="5126EDD0">
      <w:pPr>
        <w:pStyle w:val="5"/>
        <w:pageBreakBefore w:val="0"/>
        <w:widowControl w:val="0"/>
        <w:kinsoku/>
        <w:wordWrap/>
        <w:overflowPunct/>
        <w:topLinePunct w:val="0"/>
        <w:bidi w:val="0"/>
        <w:spacing w:before="0" w:after="0" w:line="360" w:lineRule="auto"/>
        <w:textAlignment w:val="auto"/>
        <w:rPr>
          <w:color w:val="auto"/>
          <w:highlight w:val="none"/>
        </w:rPr>
      </w:pPr>
      <w:bookmarkStart w:id="375" w:name="_Toc351203638"/>
      <w:bookmarkStart w:id="376" w:name="_Toc407135221"/>
      <w:bookmarkStart w:id="377" w:name="_Toc703841976"/>
      <w:bookmarkStart w:id="378" w:name="_Toc373478366"/>
      <w:bookmarkStart w:id="379" w:name="_Toc17247"/>
      <w:bookmarkStart w:id="380" w:name="_Toc78449807"/>
      <w:bookmarkStart w:id="381" w:name="_Toc389065285"/>
      <w:bookmarkStart w:id="382" w:name="_Toc373227719"/>
      <w:r>
        <w:rPr>
          <w:color w:val="auto"/>
          <w:highlight w:val="none"/>
        </w:rPr>
        <w:t xml:space="preserve">6. </w:t>
      </w:r>
      <w:r>
        <w:rPr>
          <w:rFonts w:hint="eastAsia" w:cs="黑体"/>
          <w:color w:val="auto"/>
          <w:highlight w:val="none"/>
        </w:rPr>
        <w:t>安全文明施工与环境保护</w:t>
      </w:r>
      <w:bookmarkEnd w:id="375"/>
      <w:bookmarkEnd w:id="376"/>
      <w:bookmarkEnd w:id="377"/>
      <w:bookmarkEnd w:id="378"/>
      <w:bookmarkEnd w:id="379"/>
      <w:bookmarkEnd w:id="380"/>
      <w:bookmarkEnd w:id="381"/>
      <w:bookmarkEnd w:id="382"/>
    </w:p>
    <w:p w14:paraId="57B19A58">
      <w:pPr>
        <w:pStyle w:val="6"/>
        <w:pageBreakBefore w:val="0"/>
        <w:widowControl w:val="0"/>
        <w:kinsoku/>
        <w:wordWrap/>
        <w:overflowPunct/>
        <w:topLinePunct w:val="0"/>
        <w:bidi w:val="0"/>
        <w:spacing w:before="0" w:after="0" w:line="360" w:lineRule="auto"/>
        <w:textAlignment w:val="auto"/>
        <w:rPr>
          <w:color w:val="auto"/>
          <w:highlight w:val="none"/>
        </w:rPr>
      </w:pPr>
      <w:bookmarkStart w:id="383" w:name="_Toc407135222"/>
      <w:bookmarkStart w:id="384" w:name="_Toc78449808"/>
      <w:bookmarkStart w:id="385" w:name="_Toc180514231"/>
      <w:bookmarkStart w:id="386" w:name="_Toc389065286"/>
      <w:bookmarkStart w:id="387" w:name="_Toc7857"/>
      <w:bookmarkStart w:id="388" w:name="_Toc373478367"/>
      <w:bookmarkStart w:id="389" w:name="_Toc373227720"/>
      <w:r>
        <w:rPr>
          <w:color w:val="auto"/>
          <w:highlight w:val="none"/>
        </w:rPr>
        <w:t xml:space="preserve">6.1 </w:t>
      </w:r>
      <w:r>
        <w:rPr>
          <w:rFonts w:hint="eastAsia" w:cs="黑体"/>
          <w:color w:val="auto"/>
          <w:highlight w:val="none"/>
        </w:rPr>
        <w:t>安全文明施工</w:t>
      </w:r>
      <w:bookmarkEnd w:id="383"/>
      <w:bookmarkEnd w:id="384"/>
      <w:bookmarkEnd w:id="385"/>
      <w:bookmarkEnd w:id="386"/>
      <w:bookmarkEnd w:id="387"/>
      <w:bookmarkEnd w:id="388"/>
      <w:bookmarkEnd w:id="389"/>
    </w:p>
    <w:p w14:paraId="123E7117">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color w:val="auto"/>
          <w:highlight w:val="none"/>
        </w:rPr>
        <w:t xml:space="preserve">6.1.1 </w:t>
      </w:r>
      <w:r>
        <w:rPr>
          <w:rFonts w:hint="eastAsia" w:hAnsi="宋体" w:cs="宋体"/>
          <w:color w:val="auto"/>
          <w:highlight w:val="none"/>
        </w:rPr>
        <w:t>项目安全生产的达标目标及相应事项的约定：</w:t>
      </w:r>
      <w:r>
        <w:rPr>
          <w:color w:val="auto"/>
          <w:highlight w:val="none"/>
          <w:u w:val="single"/>
        </w:rPr>
        <w:t xml:space="preserve">  </w:t>
      </w:r>
      <w:r>
        <w:rPr>
          <w:rFonts w:hint="eastAsia"/>
          <w:color w:val="auto"/>
          <w:highlight w:val="none"/>
          <w:u w:val="single"/>
        </w:rPr>
        <w:t>承包人应按照国家、广西区和北海市等相关规定履行好承包人的施工安全责任</w:t>
      </w:r>
      <w:r>
        <w:rPr>
          <w:color w:val="auto"/>
          <w:highlight w:val="none"/>
          <w:u w:val="single"/>
        </w:rPr>
        <w:t xml:space="preserve">  </w:t>
      </w:r>
      <w:r>
        <w:rPr>
          <w:rFonts w:hint="eastAsia" w:hAnsi="宋体" w:cs="宋体"/>
          <w:color w:val="auto"/>
          <w:highlight w:val="none"/>
        </w:rPr>
        <w:t>。</w:t>
      </w:r>
    </w:p>
    <w:p w14:paraId="694965AF">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关于安全文明施工奖项的约定：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2B1BF711">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color w:val="auto"/>
          <w:highlight w:val="none"/>
        </w:rPr>
        <w:t xml:space="preserve">6.1.4 </w:t>
      </w:r>
      <w:r>
        <w:rPr>
          <w:rFonts w:hint="eastAsia" w:hAnsi="宋体" w:cs="宋体"/>
          <w:color w:val="auto"/>
          <w:highlight w:val="none"/>
        </w:rPr>
        <w:t>关于治安保卫的特别约定：</w:t>
      </w:r>
      <w:r>
        <w:rPr>
          <w:rFonts w:hint="eastAsia" w:hAnsi="宋体" w:cs="宋体"/>
          <w:color w:val="auto"/>
          <w:highlight w:val="none"/>
          <w:u w:val="single"/>
        </w:rPr>
        <w:t>承包人应承担施工安全保卫工作及非夜间施工照明的责任，承包人应采取一切合理的预防措施，防止人员伤亡、财产损失事故，费用由承包人承担。承包人生活设施及施工场应自费配备消防设备，防止火灾发生。</w:t>
      </w:r>
    </w:p>
    <w:p w14:paraId="439B624C">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关于编制施工场地治安管理计划的约定：</w:t>
      </w:r>
      <w:r>
        <w:rPr>
          <w:color w:val="auto"/>
          <w:highlight w:val="none"/>
          <w:u w:val="single"/>
        </w:rPr>
        <w:t xml:space="preserve"> </w:t>
      </w:r>
      <w:r>
        <w:rPr>
          <w:rFonts w:hint="eastAsia"/>
          <w:color w:val="auto"/>
          <w:highlight w:val="none"/>
          <w:u w:val="single"/>
        </w:rPr>
        <w:t>承包人应承担施工安全保卫工作及夜间施工照明的责任，应采取一切合理的预防措施，防止人员伤亡、财产损失事故，费用及责任由承包人承担。承包人生活设施及施工场应自费配备消防设备，防止火灾发生</w:t>
      </w:r>
      <w:r>
        <w:rPr>
          <w:color w:val="auto"/>
          <w:highlight w:val="none"/>
          <w:u w:val="single"/>
        </w:rPr>
        <w:t xml:space="preserve">  </w:t>
      </w:r>
      <w:r>
        <w:rPr>
          <w:rFonts w:hint="eastAsia" w:hAnsi="宋体" w:cs="宋体"/>
          <w:color w:val="auto"/>
          <w:highlight w:val="none"/>
        </w:rPr>
        <w:t>。</w:t>
      </w:r>
    </w:p>
    <w:p w14:paraId="1F90064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6.1.5 </w:t>
      </w:r>
      <w:r>
        <w:rPr>
          <w:rFonts w:hint="eastAsia" w:hAnsi="宋体" w:cs="宋体"/>
          <w:color w:val="auto"/>
          <w:highlight w:val="none"/>
        </w:rPr>
        <w:t>文明施工</w:t>
      </w:r>
    </w:p>
    <w:p w14:paraId="2D336CB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color w:val="auto"/>
          <w:highlight w:val="none"/>
        </w:rPr>
      </w:pPr>
      <w:r>
        <w:rPr>
          <w:rFonts w:hint="eastAsia" w:hAnsi="宋体" w:cs="宋体"/>
          <w:color w:val="auto"/>
          <w:highlight w:val="none"/>
        </w:rPr>
        <w:t>合同当事人对文明施工的要求：</w:t>
      </w:r>
      <w:r>
        <w:rPr>
          <w:color w:val="auto"/>
          <w:highlight w:val="none"/>
          <w:u w:val="single"/>
        </w:rPr>
        <w:t xml:space="preserve">   </w:t>
      </w:r>
      <w:r>
        <w:rPr>
          <w:rFonts w:hint="eastAsia"/>
          <w:color w:val="auto"/>
          <w:highlight w:val="none"/>
          <w:u w:val="single"/>
          <w:lang w:eastAsia="zh-CN"/>
        </w:rPr>
        <w:t>（</w:t>
      </w:r>
      <w:r>
        <w:rPr>
          <w:rFonts w:hint="eastAsia"/>
          <w:color w:val="auto"/>
          <w:highlight w:val="none"/>
          <w:u w:val="single"/>
        </w:rPr>
        <w:t>1</w:t>
      </w:r>
      <w:r>
        <w:rPr>
          <w:rFonts w:hint="eastAsia"/>
          <w:color w:val="auto"/>
          <w:highlight w:val="none"/>
          <w:u w:val="single"/>
          <w:lang w:eastAsia="zh-CN"/>
        </w:rPr>
        <w:t>）</w:t>
      </w:r>
      <w:r>
        <w:rPr>
          <w:rFonts w:hint="eastAsia"/>
          <w:color w:val="auto"/>
          <w:highlight w:val="none"/>
          <w:u w:val="single"/>
        </w:rPr>
        <w:t>承包人应按照北海市有关房屋建筑和市政基础设施工程施工扬尘控制工作、房屋建筑和市政基础设施工程现场文明施工标准等相关规定履行好施工扬尘控制、文明施工等责任。</w:t>
      </w:r>
      <w:r>
        <w:rPr>
          <w:rFonts w:hint="eastAsia"/>
          <w:color w:val="auto"/>
          <w:highlight w:val="none"/>
          <w:u w:val="single"/>
          <w:lang w:eastAsia="zh-CN"/>
        </w:rPr>
        <w:t>（</w:t>
      </w:r>
      <w:r>
        <w:rPr>
          <w:rFonts w:hint="eastAsia"/>
          <w:color w:val="auto"/>
          <w:highlight w:val="none"/>
          <w:u w:val="single"/>
        </w:rPr>
        <w:t>2</w:t>
      </w:r>
      <w:r>
        <w:rPr>
          <w:rFonts w:hint="eastAsia"/>
          <w:color w:val="auto"/>
          <w:highlight w:val="none"/>
          <w:u w:val="single"/>
          <w:lang w:eastAsia="zh-CN"/>
        </w:rPr>
        <w:t>）</w:t>
      </w:r>
      <w:r>
        <w:rPr>
          <w:rFonts w:hint="eastAsia"/>
          <w:color w:val="auto"/>
          <w:highlight w:val="none"/>
          <w:u w:val="single"/>
        </w:rPr>
        <w:t>承包人需自行办理的有关施工场地交通、环卫和施工噪音管理等手续，并应符合国家相关规定，并自行承担其费用。</w:t>
      </w:r>
      <w:r>
        <w:rPr>
          <w:rFonts w:hint="eastAsia"/>
          <w:color w:val="auto"/>
          <w:highlight w:val="none"/>
          <w:u w:val="single"/>
          <w:lang w:eastAsia="zh-CN"/>
        </w:rPr>
        <w:t>（</w:t>
      </w:r>
      <w:r>
        <w:rPr>
          <w:rFonts w:hint="eastAsia"/>
          <w:color w:val="auto"/>
          <w:highlight w:val="none"/>
          <w:u w:val="single"/>
        </w:rPr>
        <w:t>3</w:t>
      </w:r>
      <w:r>
        <w:rPr>
          <w:rFonts w:hint="eastAsia"/>
          <w:color w:val="auto"/>
          <w:highlight w:val="none"/>
          <w:u w:val="single"/>
          <w:lang w:eastAsia="zh-CN"/>
        </w:rPr>
        <w:t>）</w:t>
      </w:r>
      <w:r>
        <w:rPr>
          <w:rFonts w:hint="eastAsia"/>
          <w:color w:val="auto"/>
          <w:highlight w:val="none"/>
          <w:u w:val="single"/>
        </w:rPr>
        <w:t xml:space="preserve"> 对施工中的地上地下建筑物</w:t>
      </w:r>
      <w:r>
        <w:rPr>
          <w:rFonts w:hint="eastAsia"/>
          <w:color w:val="auto"/>
          <w:highlight w:val="none"/>
          <w:u w:val="single"/>
          <w:lang w:eastAsia="zh-CN"/>
        </w:rPr>
        <w:t>（</w:t>
      </w:r>
      <w:r>
        <w:rPr>
          <w:rFonts w:hint="eastAsia"/>
          <w:color w:val="auto"/>
          <w:highlight w:val="none"/>
          <w:u w:val="single"/>
        </w:rPr>
        <w:t>构筑物</w:t>
      </w:r>
      <w:r>
        <w:rPr>
          <w:rFonts w:hint="eastAsia"/>
          <w:color w:val="auto"/>
          <w:highlight w:val="none"/>
          <w:u w:val="single"/>
          <w:lang w:eastAsia="zh-CN"/>
        </w:rPr>
        <w:t>）</w:t>
      </w:r>
      <w:r>
        <w:rPr>
          <w:rFonts w:hint="eastAsia"/>
          <w:color w:val="auto"/>
          <w:highlight w:val="none"/>
          <w:u w:val="single"/>
        </w:rPr>
        <w:t>管线、电力设施等应按有关规定加强监控测量和保护，相应的费用或因保护不当造成的损失及法律责任由承包人承担。</w:t>
      </w:r>
      <w:r>
        <w:rPr>
          <w:rFonts w:hint="eastAsia"/>
          <w:color w:val="auto"/>
          <w:highlight w:val="none"/>
          <w:u w:val="single"/>
          <w:lang w:eastAsia="zh-CN"/>
        </w:rPr>
        <w:t>（</w:t>
      </w:r>
      <w:r>
        <w:rPr>
          <w:rFonts w:hint="eastAsia"/>
          <w:color w:val="auto"/>
          <w:highlight w:val="none"/>
          <w:u w:val="single"/>
        </w:rPr>
        <w:t>4</w:t>
      </w:r>
      <w:r>
        <w:rPr>
          <w:rFonts w:hint="eastAsia"/>
          <w:color w:val="auto"/>
          <w:highlight w:val="none"/>
          <w:u w:val="single"/>
          <w:lang w:eastAsia="zh-CN"/>
        </w:rPr>
        <w:t>）</w:t>
      </w:r>
      <w:r>
        <w:rPr>
          <w:rFonts w:hint="eastAsia"/>
          <w:color w:val="auto"/>
          <w:highlight w:val="none"/>
          <w:u w:val="single"/>
        </w:rPr>
        <w:t>环境保护工作属承包方范围内的由承包方全权负责，执行国家和广西区、北海市的相关规定。施工现场内不得随地抛洒剩饭及生活垃圾等，更不能将其随意倒至施工区外，施工区内不得随处大小便。做到工完场地清。</w:t>
      </w:r>
      <w:r>
        <w:rPr>
          <w:rFonts w:hint="eastAsia"/>
          <w:color w:val="auto"/>
          <w:highlight w:val="none"/>
          <w:u w:val="single"/>
          <w:lang w:eastAsia="zh-CN"/>
        </w:rPr>
        <w:t>（</w:t>
      </w:r>
      <w:r>
        <w:rPr>
          <w:rFonts w:hint="eastAsia"/>
          <w:color w:val="auto"/>
          <w:highlight w:val="none"/>
          <w:u w:val="single"/>
        </w:rPr>
        <w:t>5</w:t>
      </w:r>
      <w:r>
        <w:rPr>
          <w:rFonts w:hint="eastAsia"/>
          <w:color w:val="auto"/>
          <w:highlight w:val="none"/>
          <w:u w:val="single"/>
          <w:lang w:eastAsia="zh-CN"/>
        </w:rPr>
        <w:t>）</w:t>
      </w:r>
      <w:r>
        <w:rPr>
          <w:rFonts w:hint="eastAsia"/>
          <w:color w:val="auto"/>
          <w:highlight w:val="none"/>
          <w:u w:val="single"/>
        </w:rPr>
        <w:t>施工机械设备进场前，应做好清洁、保养和维护工作。出场车辆应有专人打扫、清洗。有密封要求的按规定必须达到。</w:t>
      </w:r>
      <w:r>
        <w:rPr>
          <w:rFonts w:hint="eastAsia"/>
          <w:color w:val="auto"/>
          <w:highlight w:val="none"/>
          <w:u w:val="single"/>
          <w:lang w:eastAsia="zh-CN"/>
        </w:rPr>
        <w:t>（</w:t>
      </w:r>
      <w:r>
        <w:rPr>
          <w:rFonts w:hint="eastAsia"/>
          <w:color w:val="auto"/>
          <w:highlight w:val="none"/>
          <w:u w:val="single"/>
        </w:rPr>
        <w:t>6</w:t>
      </w:r>
      <w:r>
        <w:rPr>
          <w:rFonts w:hint="eastAsia"/>
          <w:color w:val="auto"/>
          <w:highlight w:val="none"/>
          <w:u w:val="single"/>
          <w:lang w:eastAsia="zh-CN"/>
        </w:rPr>
        <w:t>）</w:t>
      </w:r>
      <w:r>
        <w:rPr>
          <w:rFonts w:hint="eastAsia"/>
          <w:color w:val="auto"/>
          <w:highlight w:val="none"/>
          <w:u w:val="single"/>
        </w:rPr>
        <w:t>施工期间必须保证周边单位的正常工作及居民的正常生活，尽量减少粉尘、噪声、振动等污染的扰民。必须按北海市有关部门的临时要求，调整作业方式，调整作业时间，停止高粉尘、高噪音作业或爆破作业等。</w:t>
      </w:r>
      <w:r>
        <w:rPr>
          <w:rFonts w:hint="eastAsia"/>
          <w:color w:val="auto"/>
          <w:highlight w:val="none"/>
          <w:u w:val="single"/>
          <w:lang w:eastAsia="zh-CN"/>
        </w:rPr>
        <w:t>（</w:t>
      </w:r>
      <w:r>
        <w:rPr>
          <w:rFonts w:hint="eastAsia"/>
          <w:color w:val="auto"/>
          <w:highlight w:val="none"/>
          <w:u w:val="single"/>
        </w:rPr>
        <w:t>7</w:t>
      </w:r>
      <w:r>
        <w:rPr>
          <w:rFonts w:hint="eastAsia"/>
          <w:color w:val="auto"/>
          <w:highlight w:val="none"/>
          <w:u w:val="single"/>
          <w:lang w:eastAsia="zh-CN"/>
        </w:rPr>
        <w:t>）</w:t>
      </w:r>
      <w:r>
        <w:rPr>
          <w:rFonts w:hint="eastAsia"/>
          <w:color w:val="auto"/>
          <w:highlight w:val="none"/>
          <w:u w:val="single"/>
        </w:rPr>
        <w:t>保证周围建</w:t>
      </w:r>
      <w:r>
        <w:rPr>
          <w:rFonts w:hint="eastAsia"/>
          <w:color w:val="auto"/>
          <w:highlight w:val="none"/>
          <w:u w:val="single"/>
          <w:lang w:eastAsia="zh-CN"/>
        </w:rPr>
        <w:t>（</w:t>
      </w:r>
      <w:r>
        <w:rPr>
          <w:rFonts w:hint="eastAsia"/>
          <w:color w:val="auto"/>
          <w:highlight w:val="none"/>
          <w:u w:val="single"/>
        </w:rPr>
        <w:t>构</w:t>
      </w:r>
      <w:r>
        <w:rPr>
          <w:rFonts w:hint="eastAsia"/>
          <w:color w:val="auto"/>
          <w:highlight w:val="none"/>
          <w:u w:val="single"/>
          <w:lang w:eastAsia="zh-CN"/>
        </w:rPr>
        <w:t>）</w:t>
      </w:r>
      <w:r>
        <w:rPr>
          <w:rFonts w:hint="eastAsia"/>
          <w:color w:val="auto"/>
          <w:highlight w:val="none"/>
          <w:u w:val="single"/>
        </w:rPr>
        <w:t>筑物、地下及地上管线、地下人防等设施安全。</w:t>
      </w:r>
      <w:r>
        <w:rPr>
          <w:rFonts w:hint="eastAsia"/>
          <w:color w:val="auto"/>
          <w:highlight w:val="none"/>
          <w:u w:val="single"/>
          <w:lang w:eastAsia="zh-CN"/>
        </w:rPr>
        <w:t>（</w:t>
      </w:r>
      <w:r>
        <w:rPr>
          <w:rFonts w:hint="eastAsia"/>
          <w:color w:val="auto"/>
          <w:highlight w:val="none"/>
          <w:u w:val="single"/>
        </w:rPr>
        <w:t>8</w:t>
      </w:r>
      <w:r>
        <w:rPr>
          <w:rFonts w:hint="eastAsia"/>
          <w:color w:val="auto"/>
          <w:highlight w:val="none"/>
          <w:u w:val="single"/>
          <w:lang w:eastAsia="zh-CN"/>
        </w:rPr>
        <w:t>）</w:t>
      </w:r>
      <w:r>
        <w:rPr>
          <w:rFonts w:hint="eastAsia"/>
          <w:color w:val="auto"/>
          <w:highlight w:val="none"/>
          <w:u w:val="single"/>
        </w:rPr>
        <w:t>做到进入现场的施工和作业人员统一着装，配证上岗，文明施工。</w:t>
      </w:r>
      <w:r>
        <w:rPr>
          <w:rFonts w:hint="eastAsia"/>
          <w:color w:val="auto"/>
          <w:highlight w:val="none"/>
          <w:u w:val="single"/>
          <w:lang w:eastAsia="zh-CN"/>
        </w:rPr>
        <w:t>（</w:t>
      </w:r>
      <w:r>
        <w:rPr>
          <w:rFonts w:hint="eastAsia"/>
          <w:color w:val="auto"/>
          <w:highlight w:val="none"/>
          <w:u w:val="single"/>
        </w:rPr>
        <w:t>9</w:t>
      </w:r>
      <w:r>
        <w:rPr>
          <w:rFonts w:hint="eastAsia"/>
          <w:color w:val="auto"/>
          <w:highlight w:val="none"/>
          <w:u w:val="single"/>
          <w:lang w:eastAsia="zh-CN"/>
        </w:rPr>
        <w:t>）</w:t>
      </w:r>
      <w:r>
        <w:rPr>
          <w:rFonts w:hint="eastAsia"/>
          <w:color w:val="auto"/>
          <w:highlight w:val="none"/>
          <w:u w:val="single"/>
        </w:rPr>
        <w:t>承包方施工现场临时加工区、库房等围墙</w:t>
      </w:r>
      <w:r>
        <w:rPr>
          <w:rFonts w:hint="eastAsia"/>
          <w:color w:val="auto"/>
          <w:highlight w:val="none"/>
          <w:u w:val="single"/>
          <w:lang w:eastAsia="zh-CN"/>
        </w:rPr>
        <w:t>（</w:t>
      </w:r>
      <w:r>
        <w:rPr>
          <w:rFonts w:hint="eastAsia"/>
          <w:color w:val="auto"/>
          <w:highlight w:val="none"/>
          <w:u w:val="single"/>
        </w:rPr>
        <w:t>围挡</w:t>
      </w:r>
      <w:r>
        <w:rPr>
          <w:rFonts w:hint="eastAsia"/>
          <w:color w:val="auto"/>
          <w:highlight w:val="none"/>
          <w:u w:val="single"/>
          <w:lang w:eastAsia="zh-CN"/>
        </w:rPr>
        <w:t>）</w:t>
      </w:r>
      <w:r>
        <w:rPr>
          <w:rFonts w:hint="eastAsia"/>
          <w:color w:val="auto"/>
          <w:highlight w:val="none"/>
          <w:u w:val="single"/>
        </w:rPr>
        <w:t>等维护设施应安全、美观、耐久，非施工相关人员不许入内</w:t>
      </w:r>
      <w:r>
        <w:rPr>
          <w:color w:val="auto"/>
          <w:highlight w:val="none"/>
          <w:u w:val="single"/>
        </w:rPr>
        <w:t xml:space="preserve">  </w:t>
      </w:r>
      <w:r>
        <w:rPr>
          <w:rFonts w:hint="eastAsia" w:cs="宋体"/>
          <w:color w:val="auto"/>
          <w:highlight w:val="none"/>
        </w:rPr>
        <w:t>。</w:t>
      </w:r>
    </w:p>
    <w:p w14:paraId="720A0DFE">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color w:val="auto"/>
          <w:highlight w:val="none"/>
        </w:rPr>
        <w:t>6.1.6</w:t>
      </w:r>
      <w:r>
        <w:rPr>
          <w:rFonts w:hAnsi="宋体" w:cs="宋体"/>
          <w:color w:val="auto"/>
          <w:kern w:val="0"/>
          <w:highlight w:val="none"/>
        </w:rPr>
        <w:t>关于安全</w:t>
      </w:r>
      <w:r>
        <w:rPr>
          <w:rFonts w:hint="eastAsia" w:hAnsi="宋体" w:cs="宋体"/>
          <w:color w:val="auto"/>
          <w:kern w:val="0"/>
          <w:highlight w:val="none"/>
        </w:rPr>
        <w:t>生产</w:t>
      </w:r>
      <w:r>
        <w:rPr>
          <w:rFonts w:hAnsi="宋体" w:cs="宋体"/>
          <w:color w:val="auto"/>
          <w:kern w:val="0"/>
          <w:highlight w:val="none"/>
        </w:rPr>
        <w:t>费</w:t>
      </w:r>
      <w:r>
        <w:rPr>
          <w:rFonts w:hint="eastAsia" w:hAnsi="宋体" w:cs="宋体"/>
          <w:color w:val="auto"/>
          <w:kern w:val="0"/>
          <w:highlight w:val="none"/>
        </w:rPr>
        <w:t>总额、</w:t>
      </w:r>
      <w:r>
        <w:rPr>
          <w:rFonts w:hAnsi="宋体" w:cs="宋体"/>
          <w:color w:val="auto"/>
          <w:kern w:val="0"/>
          <w:highlight w:val="none"/>
        </w:rPr>
        <w:t>支付比例</w:t>
      </w:r>
      <w:r>
        <w:rPr>
          <w:rFonts w:hint="eastAsia" w:hAnsi="宋体" w:cs="宋体"/>
          <w:color w:val="auto"/>
          <w:kern w:val="0"/>
          <w:highlight w:val="none"/>
        </w:rPr>
        <w:t>、</w:t>
      </w:r>
      <w:r>
        <w:rPr>
          <w:rFonts w:hAnsi="宋体" w:cs="宋体"/>
          <w:color w:val="auto"/>
          <w:kern w:val="0"/>
          <w:highlight w:val="none"/>
        </w:rPr>
        <w:t>支付期限</w:t>
      </w:r>
      <w:r>
        <w:rPr>
          <w:rFonts w:hint="eastAsia" w:hAnsi="宋体" w:cs="宋体"/>
          <w:color w:val="auto"/>
          <w:kern w:val="0"/>
          <w:highlight w:val="none"/>
        </w:rPr>
        <w:t>、转入和结余收回</w:t>
      </w:r>
      <w:r>
        <w:rPr>
          <w:rFonts w:hAnsi="宋体" w:cs="宋体"/>
          <w:color w:val="auto"/>
          <w:kern w:val="0"/>
          <w:highlight w:val="none"/>
        </w:rPr>
        <w:t>的约定：</w:t>
      </w:r>
    </w:p>
    <w:p w14:paraId="26DC576F">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1</w:t>
      </w:r>
      <w:r>
        <w:rPr>
          <w:rFonts w:hint="eastAsia" w:hAnsi="宋体" w:cs="宋体"/>
          <w:color w:val="auto"/>
          <w:kern w:val="0"/>
          <w:highlight w:val="none"/>
        </w:rPr>
        <w:t>）本合同价款已包含安全文明施工费</w:t>
      </w:r>
      <w:r>
        <w:rPr>
          <w:rFonts w:hAnsi="宋体"/>
          <w:color w:val="auto"/>
          <w:kern w:val="0"/>
          <w:highlight w:val="none"/>
          <w:u w:val="single"/>
        </w:rPr>
        <w:t xml:space="preserve">           </w:t>
      </w:r>
      <w:r>
        <w:rPr>
          <w:rFonts w:hint="eastAsia" w:hAnsi="宋体" w:cs="宋体"/>
          <w:color w:val="auto"/>
          <w:kern w:val="0"/>
          <w:highlight w:val="none"/>
        </w:rPr>
        <w:t>元。</w:t>
      </w:r>
    </w:p>
    <w:p w14:paraId="7DA68C67">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Ansi="宋体"/>
          <w:color w:val="auto"/>
          <w:kern w:val="0"/>
          <w:highlight w:val="none"/>
        </w:rPr>
      </w:pPr>
      <w:r>
        <w:rPr>
          <w:rFonts w:hint="eastAsia" w:hAnsi="宋体" w:cs="宋体"/>
          <w:color w:val="auto"/>
          <w:kern w:val="0"/>
          <w:highlight w:val="none"/>
        </w:rPr>
        <w:t>（</w:t>
      </w:r>
      <w:r>
        <w:rPr>
          <w:rFonts w:hAnsi="宋体"/>
          <w:color w:val="auto"/>
          <w:kern w:val="0"/>
          <w:highlight w:val="none"/>
        </w:rPr>
        <w:t>2</w:t>
      </w:r>
      <w:r>
        <w:rPr>
          <w:rFonts w:hint="eastAsia" w:hAnsi="宋体" w:cs="宋体"/>
          <w:color w:val="auto"/>
          <w:kern w:val="0"/>
          <w:highlight w:val="none"/>
        </w:rPr>
        <w:t>）使用要求：专款专用。具体按</w:t>
      </w:r>
      <w:r>
        <w:rPr>
          <w:rFonts w:hint="eastAsia" w:hAnsi="宋体" w:cs="宋体"/>
          <w:color w:val="auto"/>
          <w:kern w:val="0"/>
          <w:highlight w:val="none"/>
          <w:u w:val="single"/>
        </w:rPr>
        <w:t>《广西壮族自治区建设工程安全文明施工费使用管理细则》（桂建质〔</w:t>
      </w:r>
      <w:r>
        <w:rPr>
          <w:rFonts w:hAnsi="宋体"/>
          <w:color w:val="auto"/>
          <w:kern w:val="0"/>
          <w:highlight w:val="none"/>
          <w:u w:val="single"/>
        </w:rPr>
        <w:t>2015</w:t>
      </w:r>
      <w:r>
        <w:rPr>
          <w:rFonts w:hint="eastAsia" w:hAnsi="宋体" w:cs="宋体"/>
          <w:color w:val="auto"/>
          <w:kern w:val="0"/>
          <w:highlight w:val="none"/>
          <w:u w:val="single"/>
        </w:rPr>
        <w:t>〕</w:t>
      </w:r>
      <w:r>
        <w:rPr>
          <w:rFonts w:hAnsi="宋体"/>
          <w:color w:val="auto"/>
          <w:kern w:val="0"/>
          <w:highlight w:val="none"/>
          <w:u w:val="single"/>
        </w:rPr>
        <w:t>16</w:t>
      </w:r>
      <w:r>
        <w:rPr>
          <w:rFonts w:hint="eastAsia" w:hAnsi="宋体" w:cs="宋体"/>
          <w:color w:val="auto"/>
          <w:kern w:val="0"/>
          <w:highlight w:val="none"/>
          <w:u w:val="single"/>
        </w:rPr>
        <w:t>号）</w:t>
      </w:r>
      <w:r>
        <w:rPr>
          <w:rFonts w:hint="eastAsia" w:hAnsi="宋体" w:cs="宋体"/>
          <w:color w:val="auto"/>
          <w:kern w:val="0"/>
          <w:highlight w:val="none"/>
        </w:rPr>
        <w:t>和</w:t>
      </w:r>
      <w:r>
        <w:rPr>
          <w:rFonts w:hAnsi="宋体"/>
          <w:color w:val="auto"/>
          <w:kern w:val="0"/>
          <w:highlight w:val="none"/>
          <w:u w:val="single"/>
        </w:rPr>
        <w:t xml:space="preserve">  </w:t>
      </w:r>
      <w:r>
        <w:rPr>
          <w:rFonts w:hint="eastAsia" w:hAnsi="宋体"/>
          <w:color w:val="auto"/>
          <w:kern w:val="0"/>
          <w:highlight w:val="none"/>
          <w:u w:val="single"/>
          <w:lang w:val="en-US" w:eastAsia="zh-CN"/>
        </w:rPr>
        <w:t>北海</w:t>
      </w:r>
      <w:r>
        <w:rPr>
          <w:rFonts w:hAnsi="宋体"/>
          <w:color w:val="auto"/>
          <w:kern w:val="0"/>
          <w:highlight w:val="none"/>
          <w:u w:val="single"/>
        </w:rPr>
        <w:t xml:space="preserve">  </w:t>
      </w:r>
      <w:r>
        <w:rPr>
          <w:rFonts w:hint="eastAsia" w:hAnsi="宋体" w:cs="宋体"/>
          <w:color w:val="auto"/>
          <w:kern w:val="0"/>
          <w:highlight w:val="none"/>
        </w:rPr>
        <w:t>市相关规定执行。</w:t>
      </w:r>
    </w:p>
    <w:p w14:paraId="61E1A2D1">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Ansi="宋体" w:cs="宋体"/>
          <w:color w:val="auto"/>
          <w:kern w:val="0"/>
          <w:highlight w:val="none"/>
        </w:rPr>
      </w:pPr>
      <w:r>
        <w:rPr>
          <w:rFonts w:hint="eastAsia" w:hAnsi="宋体" w:cs="宋体"/>
          <w:color w:val="auto"/>
          <w:kern w:val="0"/>
          <w:highlight w:val="none"/>
        </w:rPr>
        <w:t>（</w:t>
      </w:r>
      <w:r>
        <w:rPr>
          <w:rFonts w:hAnsi="宋体"/>
          <w:color w:val="auto"/>
          <w:kern w:val="0"/>
          <w:highlight w:val="none"/>
        </w:rPr>
        <w:t>3</w:t>
      </w:r>
      <w:r>
        <w:rPr>
          <w:rFonts w:hint="eastAsia" w:hAnsi="宋体" w:cs="宋体"/>
          <w:color w:val="auto"/>
          <w:kern w:val="0"/>
          <w:highlight w:val="none"/>
        </w:rPr>
        <w:t>）支付约定：</w:t>
      </w:r>
      <w:r>
        <w:rPr>
          <w:rFonts w:hint="eastAsia" w:cs="宋体"/>
          <w:color w:val="auto"/>
          <w:kern w:val="0"/>
          <w:highlight w:val="none"/>
        </w:rPr>
        <w:t>在本合同签订后</w:t>
      </w:r>
      <w:r>
        <w:rPr>
          <w:rFonts w:hint="eastAsia"/>
          <w:color w:val="auto"/>
          <w:kern w:val="0"/>
          <w:highlight w:val="none"/>
          <w:lang w:val="en-US" w:eastAsia="zh-CN"/>
        </w:rPr>
        <w:t>28</w:t>
      </w:r>
      <w:r>
        <w:rPr>
          <w:rFonts w:hint="eastAsia" w:cs="宋体"/>
          <w:color w:val="auto"/>
          <w:kern w:val="0"/>
          <w:highlight w:val="none"/>
        </w:rPr>
        <w:t>个工作日内，预付安全文明施工费总额的   %，其余部分与进度款同期支付，安全文明施工费预付款在工程进度款累计金额超过合同价的   %时开始起扣，每月从支付给承包商的工程款内按安全文明预付款占合同总价的同一百分比扣回</w:t>
      </w:r>
      <w:r>
        <w:rPr>
          <w:rFonts w:hint="eastAsia" w:hAnsi="宋体" w:cs="宋体"/>
          <w:color w:val="auto"/>
          <w:kern w:val="0"/>
          <w:highlight w:val="none"/>
        </w:rPr>
        <w:t>。</w:t>
      </w:r>
    </w:p>
    <w:p w14:paraId="0728618D">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int="eastAsia" w:hAnsi="宋体"/>
          <w:color w:val="auto"/>
          <w:kern w:val="0"/>
          <w:highlight w:val="none"/>
        </w:rPr>
      </w:pPr>
      <w:r>
        <w:rPr>
          <w:rFonts w:hint="eastAsia" w:hAnsi="宋体" w:cs="宋体"/>
          <w:color w:val="auto"/>
          <w:kern w:val="0"/>
          <w:highlight w:val="none"/>
        </w:rPr>
        <w:t>（4）安全生产费用专户：</w:t>
      </w:r>
      <w:r>
        <w:rPr>
          <w:rFonts w:hAnsi="宋体" w:cs="宋体"/>
          <w:color w:val="auto"/>
          <w:kern w:val="0"/>
          <w:highlight w:val="none"/>
        </w:rPr>
        <w:t>××××</w:t>
      </w:r>
      <w:r>
        <w:rPr>
          <w:rFonts w:hint="eastAsia" w:hAnsi="宋体" w:cs="宋体"/>
          <w:color w:val="auto"/>
          <w:kern w:val="0"/>
          <w:highlight w:val="none"/>
        </w:rPr>
        <w:t>公司安全生产费用专户。账号：</w:t>
      </w:r>
      <w:r>
        <w:rPr>
          <w:rFonts w:hAnsi="宋体" w:cs="宋体"/>
          <w:color w:val="auto"/>
          <w:kern w:val="0"/>
          <w:highlight w:val="none"/>
        </w:rPr>
        <w:t xml:space="preserve"> </w:t>
      </w:r>
      <w:r>
        <w:rPr>
          <w:rFonts w:hint="eastAsia" w:hAnsi="宋体" w:cs="宋体"/>
          <w:color w:val="auto"/>
          <w:kern w:val="0"/>
          <w:highlight w:val="none"/>
        </w:rPr>
        <w:t xml:space="preserve">                。</w:t>
      </w:r>
    </w:p>
    <w:p w14:paraId="0822773F">
      <w:pPr>
        <w:pStyle w:val="6"/>
        <w:pageBreakBefore w:val="0"/>
        <w:widowControl w:val="0"/>
        <w:kinsoku/>
        <w:wordWrap/>
        <w:overflowPunct/>
        <w:topLinePunct w:val="0"/>
        <w:bidi w:val="0"/>
        <w:spacing w:before="0" w:after="0" w:line="360" w:lineRule="auto"/>
        <w:textAlignment w:val="auto"/>
        <w:rPr>
          <w:color w:val="auto"/>
          <w:highlight w:val="none"/>
        </w:rPr>
      </w:pPr>
      <w:bookmarkStart w:id="390" w:name="_Toc389065287"/>
      <w:bookmarkStart w:id="391" w:name="_Toc407135223"/>
      <w:bookmarkStart w:id="392" w:name="_Toc1922268668"/>
      <w:bookmarkStart w:id="393" w:name="_Toc1076"/>
      <w:bookmarkStart w:id="394" w:name="_Toc373478368"/>
      <w:bookmarkStart w:id="395" w:name="_Toc78449809"/>
      <w:bookmarkStart w:id="396" w:name="_Toc373227721"/>
      <w:r>
        <w:rPr>
          <w:color w:val="auto"/>
          <w:highlight w:val="none"/>
        </w:rPr>
        <w:t xml:space="preserve">6.3 </w:t>
      </w:r>
      <w:r>
        <w:rPr>
          <w:rFonts w:hint="eastAsia" w:hAnsi="宋体" w:cs="黑体"/>
          <w:color w:val="auto"/>
          <w:highlight w:val="none"/>
        </w:rPr>
        <w:t>环境保护</w:t>
      </w:r>
      <w:bookmarkEnd w:id="390"/>
      <w:bookmarkEnd w:id="391"/>
      <w:bookmarkEnd w:id="392"/>
      <w:bookmarkEnd w:id="393"/>
      <w:bookmarkEnd w:id="394"/>
      <w:bookmarkEnd w:id="395"/>
      <w:bookmarkEnd w:id="396"/>
    </w:p>
    <w:p w14:paraId="14A0D25D">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u w:val="single"/>
        </w:rPr>
        <w:t>因施工需要，经发包人批准，由承包人办理有关施工场地交通、环卫和施工噪音管理等手续，费用由承包人负责。</w:t>
      </w:r>
    </w:p>
    <w:p w14:paraId="6758BB89">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u w:val="single"/>
        </w:rPr>
        <w:t>经过城市道路的施工车辆，必须按交警、城管、运输等部门相关规定执行。由于施工车辆造成的道路、环境等污染，其责任和费用均由承包人承担。</w:t>
      </w:r>
    </w:p>
    <w:bookmarkEnd w:id="368"/>
    <w:bookmarkEnd w:id="369"/>
    <w:bookmarkEnd w:id="370"/>
    <w:bookmarkEnd w:id="371"/>
    <w:bookmarkEnd w:id="372"/>
    <w:bookmarkEnd w:id="373"/>
    <w:bookmarkEnd w:id="374"/>
    <w:p w14:paraId="68F99E7C">
      <w:pPr>
        <w:pStyle w:val="5"/>
        <w:pageBreakBefore w:val="0"/>
        <w:widowControl w:val="0"/>
        <w:kinsoku/>
        <w:wordWrap/>
        <w:overflowPunct/>
        <w:topLinePunct w:val="0"/>
        <w:bidi w:val="0"/>
        <w:spacing w:before="0" w:after="0" w:line="360" w:lineRule="auto"/>
        <w:textAlignment w:val="auto"/>
        <w:rPr>
          <w:color w:val="auto"/>
          <w:highlight w:val="none"/>
        </w:rPr>
      </w:pPr>
      <w:bookmarkStart w:id="397" w:name="_Toc1408286886"/>
      <w:bookmarkStart w:id="398" w:name="_Toc389065288"/>
      <w:bookmarkStart w:id="399" w:name="_Toc351203639"/>
      <w:bookmarkStart w:id="400" w:name="_Toc10420"/>
      <w:bookmarkStart w:id="401" w:name="_Toc373478369"/>
      <w:bookmarkStart w:id="402" w:name="_Toc373227722"/>
      <w:bookmarkStart w:id="403" w:name="_Toc78449810"/>
      <w:bookmarkStart w:id="404" w:name="_Toc407135224"/>
      <w:r>
        <w:rPr>
          <w:color w:val="auto"/>
          <w:highlight w:val="none"/>
        </w:rPr>
        <w:t xml:space="preserve">7. </w:t>
      </w:r>
      <w:r>
        <w:rPr>
          <w:rFonts w:hint="eastAsia" w:cs="黑体"/>
          <w:color w:val="auto"/>
          <w:highlight w:val="none"/>
        </w:rPr>
        <w:t>工期和进度</w:t>
      </w:r>
      <w:bookmarkEnd w:id="397"/>
      <w:bookmarkEnd w:id="398"/>
      <w:bookmarkEnd w:id="399"/>
      <w:bookmarkEnd w:id="400"/>
      <w:bookmarkEnd w:id="401"/>
      <w:bookmarkEnd w:id="402"/>
      <w:bookmarkEnd w:id="403"/>
      <w:bookmarkEnd w:id="404"/>
    </w:p>
    <w:p w14:paraId="76EFF6B3">
      <w:pPr>
        <w:pStyle w:val="6"/>
        <w:pageBreakBefore w:val="0"/>
        <w:widowControl w:val="0"/>
        <w:kinsoku/>
        <w:wordWrap/>
        <w:overflowPunct/>
        <w:topLinePunct w:val="0"/>
        <w:bidi w:val="0"/>
        <w:spacing w:before="0" w:after="0" w:line="360" w:lineRule="auto"/>
        <w:textAlignment w:val="auto"/>
        <w:rPr>
          <w:color w:val="auto"/>
          <w:highlight w:val="none"/>
        </w:rPr>
      </w:pPr>
      <w:bookmarkStart w:id="405" w:name="_Toc389065289"/>
      <w:bookmarkStart w:id="406" w:name="_Toc78449811"/>
      <w:bookmarkStart w:id="407" w:name="_Toc373478370"/>
      <w:bookmarkStart w:id="408" w:name="_Toc407135225"/>
      <w:bookmarkStart w:id="409" w:name="_Toc1194482517"/>
      <w:bookmarkStart w:id="410" w:name="_Toc373227723"/>
      <w:bookmarkStart w:id="411" w:name="_Toc18892"/>
      <w:r>
        <w:rPr>
          <w:color w:val="auto"/>
          <w:highlight w:val="none"/>
        </w:rPr>
        <w:t xml:space="preserve">7.1 </w:t>
      </w:r>
      <w:r>
        <w:rPr>
          <w:rFonts w:hint="eastAsia" w:cs="黑体"/>
          <w:color w:val="auto"/>
          <w:highlight w:val="none"/>
        </w:rPr>
        <w:t>施工组织设计</w:t>
      </w:r>
      <w:bookmarkEnd w:id="405"/>
      <w:bookmarkEnd w:id="406"/>
      <w:bookmarkEnd w:id="407"/>
      <w:bookmarkEnd w:id="408"/>
      <w:bookmarkEnd w:id="409"/>
      <w:bookmarkEnd w:id="410"/>
      <w:bookmarkEnd w:id="411"/>
    </w:p>
    <w:p w14:paraId="1194B697">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u w:val="single"/>
        </w:rPr>
      </w:pPr>
      <w:r>
        <w:rPr>
          <w:color w:val="auto"/>
          <w:highlight w:val="none"/>
        </w:rPr>
        <w:t xml:space="preserve">7.1.1 </w:t>
      </w:r>
      <w:r>
        <w:rPr>
          <w:rFonts w:hint="eastAsia" w:hAnsi="宋体" w:cs="宋体"/>
          <w:color w:val="auto"/>
          <w:highlight w:val="none"/>
        </w:rPr>
        <w:t>合</w:t>
      </w:r>
      <w:r>
        <w:rPr>
          <w:rFonts w:hint="eastAsia" w:hAnsi="宋体" w:cs="宋体"/>
          <w:color w:val="auto"/>
          <w:kern w:val="0"/>
          <w:highlight w:val="none"/>
        </w:rPr>
        <w:t>同当事人约定的施工组织设计应包括的其他内容：</w:t>
      </w:r>
      <w:r>
        <w:rPr>
          <w:color w:val="auto"/>
          <w:highlight w:val="none"/>
          <w:u w:val="single"/>
        </w:rPr>
        <w:t xml:space="preserve"> </w:t>
      </w:r>
      <w:r>
        <w:rPr>
          <w:rFonts w:hint="eastAsia"/>
          <w:color w:val="auto"/>
          <w:highlight w:val="none"/>
          <w:u w:val="single"/>
        </w:rPr>
        <w:t>按专业要求编制施工组织设计和专项施工方案。其中施工方案中的重要节点工期必须细化到具体日历天，发包人将以该节点工期为工程形象进度作为确定和拨付工程进度款和考核工期的重要依据</w:t>
      </w:r>
      <w:r>
        <w:rPr>
          <w:color w:val="auto"/>
          <w:highlight w:val="none"/>
          <w:u w:val="single"/>
        </w:rPr>
        <w:t xml:space="preserve"> </w:t>
      </w:r>
      <w:r>
        <w:rPr>
          <w:rFonts w:hint="eastAsia" w:hAnsi="宋体" w:cs="宋体"/>
          <w:color w:val="auto"/>
          <w:highlight w:val="none"/>
        </w:rPr>
        <w:t>。</w:t>
      </w:r>
    </w:p>
    <w:p w14:paraId="4B4930EE">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color w:val="auto"/>
          <w:highlight w:val="none"/>
        </w:rPr>
        <w:t xml:space="preserve">7.1.2 </w:t>
      </w:r>
      <w:r>
        <w:rPr>
          <w:rFonts w:hint="eastAsia" w:hAnsi="宋体" w:cs="宋体"/>
          <w:color w:val="auto"/>
          <w:kern w:val="0"/>
          <w:highlight w:val="none"/>
        </w:rPr>
        <w:t>施工组织设计的提交和修改</w:t>
      </w:r>
    </w:p>
    <w:p w14:paraId="6B268A11">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承包人提交详细施工组织设计的期限的约定：</w:t>
      </w:r>
      <w:r>
        <w:rPr>
          <w:color w:val="auto"/>
          <w:highlight w:val="none"/>
          <w:u w:val="single"/>
        </w:rPr>
        <w:t xml:space="preserve">   </w:t>
      </w:r>
      <w:r>
        <w:rPr>
          <w:rFonts w:hint="eastAsia"/>
          <w:color w:val="auto"/>
          <w:highlight w:val="none"/>
          <w:u w:val="single"/>
        </w:rPr>
        <w:t>在收到监理人发出的开工通知后7天内</w:t>
      </w:r>
      <w:r>
        <w:rPr>
          <w:color w:val="auto"/>
          <w:highlight w:val="none"/>
          <w:u w:val="single"/>
        </w:rPr>
        <w:t xml:space="preserve">  </w:t>
      </w:r>
      <w:r>
        <w:rPr>
          <w:rFonts w:hint="eastAsia" w:hAnsi="宋体" w:cs="宋体"/>
          <w:color w:val="auto"/>
          <w:highlight w:val="none"/>
        </w:rPr>
        <w:t>。</w:t>
      </w:r>
    </w:p>
    <w:p w14:paraId="5E0E5B42">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发包人和监理人在收到详细的施工组织设计后确认或提出修改意见的期限：</w:t>
      </w:r>
      <w:r>
        <w:rPr>
          <w:color w:val="auto"/>
          <w:highlight w:val="none"/>
          <w:u w:val="single"/>
        </w:rPr>
        <w:t xml:space="preserve"> </w:t>
      </w:r>
      <w:r>
        <w:rPr>
          <w:rFonts w:hint="eastAsia"/>
          <w:color w:val="auto"/>
          <w:highlight w:val="none"/>
          <w:u w:val="single"/>
        </w:rPr>
        <w:t>收到相应文件后7天内</w:t>
      </w:r>
      <w:r>
        <w:rPr>
          <w:color w:val="auto"/>
          <w:highlight w:val="none"/>
          <w:u w:val="single"/>
        </w:rPr>
        <w:t xml:space="preserve">  </w:t>
      </w:r>
      <w:r>
        <w:rPr>
          <w:rFonts w:hint="eastAsia" w:hAnsi="宋体" w:cs="宋体"/>
          <w:color w:val="auto"/>
          <w:highlight w:val="none"/>
        </w:rPr>
        <w:t>。</w:t>
      </w:r>
    </w:p>
    <w:p w14:paraId="6D27AC06">
      <w:pPr>
        <w:pStyle w:val="6"/>
        <w:pageBreakBefore w:val="0"/>
        <w:widowControl w:val="0"/>
        <w:kinsoku/>
        <w:wordWrap/>
        <w:overflowPunct/>
        <w:topLinePunct w:val="0"/>
        <w:bidi w:val="0"/>
        <w:spacing w:before="0" w:after="0" w:line="360" w:lineRule="auto"/>
        <w:textAlignment w:val="auto"/>
        <w:rPr>
          <w:color w:val="auto"/>
          <w:highlight w:val="none"/>
        </w:rPr>
      </w:pPr>
      <w:bookmarkStart w:id="412" w:name="_Toc373227724"/>
      <w:bookmarkStart w:id="413" w:name="_Toc1393005721"/>
      <w:bookmarkStart w:id="414" w:name="_Toc20906"/>
      <w:bookmarkStart w:id="415" w:name="_Toc389065290"/>
      <w:bookmarkStart w:id="416" w:name="_Toc78449812"/>
      <w:bookmarkStart w:id="417" w:name="_Toc373478371"/>
      <w:bookmarkStart w:id="418" w:name="_Toc407135226"/>
      <w:r>
        <w:rPr>
          <w:color w:val="auto"/>
          <w:highlight w:val="none"/>
        </w:rPr>
        <w:t>7</w:t>
      </w:r>
      <w:bookmarkStart w:id="419" w:name="_Toc300934966"/>
      <w:bookmarkStart w:id="420" w:name="_Toc303539123"/>
      <w:bookmarkStart w:id="421" w:name="_Toc312677479"/>
      <w:bookmarkStart w:id="422" w:name="_Toc297216173"/>
      <w:bookmarkStart w:id="423" w:name="_Toc297123514"/>
      <w:bookmarkStart w:id="424" w:name="_Toc312678005"/>
      <w:bookmarkStart w:id="425" w:name="_Toc304295541"/>
      <w:r>
        <w:rPr>
          <w:color w:val="auto"/>
          <w:highlight w:val="none"/>
        </w:rPr>
        <w:t xml:space="preserve">.2 </w:t>
      </w:r>
      <w:r>
        <w:rPr>
          <w:rFonts w:hint="eastAsia" w:cs="黑体"/>
          <w:color w:val="auto"/>
          <w:highlight w:val="none"/>
        </w:rPr>
        <w:t>施工进度计划</w:t>
      </w:r>
      <w:bookmarkEnd w:id="412"/>
      <w:bookmarkEnd w:id="413"/>
      <w:bookmarkEnd w:id="414"/>
      <w:bookmarkEnd w:id="415"/>
      <w:bookmarkEnd w:id="416"/>
      <w:bookmarkEnd w:id="417"/>
      <w:bookmarkEnd w:id="418"/>
    </w:p>
    <w:p w14:paraId="75522B0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7.2.2 </w:t>
      </w:r>
      <w:r>
        <w:rPr>
          <w:rFonts w:hint="eastAsia" w:hAnsi="宋体" w:cs="宋体"/>
          <w:color w:val="auto"/>
          <w:highlight w:val="none"/>
        </w:rPr>
        <w:t>施工进度计划的修订</w:t>
      </w:r>
    </w:p>
    <w:p w14:paraId="457118D2">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发包人和监理人在收到修订的施工进度计划后确认或提出修改意见的期限：</w:t>
      </w:r>
      <w:r>
        <w:rPr>
          <w:color w:val="auto"/>
          <w:highlight w:val="none"/>
          <w:u w:val="single"/>
        </w:rPr>
        <w:t xml:space="preserve"> </w:t>
      </w:r>
      <w:r>
        <w:rPr>
          <w:rFonts w:hint="eastAsia"/>
          <w:color w:val="auto"/>
          <w:highlight w:val="none"/>
          <w:u w:val="single"/>
        </w:rPr>
        <w:t>收到相应文件后7天内</w:t>
      </w:r>
      <w:r>
        <w:rPr>
          <w:color w:val="auto"/>
          <w:highlight w:val="none"/>
          <w:u w:val="single"/>
        </w:rPr>
        <w:t xml:space="preserve"> </w:t>
      </w:r>
      <w:r>
        <w:rPr>
          <w:rFonts w:hint="eastAsia" w:hAnsi="宋体" w:cs="宋体"/>
          <w:color w:val="auto"/>
          <w:highlight w:val="none"/>
        </w:rPr>
        <w:t>。</w:t>
      </w:r>
    </w:p>
    <w:p w14:paraId="5C810784">
      <w:pPr>
        <w:pStyle w:val="6"/>
        <w:pageBreakBefore w:val="0"/>
        <w:widowControl w:val="0"/>
        <w:kinsoku/>
        <w:wordWrap/>
        <w:overflowPunct/>
        <w:topLinePunct w:val="0"/>
        <w:bidi w:val="0"/>
        <w:spacing w:before="0" w:after="0" w:line="360" w:lineRule="auto"/>
        <w:textAlignment w:val="auto"/>
        <w:rPr>
          <w:color w:val="auto"/>
          <w:highlight w:val="none"/>
        </w:rPr>
      </w:pPr>
      <w:bookmarkStart w:id="426" w:name="_Toc407135227"/>
      <w:bookmarkStart w:id="427" w:name="_Toc78449813"/>
      <w:bookmarkStart w:id="428" w:name="_Toc389065291"/>
      <w:bookmarkStart w:id="429" w:name="_Toc373227725"/>
      <w:bookmarkStart w:id="430" w:name="_Toc373478372"/>
      <w:bookmarkStart w:id="431" w:name="_Toc423062567"/>
      <w:bookmarkStart w:id="432" w:name="_Toc29648"/>
      <w:r>
        <w:rPr>
          <w:color w:val="auto"/>
          <w:highlight w:val="none"/>
        </w:rPr>
        <w:t xml:space="preserve">7.3 </w:t>
      </w:r>
      <w:r>
        <w:rPr>
          <w:rFonts w:hint="eastAsia" w:cs="黑体"/>
          <w:color w:val="auto"/>
          <w:highlight w:val="none"/>
        </w:rPr>
        <w:t>开工</w:t>
      </w:r>
      <w:bookmarkEnd w:id="426"/>
      <w:bookmarkEnd w:id="427"/>
      <w:bookmarkEnd w:id="428"/>
      <w:bookmarkEnd w:id="429"/>
      <w:bookmarkEnd w:id="430"/>
      <w:bookmarkEnd w:id="431"/>
      <w:bookmarkEnd w:id="432"/>
    </w:p>
    <w:p w14:paraId="19852DD3">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7.3.1 </w:t>
      </w:r>
      <w:r>
        <w:rPr>
          <w:rFonts w:hint="eastAsia" w:hAnsi="宋体" w:cs="宋体"/>
          <w:color w:val="auto"/>
          <w:highlight w:val="none"/>
        </w:rPr>
        <w:t>开工准备</w:t>
      </w:r>
    </w:p>
    <w:p w14:paraId="57868155">
      <w:pPr>
        <w:pageBreakBefore w:val="0"/>
        <w:widowControl w:val="0"/>
        <w:kinsoku/>
        <w:wordWrap/>
        <w:overflowPunct/>
        <w:topLinePunct w:val="0"/>
        <w:bidi w:val="0"/>
        <w:spacing w:line="360" w:lineRule="auto"/>
        <w:ind w:firstLine="426"/>
        <w:jc w:val="left"/>
        <w:textAlignment w:val="auto"/>
        <w:rPr>
          <w:color w:val="auto"/>
          <w:highlight w:val="none"/>
          <w:u w:val="single"/>
        </w:rPr>
      </w:pPr>
      <w:r>
        <w:rPr>
          <w:rFonts w:hint="eastAsia" w:hAnsi="宋体" w:cs="宋体"/>
          <w:color w:val="auto"/>
          <w:highlight w:val="none"/>
        </w:rPr>
        <w:t>关于承包人提交</w:t>
      </w:r>
      <w:r>
        <w:rPr>
          <w:rFonts w:hint="eastAsia" w:hAnsi="宋体" w:cs="宋体"/>
          <w:color w:val="auto"/>
          <w:kern w:val="0"/>
          <w:highlight w:val="none"/>
        </w:rPr>
        <w:t>工程开工报审表的期限：</w:t>
      </w:r>
      <w:r>
        <w:rPr>
          <w:color w:val="auto"/>
          <w:highlight w:val="none"/>
          <w:u w:val="single"/>
        </w:rPr>
        <w:t xml:space="preserve">  </w:t>
      </w:r>
      <w:r>
        <w:rPr>
          <w:rFonts w:hint="eastAsia"/>
          <w:color w:val="auto"/>
          <w:highlight w:val="none"/>
          <w:u w:val="single"/>
        </w:rPr>
        <w:t>开工前7日内</w:t>
      </w:r>
      <w:r>
        <w:rPr>
          <w:color w:val="auto"/>
          <w:highlight w:val="none"/>
          <w:u w:val="single"/>
        </w:rPr>
        <w:t xml:space="preserve">  </w:t>
      </w:r>
      <w:r>
        <w:rPr>
          <w:rFonts w:hint="eastAsia" w:hAnsi="宋体" w:cs="宋体"/>
          <w:color w:val="auto"/>
          <w:highlight w:val="none"/>
        </w:rPr>
        <w:t>。</w:t>
      </w:r>
    </w:p>
    <w:p w14:paraId="074FFD8C">
      <w:pPr>
        <w:pageBreakBefore w:val="0"/>
        <w:widowControl w:val="0"/>
        <w:kinsoku/>
        <w:wordWrap/>
        <w:overflowPunct/>
        <w:topLinePunct w:val="0"/>
        <w:bidi w:val="0"/>
        <w:spacing w:line="360" w:lineRule="auto"/>
        <w:ind w:firstLine="426"/>
        <w:jc w:val="left"/>
        <w:textAlignment w:val="auto"/>
        <w:rPr>
          <w:color w:val="auto"/>
          <w:highlight w:val="none"/>
          <w:u w:val="single"/>
        </w:rPr>
      </w:pPr>
      <w:r>
        <w:rPr>
          <w:rFonts w:hint="eastAsia" w:hAnsi="宋体" w:cs="宋体"/>
          <w:color w:val="auto"/>
          <w:highlight w:val="none"/>
        </w:rPr>
        <w:t>关于发包人应完成的其他开工准备工作及期限：</w:t>
      </w:r>
      <w:r>
        <w:rPr>
          <w:color w:val="auto"/>
          <w:highlight w:val="none"/>
          <w:u w:val="single"/>
        </w:rPr>
        <w:t xml:space="preserve">  </w:t>
      </w:r>
      <w:r>
        <w:rPr>
          <w:rFonts w:hint="eastAsia"/>
          <w:color w:val="auto"/>
          <w:highlight w:val="none"/>
          <w:u w:val="single"/>
        </w:rPr>
        <w:t>开工前7日内</w:t>
      </w:r>
      <w:r>
        <w:rPr>
          <w:color w:val="auto"/>
          <w:highlight w:val="none"/>
          <w:u w:val="single"/>
        </w:rPr>
        <w:t xml:space="preserve">  </w:t>
      </w:r>
      <w:r>
        <w:rPr>
          <w:rFonts w:hint="eastAsia" w:hAnsi="宋体" w:cs="宋体"/>
          <w:color w:val="auto"/>
          <w:highlight w:val="none"/>
        </w:rPr>
        <w:t>。</w:t>
      </w:r>
    </w:p>
    <w:p w14:paraId="1EAC9621">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关于承包人应完成的其他开工准备工作及期限：</w:t>
      </w:r>
      <w:r>
        <w:rPr>
          <w:color w:val="auto"/>
          <w:highlight w:val="none"/>
          <w:u w:val="single"/>
        </w:rPr>
        <w:t xml:space="preserve">  </w:t>
      </w:r>
      <w:r>
        <w:rPr>
          <w:rFonts w:hint="eastAsia"/>
          <w:color w:val="auto"/>
          <w:highlight w:val="none"/>
          <w:u w:val="single"/>
        </w:rPr>
        <w:t>开工前7日内</w:t>
      </w:r>
      <w:r>
        <w:rPr>
          <w:color w:val="auto"/>
          <w:highlight w:val="none"/>
          <w:u w:val="single"/>
        </w:rPr>
        <w:t xml:space="preserve">  </w:t>
      </w:r>
      <w:r>
        <w:rPr>
          <w:rFonts w:hint="eastAsia" w:hAnsi="宋体" w:cs="宋体"/>
          <w:color w:val="auto"/>
          <w:highlight w:val="none"/>
        </w:rPr>
        <w:t>。</w:t>
      </w:r>
    </w:p>
    <w:p w14:paraId="17139650">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7.3.2 </w:t>
      </w:r>
      <w:r>
        <w:rPr>
          <w:rFonts w:hint="eastAsia" w:hAnsi="宋体" w:cs="宋体"/>
          <w:color w:val="auto"/>
          <w:highlight w:val="none"/>
        </w:rPr>
        <w:t>开工通知</w:t>
      </w:r>
    </w:p>
    <w:p w14:paraId="4D3986B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因发包人原因造成监理人未能在计划开工日期之日起</w:t>
      </w:r>
      <w:r>
        <w:rPr>
          <w:color w:val="auto"/>
          <w:highlight w:val="none"/>
          <w:u w:val="single"/>
        </w:rPr>
        <w:t xml:space="preserve"> </w:t>
      </w:r>
      <w:r>
        <w:rPr>
          <w:rFonts w:hint="eastAsia"/>
          <w:color w:val="auto"/>
          <w:highlight w:val="none"/>
          <w:u w:val="single"/>
          <w:lang w:val="en-US" w:eastAsia="zh-CN"/>
        </w:rPr>
        <w:t>30</w:t>
      </w:r>
      <w:r>
        <w:rPr>
          <w:color w:val="auto"/>
          <w:highlight w:val="none"/>
          <w:u w:val="single"/>
        </w:rPr>
        <w:t xml:space="preserve"> </w:t>
      </w:r>
      <w:r>
        <w:rPr>
          <w:rFonts w:hint="eastAsia" w:hAnsi="宋体" w:cs="宋体"/>
          <w:color w:val="auto"/>
          <w:highlight w:val="none"/>
        </w:rPr>
        <w:t>天内发出开工通知的，承包人有权提出价格调整要求，或者解除合同。</w:t>
      </w:r>
    </w:p>
    <w:bookmarkEnd w:id="419"/>
    <w:bookmarkEnd w:id="420"/>
    <w:bookmarkEnd w:id="421"/>
    <w:bookmarkEnd w:id="422"/>
    <w:bookmarkEnd w:id="423"/>
    <w:bookmarkEnd w:id="424"/>
    <w:bookmarkEnd w:id="425"/>
    <w:p w14:paraId="508CFA0A">
      <w:pPr>
        <w:pStyle w:val="6"/>
        <w:pageBreakBefore w:val="0"/>
        <w:widowControl w:val="0"/>
        <w:kinsoku/>
        <w:wordWrap/>
        <w:overflowPunct/>
        <w:topLinePunct w:val="0"/>
        <w:bidi w:val="0"/>
        <w:spacing w:before="0" w:after="0" w:line="360" w:lineRule="auto"/>
        <w:textAlignment w:val="auto"/>
        <w:rPr>
          <w:color w:val="auto"/>
          <w:highlight w:val="none"/>
        </w:rPr>
      </w:pPr>
      <w:bookmarkStart w:id="433" w:name="_Toc11916"/>
      <w:bookmarkStart w:id="434" w:name="_Toc389065292"/>
      <w:bookmarkStart w:id="435" w:name="_Toc373227726"/>
      <w:bookmarkStart w:id="436" w:name="_Toc78449814"/>
      <w:bookmarkStart w:id="437" w:name="_Toc373478373"/>
      <w:bookmarkStart w:id="438" w:name="_Toc407135228"/>
      <w:bookmarkStart w:id="439" w:name="_Toc741356765"/>
      <w:r>
        <w:rPr>
          <w:color w:val="auto"/>
          <w:highlight w:val="none"/>
        </w:rPr>
        <w:t xml:space="preserve">7.4 </w:t>
      </w:r>
      <w:r>
        <w:rPr>
          <w:rFonts w:hint="eastAsia" w:hAnsi="宋体" w:cs="黑体"/>
          <w:color w:val="auto"/>
          <w:highlight w:val="none"/>
        </w:rPr>
        <w:t>测量放线</w:t>
      </w:r>
      <w:bookmarkEnd w:id="433"/>
      <w:bookmarkEnd w:id="434"/>
      <w:bookmarkEnd w:id="435"/>
      <w:bookmarkEnd w:id="436"/>
      <w:bookmarkEnd w:id="437"/>
      <w:bookmarkEnd w:id="438"/>
      <w:bookmarkEnd w:id="439"/>
    </w:p>
    <w:p w14:paraId="66550358">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color w:val="auto"/>
          <w:highlight w:val="none"/>
        </w:rPr>
        <w:t>7.4.1</w:t>
      </w:r>
      <w:r>
        <w:rPr>
          <w:rFonts w:hint="eastAsia" w:hAnsi="宋体" w:cs="宋体"/>
          <w:color w:val="auto"/>
          <w:highlight w:val="none"/>
        </w:rPr>
        <w:t>发包人通过监理人向承包人提供测量基准点、基准线和水准点及其书面资料的期限：</w:t>
      </w:r>
    </w:p>
    <w:p w14:paraId="0BD73198">
      <w:pPr>
        <w:pageBreakBefore w:val="0"/>
        <w:widowControl w:val="0"/>
        <w:kinsoku/>
        <w:wordWrap/>
        <w:overflowPunct/>
        <w:topLinePunct w:val="0"/>
        <w:bidi w:val="0"/>
        <w:spacing w:line="360" w:lineRule="auto"/>
        <w:jc w:val="left"/>
        <w:textAlignment w:val="auto"/>
        <w:rPr>
          <w:color w:val="auto"/>
          <w:highlight w:val="none"/>
          <w:u w:val="single"/>
        </w:rPr>
      </w:pPr>
      <w:r>
        <w:rPr>
          <w:color w:val="auto"/>
          <w:highlight w:val="none"/>
          <w:u w:val="single"/>
        </w:rPr>
        <w:t xml:space="preserve">  </w:t>
      </w:r>
      <w:r>
        <w:rPr>
          <w:rFonts w:hint="eastAsia"/>
          <w:color w:val="auto"/>
          <w:highlight w:val="none"/>
          <w:u w:val="single"/>
        </w:rPr>
        <w:t>开工7天前以书面形式交验，并于交付施工现场时，在现场实际交验，同时做好交验记录</w:t>
      </w:r>
      <w:r>
        <w:rPr>
          <w:color w:val="auto"/>
          <w:highlight w:val="none"/>
          <w:u w:val="single"/>
        </w:rPr>
        <w:t xml:space="preserve"> </w:t>
      </w:r>
      <w:r>
        <w:rPr>
          <w:rFonts w:hint="eastAsia" w:hAnsi="宋体" w:cs="宋体"/>
          <w:color w:val="auto"/>
          <w:highlight w:val="none"/>
        </w:rPr>
        <w:t>。</w:t>
      </w:r>
    </w:p>
    <w:p w14:paraId="2BE2896A">
      <w:pPr>
        <w:pStyle w:val="6"/>
        <w:pageBreakBefore w:val="0"/>
        <w:widowControl w:val="0"/>
        <w:kinsoku/>
        <w:wordWrap/>
        <w:overflowPunct/>
        <w:topLinePunct w:val="0"/>
        <w:bidi w:val="0"/>
        <w:spacing w:before="0" w:after="0" w:line="360" w:lineRule="auto"/>
        <w:textAlignment w:val="auto"/>
        <w:rPr>
          <w:color w:val="auto"/>
          <w:highlight w:val="none"/>
        </w:rPr>
      </w:pPr>
      <w:bookmarkStart w:id="440" w:name="_Toc407135229"/>
      <w:bookmarkStart w:id="441" w:name="_Toc373227727"/>
      <w:bookmarkStart w:id="442" w:name="_Toc28543"/>
      <w:bookmarkStart w:id="443" w:name="_Toc78449815"/>
      <w:bookmarkStart w:id="444" w:name="_Toc389065293"/>
      <w:bookmarkStart w:id="445" w:name="_Toc1417437583"/>
      <w:bookmarkStart w:id="446" w:name="_Toc373478374"/>
      <w:r>
        <w:rPr>
          <w:color w:val="auto"/>
          <w:highlight w:val="none"/>
        </w:rPr>
        <w:t>7</w:t>
      </w:r>
      <w:bookmarkStart w:id="447" w:name="_Toc297216175"/>
      <w:bookmarkStart w:id="448" w:name="_Toc312678010"/>
      <w:bookmarkStart w:id="449" w:name="_Toc300934968"/>
      <w:bookmarkStart w:id="450" w:name="_Toc312677484"/>
      <w:bookmarkStart w:id="451" w:name="_Toc297123516"/>
      <w:bookmarkStart w:id="452" w:name="_Toc304295546"/>
      <w:bookmarkStart w:id="453" w:name="_Toc303539125"/>
      <w:r>
        <w:rPr>
          <w:color w:val="auto"/>
          <w:highlight w:val="none"/>
        </w:rPr>
        <w:t xml:space="preserve">.5 </w:t>
      </w:r>
      <w:r>
        <w:rPr>
          <w:rFonts w:hint="eastAsia" w:hAnsi="宋体" w:cs="黑体"/>
          <w:color w:val="auto"/>
          <w:highlight w:val="none"/>
        </w:rPr>
        <w:t>工期延误</w:t>
      </w:r>
      <w:bookmarkEnd w:id="440"/>
      <w:bookmarkEnd w:id="441"/>
      <w:bookmarkEnd w:id="442"/>
      <w:bookmarkEnd w:id="443"/>
      <w:bookmarkEnd w:id="444"/>
      <w:bookmarkEnd w:id="445"/>
      <w:bookmarkEnd w:id="446"/>
    </w:p>
    <w:bookmarkEnd w:id="447"/>
    <w:bookmarkEnd w:id="448"/>
    <w:bookmarkEnd w:id="449"/>
    <w:bookmarkEnd w:id="450"/>
    <w:bookmarkEnd w:id="451"/>
    <w:bookmarkEnd w:id="452"/>
    <w:bookmarkEnd w:id="453"/>
    <w:p w14:paraId="16020257">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7.5.1 </w:t>
      </w:r>
      <w:r>
        <w:rPr>
          <w:rFonts w:hint="eastAsia" w:hAnsi="宋体" w:cs="宋体"/>
          <w:color w:val="auto"/>
          <w:highlight w:val="none"/>
        </w:rPr>
        <w:t>因发包人原因导致工期延误</w:t>
      </w:r>
    </w:p>
    <w:p w14:paraId="6862FB9A">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w:t>
      </w:r>
      <w:r>
        <w:rPr>
          <w:color w:val="auto"/>
          <w:highlight w:val="none"/>
        </w:rPr>
        <w:t>7</w:t>
      </w:r>
      <w:r>
        <w:rPr>
          <w:rFonts w:hint="eastAsia" w:hAnsi="宋体" w:cs="宋体"/>
          <w:color w:val="auto"/>
          <w:highlight w:val="none"/>
        </w:rPr>
        <w:t>）因发包人原因导致工期延误的其他情形：</w:t>
      </w:r>
      <w:r>
        <w:rPr>
          <w:rFonts w:hint="eastAsia" w:ascii="宋体" w:hAnsi="宋体" w:cs="宋体"/>
          <w:color w:val="auto"/>
          <w:highlight w:val="none"/>
          <w:u w:val="single"/>
        </w:rPr>
        <w:t>①重大图纸变更影响关健线路工序施工；②施工期间如因停电、停水连续</w:t>
      </w:r>
      <w:r>
        <w:rPr>
          <w:rFonts w:ascii="宋体" w:hAnsi="宋体" w:cs="宋体"/>
          <w:color w:val="auto"/>
          <w:highlight w:val="none"/>
          <w:u w:val="single"/>
        </w:rPr>
        <w:t>8</w:t>
      </w:r>
      <w:r>
        <w:rPr>
          <w:rFonts w:hint="eastAsia" w:ascii="宋体" w:hAnsi="宋体" w:cs="宋体"/>
          <w:color w:val="auto"/>
          <w:highlight w:val="none"/>
          <w:u w:val="single"/>
        </w:rPr>
        <w:t>小时以上或一周内间歇性停水、停电累计</w:t>
      </w:r>
      <w:r>
        <w:rPr>
          <w:rFonts w:ascii="宋体" w:hAnsi="宋体" w:cs="宋体"/>
          <w:color w:val="auto"/>
          <w:highlight w:val="none"/>
          <w:u w:val="single"/>
        </w:rPr>
        <w:t>8</w:t>
      </w:r>
      <w:r>
        <w:rPr>
          <w:rFonts w:hint="eastAsia" w:ascii="宋体" w:hAnsi="宋体" w:cs="宋体"/>
          <w:color w:val="auto"/>
          <w:highlight w:val="none"/>
          <w:u w:val="single"/>
        </w:rPr>
        <w:t>小时（含</w:t>
      </w:r>
      <w:r>
        <w:rPr>
          <w:rFonts w:ascii="宋体" w:hAnsi="宋体" w:cs="宋体"/>
          <w:color w:val="auto"/>
          <w:highlight w:val="none"/>
          <w:u w:val="single"/>
        </w:rPr>
        <w:t>8</w:t>
      </w:r>
      <w:r>
        <w:rPr>
          <w:rFonts w:hint="eastAsia" w:ascii="宋体" w:hAnsi="宋体" w:cs="宋体"/>
          <w:color w:val="auto"/>
          <w:highlight w:val="none"/>
          <w:u w:val="single"/>
        </w:rPr>
        <w:t>小时）影响正常施工的。③政府指令性停工。④在施工过程中遇到地下障碍物、溶洞、岩石、文物或地下管线的。⑤因发包人未能及时确认变更价格或甲供材料提供延误的。⑥非承包人的责任造成的工期延误其他情形</w:t>
      </w:r>
      <w:r>
        <w:rPr>
          <w:rFonts w:hAnsi="宋体"/>
          <w:color w:val="auto"/>
          <w:highlight w:val="none"/>
        </w:rPr>
        <w:t xml:space="preserve"> </w:t>
      </w:r>
      <w:r>
        <w:rPr>
          <w:rFonts w:hint="eastAsia" w:hAnsi="宋体" w:cs="宋体"/>
          <w:color w:val="auto"/>
          <w:highlight w:val="none"/>
        </w:rPr>
        <w:t>。</w:t>
      </w:r>
    </w:p>
    <w:p w14:paraId="41E364FB">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7</w:t>
      </w:r>
      <w:bookmarkStart w:id="454" w:name="_Toc312677486"/>
      <w:bookmarkStart w:id="455" w:name="_Toc318581169"/>
      <w:bookmarkStart w:id="456" w:name="_Toc312678012"/>
      <w:bookmarkStart w:id="457" w:name="_Toc304295548"/>
      <w:bookmarkStart w:id="458" w:name="_Toc297123518"/>
      <w:bookmarkStart w:id="459" w:name="_Toc300934970"/>
      <w:bookmarkStart w:id="460" w:name="_Toc297216177"/>
      <w:bookmarkStart w:id="461" w:name="_Toc303539127"/>
      <w:r>
        <w:rPr>
          <w:color w:val="auto"/>
          <w:highlight w:val="none"/>
        </w:rPr>
        <w:t xml:space="preserve">.5.2 </w:t>
      </w:r>
      <w:r>
        <w:rPr>
          <w:rFonts w:hint="eastAsia" w:hAnsi="宋体" w:cs="宋体"/>
          <w:color w:val="auto"/>
          <w:highlight w:val="none"/>
        </w:rPr>
        <w:t>因承包人原因导致工期延误</w:t>
      </w:r>
    </w:p>
    <w:bookmarkEnd w:id="454"/>
    <w:bookmarkEnd w:id="455"/>
    <w:bookmarkEnd w:id="456"/>
    <w:p w14:paraId="342F6F6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双方约定经监理工程师确认，工期相应顺延的情况：</w:t>
      </w:r>
      <w:r>
        <w:rPr>
          <w:color w:val="auto"/>
          <w:highlight w:val="none"/>
          <w:u w:val="single"/>
        </w:rPr>
        <w:t xml:space="preserve"> </w:t>
      </w:r>
      <w:r>
        <w:rPr>
          <w:rFonts w:hint="eastAsia"/>
          <w:color w:val="auto"/>
          <w:highlight w:val="none"/>
          <w:u w:val="single"/>
        </w:rPr>
        <w:t>因异常恶劣的气候条件影响工期的</w:t>
      </w:r>
      <w:r>
        <w:rPr>
          <w:color w:val="auto"/>
          <w:highlight w:val="none"/>
          <w:u w:val="single"/>
        </w:rPr>
        <w:t xml:space="preserve"> </w:t>
      </w:r>
      <w:r>
        <w:rPr>
          <w:rFonts w:hint="eastAsia" w:hAnsi="宋体" w:cs="宋体"/>
          <w:color w:val="auto"/>
          <w:highlight w:val="none"/>
        </w:rPr>
        <w:t>。</w:t>
      </w:r>
    </w:p>
    <w:p w14:paraId="5882EF2C">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因</w:t>
      </w:r>
      <w:bookmarkStart w:id="462" w:name="_Toc318581170"/>
      <w:bookmarkStart w:id="463" w:name="_Toc312677487"/>
      <w:bookmarkStart w:id="464" w:name="_Toc312678013"/>
      <w:r>
        <w:rPr>
          <w:rFonts w:hint="eastAsia" w:hAnsi="宋体" w:cs="宋体"/>
          <w:color w:val="auto"/>
          <w:highlight w:val="none"/>
        </w:rPr>
        <w:t>承包人原因造成工期延误，逾期竣工违约金的计算方法为：</w:t>
      </w:r>
      <w:r>
        <w:rPr>
          <w:rFonts w:hint="eastAsia" w:ascii="宋体" w:hAnsi="宋体" w:cs="宋体"/>
          <w:color w:val="auto"/>
          <w:highlight w:val="none"/>
          <w:u w:val="single"/>
        </w:rPr>
        <w:t>按逾期竣工的单项工程罚款，每延误一天</w:t>
      </w:r>
      <w:r>
        <w:rPr>
          <w:rFonts w:hint="eastAsia" w:ascii="宋体" w:cs="宋体"/>
          <w:color w:val="auto"/>
          <w:highlight w:val="none"/>
          <w:u w:val="single"/>
          <w:lang w:eastAsia="zh-CN"/>
        </w:rPr>
        <w:t>，</w:t>
      </w:r>
      <w:r>
        <w:rPr>
          <w:rFonts w:hint="eastAsia" w:ascii="宋体" w:hAnsi="宋体" w:cs="宋体"/>
          <w:color w:val="auto"/>
          <w:highlight w:val="none"/>
          <w:u w:val="single"/>
        </w:rPr>
        <w:t>按单项工程应支付给承包人的结算造价的万分之</w:t>
      </w:r>
      <w:r>
        <w:rPr>
          <w:rFonts w:ascii="宋体" w:hAnsi="宋体" w:cs="宋体"/>
          <w:color w:val="auto"/>
          <w:highlight w:val="none"/>
          <w:u w:val="single"/>
        </w:rPr>
        <w:t xml:space="preserve">   </w:t>
      </w:r>
      <w:r>
        <w:rPr>
          <w:rFonts w:hint="eastAsia" w:ascii="宋体" w:hAnsi="宋体" w:cs="宋体"/>
          <w:color w:val="auto"/>
          <w:highlight w:val="none"/>
          <w:u w:val="single"/>
        </w:rPr>
        <w:t>处罚</w:t>
      </w:r>
      <w:r>
        <w:rPr>
          <w:rFonts w:hint="eastAsia" w:ascii="宋体" w:cs="宋体"/>
          <w:color w:val="auto"/>
          <w:highlight w:val="none"/>
          <w:u w:val="single"/>
          <w:lang w:eastAsia="zh-CN"/>
        </w:rPr>
        <w:t>，</w:t>
      </w:r>
      <w:r>
        <w:rPr>
          <w:rFonts w:hint="eastAsia" w:ascii="宋体" w:hAnsi="宋体" w:cs="宋体"/>
          <w:color w:val="auto"/>
          <w:highlight w:val="none"/>
          <w:u w:val="single"/>
        </w:rPr>
        <w:t>罚款直接从结算款中扣除。</w:t>
      </w:r>
      <w:r>
        <w:rPr>
          <w:rFonts w:hint="eastAsia" w:hAnsi="宋体" w:cs="宋体"/>
          <w:color w:val="auto"/>
          <w:highlight w:val="none"/>
          <w:u w:val="single"/>
        </w:rPr>
        <w:t>误期时间从规定竣工日期起直到实际竣工日期的天数（扣除发包人批准顺延的工期）。</w:t>
      </w:r>
      <w:bookmarkEnd w:id="457"/>
      <w:bookmarkEnd w:id="458"/>
      <w:bookmarkEnd w:id="459"/>
      <w:bookmarkEnd w:id="460"/>
      <w:bookmarkEnd w:id="461"/>
      <w:bookmarkEnd w:id="462"/>
      <w:bookmarkEnd w:id="463"/>
      <w:bookmarkEnd w:id="464"/>
      <w:r>
        <w:rPr>
          <w:rFonts w:hint="eastAsia" w:hAnsi="宋体" w:cs="宋体"/>
          <w:color w:val="auto"/>
          <w:highlight w:val="none"/>
        </w:rPr>
        <w:t>因承包人原因造成工期延误，逾</w:t>
      </w:r>
      <w:bookmarkStart w:id="465" w:name="_Toc318581171"/>
      <w:bookmarkStart w:id="466" w:name="_Toc312678014"/>
      <w:r>
        <w:rPr>
          <w:rFonts w:hint="eastAsia" w:hAnsi="宋体" w:cs="宋体"/>
          <w:color w:val="auto"/>
          <w:highlight w:val="none"/>
        </w:rPr>
        <w:t>期竣工违约金的上限：</w:t>
      </w:r>
      <w:r>
        <w:rPr>
          <w:rFonts w:hint="eastAsia" w:ascii="宋体" w:hAnsi="宋体" w:cs="宋体"/>
          <w:color w:val="auto"/>
          <w:highlight w:val="none"/>
          <w:u w:val="single"/>
        </w:rPr>
        <w:t>逾期竣工的单项工程结算造价</w:t>
      </w:r>
      <w:r>
        <w:rPr>
          <w:rFonts w:hint="eastAsia" w:hAnsi="宋体" w:cs="宋体"/>
          <w:color w:val="auto"/>
          <w:highlight w:val="none"/>
          <w:u w:val="single"/>
        </w:rPr>
        <w:t>的</w:t>
      </w:r>
      <w:r>
        <w:rPr>
          <w:color w:val="auto"/>
          <w:highlight w:val="none"/>
          <w:u w:val="single"/>
        </w:rPr>
        <w:t xml:space="preserve">    %</w:t>
      </w:r>
      <w:r>
        <w:rPr>
          <w:rFonts w:hint="eastAsia" w:hAnsi="宋体" w:cs="宋体"/>
          <w:color w:val="auto"/>
          <w:highlight w:val="none"/>
        </w:rPr>
        <w:t>。</w:t>
      </w:r>
    </w:p>
    <w:bookmarkEnd w:id="465"/>
    <w:bookmarkEnd w:id="466"/>
    <w:p w14:paraId="536EF238">
      <w:pPr>
        <w:pStyle w:val="6"/>
        <w:pageBreakBefore w:val="0"/>
        <w:widowControl w:val="0"/>
        <w:kinsoku/>
        <w:wordWrap/>
        <w:overflowPunct/>
        <w:topLinePunct w:val="0"/>
        <w:bidi w:val="0"/>
        <w:spacing w:before="0" w:after="0" w:line="360" w:lineRule="auto"/>
        <w:textAlignment w:val="auto"/>
        <w:rPr>
          <w:color w:val="auto"/>
          <w:highlight w:val="none"/>
        </w:rPr>
      </w:pPr>
      <w:bookmarkStart w:id="467" w:name="_Toc389065294"/>
      <w:bookmarkStart w:id="468" w:name="_Toc407135230"/>
      <w:bookmarkStart w:id="469" w:name="_Toc6943"/>
      <w:bookmarkStart w:id="470" w:name="_Toc373478375"/>
      <w:bookmarkStart w:id="471" w:name="_Toc1954543271"/>
      <w:bookmarkStart w:id="472" w:name="_Toc78449816"/>
      <w:bookmarkStart w:id="473" w:name="_Toc373227728"/>
      <w:r>
        <w:rPr>
          <w:color w:val="auto"/>
          <w:highlight w:val="none"/>
        </w:rPr>
        <w:t>7</w:t>
      </w:r>
      <w:bookmarkStart w:id="474" w:name="_Toc300934971"/>
      <w:bookmarkStart w:id="475" w:name="_Toc297216178"/>
      <w:bookmarkStart w:id="476" w:name="_Toc297123519"/>
      <w:bookmarkStart w:id="477" w:name="_Toc304295549"/>
      <w:bookmarkStart w:id="478" w:name="_Toc303539128"/>
      <w:bookmarkStart w:id="479" w:name="_Toc312678015"/>
      <w:r>
        <w:rPr>
          <w:color w:val="auto"/>
          <w:highlight w:val="none"/>
        </w:rPr>
        <w:t xml:space="preserve">.6 </w:t>
      </w:r>
      <w:r>
        <w:rPr>
          <w:rFonts w:hint="eastAsia" w:cs="黑体"/>
          <w:color w:val="auto"/>
          <w:highlight w:val="none"/>
        </w:rPr>
        <w:t>不</w:t>
      </w:r>
      <w:bookmarkEnd w:id="474"/>
      <w:bookmarkEnd w:id="475"/>
      <w:bookmarkEnd w:id="476"/>
      <w:bookmarkEnd w:id="477"/>
      <w:bookmarkEnd w:id="478"/>
      <w:bookmarkEnd w:id="479"/>
      <w:r>
        <w:rPr>
          <w:rFonts w:hint="eastAsia" w:cs="黑体"/>
          <w:color w:val="auto"/>
          <w:highlight w:val="none"/>
        </w:rPr>
        <w:t>利物质条件</w:t>
      </w:r>
      <w:bookmarkEnd w:id="467"/>
      <w:bookmarkEnd w:id="468"/>
      <w:bookmarkEnd w:id="469"/>
      <w:bookmarkEnd w:id="470"/>
      <w:bookmarkEnd w:id="471"/>
      <w:bookmarkEnd w:id="472"/>
      <w:bookmarkEnd w:id="473"/>
    </w:p>
    <w:p w14:paraId="1A3048FF">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bookmarkStart w:id="480" w:name="_Toc297216179"/>
      <w:bookmarkStart w:id="481" w:name="_Toc303539129"/>
      <w:bookmarkStart w:id="482" w:name="_Toc318581172"/>
      <w:bookmarkStart w:id="483" w:name="_Toc300934972"/>
      <w:bookmarkStart w:id="484" w:name="_Toc297123520"/>
      <w:bookmarkStart w:id="485" w:name="_Toc312678016"/>
      <w:bookmarkStart w:id="486" w:name="_Toc304295550"/>
      <w:r>
        <w:rPr>
          <w:rFonts w:hint="eastAsia" w:hAnsi="宋体" w:cs="宋体"/>
          <w:color w:val="auto"/>
          <w:highlight w:val="none"/>
        </w:rPr>
        <w:t>不利物质条件的其他情形和有关约定：</w:t>
      </w:r>
      <w:r>
        <w:rPr>
          <w:color w:val="auto"/>
          <w:highlight w:val="none"/>
          <w:u w:val="single"/>
        </w:rPr>
        <w:t xml:space="preserve">   </w:t>
      </w:r>
      <w:r>
        <w:rPr>
          <w:rFonts w:hint="eastAsia"/>
          <w:color w:val="auto"/>
          <w:highlight w:val="none"/>
          <w:u w:val="single"/>
        </w:rPr>
        <w:t>按通用条款约定</w:t>
      </w:r>
      <w:r>
        <w:rPr>
          <w:color w:val="auto"/>
          <w:highlight w:val="none"/>
          <w:u w:val="single"/>
        </w:rPr>
        <w:t xml:space="preserve">  </w:t>
      </w:r>
      <w:r>
        <w:rPr>
          <w:rFonts w:hint="eastAsia" w:hAnsi="宋体" w:cs="宋体"/>
          <w:color w:val="auto"/>
          <w:highlight w:val="none"/>
        </w:rPr>
        <w:t>。</w:t>
      </w:r>
    </w:p>
    <w:bookmarkEnd w:id="480"/>
    <w:bookmarkEnd w:id="481"/>
    <w:bookmarkEnd w:id="482"/>
    <w:bookmarkEnd w:id="483"/>
    <w:bookmarkEnd w:id="484"/>
    <w:bookmarkEnd w:id="485"/>
    <w:bookmarkEnd w:id="486"/>
    <w:p w14:paraId="3CC1DCE8">
      <w:pPr>
        <w:pStyle w:val="6"/>
        <w:pageBreakBefore w:val="0"/>
        <w:widowControl w:val="0"/>
        <w:kinsoku/>
        <w:wordWrap/>
        <w:overflowPunct/>
        <w:topLinePunct w:val="0"/>
        <w:bidi w:val="0"/>
        <w:spacing w:before="0" w:after="0" w:line="360" w:lineRule="auto"/>
        <w:textAlignment w:val="auto"/>
        <w:rPr>
          <w:color w:val="auto"/>
          <w:highlight w:val="none"/>
        </w:rPr>
      </w:pPr>
      <w:bookmarkStart w:id="487" w:name="_Toc389065295"/>
      <w:bookmarkStart w:id="488" w:name="_Toc78449817"/>
      <w:bookmarkStart w:id="489" w:name="_Toc373478376"/>
      <w:bookmarkStart w:id="490" w:name="_Toc851880484"/>
      <w:bookmarkStart w:id="491" w:name="_Toc18180"/>
      <w:bookmarkStart w:id="492" w:name="_Toc373227729"/>
      <w:bookmarkStart w:id="493" w:name="_Toc407135231"/>
      <w:r>
        <w:rPr>
          <w:color w:val="auto"/>
          <w:highlight w:val="none"/>
        </w:rPr>
        <w:t>7</w:t>
      </w:r>
      <w:bookmarkStart w:id="494" w:name="_Toc312678017"/>
      <w:bookmarkStart w:id="495" w:name="_Toc304295551"/>
      <w:bookmarkStart w:id="496" w:name="_Toc297216180"/>
      <w:bookmarkStart w:id="497" w:name="_Toc297123521"/>
      <w:bookmarkStart w:id="498" w:name="_Toc300934973"/>
      <w:bookmarkStart w:id="499" w:name="_Toc303539130"/>
      <w:r>
        <w:rPr>
          <w:color w:val="auto"/>
          <w:highlight w:val="none"/>
        </w:rPr>
        <w:t xml:space="preserve">.7 </w:t>
      </w:r>
      <w:r>
        <w:rPr>
          <w:rFonts w:hint="eastAsia" w:cs="黑体"/>
          <w:color w:val="auto"/>
          <w:highlight w:val="none"/>
        </w:rPr>
        <w:t>异常恶劣的气候条件</w:t>
      </w:r>
      <w:bookmarkEnd w:id="487"/>
      <w:bookmarkEnd w:id="488"/>
      <w:bookmarkEnd w:id="489"/>
      <w:bookmarkEnd w:id="490"/>
      <w:bookmarkEnd w:id="491"/>
      <w:bookmarkEnd w:id="492"/>
      <w:bookmarkEnd w:id="493"/>
    </w:p>
    <w:bookmarkEnd w:id="494"/>
    <w:bookmarkEnd w:id="495"/>
    <w:bookmarkEnd w:id="496"/>
    <w:bookmarkEnd w:id="497"/>
    <w:bookmarkEnd w:id="498"/>
    <w:bookmarkEnd w:id="499"/>
    <w:p w14:paraId="4A23EDB1">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发包人和承包人同意以下情形视为异常恶劣的气候条件：</w:t>
      </w:r>
    </w:p>
    <w:p w14:paraId="4EFDC612">
      <w:pPr>
        <w:pageBreakBefore w:val="0"/>
        <w:widowControl w:val="0"/>
        <w:kinsoku/>
        <w:wordWrap/>
        <w:overflowPunct/>
        <w:topLinePunct w:val="0"/>
        <w:bidi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u w:val="single"/>
        </w:rPr>
        <w:t>当地</w:t>
      </w:r>
      <w:r>
        <w:rPr>
          <w:rFonts w:hint="eastAsia" w:hAnsi="宋体" w:cs="宋体"/>
          <w:color w:val="auto"/>
          <w:highlight w:val="none"/>
          <w:u w:val="single"/>
          <w:lang w:val="en-US" w:eastAsia="zh-CN"/>
        </w:rPr>
        <w:t>6</w:t>
      </w:r>
      <w:r>
        <w:rPr>
          <w:rFonts w:hint="eastAsia" w:hAnsi="宋体" w:cs="宋体"/>
          <w:color w:val="auto"/>
          <w:highlight w:val="none"/>
          <w:u w:val="single"/>
        </w:rPr>
        <w:t>级以上的破坏性地震；</w:t>
      </w:r>
    </w:p>
    <w:p w14:paraId="60D43397">
      <w:pPr>
        <w:pageBreakBefore w:val="0"/>
        <w:widowControl w:val="0"/>
        <w:kinsoku/>
        <w:wordWrap/>
        <w:overflowPunct/>
        <w:topLinePunct w:val="0"/>
        <w:bidi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（2）</w:t>
      </w:r>
      <w:r>
        <w:rPr>
          <w:rFonts w:hint="eastAsia" w:hAnsi="宋体" w:cs="宋体"/>
          <w:color w:val="auto"/>
          <w:highlight w:val="none"/>
          <w:u w:val="single"/>
        </w:rPr>
        <w:t>暴雨级以上的持续</w:t>
      </w:r>
      <w:r>
        <w:rPr>
          <w:rFonts w:hint="eastAsia" w:hAnsi="宋体" w:cs="宋体"/>
          <w:color w:val="auto"/>
          <w:highlight w:val="none"/>
          <w:u w:val="single"/>
          <w:lang w:val="en-US" w:eastAsia="zh-CN"/>
        </w:rPr>
        <w:t>2</w:t>
      </w:r>
      <w:r>
        <w:rPr>
          <w:rFonts w:hint="eastAsia" w:hAnsi="宋体" w:cs="宋体"/>
          <w:color w:val="auto"/>
          <w:highlight w:val="none"/>
          <w:u w:val="single"/>
        </w:rPr>
        <w:t>天的大雨；</w:t>
      </w:r>
    </w:p>
    <w:p w14:paraId="2248BF75">
      <w:pPr>
        <w:pageBreakBefore w:val="0"/>
        <w:widowControl w:val="0"/>
        <w:kinsoku/>
        <w:wordWrap/>
        <w:overflowPunct/>
        <w:topLinePunct w:val="0"/>
        <w:bidi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（3）</w:t>
      </w:r>
      <w:r>
        <w:rPr>
          <w:rFonts w:hint="eastAsia" w:hAnsi="宋体" w:cs="宋体"/>
          <w:color w:val="auto"/>
          <w:highlight w:val="none"/>
          <w:u w:val="single"/>
        </w:rPr>
        <w:t>5年以上未发生过的、持续5天的高温天气；</w:t>
      </w:r>
    </w:p>
    <w:p w14:paraId="39CEABD3">
      <w:pPr>
        <w:pageBreakBefore w:val="0"/>
        <w:widowControl w:val="0"/>
        <w:kinsoku/>
        <w:wordWrap/>
        <w:overflowPunct/>
        <w:topLinePunct w:val="0"/>
        <w:bidi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（4）</w:t>
      </w:r>
      <w:r>
        <w:rPr>
          <w:rFonts w:hint="eastAsia" w:hAnsi="宋体" w:cs="宋体"/>
          <w:color w:val="auto"/>
          <w:highlight w:val="none"/>
          <w:u w:val="single"/>
        </w:rPr>
        <w:t>百年一遇的洪水；</w:t>
      </w:r>
    </w:p>
    <w:p w14:paraId="75A29ACB">
      <w:pPr>
        <w:pageBreakBefore w:val="0"/>
        <w:widowControl w:val="0"/>
        <w:kinsoku/>
        <w:wordWrap/>
        <w:overflowPunct/>
        <w:topLinePunct w:val="0"/>
        <w:bidi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（5）</w:t>
      </w:r>
      <w:r>
        <w:rPr>
          <w:rFonts w:hint="eastAsia" w:hAnsi="宋体" w:cs="宋体"/>
          <w:color w:val="auto"/>
          <w:highlight w:val="none"/>
          <w:u w:val="single"/>
        </w:rPr>
        <w:t>10 级以上持续 1 天的大风 ；</w:t>
      </w:r>
    </w:p>
    <w:p w14:paraId="0B1A05E9">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（6）</w:t>
      </w:r>
      <w:r>
        <w:rPr>
          <w:rFonts w:hint="eastAsia" w:hAnsi="宋体" w:cs="宋体"/>
          <w:color w:val="auto"/>
          <w:highlight w:val="none"/>
          <w:u w:val="single"/>
        </w:rPr>
        <w:t>山洪及泥石流。</w:t>
      </w:r>
    </w:p>
    <w:p w14:paraId="2568B3CF">
      <w:pPr>
        <w:pStyle w:val="6"/>
        <w:pageBreakBefore w:val="0"/>
        <w:widowControl w:val="0"/>
        <w:kinsoku/>
        <w:wordWrap/>
        <w:overflowPunct/>
        <w:topLinePunct w:val="0"/>
        <w:bidi w:val="0"/>
        <w:spacing w:before="0" w:after="0" w:line="360" w:lineRule="auto"/>
        <w:textAlignment w:val="auto"/>
        <w:rPr>
          <w:color w:val="auto"/>
          <w:highlight w:val="none"/>
          <w:lang w:val="en-US"/>
        </w:rPr>
      </w:pPr>
      <w:bookmarkStart w:id="500" w:name="_Toc657185480"/>
      <w:bookmarkStart w:id="501" w:name="_Toc2166"/>
      <w:bookmarkStart w:id="502" w:name="_Toc389065296"/>
      <w:bookmarkStart w:id="503" w:name="_Toc373478377"/>
      <w:bookmarkStart w:id="504" w:name="_Toc78449818"/>
      <w:bookmarkStart w:id="505" w:name="_Toc407135232"/>
      <w:bookmarkStart w:id="506" w:name="_Toc373227730"/>
      <w:r>
        <w:rPr>
          <w:color w:val="auto"/>
          <w:highlight w:val="none"/>
          <w:lang w:val="en-US"/>
        </w:rPr>
        <w:t xml:space="preserve">7.9 </w:t>
      </w:r>
      <w:r>
        <w:rPr>
          <w:rFonts w:hint="eastAsia" w:hAnsi="宋体" w:cs="黑体"/>
          <w:color w:val="auto"/>
          <w:highlight w:val="none"/>
        </w:rPr>
        <w:t>提前竣工</w:t>
      </w:r>
      <w:bookmarkEnd w:id="500"/>
      <w:bookmarkEnd w:id="501"/>
      <w:bookmarkEnd w:id="502"/>
      <w:bookmarkEnd w:id="503"/>
      <w:bookmarkEnd w:id="504"/>
      <w:bookmarkEnd w:id="505"/>
      <w:bookmarkEnd w:id="506"/>
    </w:p>
    <w:p w14:paraId="24545559">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color w:val="auto"/>
          <w:highlight w:val="none"/>
        </w:rPr>
        <w:t>7.9.2</w:t>
      </w:r>
      <w:r>
        <w:rPr>
          <w:rFonts w:hint="eastAsia" w:hAnsi="宋体" w:cs="宋体"/>
          <w:color w:val="auto"/>
          <w:highlight w:val="none"/>
        </w:rPr>
        <w:t>提前竣工（赶工）增加费的计算方法：</w:t>
      </w:r>
      <w:r>
        <w:rPr>
          <w:color w:val="auto"/>
          <w:highlight w:val="none"/>
          <w:u w:val="single"/>
        </w:rPr>
        <w:t xml:space="preserve">                                </w:t>
      </w:r>
      <w:r>
        <w:rPr>
          <w:rFonts w:hint="eastAsia" w:hAnsi="宋体" w:cs="宋体"/>
          <w:color w:val="auto"/>
          <w:highlight w:val="none"/>
        </w:rPr>
        <w:t>。</w:t>
      </w:r>
    </w:p>
    <w:p w14:paraId="24D9E055">
      <w:pPr>
        <w:pStyle w:val="5"/>
        <w:pageBreakBefore w:val="0"/>
        <w:widowControl w:val="0"/>
        <w:kinsoku/>
        <w:wordWrap/>
        <w:overflowPunct/>
        <w:topLinePunct w:val="0"/>
        <w:bidi w:val="0"/>
        <w:spacing w:before="0" w:after="0" w:line="360" w:lineRule="auto"/>
        <w:textAlignment w:val="auto"/>
        <w:rPr>
          <w:color w:val="auto"/>
          <w:highlight w:val="none"/>
        </w:rPr>
      </w:pPr>
      <w:bookmarkStart w:id="507" w:name="_Toc78449819"/>
      <w:bookmarkStart w:id="508" w:name="_Toc389065297"/>
      <w:bookmarkStart w:id="509" w:name="_Toc373478378"/>
      <w:bookmarkStart w:id="510" w:name="_Toc16499"/>
      <w:bookmarkStart w:id="511" w:name="_Toc351203640"/>
      <w:bookmarkStart w:id="512" w:name="_Toc407135233"/>
      <w:bookmarkStart w:id="513" w:name="_Toc1302158431"/>
      <w:bookmarkStart w:id="514" w:name="_Toc373227731"/>
      <w:r>
        <w:rPr>
          <w:color w:val="auto"/>
          <w:highlight w:val="none"/>
        </w:rPr>
        <w:t xml:space="preserve">8. </w:t>
      </w:r>
      <w:r>
        <w:rPr>
          <w:rFonts w:hint="eastAsia" w:cs="黑体"/>
          <w:color w:val="auto"/>
          <w:highlight w:val="none"/>
        </w:rPr>
        <w:t>材料与设备</w:t>
      </w:r>
      <w:bookmarkEnd w:id="507"/>
      <w:bookmarkEnd w:id="508"/>
      <w:bookmarkEnd w:id="509"/>
      <w:bookmarkEnd w:id="510"/>
      <w:bookmarkEnd w:id="511"/>
      <w:bookmarkEnd w:id="512"/>
      <w:bookmarkEnd w:id="513"/>
      <w:bookmarkEnd w:id="514"/>
    </w:p>
    <w:bookmarkEnd w:id="351"/>
    <w:bookmarkEnd w:id="352"/>
    <w:bookmarkEnd w:id="353"/>
    <w:bookmarkEnd w:id="354"/>
    <w:bookmarkEnd w:id="355"/>
    <w:bookmarkEnd w:id="356"/>
    <w:bookmarkEnd w:id="357"/>
    <w:bookmarkEnd w:id="358"/>
    <w:bookmarkEnd w:id="359"/>
    <w:bookmarkEnd w:id="360"/>
    <w:p w14:paraId="63BE04F6">
      <w:pPr>
        <w:pStyle w:val="6"/>
        <w:pageBreakBefore w:val="0"/>
        <w:widowControl w:val="0"/>
        <w:kinsoku/>
        <w:wordWrap/>
        <w:overflowPunct/>
        <w:topLinePunct w:val="0"/>
        <w:bidi w:val="0"/>
        <w:spacing w:before="0" w:after="0" w:line="360" w:lineRule="auto"/>
        <w:textAlignment w:val="auto"/>
        <w:rPr>
          <w:color w:val="auto"/>
          <w:highlight w:val="none"/>
        </w:rPr>
      </w:pPr>
      <w:bookmarkStart w:id="515" w:name="_Toc115"/>
      <w:bookmarkStart w:id="516" w:name="_Toc1119561048"/>
      <w:bookmarkStart w:id="517" w:name="_Toc373227732"/>
      <w:bookmarkStart w:id="518" w:name="_Toc78449820"/>
      <w:bookmarkStart w:id="519" w:name="_Toc389065298"/>
      <w:bookmarkStart w:id="520" w:name="_Toc407135234"/>
      <w:bookmarkStart w:id="521" w:name="_Toc373478379"/>
      <w:r>
        <w:rPr>
          <w:color w:val="auto"/>
          <w:highlight w:val="none"/>
        </w:rPr>
        <w:t xml:space="preserve">8.2 </w:t>
      </w:r>
      <w:r>
        <w:rPr>
          <w:rFonts w:hint="eastAsia" w:cs="黑体"/>
          <w:color w:val="auto"/>
          <w:highlight w:val="none"/>
        </w:rPr>
        <w:t>承包人采购材料与工程设备</w:t>
      </w:r>
      <w:bookmarkEnd w:id="515"/>
      <w:bookmarkEnd w:id="516"/>
      <w:bookmarkEnd w:id="517"/>
      <w:bookmarkEnd w:id="518"/>
      <w:bookmarkEnd w:id="519"/>
      <w:bookmarkEnd w:id="520"/>
      <w:bookmarkEnd w:id="521"/>
    </w:p>
    <w:p w14:paraId="1BB9CDE6">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int="eastAsia" w:cs="宋体"/>
          <w:color w:val="auto"/>
          <w:highlight w:val="none"/>
        </w:rPr>
      </w:pPr>
      <w:r>
        <w:rPr>
          <w:rFonts w:hint="eastAsia" w:cs="宋体"/>
          <w:color w:val="auto"/>
          <w:kern w:val="0"/>
          <w:highlight w:val="none"/>
        </w:rPr>
        <w:t>除已标价工程量清单《发包人提供主要材料和工程设备一览表》（表</w:t>
      </w:r>
      <w:r>
        <w:rPr>
          <w:color w:val="auto"/>
          <w:kern w:val="0"/>
          <w:highlight w:val="none"/>
        </w:rPr>
        <w:t>-21</w:t>
      </w:r>
      <w:r>
        <w:rPr>
          <w:rFonts w:hint="eastAsia" w:cs="宋体"/>
          <w:color w:val="auto"/>
          <w:kern w:val="0"/>
          <w:highlight w:val="none"/>
        </w:rPr>
        <w:t>）中明确的材料、工程设备外，由承包人负责材料和工程设备的采购、运输和保管。</w:t>
      </w:r>
      <w:bookmarkStart w:id="522" w:name="_Toc389065299"/>
      <w:bookmarkStart w:id="523" w:name="_Toc373227733"/>
      <w:bookmarkStart w:id="524" w:name="_Toc373478380"/>
    </w:p>
    <w:p w14:paraId="639EB707">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cs="宋体"/>
          <w:color w:val="auto"/>
          <w:highlight w:val="none"/>
        </w:rPr>
      </w:pPr>
      <w:r>
        <w:rPr>
          <w:rFonts w:hint="eastAsia" w:cs="宋体"/>
          <w:color w:val="auto"/>
          <w:highlight w:val="none"/>
        </w:rPr>
        <w:t>对发包人在招标时有</w:t>
      </w:r>
      <w:r>
        <w:rPr>
          <w:rFonts w:hint="eastAsia" w:cs="宋体"/>
          <w:color w:val="auto"/>
          <w:highlight w:val="none"/>
          <w:lang w:eastAsia="zh-CN"/>
        </w:rPr>
        <w:t>“</w:t>
      </w:r>
      <w:r>
        <w:rPr>
          <w:rFonts w:hint="eastAsia" w:cs="宋体"/>
          <w:color w:val="auto"/>
          <w:highlight w:val="none"/>
        </w:rPr>
        <w:t>参照或相当于</w:t>
      </w:r>
      <w:r>
        <w:rPr>
          <w:color w:val="auto"/>
          <w:highlight w:val="none"/>
        </w:rPr>
        <w:t>**</w:t>
      </w:r>
      <w:r>
        <w:rPr>
          <w:rFonts w:hint="eastAsia" w:cs="宋体"/>
          <w:color w:val="auto"/>
          <w:highlight w:val="none"/>
        </w:rPr>
        <w:t>品牌、级别</w:t>
      </w:r>
      <w:r>
        <w:rPr>
          <w:rFonts w:hint="eastAsia" w:cs="宋体"/>
          <w:color w:val="auto"/>
          <w:highlight w:val="none"/>
          <w:lang w:eastAsia="zh-CN"/>
        </w:rPr>
        <w:t>”</w:t>
      </w:r>
      <w:r>
        <w:rPr>
          <w:rFonts w:hint="eastAsia" w:cs="宋体"/>
          <w:color w:val="auto"/>
          <w:highlight w:val="none"/>
        </w:rPr>
        <w:t>约定的材料或设备，承包人采购时必须按类似于或优于所约定品牌、等级进行采购，施工期间该部分材料或设备如未超过招标约定的风险幅度的，结算时按投标单价支付，不得调整。</w:t>
      </w:r>
    </w:p>
    <w:p w14:paraId="427698B3">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int="eastAsia"/>
          <w:color w:val="auto"/>
          <w:highlight w:val="none"/>
        </w:rPr>
      </w:pPr>
      <w:r>
        <w:rPr>
          <w:rFonts w:hint="eastAsia"/>
          <w:color w:val="auto"/>
          <w:highlight w:val="none"/>
        </w:rPr>
        <w:t>禁止使用松木、松木包装材料设备、种子、苗木、花卉及繁殖材料。</w:t>
      </w:r>
    </w:p>
    <w:p w14:paraId="0EEEF173">
      <w:pPr>
        <w:pStyle w:val="6"/>
        <w:pageBreakBefore w:val="0"/>
        <w:widowControl w:val="0"/>
        <w:kinsoku/>
        <w:wordWrap/>
        <w:overflowPunct/>
        <w:topLinePunct w:val="0"/>
        <w:bidi w:val="0"/>
        <w:spacing w:before="0" w:after="0" w:line="360" w:lineRule="auto"/>
        <w:textAlignment w:val="auto"/>
        <w:rPr>
          <w:color w:val="auto"/>
          <w:highlight w:val="none"/>
        </w:rPr>
      </w:pPr>
      <w:bookmarkStart w:id="525" w:name="_Toc407135235"/>
      <w:bookmarkStart w:id="526" w:name="_Toc12730"/>
      <w:bookmarkStart w:id="527" w:name="_Toc78449821"/>
      <w:bookmarkStart w:id="528" w:name="_Toc800965933"/>
      <w:r>
        <w:rPr>
          <w:color w:val="auto"/>
          <w:highlight w:val="none"/>
        </w:rPr>
        <w:t>8</w:t>
      </w:r>
      <w:bookmarkStart w:id="529" w:name="_Toc297216186"/>
      <w:bookmarkStart w:id="530" w:name="_Toc304295556"/>
      <w:bookmarkStart w:id="531" w:name="_Toc296347166"/>
      <w:bookmarkStart w:id="532" w:name="_Toc303539136"/>
      <w:bookmarkStart w:id="533" w:name="_Toc296891207"/>
      <w:bookmarkStart w:id="534" w:name="_Toc296503167"/>
      <w:bookmarkStart w:id="535" w:name="_Toc300934979"/>
      <w:bookmarkStart w:id="536" w:name="_Toc312677493"/>
      <w:bookmarkStart w:id="537" w:name="_Toc312678019"/>
      <w:bookmarkStart w:id="538" w:name="_Toc296890995"/>
      <w:bookmarkStart w:id="539" w:name="_Toc292559372"/>
      <w:bookmarkStart w:id="540" w:name="_Toc297123527"/>
      <w:bookmarkStart w:id="541" w:name="_Toc280868654"/>
      <w:bookmarkStart w:id="542" w:name="_Toc292559877"/>
      <w:bookmarkStart w:id="543" w:name="_Toc297048353"/>
      <w:bookmarkStart w:id="544" w:name="_Toc296944506"/>
      <w:bookmarkStart w:id="545" w:name="_Toc297120467"/>
      <w:bookmarkStart w:id="546" w:name="_Toc296346668"/>
      <w:bookmarkStart w:id="547" w:name="_Toc267251424"/>
      <w:bookmarkStart w:id="548" w:name="_Toc280868656"/>
      <w:bookmarkStart w:id="549" w:name="_Toc280868655"/>
      <w:r>
        <w:rPr>
          <w:color w:val="auto"/>
          <w:highlight w:val="none"/>
        </w:rPr>
        <w:t xml:space="preserve">.4 </w:t>
      </w:r>
      <w:r>
        <w:rPr>
          <w:rFonts w:hint="eastAsia" w:cs="黑体"/>
          <w:color w:val="auto"/>
          <w:highlight w:val="none"/>
        </w:rPr>
        <w:t>材料与工程设备的保管与使用</w:t>
      </w:r>
      <w:bookmarkEnd w:id="522"/>
      <w:bookmarkEnd w:id="523"/>
      <w:bookmarkEnd w:id="524"/>
      <w:bookmarkEnd w:id="525"/>
      <w:bookmarkEnd w:id="526"/>
      <w:bookmarkEnd w:id="527"/>
      <w:bookmarkEnd w:id="528"/>
    </w:p>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14:paraId="66A2EFBF">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color w:val="auto"/>
          <w:highlight w:val="none"/>
        </w:rPr>
        <w:t>8</w:t>
      </w:r>
      <w:bookmarkStart w:id="550" w:name="_Toc292559878"/>
      <w:bookmarkStart w:id="551" w:name="_Toc292559373"/>
      <w:bookmarkStart w:id="552" w:name="_Toc296944507"/>
      <w:bookmarkStart w:id="553" w:name="_Toc318581173"/>
      <w:bookmarkStart w:id="554" w:name="_Toc296346669"/>
      <w:bookmarkStart w:id="555" w:name="_Toc312677494"/>
      <w:bookmarkStart w:id="556" w:name="_Toc304295557"/>
      <w:bookmarkStart w:id="557" w:name="_Toc297123528"/>
      <w:bookmarkStart w:id="558" w:name="_Toc296347167"/>
      <w:bookmarkStart w:id="559" w:name="_Toc312678020"/>
      <w:bookmarkStart w:id="560" w:name="_Toc297048354"/>
      <w:bookmarkStart w:id="561" w:name="_Toc300934980"/>
      <w:bookmarkStart w:id="562" w:name="_Toc297216187"/>
      <w:bookmarkStart w:id="563" w:name="_Toc297120468"/>
      <w:bookmarkStart w:id="564" w:name="_Toc296503168"/>
      <w:bookmarkStart w:id="565" w:name="_Toc296891208"/>
      <w:bookmarkStart w:id="566" w:name="_Toc296890996"/>
      <w:bookmarkStart w:id="567" w:name="_Toc303539137"/>
      <w:r>
        <w:rPr>
          <w:color w:val="auto"/>
          <w:highlight w:val="none"/>
        </w:rPr>
        <w:t>.4.1</w:t>
      </w:r>
      <w:r>
        <w:rPr>
          <w:rFonts w:hint="eastAsia" w:hAnsi="宋体" w:cs="宋体"/>
          <w:color w:val="auto"/>
          <w:highlight w:val="none"/>
        </w:rPr>
        <w:t>发包人供应的材料设备的保管费用的承担：</w:t>
      </w:r>
      <w:r>
        <w:rPr>
          <w:color w:val="auto"/>
          <w:highlight w:val="none"/>
          <w:u w:val="single"/>
        </w:rPr>
        <w:t xml:space="preserve"> </w:t>
      </w:r>
      <w:r>
        <w:rPr>
          <w:rFonts w:hint="eastAsia"/>
          <w:color w:val="auto"/>
          <w:highlight w:val="none"/>
          <w:u w:val="single"/>
        </w:rPr>
        <w:t>由承包人负责保管</w:t>
      </w:r>
      <w:r>
        <w:rPr>
          <w:color w:val="auto"/>
          <w:highlight w:val="none"/>
          <w:u w:val="single"/>
        </w:rPr>
        <w:t xml:space="preserve"> </w:t>
      </w:r>
      <w:r>
        <w:rPr>
          <w:rFonts w:hint="eastAsia" w:hAnsi="宋体" w:cs="宋体"/>
          <w:color w:val="auto"/>
          <w:highlight w:val="none"/>
        </w:rPr>
        <w:t>。</w:t>
      </w:r>
    </w:p>
    <w:bookmarkEnd w:id="550"/>
    <w:bookmarkEnd w:id="551"/>
    <w:p w14:paraId="57E5B7D6">
      <w:pPr>
        <w:pStyle w:val="6"/>
        <w:pageBreakBefore w:val="0"/>
        <w:widowControl w:val="0"/>
        <w:kinsoku/>
        <w:wordWrap/>
        <w:overflowPunct/>
        <w:topLinePunct w:val="0"/>
        <w:bidi w:val="0"/>
        <w:spacing w:before="0" w:after="0" w:line="360" w:lineRule="auto"/>
        <w:textAlignment w:val="auto"/>
        <w:rPr>
          <w:color w:val="auto"/>
          <w:highlight w:val="none"/>
        </w:rPr>
      </w:pPr>
      <w:bookmarkStart w:id="568" w:name="_Toc373478381"/>
      <w:bookmarkStart w:id="569" w:name="_Toc407135236"/>
      <w:bookmarkStart w:id="570" w:name="_Toc3712"/>
      <w:bookmarkStart w:id="571" w:name="_Toc125914831"/>
      <w:bookmarkStart w:id="572" w:name="_Toc373227734"/>
      <w:bookmarkStart w:id="573" w:name="_Toc78449822"/>
      <w:bookmarkStart w:id="574" w:name="_Toc389065300"/>
      <w:r>
        <w:rPr>
          <w:color w:val="auto"/>
          <w:highlight w:val="none"/>
        </w:rPr>
        <w:t xml:space="preserve">8.6 </w:t>
      </w:r>
      <w:r>
        <w:rPr>
          <w:rFonts w:hint="eastAsia" w:hAnsi="宋体" w:cs="黑体"/>
          <w:color w:val="auto"/>
          <w:highlight w:val="none"/>
        </w:rPr>
        <w:t>样品</w:t>
      </w:r>
      <w:bookmarkEnd w:id="568"/>
      <w:bookmarkEnd w:id="569"/>
      <w:bookmarkEnd w:id="570"/>
      <w:bookmarkEnd w:id="571"/>
      <w:bookmarkEnd w:id="572"/>
      <w:bookmarkEnd w:id="573"/>
      <w:bookmarkEnd w:id="574"/>
    </w:p>
    <w:p w14:paraId="04E2F035">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color w:val="auto"/>
          <w:kern w:val="0"/>
          <w:highlight w:val="none"/>
        </w:rPr>
        <w:t xml:space="preserve">8.6.1 </w:t>
      </w:r>
      <w:r>
        <w:rPr>
          <w:rFonts w:hint="eastAsia" w:hAnsi="宋体" w:cs="宋体"/>
          <w:color w:val="auto"/>
          <w:kern w:val="0"/>
          <w:highlight w:val="none"/>
        </w:rPr>
        <w:t>样品的报送与封存</w:t>
      </w:r>
    </w:p>
    <w:p w14:paraId="4D16A7E9">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需要承包人报送样品的材料或工程设备，样品的种类、名称、规格、数量要求：</w:t>
      </w:r>
      <w:r>
        <w:rPr>
          <w:rFonts w:hint="eastAsia" w:hAnsi="宋体" w:cs="宋体"/>
          <w:color w:val="auto"/>
          <w:highlight w:val="none"/>
          <w:u w:val="single"/>
        </w:rPr>
        <w:t>主要材料涉及品种、款式、颜色等方面内容的，承包人应提交准备合格的材料样品送发包人选定。</w:t>
      </w:r>
    </w:p>
    <w:p w14:paraId="3416CD87">
      <w:pPr>
        <w:pStyle w:val="6"/>
        <w:pageBreakBefore w:val="0"/>
        <w:widowControl w:val="0"/>
        <w:kinsoku/>
        <w:wordWrap/>
        <w:overflowPunct/>
        <w:topLinePunct w:val="0"/>
        <w:bidi w:val="0"/>
        <w:spacing w:before="0" w:after="0" w:line="360" w:lineRule="auto"/>
        <w:textAlignment w:val="auto"/>
        <w:rPr>
          <w:color w:val="auto"/>
          <w:highlight w:val="none"/>
        </w:rPr>
      </w:pPr>
      <w:bookmarkStart w:id="575" w:name="_Toc407135237"/>
      <w:bookmarkStart w:id="576" w:name="_Toc389065301"/>
      <w:bookmarkStart w:id="577" w:name="_Toc6409"/>
      <w:bookmarkStart w:id="578" w:name="_Toc1049576644"/>
      <w:bookmarkStart w:id="579" w:name="_Toc373227735"/>
      <w:bookmarkStart w:id="580" w:name="_Toc78449823"/>
      <w:bookmarkStart w:id="581" w:name="_Toc373478382"/>
      <w:r>
        <w:rPr>
          <w:color w:val="auto"/>
          <w:highlight w:val="none"/>
        </w:rPr>
        <w:t xml:space="preserve">8.8 </w:t>
      </w:r>
      <w:r>
        <w:rPr>
          <w:rFonts w:hint="eastAsia" w:cs="黑体"/>
          <w:color w:val="auto"/>
          <w:highlight w:val="none"/>
        </w:rPr>
        <w:t>施工设备和临时设施</w:t>
      </w:r>
      <w:bookmarkEnd w:id="575"/>
      <w:bookmarkEnd w:id="576"/>
      <w:bookmarkEnd w:id="577"/>
      <w:bookmarkEnd w:id="578"/>
      <w:bookmarkEnd w:id="579"/>
      <w:bookmarkEnd w:id="580"/>
      <w:bookmarkEnd w:id="581"/>
    </w:p>
    <w:p w14:paraId="787C709C">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color w:val="auto"/>
          <w:highlight w:val="none"/>
        </w:rPr>
        <w:t xml:space="preserve">8.8.1 </w:t>
      </w:r>
      <w:r>
        <w:rPr>
          <w:rFonts w:hint="eastAsia" w:hAnsi="宋体" w:cs="宋体"/>
          <w:color w:val="auto"/>
          <w:highlight w:val="none"/>
        </w:rPr>
        <w:t>承包人提供的施工设备和临时设施</w:t>
      </w:r>
    </w:p>
    <w:p w14:paraId="048FF9C6">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除专用合同条款另有约定的其他独立承包人和监理人指示的他人提供条件外，承包人运入施工场地的所有施工设备以及在施工场地建设的临时设施仅限于用于合同工程。</w:t>
      </w:r>
      <w:r>
        <w:rPr>
          <w:rFonts w:hint="eastAsia" w:ascii="宋体" w:hAnsi="宋体" w:cs="宋体"/>
          <w:color w:val="auto"/>
          <w:highlight w:val="none"/>
        </w:rPr>
        <w:t>承包人用于本工程的主要机械设备清单见合同附件4。</w:t>
      </w:r>
    </w:p>
    <w:p w14:paraId="6E7C62B3">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关于修建临时设施费用承担的约定：</w:t>
      </w:r>
    </w:p>
    <w:p w14:paraId="74342A85">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int="eastAsia" w:hAnsi="宋体"/>
          <w:color w:val="auto"/>
          <w:highlight w:val="none"/>
          <w:u w:val="single"/>
        </w:rPr>
      </w:pPr>
      <w:r>
        <w:rPr>
          <w:rFonts w:hint="eastAsia" w:hAnsi="宋体"/>
          <w:color w:val="auto"/>
          <w:highlight w:val="none"/>
          <w:u w:val="single"/>
        </w:rPr>
        <w:t>①承包人的临时用地（含项目部驻地等）租用费（含拆迁补偿）、临时用地的环保、恢复、临时用地的青苗补偿及地面附着物拆除等费用均由承包人负责，以上费用在投标报价中综合考虑。</w:t>
      </w:r>
    </w:p>
    <w:p w14:paraId="1D703F41">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int="eastAsia" w:hAnsi="宋体"/>
          <w:color w:val="auto"/>
          <w:highlight w:val="none"/>
          <w:u w:val="single"/>
        </w:rPr>
      </w:pPr>
      <w:r>
        <w:rPr>
          <w:rFonts w:hint="eastAsia" w:hAnsi="宋体"/>
          <w:color w:val="auto"/>
          <w:highlight w:val="none"/>
          <w:u w:val="single"/>
        </w:rPr>
        <w:t>②承包人负责合同实施期间其合同段内临时交通道路（含场内外连接公共交通道路）和交通设施的修建、维修、养护和交通管理工作，并承担一切费用。</w:t>
      </w:r>
    </w:p>
    <w:p w14:paraId="0A832BE6">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olor w:val="auto"/>
          <w:highlight w:val="none"/>
          <w:u w:val="single"/>
        </w:rPr>
        <w:t>③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r>
        <w:rPr>
          <w:color w:val="auto"/>
          <w:highlight w:val="none"/>
        </w:rPr>
        <w:t xml:space="preserve">8.8.2 </w:t>
      </w:r>
      <w:r>
        <w:rPr>
          <w:rFonts w:hint="eastAsia" w:hAnsi="宋体" w:cs="宋体"/>
          <w:color w:val="auto"/>
          <w:highlight w:val="none"/>
        </w:rPr>
        <w:t>发包人提供的施工设备和临时设施</w:t>
      </w:r>
    </w:p>
    <w:p w14:paraId="31850E78">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发包人提供的施工设备和临时设施：</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p w14:paraId="744BA5BF">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rPr>
      </w:pPr>
      <w:r>
        <w:rPr>
          <w:rFonts w:hint="eastAsia" w:hAnsi="宋体" w:cs="宋体"/>
          <w:color w:val="auto"/>
          <w:highlight w:val="none"/>
        </w:rPr>
        <w:t>发包人提供的施工设备和临时设施的运行、维护、拆除、清运费用的承担人：</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p w14:paraId="0D4D657F">
      <w:pPr>
        <w:pStyle w:val="5"/>
        <w:pageBreakBefore w:val="0"/>
        <w:widowControl w:val="0"/>
        <w:kinsoku/>
        <w:wordWrap/>
        <w:overflowPunct/>
        <w:topLinePunct w:val="0"/>
        <w:bidi w:val="0"/>
        <w:spacing w:before="0" w:after="0" w:line="360" w:lineRule="auto"/>
        <w:textAlignment w:val="auto"/>
        <w:rPr>
          <w:color w:val="auto"/>
          <w:highlight w:val="none"/>
        </w:rPr>
      </w:pPr>
      <w:bookmarkStart w:id="582" w:name="_Toc389065302"/>
      <w:bookmarkStart w:id="583" w:name="_Toc32467"/>
      <w:bookmarkStart w:id="584" w:name="_Toc407135238"/>
      <w:bookmarkStart w:id="585" w:name="_Toc2039161841"/>
      <w:bookmarkStart w:id="586" w:name="_Toc351203641"/>
      <w:bookmarkStart w:id="587" w:name="_Toc373478383"/>
      <w:bookmarkStart w:id="588" w:name="_Toc373227736"/>
      <w:bookmarkStart w:id="589" w:name="_Toc78449824"/>
      <w:r>
        <w:rPr>
          <w:color w:val="auto"/>
          <w:highlight w:val="none"/>
        </w:rPr>
        <w:t>9</w:t>
      </w:r>
      <w:bookmarkEnd w:id="547"/>
      <w:bookmarkEnd w:id="548"/>
      <w:bookmarkEnd w:id="549"/>
      <w:bookmarkStart w:id="590" w:name="_Toc300934982"/>
      <w:bookmarkStart w:id="591" w:name="_Toc312677495"/>
      <w:bookmarkStart w:id="592" w:name="_Toc297216192"/>
      <w:bookmarkStart w:id="593" w:name="_Toc304295559"/>
      <w:bookmarkStart w:id="594" w:name="_Toc303539139"/>
      <w:bookmarkStart w:id="595" w:name="_Toc312678021"/>
      <w:bookmarkStart w:id="596" w:name="_Toc297123533"/>
      <w:bookmarkStart w:id="597" w:name="_Toc296503173"/>
      <w:bookmarkStart w:id="598" w:name="_Toc296347172"/>
      <w:bookmarkStart w:id="599" w:name="_Toc292559378"/>
      <w:bookmarkStart w:id="600" w:name="_Toc292559883"/>
      <w:bookmarkStart w:id="601" w:name="_Toc296944512"/>
      <w:bookmarkStart w:id="602" w:name="_Toc267251428"/>
      <w:bookmarkStart w:id="603" w:name="_Toc296891213"/>
      <w:bookmarkStart w:id="604" w:name="_Toc267251427"/>
      <w:bookmarkStart w:id="605" w:name="_Toc296346674"/>
      <w:bookmarkStart w:id="606" w:name="_Toc297120473"/>
      <w:bookmarkStart w:id="607" w:name="_Toc297048359"/>
      <w:bookmarkStart w:id="608" w:name="_Toc296891001"/>
      <w:r>
        <w:rPr>
          <w:color w:val="auto"/>
          <w:highlight w:val="none"/>
        </w:rPr>
        <w:t xml:space="preserve">. </w:t>
      </w:r>
      <w:r>
        <w:rPr>
          <w:rFonts w:hint="eastAsia" w:cs="黑体"/>
          <w:color w:val="auto"/>
          <w:highlight w:val="none"/>
        </w:rPr>
        <w:t>试验与检验</w:t>
      </w:r>
      <w:bookmarkEnd w:id="582"/>
      <w:bookmarkEnd w:id="583"/>
      <w:bookmarkEnd w:id="584"/>
      <w:bookmarkEnd w:id="585"/>
      <w:bookmarkEnd w:id="586"/>
      <w:bookmarkEnd w:id="587"/>
      <w:bookmarkEnd w:id="588"/>
      <w:bookmarkEnd w:id="589"/>
    </w:p>
    <w:bookmarkEnd w:id="590"/>
    <w:bookmarkEnd w:id="591"/>
    <w:bookmarkEnd w:id="592"/>
    <w:bookmarkEnd w:id="593"/>
    <w:bookmarkEnd w:id="594"/>
    <w:bookmarkEnd w:id="595"/>
    <w:bookmarkEnd w:id="596"/>
    <w:p w14:paraId="74220B6E">
      <w:pPr>
        <w:pStyle w:val="6"/>
        <w:pageBreakBefore w:val="0"/>
        <w:widowControl w:val="0"/>
        <w:kinsoku/>
        <w:wordWrap/>
        <w:overflowPunct/>
        <w:topLinePunct w:val="0"/>
        <w:bidi w:val="0"/>
        <w:spacing w:before="0" w:after="0" w:line="360" w:lineRule="auto"/>
        <w:textAlignment w:val="auto"/>
        <w:rPr>
          <w:color w:val="auto"/>
          <w:highlight w:val="none"/>
        </w:rPr>
      </w:pPr>
      <w:bookmarkStart w:id="609" w:name="_Toc389065303"/>
      <w:bookmarkStart w:id="610" w:name="_Toc407135239"/>
      <w:bookmarkStart w:id="611" w:name="_Toc78449825"/>
      <w:bookmarkStart w:id="612" w:name="_Toc373227737"/>
      <w:bookmarkStart w:id="613" w:name="_Toc1307315193"/>
      <w:bookmarkStart w:id="614" w:name="_Toc373478384"/>
      <w:bookmarkStart w:id="615" w:name="_Toc17783"/>
      <w:r>
        <w:rPr>
          <w:color w:val="auto"/>
          <w:highlight w:val="none"/>
        </w:rPr>
        <w:t>9</w:t>
      </w:r>
      <w:bookmarkStart w:id="616" w:name="_Toc312678022"/>
      <w:bookmarkStart w:id="617" w:name="_Toc312677496"/>
      <w:bookmarkStart w:id="618" w:name="_Toc300934983"/>
      <w:bookmarkStart w:id="619" w:name="_Toc304295560"/>
      <w:bookmarkStart w:id="620" w:name="_Toc303539140"/>
      <w:bookmarkStart w:id="621" w:name="_Toc297216193"/>
      <w:bookmarkStart w:id="622" w:name="_Toc297123534"/>
      <w:r>
        <w:rPr>
          <w:color w:val="auto"/>
          <w:highlight w:val="none"/>
        </w:rPr>
        <w:t xml:space="preserve">.1 </w:t>
      </w:r>
      <w:r>
        <w:rPr>
          <w:rFonts w:hint="eastAsia" w:cs="黑体"/>
          <w:color w:val="auto"/>
          <w:highlight w:val="none"/>
        </w:rPr>
        <w:t>试验设备与试验人员</w:t>
      </w:r>
      <w:bookmarkEnd w:id="609"/>
      <w:bookmarkEnd w:id="610"/>
      <w:bookmarkEnd w:id="611"/>
      <w:bookmarkEnd w:id="612"/>
      <w:bookmarkEnd w:id="613"/>
      <w:bookmarkEnd w:id="614"/>
      <w:bookmarkEnd w:id="615"/>
    </w:p>
    <w:bookmarkEnd w:id="616"/>
    <w:bookmarkEnd w:id="617"/>
    <w:bookmarkEnd w:id="618"/>
    <w:bookmarkEnd w:id="619"/>
    <w:bookmarkEnd w:id="620"/>
    <w:bookmarkEnd w:id="621"/>
    <w:bookmarkEnd w:id="622"/>
    <w:p w14:paraId="13AC3DE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9</w:t>
      </w:r>
      <w:bookmarkStart w:id="623" w:name="_Toc297123535"/>
      <w:bookmarkStart w:id="624" w:name="_Toc312678023"/>
      <w:bookmarkStart w:id="625" w:name="_Toc304295561"/>
      <w:bookmarkStart w:id="626" w:name="_Toc297216194"/>
      <w:bookmarkStart w:id="627" w:name="_Toc312677497"/>
      <w:bookmarkStart w:id="628" w:name="_Toc303539141"/>
      <w:bookmarkStart w:id="629" w:name="_Toc300934984"/>
      <w:bookmarkStart w:id="630" w:name="_Toc318581174"/>
      <w:r>
        <w:rPr>
          <w:color w:val="auto"/>
          <w:highlight w:val="none"/>
        </w:rPr>
        <w:t xml:space="preserve">.1.2 </w:t>
      </w:r>
      <w:r>
        <w:rPr>
          <w:rFonts w:hint="eastAsia" w:hAnsi="宋体" w:cs="宋体"/>
          <w:color w:val="auto"/>
          <w:highlight w:val="none"/>
        </w:rPr>
        <w:t>试验设备</w:t>
      </w:r>
    </w:p>
    <w:p w14:paraId="24E0DB20">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施工现场需要配置的试验场所：</w:t>
      </w:r>
      <w:bookmarkEnd w:id="623"/>
      <w:bookmarkEnd w:id="624"/>
      <w:bookmarkEnd w:id="625"/>
      <w:bookmarkEnd w:id="626"/>
      <w:bookmarkEnd w:id="627"/>
      <w:bookmarkEnd w:id="628"/>
      <w:bookmarkEnd w:id="629"/>
      <w:bookmarkStart w:id="631" w:name="_Toc312677498"/>
      <w:bookmarkStart w:id="632" w:name="_Toc300934985"/>
      <w:bookmarkStart w:id="633" w:name="_Toc312678024"/>
      <w:bookmarkStart w:id="634" w:name="_Toc304295562"/>
      <w:bookmarkStart w:id="635" w:name="_Toc303539142"/>
      <w:bookmarkStart w:id="636" w:name="_Toc297216195"/>
      <w:bookmarkStart w:id="637" w:name="_Toc297123536"/>
      <w:r>
        <w:rPr>
          <w:color w:val="auto"/>
          <w:highlight w:val="none"/>
          <w:u w:val="single"/>
        </w:rPr>
        <w:t xml:space="preserve"> </w:t>
      </w:r>
      <w:r>
        <w:rPr>
          <w:rFonts w:hint="eastAsia"/>
          <w:color w:val="auto"/>
          <w:highlight w:val="none"/>
          <w:u w:val="single"/>
        </w:rPr>
        <w:t>按照有关文件要求执行</w:t>
      </w:r>
      <w:r>
        <w:rPr>
          <w:color w:val="auto"/>
          <w:highlight w:val="none"/>
          <w:u w:val="single"/>
        </w:rPr>
        <w:t xml:space="preserve"> </w:t>
      </w:r>
      <w:r>
        <w:rPr>
          <w:rFonts w:hint="eastAsia" w:hAnsi="宋体" w:cs="宋体"/>
          <w:color w:val="auto"/>
          <w:highlight w:val="none"/>
        </w:rPr>
        <w:t>。</w:t>
      </w:r>
    </w:p>
    <w:p w14:paraId="53479DB3">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施工现场需要配备的试验设备：</w:t>
      </w:r>
      <w:r>
        <w:rPr>
          <w:color w:val="auto"/>
          <w:highlight w:val="none"/>
          <w:u w:val="single"/>
        </w:rPr>
        <w:t xml:space="preserve"> </w:t>
      </w:r>
      <w:r>
        <w:rPr>
          <w:rFonts w:hint="eastAsia"/>
          <w:color w:val="auto"/>
          <w:highlight w:val="none"/>
          <w:u w:val="single"/>
        </w:rPr>
        <w:t>按照有关文件要求执行</w:t>
      </w:r>
      <w:r>
        <w:rPr>
          <w:color w:val="auto"/>
          <w:highlight w:val="none"/>
          <w:u w:val="single"/>
        </w:rPr>
        <w:t xml:space="preserve"> </w:t>
      </w:r>
      <w:r>
        <w:rPr>
          <w:rFonts w:hint="eastAsia" w:hAnsi="宋体" w:cs="宋体"/>
          <w:color w:val="auto"/>
          <w:highlight w:val="none"/>
        </w:rPr>
        <w:t>。</w:t>
      </w:r>
    </w:p>
    <w:p w14:paraId="701359BA">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施工现场需要具备的其他试验条件：</w:t>
      </w:r>
      <w:r>
        <w:rPr>
          <w:color w:val="auto"/>
          <w:highlight w:val="none"/>
          <w:u w:val="single"/>
        </w:rPr>
        <w:t xml:space="preserve"> </w:t>
      </w:r>
      <w:r>
        <w:rPr>
          <w:rFonts w:hint="eastAsia"/>
          <w:color w:val="auto"/>
          <w:highlight w:val="none"/>
          <w:u w:val="single"/>
        </w:rPr>
        <w:t>按照有关文件要求执行</w:t>
      </w:r>
      <w:r>
        <w:rPr>
          <w:color w:val="auto"/>
          <w:highlight w:val="none"/>
          <w:u w:val="single"/>
        </w:rPr>
        <w:t xml:space="preserve"> </w:t>
      </w:r>
      <w:r>
        <w:rPr>
          <w:rFonts w:hint="eastAsia" w:hAnsi="宋体" w:cs="宋体"/>
          <w:color w:val="auto"/>
          <w:highlight w:val="none"/>
        </w:rPr>
        <w:t>。</w:t>
      </w:r>
    </w:p>
    <w:p w14:paraId="44FF1287">
      <w:pPr>
        <w:pStyle w:val="6"/>
        <w:pageBreakBefore w:val="0"/>
        <w:widowControl w:val="0"/>
        <w:kinsoku/>
        <w:wordWrap/>
        <w:overflowPunct/>
        <w:topLinePunct w:val="0"/>
        <w:bidi w:val="0"/>
        <w:spacing w:before="0" w:after="0" w:line="360" w:lineRule="auto"/>
        <w:textAlignment w:val="auto"/>
        <w:rPr>
          <w:color w:val="auto"/>
          <w:highlight w:val="none"/>
        </w:rPr>
      </w:pPr>
      <w:bookmarkStart w:id="638" w:name="_Toc78449826"/>
      <w:bookmarkStart w:id="639" w:name="_Toc407135240"/>
      <w:bookmarkStart w:id="640" w:name="_Toc12531"/>
      <w:bookmarkStart w:id="641" w:name="_Toc373227738"/>
      <w:bookmarkStart w:id="642" w:name="_Toc373478385"/>
      <w:bookmarkStart w:id="643" w:name="_Toc389065304"/>
      <w:bookmarkStart w:id="644" w:name="_Toc2012255079"/>
      <w:r>
        <w:rPr>
          <w:color w:val="auto"/>
          <w:highlight w:val="none"/>
        </w:rPr>
        <w:t xml:space="preserve">9.4 </w:t>
      </w:r>
      <w:r>
        <w:rPr>
          <w:rFonts w:hint="eastAsia" w:hAnsi="宋体" w:cs="黑体"/>
          <w:color w:val="auto"/>
          <w:highlight w:val="none"/>
        </w:rPr>
        <w:t>现场工艺试验</w:t>
      </w:r>
      <w:bookmarkEnd w:id="638"/>
      <w:bookmarkEnd w:id="639"/>
      <w:bookmarkEnd w:id="640"/>
      <w:bookmarkEnd w:id="641"/>
      <w:bookmarkEnd w:id="642"/>
      <w:bookmarkEnd w:id="643"/>
      <w:bookmarkEnd w:id="644"/>
      <w:r>
        <w:rPr>
          <w:color w:val="auto"/>
          <w:highlight w:val="none"/>
        </w:rPr>
        <w:t xml:space="preserve"> </w:t>
      </w:r>
    </w:p>
    <w:p w14:paraId="6123A3B3">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现场工艺试验的有关约定：</w:t>
      </w:r>
      <w:r>
        <w:rPr>
          <w:color w:val="auto"/>
          <w:highlight w:val="none"/>
          <w:u w:val="single"/>
        </w:rPr>
        <w:t xml:space="preserve"> </w:t>
      </w:r>
      <w:r>
        <w:rPr>
          <w:rFonts w:hint="eastAsia"/>
          <w:color w:val="auto"/>
          <w:highlight w:val="none"/>
          <w:u w:val="single"/>
        </w:rPr>
        <w:t>按照有关文件要求执行</w:t>
      </w:r>
      <w:r>
        <w:rPr>
          <w:color w:val="auto"/>
          <w:highlight w:val="none"/>
          <w:u w:val="single"/>
        </w:rPr>
        <w:t xml:space="preserve"> </w:t>
      </w:r>
      <w:r>
        <w:rPr>
          <w:rFonts w:hint="eastAsia" w:hAnsi="宋体" w:cs="宋体"/>
          <w:color w:val="auto"/>
          <w:highlight w:val="none"/>
        </w:rPr>
        <w:t>。</w:t>
      </w:r>
    </w:p>
    <w:p w14:paraId="46E5B829">
      <w:pPr>
        <w:pStyle w:val="6"/>
        <w:pageBreakBefore w:val="0"/>
        <w:widowControl w:val="0"/>
        <w:kinsoku/>
        <w:wordWrap/>
        <w:overflowPunct/>
        <w:topLinePunct w:val="0"/>
        <w:bidi w:val="0"/>
        <w:spacing w:before="0" w:after="0" w:line="360" w:lineRule="auto"/>
        <w:textAlignment w:val="auto"/>
        <w:rPr>
          <w:color w:val="auto"/>
          <w:highlight w:val="none"/>
        </w:rPr>
      </w:pPr>
      <w:bookmarkStart w:id="645" w:name="_Toc78449827"/>
      <w:bookmarkStart w:id="646" w:name="_Toc393419678"/>
      <w:bookmarkStart w:id="647" w:name="_Toc31226"/>
      <w:bookmarkStart w:id="648" w:name="_Toc407135241"/>
      <w:bookmarkStart w:id="649" w:name="OLE_LINK1"/>
      <w:r>
        <w:rPr>
          <w:color w:val="auto"/>
          <w:highlight w:val="none"/>
        </w:rPr>
        <w:t xml:space="preserve">9.5 </w:t>
      </w:r>
      <w:r>
        <w:rPr>
          <w:rFonts w:hint="eastAsia" w:hAnsi="宋体" w:cs="黑体"/>
          <w:color w:val="auto"/>
          <w:highlight w:val="none"/>
        </w:rPr>
        <w:t>检验费用</w:t>
      </w:r>
      <w:bookmarkEnd w:id="645"/>
      <w:bookmarkEnd w:id="646"/>
      <w:bookmarkEnd w:id="647"/>
      <w:bookmarkEnd w:id="648"/>
    </w:p>
    <w:p w14:paraId="5699A22C">
      <w:pPr>
        <w:pageBreakBefore w:val="0"/>
        <w:widowControl w:val="0"/>
        <w:kinsoku/>
        <w:wordWrap/>
        <w:overflowPunct/>
        <w:topLinePunct w:val="0"/>
        <w:bidi w:val="0"/>
        <w:spacing w:line="360" w:lineRule="auto"/>
        <w:ind w:firstLine="411" w:firstLineChars="196"/>
        <w:textAlignment w:val="auto"/>
        <w:rPr>
          <w:color w:val="auto"/>
          <w:highlight w:val="none"/>
        </w:rPr>
      </w:pPr>
      <w:r>
        <w:rPr>
          <w:rFonts w:hint="eastAsia" w:hAnsi="宋体" w:cs="宋体"/>
          <w:color w:val="auto"/>
          <w:highlight w:val="none"/>
        </w:rPr>
        <w:t>工程质量检测业务由发包人委托有相应资质的检测机构检测。费用从发包人的项目建设经费中支出并直接支付给检测机构，不计入合同价款内。</w:t>
      </w:r>
    </w:p>
    <w:bookmarkEnd w:id="630"/>
    <w:bookmarkEnd w:id="631"/>
    <w:bookmarkEnd w:id="632"/>
    <w:bookmarkEnd w:id="633"/>
    <w:bookmarkEnd w:id="634"/>
    <w:bookmarkEnd w:id="635"/>
    <w:bookmarkEnd w:id="636"/>
    <w:bookmarkEnd w:id="637"/>
    <w:bookmarkEnd w:id="649"/>
    <w:p w14:paraId="1663F21C">
      <w:pPr>
        <w:pStyle w:val="5"/>
        <w:pageBreakBefore w:val="0"/>
        <w:widowControl w:val="0"/>
        <w:kinsoku/>
        <w:wordWrap/>
        <w:overflowPunct/>
        <w:topLinePunct w:val="0"/>
        <w:bidi w:val="0"/>
        <w:spacing w:before="0" w:after="0" w:line="360" w:lineRule="auto"/>
        <w:textAlignment w:val="auto"/>
        <w:rPr>
          <w:color w:val="auto"/>
          <w:highlight w:val="none"/>
        </w:rPr>
      </w:pPr>
      <w:bookmarkStart w:id="650" w:name="_Toc603662032"/>
      <w:bookmarkStart w:id="651" w:name="_Toc78449828"/>
      <w:bookmarkStart w:id="652" w:name="_Toc373478386"/>
      <w:bookmarkStart w:id="653" w:name="_Toc407135242"/>
      <w:bookmarkStart w:id="654" w:name="_Toc24417"/>
      <w:bookmarkStart w:id="655" w:name="_Toc389065305"/>
      <w:bookmarkStart w:id="656" w:name="_Toc373227739"/>
      <w:bookmarkStart w:id="657" w:name="_Toc351203642"/>
      <w:r>
        <w:rPr>
          <w:color w:val="auto"/>
          <w:highlight w:val="none"/>
        </w:rPr>
        <w:t>1</w:t>
      </w:r>
      <w:bookmarkEnd w:id="597"/>
      <w:bookmarkEnd w:id="598"/>
      <w:bookmarkEnd w:id="599"/>
      <w:bookmarkEnd w:id="600"/>
      <w:bookmarkEnd w:id="601"/>
      <w:bookmarkEnd w:id="602"/>
      <w:bookmarkEnd w:id="603"/>
      <w:bookmarkEnd w:id="604"/>
      <w:bookmarkEnd w:id="605"/>
      <w:bookmarkEnd w:id="606"/>
      <w:bookmarkEnd w:id="607"/>
      <w:bookmarkEnd w:id="608"/>
      <w:bookmarkStart w:id="658" w:name="_Toc297123540"/>
      <w:bookmarkStart w:id="659" w:name="_Toc297216199"/>
      <w:bookmarkStart w:id="660" w:name="_Toc300934989"/>
      <w:bookmarkStart w:id="661" w:name="_Toc303539146"/>
      <w:bookmarkStart w:id="662" w:name="_Toc296944532"/>
      <w:bookmarkStart w:id="663" w:name="_Toc297048379"/>
      <w:bookmarkStart w:id="664" w:name="_Toc304295566"/>
      <w:bookmarkStart w:id="665" w:name="_Toc296891021"/>
      <w:bookmarkStart w:id="666" w:name="_Toc297120493"/>
      <w:bookmarkStart w:id="667" w:name="_Toc296346694"/>
      <w:bookmarkStart w:id="668" w:name="_Toc296503193"/>
      <w:bookmarkStart w:id="669" w:name="_Toc292559398"/>
      <w:bookmarkStart w:id="670" w:name="_Toc296891233"/>
      <w:bookmarkStart w:id="671" w:name="_Toc292559903"/>
      <w:bookmarkStart w:id="672" w:name="_Toc296347192"/>
      <w:bookmarkStart w:id="673" w:name="_Toc312678025"/>
      <w:bookmarkStart w:id="674" w:name="_Toc312677499"/>
      <w:bookmarkStart w:id="675" w:name="_Toc267251435"/>
      <w:bookmarkStart w:id="676" w:name="_Toc267251439"/>
      <w:bookmarkStart w:id="677" w:name="_Toc267251437"/>
      <w:bookmarkStart w:id="678" w:name="_Toc267251433"/>
      <w:bookmarkStart w:id="679" w:name="_Toc267251440"/>
      <w:bookmarkStart w:id="680" w:name="_Toc267251441"/>
      <w:bookmarkStart w:id="681" w:name="_Toc267251442"/>
      <w:r>
        <w:rPr>
          <w:color w:val="auto"/>
          <w:highlight w:val="none"/>
        </w:rPr>
        <w:t xml:space="preserve">0. </w:t>
      </w:r>
      <w:r>
        <w:rPr>
          <w:rFonts w:hint="eastAsia" w:hAnsi="宋体" w:cs="黑体"/>
          <w:color w:val="auto"/>
          <w:highlight w:val="none"/>
        </w:rPr>
        <w:t>变更</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p>
    <w:bookmarkEnd w:id="673"/>
    <w:bookmarkEnd w:id="674"/>
    <w:p w14:paraId="360CD82F">
      <w:pPr>
        <w:pStyle w:val="6"/>
        <w:pageBreakBefore w:val="0"/>
        <w:widowControl w:val="0"/>
        <w:kinsoku/>
        <w:wordWrap/>
        <w:overflowPunct/>
        <w:topLinePunct w:val="0"/>
        <w:bidi w:val="0"/>
        <w:spacing w:before="0" w:after="0" w:line="360" w:lineRule="auto"/>
        <w:textAlignment w:val="auto"/>
        <w:rPr>
          <w:color w:val="auto"/>
          <w:highlight w:val="none"/>
        </w:rPr>
      </w:pPr>
      <w:bookmarkStart w:id="682" w:name="_Toc389065306"/>
      <w:bookmarkStart w:id="683" w:name="_Toc1890371558"/>
      <w:bookmarkStart w:id="684" w:name="_Toc373227740"/>
      <w:bookmarkStart w:id="685" w:name="_Toc78449829"/>
      <w:bookmarkStart w:id="686" w:name="_Toc1255"/>
      <w:bookmarkStart w:id="687" w:name="_Toc407135243"/>
      <w:bookmarkStart w:id="688" w:name="_Toc373478387"/>
      <w:r>
        <w:rPr>
          <w:color w:val="auto"/>
          <w:highlight w:val="none"/>
        </w:rPr>
        <w:t>1</w:t>
      </w:r>
      <w:bookmarkStart w:id="689" w:name="_Toc303539147"/>
      <w:bookmarkStart w:id="690" w:name="_Toc297120494"/>
      <w:bookmarkStart w:id="691" w:name="_Toc296891022"/>
      <w:bookmarkStart w:id="692" w:name="_Toc297123541"/>
      <w:bookmarkStart w:id="693" w:name="_Toc292559904"/>
      <w:bookmarkStart w:id="694" w:name="_Toc296891234"/>
      <w:bookmarkStart w:id="695" w:name="_Toc312678026"/>
      <w:bookmarkStart w:id="696" w:name="_Toc304295567"/>
      <w:bookmarkStart w:id="697" w:name="_Toc297048380"/>
      <w:bookmarkStart w:id="698" w:name="_Toc312677500"/>
      <w:bookmarkStart w:id="699" w:name="_Toc296944533"/>
      <w:bookmarkStart w:id="700" w:name="_Toc296346695"/>
      <w:bookmarkStart w:id="701" w:name="_Toc296503194"/>
      <w:bookmarkStart w:id="702" w:name="_Toc292559399"/>
      <w:bookmarkStart w:id="703" w:name="_Toc297216200"/>
      <w:bookmarkStart w:id="704" w:name="_Toc296347193"/>
      <w:bookmarkStart w:id="705" w:name="_Toc300934990"/>
      <w:r>
        <w:rPr>
          <w:color w:val="auto"/>
          <w:highlight w:val="none"/>
        </w:rPr>
        <w:t xml:space="preserve">0.1 </w:t>
      </w:r>
      <w:r>
        <w:rPr>
          <w:rFonts w:hint="eastAsia" w:hAnsi="宋体" w:cs="黑体"/>
          <w:color w:val="auto"/>
          <w:highlight w:val="none"/>
        </w:rPr>
        <w:t>变更的范围</w:t>
      </w:r>
      <w:bookmarkEnd w:id="682"/>
      <w:bookmarkEnd w:id="683"/>
      <w:bookmarkEnd w:id="684"/>
      <w:bookmarkEnd w:id="685"/>
      <w:bookmarkEnd w:id="686"/>
      <w:bookmarkEnd w:id="687"/>
      <w:bookmarkEnd w:id="688"/>
    </w:p>
    <w:p w14:paraId="42FB8724">
      <w:pPr>
        <w:pageBreakBefore w:val="0"/>
        <w:widowControl w:val="0"/>
        <w:kinsoku/>
        <w:wordWrap/>
        <w:overflowPunct/>
        <w:topLinePunct w:val="0"/>
        <w:bidi w:val="0"/>
        <w:spacing w:line="360" w:lineRule="auto"/>
        <w:ind w:firstLine="426"/>
        <w:jc w:val="left"/>
        <w:textAlignment w:val="auto"/>
        <w:rPr>
          <w:color w:val="auto"/>
          <w:highlight w:val="none"/>
        </w:rPr>
      </w:pPr>
      <w:r>
        <w:rPr>
          <w:rFonts w:hint="eastAsia" w:hAnsi="宋体" w:cs="宋体"/>
          <w:color w:val="auto"/>
          <w:highlight w:val="none"/>
        </w:rPr>
        <w:t>关于变更的范围的约定：</w:t>
      </w:r>
      <w:r>
        <w:rPr>
          <w:color w:val="auto"/>
          <w:highlight w:val="none"/>
          <w:u w:val="single"/>
        </w:rPr>
        <w:t xml:space="preserve"> </w:t>
      </w:r>
      <w:r>
        <w:rPr>
          <w:rFonts w:hint="eastAsia"/>
          <w:color w:val="auto"/>
          <w:highlight w:val="none"/>
          <w:u w:val="single"/>
        </w:rPr>
        <w:t>按照《北海市政府投资建设工程变更管理办法（暂行）》的规定执行</w:t>
      </w:r>
      <w:r>
        <w:rPr>
          <w:color w:val="auto"/>
          <w:highlight w:val="none"/>
          <w:u w:val="single"/>
        </w:rPr>
        <w:t xml:space="preserve"> </w:t>
      </w:r>
      <w:r>
        <w:rPr>
          <w:rFonts w:hint="eastAsia" w:hAnsi="宋体" w:cs="宋体"/>
          <w:color w:val="auto"/>
          <w:highlight w:val="none"/>
        </w:rPr>
        <w:t>。</w:t>
      </w:r>
    </w:p>
    <w:p w14:paraId="257F4430">
      <w:pPr>
        <w:pStyle w:val="6"/>
        <w:pageBreakBefore w:val="0"/>
        <w:widowControl w:val="0"/>
        <w:kinsoku/>
        <w:wordWrap/>
        <w:overflowPunct/>
        <w:topLinePunct w:val="0"/>
        <w:bidi w:val="0"/>
        <w:spacing w:before="0" w:after="0" w:line="360" w:lineRule="auto"/>
        <w:textAlignment w:val="auto"/>
        <w:rPr>
          <w:color w:val="auto"/>
          <w:highlight w:val="none"/>
        </w:rPr>
      </w:pPr>
      <w:bookmarkStart w:id="706" w:name="_Toc450749207"/>
      <w:bookmarkStart w:id="707" w:name="_Toc373478388"/>
      <w:bookmarkStart w:id="708" w:name="_Toc3473"/>
      <w:bookmarkStart w:id="709" w:name="_Toc407135244"/>
      <w:bookmarkStart w:id="710" w:name="_Toc373227741"/>
      <w:bookmarkStart w:id="711" w:name="_Toc78449830"/>
      <w:bookmarkStart w:id="712" w:name="_Toc389065307"/>
      <w:r>
        <w:rPr>
          <w:color w:val="auto"/>
          <w:highlight w:val="none"/>
        </w:rPr>
        <w:t xml:space="preserve">10.3 </w:t>
      </w:r>
      <w:r>
        <w:rPr>
          <w:rFonts w:hint="eastAsia" w:hAnsi="宋体" w:cs="黑体"/>
          <w:color w:val="auto"/>
          <w:highlight w:val="none"/>
        </w:rPr>
        <w:t>变更程序</w:t>
      </w:r>
      <w:bookmarkEnd w:id="706"/>
      <w:bookmarkEnd w:id="707"/>
      <w:bookmarkEnd w:id="708"/>
      <w:bookmarkEnd w:id="709"/>
      <w:bookmarkEnd w:id="710"/>
      <w:bookmarkEnd w:id="711"/>
      <w:bookmarkEnd w:id="712"/>
    </w:p>
    <w:p w14:paraId="75113C9E">
      <w:pPr>
        <w:pStyle w:val="26"/>
        <w:pageBreakBefore w:val="0"/>
        <w:widowControl w:val="0"/>
        <w:kinsoku/>
        <w:wordWrap/>
        <w:overflowPunct/>
        <w:topLinePunct w:val="0"/>
        <w:bidi w:val="0"/>
        <w:spacing w:line="360" w:lineRule="auto"/>
        <w:ind w:firstLine="441" w:firstLineChars="210"/>
        <w:textAlignment w:val="auto"/>
        <w:rPr>
          <w:rFonts w:ascii="Times New Roman" w:hAnsi="Times New Roman"/>
          <w:color w:val="auto"/>
          <w:sz w:val="21"/>
          <w:szCs w:val="21"/>
          <w:highlight w:val="none"/>
        </w:rPr>
      </w:pPr>
      <w:r>
        <w:rPr>
          <w:rFonts w:ascii="Times New Roman" w:hAnsi="Times New Roman"/>
          <w:color w:val="auto"/>
          <w:sz w:val="21"/>
          <w:szCs w:val="21"/>
          <w:highlight w:val="none"/>
        </w:rPr>
        <w:t>10.3.1</w:t>
      </w:r>
      <w:r>
        <w:rPr>
          <w:rFonts w:hint="eastAsia" w:ascii="Times New Roman" w:hAnsi="Times New Roman"/>
          <w:color w:val="auto"/>
          <w:sz w:val="21"/>
          <w:szCs w:val="21"/>
          <w:highlight w:val="none"/>
        </w:rPr>
        <w:t>国有投资项目：</w:t>
      </w:r>
    </w:p>
    <w:p w14:paraId="63D11812">
      <w:pPr>
        <w:pStyle w:val="26"/>
        <w:pageBreakBefore w:val="0"/>
        <w:widowControl w:val="0"/>
        <w:kinsoku/>
        <w:wordWrap/>
        <w:overflowPunct/>
        <w:topLinePunct w:val="0"/>
        <w:bidi w:val="0"/>
        <w:spacing w:line="360" w:lineRule="auto"/>
        <w:ind w:firstLine="441" w:firstLineChars="210"/>
        <w:textAlignment w:val="auto"/>
        <w:rPr>
          <w:rFonts w:ascii="Times New Roman" w:hAnsi="宋体"/>
          <w:bCs/>
          <w:color w:val="auto"/>
          <w:sz w:val="21"/>
          <w:szCs w:val="21"/>
          <w:highlight w:val="none"/>
        </w:rPr>
      </w:pPr>
      <w:r>
        <w:rPr>
          <w:rFonts w:hint="eastAsia" w:ascii="Times New Roman" w:hAnsi="宋体"/>
          <w:bCs/>
          <w:color w:val="auto"/>
          <w:sz w:val="21"/>
          <w:szCs w:val="21"/>
          <w:highlight w:val="none"/>
        </w:rPr>
        <w:t>⑴设计变更和工程签证，按各市政府或相关部门的规定办理。属不可抗力（自然灾害、突发事件等）造成变更的，按特事特办原则予以办理。</w:t>
      </w:r>
    </w:p>
    <w:p w14:paraId="35759E99">
      <w:pPr>
        <w:pStyle w:val="26"/>
        <w:pageBreakBefore w:val="0"/>
        <w:widowControl w:val="0"/>
        <w:kinsoku/>
        <w:wordWrap/>
        <w:overflowPunct/>
        <w:topLinePunct w:val="0"/>
        <w:bidi w:val="0"/>
        <w:spacing w:line="360" w:lineRule="auto"/>
        <w:ind w:firstLine="441" w:firstLineChars="210"/>
        <w:textAlignment w:val="auto"/>
        <w:rPr>
          <w:rFonts w:ascii="Times New Roman" w:hAnsi="宋体"/>
          <w:bCs/>
          <w:color w:val="auto"/>
          <w:sz w:val="21"/>
          <w:szCs w:val="21"/>
          <w:highlight w:val="none"/>
        </w:rPr>
      </w:pPr>
      <w:r>
        <w:rPr>
          <w:rFonts w:hint="eastAsia" w:ascii="Times New Roman" w:hAnsi="宋体"/>
          <w:bCs/>
          <w:color w:val="auto"/>
          <w:sz w:val="21"/>
          <w:szCs w:val="21"/>
          <w:highlight w:val="none"/>
        </w:rPr>
        <w:t>⑵建设单位在实施项目过程中，若发生单价变动，由发包人、承包人、监理或造价咨询等单位共同商定并签字确认。</w:t>
      </w:r>
    </w:p>
    <w:p w14:paraId="1FE390FC">
      <w:pPr>
        <w:pStyle w:val="26"/>
        <w:pageBreakBefore w:val="0"/>
        <w:widowControl w:val="0"/>
        <w:kinsoku/>
        <w:wordWrap/>
        <w:overflowPunct/>
        <w:topLinePunct w:val="0"/>
        <w:bidi w:val="0"/>
        <w:spacing w:line="360" w:lineRule="auto"/>
        <w:ind w:firstLine="441" w:firstLineChars="210"/>
        <w:textAlignment w:val="auto"/>
        <w:rPr>
          <w:rFonts w:ascii="Times New Roman" w:hAnsi="宋体"/>
          <w:bCs/>
          <w:color w:val="auto"/>
          <w:sz w:val="21"/>
          <w:szCs w:val="21"/>
          <w:highlight w:val="none"/>
        </w:rPr>
      </w:pPr>
      <w:r>
        <w:rPr>
          <w:rFonts w:hint="eastAsia" w:ascii="Times New Roman" w:hAnsi="宋体"/>
          <w:bCs/>
          <w:color w:val="auto"/>
          <w:sz w:val="21"/>
          <w:szCs w:val="21"/>
          <w:highlight w:val="none"/>
        </w:rPr>
        <w:t>⑶</w:t>
      </w:r>
      <w:r>
        <w:rPr>
          <w:rFonts w:ascii="Times New Roman" w:hAnsi="宋体"/>
          <w:bCs/>
          <w:color w:val="auto"/>
          <w:sz w:val="21"/>
          <w:szCs w:val="21"/>
          <w:highlight w:val="none"/>
        </w:rPr>
        <w:t xml:space="preserve"> </w:t>
      </w:r>
      <w:r>
        <w:rPr>
          <w:rFonts w:hint="eastAsia" w:ascii="Times New Roman" w:hAnsi="宋体"/>
          <w:bCs/>
          <w:color w:val="auto"/>
          <w:sz w:val="21"/>
          <w:szCs w:val="21"/>
          <w:highlight w:val="none"/>
        </w:rPr>
        <w:t>当合同规定的合同价款调整情况发生后，承包人未在规定时间内通知发包人，或者未在规定时间内提出调整报告，发包人可以根据有关资料，决定是否调整和调整的金额，并书面通知承包人。</w:t>
      </w:r>
    </w:p>
    <w:p w14:paraId="62CB911A">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10.3.2 </w:t>
      </w:r>
      <w:r>
        <w:rPr>
          <w:rFonts w:hint="eastAsia" w:cs="宋体"/>
          <w:color w:val="auto"/>
          <w:highlight w:val="none"/>
        </w:rPr>
        <w:t>非国有投资项目：</w:t>
      </w:r>
      <w:r>
        <w:rPr>
          <w:color w:val="auto"/>
          <w:highlight w:val="none"/>
        </w:rPr>
        <w:t xml:space="preserve"> </w:t>
      </w:r>
    </w:p>
    <w:p w14:paraId="7784FBB5">
      <w:pPr>
        <w:pageBreakBefore w:val="0"/>
        <w:widowControl w:val="0"/>
        <w:kinsoku/>
        <w:wordWrap/>
        <w:overflowPunct/>
        <w:topLinePunct w:val="0"/>
        <w:bidi w:val="0"/>
        <w:spacing w:line="360" w:lineRule="auto"/>
        <w:jc w:val="left"/>
        <w:textAlignment w:val="auto"/>
        <w:rPr>
          <w:color w:val="auto"/>
          <w:highlight w:val="none"/>
        </w:rPr>
      </w:pPr>
      <w:r>
        <w:rPr>
          <w:color w:val="auto"/>
          <w:highlight w:val="none"/>
          <w:u w:val="single"/>
        </w:rPr>
        <w:t xml:space="preserve">                                                                            </w:t>
      </w:r>
      <w:r>
        <w:rPr>
          <w:rFonts w:hint="eastAsia" w:hAnsi="宋体" w:cs="宋体"/>
          <w:color w:val="auto"/>
          <w:highlight w:val="none"/>
        </w:rPr>
        <w:t>。</w:t>
      </w:r>
    </w:p>
    <w:p w14:paraId="1313C3B3">
      <w:pPr>
        <w:pStyle w:val="6"/>
        <w:pageBreakBefore w:val="0"/>
        <w:widowControl w:val="0"/>
        <w:kinsoku/>
        <w:wordWrap/>
        <w:overflowPunct/>
        <w:topLinePunct w:val="0"/>
        <w:bidi w:val="0"/>
        <w:spacing w:before="0" w:after="0" w:line="360" w:lineRule="auto"/>
        <w:textAlignment w:val="auto"/>
        <w:rPr>
          <w:color w:val="auto"/>
          <w:highlight w:val="none"/>
        </w:rPr>
      </w:pPr>
      <w:bookmarkStart w:id="713" w:name="_Toc78449831"/>
      <w:bookmarkStart w:id="714" w:name="_Toc373227742"/>
      <w:bookmarkStart w:id="715" w:name="_Toc389065308"/>
      <w:bookmarkStart w:id="716" w:name="_Toc1645711468"/>
      <w:bookmarkStart w:id="717" w:name="_Toc22672"/>
      <w:bookmarkStart w:id="718" w:name="_Toc373478389"/>
      <w:bookmarkStart w:id="719" w:name="_Toc407135245"/>
      <w:r>
        <w:rPr>
          <w:color w:val="auto"/>
          <w:highlight w:val="none"/>
        </w:rPr>
        <w:t xml:space="preserve">10.4 </w:t>
      </w:r>
      <w:r>
        <w:rPr>
          <w:rFonts w:hint="eastAsia" w:hAnsi="宋体" w:cs="黑体"/>
          <w:color w:val="auto"/>
          <w:highlight w:val="none"/>
        </w:rPr>
        <w:t>变更估价</w:t>
      </w:r>
      <w:bookmarkEnd w:id="713"/>
      <w:bookmarkEnd w:id="714"/>
      <w:bookmarkEnd w:id="715"/>
      <w:bookmarkEnd w:id="716"/>
      <w:bookmarkEnd w:id="717"/>
      <w:bookmarkEnd w:id="718"/>
      <w:bookmarkEnd w:id="719"/>
    </w:p>
    <w:p w14:paraId="60EAED10">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10.4.1 </w:t>
      </w:r>
      <w:r>
        <w:rPr>
          <w:rFonts w:hint="eastAsia" w:hAnsi="宋体" w:cs="宋体"/>
          <w:color w:val="auto"/>
          <w:highlight w:val="none"/>
        </w:rPr>
        <w:t>变更估价原则</w:t>
      </w:r>
    </w:p>
    <w:p w14:paraId="55B256B1">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关于变更估价的约定</w:t>
      </w:r>
      <w:r>
        <w:rPr>
          <w:rFonts w:hint="eastAsia"/>
          <w:color w:val="auto"/>
          <w:highlight w:val="none"/>
          <w:lang w:eastAsia="zh-CN"/>
        </w:rPr>
        <w:t>：</w:t>
      </w:r>
      <w:r>
        <w:rPr>
          <w:color w:val="auto"/>
          <w:highlight w:val="none"/>
        </w:rPr>
        <w:t xml:space="preserve"> </w:t>
      </w:r>
      <w:bookmarkStart w:id="720" w:name="_Toc251051742"/>
      <w:r>
        <w:rPr>
          <w:rFonts w:hint="eastAsia" w:hAnsi="宋体" w:cs="宋体"/>
          <w:color w:val="auto"/>
          <w:highlight w:val="none"/>
          <w:u w:val="single"/>
        </w:rPr>
        <w:t>工程变更合同价款按下列方法进行：（</w:t>
      </w:r>
      <w:r>
        <w:rPr>
          <w:color w:val="auto"/>
          <w:highlight w:val="none"/>
          <w:u w:val="single"/>
        </w:rPr>
        <w:t>1</w:t>
      </w:r>
      <w:r>
        <w:rPr>
          <w:rFonts w:hint="eastAsia" w:hAnsi="宋体" w:cs="宋体"/>
          <w:color w:val="auto"/>
          <w:highlight w:val="none"/>
          <w:u w:val="single"/>
        </w:rPr>
        <w:t>）合同中已有相同清单项目的，按合同该清单项目价格进行计算；（</w:t>
      </w:r>
      <w:r>
        <w:rPr>
          <w:color w:val="auto"/>
          <w:highlight w:val="none"/>
          <w:u w:val="single"/>
        </w:rPr>
        <w:t>2</w:t>
      </w:r>
      <w:r>
        <w:rPr>
          <w:rFonts w:hint="eastAsia" w:hAnsi="宋体" w:cs="宋体"/>
          <w:color w:val="auto"/>
          <w:highlight w:val="none"/>
          <w:u w:val="single"/>
        </w:rPr>
        <w:t>）合同中只有类似清单项目的，参照该类似清单项目价格进行计算；（</w:t>
      </w:r>
      <w:r>
        <w:rPr>
          <w:color w:val="auto"/>
          <w:highlight w:val="none"/>
          <w:u w:val="single"/>
        </w:rPr>
        <w:t>3</w:t>
      </w:r>
      <w:r>
        <w:rPr>
          <w:rFonts w:hint="eastAsia" w:hAnsi="宋体" w:cs="宋体"/>
          <w:color w:val="auto"/>
          <w:highlight w:val="none"/>
          <w:u w:val="single"/>
        </w:rPr>
        <w:t>）合同中没有适用或类似清单项目的价格计算方法：有定额的套定额，并（</w:t>
      </w:r>
      <w:r>
        <w:rPr>
          <w:rFonts w:hint="eastAsia" w:cs="宋体"/>
          <w:b/>
          <w:bCs/>
          <w:color w:val="auto"/>
          <w:highlight w:val="none"/>
          <w:lang w:eastAsia="zh-CN"/>
        </w:rPr>
        <w:t>☑</w:t>
      </w:r>
      <w:r>
        <w:rPr>
          <w:rFonts w:hint="eastAsia" w:hAnsi="宋体" w:cs="宋体"/>
          <w:color w:val="auto"/>
          <w:highlight w:val="none"/>
          <w:u w:val="single"/>
        </w:rPr>
        <w:t>乘以下浮系数</w:t>
      </w:r>
      <w:r>
        <w:rPr>
          <w:rFonts w:hint="eastAsia" w:hAnsi="宋体" w:cs="宋体"/>
          <w:color w:val="auto"/>
          <w:highlight w:val="none"/>
          <w:u w:val="single"/>
          <w:lang w:eastAsia="zh-CN"/>
        </w:rPr>
        <w:t>（</w:t>
      </w:r>
      <w:r>
        <w:rPr>
          <w:rFonts w:hint="eastAsia"/>
          <w:color w:val="auto"/>
          <w:highlight w:val="none"/>
          <w:u w:val="single"/>
        </w:rPr>
        <w:t>中标价/经审定的工程招标控制价</w:t>
      </w:r>
      <w:r>
        <w:rPr>
          <w:rFonts w:hint="eastAsia" w:hAnsi="宋体" w:cs="宋体"/>
          <w:color w:val="auto"/>
          <w:highlight w:val="none"/>
          <w:u w:val="single"/>
          <w:lang w:eastAsia="zh-CN"/>
        </w:rPr>
        <w:t>）</w:t>
      </w:r>
      <w:r>
        <w:rPr>
          <w:rFonts w:hint="eastAsia" w:cs="宋体"/>
          <w:color w:val="auto"/>
          <w:highlight w:val="none"/>
          <w:u w:val="single"/>
        </w:rPr>
        <w:t>，</w:t>
      </w:r>
      <w:r>
        <w:rPr>
          <w:rFonts w:hint="eastAsia" w:cs="宋体"/>
          <w:b/>
          <w:bCs/>
          <w:color w:val="auto"/>
          <w:highlight w:val="none"/>
        </w:rPr>
        <w:t>□</w:t>
      </w:r>
      <w:r>
        <w:rPr>
          <w:rFonts w:hint="eastAsia" w:hAnsi="宋体" w:cs="宋体"/>
          <w:color w:val="auto"/>
          <w:highlight w:val="none"/>
          <w:u w:val="single"/>
        </w:rPr>
        <w:t>不乘下浮系数）计算，其中：材料设备价格按施工期间的《</w:t>
      </w:r>
      <w:r>
        <w:rPr>
          <w:rFonts w:hint="eastAsia"/>
          <w:color w:val="auto"/>
          <w:highlight w:val="none"/>
          <w:u w:val="single"/>
          <w:lang w:val="en-US" w:eastAsia="zh-CN"/>
        </w:rPr>
        <w:t>北海</w:t>
      </w:r>
      <w:r>
        <w:rPr>
          <w:rFonts w:hint="eastAsia" w:hAnsi="宋体" w:cs="宋体"/>
          <w:color w:val="auto"/>
          <w:highlight w:val="none"/>
          <w:u w:val="single"/>
        </w:rPr>
        <w:t>市建设工程造价信息》相应信息价的加权平均值计算，《</w:t>
      </w:r>
      <w:r>
        <w:rPr>
          <w:rFonts w:hint="eastAsia"/>
          <w:color w:val="auto"/>
          <w:highlight w:val="none"/>
          <w:u w:val="single"/>
          <w:lang w:val="en-US" w:eastAsia="zh-CN"/>
        </w:rPr>
        <w:t>北海</w:t>
      </w:r>
      <w:r>
        <w:rPr>
          <w:rFonts w:hint="eastAsia" w:hAnsi="宋体" w:cs="宋体"/>
          <w:color w:val="auto"/>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720"/>
      <w:r>
        <w:rPr>
          <w:rFonts w:hint="eastAsia" w:hAnsi="宋体" w:cs="宋体"/>
          <w:color w:val="auto"/>
          <w:highlight w:val="none"/>
        </w:rPr>
        <w:t>。以上约定同时适用于招标工程量清单缺项以及工程量清单项目特征与图纸不符时的价款确定。</w:t>
      </w:r>
    </w:p>
    <w:p w14:paraId="2A6061A2">
      <w:pPr>
        <w:pageBreakBefore w:val="0"/>
        <w:widowControl w:val="0"/>
        <w:kinsoku/>
        <w:wordWrap/>
        <w:overflowPunct/>
        <w:topLinePunct w:val="0"/>
        <w:bidi w:val="0"/>
        <w:spacing w:line="360" w:lineRule="auto"/>
        <w:ind w:firstLine="420" w:firstLineChars="200"/>
        <w:jc w:val="left"/>
        <w:textAlignment w:val="auto"/>
        <w:rPr>
          <w:rFonts w:hint="eastAsia" w:cs="宋体"/>
          <w:color w:val="auto"/>
          <w:highlight w:val="none"/>
          <w:u w:val="single"/>
        </w:rPr>
      </w:pPr>
      <w:r>
        <w:rPr>
          <w:rFonts w:hint="eastAsia" w:cs="宋体"/>
          <w:color w:val="auto"/>
          <w:highlight w:val="none"/>
          <w:u w:val="single"/>
        </w:rPr>
        <w:t>工程变更导致实际完成的变更工程量与已标价清单或预算书中列明的该项目工程量有偏差时，其综合单价的确定按专用条款</w:t>
      </w:r>
      <w:r>
        <w:rPr>
          <w:rFonts w:hint="eastAsia" w:cs="宋体"/>
          <w:color w:val="auto"/>
          <w:highlight w:val="none"/>
          <w:u w:val="single"/>
          <w:lang w:eastAsia="zh-CN"/>
        </w:rPr>
        <w:t>“</w:t>
      </w:r>
      <w:r>
        <w:rPr>
          <w:color w:val="auto"/>
          <w:highlight w:val="none"/>
          <w:u w:val="single"/>
        </w:rPr>
        <w:t>1.13</w:t>
      </w:r>
      <w:r>
        <w:rPr>
          <w:rFonts w:hint="eastAsia" w:cs="宋体"/>
          <w:color w:val="auto"/>
          <w:highlight w:val="none"/>
          <w:u w:val="single"/>
        </w:rPr>
        <w:t>工程量清单错误的修正</w:t>
      </w:r>
      <w:r>
        <w:rPr>
          <w:rFonts w:hint="eastAsia" w:cs="宋体"/>
          <w:color w:val="auto"/>
          <w:highlight w:val="none"/>
          <w:u w:val="single"/>
          <w:lang w:eastAsia="zh-CN"/>
        </w:rPr>
        <w:t>”</w:t>
      </w:r>
      <w:r>
        <w:rPr>
          <w:rFonts w:hint="eastAsia" w:cs="宋体"/>
          <w:color w:val="auto"/>
          <w:highlight w:val="none"/>
          <w:u w:val="single"/>
        </w:rPr>
        <w:t>执行。</w:t>
      </w:r>
    </w:p>
    <w:p w14:paraId="3569907F">
      <w:pPr>
        <w:pStyle w:val="6"/>
        <w:pageBreakBefore w:val="0"/>
        <w:widowControl w:val="0"/>
        <w:kinsoku/>
        <w:wordWrap/>
        <w:overflowPunct/>
        <w:topLinePunct w:val="0"/>
        <w:bidi w:val="0"/>
        <w:spacing w:before="0" w:after="0" w:line="360" w:lineRule="auto"/>
        <w:textAlignment w:val="auto"/>
        <w:rPr>
          <w:color w:val="auto"/>
          <w:highlight w:val="none"/>
        </w:rPr>
      </w:pPr>
      <w:bookmarkStart w:id="721" w:name="_Toc78449832"/>
      <w:bookmarkStart w:id="722" w:name="_Toc389065309"/>
      <w:bookmarkStart w:id="723" w:name="_Toc407135246"/>
      <w:bookmarkStart w:id="724" w:name="_Toc373227743"/>
      <w:bookmarkStart w:id="725" w:name="_Toc650800266"/>
      <w:bookmarkStart w:id="726" w:name="_Toc5778"/>
      <w:bookmarkStart w:id="727" w:name="_Toc373478390"/>
      <w:r>
        <w:rPr>
          <w:color w:val="auto"/>
          <w:highlight w:val="none"/>
        </w:rPr>
        <w:t>1</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Start w:id="728" w:name="_Toc296891025"/>
      <w:bookmarkStart w:id="729" w:name="_Toc297120497"/>
      <w:bookmarkStart w:id="730" w:name="_Toc303539150"/>
      <w:bookmarkStart w:id="731" w:name="_Toc296891237"/>
      <w:bookmarkStart w:id="732" w:name="_Toc297123544"/>
      <w:bookmarkStart w:id="733" w:name="_Toc296944536"/>
      <w:bookmarkStart w:id="734" w:name="_Toc296346698"/>
      <w:bookmarkStart w:id="735" w:name="_Toc297048383"/>
      <w:bookmarkStart w:id="736" w:name="_Toc300934993"/>
      <w:bookmarkStart w:id="737" w:name="_Toc292559402"/>
      <w:bookmarkStart w:id="738" w:name="_Toc296347196"/>
      <w:bookmarkStart w:id="739" w:name="_Toc296503197"/>
      <w:bookmarkStart w:id="740" w:name="_Toc297216203"/>
      <w:bookmarkStart w:id="741" w:name="_Toc292559907"/>
      <w:bookmarkStart w:id="742" w:name="_Toc312678029"/>
      <w:bookmarkStart w:id="743" w:name="_Toc312677503"/>
      <w:bookmarkStart w:id="744" w:name="_Toc304295570"/>
      <w:r>
        <w:rPr>
          <w:color w:val="auto"/>
          <w:highlight w:val="none"/>
        </w:rPr>
        <w:t xml:space="preserve">0.5 </w:t>
      </w:r>
      <w:r>
        <w:rPr>
          <w:rFonts w:hint="eastAsia" w:cs="黑体"/>
          <w:color w:val="auto"/>
          <w:highlight w:val="none"/>
        </w:rPr>
        <w:t>承</w:t>
      </w:r>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Start w:id="745" w:name="_Toc296944542"/>
      <w:bookmarkStart w:id="746" w:name="_Toc296891031"/>
      <w:bookmarkStart w:id="747" w:name="_Toc297120503"/>
      <w:bookmarkStart w:id="748" w:name="_Toc297216204"/>
      <w:bookmarkStart w:id="749" w:name="_Toc292559408"/>
      <w:bookmarkStart w:id="750" w:name="_Toc297048389"/>
      <w:bookmarkStart w:id="751" w:name="_Toc297123545"/>
      <w:bookmarkStart w:id="752" w:name="_Toc296347202"/>
      <w:bookmarkStart w:id="753" w:name="_Toc300934994"/>
      <w:bookmarkStart w:id="754" w:name="_Toc296503203"/>
      <w:bookmarkStart w:id="755" w:name="_Toc303539151"/>
      <w:bookmarkStart w:id="756" w:name="_Toc296346704"/>
      <w:bookmarkStart w:id="757" w:name="_Toc296891243"/>
      <w:bookmarkStart w:id="758" w:name="_Toc292559913"/>
      <w:r>
        <w:rPr>
          <w:rFonts w:hint="eastAsia" w:cs="黑体"/>
          <w:color w:val="auto"/>
          <w:highlight w:val="none"/>
        </w:rPr>
        <w:t>包人的合理化建议</w:t>
      </w:r>
      <w:bookmarkEnd w:id="721"/>
      <w:bookmarkEnd w:id="722"/>
      <w:bookmarkEnd w:id="723"/>
      <w:bookmarkEnd w:id="724"/>
      <w:bookmarkEnd w:id="725"/>
      <w:bookmarkEnd w:id="726"/>
      <w:bookmarkEnd w:id="727"/>
    </w:p>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p w14:paraId="2237644A">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监理人审查承包人合理化建议的期限：</w:t>
      </w:r>
      <w:r>
        <w:rPr>
          <w:color w:val="auto"/>
          <w:highlight w:val="none"/>
          <w:u w:val="single"/>
        </w:rPr>
        <w:t xml:space="preserve"> </w:t>
      </w:r>
      <w:r>
        <w:rPr>
          <w:rFonts w:hint="eastAsia"/>
          <w:color w:val="auto"/>
          <w:highlight w:val="none"/>
          <w:u w:val="single"/>
        </w:rPr>
        <w:t>承包人提交建议后7日内</w:t>
      </w:r>
      <w:r>
        <w:rPr>
          <w:color w:val="auto"/>
          <w:highlight w:val="none"/>
          <w:u w:val="single"/>
        </w:rPr>
        <w:t xml:space="preserve"> </w:t>
      </w:r>
      <w:r>
        <w:rPr>
          <w:rFonts w:hint="eastAsia" w:hAnsi="宋体" w:cs="宋体"/>
          <w:color w:val="auto"/>
          <w:highlight w:val="none"/>
        </w:rPr>
        <w:t>。</w:t>
      </w:r>
    </w:p>
    <w:p w14:paraId="76730D49">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发包人审批承包人合理化建议的期限：</w:t>
      </w:r>
      <w:r>
        <w:rPr>
          <w:color w:val="auto"/>
          <w:highlight w:val="none"/>
          <w:u w:val="single"/>
        </w:rPr>
        <w:t xml:space="preserve"> </w:t>
      </w:r>
      <w:r>
        <w:rPr>
          <w:rFonts w:hint="eastAsia"/>
          <w:color w:val="auto"/>
          <w:highlight w:val="none"/>
          <w:u w:val="single"/>
        </w:rPr>
        <w:t>监理人审查意见提交后15日内</w:t>
      </w:r>
      <w:r>
        <w:rPr>
          <w:color w:val="auto"/>
          <w:highlight w:val="none"/>
          <w:u w:val="single"/>
        </w:rPr>
        <w:t xml:space="preserve"> </w:t>
      </w:r>
      <w:r>
        <w:rPr>
          <w:rFonts w:hint="eastAsia" w:hAnsi="宋体" w:cs="宋体"/>
          <w:color w:val="auto"/>
          <w:highlight w:val="none"/>
        </w:rPr>
        <w:t>。</w:t>
      </w:r>
    </w:p>
    <w:p w14:paraId="30AD077E">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承</w:t>
      </w:r>
      <w:bookmarkStart w:id="759" w:name="_Toc312678030"/>
      <w:bookmarkStart w:id="760" w:name="_Toc303539152"/>
      <w:bookmarkStart w:id="761" w:name="_Toc292559409"/>
      <w:bookmarkStart w:id="762" w:name="_Toc304295571"/>
      <w:bookmarkStart w:id="763" w:name="_Toc292559914"/>
      <w:bookmarkStart w:id="764" w:name="_Toc296891244"/>
      <w:bookmarkStart w:id="765" w:name="_Toc297120504"/>
      <w:bookmarkStart w:id="766" w:name="_Toc296347203"/>
      <w:bookmarkStart w:id="767" w:name="_Toc296891032"/>
      <w:bookmarkStart w:id="768" w:name="_Toc296944543"/>
      <w:bookmarkStart w:id="769" w:name="_Toc296346705"/>
      <w:bookmarkStart w:id="770" w:name="_Toc296503204"/>
      <w:bookmarkStart w:id="771" w:name="_Toc300934995"/>
      <w:bookmarkStart w:id="772" w:name="_Toc318581175"/>
      <w:bookmarkStart w:id="773" w:name="_Toc297216205"/>
      <w:bookmarkStart w:id="774" w:name="_Toc312677504"/>
      <w:bookmarkStart w:id="775" w:name="_Toc297123546"/>
      <w:bookmarkStart w:id="776" w:name="_Toc297048390"/>
      <w:r>
        <w:rPr>
          <w:rFonts w:hint="eastAsia" w:hAnsi="宋体" w:cs="宋体"/>
          <w:color w:val="auto"/>
          <w:highlight w:val="none"/>
        </w:rPr>
        <w:t>包人提出的合理化建议降低了合同价格或者提高了工程经济效益的奖励的方法和金额为：</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p w14:paraId="7117AEE6">
      <w:pPr>
        <w:pStyle w:val="6"/>
        <w:pageBreakBefore w:val="0"/>
        <w:widowControl w:val="0"/>
        <w:kinsoku/>
        <w:wordWrap/>
        <w:overflowPunct/>
        <w:topLinePunct w:val="0"/>
        <w:bidi w:val="0"/>
        <w:spacing w:before="0" w:after="0" w:line="360" w:lineRule="auto"/>
        <w:textAlignment w:val="auto"/>
        <w:rPr>
          <w:color w:val="auto"/>
          <w:highlight w:val="none"/>
        </w:rPr>
      </w:pPr>
      <w:bookmarkStart w:id="777" w:name="_Toc21949"/>
      <w:bookmarkStart w:id="778" w:name="_Toc373227744"/>
      <w:bookmarkStart w:id="779" w:name="_Toc373478391"/>
      <w:bookmarkStart w:id="780" w:name="_Toc407135247"/>
      <w:bookmarkStart w:id="781" w:name="_Toc78449833"/>
      <w:bookmarkStart w:id="782" w:name="_Toc389065310"/>
      <w:bookmarkStart w:id="783" w:name="_Toc2045792355"/>
      <w:r>
        <w:rPr>
          <w:color w:val="auto"/>
          <w:highlight w:val="none"/>
        </w:rPr>
        <w:t>1</w:t>
      </w:r>
      <w:bookmarkStart w:id="784" w:name="_Toc300934997"/>
      <w:bookmarkStart w:id="785" w:name="_Toc296503199"/>
      <w:bookmarkStart w:id="786" w:name="_Toc297123548"/>
      <w:bookmarkStart w:id="787" w:name="_Toc312678033"/>
      <w:bookmarkStart w:id="788" w:name="_Toc312677507"/>
      <w:bookmarkStart w:id="789" w:name="_Toc292559404"/>
      <w:bookmarkStart w:id="790" w:name="_Toc297048385"/>
      <w:bookmarkStart w:id="791" w:name="_Toc303539154"/>
      <w:bookmarkStart w:id="792" w:name="_Toc297120499"/>
      <w:bookmarkStart w:id="793" w:name="_Toc297216207"/>
      <w:bookmarkStart w:id="794" w:name="_Toc296347198"/>
      <w:bookmarkStart w:id="795" w:name="_Toc296891027"/>
      <w:bookmarkStart w:id="796" w:name="_Toc292559909"/>
      <w:bookmarkStart w:id="797" w:name="_Toc296891239"/>
      <w:bookmarkStart w:id="798" w:name="_Toc296346700"/>
      <w:bookmarkStart w:id="799" w:name="_Toc304295574"/>
      <w:bookmarkStart w:id="800" w:name="_Toc296944538"/>
      <w:r>
        <w:rPr>
          <w:color w:val="auto"/>
          <w:highlight w:val="none"/>
        </w:rPr>
        <w:t xml:space="preserve">0.7 </w:t>
      </w:r>
      <w:r>
        <w:rPr>
          <w:rFonts w:hint="eastAsia" w:hAnsi="宋体" w:cs="黑体"/>
          <w:color w:val="auto"/>
          <w:highlight w:val="none"/>
        </w:rPr>
        <w:t>暂估价</w:t>
      </w:r>
      <w:bookmarkEnd w:id="777"/>
      <w:bookmarkEnd w:id="778"/>
      <w:bookmarkEnd w:id="779"/>
      <w:bookmarkEnd w:id="780"/>
      <w:bookmarkEnd w:id="781"/>
      <w:bookmarkEnd w:id="782"/>
      <w:bookmarkEnd w:id="783"/>
    </w:p>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p w14:paraId="785188B5">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kern w:val="0"/>
          <w:highlight w:val="none"/>
        </w:rPr>
        <w:t>暂</w:t>
      </w:r>
      <w:bookmarkStart w:id="801" w:name="_Toc318581176"/>
      <w:bookmarkStart w:id="802" w:name="_Toc312677508"/>
      <w:bookmarkStart w:id="803" w:name="_Toc312678034"/>
      <w:r>
        <w:rPr>
          <w:rFonts w:hint="eastAsia" w:hAnsi="宋体" w:cs="宋体"/>
          <w:color w:val="auto"/>
          <w:kern w:val="0"/>
          <w:highlight w:val="none"/>
        </w:rPr>
        <w:t>估价材料和工程设备的明细详见已标价工程量清单《</w:t>
      </w:r>
      <w:r>
        <w:rPr>
          <w:rFonts w:hint="eastAsia" w:cs="宋体"/>
          <w:color w:val="auto"/>
          <w:highlight w:val="none"/>
        </w:rPr>
        <w:t>材料（工程设备）暂估价格及调整表》</w:t>
      </w:r>
      <w:r>
        <w:rPr>
          <w:rFonts w:hint="eastAsia" w:hAnsi="宋体" w:cs="宋体"/>
          <w:color w:val="auto"/>
          <w:kern w:val="0"/>
          <w:highlight w:val="none"/>
        </w:rPr>
        <w:t>（表</w:t>
      </w:r>
      <w:r>
        <w:rPr>
          <w:rFonts w:hAnsi="宋体"/>
          <w:color w:val="auto"/>
          <w:kern w:val="0"/>
          <w:highlight w:val="none"/>
        </w:rPr>
        <w:t>12-2</w:t>
      </w:r>
      <w:r>
        <w:rPr>
          <w:rFonts w:hint="eastAsia" w:hAnsi="宋体" w:cs="宋体"/>
          <w:color w:val="auto"/>
          <w:kern w:val="0"/>
          <w:highlight w:val="none"/>
        </w:rPr>
        <w:t>）和《</w:t>
      </w:r>
      <w:r>
        <w:rPr>
          <w:rFonts w:hint="eastAsia" w:cs="宋体"/>
          <w:color w:val="auto"/>
          <w:highlight w:val="none"/>
        </w:rPr>
        <w:t>专业工程暂估价表》（</w:t>
      </w:r>
      <w:r>
        <w:rPr>
          <w:rFonts w:hint="eastAsia" w:hAnsi="宋体" w:cs="宋体"/>
          <w:color w:val="auto"/>
          <w:kern w:val="0"/>
          <w:highlight w:val="none"/>
        </w:rPr>
        <w:t>表</w:t>
      </w:r>
      <w:r>
        <w:rPr>
          <w:rFonts w:hAnsi="宋体"/>
          <w:color w:val="auto"/>
          <w:kern w:val="0"/>
          <w:highlight w:val="none"/>
        </w:rPr>
        <w:t>12-3</w:t>
      </w:r>
      <w:r>
        <w:rPr>
          <w:rFonts w:hint="eastAsia" w:hAnsi="宋体" w:cs="宋体"/>
          <w:color w:val="auto"/>
          <w:kern w:val="0"/>
          <w:highlight w:val="none"/>
        </w:rPr>
        <w:t>）。</w:t>
      </w:r>
    </w:p>
    <w:bookmarkEnd w:id="801"/>
    <w:bookmarkEnd w:id="802"/>
    <w:bookmarkEnd w:id="803"/>
    <w:p w14:paraId="1F28F701">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1</w:t>
      </w:r>
      <w:bookmarkStart w:id="804" w:name="_Toc312678035"/>
      <w:bookmarkStart w:id="805" w:name="_Toc318581177"/>
      <w:bookmarkStart w:id="806" w:name="_Toc312677509"/>
      <w:r>
        <w:rPr>
          <w:color w:val="auto"/>
          <w:highlight w:val="none"/>
        </w:rPr>
        <w:t xml:space="preserve">0.7.1 </w:t>
      </w:r>
      <w:r>
        <w:rPr>
          <w:rFonts w:hint="eastAsia" w:hAnsi="宋体" w:cs="宋体"/>
          <w:color w:val="auto"/>
          <w:highlight w:val="none"/>
        </w:rPr>
        <w:t>依法必须招标的暂估价项目</w:t>
      </w:r>
    </w:p>
    <w:bookmarkEnd w:id="804"/>
    <w:bookmarkEnd w:id="805"/>
    <w:bookmarkEnd w:id="806"/>
    <w:p w14:paraId="51E7D930">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对于依法必须招标的暂估价项目的确认和批准采取第</w:t>
      </w:r>
      <w:r>
        <w:rPr>
          <w:color w:val="auto"/>
          <w:highlight w:val="none"/>
          <w:u w:val="single"/>
        </w:rPr>
        <w:t xml:space="preserve">    </w:t>
      </w:r>
      <w:r>
        <w:rPr>
          <w:rFonts w:hint="eastAsia" w:hAnsi="宋体" w:cs="宋体"/>
          <w:color w:val="auto"/>
          <w:highlight w:val="none"/>
        </w:rPr>
        <w:t>种方式确定。</w:t>
      </w:r>
    </w:p>
    <w:p w14:paraId="3A52C4CB">
      <w:pPr>
        <w:pageBreakBefore w:val="0"/>
        <w:widowControl w:val="0"/>
        <w:kinsoku/>
        <w:wordWrap/>
        <w:overflowPunct/>
        <w:topLinePunct w:val="0"/>
        <w:bidi w:val="0"/>
        <w:spacing w:line="360" w:lineRule="auto"/>
        <w:ind w:firstLine="420" w:firstLineChars="200"/>
        <w:jc w:val="left"/>
        <w:textAlignment w:val="auto"/>
        <w:rPr>
          <w:rFonts w:hint="eastAsia" w:ascii="Times New Roman" w:hAnsi="宋体" w:eastAsia="宋体" w:cs="宋体"/>
          <w:color w:val="auto"/>
          <w:highlight w:val="none"/>
        </w:rPr>
      </w:pPr>
      <w:r>
        <w:rPr>
          <w:rFonts w:hint="eastAsia" w:ascii="Times New Roman" w:hAnsi="宋体" w:eastAsia="宋体" w:cs="宋体"/>
          <w:color w:val="auto"/>
          <w:highlight w:val="none"/>
        </w:rPr>
        <w:t>第1种方式：对于依法必须招标的暂估价项目，由承包人招标，对该暂估价项目的确认和批准按照以下约定执行：</w:t>
      </w:r>
    </w:p>
    <w:p w14:paraId="6BD78962">
      <w:pPr>
        <w:pageBreakBefore w:val="0"/>
        <w:widowControl w:val="0"/>
        <w:kinsoku/>
        <w:wordWrap/>
        <w:overflowPunct/>
        <w:topLinePunct w:val="0"/>
        <w:bidi w:val="0"/>
        <w:spacing w:line="360" w:lineRule="auto"/>
        <w:ind w:firstLine="420" w:firstLineChars="200"/>
        <w:jc w:val="left"/>
        <w:textAlignment w:val="auto"/>
        <w:rPr>
          <w:rFonts w:hint="eastAsia" w:ascii="Times New Roman" w:hAnsi="宋体" w:eastAsia="宋体" w:cs="宋体"/>
          <w:color w:val="auto"/>
          <w:highlight w:val="none"/>
        </w:rPr>
      </w:pPr>
      <w:r>
        <w:rPr>
          <w:rFonts w:hint="eastAsia" w:ascii="Times New Roman" w:hAnsi="宋体" w:eastAsia="宋体" w:cs="宋体"/>
          <w:color w:val="auto"/>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3C332F35">
      <w:pPr>
        <w:pageBreakBefore w:val="0"/>
        <w:widowControl w:val="0"/>
        <w:kinsoku/>
        <w:wordWrap/>
        <w:overflowPunct/>
        <w:topLinePunct w:val="0"/>
        <w:bidi w:val="0"/>
        <w:spacing w:line="360" w:lineRule="auto"/>
        <w:ind w:firstLine="420" w:firstLineChars="200"/>
        <w:jc w:val="left"/>
        <w:textAlignment w:val="auto"/>
        <w:rPr>
          <w:rFonts w:hint="eastAsia" w:ascii="Times New Roman" w:hAnsi="宋体" w:eastAsia="宋体" w:cs="宋体"/>
          <w:color w:val="auto"/>
          <w:highlight w:val="none"/>
        </w:rPr>
      </w:pPr>
      <w:r>
        <w:rPr>
          <w:rFonts w:hint="eastAsia" w:ascii="Times New Roman" w:hAnsi="宋体" w:eastAsia="宋体" w:cs="宋体"/>
          <w:color w:val="auto"/>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35061AA0">
      <w:pPr>
        <w:pageBreakBefore w:val="0"/>
        <w:widowControl w:val="0"/>
        <w:kinsoku/>
        <w:wordWrap/>
        <w:overflowPunct/>
        <w:topLinePunct w:val="0"/>
        <w:bidi w:val="0"/>
        <w:spacing w:line="360" w:lineRule="auto"/>
        <w:ind w:firstLine="420" w:firstLineChars="200"/>
        <w:jc w:val="left"/>
        <w:textAlignment w:val="auto"/>
        <w:rPr>
          <w:rFonts w:hint="eastAsia" w:ascii="Times New Roman" w:hAnsi="宋体" w:eastAsia="宋体" w:cs="宋体"/>
          <w:color w:val="auto"/>
          <w:highlight w:val="none"/>
        </w:rPr>
      </w:pPr>
      <w:r>
        <w:rPr>
          <w:rFonts w:hint="eastAsia" w:ascii="Times New Roman" w:hAnsi="宋体" w:eastAsia="宋体" w:cs="宋体"/>
          <w:color w:val="auto"/>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D17394F">
      <w:pPr>
        <w:pageBreakBefore w:val="0"/>
        <w:widowControl w:val="0"/>
        <w:kinsoku/>
        <w:wordWrap/>
        <w:overflowPunct/>
        <w:topLinePunct w:val="0"/>
        <w:bidi w:val="0"/>
        <w:spacing w:line="360" w:lineRule="auto"/>
        <w:ind w:firstLine="420" w:firstLineChars="200"/>
        <w:jc w:val="left"/>
        <w:textAlignment w:val="auto"/>
        <w:rPr>
          <w:rFonts w:hint="eastAsia" w:ascii="Times New Roman" w:hAnsi="宋体" w:eastAsia="宋体" w:cs="宋体"/>
          <w:color w:val="auto"/>
          <w:highlight w:val="none"/>
        </w:rPr>
      </w:pPr>
      <w:r>
        <w:rPr>
          <w:rFonts w:hint="eastAsia" w:ascii="Times New Roman" w:hAnsi="宋体" w:eastAsia="宋体" w:cs="宋体"/>
          <w:color w:val="auto"/>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74E0FE9C">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10.7.2 </w:t>
      </w:r>
      <w:r>
        <w:rPr>
          <w:rFonts w:hint="eastAsia" w:hAnsi="宋体" w:cs="宋体"/>
          <w:color w:val="auto"/>
          <w:highlight w:val="none"/>
        </w:rPr>
        <w:t>不属于依法必须招标的暂估价项目</w:t>
      </w:r>
    </w:p>
    <w:p w14:paraId="0383356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对于不属于依法必须招标的暂估价项目的确认和批准采取第</w:t>
      </w:r>
      <w:r>
        <w:rPr>
          <w:color w:val="auto"/>
          <w:highlight w:val="none"/>
          <w:u w:val="single"/>
        </w:rPr>
        <w:t xml:space="preserve">   </w:t>
      </w:r>
      <w:r>
        <w:rPr>
          <w:color w:val="auto"/>
          <w:highlight w:val="none"/>
        </w:rPr>
        <w:t xml:space="preserve"> </w:t>
      </w:r>
      <w:r>
        <w:rPr>
          <w:rFonts w:hint="eastAsia" w:hAnsi="宋体" w:cs="宋体"/>
          <w:color w:val="auto"/>
          <w:highlight w:val="none"/>
        </w:rPr>
        <w:t>种方式确定。</w:t>
      </w:r>
    </w:p>
    <w:p w14:paraId="412235BA">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highlight w:val="none"/>
        </w:rPr>
        <w:t>第</w:t>
      </w:r>
      <w:r>
        <w:rPr>
          <w:color w:val="auto"/>
          <w:highlight w:val="none"/>
        </w:rPr>
        <w:t>3</w:t>
      </w:r>
      <w:r>
        <w:rPr>
          <w:rFonts w:hint="eastAsia" w:hAnsi="宋体" w:cs="宋体"/>
          <w:color w:val="auto"/>
          <w:highlight w:val="none"/>
        </w:rPr>
        <w:t>种方式：</w:t>
      </w:r>
      <w:r>
        <w:rPr>
          <w:rFonts w:hint="eastAsia" w:hAnsi="宋体" w:cs="宋体"/>
          <w:color w:val="auto"/>
          <w:kern w:val="0"/>
          <w:highlight w:val="none"/>
        </w:rPr>
        <w:t>承包人直接实施的暂估价项目</w:t>
      </w:r>
    </w:p>
    <w:p w14:paraId="33AC4744">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承包人直接实施的暂估价项目的约定：</w:t>
      </w:r>
      <w:r>
        <w:rPr>
          <w:color w:val="auto"/>
          <w:highlight w:val="none"/>
          <w:u w:val="single"/>
        </w:rPr>
        <w:t xml:space="preserve">                     </w:t>
      </w:r>
      <w:r>
        <w:rPr>
          <w:rFonts w:hint="eastAsia" w:hAnsi="宋体" w:cs="宋体"/>
          <w:color w:val="auto"/>
          <w:highlight w:val="none"/>
        </w:rPr>
        <w:t>。</w:t>
      </w:r>
    </w:p>
    <w:p w14:paraId="5FF14730">
      <w:pPr>
        <w:pStyle w:val="6"/>
        <w:pageBreakBefore w:val="0"/>
        <w:widowControl w:val="0"/>
        <w:kinsoku/>
        <w:wordWrap/>
        <w:overflowPunct/>
        <w:topLinePunct w:val="0"/>
        <w:bidi w:val="0"/>
        <w:spacing w:before="0" w:after="0" w:line="360" w:lineRule="auto"/>
        <w:textAlignment w:val="auto"/>
        <w:rPr>
          <w:color w:val="auto"/>
          <w:highlight w:val="none"/>
        </w:rPr>
      </w:pPr>
      <w:bookmarkStart w:id="807" w:name="_Toc389065311"/>
      <w:bookmarkStart w:id="808" w:name="_Toc373227745"/>
      <w:bookmarkStart w:id="809" w:name="_Toc27163"/>
      <w:bookmarkStart w:id="810" w:name="_Toc78449834"/>
      <w:bookmarkStart w:id="811" w:name="_Toc2032108729"/>
      <w:bookmarkStart w:id="812" w:name="_Toc407135248"/>
      <w:bookmarkStart w:id="813" w:name="_Toc373478392"/>
      <w:r>
        <w:rPr>
          <w:color w:val="auto"/>
          <w:highlight w:val="none"/>
        </w:rPr>
        <w:t xml:space="preserve">10.8 </w:t>
      </w:r>
      <w:r>
        <w:rPr>
          <w:rFonts w:hint="eastAsia" w:hAnsi="宋体" w:cs="黑体"/>
          <w:color w:val="auto"/>
          <w:highlight w:val="none"/>
        </w:rPr>
        <w:t>暂列金额</w:t>
      </w:r>
      <w:bookmarkEnd w:id="807"/>
      <w:bookmarkEnd w:id="808"/>
      <w:bookmarkEnd w:id="809"/>
      <w:bookmarkEnd w:id="810"/>
      <w:bookmarkEnd w:id="811"/>
      <w:bookmarkEnd w:id="812"/>
      <w:bookmarkEnd w:id="813"/>
    </w:p>
    <w:p w14:paraId="090710F1">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合同当事人关于暂列金额使用的约定：</w:t>
      </w:r>
      <w:r>
        <w:rPr>
          <w:color w:val="auto"/>
          <w:highlight w:val="none"/>
          <w:u w:val="single"/>
        </w:rPr>
        <w:t xml:space="preserve"> </w:t>
      </w:r>
      <w:r>
        <w:rPr>
          <w:rFonts w:hint="eastAsia"/>
          <w:color w:val="auto"/>
          <w:highlight w:val="none"/>
          <w:u w:val="single"/>
        </w:rPr>
        <w:t>按照通用条款执行</w:t>
      </w:r>
      <w:r>
        <w:rPr>
          <w:color w:val="auto"/>
          <w:highlight w:val="none"/>
          <w:u w:val="single"/>
        </w:rPr>
        <w:t xml:space="preserve"> </w:t>
      </w:r>
      <w:r>
        <w:rPr>
          <w:rFonts w:hint="eastAsia" w:hAnsi="宋体" w:cs="宋体"/>
          <w:color w:val="auto"/>
          <w:kern w:val="0"/>
          <w:highlight w:val="none"/>
        </w:rPr>
        <w:t>。</w:t>
      </w:r>
    </w:p>
    <w:p w14:paraId="2F7B9AEB">
      <w:pPr>
        <w:pStyle w:val="5"/>
        <w:pageBreakBefore w:val="0"/>
        <w:widowControl w:val="0"/>
        <w:numPr>
          <w:ilvl w:val="0"/>
          <w:numId w:val="0"/>
        </w:numPr>
        <w:kinsoku/>
        <w:wordWrap/>
        <w:overflowPunct/>
        <w:topLinePunct w:val="0"/>
        <w:bidi w:val="0"/>
        <w:spacing w:before="0" w:after="0" w:line="360" w:lineRule="auto"/>
        <w:textAlignment w:val="auto"/>
        <w:rPr>
          <w:color w:val="auto"/>
          <w:highlight w:val="none"/>
        </w:rPr>
      </w:pPr>
      <w:bookmarkStart w:id="814" w:name="_Toc389065312"/>
      <w:bookmarkStart w:id="815" w:name="_Toc16150"/>
      <w:bookmarkStart w:id="816" w:name="_Toc373227746"/>
      <w:bookmarkStart w:id="817" w:name="_Toc373478393"/>
      <w:bookmarkStart w:id="818" w:name="_Toc78449835"/>
      <w:bookmarkStart w:id="819" w:name="_Toc1190723452"/>
      <w:bookmarkStart w:id="820" w:name="_Toc407135249"/>
      <w:bookmarkStart w:id="821" w:name="_Toc351203643"/>
      <w:r>
        <w:rPr>
          <w:rFonts w:ascii="Cambria" w:hAnsi="Cambria"/>
          <w:b/>
          <w:bCs/>
          <w:color w:val="auto"/>
          <w:kern w:val="2"/>
          <w:sz w:val="32"/>
          <w:szCs w:val="32"/>
          <w:highlight w:val="none"/>
          <w:lang w:val="en-US" w:eastAsia="zh-CN" w:bidi="ar-SA"/>
        </w:rPr>
        <w:t>11.</w:t>
      </w:r>
      <w:r>
        <w:rPr>
          <w:rFonts w:hint="eastAsia" w:hAnsi="宋体" w:cs="黑体"/>
          <w:color w:val="auto"/>
          <w:highlight w:val="none"/>
        </w:rPr>
        <w:t>价格调整</w:t>
      </w:r>
      <w:bookmarkEnd w:id="814"/>
      <w:bookmarkEnd w:id="815"/>
      <w:bookmarkEnd w:id="816"/>
      <w:bookmarkEnd w:id="817"/>
      <w:bookmarkEnd w:id="818"/>
      <w:bookmarkEnd w:id="819"/>
      <w:bookmarkEnd w:id="820"/>
      <w:bookmarkEnd w:id="821"/>
    </w:p>
    <w:p w14:paraId="1D986340">
      <w:pPr>
        <w:pStyle w:val="6"/>
        <w:pageBreakBefore w:val="0"/>
        <w:widowControl w:val="0"/>
        <w:kinsoku/>
        <w:wordWrap/>
        <w:overflowPunct/>
        <w:topLinePunct w:val="0"/>
        <w:bidi w:val="0"/>
        <w:spacing w:before="0" w:after="0" w:line="360" w:lineRule="auto"/>
        <w:textAlignment w:val="auto"/>
        <w:rPr>
          <w:color w:val="auto"/>
          <w:highlight w:val="none"/>
        </w:rPr>
      </w:pPr>
      <w:bookmarkStart w:id="822" w:name="_Toc407135250"/>
      <w:bookmarkStart w:id="823" w:name="_Toc13012"/>
      <w:bookmarkStart w:id="824" w:name="_Toc389065313"/>
      <w:bookmarkStart w:id="825" w:name="_Toc78449836"/>
      <w:bookmarkStart w:id="826" w:name="_Toc1501386015"/>
      <w:bookmarkStart w:id="827" w:name="_Toc373227747"/>
      <w:bookmarkStart w:id="828" w:name="_Toc373478394"/>
      <w:bookmarkStart w:id="829" w:name="_Toc297120501"/>
      <w:bookmarkStart w:id="830" w:name="_Toc296891029"/>
      <w:bookmarkStart w:id="831" w:name="_Toc296891241"/>
      <w:bookmarkStart w:id="832" w:name="_Toc312678039"/>
      <w:bookmarkStart w:id="833" w:name="_Toc297216209"/>
      <w:bookmarkStart w:id="834" w:name="_Toc296944540"/>
      <w:bookmarkStart w:id="835" w:name="_Toc292559911"/>
      <w:bookmarkStart w:id="836" w:name="_Toc304295577"/>
      <w:bookmarkStart w:id="837" w:name="_Toc296346702"/>
      <w:bookmarkStart w:id="838" w:name="_Toc296347200"/>
      <w:bookmarkStart w:id="839" w:name="_Toc297123550"/>
      <w:bookmarkStart w:id="840" w:name="_Toc297048387"/>
      <w:bookmarkStart w:id="841" w:name="_Toc303539157"/>
      <w:bookmarkStart w:id="842" w:name="_Toc292559406"/>
      <w:bookmarkStart w:id="843" w:name="_Toc296503201"/>
      <w:bookmarkStart w:id="844" w:name="_Toc300935000"/>
      <w:r>
        <w:rPr>
          <w:color w:val="auto"/>
          <w:highlight w:val="none"/>
        </w:rPr>
        <w:t xml:space="preserve">11.1 </w:t>
      </w:r>
      <w:r>
        <w:rPr>
          <w:rFonts w:hint="eastAsia" w:cs="黑体"/>
          <w:color w:val="auto"/>
          <w:highlight w:val="none"/>
        </w:rPr>
        <w:t>市场价格波动引起的调整</w:t>
      </w:r>
      <w:bookmarkEnd w:id="822"/>
      <w:bookmarkEnd w:id="823"/>
      <w:bookmarkEnd w:id="824"/>
      <w:bookmarkEnd w:id="825"/>
      <w:bookmarkEnd w:id="826"/>
      <w:bookmarkEnd w:id="827"/>
      <w:bookmarkEnd w:id="828"/>
    </w:p>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p w14:paraId="66A69205">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kern w:val="0"/>
          <w:highlight w:val="none"/>
        </w:rPr>
        <w:t>市场价格波动是否调整合同价格的约定：</w:t>
      </w:r>
      <w:r>
        <w:rPr>
          <w:rFonts w:hint="eastAsia"/>
          <w:color w:val="auto"/>
          <w:highlight w:val="none"/>
          <w:u w:val="single"/>
          <w:lang w:val="en-US" w:eastAsia="zh-CN"/>
        </w:rPr>
        <w:t xml:space="preserve"> 非施工单位原因造成的主要材料价差在5%以内（含 5%）的，由施工单位承担；超过5%部分的价差，由建设单位承担 </w:t>
      </w:r>
      <w:r>
        <w:rPr>
          <w:rFonts w:hint="eastAsia" w:hAnsi="宋体" w:cs="宋体"/>
          <w:color w:val="auto"/>
          <w:highlight w:val="none"/>
        </w:rPr>
        <w:t>。</w:t>
      </w:r>
    </w:p>
    <w:p w14:paraId="23AC3EF8">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因市场价格波动调整合同价格，采用以下第</w:t>
      </w:r>
      <w:r>
        <w:rPr>
          <w:color w:val="auto"/>
          <w:highlight w:val="none"/>
          <w:u w:val="single"/>
        </w:rPr>
        <w:t xml:space="preserve"> </w:t>
      </w:r>
      <w:r>
        <w:rPr>
          <w:rFonts w:hint="eastAsia"/>
          <w:color w:val="auto"/>
          <w:highlight w:val="none"/>
          <w:u w:val="single"/>
          <w:lang w:val="en-US" w:eastAsia="zh-CN"/>
        </w:rPr>
        <w:t>2</w:t>
      </w:r>
      <w:r>
        <w:rPr>
          <w:color w:val="auto"/>
          <w:highlight w:val="none"/>
          <w:u w:val="single"/>
        </w:rPr>
        <w:t xml:space="preserve"> </w:t>
      </w:r>
      <w:r>
        <w:rPr>
          <w:rFonts w:hint="eastAsia" w:hAnsi="宋体" w:cs="宋体"/>
          <w:color w:val="auto"/>
          <w:highlight w:val="none"/>
        </w:rPr>
        <w:t>种方式对合同价格进行调整：</w:t>
      </w:r>
    </w:p>
    <w:p w14:paraId="67951A1B">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第</w:t>
      </w:r>
      <w:r>
        <w:rPr>
          <w:color w:val="auto"/>
          <w:highlight w:val="none"/>
        </w:rPr>
        <w:t>1</w:t>
      </w:r>
      <w:r>
        <w:rPr>
          <w:rFonts w:hint="eastAsia" w:hAnsi="宋体" w:cs="宋体"/>
          <w:color w:val="auto"/>
          <w:highlight w:val="none"/>
        </w:rPr>
        <w:t>种方式：采用价格指数进行价格调整。</w:t>
      </w:r>
    </w:p>
    <w:p w14:paraId="1F101204">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关于各可调因子、定值和变值权重，以及基本价格指数及其来源的约定：</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679B0103">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第</w:t>
      </w:r>
      <w:r>
        <w:rPr>
          <w:color w:val="auto"/>
          <w:highlight w:val="none"/>
        </w:rPr>
        <w:t>2</w:t>
      </w:r>
      <w:r>
        <w:rPr>
          <w:rFonts w:hint="eastAsia" w:hAnsi="宋体" w:cs="宋体"/>
          <w:color w:val="auto"/>
          <w:highlight w:val="none"/>
        </w:rPr>
        <w:t>种方式：采用造价信息进行价格调整。</w:t>
      </w:r>
    </w:p>
    <w:p w14:paraId="79581896">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）允许调整主要材料和</w:t>
      </w:r>
      <w:r>
        <w:rPr>
          <w:rFonts w:hint="default" w:hAnsi="宋体" w:cs="宋体"/>
          <w:color w:val="auto"/>
          <w:highlight w:val="none"/>
          <w:lang w:val="en"/>
        </w:rPr>
        <w:t>工程</w:t>
      </w:r>
      <w:r>
        <w:rPr>
          <w:rFonts w:hint="eastAsia" w:hAnsi="宋体" w:cs="宋体"/>
          <w:color w:val="auto"/>
          <w:highlight w:val="none"/>
        </w:rPr>
        <w:t>设备、基期价格、风险系数、投标报价详见《</w:t>
      </w:r>
      <w:r>
        <w:rPr>
          <w:rFonts w:hint="default" w:hAnsi="宋体" w:cs="宋体"/>
          <w:color w:val="auto"/>
          <w:highlight w:val="none"/>
          <w:lang w:val="en" w:eastAsia="zh-CN"/>
        </w:rPr>
        <w:t>允许调整</w:t>
      </w:r>
      <w:r>
        <w:rPr>
          <w:rFonts w:hint="eastAsia" w:hAnsi="宋体" w:cs="宋体"/>
          <w:color w:val="auto"/>
          <w:highlight w:val="none"/>
        </w:rPr>
        <w:t>主要材料和</w:t>
      </w:r>
      <w:r>
        <w:rPr>
          <w:rFonts w:hint="default" w:hAnsi="宋体" w:cs="宋体"/>
          <w:color w:val="auto"/>
          <w:highlight w:val="none"/>
          <w:lang w:val="en"/>
        </w:rPr>
        <w:t>工程</w:t>
      </w:r>
      <w:r>
        <w:rPr>
          <w:rFonts w:hint="eastAsia" w:hAnsi="宋体" w:cs="宋体"/>
          <w:color w:val="auto"/>
          <w:highlight w:val="none"/>
        </w:rPr>
        <w:t>设备一览表》</w:t>
      </w:r>
      <w:r>
        <w:rPr>
          <w:rFonts w:hint="eastAsia" w:ascii="宋体" w:hAnsi="宋体"/>
          <w:color w:val="auto"/>
          <w:kern w:val="0"/>
          <w:sz w:val="20"/>
          <w:highlight w:val="none"/>
        </w:rPr>
        <w:t>（表</w:t>
      </w:r>
      <w:r>
        <w:rPr>
          <w:rFonts w:ascii="宋体" w:hAnsi="宋体"/>
          <w:color w:val="auto"/>
          <w:kern w:val="0"/>
          <w:sz w:val="20"/>
          <w:highlight w:val="none"/>
        </w:rPr>
        <w:t>-22</w:t>
      </w:r>
      <w:r>
        <w:rPr>
          <w:rFonts w:hint="eastAsia" w:ascii="宋体" w:hAnsi="宋体"/>
          <w:color w:val="auto"/>
          <w:kern w:val="0"/>
          <w:sz w:val="20"/>
          <w:highlight w:val="none"/>
        </w:rPr>
        <w:t>）</w:t>
      </w:r>
      <w:r>
        <w:rPr>
          <w:rFonts w:hint="eastAsia" w:hAnsi="宋体" w:cs="宋体"/>
          <w:color w:val="auto"/>
          <w:highlight w:val="none"/>
          <w:lang w:eastAsia="zh-CN"/>
        </w:rPr>
        <w:t>，</w:t>
      </w:r>
      <w:r>
        <w:rPr>
          <w:rFonts w:hint="eastAsia" w:hAnsi="宋体" w:cs="宋体"/>
          <w:color w:val="auto"/>
          <w:highlight w:val="none"/>
        </w:rPr>
        <w:t>价</w:t>
      </w:r>
      <w:r>
        <w:rPr>
          <w:rFonts w:hAnsi="宋体" w:cs="宋体"/>
          <w:color w:val="auto"/>
          <w:highlight w:val="none"/>
        </w:rPr>
        <w:t>差</w:t>
      </w:r>
      <w:r>
        <w:rPr>
          <w:rFonts w:hint="eastAsia" w:ascii="Calibri" w:hAnsi="宋体" w:cs="宋体"/>
          <w:color w:val="auto"/>
          <w:highlight w:val="none"/>
        </w:rPr>
        <w:t>调整部分仅计算税金，除此表列明的材料、设备外，其余材料设备价差原则上不予调整。</w:t>
      </w:r>
    </w:p>
    <w:p w14:paraId="2E0F1C82">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）主要材料和</w:t>
      </w:r>
      <w:r>
        <w:rPr>
          <w:rFonts w:hint="default" w:hAnsi="宋体" w:cs="宋体"/>
          <w:color w:val="auto"/>
          <w:highlight w:val="none"/>
          <w:lang w:val="en"/>
        </w:rPr>
        <w:t>工程</w:t>
      </w:r>
      <w:r>
        <w:rPr>
          <w:rFonts w:hint="eastAsia" w:hAnsi="宋体" w:cs="宋体"/>
          <w:color w:val="auto"/>
          <w:highlight w:val="none"/>
        </w:rPr>
        <w:t>设备确认价：</w:t>
      </w:r>
    </w:p>
    <w:p w14:paraId="11C07BBB">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按施工期间《</w:t>
      </w:r>
      <w:r>
        <w:rPr>
          <w:color w:val="auto"/>
          <w:highlight w:val="none"/>
          <w:u w:val="single"/>
        </w:rPr>
        <w:t xml:space="preserve">  </w:t>
      </w:r>
      <w:r>
        <w:rPr>
          <w:rFonts w:hint="eastAsia"/>
          <w:color w:val="auto"/>
          <w:highlight w:val="none"/>
          <w:u w:val="single"/>
          <w:lang w:val="en-US" w:eastAsia="zh-CN"/>
        </w:rPr>
        <w:t xml:space="preserve">北海 </w:t>
      </w:r>
      <w:r>
        <w:rPr>
          <w:color w:val="auto"/>
          <w:highlight w:val="none"/>
          <w:u w:val="single"/>
        </w:rPr>
        <w:t xml:space="preserve"> </w:t>
      </w:r>
      <w:r>
        <w:rPr>
          <w:rFonts w:hint="eastAsia" w:hAnsi="宋体" w:cs="宋体"/>
          <w:color w:val="auto"/>
          <w:highlight w:val="none"/>
        </w:rPr>
        <w:t>市建设工程造价信息》材料信息价的加权平均价计算，信息价没有的按通用条款规定确定。</w:t>
      </w:r>
    </w:p>
    <w:p w14:paraId="3C352349">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w:t>
      </w:r>
      <w:r>
        <w:rPr>
          <w:color w:val="auto"/>
          <w:highlight w:val="none"/>
        </w:rPr>
        <w:t>3</w:t>
      </w:r>
      <w:r>
        <w:rPr>
          <w:rFonts w:hint="eastAsia" w:hAnsi="宋体" w:cs="宋体"/>
          <w:color w:val="auto"/>
          <w:highlight w:val="none"/>
        </w:rPr>
        <w:t>）价差计算方法：</w:t>
      </w:r>
    </w:p>
    <w:p w14:paraId="09E332DA">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①《</w:t>
      </w:r>
      <w:r>
        <w:rPr>
          <w:rFonts w:hint="default" w:hAnsi="宋体" w:cs="宋体"/>
          <w:color w:val="auto"/>
          <w:highlight w:val="none"/>
          <w:lang w:val="en" w:eastAsia="zh-CN"/>
        </w:rPr>
        <w:t>允许调整</w:t>
      </w:r>
      <w:r>
        <w:rPr>
          <w:rFonts w:hint="eastAsia" w:hAnsi="宋体" w:cs="宋体"/>
          <w:color w:val="auto"/>
          <w:highlight w:val="none"/>
        </w:rPr>
        <w:t>主要材料和</w:t>
      </w:r>
      <w:r>
        <w:rPr>
          <w:rFonts w:hint="eastAsia" w:hAnsi="宋体" w:cs="宋体"/>
          <w:color w:val="auto"/>
          <w:highlight w:val="none"/>
          <w:lang w:eastAsia="zh-CN"/>
        </w:rPr>
        <w:t>工程</w:t>
      </w:r>
      <w:r>
        <w:rPr>
          <w:rFonts w:hint="eastAsia" w:hAnsi="宋体" w:cs="宋体"/>
          <w:color w:val="auto"/>
          <w:highlight w:val="none"/>
        </w:rPr>
        <w:t>设备一览表》中载明的材料和设备投标报价低于基准价格的：合同履行期间材料和设备单价涨幅以基准价格为基础超过约定的风险范围时，或材料和设备单价跌幅以投标报价为基础超过约定的风险范围时，对其超过部分进行价差调整，价差计算公式：价格上涨价差=确认价-基准价*（1+风险系数），价格下跌价差=确认价-投标报价*（1+风险系数）。</w:t>
      </w:r>
    </w:p>
    <w:p w14:paraId="1774B125">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②承包人在《</w:t>
      </w:r>
      <w:r>
        <w:rPr>
          <w:rFonts w:hint="default" w:hAnsi="宋体" w:cs="宋体"/>
          <w:color w:val="auto"/>
          <w:highlight w:val="none"/>
          <w:lang w:val="en" w:eastAsia="zh-CN"/>
        </w:rPr>
        <w:t>允许调整</w:t>
      </w:r>
      <w:r>
        <w:rPr>
          <w:rFonts w:hint="eastAsia" w:hAnsi="宋体" w:cs="宋体"/>
          <w:color w:val="auto"/>
          <w:highlight w:val="none"/>
        </w:rPr>
        <w:t>主要材料和</w:t>
      </w:r>
      <w:r>
        <w:rPr>
          <w:rFonts w:hint="eastAsia" w:hAnsi="宋体" w:cs="宋体"/>
          <w:color w:val="auto"/>
          <w:highlight w:val="none"/>
          <w:lang w:eastAsia="zh-CN"/>
        </w:rPr>
        <w:t>工程</w:t>
      </w:r>
      <w:r>
        <w:rPr>
          <w:rFonts w:hint="eastAsia" w:hAnsi="宋体" w:cs="宋体"/>
          <w:color w:val="auto"/>
          <w:highlight w:val="none"/>
        </w:rPr>
        <w:t>设备一览表》中载明的材料和设备投标报价高于基准价格的：合同履行期间材料和设备单价跌幅以基准价格为基础超过约定的风险范围时，或材料和设备单价涨幅以投标报价为基础超过约定的风险范围时，对其超过部分进行价差调整。价差计算公式：价格上涨价差=确认价-投标报价*（1+风险系数），价格下跌价差=确认价-基准价*（1+风险系数。）</w:t>
      </w:r>
    </w:p>
    <w:p w14:paraId="54CF30D0">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③承包人在《</w:t>
      </w:r>
      <w:r>
        <w:rPr>
          <w:rFonts w:hint="default" w:hAnsi="宋体" w:cs="宋体"/>
          <w:color w:val="auto"/>
          <w:highlight w:val="none"/>
          <w:lang w:val="en" w:eastAsia="zh-CN"/>
        </w:rPr>
        <w:t>允许调整</w:t>
      </w:r>
      <w:r>
        <w:rPr>
          <w:rFonts w:hint="eastAsia" w:hAnsi="宋体" w:cs="宋体"/>
          <w:color w:val="auto"/>
          <w:highlight w:val="none"/>
        </w:rPr>
        <w:t>主要材料和</w:t>
      </w:r>
      <w:r>
        <w:rPr>
          <w:rFonts w:hint="eastAsia" w:hAnsi="宋体" w:cs="宋体"/>
          <w:color w:val="auto"/>
          <w:highlight w:val="none"/>
          <w:lang w:eastAsia="zh-CN"/>
        </w:rPr>
        <w:t>工程</w:t>
      </w:r>
      <w:r>
        <w:rPr>
          <w:rFonts w:hint="eastAsia" w:hAnsi="宋体" w:cs="宋体"/>
          <w:color w:val="auto"/>
          <w:highlight w:val="none"/>
        </w:rPr>
        <w:t>设备一览表》中载明的材料和设备单价等于基准单价的：合同履行期间材料和设备单价涨跌幅以基准单价为基础超过约定的风险范围时，对其超过部分进行价差调整。价差计算公式：上涨或下跌价差=确认价-基准单价*（1+风险系数））</w:t>
      </w:r>
    </w:p>
    <w:p w14:paraId="19C2FFEA">
      <w:pPr>
        <w:pageBreakBefore w:val="0"/>
        <w:widowControl w:val="0"/>
        <w:kinsoku/>
        <w:wordWrap/>
        <w:overflowPunct/>
        <w:topLinePunct w:val="0"/>
        <w:bidi w:val="0"/>
        <w:spacing w:line="360" w:lineRule="auto"/>
        <w:ind w:firstLine="645"/>
        <w:jc w:val="left"/>
        <w:textAlignment w:val="auto"/>
        <w:rPr>
          <w:color w:val="auto"/>
          <w:highlight w:val="none"/>
        </w:rPr>
      </w:pPr>
      <w:r>
        <w:rPr>
          <w:rFonts w:hint="eastAsia" w:hAnsi="宋体" w:cs="宋体"/>
          <w:color w:val="auto"/>
          <w:highlight w:val="none"/>
        </w:rPr>
        <w:t>第</w:t>
      </w:r>
      <w:r>
        <w:rPr>
          <w:rFonts w:hAnsi="宋体"/>
          <w:color w:val="auto"/>
          <w:highlight w:val="none"/>
        </w:rPr>
        <w:t>3</w:t>
      </w:r>
      <w:r>
        <w:rPr>
          <w:rFonts w:hint="eastAsia" w:hAnsi="宋体" w:cs="宋体"/>
          <w:color w:val="auto"/>
          <w:highlight w:val="none"/>
        </w:rPr>
        <w:t>种方式：</w:t>
      </w:r>
      <w:r>
        <w:rPr>
          <w:color w:val="auto"/>
          <w:highlight w:val="none"/>
          <w:u w:val="single"/>
        </w:rPr>
        <w:t xml:space="preserve">                                                            </w:t>
      </w:r>
      <w:r>
        <w:rPr>
          <w:color w:val="auto"/>
          <w:highlight w:val="none"/>
        </w:rPr>
        <w:t xml:space="preserve"> </w:t>
      </w:r>
      <w:r>
        <w:rPr>
          <w:rFonts w:hint="eastAsia" w:cs="宋体"/>
          <w:color w:val="auto"/>
          <w:highlight w:val="none"/>
        </w:rPr>
        <w:t>。</w:t>
      </w:r>
    </w:p>
    <w:bookmarkEnd w:id="675"/>
    <w:bookmarkEnd w:id="676"/>
    <w:bookmarkEnd w:id="677"/>
    <w:bookmarkEnd w:id="678"/>
    <w:bookmarkEnd w:id="679"/>
    <w:bookmarkEnd w:id="680"/>
    <w:p w14:paraId="4F682C56">
      <w:pPr>
        <w:pStyle w:val="5"/>
        <w:pageBreakBefore w:val="0"/>
        <w:widowControl w:val="0"/>
        <w:kinsoku/>
        <w:wordWrap/>
        <w:overflowPunct/>
        <w:topLinePunct w:val="0"/>
        <w:bidi w:val="0"/>
        <w:spacing w:before="0" w:after="0" w:line="360" w:lineRule="auto"/>
        <w:textAlignment w:val="auto"/>
        <w:rPr>
          <w:color w:val="auto"/>
          <w:highlight w:val="none"/>
        </w:rPr>
      </w:pPr>
      <w:bookmarkStart w:id="845" w:name="_Toc292559410"/>
      <w:bookmarkStart w:id="846" w:name="_Toc297120505"/>
      <w:bookmarkStart w:id="847" w:name="_Toc296347204"/>
      <w:bookmarkStart w:id="848" w:name="_Toc297048391"/>
      <w:bookmarkStart w:id="849" w:name="_Toc296944544"/>
      <w:bookmarkStart w:id="850" w:name="_Toc296346706"/>
      <w:bookmarkStart w:id="851" w:name="_Toc292559915"/>
      <w:bookmarkStart w:id="852" w:name="_Toc296891245"/>
      <w:bookmarkStart w:id="853" w:name="_Toc296891033"/>
      <w:bookmarkStart w:id="854" w:name="_Toc296503205"/>
      <w:bookmarkStart w:id="855" w:name="_Toc351203644"/>
      <w:bookmarkStart w:id="856" w:name="_Toc373478395"/>
      <w:bookmarkStart w:id="857" w:name="_Toc78449837"/>
      <w:bookmarkStart w:id="858" w:name="_Toc1720046426"/>
      <w:bookmarkStart w:id="859" w:name="_Toc373227748"/>
      <w:bookmarkStart w:id="860" w:name="_Toc17594"/>
      <w:bookmarkStart w:id="861" w:name="_Toc407135251"/>
      <w:bookmarkStart w:id="862" w:name="_Toc304295579"/>
      <w:bookmarkStart w:id="863" w:name="_Toc297216211"/>
      <w:bookmarkStart w:id="864" w:name="_Toc303539159"/>
      <w:bookmarkStart w:id="865" w:name="_Toc312678040"/>
      <w:bookmarkStart w:id="866" w:name="_Toc300935002"/>
      <w:bookmarkStart w:id="867" w:name="_Toc297123552"/>
      <w:r>
        <w:rPr>
          <w:color w:val="auto"/>
          <w:highlight w:val="none"/>
        </w:rPr>
        <w:t xml:space="preserve">12. </w:t>
      </w:r>
      <w:bookmarkEnd w:id="845"/>
      <w:bookmarkEnd w:id="846"/>
      <w:bookmarkEnd w:id="847"/>
      <w:bookmarkEnd w:id="848"/>
      <w:bookmarkEnd w:id="849"/>
      <w:bookmarkEnd w:id="850"/>
      <w:bookmarkEnd w:id="851"/>
      <w:bookmarkEnd w:id="852"/>
      <w:bookmarkEnd w:id="853"/>
      <w:bookmarkEnd w:id="854"/>
      <w:r>
        <w:rPr>
          <w:rFonts w:hint="eastAsia" w:cs="黑体"/>
          <w:color w:val="auto"/>
          <w:highlight w:val="none"/>
        </w:rPr>
        <w:t>合同价格、计量与支付</w:t>
      </w:r>
      <w:bookmarkEnd w:id="855"/>
      <w:bookmarkEnd w:id="856"/>
      <w:bookmarkEnd w:id="857"/>
      <w:bookmarkEnd w:id="858"/>
      <w:bookmarkEnd w:id="859"/>
      <w:bookmarkEnd w:id="860"/>
      <w:bookmarkEnd w:id="861"/>
    </w:p>
    <w:bookmarkEnd w:id="862"/>
    <w:bookmarkEnd w:id="863"/>
    <w:bookmarkEnd w:id="864"/>
    <w:bookmarkEnd w:id="865"/>
    <w:bookmarkEnd w:id="866"/>
    <w:bookmarkEnd w:id="867"/>
    <w:p w14:paraId="4822D1C0">
      <w:pPr>
        <w:pStyle w:val="6"/>
        <w:pageBreakBefore w:val="0"/>
        <w:widowControl w:val="0"/>
        <w:kinsoku/>
        <w:wordWrap/>
        <w:overflowPunct/>
        <w:topLinePunct w:val="0"/>
        <w:bidi w:val="0"/>
        <w:spacing w:before="0" w:after="0" w:line="360" w:lineRule="auto"/>
        <w:textAlignment w:val="auto"/>
        <w:rPr>
          <w:color w:val="auto"/>
          <w:highlight w:val="none"/>
        </w:rPr>
      </w:pPr>
      <w:bookmarkStart w:id="868" w:name="_Toc292559916"/>
      <w:bookmarkStart w:id="869" w:name="_Toc292559411"/>
      <w:bookmarkStart w:id="870" w:name="_Toc267251461"/>
      <w:bookmarkStart w:id="871" w:name="_Toc296346707"/>
      <w:bookmarkStart w:id="872" w:name="_Toc296347205"/>
      <w:bookmarkStart w:id="873" w:name="_Toc296891246"/>
      <w:bookmarkStart w:id="874" w:name="_Toc296891034"/>
      <w:bookmarkStart w:id="875" w:name="_Toc296944545"/>
      <w:bookmarkStart w:id="876" w:name="_Toc297120506"/>
      <w:bookmarkStart w:id="877" w:name="_Toc296503206"/>
      <w:bookmarkStart w:id="878" w:name="_Toc297048392"/>
      <w:bookmarkStart w:id="879" w:name="_Toc373227749"/>
      <w:bookmarkStart w:id="880" w:name="_Toc1894565429"/>
      <w:bookmarkStart w:id="881" w:name="_Toc407135252"/>
      <w:bookmarkStart w:id="882" w:name="_Toc14358"/>
      <w:bookmarkStart w:id="883" w:name="_Toc373478396"/>
      <w:bookmarkStart w:id="884" w:name="_Toc389065314"/>
      <w:bookmarkStart w:id="885" w:name="_Toc78449838"/>
      <w:bookmarkStart w:id="886" w:name="_Toc312678041"/>
      <w:bookmarkStart w:id="887" w:name="_Toc297123553"/>
      <w:bookmarkStart w:id="888" w:name="_Toc297216212"/>
      <w:bookmarkStart w:id="889" w:name="_Toc300935003"/>
      <w:bookmarkStart w:id="890" w:name="_Toc303539160"/>
      <w:bookmarkStart w:id="891" w:name="_Toc304295580"/>
      <w:r>
        <w:rPr>
          <w:color w:val="auto"/>
          <w:highlight w:val="none"/>
        </w:rPr>
        <w:t xml:space="preserve">12.1 </w:t>
      </w:r>
      <w:r>
        <w:rPr>
          <w:rFonts w:hint="eastAsia" w:hAnsi="宋体" w:cs="黑体"/>
          <w:color w:val="auto"/>
          <w:highlight w:val="none"/>
        </w:rPr>
        <w:t>合</w:t>
      </w:r>
      <w:bookmarkEnd w:id="868"/>
      <w:bookmarkEnd w:id="869"/>
      <w:bookmarkEnd w:id="870"/>
      <w:r>
        <w:rPr>
          <w:rFonts w:hint="eastAsia" w:hAnsi="宋体" w:cs="黑体"/>
          <w:color w:val="auto"/>
          <w:highlight w:val="none"/>
        </w:rPr>
        <w:t>同价</w:t>
      </w:r>
      <w:bookmarkEnd w:id="871"/>
      <w:bookmarkEnd w:id="872"/>
      <w:bookmarkEnd w:id="873"/>
      <w:bookmarkEnd w:id="874"/>
      <w:bookmarkEnd w:id="875"/>
      <w:bookmarkEnd w:id="876"/>
      <w:bookmarkEnd w:id="877"/>
      <w:bookmarkEnd w:id="878"/>
      <w:r>
        <w:rPr>
          <w:rFonts w:hint="eastAsia" w:hAnsi="宋体" w:cs="黑体"/>
          <w:color w:val="auto"/>
          <w:highlight w:val="none"/>
        </w:rPr>
        <w:t>格形式</w:t>
      </w:r>
      <w:bookmarkEnd w:id="879"/>
      <w:bookmarkEnd w:id="880"/>
      <w:bookmarkEnd w:id="881"/>
      <w:bookmarkEnd w:id="882"/>
      <w:bookmarkEnd w:id="883"/>
      <w:bookmarkEnd w:id="884"/>
      <w:bookmarkEnd w:id="885"/>
    </w:p>
    <w:bookmarkEnd w:id="886"/>
    <w:bookmarkEnd w:id="887"/>
    <w:bookmarkEnd w:id="888"/>
    <w:bookmarkEnd w:id="889"/>
    <w:bookmarkEnd w:id="890"/>
    <w:bookmarkEnd w:id="891"/>
    <w:p w14:paraId="0AAF842B">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bookmarkStart w:id="892" w:name="_Toc389065315"/>
      <w:bookmarkStart w:id="893" w:name="_Toc373227750"/>
      <w:bookmarkStart w:id="894" w:name="_Toc373478397"/>
      <w:bookmarkStart w:id="895" w:name="_Toc297123554"/>
      <w:bookmarkStart w:id="896" w:name="_Toc304295581"/>
      <w:bookmarkStart w:id="897" w:name="_Toc297216213"/>
      <w:bookmarkStart w:id="898" w:name="_Toc303539161"/>
      <w:bookmarkStart w:id="899" w:name="_Toc300935004"/>
      <w:bookmarkStart w:id="900" w:name="_Toc312678042"/>
      <w:bookmarkStart w:id="901" w:name="_Toc296503207"/>
      <w:bookmarkStart w:id="902" w:name="_Toc296347206"/>
      <w:bookmarkStart w:id="903" w:name="_Toc297120507"/>
      <w:bookmarkStart w:id="904" w:name="_Toc296891035"/>
      <w:bookmarkStart w:id="905" w:name="_Toc296891247"/>
      <w:bookmarkStart w:id="906" w:name="_Toc292559412"/>
      <w:bookmarkStart w:id="907" w:name="_Toc296944546"/>
      <w:bookmarkStart w:id="908" w:name="_Toc292559917"/>
      <w:bookmarkStart w:id="909" w:name="_Toc296346708"/>
      <w:bookmarkStart w:id="910" w:name="_Toc297048393"/>
      <w:r>
        <w:rPr>
          <w:rFonts w:hint="eastAsia" w:hAnsi="宋体" w:cs="宋体"/>
          <w:color w:val="auto"/>
          <w:highlight w:val="none"/>
        </w:rPr>
        <w:t>本工程采用</w:t>
      </w:r>
      <w:r>
        <w:rPr>
          <w:rFonts w:hAnsi="宋体"/>
          <w:color w:val="auto"/>
          <w:highlight w:val="none"/>
          <w:u w:val="single"/>
        </w:rPr>
        <w:t xml:space="preserve"> </w:t>
      </w:r>
      <w:r>
        <w:rPr>
          <w:rFonts w:hint="eastAsia" w:hAnsi="宋体"/>
          <w:color w:val="auto"/>
          <w:highlight w:val="none"/>
          <w:u w:val="single"/>
        </w:rPr>
        <w:t>固定综合单价</w:t>
      </w:r>
      <w:r>
        <w:rPr>
          <w:rFonts w:hAnsi="宋体"/>
          <w:color w:val="auto"/>
          <w:highlight w:val="none"/>
          <w:u w:val="single"/>
        </w:rPr>
        <w:t xml:space="preserve"> </w:t>
      </w:r>
      <w:r>
        <w:rPr>
          <w:rFonts w:hint="eastAsia" w:hAnsi="宋体" w:cs="宋体"/>
          <w:color w:val="auto"/>
          <w:highlight w:val="none"/>
        </w:rPr>
        <w:t>合同价格形式，合同价格包含增值税，本工程计价时采用的增值税计税方法为：</w:t>
      </w:r>
      <w:r>
        <w:rPr>
          <w:rFonts w:hint="eastAsia" w:ascii="宋体" w:hAnsi="宋体" w:cs="宋体"/>
          <w:color w:val="auto"/>
          <w:highlight w:val="none"/>
          <w:lang w:eastAsia="zh-CN"/>
        </w:rPr>
        <w:t>☑</w:t>
      </w:r>
      <w:r>
        <w:rPr>
          <w:rFonts w:hint="eastAsia" w:hAnsi="宋体" w:cs="宋体"/>
          <w:color w:val="auto"/>
          <w:highlight w:val="none"/>
        </w:rPr>
        <w:t xml:space="preserve">一般计税法   </w:t>
      </w:r>
      <w:r>
        <w:rPr>
          <w:rFonts w:hint="eastAsia" w:ascii="宋体" w:hAnsi="宋体" w:cs="宋体"/>
          <w:color w:val="auto"/>
          <w:highlight w:val="none"/>
        </w:rPr>
        <w:t>□</w:t>
      </w:r>
      <w:r>
        <w:rPr>
          <w:rFonts w:hint="eastAsia" w:hAnsi="宋体" w:cs="宋体"/>
          <w:color w:val="auto"/>
          <w:highlight w:val="none"/>
        </w:rPr>
        <w:t>简易计税法。</w:t>
      </w:r>
    </w:p>
    <w:p w14:paraId="59A9051C">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w:t>
      </w:r>
      <w:r>
        <w:rPr>
          <w:rFonts w:hAnsi="宋体"/>
          <w:color w:val="auto"/>
          <w:highlight w:val="none"/>
        </w:rPr>
        <w:t>1</w:t>
      </w:r>
      <w:r>
        <w:rPr>
          <w:rFonts w:hint="eastAsia" w:hAnsi="宋体" w:cs="宋体"/>
          <w:color w:val="auto"/>
          <w:highlight w:val="none"/>
        </w:rPr>
        <w:t>）单价合同。</w:t>
      </w:r>
    </w:p>
    <w:p w14:paraId="49A064BE">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采用综合单价合同方式时，工程量按建设单位、监理单位、施工单位三方确认的竣工图结算。</w:t>
      </w:r>
    </w:p>
    <w:p w14:paraId="0434D437">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综合单价包含的风险范围：</w:t>
      </w:r>
      <w:r>
        <w:rPr>
          <w:rFonts w:hint="eastAsia" w:hAnsi="宋体" w:cs="宋体"/>
          <w:color w:val="auto"/>
          <w:highlight w:val="none"/>
          <w:u w:val="single"/>
        </w:rPr>
        <w:t>除工程变更、项目特征不符、工程量清单缺项、工程量偏差、政策性调整、市场价格波动。</w:t>
      </w:r>
    </w:p>
    <w:p w14:paraId="44C4ED62">
      <w:pPr>
        <w:pageBreakBefore w:val="0"/>
        <w:widowControl w:val="0"/>
        <w:kinsoku/>
        <w:wordWrap/>
        <w:overflowPunct/>
        <w:topLinePunct w:val="0"/>
        <w:bidi w:val="0"/>
        <w:spacing w:line="360" w:lineRule="auto"/>
        <w:ind w:firstLine="420" w:firstLineChars="200"/>
        <w:jc w:val="left"/>
        <w:textAlignment w:val="auto"/>
        <w:rPr>
          <w:rFonts w:hAnsi="宋体" w:cs="宋体"/>
          <w:color w:val="auto"/>
          <w:highlight w:val="none"/>
        </w:rPr>
      </w:pPr>
      <w:r>
        <w:rPr>
          <w:rFonts w:hint="eastAsia" w:hAnsi="宋体" w:cs="宋体"/>
          <w:color w:val="auto"/>
          <w:highlight w:val="none"/>
        </w:rPr>
        <w:t>风险范围以外合同价格的调整方法：</w:t>
      </w:r>
    </w:p>
    <w:p w14:paraId="24F8EF56">
      <w:pPr>
        <w:pageBreakBefore w:val="0"/>
        <w:widowControl w:val="0"/>
        <w:kinsoku/>
        <w:wordWrap/>
        <w:overflowPunct/>
        <w:topLinePunct w:val="0"/>
        <w:bidi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①工程变更</w:t>
      </w:r>
      <w:r>
        <w:rPr>
          <w:rFonts w:hint="eastAsia" w:ascii="Calibri" w:hAnsi="宋体" w:cs="宋体"/>
          <w:color w:val="auto"/>
          <w:highlight w:val="none"/>
        </w:rPr>
        <w:t>、项目特征不符、工程量清单缺项</w:t>
      </w:r>
      <w:r>
        <w:rPr>
          <w:rFonts w:hint="eastAsia" w:hAnsi="宋体" w:cs="宋体"/>
          <w:color w:val="auto"/>
          <w:highlight w:val="none"/>
        </w:rPr>
        <w:t>：按</w:t>
      </w:r>
      <w:r>
        <w:rPr>
          <w:rFonts w:hAnsi="宋体" w:cs="宋体"/>
          <w:color w:val="auto"/>
          <w:highlight w:val="none"/>
        </w:rPr>
        <w:t>10.4.1</w:t>
      </w:r>
      <w:r>
        <w:rPr>
          <w:rFonts w:hint="eastAsia" w:hAnsi="宋体" w:cs="宋体"/>
          <w:color w:val="auto"/>
          <w:highlight w:val="none"/>
        </w:rPr>
        <w:t>变更估价原则的约定调整。</w:t>
      </w:r>
    </w:p>
    <w:p w14:paraId="3255F581">
      <w:pPr>
        <w:pageBreakBefore w:val="0"/>
        <w:widowControl w:val="0"/>
        <w:kinsoku/>
        <w:wordWrap/>
        <w:overflowPunct/>
        <w:topLinePunct w:val="0"/>
        <w:bidi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②</w:t>
      </w:r>
      <w:r>
        <w:rPr>
          <w:rFonts w:hint="eastAsia" w:ascii="Calibri" w:hAnsi="宋体" w:cs="宋体"/>
          <w:color w:val="auto"/>
          <w:highlight w:val="none"/>
        </w:rPr>
        <w:t>工程量偏差：按1.13工程量清单错误修正的约定调整。</w:t>
      </w:r>
    </w:p>
    <w:p w14:paraId="38799305">
      <w:pPr>
        <w:pageBreakBefore w:val="0"/>
        <w:widowControl w:val="0"/>
        <w:kinsoku/>
        <w:wordWrap/>
        <w:overflowPunct/>
        <w:topLinePunct w:val="0"/>
        <w:bidi w:val="0"/>
        <w:spacing w:line="360" w:lineRule="auto"/>
        <w:ind w:firstLine="420" w:firstLineChars="200"/>
        <w:jc w:val="left"/>
        <w:textAlignment w:val="auto"/>
        <w:rPr>
          <w:rFonts w:hAnsi="宋体" w:cs="宋体"/>
          <w:color w:val="auto"/>
          <w:highlight w:val="none"/>
        </w:rPr>
      </w:pPr>
      <w:r>
        <w:rPr>
          <w:rFonts w:hint="eastAsia" w:hAnsi="宋体" w:cs="宋体"/>
          <w:color w:val="auto"/>
          <w:highlight w:val="none"/>
        </w:rPr>
        <w:t>③政策性调整：</w:t>
      </w:r>
      <w:r>
        <w:rPr>
          <w:rFonts w:hint="eastAsia" w:ascii="仿宋_GB2312" w:hAnsi="宋体"/>
          <w:color w:val="auto"/>
          <w:highlight w:val="none"/>
        </w:rPr>
        <w:t>按国家、自治区住房城乡建设厅或工程所在地</w:t>
      </w:r>
      <w:r>
        <w:rPr>
          <w:rFonts w:hint="eastAsia" w:ascii="仿宋_GB2312" w:hAnsi="宋体" w:eastAsia="宋体"/>
          <w:color w:val="auto"/>
          <w:sz w:val="21"/>
          <w:szCs w:val="21"/>
          <w:highlight w:val="none"/>
        </w:rPr>
        <w:t>市级</w:t>
      </w:r>
      <w:r>
        <w:rPr>
          <w:rFonts w:hint="eastAsia" w:ascii="仿宋_GB2312" w:hAnsi="宋体"/>
          <w:color w:val="auto"/>
          <w:highlight w:val="none"/>
        </w:rPr>
        <w:t>住房城乡建设主管部门颁布的文件执行</w:t>
      </w:r>
      <w:r>
        <w:rPr>
          <w:rFonts w:hint="eastAsia" w:hAnsi="宋体" w:cs="宋体"/>
          <w:color w:val="auto"/>
          <w:highlight w:val="none"/>
        </w:rPr>
        <w:t>。</w:t>
      </w:r>
    </w:p>
    <w:p w14:paraId="3605B962">
      <w:pPr>
        <w:pageBreakBefore w:val="0"/>
        <w:widowControl w:val="0"/>
        <w:kinsoku/>
        <w:wordWrap/>
        <w:overflowPunct/>
        <w:topLinePunct w:val="0"/>
        <w:bidi w:val="0"/>
        <w:spacing w:line="360" w:lineRule="auto"/>
        <w:ind w:firstLine="420" w:firstLineChars="200"/>
        <w:jc w:val="left"/>
        <w:textAlignment w:val="auto"/>
        <w:rPr>
          <w:rFonts w:hAnsi="宋体" w:cs="宋体"/>
          <w:color w:val="auto"/>
          <w:highlight w:val="none"/>
        </w:rPr>
      </w:pPr>
      <w:r>
        <w:rPr>
          <w:rFonts w:hint="eastAsia" w:hAnsi="宋体" w:cs="宋体"/>
          <w:color w:val="auto"/>
          <w:highlight w:val="none"/>
        </w:rPr>
        <w:t>④市场波动引起的调整：按</w:t>
      </w:r>
      <w:r>
        <w:rPr>
          <w:rFonts w:hAnsi="宋体" w:cs="宋体"/>
          <w:color w:val="auto"/>
          <w:highlight w:val="none"/>
        </w:rPr>
        <w:t>11.1</w:t>
      </w:r>
      <w:r>
        <w:rPr>
          <w:rFonts w:hint="eastAsia" w:hAnsi="宋体" w:cs="宋体"/>
          <w:color w:val="auto"/>
          <w:highlight w:val="none"/>
        </w:rPr>
        <w:t>的约定调整。</w:t>
      </w:r>
    </w:p>
    <w:p w14:paraId="4A090BC3">
      <w:pPr>
        <w:pageBreakBefore w:val="0"/>
        <w:widowControl w:val="0"/>
        <w:kinsoku/>
        <w:wordWrap/>
        <w:overflowPunct/>
        <w:topLinePunct w:val="0"/>
        <w:bidi w:val="0"/>
        <w:spacing w:line="360" w:lineRule="auto"/>
        <w:ind w:firstLine="420" w:firstLineChars="200"/>
        <w:jc w:val="left"/>
        <w:textAlignment w:val="auto"/>
        <w:rPr>
          <w:rFonts w:hint="default" w:hAnsi="宋体" w:eastAsia="宋体"/>
          <w:color w:val="auto"/>
          <w:highlight w:val="none"/>
          <w:lang w:val="en-US" w:eastAsia="zh-CN"/>
        </w:rPr>
      </w:pPr>
      <w:r>
        <w:rPr>
          <w:rFonts w:hint="eastAsia" w:hAnsi="宋体" w:cs="宋体"/>
          <w:color w:val="auto"/>
          <w:highlight w:val="none"/>
        </w:rPr>
        <w:t>⑤其它：</w:t>
      </w:r>
      <w:r>
        <w:rPr>
          <w:rFonts w:hint="eastAsia" w:hAnsi="宋体"/>
          <w:color w:val="auto"/>
          <w:highlight w:val="none"/>
          <w:u w:val="single"/>
          <w:lang w:val="en-US" w:eastAsia="zh-CN"/>
        </w:rPr>
        <w:t xml:space="preserve">         。</w:t>
      </w:r>
    </w:p>
    <w:p w14:paraId="3E16F107">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w:t>
      </w:r>
      <w:r>
        <w:rPr>
          <w:rFonts w:hAnsi="宋体"/>
          <w:color w:val="auto"/>
          <w:highlight w:val="none"/>
        </w:rPr>
        <w:t>2</w:t>
      </w:r>
      <w:r>
        <w:rPr>
          <w:rFonts w:hint="eastAsia" w:hAnsi="宋体" w:cs="宋体"/>
          <w:color w:val="auto"/>
          <w:highlight w:val="none"/>
        </w:rPr>
        <w:t>）总价合同。</w:t>
      </w:r>
    </w:p>
    <w:p w14:paraId="5792B1DC">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总价包含的风险范围：包含除工程变更、政策性调整、</w:t>
      </w:r>
      <w:r>
        <w:rPr>
          <w:rFonts w:hint="eastAsia" w:hAnsi="宋体" w:cs="宋体"/>
          <w:color w:val="auto"/>
          <w:highlight w:val="none"/>
          <w:u w:val="single"/>
        </w:rPr>
        <w:t>市场价格波动。除工程变更外，结算时不再对招标施工图对应的工程量重新计量</w:t>
      </w:r>
      <w:r>
        <w:rPr>
          <w:rFonts w:hAnsi="宋体"/>
          <w:color w:val="auto"/>
          <w:highlight w:val="none"/>
          <w:u w:val="single"/>
        </w:rPr>
        <w:t xml:space="preserve">    </w:t>
      </w:r>
      <w:r>
        <w:rPr>
          <w:rFonts w:hint="eastAsia" w:hAnsi="宋体" w:cs="宋体"/>
          <w:color w:val="auto"/>
          <w:highlight w:val="none"/>
        </w:rPr>
        <w:t>。</w:t>
      </w:r>
    </w:p>
    <w:p w14:paraId="65BAC88A">
      <w:pPr>
        <w:pageBreakBefore w:val="0"/>
        <w:widowControl w:val="0"/>
        <w:kinsoku/>
        <w:wordWrap/>
        <w:overflowPunct/>
        <w:topLinePunct w:val="0"/>
        <w:bidi w:val="0"/>
        <w:spacing w:line="360" w:lineRule="auto"/>
        <w:ind w:firstLine="420" w:firstLineChars="200"/>
        <w:jc w:val="left"/>
        <w:textAlignment w:val="auto"/>
        <w:rPr>
          <w:rFonts w:hint="eastAsia" w:ascii="Times New Roman" w:hAnsi="Times New Roman" w:eastAsia="宋体" w:cs="宋体"/>
          <w:color w:val="auto"/>
          <w:highlight w:val="none"/>
        </w:rPr>
      </w:pPr>
      <w:r>
        <w:rPr>
          <w:rFonts w:hint="eastAsia" w:cs="宋体"/>
          <w:color w:val="auto"/>
          <w:highlight w:val="none"/>
        </w:rPr>
        <w:t>风险范</w:t>
      </w:r>
      <w:r>
        <w:rPr>
          <w:rFonts w:hint="eastAsia" w:ascii="Times New Roman" w:hAnsi="Times New Roman" w:eastAsia="宋体" w:cs="宋体"/>
          <w:color w:val="auto"/>
          <w:highlight w:val="none"/>
        </w:rPr>
        <w:t>围以外合同价格的调整方法：</w:t>
      </w:r>
    </w:p>
    <w:p w14:paraId="6C8B76B5">
      <w:pPr>
        <w:pageBreakBefore w:val="0"/>
        <w:widowControl w:val="0"/>
        <w:kinsoku/>
        <w:wordWrap/>
        <w:overflowPunct/>
        <w:topLinePunct w:val="0"/>
        <w:bidi w:val="0"/>
        <w:spacing w:line="360" w:lineRule="auto"/>
        <w:ind w:firstLine="420" w:firstLineChars="200"/>
        <w:jc w:val="left"/>
        <w:textAlignment w:val="auto"/>
        <w:rPr>
          <w:rFonts w:hint="eastAsia" w:ascii="Times New Roman" w:hAnsi="Times New Roman" w:eastAsia="宋体" w:cs="宋体"/>
          <w:color w:val="auto"/>
          <w:highlight w:val="none"/>
        </w:rPr>
      </w:pPr>
      <w:r>
        <w:rPr>
          <w:rFonts w:hint="eastAsia" w:ascii="Times New Roman" w:hAnsi="Times New Roman" w:eastAsia="宋体" w:cs="宋体"/>
          <w:color w:val="auto"/>
          <w:highlight w:val="none"/>
          <w:lang w:val="en-US" w:eastAsia="zh-CN"/>
        </w:rPr>
        <w:t>①</w:t>
      </w:r>
      <w:r>
        <w:rPr>
          <w:rFonts w:hint="eastAsia" w:ascii="Times New Roman" w:hAnsi="Times New Roman" w:eastAsia="宋体" w:cs="宋体"/>
          <w:color w:val="auto"/>
          <w:highlight w:val="none"/>
        </w:rPr>
        <w:t>工程变更：按10.4.1变更估价原则的约定调整。</w:t>
      </w:r>
    </w:p>
    <w:p w14:paraId="4FEE0D70">
      <w:pPr>
        <w:pageBreakBefore w:val="0"/>
        <w:widowControl w:val="0"/>
        <w:kinsoku/>
        <w:wordWrap/>
        <w:overflowPunct/>
        <w:topLinePunct w:val="0"/>
        <w:bidi w:val="0"/>
        <w:spacing w:line="360" w:lineRule="auto"/>
        <w:ind w:firstLine="420" w:firstLineChars="200"/>
        <w:jc w:val="left"/>
        <w:textAlignment w:val="auto"/>
        <w:rPr>
          <w:rFonts w:hAnsi="宋体" w:cs="宋体"/>
          <w:color w:val="auto"/>
          <w:highlight w:val="none"/>
        </w:rPr>
      </w:pPr>
      <w:r>
        <w:rPr>
          <w:rFonts w:hint="eastAsia" w:ascii="Times New Roman" w:hAnsi="Times New Roman" w:eastAsia="宋体" w:cs="宋体"/>
          <w:color w:val="auto"/>
          <w:highlight w:val="none"/>
        </w:rPr>
        <w:t>②政策性调整：按国家、自治区住房城乡建设厅或工程所在地市级住房城乡建设主管部门颁布的文件执行。</w:t>
      </w:r>
    </w:p>
    <w:p w14:paraId="35B1094F">
      <w:pPr>
        <w:pageBreakBefore w:val="0"/>
        <w:widowControl w:val="0"/>
        <w:kinsoku/>
        <w:wordWrap/>
        <w:overflowPunct/>
        <w:topLinePunct w:val="0"/>
        <w:bidi w:val="0"/>
        <w:spacing w:line="360" w:lineRule="auto"/>
        <w:ind w:firstLine="420" w:firstLineChars="200"/>
        <w:jc w:val="left"/>
        <w:textAlignment w:val="auto"/>
        <w:rPr>
          <w:rFonts w:hAnsi="宋体" w:cs="宋体"/>
          <w:color w:val="auto"/>
          <w:highlight w:val="none"/>
        </w:rPr>
      </w:pPr>
      <w:r>
        <w:rPr>
          <w:rFonts w:hint="eastAsia" w:hAnsi="宋体" w:cs="宋体"/>
          <w:color w:val="auto"/>
          <w:highlight w:val="none"/>
        </w:rPr>
        <w:t>③市场波动引起的调整：按</w:t>
      </w:r>
      <w:r>
        <w:rPr>
          <w:rFonts w:hAnsi="宋体" w:cs="宋体"/>
          <w:color w:val="auto"/>
          <w:highlight w:val="none"/>
        </w:rPr>
        <w:t>11.1</w:t>
      </w:r>
      <w:r>
        <w:rPr>
          <w:rFonts w:hint="eastAsia" w:hAnsi="宋体" w:cs="宋体"/>
          <w:color w:val="auto"/>
          <w:highlight w:val="none"/>
        </w:rPr>
        <w:t>的约定调整。</w:t>
      </w:r>
    </w:p>
    <w:p w14:paraId="453632B8">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Ansi="宋体" w:cs="宋体"/>
          <w:color w:val="auto"/>
          <w:highlight w:val="none"/>
        </w:rPr>
        <w:fldChar w:fldCharType="begin"/>
      </w:r>
      <w:r>
        <w:rPr>
          <w:rFonts w:hAnsi="宋体" w:cs="宋体"/>
          <w:color w:val="auto"/>
          <w:highlight w:val="none"/>
        </w:rPr>
        <w:instrText xml:space="preserve"> </w:instrText>
      </w:r>
      <w:r>
        <w:rPr>
          <w:rFonts w:hint="eastAsia" w:hAnsi="宋体" w:cs="宋体"/>
          <w:color w:val="auto"/>
          <w:highlight w:val="none"/>
        </w:rPr>
        <w:instrText xml:space="preserve">= 4 \* GB3</w:instrText>
      </w:r>
      <w:r>
        <w:rPr>
          <w:rFonts w:hAnsi="宋体" w:cs="宋体"/>
          <w:color w:val="auto"/>
          <w:highlight w:val="none"/>
        </w:rPr>
        <w:instrText xml:space="preserve"> </w:instrText>
      </w:r>
      <w:r>
        <w:rPr>
          <w:rFonts w:hAnsi="宋体" w:cs="宋体"/>
          <w:color w:val="auto"/>
          <w:highlight w:val="none"/>
        </w:rPr>
        <w:fldChar w:fldCharType="separate"/>
      </w:r>
      <w:r>
        <w:rPr>
          <w:rFonts w:hint="eastAsia" w:hAnsi="宋体" w:cs="宋体"/>
          <w:color w:val="auto"/>
          <w:highlight w:val="none"/>
        </w:rPr>
        <w:t>④</w:t>
      </w:r>
      <w:r>
        <w:rPr>
          <w:rFonts w:hAnsi="宋体" w:cs="宋体"/>
          <w:color w:val="auto"/>
          <w:highlight w:val="none"/>
        </w:rPr>
        <w:fldChar w:fldCharType="end"/>
      </w:r>
      <w:r>
        <w:rPr>
          <w:rFonts w:hint="eastAsia" w:hAnsi="宋体" w:cs="宋体"/>
          <w:color w:val="auto"/>
          <w:highlight w:val="none"/>
        </w:rPr>
        <w:t>其它：</w:t>
      </w:r>
      <w:r>
        <w:rPr>
          <w:rFonts w:hAnsi="宋体"/>
          <w:color w:val="auto"/>
          <w:highlight w:val="none"/>
          <w:u w:val="single"/>
        </w:rPr>
        <w:t xml:space="preserve">                                                  </w:t>
      </w:r>
      <w:r>
        <w:rPr>
          <w:rFonts w:hint="eastAsia" w:hAnsi="宋体" w:cs="宋体"/>
          <w:color w:val="auto"/>
          <w:highlight w:val="none"/>
        </w:rPr>
        <w:t>。</w:t>
      </w:r>
    </w:p>
    <w:p w14:paraId="72EE2700">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）其他价格方式：</w:t>
      </w:r>
      <w:r>
        <w:rPr>
          <w:color w:val="auto"/>
          <w:highlight w:val="none"/>
          <w:u w:val="single"/>
        </w:rPr>
        <w:t xml:space="preserve">                                       </w:t>
      </w:r>
      <w:r>
        <w:rPr>
          <w:rFonts w:hint="eastAsia" w:cs="宋体"/>
          <w:color w:val="auto"/>
          <w:highlight w:val="none"/>
        </w:rPr>
        <w:t>。</w:t>
      </w:r>
    </w:p>
    <w:p w14:paraId="73FDF5D3">
      <w:pPr>
        <w:pStyle w:val="6"/>
        <w:pageBreakBefore w:val="0"/>
        <w:widowControl w:val="0"/>
        <w:kinsoku/>
        <w:wordWrap/>
        <w:overflowPunct/>
        <w:topLinePunct w:val="0"/>
        <w:bidi w:val="0"/>
        <w:spacing w:before="0" w:after="0" w:line="360" w:lineRule="auto"/>
        <w:textAlignment w:val="auto"/>
        <w:rPr>
          <w:color w:val="auto"/>
          <w:highlight w:val="none"/>
        </w:rPr>
      </w:pPr>
      <w:bookmarkStart w:id="911" w:name="_Toc1681900246"/>
      <w:bookmarkStart w:id="912" w:name="_Toc20877"/>
      <w:bookmarkStart w:id="913" w:name="_Toc78449839"/>
      <w:bookmarkStart w:id="914" w:name="_Toc407135253"/>
      <w:r>
        <w:rPr>
          <w:color w:val="auto"/>
          <w:highlight w:val="none"/>
        </w:rPr>
        <w:t xml:space="preserve">12.2 </w:t>
      </w:r>
      <w:r>
        <w:rPr>
          <w:rFonts w:hint="eastAsia" w:hAnsi="宋体" w:cs="黑体"/>
          <w:color w:val="auto"/>
          <w:highlight w:val="none"/>
        </w:rPr>
        <w:t>预付款</w:t>
      </w:r>
      <w:bookmarkEnd w:id="892"/>
      <w:bookmarkEnd w:id="893"/>
      <w:bookmarkEnd w:id="894"/>
      <w:bookmarkEnd w:id="911"/>
      <w:bookmarkEnd w:id="912"/>
      <w:bookmarkEnd w:id="913"/>
      <w:bookmarkEnd w:id="914"/>
    </w:p>
    <w:bookmarkEnd w:id="895"/>
    <w:bookmarkEnd w:id="896"/>
    <w:bookmarkEnd w:id="897"/>
    <w:bookmarkEnd w:id="898"/>
    <w:bookmarkEnd w:id="899"/>
    <w:bookmarkEnd w:id="900"/>
    <w:p w14:paraId="70DF70B2">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12.2.1 </w:t>
      </w:r>
      <w:r>
        <w:rPr>
          <w:rFonts w:hint="eastAsia" w:hAnsi="宋体" w:cs="宋体"/>
          <w:color w:val="auto"/>
          <w:highlight w:val="none"/>
        </w:rPr>
        <w:t>预付款的支付</w:t>
      </w:r>
    </w:p>
    <w:p w14:paraId="5C73132A">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预付款支付比例或金额：</w:t>
      </w:r>
      <w:r>
        <w:rPr>
          <w:color w:val="auto"/>
          <w:highlight w:val="none"/>
          <w:u w:val="single"/>
        </w:rPr>
        <w:t xml:space="preserve">  </w:t>
      </w:r>
      <w:r>
        <w:rPr>
          <w:rFonts w:hint="eastAsia"/>
          <w:color w:val="auto"/>
          <w:highlight w:val="none"/>
          <w:u w:val="single"/>
        </w:rPr>
        <w:t>合同总价（扣除暂列金额）的30%</w:t>
      </w:r>
      <w:r>
        <w:rPr>
          <w:color w:val="auto"/>
          <w:highlight w:val="none"/>
          <w:u w:val="single"/>
        </w:rPr>
        <w:t xml:space="preserve"> </w:t>
      </w:r>
      <w:r>
        <w:rPr>
          <w:rFonts w:hint="eastAsia" w:hAnsi="宋体" w:cs="宋体"/>
          <w:color w:val="auto"/>
          <w:highlight w:val="none"/>
        </w:rPr>
        <w:t>。</w:t>
      </w:r>
    </w:p>
    <w:p w14:paraId="26676F9F">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预付款支付期限：</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hAnsi="宋体" w:cs="宋体"/>
          <w:color w:val="auto"/>
          <w:highlight w:val="none"/>
        </w:rPr>
        <w:t>。</w:t>
      </w:r>
    </w:p>
    <w:p w14:paraId="1CFB2AB2">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预付款扣回的方式：</w:t>
      </w:r>
      <w:r>
        <w:rPr>
          <w:rFonts w:hint="eastAsia"/>
          <w:color w:val="auto"/>
          <w:highlight w:val="none"/>
          <w:u w:val="single"/>
          <w:lang w:val="en-US" w:eastAsia="zh-CN"/>
        </w:rPr>
        <w:t xml:space="preserve"> 进度款达到30%作为预付款起扣点，一次性扣完预付款 </w:t>
      </w:r>
      <w:r>
        <w:rPr>
          <w:rFonts w:hint="eastAsia" w:hAnsi="宋体" w:cs="宋体"/>
          <w:color w:val="auto"/>
          <w:highlight w:val="none"/>
        </w:rPr>
        <w:t>。</w:t>
      </w:r>
    </w:p>
    <w:p w14:paraId="79667844">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12.2.2 </w:t>
      </w:r>
      <w:r>
        <w:rPr>
          <w:rFonts w:hint="eastAsia" w:hAnsi="宋体" w:cs="宋体"/>
          <w:color w:val="auto"/>
          <w:highlight w:val="none"/>
        </w:rPr>
        <w:t>预付款担保</w:t>
      </w:r>
    </w:p>
    <w:p w14:paraId="628FECA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承包人提交预付款担保的期限：</w:t>
      </w:r>
      <w:r>
        <w:rPr>
          <w:color w:val="auto"/>
          <w:highlight w:val="none"/>
          <w:u w:val="single"/>
        </w:rPr>
        <w:t xml:space="preserve"> </w:t>
      </w:r>
      <w:r>
        <w:rPr>
          <w:rFonts w:hint="eastAsia"/>
          <w:color w:val="auto"/>
          <w:highlight w:val="none"/>
          <w:u w:val="single"/>
          <w:lang w:val="en-US" w:eastAsia="zh-CN"/>
        </w:rPr>
        <w:t>不采用</w:t>
      </w:r>
      <w:r>
        <w:rPr>
          <w:color w:val="auto"/>
          <w:highlight w:val="none"/>
          <w:u w:val="single"/>
        </w:rPr>
        <w:t xml:space="preserve"> </w:t>
      </w:r>
      <w:r>
        <w:rPr>
          <w:rFonts w:hint="eastAsia" w:hAnsi="宋体" w:cs="宋体"/>
          <w:color w:val="auto"/>
          <w:highlight w:val="none"/>
        </w:rPr>
        <w:t>。</w:t>
      </w:r>
    </w:p>
    <w:p w14:paraId="289A363F">
      <w:pPr>
        <w:pageBreakBefore w:val="0"/>
        <w:widowControl w:val="0"/>
        <w:kinsoku/>
        <w:wordWrap/>
        <w:overflowPunct/>
        <w:topLinePunct w:val="0"/>
        <w:bidi w:val="0"/>
        <w:spacing w:line="360" w:lineRule="auto"/>
        <w:ind w:firstLine="420" w:firstLineChars="200"/>
        <w:jc w:val="left"/>
        <w:textAlignment w:val="auto"/>
        <w:rPr>
          <w:rFonts w:hint="eastAsia" w:ascii="Times New Roman" w:hAnsi="宋体" w:eastAsia="宋体" w:cs="宋体"/>
          <w:color w:val="auto"/>
          <w:highlight w:val="none"/>
        </w:rPr>
      </w:pPr>
      <w:r>
        <w:rPr>
          <w:rFonts w:hint="eastAsia" w:hAnsi="宋体" w:cs="宋体"/>
          <w:color w:val="auto"/>
          <w:highlight w:val="none"/>
        </w:rPr>
        <w:t>预付款担保的形式为：</w:t>
      </w:r>
      <w:r>
        <w:rPr>
          <w:rFonts w:hint="eastAsia"/>
          <w:color w:val="auto"/>
          <w:highlight w:val="none"/>
          <w:u w:val="none"/>
          <w:lang w:eastAsia="zh-CN"/>
        </w:rPr>
        <w:t>可以是</w:t>
      </w:r>
      <w:r>
        <w:rPr>
          <w:rFonts w:hint="eastAsia" w:ascii="Times New Roman" w:hAnsi="宋体" w:eastAsia="宋体" w:cs="宋体"/>
          <w:color w:val="auto"/>
          <w:highlight w:val="none"/>
        </w:rPr>
        <w:t>银行转账、电汇或网上支付、保函（银行保函、电子保函、保证保险保函、工程担保保函）等</w:t>
      </w:r>
      <w:r>
        <w:rPr>
          <w:rFonts w:hint="eastAsia" w:ascii="Times New Roman" w:hAnsi="宋体" w:eastAsia="宋体" w:cs="宋体"/>
          <w:color w:val="auto"/>
          <w:highlight w:val="none"/>
          <w:lang w:eastAsia="zh-CN"/>
        </w:rPr>
        <w:t>形</w:t>
      </w:r>
      <w:r>
        <w:rPr>
          <w:rFonts w:hint="eastAsia" w:ascii="Times New Roman" w:hAnsi="宋体" w:eastAsia="宋体" w:cs="宋体"/>
          <w:color w:val="auto"/>
          <w:highlight w:val="none"/>
        </w:rPr>
        <w:t>式。工程担保保证人应将出具的保函相关信息录入</w:t>
      </w:r>
      <w:r>
        <w:rPr>
          <w:rFonts w:hint="eastAsia" w:ascii="Times New Roman" w:hAnsi="宋体" w:eastAsia="宋体" w:cs="宋体"/>
          <w:color w:val="auto"/>
          <w:highlight w:val="none"/>
          <w:lang w:eastAsia="zh-CN"/>
        </w:rPr>
        <w:t>“</w:t>
      </w:r>
      <w:r>
        <w:rPr>
          <w:rFonts w:hint="eastAsia" w:ascii="Times New Roman" w:hAnsi="宋体" w:eastAsia="宋体" w:cs="宋体"/>
          <w:color w:val="auto"/>
          <w:highlight w:val="none"/>
        </w:rPr>
        <w:t>广西建筑市场监管云</w:t>
      </w:r>
      <w:r>
        <w:rPr>
          <w:rFonts w:hint="eastAsia" w:ascii="Times New Roman" w:hAnsi="宋体" w:eastAsia="宋体" w:cs="宋体"/>
          <w:color w:val="auto"/>
          <w:highlight w:val="none"/>
          <w:lang w:eastAsia="zh-CN"/>
        </w:rPr>
        <w:t>”</w:t>
      </w:r>
      <w:r>
        <w:rPr>
          <w:rFonts w:hint="eastAsia" w:ascii="Times New Roman" w:hAnsi="宋体" w:eastAsia="宋体" w:cs="宋体"/>
          <w:color w:val="auto"/>
          <w:highlight w:val="none"/>
        </w:rPr>
        <w:t>平台（http</w:t>
      </w:r>
      <w:r>
        <w:rPr>
          <w:rFonts w:hint="eastAsia" w:ascii="Times New Roman" w:hAnsi="宋体" w:eastAsia="宋体" w:cs="宋体"/>
          <w:color w:val="auto"/>
          <w:highlight w:val="none"/>
          <w:lang w:eastAsia="zh-CN"/>
        </w:rPr>
        <w:t>：</w:t>
      </w:r>
      <w:r>
        <w:rPr>
          <w:rFonts w:hint="eastAsia" w:ascii="Times New Roman" w:hAnsi="宋体" w:eastAsia="宋体" w:cs="宋体"/>
          <w:color w:val="auto"/>
          <w:highlight w:val="none"/>
        </w:rPr>
        <w:t>//gxjzsc.caihcloud.com），以实现保函查询及验真功能</w:t>
      </w:r>
      <w:r>
        <w:rPr>
          <w:rFonts w:hint="eastAsia" w:ascii="Times New Roman" w:hAnsi="宋体" w:eastAsia="宋体" w:cs="宋体"/>
          <w:color w:val="auto"/>
          <w:highlight w:val="none"/>
          <w:lang w:eastAsia="zh-CN"/>
        </w:rPr>
        <w:t>。</w:t>
      </w:r>
    </w:p>
    <w:p w14:paraId="4DB3B481">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ascii="宋体" w:hAnsi="宋体" w:cs="宋体"/>
          <w:color w:val="auto"/>
          <w:highlight w:val="none"/>
        </w:rPr>
        <w:t>预付款担保格式见合同附件8。预付款支付申请（核准）表见合同附件10</w:t>
      </w:r>
    </w:p>
    <w:bookmarkEnd w:id="901"/>
    <w:bookmarkEnd w:id="902"/>
    <w:bookmarkEnd w:id="903"/>
    <w:bookmarkEnd w:id="904"/>
    <w:bookmarkEnd w:id="905"/>
    <w:bookmarkEnd w:id="906"/>
    <w:bookmarkEnd w:id="907"/>
    <w:bookmarkEnd w:id="908"/>
    <w:bookmarkEnd w:id="909"/>
    <w:bookmarkEnd w:id="910"/>
    <w:p w14:paraId="691324E8">
      <w:pPr>
        <w:pStyle w:val="6"/>
        <w:pageBreakBefore w:val="0"/>
        <w:widowControl w:val="0"/>
        <w:kinsoku/>
        <w:wordWrap/>
        <w:overflowPunct/>
        <w:topLinePunct w:val="0"/>
        <w:bidi w:val="0"/>
        <w:spacing w:before="0" w:after="0" w:line="360" w:lineRule="auto"/>
        <w:textAlignment w:val="auto"/>
        <w:rPr>
          <w:color w:val="auto"/>
          <w:highlight w:val="none"/>
        </w:rPr>
      </w:pPr>
      <w:bookmarkStart w:id="915" w:name="_Toc373227751"/>
      <w:bookmarkStart w:id="916" w:name="_Toc7797"/>
      <w:bookmarkStart w:id="917" w:name="_Toc389065316"/>
      <w:bookmarkStart w:id="918" w:name="_Toc1494831447"/>
      <w:bookmarkStart w:id="919" w:name="_Toc407135254"/>
      <w:bookmarkStart w:id="920" w:name="_Toc78449840"/>
      <w:bookmarkStart w:id="921" w:name="_Toc373478398"/>
      <w:r>
        <w:rPr>
          <w:color w:val="auto"/>
          <w:highlight w:val="none"/>
        </w:rPr>
        <w:t xml:space="preserve">12.3 </w:t>
      </w:r>
      <w:r>
        <w:rPr>
          <w:rFonts w:hint="eastAsia" w:hAnsi="宋体" w:cs="黑体"/>
          <w:color w:val="auto"/>
          <w:highlight w:val="none"/>
        </w:rPr>
        <w:t>计量</w:t>
      </w:r>
      <w:bookmarkEnd w:id="915"/>
      <w:bookmarkEnd w:id="916"/>
      <w:bookmarkEnd w:id="917"/>
      <w:bookmarkEnd w:id="918"/>
      <w:bookmarkEnd w:id="919"/>
      <w:bookmarkEnd w:id="920"/>
      <w:bookmarkEnd w:id="921"/>
    </w:p>
    <w:p w14:paraId="611648F0">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12.3.1 </w:t>
      </w:r>
      <w:r>
        <w:rPr>
          <w:rFonts w:hint="eastAsia" w:hAnsi="宋体" w:cs="宋体"/>
          <w:color w:val="auto"/>
          <w:highlight w:val="none"/>
        </w:rPr>
        <w:t>计量原则</w:t>
      </w:r>
    </w:p>
    <w:p w14:paraId="08BF09E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工程量计算规则：</w:t>
      </w:r>
      <w:r>
        <w:rPr>
          <w:rFonts w:hint="eastAsia" w:hAnsi="宋体" w:cs="宋体"/>
          <w:color w:val="auto"/>
          <w:highlight w:val="none"/>
          <w:u w:val="single"/>
        </w:rPr>
        <w:t>工程的计量均以《建设工程工程量清单计价规范》（</w:t>
      </w:r>
      <w:r>
        <w:rPr>
          <w:color w:val="auto"/>
          <w:highlight w:val="none"/>
          <w:u w:val="single"/>
        </w:rPr>
        <w:t>GB50500</w:t>
      </w:r>
      <w:r>
        <w:rPr>
          <w:rFonts w:hint="eastAsia" w:hAnsi="宋体" w:cs="宋体"/>
          <w:color w:val="auto"/>
          <w:highlight w:val="none"/>
          <w:u w:val="single"/>
        </w:rPr>
        <w:t>－</w:t>
      </w:r>
      <w:r>
        <w:rPr>
          <w:color w:val="auto"/>
          <w:highlight w:val="none"/>
          <w:u w:val="single"/>
        </w:rPr>
        <w:t>2013</w:t>
      </w:r>
      <w:r>
        <w:rPr>
          <w:rFonts w:hint="eastAsia" w:hAnsi="宋体" w:cs="宋体"/>
          <w:color w:val="auto"/>
          <w:highlight w:val="none"/>
          <w:u w:val="single"/>
        </w:rPr>
        <w:t>）及广西壮族自治区实施细则、《建设工程工程量清单计算规范》（</w:t>
      </w:r>
      <w:r>
        <w:rPr>
          <w:color w:val="auto"/>
          <w:highlight w:val="none"/>
          <w:u w:val="single"/>
        </w:rPr>
        <w:t>GB50854~50862</w:t>
      </w:r>
      <w:r>
        <w:rPr>
          <w:rFonts w:hint="eastAsia" w:hAnsi="宋体" w:cs="宋体"/>
          <w:color w:val="auto"/>
          <w:highlight w:val="none"/>
          <w:u w:val="single"/>
        </w:rPr>
        <w:t>－</w:t>
      </w:r>
      <w:r>
        <w:rPr>
          <w:color w:val="auto"/>
          <w:highlight w:val="none"/>
          <w:u w:val="single"/>
        </w:rPr>
        <w:t>2013</w:t>
      </w:r>
      <w:r>
        <w:rPr>
          <w:rFonts w:hint="eastAsia" w:hAnsi="宋体" w:cs="宋体"/>
          <w:color w:val="auto"/>
          <w:highlight w:val="none"/>
          <w:u w:val="single"/>
        </w:rPr>
        <w:t>）及广西实施细则、本工程补充项目清单为准。</w:t>
      </w:r>
    </w:p>
    <w:p w14:paraId="5A08417F">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12.3.2 </w:t>
      </w:r>
      <w:r>
        <w:rPr>
          <w:rFonts w:hint="eastAsia" w:hAnsi="宋体" w:cs="宋体"/>
          <w:color w:val="auto"/>
          <w:highlight w:val="none"/>
        </w:rPr>
        <w:t>计量周期</w:t>
      </w:r>
    </w:p>
    <w:p w14:paraId="27D716FB">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关于计量周期的约定：</w:t>
      </w:r>
      <w:r>
        <w:rPr>
          <w:rFonts w:hint="eastAsia" w:hAnsi="宋体" w:cs="宋体"/>
          <w:color w:val="auto"/>
          <w:highlight w:val="none"/>
          <w:u w:val="single"/>
        </w:rPr>
        <w:t>每月</w:t>
      </w:r>
      <w:r>
        <w:rPr>
          <w:color w:val="auto"/>
          <w:highlight w:val="none"/>
          <w:u w:val="single"/>
        </w:rPr>
        <w:t>25</w:t>
      </w:r>
      <w:r>
        <w:rPr>
          <w:rFonts w:hint="eastAsia" w:hAnsi="宋体" w:cs="宋体"/>
          <w:color w:val="auto"/>
          <w:highlight w:val="none"/>
          <w:u w:val="single"/>
        </w:rPr>
        <w:t>日前</w:t>
      </w:r>
      <w:r>
        <w:rPr>
          <w:rFonts w:hint="eastAsia" w:hAnsi="宋体" w:cs="宋体"/>
          <w:color w:val="auto"/>
          <w:highlight w:val="none"/>
        </w:rPr>
        <w:t>。</w:t>
      </w:r>
    </w:p>
    <w:p w14:paraId="72B2EC4B">
      <w:pPr>
        <w:pageBreakBefore w:val="0"/>
        <w:widowControl w:val="0"/>
        <w:kinsoku/>
        <w:wordWrap/>
        <w:overflowPunct/>
        <w:topLinePunct w:val="0"/>
        <w:bidi w:val="0"/>
        <w:spacing w:line="360" w:lineRule="auto"/>
        <w:ind w:firstLine="420" w:firstLineChars="200"/>
        <w:jc w:val="left"/>
        <w:textAlignment w:val="auto"/>
        <w:outlineLvl w:val="0"/>
        <w:rPr>
          <w:color w:val="auto"/>
          <w:highlight w:val="none"/>
        </w:rPr>
      </w:pPr>
      <w:r>
        <w:rPr>
          <w:color w:val="auto"/>
          <w:highlight w:val="none"/>
        </w:rPr>
        <w:t xml:space="preserve">12.3.3 </w:t>
      </w:r>
      <w:r>
        <w:rPr>
          <w:rFonts w:hint="eastAsia" w:hAnsi="宋体" w:cs="宋体"/>
          <w:color w:val="auto"/>
          <w:highlight w:val="none"/>
        </w:rPr>
        <w:t>单价合同的计量</w:t>
      </w:r>
    </w:p>
    <w:p w14:paraId="6C9D276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关于单价合同计量的约定：</w:t>
      </w:r>
    </w:p>
    <w:p w14:paraId="327F69E5">
      <w:pPr>
        <w:pageBreakBefore w:val="0"/>
        <w:widowControl w:val="0"/>
        <w:kinsoku/>
        <w:wordWrap/>
        <w:overflowPunct/>
        <w:topLinePunct w:val="0"/>
        <w:bidi w:val="0"/>
        <w:spacing w:line="360" w:lineRule="auto"/>
        <w:ind w:firstLine="441" w:firstLineChars="210"/>
        <w:textAlignment w:val="auto"/>
        <w:rPr>
          <w:color w:val="auto"/>
          <w:highlight w:val="none"/>
        </w:rPr>
      </w:pPr>
      <w:r>
        <w:rPr>
          <w:rFonts w:hint="eastAsia"/>
          <w:color w:val="auto"/>
          <w:highlight w:val="none"/>
          <w:lang w:eastAsia="zh-CN"/>
        </w:rPr>
        <w:t>（</w:t>
      </w:r>
      <w:r>
        <w:rPr>
          <w:color w:val="auto"/>
          <w:highlight w:val="none"/>
        </w:rPr>
        <w:t>1</w:t>
      </w:r>
      <w:r>
        <w:rPr>
          <w:rFonts w:hint="eastAsia"/>
          <w:color w:val="auto"/>
          <w:highlight w:val="none"/>
          <w:lang w:eastAsia="zh-CN"/>
        </w:rPr>
        <w:t>）</w:t>
      </w:r>
      <w:r>
        <w:rPr>
          <w:color w:val="auto"/>
          <w:highlight w:val="none"/>
        </w:rPr>
        <w:t xml:space="preserve"> </w:t>
      </w:r>
      <w:r>
        <w:rPr>
          <w:rFonts w:hint="eastAsia" w:hAnsi="宋体" w:cs="宋体"/>
          <w:color w:val="auto"/>
          <w:highlight w:val="none"/>
        </w:rPr>
        <w:t>工程量清单所列的工程量，不能作为承包人按合同履行其责任依据，实际施工中发生的工程量增加或减少并不影响承包人履行合同的责任，工程结算以完成的实际工程量为准。</w:t>
      </w:r>
    </w:p>
    <w:p w14:paraId="6CC95A50">
      <w:pPr>
        <w:pageBreakBefore w:val="0"/>
        <w:widowControl w:val="0"/>
        <w:kinsoku/>
        <w:wordWrap/>
        <w:overflowPunct/>
        <w:topLinePunct w:val="0"/>
        <w:bidi w:val="0"/>
        <w:spacing w:line="360" w:lineRule="auto"/>
        <w:ind w:firstLine="441" w:firstLineChars="210"/>
        <w:textAlignment w:val="auto"/>
        <w:rPr>
          <w:color w:val="auto"/>
          <w:highlight w:val="none"/>
        </w:rPr>
      </w:pPr>
      <w:r>
        <w:rPr>
          <w:rFonts w:hint="eastAsia"/>
          <w:color w:val="auto"/>
          <w:highlight w:val="none"/>
          <w:lang w:eastAsia="zh-CN"/>
        </w:rPr>
        <w:t>（</w:t>
      </w:r>
      <w:r>
        <w:rPr>
          <w:color w:val="auto"/>
          <w:highlight w:val="none"/>
        </w:rPr>
        <w:t>2</w:t>
      </w:r>
      <w:r>
        <w:rPr>
          <w:rFonts w:hint="eastAsia"/>
          <w:color w:val="auto"/>
          <w:highlight w:val="none"/>
          <w:lang w:eastAsia="zh-CN"/>
        </w:rPr>
        <w:t>）</w:t>
      </w:r>
      <w:r>
        <w:rPr>
          <w:color w:val="auto"/>
          <w:highlight w:val="none"/>
        </w:rPr>
        <w:t xml:space="preserve"> </w:t>
      </w:r>
      <w:r>
        <w:rPr>
          <w:rFonts w:hint="eastAsia" w:hAnsi="宋体" w:cs="宋体"/>
          <w:color w:val="auto"/>
          <w:highlight w:val="none"/>
        </w:rPr>
        <w:t>除另有规定外，工程师应按照合同通过计量来核实确定已完成的工程量和价款，承包人应得到该价款扣除保留金后的金额。当工程师要对已完工的工程量进行计量时，应适时地通知承包人参加。</w:t>
      </w:r>
    </w:p>
    <w:p w14:paraId="0DCEB44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12.3.4 </w:t>
      </w:r>
      <w:r>
        <w:rPr>
          <w:rFonts w:hint="eastAsia" w:hAnsi="宋体" w:cs="宋体"/>
          <w:color w:val="auto"/>
          <w:highlight w:val="none"/>
        </w:rPr>
        <w:t>总价合同的计量</w:t>
      </w:r>
    </w:p>
    <w:p w14:paraId="179ACB77">
      <w:pPr>
        <w:pageBreakBefore w:val="0"/>
        <w:widowControl w:val="0"/>
        <w:kinsoku/>
        <w:wordWrap/>
        <w:overflowPunct/>
        <w:topLinePunct w:val="0"/>
        <w:bidi w:val="0"/>
        <w:spacing w:line="360" w:lineRule="auto"/>
        <w:ind w:firstLine="420" w:firstLineChars="200"/>
        <w:jc w:val="left"/>
        <w:textAlignment w:val="auto"/>
        <w:rPr>
          <w:rFonts w:cs="宋体"/>
          <w:color w:val="auto"/>
          <w:highlight w:val="none"/>
        </w:rPr>
      </w:pPr>
      <w:r>
        <w:rPr>
          <w:rFonts w:hint="eastAsia" w:ascii="Calibri" w:hAnsi="宋体" w:cs="宋体"/>
          <w:color w:val="auto"/>
          <w:highlight w:val="none"/>
        </w:rPr>
        <w:t>（1）总价合同计量约定：</w:t>
      </w:r>
      <w:r>
        <w:rPr>
          <w:rFonts w:hint="eastAsia" w:hAnsi="宋体" w:cs="宋体"/>
          <w:color w:val="auto"/>
          <w:highlight w:val="none"/>
        </w:rPr>
        <w:t>进度款按支付分解表支付</w:t>
      </w:r>
      <w:r>
        <w:rPr>
          <w:rFonts w:hint="eastAsia" w:ascii="宋体" w:hAnsi="宋体" w:cs="宋体"/>
          <w:color w:val="auto"/>
          <w:kern w:val="0"/>
          <w:highlight w:val="none"/>
        </w:rPr>
        <w:t>，</w:t>
      </w:r>
      <w:r>
        <w:rPr>
          <w:rFonts w:hint="eastAsia" w:cs="宋体"/>
          <w:color w:val="auto"/>
          <w:highlight w:val="none"/>
        </w:rPr>
        <w:t>支付分解表在招标完成后签合同之前制定，具体详见本专用合同条款12.4.6。</w:t>
      </w:r>
    </w:p>
    <w:p w14:paraId="25DD6D8B">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12.3.6 </w:t>
      </w:r>
      <w:r>
        <w:rPr>
          <w:rFonts w:hint="eastAsia" w:hAnsi="宋体" w:cs="宋体"/>
          <w:color w:val="auto"/>
          <w:highlight w:val="none"/>
        </w:rPr>
        <w:t>其他价格形式合同的计量</w:t>
      </w:r>
    </w:p>
    <w:p w14:paraId="559A7620">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其他价格形式的计量方式和程序：</w:t>
      </w:r>
      <w:r>
        <w:rPr>
          <w:color w:val="auto"/>
          <w:highlight w:val="none"/>
          <w:u w:val="single"/>
        </w:rPr>
        <w:t xml:space="preserve">                         </w:t>
      </w:r>
      <w:r>
        <w:rPr>
          <w:rFonts w:hint="eastAsia" w:hAnsi="宋体" w:cs="宋体"/>
          <w:color w:val="auto"/>
          <w:highlight w:val="none"/>
        </w:rPr>
        <w:t>。</w:t>
      </w:r>
    </w:p>
    <w:p w14:paraId="1C7B790C">
      <w:pPr>
        <w:pStyle w:val="6"/>
        <w:pageBreakBefore w:val="0"/>
        <w:widowControl w:val="0"/>
        <w:kinsoku/>
        <w:wordWrap/>
        <w:overflowPunct/>
        <w:topLinePunct w:val="0"/>
        <w:bidi w:val="0"/>
        <w:spacing w:before="0" w:after="0" w:line="360" w:lineRule="auto"/>
        <w:textAlignment w:val="auto"/>
        <w:rPr>
          <w:color w:val="auto"/>
          <w:highlight w:val="none"/>
        </w:rPr>
      </w:pPr>
      <w:bookmarkStart w:id="922" w:name="_Toc1155368667"/>
      <w:bookmarkStart w:id="923" w:name="_Toc407135255"/>
      <w:bookmarkStart w:id="924" w:name="_Toc373227752"/>
      <w:bookmarkStart w:id="925" w:name="_Toc20490"/>
      <w:bookmarkStart w:id="926" w:name="_Toc389065317"/>
      <w:bookmarkStart w:id="927" w:name="_Toc373478399"/>
      <w:bookmarkStart w:id="928" w:name="_Toc78449841"/>
      <w:r>
        <w:rPr>
          <w:color w:val="auto"/>
          <w:highlight w:val="none"/>
        </w:rPr>
        <w:t xml:space="preserve">12.4 </w:t>
      </w:r>
      <w:r>
        <w:rPr>
          <w:rFonts w:hint="eastAsia" w:cs="黑体"/>
          <w:color w:val="auto"/>
          <w:highlight w:val="none"/>
        </w:rPr>
        <w:t>工程进度款支付</w:t>
      </w:r>
      <w:bookmarkEnd w:id="922"/>
      <w:bookmarkEnd w:id="923"/>
      <w:bookmarkEnd w:id="924"/>
      <w:bookmarkEnd w:id="925"/>
      <w:bookmarkEnd w:id="926"/>
      <w:bookmarkEnd w:id="927"/>
      <w:bookmarkEnd w:id="928"/>
    </w:p>
    <w:p w14:paraId="14CE66EA">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color w:val="auto"/>
          <w:sz w:val="21"/>
          <w:szCs w:val="21"/>
          <w:highlight w:val="none"/>
        </w:rPr>
      </w:pPr>
      <w:bookmarkStart w:id="929" w:name="_Toc296346712"/>
      <w:bookmarkStart w:id="930" w:name="_Toc297120511"/>
      <w:bookmarkStart w:id="931" w:name="_Toc296891251"/>
      <w:bookmarkStart w:id="932" w:name="_Toc297123556"/>
      <w:bookmarkStart w:id="933" w:name="_Toc297216215"/>
      <w:bookmarkStart w:id="934" w:name="_Toc296503211"/>
      <w:bookmarkStart w:id="935" w:name="_Toc297048397"/>
      <w:bookmarkStart w:id="936" w:name="_Toc292559921"/>
      <w:bookmarkStart w:id="937" w:name="_Toc296347210"/>
      <w:bookmarkStart w:id="938" w:name="_Toc296944550"/>
      <w:bookmarkStart w:id="939" w:name="_Toc303539163"/>
      <w:bookmarkStart w:id="940" w:name="_Toc296891039"/>
      <w:bookmarkStart w:id="941" w:name="_Toc292559416"/>
      <w:bookmarkStart w:id="942" w:name="_Toc300935006"/>
      <w:r>
        <w:rPr>
          <w:rFonts w:ascii="宋体" w:hAnsi="宋体" w:eastAsia="宋体" w:cs="宋体"/>
          <w:color w:val="auto"/>
          <w:kern w:val="0"/>
          <w:sz w:val="21"/>
          <w:szCs w:val="21"/>
          <w:highlight w:val="none"/>
          <w:lang w:val="en-US" w:eastAsia="zh-CN" w:bidi="ar"/>
        </w:rPr>
        <w:t>政府机关、事业单位、国有企业建设工程进度款支付应不低于已完成工程价款的</w:t>
      </w:r>
      <w:r>
        <w:rPr>
          <w:rFonts w:hint="eastAsia" w:ascii="宋体" w:hAnsi="宋体" w:eastAsia="宋体" w:cs="宋体"/>
          <w:color w:val="auto"/>
          <w:kern w:val="0"/>
          <w:sz w:val="21"/>
          <w:szCs w:val="21"/>
          <w:highlight w:val="none"/>
          <w:lang w:val="en-US" w:eastAsia="zh-CN" w:bidi="ar"/>
        </w:rPr>
        <w:t>8</w:t>
      </w:r>
      <w:r>
        <w:rPr>
          <w:rFonts w:ascii="宋体" w:hAnsi="宋体" w:eastAsia="宋体" w:cs="宋体"/>
          <w:color w:val="auto"/>
          <w:kern w:val="0"/>
          <w:sz w:val="21"/>
          <w:szCs w:val="21"/>
          <w:highlight w:val="none"/>
          <w:lang w:val="en-US" w:eastAsia="zh-CN" w:bidi="ar"/>
        </w:rPr>
        <w:t>0%；同时，在确保不超出工程总概（预）算以及工程决（结）算工作顺利开展的前提下，除按合同约定保留不超过工程价款总额3%的质量保证金外，进度款支付比例可由发承包双方根据项目实际情况自行确定。在结算过程中，若发生进度款支付超出实际已完成工程价款的情况，承包单位应按规定在结算后30日内向发包单位返还多收到的工程进度款</w:t>
      </w:r>
      <w:r>
        <w:rPr>
          <w:rFonts w:hint="eastAsia" w:ascii="宋体" w:hAnsi="宋体" w:eastAsia="宋体" w:cs="宋体"/>
          <w:color w:val="auto"/>
          <w:kern w:val="0"/>
          <w:sz w:val="21"/>
          <w:szCs w:val="21"/>
          <w:highlight w:val="none"/>
          <w:lang w:val="en-US" w:eastAsia="zh-CN" w:bidi="ar"/>
        </w:rPr>
        <w:t>。</w:t>
      </w:r>
    </w:p>
    <w:p w14:paraId="1F9151F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eastAsia" w:eastAsia="宋体"/>
          <w:color w:val="auto"/>
          <w:sz w:val="21"/>
          <w:szCs w:val="21"/>
          <w:highlight w:val="none"/>
          <w:lang w:eastAsia="zh-CN"/>
        </w:rPr>
      </w:pPr>
      <w:r>
        <w:rPr>
          <w:color w:val="auto"/>
          <w:highlight w:val="none"/>
        </w:rPr>
        <w:t xml:space="preserve">12.4.1 </w:t>
      </w:r>
      <w:r>
        <w:rPr>
          <w:rFonts w:hint="eastAsia" w:hAnsi="宋体" w:cs="宋体"/>
          <w:color w:val="auto"/>
          <w:highlight w:val="none"/>
        </w:rPr>
        <w:t>工程款按</w:t>
      </w:r>
      <w:r>
        <w:rPr>
          <w:rFonts w:hint="eastAsia" w:hAnsi="宋体" w:cs="宋体"/>
          <w:color w:val="auto"/>
          <w:highlight w:val="none"/>
          <w:lang w:val="en-US" w:eastAsia="zh-CN"/>
        </w:rPr>
        <w:t>每月</w:t>
      </w:r>
      <w:r>
        <w:rPr>
          <w:rFonts w:hint="eastAsia" w:hAnsi="宋体" w:cs="宋体"/>
          <w:color w:val="auto"/>
          <w:highlight w:val="none"/>
        </w:rPr>
        <w:t>工程进度支付，合同内进度款支付限额为</w:t>
      </w:r>
      <w:r>
        <w:rPr>
          <w:rFonts w:hint="eastAsia" w:hAnsi="宋体" w:cs="宋体"/>
          <w:color w:val="auto"/>
          <w:highlight w:val="none"/>
          <w:lang w:eastAsia="zh-CN"/>
        </w:rPr>
        <w:t>合同价的85%</w:t>
      </w:r>
      <w:r>
        <w:rPr>
          <w:rFonts w:hint="eastAsia" w:hAnsi="宋体" w:cs="宋体"/>
          <w:color w:val="auto"/>
          <w:highlight w:val="none"/>
        </w:rPr>
        <w:t>（以实际进度时间及完成工程量为准）</w:t>
      </w:r>
      <w:r>
        <w:rPr>
          <w:rFonts w:hint="eastAsia" w:hAnsi="宋体" w:cs="宋体"/>
          <w:color w:val="auto"/>
          <w:highlight w:val="none"/>
          <w:lang w:eastAsia="zh-CN"/>
        </w:rPr>
        <w:t>。</w:t>
      </w:r>
      <w:r>
        <w:rPr>
          <w:rFonts w:hint="eastAsia" w:hAnsi="宋体" w:cs="宋体"/>
          <w:color w:val="auto"/>
          <w:highlight w:val="none"/>
          <w:lang w:val="en-US" w:eastAsia="zh-CN"/>
        </w:rPr>
        <w:t>工程</w:t>
      </w:r>
      <w:r>
        <w:rPr>
          <w:rFonts w:hint="eastAsia" w:hAnsi="宋体" w:cs="宋体"/>
          <w:color w:val="auto"/>
          <w:highlight w:val="none"/>
          <w:lang w:eastAsia="zh-CN"/>
        </w:rPr>
        <w:t>竣工验收并审计结算后，工程款支付至结算总价的97%。工程价款结算总额的3%预留工程质量保证金，待缺陷责任期（一年）满后一次性返还。</w:t>
      </w:r>
    </w:p>
    <w:p w14:paraId="477ACEB5">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12.4.2 </w:t>
      </w:r>
      <w:r>
        <w:rPr>
          <w:rFonts w:hint="eastAsia" w:hAnsi="宋体" w:cs="宋体"/>
          <w:color w:val="auto"/>
          <w:highlight w:val="none"/>
        </w:rPr>
        <w:t>进度付款申请单的编制</w:t>
      </w:r>
    </w:p>
    <w:p w14:paraId="45102B3C">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关于进度付款申请单编制的约定：</w:t>
      </w:r>
      <w:r>
        <w:rPr>
          <w:color w:val="auto"/>
          <w:highlight w:val="none"/>
          <w:u w:val="single"/>
        </w:rPr>
        <w:t xml:space="preserve">                       </w:t>
      </w:r>
      <w:r>
        <w:rPr>
          <w:rFonts w:hint="eastAsia" w:hAnsi="宋体" w:cs="宋体"/>
          <w:color w:val="auto"/>
          <w:highlight w:val="none"/>
        </w:rPr>
        <w:t>。</w:t>
      </w:r>
    </w:p>
    <w:p w14:paraId="04DCB9B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1</w:t>
      </w:r>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r>
        <w:rPr>
          <w:color w:val="auto"/>
          <w:highlight w:val="none"/>
        </w:rPr>
        <w:t xml:space="preserve">2.4.3 </w:t>
      </w:r>
      <w:r>
        <w:rPr>
          <w:rFonts w:hint="eastAsia" w:hAnsi="宋体" w:cs="宋体"/>
          <w:color w:val="auto"/>
          <w:highlight w:val="none"/>
        </w:rPr>
        <w:t>进度付款申请单的提交</w:t>
      </w:r>
    </w:p>
    <w:p w14:paraId="4B4A01F2">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）单价合同进度付款申请单提交的约定：</w:t>
      </w:r>
      <w:r>
        <w:rPr>
          <w:color w:val="auto"/>
          <w:highlight w:val="none"/>
          <w:u w:val="single"/>
        </w:rPr>
        <w:t xml:space="preserve">  </w:t>
      </w:r>
      <w:r>
        <w:rPr>
          <w:rFonts w:hint="eastAsia"/>
          <w:color w:val="auto"/>
          <w:highlight w:val="none"/>
          <w:u w:val="single"/>
        </w:rPr>
        <w:t>按通用条款执行</w:t>
      </w:r>
      <w:r>
        <w:rPr>
          <w:color w:val="auto"/>
          <w:highlight w:val="none"/>
          <w:u w:val="single"/>
        </w:rPr>
        <w:t xml:space="preserve">  </w:t>
      </w:r>
      <w:r>
        <w:rPr>
          <w:rFonts w:hint="eastAsia" w:hAnsi="宋体" w:cs="宋体"/>
          <w:color w:val="auto"/>
          <w:highlight w:val="none"/>
        </w:rPr>
        <w:t>。</w:t>
      </w:r>
    </w:p>
    <w:p w14:paraId="23069858">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）总价合同进度付款申请单提交的约定：</w:t>
      </w:r>
      <w:r>
        <w:rPr>
          <w:color w:val="auto"/>
          <w:highlight w:val="none"/>
          <w:u w:val="single"/>
        </w:rPr>
        <w:t xml:space="preserve"> </w:t>
      </w:r>
      <w:r>
        <w:rPr>
          <w:rFonts w:hint="eastAsia"/>
          <w:color w:val="auto"/>
          <w:highlight w:val="none"/>
          <w:u w:val="single"/>
        </w:rPr>
        <w:t>按通用条款执行</w:t>
      </w:r>
      <w:r>
        <w:rPr>
          <w:color w:val="auto"/>
          <w:highlight w:val="none"/>
          <w:u w:val="single"/>
        </w:rPr>
        <w:t xml:space="preserve"> </w:t>
      </w:r>
      <w:r>
        <w:rPr>
          <w:rFonts w:hint="eastAsia" w:hAnsi="宋体" w:cs="宋体"/>
          <w:color w:val="auto"/>
          <w:highlight w:val="none"/>
        </w:rPr>
        <w:t>。</w:t>
      </w:r>
    </w:p>
    <w:p w14:paraId="4A3FB840">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w:t>
      </w:r>
      <w:r>
        <w:rPr>
          <w:color w:val="auto"/>
          <w:highlight w:val="none"/>
        </w:rPr>
        <w:t>3</w:t>
      </w:r>
      <w:r>
        <w:rPr>
          <w:rFonts w:hint="eastAsia" w:hAnsi="宋体" w:cs="宋体"/>
          <w:color w:val="auto"/>
          <w:highlight w:val="none"/>
        </w:rPr>
        <w:t>）其他价格形式合同进度付款申请单提交的约定：</w:t>
      </w:r>
      <w:r>
        <w:rPr>
          <w:color w:val="auto"/>
          <w:highlight w:val="none"/>
          <w:u w:val="single"/>
        </w:rPr>
        <w:t xml:space="preserve"> </w:t>
      </w:r>
      <w:r>
        <w:rPr>
          <w:rFonts w:hint="eastAsia"/>
          <w:color w:val="auto"/>
          <w:highlight w:val="none"/>
          <w:u w:val="single"/>
        </w:rPr>
        <w:t>按通用条款执行</w:t>
      </w:r>
      <w:r>
        <w:rPr>
          <w:color w:val="auto"/>
          <w:highlight w:val="none"/>
          <w:u w:val="single"/>
        </w:rPr>
        <w:t xml:space="preserve"> </w:t>
      </w:r>
      <w:r>
        <w:rPr>
          <w:rFonts w:hint="eastAsia" w:hAnsi="宋体" w:cs="宋体"/>
          <w:color w:val="auto"/>
          <w:highlight w:val="none"/>
        </w:rPr>
        <w:t>。</w:t>
      </w:r>
    </w:p>
    <w:p w14:paraId="3416165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12.4.4 </w:t>
      </w:r>
      <w:r>
        <w:rPr>
          <w:rFonts w:hint="eastAsia" w:hAnsi="宋体" w:cs="宋体"/>
          <w:color w:val="auto"/>
          <w:highlight w:val="none"/>
        </w:rPr>
        <w:t>进度款审核和支付</w:t>
      </w:r>
    </w:p>
    <w:p w14:paraId="3C16EDF7">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w:t>
      </w:r>
      <w:r>
        <w:rPr>
          <w:color w:val="auto"/>
          <w:highlight w:val="none"/>
        </w:rPr>
        <w:t>1</w:t>
      </w:r>
      <w:r>
        <w:rPr>
          <w:rFonts w:hint="eastAsia" w:hAnsi="宋体" w:cs="宋体"/>
          <w:color w:val="auto"/>
          <w:highlight w:val="none"/>
        </w:rPr>
        <w:t>）监理人审查并报送发包人的期限：</w:t>
      </w:r>
      <w:r>
        <w:rPr>
          <w:color w:val="auto"/>
          <w:highlight w:val="none"/>
          <w:u w:val="single"/>
        </w:rPr>
        <w:t xml:space="preserve"> </w:t>
      </w:r>
      <w:r>
        <w:rPr>
          <w:rFonts w:hint="eastAsia"/>
          <w:color w:val="auto"/>
          <w:highlight w:val="none"/>
          <w:u w:val="single"/>
        </w:rPr>
        <w:t>收到承包人进度付款申请单以及相关资料后3日内</w:t>
      </w:r>
      <w:r>
        <w:rPr>
          <w:color w:val="auto"/>
          <w:highlight w:val="none"/>
          <w:u w:val="single"/>
        </w:rPr>
        <w:t xml:space="preserve"> </w:t>
      </w:r>
      <w:r>
        <w:rPr>
          <w:rFonts w:hint="eastAsia" w:hAnsi="宋体" w:cs="宋体"/>
          <w:color w:val="auto"/>
          <w:highlight w:val="none"/>
        </w:rPr>
        <w:t>。</w:t>
      </w:r>
    </w:p>
    <w:p w14:paraId="4D3A4C17">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发包人完成审批并签发进度款支付证书的期限：</w:t>
      </w:r>
      <w:r>
        <w:rPr>
          <w:color w:val="auto"/>
          <w:highlight w:val="none"/>
          <w:u w:val="single"/>
        </w:rPr>
        <w:t xml:space="preserve"> </w:t>
      </w:r>
      <w:r>
        <w:rPr>
          <w:rFonts w:hint="eastAsia"/>
          <w:color w:val="auto"/>
          <w:highlight w:val="none"/>
          <w:u w:val="single"/>
        </w:rPr>
        <w:t>按发包人相关规定执行</w:t>
      </w:r>
      <w:r>
        <w:rPr>
          <w:color w:val="auto"/>
          <w:highlight w:val="none"/>
          <w:u w:val="single"/>
        </w:rPr>
        <w:t xml:space="preserve"> </w:t>
      </w:r>
      <w:r>
        <w:rPr>
          <w:rFonts w:hint="eastAsia" w:hAnsi="宋体" w:cs="宋体"/>
          <w:color w:val="auto"/>
          <w:highlight w:val="none"/>
        </w:rPr>
        <w:t>。</w:t>
      </w:r>
    </w:p>
    <w:p w14:paraId="5C12B9DA">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）发包人支付进度款的期限：</w:t>
      </w:r>
      <w:r>
        <w:rPr>
          <w:color w:val="auto"/>
          <w:highlight w:val="none"/>
          <w:u w:val="single"/>
        </w:rPr>
        <w:t xml:space="preserve"> </w:t>
      </w:r>
      <w:r>
        <w:rPr>
          <w:rFonts w:hint="eastAsia"/>
          <w:color w:val="auto"/>
          <w:highlight w:val="none"/>
          <w:u w:val="single"/>
        </w:rPr>
        <w:t>执行通用条款</w:t>
      </w:r>
      <w:r>
        <w:rPr>
          <w:color w:val="auto"/>
          <w:highlight w:val="none"/>
          <w:u w:val="single"/>
        </w:rPr>
        <w:t xml:space="preserve"> </w:t>
      </w:r>
      <w:r>
        <w:rPr>
          <w:rFonts w:hint="eastAsia" w:hAnsi="宋体" w:cs="宋体"/>
          <w:color w:val="auto"/>
          <w:highlight w:val="none"/>
        </w:rPr>
        <w:t>。</w:t>
      </w:r>
    </w:p>
    <w:p w14:paraId="6EF49BFA">
      <w:pPr>
        <w:pageBreakBefore w:val="0"/>
        <w:widowControl w:val="0"/>
        <w:kinsoku/>
        <w:wordWrap/>
        <w:overflowPunct/>
        <w:topLinePunct w:val="0"/>
        <w:bidi w:val="0"/>
        <w:spacing w:line="360" w:lineRule="auto"/>
        <w:ind w:firstLine="525" w:firstLineChars="250"/>
        <w:jc w:val="left"/>
        <w:textAlignment w:val="auto"/>
        <w:rPr>
          <w:color w:val="auto"/>
          <w:highlight w:val="none"/>
        </w:rPr>
      </w:pPr>
      <w:r>
        <w:rPr>
          <w:rFonts w:hint="eastAsia" w:hAnsi="宋体" w:cs="宋体"/>
          <w:color w:val="auto"/>
          <w:highlight w:val="none"/>
        </w:rPr>
        <w:t>发包人逾期支付进度款的违约金的计算方式：</w:t>
      </w:r>
      <w:r>
        <w:rPr>
          <w:color w:val="auto"/>
          <w:highlight w:val="none"/>
          <w:u w:val="single"/>
        </w:rPr>
        <w:t xml:space="preserve"> </w:t>
      </w:r>
      <w:r>
        <w:rPr>
          <w:rFonts w:hint="eastAsia"/>
          <w:color w:val="auto"/>
          <w:highlight w:val="none"/>
          <w:u w:val="single"/>
        </w:rPr>
        <w:t>执行通用条款</w:t>
      </w:r>
      <w:r>
        <w:rPr>
          <w:color w:val="auto"/>
          <w:highlight w:val="none"/>
          <w:u w:val="single"/>
        </w:rPr>
        <w:t xml:space="preserve"> </w:t>
      </w:r>
      <w:r>
        <w:rPr>
          <w:rFonts w:hint="eastAsia" w:hAnsi="宋体" w:cs="宋体"/>
          <w:color w:val="auto"/>
          <w:highlight w:val="none"/>
        </w:rPr>
        <w:t>。</w:t>
      </w:r>
    </w:p>
    <w:p w14:paraId="6F5CF738">
      <w:pPr>
        <w:pageBreakBefore w:val="0"/>
        <w:widowControl w:val="0"/>
        <w:kinsoku/>
        <w:wordWrap/>
        <w:overflowPunct/>
        <w:topLinePunct w:val="0"/>
        <w:bidi w:val="0"/>
        <w:spacing w:line="360" w:lineRule="auto"/>
        <w:ind w:firstLine="630" w:firstLineChars="300"/>
        <w:textAlignment w:val="auto"/>
        <w:rPr>
          <w:rFonts w:hAnsi="宋体" w:cs="宋体"/>
          <w:color w:val="auto"/>
          <w:highlight w:val="none"/>
        </w:rPr>
      </w:pPr>
      <w:r>
        <w:rPr>
          <w:rFonts w:hint="eastAsia" w:hAnsi="宋体" w:cs="宋体"/>
          <w:color w:val="auto"/>
          <w:highlight w:val="none"/>
        </w:rPr>
        <w:t>进度款支付方式：</w:t>
      </w:r>
      <w:r>
        <w:rPr>
          <w:rFonts w:hint="eastAsia" w:hAnsi="宋体" w:cs="宋体"/>
          <w:color w:val="auto"/>
          <w:highlight w:val="none"/>
          <w:u w:val="single"/>
        </w:rPr>
        <w:t>银行转账</w:t>
      </w:r>
      <w:r>
        <w:rPr>
          <w:rFonts w:hint="eastAsia" w:hAnsi="宋体" w:cs="宋体"/>
          <w:color w:val="auto"/>
          <w:highlight w:val="none"/>
        </w:rPr>
        <w:t>。</w:t>
      </w:r>
      <w:r>
        <w:rPr>
          <w:rFonts w:hint="eastAsia"/>
          <w:color w:val="auto"/>
          <w:highlight w:val="none"/>
        </w:rPr>
        <w:t>进度款支付申请（核准）表见合同附件11。</w:t>
      </w:r>
    </w:p>
    <w:p w14:paraId="0FB23ED6">
      <w:pPr>
        <w:pageBreakBefore w:val="0"/>
        <w:widowControl w:val="0"/>
        <w:kinsoku/>
        <w:wordWrap/>
        <w:overflowPunct/>
        <w:topLinePunct w:val="0"/>
        <w:bidi w:val="0"/>
        <w:spacing w:line="360" w:lineRule="auto"/>
        <w:ind w:firstLine="525" w:firstLineChars="250"/>
        <w:jc w:val="left"/>
        <w:textAlignment w:val="auto"/>
        <w:rPr>
          <w:rFonts w:hint="eastAsia" w:hAnsi="宋体"/>
          <w:color w:val="auto"/>
          <w:highlight w:val="none"/>
        </w:rPr>
      </w:pPr>
      <w:r>
        <w:rPr>
          <w:rFonts w:hint="eastAsia" w:hAnsi="宋体"/>
          <w:color w:val="auto"/>
          <w:highlight w:val="none"/>
        </w:rPr>
        <w:t>（3） 农民工工资支付</w:t>
      </w:r>
    </w:p>
    <w:p w14:paraId="7E41F1E6">
      <w:pPr>
        <w:pageBreakBefore w:val="0"/>
        <w:widowControl w:val="0"/>
        <w:kinsoku/>
        <w:wordWrap/>
        <w:overflowPunct/>
        <w:topLinePunct w:val="0"/>
        <w:bidi w:val="0"/>
        <w:spacing w:line="360" w:lineRule="auto"/>
        <w:ind w:firstLine="525" w:firstLineChars="250"/>
        <w:jc w:val="left"/>
        <w:textAlignment w:val="auto"/>
        <w:rPr>
          <w:rFonts w:hint="eastAsia" w:ascii="Times New Roman" w:hAnsi="宋体" w:eastAsia="宋体" w:cs="宋体"/>
          <w:color w:val="auto"/>
          <w:kern w:val="0"/>
          <w:highlight w:val="none"/>
        </w:rPr>
      </w:pPr>
      <w:r>
        <w:rPr>
          <w:rFonts w:hint="eastAsia" w:ascii="Times New Roman" w:hAnsi="宋体" w:eastAsia="宋体" w:cs="宋体"/>
          <w:color w:val="auto"/>
          <w:kern w:val="0"/>
          <w:highlight w:val="none"/>
          <w:lang w:val="en-US" w:eastAsia="zh-CN"/>
        </w:rPr>
        <w:t>1</w:t>
      </w:r>
      <w:r>
        <w:rPr>
          <w:rFonts w:hint="eastAsia" w:ascii="Times New Roman" w:hAnsi="宋体" w:eastAsia="宋体" w:cs="宋体"/>
          <w:color w:val="auto"/>
          <w:kern w:val="0"/>
          <w:highlight w:val="none"/>
        </w:rPr>
        <w:t>）发包人依据工程进度，审核承包人申报的工程进度款，按照与承包人约定的人工费支付比例</w:t>
      </w:r>
      <w:r>
        <w:rPr>
          <w:rFonts w:hint="eastAsia" w:ascii="Times New Roman" w:hAnsi="宋体" w:eastAsia="宋体" w:cs="宋体"/>
          <w:color w:val="auto"/>
          <w:kern w:val="0"/>
          <w:highlight w:val="none"/>
          <w:lang w:val="en-US" w:eastAsia="zh-CN"/>
        </w:rPr>
        <w:t>20</w:t>
      </w:r>
      <w:r>
        <w:rPr>
          <w:rFonts w:hint="eastAsia" w:ascii="Times New Roman" w:hAnsi="宋体" w:eastAsia="宋体" w:cs="宋体"/>
          <w:color w:val="auto"/>
          <w:kern w:val="0"/>
          <w:highlight w:val="none"/>
        </w:rPr>
        <w:t>%</w:t>
      </w:r>
      <w:r>
        <w:rPr>
          <w:rFonts w:hint="eastAsia" w:ascii="Times New Roman" w:hAnsi="宋体" w:eastAsia="宋体" w:cs="宋体"/>
          <w:color w:val="auto"/>
          <w:kern w:val="0"/>
          <w:highlight w:val="none"/>
          <w:lang w:eastAsia="zh-CN"/>
        </w:rPr>
        <w:t>（房建项目不少于</w:t>
      </w:r>
      <w:r>
        <w:rPr>
          <w:rFonts w:hint="eastAsia" w:ascii="Times New Roman" w:hAnsi="宋体" w:eastAsia="宋体" w:cs="宋体"/>
          <w:color w:val="auto"/>
          <w:kern w:val="0"/>
          <w:highlight w:val="none"/>
          <w:lang w:val="en-US" w:eastAsia="zh-CN"/>
        </w:rPr>
        <w:t>20%，市政项目不少于15%）</w:t>
      </w:r>
      <w:r>
        <w:rPr>
          <w:rFonts w:hint="eastAsia" w:ascii="Times New Roman" w:hAnsi="宋体" w:eastAsia="宋体" w:cs="宋体"/>
          <w:color w:val="auto"/>
          <w:kern w:val="0"/>
          <w:highlight w:val="none"/>
        </w:rPr>
        <w:t>，将人工费</w:t>
      </w:r>
      <w:r>
        <w:rPr>
          <w:rFonts w:hint="eastAsia" w:ascii="Times New Roman" w:hAnsi="宋体" w:eastAsia="宋体" w:cs="宋体"/>
          <w:color w:val="auto"/>
          <w:kern w:val="0"/>
          <w:highlight w:val="none"/>
          <w:lang w:eastAsia="zh-CN"/>
        </w:rPr>
        <w:t>和工程进度款项</w:t>
      </w:r>
      <w:r>
        <w:rPr>
          <w:rFonts w:hint="eastAsia" w:ascii="Times New Roman" w:hAnsi="宋体" w:eastAsia="宋体" w:cs="宋体"/>
          <w:color w:val="auto"/>
          <w:kern w:val="0"/>
          <w:highlight w:val="none"/>
        </w:rPr>
        <w:t>及时足额拨付到承包人的单位基本户。</w:t>
      </w:r>
    </w:p>
    <w:p w14:paraId="2C666376">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int="eastAsia" w:hAnsi="宋体" w:eastAsia="宋体" w:cs="宋体"/>
          <w:color w:val="auto"/>
          <w:kern w:val="0"/>
          <w:highlight w:val="none"/>
          <w:lang w:eastAsia="zh-CN"/>
        </w:rPr>
      </w:pPr>
      <w:r>
        <w:rPr>
          <w:rFonts w:hint="eastAsia" w:ascii="Times New Roman" w:hAnsi="宋体" w:eastAsia="宋体" w:cs="宋体"/>
          <w:color w:val="auto"/>
          <w:kern w:val="0"/>
          <w:highlight w:val="none"/>
          <w:lang w:val="en-US" w:eastAsia="zh-CN"/>
        </w:rPr>
        <w:t>2</w:t>
      </w:r>
      <w:r>
        <w:rPr>
          <w:rFonts w:hint="eastAsia" w:ascii="Times New Roman" w:hAnsi="宋体" w:eastAsia="宋体" w:cs="宋体"/>
          <w:color w:val="auto"/>
          <w:kern w:val="0"/>
          <w:highlight w:val="none"/>
        </w:rPr>
        <w:t>）人工费使用要求：专款专用，除发放农民工工资外，不得用于其他用途</w:t>
      </w:r>
      <w:r>
        <w:rPr>
          <w:rFonts w:hint="eastAsia" w:hAnsi="宋体" w:eastAsia="宋体" w:cs="宋体"/>
          <w:color w:val="auto"/>
          <w:kern w:val="0"/>
          <w:highlight w:val="none"/>
          <w:lang w:eastAsia="zh-CN"/>
        </w:rPr>
        <w:t>。</w:t>
      </w:r>
    </w:p>
    <w:p w14:paraId="215DE75D">
      <w:pPr>
        <w:pageBreakBefore w:val="0"/>
        <w:widowControl w:val="0"/>
        <w:kinsoku/>
        <w:wordWrap/>
        <w:overflowPunct/>
        <w:topLinePunct w:val="0"/>
        <w:bidi w:val="0"/>
        <w:spacing w:line="360" w:lineRule="auto"/>
        <w:ind w:firstLine="525" w:firstLineChars="250"/>
        <w:jc w:val="left"/>
        <w:textAlignment w:val="auto"/>
        <w:rPr>
          <w:rFonts w:hAnsi="宋体"/>
          <w:color w:val="auto"/>
          <w:highlight w:val="none"/>
        </w:rPr>
      </w:pPr>
      <w:r>
        <w:rPr>
          <w:color w:val="auto"/>
          <w:highlight w:val="none"/>
        </w:rPr>
        <w:t xml:space="preserve">12.4.6 </w:t>
      </w:r>
      <w:r>
        <w:rPr>
          <w:rFonts w:hint="eastAsia" w:hAnsi="宋体" w:cs="宋体"/>
          <w:color w:val="auto"/>
          <w:highlight w:val="none"/>
        </w:rPr>
        <w:t>支付分解表的编制</w:t>
      </w:r>
    </w:p>
    <w:p w14:paraId="28615F2A">
      <w:pPr>
        <w:pageBreakBefore w:val="0"/>
        <w:widowControl w:val="0"/>
        <w:kinsoku/>
        <w:wordWrap/>
        <w:overflowPunct/>
        <w:topLinePunct w:val="0"/>
        <w:bidi w:val="0"/>
        <w:spacing w:line="360" w:lineRule="auto"/>
        <w:ind w:firstLine="525" w:firstLineChars="250"/>
        <w:jc w:val="left"/>
        <w:textAlignment w:val="auto"/>
        <w:rPr>
          <w:color w:val="auto"/>
          <w:highlight w:val="none"/>
          <w:u w:val="single"/>
        </w:rPr>
      </w:pPr>
      <w:r>
        <w:rPr>
          <w:rFonts w:hint="eastAsia"/>
          <w:color w:val="auto"/>
          <w:highlight w:val="none"/>
        </w:rPr>
        <w:t>（</w:t>
      </w:r>
      <w:r>
        <w:rPr>
          <w:color w:val="auto"/>
          <w:highlight w:val="none"/>
        </w:rPr>
        <w:t>1</w:t>
      </w:r>
      <w:r>
        <w:rPr>
          <w:rFonts w:hint="eastAsia"/>
          <w:color w:val="auto"/>
          <w:highlight w:val="none"/>
        </w:rPr>
        <w:t>）</w:t>
      </w:r>
      <w:r>
        <w:rPr>
          <w:rFonts w:hAnsi="宋体"/>
          <w:color w:val="auto"/>
          <w:highlight w:val="none"/>
        </w:rPr>
        <w:t xml:space="preserve"> </w:t>
      </w:r>
      <w:r>
        <w:rPr>
          <w:rFonts w:hint="eastAsia" w:hAnsi="宋体" w:cs="宋体"/>
          <w:color w:val="auto"/>
          <w:highlight w:val="none"/>
        </w:rPr>
        <w:t>总价合同支付分解表的编制与审批：</w:t>
      </w:r>
      <w:r>
        <w:rPr>
          <w:color w:val="auto"/>
          <w:highlight w:val="none"/>
          <w:u w:val="single"/>
        </w:rPr>
        <w:t xml:space="preserve">  </w:t>
      </w:r>
      <w:r>
        <w:rPr>
          <w:rFonts w:hint="eastAsia"/>
          <w:color w:val="auto"/>
          <w:highlight w:val="none"/>
          <w:u w:val="single"/>
        </w:rPr>
        <w:t>总价合同支付分解表在招标完成后由发包人和承包人共同编制，发包人审批，并作为本合同内容，具体详见合同附件14。</w:t>
      </w:r>
    </w:p>
    <w:p w14:paraId="49C990C7">
      <w:pPr>
        <w:pageBreakBefore w:val="0"/>
        <w:widowControl w:val="0"/>
        <w:kinsoku/>
        <w:wordWrap/>
        <w:overflowPunct/>
        <w:topLinePunct w:val="0"/>
        <w:bidi w:val="0"/>
        <w:spacing w:line="360" w:lineRule="auto"/>
        <w:ind w:firstLine="525" w:firstLineChars="250"/>
        <w:jc w:val="left"/>
        <w:textAlignment w:val="auto"/>
        <w:rPr>
          <w:color w:val="auto"/>
          <w:highlight w:val="none"/>
          <w:u w:val="single"/>
        </w:rPr>
      </w:pPr>
      <w:r>
        <w:rPr>
          <w:rFonts w:hint="eastAsia"/>
          <w:color w:val="auto"/>
          <w:highlight w:val="none"/>
        </w:rPr>
        <w:t>（2）</w:t>
      </w:r>
      <w:r>
        <w:rPr>
          <w:rFonts w:hint="eastAsia" w:hAnsi="宋体" w:cs="宋体"/>
          <w:color w:val="auto"/>
          <w:highlight w:val="none"/>
        </w:rPr>
        <w:t>单价合同的总价项目支付分解表的编制与审批：总价项目不采用支付分解表的方式计算，而按《建设工程工程量清单计价规范（</w:t>
      </w:r>
      <w:r>
        <w:rPr>
          <w:rFonts w:hAnsi="宋体"/>
          <w:color w:val="auto"/>
          <w:highlight w:val="none"/>
        </w:rPr>
        <w:t>GB50500-2013</w:t>
      </w:r>
      <w:r>
        <w:rPr>
          <w:rFonts w:hint="eastAsia" w:hAnsi="宋体" w:cs="宋体"/>
          <w:color w:val="auto"/>
          <w:highlight w:val="none"/>
        </w:rPr>
        <w:t>）广西壮族自治区实施细则》的规定执行。</w:t>
      </w:r>
    </w:p>
    <w:bookmarkEnd w:id="681"/>
    <w:p w14:paraId="457958CA">
      <w:pPr>
        <w:pStyle w:val="5"/>
        <w:pageBreakBefore w:val="0"/>
        <w:widowControl w:val="0"/>
        <w:kinsoku/>
        <w:wordWrap/>
        <w:overflowPunct/>
        <w:topLinePunct w:val="0"/>
        <w:bidi w:val="0"/>
        <w:spacing w:before="0" w:after="0" w:line="360" w:lineRule="auto"/>
        <w:textAlignment w:val="auto"/>
        <w:rPr>
          <w:color w:val="auto"/>
          <w:highlight w:val="none"/>
        </w:rPr>
      </w:pPr>
      <w:bookmarkStart w:id="943" w:name="_Toc373227753"/>
      <w:bookmarkStart w:id="944" w:name="_Toc351203645"/>
      <w:bookmarkStart w:id="945" w:name="_Toc407135256"/>
      <w:bookmarkStart w:id="946" w:name="_Toc1487"/>
      <w:bookmarkStart w:id="947" w:name="_Toc78449842"/>
      <w:bookmarkStart w:id="948" w:name="_Toc728899116"/>
      <w:bookmarkStart w:id="949" w:name="_Toc373478400"/>
      <w:bookmarkStart w:id="950" w:name="_Toc389065318"/>
      <w:bookmarkStart w:id="951" w:name="_Toc296346720"/>
      <w:bookmarkStart w:id="952" w:name="_Toc296891047"/>
      <w:bookmarkStart w:id="953" w:name="_Toc296347218"/>
      <w:bookmarkStart w:id="954" w:name="_Toc300935015"/>
      <w:bookmarkStart w:id="955" w:name="_Toc312678053"/>
      <w:bookmarkStart w:id="956" w:name="_Toc296944558"/>
      <w:bookmarkStart w:id="957" w:name="_Toc304295593"/>
      <w:bookmarkStart w:id="958" w:name="_Toc297216223"/>
      <w:bookmarkStart w:id="959" w:name="_Toc296503219"/>
      <w:bookmarkStart w:id="960" w:name="_Toc303539172"/>
      <w:bookmarkStart w:id="961" w:name="_Toc292559929"/>
      <w:bookmarkStart w:id="962" w:name="_Toc292559424"/>
      <w:bookmarkStart w:id="963" w:name="_Toc296891259"/>
      <w:bookmarkStart w:id="964" w:name="_Toc297048405"/>
      <w:bookmarkStart w:id="965" w:name="_Toc297120519"/>
      <w:bookmarkStart w:id="966" w:name="_Toc297123564"/>
      <w:r>
        <w:rPr>
          <w:color w:val="auto"/>
          <w:highlight w:val="none"/>
        </w:rPr>
        <w:t xml:space="preserve">13. </w:t>
      </w:r>
      <w:r>
        <w:rPr>
          <w:rFonts w:hint="eastAsia" w:cs="黑体"/>
          <w:color w:val="auto"/>
          <w:highlight w:val="none"/>
        </w:rPr>
        <w:t>验收和工程试车</w:t>
      </w:r>
      <w:bookmarkEnd w:id="943"/>
      <w:bookmarkEnd w:id="944"/>
      <w:bookmarkEnd w:id="945"/>
      <w:bookmarkEnd w:id="946"/>
      <w:bookmarkEnd w:id="947"/>
      <w:bookmarkEnd w:id="948"/>
      <w:bookmarkEnd w:id="949"/>
      <w:bookmarkEnd w:id="950"/>
    </w:p>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p w14:paraId="753EB73B">
      <w:pPr>
        <w:pStyle w:val="6"/>
        <w:pageBreakBefore w:val="0"/>
        <w:widowControl w:val="0"/>
        <w:kinsoku/>
        <w:wordWrap/>
        <w:overflowPunct/>
        <w:topLinePunct w:val="0"/>
        <w:bidi w:val="0"/>
        <w:spacing w:before="0" w:after="0" w:line="360" w:lineRule="auto"/>
        <w:textAlignment w:val="auto"/>
        <w:rPr>
          <w:color w:val="auto"/>
          <w:highlight w:val="none"/>
        </w:rPr>
      </w:pPr>
      <w:bookmarkStart w:id="967" w:name="_Toc740353520"/>
      <w:bookmarkStart w:id="968" w:name="_Toc389065319"/>
      <w:bookmarkStart w:id="969" w:name="_Toc373478401"/>
      <w:bookmarkStart w:id="970" w:name="_Toc2720"/>
      <w:bookmarkStart w:id="971" w:name="_Toc78449843"/>
      <w:bookmarkStart w:id="972" w:name="_Toc407135257"/>
      <w:bookmarkStart w:id="973" w:name="_Toc373227754"/>
      <w:r>
        <w:rPr>
          <w:color w:val="auto"/>
          <w:highlight w:val="none"/>
        </w:rPr>
        <w:t xml:space="preserve">13.1 </w:t>
      </w:r>
      <w:r>
        <w:rPr>
          <w:rFonts w:hint="eastAsia" w:cs="黑体"/>
          <w:color w:val="auto"/>
          <w:highlight w:val="none"/>
        </w:rPr>
        <w:t>分部分项工程验收</w:t>
      </w:r>
      <w:bookmarkEnd w:id="967"/>
      <w:bookmarkEnd w:id="968"/>
      <w:bookmarkEnd w:id="969"/>
      <w:bookmarkEnd w:id="970"/>
      <w:bookmarkEnd w:id="971"/>
      <w:bookmarkEnd w:id="972"/>
      <w:bookmarkEnd w:id="973"/>
    </w:p>
    <w:p w14:paraId="7C6DBA94">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13.1.2</w:t>
      </w:r>
      <w:r>
        <w:rPr>
          <w:rFonts w:hint="eastAsia" w:hAnsi="宋体" w:cs="宋体"/>
          <w:color w:val="auto"/>
          <w:highlight w:val="none"/>
        </w:rPr>
        <w:t>监理人不能按时进行验收时，应提前</w:t>
      </w:r>
      <w:r>
        <w:rPr>
          <w:color w:val="auto"/>
          <w:highlight w:val="none"/>
          <w:u w:val="single"/>
        </w:rPr>
        <w:t xml:space="preserve"> </w:t>
      </w:r>
      <w:r>
        <w:rPr>
          <w:rFonts w:hint="eastAsia"/>
          <w:color w:val="auto"/>
          <w:highlight w:val="none"/>
          <w:u w:val="single"/>
          <w:lang w:val="en-US" w:eastAsia="zh-CN"/>
        </w:rPr>
        <w:t>24</w:t>
      </w:r>
      <w:r>
        <w:rPr>
          <w:color w:val="auto"/>
          <w:highlight w:val="none"/>
          <w:u w:val="single"/>
        </w:rPr>
        <w:t xml:space="preserve"> </w:t>
      </w:r>
      <w:r>
        <w:rPr>
          <w:rFonts w:hint="eastAsia" w:hAnsi="宋体" w:cs="宋体"/>
          <w:color w:val="auto"/>
          <w:highlight w:val="none"/>
        </w:rPr>
        <w:t>小时提交书面延期要求。</w:t>
      </w:r>
    </w:p>
    <w:p w14:paraId="0EE4C820">
      <w:pPr>
        <w:pageBreakBefore w:val="0"/>
        <w:widowControl w:val="0"/>
        <w:kinsoku/>
        <w:wordWrap/>
        <w:overflowPunct/>
        <w:topLinePunct w:val="0"/>
        <w:bidi w:val="0"/>
        <w:spacing w:line="360" w:lineRule="auto"/>
        <w:ind w:firstLine="420" w:firstLineChars="200"/>
        <w:jc w:val="left"/>
        <w:textAlignment w:val="auto"/>
        <w:rPr>
          <w:b/>
          <w:bCs/>
          <w:color w:val="auto"/>
          <w:highlight w:val="none"/>
        </w:rPr>
      </w:pPr>
      <w:r>
        <w:rPr>
          <w:rFonts w:hint="eastAsia" w:hAnsi="宋体" w:cs="宋体"/>
          <w:color w:val="auto"/>
          <w:highlight w:val="none"/>
        </w:rPr>
        <w:t>关于延期最长不得超过：</w:t>
      </w:r>
      <w:r>
        <w:rPr>
          <w:color w:val="auto"/>
          <w:highlight w:val="none"/>
          <w:u w:val="single"/>
        </w:rPr>
        <w:t xml:space="preserve"> </w:t>
      </w:r>
      <w:r>
        <w:rPr>
          <w:rFonts w:hint="eastAsia"/>
          <w:color w:val="auto"/>
          <w:highlight w:val="none"/>
          <w:u w:val="single"/>
          <w:lang w:val="en-US" w:eastAsia="zh-CN"/>
        </w:rPr>
        <w:t>48</w:t>
      </w:r>
      <w:r>
        <w:rPr>
          <w:color w:val="auto"/>
          <w:highlight w:val="none"/>
          <w:u w:val="single"/>
        </w:rPr>
        <w:t xml:space="preserve"> </w:t>
      </w:r>
      <w:r>
        <w:rPr>
          <w:rFonts w:hint="eastAsia" w:hAnsi="宋体" w:cs="宋体"/>
          <w:color w:val="auto"/>
          <w:highlight w:val="none"/>
        </w:rPr>
        <w:t>小时。</w:t>
      </w:r>
    </w:p>
    <w:p w14:paraId="564BD7C2">
      <w:pPr>
        <w:pStyle w:val="6"/>
        <w:pageBreakBefore w:val="0"/>
        <w:widowControl w:val="0"/>
        <w:kinsoku/>
        <w:wordWrap/>
        <w:overflowPunct/>
        <w:topLinePunct w:val="0"/>
        <w:bidi w:val="0"/>
        <w:spacing w:before="0" w:after="0" w:line="360" w:lineRule="auto"/>
        <w:textAlignment w:val="auto"/>
        <w:rPr>
          <w:color w:val="auto"/>
          <w:highlight w:val="none"/>
        </w:rPr>
      </w:pPr>
      <w:bookmarkStart w:id="974" w:name="_Toc389065320"/>
      <w:bookmarkStart w:id="975" w:name="_Toc373227755"/>
      <w:bookmarkStart w:id="976" w:name="_Toc1578431234"/>
      <w:bookmarkStart w:id="977" w:name="_Toc373478402"/>
      <w:bookmarkStart w:id="978" w:name="_Toc407135258"/>
      <w:bookmarkStart w:id="979" w:name="_Toc14528"/>
      <w:bookmarkStart w:id="980" w:name="_Toc78449844"/>
      <w:bookmarkStart w:id="981" w:name="_Toc312678056"/>
      <w:bookmarkStart w:id="982" w:name="_Toc300935016"/>
      <w:bookmarkStart w:id="983" w:name="_Toc304295596"/>
      <w:bookmarkStart w:id="984" w:name="_Toc297123565"/>
      <w:bookmarkStart w:id="985" w:name="_Toc296891263"/>
      <w:bookmarkStart w:id="986" w:name="_Toc292559933"/>
      <w:bookmarkStart w:id="987" w:name="_Toc297048409"/>
      <w:bookmarkStart w:id="988" w:name="_Toc296347222"/>
      <w:bookmarkStart w:id="989" w:name="_Toc296891051"/>
      <w:bookmarkStart w:id="990" w:name="_Toc296944562"/>
      <w:bookmarkStart w:id="991" w:name="_Toc303539173"/>
      <w:bookmarkStart w:id="992" w:name="_Toc296346724"/>
      <w:bookmarkStart w:id="993" w:name="_Toc297216224"/>
      <w:bookmarkStart w:id="994" w:name="_Toc296503223"/>
      <w:bookmarkStart w:id="995" w:name="_Toc292559428"/>
      <w:bookmarkStart w:id="996" w:name="_Toc297120523"/>
      <w:bookmarkStart w:id="997" w:name="_Toc267251476"/>
      <w:bookmarkStart w:id="998" w:name="_Toc267251472"/>
      <w:bookmarkStart w:id="999" w:name="_Toc267251473"/>
      <w:bookmarkStart w:id="1000" w:name="_Toc267251475"/>
      <w:bookmarkStart w:id="1001" w:name="_Toc267251474"/>
      <w:bookmarkStart w:id="1002" w:name="_Toc267251471"/>
      <w:bookmarkStart w:id="1003" w:name="_Toc267251470"/>
      <w:r>
        <w:rPr>
          <w:color w:val="auto"/>
          <w:highlight w:val="none"/>
        </w:rPr>
        <w:t xml:space="preserve">13.2 </w:t>
      </w:r>
      <w:r>
        <w:rPr>
          <w:rFonts w:hint="eastAsia" w:hAnsi="宋体" w:cs="黑体"/>
          <w:color w:val="auto"/>
          <w:highlight w:val="none"/>
        </w:rPr>
        <w:t>竣工验收</w:t>
      </w:r>
      <w:bookmarkEnd w:id="974"/>
      <w:bookmarkEnd w:id="975"/>
      <w:bookmarkEnd w:id="976"/>
      <w:bookmarkEnd w:id="977"/>
      <w:bookmarkEnd w:id="978"/>
      <w:bookmarkEnd w:id="979"/>
      <w:bookmarkEnd w:id="980"/>
    </w:p>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p w14:paraId="454EE08A">
      <w:pPr>
        <w:pageBreakBefore w:val="0"/>
        <w:widowControl w:val="0"/>
        <w:kinsoku/>
        <w:wordWrap/>
        <w:overflowPunct/>
        <w:topLinePunct w:val="0"/>
        <w:bidi w:val="0"/>
        <w:spacing w:line="360" w:lineRule="auto"/>
        <w:ind w:firstLine="420" w:firstLineChars="200"/>
        <w:jc w:val="left"/>
        <w:textAlignment w:val="auto"/>
        <w:rPr>
          <w:color w:val="auto"/>
          <w:highlight w:val="none"/>
        </w:rPr>
      </w:pPr>
      <w:bookmarkStart w:id="1004" w:name="_Toc280868704"/>
      <w:bookmarkStart w:id="1005" w:name="_Toc280868705"/>
      <w:bookmarkStart w:id="1006" w:name="_Toc280868706"/>
      <w:bookmarkStart w:id="1007" w:name="_Toc280868707"/>
      <w:bookmarkStart w:id="1008" w:name="_Toc280868708"/>
      <w:bookmarkStart w:id="1009" w:name="_Toc280868709"/>
      <w:r>
        <w:rPr>
          <w:color w:val="auto"/>
          <w:highlight w:val="none"/>
        </w:rPr>
        <w:t>13.2.1</w:t>
      </w:r>
      <w:r>
        <w:rPr>
          <w:rFonts w:hint="eastAsia" w:hAnsi="宋体" w:cs="宋体"/>
          <w:color w:val="auto"/>
          <w:highlight w:val="none"/>
        </w:rPr>
        <w:t>竣工验收条件</w:t>
      </w:r>
    </w:p>
    <w:p w14:paraId="22F4482B">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cs="宋体"/>
          <w:color w:val="auto"/>
          <w:highlight w:val="none"/>
        </w:rPr>
        <w:t>（</w:t>
      </w:r>
      <w:r>
        <w:rPr>
          <w:color w:val="auto"/>
          <w:highlight w:val="none"/>
        </w:rPr>
        <w:t>3</w:t>
      </w:r>
      <w:r>
        <w:rPr>
          <w:rFonts w:hint="eastAsia" w:cs="宋体"/>
          <w:color w:val="auto"/>
          <w:highlight w:val="none"/>
        </w:rPr>
        <w:t>）</w:t>
      </w:r>
      <w:r>
        <w:rPr>
          <w:rFonts w:hint="eastAsia" w:hAnsi="宋体" w:cs="宋体"/>
          <w:color w:val="auto"/>
          <w:highlight w:val="none"/>
        </w:rPr>
        <w:t>承包人负责整理和提交的竣工验收资料应当符合工程所在地建设行政主管部门和</w:t>
      </w:r>
      <w:r>
        <w:rPr>
          <w:rFonts w:hint="eastAsia"/>
          <w:color w:val="auto"/>
          <w:highlight w:val="none"/>
          <w:lang w:eastAsia="zh-CN"/>
        </w:rPr>
        <w:t>（</w:t>
      </w:r>
      <w:r>
        <w:rPr>
          <w:rFonts w:hint="eastAsia" w:hAnsi="宋体" w:cs="宋体"/>
          <w:color w:val="auto"/>
          <w:highlight w:val="none"/>
        </w:rPr>
        <w:t>或</w:t>
      </w:r>
      <w:r>
        <w:rPr>
          <w:rFonts w:hint="eastAsia"/>
          <w:color w:val="auto"/>
          <w:highlight w:val="none"/>
          <w:lang w:eastAsia="zh-CN"/>
        </w:rPr>
        <w:t>）</w:t>
      </w:r>
      <w:r>
        <w:rPr>
          <w:rFonts w:hint="eastAsia" w:hAnsi="宋体" w:cs="宋体"/>
          <w:color w:val="auto"/>
          <w:highlight w:val="none"/>
        </w:rPr>
        <w:t>城市建设档案管理机构有关施工资料的要求，具体内容包括：</w:t>
      </w:r>
      <w:r>
        <w:rPr>
          <w:color w:val="auto"/>
          <w:highlight w:val="none"/>
          <w:u w:val="single"/>
        </w:rPr>
        <w:t xml:space="preserve"> </w:t>
      </w:r>
      <w:r>
        <w:rPr>
          <w:rFonts w:hint="eastAsia"/>
          <w:color w:val="auto"/>
          <w:highlight w:val="none"/>
          <w:u w:val="single"/>
        </w:rPr>
        <w:t>按有关规定执行</w:t>
      </w:r>
      <w:r>
        <w:rPr>
          <w:color w:val="auto"/>
          <w:highlight w:val="none"/>
          <w:u w:val="single"/>
        </w:rPr>
        <w:t xml:space="preserve"> </w:t>
      </w:r>
      <w:r>
        <w:rPr>
          <w:rFonts w:hint="eastAsia" w:hAnsi="宋体" w:cs="宋体"/>
          <w:color w:val="auto"/>
          <w:highlight w:val="none"/>
        </w:rPr>
        <w:t>。</w:t>
      </w:r>
    </w:p>
    <w:p w14:paraId="7FE596F7">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竣工验收资料的份数：</w:t>
      </w:r>
      <w:r>
        <w:rPr>
          <w:color w:val="auto"/>
          <w:highlight w:val="none"/>
          <w:u w:val="single"/>
        </w:rPr>
        <w:t xml:space="preserve"> </w:t>
      </w:r>
      <w:r>
        <w:rPr>
          <w:rFonts w:hint="eastAsia"/>
          <w:color w:val="auto"/>
          <w:highlight w:val="none"/>
          <w:u w:val="single"/>
        </w:rPr>
        <w:t>捌份</w:t>
      </w:r>
      <w:r>
        <w:rPr>
          <w:color w:val="auto"/>
          <w:highlight w:val="none"/>
          <w:u w:val="single"/>
        </w:rPr>
        <w:t xml:space="preserve"> </w:t>
      </w:r>
      <w:r>
        <w:rPr>
          <w:rFonts w:hint="eastAsia" w:hAnsi="宋体" w:cs="宋体"/>
          <w:color w:val="auto"/>
          <w:highlight w:val="none"/>
        </w:rPr>
        <w:t>。</w:t>
      </w:r>
    </w:p>
    <w:p w14:paraId="183BD260">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承包人提供竣工图的约定：</w:t>
      </w:r>
      <w:r>
        <w:rPr>
          <w:rFonts w:hint="eastAsia" w:hAnsi="宋体" w:cs="宋体"/>
          <w:color w:val="auto"/>
          <w:highlight w:val="none"/>
          <w:u w:val="single"/>
        </w:rPr>
        <w:t>竣工验收正式通过后</w:t>
      </w:r>
      <w:r>
        <w:rPr>
          <w:color w:val="auto"/>
          <w:highlight w:val="none"/>
          <w:u w:val="single"/>
        </w:rPr>
        <w:t>5</w:t>
      </w:r>
      <w:r>
        <w:rPr>
          <w:rFonts w:hint="eastAsia" w:hAnsi="宋体" w:cs="宋体"/>
          <w:color w:val="auto"/>
          <w:highlight w:val="none"/>
          <w:u w:val="single"/>
        </w:rPr>
        <w:t>天（工程造价在</w:t>
      </w:r>
      <w:r>
        <w:rPr>
          <w:color w:val="auto"/>
          <w:highlight w:val="none"/>
          <w:u w:val="single"/>
        </w:rPr>
        <w:t>500</w:t>
      </w:r>
      <w:r>
        <w:rPr>
          <w:rFonts w:hint="eastAsia" w:hAnsi="宋体" w:cs="宋体"/>
          <w:color w:val="auto"/>
          <w:highlight w:val="none"/>
          <w:u w:val="single"/>
        </w:rPr>
        <w:t>万元以下含</w:t>
      </w:r>
      <w:r>
        <w:rPr>
          <w:color w:val="auto"/>
          <w:highlight w:val="none"/>
          <w:u w:val="single"/>
        </w:rPr>
        <w:t>500</w:t>
      </w:r>
      <w:r>
        <w:rPr>
          <w:rFonts w:hint="eastAsia" w:hAnsi="宋体" w:cs="宋体"/>
          <w:color w:val="auto"/>
          <w:highlight w:val="none"/>
          <w:u w:val="single"/>
        </w:rPr>
        <w:t>万元）、</w:t>
      </w:r>
      <w:r>
        <w:rPr>
          <w:color w:val="auto"/>
          <w:highlight w:val="none"/>
          <w:u w:val="single"/>
        </w:rPr>
        <w:t>10</w:t>
      </w:r>
      <w:r>
        <w:rPr>
          <w:rFonts w:hint="eastAsia" w:hAnsi="宋体" w:cs="宋体"/>
          <w:color w:val="auto"/>
          <w:highlight w:val="none"/>
          <w:u w:val="single"/>
        </w:rPr>
        <w:t>天（工程造价在</w:t>
      </w:r>
      <w:r>
        <w:rPr>
          <w:color w:val="auto"/>
          <w:highlight w:val="none"/>
          <w:u w:val="single"/>
        </w:rPr>
        <w:t>500</w:t>
      </w:r>
      <w:r>
        <w:rPr>
          <w:rFonts w:hint="eastAsia" w:hAnsi="宋体" w:cs="宋体"/>
          <w:color w:val="auto"/>
          <w:highlight w:val="none"/>
          <w:u w:val="single"/>
        </w:rPr>
        <w:t>万元至</w:t>
      </w:r>
      <w:r>
        <w:rPr>
          <w:color w:val="auto"/>
          <w:highlight w:val="none"/>
          <w:u w:val="single"/>
        </w:rPr>
        <w:t>1000</w:t>
      </w:r>
      <w:r>
        <w:rPr>
          <w:rFonts w:hint="eastAsia" w:hAnsi="宋体" w:cs="宋体"/>
          <w:color w:val="auto"/>
          <w:highlight w:val="none"/>
          <w:u w:val="single"/>
        </w:rPr>
        <w:t>万元之间含</w:t>
      </w:r>
      <w:r>
        <w:rPr>
          <w:color w:val="auto"/>
          <w:highlight w:val="none"/>
          <w:u w:val="single"/>
        </w:rPr>
        <w:t>1000</w:t>
      </w:r>
      <w:r>
        <w:rPr>
          <w:rFonts w:hint="eastAsia" w:hAnsi="宋体" w:cs="宋体"/>
          <w:color w:val="auto"/>
          <w:highlight w:val="none"/>
          <w:u w:val="single"/>
        </w:rPr>
        <w:t>万元）、</w:t>
      </w:r>
      <w:r>
        <w:rPr>
          <w:color w:val="auto"/>
          <w:highlight w:val="none"/>
          <w:u w:val="single"/>
        </w:rPr>
        <w:t>15</w:t>
      </w:r>
      <w:r>
        <w:rPr>
          <w:rFonts w:hint="eastAsia" w:hAnsi="宋体" w:cs="宋体"/>
          <w:color w:val="auto"/>
          <w:highlight w:val="none"/>
          <w:u w:val="single"/>
        </w:rPr>
        <w:t>天（工程造价在</w:t>
      </w:r>
      <w:r>
        <w:rPr>
          <w:color w:val="auto"/>
          <w:highlight w:val="none"/>
          <w:u w:val="single"/>
        </w:rPr>
        <w:t>1000</w:t>
      </w:r>
      <w:r>
        <w:rPr>
          <w:rFonts w:hint="eastAsia" w:hAnsi="宋体" w:cs="宋体"/>
          <w:color w:val="auto"/>
          <w:highlight w:val="none"/>
          <w:u w:val="single"/>
        </w:rPr>
        <w:t>万元以上），提供竣工图的数量分别为</w:t>
      </w:r>
      <w:r>
        <w:rPr>
          <w:color w:val="auto"/>
          <w:highlight w:val="none"/>
          <w:u w:val="single"/>
        </w:rPr>
        <w:t>2</w:t>
      </w:r>
      <w:r>
        <w:rPr>
          <w:rFonts w:hint="eastAsia" w:hAnsi="宋体" w:cs="宋体"/>
          <w:color w:val="auto"/>
          <w:highlight w:val="none"/>
          <w:u w:val="single"/>
        </w:rPr>
        <w:t>套、</w:t>
      </w:r>
      <w:r>
        <w:rPr>
          <w:color w:val="auto"/>
          <w:highlight w:val="none"/>
          <w:u w:val="single"/>
        </w:rPr>
        <w:t>4</w:t>
      </w:r>
      <w:r>
        <w:rPr>
          <w:rFonts w:hint="eastAsia" w:hAnsi="宋体" w:cs="宋体"/>
          <w:color w:val="auto"/>
          <w:highlight w:val="none"/>
          <w:u w:val="single"/>
        </w:rPr>
        <w:t>套、</w:t>
      </w:r>
      <w:r>
        <w:rPr>
          <w:color w:val="auto"/>
          <w:highlight w:val="none"/>
          <w:u w:val="single"/>
        </w:rPr>
        <w:t>6</w:t>
      </w:r>
      <w:r>
        <w:rPr>
          <w:rFonts w:hint="eastAsia" w:hAnsi="宋体" w:cs="宋体"/>
          <w:color w:val="auto"/>
          <w:highlight w:val="none"/>
          <w:u w:val="single"/>
        </w:rPr>
        <w:t>套。</w:t>
      </w:r>
    </w:p>
    <w:p w14:paraId="6EB92F2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13.2.2</w:t>
      </w:r>
      <w:r>
        <w:rPr>
          <w:rFonts w:hint="eastAsia" w:hAnsi="宋体" w:cs="宋体"/>
          <w:color w:val="auto"/>
          <w:highlight w:val="none"/>
        </w:rPr>
        <w:t>竣工验收程序</w:t>
      </w:r>
    </w:p>
    <w:bookmarkEnd w:id="1004"/>
    <w:p w14:paraId="5AC1D617">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关于竣工验收程序的约定：</w:t>
      </w:r>
      <w:r>
        <w:rPr>
          <w:color w:val="auto"/>
          <w:highlight w:val="none"/>
          <w:u w:val="single"/>
        </w:rPr>
        <w:t xml:space="preserve">  </w:t>
      </w:r>
      <w:r>
        <w:rPr>
          <w:rFonts w:hint="eastAsia"/>
          <w:color w:val="auto"/>
          <w:highlight w:val="none"/>
          <w:u w:val="single"/>
        </w:rPr>
        <w:t>按通用条款约定及国家现行法律法规执行</w:t>
      </w:r>
      <w:r>
        <w:rPr>
          <w:color w:val="auto"/>
          <w:highlight w:val="none"/>
          <w:u w:val="single"/>
        </w:rPr>
        <w:t xml:space="preserve"> </w:t>
      </w:r>
      <w:r>
        <w:rPr>
          <w:rFonts w:hint="eastAsia" w:hAnsi="宋体" w:cs="宋体"/>
          <w:color w:val="auto"/>
          <w:highlight w:val="none"/>
        </w:rPr>
        <w:t>。</w:t>
      </w:r>
    </w:p>
    <w:p w14:paraId="60C438F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color w:val="auto"/>
          <w:highlight w:val="none"/>
        </w:rPr>
      </w:pPr>
      <w:r>
        <w:rPr>
          <w:rFonts w:hint="eastAsia" w:hAnsi="宋体" w:cs="宋体"/>
          <w:color w:val="auto"/>
          <w:kern w:val="0"/>
          <w:highlight w:val="none"/>
        </w:rPr>
        <w:t>发包人不按照本项约定组织竣工验收、颁发工程接收证书的违约金的计算方法：</w:t>
      </w:r>
      <w:r>
        <w:rPr>
          <w:color w:val="auto"/>
          <w:highlight w:val="none"/>
          <w:u w:val="single"/>
        </w:rPr>
        <w:t xml:space="preserve"> </w:t>
      </w:r>
      <w:r>
        <w:rPr>
          <w:rFonts w:hint="eastAsia"/>
          <w:color w:val="auto"/>
          <w:highlight w:val="none"/>
          <w:u w:val="single"/>
        </w:rPr>
        <w:t>以经发包人审核确认的工程进度款扣除发包人已支付进度款后的金额为基数，根据逾期天数按照中国人民银行发布的同期同类存款基准利率计算支付违约金</w:t>
      </w:r>
      <w:r>
        <w:rPr>
          <w:color w:val="auto"/>
          <w:highlight w:val="none"/>
          <w:u w:val="single"/>
        </w:rPr>
        <w:t xml:space="preserve">  </w:t>
      </w:r>
      <w:r>
        <w:rPr>
          <w:rFonts w:hint="eastAsia" w:hAnsi="宋体" w:cs="宋体"/>
          <w:color w:val="auto"/>
          <w:highlight w:val="none"/>
        </w:rPr>
        <w:t>。</w:t>
      </w:r>
    </w:p>
    <w:bookmarkEnd w:id="1005"/>
    <w:p w14:paraId="212B39D4">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13.2.5</w:t>
      </w:r>
      <w:r>
        <w:rPr>
          <w:rFonts w:hint="eastAsia" w:hAnsi="宋体" w:cs="宋体"/>
          <w:color w:val="auto"/>
          <w:highlight w:val="none"/>
        </w:rPr>
        <w:t>移交、接收全部与部分工程</w:t>
      </w:r>
    </w:p>
    <w:bookmarkEnd w:id="1006"/>
    <w:p w14:paraId="678E1ABF">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承包人向发包人移交工程的期限：</w:t>
      </w:r>
      <w:r>
        <w:rPr>
          <w:color w:val="auto"/>
          <w:highlight w:val="none"/>
          <w:u w:val="single"/>
        </w:rPr>
        <w:t xml:space="preserve"> </w:t>
      </w:r>
      <w:r>
        <w:rPr>
          <w:rFonts w:hint="eastAsia"/>
          <w:color w:val="auto"/>
          <w:highlight w:val="none"/>
          <w:u w:val="single"/>
        </w:rPr>
        <w:t>竣工验收合格后10日内</w:t>
      </w:r>
      <w:r>
        <w:rPr>
          <w:color w:val="auto"/>
          <w:highlight w:val="none"/>
          <w:u w:val="single"/>
        </w:rPr>
        <w:t xml:space="preserve"> </w:t>
      </w:r>
      <w:r>
        <w:rPr>
          <w:rFonts w:hint="eastAsia" w:hAnsi="宋体" w:cs="宋体"/>
          <w:color w:val="auto"/>
          <w:highlight w:val="none"/>
        </w:rPr>
        <w:t>。</w:t>
      </w:r>
    </w:p>
    <w:p w14:paraId="756F8EF6">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发包人未按本合同约定接收全部或部分工程的，违约金的计算方法为：</w:t>
      </w:r>
      <w:r>
        <w:rPr>
          <w:color w:val="auto"/>
          <w:highlight w:val="none"/>
          <w:u w:val="single"/>
        </w:rPr>
        <w:t xml:space="preserve"> </w:t>
      </w:r>
      <w:r>
        <w:rPr>
          <w:rFonts w:hint="eastAsia"/>
          <w:color w:val="auto"/>
          <w:highlight w:val="none"/>
          <w:u w:val="single"/>
        </w:rPr>
        <w:t>以该部分为接收工程造价为基数， 根据逾期天数按照中国人民银行发布的同期同类存款基准利率计算支付违约金</w:t>
      </w:r>
      <w:r>
        <w:rPr>
          <w:color w:val="auto"/>
          <w:highlight w:val="none"/>
          <w:u w:val="single"/>
        </w:rPr>
        <w:t xml:space="preserve"> </w:t>
      </w:r>
      <w:r>
        <w:rPr>
          <w:rFonts w:hint="eastAsia" w:hAnsi="宋体" w:cs="宋体"/>
          <w:color w:val="auto"/>
          <w:highlight w:val="none"/>
        </w:rPr>
        <w:t>。</w:t>
      </w:r>
    </w:p>
    <w:bookmarkEnd w:id="1007"/>
    <w:p w14:paraId="111D1FD0">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承包人未按时移交工程的，违约金的计算方法为：</w:t>
      </w:r>
      <w:r>
        <w:rPr>
          <w:color w:val="auto"/>
          <w:highlight w:val="none"/>
          <w:u w:val="single"/>
        </w:rPr>
        <w:t xml:space="preserve"> </w:t>
      </w:r>
      <w:r>
        <w:rPr>
          <w:rFonts w:hint="eastAsia"/>
          <w:color w:val="auto"/>
          <w:highlight w:val="none"/>
          <w:u w:val="single"/>
        </w:rPr>
        <w:t>执行本合同专用条款的7.5.2条款</w:t>
      </w:r>
      <w:r>
        <w:rPr>
          <w:color w:val="auto"/>
          <w:highlight w:val="none"/>
          <w:u w:val="single"/>
        </w:rPr>
        <w:t xml:space="preserve"> </w:t>
      </w:r>
      <w:r>
        <w:rPr>
          <w:rFonts w:hint="eastAsia" w:hAnsi="宋体" w:cs="宋体"/>
          <w:color w:val="auto"/>
          <w:highlight w:val="none"/>
        </w:rPr>
        <w:t>。</w:t>
      </w:r>
    </w:p>
    <w:p w14:paraId="7E59A2CD">
      <w:pPr>
        <w:pStyle w:val="6"/>
        <w:pageBreakBefore w:val="0"/>
        <w:widowControl w:val="0"/>
        <w:kinsoku/>
        <w:wordWrap/>
        <w:overflowPunct/>
        <w:topLinePunct w:val="0"/>
        <w:bidi w:val="0"/>
        <w:spacing w:before="0" w:after="0" w:line="360" w:lineRule="auto"/>
        <w:textAlignment w:val="auto"/>
        <w:rPr>
          <w:color w:val="auto"/>
          <w:highlight w:val="none"/>
        </w:rPr>
      </w:pPr>
      <w:bookmarkStart w:id="1010" w:name="_Toc407135259"/>
      <w:bookmarkStart w:id="1011" w:name="_Toc11223"/>
      <w:bookmarkStart w:id="1012" w:name="_Toc389065321"/>
      <w:bookmarkStart w:id="1013" w:name="_Toc1470255881"/>
      <w:bookmarkStart w:id="1014" w:name="_Toc373227756"/>
      <w:bookmarkStart w:id="1015" w:name="_Toc373478403"/>
      <w:bookmarkStart w:id="1016" w:name="_Toc78449845"/>
      <w:r>
        <w:rPr>
          <w:color w:val="auto"/>
          <w:highlight w:val="none"/>
        </w:rPr>
        <w:t xml:space="preserve">13.3 </w:t>
      </w:r>
      <w:r>
        <w:rPr>
          <w:rFonts w:hint="eastAsia" w:hAnsi="宋体" w:cs="黑体"/>
          <w:color w:val="auto"/>
          <w:highlight w:val="none"/>
        </w:rPr>
        <w:t>工程试车</w:t>
      </w:r>
      <w:bookmarkEnd w:id="1010"/>
      <w:bookmarkEnd w:id="1011"/>
      <w:bookmarkEnd w:id="1012"/>
      <w:bookmarkEnd w:id="1013"/>
      <w:bookmarkEnd w:id="1014"/>
      <w:bookmarkEnd w:id="1015"/>
      <w:bookmarkEnd w:id="1016"/>
    </w:p>
    <w:bookmarkEnd w:id="1008"/>
    <w:p w14:paraId="5B97A6B5">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color w:val="auto"/>
          <w:kern w:val="0"/>
          <w:highlight w:val="none"/>
        </w:rPr>
        <w:t xml:space="preserve">13.3.1 </w:t>
      </w:r>
      <w:r>
        <w:rPr>
          <w:rFonts w:hint="eastAsia" w:hAnsi="宋体" w:cs="宋体"/>
          <w:color w:val="auto"/>
          <w:kern w:val="0"/>
          <w:highlight w:val="none"/>
        </w:rPr>
        <w:t>试车程序</w:t>
      </w:r>
    </w:p>
    <w:p w14:paraId="3B2D8F6D">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工程试车内容：</w:t>
      </w:r>
      <w:r>
        <w:rPr>
          <w:color w:val="auto"/>
          <w:highlight w:val="none"/>
          <w:u w:val="single"/>
        </w:rPr>
        <w:t xml:space="preserve">  </w:t>
      </w:r>
      <w:r>
        <w:rPr>
          <w:rFonts w:hint="eastAsia"/>
          <w:color w:val="auto"/>
          <w:highlight w:val="none"/>
          <w:u w:val="single"/>
        </w:rPr>
        <w:t>招标范围内的全部图纸施工工程内容</w:t>
      </w:r>
      <w:r>
        <w:rPr>
          <w:color w:val="auto"/>
          <w:highlight w:val="none"/>
          <w:u w:val="single"/>
        </w:rPr>
        <w:t xml:space="preserve">  </w:t>
      </w:r>
      <w:r>
        <w:rPr>
          <w:rFonts w:hint="eastAsia" w:hAnsi="宋体" w:cs="宋体"/>
          <w:color w:val="auto"/>
          <w:highlight w:val="none"/>
        </w:rPr>
        <w:t>。</w:t>
      </w:r>
    </w:p>
    <w:p w14:paraId="1020C191">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）单机无负荷试车费用由</w:t>
      </w:r>
      <w:r>
        <w:rPr>
          <w:color w:val="auto"/>
          <w:highlight w:val="none"/>
          <w:u w:val="single"/>
        </w:rPr>
        <w:t xml:space="preserve">  </w:t>
      </w:r>
      <w:r>
        <w:rPr>
          <w:rFonts w:hint="eastAsia"/>
          <w:color w:val="auto"/>
          <w:highlight w:val="none"/>
          <w:u w:val="single"/>
        </w:rPr>
        <w:t>承包人</w:t>
      </w:r>
      <w:r>
        <w:rPr>
          <w:color w:val="auto"/>
          <w:highlight w:val="none"/>
          <w:u w:val="single"/>
        </w:rPr>
        <w:t xml:space="preserve">  </w:t>
      </w:r>
      <w:r>
        <w:rPr>
          <w:rFonts w:hint="eastAsia" w:hAnsi="宋体" w:cs="宋体"/>
          <w:color w:val="auto"/>
          <w:kern w:val="0"/>
          <w:highlight w:val="none"/>
        </w:rPr>
        <w:t>承担；</w:t>
      </w:r>
    </w:p>
    <w:p w14:paraId="30AEF6A0">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）无负荷联动试车费用由</w:t>
      </w:r>
      <w:r>
        <w:rPr>
          <w:color w:val="auto"/>
          <w:highlight w:val="none"/>
          <w:u w:val="single"/>
        </w:rPr>
        <w:t xml:space="preserve">  </w:t>
      </w:r>
      <w:r>
        <w:rPr>
          <w:rFonts w:hint="eastAsia"/>
          <w:color w:val="auto"/>
          <w:highlight w:val="none"/>
          <w:u w:val="single"/>
        </w:rPr>
        <w:t>承包人</w:t>
      </w:r>
      <w:r>
        <w:rPr>
          <w:color w:val="auto"/>
          <w:highlight w:val="none"/>
          <w:u w:val="single"/>
        </w:rPr>
        <w:t xml:space="preserve">  </w:t>
      </w:r>
      <w:r>
        <w:rPr>
          <w:rFonts w:hint="eastAsia" w:hAnsi="宋体" w:cs="宋体"/>
          <w:color w:val="auto"/>
          <w:kern w:val="0"/>
          <w:highlight w:val="none"/>
        </w:rPr>
        <w:t>承担。</w:t>
      </w:r>
    </w:p>
    <w:p w14:paraId="5BAC8A22">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color w:val="auto"/>
          <w:kern w:val="0"/>
          <w:highlight w:val="none"/>
        </w:rPr>
        <w:t xml:space="preserve">13.3.3 </w:t>
      </w:r>
      <w:r>
        <w:rPr>
          <w:rFonts w:hint="eastAsia" w:hAnsi="宋体" w:cs="宋体"/>
          <w:color w:val="auto"/>
          <w:kern w:val="0"/>
          <w:highlight w:val="none"/>
        </w:rPr>
        <w:t>投料试车</w:t>
      </w:r>
    </w:p>
    <w:p w14:paraId="388C864F">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关于投料试车相关事项的约定：</w:t>
      </w:r>
      <w:r>
        <w:rPr>
          <w:color w:val="auto"/>
          <w:highlight w:val="none"/>
          <w:u w:val="single"/>
        </w:rPr>
        <w:t xml:space="preserve">  </w:t>
      </w:r>
      <w:r>
        <w:rPr>
          <w:rFonts w:hint="eastAsia"/>
          <w:color w:val="auto"/>
          <w:highlight w:val="none"/>
          <w:u w:val="single"/>
        </w:rPr>
        <w:t>投料试车内容由双方商定，试车费用由承包人承担</w:t>
      </w:r>
      <w:r>
        <w:rPr>
          <w:color w:val="auto"/>
          <w:highlight w:val="none"/>
          <w:u w:val="single"/>
        </w:rPr>
        <w:t xml:space="preserve">  </w:t>
      </w:r>
      <w:r>
        <w:rPr>
          <w:rFonts w:hint="eastAsia" w:hAnsi="宋体" w:cs="宋体"/>
          <w:color w:val="auto"/>
          <w:highlight w:val="none"/>
        </w:rPr>
        <w:t>。</w:t>
      </w:r>
    </w:p>
    <w:p w14:paraId="6032F51E">
      <w:pPr>
        <w:pStyle w:val="6"/>
        <w:pageBreakBefore w:val="0"/>
        <w:widowControl w:val="0"/>
        <w:kinsoku/>
        <w:wordWrap/>
        <w:overflowPunct/>
        <w:topLinePunct w:val="0"/>
        <w:bidi w:val="0"/>
        <w:spacing w:before="0" w:after="0" w:line="360" w:lineRule="auto"/>
        <w:textAlignment w:val="auto"/>
        <w:rPr>
          <w:color w:val="auto"/>
          <w:highlight w:val="none"/>
        </w:rPr>
      </w:pPr>
      <w:bookmarkStart w:id="1017" w:name="_Toc78449846"/>
      <w:bookmarkStart w:id="1018" w:name="_Toc373478404"/>
      <w:bookmarkStart w:id="1019" w:name="_Toc389065322"/>
      <w:bookmarkStart w:id="1020" w:name="_Toc10307455"/>
      <w:bookmarkStart w:id="1021" w:name="_Toc373227757"/>
      <w:bookmarkStart w:id="1022" w:name="_Toc407135260"/>
      <w:bookmarkStart w:id="1023" w:name="_Toc157"/>
      <w:r>
        <w:rPr>
          <w:color w:val="auto"/>
          <w:highlight w:val="none"/>
        </w:rPr>
        <w:t xml:space="preserve">13.6 </w:t>
      </w:r>
      <w:r>
        <w:rPr>
          <w:rFonts w:hint="eastAsia" w:hAnsi="宋体" w:cs="黑体"/>
          <w:color w:val="auto"/>
          <w:highlight w:val="none"/>
        </w:rPr>
        <w:t>竣工退场</w:t>
      </w:r>
      <w:bookmarkEnd w:id="1017"/>
      <w:bookmarkEnd w:id="1018"/>
      <w:bookmarkEnd w:id="1019"/>
      <w:bookmarkEnd w:id="1020"/>
      <w:bookmarkEnd w:id="1021"/>
      <w:bookmarkEnd w:id="1022"/>
      <w:bookmarkEnd w:id="1023"/>
    </w:p>
    <w:p w14:paraId="704D8CAC">
      <w:pPr>
        <w:pageBreakBefore w:val="0"/>
        <w:widowControl w:val="0"/>
        <w:kinsoku/>
        <w:wordWrap/>
        <w:overflowPunct/>
        <w:topLinePunct w:val="0"/>
        <w:bidi w:val="0"/>
        <w:spacing w:line="360" w:lineRule="auto"/>
        <w:ind w:firstLine="420" w:firstLineChars="200"/>
        <w:jc w:val="left"/>
        <w:textAlignment w:val="auto"/>
        <w:outlineLvl w:val="0"/>
        <w:rPr>
          <w:color w:val="auto"/>
          <w:kern w:val="0"/>
          <w:highlight w:val="none"/>
        </w:rPr>
      </w:pPr>
      <w:r>
        <w:rPr>
          <w:color w:val="auto"/>
          <w:kern w:val="0"/>
          <w:highlight w:val="none"/>
        </w:rPr>
        <w:t xml:space="preserve">13.6.1 </w:t>
      </w:r>
      <w:r>
        <w:rPr>
          <w:rFonts w:hint="eastAsia" w:hAnsi="宋体" w:cs="宋体"/>
          <w:color w:val="auto"/>
          <w:kern w:val="0"/>
          <w:highlight w:val="none"/>
        </w:rPr>
        <w:t>竣工退场</w:t>
      </w:r>
    </w:p>
    <w:p w14:paraId="02C901B1">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承包人完成竣工退场的期限：</w:t>
      </w:r>
      <w:r>
        <w:rPr>
          <w:color w:val="auto"/>
          <w:highlight w:val="none"/>
          <w:u w:val="single"/>
        </w:rPr>
        <w:t xml:space="preserve">  </w:t>
      </w:r>
      <w:r>
        <w:rPr>
          <w:rFonts w:hint="eastAsia"/>
          <w:color w:val="auto"/>
          <w:highlight w:val="none"/>
          <w:u w:val="single"/>
        </w:rPr>
        <w:t>工程竣工验收合格交付使用后30天内清场</w:t>
      </w:r>
      <w:r>
        <w:rPr>
          <w:color w:val="auto"/>
          <w:highlight w:val="none"/>
          <w:u w:val="single"/>
        </w:rPr>
        <w:t xml:space="preserve">  </w:t>
      </w:r>
      <w:r>
        <w:rPr>
          <w:rFonts w:hint="eastAsia" w:hAnsi="宋体" w:cs="宋体"/>
          <w:color w:val="auto"/>
          <w:kern w:val="0"/>
          <w:highlight w:val="none"/>
        </w:rPr>
        <w:t>。</w:t>
      </w:r>
    </w:p>
    <w:p w14:paraId="14344EE2">
      <w:pPr>
        <w:pStyle w:val="5"/>
        <w:pageBreakBefore w:val="0"/>
        <w:widowControl w:val="0"/>
        <w:kinsoku/>
        <w:wordWrap/>
        <w:overflowPunct/>
        <w:topLinePunct w:val="0"/>
        <w:bidi w:val="0"/>
        <w:spacing w:before="0" w:after="0" w:line="360" w:lineRule="auto"/>
        <w:textAlignment w:val="auto"/>
        <w:rPr>
          <w:color w:val="auto"/>
          <w:highlight w:val="none"/>
        </w:rPr>
      </w:pPr>
      <w:bookmarkStart w:id="1024" w:name="_Toc407135261"/>
      <w:bookmarkStart w:id="1025" w:name="_Toc78449847"/>
      <w:bookmarkStart w:id="1026" w:name="_Toc373478405"/>
      <w:bookmarkStart w:id="1027" w:name="_Toc17626"/>
      <w:bookmarkStart w:id="1028" w:name="_Toc373227758"/>
      <w:bookmarkStart w:id="1029" w:name="_Toc351203646"/>
      <w:bookmarkStart w:id="1030" w:name="_Toc1385490858"/>
      <w:bookmarkStart w:id="1031" w:name="_Toc389065323"/>
      <w:r>
        <w:rPr>
          <w:color w:val="auto"/>
          <w:highlight w:val="none"/>
        </w:rPr>
        <w:t xml:space="preserve">14. </w:t>
      </w:r>
      <w:r>
        <w:rPr>
          <w:rFonts w:hint="eastAsia" w:hAnsi="宋体" w:cs="黑体"/>
          <w:color w:val="auto"/>
          <w:highlight w:val="none"/>
        </w:rPr>
        <w:t>竣工结算</w:t>
      </w:r>
      <w:bookmarkEnd w:id="1024"/>
      <w:bookmarkEnd w:id="1025"/>
      <w:bookmarkEnd w:id="1026"/>
      <w:bookmarkEnd w:id="1027"/>
      <w:bookmarkEnd w:id="1028"/>
      <w:bookmarkEnd w:id="1029"/>
      <w:bookmarkEnd w:id="1030"/>
      <w:bookmarkEnd w:id="1031"/>
    </w:p>
    <w:p w14:paraId="1930BB11">
      <w:pPr>
        <w:pStyle w:val="6"/>
        <w:pageBreakBefore w:val="0"/>
        <w:widowControl w:val="0"/>
        <w:kinsoku/>
        <w:wordWrap/>
        <w:overflowPunct/>
        <w:topLinePunct w:val="0"/>
        <w:bidi w:val="0"/>
        <w:spacing w:before="0" w:after="0" w:line="360" w:lineRule="auto"/>
        <w:textAlignment w:val="auto"/>
        <w:rPr>
          <w:color w:val="auto"/>
          <w:highlight w:val="none"/>
        </w:rPr>
      </w:pPr>
      <w:bookmarkStart w:id="1032" w:name="_Toc174652718"/>
      <w:bookmarkStart w:id="1033" w:name="_Toc407135262"/>
      <w:bookmarkStart w:id="1034" w:name="_Toc78449848"/>
      <w:bookmarkStart w:id="1035" w:name="_Toc373227759"/>
      <w:bookmarkStart w:id="1036" w:name="_Toc2665"/>
      <w:bookmarkStart w:id="1037" w:name="_Toc373478406"/>
      <w:bookmarkStart w:id="1038" w:name="_Toc389065324"/>
      <w:r>
        <w:rPr>
          <w:color w:val="auto"/>
          <w:highlight w:val="none"/>
        </w:rPr>
        <w:t xml:space="preserve">14.1 </w:t>
      </w:r>
      <w:r>
        <w:rPr>
          <w:rFonts w:hint="eastAsia" w:hAnsi="宋体" w:cs="黑体"/>
          <w:color w:val="auto"/>
          <w:highlight w:val="none"/>
        </w:rPr>
        <w:t>竣工付款申请</w:t>
      </w:r>
      <w:bookmarkEnd w:id="1032"/>
      <w:bookmarkEnd w:id="1033"/>
      <w:bookmarkEnd w:id="1034"/>
      <w:bookmarkEnd w:id="1035"/>
      <w:bookmarkEnd w:id="1036"/>
      <w:bookmarkEnd w:id="1037"/>
      <w:bookmarkEnd w:id="1038"/>
    </w:p>
    <w:p w14:paraId="54E7E54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承包人提交竣工付款申请单的期限：</w:t>
      </w:r>
      <w:r>
        <w:rPr>
          <w:color w:val="auto"/>
          <w:highlight w:val="none"/>
          <w:u w:val="single"/>
        </w:rPr>
        <w:t xml:space="preserve"> </w:t>
      </w:r>
      <w:r>
        <w:rPr>
          <w:rFonts w:hint="eastAsia"/>
          <w:color w:val="auto"/>
          <w:highlight w:val="none"/>
          <w:u w:val="single"/>
        </w:rPr>
        <w:t>在本工程竣工验收合格，提交完整的竣工归档资料并经业主结算完成后30天内提交竣工付款申请单</w:t>
      </w:r>
      <w:r>
        <w:rPr>
          <w:color w:val="auto"/>
          <w:highlight w:val="none"/>
          <w:u w:val="single"/>
        </w:rPr>
        <w:t xml:space="preserve">  </w:t>
      </w:r>
      <w:r>
        <w:rPr>
          <w:rFonts w:hint="eastAsia" w:hAnsi="宋体" w:cs="宋体"/>
          <w:color w:val="auto"/>
          <w:highlight w:val="none"/>
        </w:rPr>
        <w:t>。</w:t>
      </w:r>
    </w:p>
    <w:p w14:paraId="458EDB5E">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竣工付款申请单应包括的内容：</w:t>
      </w:r>
      <w:r>
        <w:rPr>
          <w:color w:val="auto"/>
          <w:highlight w:val="none"/>
          <w:u w:val="single"/>
        </w:rPr>
        <w:t xml:space="preserve">   </w:t>
      </w:r>
      <w:r>
        <w:rPr>
          <w:rFonts w:hint="eastAsia"/>
          <w:color w:val="auto"/>
          <w:highlight w:val="none"/>
          <w:u w:val="single"/>
        </w:rPr>
        <w:t>竣工结算合同总价、已支付的工程价款、应扣留的质量保修保函、应支付的竣工付款金额等</w:t>
      </w:r>
      <w:r>
        <w:rPr>
          <w:color w:val="auto"/>
          <w:highlight w:val="none"/>
          <w:u w:val="single"/>
        </w:rPr>
        <w:t xml:space="preserve">  </w:t>
      </w:r>
      <w:r>
        <w:rPr>
          <w:rFonts w:hint="eastAsia" w:hAnsi="宋体" w:cs="宋体"/>
          <w:color w:val="auto"/>
          <w:highlight w:val="none"/>
        </w:rPr>
        <w:t>。竣工结算款支付申请（核准）表见合同附件12。</w:t>
      </w:r>
    </w:p>
    <w:p w14:paraId="4A76D6AE">
      <w:pPr>
        <w:pStyle w:val="6"/>
        <w:pageBreakBefore w:val="0"/>
        <w:widowControl w:val="0"/>
        <w:kinsoku/>
        <w:wordWrap/>
        <w:overflowPunct/>
        <w:topLinePunct w:val="0"/>
        <w:bidi w:val="0"/>
        <w:spacing w:before="0" w:after="0" w:line="360" w:lineRule="auto"/>
        <w:textAlignment w:val="auto"/>
        <w:rPr>
          <w:color w:val="auto"/>
          <w:highlight w:val="none"/>
        </w:rPr>
      </w:pPr>
      <w:bookmarkStart w:id="1039" w:name="_Toc667492935"/>
      <w:bookmarkStart w:id="1040" w:name="_Toc373478407"/>
      <w:bookmarkStart w:id="1041" w:name="_Toc407135263"/>
      <w:bookmarkStart w:id="1042" w:name="_Toc389065325"/>
      <w:bookmarkStart w:id="1043" w:name="_Toc78449849"/>
      <w:bookmarkStart w:id="1044" w:name="_Toc13593"/>
      <w:bookmarkStart w:id="1045" w:name="_Toc373227760"/>
      <w:r>
        <w:rPr>
          <w:color w:val="auto"/>
          <w:highlight w:val="none"/>
        </w:rPr>
        <w:t xml:space="preserve">14.2 </w:t>
      </w:r>
      <w:r>
        <w:rPr>
          <w:rFonts w:hint="eastAsia" w:hAnsi="宋体" w:cs="黑体"/>
          <w:color w:val="auto"/>
          <w:highlight w:val="none"/>
        </w:rPr>
        <w:t>竣工结算审核</w:t>
      </w:r>
      <w:bookmarkEnd w:id="1039"/>
      <w:bookmarkEnd w:id="1040"/>
      <w:bookmarkEnd w:id="1041"/>
      <w:bookmarkEnd w:id="1042"/>
      <w:bookmarkEnd w:id="1043"/>
      <w:bookmarkEnd w:id="1044"/>
      <w:bookmarkEnd w:id="1045"/>
    </w:p>
    <w:p w14:paraId="679FA910">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发包人审批竣工付款申请单的期限：</w:t>
      </w:r>
    </w:p>
    <w:tbl>
      <w:tblPr>
        <w:tblStyle w:val="40"/>
        <w:tblW w:w="9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2983"/>
        <w:gridCol w:w="5835"/>
      </w:tblGrid>
      <w:tr w14:paraId="7DA4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5BF5921A">
            <w:pPr>
              <w:pageBreakBefore w:val="0"/>
              <w:widowControl w:val="0"/>
              <w:kinsoku/>
              <w:wordWrap/>
              <w:overflowPunct/>
              <w:topLinePunct w:val="0"/>
              <w:bidi w:val="0"/>
              <w:spacing w:line="360" w:lineRule="auto"/>
              <w:jc w:val="center"/>
              <w:textAlignment w:val="auto"/>
              <w:rPr>
                <w:rFonts w:hint="eastAsia" w:eastAsia="宋体"/>
                <w:color w:val="auto"/>
                <w:highlight w:val="none"/>
                <w:lang w:val="en-US" w:eastAsia="zh-CN"/>
              </w:rPr>
            </w:pPr>
            <w:r>
              <w:rPr>
                <w:rFonts w:hint="eastAsia"/>
                <w:color w:val="auto"/>
                <w:highlight w:val="none"/>
                <w:lang w:val="en-US" w:eastAsia="zh-CN"/>
              </w:rPr>
              <w:t>序号</w:t>
            </w:r>
          </w:p>
        </w:tc>
        <w:tc>
          <w:tcPr>
            <w:tcW w:w="2983" w:type="dxa"/>
            <w:noWrap w:val="0"/>
            <w:vAlign w:val="center"/>
          </w:tcPr>
          <w:p w14:paraId="1C8B7036">
            <w:pPr>
              <w:pageBreakBefore w:val="0"/>
              <w:widowControl w:val="0"/>
              <w:kinsoku/>
              <w:wordWrap/>
              <w:overflowPunct/>
              <w:topLinePunct w:val="0"/>
              <w:bidi w:val="0"/>
              <w:spacing w:line="360" w:lineRule="auto"/>
              <w:ind w:firstLine="27" w:firstLineChars="13"/>
              <w:jc w:val="center"/>
              <w:textAlignment w:val="auto"/>
              <w:rPr>
                <w:color w:val="auto"/>
                <w:highlight w:val="none"/>
              </w:rPr>
            </w:pPr>
            <w:r>
              <w:rPr>
                <w:rFonts w:hint="eastAsia" w:hAnsi="宋体" w:cs="宋体"/>
                <w:color w:val="auto"/>
                <w:highlight w:val="none"/>
              </w:rPr>
              <w:t>工程竣工结算报告金额</w:t>
            </w:r>
          </w:p>
        </w:tc>
        <w:tc>
          <w:tcPr>
            <w:tcW w:w="5835" w:type="dxa"/>
            <w:noWrap w:val="0"/>
            <w:vAlign w:val="center"/>
          </w:tcPr>
          <w:p w14:paraId="2CED1E65">
            <w:pPr>
              <w:pageBreakBefore w:val="0"/>
              <w:widowControl w:val="0"/>
              <w:kinsoku/>
              <w:wordWrap/>
              <w:overflowPunct/>
              <w:topLinePunct w:val="0"/>
              <w:bidi w:val="0"/>
              <w:spacing w:line="360" w:lineRule="auto"/>
              <w:jc w:val="center"/>
              <w:textAlignment w:val="auto"/>
              <w:rPr>
                <w:color w:val="auto"/>
                <w:highlight w:val="none"/>
              </w:rPr>
            </w:pPr>
            <w:r>
              <w:rPr>
                <w:rFonts w:hint="eastAsia" w:hAnsi="宋体" w:cs="宋体"/>
                <w:color w:val="auto"/>
                <w:highlight w:val="none"/>
              </w:rPr>
              <w:t>发包人审查时间</w:t>
            </w:r>
          </w:p>
        </w:tc>
      </w:tr>
      <w:tr w14:paraId="2A3A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69FD7D6D">
            <w:pPr>
              <w:pageBreakBefore w:val="0"/>
              <w:widowControl w:val="0"/>
              <w:kinsoku/>
              <w:wordWrap/>
              <w:overflowPunct/>
              <w:topLinePunct w:val="0"/>
              <w:bidi w:val="0"/>
              <w:spacing w:line="360" w:lineRule="auto"/>
              <w:jc w:val="center"/>
              <w:textAlignment w:val="auto"/>
              <w:rPr>
                <w:color w:val="auto"/>
                <w:highlight w:val="none"/>
              </w:rPr>
            </w:pPr>
            <w:r>
              <w:rPr>
                <w:color w:val="auto"/>
                <w:highlight w:val="none"/>
              </w:rPr>
              <w:t>1</w:t>
            </w:r>
          </w:p>
        </w:tc>
        <w:tc>
          <w:tcPr>
            <w:tcW w:w="2983" w:type="dxa"/>
            <w:noWrap w:val="0"/>
            <w:vAlign w:val="center"/>
          </w:tcPr>
          <w:p w14:paraId="1CACE166">
            <w:pPr>
              <w:pageBreakBefore w:val="0"/>
              <w:widowControl w:val="0"/>
              <w:kinsoku/>
              <w:wordWrap/>
              <w:overflowPunct/>
              <w:topLinePunct w:val="0"/>
              <w:bidi w:val="0"/>
              <w:spacing w:line="360" w:lineRule="auto"/>
              <w:ind w:firstLine="27" w:firstLineChars="13"/>
              <w:jc w:val="center"/>
              <w:textAlignment w:val="auto"/>
              <w:rPr>
                <w:color w:val="auto"/>
                <w:highlight w:val="none"/>
              </w:rPr>
            </w:pPr>
            <w:r>
              <w:rPr>
                <w:color w:val="auto"/>
                <w:highlight w:val="none"/>
              </w:rPr>
              <w:t>500</w:t>
            </w:r>
            <w:r>
              <w:rPr>
                <w:rFonts w:hint="eastAsia" w:hAnsi="宋体" w:cs="宋体"/>
                <w:color w:val="auto"/>
                <w:highlight w:val="none"/>
              </w:rPr>
              <w:t>万元以下</w:t>
            </w:r>
          </w:p>
        </w:tc>
        <w:tc>
          <w:tcPr>
            <w:tcW w:w="5835" w:type="dxa"/>
            <w:noWrap w:val="0"/>
            <w:vAlign w:val="center"/>
          </w:tcPr>
          <w:p w14:paraId="40E7C782">
            <w:pPr>
              <w:pageBreakBefore w:val="0"/>
              <w:widowControl w:val="0"/>
              <w:kinsoku/>
              <w:wordWrap/>
              <w:overflowPunct/>
              <w:topLinePunct w:val="0"/>
              <w:bidi w:val="0"/>
              <w:spacing w:line="360" w:lineRule="auto"/>
              <w:jc w:val="center"/>
              <w:textAlignment w:val="auto"/>
              <w:rPr>
                <w:color w:val="auto"/>
                <w:highlight w:val="none"/>
              </w:rPr>
            </w:pPr>
            <w:r>
              <w:rPr>
                <w:rFonts w:hint="eastAsia" w:hAnsi="宋体" w:cs="宋体"/>
                <w:color w:val="auto"/>
                <w:highlight w:val="none"/>
              </w:rPr>
              <w:t>从接到竣工结算报告和完整的竣工结算资料之日起</w:t>
            </w:r>
            <w:r>
              <w:rPr>
                <w:color w:val="auto"/>
                <w:highlight w:val="none"/>
              </w:rPr>
              <w:t>20</w:t>
            </w:r>
            <w:r>
              <w:rPr>
                <w:rFonts w:hint="eastAsia" w:hAnsi="宋体" w:cs="宋体"/>
                <w:color w:val="auto"/>
                <w:highlight w:val="none"/>
              </w:rPr>
              <w:t>天</w:t>
            </w:r>
          </w:p>
        </w:tc>
      </w:tr>
      <w:tr w14:paraId="6FE34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27A6C6AF">
            <w:pPr>
              <w:pageBreakBefore w:val="0"/>
              <w:widowControl w:val="0"/>
              <w:kinsoku/>
              <w:wordWrap/>
              <w:overflowPunct/>
              <w:topLinePunct w:val="0"/>
              <w:bidi w:val="0"/>
              <w:spacing w:line="360" w:lineRule="auto"/>
              <w:jc w:val="center"/>
              <w:textAlignment w:val="auto"/>
              <w:rPr>
                <w:color w:val="auto"/>
                <w:highlight w:val="none"/>
              </w:rPr>
            </w:pPr>
            <w:r>
              <w:rPr>
                <w:color w:val="auto"/>
                <w:highlight w:val="none"/>
              </w:rPr>
              <w:t>2</w:t>
            </w:r>
          </w:p>
        </w:tc>
        <w:tc>
          <w:tcPr>
            <w:tcW w:w="2983" w:type="dxa"/>
            <w:noWrap w:val="0"/>
            <w:vAlign w:val="center"/>
          </w:tcPr>
          <w:p w14:paraId="195DD761">
            <w:pPr>
              <w:pageBreakBefore w:val="0"/>
              <w:widowControl w:val="0"/>
              <w:kinsoku/>
              <w:wordWrap/>
              <w:overflowPunct/>
              <w:topLinePunct w:val="0"/>
              <w:bidi w:val="0"/>
              <w:spacing w:line="360" w:lineRule="auto"/>
              <w:ind w:firstLine="27" w:firstLineChars="13"/>
              <w:jc w:val="center"/>
              <w:textAlignment w:val="auto"/>
              <w:rPr>
                <w:color w:val="auto"/>
                <w:highlight w:val="none"/>
              </w:rPr>
            </w:pPr>
            <w:r>
              <w:rPr>
                <w:color w:val="auto"/>
                <w:highlight w:val="none"/>
              </w:rPr>
              <w:t>500</w:t>
            </w:r>
            <w:r>
              <w:rPr>
                <w:rFonts w:hint="eastAsia" w:hAnsi="宋体" w:cs="宋体"/>
                <w:color w:val="auto"/>
                <w:highlight w:val="none"/>
              </w:rPr>
              <w:t>万元</w:t>
            </w:r>
            <w:r>
              <w:rPr>
                <w:color w:val="auto"/>
                <w:highlight w:val="none"/>
              </w:rPr>
              <w:t>-2000</w:t>
            </w:r>
            <w:r>
              <w:rPr>
                <w:rFonts w:hint="eastAsia" w:hAnsi="宋体" w:cs="宋体"/>
                <w:color w:val="auto"/>
                <w:highlight w:val="none"/>
              </w:rPr>
              <w:t>万元</w:t>
            </w:r>
          </w:p>
        </w:tc>
        <w:tc>
          <w:tcPr>
            <w:tcW w:w="5835" w:type="dxa"/>
            <w:noWrap w:val="0"/>
            <w:vAlign w:val="center"/>
          </w:tcPr>
          <w:p w14:paraId="27507A82">
            <w:pPr>
              <w:pageBreakBefore w:val="0"/>
              <w:widowControl w:val="0"/>
              <w:kinsoku/>
              <w:wordWrap/>
              <w:overflowPunct/>
              <w:topLinePunct w:val="0"/>
              <w:bidi w:val="0"/>
              <w:spacing w:line="360" w:lineRule="auto"/>
              <w:jc w:val="center"/>
              <w:textAlignment w:val="auto"/>
              <w:rPr>
                <w:color w:val="auto"/>
                <w:highlight w:val="none"/>
              </w:rPr>
            </w:pPr>
            <w:r>
              <w:rPr>
                <w:rFonts w:hint="eastAsia" w:hAnsi="宋体" w:cs="宋体"/>
                <w:color w:val="auto"/>
                <w:highlight w:val="none"/>
              </w:rPr>
              <w:t>从接到竣工结算报告和完整的竣工结算资料之日起</w:t>
            </w:r>
            <w:r>
              <w:rPr>
                <w:color w:val="auto"/>
                <w:highlight w:val="none"/>
              </w:rPr>
              <w:t>30</w:t>
            </w:r>
            <w:r>
              <w:rPr>
                <w:rFonts w:hint="eastAsia" w:hAnsi="宋体" w:cs="宋体"/>
                <w:color w:val="auto"/>
                <w:highlight w:val="none"/>
              </w:rPr>
              <w:t>天</w:t>
            </w:r>
          </w:p>
        </w:tc>
      </w:tr>
      <w:tr w14:paraId="3692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5AD4CD0D">
            <w:pPr>
              <w:pageBreakBefore w:val="0"/>
              <w:widowControl w:val="0"/>
              <w:kinsoku/>
              <w:wordWrap/>
              <w:overflowPunct/>
              <w:topLinePunct w:val="0"/>
              <w:bidi w:val="0"/>
              <w:spacing w:line="360" w:lineRule="auto"/>
              <w:jc w:val="center"/>
              <w:textAlignment w:val="auto"/>
              <w:rPr>
                <w:color w:val="auto"/>
                <w:highlight w:val="none"/>
              </w:rPr>
            </w:pPr>
            <w:r>
              <w:rPr>
                <w:color w:val="auto"/>
                <w:highlight w:val="none"/>
              </w:rPr>
              <w:t>3</w:t>
            </w:r>
          </w:p>
        </w:tc>
        <w:tc>
          <w:tcPr>
            <w:tcW w:w="2983" w:type="dxa"/>
            <w:noWrap w:val="0"/>
            <w:vAlign w:val="center"/>
          </w:tcPr>
          <w:p w14:paraId="32AD5A3C">
            <w:pPr>
              <w:pageBreakBefore w:val="0"/>
              <w:widowControl w:val="0"/>
              <w:kinsoku/>
              <w:wordWrap/>
              <w:overflowPunct/>
              <w:topLinePunct w:val="0"/>
              <w:bidi w:val="0"/>
              <w:spacing w:line="360" w:lineRule="auto"/>
              <w:ind w:firstLine="27" w:firstLineChars="13"/>
              <w:jc w:val="center"/>
              <w:textAlignment w:val="auto"/>
              <w:rPr>
                <w:color w:val="auto"/>
                <w:highlight w:val="none"/>
              </w:rPr>
            </w:pPr>
            <w:r>
              <w:rPr>
                <w:color w:val="auto"/>
                <w:highlight w:val="none"/>
              </w:rPr>
              <w:t>2000</w:t>
            </w:r>
            <w:r>
              <w:rPr>
                <w:rFonts w:hint="eastAsia" w:hAnsi="宋体" w:cs="宋体"/>
                <w:color w:val="auto"/>
                <w:highlight w:val="none"/>
              </w:rPr>
              <w:t>万元</w:t>
            </w:r>
            <w:r>
              <w:rPr>
                <w:color w:val="auto"/>
                <w:highlight w:val="none"/>
              </w:rPr>
              <w:t>-5000</w:t>
            </w:r>
            <w:r>
              <w:rPr>
                <w:rFonts w:hint="eastAsia" w:hAnsi="宋体" w:cs="宋体"/>
                <w:color w:val="auto"/>
                <w:highlight w:val="none"/>
              </w:rPr>
              <w:t>万元</w:t>
            </w:r>
          </w:p>
        </w:tc>
        <w:tc>
          <w:tcPr>
            <w:tcW w:w="5835" w:type="dxa"/>
            <w:noWrap w:val="0"/>
            <w:vAlign w:val="center"/>
          </w:tcPr>
          <w:p w14:paraId="76B3BA9C">
            <w:pPr>
              <w:pageBreakBefore w:val="0"/>
              <w:widowControl w:val="0"/>
              <w:kinsoku/>
              <w:wordWrap/>
              <w:overflowPunct/>
              <w:topLinePunct w:val="0"/>
              <w:bidi w:val="0"/>
              <w:spacing w:line="360" w:lineRule="auto"/>
              <w:jc w:val="center"/>
              <w:textAlignment w:val="auto"/>
              <w:rPr>
                <w:color w:val="auto"/>
                <w:highlight w:val="none"/>
              </w:rPr>
            </w:pPr>
            <w:r>
              <w:rPr>
                <w:rFonts w:hint="eastAsia" w:hAnsi="宋体" w:cs="宋体"/>
                <w:color w:val="auto"/>
                <w:highlight w:val="none"/>
              </w:rPr>
              <w:t>从接到竣工结算报告和完整的竣工结算资料之日起</w:t>
            </w:r>
            <w:r>
              <w:rPr>
                <w:color w:val="auto"/>
                <w:highlight w:val="none"/>
              </w:rPr>
              <w:t>45</w:t>
            </w:r>
            <w:r>
              <w:rPr>
                <w:rFonts w:hint="eastAsia" w:hAnsi="宋体" w:cs="宋体"/>
                <w:color w:val="auto"/>
                <w:highlight w:val="none"/>
              </w:rPr>
              <w:t>天</w:t>
            </w:r>
          </w:p>
        </w:tc>
      </w:tr>
      <w:tr w14:paraId="195F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7B0B22E2">
            <w:pPr>
              <w:pageBreakBefore w:val="0"/>
              <w:widowControl w:val="0"/>
              <w:kinsoku/>
              <w:wordWrap/>
              <w:overflowPunct/>
              <w:topLinePunct w:val="0"/>
              <w:bidi w:val="0"/>
              <w:spacing w:line="360" w:lineRule="auto"/>
              <w:jc w:val="center"/>
              <w:textAlignment w:val="auto"/>
              <w:rPr>
                <w:color w:val="auto"/>
                <w:highlight w:val="none"/>
              </w:rPr>
            </w:pPr>
            <w:r>
              <w:rPr>
                <w:color w:val="auto"/>
                <w:highlight w:val="none"/>
              </w:rPr>
              <w:t>4</w:t>
            </w:r>
          </w:p>
        </w:tc>
        <w:tc>
          <w:tcPr>
            <w:tcW w:w="2983" w:type="dxa"/>
            <w:noWrap w:val="0"/>
            <w:vAlign w:val="center"/>
          </w:tcPr>
          <w:p w14:paraId="3F835630">
            <w:pPr>
              <w:pageBreakBefore w:val="0"/>
              <w:widowControl w:val="0"/>
              <w:kinsoku/>
              <w:wordWrap/>
              <w:overflowPunct/>
              <w:topLinePunct w:val="0"/>
              <w:bidi w:val="0"/>
              <w:spacing w:line="360" w:lineRule="auto"/>
              <w:ind w:firstLine="27" w:firstLineChars="13"/>
              <w:jc w:val="center"/>
              <w:textAlignment w:val="auto"/>
              <w:rPr>
                <w:color w:val="auto"/>
                <w:highlight w:val="none"/>
              </w:rPr>
            </w:pPr>
            <w:r>
              <w:rPr>
                <w:color w:val="auto"/>
                <w:highlight w:val="none"/>
              </w:rPr>
              <w:t>5000</w:t>
            </w:r>
            <w:r>
              <w:rPr>
                <w:rFonts w:hint="eastAsia" w:hAnsi="宋体" w:cs="宋体"/>
                <w:color w:val="auto"/>
                <w:highlight w:val="none"/>
              </w:rPr>
              <w:t>万元以上</w:t>
            </w:r>
          </w:p>
        </w:tc>
        <w:tc>
          <w:tcPr>
            <w:tcW w:w="5835" w:type="dxa"/>
            <w:noWrap w:val="0"/>
            <w:vAlign w:val="center"/>
          </w:tcPr>
          <w:p w14:paraId="5DC24F82">
            <w:pPr>
              <w:pageBreakBefore w:val="0"/>
              <w:widowControl w:val="0"/>
              <w:kinsoku/>
              <w:wordWrap/>
              <w:overflowPunct/>
              <w:topLinePunct w:val="0"/>
              <w:bidi w:val="0"/>
              <w:spacing w:line="360" w:lineRule="auto"/>
              <w:jc w:val="center"/>
              <w:textAlignment w:val="auto"/>
              <w:rPr>
                <w:color w:val="auto"/>
                <w:highlight w:val="none"/>
              </w:rPr>
            </w:pPr>
            <w:r>
              <w:rPr>
                <w:rFonts w:hint="eastAsia" w:hAnsi="宋体" w:cs="宋体"/>
                <w:color w:val="auto"/>
                <w:highlight w:val="none"/>
              </w:rPr>
              <w:t>从接到竣工结算报告和完整的竣工结算资料之日起</w:t>
            </w:r>
            <w:r>
              <w:rPr>
                <w:color w:val="auto"/>
                <w:highlight w:val="none"/>
              </w:rPr>
              <w:t>60</w:t>
            </w:r>
            <w:r>
              <w:rPr>
                <w:rFonts w:hint="eastAsia" w:hAnsi="宋体" w:cs="宋体"/>
                <w:color w:val="auto"/>
                <w:highlight w:val="none"/>
              </w:rPr>
              <w:t>天</w:t>
            </w:r>
          </w:p>
        </w:tc>
      </w:tr>
      <w:tr w14:paraId="08781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7" w:type="dxa"/>
            <w:noWrap w:val="0"/>
            <w:vAlign w:val="center"/>
          </w:tcPr>
          <w:p w14:paraId="41653678">
            <w:pPr>
              <w:pageBreakBefore w:val="0"/>
              <w:widowControl w:val="0"/>
              <w:kinsoku/>
              <w:wordWrap/>
              <w:overflowPunct/>
              <w:topLinePunct w:val="0"/>
              <w:bidi w:val="0"/>
              <w:spacing w:line="360" w:lineRule="auto"/>
              <w:jc w:val="center"/>
              <w:textAlignment w:val="auto"/>
              <w:rPr>
                <w:color w:val="auto"/>
                <w:highlight w:val="none"/>
              </w:rPr>
            </w:pPr>
            <w:r>
              <w:rPr>
                <w:rFonts w:hint="eastAsia"/>
                <w:color w:val="auto"/>
                <w:highlight w:val="none"/>
              </w:rPr>
              <w:t>5</w:t>
            </w:r>
          </w:p>
        </w:tc>
        <w:tc>
          <w:tcPr>
            <w:tcW w:w="2983" w:type="dxa"/>
            <w:noWrap w:val="0"/>
            <w:vAlign w:val="center"/>
          </w:tcPr>
          <w:p w14:paraId="32537770">
            <w:pPr>
              <w:pageBreakBefore w:val="0"/>
              <w:widowControl w:val="0"/>
              <w:kinsoku/>
              <w:wordWrap/>
              <w:overflowPunct/>
              <w:topLinePunct w:val="0"/>
              <w:bidi w:val="0"/>
              <w:spacing w:line="360" w:lineRule="auto"/>
              <w:ind w:firstLine="27" w:firstLineChars="13"/>
              <w:jc w:val="center"/>
              <w:textAlignment w:val="auto"/>
              <w:rPr>
                <w:rFonts w:hint="eastAsia" w:eastAsia="宋体"/>
                <w:color w:val="auto"/>
                <w:highlight w:val="none"/>
                <w:lang w:eastAsia="zh-CN"/>
              </w:rPr>
            </w:pPr>
            <w:r>
              <w:rPr>
                <w:rFonts w:hint="eastAsia"/>
                <w:color w:val="auto"/>
                <w:highlight w:val="none"/>
              </w:rPr>
              <w:t>5000万以上每增加</w:t>
            </w:r>
            <w:r>
              <w:rPr>
                <w:color w:val="auto"/>
                <w:highlight w:val="none"/>
              </w:rPr>
              <w:t>0.5</w:t>
            </w:r>
            <w:r>
              <w:rPr>
                <w:rFonts w:hint="eastAsia"/>
                <w:color w:val="auto"/>
                <w:highlight w:val="none"/>
              </w:rPr>
              <w:t>亿</w:t>
            </w:r>
            <w:r>
              <w:rPr>
                <w:rFonts w:hint="eastAsia"/>
                <w:color w:val="auto"/>
                <w:highlight w:val="none"/>
                <w:lang w:eastAsia="zh-CN"/>
              </w:rPr>
              <w:t>（</w:t>
            </w:r>
            <w:r>
              <w:rPr>
                <w:rFonts w:hint="eastAsia"/>
                <w:color w:val="auto"/>
                <w:highlight w:val="none"/>
              </w:rPr>
              <w:t>不足0.5亿不增加</w:t>
            </w:r>
            <w:r>
              <w:rPr>
                <w:rFonts w:hint="eastAsia"/>
                <w:color w:val="auto"/>
                <w:highlight w:val="none"/>
                <w:lang w:eastAsia="zh-CN"/>
              </w:rPr>
              <w:t>）</w:t>
            </w:r>
          </w:p>
        </w:tc>
        <w:tc>
          <w:tcPr>
            <w:tcW w:w="5835" w:type="dxa"/>
            <w:noWrap w:val="0"/>
            <w:vAlign w:val="center"/>
          </w:tcPr>
          <w:p w14:paraId="6CF15D60">
            <w:pPr>
              <w:pageBreakBefore w:val="0"/>
              <w:widowControl w:val="0"/>
              <w:kinsoku/>
              <w:wordWrap/>
              <w:overflowPunct/>
              <w:topLinePunct w:val="0"/>
              <w:bidi w:val="0"/>
              <w:spacing w:line="360" w:lineRule="auto"/>
              <w:jc w:val="center"/>
              <w:textAlignment w:val="auto"/>
              <w:rPr>
                <w:rFonts w:hint="eastAsia" w:hAnsi="宋体" w:cs="宋体"/>
                <w:color w:val="auto"/>
                <w:highlight w:val="none"/>
              </w:rPr>
            </w:pPr>
            <w:r>
              <w:rPr>
                <w:rFonts w:hint="eastAsia" w:hAnsi="宋体" w:cs="宋体"/>
                <w:color w:val="auto"/>
                <w:highlight w:val="none"/>
              </w:rPr>
              <w:t>增加10天</w:t>
            </w:r>
          </w:p>
        </w:tc>
      </w:tr>
    </w:tbl>
    <w:p w14:paraId="0D91120D">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rFonts w:hint="eastAsia" w:hAnsi="宋体" w:cs="宋体"/>
          <w:color w:val="auto"/>
          <w:highlight w:val="none"/>
        </w:rPr>
        <w:t>因承包人提供的结算资料不完整而需要补充或承包人不按时对账耽误时间时，审查时间应相应顺延。</w:t>
      </w:r>
    </w:p>
    <w:p w14:paraId="530CD5D6">
      <w:pPr>
        <w:pageBreakBefore w:val="0"/>
        <w:widowControl w:val="0"/>
        <w:kinsoku/>
        <w:wordWrap/>
        <w:overflowPunct/>
        <w:topLinePunct w:val="0"/>
        <w:bidi w:val="0"/>
        <w:spacing w:line="360" w:lineRule="auto"/>
        <w:ind w:firstLine="411" w:firstLineChars="196"/>
        <w:textAlignment w:val="auto"/>
        <w:rPr>
          <w:rFonts w:hint="eastAsia" w:ascii="Times New Roman" w:hAnsi="宋体" w:eastAsia="宋体" w:cs="宋体"/>
          <w:i w:val="0"/>
          <w:caps w:val="0"/>
          <w:color w:val="auto"/>
          <w:spacing w:val="0"/>
          <w:sz w:val="21"/>
          <w:szCs w:val="21"/>
          <w:highlight w:val="none"/>
        </w:rPr>
      </w:pPr>
      <w:r>
        <w:rPr>
          <w:rFonts w:hint="eastAsia" w:hAnsi="宋体" w:cs="宋体"/>
          <w:color w:val="auto"/>
          <w:highlight w:val="none"/>
        </w:rPr>
        <w:t>竣工结算审核约定：</w:t>
      </w:r>
      <w:r>
        <w:rPr>
          <w:rFonts w:hint="eastAsia" w:ascii="Times New Roman" w:hAnsi="宋体" w:eastAsia="宋体" w:cs="宋体"/>
          <w:i w:val="0"/>
          <w:caps w:val="0"/>
          <w:color w:val="auto"/>
          <w:spacing w:val="0"/>
          <w:sz w:val="21"/>
          <w:szCs w:val="21"/>
          <w:highlight w:val="none"/>
        </w:rPr>
        <w:t>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2FD8987F">
      <w:pPr>
        <w:pageBreakBefore w:val="0"/>
        <w:widowControl w:val="0"/>
        <w:kinsoku/>
        <w:wordWrap/>
        <w:overflowPunct/>
        <w:topLinePunct w:val="0"/>
        <w:bidi w:val="0"/>
        <w:spacing w:line="360" w:lineRule="auto"/>
        <w:ind w:firstLine="431" w:firstLineChars="196"/>
        <w:textAlignment w:val="auto"/>
        <w:rPr>
          <w:rFonts w:hint="eastAsia" w:ascii="Times New Roman" w:hAnsi="宋体" w:eastAsia="宋体" w:cs="宋体"/>
          <w:color w:val="auto"/>
          <w:highlight w:val="none"/>
        </w:rPr>
      </w:pPr>
      <w:r>
        <w:rPr>
          <w:rFonts w:ascii="宋体" w:hAnsi="宋体" w:eastAsia="宋体" w:cs="宋体"/>
          <w:color w:val="auto"/>
          <w:kern w:val="0"/>
          <w:sz w:val="22"/>
          <w:szCs w:val="22"/>
          <w:highlight w:val="none"/>
          <w:lang w:val="en-US" w:eastAsia="zh-CN" w:bidi="ar"/>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2B95DBB2">
      <w:pPr>
        <w:pageBreakBefore w:val="0"/>
        <w:widowControl w:val="0"/>
        <w:kinsoku/>
        <w:wordWrap/>
        <w:overflowPunct/>
        <w:topLinePunct w:val="0"/>
        <w:bidi w:val="0"/>
        <w:spacing w:line="360" w:lineRule="auto"/>
        <w:ind w:firstLine="411" w:firstLineChars="196"/>
        <w:textAlignment w:val="auto"/>
        <w:rPr>
          <w:rFonts w:hAnsi="宋体"/>
          <w:color w:val="auto"/>
          <w:highlight w:val="none"/>
          <w:u w:val="single"/>
        </w:rPr>
      </w:pPr>
      <w:r>
        <w:rPr>
          <w:rFonts w:hAnsi="宋体"/>
          <w:color w:val="auto"/>
          <w:highlight w:val="none"/>
          <w:u w:val="single"/>
        </w:rPr>
        <w:t>1</w:t>
      </w:r>
      <w:r>
        <w:rPr>
          <w:rFonts w:hint="eastAsia" w:hAnsi="宋体" w:cs="宋体"/>
          <w:color w:val="auto"/>
          <w:highlight w:val="none"/>
          <w:u w:val="single"/>
        </w:rPr>
        <w:t>、工程竣工验收报告经发包人认可后</w:t>
      </w:r>
      <w:r>
        <w:rPr>
          <w:rFonts w:hint="eastAsia" w:hAnsi="宋体"/>
          <w:color w:val="auto"/>
          <w:highlight w:val="none"/>
          <w:u w:val="single"/>
          <w:lang w:val="en-US" w:eastAsia="zh-CN"/>
        </w:rPr>
        <w:t>30</w:t>
      </w:r>
      <w:r>
        <w:rPr>
          <w:rFonts w:hint="eastAsia" w:hAnsi="宋体" w:cs="宋体"/>
          <w:color w:val="auto"/>
          <w:highlight w:val="none"/>
          <w:u w:val="single"/>
        </w:rPr>
        <w:t>天内，承包人向发包人递交竣工验收合格资料及完整的结算资料和报告，双方按照本工程合同约定的价格形式及价款调整办法进行工程竣工结算。</w:t>
      </w:r>
      <w:r>
        <w:rPr>
          <w:rFonts w:hAnsi="宋体"/>
          <w:color w:val="auto"/>
          <w:highlight w:val="none"/>
          <w:u w:val="single"/>
        </w:rPr>
        <w:t>2</w:t>
      </w:r>
      <w:r>
        <w:rPr>
          <w:rFonts w:hint="eastAsia" w:hAnsi="宋体" w:cs="宋体"/>
          <w:color w:val="auto"/>
          <w:highlight w:val="none"/>
          <w:u w:val="single"/>
        </w:rPr>
        <w:t>、发包人收到承包人递交的竣工结算报告及结算资料之日起</w:t>
      </w:r>
      <w:r>
        <w:rPr>
          <w:rFonts w:hint="eastAsia" w:hAnsi="宋体"/>
          <w:color w:val="auto"/>
          <w:highlight w:val="none"/>
          <w:u w:val="single"/>
          <w:lang w:val="en-US" w:eastAsia="zh-CN"/>
        </w:rPr>
        <w:t>30</w:t>
      </w:r>
      <w:r>
        <w:rPr>
          <w:rFonts w:hint="eastAsia" w:hAnsi="宋体" w:cs="宋体"/>
          <w:color w:val="auto"/>
          <w:highlight w:val="none"/>
          <w:u w:val="single"/>
        </w:rPr>
        <w:t>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w:t>
      </w:r>
      <w:r>
        <w:rPr>
          <w:rFonts w:hint="eastAsia" w:hAnsi="宋体" w:cs="宋体"/>
          <w:color w:val="auto"/>
          <w:highlight w:val="none"/>
          <w:u w:val="single"/>
          <w:lang w:val="en-US" w:eastAsia="zh-CN"/>
        </w:rPr>
        <w:t>30</w:t>
      </w:r>
      <w:r>
        <w:rPr>
          <w:rFonts w:hint="eastAsia" w:hAnsi="宋体" w:cs="宋体"/>
          <w:color w:val="auto"/>
          <w:highlight w:val="none"/>
          <w:u w:val="single"/>
        </w:rPr>
        <w:t>天内提出异议，必要时合同当事人要当面核对，直至完成工程竣工结算。除非有特殊情形，否则从承包人递交竣工结算报告到完成竣工结算的时间应控制在</w:t>
      </w:r>
      <w:r>
        <w:rPr>
          <w:rFonts w:hint="eastAsia" w:hAnsi="宋体" w:cs="宋体"/>
          <w:color w:val="auto"/>
          <w:highlight w:val="none"/>
          <w:u w:val="single"/>
          <w:lang w:eastAsia="zh-CN"/>
        </w:rPr>
        <w:t>“</w:t>
      </w:r>
      <w:r>
        <w:rPr>
          <w:rFonts w:hint="eastAsia" w:hAnsi="宋体" w:cs="宋体"/>
          <w:color w:val="auto"/>
          <w:highlight w:val="none"/>
          <w:u w:val="single"/>
        </w:rPr>
        <w:t>发包人审核竣工付款申请单的期限</w:t>
      </w:r>
      <w:r>
        <w:rPr>
          <w:rFonts w:hint="eastAsia" w:hAnsi="宋体" w:cs="宋体"/>
          <w:color w:val="auto"/>
          <w:highlight w:val="none"/>
          <w:u w:val="single"/>
          <w:lang w:eastAsia="zh-CN"/>
        </w:rPr>
        <w:t>”</w:t>
      </w:r>
      <w:r>
        <w:rPr>
          <w:rFonts w:hint="eastAsia" w:hAnsi="宋体" w:cs="宋体"/>
          <w:color w:val="auto"/>
          <w:highlight w:val="none"/>
          <w:u w:val="single"/>
        </w:rPr>
        <w:t>要求的时间范围内。3.自竣工结算完毕之日起</w:t>
      </w:r>
      <w:r>
        <w:rPr>
          <w:rFonts w:hint="eastAsia" w:hAnsi="宋体"/>
          <w:color w:val="auto"/>
          <w:highlight w:val="none"/>
          <w:u w:val="single"/>
          <w:lang w:val="en-US" w:eastAsia="zh-CN"/>
        </w:rPr>
        <w:t>30</w:t>
      </w:r>
      <w:r>
        <w:rPr>
          <w:rFonts w:hint="eastAsia" w:hAnsi="宋体" w:cs="宋体"/>
          <w:color w:val="auto"/>
          <w:highlight w:val="none"/>
          <w:u w:val="single"/>
        </w:rPr>
        <w:t>天内，发包人按审定后的竣工结算价款，通知经办银行向承包人支付结算价款。</w:t>
      </w:r>
    </w:p>
    <w:p w14:paraId="1F61ACE4">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备注：对于国有投资项目结算审核约定，双方可结合各地政府或有关部门出台的管理规定进行局部调整</w:t>
      </w:r>
    </w:p>
    <w:p w14:paraId="3144A30E">
      <w:pPr>
        <w:pStyle w:val="6"/>
        <w:pageBreakBefore w:val="0"/>
        <w:widowControl w:val="0"/>
        <w:kinsoku/>
        <w:wordWrap/>
        <w:overflowPunct/>
        <w:topLinePunct w:val="0"/>
        <w:bidi w:val="0"/>
        <w:spacing w:before="0" w:after="0" w:line="360" w:lineRule="auto"/>
        <w:textAlignment w:val="auto"/>
        <w:rPr>
          <w:color w:val="auto"/>
          <w:highlight w:val="none"/>
        </w:rPr>
      </w:pPr>
      <w:bookmarkStart w:id="1046" w:name="_Toc78449850"/>
      <w:bookmarkStart w:id="1047" w:name="_Toc373227761"/>
      <w:bookmarkStart w:id="1048" w:name="_Toc389065326"/>
      <w:bookmarkStart w:id="1049" w:name="_Toc27750"/>
      <w:bookmarkStart w:id="1050" w:name="_Toc540165641"/>
      <w:bookmarkStart w:id="1051" w:name="_Toc407135264"/>
      <w:bookmarkStart w:id="1052" w:name="_Toc373478408"/>
      <w:r>
        <w:rPr>
          <w:color w:val="auto"/>
          <w:highlight w:val="none"/>
        </w:rPr>
        <w:t xml:space="preserve">14.4 </w:t>
      </w:r>
      <w:r>
        <w:rPr>
          <w:rFonts w:hint="eastAsia" w:hAnsi="宋体" w:cs="黑体"/>
          <w:color w:val="auto"/>
          <w:highlight w:val="none"/>
        </w:rPr>
        <w:t>最终结清</w:t>
      </w:r>
      <w:bookmarkEnd w:id="1046"/>
      <w:bookmarkEnd w:id="1047"/>
      <w:bookmarkEnd w:id="1048"/>
      <w:bookmarkEnd w:id="1049"/>
      <w:bookmarkEnd w:id="1050"/>
      <w:bookmarkEnd w:id="1051"/>
      <w:bookmarkEnd w:id="1052"/>
    </w:p>
    <w:p w14:paraId="0D8A55E7">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color w:val="auto"/>
          <w:kern w:val="0"/>
          <w:highlight w:val="none"/>
        </w:rPr>
        <w:t xml:space="preserve">14.4.1 </w:t>
      </w:r>
      <w:r>
        <w:rPr>
          <w:rFonts w:hint="eastAsia" w:hAnsi="宋体" w:cs="宋体"/>
          <w:color w:val="auto"/>
          <w:kern w:val="0"/>
          <w:highlight w:val="none"/>
        </w:rPr>
        <w:t>最终结清申请单</w:t>
      </w:r>
    </w:p>
    <w:p w14:paraId="4A07ABB8">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承包人提交最终结清申请单的份数：</w:t>
      </w:r>
      <w:r>
        <w:rPr>
          <w:color w:val="auto"/>
          <w:highlight w:val="none"/>
          <w:u w:val="single"/>
        </w:rPr>
        <w:t xml:space="preserve">                    </w:t>
      </w:r>
      <w:r>
        <w:rPr>
          <w:rFonts w:hint="eastAsia" w:hAnsi="宋体" w:cs="宋体"/>
          <w:color w:val="auto"/>
          <w:highlight w:val="none"/>
        </w:rPr>
        <w:t>。</w:t>
      </w:r>
    </w:p>
    <w:p w14:paraId="70A094B9">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kern w:val="0"/>
          <w:highlight w:val="none"/>
        </w:rPr>
        <w:t>承包人提交最终结算申请单的期限：</w:t>
      </w:r>
      <w:r>
        <w:rPr>
          <w:color w:val="auto"/>
          <w:highlight w:val="none"/>
          <w:u w:val="single"/>
        </w:rPr>
        <w:t xml:space="preserve">                    </w:t>
      </w:r>
      <w:r>
        <w:rPr>
          <w:rFonts w:hint="eastAsia" w:hAnsi="宋体" w:cs="宋体"/>
          <w:color w:val="auto"/>
          <w:highlight w:val="none"/>
        </w:rPr>
        <w:t>。</w:t>
      </w:r>
      <w:r>
        <w:rPr>
          <w:color w:val="auto"/>
          <w:highlight w:val="none"/>
        </w:rPr>
        <w:t xml:space="preserve"> </w:t>
      </w:r>
    </w:p>
    <w:p w14:paraId="52023068">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color w:val="auto"/>
          <w:highlight w:val="none"/>
        </w:rPr>
        <w:t>最终结算款支付申请（核准）表见合同附件13。</w:t>
      </w:r>
    </w:p>
    <w:p w14:paraId="464548A7">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14.4.2 </w:t>
      </w:r>
      <w:r>
        <w:rPr>
          <w:rFonts w:hint="eastAsia" w:hAnsi="宋体" w:cs="宋体"/>
          <w:color w:val="auto"/>
          <w:highlight w:val="none"/>
        </w:rPr>
        <w:t>最终结清证书和支付</w:t>
      </w:r>
    </w:p>
    <w:p w14:paraId="358DB931">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）发包人完成最终结清申请单的审批并颁发最终结清证书的期限：</w:t>
      </w:r>
      <w:r>
        <w:rPr>
          <w:color w:val="auto"/>
          <w:highlight w:val="none"/>
          <w:u w:val="single"/>
        </w:rPr>
        <w:t xml:space="preserve">              </w:t>
      </w:r>
      <w:r>
        <w:rPr>
          <w:rFonts w:hint="eastAsia" w:hAnsi="宋体" w:cs="宋体"/>
          <w:color w:val="auto"/>
          <w:highlight w:val="none"/>
        </w:rPr>
        <w:t>。</w:t>
      </w:r>
    </w:p>
    <w:p w14:paraId="29BDDAD8">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）发包人完成支付的期限：</w:t>
      </w:r>
      <w:r>
        <w:rPr>
          <w:color w:val="auto"/>
          <w:highlight w:val="none"/>
          <w:u w:val="single"/>
        </w:rPr>
        <w:t xml:space="preserve">                         </w:t>
      </w:r>
      <w:r>
        <w:rPr>
          <w:rFonts w:hint="eastAsia" w:hAnsi="宋体" w:cs="宋体"/>
          <w:color w:val="auto"/>
          <w:highlight w:val="none"/>
        </w:rPr>
        <w:t>。</w:t>
      </w:r>
    </w:p>
    <w:bookmarkEnd w:id="997"/>
    <w:bookmarkEnd w:id="998"/>
    <w:bookmarkEnd w:id="999"/>
    <w:bookmarkEnd w:id="1000"/>
    <w:bookmarkEnd w:id="1001"/>
    <w:bookmarkEnd w:id="1002"/>
    <w:bookmarkEnd w:id="1003"/>
    <w:bookmarkEnd w:id="1009"/>
    <w:p w14:paraId="787D01B9">
      <w:pPr>
        <w:pStyle w:val="5"/>
        <w:pageBreakBefore w:val="0"/>
        <w:widowControl w:val="0"/>
        <w:kinsoku/>
        <w:wordWrap/>
        <w:overflowPunct/>
        <w:topLinePunct w:val="0"/>
        <w:bidi w:val="0"/>
        <w:spacing w:before="0" w:after="0" w:line="360" w:lineRule="auto"/>
        <w:textAlignment w:val="auto"/>
        <w:rPr>
          <w:color w:val="auto"/>
          <w:highlight w:val="none"/>
        </w:rPr>
      </w:pPr>
      <w:bookmarkStart w:id="1053" w:name="_Toc389065327"/>
      <w:bookmarkStart w:id="1054" w:name="_Toc78449851"/>
      <w:bookmarkStart w:id="1055" w:name="_Toc407135265"/>
      <w:bookmarkStart w:id="1056" w:name="_Toc373227762"/>
      <w:bookmarkStart w:id="1057" w:name="_Toc1294213766"/>
      <w:bookmarkStart w:id="1058" w:name="_Toc351203647"/>
      <w:bookmarkStart w:id="1059" w:name="_Toc25623"/>
      <w:bookmarkStart w:id="1060" w:name="_Toc373478409"/>
      <w:bookmarkStart w:id="1061" w:name="_Toc267251483"/>
      <w:bookmarkStart w:id="1062" w:name="_Toc267251484"/>
      <w:bookmarkStart w:id="1063" w:name="_Toc267251482"/>
      <w:bookmarkStart w:id="1064" w:name="_Toc267251485"/>
      <w:bookmarkStart w:id="1065" w:name="_Toc267251486"/>
      <w:bookmarkStart w:id="1066" w:name="_Toc267251489"/>
      <w:bookmarkStart w:id="1067" w:name="_Toc267251490"/>
      <w:bookmarkStart w:id="1068" w:name="_Toc267251488"/>
      <w:bookmarkStart w:id="1069" w:name="_Toc267251499"/>
      <w:bookmarkStart w:id="1070" w:name="_Toc267251493"/>
      <w:bookmarkStart w:id="1071" w:name="_Toc267251491"/>
      <w:bookmarkStart w:id="1072" w:name="_Toc267251503"/>
      <w:bookmarkStart w:id="1073" w:name="_Toc267251496"/>
      <w:bookmarkStart w:id="1074" w:name="_Toc267251494"/>
      <w:bookmarkStart w:id="1075" w:name="_Toc267251492"/>
      <w:bookmarkStart w:id="1076" w:name="_Toc267251495"/>
      <w:bookmarkStart w:id="1077" w:name="_Toc267251502"/>
      <w:bookmarkStart w:id="1078" w:name="_Toc267251498"/>
      <w:bookmarkStart w:id="1079" w:name="_Toc267251497"/>
      <w:bookmarkStart w:id="1080" w:name="_Toc267251501"/>
      <w:bookmarkStart w:id="1081" w:name="_Toc267251506"/>
      <w:bookmarkStart w:id="1082" w:name="_Toc267251504"/>
      <w:bookmarkStart w:id="1083" w:name="_Toc267251507"/>
      <w:bookmarkStart w:id="1084" w:name="_Toc267251508"/>
      <w:bookmarkStart w:id="1085" w:name="_Toc267251515"/>
      <w:bookmarkStart w:id="1086" w:name="_Toc267251513"/>
      <w:bookmarkStart w:id="1087" w:name="_Toc267251514"/>
      <w:bookmarkStart w:id="1088" w:name="_Toc267251509"/>
      <w:bookmarkStart w:id="1089" w:name="_Toc267251510"/>
      <w:bookmarkStart w:id="1090" w:name="_Toc267251511"/>
      <w:r>
        <w:rPr>
          <w:color w:val="auto"/>
          <w:highlight w:val="none"/>
        </w:rPr>
        <w:t xml:space="preserve">15. </w:t>
      </w:r>
      <w:r>
        <w:rPr>
          <w:rFonts w:hint="eastAsia" w:cs="黑体"/>
          <w:color w:val="auto"/>
          <w:highlight w:val="none"/>
        </w:rPr>
        <w:t>缺陷责任期与保修</w:t>
      </w:r>
      <w:bookmarkEnd w:id="1053"/>
      <w:bookmarkEnd w:id="1054"/>
      <w:bookmarkEnd w:id="1055"/>
      <w:bookmarkEnd w:id="1056"/>
      <w:bookmarkEnd w:id="1057"/>
      <w:bookmarkEnd w:id="1058"/>
      <w:bookmarkEnd w:id="1059"/>
      <w:bookmarkEnd w:id="1060"/>
    </w:p>
    <w:p w14:paraId="1A144CD8">
      <w:pPr>
        <w:pStyle w:val="6"/>
        <w:pageBreakBefore w:val="0"/>
        <w:widowControl w:val="0"/>
        <w:kinsoku/>
        <w:wordWrap/>
        <w:overflowPunct/>
        <w:topLinePunct w:val="0"/>
        <w:bidi w:val="0"/>
        <w:spacing w:before="0" w:after="0" w:line="360" w:lineRule="auto"/>
        <w:textAlignment w:val="auto"/>
        <w:rPr>
          <w:color w:val="auto"/>
          <w:highlight w:val="none"/>
        </w:rPr>
      </w:pPr>
      <w:bookmarkStart w:id="1091" w:name="_Toc373227763"/>
      <w:bookmarkStart w:id="1092" w:name="_Toc6443"/>
      <w:bookmarkStart w:id="1093" w:name="_Toc389065328"/>
      <w:bookmarkStart w:id="1094" w:name="_Toc407135266"/>
      <w:bookmarkStart w:id="1095" w:name="_Toc78449852"/>
      <w:bookmarkStart w:id="1096" w:name="_Toc373478410"/>
      <w:bookmarkStart w:id="1097" w:name="_Toc1468458868"/>
      <w:r>
        <w:rPr>
          <w:color w:val="auto"/>
          <w:highlight w:val="none"/>
        </w:rPr>
        <w:t xml:space="preserve">15.2 </w:t>
      </w:r>
      <w:r>
        <w:rPr>
          <w:rFonts w:hint="eastAsia" w:hAnsi="宋体" w:cs="黑体"/>
          <w:color w:val="auto"/>
          <w:highlight w:val="none"/>
        </w:rPr>
        <w:t>缺陷责任期</w:t>
      </w:r>
      <w:bookmarkEnd w:id="1061"/>
      <w:bookmarkEnd w:id="1091"/>
      <w:bookmarkEnd w:id="1092"/>
      <w:bookmarkEnd w:id="1093"/>
      <w:bookmarkEnd w:id="1094"/>
      <w:bookmarkEnd w:id="1095"/>
      <w:bookmarkEnd w:id="1096"/>
      <w:bookmarkEnd w:id="1097"/>
    </w:p>
    <w:p w14:paraId="631F6270">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缺陷责任期的具体期限：</w:t>
      </w:r>
      <w:r>
        <w:rPr>
          <w:color w:val="auto"/>
          <w:highlight w:val="none"/>
          <w:u w:val="single"/>
        </w:rPr>
        <w:t xml:space="preserve"> </w:t>
      </w:r>
      <w:r>
        <w:rPr>
          <w:rFonts w:hint="eastAsia"/>
          <w:color w:val="auto"/>
          <w:highlight w:val="none"/>
          <w:u w:val="single"/>
        </w:rPr>
        <w:t>缺陷责任期自工程实际竣工验收合格之日起计算</w:t>
      </w:r>
      <w:r>
        <w:rPr>
          <w:rFonts w:hint="eastAsia"/>
          <w:color w:val="auto"/>
          <w:highlight w:val="none"/>
          <w:u w:val="single"/>
          <w:lang w:val="en-US" w:eastAsia="zh-CN"/>
        </w:rPr>
        <w:t>1</w:t>
      </w:r>
      <w:r>
        <w:rPr>
          <w:rFonts w:hint="eastAsia"/>
          <w:color w:val="auto"/>
          <w:highlight w:val="none"/>
          <w:u w:val="single"/>
        </w:rPr>
        <w:t>年</w:t>
      </w:r>
      <w:r>
        <w:rPr>
          <w:color w:val="auto"/>
          <w:highlight w:val="none"/>
          <w:u w:val="single"/>
        </w:rPr>
        <w:t xml:space="preserve">  </w:t>
      </w:r>
      <w:r>
        <w:rPr>
          <w:rFonts w:hint="eastAsia" w:hAnsi="宋体" w:cs="宋体"/>
          <w:color w:val="auto"/>
          <w:highlight w:val="none"/>
        </w:rPr>
        <w:t>。</w:t>
      </w:r>
    </w:p>
    <w:p w14:paraId="3CE02CFC">
      <w:pPr>
        <w:pStyle w:val="6"/>
        <w:pageBreakBefore w:val="0"/>
        <w:widowControl w:val="0"/>
        <w:kinsoku/>
        <w:wordWrap/>
        <w:overflowPunct/>
        <w:topLinePunct w:val="0"/>
        <w:bidi w:val="0"/>
        <w:spacing w:before="0" w:after="0" w:line="360" w:lineRule="auto"/>
        <w:textAlignment w:val="auto"/>
        <w:rPr>
          <w:color w:val="auto"/>
          <w:highlight w:val="none"/>
        </w:rPr>
      </w:pPr>
      <w:bookmarkStart w:id="1098" w:name="_Toc373227764"/>
      <w:bookmarkStart w:id="1099" w:name="_Toc407135267"/>
      <w:bookmarkStart w:id="1100" w:name="_Toc373478411"/>
      <w:bookmarkStart w:id="1101" w:name="_Toc666080472"/>
      <w:bookmarkStart w:id="1102" w:name="_Toc1707"/>
      <w:bookmarkStart w:id="1103" w:name="_Toc78449853"/>
      <w:bookmarkStart w:id="1104" w:name="_Toc389065329"/>
      <w:r>
        <w:rPr>
          <w:color w:val="auto"/>
          <w:highlight w:val="none"/>
        </w:rPr>
        <w:t xml:space="preserve">15.3 </w:t>
      </w:r>
      <w:r>
        <w:rPr>
          <w:rFonts w:hint="eastAsia" w:hAnsi="宋体" w:cs="黑体"/>
          <w:color w:val="auto"/>
          <w:highlight w:val="none"/>
        </w:rPr>
        <w:t>质量保证金</w:t>
      </w:r>
      <w:bookmarkEnd w:id="1098"/>
      <w:bookmarkEnd w:id="1099"/>
      <w:bookmarkEnd w:id="1100"/>
      <w:bookmarkEnd w:id="1101"/>
      <w:bookmarkEnd w:id="1102"/>
      <w:bookmarkEnd w:id="1103"/>
      <w:bookmarkEnd w:id="1104"/>
    </w:p>
    <w:p w14:paraId="5B6412B1">
      <w:pPr>
        <w:pageBreakBefore w:val="0"/>
        <w:widowControl w:val="0"/>
        <w:kinsoku/>
        <w:wordWrap/>
        <w:overflowPunct/>
        <w:topLinePunct w:val="0"/>
        <w:bidi w:val="0"/>
        <w:spacing w:line="360" w:lineRule="auto"/>
        <w:ind w:firstLine="420" w:firstLineChars="200"/>
        <w:jc w:val="left"/>
        <w:textAlignment w:val="auto"/>
        <w:rPr>
          <w:rFonts w:hint="eastAsia" w:hAnsi="宋体" w:cs="宋体"/>
          <w:color w:val="auto"/>
          <w:highlight w:val="none"/>
        </w:rPr>
      </w:pPr>
      <w:r>
        <w:rPr>
          <w:rFonts w:hint="eastAsia" w:hAnsi="宋体" w:cs="宋体"/>
          <w:color w:val="auto"/>
          <w:highlight w:val="none"/>
        </w:rPr>
        <w:t>关于是否扣留质量保证金的约定：</w:t>
      </w:r>
      <w:r>
        <w:rPr>
          <w:color w:val="auto"/>
          <w:highlight w:val="none"/>
          <w:u w:val="single"/>
        </w:rPr>
        <w:t xml:space="preserve"> </w:t>
      </w:r>
      <w:r>
        <w:rPr>
          <w:rFonts w:hint="eastAsia"/>
          <w:color w:val="auto"/>
          <w:highlight w:val="none"/>
          <w:u w:val="single"/>
        </w:rPr>
        <w:t>结算总价的3%保留金作为工程质量保证金</w:t>
      </w:r>
      <w:r>
        <w:rPr>
          <w:color w:val="auto"/>
          <w:highlight w:val="none"/>
          <w:u w:val="single"/>
        </w:rPr>
        <w:t xml:space="preserve">  </w:t>
      </w:r>
      <w:r>
        <w:rPr>
          <w:rFonts w:hint="eastAsia" w:hAnsi="宋体" w:cs="宋体"/>
          <w:color w:val="auto"/>
          <w:highlight w:val="none"/>
        </w:rPr>
        <w:t>。</w:t>
      </w:r>
    </w:p>
    <w:p w14:paraId="4524293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在工程项目竣工前，承包人按专用合同条款第3.7条提供履约担保的，发包人不得同时预留工程质量保证金。</w:t>
      </w:r>
    </w:p>
    <w:p w14:paraId="07A588C0">
      <w:pPr>
        <w:pageBreakBefore w:val="0"/>
        <w:widowControl w:val="0"/>
        <w:kinsoku/>
        <w:wordWrap/>
        <w:overflowPunct/>
        <w:topLinePunct w:val="0"/>
        <w:bidi w:val="0"/>
        <w:spacing w:line="360" w:lineRule="auto"/>
        <w:ind w:firstLine="420" w:firstLineChars="200"/>
        <w:jc w:val="left"/>
        <w:textAlignment w:val="auto"/>
        <w:outlineLvl w:val="0"/>
        <w:rPr>
          <w:color w:val="auto"/>
          <w:highlight w:val="none"/>
        </w:rPr>
      </w:pPr>
      <w:r>
        <w:rPr>
          <w:color w:val="auto"/>
          <w:highlight w:val="none"/>
        </w:rPr>
        <w:t xml:space="preserve">15.3.1 </w:t>
      </w:r>
      <w:r>
        <w:rPr>
          <w:rFonts w:hint="eastAsia" w:hAnsi="宋体" w:cs="宋体"/>
          <w:color w:val="auto"/>
          <w:highlight w:val="none"/>
        </w:rPr>
        <w:t>承包人提供质量保证金的方式</w:t>
      </w:r>
    </w:p>
    <w:p w14:paraId="2A768B2F">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质量保证金采用以下第</w:t>
      </w:r>
      <w:r>
        <w:rPr>
          <w:color w:val="auto"/>
          <w:highlight w:val="none"/>
          <w:u w:val="single"/>
        </w:rPr>
        <w:t xml:space="preserve"> </w:t>
      </w:r>
      <w:r>
        <w:rPr>
          <w:rFonts w:hint="eastAsia"/>
          <w:color w:val="auto"/>
          <w:highlight w:val="none"/>
          <w:u w:val="single"/>
          <w:lang w:val="en-US" w:eastAsia="zh-CN"/>
        </w:rPr>
        <w:t>2</w:t>
      </w:r>
      <w:r>
        <w:rPr>
          <w:color w:val="auto"/>
          <w:highlight w:val="none"/>
          <w:u w:val="single"/>
        </w:rPr>
        <w:t xml:space="preserve"> </w:t>
      </w:r>
      <w:r>
        <w:rPr>
          <w:rFonts w:hint="eastAsia" w:hAnsi="宋体" w:cs="宋体"/>
          <w:color w:val="auto"/>
          <w:highlight w:val="none"/>
        </w:rPr>
        <w:t>种方式：</w:t>
      </w:r>
    </w:p>
    <w:p w14:paraId="4C8B86C1">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）质量保证金保函</w:t>
      </w:r>
      <w:r>
        <w:rPr>
          <w:rFonts w:hint="eastAsia" w:ascii="Times New Roman" w:hAnsi="宋体" w:eastAsia="宋体" w:cs="宋体"/>
          <w:color w:val="auto"/>
          <w:highlight w:val="none"/>
        </w:rPr>
        <w:t>（银行保函、电子保函、保证保险保函、工程担保保函</w:t>
      </w:r>
      <w:r>
        <w:rPr>
          <w:rFonts w:hint="eastAsia" w:ascii="Times New Roman" w:hAnsi="宋体" w:eastAsia="宋体" w:cs="宋体"/>
          <w:color w:val="auto"/>
          <w:highlight w:val="none"/>
          <w:lang w:eastAsia="zh-CN"/>
        </w:rPr>
        <w:t>，</w:t>
      </w:r>
      <w:r>
        <w:rPr>
          <w:rFonts w:hint="eastAsia" w:hAnsi="宋体" w:cs="宋体"/>
          <w:color w:val="auto"/>
          <w:kern w:val="0"/>
          <w:highlight w:val="none"/>
        </w:rPr>
        <w:t>工程担保保证人应将出具的保函相关信息录入</w:t>
      </w:r>
      <w:r>
        <w:rPr>
          <w:rFonts w:hint="eastAsia" w:hAnsi="宋体" w:cs="宋体"/>
          <w:color w:val="auto"/>
          <w:kern w:val="0"/>
          <w:highlight w:val="none"/>
          <w:lang w:eastAsia="zh-CN"/>
        </w:rPr>
        <w:t>“</w:t>
      </w:r>
      <w:r>
        <w:rPr>
          <w:rFonts w:hint="eastAsia" w:hAnsi="宋体" w:cs="宋体"/>
          <w:color w:val="auto"/>
          <w:kern w:val="0"/>
          <w:highlight w:val="none"/>
        </w:rPr>
        <w:t>广西建筑市场监管云</w:t>
      </w:r>
      <w:r>
        <w:rPr>
          <w:rFonts w:hint="eastAsia" w:hAnsi="宋体" w:cs="宋体"/>
          <w:color w:val="auto"/>
          <w:kern w:val="0"/>
          <w:highlight w:val="none"/>
          <w:lang w:eastAsia="zh-CN"/>
        </w:rPr>
        <w:t>”</w:t>
      </w:r>
      <w:r>
        <w:rPr>
          <w:rFonts w:hint="eastAsia" w:hAnsi="宋体" w:cs="宋体"/>
          <w:color w:val="auto"/>
          <w:kern w:val="0"/>
          <w:highlight w:val="none"/>
        </w:rPr>
        <w:t>平台（http</w:t>
      </w:r>
      <w:r>
        <w:rPr>
          <w:rFonts w:hint="eastAsia" w:hAnsi="宋体" w:cs="宋体"/>
          <w:color w:val="auto"/>
          <w:kern w:val="0"/>
          <w:highlight w:val="none"/>
          <w:lang w:eastAsia="zh-CN"/>
        </w:rPr>
        <w:t>：</w:t>
      </w:r>
      <w:r>
        <w:rPr>
          <w:rFonts w:hint="eastAsia" w:hAnsi="宋体" w:cs="宋体"/>
          <w:color w:val="auto"/>
          <w:kern w:val="0"/>
          <w:highlight w:val="none"/>
        </w:rPr>
        <w:t>//gxjzsc.caihcloud.com），以实现保函查询及验真功能</w:t>
      </w:r>
      <w:r>
        <w:rPr>
          <w:rFonts w:hint="eastAsia" w:hAnsi="宋体" w:cs="宋体"/>
          <w:color w:val="auto"/>
          <w:kern w:val="0"/>
          <w:highlight w:val="none"/>
          <w:lang w:eastAsia="zh-CN"/>
        </w:rPr>
        <w:t>。</w:t>
      </w:r>
      <w:r>
        <w:rPr>
          <w:rFonts w:hint="eastAsia" w:ascii="Times New Roman" w:hAnsi="宋体" w:eastAsia="宋体" w:cs="宋体"/>
          <w:color w:val="auto"/>
          <w:highlight w:val="none"/>
        </w:rPr>
        <w:t>）</w:t>
      </w:r>
      <w:r>
        <w:rPr>
          <w:rFonts w:hint="eastAsia" w:hAnsi="宋体" w:cs="宋体"/>
          <w:color w:val="auto"/>
          <w:kern w:val="0"/>
          <w:highlight w:val="none"/>
        </w:rPr>
        <w:t>，保证金额为：</w:t>
      </w:r>
      <w:r>
        <w:rPr>
          <w:color w:val="auto"/>
          <w:kern w:val="0"/>
          <w:highlight w:val="none"/>
          <w:u w:val="single"/>
        </w:rPr>
        <w:t xml:space="preserve">                   </w:t>
      </w:r>
      <w:r>
        <w:rPr>
          <w:rFonts w:hint="eastAsia" w:hAnsi="宋体" w:cs="宋体"/>
          <w:color w:val="auto"/>
          <w:kern w:val="0"/>
          <w:highlight w:val="none"/>
        </w:rPr>
        <w:t>；</w:t>
      </w:r>
    </w:p>
    <w:p w14:paraId="7D85FFFF">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rFonts w:hint="eastAsia" w:hAnsi="宋体" w:cs="宋体"/>
          <w:color w:val="auto"/>
          <w:highlight w:val="none"/>
        </w:rPr>
        <w:t>发包人按工程价款结算总额的</w:t>
      </w:r>
      <w:r>
        <w:rPr>
          <w:rFonts w:hAnsi="宋体"/>
          <w:color w:val="auto"/>
          <w:highlight w:val="none"/>
          <w:u w:val="single"/>
        </w:rPr>
        <w:t xml:space="preserve"> </w:t>
      </w:r>
      <w:r>
        <w:rPr>
          <w:rFonts w:hint="eastAsia" w:hAnsi="宋体"/>
          <w:color w:val="auto"/>
          <w:highlight w:val="none"/>
          <w:u w:val="single"/>
          <w:lang w:val="en-US" w:eastAsia="zh-CN"/>
        </w:rPr>
        <w:t xml:space="preserve">3 </w:t>
      </w:r>
      <w:r>
        <w:rPr>
          <w:rFonts w:hAnsi="宋体"/>
          <w:color w:val="auto"/>
          <w:highlight w:val="none"/>
          <w:u w:val="single"/>
        </w:rPr>
        <w:t xml:space="preserve"> </w:t>
      </w:r>
      <w:r>
        <w:rPr>
          <w:color w:val="auto"/>
          <w:highlight w:val="none"/>
        </w:rPr>
        <w:t>%</w:t>
      </w:r>
      <w:r>
        <w:rPr>
          <w:rFonts w:hint="eastAsia" w:cs="宋体"/>
          <w:color w:val="auto"/>
          <w:highlight w:val="none"/>
        </w:rPr>
        <w:t>（不得超过</w:t>
      </w:r>
      <w:r>
        <w:rPr>
          <w:color w:val="auto"/>
          <w:highlight w:val="none"/>
        </w:rPr>
        <w:t>3%</w:t>
      </w:r>
      <w:r>
        <w:rPr>
          <w:rFonts w:hint="eastAsia" w:cs="宋体"/>
          <w:color w:val="auto"/>
          <w:highlight w:val="none"/>
        </w:rPr>
        <w:t>）</w:t>
      </w:r>
      <w:r>
        <w:rPr>
          <w:rFonts w:hint="eastAsia" w:hAnsi="宋体" w:cs="宋体"/>
          <w:color w:val="auto"/>
          <w:highlight w:val="none"/>
        </w:rPr>
        <w:t>预留工程质量保证金，待缺陷责任期满后返还，是否付息及利息计算方式为：</w:t>
      </w:r>
      <w:r>
        <w:rPr>
          <w:rFonts w:hint="eastAsia" w:hAnsi="宋体" w:cs="宋体"/>
          <w:color w:val="auto"/>
          <w:highlight w:val="none"/>
          <w:u w:val="single"/>
        </w:rPr>
        <w:t xml:space="preserve">   </w:t>
      </w:r>
      <w:r>
        <w:rPr>
          <w:rFonts w:hint="eastAsia" w:hAnsi="宋体" w:cs="宋体"/>
          <w:color w:val="auto"/>
          <w:highlight w:val="none"/>
          <w:u w:val="single"/>
          <w:lang w:val="en-US" w:eastAsia="zh-CN"/>
        </w:rPr>
        <w:t>不计息</w:t>
      </w:r>
      <w:r>
        <w:rPr>
          <w:rFonts w:hint="eastAsia" w:hAnsi="宋体" w:cs="宋体"/>
          <w:color w:val="auto"/>
          <w:highlight w:val="none"/>
          <w:u w:val="single"/>
        </w:rPr>
        <w:t xml:space="preserve">   </w:t>
      </w:r>
      <w:r>
        <w:rPr>
          <w:rFonts w:hint="eastAsia" w:hAnsi="宋体" w:cs="宋体"/>
          <w:color w:val="auto"/>
          <w:kern w:val="0"/>
          <w:highlight w:val="none"/>
        </w:rPr>
        <w:t>；</w:t>
      </w:r>
    </w:p>
    <w:p w14:paraId="65E7C655">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rFonts w:hint="eastAsia" w:eastAsia="宋体"/>
          <w:color w:val="auto"/>
          <w:kern w:val="0"/>
          <w:highlight w:val="none"/>
          <w:lang w:eastAsia="zh-CN"/>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）其他方式</w:t>
      </w:r>
      <w:r>
        <w:rPr>
          <w:rFonts w:hint="eastAsia" w:cs="宋体"/>
          <w:color w:val="auto"/>
          <w:kern w:val="0"/>
          <w:highlight w:val="none"/>
        </w:rPr>
        <w:t>：</w:t>
      </w:r>
      <w:r>
        <w:rPr>
          <w:rFonts w:hint="eastAsia" w:ascii="Times New Roman" w:hAnsi="宋体" w:eastAsia="宋体" w:cs="宋体"/>
          <w:color w:val="auto"/>
          <w:highlight w:val="none"/>
          <w:lang w:val="en-US" w:eastAsia="zh-CN"/>
        </w:rPr>
        <w:t xml:space="preserve"> </w:t>
      </w:r>
    </w:p>
    <w:p w14:paraId="5D0DE0FD">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15.3.2 </w:t>
      </w:r>
      <w:r>
        <w:rPr>
          <w:rFonts w:hint="eastAsia" w:hAnsi="宋体" w:cs="宋体"/>
          <w:color w:val="auto"/>
          <w:highlight w:val="none"/>
        </w:rPr>
        <w:t>质量保证金的扣留</w:t>
      </w:r>
    </w:p>
    <w:p w14:paraId="5C8236CA">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质量保证金的扣留采取以下第</w:t>
      </w:r>
      <w:r>
        <w:rPr>
          <w:color w:val="auto"/>
          <w:highlight w:val="none"/>
          <w:u w:val="single"/>
        </w:rPr>
        <w:t xml:space="preserve"> </w:t>
      </w:r>
      <w:r>
        <w:rPr>
          <w:rFonts w:hint="eastAsia"/>
          <w:color w:val="auto"/>
          <w:highlight w:val="none"/>
          <w:u w:val="single"/>
          <w:lang w:val="en-US" w:eastAsia="zh-CN"/>
        </w:rPr>
        <w:t>3</w:t>
      </w:r>
      <w:r>
        <w:rPr>
          <w:color w:val="auto"/>
          <w:highlight w:val="none"/>
          <w:u w:val="single"/>
        </w:rPr>
        <w:t xml:space="preserve"> </w:t>
      </w:r>
      <w:r>
        <w:rPr>
          <w:rFonts w:hint="eastAsia" w:hAnsi="宋体" w:cs="宋体"/>
          <w:color w:val="auto"/>
          <w:highlight w:val="none"/>
        </w:rPr>
        <w:t>种方式：</w:t>
      </w:r>
    </w:p>
    <w:p w14:paraId="67F39D38">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）在</w:t>
      </w:r>
      <w:r>
        <w:rPr>
          <w:rFonts w:hAnsi="宋体" w:cs="宋体"/>
          <w:color w:val="auto"/>
          <w:kern w:val="0"/>
          <w:highlight w:val="none"/>
        </w:rPr>
        <w:t>不缴纳履</w:t>
      </w:r>
      <w:r>
        <w:rPr>
          <w:rFonts w:hint="eastAsia" w:hAnsi="宋体" w:cs="宋体"/>
          <w:color w:val="auto"/>
          <w:kern w:val="0"/>
          <w:highlight w:val="none"/>
        </w:rPr>
        <w:t>保</w:t>
      </w:r>
      <w:r>
        <w:rPr>
          <w:rFonts w:hAnsi="宋体" w:cs="宋体"/>
          <w:color w:val="auto"/>
          <w:kern w:val="0"/>
          <w:highlight w:val="none"/>
        </w:rPr>
        <w:t>证金情况下</w:t>
      </w:r>
      <w:r>
        <w:rPr>
          <w:rFonts w:hint="eastAsia" w:hAnsi="宋体" w:cs="宋体"/>
          <w:color w:val="auto"/>
          <w:kern w:val="0"/>
          <w:highlight w:val="none"/>
        </w:rPr>
        <w:t>，按支付工程进度款时逐次扣留，质量保证金的计算基数不包括预付款的支付、扣回以及价格调整的金额；</w:t>
      </w:r>
    </w:p>
    <w:p w14:paraId="41F1C98D">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）工程竣工结算时，一次性扣留质量保证金，</w:t>
      </w:r>
      <w:r>
        <w:rPr>
          <w:rFonts w:hAnsi="宋体" w:cs="宋体"/>
          <w:color w:val="auto"/>
          <w:kern w:val="0"/>
          <w:highlight w:val="none"/>
        </w:rPr>
        <w:t>由承包人以银行保函</w:t>
      </w:r>
      <w:r>
        <w:rPr>
          <w:rFonts w:hint="eastAsia" w:hAnsi="宋体" w:cs="宋体"/>
          <w:color w:val="auto"/>
          <w:kern w:val="0"/>
          <w:highlight w:val="none"/>
        </w:rPr>
        <w:t>、保证保险</w:t>
      </w:r>
      <w:r>
        <w:rPr>
          <w:rFonts w:hAnsi="宋体" w:cs="宋体"/>
          <w:color w:val="auto"/>
          <w:kern w:val="0"/>
          <w:highlight w:val="none"/>
        </w:rPr>
        <w:t>替代预留</w:t>
      </w:r>
      <w:r>
        <w:rPr>
          <w:rFonts w:hint="eastAsia" w:hAnsi="宋体" w:cs="宋体"/>
          <w:color w:val="auto"/>
          <w:kern w:val="0"/>
          <w:highlight w:val="none"/>
        </w:rPr>
        <w:t>质量</w:t>
      </w:r>
      <w:r>
        <w:rPr>
          <w:rFonts w:hAnsi="宋体" w:cs="宋体"/>
          <w:color w:val="auto"/>
          <w:kern w:val="0"/>
          <w:highlight w:val="none"/>
        </w:rPr>
        <w:t>保证金</w:t>
      </w:r>
      <w:r>
        <w:rPr>
          <w:rFonts w:hint="eastAsia" w:hAnsi="宋体" w:cs="宋体"/>
          <w:color w:val="auto"/>
          <w:kern w:val="0"/>
          <w:highlight w:val="none"/>
        </w:rPr>
        <w:t>，</w:t>
      </w:r>
      <w:r>
        <w:rPr>
          <w:rFonts w:hAnsi="宋体" w:cs="宋体"/>
          <w:color w:val="auto"/>
          <w:kern w:val="0"/>
          <w:highlight w:val="none"/>
        </w:rPr>
        <w:t>保函金额不得高</w:t>
      </w:r>
      <w:r>
        <w:rPr>
          <w:rFonts w:hint="eastAsia" w:hAnsi="宋体" w:cs="宋体"/>
          <w:color w:val="auto"/>
          <w:kern w:val="0"/>
          <w:highlight w:val="none"/>
        </w:rPr>
        <w:t>于</w:t>
      </w:r>
      <w:r>
        <w:rPr>
          <w:rFonts w:hAnsi="宋体" w:cs="宋体"/>
          <w:color w:val="auto"/>
          <w:kern w:val="0"/>
          <w:highlight w:val="none"/>
        </w:rPr>
        <w:t>工程价款结算总额的</w:t>
      </w:r>
      <w:r>
        <w:rPr>
          <w:rFonts w:hint="eastAsia" w:hAnsi="宋体" w:cs="宋体"/>
          <w:color w:val="auto"/>
          <w:kern w:val="0"/>
          <w:highlight w:val="none"/>
        </w:rPr>
        <w:t>3</w:t>
      </w:r>
      <w:r>
        <w:rPr>
          <w:rFonts w:hAnsi="宋体" w:cs="宋体"/>
          <w:color w:val="auto"/>
          <w:kern w:val="0"/>
          <w:highlight w:val="none"/>
        </w:rPr>
        <w:t>%</w:t>
      </w:r>
      <w:r>
        <w:rPr>
          <w:rFonts w:hint="eastAsia" w:hAnsi="宋体" w:cs="宋体"/>
          <w:color w:val="auto"/>
          <w:kern w:val="0"/>
          <w:highlight w:val="none"/>
        </w:rPr>
        <w:t>；</w:t>
      </w:r>
    </w:p>
    <w:p w14:paraId="10E8D67F">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）其他扣留方式</w:t>
      </w:r>
      <w:r>
        <w:rPr>
          <w:rFonts w:hint="eastAsia"/>
          <w:color w:val="auto"/>
          <w:kern w:val="0"/>
          <w:highlight w:val="none"/>
          <w:lang w:eastAsia="zh-CN"/>
        </w:rPr>
        <w:t>：</w:t>
      </w:r>
      <w:r>
        <w:rPr>
          <w:rFonts w:hint="eastAsia"/>
          <w:color w:val="auto"/>
          <w:kern w:val="0"/>
          <w:highlight w:val="none"/>
          <w:u w:val="single"/>
        </w:rPr>
        <w:t>工程竣工结算时一次性扣留质量保证金</w:t>
      </w:r>
      <w:r>
        <w:rPr>
          <w:rFonts w:hint="eastAsia" w:hAnsi="宋体" w:cs="宋体"/>
          <w:color w:val="auto"/>
          <w:kern w:val="0"/>
          <w:highlight w:val="none"/>
        </w:rPr>
        <w:t>。</w:t>
      </w:r>
    </w:p>
    <w:p w14:paraId="3BE3A5FD">
      <w:pPr>
        <w:pageBreakBefore w:val="0"/>
        <w:widowControl w:val="0"/>
        <w:kinsoku/>
        <w:wordWrap/>
        <w:overflowPunct/>
        <w:topLinePunct w:val="0"/>
        <w:bidi w:val="0"/>
        <w:spacing w:line="360" w:lineRule="auto"/>
        <w:ind w:firstLine="420" w:firstLineChars="200"/>
        <w:jc w:val="left"/>
        <w:textAlignment w:val="auto"/>
        <w:rPr>
          <w:color w:val="auto"/>
          <w:kern w:val="0"/>
          <w:highlight w:val="none"/>
          <w:u w:val="single"/>
        </w:rPr>
      </w:pPr>
      <w:r>
        <w:rPr>
          <w:rFonts w:hint="eastAsia" w:hAnsi="宋体" w:cs="宋体"/>
          <w:color w:val="auto"/>
          <w:highlight w:val="none"/>
        </w:rPr>
        <w:t>关于质量保证金的补充约定：</w:t>
      </w:r>
      <w:r>
        <w:rPr>
          <w:rFonts w:hint="eastAsia"/>
          <w:color w:val="auto"/>
          <w:kern w:val="0"/>
          <w:highlight w:val="none"/>
          <w:u w:val="single"/>
          <w:lang w:val="en-US" w:eastAsia="zh-CN"/>
        </w:rPr>
        <w:t xml:space="preserve"> 在缺陷责任期内，因承包人工程质量原因造成发包人的所有损失及责任均由承包人承担。同时，在缺陷责任期内，因工程质量问题造成墙面、卫生间、地面、天棚面渗漏水的，出现渗漏水部位的个数超过10个（含10个）的，则承包人应向发包人支付违约金1000元/个。上述损失及违约金发包人有权从工程质保金中直接扣除 </w:t>
      </w:r>
      <w:r>
        <w:rPr>
          <w:rFonts w:hint="eastAsia" w:hAnsi="宋体" w:cs="宋体"/>
          <w:color w:val="auto"/>
          <w:kern w:val="0"/>
          <w:highlight w:val="none"/>
        </w:rPr>
        <w:t>。</w:t>
      </w:r>
    </w:p>
    <w:bookmarkEnd w:id="1062"/>
    <w:bookmarkEnd w:id="1063"/>
    <w:p w14:paraId="0482EF37">
      <w:pPr>
        <w:pStyle w:val="6"/>
        <w:pageBreakBefore w:val="0"/>
        <w:widowControl w:val="0"/>
        <w:kinsoku/>
        <w:wordWrap/>
        <w:overflowPunct/>
        <w:topLinePunct w:val="0"/>
        <w:bidi w:val="0"/>
        <w:spacing w:before="0" w:after="0" w:line="360" w:lineRule="auto"/>
        <w:textAlignment w:val="auto"/>
        <w:rPr>
          <w:color w:val="auto"/>
          <w:highlight w:val="none"/>
        </w:rPr>
      </w:pPr>
      <w:bookmarkStart w:id="1105" w:name="_Toc196306762"/>
      <w:bookmarkStart w:id="1106" w:name="_Toc407135268"/>
      <w:bookmarkStart w:id="1107" w:name="_Toc78449854"/>
      <w:bookmarkStart w:id="1108" w:name="_Toc13412"/>
      <w:bookmarkStart w:id="1109" w:name="_Toc373227765"/>
      <w:bookmarkStart w:id="1110" w:name="_Toc389065330"/>
      <w:bookmarkStart w:id="1111" w:name="_Toc373478412"/>
      <w:r>
        <w:rPr>
          <w:color w:val="auto"/>
          <w:highlight w:val="none"/>
        </w:rPr>
        <w:t xml:space="preserve">15.4 </w:t>
      </w:r>
      <w:r>
        <w:rPr>
          <w:rFonts w:hint="eastAsia" w:hAnsi="宋体" w:cs="黑体"/>
          <w:color w:val="auto"/>
          <w:highlight w:val="none"/>
        </w:rPr>
        <w:t>保修</w:t>
      </w:r>
      <w:bookmarkEnd w:id="1105"/>
      <w:bookmarkEnd w:id="1106"/>
      <w:bookmarkEnd w:id="1107"/>
      <w:bookmarkEnd w:id="1108"/>
      <w:bookmarkEnd w:id="1109"/>
      <w:bookmarkEnd w:id="1110"/>
      <w:bookmarkEnd w:id="1111"/>
    </w:p>
    <w:bookmarkEnd w:id="1064"/>
    <w:p w14:paraId="049167AD">
      <w:pPr>
        <w:pageBreakBefore w:val="0"/>
        <w:widowControl w:val="0"/>
        <w:kinsoku/>
        <w:wordWrap/>
        <w:overflowPunct/>
        <w:topLinePunct w:val="0"/>
        <w:bidi w:val="0"/>
        <w:spacing w:line="360" w:lineRule="auto"/>
        <w:ind w:firstLine="409" w:firstLineChars="195"/>
        <w:jc w:val="left"/>
        <w:textAlignment w:val="auto"/>
        <w:outlineLvl w:val="0"/>
        <w:rPr>
          <w:color w:val="auto"/>
          <w:highlight w:val="none"/>
        </w:rPr>
      </w:pPr>
      <w:r>
        <w:rPr>
          <w:color w:val="auto"/>
          <w:highlight w:val="none"/>
        </w:rPr>
        <w:t xml:space="preserve">15.4.1 </w:t>
      </w:r>
      <w:r>
        <w:rPr>
          <w:rFonts w:hint="eastAsia" w:hAnsi="宋体" w:cs="宋体"/>
          <w:color w:val="auto"/>
          <w:highlight w:val="none"/>
        </w:rPr>
        <w:t>保修责任</w:t>
      </w:r>
    </w:p>
    <w:p w14:paraId="452AB753">
      <w:pPr>
        <w:pageBreakBefore w:val="0"/>
        <w:widowControl w:val="0"/>
        <w:kinsoku/>
        <w:wordWrap/>
        <w:overflowPunct/>
        <w:topLinePunct w:val="0"/>
        <w:bidi w:val="0"/>
        <w:spacing w:line="360" w:lineRule="auto"/>
        <w:ind w:firstLine="409" w:firstLineChars="195"/>
        <w:jc w:val="left"/>
        <w:textAlignment w:val="auto"/>
        <w:rPr>
          <w:rFonts w:hint="eastAsia"/>
          <w:color w:val="auto"/>
          <w:kern w:val="0"/>
          <w:highlight w:val="none"/>
          <w:u w:val="single"/>
        </w:rPr>
      </w:pPr>
      <w:r>
        <w:rPr>
          <w:rFonts w:hint="eastAsia" w:hAnsi="宋体" w:cs="宋体"/>
          <w:color w:val="auto"/>
          <w:highlight w:val="none"/>
        </w:rPr>
        <w:t>工程保修期为：</w:t>
      </w:r>
      <w:r>
        <w:rPr>
          <w:color w:val="auto"/>
          <w:kern w:val="0"/>
          <w:highlight w:val="none"/>
          <w:u w:val="single"/>
        </w:rPr>
        <w:t xml:space="preserve"> </w:t>
      </w:r>
      <w:r>
        <w:rPr>
          <w:rFonts w:hint="eastAsia"/>
          <w:color w:val="auto"/>
          <w:kern w:val="0"/>
          <w:highlight w:val="none"/>
          <w:u w:val="single"/>
        </w:rPr>
        <w:t>双方根据《建设工程质量管理条例》及有关规定，约定本工程的质量保修期以工程通过验收，完善整改意见并正式移交甲方，双方在移交书上签字之日起计算，保修期限为：</w:t>
      </w:r>
    </w:p>
    <w:p w14:paraId="1152BFA7">
      <w:pPr>
        <w:pageBreakBefore w:val="0"/>
        <w:widowControl w:val="0"/>
        <w:kinsoku/>
        <w:wordWrap/>
        <w:overflowPunct/>
        <w:topLinePunct w:val="0"/>
        <w:bidi w:val="0"/>
        <w:spacing w:line="360" w:lineRule="auto"/>
        <w:ind w:firstLine="409" w:firstLineChars="195"/>
        <w:jc w:val="left"/>
        <w:textAlignment w:val="auto"/>
        <w:rPr>
          <w:rFonts w:hint="eastAsia"/>
          <w:color w:val="auto"/>
          <w:kern w:val="0"/>
          <w:highlight w:val="none"/>
          <w:u w:val="single"/>
        </w:rPr>
      </w:pPr>
      <w:r>
        <w:rPr>
          <w:rFonts w:hint="eastAsia"/>
          <w:color w:val="auto"/>
          <w:kern w:val="0"/>
          <w:highlight w:val="none"/>
          <w:u w:val="single"/>
        </w:rPr>
        <w:t>基础设施工程、房屋建筑工程的地基基础和主体结构工程，为设计文件规定的合理使用年限；</w:t>
      </w:r>
    </w:p>
    <w:p w14:paraId="332B19CE">
      <w:pPr>
        <w:pageBreakBefore w:val="0"/>
        <w:widowControl w:val="0"/>
        <w:kinsoku/>
        <w:wordWrap/>
        <w:overflowPunct/>
        <w:topLinePunct w:val="0"/>
        <w:bidi w:val="0"/>
        <w:spacing w:line="360" w:lineRule="auto"/>
        <w:ind w:firstLine="409" w:firstLineChars="195"/>
        <w:jc w:val="left"/>
        <w:textAlignment w:val="auto"/>
        <w:rPr>
          <w:rFonts w:hint="eastAsia"/>
          <w:color w:val="auto"/>
          <w:kern w:val="0"/>
          <w:highlight w:val="none"/>
          <w:u w:val="single"/>
        </w:rPr>
      </w:pPr>
      <w:r>
        <w:rPr>
          <w:rFonts w:hint="eastAsia"/>
          <w:color w:val="auto"/>
          <w:kern w:val="0"/>
          <w:highlight w:val="none"/>
          <w:u w:val="single"/>
        </w:rPr>
        <w:t>屋面防水工程、卫生间、厨房、阳台和外墙面的防渗漏（包括台风、暴雨等自然条件下的影响），为5年；</w:t>
      </w:r>
    </w:p>
    <w:p w14:paraId="7E1DD43E">
      <w:pPr>
        <w:pageBreakBefore w:val="0"/>
        <w:widowControl w:val="0"/>
        <w:kinsoku/>
        <w:wordWrap/>
        <w:overflowPunct/>
        <w:topLinePunct w:val="0"/>
        <w:bidi w:val="0"/>
        <w:spacing w:line="360" w:lineRule="auto"/>
        <w:ind w:firstLine="409" w:firstLineChars="195"/>
        <w:jc w:val="left"/>
        <w:textAlignment w:val="auto"/>
        <w:rPr>
          <w:rFonts w:hint="eastAsia"/>
          <w:color w:val="auto"/>
          <w:kern w:val="0"/>
          <w:highlight w:val="none"/>
          <w:u w:val="single"/>
        </w:rPr>
      </w:pPr>
      <w:r>
        <w:rPr>
          <w:rFonts w:hint="eastAsia"/>
          <w:color w:val="auto"/>
          <w:kern w:val="0"/>
          <w:highlight w:val="none"/>
          <w:u w:val="single"/>
        </w:rPr>
        <w:t>电管线、给排水管道、设备安装和装修工程，为2年；</w:t>
      </w:r>
    </w:p>
    <w:p w14:paraId="5BC96B69">
      <w:pPr>
        <w:pageBreakBefore w:val="0"/>
        <w:widowControl w:val="0"/>
        <w:kinsoku/>
        <w:wordWrap/>
        <w:overflowPunct/>
        <w:topLinePunct w:val="0"/>
        <w:bidi w:val="0"/>
        <w:spacing w:line="360" w:lineRule="auto"/>
        <w:ind w:firstLine="409" w:firstLineChars="195"/>
        <w:jc w:val="left"/>
        <w:textAlignment w:val="auto"/>
        <w:rPr>
          <w:rFonts w:hint="eastAsia"/>
          <w:color w:val="auto"/>
          <w:kern w:val="0"/>
          <w:highlight w:val="none"/>
          <w:u w:val="single"/>
        </w:rPr>
      </w:pPr>
      <w:r>
        <w:rPr>
          <w:rFonts w:hint="eastAsia"/>
          <w:color w:val="auto"/>
          <w:kern w:val="0"/>
          <w:highlight w:val="none"/>
          <w:u w:val="single"/>
        </w:rPr>
        <w:t>住宅小区内的给排水设施、道路等配套工程，为2年；</w:t>
      </w:r>
    </w:p>
    <w:p w14:paraId="07127FD3">
      <w:pPr>
        <w:pageBreakBefore w:val="0"/>
        <w:widowControl w:val="0"/>
        <w:kinsoku/>
        <w:wordWrap/>
        <w:overflowPunct/>
        <w:topLinePunct w:val="0"/>
        <w:bidi w:val="0"/>
        <w:spacing w:line="360" w:lineRule="auto"/>
        <w:ind w:firstLine="409" w:firstLineChars="195"/>
        <w:jc w:val="left"/>
        <w:textAlignment w:val="auto"/>
        <w:rPr>
          <w:rFonts w:hint="eastAsia"/>
          <w:color w:val="auto"/>
          <w:kern w:val="0"/>
          <w:highlight w:val="none"/>
          <w:u w:val="single"/>
        </w:rPr>
      </w:pPr>
      <w:r>
        <w:rPr>
          <w:rFonts w:hint="eastAsia"/>
          <w:color w:val="auto"/>
          <w:kern w:val="0"/>
          <w:highlight w:val="none"/>
          <w:u w:val="single"/>
        </w:rPr>
        <w:t>供热及制供冷系统为2个采暖期、供冷期；</w:t>
      </w:r>
    </w:p>
    <w:p w14:paraId="68C5E80D">
      <w:pPr>
        <w:pageBreakBefore w:val="0"/>
        <w:widowControl w:val="0"/>
        <w:kinsoku/>
        <w:wordWrap/>
        <w:overflowPunct/>
        <w:topLinePunct w:val="0"/>
        <w:bidi w:val="0"/>
        <w:spacing w:line="360" w:lineRule="auto"/>
        <w:ind w:firstLine="409" w:firstLineChars="195"/>
        <w:jc w:val="left"/>
        <w:textAlignment w:val="auto"/>
        <w:rPr>
          <w:rFonts w:hint="eastAsia"/>
          <w:color w:val="auto"/>
          <w:kern w:val="0"/>
          <w:highlight w:val="none"/>
          <w:u w:val="single"/>
        </w:rPr>
      </w:pPr>
      <w:r>
        <w:rPr>
          <w:rFonts w:hint="eastAsia"/>
          <w:color w:val="auto"/>
          <w:kern w:val="0"/>
          <w:highlight w:val="none"/>
          <w:u w:val="single"/>
        </w:rPr>
        <w:t>其他项目的保修期为1年。</w:t>
      </w:r>
    </w:p>
    <w:p w14:paraId="21380CBB">
      <w:pPr>
        <w:pageBreakBefore w:val="0"/>
        <w:widowControl w:val="0"/>
        <w:kinsoku/>
        <w:wordWrap/>
        <w:overflowPunct/>
        <w:topLinePunct w:val="0"/>
        <w:bidi w:val="0"/>
        <w:spacing w:line="360" w:lineRule="auto"/>
        <w:ind w:firstLine="409" w:firstLineChars="195"/>
        <w:jc w:val="left"/>
        <w:textAlignment w:val="auto"/>
        <w:rPr>
          <w:rFonts w:hAnsi="宋体"/>
          <w:color w:val="auto"/>
          <w:kern w:val="0"/>
          <w:highlight w:val="none"/>
        </w:rPr>
      </w:pPr>
      <w:r>
        <w:rPr>
          <w:rFonts w:hint="eastAsia"/>
          <w:color w:val="auto"/>
          <w:kern w:val="0"/>
          <w:highlight w:val="none"/>
          <w:u w:val="single"/>
        </w:rPr>
        <w:t>其他按工程保修书约定</w:t>
      </w:r>
      <w:r>
        <w:rPr>
          <w:color w:val="auto"/>
          <w:kern w:val="0"/>
          <w:highlight w:val="none"/>
          <w:u w:val="single"/>
        </w:rPr>
        <w:t xml:space="preserve"> </w:t>
      </w:r>
      <w:r>
        <w:rPr>
          <w:rFonts w:hint="eastAsia" w:hAnsi="宋体" w:cs="宋体"/>
          <w:color w:val="auto"/>
          <w:kern w:val="0"/>
          <w:highlight w:val="none"/>
        </w:rPr>
        <w:t>。</w:t>
      </w:r>
    </w:p>
    <w:p w14:paraId="7F741445">
      <w:pPr>
        <w:pageBreakBefore w:val="0"/>
        <w:widowControl w:val="0"/>
        <w:kinsoku/>
        <w:wordWrap/>
        <w:overflowPunct/>
        <w:topLinePunct w:val="0"/>
        <w:bidi w:val="0"/>
        <w:spacing w:line="360" w:lineRule="auto"/>
        <w:ind w:firstLine="409" w:firstLineChars="195"/>
        <w:jc w:val="left"/>
        <w:textAlignment w:val="auto"/>
        <w:rPr>
          <w:color w:val="auto"/>
          <w:kern w:val="0"/>
          <w:highlight w:val="none"/>
          <w:u w:val="single"/>
        </w:rPr>
      </w:pPr>
      <w:r>
        <w:rPr>
          <w:rFonts w:hint="eastAsia" w:ascii="宋体" w:hAnsi="宋体" w:cs="宋体"/>
          <w:color w:val="auto"/>
          <w:highlight w:val="none"/>
        </w:rPr>
        <w:t>工程保修书具体内容见合同附件2。</w:t>
      </w:r>
    </w:p>
    <w:p w14:paraId="360E7984">
      <w:pPr>
        <w:pageBreakBefore w:val="0"/>
        <w:widowControl w:val="0"/>
        <w:kinsoku/>
        <w:wordWrap/>
        <w:overflowPunct/>
        <w:topLinePunct w:val="0"/>
        <w:bidi w:val="0"/>
        <w:spacing w:line="360" w:lineRule="auto"/>
        <w:ind w:firstLine="409" w:firstLineChars="195"/>
        <w:jc w:val="left"/>
        <w:textAlignment w:val="auto"/>
        <w:rPr>
          <w:color w:val="auto"/>
          <w:highlight w:val="none"/>
        </w:rPr>
      </w:pPr>
      <w:r>
        <w:rPr>
          <w:color w:val="auto"/>
          <w:highlight w:val="none"/>
        </w:rPr>
        <w:t xml:space="preserve">15.4.3 </w:t>
      </w:r>
      <w:r>
        <w:rPr>
          <w:rFonts w:hint="eastAsia" w:hAnsi="宋体" w:cs="宋体"/>
          <w:color w:val="auto"/>
          <w:highlight w:val="none"/>
        </w:rPr>
        <w:t>修复通知</w:t>
      </w:r>
    </w:p>
    <w:p w14:paraId="7CBF4D10">
      <w:pPr>
        <w:pageBreakBefore w:val="0"/>
        <w:widowControl w:val="0"/>
        <w:kinsoku/>
        <w:wordWrap/>
        <w:overflowPunct/>
        <w:topLinePunct w:val="0"/>
        <w:bidi w:val="0"/>
        <w:spacing w:line="360" w:lineRule="auto"/>
        <w:ind w:firstLine="409" w:firstLineChars="195"/>
        <w:jc w:val="left"/>
        <w:textAlignment w:val="auto"/>
        <w:rPr>
          <w:color w:val="auto"/>
          <w:kern w:val="0"/>
          <w:highlight w:val="none"/>
          <w:u w:val="single"/>
        </w:rPr>
      </w:pPr>
      <w:r>
        <w:rPr>
          <w:rFonts w:hint="eastAsia" w:hAnsi="宋体" w:cs="宋体"/>
          <w:color w:val="auto"/>
          <w:kern w:val="0"/>
          <w:highlight w:val="none"/>
        </w:rPr>
        <w:t>承包人收到保修通知并到达工程现场的合理时间：</w:t>
      </w:r>
      <w:r>
        <w:rPr>
          <w:color w:val="auto"/>
          <w:kern w:val="0"/>
          <w:highlight w:val="none"/>
          <w:u w:val="single"/>
        </w:rPr>
        <w:t xml:space="preserve"> </w:t>
      </w:r>
      <w:r>
        <w:rPr>
          <w:rFonts w:hint="eastAsia"/>
          <w:color w:val="auto"/>
          <w:kern w:val="0"/>
          <w:highlight w:val="none"/>
          <w:u w:val="single"/>
        </w:rPr>
        <w:t>在</w:t>
      </w:r>
      <w:r>
        <w:rPr>
          <w:rFonts w:hint="eastAsia"/>
          <w:color w:val="auto"/>
          <w:kern w:val="0"/>
          <w:highlight w:val="none"/>
          <w:u w:val="single"/>
          <w:lang w:val="en-US" w:eastAsia="zh-CN"/>
        </w:rPr>
        <w:t>发包人</w:t>
      </w:r>
      <w:r>
        <w:rPr>
          <w:rFonts w:hint="eastAsia"/>
          <w:color w:val="auto"/>
          <w:kern w:val="0"/>
          <w:highlight w:val="none"/>
          <w:u w:val="single"/>
        </w:rPr>
        <w:t>通知24小时内赶到现场进行维修，履行保修义务，保证维修的质量及效果</w:t>
      </w:r>
      <w:r>
        <w:rPr>
          <w:color w:val="auto"/>
          <w:kern w:val="0"/>
          <w:highlight w:val="none"/>
          <w:u w:val="single"/>
        </w:rPr>
        <w:t xml:space="preserve"> </w:t>
      </w:r>
      <w:r>
        <w:rPr>
          <w:rFonts w:hint="eastAsia" w:hAnsi="宋体" w:cs="宋体"/>
          <w:color w:val="auto"/>
          <w:kern w:val="0"/>
          <w:highlight w:val="none"/>
        </w:rPr>
        <w:t>。</w:t>
      </w:r>
    </w:p>
    <w:bookmarkEnd w:id="1065"/>
    <w:bookmarkEnd w:id="1066"/>
    <w:bookmarkEnd w:id="1067"/>
    <w:bookmarkEnd w:id="1068"/>
    <w:p w14:paraId="7BE6BB9D">
      <w:pPr>
        <w:pStyle w:val="5"/>
        <w:pageBreakBefore w:val="0"/>
        <w:widowControl w:val="0"/>
        <w:kinsoku/>
        <w:wordWrap/>
        <w:overflowPunct/>
        <w:topLinePunct w:val="0"/>
        <w:bidi w:val="0"/>
        <w:spacing w:before="0" w:after="0" w:line="360" w:lineRule="auto"/>
        <w:textAlignment w:val="auto"/>
        <w:rPr>
          <w:color w:val="auto"/>
          <w:highlight w:val="none"/>
        </w:rPr>
      </w:pPr>
      <w:bookmarkStart w:id="1112" w:name="_Toc1360137061"/>
      <w:bookmarkStart w:id="1113" w:name="_Toc389065331"/>
      <w:bookmarkStart w:id="1114" w:name="_Toc407135269"/>
      <w:bookmarkStart w:id="1115" w:name="_Toc13112"/>
      <w:bookmarkStart w:id="1116" w:name="_Toc373227766"/>
      <w:bookmarkStart w:id="1117" w:name="_Toc78449855"/>
      <w:bookmarkStart w:id="1118" w:name="_Toc351203648"/>
      <w:bookmarkStart w:id="1119" w:name="_Toc373478413"/>
      <w:bookmarkStart w:id="1120" w:name="_Toc280868717"/>
      <w:bookmarkStart w:id="1121" w:name="_Toc280868718"/>
      <w:r>
        <w:rPr>
          <w:color w:val="auto"/>
          <w:highlight w:val="none"/>
        </w:rPr>
        <w:t xml:space="preserve">16. </w:t>
      </w:r>
      <w:r>
        <w:rPr>
          <w:rFonts w:hint="eastAsia" w:hAnsi="宋体" w:cs="黑体"/>
          <w:color w:val="auto"/>
          <w:highlight w:val="none"/>
        </w:rPr>
        <w:t>违约</w:t>
      </w:r>
      <w:bookmarkEnd w:id="1112"/>
      <w:bookmarkEnd w:id="1113"/>
      <w:bookmarkEnd w:id="1114"/>
      <w:bookmarkEnd w:id="1115"/>
      <w:bookmarkEnd w:id="1116"/>
      <w:bookmarkEnd w:id="1117"/>
      <w:bookmarkEnd w:id="1118"/>
      <w:bookmarkEnd w:id="1119"/>
    </w:p>
    <w:p w14:paraId="03BEC3C7">
      <w:pPr>
        <w:pStyle w:val="6"/>
        <w:pageBreakBefore w:val="0"/>
        <w:widowControl w:val="0"/>
        <w:kinsoku/>
        <w:wordWrap/>
        <w:overflowPunct/>
        <w:topLinePunct w:val="0"/>
        <w:bidi w:val="0"/>
        <w:spacing w:before="0" w:after="0" w:line="360" w:lineRule="auto"/>
        <w:textAlignment w:val="auto"/>
        <w:rPr>
          <w:color w:val="auto"/>
          <w:highlight w:val="none"/>
        </w:rPr>
      </w:pPr>
      <w:bookmarkStart w:id="1122" w:name="_Toc7855"/>
      <w:bookmarkStart w:id="1123" w:name="_Toc1973395665"/>
      <w:bookmarkStart w:id="1124" w:name="_Toc373478414"/>
      <w:bookmarkStart w:id="1125" w:name="_Toc373227767"/>
      <w:bookmarkStart w:id="1126" w:name="_Toc407135270"/>
      <w:bookmarkStart w:id="1127" w:name="_Toc78449856"/>
      <w:bookmarkStart w:id="1128" w:name="_Toc389065332"/>
      <w:r>
        <w:rPr>
          <w:color w:val="auto"/>
          <w:highlight w:val="none"/>
        </w:rPr>
        <w:t xml:space="preserve">16.1 </w:t>
      </w:r>
      <w:r>
        <w:rPr>
          <w:rFonts w:hint="eastAsia" w:hAnsi="宋体" w:cs="黑体"/>
          <w:color w:val="auto"/>
          <w:highlight w:val="none"/>
        </w:rPr>
        <w:t>发包人违约</w:t>
      </w:r>
      <w:bookmarkEnd w:id="1122"/>
      <w:bookmarkEnd w:id="1123"/>
      <w:bookmarkEnd w:id="1124"/>
      <w:bookmarkEnd w:id="1125"/>
      <w:bookmarkEnd w:id="1126"/>
      <w:bookmarkEnd w:id="1127"/>
      <w:bookmarkEnd w:id="1128"/>
    </w:p>
    <w:p w14:paraId="314CE83E">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16.1.1</w:t>
      </w:r>
      <w:r>
        <w:rPr>
          <w:rFonts w:hint="eastAsia" w:hAnsi="宋体" w:cs="宋体"/>
          <w:color w:val="auto"/>
          <w:highlight w:val="none"/>
        </w:rPr>
        <w:t>发包人违约的情形</w:t>
      </w:r>
    </w:p>
    <w:p w14:paraId="77BDF5BB">
      <w:pPr>
        <w:pageBreakBefore w:val="0"/>
        <w:widowControl w:val="0"/>
        <w:kinsoku/>
        <w:wordWrap/>
        <w:overflowPunct/>
        <w:topLinePunct w:val="0"/>
        <w:bidi w:val="0"/>
        <w:spacing w:line="360" w:lineRule="auto"/>
        <w:ind w:firstLine="420" w:firstLineChars="200"/>
        <w:jc w:val="left"/>
        <w:textAlignment w:val="auto"/>
        <w:rPr>
          <w:rFonts w:hAnsi="宋体"/>
          <w:color w:val="auto"/>
          <w:kern w:val="0"/>
          <w:highlight w:val="none"/>
        </w:rPr>
      </w:pPr>
      <w:r>
        <w:rPr>
          <w:rFonts w:hint="eastAsia" w:hAnsi="宋体" w:cs="宋体"/>
          <w:color w:val="auto"/>
          <w:kern w:val="0"/>
          <w:highlight w:val="none"/>
        </w:rPr>
        <w:t>发包人违约的其他情形：</w:t>
      </w:r>
      <w:r>
        <w:rPr>
          <w:color w:val="auto"/>
          <w:kern w:val="0"/>
          <w:highlight w:val="none"/>
          <w:u w:val="single"/>
        </w:rPr>
        <w:t xml:space="preserve">                                </w:t>
      </w:r>
      <w:r>
        <w:rPr>
          <w:rFonts w:hint="eastAsia" w:hAnsi="宋体" w:cs="宋体"/>
          <w:color w:val="auto"/>
          <w:kern w:val="0"/>
          <w:highlight w:val="none"/>
        </w:rPr>
        <w:t>。</w:t>
      </w:r>
    </w:p>
    <w:p w14:paraId="5A5C930B">
      <w:pPr>
        <w:pageBreakBefore w:val="0"/>
        <w:widowControl w:val="0"/>
        <w:kinsoku/>
        <w:wordWrap/>
        <w:overflowPunct/>
        <w:topLinePunct w:val="0"/>
        <w:bidi w:val="0"/>
        <w:spacing w:line="360" w:lineRule="auto"/>
        <w:ind w:firstLine="420" w:firstLineChars="200"/>
        <w:jc w:val="left"/>
        <w:textAlignment w:val="auto"/>
        <w:outlineLvl w:val="0"/>
        <w:rPr>
          <w:color w:val="auto"/>
          <w:kern w:val="0"/>
          <w:highlight w:val="none"/>
        </w:rPr>
      </w:pPr>
      <w:r>
        <w:rPr>
          <w:color w:val="auto"/>
          <w:kern w:val="0"/>
          <w:highlight w:val="none"/>
        </w:rPr>
        <w:t xml:space="preserve">16.1.2 </w:t>
      </w:r>
      <w:r>
        <w:rPr>
          <w:rFonts w:hint="eastAsia" w:hAnsi="宋体" w:cs="宋体"/>
          <w:color w:val="auto"/>
          <w:kern w:val="0"/>
          <w:highlight w:val="none"/>
        </w:rPr>
        <w:t>发包人违约的责任</w:t>
      </w:r>
    </w:p>
    <w:p w14:paraId="11E26C11">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发包人违约责任的承担方式和计算方法：</w:t>
      </w:r>
    </w:p>
    <w:p w14:paraId="21415107">
      <w:pPr>
        <w:pageBreakBefore w:val="0"/>
        <w:widowControl w:val="0"/>
        <w:kinsoku/>
        <w:wordWrap/>
        <w:overflowPunct/>
        <w:topLinePunct w:val="0"/>
        <w:bidi w:val="0"/>
        <w:spacing w:line="360" w:lineRule="auto"/>
        <w:ind w:firstLine="420" w:firstLineChars="200"/>
        <w:jc w:val="left"/>
        <w:textAlignment w:val="auto"/>
        <w:rPr>
          <w:color w:val="auto"/>
          <w:kern w:val="0"/>
          <w:highlight w:val="none"/>
          <w:u w:val="singl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）因发包人原因未能在计划开工日期前</w:t>
      </w:r>
      <w:r>
        <w:rPr>
          <w:color w:val="auto"/>
          <w:kern w:val="0"/>
          <w:highlight w:val="none"/>
        </w:rPr>
        <w:t>7</w:t>
      </w:r>
      <w:r>
        <w:rPr>
          <w:rFonts w:hint="eastAsia" w:hAnsi="宋体" w:cs="宋体"/>
          <w:color w:val="auto"/>
          <w:kern w:val="0"/>
          <w:highlight w:val="none"/>
        </w:rPr>
        <w:t>天内下达开工通知的违约责任：</w:t>
      </w:r>
      <w:r>
        <w:rPr>
          <w:color w:val="auto"/>
          <w:kern w:val="0"/>
          <w:highlight w:val="none"/>
          <w:u w:val="single"/>
        </w:rPr>
        <w:t xml:space="preserve"> </w:t>
      </w:r>
      <w:r>
        <w:rPr>
          <w:rFonts w:hint="eastAsia"/>
          <w:color w:val="auto"/>
          <w:kern w:val="0"/>
          <w:highlight w:val="none"/>
          <w:u w:val="single"/>
        </w:rPr>
        <w:t>按通用条款及相关规定执行</w:t>
      </w:r>
      <w:r>
        <w:rPr>
          <w:color w:val="auto"/>
          <w:kern w:val="0"/>
          <w:highlight w:val="none"/>
          <w:u w:val="single"/>
        </w:rPr>
        <w:t xml:space="preserve"> </w:t>
      </w:r>
      <w:r>
        <w:rPr>
          <w:rFonts w:hint="eastAsia" w:hAnsi="宋体" w:cs="宋体"/>
          <w:color w:val="auto"/>
          <w:kern w:val="0"/>
          <w:highlight w:val="none"/>
        </w:rPr>
        <w:t>。</w:t>
      </w:r>
    </w:p>
    <w:p w14:paraId="2E5BE5E8">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）因发包人原因未能按合同约定支付合同价款的违约责任：</w:t>
      </w:r>
      <w:r>
        <w:rPr>
          <w:color w:val="auto"/>
          <w:kern w:val="0"/>
          <w:highlight w:val="none"/>
          <w:u w:val="single"/>
        </w:rPr>
        <w:t xml:space="preserve"> </w:t>
      </w:r>
      <w:r>
        <w:rPr>
          <w:rFonts w:hint="eastAsia"/>
          <w:color w:val="auto"/>
          <w:kern w:val="0"/>
          <w:highlight w:val="none"/>
          <w:u w:val="single"/>
        </w:rPr>
        <w:t>按通用条款及相关规定执行</w:t>
      </w:r>
      <w:r>
        <w:rPr>
          <w:color w:val="auto"/>
          <w:kern w:val="0"/>
          <w:highlight w:val="none"/>
          <w:u w:val="single"/>
        </w:rPr>
        <w:t xml:space="preserve"> </w:t>
      </w:r>
      <w:r>
        <w:rPr>
          <w:rFonts w:hint="eastAsia" w:hAnsi="宋体" w:cs="宋体"/>
          <w:color w:val="auto"/>
          <w:kern w:val="0"/>
          <w:highlight w:val="none"/>
        </w:rPr>
        <w:t>。</w:t>
      </w:r>
    </w:p>
    <w:p w14:paraId="060DA1AC">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）发包人违反第</w:t>
      </w:r>
      <w:r>
        <w:rPr>
          <w:color w:val="auto"/>
          <w:kern w:val="0"/>
          <w:highlight w:val="none"/>
        </w:rPr>
        <w:t>10.1</w:t>
      </w:r>
      <w:r>
        <w:rPr>
          <w:rFonts w:hint="eastAsia" w:hAnsi="宋体" w:cs="宋体"/>
          <w:color w:val="auto"/>
          <w:kern w:val="0"/>
          <w:highlight w:val="none"/>
        </w:rPr>
        <w:t>款〔变更的范围〕第（</w:t>
      </w:r>
      <w:r>
        <w:rPr>
          <w:color w:val="auto"/>
          <w:kern w:val="0"/>
          <w:highlight w:val="none"/>
        </w:rPr>
        <w:t>2</w:t>
      </w:r>
      <w:r>
        <w:rPr>
          <w:rFonts w:hint="eastAsia" w:hAnsi="宋体" w:cs="宋体"/>
          <w:color w:val="auto"/>
          <w:kern w:val="0"/>
          <w:highlight w:val="none"/>
        </w:rPr>
        <w:t>）项约定，自行实施被取消的工作或转由他人实施的违约责任：</w:t>
      </w:r>
      <w:r>
        <w:rPr>
          <w:color w:val="auto"/>
          <w:kern w:val="0"/>
          <w:highlight w:val="none"/>
          <w:u w:val="single"/>
        </w:rPr>
        <w:t xml:space="preserve">  </w:t>
      </w:r>
      <w:r>
        <w:rPr>
          <w:rFonts w:hint="eastAsia"/>
          <w:color w:val="auto"/>
          <w:kern w:val="0"/>
          <w:highlight w:val="none"/>
          <w:u w:val="single"/>
        </w:rPr>
        <w:t>按通用条款及相关规定执行</w:t>
      </w:r>
      <w:r>
        <w:rPr>
          <w:color w:val="auto"/>
          <w:kern w:val="0"/>
          <w:highlight w:val="none"/>
          <w:u w:val="single"/>
        </w:rPr>
        <w:t xml:space="preserve">  </w:t>
      </w:r>
      <w:r>
        <w:rPr>
          <w:rFonts w:hint="eastAsia" w:hAnsi="宋体" w:cs="宋体"/>
          <w:color w:val="auto"/>
          <w:kern w:val="0"/>
          <w:highlight w:val="none"/>
        </w:rPr>
        <w:t>。</w:t>
      </w:r>
    </w:p>
    <w:p w14:paraId="5299B987">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4</w:t>
      </w:r>
      <w:r>
        <w:rPr>
          <w:rFonts w:hint="eastAsia" w:hAnsi="宋体" w:cs="宋体"/>
          <w:color w:val="auto"/>
          <w:kern w:val="0"/>
          <w:highlight w:val="none"/>
        </w:rPr>
        <w:t>）发包人提供的材料、工程设备的规格、数量或质量不符合合同约定，或因发包人原因导致交货日期延误或交货地点变更等情况的违约责任：</w:t>
      </w:r>
      <w:r>
        <w:rPr>
          <w:color w:val="auto"/>
          <w:kern w:val="0"/>
          <w:highlight w:val="none"/>
          <w:u w:val="single"/>
        </w:rPr>
        <w:t xml:space="preserve">  </w:t>
      </w:r>
      <w:r>
        <w:rPr>
          <w:rFonts w:hint="eastAsia"/>
          <w:color w:val="auto"/>
          <w:kern w:val="0"/>
          <w:highlight w:val="none"/>
          <w:u w:val="single"/>
        </w:rPr>
        <w:t>按通用条款及相关规定执行</w:t>
      </w:r>
      <w:r>
        <w:rPr>
          <w:color w:val="auto"/>
          <w:kern w:val="0"/>
          <w:highlight w:val="none"/>
          <w:u w:val="single"/>
        </w:rPr>
        <w:t xml:space="preserve">  </w:t>
      </w:r>
      <w:r>
        <w:rPr>
          <w:rFonts w:hint="eastAsia" w:hAnsi="宋体" w:cs="宋体"/>
          <w:color w:val="auto"/>
          <w:kern w:val="0"/>
          <w:highlight w:val="none"/>
        </w:rPr>
        <w:t>。</w:t>
      </w:r>
    </w:p>
    <w:p w14:paraId="5301A416">
      <w:pPr>
        <w:pageBreakBefore w:val="0"/>
        <w:widowControl w:val="0"/>
        <w:kinsoku/>
        <w:wordWrap/>
        <w:overflowPunct/>
        <w:topLinePunct w:val="0"/>
        <w:bidi w:val="0"/>
        <w:spacing w:line="360" w:lineRule="auto"/>
        <w:ind w:firstLine="420" w:firstLineChars="200"/>
        <w:jc w:val="left"/>
        <w:textAlignment w:val="auto"/>
        <w:rPr>
          <w:color w:val="auto"/>
          <w:kern w:val="0"/>
          <w:highlight w:val="none"/>
          <w:u w:val="single"/>
        </w:rPr>
      </w:pPr>
      <w:r>
        <w:rPr>
          <w:rFonts w:hint="eastAsia" w:hAnsi="宋体" w:cs="宋体"/>
          <w:color w:val="auto"/>
          <w:kern w:val="0"/>
          <w:highlight w:val="none"/>
        </w:rPr>
        <w:t>（</w:t>
      </w:r>
      <w:r>
        <w:rPr>
          <w:color w:val="auto"/>
          <w:kern w:val="0"/>
          <w:highlight w:val="none"/>
        </w:rPr>
        <w:t>5</w:t>
      </w:r>
      <w:r>
        <w:rPr>
          <w:rFonts w:hint="eastAsia" w:hAnsi="宋体" w:cs="宋体"/>
          <w:color w:val="auto"/>
          <w:kern w:val="0"/>
          <w:highlight w:val="none"/>
        </w:rPr>
        <w:t>）因发包人违反合同约定造成暂停施工的违约责任：</w:t>
      </w:r>
      <w:r>
        <w:rPr>
          <w:color w:val="auto"/>
          <w:kern w:val="0"/>
          <w:highlight w:val="none"/>
          <w:u w:val="single"/>
        </w:rPr>
        <w:t xml:space="preserve"> </w:t>
      </w:r>
      <w:r>
        <w:rPr>
          <w:rFonts w:hint="eastAsia"/>
          <w:color w:val="auto"/>
          <w:kern w:val="0"/>
          <w:highlight w:val="none"/>
          <w:u w:val="single"/>
        </w:rPr>
        <w:t>按通用条款及相关规定执行</w:t>
      </w:r>
      <w:r>
        <w:rPr>
          <w:color w:val="auto"/>
          <w:kern w:val="0"/>
          <w:highlight w:val="none"/>
          <w:u w:val="single"/>
        </w:rPr>
        <w:t xml:space="preserve"> </w:t>
      </w:r>
      <w:r>
        <w:rPr>
          <w:rFonts w:hint="eastAsia" w:hAnsi="宋体" w:cs="宋体"/>
          <w:color w:val="auto"/>
          <w:kern w:val="0"/>
          <w:highlight w:val="none"/>
        </w:rPr>
        <w:t>。</w:t>
      </w:r>
    </w:p>
    <w:p w14:paraId="783721C1">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）发包人无正当理由没有在约定期限内发出复工指示，导致承包人无法复工的违约责任：</w:t>
      </w:r>
      <w:r>
        <w:rPr>
          <w:color w:val="auto"/>
          <w:kern w:val="0"/>
          <w:highlight w:val="none"/>
          <w:u w:val="single"/>
        </w:rPr>
        <w:t xml:space="preserve">  </w:t>
      </w:r>
      <w:r>
        <w:rPr>
          <w:rFonts w:hint="eastAsia"/>
          <w:color w:val="auto"/>
          <w:kern w:val="0"/>
          <w:highlight w:val="none"/>
          <w:u w:val="single"/>
        </w:rPr>
        <w:t>按通用条款及相关规定执行</w:t>
      </w:r>
      <w:r>
        <w:rPr>
          <w:color w:val="auto"/>
          <w:kern w:val="0"/>
          <w:highlight w:val="none"/>
          <w:u w:val="single"/>
        </w:rPr>
        <w:t xml:space="preserve">  </w:t>
      </w:r>
      <w:r>
        <w:rPr>
          <w:rFonts w:hint="eastAsia" w:hAnsi="宋体" w:cs="宋体"/>
          <w:color w:val="auto"/>
          <w:kern w:val="0"/>
          <w:highlight w:val="none"/>
        </w:rPr>
        <w:t>。</w:t>
      </w:r>
    </w:p>
    <w:p w14:paraId="0E6A4382">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w:t>
      </w:r>
      <w:r>
        <w:rPr>
          <w:color w:val="auto"/>
          <w:kern w:val="0"/>
          <w:highlight w:val="none"/>
        </w:rPr>
        <w:t>7</w:t>
      </w:r>
      <w:r>
        <w:rPr>
          <w:rFonts w:hint="eastAsia" w:hAnsi="宋体" w:cs="宋体"/>
          <w:color w:val="auto"/>
          <w:kern w:val="0"/>
          <w:highlight w:val="none"/>
        </w:rPr>
        <w:t>）其他：</w:t>
      </w:r>
      <w:r>
        <w:rPr>
          <w:color w:val="auto"/>
          <w:kern w:val="0"/>
          <w:highlight w:val="none"/>
          <w:u w:val="single"/>
        </w:rPr>
        <w:t xml:space="preserve">                                                               </w:t>
      </w:r>
      <w:r>
        <w:rPr>
          <w:rFonts w:hint="eastAsia" w:hAnsi="宋体" w:cs="宋体"/>
          <w:color w:val="auto"/>
          <w:kern w:val="0"/>
          <w:highlight w:val="none"/>
        </w:rPr>
        <w:t>。</w:t>
      </w:r>
    </w:p>
    <w:p w14:paraId="58957C17">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color w:val="auto"/>
          <w:highlight w:val="none"/>
        </w:rPr>
        <w:t xml:space="preserve">16.1.3 </w:t>
      </w:r>
      <w:r>
        <w:rPr>
          <w:rFonts w:hint="eastAsia" w:hAnsi="宋体" w:cs="宋体"/>
          <w:color w:val="auto"/>
          <w:highlight w:val="none"/>
        </w:rPr>
        <w:t>因发包人违约解除合同</w:t>
      </w:r>
    </w:p>
    <w:p w14:paraId="1E68F134">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承包人按</w:t>
      </w:r>
      <w:r>
        <w:rPr>
          <w:color w:val="auto"/>
          <w:kern w:val="0"/>
          <w:highlight w:val="none"/>
        </w:rPr>
        <w:t>16.1.1</w:t>
      </w:r>
      <w:r>
        <w:rPr>
          <w:rFonts w:hint="eastAsia" w:hAnsi="宋体" w:cs="宋体"/>
          <w:color w:val="auto"/>
          <w:kern w:val="0"/>
          <w:highlight w:val="none"/>
        </w:rPr>
        <w:t>项〔发包人违约的情形〕约定暂停施工满</w:t>
      </w:r>
      <w:r>
        <w:rPr>
          <w:color w:val="auto"/>
          <w:kern w:val="0"/>
          <w:highlight w:val="none"/>
          <w:u w:val="single"/>
        </w:rPr>
        <w:t xml:space="preserve"> </w:t>
      </w:r>
      <w:r>
        <w:rPr>
          <w:rFonts w:hint="eastAsia"/>
          <w:color w:val="auto"/>
          <w:kern w:val="0"/>
          <w:highlight w:val="none"/>
          <w:u w:val="single"/>
          <w:lang w:val="en-US" w:eastAsia="zh-CN"/>
        </w:rPr>
        <w:t>30</w:t>
      </w:r>
      <w:r>
        <w:rPr>
          <w:color w:val="auto"/>
          <w:kern w:val="0"/>
          <w:highlight w:val="none"/>
          <w:u w:val="single"/>
        </w:rPr>
        <w:t xml:space="preserve"> </w:t>
      </w:r>
      <w:r>
        <w:rPr>
          <w:rFonts w:hint="eastAsia" w:hAnsi="宋体" w:cs="宋体"/>
          <w:color w:val="auto"/>
          <w:kern w:val="0"/>
          <w:highlight w:val="none"/>
        </w:rPr>
        <w:t>天后发包人仍不纠正其违约行为并致使合同目的不能实现的，承包人有权解除合同。</w:t>
      </w:r>
    </w:p>
    <w:p w14:paraId="47B923A3">
      <w:pPr>
        <w:pStyle w:val="6"/>
        <w:pageBreakBefore w:val="0"/>
        <w:widowControl w:val="0"/>
        <w:kinsoku/>
        <w:wordWrap/>
        <w:overflowPunct/>
        <w:topLinePunct w:val="0"/>
        <w:bidi w:val="0"/>
        <w:spacing w:before="0" w:after="0" w:line="360" w:lineRule="auto"/>
        <w:textAlignment w:val="auto"/>
        <w:rPr>
          <w:color w:val="auto"/>
          <w:highlight w:val="none"/>
        </w:rPr>
      </w:pPr>
      <w:bookmarkStart w:id="1129" w:name="_Toc389065333"/>
      <w:bookmarkStart w:id="1130" w:name="_Toc373227768"/>
      <w:bookmarkStart w:id="1131" w:name="_Toc373478415"/>
      <w:bookmarkStart w:id="1132" w:name="_Toc25764"/>
      <w:bookmarkStart w:id="1133" w:name="_Toc78449857"/>
      <w:bookmarkStart w:id="1134" w:name="_Toc407135271"/>
      <w:bookmarkStart w:id="1135" w:name="_Toc61078193"/>
      <w:r>
        <w:rPr>
          <w:color w:val="auto"/>
          <w:highlight w:val="none"/>
        </w:rPr>
        <w:t xml:space="preserve">16.2 </w:t>
      </w:r>
      <w:r>
        <w:rPr>
          <w:rFonts w:hint="eastAsia" w:hAnsi="宋体" w:cs="黑体"/>
          <w:color w:val="auto"/>
          <w:highlight w:val="none"/>
        </w:rPr>
        <w:t>承包人违约</w:t>
      </w:r>
      <w:bookmarkEnd w:id="1129"/>
      <w:bookmarkEnd w:id="1130"/>
      <w:bookmarkEnd w:id="1131"/>
      <w:bookmarkEnd w:id="1132"/>
      <w:bookmarkEnd w:id="1133"/>
      <w:bookmarkEnd w:id="1134"/>
      <w:bookmarkEnd w:id="1135"/>
    </w:p>
    <w:p w14:paraId="6CDAF2AE">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color w:val="auto"/>
          <w:kern w:val="0"/>
          <w:highlight w:val="none"/>
        </w:rPr>
        <w:t xml:space="preserve">16.2.1 </w:t>
      </w:r>
      <w:r>
        <w:rPr>
          <w:rFonts w:hint="eastAsia" w:hAnsi="宋体" w:cs="宋体"/>
          <w:color w:val="auto"/>
          <w:kern w:val="0"/>
          <w:highlight w:val="none"/>
        </w:rPr>
        <w:t>承包人违约的情形</w:t>
      </w:r>
    </w:p>
    <w:p w14:paraId="5BD3EB87">
      <w:pPr>
        <w:pageBreakBefore w:val="0"/>
        <w:widowControl w:val="0"/>
        <w:kinsoku/>
        <w:wordWrap/>
        <w:overflowPunct/>
        <w:topLinePunct w:val="0"/>
        <w:bidi w:val="0"/>
        <w:spacing w:line="360" w:lineRule="auto"/>
        <w:ind w:firstLine="420" w:firstLineChars="200"/>
        <w:jc w:val="left"/>
        <w:textAlignment w:val="auto"/>
        <w:rPr>
          <w:color w:val="auto"/>
          <w:kern w:val="0"/>
          <w:highlight w:val="none"/>
          <w:u w:val="single"/>
        </w:rPr>
      </w:pPr>
      <w:r>
        <w:rPr>
          <w:rFonts w:hint="eastAsia" w:hAnsi="宋体" w:cs="宋体"/>
          <w:color w:val="auto"/>
          <w:kern w:val="0"/>
          <w:highlight w:val="none"/>
        </w:rPr>
        <w:t>承包人违约的其他情形：</w:t>
      </w:r>
      <w:r>
        <w:rPr>
          <w:color w:val="auto"/>
          <w:kern w:val="0"/>
          <w:highlight w:val="none"/>
          <w:u w:val="single"/>
        </w:rPr>
        <w:t xml:space="preserve">                                                     </w:t>
      </w:r>
      <w:r>
        <w:rPr>
          <w:rFonts w:hint="eastAsia" w:hAnsi="宋体" w:cs="宋体"/>
          <w:color w:val="auto"/>
          <w:kern w:val="0"/>
          <w:highlight w:val="none"/>
        </w:rPr>
        <w:t>。</w:t>
      </w:r>
    </w:p>
    <w:p w14:paraId="12425028">
      <w:pPr>
        <w:pageBreakBefore w:val="0"/>
        <w:widowControl w:val="0"/>
        <w:kinsoku/>
        <w:wordWrap/>
        <w:overflowPunct/>
        <w:topLinePunct w:val="0"/>
        <w:bidi w:val="0"/>
        <w:spacing w:line="360" w:lineRule="auto"/>
        <w:ind w:firstLine="420" w:firstLineChars="200"/>
        <w:jc w:val="left"/>
        <w:textAlignment w:val="auto"/>
        <w:outlineLvl w:val="0"/>
        <w:rPr>
          <w:color w:val="auto"/>
          <w:kern w:val="0"/>
          <w:highlight w:val="none"/>
        </w:rPr>
      </w:pPr>
      <w:r>
        <w:rPr>
          <w:color w:val="auto"/>
          <w:kern w:val="0"/>
          <w:highlight w:val="none"/>
        </w:rPr>
        <w:t>16.2.2</w:t>
      </w:r>
      <w:r>
        <w:rPr>
          <w:rFonts w:hint="eastAsia" w:hAnsi="宋体" w:cs="宋体"/>
          <w:color w:val="auto"/>
          <w:kern w:val="0"/>
          <w:highlight w:val="none"/>
        </w:rPr>
        <w:t>承包人违约的责任</w:t>
      </w:r>
    </w:p>
    <w:p w14:paraId="76056F0C">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kern w:val="0"/>
          <w:highlight w:val="none"/>
        </w:rPr>
        <w:t>承包人违约责任的承担方式和计算方法：</w:t>
      </w:r>
    </w:p>
    <w:p w14:paraId="24D925DE">
      <w:pPr>
        <w:pageBreakBefore w:val="0"/>
        <w:widowControl w:val="0"/>
        <w:kinsoku/>
        <w:wordWrap/>
        <w:overflowPunct/>
        <w:topLinePunct w:val="0"/>
        <w:bidi w:val="0"/>
        <w:spacing w:line="360" w:lineRule="auto"/>
        <w:ind w:firstLine="420" w:firstLineChars="200"/>
        <w:jc w:val="left"/>
        <w:textAlignment w:val="auto"/>
        <w:rPr>
          <w:rFonts w:hAnsi="宋体"/>
          <w:color w:val="auto"/>
          <w:kern w:val="0"/>
          <w:highlight w:val="none"/>
        </w:rPr>
      </w:pPr>
      <w:r>
        <w:rPr>
          <w:rFonts w:hint="eastAsia" w:hAnsi="宋体" w:cs="宋体"/>
          <w:color w:val="auto"/>
          <w:kern w:val="0"/>
          <w:highlight w:val="none"/>
        </w:rPr>
        <w:t>（</w:t>
      </w:r>
      <w:r>
        <w:rPr>
          <w:color w:val="auto"/>
          <w:kern w:val="0"/>
          <w:highlight w:val="none"/>
        </w:rPr>
        <w:t>1</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）条内容情形的，承包人无条件返工处理，修复至工程质量要求并承担相关费用，并在发包人规定的时间内完成返工，否则发包人有权扣罚该分项工程</w:t>
      </w:r>
      <w:r>
        <w:rPr>
          <w:color w:val="auto"/>
          <w:kern w:val="0"/>
          <w:highlight w:val="none"/>
        </w:rPr>
        <w:t>10%</w:t>
      </w:r>
      <w:r>
        <w:rPr>
          <w:rFonts w:hint="eastAsia" w:hAnsi="宋体" w:cs="宋体"/>
          <w:color w:val="auto"/>
          <w:kern w:val="0"/>
          <w:highlight w:val="none"/>
        </w:rPr>
        <w:t>的工程款作为处罚。</w:t>
      </w:r>
    </w:p>
    <w:p w14:paraId="16CBEA80">
      <w:pPr>
        <w:pageBreakBefore w:val="0"/>
        <w:widowControl w:val="0"/>
        <w:kinsoku/>
        <w:wordWrap/>
        <w:overflowPunct/>
        <w:topLinePunct w:val="0"/>
        <w:bidi w:val="0"/>
        <w:spacing w:line="360" w:lineRule="auto"/>
        <w:ind w:firstLine="420" w:firstLineChars="200"/>
        <w:jc w:val="left"/>
        <w:textAlignment w:val="auto"/>
        <w:rPr>
          <w:rFonts w:hAnsi="宋体"/>
          <w:color w:val="auto"/>
          <w:kern w:val="0"/>
          <w:highlight w:val="none"/>
        </w:rPr>
      </w:pPr>
      <w:r>
        <w:rPr>
          <w:rFonts w:hint="eastAsia" w:hAnsi="宋体" w:cs="宋体"/>
          <w:color w:val="auto"/>
          <w:kern w:val="0"/>
          <w:highlight w:val="none"/>
        </w:rPr>
        <w:t>（</w:t>
      </w:r>
      <w:r>
        <w:rPr>
          <w:color w:val="auto"/>
          <w:kern w:val="0"/>
          <w:highlight w:val="none"/>
        </w:rPr>
        <w:t>2</w:t>
      </w:r>
      <w:r>
        <w:rPr>
          <w:rFonts w:hint="eastAsia" w:hAnsi="宋体" w:cs="宋体"/>
          <w:color w:val="auto"/>
          <w:kern w:val="0"/>
          <w:highlight w:val="none"/>
        </w:rPr>
        <w:t>）承包人有本合同通用条款第</w:t>
      </w:r>
      <w:r>
        <w:rPr>
          <w:color w:val="auto"/>
          <w:kern w:val="0"/>
          <w:highlight w:val="none"/>
        </w:rPr>
        <w:t>16.2.1</w:t>
      </w:r>
      <w:r>
        <w:rPr>
          <w:rFonts w:hint="eastAsia" w:hAnsi="宋体" w:cs="宋体"/>
          <w:color w:val="auto"/>
          <w:kern w:val="0"/>
          <w:highlight w:val="none"/>
        </w:rPr>
        <w:t>（</w:t>
      </w:r>
      <w:r>
        <w:rPr>
          <w:color w:val="auto"/>
          <w:kern w:val="0"/>
          <w:highlight w:val="none"/>
        </w:rPr>
        <w:t>6</w:t>
      </w:r>
      <w:r>
        <w:rPr>
          <w:rFonts w:hint="eastAsia" w:hAnsi="宋体" w:cs="宋体"/>
          <w:color w:val="auto"/>
          <w:kern w:val="0"/>
          <w:highlight w:val="none"/>
        </w:rPr>
        <w:t>）条情形的，或经监理人检验认为修复质量不合格而承包人拒绝再进行修补的，发包人将扣除承包人全部质量保证金。</w:t>
      </w:r>
    </w:p>
    <w:p w14:paraId="32B56903">
      <w:pPr>
        <w:pageBreakBefore w:val="0"/>
        <w:widowControl w:val="0"/>
        <w:kinsoku/>
        <w:wordWrap/>
        <w:overflowPunct/>
        <w:topLinePunct w:val="0"/>
        <w:bidi w:val="0"/>
        <w:spacing w:line="360" w:lineRule="auto"/>
        <w:ind w:firstLine="420" w:firstLineChars="200"/>
        <w:jc w:val="left"/>
        <w:textAlignment w:val="auto"/>
        <w:rPr>
          <w:rFonts w:hAnsi="宋体"/>
          <w:color w:val="auto"/>
          <w:kern w:val="0"/>
          <w:highlight w:val="none"/>
        </w:rPr>
      </w:pPr>
      <w:r>
        <w:rPr>
          <w:rFonts w:hint="eastAsia" w:hAnsi="宋体" w:cs="宋体"/>
          <w:color w:val="auto"/>
          <w:kern w:val="0"/>
          <w:highlight w:val="none"/>
        </w:rPr>
        <w:t>（</w:t>
      </w:r>
      <w:r>
        <w:rPr>
          <w:color w:val="auto"/>
          <w:kern w:val="0"/>
          <w:highlight w:val="none"/>
        </w:rPr>
        <w:t>3</w:t>
      </w:r>
      <w:r>
        <w:rPr>
          <w:rFonts w:hint="eastAsia" w:hAnsi="宋体" w:cs="宋体"/>
          <w:color w:val="auto"/>
          <w:kern w:val="0"/>
          <w:highlight w:val="none"/>
        </w:rPr>
        <w:t>）承包人有本专用合同条款</w:t>
      </w:r>
      <w:r>
        <w:rPr>
          <w:color w:val="auto"/>
          <w:kern w:val="0"/>
          <w:highlight w:val="none"/>
        </w:rPr>
        <w:t>3.2</w:t>
      </w:r>
      <w:r>
        <w:rPr>
          <w:rFonts w:hint="eastAsia" w:hAnsi="宋体" w:cs="宋体"/>
          <w:color w:val="auto"/>
          <w:kern w:val="0"/>
          <w:highlight w:val="none"/>
        </w:rPr>
        <w:t>、</w:t>
      </w:r>
      <w:r>
        <w:rPr>
          <w:color w:val="auto"/>
          <w:kern w:val="0"/>
          <w:highlight w:val="none"/>
        </w:rPr>
        <w:t>3.3</w:t>
      </w:r>
      <w:r>
        <w:rPr>
          <w:rFonts w:hint="eastAsia" w:hAnsi="宋体" w:cs="宋体"/>
          <w:color w:val="auto"/>
          <w:kern w:val="0"/>
          <w:highlight w:val="none"/>
        </w:rPr>
        <w:t>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338D84BA">
      <w:pPr>
        <w:pageBreakBefore w:val="0"/>
        <w:widowControl w:val="0"/>
        <w:kinsoku/>
        <w:wordWrap/>
        <w:overflowPunct/>
        <w:topLinePunct w:val="0"/>
        <w:bidi w:val="0"/>
        <w:spacing w:line="360" w:lineRule="auto"/>
        <w:ind w:firstLine="420" w:firstLineChars="200"/>
        <w:jc w:val="left"/>
        <w:textAlignment w:val="auto"/>
        <w:rPr>
          <w:rFonts w:hAnsi="宋体"/>
          <w:color w:val="auto"/>
          <w:highlight w:val="none"/>
        </w:rPr>
      </w:pPr>
      <w:r>
        <w:rPr>
          <w:color w:val="auto"/>
          <w:highlight w:val="none"/>
        </w:rPr>
        <w:t xml:space="preserve">16.2.3 </w:t>
      </w:r>
      <w:r>
        <w:rPr>
          <w:rFonts w:hint="eastAsia" w:hAnsi="宋体" w:cs="宋体"/>
          <w:color w:val="auto"/>
          <w:highlight w:val="none"/>
        </w:rPr>
        <w:t>因承包人违约解除合同</w:t>
      </w:r>
    </w:p>
    <w:p w14:paraId="0C4FB73C">
      <w:pPr>
        <w:pageBreakBefore w:val="0"/>
        <w:widowControl w:val="0"/>
        <w:kinsoku/>
        <w:wordWrap/>
        <w:overflowPunct/>
        <w:topLinePunct w:val="0"/>
        <w:bidi w:val="0"/>
        <w:spacing w:line="360" w:lineRule="auto"/>
        <w:ind w:firstLine="420" w:firstLineChars="200"/>
        <w:jc w:val="left"/>
        <w:textAlignment w:val="auto"/>
        <w:rPr>
          <w:rFonts w:hAnsi="宋体"/>
          <w:color w:val="auto"/>
          <w:kern w:val="0"/>
          <w:highlight w:val="none"/>
        </w:rPr>
      </w:pPr>
      <w:r>
        <w:rPr>
          <w:rFonts w:hint="eastAsia" w:hAnsi="宋体" w:cs="宋体"/>
          <w:color w:val="auto"/>
          <w:kern w:val="0"/>
          <w:highlight w:val="none"/>
        </w:rPr>
        <w:t>关于承包人违约解除合同的特别约定：</w:t>
      </w:r>
      <w:r>
        <w:rPr>
          <w:rFonts w:hint="eastAsia" w:hAnsi="宋体" w:cs="宋体"/>
          <w:color w:val="auto"/>
          <w:kern w:val="0"/>
          <w:highlight w:val="none"/>
          <w:u w:val="single"/>
        </w:rPr>
        <w:t>承包人有违反以下情况之一的，发包人有权解除合同，并没收其全部履约保证金</w:t>
      </w:r>
      <w:r>
        <w:rPr>
          <w:rFonts w:hint="eastAsia" w:hAnsi="宋体" w:cs="宋体"/>
          <w:color w:val="auto"/>
          <w:kern w:val="0"/>
          <w:highlight w:val="none"/>
        </w:rPr>
        <w:t>。</w:t>
      </w:r>
    </w:p>
    <w:p w14:paraId="0CEF6C4C">
      <w:pPr>
        <w:pageBreakBefore w:val="0"/>
        <w:widowControl w:val="0"/>
        <w:kinsoku/>
        <w:wordWrap/>
        <w:overflowPunct/>
        <w:topLinePunct w:val="0"/>
        <w:bidi w:val="0"/>
        <w:spacing w:line="360" w:lineRule="auto"/>
        <w:ind w:firstLine="420" w:firstLineChars="200"/>
        <w:jc w:val="left"/>
        <w:textAlignment w:val="auto"/>
        <w:rPr>
          <w:rFonts w:hAnsi="宋体"/>
          <w:color w:val="auto"/>
          <w:kern w:val="0"/>
          <w:highlight w:val="none"/>
        </w:rPr>
      </w:pPr>
      <w:r>
        <w:rPr>
          <w:rFonts w:hint="eastAsia"/>
          <w:color w:val="auto"/>
          <w:kern w:val="0"/>
          <w:highlight w:val="none"/>
          <w:lang w:eastAsia="zh-CN"/>
        </w:rPr>
        <w:t>（</w:t>
      </w:r>
      <w:r>
        <w:rPr>
          <w:color w:val="auto"/>
          <w:kern w:val="0"/>
          <w:highlight w:val="none"/>
        </w:rPr>
        <w:t>1</w:t>
      </w:r>
      <w:r>
        <w:rPr>
          <w:rFonts w:hint="eastAsia"/>
          <w:color w:val="auto"/>
          <w:kern w:val="0"/>
          <w:highlight w:val="none"/>
          <w:lang w:eastAsia="zh-CN"/>
        </w:rPr>
        <w:t>）</w:t>
      </w:r>
      <w:r>
        <w:rPr>
          <w:rFonts w:hint="eastAsia" w:hAnsi="宋体" w:cs="宋体"/>
          <w:color w:val="auto"/>
          <w:kern w:val="0"/>
          <w:highlight w:val="none"/>
        </w:rPr>
        <w:t>承包人无正当理由不按开工通知的要求及时进场组织施工和不按签订协议书时商定的进度计划有效地开展施工准备，造成工期延误的；</w:t>
      </w:r>
    </w:p>
    <w:p w14:paraId="12E9EA2B">
      <w:pPr>
        <w:pageBreakBefore w:val="0"/>
        <w:widowControl w:val="0"/>
        <w:kinsoku/>
        <w:wordWrap/>
        <w:overflowPunct/>
        <w:topLinePunct w:val="0"/>
        <w:bidi w:val="0"/>
        <w:spacing w:line="360" w:lineRule="auto"/>
        <w:ind w:firstLine="420" w:firstLineChars="200"/>
        <w:jc w:val="left"/>
        <w:textAlignment w:val="auto"/>
        <w:rPr>
          <w:rFonts w:hAnsi="宋体"/>
          <w:color w:val="auto"/>
          <w:kern w:val="0"/>
          <w:highlight w:val="none"/>
        </w:rPr>
      </w:pPr>
      <w:r>
        <w:rPr>
          <w:rFonts w:hint="eastAsia"/>
          <w:color w:val="auto"/>
          <w:kern w:val="0"/>
          <w:highlight w:val="none"/>
          <w:lang w:eastAsia="zh-CN"/>
        </w:rPr>
        <w:t>（</w:t>
      </w:r>
      <w:r>
        <w:rPr>
          <w:color w:val="auto"/>
          <w:kern w:val="0"/>
          <w:highlight w:val="none"/>
        </w:rPr>
        <w:t>2</w:t>
      </w:r>
      <w:r>
        <w:rPr>
          <w:rFonts w:hint="eastAsia"/>
          <w:color w:val="auto"/>
          <w:kern w:val="0"/>
          <w:highlight w:val="none"/>
          <w:lang w:eastAsia="zh-CN"/>
        </w:rPr>
        <w:t>）</w:t>
      </w:r>
      <w:r>
        <w:rPr>
          <w:rFonts w:hint="eastAsia" w:hAnsi="宋体" w:cs="宋体"/>
          <w:color w:val="auto"/>
          <w:kern w:val="0"/>
          <w:highlight w:val="none"/>
        </w:rPr>
        <w:t>承包人违反本合同通用条款第</w:t>
      </w:r>
      <w:r>
        <w:rPr>
          <w:color w:val="auto"/>
          <w:kern w:val="0"/>
          <w:highlight w:val="none"/>
        </w:rPr>
        <w:t>3.5</w:t>
      </w:r>
      <w:r>
        <w:rPr>
          <w:rFonts w:hint="eastAsia" w:hAnsi="宋体" w:cs="宋体"/>
          <w:color w:val="auto"/>
          <w:kern w:val="0"/>
          <w:highlight w:val="none"/>
        </w:rPr>
        <w:t>条规定私自将合同或合同的任何部分或任何权利转让给其他人，或私自将工程或工程的一部分分包出去的；</w:t>
      </w:r>
    </w:p>
    <w:p w14:paraId="5CD4DCC6">
      <w:pPr>
        <w:pageBreakBefore w:val="0"/>
        <w:widowControl w:val="0"/>
        <w:kinsoku/>
        <w:wordWrap/>
        <w:overflowPunct/>
        <w:topLinePunct w:val="0"/>
        <w:bidi w:val="0"/>
        <w:spacing w:line="360" w:lineRule="auto"/>
        <w:ind w:firstLine="420" w:firstLineChars="200"/>
        <w:jc w:val="left"/>
        <w:textAlignment w:val="auto"/>
        <w:rPr>
          <w:rFonts w:hAnsi="宋体"/>
          <w:color w:val="auto"/>
          <w:kern w:val="0"/>
          <w:highlight w:val="none"/>
        </w:rPr>
      </w:pPr>
      <w:r>
        <w:rPr>
          <w:rFonts w:hint="eastAsia"/>
          <w:color w:val="auto"/>
          <w:kern w:val="0"/>
          <w:highlight w:val="none"/>
          <w:lang w:eastAsia="zh-CN"/>
        </w:rPr>
        <w:t>（</w:t>
      </w:r>
      <w:r>
        <w:rPr>
          <w:color w:val="auto"/>
          <w:kern w:val="0"/>
          <w:highlight w:val="none"/>
        </w:rPr>
        <w:t>3</w:t>
      </w:r>
      <w:r>
        <w:rPr>
          <w:rFonts w:hint="eastAsia"/>
          <w:color w:val="auto"/>
          <w:kern w:val="0"/>
          <w:highlight w:val="none"/>
          <w:lang w:eastAsia="zh-CN"/>
        </w:rPr>
        <w:t>）</w:t>
      </w:r>
      <w:r>
        <w:rPr>
          <w:rFonts w:hint="eastAsia" w:hAnsi="宋体" w:cs="宋体"/>
          <w:color w:val="auto"/>
          <w:kern w:val="0"/>
          <w:highlight w:val="none"/>
        </w:rPr>
        <w:t>未经监理人批准，承包人私自将已按投标文件承诺进入工地的工程设备、施工设备、临时工程或材料撤离工地的；</w:t>
      </w:r>
    </w:p>
    <w:p w14:paraId="62DA05FE">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color w:val="auto"/>
          <w:kern w:val="0"/>
          <w:highlight w:val="none"/>
          <w:lang w:eastAsia="zh-CN"/>
        </w:rPr>
        <w:t>（</w:t>
      </w:r>
      <w:r>
        <w:rPr>
          <w:color w:val="auto"/>
          <w:kern w:val="0"/>
          <w:highlight w:val="none"/>
        </w:rPr>
        <w:t>4</w:t>
      </w:r>
      <w:r>
        <w:rPr>
          <w:rFonts w:hint="eastAsia"/>
          <w:color w:val="auto"/>
          <w:kern w:val="0"/>
          <w:highlight w:val="none"/>
          <w:lang w:eastAsia="zh-CN"/>
        </w:rPr>
        <w:t>）</w:t>
      </w:r>
      <w:r>
        <w:rPr>
          <w:rFonts w:hint="eastAsia" w:hAnsi="宋体" w:cs="宋体"/>
          <w:color w:val="auto"/>
          <w:kern w:val="0"/>
          <w:highlight w:val="none"/>
        </w:rPr>
        <w:t>由于承包人原因拒绝按合同进度计划及时完成合同规定的工程，而又未采取有效措施赶上进度，造成工期严重延误的；</w:t>
      </w:r>
    </w:p>
    <w:p w14:paraId="4CFFD3B7">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color w:val="auto"/>
          <w:kern w:val="0"/>
          <w:highlight w:val="none"/>
          <w:lang w:eastAsia="zh-CN"/>
        </w:rPr>
        <w:t>（</w:t>
      </w:r>
      <w:r>
        <w:rPr>
          <w:color w:val="auto"/>
          <w:kern w:val="0"/>
          <w:highlight w:val="none"/>
        </w:rPr>
        <w:t>5</w:t>
      </w:r>
      <w:r>
        <w:rPr>
          <w:rFonts w:hint="eastAsia"/>
          <w:color w:val="auto"/>
          <w:kern w:val="0"/>
          <w:highlight w:val="none"/>
          <w:lang w:eastAsia="zh-CN"/>
        </w:rPr>
        <w:t>）</w:t>
      </w:r>
      <w:r>
        <w:rPr>
          <w:rFonts w:hint="eastAsia" w:hAnsi="宋体" w:cs="宋体"/>
          <w:color w:val="auto"/>
          <w:kern w:val="0"/>
          <w:highlight w:val="none"/>
        </w:rPr>
        <w:t>承包人否认合同有效或拒绝履行合同规定的承包人义务，或由于法律、财务等原因导致承包人无法继续履行或实质上已停止履行合同的义务的；</w:t>
      </w:r>
    </w:p>
    <w:p w14:paraId="6E2BFCE4">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color w:val="auto"/>
          <w:kern w:val="0"/>
          <w:highlight w:val="none"/>
          <w:lang w:eastAsia="zh-CN"/>
        </w:rPr>
        <w:t>（</w:t>
      </w:r>
      <w:r>
        <w:rPr>
          <w:color w:val="auto"/>
          <w:kern w:val="0"/>
          <w:highlight w:val="none"/>
        </w:rPr>
        <w:t>6</w:t>
      </w:r>
      <w:r>
        <w:rPr>
          <w:rFonts w:hint="eastAsia"/>
          <w:color w:val="auto"/>
          <w:kern w:val="0"/>
          <w:highlight w:val="none"/>
          <w:lang w:eastAsia="zh-CN"/>
        </w:rPr>
        <w:t>）</w:t>
      </w:r>
      <w:r>
        <w:rPr>
          <w:rFonts w:hint="eastAsia" w:hAnsi="宋体" w:cs="宋体"/>
          <w:color w:val="auto"/>
          <w:kern w:val="0"/>
          <w:highlight w:val="none"/>
        </w:rPr>
        <w:t>合同签订</w:t>
      </w:r>
      <w:r>
        <w:rPr>
          <w:rFonts w:hint="eastAsia" w:ascii="仿宋_GB2312" w:hAnsi="宋体" w:cs="宋体"/>
          <w:color w:val="auto"/>
          <w:highlight w:val="none"/>
        </w:rPr>
        <w:t>且具备法定开工条件后</w:t>
      </w:r>
      <w:r>
        <w:rPr>
          <w:rFonts w:hint="eastAsia" w:hAnsi="宋体" w:cs="宋体"/>
          <w:color w:val="auto"/>
          <w:kern w:val="0"/>
          <w:highlight w:val="none"/>
        </w:rPr>
        <w:t>之日起十五日内，承包人无法按合同规定及投标文件的承诺进场经监理工程师认可的该</w:t>
      </w:r>
      <w:r>
        <w:rPr>
          <w:rFonts w:hAnsi="宋体" w:cs="宋体"/>
          <w:color w:val="auto"/>
          <w:kern w:val="0"/>
          <w:highlight w:val="none"/>
        </w:rPr>
        <w:t>施工</w:t>
      </w:r>
      <w:r>
        <w:rPr>
          <w:rFonts w:hint="eastAsia" w:hAnsi="宋体" w:cs="宋体"/>
          <w:color w:val="auto"/>
          <w:kern w:val="0"/>
          <w:highlight w:val="none"/>
        </w:rPr>
        <w:t>阶段</w:t>
      </w:r>
      <w:r>
        <w:rPr>
          <w:rFonts w:hAnsi="宋体" w:cs="宋体"/>
          <w:color w:val="auto"/>
          <w:kern w:val="0"/>
          <w:highlight w:val="none"/>
        </w:rPr>
        <w:t>应有的</w:t>
      </w:r>
      <w:r>
        <w:rPr>
          <w:rFonts w:hint="eastAsia" w:hAnsi="宋体" w:cs="宋体"/>
          <w:color w:val="auto"/>
          <w:kern w:val="0"/>
          <w:highlight w:val="none"/>
        </w:rPr>
        <w:t>全部人员和机械的。</w:t>
      </w:r>
    </w:p>
    <w:p w14:paraId="0FFE517A">
      <w:pPr>
        <w:pageBreakBefore w:val="0"/>
        <w:widowControl w:val="0"/>
        <w:kinsoku/>
        <w:wordWrap/>
        <w:overflowPunct/>
        <w:topLinePunct w:val="0"/>
        <w:bidi w:val="0"/>
        <w:spacing w:line="360" w:lineRule="auto"/>
        <w:ind w:firstLine="420" w:firstLineChars="200"/>
        <w:textAlignment w:val="auto"/>
        <w:rPr>
          <w:color w:val="auto"/>
          <w:kern w:val="0"/>
          <w:highlight w:val="none"/>
        </w:rPr>
      </w:pPr>
      <w:r>
        <w:rPr>
          <w:rFonts w:hint="eastAsia" w:hAnsi="宋体" w:cs="宋体"/>
          <w:color w:val="auto"/>
          <w:kern w:val="0"/>
          <w:highlight w:val="none"/>
        </w:rPr>
        <w:t>发包人继续使用承包人在施工现场的材料、设备、临时工程、承包人文件和由承包人或以其名义编制的其他文件的费用承担方式：</w:t>
      </w:r>
      <w:r>
        <w:rPr>
          <w:color w:val="auto"/>
          <w:kern w:val="0"/>
          <w:highlight w:val="none"/>
          <w:u w:val="single"/>
        </w:rPr>
        <w:t xml:space="preserve">  </w:t>
      </w:r>
      <w:r>
        <w:rPr>
          <w:rFonts w:hint="eastAsia"/>
          <w:color w:val="auto"/>
          <w:kern w:val="0"/>
          <w:highlight w:val="none"/>
          <w:u w:val="single"/>
        </w:rPr>
        <w:t>另行协商</w:t>
      </w:r>
      <w:r>
        <w:rPr>
          <w:color w:val="auto"/>
          <w:kern w:val="0"/>
          <w:highlight w:val="none"/>
          <w:u w:val="single"/>
        </w:rPr>
        <w:t xml:space="preserve">  </w:t>
      </w:r>
      <w:r>
        <w:rPr>
          <w:rFonts w:hint="eastAsia" w:hAnsi="宋体" w:cs="宋体"/>
          <w:color w:val="auto"/>
          <w:kern w:val="0"/>
          <w:highlight w:val="none"/>
        </w:rPr>
        <w:t>。</w:t>
      </w:r>
    </w:p>
    <w:p w14:paraId="50802ADE">
      <w:pPr>
        <w:pStyle w:val="5"/>
        <w:pageBreakBefore w:val="0"/>
        <w:widowControl w:val="0"/>
        <w:kinsoku/>
        <w:wordWrap/>
        <w:overflowPunct/>
        <w:topLinePunct w:val="0"/>
        <w:bidi w:val="0"/>
        <w:spacing w:before="0" w:after="0" w:line="360" w:lineRule="auto"/>
        <w:textAlignment w:val="auto"/>
        <w:rPr>
          <w:color w:val="auto"/>
          <w:highlight w:val="none"/>
        </w:rPr>
      </w:pPr>
      <w:bookmarkStart w:id="1136" w:name="_Toc31017"/>
      <w:bookmarkStart w:id="1137" w:name="_Toc389065334"/>
      <w:bookmarkStart w:id="1138" w:name="_Toc407135272"/>
      <w:bookmarkStart w:id="1139" w:name="_Toc351203649"/>
      <w:bookmarkStart w:id="1140" w:name="_Toc373227769"/>
      <w:bookmarkStart w:id="1141" w:name="_Toc1753556740"/>
      <w:bookmarkStart w:id="1142" w:name="_Toc78449858"/>
      <w:bookmarkStart w:id="1143" w:name="_Toc373478416"/>
      <w:r>
        <w:rPr>
          <w:color w:val="auto"/>
          <w:highlight w:val="none"/>
        </w:rPr>
        <w:t xml:space="preserve">17. </w:t>
      </w:r>
      <w:r>
        <w:rPr>
          <w:rFonts w:hint="eastAsia" w:hAnsi="宋体" w:cs="黑体"/>
          <w:color w:val="auto"/>
          <w:highlight w:val="none"/>
        </w:rPr>
        <w:t>不可抗力</w:t>
      </w:r>
      <w:bookmarkEnd w:id="1136"/>
      <w:bookmarkEnd w:id="1137"/>
      <w:bookmarkEnd w:id="1138"/>
      <w:bookmarkEnd w:id="1139"/>
      <w:bookmarkEnd w:id="1140"/>
      <w:bookmarkEnd w:id="1141"/>
      <w:bookmarkEnd w:id="1142"/>
      <w:bookmarkEnd w:id="1143"/>
      <w:r>
        <w:rPr>
          <w:color w:val="auto"/>
          <w:highlight w:val="none"/>
        </w:rPr>
        <w:t xml:space="preserve"> </w:t>
      </w:r>
      <w:bookmarkEnd w:id="1120"/>
    </w:p>
    <w:p w14:paraId="451D7D9E">
      <w:pPr>
        <w:pStyle w:val="6"/>
        <w:pageBreakBefore w:val="0"/>
        <w:widowControl w:val="0"/>
        <w:kinsoku/>
        <w:wordWrap/>
        <w:overflowPunct/>
        <w:topLinePunct w:val="0"/>
        <w:bidi w:val="0"/>
        <w:spacing w:before="0" w:after="0" w:line="360" w:lineRule="auto"/>
        <w:textAlignment w:val="auto"/>
        <w:rPr>
          <w:color w:val="auto"/>
          <w:highlight w:val="none"/>
        </w:rPr>
      </w:pPr>
      <w:bookmarkStart w:id="1144" w:name="_Toc407135273"/>
      <w:bookmarkStart w:id="1145" w:name="_Toc373227770"/>
      <w:bookmarkStart w:id="1146" w:name="_Toc18971"/>
      <w:bookmarkStart w:id="1147" w:name="_Toc389065335"/>
      <w:bookmarkStart w:id="1148" w:name="_Toc78449859"/>
      <w:bookmarkStart w:id="1149" w:name="_Toc373478417"/>
      <w:bookmarkStart w:id="1150" w:name="_Toc429574049"/>
      <w:r>
        <w:rPr>
          <w:color w:val="auto"/>
          <w:highlight w:val="none"/>
        </w:rPr>
        <w:t xml:space="preserve">17.1 </w:t>
      </w:r>
      <w:r>
        <w:rPr>
          <w:rFonts w:hint="eastAsia" w:cs="黑体"/>
          <w:color w:val="auto"/>
          <w:highlight w:val="none"/>
        </w:rPr>
        <w:t>不可抗力的确认</w:t>
      </w:r>
      <w:bookmarkEnd w:id="1144"/>
      <w:bookmarkEnd w:id="1145"/>
      <w:bookmarkEnd w:id="1146"/>
      <w:bookmarkEnd w:id="1147"/>
      <w:bookmarkEnd w:id="1148"/>
      <w:bookmarkEnd w:id="1149"/>
      <w:bookmarkEnd w:id="1150"/>
    </w:p>
    <w:p w14:paraId="3CBD2BD3">
      <w:pPr>
        <w:pageBreakBefore w:val="0"/>
        <w:widowControl w:val="0"/>
        <w:kinsoku/>
        <w:wordWrap/>
        <w:overflowPunct/>
        <w:topLinePunct w:val="0"/>
        <w:bidi w:val="0"/>
        <w:spacing w:line="360" w:lineRule="auto"/>
        <w:ind w:firstLine="420" w:firstLineChars="200"/>
        <w:jc w:val="left"/>
        <w:textAlignment w:val="auto"/>
        <w:rPr>
          <w:color w:val="auto"/>
          <w:kern w:val="0"/>
          <w:highlight w:val="none"/>
          <w:u w:val="single"/>
        </w:rPr>
      </w:pPr>
      <w:r>
        <w:rPr>
          <w:rFonts w:hint="eastAsia" w:hAnsi="宋体" w:cs="宋体"/>
          <w:color w:val="auto"/>
          <w:highlight w:val="none"/>
        </w:rPr>
        <w:t>除通用合同条款约定的不可抗力事件之外，视为不可抗力的其他情形：</w:t>
      </w:r>
      <w:r>
        <w:rPr>
          <w:color w:val="auto"/>
          <w:kern w:val="0"/>
          <w:highlight w:val="none"/>
          <w:u w:val="single"/>
        </w:rPr>
        <w:t xml:space="preserve"> </w:t>
      </w:r>
      <w:r>
        <w:rPr>
          <w:rFonts w:hint="eastAsia"/>
          <w:color w:val="auto"/>
          <w:kern w:val="0"/>
          <w:highlight w:val="none"/>
          <w:u w:val="single"/>
        </w:rPr>
        <w:t>（1）当地8级以上的破坏性地震；（2）暴雨级以上的持续3天的大雨；（3）5年以上未发生过的、持续5天的高温天气；（4）百年一遇的洪水；（5）12 级以上持大风 ；（6）山洪及泥石流</w:t>
      </w:r>
      <w:r>
        <w:rPr>
          <w:rFonts w:hint="eastAsia"/>
          <w:color w:val="auto"/>
          <w:kern w:val="0"/>
          <w:highlight w:val="none"/>
          <w:u w:val="single"/>
          <w:lang w:val="en-US" w:eastAsia="zh-CN"/>
        </w:rPr>
        <w:t xml:space="preserve"> </w:t>
      </w:r>
      <w:r>
        <w:rPr>
          <w:color w:val="auto"/>
          <w:kern w:val="0"/>
          <w:highlight w:val="none"/>
          <w:u w:val="single"/>
        </w:rPr>
        <w:t xml:space="preserve"> </w:t>
      </w:r>
      <w:r>
        <w:rPr>
          <w:rFonts w:hint="eastAsia" w:hAnsi="宋体" w:cs="宋体"/>
          <w:color w:val="auto"/>
          <w:kern w:val="0"/>
          <w:highlight w:val="none"/>
        </w:rPr>
        <w:t>。</w:t>
      </w:r>
    </w:p>
    <w:p w14:paraId="7FF2AA0B">
      <w:pPr>
        <w:pStyle w:val="6"/>
        <w:pageBreakBefore w:val="0"/>
        <w:widowControl w:val="0"/>
        <w:kinsoku/>
        <w:wordWrap/>
        <w:overflowPunct/>
        <w:topLinePunct w:val="0"/>
        <w:bidi w:val="0"/>
        <w:spacing w:before="0" w:after="0" w:line="360" w:lineRule="auto"/>
        <w:textAlignment w:val="auto"/>
        <w:rPr>
          <w:color w:val="auto"/>
          <w:highlight w:val="none"/>
        </w:rPr>
      </w:pPr>
      <w:bookmarkStart w:id="1151" w:name="_Toc373478418"/>
      <w:bookmarkStart w:id="1152" w:name="_Toc373227771"/>
      <w:bookmarkStart w:id="1153" w:name="_Toc1951449751"/>
      <w:bookmarkStart w:id="1154" w:name="_Toc389065336"/>
      <w:bookmarkStart w:id="1155" w:name="_Toc407135274"/>
      <w:bookmarkStart w:id="1156" w:name="_Toc78449860"/>
      <w:bookmarkStart w:id="1157" w:name="_Toc9904"/>
      <w:r>
        <w:rPr>
          <w:color w:val="auto"/>
          <w:highlight w:val="none"/>
        </w:rPr>
        <w:t xml:space="preserve">17.4 </w:t>
      </w:r>
      <w:r>
        <w:rPr>
          <w:rFonts w:hint="eastAsia" w:cs="黑体"/>
          <w:color w:val="auto"/>
          <w:highlight w:val="none"/>
        </w:rPr>
        <w:t>因不可抗力解除合同</w:t>
      </w:r>
      <w:bookmarkEnd w:id="1151"/>
      <w:bookmarkEnd w:id="1152"/>
      <w:bookmarkEnd w:id="1153"/>
      <w:bookmarkEnd w:id="1154"/>
      <w:bookmarkEnd w:id="1155"/>
      <w:bookmarkEnd w:id="1156"/>
      <w:bookmarkEnd w:id="1157"/>
    </w:p>
    <w:p w14:paraId="0FA8363A">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合同解除后，发包人应在商定或确定发包人应支付款项后</w:t>
      </w:r>
      <w:r>
        <w:rPr>
          <w:color w:val="auto"/>
          <w:highlight w:val="none"/>
          <w:u w:val="single"/>
        </w:rPr>
        <w:t xml:space="preserve"> </w:t>
      </w:r>
      <w:r>
        <w:rPr>
          <w:rFonts w:hint="eastAsia"/>
          <w:color w:val="auto"/>
          <w:highlight w:val="none"/>
          <w:u w:val="single"/>
          <w:lang w:val="en-US" w:eastAsia="zh-CN"/>
        </w:rPr>
        <w:t>30</w:t>
      </w:r>
      <w:r>
        <w:rPr>
          <w:color w:val="auto"/>
          <w:highlight w:val="none"/>
          <w:u w:val="single"/>
        </w:rPr>
        <w:t xml:space="preserve"> </w:t>
      </w:r>
      <w:r>
        <w:rPr>
          <w:rFonts w:hint="eastAsia" w:hAnsi="宋体" w:cs="宋体"/>
          <w:color w:val="auto"/>
          <w:highlight w:val="none"/>
        </w:rPr>
        <w:t>天内完成款项的支付。</w:t>
      </w:r>
    </w:p>
    <w:p w14:paraId="7CC8B3E0">
      <w:pPr>
        <w:pStyle w:val="5"/>
        <w:pageBreakBefore w:val="0"/>
        <w:widowControl w:val="0"/>
        <w:kinsoku/>
        <w:wordWrap/>
        <w:overflowPunct/>
        <w:topLinePunct w:val="0"/>
        <w:bidi w:val="0"/>
        <w:spacing w:before="0" w:after="0" w:line="360" w:lineRule="auto"/>
        <w:textAlignment w:val="auto"/>
        <w:rPr>
          <w:color w:val="auto"/>
          <w:highlight w:val="none"/>
        </w:rPr>
      </w:pPr>
      <w:bookmarkStart w:id="1158" w:name="_Toc373478419"/>
      <w:bookmarkStart w:id="1159" w:name="_Toc78449861"/>
      <w:bookmarkStart w:id="1160" w:name="_Toc56822299"/>
      <w:bookmarkStart w:id="1161" w:name="_Toc351203650"/>
      <w:bookmarkStart w:id="1162" w:name="_Toc373227772"/>
      <w:bookmarkStart w:id="1163" w:name="_Toc389065337"/>
      <w:bookmarkStart w:id="1164" w:name="_Toc29156"/>
      <w:bookmarkStart w:id="1165" w:name="_Toc407135275"/>
      <w:r>
        <w:rPr>
          <w:color w:val="auto"/>
          <w:highlight w:val="none"/>
        </w:rPr>
        <w:t xml:space="preserve">18. </w:t>
      </w:r>
      <w:r>
        <w:rPr>
          <w:rFonts w:hint="eastAsia" w:hAnsi="宋体" w:cs="黑体"/>
          <w:color w:val="auto"/>
          <w:highlight w:val="none"/>
        </w:rPr>
        <w:t>保险</w:t>
      </w:r>
      <w:bookmarkEnd w:id="1158"/>
      <w:bookmarkEnd w:id="1159"/>
      <w:bookmarkEnd w:id="1160"/>
      <w:bookmarkEnd w:id="1161"/>
      <w:bookmarkEnd w:id="1162"/>
      <w:bookmarkEnd w:id="1163"/>
      <w:bookmarkEnd w:id="1164"/>
      <w:bookmarkEnd w:id="1165"/>
    </w:p>
    <w:bookmarkEnd w:id="1121"/>
    <w:p w14:paraId="21781C0E">
      <w:pPr>
        <w:pStyle w:val="6"/>
        <w:pageBreakBefore w:val="0"/>
        <w:widowControl w:val="0"/>
        <w:kinsoku/>
        <w:wordWrap/>
        <w:overflowPunct/>
        <w:topLinePunct w:val="0"/>
        <w:bidi w:val="0"/>
        <w:spacing w:before="0" w:after="0" w:line="360" w:lineRule="auto"/>
        <w:textAlignment w:val="auto"/>
        <w:rPr>
          <w:color w:val="auto"/>
          <w:highlight w:val="none"/>
        </w:rPr>
      </w:pPr>
      <w:bookmarkStart w:id="1166" w:name="_Toc373478420"/>
      <w:bookmarkStart w:id="1167" w:name="_Toc2075285517"/>
      <w:bookmarkStart w:id="1168" w:name="_Toc373227773"/>
      <w:bookmarkStart w:id="1169" w:name="_Toc16353"/>
      <w:bookmarkStart w:id="1170" w:name="_Toc407135276"/>
      <w:bookmarkStart w:id="1171" w:name="_Toc389065338"/>
      <w:bookmarkStart w:id="1172" w:name="_Toc78449862"/>
      <w:r>
        <w:rPr>
          <w:color w:val="auto"/>
          <w:highlight w:val="none"/>
        </w:rPr>
        <w:t xml:space="preserve">18.1 </w:t>
      </w:r>
      <w:r>
        <w:rPr>
          <w:rFonts w:hint="eastAsia" w:hAnsi="宋体" w:cs="黑体"/>
          <w:color w:val="auto"/>
          <w:highlight w:val="none"/>
        </w:rPr>
        <w:t>工程保险</w:t>
      </w:r>
      <w:bookmarkEnd w:id="1166"/>
      <w:bookmarkEnd w:id="1167"/>
      <w:bookmarkEnd w:id="1168"/>
      <w:bookmarkEnd w:id="1169"/>
      <w:bookmarkEnd w:id="1170"/>
      <w:bookmarkEnd w:id="1171"/>
      <w:bookmarkEnd w:id="1172"/>
    </w:p>
    <w:p w14:paraId="7ECDAC4D">
      <w:pPr>
        <w:pageBreakBefore w:val="0"/>
        <w:widowControl w:val="0"/>
        <w:kinsoku/>
        <w:wordWrap/>
        <w:overflowPunct/>
        <w:topLinePunct w:val="0"/>
        <w:bidi w:val="0"/>
        <w:spacing w:line="360" w:lineRule="auto"/>
        <w:ind w:firstLine="420" w:firstLineChars="200"/>
        <w:jc w:val="left"/>
        <w:textAlignment w:val="auto"/>
        <w:rPr>
          <w:rFonts w:hint="eastAsia"/>
          <w:color w:val="auto"/>
          <w:kern w:val="0"/>
          <w:highlight w:val="none"/>
          <w:u w:val="single"/>
        </w:rPr>
      </w:pPr>
      <w:r>
        <w:rPr>
          <w:rFonts w:hint="eastAsia" w:hAnsi="宋体" w:cs="宋体"/>
          <w:color w:val="auto"/>
          <w:highlight w:val="none"/>
        </w:rPr>
        <w:t>关于工程保险的特别约定：</w:t>
      </w:r>
      <w:r>
        <w:rPr>
          <w:color w:val="auto"/>
          <w:kern w:val="0"/>
          <w:highlight w:val="none"/>
          <w:u w:val="single"/>
        </w:rPr>
        <w:t xml:space="preserve">  </w:t>
      </w:r>
      <w:r>
        <w:rPr>
          <w:rFonts w:hint="eastAsia"/>
          <w:color w:val="auto"/>
          <w:kern w:val="0"/>
          <w:highlight w:val="none"/>
          <w:u w:val="single"/>
        </w:rPr>
        <w:t>本工程投保工程保险。投保工程保险时，险种为：工伤保险、意外伤害保险和第三者责任险，并符合以下约定：</w:t>
      </w:r>
    </w:p>
    <w:p w14:paraId="381258F5">
      <w:pPr>
        <w:pageBreakBefore w:val="0"/>
        <w:widowControl w:val="0"/>
        <w:kinsoku/>
        <w:wordWrap/>
        <w:overflowPunct/>
        <w:topLinePunct w:val="0"/>
        <w:bidi w:val="0"/>
        <w:spacing w:line="360" w:lineRule="auto"/>
        <w:ind w:firstLine="420" w:firstLineChars="200"/>
        <w:jc w:val="left"/>
        <w:textAlignment w:val="auto"/>
        <w:rPr>
          <w:rFonts w:hint="eastAsia"/>
          <w:color w:val="auto"/>
          <w:kern w:val="0"/>
          <w:highlight w:val="none"/>
          <w:u w:val="single"/>
        </w:rPr>
      </w:pPr>
      <w:r>
        <w:rPr>
          <w:rFonts w:hint="eastAsia"/>
          <w:color w:val="auto"/>
          <w:kern w:val="0"/>
          <w:highlight w:val="none"/>
          <w:u w:val="single"/>
        </w:rPr>
        <w:t>（1）投保人：承包人。</w:t>
      </w:r>
    </w:p>
    <w:p w14:paraId="15E0FCD3">
      <w:pPr>
        <w:pageBreakBefore w:val="0"/>
        <w:widowControl w:val="0"/>
        <w:kinsoku/>
        <w:wordWrap/>
        <w:overflowPunct/>
        <w:topLinePunct w:val="0"/>
        <w:bidi w:val="0"/>
        <w:spacing w:line="360" w:lineRule="auto"/>
        <w:ind w:firstLine="420" w:firstLineChars="200"/>
        <w:jc w:val="left"/>
        <w:textAlignment w:val="auto"/>
        <w:rPr>
          <w:rFonts w:hint="eastAsia"/>
          <w:color w:val="auto"/>
          <w:kern w:val="0"/>
          <w:highlight w:val="none"/>
          <w:u w:val="single"/>
        </w:rPr>
      </w:pPr>
      <w:r>
        <w:rPr>
          <w:rFonts w:hint="eastAsia"/>
          <w:color w:val="auto"/>
          <w:kern w:val="0"/>
          <w:highlight w:val="none"/>
          <w:u w:val="single"/>
        </w:rPr>
        <w:t>（2）投保内容：本工程的建设工程一切险和第三者责任险，由承包人负责具体投保及理赔事宜并经得发包人事先同意，投保费用由发包人负责；承包人还必须为施工现场从事施工的自所有作业人员和管理人员（包括负责本工程的发包人和监理单位的管理人员）办理意外伤害保险，费用由承包人负责。</w:t>
      </w:r>
    </w:p>
    <w:p w14:paraId="70C0F3B5">
      <w:pPr>
        <w:pageBreakBefore w:val="0"/>
        <w:widowControl w:val="0"/>
        <w:kinsoku/>
        <w:wordWrap/>
        <w:overflowPunct/>
        <w:topLinePunct w:val="0"/>
        <w:bidi w:val="0"/>
        <w:spacing w:line="360" w:lineRule="auto"/>
        <w:ind w:firstLine="420" w:firstLineChars="200"/>
        <w:jc w:val="left"/>
        <w:textAlignment w:val="auto"/>
        <w:rPr>
          <w:rFonts w:hint="eastAsia"/>
          <w:color w:val="auto"/>
          <w:kern w:val="0"/>
          <w:highlight w:val="none"/>
          <w:u w:val="single"/>
        </w:rPr>
      </w:pPr>
      <w:r>
        <w:rPr>
          <w:rFonts w:hint="eastAsia"/>
          <w:color w:val="auto"/>
          <w:kern w:val="0"/>
          <w:highlight w:val="none"/>
          <w:u w:val="single"/>
        </w:rPr>
        <w:t>（3）保险费率：由投保人与合同双方同意的保险人商定。</w:t>
      </w:r>
    </w:p>
    <w:p w14:paraId="725AEFF7">
      <w:pPr>
        <w:pageBreakBefore w:val="0"/>
        <w:widowControl w:val="0"/>
        <w:kinsoku/>
        <w:wordWrap/>
        <w:overflowPunct/>
        <w:topLinePunct w:val="0"/>
        <w:bidi w:val="0"/>
        <w:spacing w:line="360" w:lineRule="auto"/>
        <w:ind w:firstLine="420" w:firstLineChars="200"/>
        <w:jc w:val="left"/>
        <w:textAlignment w:val="auto"/>
        <w:rPr>
          <w:rFonts w:hint="eastAsia"/>
          <w:color w:val="auto"/>
          <w:kern w:val="0"/>
          <w:highlight w:val="none"/>
          <w:u w:val="single"/>
        </w:rPr>
      </w:pPr>
      <w:r>
        <w:rPr>
          <w:rFonts w:hint="eastAsia"/>
          <w:color w:val="auto"/>
          <w:kern w:val="0"/>
          <w:highlight w:val="none"/>
          <w:u w:val="single"/>
        </w:rPr>
        <w:t>（4）保险金额：根据有关规定确定。</w:t>
      </w:r>
    </w:p>
    <w:p w14:paraId="617CD3C1">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color w:val="auto"/>
          <w:kern w:val="0"/>
          <w:highlight w:val="none"/>
          <w:u w:val="single"/>
        </w:rPr>
        <w:t>（5）保险期限：工程实施期间</w:t>
      </w:r>
      <w:r>
        <w:rPr>
          <w:color w:val="auto"/>
          <w:kern w:val="0"/>
          <w:highlight w:val="none"/>
          <w:u w:val="single"/>
        </w:rPr>
        <w:t xml:space="preserve">  </w:t>
      </w:r>
      <w:r>
        <w:rPr>
          <w:rFonts w:hint="eastAsia" w:hAnsi="宋体" w:cs="宋体"/>
          <w:color w:val="auto"/>
          <w:kern w:val="0"/>
          <w:highlight w:val="none"/>
        </w:rPr>
        <w:t>。</w:t>
      </w:r>
    </w:p>
    <w:p w14:paraId="394924A0">
      <w:pPr>
        <w:pStyle w:val="6"/>
        <w:pageBreakBefore w:val="0"/>
        <w:widowControl w:val="0"/>
        <w:kinsoku/>
        <w:wordWrap/>
        <w:overflowPunct/>
        <w:topLinePunct w:val="0"/>
        <w:bidi w:val="0"/>
        <w:spacing w:before="0" w:after="0" w:line="360" w:lineRule="auto"/>
        <w:textAlignment w:val="auto"/>
        <w:rPr>
          <w:color w:val="auto"/>
          <w:highlight w:val="none"/>
        </w:rPr>
      </w:pPr>
      <w:bookmarkStart w:id="1173" w:name="_Toc407135277"/>
      <w:bookmarkStart w:id="1174" w:name="_Toc373227774"/>
      <w:bookmarkStart w:id="1175" w:name="_Toc78449863"/>
      <w:bookmarkStart w:id="1176" w:name="_Toc454766369"/>
      <w:bookmarkStart w:id="1177" w:name="_Toc373478421"/>
      <w:bookmarkStart w:id="1178" w:name="_Toc389065339"/>
      <w:bookmarkStart w:id="1179" w:name="_Toc4043"/>
      <w:r>
        <w:rPr>
          <w:color w:val="auto"/>
          <w:highlight w:val="none"/>
        </w:rPr>
        <w:t xml:space="preserve">18.3 </w:t>
      </w:r>
      <w:r>
        <w:rPr>
          <w:rFonts w:hint="eastAsia" w:hAnsi="宋体" w:cs="黑体"/>
          <w:color w:val="auto"/>
          <w:highlight w:val="none"/>
        </w:rPr>
        <w:t>其他保险</w:t>
      </w:r>
      <w:bookmarkEnd w:id="1173"/>
      <w:bookmarkEnd w:id="1174"/>
      <w:bookmarkEnd w:id="1175"/>
      <w:bookmarkEnd w:id="1176"/>
      <w:bookmarkEnd w:id="1177"/>
      <w:bookmarkEnd w:id="1178"/>
      <w:bookmarkEnd w:id="1179"/>
    </w:p>
    <w:p w14:paraId="1492B49D">
      <w:pPr>
        <w:pageBreakBefore w:val="0"/>
        <w:widowControl w:val="0"/>
        <w:kinsoku/>
        <w:wordWrap/>
        <w:overflowPunct/>
        <w:topLinePunct w:val="0"/>
        <w:bidi w:val="0"/>
        <w:spacing w:line="360" w:lineRule="auto"/>
        <w:ind w:firstLine="420" w:firstLineChars="200"/>
        <w:jc w:val="left"/>
        <w:textAlignment w:val="auto"/>
        <w:rPr>
          <w:color w:val="auto"/>
          <w:kern w:val="0"/>
          <w:highlight w:val="none"/>
        </w:rPr>
      </w:pPr>
      <w:r>
        <w:rPr>
          <w:rFonts w:hint="eastAsia" w:hAnsi="宋体" w:cs="宋体"/>
          <w:color w:val="auto"/>
          <w:highlight w:val="none"/>
        </w:rPr>
        <w:t>关于其他保险的约定：</w:t>
      </w:r>
      <w:r>
        <w:rPr>
          <w:rFonts w:hAnsi="宋体"/>
          <w:color w:val="auto"/>
          <w:highlight w:val="none"/>
          <w:u w:val="single"/>
        </w:rPr>
        <w:t xml:space="preserve"> </w:t>
      </w:r>
      <w:r>
        <w:rPr>
          <w:rFonts w:hint="eastAsia" w:hAnsi="宋体"/>
          <w:color w:val="auto"/>
          <w:highlight w:val="none"/>
          <w:u w:val="single"/>
        </w:rPr>
        <w:t>关于安全生产责任险计列和结算方式：安全生产责任保险费按分部分项工程费及措施项目费（含单价及总价措施项目费）为计算基数乘以 0.2%计入暂估价，工程结算时，由发承包双方根据工程实际情况确认的安全生产责任保险费计入工程造价</w:t>
      </w:r>
      <w:r>
        <w:rPr>
          <w:rFonts w:hAnsi="宋体"/>
          <w:color w:val="auto"/>
          <w:highlight w:val="none"/>
          <w:u w:val="single"/>
        </w:rPr>
        <w:t xml:space="preserve"> </w:t>
      </w:r>
      <w:r>
        <w:rPr>
          <w:rFonts w:hint="eastAsia" w:hAnsi="宋体" w:cs="宋体"/>
          <w:color w:val="auto"/>
          <w:highlight w:val="none"/>
        </w:rPr>
        <w:t>。</w:t>
      </w:r>
    </w:p>
    <w:p w14:paraId="06BFB84B">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承包人是否应为其施工设备等办理财产保险：</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hAnsi="宋体" w:cs="宋体"/>
          <w:color w:val="auto"/>
          <w:highlight w:val="none"/>
        </w:rPr>
        <w:t>。</w:t>
      </w:r>
    </w:p>
    <w:p w14:paraId="1C3B7856">
      <w:pPr>
        <w:pStyle w:val="6"/>
        <w:pageBreakBefore w:val="0"/>
        <w:widowControl w:val="0"/>
        <w:kinsoku/>
        <w:wordWrap/>
        <w:overflowPunct/>
        <w:topLinePunct w:val="0"/>
        <w:bidi w:val="0"/>
        <w:spacing w:before="0" w:after="0" w:line="360" w:lineRule="auto"/>
        <w:textAlignment w:val="auto"/>
        <w:rPr>
          <w:color w:val="auto"/>
          <w:highlight w:val="none"/>
        </w:rPr>
      </w:pPr>
      <w:bookmarkStart w:id="1180" w:name="_Toc373227775"/>
      <w:bookmarkStart w:id="1181" w:name="_Toc389065340"/>
      <w:bookmarkStart w:id="1182" w:name="_Toc2102614655"/>
      <w:bookmarkStart w:id="1183" w:name="_Toc407135278"/>
      <w:bookmarkStart w:id="1184" w:name="_Toc78449864"/>
      <w:bookmarkStart w:id="1185" w:name="_Toc22621"/>
      <w:bookmarkStart w:id="1186" w:name="_Toc373478422"/>
      <w:r>
        <w:rPr>
          <w:color w:val="auto"/>
          <w:highlight w:val="none"/>
        </w:rPr>
        <w:t xml:space="preserve">18.7 </w:t>
      </w:r>
      <w:r>
        <w:rPr>
          <w:rFonts w:hint="eastAsia" w:hAnsi="宋体" w:cs="黑体"/>
          <w:color w:val="auto"/>
          <w:highlight w:val="none"/>
        </w:rPr>
        <w:t>通知义务</w:t>
      </w:r>
      <w:bookmarkEnd w:id="1180"/>
      <w:bookmarkEnd w:id="1181"/>
      <w:bookmarkEnd w:id="1182"/>
      <w:bookmarkEnd w:id="1183"/>
      <w:bookmarkEnd w:id="1184"/>
      <w:bookmarkEnd w:id="1185"/>
      <w:bookmarkEnd w:id="1186"/>
    </w:p>
    <w:p w14:paraId="670F43E8">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kern w:val="0"/>
          <w:highlight w:val="none"/>
        </w:rPr>
        <w:t>关于变更保险合同时的通知义务的约定：</w:t>
      </w:r>
      <w:r>
        <w:rPr>
          <w:color w:val="auto"/>
          <w:highlight w:val="none"/>
          <w:u w:val="single"/>
        </w:rPr>
        <w:t xml:space="preserve"> </w:t>
      </w:r>
      <w:r>
        <w:rPr>
          <w:rFonts w:hint="eastAsia"/>
          <w:color w:val="auto"/>
          <w:highlight w:val="none"/>
          <w:u w:val="single"/>
          <w:lang w:val="en-US" w:eastAsia="zh-CN"/>
        </w:rPr>
        <w:t>无</w:t>
      </w:r>
      <w:r>
        <w:rPr>
          <w:color w:val="auto"/>
          <w:highlight w:val="none"/>
          <w:u w:val="single"/>
        </w:rPr>
        <w:t xml:space="preserve">  </w:t>
      </w:r>
      <w:r>
        <w:rPr>
          <w:rFonts w:hint="eastAsia" w:hAnsi="宋体" w:cs="宋体"/>
          <w:color w:val="auto"/>
          <w:highlight w:val="none"/>
        </w:rPr>
        <w:t>。</w:t>
      </w:r>
    </w:p>
    <w:bookmarkEnd w:id="1069"/>
    <w:bookmarkEnd w:id="1070"/>
    <w:bookmarkEnd w:id="1071"/>
    <w:bookmarkEnd w:id="1072"/>
    <w:bookmarkEnd w:id="1073"/>
    <w:bookmarkEnd w:id="1074"/>
    <w:bookmarkEnd w:id="1075"/>
    <w:bookmarkEnd w:id="1076"/>
    <w:bookmarkEnd w:id="1077"/>
    <w:bookmarkEnd w:id="1078"/>
    <w:bookmarkEnd w:id="1079"/>
    <w:bookmarkEnd w:id="1080"/>
    <w:p w14:paraId="01586DA8">
      <w:pPr>
        <w:pStyle w:val="5"/>
        <w:pageBreakBefore w:val="0"/>
        <w:widowControl w:val="0"/>
        <w:kinsoku/>
        <w:wordWrap/>
        <w:overflowPunct/>
        <w:topLinePunct w:val="0"/>
        <w:bidi w:val="0"/>
        <w:spacing w:before="0" w:after="0" w:line="360" w:lineRule="auto"/>
        <w:textAlignment w:val="auto"/>
        <w:rPr>
          <w:color w:val="auto"/>
          <w:highlight w:val="none"/>
        </w:rPr>
      </w:pPr>
      <w:bookmarkStart w:id="1187" w:name="_Toc373478423"/>
      <w:bookmarkStart w:id="1188" w:name="_Toc78449865"/>
      <w:bookmarkStart w:id="1189" w:name="_Toc351203651"/>
      <w:bookmarkStart w:id="1190" w:name="_Toc407135279"/>
      <w:bookmarkStart w:id="1191" w:name="_Toc389065341"/>
      <w:bookmarkStart w:id="1192" w:name="_Toc1959910599"/>
      <w:bookmarkStart w:id="1193" w:name="_Toc373227776"/>
      <w:bookmarkStart w:id="1194" w:name="_Toc25581"/>
      <w:r>
        <w:rPr>
          <w:color w:val="auto"/>
          <w:highlight w:val="none"/>
        </w:rPr>
        <w:t xml:space="preserve">20. </w:t>
      </w:r>
      <w:r>
        <w:rPr>
          <w:rFonts w:hint="eastAsia" w:hAnsi="宋体" w:cs="黑体"/>
          <w:color w:val="auto"/>
          <w:highlight w:val="none"/>
        </w:rPr>
        <w:t>争议解决</w:t>
      </w:r>
      <w:bookmarkEnd w:id="1187"/>
      <w:bookmarkEnd w:id="1188"/>
      <w:bookmarkEnd w:id="1189"/>
      <w:bookmarkEnd w:id="1190"/>
      <w:bookmarkEnd w:id="1191"/>
      <w:bookmarkEnd w:id="1192"/>
      <w:bookmarkEnd w:id="1193"/>
      <w:bookmarkEnd w:id="1194"/>
    </w:p>
    <w:bookmarkEnd w:id="1081"/>
    <w:bookmarkEnd w:id="1082"/>
    <w:p w14:paraId="774AC4E9">
      <w:pPr>
        <w:pStyle w:val="6"/>
        <w:pageBreakBefore w:val="0"/>
        <w:widowControl w:val="0"/>
        <w:kinsoku/>
        <w:wordWrap/>
        <w:overflowPunct/>
        <w:topLinePunct w:val="0"/>
        <w:bidi w:val="0"/>
        <w:spacing w:before="0" w:after="0" w:line="360" w:lineRule="auto"/>
        <w:textAlignment w:val="auto"/>
        <w:rPr>
          <w:color w:val="auto"/>
          <w:highlight w:val="none"/>
        </w:rPr>
      </w:pPr>
      <w:bookmarkStart w:id="1195" w:name="_Toc389065342"/>
      <w:bookmarkStart w:id="1196" w:name="_Toc373227777"/>
      <w:bookmarkStart w:id="1197" w:name="_Toc78449866"/>
      <w:bookmarkStart w:id="1198" w:name="_Toc373478424"/>
      <w:bookmarkStart w:id="1199" w:name="_Toc407135280"/>
      <w:bookmarkStart w:id="1200" w:name="_Toc9944"/>
      <w:bookmarkStart w:id="1201" w:name="_Toc1645489822"/>
      <w:r>
        <w:rPr>
          <w:color w:val="auto"/>
          <w:highlight w:val="none"/>
        </w:rPr>
        <w:t xml:space="preserve">20.3 </w:t>
      </w:r>
      <w:r>
        <w:rPr>
          <w:rFonts w:hint="eastAsia" w:hAnsi="宋体" w:cs="黑体"/>
          <w:color w:val="auto"/>
          <w:highlight w:val="none"/>
        </w:rPr>
        <w:t>争</w:t>
      </w:r>
      <w:bookmarkEnd w:id="1083"/>
      <w:r>
        <w:rPr>
          <w:rFonts w:hint="eastAsia" w:hAnsi="宋体" w:cs="黑体"/>
          <w:color w:val="auto"/>
          <w:highlight w:val="none"/>
        </w:rPr>
        <w:t>议评审</w:t>
      </w:r>
      <w:bookmarkEnd w:id="1195"/>
      <w:bookmarkEnd w:id="1196"/>
      <w:bookmarkEnd w:id="1197"/>
      <w:bookmarkEnd w:id="1198"/>
      <w:bookmarkEnd w:id="1199"/>
      <w:bookmarkEnd w:id="1200"/>
      <w:bookmarkEnd w:id="1201"/>
    </w:p>
    <w:p w14:paraId="142CF4E3">
      <w:pPr>
        <w:pageBreakBefore w:val="0"/>
        <w:widowControl w:val="0"/>
        <w:kinsoku/>
        <w:wordWrap/>
        <w:overflowPunct/>
        <w:topLinePunct w:val="0"/>
        <w:bidi w:val="0"/>
        <w:spacing w:line="360" w:lineRule="auto"/>
        <w:ind w:left="149" w:leftChars="71" w:firstLine="315" w:firstLineChars="150"/>
        <w:jc w:val="left"/>
        <w:textAlignment w:val="auto"/>
        <w:rPr>
          <w:color w:val="auto"/>
          <w:highlight w:val="none"/>
          <w:u w:val="single"/>
        </w:rPr>
      </w:pPr>
      <w:r>
        <w:rPr>
          <w:rFonts w:hint="eastAsia" w:hAnsi="宋体" w:cs="宋体"/>
          <w:color w:val="auto"/>
          <w:highlight w:val="none"/>
        </w:rPr>
        <w:t>合同当事人是否同意将工程争议提交争议评审小组决定：</w:t>
      </w:r>
      <w:r>
        <w:rPr>
          <w:color w:val="auto"/>
          <w:highlight w:val="none"/>
          <w:u w:val="single"/>
        </w:rPr>
        <w:t xml:space="preserve"> </w:t>
      </w:r>
      <w:r>
        <w:rPr>
          <w:rFonts w:hint="eastAsia"/>
          <w:color w:val="auto"/>
          <w:highlight w:val="none"/>
          <w:u w:val="single"/>
        </w:rPr>
        <w:t>不同意</w:t>
      </w:r>
      <w:r>
        <w:rPr>
          <w:color w:val="auto"/>
          <w:highlight w:val="none"/>
          <w:u w:val="single"/>
        </w:rPr>
        <w:t xml:space="preserve"> </w:t>
      </w:r>
      <w:r>
        <w:rPr>
          <w:rFonts w:hint="eastAsia" w:hAnsi="宋体" w:cs="宋体"/>
          <w:color w:val="auto"/>
          <w:highlight w:val="none"/>
        </w:rPr>
        <w:t>。</w:t>
      </w:r>
    </w:p>
    <w:p w14:paraId="51083DBD">
      <w:pPr>
        <w:pageBreakBefore w:val="0"/>
        <w:widowControl w:val="0"/>
        <w:kinsoku/>
        <w:wordWrap/>
        <w:overflowPunct/>
        <w:topLinePunct w:val="0"/>
        <w:bidi w:val="0"/>
        <w:spacing w:line="360" w:lineRule="auto"/>
        <w:ind w:firstLine="420" w:firstLineChars="200"/>
        <w:jc w:val="left"/>
        <w:textAlignment w:val="auto"/>
        <w:outlineLvl w:val="0"/>
        <w:rPr>
          <w:color w:val="auto"/>
          <w:highlight w:val="none"/>
        </w:rPr>
      </w:pPr>
      <w:r>
        <w:rPr>
          <w:color w:val="auto"/>
          <w:highlight w:val="none"/>
        </w:rPr>
        <w:t xml:space="preserve">20.3.1 </w:t>
      </w:r>
      <w:r>
        <w:rPr>
          <w:rFonts w:hint="eastAsia" w:hAnsi="宋体" w:cs="宋体"/>
          <w:color w:val="auto"/>
          <w:highlight w:val="none"/>
        </w:rPr>
        <w:t>争议评审小组的确定</w:t>
      </w:r>
    </w:p>
    <w:p w14:paraId="2238C32D">
      <w:pPr>
        <w:pageBreakBefore w:val="0"/>
        <w:widowControl w:val="0"/>
        <w:kinsoku/>
        <w:wordWrap/>
        <w:overflowPunct/>
        <w:topLinePunct w:val="0"/>
        <w:bidi w:val="0"/>
        <w:spacing w:line="360" w:lineRule="auto"/>
        <w:ind w:firstLine="420" w:firstLineChars="200"/>
        <w:jc w:val="left"/>
        <w:textAlignment w:val="auto"/>
        <w:rPr>
          <w:color w:val="auto"/>
          <w:highlight w:val="none"/>
          <w:u w:val="single"/>
        </w:rPr>
      </w:pPr>
      <w:r>
        <w:rPr>
          <w:rFonts w:hint="eastAsia" w:hAnsi="宋体" w:cs="宋体"/>
          <w:color w:val="auto"/>
          <w:highlight w:val="none"/>
        </w:rPr>
        <w:t>争议评审小组成员的确定：</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0BE45D07">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选定争议评审员的期限：</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5E44AD57">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争议评审小组成员的报酬承担方式：</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51CAD691">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其他事项的约定：</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77A8572D">
      <w:pPr>
        <w:pageBreakBefore w:val="0"/>
        <w:widowControl w:val="0"/>
        <w:kinsoku/>
        <w:wordWrap/>
        <w:overflowPunct/>
        <w:topLinePunct w:val="0"/>
        <w:autoSpaceDE w:val="0"/>
        <w:autoSpaceDN w:val="0"/>
        <w:bidi w:val="0"/>
        <w:adjustRightInd w:val="0"/>
        <w:spacing w:line="360" w:lineRule="auto"/>
        <w:ind w:firstLine="420" w:firstLineChars="200"/>
        <w:jc w:val="left"/>
        <w:textAlignment w:val="auto"/>
        <w:rPr>
          <w:color w:val="auto"/>
          <w:kern w:val="0"/>
          <w:highlight w:val="none"/>
        </w:rPr>
      </w:pPr>
      <w:r>
        <w:rPr>
          <w:color w:val="auto"/>
          <w:kern w:val="0"/>
          <w:highlight w:val="none"/>
        </w:rPr>
        <w:t xml:space="preserve">20.3.2 </w:t>
      </w:r>
      <w:r>
        <w:rPr>
          <w:rFonts w:hint="eastAsia" w:hAnsi="宋体" w:cs="宋体"/>
          <w:color w:val="auto"/>
          <w:kern w:val="0"/>
          <w:highlight w:val="none"/>
        </w:rPr>
        <w:t>争议评审小组的决定</w:t>
      </w:r>
    </w:p>
    <w:p w14:paraId="6465D445">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合同当事人关于本项的约定：</w:t>
      </w:r>
      <w:r>
        <w:rPr>
          <w:color w:val="auto"/>
          <w:highlight w:val="none"/>
          <w:u w:val="single"/>
        </w:rPr>
        <w:t xml:space="preserve">   </w:t>
      </w:r>
      <w:r>
        <w:rPr>
          <w:rFonts w:hint="eastAsia"/>
          <w:color w:val="auto"/>
          <w:highlight w:val="none"/>
          <w:u w:val="single"/>
        </w:rPr>
        <w:t>无</w:t>
      </w:r>
      <w:r>
        <w:rPr>
          <w:color w:val="auto"/>
          <w:highlight w:val="none"/>
          <w:u w:val="single"/>
        </w:rPr>
        <w:t xml:space="preserve">   </w:t>
      </w:r>
      <w:r>
        <w:rPr>
          <w:rFonts w:hint="eastAsia" w:hAnsi="宋体" w:cs="宋体"/>
          <w:color w:val="auto"/>
          <w:highlight w:val="none"/>
        </w:rPr>
        <w:t>。</w:t>
      </w:r>
    </w:p>
    <w:p w14:paraId="1F42C0C4">
      <w:pPr>
        <w:pStyle w:val="6"/>
        <w:pageBreakBefore w:val="0"/>
        <w:widowControl w:val="0"/>
        <w:kinsoku/>
        <w:wordWrap/>
        <w:overflowPunct/>
        <w:topLinePunct w:val="0"/>
        <w:bidi w:val="0"/>
        <w:spacing w:before="0" w:after="0" w:line="360" w:lineRule="auto"/>
        <w:textAlignment w:val="auto"/>
        <w:rPr>
          <w:color w:val="auto"/>
          <w:highlight w:val="none"/>
        </w:rPr>
      </w:pPr>
      <w:bookmarkStart w:id="1202" w:name="_Toc373227778"/>
      <w:bookmarkStart w:id="1203" w:name="_Toc373478425"/>
      <w:bookmarkStart w:id="1204" w:name="_Toc78449867"/>
      <w:bookmarkStart w:id="1205" w:name="_Toc389065343"/>
      <w:bookmarkStart w:id="1206" w:name="_Toc1456517022"/>
      <w:bookmarkStart w:id="1207" w:name="_Toc11507"/>
      <w:bookmarkStart w:id="1208" w:name="_Toc407135281"/>
      <w:r>
        <w:rPr>
          <w:color w:val="auto"/>
          <w:highlight w:val="none"/>
        </w:rPr>
        <w:t xml:space="preserve">20.4 </w:t>
      </w:r>
      <w:r>
        <w:rPr>
          <w:rFonts w:hint="eastAsia" w:hAnsi="宋体" w:cs="黑体"/>
          <w:color w:val="auto"/>
          <w:highlight w:val="none"/>
        </w:rPr>
        <w:t>仲裁或诉讼</w:t>
      </w:r>
      <w:bookmarkEnd w:id="1084"/>
      <w:bookmarkEnd w:id="1202"/>
      <w:bookmarkEnd w:id="1203"/>
      <w:bookmarkEnd w:id="1204"/>
      <w:bookmarkEnd w:id="1205"/>
      <w:bookmarkEnd w:id="1206"/>
      <w:bookmarkEnd w:id="1207"/>
      <w:bookmarkEnd w:id="1208"/>
    </w:p>
    <w:p w14:paraId="0CEFFD7A">
      <w:pPr>
        <w:pageBreakBefore w:val="0"/>
        <w:widowControl w:val="0"/>
        <w:kinsoku/>
        <w:wordWrap/>
        <w:overflowPunct/>
        <w:topLinePunct w:val="0"/>
        <w:bidi w:val="0"/>
        <w:spacing w:line="360" w:lineRule="auto"/>
        <w:ind w:firstLine="420" w:firstLineChars="200"/>
        <w:textAlignment w:val="auto"/>
        <w:rPr>
          <w:color w:val="auto"/>
          <w:highlight w:val="none"/>
        </w:rPr>
      </w:pPr>
      <w:r>
        <w:rPr>
          <w:rFonts w:hint="eastAsia" w:hAnsi="宋体" w:cs="宋体"/>
          <w:color w:val="auto"/>
          <w:highlight w:val="none"/>
        </w:rPr>
        <w:t>因合同及合同有关事项发生的争议，按下列第</w:t>
      </w:r>
      <w:r>
        <w:rPr>
          <w:color w:val="auto"/>
          <w:highlight w:val="none"/>
          <w:u w:val="single"/>
        </w:rPr>
        <w:t xml:space="preserve"> </w:t>
      </w:r>
      <w:r>
        <w:rPr>
          <w:rFonts w:hint="eastAsia"/>
          <w:color w:val="auto"/>
          <w:highlight w:val="none"/>
          <w:u w:val="single"/>
          <w:lang w:val="en-US" w:eastAsia="zh-CN"/>
        </w:rPr>
        <w:t>2</w:t>
      </w:r>
      <w:r>
        <w:rPr>
          <w:color w:val="auto"/>
          <w:highlight w:val="none"/>
          <w:u w:val="single"/>
        </w:rPr>
        <w:t xml:space="preserve"> </w:t>
      </w:r>
      <w:r>
        <w:rPr>
          <w:rFonts w:hint="eastAsia" w:hAnsi="宋体" w:cs="宋体"/>
          <w:color w:val="auto"/>
          <w:highlight w:val="none"/>
        </w:rPr>
        <w:t>种方式解决：</w:t>
      </w:r>
    </w:p>
    <w:p w14:paraId="75BFD0BF">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1</w:t>
      </w:r>
      <w:r>
        <w:rPr>
          <w:rFonts w:hint="eastAsia" w:hAnsi="宋体" w:cs="宋体"/>
          <w:color w:val="auto"/>
          <w:highlight w:val="none"/>
        </w:rPr>
        <w:t>）提请</w:t>
      </w:r>
      <w:r>
        <w:rPr>
          <w:color w:val="auto"/>
          <w:highlight w:val="none"/>
          <w:u w:val="single"/>
        </w:rPr>
        <w:t xml:space="preserve">     </w:t>
      </w:r>
      <w:r>
        <w:rPr>
          <w:rFonts w:hint="eastAsia" w:hAnsi="宋体" w:cs="宋体"/>
          <w:color w:val="auto"/>
          <w:highlight w:val="none"/>
        </w:rPr>
        <w:t>仲裁委员会按照该会仲裁规则进行仲裁，仲裁裁决是终局的，对合同双方均有约束力。</w:t>
      </w:r>
    </w:p>
    <w:p w14:paraId="24D9B83B">
      <w:pPr>
        <w:pageBreakBefore w:val="0"/>
        <w:widowControl w:val="0"/>
        <w:kinsoku/>
        <w:wordWrap/>
        <w:overflowPunct/>
        <w:topLinePunct w:val="0"/>
        <w:bidi w:val="0"/>
        <w:spacing w:line="360" w:lineRule="auto"/>
        <w:ind w:firstLine="420" w:firstLineChars="200"/>
        <w:jc w:val="left"/>
        <w:textAlignment w:val="auto"/>
        <w:rPr>
          <w:color w:val="auto"/>
          <w:highlight w:val="none"/>
        </w:rPr>
      </w:pPr>
      <w:r>
        <w:rPr>
          <w:rFonts w:hint="eastAsia" w:hAnsi="宋体" w:cs="宋体"/>
          <w:color w:val="auto"/>
          <w:highlight w:val="none"/>
        </w:rPr>
        <w:t>（</w:t>
      </w:r>
      <w:r>
        <w:rPr>
          <w:color w:val="auto"/>
          <w:highlight w:val="none"/>
        </w:rPr>
        <w:t>2</w:t>
      </w:r>
      <w:r>
        <w:rPr>
          <w:rFonts w:hint="eastAsia" w:hAnsi="宋体" w:cs="宋体"/>
          <w:color w:val="auto"/>
          <w:highlight w:val="none"/>
        </w:rPr>
        <w:t>）向</w:t>
      </w:r>
      <w:r>
        <w:rPr>
          <w:color w:val="auto"/>
          <w:highlight w:val="none"/>
          <w:u w:val="single"/>
        </w:rPr>
        <w:t xml:space="preserve">  </w:t>
      </w:r>
      <w:r>
        <w:rPr>
          <w:rFonts w:hint="eastAsia"/>
          <w:color w:val="auto"/>
          <w:highlight w:val="none"/>
          <w:u w:val="single"/>
        </w:rPr>
        <w:t>项目所在地有管辖</w:t>
      </w:r>
      <w:r>
        <w:rPr>
          <w:color w:val="auto"/>
          <w:highlight w:val="none"/>
          <w:u w:val="single"/>
        </w:rPr>
        <w:t xml:space="preserve"> </w:t>
      </w:r>
      <w:r>
        <w:rPr>
          <w:rFonts w:hint="eastAsia" w:hAnsi="宋体" w:cs="宋体"/>
          <w:color w:val="auto"/>
          <w:highlight w:val="none"/>
        </w:rPr>
        <w:t>人民法院起诉。</w:t>
      </w:r>
      <w:bookmarkEnd w:id="1085"/>
      <w:bookmarkEnd w:id="1086"/>
      <w:bookmarkEnd w:id="1087"/>
      <w:bookmarkEnd w:id="1088"/>
      <w:bookmarkEnd w:id="1089"/>
      <w:bookmarkEnd w:id="1090"/>
    </w:p>
    <w:p w14:paraId="016E7F4F">
      <w:pPr>
        <w:pageBreakBefore w:val="0"/>
        <w:widowControl w:val="0"/>
        <w:kinsoku/>
        <w:wordWrap/>
        <w:overflowPunct/>
        <w:topLinePunct w:val="0"/>
        <w:bidi w:val="0"/>
        <w:spacing w:line="360" w:lineRule="auto"/>
        <w:ind w:firstLine="420" w:firstLineChars="200"/>
        <w:jc w:val="left"/>
        <w:textAlignment w:val="auto"/>
        <w:rPr>
          <w:color w:val="auto"/>
          <w:highlight w:val="none"/>
        </w:rPr>
      </w:pPr>
    </w:p>
    <w:p w14:paraId="40BA8CAF">
      <w:pPr>
        <w:pageBreakBefore w:val="0"/>
        <w:widowControl w:val="0"/>
        <w:kinsoku/>
        <w:wordWrap/>
        <w:overflowPunct/>
        <w:topLinePunct w:val="0"/>
        <w:bidi w:val="0"/>
        <w:spacing w:line="360" w:lineRule="auto"/>
        <w:jc w:val="left"/>
        <w:textAlignment w:val="auto"/>
        <w:rPr>
          <w:rFonts w:eastAsia="黑体"/>
          <w:b/>
          <w:bCs/>
          <w:color w:val="auto"/>
          <w:sz w:val="28"/>
          <w:szCs w:val="28"/>
          <w:highlight w:val="none"/>
        </w:rPr>
      </w:pPr>
      <w:bookmarkStart w:id="1209" w:name="_Toc351203652"/>
      <w:r>
        <w:rPr>
          <w:rFonts w:hint="eastAsia" w:eastAsia="黑体" w:cs="黑体"/>
          <w:b/>
          <w:bCs/>
          <w:color w:val="auto"/>
          <w:sz w:val="28"/>
          <w:szCs w:val="28"/>
          <w:highlight w:val="none"/>
        </w:rPr>
        <w:t>附件</w:t>
      </w:r>
      <w:bookmarkEnd w:id="1209"/>
    </w:p>
    <w:p w14:paraId="10D6480E">
      <w:pPr>
        <w:pageBreakBefore w:val="0"/>
        <w:widowControl w:val="0"/>
        <w:kinsoku/>
        <w:wordWrap/>
        <w:overflowPunct/>
        <w:topLinePunct w:val="0"/>
        <w:bidi w:val="0"/>
        <w:spacing w:line="360" w:lineRule="auto"/>
        <w:jc w:val="left"/>
        <w:textAlignment w:val="auto"/>
        <w:rPr>
          <w:rFonts w:hint="eastAsia" w:ascii="宋体" w:hAnsi="宋体" w:cs="宋体"/>
          <w:color w:val="auto"/>
          <w:highlight w:val="none"/>
        </w:rPr>
      </w:pPr>
      <w:r>
        <w:rPr>
          <w:rFonts w:hint="eastAsia" w:ascii="宋体" w:hAnsi="宋体" w:cs="宋体"/>
          <w:color w:val="auto"/>
          <w:highlight w:val="none"/>
        </w:rPr>
        <w:t>附件</w:t>
      </w:r>
      <w:r>
        <w:rPr>
          <w:rFonts w:ascii="宋体" w:hAnsi="宋体" w:cs="宋体"/>
          <w:color w:val="auto"/>
          <w:highlight w:val="none"/>
        </w:rPr>
        <w:t>1</w:t>
      </w:r>
      <w:r>
        <w:rPr>
          <w:rFonts w:hint="eastAsia" w:ascii="宋体" w:hAnsi="宋体" w:cs="宋体"/>
          <w:color w:val="auto"/>
          <w:highlight w:val="none"/>
        </w:rPr>
        <w:t>：承包人承揽工程项目一览表</w:t>
      </w:r>
    </w:p>
    <w:p w14:paraId="35B3EEF1">
      <w:pPr>
        <w:pageBreakBefore w:val="0"/>
        <w:widowControl w:val="0"/>
        <w:kinsoku/>
        <w:wordWrap/>
        <w:overflowPunct/>
        <w:topLinePunct w:val="0"/>
        <w:bidi w:val="0"/>
        <w:spacing w:line="360" w:lineRule="auto"/>
        <w:jc w:val="left"/>
        <w:textAlignment w:val="auto"/>
        <w:rPr>
          <w:rFonts w:ascii="宋体" w:hAnsi="宋体" w:cs="宋体"/>
          <w:color w:val="auto"/>
          <w:highlight w:val="none"/>
        </w:rPr>
      </w:pPr>
      <w:r>
        <w:rPr>
          <w:rFonts w:hint="eastAsia" w:ascii="宋体" w:hAnsi="宋体" w:cs="宋体"/>
          <w:color w:val="auto"/>
          <w:highlight w:val="none"/>
        </w:rPr>
        <w:t>附件2：工程质量保修书</w:t>
      </w:r>
    </w:p>
    <w:p w14:paraId="5A6DCCD9">
      <w:pPr>
        <w:pageBreakBefore w:val="0"/>
        <w:widowControl w:val="0"/>
        <w:kinsoku/>
        <w:wordWrap/>
        <w:overflowPunct/>
        <w:topLinePunct w:val="0"/>
        <w:bidi w:val="0"/>
        <w:spacing w:line="360" w:lineRule="auto"/>
        <w:jc w:val="left"/>
        <w:textAlignment w:val="auto"/>
        <w:rPr>
          <w:rFonts w:hint="eastAsia" w:ascii="宋体" w:hAnsi="宋体" w:cs="宋体"/>
          <w:color w:val="auto"/>
          <w:highlight w:val="none"/>
        </w:rPr>
      </w:pPr>
      <w:r>
        <w:rPr>
          <w:rFonts w:ascii="宋体" w:hAnsi="宋体" w:cs="宋体"/>
          <w:color w:val="auto"/>
          <w:highlight w:val="none"/>
        </w:rPr>
        <w:t>附件</w:t>
      </w:r>
      <w:r>
        <w:rPr>
          <w:rFonts w:hint="eastAsia" w:ascii="宋体" w:hAnsi="宋体" w:cs="宋体"/>
          <w:color w:val="auto"/>
          <w:highlight w:val="none"/>
        </w:rPr>
        <w:t>3</w:t>
      </w:r>
      <w:r>
        <w:rPr>
          <w:rFonts w:ascii="宋体" w:hAnsi="宋体" w:cs="宋体"/>
          <w:color w:val="auto"/>
          <w:highlight w:val="none"/>
        </w:rPr>
        <w:t>：主要建设工程文件目录</w:t>
      </w:r>
    </w:p>
    <w:p w14:paraId="6F981625">
      <w:pPr>
        <w:pageBreakBefore w:val="0"/>
        <w:widowControl w:val="0"/>
        <w:kinsoku/>
        <w:wordWrap/>
        <w:overflowPunct/>
        <w:topLinePunct w:val="0"/>
        <w:bidi w:val="0"/>
        <w:spacing w:line="360" w:lineRule="auto"/>
        <w:jc w:val="left"/>
        <w:textAlignment w:val="auto"/>
        <w:rPr>
          <w:rFonts w:ascii="宋体" w:hAnsi="宋体" w:cs="宋体"/>
          <w:color w:val="auto"/>
          <w:highlight w:val="none"/>
        </w:rPr>
      </w:pPr>
      <w:r>
        <w:rPr>
          <w:rFonts w:hint="eastAsia" w:ascii="宋体" w:hAnsi="宋体" w:cs="宋体"/>
          <w:color w:val="auto"/>
          <w:highlight w:val="none"/>
        </w:rPr>
        <w:t>附件4：承包人用于本工程施工的机械设备表</w:t>
      </w:r>
    </w:p>
    <w:p w14:paraId="5376D0E2">
      <w:pPr>
        <w:pageBreakBefore w:val="0"/>
        <w:widowControl w:val="0"/>
        <w:kinsoku/>
        <w:wordWrap/>
        <w:overflowPunct/>
        <w:topLinePunct w:val="0"/>
        <w:bidi w:val="0"/>
        <w:spacing w:line="360" w:lineRule="auto"/>
        <w:jc w:val="left"/>
        <w:textAlignment w:val="auto"/>
        <w:rPr>
          <w:rFonts w:ascii="宋体"/>
          <w:color w:val="auto"/>
          <w:highlight w:val="none"/>
        </w:rPr>
      </w:pPr>
      <w:r>
        <w:rPr>
          <w:rFonts w:hint="eastAsia" w:ascii="宋体" w:hAnsi="宋体" w:cs="宋体"/>
          <w:color w:val="auto"/>
          <w:highlight w:val="none"/>
        </w:rPr>
        <w:t>附件5：承包人主要施工管理人员表</w:t>
      </w:r>
    </w:p>
    <w:p w14:paraId="525239E2">
      <w:pPr>
        <w:pageBreakBefore w:val="0"/>
        <w:widowControl w:val="0"/>
        <w:kinsoku/>
        <w:wordWrap/>
        <w:overflowPunct/>
        <w:topLinePunct w:val="0"/>
        <w:bidi w:val="0"/>
        <w:spacing w:line="360" w:lineRule="auto"/>
        <w:jc w:val="left"/>
        <w:textAlignment w:val="auto"/>
        <w:rPr>
          <w:rFonts w:ascii="宋体"/>
          <w:color w:val="auto"/>
          <w:highlight w:val="none"/>
        </w:rPr>
      </w:pPr>
      <w:r>
        <w:rPr>
          <w:rFonts w:hint="eastAsia" w:ascii="宋体" w:hAnsi="宋体" w:cs="宋体"/>
          <w:color w:val="auto"/>
          <w:highlight w:val="none"/>
        </w:rPr>
        <w:t>附件6：分包人主要施工管理人员表</w:t>
      </w:r>
    </w:p>
    <w:p w14:paraId="67C13ADE">
      <w:pPr>
        <w:pageBreakBefore w:val="0"/>
        <w:widowControl w:val="0"/>
        <w:kinsoku/>
        <w:wordWrap/>
        <w:overflowPunct/>
        <w:topLinePunct w:val="0"/>
        <w:bidi w:val="0"/>
        <w:spacing w:line="360" w:lineRule="auto"/>
        <w:jc w:val="left"/>
        <w:textAlignment w:val="auto"/>
        <w:rPr>
          <w:rFonts w:ascii="宋体"/>
          <w:color w:val="auto"/>
          <w:highlight w:val="none"/>
        </w:rPr>
      </w:pPr>
      <w:r>
        <w:rPr>
          <w:rFonts w:hint="eastAsia" w:ascii="宋体" w:hAnsi="宋体" w:cs="宋体"/>
          <w:color w:val="auto"/>
          <w:highlight w:val="none"/>
        </w:rPr>
        <w:t>附件7：履约担保格式（独立保函、非独立保函）</w:t>
      </w:r>
    </w:p>
    <w:p w14:paraId="7A4DF341">
      <w:pPr>
        <w:pageBreakBefore w:val="0"/>
        <w:widowControl w:val="0"/>
        <w:kinsoku/>
        <w:wordWrap/>
        <w:overflowPunct/>
        <w:topLinePunct w:val="0"/>
        <w:bidi w:val="0"/>
        <w:spacing w:line="360" w:lineRule="auto"/>
        <w:jc w:val="left"/>
        <w:textAlignment w:val="auto"/>
        <w:rPr>
          <w:rFonts w:hint="eastAsia" w:ascii="宋体" w:hAnsi="宋体" w:cs="宋体"/>
          <w:color w:val="auto"/>
          <w:highlight w:val="none"/>
        </w:rPr>
      </w:pPr>
      <w:r>
        <w:rPr>
          <w:rFonts w:hint="eastAsia" w:ascii="宋体" w:hAnsi="宋体" w:cs="宋体"/>
          <w:color w:val="auto"/>
          <w:highlight w:val="none"/>
        </w:rPr>
        <w:t>附件8：预付款担保格式（独立保函、非独立保函）</w:t>
      </w:r>
    </w:p>
    <w:p w14:paraId="7EDACE93">
      <w:pPr>
        <w:pageBreakBefore w:val="0"/>
        <w:widowControl w:val="0"/>
        <w:kinsoku/>
        <w:wordWrap/>
        <w:overflowPunct/>
        <w:topLinePunct w:val="0"/>
        <w:bidi w:val="0"/>
        <w:spacing w:line="360" w:lineRule="auto"/>
        <w:jc w:val="left"/>
        <w:textAlignment w:val="auto"/>
        <w:rPr>
          <w:rFonts w:ascii="宋体" w:hAnsi="宋体" w:cs="宋体"/>
          <w:color w:val="auto"/>
          <w:highlight w:val="none"/>
        </w:rPr>
      </w:pPr>
      <w:r>
        <w:rPr>
          <w:rFonts w:hint="eastAsia" w:ascii="宋体" w:hAnsi="宋体" w:cs="宋体"/>
          <w:color w:val="auto"/>
          <w:highlight w:val="none"/>
        </w:rPr>
        <w:t>附件9：支付担保格式（独立保函、非独立保函）</w:t>
      </w:r>
    </w:p>
    <w:p w14:paraId="41120888">
      <w:pPr>
        <w:pageBreakBefore w:val="0"/>
        <w:widowControl w:val="0"/>
        <w:kinsoku/>
        <w:wordWrap/>
        <w:overflowPunct/>
        <w:topLinePunct w:val="0"/>
        <w:bidi w:val="0"/>
        <w:spacing w:line="360" w:lineRule="auto"/>
        <w:jc w:val="left"/>
        <w:textAlignment w:val="auto"/>
        <w:rPr>
          <w:rFonts w:hint="eastAsia"/>
          <w:color w:val="auto"/>
          <w:highlight w:val="none"/>
        </w:rPr>
      </w:pPr>
      <w:r>
        <w:rPr>
          <w:rFonts w:hint="eastAsia" w:ascii="宋体" w:hAnsi="宋体" w:cs="宋体"/>
          <w:color w:val="auto"/>
          <w:highlight w:val="none"/>
        </w:rPr>
        <w:t>附件10：预付款</w:t>
      </w:r>
      <w:r>
        <w:rPr>
          <w:rFonts w:hint="eastAsia"/>
          <w:color w:val="auto"/>
          <w:highlight w:val="none"/>
        </w:rPr>
        <w:t>支付申请（核准）表</w:t>
      </w:r>
    </w:p>
    <w:p w14:paraId="3141F20F">
      <w:pPr>
        <w:pageBreakBefore w:val="0"/>
        <w:widowControl w:val="0"/>
        <w:kinsoku/>
        <w:wordWrap/>
        <w:overflowPunct/>
        <w:topLinePunct w:val="0"/>
        <w:bidi w:val="0"/>
        <w:spacing w:line="360" w:lineRule="auto"/>
        <w:jc w:val="left"/>
        <w:textAlignment w:val="auto"/>
        <w:rPr>
          <w:rFonts w:hint="eastAsia"/>
          <w:color w:val="auto"/>
          <w:highlight w:val="none"/>
        </w:rPr>
      </w:pPr>
      <w:r>
        <w:rPr>
          <w:rFonts w:hint="eastAsia" w:ascii="宋体" w:hAnsi="宋体" w:cs="宋体"/>
          <w:color w:val="auto"/>
          <w:highlight w:val="none"/>
        </w:rPr>
        <w:t>附件11：</w:t>
      </w:r>
      <w:r>
        <w:rPr>
          <w:rFonts w:hint="eastAsia"/>
          <w:color w:val="auto"/>
          <w:highlight w:val="none"/>
        </w:rPr>
        <w:t>进度款支付申请（核准）表</w:t>
      </w:r>
    </w:p>
    <w:p w14:paraId="31C64D90">
      <w:pPr>
        <w:pageBreakBefore w:val="0"/>
        <w:widowControl w:val="0"/>
        <w:kinsoku/>
        <w:wordWrap/>
        <w:overflowPunct/>
        <w:topLinePunct w:val="0"/>
        <w:bidi w:val="0"/>
        <w:spacing w:line="360" w:lineRule="auto"/>
        <w:jc w:val="left"/>
        <w:textAlignment w:val="auto"/>
        <w:rPr>
          <w:rFonts w:hint="eastAsia"/>
          <w:color w:val="auto"/>
          <w:highlight w:val="none"/>
        </w:rPr>
      </w:pPr>
      <w:r>
        <w:rPr>
          <w:rFonts w:hint="eastAsia" w:ascii="宋体" w:hAnsi="宋体" w:cs="宋体"/>
          <w:color w:val="auto"/>
          <w:highlight w:val="none"/>
        </w:rPr>
        <w:t>附件12：竣工结算</w:t>
      </w:r>
      <w:r>
        <w:rPr>
          <w:rFonts w:hint="eastAsia"/>
          <w:color w:val="auto"/>
          <w:highlight w:val="none"/>
        </w:rPr>
        <w:t>款支付申请（核准）表</w:t>
      </w:r>
    </w:p>
    <w:p w14:paraId="21706A9C">
      <w:pPr>
        <w:pageBreakBefore w:val="0"/>
        <w:widowControl w:val="0"/>
        <w:kinsoku/>
        <w:wordWrap/>
        <w:overflowPunct/>
        <w:topLinePunct w:val="0"/>
        <w:bidi w:val="0"/>
        <w:spacing w:line="360" w:lineRule="auto"/>
        <w:jc w:val="left"/>
        <w:textAlignment w:val="auto"/>
        <w:rPr>
          <w:rFonts w:hint="eastAsia"/>
          <w:color w:val="auto"/>
          <w:highlight w:val="none"/>
        </w:rPr>
      </w:pPr>
      <w:r>
        <w:rPr>
          <w:rFonts w:hint="eastAsia" w:ascii="宋体" w:hAnsi="宋体" w:cs="宋体"/>
          <w:color w:val="auto"/>
          <w:highlight w:val="none"/>
        </w:rPr>
        <w:t>附件13：最终结算</w:t>
      </w:r>
      <w:r>
        <w:rPr>
          <w:rFonts w:hint="eastAsia"/>
          <w:color w:val="auto"/>
          <w:highlight w:val="none"/>
        </w:rPr>
        <w:t>款支付申请（核准）表</w:t>
      </w:r>
    </w:p>
    <w:p w14:paraId="33407DFA">
      <w:pPr>
        <w:pageBreakBefore w:val="0"/>
        <w:widowControl w:val="0"/>
        <w:kinsoku/>
        <w:wordWrap/>
        <w:overflowPunct/>
        <w:topLinePunct w:val="0"/>
        <w:bidi w:val="0"/>
        <w:spacing w:line="360" w:lineRule="auto"/>
        <w:jc w:val="left"/>
        <w:textAlignment w:val="auto"/>
        <w:rPr>
          <w:rFonts w:hint="eastAsia"/>
          <w:color w:val="auto"/>
          <w:highlight w:val="none"/>
        </w:rPr>
      </w:pPr>
      <w:r>
        <w:rPr>
          <w:rFonts w:hint="eastAsia"/>
          <w:color w:val="auto"/>
          <w:highlight w:val="none"/>
        </w:rPr>
        <w:t>附件14：总价合同进度款支付分解表</w:t>
      </w:r>
    </w:p>
    <w:p w14:paraId="39FED677">
      <w:pPr>
        <w:spacing w:line="460" w:lineRule="exact"/>
        <w:ind w:firstLine="420" w:firstLineChars="200"/>
        <w:rPr>
          <w:color w:val="auto"/>
          <w:highlight w:val="none"/>
        </w:rPr>
      </w:pPr>
    </w:p>
    <w:p w14:paraId="56E287E5">
      <w:pPr>
        <w:spacing w:line="460" w:lineRule="exact"/>
        <w:ind w:firstLine="420" w:firstLineChars="200"/>
        <w:rPr>
          <w:color w:val="auto"/>
          <w:highlight w:val="none"/>
        </w:rPr>
      </w:pPr>
    </w:p>
    <w:p w14:paraId="30019A03">
      <w:pPr>
        <w:spacing w:line="460" w:lineRule="exact"/>
        <w:ind w:firstLine="420" w:firstLineChars="200"/>
        <w:rPr>
          <w:color w:val="auto"/>
          <w:highlight w:val="none"/>
        </w:rPr>
        <w:sectPr>
          <w:pgSz w:w="11907" w:h="16840"/>
          <w:pgMar w:top="1440" w:right="1440" w:bottom="1440" w:left="1797" w:header="851" w:footer="851" w:gutter="0"/>
          <w:pgBorders>
            <w:top w:val="none" w:sz="0" w:space="0"/>
            <w:left w:val="none" w:sz="0" w:space="0"/>
            <w:bottom w:val="none" w:sz="0" w:space="0"/>
            <w:right w:val="none" w:sz="0" w:space="0"/>
          </w:pgBorders>
          <w:pgNumType w:fmt="decimal"/>
          <w:cols w:space="720" w:num="1"/>
          <w:docGrid w:linePitch="312" w:charSpace="0"/>
        </w:sectPr>
      </w:pPr>
    </w:p>
    <w:p w14:paraId="23EDC803">
      <w:pPr>
        <w:spacing w:before="120" w:beforeLines="50" w:after="120" w:afterLines="50" w:line="440" w:lineRule="exact"/>
        <w:jc w:val="left"/>
        <w:rPr>
          <w:rFonts w:ascii="仿宋_GB2312" w:eastAsia="仿宋_GB2312"/>
          <w:color w:val="auto"/>
          <w:sz w:val="30"/>
          <w:szCs w:val="30"/>
          <w:highlight w:val="none"/>
        </w:rPr>
      </w:pPr>
      <w:r>
        <w:rPr>
          <w:rFonts w:hint="eastAsia" w:ascii="仿宋_GB2312" w:eastAsia="仿宋_GB2312" w:cs="仿宋_GB2312"/>
          <w:color w:val="auto"/>
          <w:sz w:val="30"/>
          <w:szCs w:val="30"/>
          <w:highlight w:val="none"/>
        </w:rPr>
        <w:t>附件</w:t>
      </w:r>
      <w:r>
        <w:rPr>
          <w:rFonts w:ascii="仿宋_GB2312" w:eastAsia="仿宋_GB2312" w:cs="仿宋_GB2312"/>
          <w:color w:val="auto"/>
          <w:sz w:val="30"/>
          <w:szCs w:val="30"/>
          <w:highlight w:val="none"/>
        </w:rPr>
        <w:t>1</w:t>
      </w:r>
      <w:r>
        <w:rPr>
          <w:rFonts w:hint="eastAsia" w:ascii="仿宋_GB2312" w:eastAsia="仿宋_GB2312" w:cs="仿宋_GB2312"/>
          <w:color w:val="auto"/>
          <w:sz w:val="30"/>
          <w:szCs w:val="30"/>
          <w:highlight w:val="none"/>
        </w:rPr>
        <w:t>：</w:t>
      </w:r>
    </w:p>
    <w:p w14:paraId="7DCC74EB">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承包人承揽工程项目一览表</w:t>
      </w:r>
    </w:p>
    <w:tbl>
      <w:tblPr>
        <w:tblStyle w:val="40"/>
        <w:tblW w:w="13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440"/>
        <w:gridCol w:w="1440"/>
        <w:gridCol w:w="1620"/>
        <w:gridCol w:w="1661"/>
        <w:gridCol w:w="850"/>
        <w:gridCol w:w="1560"/>
        <w:gridCol w:w="2126"/>
        <w:gridCol w:w="1417"/>
        <w:gridCol w:w="851"/>
        <w:gridCol w:w="850"/>
      </w:tblGrid>
      <w:tr w14:paraId="28ECC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440" w:type="dxa"/>
            <w:noWrap w:val="0"/>
            <w:vAlign w:val="center"/>
          </w:tcPr>
          <w:p w14:paraId="085352AE">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单位工程名称</w:t>
            </w:r>
          </w:p>
        </w:tc>
        <w:tc>
          <w:tcPr>
            <w:tcW w:w="1440" w:type="dxa"/>
            <w:noWrap w:val="0"/>
            <w:vAlign w:val="center"/>
          </w:tcPr>
          <w:p w14:paraId="7CF212A8">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建设规模</w:t>
            </w:r>
          </w:p>
        </w:tc>
        <w:tc>
          <w:tcPr>
            <w:tcW w:w="1620" w:type="dxa"/>
            <w:noWrap w:val="0"/>
            <w:vAlign w:val="center"/>
          </w:tcPr>
          <w:p w14:paraId="053C6DB4">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建筑面积</w:t>
            </w:r>
            <w:r>
              <w:rPr>
                <w:rFonts w:eastAsia="仿宋_GB2312"/>
                <w:color w:val="auto"/>
                <w:sz w:val="28"/>
                <w:szCs w:val="28"/>
                <w:highlight w:val="none"/>
              </w:rPr>
              <w:t>(</w:t>
            </w:r>
            <w:r>
              <w:rPr>
                <w:rFonts w:hint="eastAsia" w:eastAsia="仿宋_GB2312" w:cs="仿宋_GB2312"/>
                <w:color w:val="auto"/>
                <w:sz w:val="28"/>
                <w:szCs w:val="28"/>
                <w:highlight w:val="none"/>
              </w:rPr>
              <w:t>平方米</w:t>
            </w:r>
            <w:r>
              <w:rPr>
                <w:rFonts w:eastAsia="仿宋_GB2312"/>
                <w:color w:val="auto"/>
                <w:sz w:val="28"/>
                <w:szCs w:val="28"/>
                <w:highlight w:val="none"/>
              </w:rPr>
              <w:t>)</w:t>
            </w:r>
          </w:p>
        </w:tc>
        <w:tc>
          <w:tcPr>
            <w:tcW w:w="1661" w:type="dxa"/>
            <w:noWrap w:val="0"/>
            <w:vAlign w:val="center"/>
          </w:tcPr>
          <w:p w14:paraId="767273B1">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结构形式</w:t>
            </w:r>
          </w:p>
        </w:tc>
        <w:tc>
          <w:tcPr>
            <w:tcW w:w="850" w:type="dxa"/>
            <w:noWrap w:val="0"/>
            <w:vAlign w:val="center"/>
          </w:tcPr>
          <w:p w14:paraId="261EA7FF">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层数</w:t>
            </w:r>
          </w:p>
        </w:tc>
        <w:tc>
          <w:tcPr>
            <w:tcW w:w="1560" w:type="dxa"/>
            <w:noWrap w:val="0"/>
            <w:vAlign w:val="center"/>
          </w:tcPr>
          <w:p w14:paraId="4851C2DE">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生产能力</w:t>
            </w:r>
          </w:p>
        </w:tc>
        <w:tc>
          <w:tcPr>
            <w:tcW w:w="2126" w:type="dxa"/>
            <w:noWrap w:val="0"/>
            <w:vAlign w:val="center"/>
          </w:tcPr>
          <w:p w14:paraId="4BF53FA8">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设备安装内容</w:t>
            </w:r>
          </w:p>
        </w:tc>
        <w:tc>
          <w:tcPr>
            <w:tcW w:w="1417" w:type="dxa"/>
            <w:noWrap w:val="0"/>
            <w:vAlign w:val="center"/>
          </w:tcPr>
          <w:p w14:paraId="0D2237ED">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合同价格（元）</w:t>
            </w:r>
          </w:p>
        </w:tc>
        <w:tc>
          <w:tcPr>
            <w:tcW w:w="851" w:type="dxa"/>
            <w:noWrap w:val="0"/>
            <w:vAlign w:val="center"/>
          </w:tcPr>
          <w:p w14:paraId="0DEB02AB">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开工日期</w:t>
            </w:r>
          </w:p>
        </w:tc>
        <w:tc>
          <w:tcPr>
            <w:tcW w:w="850" w:type="dxa"/>
            <w:noWrap w:val="0"/>
            <w:vAlign w:val="center"/>
          </w:tcPr>
          <w:p w14:paraId="49C4F35A">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竣工日期</w:t>
            </w:r>
          </w:p>
        </w:tc>
      </w:tr>
      <w:tr w14:paraId="71228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1204FE89">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15B65E48">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5E47D756">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697A784E">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30CBFCAF">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327FC37B">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1487DC0A">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67E145DA">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4834BDE5">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75EA79B7">
            <w:pPr>
              <w:pStyle w:val="3"/>
              <w:keepNext/>
              <w:spacing w:after="0" w:line="440" w:lineRule="exact"/>
              <w:ind w:left="63" w:right="63"/>
              <w:rPr>
                <w:rFonts w:eastAsia="仿宋_GB2312"/>
                <w:color w:val="auto"/>
                <w:sz w:val="30"/>
                <w:szCs w:val="30"/>
                <w:highlight w:val="none"/>
              </w:rPr>
            </w:pPr>
          </w:p>
        </w:tc>
      </w:tr>
      <w:tr w14:paraId="64EB8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28C51A51">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7A3A6E3D">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36463E8D">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48750546">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75136BC6">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7BCF7367">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2FFF19E6">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6A4BAD39">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60FB00C5">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69D7474A">
            <w:pPr>
              <w:pStyle w:val="3"/>
              <w:keepNext/>
              <w:spacing w:after="0" w:line="440" w:lineRule="exact"/>
              <w:ind w:left="63" w:right="63"/>
              <w:rPr>
                <w:rFonts w:eastAsia="仿宋_GB2312"/>
                <w:color w:val="auto"/>
                <w:sz w:val="30"/>
                <w:szCs w:val="30"/>
                <w:highlight w:val="none"/>
              </w:rPr>
            </w:pPr>
          </w:p>
        </w:tc>
      </w:tr>
      <w:tr w14:paraId="2F75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037B22B">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32B54BC1">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2EEBF041">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37DF5FE1">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2C8B2FCF">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29A15176">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609C0AE4">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3D25AC26">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164D9D01">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1F348524">
            <w:pPr>
              <w:pStyle w:val="3"/>
              <w:keepNext/>
              <w:spacing w:after="0" w:line="440" w:lineRule="exact"/>
              <w:ind w:left="63" w:right="63"/>
              <w:rPr>
                <w:rFonts w:eastAsia="仿宋_GB2312"/>
                <w:color w:val="auto"/>
                <w:sz w:val="30"/>
                <w:szCs w:val="30"/>
                <w:highlight w:val="none"/>
              </w:rPr>
            </w:pPr>
          </w:p>
        </w:tc>
      </w:tr>
      <w:tr w14:paraId="04C9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7EAA2ADF">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4E8C558F">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7DACE9E8">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06B5F28A">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0046838B">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03003D81">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3EBF63D5">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79ADD1DF">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01D80386">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2548B723">
            <w:pPr>
              <w:pStyle w:val="3"/>
              <w:keepNext/>
              <w:spacing w:after="0" w:line="440" w:lineRule="exact"/>
              <w:ind w:left="63" w:right="63"/>
              <w:rPr>
                <w:rFonts w:eastAsia="仿宋_GB2312"/>
                <w:color w:val="auto"/>
                <w:sz w:val="30"/>
                <w:szCs w:val="30"/>
                <w:highlight w:val="none"/>
              </w:rPr>
            </w:pPr>
          </w:p>
        </w:tc>
      </w:tr>
      <w:tr w14:paraId="1424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1970525E">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34566B89">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16B79147">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78DE001D">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63EC31AD">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65B36CA3">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2B40D79D">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1309CF59">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3D250C9D">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7E9E16B7">
            <w:pPr>
              <w:pStyle w:val="3"/>
              <w:keepNext/>
              <w:spacing w:after="0" w:line="440" w:lineRule="exact"/>
              <w:ind w:left="63" w:right="63"/>
              <w:rPr>
                <w:rFonts w:eastAsia="仿宋_GB2312"/>
                <w:color w:val="auto"/>
                <w:sz w:val="30"/>
                <w:szCs w:val="30"/>
                <w:highlight w:val="none"/>
              </w:rPr>
            </w:pPr>
          </w:p>
        </w:tc>
      </w:tr>
      <w:tr w14:paraId="601D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6DE18EA">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3BA6244A">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007468E6">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650F77A1">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01D89E6A">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707A86AD">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1C7E37C6">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4257C865">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683B2E47">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26E0A65A">
            <w:pPr>
              <w:pStyle w:val="3"/>
              <w:keepNext/>
              <w:spacing w:after="0" w:line="440" w:lineRule="exact"/>
              <w:ind w:left="63" w:right="63"/>
              <w:rPr>
                <w:rFonts w:eastAsia="仿宋_GB2312"/>
                <w:color w:val="auto"/>
                <w:sz w:val="30"/>
                <w:szCs w:val="30"/>
                <w:highlight w:val="none"/>
              </w:rPr>
            </w:pPr>
          </w:p>
        </w:tc>
      </w:tr>
      <w:tr w14:paraId="57B1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6B29A0F5">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5C6FDD94">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12C8C9BD">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615642D4">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064BD3AA">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3C698A0F">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0BFE7519">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549E6D04">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67D552B9">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103DB292">
            <w:pPr>
              <w:pStyle w:val="3"/>
              <w:keepNext/>
              <w:spacing w:after="0" w:line="440" w:lineRule="exact"/>
              <w:ind w:left="63" w:right="63"/>
              <w:rPr>
                <w:rFonts w:eastAsia="仿宋_GB2312"/>
                <w:color w:val="auto"/>
                <w:sz w:val="30"/>
                <w:szCs w:val="30"/>
                <w:highlight w:val="none"/>
              </w:rPr>
            </w:pPr>
          </w:p>
        </w:tc>
      </w:tr>
      <w:tr w14:paraId="1A39E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434950FF">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18D328A1">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6133B6BF">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246CC999">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6DEF0348">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6FB2DA14">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682D69AB">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4938AFF3">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558B0D92">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518D9738">
            <w:pPr>
              <w:pStyle w:val="3"/>
              <w:keepNext/>
              <w:spacing w:after="0" w:line="440" w:lineRule="exact"/>
              <w:ind w:left="63" w:right="63"/>
              <w:rPr>
                <w:rFonts w:eastAsia="仿宋_GB2312"/>
                <w:color w:val="auto"/>
                <w:sz w:val="30"/>
                <w:szCs w:val="30"/>
                <w:highlight w:val="none"/>
              </w:rPr>
            </w:pPr>
          </w:p>
        </w:tc>
      </w:tr>
      <w:tr w14:paraId="7A2E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012CA3DD">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51E67F05">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50173A15">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348F64C9">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1464216D">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459AA596">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3C862475">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02350F5A">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2D449835">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46224000">
            <w:pPr>
              <w:pStyle w:val="3"/>
              <w:keepNext/>
              <w:spacing w:after="0" w:line="440" w:lineRule="exact"/>
              <w:ind w:left="63" w:right="63"/>
              <w:rPr>
                <w:rFonts w:eastAsia="仿宋_GB2312"/>
                <w:color w:val="auto"/>
                <w:sz w:val="30"/>
                <w:szCs w:val="30"/>
                <w:highlight w:val="none"/>
              </w:rPr>
            </w:pPr>
          </w:p>
        </w:tc>
      </w:tr>
      <w:tr w14:paraId="3F332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440" w:type="dxa"/>
            <w:noWrap w:val="0"/>
            <w:vAlign w:val="center"/>
          </w:tcPr>
          <w:p w14:paraId="3C72FF05">
            <w:pPr>
              <w:pStyle w:val="3"/>
              <w:keepNext/>
              <w:spacing w:after="0" w:line="440" w:lineRule="exact"/>
              <w:ind w:left="63" w:right="63"/>
              <w:rPr>
                <w:rFonts w:eastAsia="仿宋_GB2312"/>
                <w:color w:val="auto"/>
                <w:sz w:val="30"/>
                <w:szCs w:val="30"/>
                <w:highlight w:val="none"/>
              </w:rPr>
            </w:pPr>
          </w:p>
        </w:tc>
        <w:tc>
          <w:tcPr>
            <w:tcW w:w="1440" w:type="dxa"/>
            <w:noWrap w:val="0"/>
            <w:vAlign w:val="center"/>
          </w:tcPr>
          <w:p w14:paraId="104B0811">
            <w:pPr>
              <w:pStyle w:val="3"/>
              <w:keepNext/>
              <w:spacing w:after="0" w:line="440" w:lineRule="exact"/>
              <w:ind w:left="63" w:right="63"/>
              <w:rPr>
                <w:rFonts w:eastAsia="仿宋_GB2312"/>
                <w:color w:val="auto"/>
                <w:sz w:val="30"/>
                <w:szCs w:val="30"/>
                <w:highlight w:val="none"/>
              </w:rPr>
            </w:pPr>
          </w:p>
        </w:tc>
        <w:tc>
          <w:tcPr>
            <w:tcW w:w="1620" w:type="dxa"/>
            <w:noWrap w:val="0"/>
            <w:vAlign w:val="center"/>
          </w:tcPr>
          <w:p w14:paraId="7FFAB901">
            <w:pPr>
              <w:pStyle w:val="3"/>
              <w:keepNext/>
              <w:spacing w:after="0" w:line="440" w:lineRule="exact"/>
              <w:ind w:left="63" w:right="63"/>
              <w:rPr>
                <w:rFonts w:eastAsia="仿宋_GB2312"/>
                <w:color w:val="auto"/>
                <w:sz w:val="30"/>
                <w:szCs w:val="30"/>
                <w:highlight w:val="none"/>
              </w:rPr>
            </w:pPr>
          </w:p>
        </w:tc>
        <w:tc>
          <w:tcPr>
            <w:tcW w:w="1661" w:type="dxa"/>
            <w:noWrap w:val="0"/>
            <w:vAlign w:val="center"/>
          </w:tcPr>
          <w:p w14:paraId="1C1BE4F6">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1D6E313B">
            <w:pPr>
              <w:pStyle w:val="3"/>
              <w:keepNext/>
              <w:spacing w:after="0" w:line="440" w:lineRule="exact"/>
              <w:ind w:left="63" w:right="63"/>
              <w:rPr>
                <w:rFonts w:eastAsia="仿宋_GB2312"/>
                <w:color w:val="auto"/>
                <w:sz w:val="30"/>
                <w:szCs w:val="30"/>
                <w:highlight w:val="none"/>
              </w:rPr>
            </w:pPr>
          </w:p>
        </w:tc>
        <w:tc>
          <w:tcPr>
            <w:tcW w:w="1560" w:type="dxa"/>
            <w:noWrap w:val="0"/>
            <w:vAlign w:val="center"/>
          </w:tcPr>
          <w:p w14:paraId="5BE2180C">
            <w:pPr>
              <w:pStyle w:val="3"/>
              <w:keepNext/>
              <w:spacing w:after="0" w:line="440" w:lineRule="exact"/>
              <w:ind w:left="63" w:right="63"/>
              <w:rPr>
                <w:rFonts w:eastAsia="仿宋_GB2312"/>
                <w:color w:val="auto"/>
                <w:sz w:val="30"/>
                <w:szCs w:val="30"/>
                <w:highlight w:val="none"/>
              </w:rPr>
            </w:pPr>
          </w:p>
        </w:tc>
        <w:tc>
          <w:tcPr>
            <w:tcW w:w="2126" w:type="dxa"/>
            <w:noWrap w:val="0"/>
            <w:vAlign w:val="center"/>
          </w:tcPr>
          <w:p w14:paraId="273DA010">
            <w:pPr>
              <w:pStyle w:val="3"/>
              <w:keepNext/>
              <w:spacing w:after="0" w:line="440" w:lineRule="exact"/>
              <w:ind w:left="63" w:right="63"/>
              <w:rPr>
                <w:rFonts w:eastAsia="仿宋_GB2312"/>
                <w:color w:val="auto"/>
                <w:sz w:val="30"/>
                <w:szCs w:val="30"/>
                <w:highlight w:val="none"/>
              </w:rPr>
            </w:pPr>
          </w:p>
        </w:tc>
        <w:tc>
          <w:tcPr>
            <w:tcW w:w="1417" w:type="dxa"/>
            <w:noWrap w:val="0"/>
            <w:vAlign w:val="center"/>
          </w:tcPr>
          <w:p w14:paraId="5637F374">
            <w:pPr>
              <w:pStyle w:val="3"/>
              <w:keepNext/>
              <w:spacing w:after="0" w:line="440" w:lineRule="exact"/>
              <w:ind w:left="63" w:right="63"/>
              <w:rPr>
                <w:rFonts w:eastAsia="仿宋_GB2312"/>
                <w:color w:val="auto"/>
                <w:sz w:val="30"/>
                <w:szCs w:val="30"/>
                <w:highlight w:val="none"/>
              </w:rPr>
            </w:pPr>
          </w:p>
        </w:tc>
        <w:tc>
          <w:tcPr>
            <w:tcW w:w="851" w:type="dxa"/>
            <w:noWrap w:val="0"/>
            <w:vAlign w:val="center"/>
          </w:tcPr>
          <w:p w14:paraId="094BEDEF">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48AC985D">
            <w:pPr>
              <w:pStyle w:val="3"/>
              <w:keepNext/>
              <w:spacing w:after="0" w:line="440" w:lineRule="exact"/>
              <w:ind w:left="63" w:right="63"/>
              <w:rPr>
                <w:rFonts w:eastAsia="仿宋_GB2312"/>
                <w:color w:val="auto"/>
                <w:sz w:val="30"/>
                <w:szCs w:val="30"/>
                <w:highlight w:val="none"/>
              </w:rPr>
            </w:pPr>
          </w:p>
        </w:tc>
      </w:tr>
    </w:tbl>
    <w:p w14:paraId="4F49533B">
      <w:pPr>
        <w:spacing w:line="460" w:lineRule="exact"/>
        <w:ind w:firstLine="420" w:firstLineChars="200"/>
        <w:rPr>
          <w:color w:val="auto"/>
          <w:highlight w:val="none"/>
        </w:rPr>
      </w:pPr>
    </w:p>
    <w:p w14:paraId="2F8EB44B">
      <w:pPr>
        <w:spacing w:line="460" w:lineRule="exact"/>
        <w:ind w:firstLine="420" w:firstLineChars="200"/>
        <w:rPr>
          <w:color w:val="auto"/>
          <w:highlight w:val="none"/>
        </w:rPr>
      </w:pPr>
    </w:p>
    <w:p w14:paraId="4639FCB7">
      <w:pPr>
        <w:spacing w:line="460" w:lineRule="exact"/>
        <w:ind w:firstLine="420" w:firstLineChars="200"/>
        <w:rPr>
          <w:color w:val="auto"/>
          <w:highlight w:val="none"/>
        </w:rPr>
        <w:sectPr>
          <w:pgSz w:w="16840" w:h="11907" w:orient="landscape"/>
          <w:pgMar w:top="1440" w:right="1440" w:bottom="1440" w:left="1797" w:header="851" w:footer="851" w:gutter="0"/>
          <w:pgBorders>
            <w:top w:val="none" w:sz="0" w:space="0"/>
            <w:left w:val="none" w:sz="0" w:space="0"/>
            <w:bottom w:val="none" w:sz="0" w:space="0"/>
            <w:right w:val="none" w:sz="0" w:space="0"/>
          </w:pgBorders>
          <w:pgNumType w:fmt="decimal"/>
          <w:cols w:space="720" w:num="1"/>
          <w:docGrid w:linePitch="312" w:charSpace="0"/>
        </w:sectPr>
      </w:pPr>
    </w:p>
    <w:p w14:paraId="503C2007">
      <w:pPr>
        <w:spacing w:line="440" w:lineRule="exact"/>
        <w:rPr>
          <w:color w:val="auto"/>
          <w:sz w:val="30"/>
          <w:szCs w:val="30"/>
          <w:highlight w:val="none"/>
        </w:rPr>
      </w:pPr>
      <w:r>
        <w:rPr>
          <w:rFonts w:hint="eastAsia" w:hAnsi="宋体" w:cs="宋体"/>
          <w:color w:val="auto"/>
          <w:sz w:val="30"/>
          <w:szCs w:val="30"/>
          <w:highlight w:val="none"/>
        </w:rPr>
        <w:t>附件</w:t>
      </w:r>
      <w:r>
        <w:rPr>
          <w:rFonts w:hint="eastAsia"/>
          <w:color w:val="auto"/>
          <w:sz w:val="30"/>
          <w:szCs w:val="30"/>
          <w:highlight w:val="none"/>
        </w:rPr>
        <w:t>2</w:t>
      </w:r>
      <w:r>
        <w:rPr>
          <w:rFonts w:hint="eastAsia" w:hAnsi="宋体" w:cs="宋体"/>
          <w:color w:val="auto"/>
          <w:sz w:val="30"/>
          <w:szCs w:val="30"/>
          <w:highlight w:val="none"/>
        </w:rPr>
        <w:t>：</w:t>
      </w:r>
    </w:p>
    <w:p w14:paraId="0CD4E833">
      <w:pPr>
        <w:spacing w:before="120" w:beforeLines="50" w:after="120" w:afterLines="50" w:line="440" w:lineRule="exact"/>
        <w:jc w:val="center"/>
        <w:rPr>
          <w:rFonts w:ascii="黑体" w:eastAsia="黑体"/>
          <w:color w:val="auto"/>
          <w:sz w:val="32"/>
          <w:szCs w:val="32"/>
          <w:highlight w:val="none"/>
        </w:rPr>
      </w:pPr>
      <w:r>
        <w:rPr>
          <w:rFonts w:hint="eastAsia" w:ascii="黑体" w:hAnsi="宋体" w:eastAsia="黑体" w:cs="黑体"/>
          <w:color w:val="auto"/>
          <w:sz w:val="32"/>
          <w:szCs w:val="32"/>
          <w:highlight w:val="none"/>
        </w:rPr>
        <w:t>工程质量保修书（房屋建筑工程）</w:t>
      </w:r>
    </w:p>
    <w:p w14:paraId="62D2F565">
      <w:pPr>
        <w:spacing w:line="440" w:lineRule="exact"/>
        <w:ind w:firstLine="420" w:firstLineChars="200"/>
        <w:rPr>
          <w:color w:val="auto"/>
          <w:highlight w:val="none"/>
        </w:rPr>
      </w:pPr>
      <w:r>
        <w:rPr>
          <w:rFonts w:hint="eastAsia" w:hAnsi="宋体" w:cs="宋体"/>
          <w:color w:val="auto"/>
          <w:highlight w:val="none"/>
        </w:rPr>
        <w:t>发包人（全称）：</w:t>
      </w:r>
      <w:r>
        <w:rPr>
          <w:color w:val="auto"/>
          <w:highlight w:val="none"/>
          <w:u w:val="single"/>
        </w:rPr>
        <w:t xml:space="preserve">                                </w:t>
      </w:r>
      <w:r>
        <w:rPr>
          <w:color w:val="auto"/>
          <w:highlight w:val="none"/>
        </w:rPr>
        <w:t xml:space="preserve"> </w:t>
      </w:r>
    </w:p>
    <w:p w14:paraId="4DF38694">
      <w:pPr>
        <w:spacing w:line="440" w:lineRule="exact"/>
        <w:ind w:firstLine="420" w:firstLineChars="200"/>
        <w:rPr>
          <w:color w:val="auto"/>
          <w:highlight w:val="none"/>
        </w:rPr>
      </w:pPr>
      <w:r>
        <w:rPr>
          <w:rFonts w:hint="eastAsia" w:hAnsi="宋体" w:cs="宋体"/>
          <w:color w:val="auto"/>
          <w:highlight w:val="none"/>
        </w:rPr>
        <w:t>承包人（全称）：</w:t>
      </w:r>
      <w:r>
        <w:rPr>
          <w:color w:val="auto"/>
          <w:highlight w:val="none"/>
          <w:u w:val="single"/>
        </w:rPr>
        <w:t xml:space="preserve">                                </w:t>
      </w:r>
      <w:r>
        <w:rPr>
          <w:color w:val="auto"/>
          <w:highlight w:val="none"/>
        </w:rPr>
        <w:t xml:space="preserve"> </w:t>
      </w:r>
    </w:p>
    <w:p w14:paraId="646DF3E4">
      <w:pPr>
        <w:spacing w:line="440" w:lineRule="exact"/>
        <w:rPr>
          <w:color w:val="auto"/>
          <w:highlight w:val="none"/>
        </w:rPr>
      </w:pPr>
    </w:p>
    <w:p w14:paraId="0D3DBCB6">
      <w:pPr>
        <w:spacing w:line="360" w:lineRule="auto"/>
        <w:ind w:firstLine="420" w:firstLineChars="200"/>
        <w:rPr>
          <w:rFonts w:hAnsi="宋体"/>
          <w:color w:val="auto"/>
          <w:highlight w:val="none"/>
        </w:rPr>
      </w:pPr>
      <w:r>
        <w:rPr>
          <w:rFonts w:hint="eastAsia" w:hAnsi="宋体" w:cs="宋体"/>
          <w:color w:val="auto"/>
          <w:highlight w:val="none"/>
        </w:rPr>
        <w:t>发包人和承包人根据《中华人民共和国建筑法》和《建设工程质量管理条例》，经协商一致就</w:t>
      </w:r>
      <w:r>
        <w:rPr>
          <w:color w:val="auto"/>
          <w:highlight w:val="none"/>
          <w:u w:val="single"/>
        </w:rPr>
        <w:t xml:space="preserve">                                   </w:t>
      </w:r>
      <w:r>
        <w:rPr>
          <w:rFonts w:hint="eastAsia" w:hAnsi="宋体" w:cs="宋体"/>
          <w:color w:val="auto"/>
          <w:highlight w:val="none"/>
        </w:rPr>
        <w:t>（工程全称）签订工程质量保修书。</w:t>
      </w:r>
    </w:p>
    <w:p w14:paraId="2B6B415B">
      <w:pPr>
        <w:spacing w:line="360" w:lineRule="auto"/>
        <w:ind w:firstLine="420" w:firstLineChars="200"/>
        <w:rPr>
          <w:rFonts w:ascii="黑体" w:hAnsi="宋体" w:eastAsia="黑体"/>
          <w:color w:val="auto"/>
          <w:highlight w:val="none"/>
        </w:rPr>
      </w:pPr>
      <w:r>
        <w:rPr>
          <w:rFonts w:hint="eastAsia" w:ascii="黑体" w:hAnsi="宋体" w:eastAsia="黑体" w:cs="黑体"/>
          <w:color w:val="auto"/>
          <w:highlight w:val="none"/>
        </w:rPr>
        <w:t>一、工程质量保修范围和内容</w:t>
      </w:r>
    </w:p>
    <w:p w14:paraId="4902DF9B">
      <w:pPr>
        <w:spacing w:line="360" w:lineRule="auto"/>
        <w:ind w:firstLine="420" w:firstLineChars="200"/>
        <w:rPr>
          <w:color w:val="auto"/>
          <w:highlight w:val="none"/>
        </w:rPr>
      </w:pPr>
      <w:r>
        <w:rPr>
          <w:rFonts w:hint="eastAsia" w:hAnsi="宋体" w:cs="宋体"/>
          <w:color w:val="auto"/>
          <w:highlight w:val="none"/>
        </w:rPr>
        <w:t>承包人在质量保修期内，按照有关法律规定和合同约定，承担工程质量保修责任。</w:t>
      </w:r>
    </w:p>
    <w:p w14:paraId="41F50DFD">
      <w:pPr>
        <w:spacing w:line="360" w:lineRule="auto"/>
        <w:ind w:firstLine="420"/>
        <w:rPr>
          <w:rFonts w:hAnsi="宋体"/>
          <w:color w:val="auto"/>
          <w:highlight w:val="none"/>
        </w:rPr>
      </w:pPr>
      <w:r>
        <w:rPr>
          <w:rFonts w:hint="eastAsia" w:hAnsi="宋体" w:cs="宋体"/>
          <w:color w:val="auto"/>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054EF0F5">
      <w:pPr>
        <w:spacing w:line="360" w:lineRule="auto"/>
        <w:ind w:firstLine="420"/>
        <w:rPr>
          <w:rFonts w:hAnsi="宋体"/>
          <w:color w:val="auto"/>
          <w:highlight w:val="none"/>
        </w:rPr>
      </w:pPr>
      <w:r>
        <w:rPr>
          <w:color w:val="auto"/>
          <w:highlight w:val="none"/>
          <w:u w:val="single"/>
        </w:rPr>
        <w:t xml:space="preserve">                                                                                                                                                            </w:t>
      </w:r>
      <w:r>
        <w:rPr>
          <w:rFonts w:hint="eastAsia" w:hAnsi="宋体" w:cs="宋体"/>
          <w:color w:val="auto"/>
          <w:highlight w:val="none"/>
        </w:rPr>
        <w:t>。</w:t>
      </w:r>
    </w:p>
    <w:p w14:paraId="4D1953E7">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二、质量保修期</w:t>
      </w:r>
    </w:p>
    <w:p w14:paraId="28F389BF">
      <w:pPr>
        <w:spacing w:line="360" w:lineRule="auto"/>
        <w:ind w:firstLine="420"/>
        <w:rPr>
          <w:rFonts w:hAnsi="宋体"/>
          <w:color w:val="auto"/>
          <w:highlight w:val="none"/>
        </w:rPr>
      </w:pPr>
      <w:r>
        <w:rPr>
          <w:rFonts w:hint="eastAsia" w:hAnsi="宋体" w:cs="宋体"/>
          <w:color w:val="auto"/>
          <w:highlight w:val="none"/>
        </w:rPr>
        <w:t>根据《建设工程质量管理条例》及有关规定，工程的质量保修期如下：</w:t>
      </w:r>
    </w:p>
    <w:p w14:paraId="506F0F25">
      <w:pPr>
        <w:spacing w:line="360" w:lineRule="auto"/>
        <w:ind w:firstLine="420"/>
        <w:rPr>
          <w:rFonts w:hAnsi="宋体"/>
          <w:color w:val="auto"/>
          <w:highlight w:val="none"/>
        </w:rPr>
      </w:pPr>
      <w:r>
        <w:rPr>
          <w:color w:val="auto"/>
          <w:highlight w:val="none"/>
        </w:rPr>
        <w:t>1</w:t>
      </w:r>
      <w:r>
        <w:rPr>
          <w:rFonts w:hint="eastAsia" w:hAnsi="宋体" w:cs="宋体"/>
          <w:color w:val="auto"/>
          <w:highlight w:val="none"/>
        </w:rPr>
        <w:t>．地基基础工程和主体结构工程为设计文件规定的工程合理使用年限；</w:t>
      </w:r>
    </w:p>
    <w:p w14:paraId="4FB33F29">
      <w:pPr>
        <w:spacing w:line="360" w:lineRule="auto"/>
        <w:ind w:firstLine="420"/>
        <w:rPr>
          <w:rFonts w:hAnsi="宋体"/>
          <w:color w:val="auto"/>
          <w:highlight w:val="none"/>
        </w:rPr>
      </w:pPr>
      <w:r>
        <w:rPr>
          <w:color w:val="auto"/>
          <w:highlight w:val="none"/>
        </w:rPr>
        <w:t>2</w:t>
      </w:r>
      <w:r>
        <w:rPr>
          <w:rFonts w:hint="eastAsia" w:hAnsi="宋体" w:cs="宋体"/>
          <w:color w:val="auto"/>
          <w:highlight w:val="none"/>
        </w:rPr>
        <w:t>．屋面防水工程、有防水要求的卫生间、房间和外墙面的防渗为</w:t>
      </w:r>
      <w:r>
        <w:rPr>
          <w:color w:val="auto"/>
          <w:highlight w:val="none"/>
          <w:u w:val="single"/>
        </w:rPr>
        <w:t xml:space="preserve">        </w:t>
      </w:r>
      <w:r>
        <w:rPr>
          <w:rFonts w:hint="eastAsia" w:hAnsi="宋体" w:cs="宋体"/>
          <w:color w:val="auto"/>
          <w:highlight w:val="none"/>
        </w:rPr>
        <w:t>年；</w:t>
      </w:r>
    </w:p>
    <w:p w14:paraId="6ECDA183">
      <w:pPr>
        <w:spacing w:line="360" w:lineRule="auto"/>
        <w:ind w:firstLine="420"/>
        <w:rPr>
          <w:rFonts w:hAnsi="宋体"/>
          <w:color w:val="auto"/>
          <w:highlight w:val="none"/>
        </w:rPr>
      </w:pPr>
      <w:r>
        <w:rPr>
          <w:color w:val="auto"/>
          <w:highlight w:val="none"/>
        </w:rPr>
        <w:t>3</w:t>
      </w:r>
      <w:r>
        <w:rPr>
          <w:rFonts w:hint="eastAsia" w:hAnsi="宋体" w:cs="宋体"/>
          <w:color w:val="auto"/>
          <w:highlight w:val="none"/>
        </w:rPr>
        <w:t>．装修工程为</w:t>
      </w:r>
      <w:r>
        <w:rPr>
          <w:color w:val="auto"/>
          <w:highlight w:val="none"/>
          <w:u w:val="single"/>
        </w:rPr>
        <w:t xml:space="preserve">         </w:t>
      </w:r>
      <w:r>
        <w:rPr>
          <w:rFonts w:hint="eastAsia" w:hAnsi="宋体" w:cs="宋体"/>
          <w:color w:val="auto"/>
          <w:highlight w:val="none"/>
        </w:rPr>
        <w:t>年；</w:t>
      </w:r>
    </w:p>
    <w:p w14:paraId="0999E173">
      <w:pPr>
        <w:spacing w:line="360" w:lineRule="auto"/>
        <w:ind w:firstLine="420"/>
        <w:rPr>
          <w:rFonts w:hAnsi="宋体"/>
          <w:color w:val="auto"/>
          <w:highlight w:val="none"/>
        </w:rPr>
      </w:pPr>
      <w:r>
        <w:rPr>
          <w:color w:val="auto"/>
          <w:highlight w:val="none"/>
        </w:rPr>
        <w:t>4</w:t>
      </w:r>
      <w:r>
        <w:rPr>
          <w:rFonts w:hint="eastAsia" w:hAnsi="宋体" w:cs="宋体"/>
          <w:color w:val="auto"/>
          <w:highlight w:val="none"/>
        </w:rPr>
        <w:t>．电气管线、给排水管道、设备安装工程为</w:t>
      </w:r>
      <w:r>
        <w:rPr>
          <w:color w:val="auto"/>
          <w:highlight w:val="none"/>
          <w:u w:val="single"/>
        </w:rPr>
        <w:t xml:space="preserve">         </w:t>
      </w:r>
      <w:r>
        <w:rPr>
          <w:rFonts w:hint="eastAsia" w:hAnsi="宋体" w:cs="宋体"/>
          <w:color w:val="auto"/>
          <w:highlight w:val="none"/>
        </w:rPr>
        <w:t>年；</w:t>
      </w:r>
    </w:p>
    <w:p w14:paraId="628DA329">
      <w:pPr>
        <w:spacing w:line="360" w:lineRule="auto"/>
        <w:ind w:firstLine="420"/>
        <w:rPr>
          <w:rFonts w:hAnsi="宋体"/>
          <w:color w:val="auto"/>
          <w:highlight w:val="none"/>
        </w:rPr>
      </w:pPr>
      <w:r>
        <w:rPr>
          <w:color w:val="auto"/>
          <w:highlight w:val="none"/>
        </w:rPr>
        <w:t>5</w:t>
      </w:r>
      <w:r>
        <w:rPr>
          <w:rFonts w:hint="eastAsia" w:hAnsi="宋体" w:cs="宋体"/>
          <w:color w:val="auto"/>
          <w:highlight w:val="none"/>
        </w:rPr>
        <w:t>．供热与供冷系统为</w:t>
      </w:r>
      <w:r>
        <w:rPr>
          <w:color w:val="auto"/>
          <w:highlight w:val="none"/>
          <w:u w:val="single"/>
        </w:rPr>
        <w:t xml:space="preserve">         </w:t>
      </w:r>
      <w:r>
        <w:rPr>
          <w:rFonts w:hint="eastAsia" w:hAnsi="宋体" w:cs="宋体"/>
          <w:color w:val="auto"/>
          <w:highlight w:val="none"/>
        </w:rPr>
        <w:t>个采暖期、供冷期；</w:t>
      </w:r>
    </w:p>
    <w:p w14:paraId="4266C2C4">
      <w:pPr>
        <w:spacing w:line="360" w:lineRule="auto"/>
        <w:ind w:firstLine="420"/>
        <w:rPr>
          <w:rFonts w:hAnsi="宋体"/>
          <w:color w:val="auto"/>
          <w:highlight w:val="none"/>
        </w:rPr>
      </w:pPr>
      <w:r>
        <w:rPr>
          <w:color w:val="auto"/>
          <w:highlight w:val="none"/>
        </w:rPr>
        <w:t>6</w:t>
      </w:r>
      <w:r>
        <w:rPr>
          <w:rFonts w:hint="eastAsia" w:hAnsi="宋体" w:cs="宋体"/>
          <w:color w:val="auto"/>
          <w:highlight w:val="none"/>
        </w:rPr>
        <w:t>．住宅小区内的给排水设施、道路等配套工程为</w:t>
      </w:r>
      <w:r>
        <w:rPr>
          <w:color w:val="auto"/>
          <w:highlight w:val="none"/>
          <w:u w:val="single"/>
        </w:rPr>
        <w:t xml:space="preserve">         </w:t>
      </w:r>
      <w:r>
        <w:rPr>
          <w:rFonts w:hint="eastAsia" w:hAnsi="宋体" w:cs="宋体"/>
          <w:color w:val="auto"/>
          <w:highlight w:val="none"/>
        </w:rPr>
        <w:t>年；</w:t>
      </w:r>
    </w:p>
    <w:p w14:paraId="71B301F1">
      <w:pPr>
        <w:spacing w:line="360" w:lineRule="auto"/>
        <w:ind w:firstLine="420"/>
        <w:rPr>
          <w:rFonts w:hAnsi="宋体"/>
          <w:color w:val="auto"/>
          <w:highlight w:val="none"/>
        </w:rPr>
      </w:pPr>
      <w:r>
        <w:rPr>
          <w:color w:val="auto"/>
          <w:highlight w:val="none"/>
        </w:rPr>
        <w:t>7</w:t>
      </w:r>
      <w:r>
        <w:rPr>
          <w:rFonts w:hint="eastAsia" w:hAnsi="宋体" w:cs="宋体"/>
          <w:color w:val="auto"/>
          <w:highlight w:val="none"/>
        </w:rPr>
        <w:t>．其他项目保修期限约定如下：</w:t>
      </w:r>
    </w:p>
    <w:p w14:paraId="58040783">
      <w:pPr>
        <w:spacing w:line="360" w:lineRule="auto"/>
        <w:ind w:firstLine="420"/>
        <w:rPr>
          <w:rFonts w:hAnsi="宋体"/>
          <w:color w:val="auto"/>
          <w:highlight w:val="none"/>
        </w:rPr>
      </w:pPr>
      <w:r>
        <w:rPr>
          <w:color w:val="auto"/>
          <w:highlight w:val="none"/>
          <w:u w:val="single"/>
        </w:rPr>
        <w:t xml:space="preserve">                                                                                                                                                             </w:t>
      </w:r>
      <w:r>
        <w:rPr>
          <w:rFonts w:hint="eastAsia" w:hAnsi="宋体" w:cs="宋体"/>
          <w:color w:val="auto"/>
          <w:highlight w:val="none"/>
        </w:rPr>
        <w:t>。</w:t>
      </w:r>
    </w:p>
    <w:p w14:paraId="46F81AE6">
      <w:pPr>
        <w:spacing w:line="360" w:lineRule="auto"/>
        <w:ind w:firstLine="420"/>
        <w:rPr>
          <w:rFonts w:hAnsi="宋体"/>
          <w:color w:val="auto"/>
          <w:highlight w:val="none"/>
        </w:rPr>
      </w:pPr>
      <w:r>
        <w:rPr>
          <w:rFonts w:hint="eastAsia" w:hAnsi="宋体" w:cs="宋体"/>
          <w:color w:val="auto"/>
          <w:highlight w:val="none"/>
        </w:rPr>
        <w:t>质量保修期自工程竣工验收合格之日起计算。</w:t>
      </w:r>
    </w:p>
    <w:p w14:paraId="021D11CD">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三、缺陷责任期</w:t>
      </w:r>
    </w:p>
    <w:p w14:paraId="27CC0170">
      <w:pPr>
        <w:spacing w:line="360" w:lineRule="auto"/>
        <w:ind w:firstLine="420"/>
        <w:rPr>
          <w:rFonts w:hAnsi="宋体"/>
          <w:color w:val="auto"/>
          <w:highlight w:val="none"/>
        </w:rPr>
      </w:pPr>
      <w:r>
        <w:rPr>
          <w:rFonts w:hint="eastAsia" w:hAnsi="宋体" w:cs="宋体"/>
          <w:color w:val="auto"/>
          <w:highlight w:val="none"/>
        </w:rPr>
        <w:t>工程缺陷责任期为</w:t>
      </w:r>
      <w:r>
        <w:rPr>
          <w:color w:val="auto"/>
          <w:highlight w:val="none"/>
          <w:u w:val="single"/>
        </w:rPr>
        <w:t xml:space="preserve">         </w:t>
      </w:r>
      <w:r>
        <w:rPr>
          <w:rFonts w:hint="eastAsia" w:hAnsi="宋体" w:cs="宋体"/>
          <w:color w:val="auto"/>
          <w:highlight w:val="none"/>
        </w:rPr>
        <w:t>个月（最长不超过</w:t>
      </w:r>
      <w:r>
        <w:rPr>
          <w:rFonts w:hAnsi="宋体"/>
          <w:color w:val="auto"/>
          <w:highlight w:val="none"/>
        </w:rPr>
        <w:t>24</w:t>
      </w:r>
      <w:r>
        <w:rPr>
          <w:rFonts w:hint="eastAsia" w:hAnsi="宋体" w:cs="宋体"/>
          <w:color w:val="auto"/>
          <w:highlight w:val="none"/>
        </w:rPr>
        <w:t>个月），缺陷责任期自工程竣工验收合格之日起计算。单位工程先于全部工程进行验收，单位工程缺陷责任期自单位工程验收合格之日起算。</w:t>
      </w:r>
    </w:p>
    <w:p w14:paraId="7A6C8FD1">
      <w:pPr>
        <w:spacing w:line="360" w:lineRule="auto"/>
        <w:ind w:firstLine="420"/>
        <w:rPr>
          <w:rFonts w:hAnsi="宋体"/>
          <w:color w:val="auto"/>
          <w:highlight w:val="none"/>
        </w:rPr>
      </w:pPr>
      <w:r>
        <w:rPr>
          <w:rFonts w:hint="eastAsia" w:hAnsi="宋体" w:cs="宋体"/>
          <w:color w:val="auto"/>
          <w:highlight w:val="none"/>
        </w:rPr>
        <w:t>缺陷责任期</w:t>
      </w:r>
      <w:r>
        <w:rPr>
          <w:rFonts w:hint="eastAsia" w:hAnsi="宋体" w:cs="宋体"/>
          <w:color w:val="auto"/>
          <w:highlight w:val="none"/>
          <w:u w:val="single"/>
        </w:rPr>
        <w:t>满</w:t>
      </w:r>
      <w:r>
        <w:rPr>
          <w:rFonts w:hint="eastAsia" w:ascii="仿宋_GB2312" w:hAnsi="宋体"/>
          <w:color w:val="auto"/>
          <w:highlight w:val="none"/>
        </w:rPr>
        <w:t>之日起</w:t>
      </w:r>
      <w:r>
        <w:rPr>
          <w:rFonts w:hint="eastAsia" w:ascii="仿宋_GB2312" w:hAnsi="宋体"/>
          <w:color w:val="auto"/>
          <w:highlight w:val="none"/>
          <w:u w:val="single"/>
        </w:rPr>
        <w:t xml:space="preserve"> </w:t>
      </w:r>
      <w:r>
        <w:rPr>
          <w:rFonts w:ascii="仿宋_GB2312" w:hAnsi="宋体"/>
          <w:color w:val="auto"/>
          <w:highlight w:val="none"/>
          <w:u w:val="single"/>
        </w:rPr>
        <w:t xml:space="preserve">  </w:t>
      </w:r>
      <w:r>
        <w:rPr>
          <w:rFonts w:hint="eastAsia" w:ascii="仿宋_GB2312" w:hAnsi="宋体"/>
          <w:color w:val="auto"/>
          <w:highlight w:val="none"/>
          <w:u w:val="single"/>
        </w:rPr>
        <w:t xml:space="preserve"> </w:t>
      </w:r>
      <w:r>
        <w:rPr>
          <w:rFonts w:hint="eastAsia" w:ascii="仿宋_GB2312" w:hAnsi="宋体"/>
          <w:color w:val="auto"/>
          <w:highlight w:val="none"/>
        </w:rPr>
        <w:t>天</w:t>
      </w:r>
      <w:r>
        <w:rPr>
          <w:rFonts w:hint="eastAsia" w:hAnsi="宋体" w:cs="宋体"/>
          <w:color w:val="auto"/>
          <w:highlight w:val="none"/>
          <w:u w:val="single"/>
        </w:rPr>
        <w:t>（按</w:t>
      </w:r>
      <w:r>
        <w:rPr>
          <w:rFonts w:hAnsi="宋体" w:cs="宋体"/>
          <w:color w:val="auto"/>
          <w:highlight w:val="none"/>
          <w:u w:val="single"/>
        </w:rPr>
        <w:t>合同约定期限）</w:t>
      </w:r>
      <w:r>
        <w:rPr>
          <w:rFonts w:hint="eastAsia" w:hAnsi="宋体" w:cs="宋体"/>
          <w:color w:val="auto"/>
          <w:highlight w:val="none"/>
          <w:u w:val="single"/>
        </w:rPr>
        <w:t>，</w:t>
      </w:r>
      <w:r>
        <w:rPr>
          <w:rFonts w:hint="eastAsia" w:hAnsi="宋体" w:cs="宋体"/>
          <w:color w:val="auto"/>
          <w:highlight w:val="none"/>
        </w:rPr>
        <w:t>发包人应退还剩余的质量保证金。</w:t>
      </w:r>
    </w:p>
    <w:p w14:paraId="30A1D598">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四、质量保修责任</w:t>
      </w:r>
    </w:p>
    <w:p w14:paraId="4F6A81C3">
      <w:pPr>
        <w:spacing w:line="360" w:lineRule="auto"/>
        <w:ind w:left="105" w:leftChars="50" w:firstLine="430" w:firstLineChars="205"/>
        <w:rPr>
          <w:rFonts w:hAnsi="宋体"/>
          <w:color w:val="auto"/>
          <w:highlight w:val="none"/>
        </w:rPr>
      </w:pPr>
      <w:r>
        <w:rPr>
          <w:color w:val="auto"/>
          <w:highlight w:val="none"/>
        </w:rPr>
        <w:t>1</w:t>
      </w:r>
      <w:r>
        <w:rPr>
          <w:rFonts w:hint="eastAsia" w:hAnsi="宋体" w:cs="宋体"/>
          <w:color w:val="auto"/>
          <w:highlight w:val="none"/>
        </w:rPr>
        <w:t>．属于保修范围、内容的项目，承包人应当在接到保修通知之日起</w:t>
      </w:r>
      <w:r>
        <w:rPr>
          <w:color w:val="auto"/>
          <w:highlight w:val="none"/>
          <w:u w:val="single"/>
        </w:rPr>
        <w:t xml:space="preserve">      </w:t>
      </w:r>
      <w:r>
        <w:rPr>
          <w:rFonts w:hint="eastAsia" w:hAnsi="宋体" w:cs="宋体"/>
          <w:color w:val="auto"/>
          <w:highlight w:val="none"/>
        </w:rPr>
        <w:t>天内派人保修。承包人不在约定期限内派人保修的，发包人可以委托他人修理，修理费用从质量保证金内扣除。</w:t>
      </w:r>
    </w:p>
    <w:p w14:paraId="7181A9B9">
      <w:pPr>
        <w:spacing w:line="360" w:lineRule="auto"/>
        <w:ind w:firstLine="420"/>
        <w:rPr>
          <w:rFonts w:hAnsi="宋体"/>
          <w:color w:val="auto"/>
          <w:highlight w:val="none"/>
        </w:rPr>
      </w:pPr>
      <w:r>
        <w:rPr>
          <w:color w:val="auto"/>
          <w:highlight w:val="none"/>
        </w:rPr>
        <w:t>2</w:t>
      </w:r>
      <w:r>
        <w:rPr>
          <w:rFonts w:hint="eastAsia" w:hAnsi="宋体" w:cs="宋体"/>
          <w:color w:val="auto"/>
          <w:highlight w:val="none"/>
        </w:rPr>
        <w:t>．发生紧急事故需抢修的，承包人在接到事故通知后，应当立即到达事故现场抢修。</w:t>
      </w:r>
    </w:p>
    <w:p w14:paraId="0D7BD37F">
      <w:pPr>
        <w:spacing w:line="360" w:lineRule="auto"/>
        <w:ind w:firstLine="420"/>
        <w:rPr>
          <w:rFonts w:hAnsi="宋体"/>
          <w:color w:val="auto"/>
          <w:highlight w:val="none"/>
        </w:rPr>
      </w:pPr>
      <w:r>
        <w:rPr>
          <w:color w:val="auto"/>
          <w:highlight w:val="none"/>
        </w:rPr>
        <w:t>3</w:t>
      </w:r>
      <w:r>
        <w:rPr>
          <w:rFonts w:hint="eastAsia" w:hAnsi="宋体" w:cs="宋体"/>
          <w:color w:val="auto"/>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014E81E2">
      <w:pPr>
        <w:spacing w:line="360" w:lineRule="auto"/>
        <w:ind w:firstLine="420"/>
        <w:rPr>
          <w:rFonts w:hAnsi="宋体"/>
          <w:color w:val="auto"/>
          <w:highlight w:val="none"/>
        </w:rPr>
      </w:pPr>
      <w:r>
        <w:rPr>
          <w:color w:val="auto"/>
          <w:highlight w:val="none"/>
        </w:rPr>
        <w:t>4</w:t>
      </w:r>
      <w:r>
        <w:rPr>
          <w:rFonts w:hint="eastAsia" w:hAnsi="宋体" w:cs="宋体"/>
          <w:color w:val="auto"/>
          <w:highlight w:val="none"/>
        </w:rPr>
        <w:t>．质量保修完成后，由发包人组织验收。</w:t>
      </w:r>
    </w:p>
    <w:p w14:paraId="5BD9FBD6">
      <w:pPr>
        <w:spacing w:line="360" w:lineRule="auto"/>
        <w:ind w:firstLine="420"/>
        <w:rPr>
          <w:rFonts w:ascii="黑体" w:hAnsi="宋体" w:eastAsia="黑体"/>
          <w:color w:val="auto"/>
          <w:highlight w:val="none"/>
        </w:rPr>
      </w:pPr>
      <w:r>
        <w:rPr>
          <w:rFonts w:hint="eastAsia" w:ascii="黑体" w:hAnsi="宋体" w:eastAsia="黑体" w:cs="黑体"/>
          <w:color w:val="auto"/>
          <w:highlight w:val="none"/>
        </w:rPr>
        <w:t>五、保修费用</w:t>
      </w:r>
    </w:p>
    <w:p w14:paraId="134C406A">
      <w:pPr>
        <w:tabs>
          <w:tab w:val="left" w:pos="7380"/>
        </w:tabs>
        <w:spacing w:line="360" w:lineRule="auto"/>
        <w:ind w:firstLine="420"/>
        <w:rPr>
          <w:rFonts w:hAnsi="宋体"/>
          <w:color w:val="auto"/>
          <w:highlight w:val="none"/>
        </w:rPr>
      </w:pPr>
      <w:r>
        <w:rPr>
          <w:rFonts w:hint="eastAsia" w:hAnsi="宋体" w:cs="宋体"/>
          <w:color w:val="auto"/>
          <w:highlight w:val="none"/>
        </w:rPr>
        <w:t>保修费用由造成质量缺陷的责任方承担。</w:t>
      </w:r>
    </w:p>
    <w:p w14:paraId="0A020067">
      <w:pPr>
        <w:spacing w:line="360" w:lineRule="auto"/>
        <w:ind w:firstLine="420"/>
        <w:rPr>
          <w:rFonts w:ascii="黑体" w:hAnsi="宋体" w:eastAsia="黑体" w:cs="黑体"/>
          <w:color w:val="auto"/>
          <w:highlight w:val="none"/>
        </w:rPr>
      </w:pPr>
      <w:r>
        <w:rPr>
          <w:rFonts w:hint="eastAsia" w:ascii="黑体" w:hAnsi="宋体" w:eastAsia="黑体" w:cs="黑体"/>
          <w:color w:val="auto"/>
          <w:highlight w:val="none"/>
        </w:rPr>
        <w:t>六、双方约定的其他工程质量保修事项：</w:t>
      </w:r>
      <w:r>
        <w:rPr>
          <w:rFonts w:ascii="黑体" w:hAnsi="宋体" w:eastAsia="黑体" w:cs="黑体"/>
          <w:color w:val="auto"/>
          <w:highlight w:val="none"/>
        </w:rPr>
        <w:t xml:space="preserve"> </w:t>
      </w:r>
    </w:p>
    <w:p w14:paraId="693A5505">
      <w:pPr>
        <w:spacing w:line="360" w:lineRule="auto"/>
        <w:ind w:firstLine="420" w:firstLineChars="200"/>
        <w:jc w:val="left"/>
        <w:rPr>
          <w:color w:val="auto"/>
          <w:highlight w:val="none"/>
        </w:rPr>
      </w:pPr>
      <w:r>
        <w:rPr>
          <w:color w:val="auto"/>
          <w:highlight w:val="none"/>
          <w:u w:val="single"/>
        </w:rPr>
        <w:t xml:space="preserve">                                                                                                                                                             </w:t>
      </w:r>
      <w:r>
        <w:rPr>
          <w:rFonts w:hint="eastAsia" w:hAnsi="宋体" w:cs="宋体"/>
          <w:color w:val="auto"/>
          <w:highlight w:val="none"/>
        </w:rPr>
        <w:t>。</w:t>
      </w:r>
    </w:p>
    <w:p w14:paraId="5919F532">
      <w:pPr>
        <w:spacing w:line="360" w:lineRule="auto"/>
        <w:ind w:firstLine="399" w:firstLineChars="190"/>
        <w:rPr>
          <w:color w:val="auto"/>
          <w:highlight w:val="none"/>
        </w:rPr>
      </w:pPr>
      <w:r>
        <w:rPr>
          <w:rFonts w:hint="eastAsia" w:hAnsi="宋体" w:cs="宋体"/>
          <w:color w:val="auto"/>
          <w:highlight w:val="none"/>
        </w:rPr>
        <w:t>工程质量保修书由发包人、承包人在工程竣工验收前共同签署，作为施工合同附件，其有效期限至保修期满。</w:t>
      </w:r>
    </w:p>
    <w:p w14:paraId="3F185600">
      <w:pPr>
        <w:spacing w:line="360" w:lineRule="auto"/>
        <w:ind w:firstLine="420"/>
        <w:rPr>
          <w:color w:val="auto"/>
          <w:highlight w:val="none"/>
        </w:rPr>
      </w:pPr>
    </w:p>
    <w:p w14:paraId="5BD829DA">
      <w:pPr>
        <w:spacing w:line="360" w:lineRule="auto"/>
        <w:rPr>
          <w:color w:val="auto"/>
          <w:highlight w:val="none"/>
        </w:rPr>
      </w:pPr>
      <w:r>
        <w:rPr>
          <w:rFonts w:hAnsi="宋体"/>
          <w:color w:val="auto"/>
          <w:highlight w:val="none"/>
        </w:rPr>
        <w:t>发包人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承包人</w:t>
      </w:r>
      <w:r>
        <w:rPr>
          <w:rFonts w:hint="eastAsia"/>
          <w:color w:val="auto"/>
          <w:highlight w:val="none"/>
        </w:rPr>
        <w:t>（</w:t>
      </w:r>
      <w:r>
        <w:rPr>
          <w:rFonts w:hAnsi="宋体"/>
          <w:color w:val="auto"/>
          <w:highlight w:val="none"/>
        </w:rPr>
        <w:t>公章</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p>
    <w:p w14:paraId="24CB5526">
      <w:pPr>
        <w:spacing w:line="360" w:lineRule="auto"/>
        <w:rPr>
          <w:color w:val="auto"/>
          <w:highlight w:val="none"/>
        </w:rPr>
      </w:pPr>
      <w:r>
        <w:rPr>
          <w:rFonts w:hAnsi="宋体"/>
          <w:color w:val="auto"/>
          <w:highlight w:val="none"/>
        </w:rPr>
        <w:t>地</w:t>
      </w:r>
      <w:r>
        <w:rPr>
          <w:color w:val="auto"/>
          <w:highlight w:val="none"/>
        </w:rPr>
        <w:t xml:space="preserve">  </w:t>
      </w:r>
      <w:r>
        <w:rPr>
          <w:rFonts w:hAnsi="宋体"/>
          <w:color w:val="auto"/>
          <w:highlight w:val="none"/>
        </w:rPr>
        <w:t>址：</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地</w:t>
      </w:r>
      <w:r>
        <w:rPr>
          <w:color w:val="auto"/>
          <w:highlight w:val="none"/>
        </w:rPr>
        <w:t xml:space="preserve">  </w:t>
      </w:r>
      <w:r>
        <w:rPr>
          <w:rFonts w:hAnsi="宋体"/>
          <w:color w:val="auto"/>
          <w:highlight w:val="none"/>
        </w:rPr>
        <w:t>址：</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rFonts w:ascii="宋体" w:hAnsi="宋体"/>
          <w:color w:val="auto"/>
          <w:highlight w:val="none"/>
          <w:u w:val="single"/>
        </w:rPr>
        <w:t></w:t>
      </w:r>
    </w:p>
    <w:p w14:paraId="55388D22">
      <w:pPr>
        <w:spacing w:line="360" w:lineRule="auto"/>
        <w:rPr>
          <w:color w:val="auto"/>
          <w:highlight w:val="none"/>
        </w:rPr>
      </w:pP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法定代表人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337E43D6">
      <w:pPr>
        <w:spacing w:line="360" w:lineRule="auto"/>
        <w:rPr>
          <w:color w:val="auto"/>
          <w:highlight w:val="none"/>
        </w:rPr>
      </w:pP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委托代理人</w:t>
      </w:r>
      <w:r>
        <w:rPr>
          <w:rFonts w:hint="eastAsia"/>
          <w:color w:val="auto"/>
          <w:highlight w:val="none"/>
        </w:rPr>
        <w:t>（</w:t>
      </w:r>
      <w:r>
        <w:rPr>
          <w:rFonts w:hAnsi="宋体"/>
          <w:color w:val="auto"/>
          <w:highlight w:val="none"/>
        </w:rPr>
        <w:t>签字</w:t>
      </w:r>
      <w:r>
        <w:rPr>
          <w:rFonts w:hint="eastAsia"/>
          <w:color w:val="auto"/>
          <w:highlight w:val="none"/>
        </w:rPr>
        <w:t>）</w:t>
      </w:r>
      <w:r>
        <w:rPr>
          <w:rFonts w:hAnsi="宋体"/>
          <w:color w:val="auto"/>
          <w:highlight w:val="none"/>
        </w:rPr>
        <w:t>：</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658626B6">
      <w:pPr>
        <w:spacing w:line="360" w:lineRule="auto"/>
        <w:rPr>
          <w:color w:val="auto"/>
          <w:highlight w:val="none"/>
        </w:rPr>
      </w:pPr>
      <w:r>
        <w:rPr>
          <w:rFonts w:hAnsi="宋体"/>
          <w:color w:val="auto"/>
          <w:highlight w:val="none"/>
        </w:rPr>
        <w:t>电</w:t>
      </w:r>
      <w:r>
        <w:rPr>
          <w:color w:val="auto"/>
          <w:highlight w:val="none"/>
        </w:rPr>
        <w:t xml:space="preserve">  </w:t>
      </w:r>
      <w:r>
        <w:rPr>
          <w:rFonts w:hAnsi="宋体"/>
          <w:color w:val="auto"/>
          <w:highlight w:val="none"/>
        </w:rPr>
        <w:t>话：</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电</w:t>
      </w:r>
      <w:r>
        <w:rPr>
          <w:color w:val="auto"/>
          <w:highlight w:val="none"/>
        </w:rPr>
        <w:t xml:space="preserve">  </w:t>
      </w:r>
      <w:r>
        <w:rPr>
          <w:rFonts w:hAnsi="宋体"/>
          <w:color w:val="auto"/>
          <w:highlight w:val="none"/>
        </w:rPr>
        <w:t>话：</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683C3E7F">
      <w:pPr>
        <w:spacing w:line="360" w:lineRule="auto"/>
        <w:rPr>
          <w:color w:val="auto"/>
          <w:highlight w:val="none"/>
        </w:rPr>
      </w:pPr>
      <w:r>
        <w:rPr>
          <w:rFonts w:hAnsi="宋体"/>
          <w:color w:val="auto"/>
          <w:highlight w:val="none"/>
        </w:rPr>
        <w:t>传</w:t>
      </w:r>
      <w:r>
        <w:rPr>
          <w:color w:val="auto"/>
          <w:highlight w:val="none"/>
        </w:rPr>
        <w:t xml:space="preserve">  </w:t>
      </w:r>
      <w:r>
        <w:rPr>
          <w:rFonts w:hAnsi="宋体"/>
          <w:color w:val="auto"/>
          <w:highlight w:val="none"/>
        </w:rPr>
        <w:t>真：</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传</w:t>
      </w:r>
      <w:r>
        <w:rPr>
          <w:color w:val="auto"/>
          <w:highlight w:val="none"/>
        </w:rPr>
        <w:t xml:space="preserve">  </w:t>
      </w:r>
      <w:r>
        <w:rPr>
          <w:rFonts w:hAnsi="宋体"/>
          <w:color w:val="auto"/>
          <w:highlight w:val="none"/>
        </w:rPr>
        <w:t>真：</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rFonts w:ascii="宋体" w:hAnsi="宋体"/>
          <w:color w:val="auto"/>
          <w:highlight w:val="none"/>
          <w:u w:val="single"/>
        </w:rPr>
        <w:t></w:t>
      </w:r>
    </w:p>
    <w:p w14:paraId="17ED6312">
      <w:pPr>
        <w:spacing w:line="360" w:lineRule="auto"/>
        <w:rPr>
          <w:color w:val="auto"/>
          <w:highlight w:val="none"/>
        </w:rPr>
      </w:pPr>
      <w:r>
        <w:rPr>
          <w:rFonts w:hAnsi="宋体"/>
          <w:color w:val="auto"/>
          <w:highlight w:val="none"/>
        </w:rPr>
        <w:t>开户银行：</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开户银行：</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6FE045D7">
      <w:pPr>
        <w:tabs>
          <w:tab w:val="left" w:pos="2880"/>
          <w:tab w:val="left" w:pos="3060"/>
          <w:tab w:val="left" w:pos="4500"/>
        </w:tabs>
        <w:spacing w:line="360" w:lineRule="auto"/>
        <w:rPr>
          <w:color w:val="auto"/>
          <w:highlight w:val="none"/>
        </w:rPr>
      </w:pPr>
      <w:r>
        <w:rPr>
          <w:rFonts w:hAnsi="宋体"/>
          <w:color w:val="auto"/>
          <w:highlight w:val="none"/>
        </w:rPr>
        <w:t>账</w:t>
      </w:r>
      <w:r>
        <w:rPr>
          <w:color w:val="auto"/>
          <w:highlight w:val="none"/>
        </w:rPr>
        <w:t xml:space="preserve">  </w:t>
      </w:r>
      <w:r>
        <w:rPr>
          <w:rFonts w:hAnsi="宋体"/>
          <w:color w:val="auto"/>
          <w:highlight w:val="none"/>
        </w:rPr>
        <w:t>号：</w:t>
      </w:r>
      <w:r>
        <w:rPr>
          <w:rFonts w:ascii="宋体" w:hAnsi="宋体"/>
          <w:color w:val="auto"/>
          <w:highlight w:val="none"/>
          <w:u w:val="single"/>
        </w:rPr>
        <w:t></w:t>
      </w:r>
      <w:r>
        <w:rPr>
          <w:color w:val="auto"/>
          <w:highlight w:val="none"/>
          <w:u w:val="single"/>
        </w:rPr>
        <w:t xml:space="preserve"> </w:t>
      </w:r>
      <w:r>
        <w:rPr>
          <w:rFonts w:ascii="宋体" w:hAnsi="宋体"/>
          <w:color w:val="auto"/>
          <w:highlight w:val="none"/>
          <w:u w:val="singl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账</w:t>
      </w:r>
      <w:r>
        <w:rPr>
          <w:color w:val="auto"/>
          <w:highlight w:val="none"/>
        </w:rPr>
        <w:t xml:space="preserve">  </w:t>
      </w:r>
      <w:r>
        <w:rPr>
          <w:rFonts w:hAnsi="宋体"/>
          <w:color w:val="auto"/>
          <w:highlight w:val="none"/>
        </w:rPr>
        <w:t>号：</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72E42017">
      <w:pPr>
        <w:rPr>
          <w:rFonts w:ascii="宋体" w:hAnsi="宋体"/>
          <w:color w:val="auto"/>
          <w:highlight w:val="none"/>
          <w:u w:val="single"/>
        </w:rPr>
      </w:pPr>
      <w:r>
        <w:rPr>
          <w:rFonts w:hAnsi="宋体"/>
          <w:color w:val="auto"/>
          <w:highlight w:val="none"/>
        </w:rPr>
        <w:t>邮政编码：</w:t>
      </w:r>
      <w:r>
        <w:rPr>
          <w:color w:val="auto"/>
          <w:highlight w:val="none"/>
          <w:u w:val="single"/>
        </w:rPr>
        <w:t xml:space="preserve"> </w:t>
      </w:r>
      <w:r>
        <w:rPr>
          <w:rFonts w:ascii="宋体" w:hAnsi="宋体"/>
          <w:color w:val="auto"/>
          <w:highlight w:val="none"/>
          <w:u w:val="single"/>
        </w:rPr>
        <w:t></w:t>
      </w:r>
      <w:r>
        <w:rPr>
          <w:rFonts w:hint="eastAsia" w:ascii="宋体" w:hAnsi="宋体"/>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 xml:space="preserve">             </w:t>
      </w:r>
      <w:r>
        <w:rPr>
          <w:rFonts w:hAnsi="宋体"/>
          <w:color w:val="auto"/>
          <w:highlight w:val="none"/>
        </w:rPr>
        <w:t>邮政编码：</w:t>
      </w:r>
      <w:r>
        <w:rPr>
          <w:rFonts w:ascii="宋体" w:hAnsi="宋体"/>
          <w:color w:val="auto"/>
          <w:highlight w:val="none"/>
          <w:u w:val="single"/>
        </w:rPr>
        <w:t></w:t>
      </w:r>
      <w:r>
        <w:rPr>
          <w:rFonts w:hint="eastAsia" w:ascii="宋体" w:hAnsi="宋体"/>
          <w:color w:val="auto"/>
          <w:highlight w:val="none"/>
          <w:u w:val="single"/>
        </w:rPr>
        <w:t xml:space="preserve">   </w:t>
      </w:r>
      <w:r>
        <w:rPr>
          <w:rFonts w:ascii="宋体" w:hAnsi="宋体"/>
          <w:color w:val="auto"/>
          <w:highlight w:val="none"/>
          <w:u w:val="single"/>
        </w:rPr>
        <w:t></w:t>
      </w:r>
    </w:p>
    <w:p w14:paraId="00E26418">
      <w:pPr>
        <w:spacing w:line="440" w:lineRule="exact"/>
        <w:rPr>
          <w:rFonts w:eastAsia="黑体"/>
          <w:color w:val="auto"/>
          <w:sz w:val="30"/>
          <w:szCs w:val="30"/>
          <w:highlight w:val="none"/>
        </w:rPr>
      </w:pPr>
      <w:r>
        <w:rPr>
          <w:rFonts w:ascii="宋体" w:hAnsi="宋体"/>
          <w:color w:val="auto"/>
          <w:highlight w:val="none"/>
          <w:u w:val="single"/>
        </w:rPr>
        <w:br w:type="page"/>
      </w:r>
      <w:r>
        <w:rPr>
          <w:rFonts w:eastAsia="仿宋_GB2312"/>
          <w:color w:val="auto"/>
          <w:sz w:val="30"/>
          <w:szCs w:val="30"/>
          <w:highlight w:val="none"/>
        </w:rPr>
        <w:t>附件</w:t>
      </w:r>
      <w:r>
        <w:rPr>
          <w:rFonts w:hint="eastAsia" w:eastAsia="仿宋_GB2312"/>
          <w:color w:val="auto"/>
          <w:sz w:val="30"/>
          <w:szCs w:val="30"/>
          <w:highlight w:val="none"/>
        </w:rPr>
        <w:t>3</w:t>
      </w:r>
      <w:r>
        <w:rPr>
          <w:rFonts w:eastAsia="仿宋_GB2312"/>
          <w:color w:val="auto"/>
          <w:sz w:val="30"/>
          <w:szCs w:val="30"/>
          <w:highlight w:val="none"/>
        </w:rPr>
        <w:t>：</w:t>
      </w:r>
    </w:p>
    <w:p w14:paraId="58D4F743">
      <w:pPr>
        <w:spacing w:before="120" w:beforeLines="50" w:after="120" w:afterLines="50" w:line="440" w:lineRule="exact"/>
        <w:jc w:val="center"/>
        <w:rPr>
          <w:rFonts w:eastAsia="黑体"/>
          <w:color w:val="auto"/>
          <w:sz w:val="30"/>
          <w:szCs w:val="30"/>
          <w:highlight w:val="none"/>
        </w:rPr>
      </w:pPr>
      <w:r>
        <w:rPr>
          <w:rFonts w:eastAsia="黑体"/>
          <w:color w:val="auto"/>
          <w:sz w:val="30"/>
          <w:szCs w:val="30"/>
          <w:highlight w:val="none"/>
        </w:rPr>
        <w:t>主要建设工程文件目录</w:t>
      </w:r>
    </w:p>
    <w:tbl>
      <w:tblPr>
        <w:tblStyle w:val="4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66BCC8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2A10993D">
            <w:pPr>
              <w:pStyle w:val="3"/>
              <w:keepNext/>
              <w:spacing w:after="0" w:line="440" w:lineRule="exact"/>
              <w:ind w:left="63" w:right="63"/>
              <w:rPr>
                <w:rFonts w:eastAsia="仿宋_GB2312"/>
                <w:color w:val="auto"/>
                <w:sz w:val="28"/>
                <w:szCs w:val="30"/>
                <w:highlight w:val="none"/>
              </w:rPr>
            </w:pPr>
            <w:r>
              <w:rPr>
                <w:rFonts w:eastAsia="仿宋_GB2312"/>
                <w:color w:val="auto"/>
                <w:sz w:val="28"/>
                <w:szCs w:val="30"/>
                <w:highlight w:val="none"/>
              </w:rPr>
              <w:t>文件名称</w:t>
            </w:r>
          </w:p>
        </w:tc>
        <w:tc>
          <w:tcPr>
            <w:tcW w:w="1276" w:type="dxa"/>
            <w:tcBorders>
              <w:top w:val="single" w:color="auto" w:sz="12" w:space="0"/>
              <w:bottom w:val="double" w:color="auto" w:sz="6" w:space="0"/>
            </w:tcBorders>
            <w:noWrap w:val="0"/>
            <w:vAlign w:val="center"/>
          </w:tcPr>
          <w:p w14:paraId="797A3A3B">
            <w:pPr>
              <w:pStyle w:val="3"/>
              <w:keepNext/>
              <w:spacing w:after="0" w:line="440" w:lineRule="exact"/>
              <w:ind w:left="63" w:right="63"/>
              <w:rPr>
                <w:rFonts w:eastAsia="仿宋_GB2312"/>
                <w:color w:val="auto"/>
                <w:sz w:val="28"/>
                <w:szCs w:val="30"/>
                <w:highlight w:val="none"/>
              </w:rPr>
            </w:pPr>
            <w:r>
              <w:rPr>
                <w:rFonts w:eastAsia="仿宋_GB2312"/>
                <w:color w:val="auto"/>
                <w:sz w:val="28"/>
                <w:szCs w:val="30"/>
                <w:highlight w:val="none"/>
              </w:rPr>
              <w:t>套数</w:t>
            </w:r>
          </w:p>
        </w:tc>
        <w:tc>
          <w:tcPr>
            <w:tcW w:w="1450" w:type="dxa"/>
            <w:tcBorders>
              <w:top w:val="single" w:color="auto" w:sz="12" w:space="0"/>
              <w:bottom w:val="double" w:color="auto" w:sz="6" w:space="0"/>
            </w:tcBorders>
            <w:noWrap w:val="0"/>
            <w:vAlign w:val="center"/>
          </w:tcPr>
          <w:p w14:paraId="2298D360">
            <w:pPr>
              <w:pStyle w:val="3"/>
              <w:keepNext/>
              <w:spacing w:after="0" w:line="440" w:lineRule="exact"/>
              <w:ind w:left="63" w:right="63"/>
              <w:rPr>
                <w:rFonts w:eastAsia="仿宋_GB2312"/>
                <w:color w:val="auto"/>
                <w:sz w:val="28"/>
                <w:szCs w:val="30"/>
                <w:highlight w:val="none"/>
              </w:rPr>
            </w:pPr>
            <w:r>
              <w:rPr>
                <w:rFonts w:eastAsia="仿宋_GB2312"/>
                <w:color w:val="auto"/>
                <w:sz w:val="28"/>
                <w:szCs w:val="30"/>
                <w:highlight w:val="none"/>
              </w:rPr>
              <w:t>费用</w:t>
            </w:r>
            <w:r>
              <w:rPr>
                <w:rFonts w:hint="eastAsia" w:eastAsia="仿宋_GB2312"/>
                <w:color w:val="auto"/>
                <w:sz w:val="28"/>
                <w:szCs w:val="30"/>
                <w:highlight w:val="none"/>
              </w:rPr>
              <w:t>（元）</w:t>
            </w:r>
          </w:p>
        </w:tc>
        <w:tc>
          <w:tcPr>
            <w:tcW w:w="1243" w:type="dxa"/>
            <w:tcBorders>
              <w:top w:val="single" w:color="auto" w:sz="12" w:space="0"/>
              <w:bottom w:val="double" w:color="auto" w:sz="6" w:space="0"/>
            </w:tcBorders>
            <w:noWrap w:val="0"/>
            <w:vAlign w:val="center"/>
          </w:tcPr>
          <w:p w14:paraId="71A99CF8">
            <w:pPr>
              <w:pStyle w:val="3"/>
              <w:keepNext/>
              <w:spacing w:after="0" w:line="440" w:lineRule="exact"/>
              <w:ind w:left="63" w:right="63"/>
              <w:rPr>
                <w:rFonts w:eastAsia="仿宋_GB2312"/>
                <w:color w:val="auto"/>
                <w:sz w:val="28"/>
                <w:szCs w:val="30"/>
                <w:highlight w:val="none"/>
              </w:rPr>
            </w:pPr>
            <w:r>
              <w:rPr>
                <w:rFonts w:eastAsia="仿宋_GB2312"/>
                <w:color w:val="auto"/>
                <w:sz w:val="28"/>
                <w:szCs w:val="30"/>
                <w:highlight w:val="none"/>
              </w:rPr>
              <w:t>质量</w:t>
            </w:r>
          </w:p>
        </w:tc>
        <w:tc>
          <w:tcPr>
            <w:tcW w:w="1450" w:type="dxa"/>
            <w:tcBorders>
              <w:top w:val="single" w:color="auto" w:sz="12" w:space="0"/>
              <w:bottom w:val="double" w:color="auto" w:sz="6" w:space="0"/>
            </w:tcBorders>
            <w:noWrap w:val="0"/>
            <w:vAlign w:val="top"/>
          </w:tcPr>
          <w:p w14:paraId="7D0F543A">
            <w:pPr>
              <w:spacing w:line="440" w:lineRule="exact"/>
              <w:jc w:val="center"/>
              <w:rPr>
                <w:rFonts w:eastAsia="仿宋_GB2312"/>
                <w:color w:val="auto"/>
                <w:sz w:val="28"/>
                <w:szCs w:val="30"/>
                <w:highlight w:val="none"/>
              </w:rPr>
            </w:pPr>
            <w:r>
              <w:rPr>
                <w:rFonts w:eastAsia="仿宋_GB2312"/>
                <w:color w:val="auto"/>
                <w:sz w:val="28"/>
                <w:szCs w:val="30"/>
                <w:highlight w:val="none"/>
              </w:rPr>
              <w:t>移交时间</w:t>
            </w:r>
          </w:p>
        </w:tc>
        <w:tc>
          <w:tcPr>
            <w:tcW w:w="1667" w:type="dxa"/>
            <w:tcBorders>
              <w:top w:val="single" w:color="auto" w:sz="12" w:space="0"/>
              <w:bottom w:val="double" w:color="auto" w:sz="6" w:space="0"/>
            </w:tcBorders>
            <w:noWrap w:val="0"/>
            <w:vAlign w:val="top"/>
          </w:tcPr>
          <w:p w14:paraId="4996D1B6">
            <w:pPr>
              <w:spacing w:line="440" w:lineRule="exact"/>
              <w:jc w:val="center"/>
              <w:rPr>
                <w:rFonts w:eastAsia="仿宋_GB2312"/>
                <w:color w:val="auto"/>
                <w:sz w:val="28"/>
                <w:szCs w:val="30"/>
                <w:highlight w:val="none"/>
              </w:rPr>
            </w:pPr>
            <w:r>
              <w:rPr>
                <w:rFonts w:eastAsia="仿宋_GB2312"/>
                <w:color w:val="auto"/>
                <w:sz w:val="28"/>
                <w:szCs w:val="30"/>
                <w:highlight w:val="none"/>
              </w:rPr>
              <w:t>责任人</w:t>
            </w:r>
          </w:p>
        </w:tc>
      </w:tr>
      <w:tr w14:paraId="32451E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0ADB7F6A">
            <w:pPr>
              <w:pStyle w:val="3"/>
              <w:keepNext/>
              <w:spacing w:after="0" w:line="440" w:lineRule="exact"/>
              <w:ind w:left="63" w:right="63"/>
              <w:rPr>
                <w:rFonts w:eastAsia="仿宋_GB2312"/>
                <w:color w:val="auto"/>
                <w:sz w:val="30"/>
                <w:szCs w:val="30"/>
                <w:highlight w:val="none"/>
              </w:rPr>
            </w:pPr>
          </w:p>
        </w:tc>
        <w:tc>
          <w:tcPr>
            <w:tcW w:w="1276" w:type="dxa"/>
            <w:tcBorders>
              <w:top w:val="double" w:color="auto" w:sz="6" w:space="0"/>
              <w:bottom w:val="single" w:color="auto" w:sz="6" w:space="0"/>
            </w:tcBorders>
            <w:noWrap w:val="0"/>
            <w:vAlign w:val="center"/>
          </w:tcPr>
          <w:p w14:paraId="40A1AD2F">
            <w:pPr>
              <w:pStyle w:val="3"/>
              <w:keepNext/>
              <w:spacing w:after="0" w:line="440" w:lineRule="exact"/>
              <w:ind w:left="63" w:right="63"/>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3CBB1732">
            <w:pPr>
              <w:pStyle w:val="3"/>
              <w:keepNext/>
              <w:spacing w:after="0" w:line="440" w:lineRule="exact"/>
              <w:ind w:left="63" w:right="63"/>
              <w:rPr>
                <w:rFonts w:eastAsia="仿宋_GB2312"/>
                <w:color w:val="auto"/>
                <w:sz w:val="30"/>
                <w:szCs w:val="30"/>
                <w:highlight w:val="none"/>
              </w:rPr>
            </w:pPr>
          </w:p>
        </w:tc>
        <w:tc>
          <w:tcPr>
            <w:tcW w:w="1243" w:type="dxa"/>
            <w:tcBorders>
              <w:top w:val="double" w:color="auto" w:sz="6" w:space="0"/>
              <w:bottom w:val="single" w:color="auto" w:sz="6" w:space="0"/>
            </w:tcBorders>
            <w:noWrap w:val="0"/>
            <w:vAlign w:val="center"/>
          </w:tcPr>
          <w:p w14:paraId="2B070B06">
            <w:pPr>
              <w:pStyle w:val="3"/>
              <w:keepNext/>
              <w:spacing w:after="0" w:line="440" w:lineRule="exact"/>
              <w:ind w:left="63" w:right="63"/>
              <w:rPr>
                <w:rFonts w:eastAsia="仿宋_GB2312"/>
                <w:color w:val="auto"/>
                <w:sz w:val="30"/>
                <w:szCs w:val="30"/>
                <w:highlight w:val="none"/>
              </w:rPr>
            </w:pPr>
          </w:p>
        </w:tc>
        <w:tc>
          <w:tcPr>
            <w:tcW w:w="1450" w:type="dxa"/>
            <w:tcBorders>
              <w:top w:val="double" w:color="auto" w:sz="6" w:space="0"/>
              <w:bottom w:val="single" w:color="auto" w:sz="6" w:space="0"/>
            </w:tcBorders>
            <w:noWrap w:val="0"/>
            <w:vAlign w:val="center"/>
          </w:tcPr>
          <w:p w14:paraId="6D8E8972">
            <w:pPr>
              <w:pStyle w:val="3"/>
              <w:keepNext/>
              <w:spacing w:after="0" w:line="440" w:lineRule="exact"/>
              <w:ind w:left="63" w:right="63"/>
              <w:rPr>
                <w:rFonts w:eastAsia="仿宋_GB2312"/>
                <w:color w:val="auto"/>
                <w:sz w:val="30"/>
                <w:szCs w:val="30"/>
                <w:highlight w:val="none"/>
              </w:rPr>
            </w:pPr>
          </w:p>
        </w:tc>
        <w:tc>
          <w:tcPr>
            <w:tcW w:w="1667" w:type="dxa"/>
            <w:tcBorders>
              <w:top w:val="double" w:color="auto" w:sz="6" w:space="0"/>
              <w:bottom w:val="single" w:color="auto" w:sz="6" w:space="0"/>
            </w:tcBorders>
            <w:noWrap w:val="0"/>
            <w:vAlign w:val="center"/>
          </w:tcPr>
          <w:p w14:paraId="31DC723C">
            <w:pPr>
              <w:pStyle w:val="3"/>
              <w:keepNext/>
              <w:spacing w:after="0" w:line="440" w:lineRule="exact"/>
              <w:ind w:left="63" w:right="63"/>
              <w:rPr>
                <w:rFonts w:eastAsia="仿宋_GB2312"/>
                <w:color w:val="auto"/>
                <w:sz w:val="30"/>
                <w:szCs w:val="30"/>
                <w:highlight w:val="none"/>
              </w:rPr>
            </w:pPr>
          </w:p>
        </w:tc>
      </w:tr>
      <w:tr w14:paraId="5136F1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0519BC51">
            <w:pPr>
              <w:pStyle w:val="3"/>
              <w:keepNext/>
              <w:spacing w:after="0" w:line="440" w:lineRule="exact"/>
              <w:ind w:left="63" w:right="63"/>
              <w:rPr>
                <w:rFonts w:eastAsia="仿宋_GB2312"/>
                <w:color w:val="auto"/>
                <w:sz w:val="30"/>
                <w:szCs w:val="30"/>
                <w:highlight w:val="none"/>
              </w:rPr>
            </w:pPr>
          </w:p>
        </w:tc>
        <w:tc>
          <w:tcPr>
            <w:tcW w:w="1276" w:type="dxa"/>
            <w:tcBorders>
              <w:top w:val="nil"/>
            </w:tcBorders>
            <w:noWrap w:val="0"/>
            <w:vAlign w:val="center"/>
          </w:tcPr>
          <w:p w14:paraId="200DA52D">
            <w:pPr>
              <w:pStyle w:val="3"/>
              <w:keepNext/>
              <w:spacing w:after="0" w:line="440" w:lineRule="exact"/>
              <w:ind w:left="63" w:right="63"/>
              <w:rPr>
                <w:rFonts w:eastAsia="仿宋_GB2312"/>
                <w:color w:val="auto"/>
                <w:sz w:val="30"/>
                <w:szCs w:val="30"/>
                <w:highlight w:val="none"/>
              </w:rPr>
            </w:pPr>
          </w:p>
        </w:tc>
        <w:tc>
          <w:tcPr>
            <w:tcW w:w="1450" w:type="dxa"/>
            <w:tcBorders>
              <w:top w:val="nil"/>
            </w:tcBorders>
            <w:noWrap w:val="0"/>
            <w:vAlign w:val="center"/>
          </w:tcPr>
          <w:p w14:paraId="46F7AAB8">
            <w:pPr>
              <w:pStyle w:val="3"/>
              <w:keepNext/>
              <w:spacing w:after="0" w:line="440" w:lineRule="exact"/>
              <w:ind w:left="63" w:right="63"/>
              <w:rPr>
                <w:rFonts w:eastAsia="仿宋_GB2312"/>
                <w:color w:val="auto"/>
                <w:sz w:val="30"/>
                <w:szCs w:val="30"/>
                <w:highlight w:val="none"/>
              </w:rPr>
            </w:pPr>
          </w:p>
        </w:tc>
        <w:tc>
          <w:tcPr>
            <w:tcW w:w="1243" w:type="dxa"/>
            <w:tcBorders>
              <w:top w:val="nil"/>
            </w:tcBorders>
            <w:noWrap w:val="0"/>
            <w:vAlign w:val="center"/>
          </w:tcPr>
          <w:p w14:paraId="61E079E9">
            <w:pPr>
              <w:pStyle w:val="3"/>
              <w:keepNext/>
              <w:spacing w:after="0" w:line="440" w:lineRule="exact"/>
              <w:ind w:left="63" w:right="63"/>
              <w:rPr>
                <w:rFonts w:eastAsia="仿宋_GB2312"/>
                <w:color w:val="auto"/>
                <w:sz w:val="30"/>
                <w:szCs w:val="30"/>
                <w:highlight w:val="none"/>
              </w:rPr>
            </w:pPr>
          </w:p>
        </w:tc>
        <w:tc>
          <w:tcPr>
            <w:tcW w:w="1450" w:type="dxa"/>
            <w:tcBorders>
              <w:top w:val="nil"/>
            </w:tcBorders>
            <w:noWrap w:val="0"/>
            <w:vAlign w:val="center"/>
          </w:tcPr>
          <w:p w14:paraId="5B954E2B">
            <w:pPr>
              <w:pStyle w:val="3"/>
              <w:keepNext/>
              <w:spacing w:after="0" w:line="440" w:lineRule="exact"/>
              <w:ind w:left="63" w:right="63"/>
              <w:rPr>
                <w:rFonts w:eastAsia="仿宋_GB2312"/>
                <w:color w:val="auto"/>
                <w:sz w:val="30"/>
                <w:szCs w:val="30"/>
                <w:highlight w:val="none"/>
              </w:rPr>
            </w:pPr>
          </w:p>
        </w:tc>
        <w:tc>
          <w:tcPr>
            <w:tcW w:w="1667" w:type="dxa"/>
            <w:tcBorders>
              <w:top w:val="nil"/>
            </w:tcBorders>
            <w:noWrap w:val="0"/>
            <w:vAlign w:val="center"/>
          </w:tcPr>
          <w:p w14:paraId="218B6066">
            <w:pPr>
              <w:pStyle w:val="3"/>
              <w:keepNext/>
              <w:spacing w:after="0" w:line="440" w:lineRule="exact"/>
              <w:ind w:left="63" w:right="63"/>
              <w:rPr>
                <w:rFonts w:eastAsia="仿宋_GB2312"/>
                <w:color w:val="auto"/>
                <w:sz w:val="30"/>
                <w:szCs w:val="30"/>
                <w:highlight w:val="none"/>
              </w:rPr>
            </w:pPr>
          </w:p>
        </w:tc>
      </w:tr>
      <w:tr w14:paraId="75A33A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D38377F">
            <w:pPr>
              <w:pStyle w:val="3"/>
              <w:keepNext/>
              <w:spacing w:after="0" w:line="440" w:lineRule="exact"/>
              <w:ind w:left="63" w:right="63"/>
              <w:rPr>
                <w:rFonts w:eastAsia="仿宋_GB2312"/>
                <w:color w:val="auto"/>
                <w:sz w:val="30"/>
                <w:szCs w:val="30"/>
                <w:highlight w:val="none"/>
              </w:rPr>
            </w:pPr>
          </w:p>
        </w:tc>
        <w:tc>
          <w:tcPr>
            <w:tcW w:w="1276" w:type="dxa"/>
            <w:noWrap w:val="0"/>
            <w:vAlign w:val="center"/>
          </w:tcPr>
          <w:p w14:paraId="5A027FE7">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329E388D">
            <w:pPr>
              <w:pStyle w:val="3"/>
              <w:keepNext/>
              <w:spacing w:after="0" w:line="440" w:lineRule="exact"/>
              <w:ind w:left="63" w:right="63"/>
              <w:rPr>
                <w:rFonts w:eastAsia="仿宋_GB2312"/>
                <w:color w:val="auto"/>
                <w:sz w:val="30"/>
                <w:szCs w:val="30"/>
                <w:highlight w:val="none"/>
              </w:rPr>
            </w:pPr>
          </w:p>
        </w:tc>
        <w:tc>
          <w:tcPr>
            <w:tcW w:w="1243" w:type="dxa"/>
            <w:noWrap w:val="0"/>
            <w:vAlign w:val="center"/>
          </w:tcPr>
          <w:p w14:paraId="672A8581">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52FE1275">
            <w:pPr>
              <w:pStyle w:val="3"/>
              <w:keepNext/>
              <w:spacing w:after="0" w:line="440" w:lineRule="exact"/>
              <w:ind w:left="63" w:right="63"/>
              <w:rPr>
                <w:rFonts w:eastAsia="仿宋_GB2312"/>
                <w:color w:val="auto"/>
                <w:sz w:val="30"/>
                <w:szCs w:val="30"/>
                <w:highlight w:val="none"/>
              </w:rPr>
            </w:pPr>
          </w:p>
        </w:tc>
        <w:tc>
          <w:tcPr>
            <w:tcW w:w="1667" w:type="dxa"/>
            <w:noWrap w:val="0"/>
            <w:vAlign w:val="center"/>
          </w:tcPr>
          <w:p w14:paraId="68777328">
            <w:pPr>
              <w:pStyle w:val="3"/>
              <w:keepNext/>
              <w:spacing w:after="0" w:line="440" w:lineRule="exact"/>
              <w:ind w:left="63" w:right="63"/>
              <w:rPr>
                <w:rFonts w:eastAsia="仿宋_GB2312"/>
                <w:color w:val="auto"/>
                <w:sz w:val="30"/>
                <w:szCs w:val="30"/>
                <w:highlight w:val="none"/>
              </w:rPr>
            </w:pPr>
          </w:p>
        </w:tc>
      </w:tr>
      <w:tr w14:paraId="5B1E4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E4F2136">
            <w:pPr>
              <w:pStyle w:val="3"/>
              <w:keepNext/>
              <w:spacing w:after="0" w:line="440" w:lineRule="exact"/>
              <w:ind w:left="63" w:right="63"/>
              <w:rPr>
                <w:rFonts w:eastAsia="仿宋_GB2312"/>
                <w:color w:val="auto"/>
                <w:sz w:val="30"/>
                <w:szCs w:val="30"/>
                <w:highlight w:val="none"/>
              </w:rPr>
            </w:pPr>
          </w:p>
        </w:tc>
        <w:tc>
          <w:tcPr>
            <w:tcW w:w="1276" w:type="dxa"/>
            <w:noWrap w:val="0"/>
            <w:vAlign w:val="center"/>
          </w:tcPr>
          <w:p w14:paraId="54CBD162">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3B5A0975">
            <w:pPr>
              <w:pStyle w:val="3"/>
              <w:keepNext/>
              <w:spacing w:after="0" w:line="440" w:lineRule="exact"/>
              <w:ind w:left="63" w:right="63"/>
              <w:rPr>
                <w:rFonts w:eastAsia="仿宋_GB2312"/>
                <w:color w:val="auto"/>
                <w:sz w:val="30"/>
                <w:szCs w:val="30"/>
                <w:highlight w:val="none"/>
              </w:rPr>
            </w:pPr>
          </w:p>
        </w:tc>
        <w:tc>
          <w:tcPr>
            <w:tcW w:w="1243" w:type="dxa"/>
            <w:noWrap w:val="0"/>
            <w:vAlign w:val="center"/>
          </w:tcPr>
          <w:p w14:paraId="549FD742">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5F1C431D">
            <w:pPr>
              <w:pStyle w:val="3"/>
              <w:keepNext/>
              <w:spacing w:after="0" w:line="440" w:lineRule="exact"/>
              <w:ind w:left="63" w:right="63"/>
              <w:rPr>
                <w:rFonts w:eastAsia="仿宋_GB2312"/>
                <w:color w:val="auto"/>
                <w:sz w:val="30"/>
                <w:szCs w:val="30"/>
                <w:highlight w:val="none"/>
              </w:rPr>
            </w:pPr>
          </w:p>
        </w:tc>
        <w:tc>
          <w:tcPr>
            <w:tcW w:w="1667" w:type="dxa"/>
            <w:noWrap w:val="0"/>
            <w:vAlign w:val="center"/>
          </w:tcPr>
          <w:p w14:paraId="346D5CED">
            <w:pPr>
              <w:pStyle w:val="3"/>
              <w:keepNext/>
              <w:spacing w:after="0" w:line="440" w:lineRule="exact"/>
              <w:ind w:left="63" w:right="63"/>
              <w:rPr>
                <w:rFonts w:eastAsia="仿宋_GB2312"/>
                <w:color w:val="auto"/>
                <w:sz w:val="30"/>
                <w:szCs w:val="30"/>
                <w:highlight w:val="none"/>
              </w:rPr>
            </w:pPr>
          </w:p>
        </w:tc>
      </w:tr>
      <w:tr w14:paraId="0353D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035BD31">
            <w:pPr>
              <w:pStyle w:val="3"/>
              <w:keepNext/>
              <w:spacing w:after="0" w:line="440" w:lineRule="exact"/>
              <w:ind w:left="63" w:right="63"/>
              <w:rPr>
                <w:rFonts w:eastAsia="仿宋_GB2312"/>
                <w:color w:val="auto"/>
                <w:sz w:val="30"/>
                <w:szCs w:val="30"/>
                <w:highlight w:val="none"/>
              </w:rPr>
            </w:pPr>
          </w:p>
        </w:tc>
        <w:tc>
          <w:tcPr>
            <w:tcW w:w="1276" w:type="dxa"/>
            <w:noWrap w:val="0"/>
            <w:vAlign w:val="center"/>
          </w:tcPr>
          <w:p w14:paraId="4ECCC780">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102EB64F">
            <w:pPr>
              <w:pStyle w:val="3"/>
              <w:keepNext/>
              <w:spacing w:after="0" w:line="440" w:lineRule="exact"/>
              <w:ind w:left="63" w:right="63"/>
              <w:rPr>
                <w:rFonts w:eastAsia="仿宋_GB2312"/>
                <w:color w:val="auto"/>
                <w:sz w:val="30"/>
                <w:szCs w:val="30"/>
                <w:highlight w:val="none"/>
              </w:rPr>
            </w:pPr>
          </w:p>
        </w:tc>
        <w:tc>
          <w:tcPr>
            <w:tcW w:w="1243" w:type="dxa"/>
            <w:noWrap w:val="0"/>
            <w:vAlign w:val="center"/>
          </w:tcPr>
          <w:p w14:paraId="48DDC036">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55D330AB">
            <w:pPr>
              <w:pStyle w:val="3"/>
              <w:keepNext/>
              <w:spacing w:after="0" w:line="440" w:lineRule="exact"/>
              <w:ind w:left="63" w:right="63"/>
              <w:rPr>
                <w:rFonts w:eastAsia="仿宋_GB2312"/>
                <w:color w:val="auto"/>
                <w:sz w:val="30"/>
                <w:szCs w:val="30"/>
                <w:highlight w:val="none"/>
              </w:rPr>
            </w:pPr>
          </w:p>
        </w:tc>
        <w:tc>
          <w:tcPr>
            <w:tcW w:w="1667" w:type="dxa"/>
            <w:noWrap w:val="0"/>
            <w:vAlign w:val="center"/>
          </w:tcPr>
          <w:p w14:paraId="6397F261">
            <w:pPr>
              <w:pStyle w:val="3"/>
              <w:keepNext/>
              <w:spacing w:after="0" w:line="440" w:lineRule="exact"/>
              <w:ind w:left="63" w:right="63"/>
              <w:rPr>
                <w:rFonts w:eastAsia="仿宋_GB2312"/>
                <w:color w:val="auto"/>
                <w:sz w:val="30"/>
                <w:szCs w:val="30"/>
                <w:highlight w:val="none"/>
              </w:rPr>
            </w:pPr>
          </w:p>
        </w:tc>
      </w:tr>
      <w:tr w14:paraId="4EE23A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FC309B3">
            <w:pPr>
              <w:pStyle w:val="3"/>
              <w:keepNext/>
              <w:spacing w:after="0" w:line="440" w:lineRule="exact"/>
              <w:ind w:left="63" w:right="63"/>
              <w:rPr>
                <w:rFonts w:eastAsia="仿宋_GB2312"/>
                <w:color w:val="auto"/>
                <w:sz w:val="30"/>
                <w:szCs w:val="30"/>
                <w:highlight w:val="none"/>
              </w:rPr>
            </w:pPr>
          </w:p>
        </w:tc>
        <w:tc>
          <w:tcPr>
            <w:tcW w:w="1276" w:type="dxa"/>
            <w:noWrap w:val="0"/>
            <w:vAlign w:val="center"/>
          </w:tcPr>
          <w:p w14:paraId="4F1B6BB2">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73FE507F">
            <w:pPr>
              <w:pStyle w:val="3"/>
              <w:keepNext/>
              <w:spacing w:after="0" w:line="440" w:lineRule="exact"/>
              <w:ind w:left="63" w:right="63"/>
              <w:rPr>
                <w:rFonts w:eastAsia="仿宋_GB2312"/>
                <w:color w:val="auto"/>
                <w:sz w:val="30"/>
                <w:szCs w:val="30"/>
                <w:highlight w:val="none"/>
              </w:rPr>
            </w:pPr>
          </w:p>
        </w:tc>
        <w:tc>
          <w:tcPr>
            <w:tcW w:w="1243" w:type="dxa"/>
            <w:noWrap w:val="0"/>
            <w:vAlign w:val="center"/>
          </w:tcPr>
          <w:p w14:paraId="5B8A94FA">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6E2D1D0F">
            <w:pPr>
              <w:pStyle w:val="3"/>
              <w:keepNext/>
              <w:spacing w:after="0" w:line="440" w:lineRule="exact"/>
              <w:ind w:left="63" w:right="63"/>
              <w:rPr>
                <w:rFonts w:eastAsia="仿宋_GB2312"/>
                <w:color w:val="auto"/>
                <w:sz w:val="30"/>
                <w:szCs w:val="30"/>
                <w:highlight w:val="none"/>
              </w:rPr>
            </w:pPr>
          </w:p>
        </w:tc>
        <w:tc>
          <w:tcPr>
            <w:tcW w:w="1667" w:type="dxa"/>
            <w:noWrap w:val="0"/>
            <w:vAlign w:val="center"/>
          </w:tcPr>
          <w:p w14:paraId="0D668377">
            <w:pPr>
              <w:pStyle w:val="3"/>
              <w:keepNext/>
              <w:spacing w:after="0" w:line="440" w:lineRule="exact"/>
              <w:ind w:left="63" w:right="63"/>
              <w:rPr>
                <w:rFonts w:eastAsia="仿宋_GB2312"/>
                <w:color w:val="auto"/>
                <w:sz w:val="30"/>
                <w:szCs w:val="30"/>
                <w:highlight w:val="none"/>
              </w:rPr>
            </w:pPr>
          </w:p>
        </w:tc>
      </w:tr>
      <w:tr w14:paraId="7EC767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7FA9ADF2">
            <w:pPr>
              <w:pStyle w:val="3"/>
              <w:keepNext/>
              <w:spacing w:after="0" w:line="440" w:lineRule="exact"/>
              <w:ind w:left="63" w:right="63"/>
              <w:rPr>
                <w:rFonts w:eastAsia="仿宋_GB2312"/>
                <w:color w:val="auto"/>
                <w:sz w:val="30"/>
                <w:szCs w:val="30"/>
                <w:highlight w:val="none"/>
              </w:rPr>
            </w:pPr>
          </w:p>
        </w:tc>
        <w:tc>
          <w:tcPr>
            <w:tcW w:w="1276" w:type="dxa"/>
            <w:noWrap w:val="0"/>
            <w:vAlign w:val="center"/>
          </w:tcPr>
          <w:p w14:paraId="7D240C72">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5E26A4B0">
            <w:pPr>
              <w:pStyle w:val="3"/>
              <w:keepNext/>
              <w:spacing w:after="0" w:line="440" w:lineRule="exact"/>
              <w:ind w:left="63" w:right="63"/>
              <w:rPr>
                <w:rFonts w:eastAsia="仿宋_GB2312"/>
                <w:color w:val="auto"/>
                <w:sz w:val="30"/>
                <w:szCs w:val="30"/>
                <w:highlight w:val="none"/>
              </w:rPr>
            </w:pPr>
          </w:p>
        </w:tc>
        <w:tc>
          <w:tcPr>
            <w:tcW w:w="1243" w:type="dxa"/>
            <w:noWrap w:val="0"/>
            <w:vAlign w:val="center"/>
          </w:tcPr>
          <w:p w14:paraId="645E2B88">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37E99010">
            <w:pPr>
              <w:pStyle w:val="3"/>
              <w:keepNext/>
              <w:spacing w:after="0" w:line="440" w:lineRule="exact"/>
              <w:ind w:left="63" w:right="63"/>
              <w:rPr>
                <w:rFonts w:eastAsia="仿宋_GB2312"/>
                <w:color w:val="auto"/>
                <w:sz w:val="30"/>
                <w:szCs w:val="30"/>
                <w:highlight w:val="none"/>
              </w:rPr>
            </w:pPr>
          </w:p>
        </w:tc>
        <w:tc>
          <w:tcPr>
            <w:tcW w:w="1667" w:type="dxa"/>
            <w:noWrap w:val="0"/>
            <w:vAlign w:val="center"/>
          </w:tcPr>
          <w:p w14:paraId="2ADF041A">
            <w:pPr>
              <w:pStyle w:val="3"/>
              <w:keepNext/>
              <w:spacing w:after="0" w:line="440" w:lineRule="exact"/>
              <w:ind w:left="63" w:right="63"/>
              <w:rPr>
                <w:rFonts w:eastAsia="仿宋_GB2312"/>
                <w:color w:val="auto"/>
                <w:sz w:val="30"/>
                <w:szCs w:val="30"/>
                <w:highlight w:val="none"/>
              </w:rPr>
            </w:pPr>
          </w:p>
        </w:tc>
      </w:tr>
      <w:tr w14:paraId="59468D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D1037A3">
            <w:pPr>
              <w:pStyle w:val="3"/>
              <w:keepNext/>
              <w:spacing w:after="0" w:line="440" w:lineRule="exact"/>
              <w:ind w:left="63" w:right="63"/>
              <w:rPr>
                <w:rFonts w:eastAsia="仿宋_GB2312"/>
                <w:color w:val="auto"/>
                <w:sz w:val="30"/>
                <w:szCs w:val="30"/>
                <w:highlight w:val="none"/>
              </w:rPr>
            </w:pPr>
          </w:p>
        </w:tc>
        <w:tc>
          <w:tcPr>
            <w:tcW w:w="1276" w:type="dxa"/>
            <w:noWrap w:val="0"/>
            <w:vAlign w:val="center"/>
          </w:tcPr>
          <w:p w14:paraId="44AF3435">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2E817712">
            <w:pPr>
              <w:pStyle w:val="3"/>
              <w:keepNext/>
              <w:spacing w:after="0" w:line="440" w:lineRule="exact"/>
              <w:ind w:left="63" w:right="63"/>
              <w:rPr>
                <w:rFonts w:eastAsia="仿宋_GB2312"/>
                <w:color w:val="auto"/>
                <w:sz w:val="30"/>
                <w:szCs w:val="30"/>
                <w:highlight w:val="none"/>
              </w:rPr>
            </w:pPr>
          </w:p>
        </w:tc>
        <w:tc>
          <w:tcPr>
            <w:tcW w:w="1243" w:type="dxa"/>
            <w:noWrap w:val="0"/>
            <w:vAlign w:val="center"/>
          </w:tcPr>
          <w:p w14:paraId="09587E70">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1E6BE6E8">
            <w:pPr>
              <w:pStyle w:val="3"/>
              <w:keepNext/>
              <w:spacing w:after="0" w:line="440" w:lineRule="exact"/>
              <w:ind w:left="63" w:right="63"/>
              <w:rPr>
                <w:rFonts w:eastAsia="仿宋_GB2312"/>
                <w:color w:val="auto"/>
                <w:sz w:val="30"/>
                <w:szCs w:val="30"/>
                <w:highlight w:val="none"/>
              </w:rPr>
            </w:pPr>
          </w:p>
        </w:tc>
        <w:tc>
          <w:tcPr>
            <w:tcW w:w="1667" w:type="dxa"/>
            <w:noWrap w:val="0"/>
            <w:vAlign w:val="center"/>
          </w:tcPr>
          <w:p w14:paraId="3CBA0407">
            <w:pPr>
              <w:pStyle w:val="3"/>
              <w:keepNext/>
              <w:spacing w:after="0" w:line="440" w:lineRule="exact"/>
              <w:ind w:left="63" w:right="63"/>
              <w:rPr>
                <w:rFonts w:eastAsia="仿宋_GB2312"/>
                <w:color w:val="auto"/>
                <w:sz w:val="30"/>
                <w:szCs w:val="30"/>
                <w:highlight w:val="none"/>
              </w:rPr>
            </w:pPr>
          </w:p>
        </w:tc>
      </w:tr>
      <w:tr w14:paraId="33E97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970D98E">
            <w:pPr>
              <w:rPr>
                <w:rFonts w:eastAsia="仿宋_GB2312"/>
                <w:color w:val="auto"/>
                <w:sz w:val="30"/>
                <w:szCs w:val="30"/>
                <w:highlight w:val="none"/>
              </w:rPr>
            </w:pPr>
          </w:p>
        </w:tc>
        <w:tc>
          <w:tcPr>
            <w:tcW w:w="1276" w:type="dxa"/>
            <w:noWrap w:val="0"/>
            <w:vAlign w:val="top"/>
          </w:tcPr>
          <w:p w14:paraId="6783E623">
            <w:pPr>
              <w:rPr>
                <w:rFonts w:eastAsia="仿宋_GB2312"/>
                <w:color w:val="auto"/>
                <w:sz w:val="30"/>
                <w:szCs w:val="30"/>
                <w:highlight w:val="none"/>
              </w:rPr>
            </w:pPr>
          </w:p>
        </w:tc>
        <w:tc>
          <w:tcPr>
            <w:tcW w:w="1450" w:type="dxa"/>
            <w:noWrap w:val="0"/>
            <w:vAlign w:val="top"/>
          </w:tcPr>
          <w:p w14:paraId="1AD08ADB">
            <w:pPr>
              <w:rPr>
                <w:rFonts w:eastAsia="仿宋_GB2312"/>
                <w:color w:val="auto"/>
                <w:sz w:val="30"/>
                <w:szCs w:val="30"/>
                <w:highlight w:val="none"/>
              </w:rPr>
            </w:pPr>
          </w:p>
        </w:tc>
        <w:tc>
          <w:tcPr>
            <w:tcW w:w="1243" w:type="dxa"/>
            <w:noWrap w:val="0"/>
            <w:vAlign w:val="top"/>
          </w:tcPr>
          <w:p w14:paraId="0D0B98D0">
            <w:pPr>
              <w:rPr>
                <w:rFonts w:eastAsia="仿宋_GB2312"/>
                <w:color w:val="auto"/>
                <w:sz w:val="30"/>
                <w:szCs w:val="30"/>
                <w:highlight w:val="none"/>
              </w:rPr>
            </w:pPr>
          </w:p>
        </w:tc>
        <w:tc>
          <w:tcPr>
            <w:tcW w:w="1450" w:type="dxa"/>
            <w:noWrap w:val="0"/>
            <w:vAlign w:val="top"/>
          </w:tcPr>
          <w:p w14:paraId="7AF8FDD6">
            <w:pPr>
              <w:rPr>
                <w:rFonts w:eastAsia="仿宋_GB2312"/>
                <w:color w:val="auto"/>
                <w:sz w:val="30"/>
                <w:szCs w:val="30"/>
                <w:highlight w:val="none"/>
              </w:rPr>
            </w:pPr>
          </w:p>
        </w:tc>
        <w:tc>
          <w:tcPr>
            <w:tcW w:w="1667" w:type="dxa"/>
            <w:noWrap w:val="0"/>
            <w:vAlign w:val="top"/>
          </w:tcPr>
          <w:p w14:paraId="1585A9BF">
            <w:pPr>
              <w:rPr>
                <w:rFonts w:eastAsia="仿宋_GB2312"/>
                <w:color w:val="auto"/>
                <w:sz w:val="30"/>
                <w:szCs w:val="30"/>
                <w:highlight w:val="none"/>
              </w:rPr>
            </w:pPr>
          </w:p>
        </w:tc>
      </w:tr>
      <w:tr w14:paraId="27E5E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A82620D">
            <w:pPr>
              <w:pStyle w:val="3"/>
              <w:keepNext/>
              <w:spacing w:after="0" w:line="440" w:lineRule="exact"/>
              <w:ind w:left="63" w:right="63"/>
              <w:rPr>
                <w:rFonts w:eastAsia="仿宋_GB2312"/>
                <w:color w:val="auto"/>
                <w:sz w:val="30"/>
                <w:szCs w:val="30"/>
                <w:highlight w:val="none"/>
              </w:rPr>
            </w:pPr>
          </w:p>
        </w:tc>
        <w:tc>
          <w:tcPr>
            <w:tcW w:w="1276" w:type="dxa"/>
            <w:noWrap w:val="0"/>
            <w:vAlign w:val="center"/>
          </w:tcPr>
          <w:p w14:paraId="63185FBD">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27FBCC7F">
            <w:pPr>
              <w:pStyle w:val="3"/>
              <w:keepNext/>
              <w:spacing w:after="0" w:line="440" w:lineRule="exact"/>
              <w:ind w:left="63" w:right="63"/>
              <w:rPr>
                <w:rFonts w:eastAsia="仿宋_GB2312"/>
                <w:color w:val="auto"/>
                <w:sz w:val="30"/>
                <w:szCs w:val="30"/>
                <w:highlight w:val="none"/>
              </w:rPr>
            </w:pPr>
          </w:p>
        </w:tc>
        <w:tc>
          <w:tcPr>
            <w:tcW w:w="1243" w:type="dxa"/>
            <w:noWrap w:val="0"/>
            <w:vAlign w:val="center"/>
          </w:tcPr>
          <w:p w14:paraId="69FCEAB9">
            <w:pPr>
              <w:pStyle w:val="3"/>
              <w:keepNext/>
              <w:spacing w:after="0" w:line="440" w:lineRule="exact"/>
              <w:ind w:left="63" w:right="63"/>
              <w:rPr>
                <w:rFonts w:eastAsia="仿宋_GB2312"/>
                <w:color w:val="auto"/>
                <w:sz w:val="30"/>
                <w:szCs w:val="30"/>
                <w:highlight w:val="none"/>
              </w:rPr>
            </w:pPr>
          </w:p>
        </w:tc>
        <w:tc>
          <w:tcPr>
            <w:tcW w:w="1450" w:type="dxa"/>
            <w:noWrap w:val="0"/>
            <w:vAlign w:val="center"/>
          </w:tcPr>
          <w:p w14:paraId="6CE842B1">
            <w:pPr>
              <w:pStyle w:val="3"/>
              <w:keepNext/>
              <w:spacing w:after="0" w:line="440" w:lineRule="exact"/>
              <w:ind w:left="63" w:right="63"/>
              <w:rPr>
                <w:rFonts w:eastAsia="仿宋_GB2312"/>
                <w:color w:val="auto"/>
                <w:sz w:val="30"/>
                <w:szCs w:val="30"/>
                <w:highlight w:val="none"/>
              </w:rPr>
            </w:pPr>
          </w:p>
        </w:tc>
        <w:tc>
          <w:tcPr>
            <w:tcW w:w="1667" w:type="dxa"/>
            <w:noWrap w:val="0"/>
            <w:vAlign w:val="center"/>
          </w:tcPr>
          <w:p w14:paraId="39A79BF6">
            <w:pPr>
              <w:pStyle w:val="3"/>
              <w:keepNext/>
              <w:spacing w:after="0" w:line="440" w:lineRule="exact"/>
              <w:ind w:left="63" w:right="63"/>
              <w:rPr>
                <w:rFonts w:eastAsia="仿宋_GB2312"/>
                <w:color w:val="auto"/>
                <w:sz w:val="30"/>
                <w:szCs w:val="30"/>
                <w:highlight w:val="none"/>
              </w:rPr>
            </w:pPr>
          </w:p>
        </w:tc>
      </w:tr>
      <w:tr w14:paraId="3E31A4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D233492">
            <w:pPr>
              <w:rPr>
                <w:rFonts w:eastAsia="仿宋_GB2312"/>
                <w:color w:val="auto"/>
                <w:sz w:val="30"/>
                <w:szCs w:val="30"/>
                <w:highlight w:val="none"/>
              </w:rPr>
            </w:pPr>
          </w:p>
        </w:tc>
        <w:tc>
          <w:tcPr>
            <w:tcW w:w="1276" w:type="dxa"/>
            <w:noWrap w:val="0"/>
            <w:vAlign w:val="top"/>
          </w:tcPr>
          <w:p w14:paraId="72635C7F">
            <w:pPr>
              <w:rPr>
                <w:rFonts w:eastAsia="仿宋_GB2312"/>
                <w:color w:val="auto"/>
                <w:sz w:val="30"/>
                <w:szCs w:val="30"/>
                <w:highlight w:val="none"/>
              </w:rPr>
            </w:pPr>
          </w:p>
        </w:tc>
        <w:tc>
          <w:tcPr>
            <w:tcW w:w="1450" w:type="dxa"/>
            <w:noWrap w:val="0"/>
            <w:vAlign w:val="top"/>
          </w:tcPr>
          <w:p w14:paraId="47AD6626">
            <w:pPr>
              <w:rPr>
                <w:rFonts w:eastAsia="仿宋_GB2312"/>
                <w:color w:val="auto"/>
                <w:sz w:val="30"/>
                <w:szCs w:val="30"/>
                <w:highlight w:val="none"/>
              </w:rPr>
            </w:pPr>
          </w:p>
        </w:tc>
        <w:tc>
          <w:tcPr>
            <w:tcW w:w="1243" w:type="dxa"/>
            <w:noWrap w:val="0"/>
            <w:vAlign w:val="top"/>
          </w:tcPr>
          <w:p w14:paraId="20EE71A9">
            <w:pPr>
              <w:rPr>
                <w:rFonts w:eastAsia="仿宋_GB2312"/>
                <w:color w:val="auto"/>
                <w:sz w:val="30"/>
                <w:szCs w:val="30"/>
                <w:highlight w:val="none"/>
              </w:rPr>
            </w:pPr>
          </w:p>
        </w:tc>
        <w:tc>
          <w:tcPr>
            <w:tcW w:w="1450" w:type="dxa"/>
            <w:noWrap w:val="0"/>
            <w:vAlign w:val="top"/>
          </w:tcPr>
          <w:p w14:paraId="01BC0B03">
            <w:pPr>
              <w:rPr>
                <w:rFonts w:eastAsia="仿宋_GB2312"/>
                <w:color w:val="auto"/>
                <w:sz w:val="30"/>
                <w:szCs w:val="30"/>
                <w:highlight w:val="none"/>
              </w:rPr>
            </w:pPr>
          </w:p>
        </w:tc>
        <w:tc>
          <w:tcPr>
            <w:tcW w:w="1667" w:type="dxa"/>
            <w:noWrap w:val="0"/>
            <w:vAlign w:val="top"/>
          </w:tcPr>
          <w:p w14:paraId="012255D6">
            <w:pPr>
              <w:rPr>
                <w:rFonts w:eastAsia="仿宋_GB2312"/>
                <w:color w:val="auto"/>
                <w:sz w:val="30"/>
                <w:szCs w:val="30"/>
                <w:highlight w:val="none"/>
              </w:rPr>
            </w:pPr>
          </w:p>
        </w:tc>
      </w:tr>
      <w:tr w14:paraId="789CF3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A0C4EF6">
            <w:pPr>
              <w:rPr>
                <w:rFonts w:eastAsia="仿宋_GB2312"/>
                <w:color w:val="auto"/>
                <w:sz w:val="30"/>
                <w:szCs w:val="30"/>
                <w:highlight w:val="none"/>
              </w:rPr>
            </w:pPr>
          </w:p>
        </w:tc>
        <w:tc>
          <w:tcPr>
            <w:tcW w:w="1276" w:type="dxa"/>
            <w:noWrap w:val="0"/>
            <w:vAlign w:val="top"/>
          </w:tcPr>
          <w:p w14:paraId="7AF1F00F">
            <w:pPr>
              <w:rPr>
                <w:rFonts w:eastAsia="仿宋_GB2312"/>
                <w:color w:val="auto"/>
                <w:sz w:val="30"/>
                <w:szCs w:val="30"/>
                <w:highlight w:val="none"/>
              </w:rPr>
            </w:pPr>
          </w:p>
        </w:tc>
        <w:tc>
          <w:tcPr>
            <w:tcW w:w="1450" w:type="dxa"/>
            <w:noWrap w:val="0"/>
            <w:vAlign w:val="top"/>
          </w:tcPr>
          <w:p w14:paraId="09CAEA4A">
            <w:pPr>
              <w:rPr>
                <w:rFonts w:eastAsia="仿宋_GB2312"/>
                <w:color w:val="auto"/>
                <w:sz w:val="30"/>
                <w:szCs w:val="30"/>
                <w:highlight w:val="none"/>
              </w:rPr>
            </w:pPr>
          </w:p>
        </w:tc>
        <w:tc>
          <w:tcPr>
            <w:tcW w:w="1243" w:type="dxa"/>
            <w:noWrap w:val="0"/>
            <w:vAlign w:val="top"/>
          </w:tcPr>
          <w:p w14:paraId="40BC7A15">
            <w:pPr>
              <w:rPr>
                <w:rFonts w:eastAsia="仿宋_GB2312"/>
                <w:color w:val="auto"/>
                <w:sz w:val="30"/>
                <w:szCs w:val="30"/>
                <w:highlight w:val="none"/>
              </w:rPr>
            </w:pPr>
          </w:p>
        </w:tc>
        <w:tc>
          <w:tcPr>
            <w:tcW w:w="1450" w:type="dxa"/>
            <w:noWrap w:val="0"/>
            <w:vAlign w:val="top"/>
          </w:tcPr>
          <w:p w14:paraId="5B5CAA7B">
            <w:pPr>
              <w:rPr>
                <w:rFonts w:eastAsia="仿宋_GB2312"/>
                <w:color w:val="auto"/>
                <w:sz w:val="30"/>
                <w:szCs w:val="30"/>
                <w:highlight w:val="none"/>
              </w:rPr>
            </w:pPr>
          </w:p>
        </w:tc>
        <w:tc>
          <w:tcPr>
            <w:tcW w:w="1667" w:type="dxa"/>
            <w:noWrap w:val="0"/>
            <w:vAlign w:val="top"/>
          </w:tcPr>
          <w:p w14:paraId="6BED3291">
            <w:pPr>
              <w:rPr>
                <w:rFonts w:eastAsia="仿宋_GB2312"/>
                <w:color w:val="auto"/>
                <w:sz w:val="30"/>
                <w:szCs w:val="30"/>
                <w:highlight w:val="none"/>
              </w:rPr>
            </w:pPr>
          </w:p>
        </w:tc>
      </w:tr>
      <w:tr w14:paraId="17CDF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1AC0FE5">
            <w:pPr>
              <w:rPr>
                <w:rFonts w:eastAsia="仿宋_GB2312"/>
                <w:color w:val="auto"/>
                <w:sz w:val="30"/>
                <w:szCs w:val="30"/>
                <w:highlight w:val="none"/>
              </w:rPr>
            </w:pPr>
          </w:p>
        </w:tc>
        <w:tc>
          <w:tcPr>
            <w:tcW w:w="1276" w:type="dxa"/>
            <w:noWrap w:val="0"/>
            <w:vAlign w:val="top"/>
          </w:tcPr>
          <w:p w14:paraId="21203367">
            <w:pPr>
              <w:rPr>
                <w:rFonts w:eastAsia="仿宋_GB2312"/>
                <w:color w:val="auto"/>
                <w:sz w:val="30"/>
                <w:szCs w:val="30"/>
                <w:highlight w:val="none"/>
              </w:rPr>
            </w:pPr>
          </w:p>
        </w:tc>
        <w:tc>
          <w:tcPr>
            <w:tcW w:w="1450" w:type="dxa"/>
            <w:noWrap w:val="0"/>
            <w:vAlign w:val="top"/>
          </w:tcPr>
          <w:p w14:paraId="1096AF5E">
            <w:pPr>
              <w:rPr>
                <w:rFonts w:eastAsia="仿宋_GB2312"/>
                <w:color w:val="auto"/>
                <w:sz w:val="30"/>
                <w:szCs w:val="30"/>
                <w:highlight w:val="none"/>
              </w:rPr>
            </w:pPr>
          </w:p>
        </w:tc>
        <w:tc>
          <w:tcPr>
            <w:tcW w:w="1243" w:type="dxa"/>
            <w:noWrap w:val="0"/>
            <w:vAlign w:val="top"/>
          </w:tcPr>
          <w:p w14:paraId="0B053F67">
            <w:pPr>
              <w:rPr>
                <w:rFonts w:eastAsia="仿宋_GB2312"/>
                <w:color w:val="auto"/>
                <w:sz w:val="30"/>
                <w:szCs w:val="30"/>
                <w:highlight w:val="none"/>
              </w:rPr>
            </w:pPr>
          </w:p>
        </w:tc>
        <w:tc>
          <w:tcPr>
            <w:tcW w:w="1450" w:type="dxa"/>
            <w:noWrap w:val="0"/>
            <w:vAlign w:val="top"/>
          </w:tcPr>
          <w:p w14:paraId="5DE4BA60">
            <w:pPr>
              <w:rPr>
                <w:rFonts w:eastAsia="仿宋_GB2312"/>
                <w:color w:val="auto"/>
                <w:sz w:val="30"/>
                <w:szCs w:val="30"/>
                <w:highlight w:val="none"/>
              </w:rPr>
            </w:pPr>
          </w:p>
        </w:tc>
        <w:tc>
          <w:tcPr>
            <w:tcW w:w="1667" w:type="dxa"/>
            <w:noWrap w:val="0"/>
            <w:vAlign w:val="top"/>
          </w:tcPr>
          <w:p w14:paraId="24CBBEEA">
            <w:pPr>
              <w:rPr>
                <w:rFonts w:eastAsia="仿宋_GB2312"/>
                <w:color w:val="auto"/>
                <w:sz w:val="30"/>
                <w:szCs w:val="30"/>
                <w:highlight w:val="none"/>
              </w:rPr>
            </w:pPr>
          </w:p>
        </w:tc>
      </w:tr>
      <w:tr w14:paraId="78D3E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62EEF48">
            <w:pPr>
              <w:rPr>
                <w:rFonts w:eastAsia="仿宋_GB2312"/>
                <w:color w:val="auto"/>
                <w:sz w:val="30"/>
                <w:szCs w:val="30"/>
                <w:highlight w:val="none"/>
              </w:rPr>
            </w:pPr>
          </w:p>
        </w:tc>
        <w:tc>
          <w:tcPr>
            <w:tcW w:w="1276" w:type="dxa"/>
            <w:noWrap w:val="0"/>
            <w:vAlign w:val="top"/>
          </w:tcPr>
          <w:p w14:paraId="0C0B7F43">
            <w:pPr>
              <w:rPr>
                <w:rFonts w:eastAsia="仿宋_GB2312"/>
                <w:color w:val="auto"/>
                <w:sz w:val="30"/>
                <w:szCs w:val="30"/>
                <w:highlight w:val="none"/>
              </w:rPr>
            </w:pPr>
          </w:p>
        </w:tc>
        <w:tc>
          <w:tcPr>
            <w:tcW w:w="1450" w:type="dxa"/>
            <w:noWrap w:val="0"/>
            <w:vAlign w:val="top"/>
          </w:tcPr>
          <w:p w14:paraId="468BDF61">
            <w:pPr>
              <w:rPr>
                <w:rFonts w:eastAsia="仿宋_GB2312"/>
                <w:color w:val="auto"/>
                <w:sz w:val="30"/>
                <w:szCs w:val="30"/>
                <w:highlight w:val="none"/>
              </w:rPr>
            </w:pPr>
          </w:p>
        </w:tc>
        <w:tc>
          <w:tcPr>
            <w:tcW w:w="1243" w:type="dxa"/>
            <w:noWrap w:val="0"/>
            <w:vAlign w:val="top"/>
          </w:tcPr>
          <w:p w14:paraId="0E257C37">
            <w:pPr>
              <w:rPr>
                <w:rFonts w:eastAsia="仿宋_GB2312"/>
                <w:color w:val="auto"/>
                <w:sz w:val="30"/>
                <w:szCs w:val="30"/>
                <w:highlight w:val="none"/>
              </w:rPr>
            </w:pPr>
          </w:p>
        </w:tc>
        <w:tc>
          <w:tcPr>
            <w:tcW w:w="1450" w:type="dxa"/>
            <w:noWrap w:val="0"/>
            <w:vAlign w:val="top"/>
          </w:tcPr>
          <w:p w14:paraId="1E6FA7A9">
            <w:pPr>
              <w:rPr>
                <w:rFonts w:eastAsia="仿宋_GB2312"/>
                <w:color w:val="auto"/>
                <w:sz w:val="30"/>
                <w:szCs w:val="30"/>
                <w:highlight w:val="none"/>
              </w:rPr>
            </w:pPr>
          </w:p>
        </w:tc>
        <w:tc>
          <w:tcPr>
            <w:tcW w:w="1667" w:type="dxa"/>
            <w:noWrap w:val="0"/>
            <w:vAlign w:val="top"/>
          </w:tcPr>
          <w:p w14:paraId="38609FB8">
            <w:pPr>
              <w:rPr>
                <w:rFonts w:eastAsia="仿宋_GB2312"/>
                <w:color w:val="auto"/>
                <w:sz w:val="30"/>
                <w:szCs w:val="30"/>
                <w:highlight w:val="none"/>
              </w:rPr>
            </w:pPr>
          </w:p>
        </w:tc>
      </w:tr>
      <w:tr w14:paraId="6C307F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1C81D5B">
            <w:pPr>
              <w:rPr>
                <w:rFonts w:eastAsia="仿宋_GB2312"/>
                <w:color w:val="auto"/>
                <w:sz w:val="30"/>
                <w:szCs w:val="30"/>
                <w:highlight w:val="none"/>
              </w:rPr>
            </w:pPr>
          </w:p>
        </w:tc>
        <w:tc>
          <w:tcPr>
            <w:tcW w:w="1276" w:type="dxa"/>
            <w:noWrap w:val="0"/>
            <w:vAlign w:val="top"/>
          </w:tcPr>
          <w:p w14:paraId="1738F9B6">
            <w:pPr>
              <w:rPr>
                <w:rFonts w:eastAsia="仿宋_GB2312"/>
                <w:color w:val="auto"/>
                <w:sz w:val="30"/>
                <w:szCs w:val="30"/>
                <w:highlight w:val="none"/>
              </w:rPr>
            </w:pPr>
          </w:p>
        </w:tc>
        <w:tc>
          <w:tcPr>
            <w:tcW w:w="1450" w:type="dxa"/>
            <w:noWrap w:val="0"/>
            <w:vAlign w:val="top"/>
          </w:tcPr>
          <w:p w14:paraId="0CD30B07">
            <w:pPr>
              <w:rPr>
                <w:rFonts w:eastAsia="仿宋_GB2312"/>
                <w:color w:val="auto"/>
                <w:sz w:val="30"/>
                <w:szCs w:val="30"/>
                <w:highlight w:val="none"/>
              </w:rPr>
            </w:pPr>
          </w:p>
        </w:tc>
        <w:tc>
          <w:tcPr>
            <w:tcW w:w="1243" w:type="dxa"/>
            <w:noWrap w:val="0"/>
            <w:vAlign w:val="top"/>
          </w:tcPr>
          <w:p w14:paraId="558A8B70">
            <w:pPr>
              <w:rPr>
                <w:rFonts w:eastAsia="仿宋_GB2312"/>
                <w:color w:val="auto"/>
                <w:sz w:val="30"/>
                <w:szCs w:val="30"/>
                <w:highlight w:val="none"/>
              </w:rPr>
            </w:pPr>
          </w:p>
        </w:tc>
        <w:tc>
          <w:tcPr>
            <w:tcW w:w="1450" w:type="dxa"/>
            <w:noWrap w:val="0"/>
            <w:vAlign w:val="top"/>
          </w:tcPr>
          <w:p w14:paraId="1E8B9A30">
            <w:pPr>
              <w:rPr>
                <w:rFonts w:eastAsia="仿宋_GB2312"/>
                <w:color w:val="auto"/>
                <w:sz w:val="30"/>
                <w:szCs w:val="30"/>
                <w:highlight w:val="none"/>
              </w:rPr>
            </w:pPr>
          </w:p>
        </w:tc>
        <w:tc>
          <w:tcPr>
            <w:tcW w:w="1667" w:type="dxa"/>
            <w:noWrap w:val="0"/>
            <w:vAlign w:val="top"/>
          </w:tcPr>
          <w:p w14:paraId="756F9100">
            <w:pPr>
              <w:rPr>
                <w:rFonts w:eastAsia="仿宋_GB2312"/>
                <w:color w:val="auto"/>
                <w:sz w:val="30"/>
                <w:szCs w:val="30"/>
                <w:highlight w:val="none"/>
              </w:rPr>
            </w:pPr>
          </w:p>
        </w:tc>
      </w:tr>
      <w:tr w14:paraId="7972E3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4F3CC06B">
            <w:pPr>
              <w:rPr>
                <w:rFonts w:eastAsia="仿宋_GB2312"/>
                <w:color w:val="auto"/>
                <w:sz w:val="30"/>
                <w:szCs w:val="30"/>
                <w:highlight w:val="none"/>
              </w:rPr>
            </w:pPr>
          </w:p>
        </w:tc>
        <w:tc>
          <w:tcPr>
            <w:tcW w:w="1276" w:type="dxa"/>
            <w:noWrap w:val="0"/>
            <w:vAlign w:val="top"/>
          </w:tcPr>
          <w:p w14:paraId="3E0B119C">
            <w:pPr>
              <w:rPr>
                <w:rFonts w:eastAsia="仿宋_GB2312"/>
                <w:color w:val="auto"/>
                <w:sz w:val="30"/>
                <w:szCs w:val="30"/>
                <w:highlight w:val="none"/>
              </w:rPr>
            </w:pPr>
          </w:p>
        </w:tc>
        <w:tc>
          <w:tcPr>
            <w:tcW w:w="1450" w:type="dxa"/>
            <w:noWrap w:val="0"/>
            <w:vAlign w:val="top"/>
          </w:tcPr>
          <w:p w14:paraId="162ED64E">
            <w:pPr>
              <w:rPr>
                <w:rFonts w:eastAsia="仿宋_GB2312"/>
                <w:color w:val="auto"/>
                <w:sz w:val="30"/>
                <w:szCs w:val="30"/>
                <w:highlight w:val="none"/>
              </w:rPr>
            </w:pPr>
          </w:p>
        </w:tc>
        <w:tc>
          <w:tcPr>
            <w:tcW w:w="1243" w:type="dxa"/>
            <w:noWrap w:val="0"/>
            <w:vAlign w:val="top"/>
          </w:tcPr>
          <w:p w14:paraId="6373DAAC">
            <w:pPr>
              <w:rPr>
                <w:rFonts w:eastAsia="仿宋_GB2312"/>
                <w:color w:val="auto"/>
                <w:sz w:val="30"/>
                <w:szCs w:val="30"/>
                <w:highlight w:val="none"/>
              </w:rPr>
            </w:pPr>
          </w:p>
        </w:tc>
        <w:tc>
          <w:tcPr>
            <w:tcW w:w="1450" w:type="dxa"/>
            <w:noWrap w:val="0"/>
            <w:vAlign w:val="top"/>
          </w:tcPr>
          <w:p w14:paraId="13DECB90">
            <w:pPr>
              <w:rPr>
                <w:rFonts w:eastAsia="仿宋_GB2312"/>
                <w:color w:val="auto"/>
                <w:sz w:val="30"/>
                <w:szCs w:val="30"/>
                <w:highlight w:val="none"/>
              </w:rPr>
            </w:pPr>
          </w:p>
        </w:tc>
        <w:tc>
          <w:tcPr>
            <w:tcW w:w="1667" w:type="dxa"/>
            <w:noWrap w:val="0"/>
            <w:vAlign w:val="top"/>
          </w:tcPr>
          <w:p w14:paraId="67A24E6C">
            <w:pPr>
              <w:rPr>
                <w:rFonts w:eastAsia="仿宋_GB2312"/>
                <w:color w:val="auto"/>
                <w:sz w:val="30"/>
                <w:szCs w:val="30"/>
                <w:highlight w:val="none"/>
              </w:rPr>
            </w:pPr>
          </w:p>
        </w:tc>
      </w:tr>
      <w:tr w14:paraId="3D715A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BF216A6">
            <w:pPr>
              <w:rPr>
                <w:rFonts w:eastAsia="仿宋_GB2312"/>
                <w:color w:val="auto"/>
                <w:sz w:val="30"/>
                <w:szCs w:val="30"/>
                <w:highlight w:val="none"/>
              </w:rPr>
            </w:pPr>
          </w:p>
        </w:tc>
        <w:tc>
          <w:tcPr>
            <w:tcW w:w="1276" w:type="dxa"/>
            <w:noWrap w:val="0"/>
            <w:vAlign w:val="top"/>
          </w:tcPr>
          <w:p w14:paraId="52BDE988">
            <w:pPr>
              <w:rPr>
                <w:rFonts w:eastAsia="仿宋_GB2312"/>
                <w:color w:val="auto"/>
                <w:sz w:val="30"/>
                <w:szCs w:val="30"/>
                <w:highlight w:val="none"/>
              </w:rPr>
            </w:pPr>
          </w:p>
        </w:tc>
        <w:tc>
          <w:tcPr>
            <w:tcW w:w="1450" w:type="dxa"/>
            <w:noWrap w:val="0"/>
            <w:vAlign w:val="top"/>
          </w:tcPr>
          <w:p w14:paraId="6EB0792F">
            <w:pPr>
              <w:rPr>
                <w:rFonts w:eastAsia="仿宋_GB2312"/>
                <w:color w:val="auto"/>
                <w:sz w:val="30"/>
                <w:szCs w:val="30"/>
                <w:highlight w:val="none"/>
              </w:rPr>
            </w:pPr>
          </w:p>
        </w:tc>
        <w:tc>
          <w:tcPr>
            <w:tcW w:w="1243" w:type="dxa"/>
            <w:noWrap w:val="0"/>
            <w:vAlign w:val="top"/>
          </w:tcPr>
          <w:p w14:paraId="52C41439">
            <w:pPr>
              <w:rPr>
                <w:rFonts w:eastAsia="仿宋_GB2312"/>
                <w:color w:val="auto"/>
                <w:sz w:val="30"/>
                <w:szCs w:val="30"/>
                <w:highlight w:val="none"/>
              </w:rPr>
            </w:pPr>
          </w:p>
        </w:tc>
        <w:tc>
          <w:tcPr>
            <w:tcW w:w="1450" w:type="dxa"/>
            <w:noWrap w:val="0"/>
            <w:vAlign w:val="top"/>
          </w:tcPr>
          <w:p w14:paraId="0C418823">
            <w:pPr>
              <w:rPr>
                <w:rFonts w:eastAsia="仿宋_GB2312"/>
                <w:color w:val="auto"/>
                <w:sz w:val="30"/>
                <w:szCs w:val="30"/>
                <w:highlight w:val="none"/>
              </w:rPr>
            </w:pPr>
          </w:p>
        </w:tc>
        <w:tc>
          <w:tcPr>
            <w:tcW w:w="1667" w:type="dxa"/>
            <w:noWrap w:val="0"/>
            <w:vAlign w:val="top"/>
          </w:tcPr>
          <w:p w14:paraId="55088788">
            <w:pPr>
              <w:rPr>
                <w:rFonts w:eastAsia="仿宋_GB2312"/>
                <w:color w:val="auto"/>
                <w:sz w:val="30"/>
                <w:szCs w:val="30"/>
                <w:highlight w:val="none"/>
              </w:rPr>
            </w:pPr>
          </w:p>
        </w:tc>
      </w:tr>
      <w:tr w14:paraId="69519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80A4EA4">
            <w:pPr>
              <w:rPr>
                <w:rFonts w:eastAsia="仿宋_GB2312"/>
                <w:color w:val="auto"/>
                <w:sz w:val="30"/>
                <w:szCs w:val="30"/>
                <w:highlight w:val="none"/>
              </w:rPr>
            </w:pPr>
          </w:p>
        </w:tc>
        <w:tc>
          <w:tcPr>
            <w:tcW w:w="1276" w:type="dxa"/>
            <w:noWrap w:val="0"/>
            <w:vAlign w:val="top"/>
          </w:tcPr>
          <w:p w14:paraId="38324278">
            <w:pPr>
              <w:rPr>
                <w:rFonts w:eastAsia="仿宋_GB2312"/>
                <w:color w:val="auto"/>
                <w:sz w:val="30"/>
                <w:szCs w:val="30"/>
                <w:highlight w:val="none"/>
              </w:rPr>
            </w:pPr>
          </w:p>
        </w:tc>
        <w:tc>
          <w:tcPr>
            <w:tcW w:w="1450" w:type="dxa"/>
            <w:noWrap w:val="0"/>
            <w:vAlign w:val="top"/>
          </w:tcPr>
          <w:p w14:paraId="1D357051">
            <w:pPr>
              <w:rPr>
                <w:rFonts w:eastAsia="仿宋_GB2312"/>
                <w:color w:val="auto"/>
                <w:sz w:val="30"/>
                <w:szCs w:val="30"/>
                <w:highlight w:val="none"/>
              </w:rPr>
            </w:pPr>
          </w:p>
        </w:tc>
        <w:tc>
          <w:tcPr>
            <w:tcW w:w="1243" w:type="dxa"/>
            <w:noWrap w:val="0"/>
            <w:vAlign w:val="top"/>
          </w:tcPr>
          <w:p w14:paraId="43794627">
            <w:pPr>
              <w:rPr>
                <w:rFonts w:eastAsia="仿宋_GB2312"/>
                <w:color w:val="auto"/>
                <w:sz w:val="30"/>
                <w:szCs w:val="30"/>
                <w:highlight w:val="none"/>
              </w:rPr>
            </w:pPr>
          </w:p>
        </w:tc>
        <w:tc>
          <w:tcPr>
            <w:tcW w:w="1450" w:type="dxa"/>
            <w:noWrap w:val="0"/>
            <w:vAlign w:val="top"/>
          </w:tcPr>
          <w:p w14:paraId="6AFE9E63">
            <w:pPr>
              <w:rPr>
                <w:rFonts w:eastAsia="仿宋_GB2312"/>
                <w:color w:val="auto"/>
                <w:sz w:val="30"/>
                <w:szCs w:val="30"/>
                <w:highlight w:val="none"/>
              </w:rPr>
            </w:pPr>
          </w:p>
        </w:tc>
        <w:tc>
          <w:tcPr>
            <w:tcW w:w="1667" w:type="dxa"/>
            <w:noWrap w:val="0"/>
            <w:vAlign w:val="top"/>
          </w:tcPr>
          <w:p w14:paraId="5726496E">
            <w:pPr>
              <w:rPr>
                <w:rFonts w:eastAsia="仿宋_GB2312"/>
                <w:color w:val="auto"/>
                <w:sz w:val="30"/>
                <w:szCs w:val="30"/>
                <w:highlight w:val="none"/>
              </w:rPr>
            </w:pPr>
          </w:p>
        </w:tc>
      </w:tr>
      <w:tr w14:paraId="5854C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6EB5D7C">
            <w:pPr>
              <w:rPr>
                <w:rFonts w:eastAsia="仿宋_GB2312"/>
                <w:color w:val="auto"/>
                <w:sz w:val="30"/>
                <w:szCs w:val="30"/>
                <w:highlight w:val="none"/>
              </w:rPr>
            </w:pPr>
          </w:p>
        </w:tc>
        <w:tc>
          <w:tcPr>
            <w:tcW w:w="1276" w:type="dxa"/>
            <w:noWrap w:val="0"/>
            <w:vAlign w:val="top"/>
          </w:tcPr>
          <w:p w14:paraId="0D1D7D7C">
            <w:pPr>
              <w:rPr>
                <w:rFonts w:eastAsia="仿宋_GB2312"/>
                <w:color w:val="auto"/>
                <w:sz w:val="30"/>
                <w:szCs w:val="30"/>
                <w:highlight w:val="none"/>
              </w:rPr>
            </w:pPr>
          </w:p>
        </w:tc>
        <w:tc>
          <w:tcPr>
            <w:tcW w:w="1450" w:type="dxa"/>
            <w:noWrap w:val="0"/>
            <w:vAlign w:val="top"/>
          </w:tcPr>
          <w:p w14:paraId="79D92246">
            <w:pPr>
              <w:rPr>
                <w:rFonts w:eastAsia="仿宋_GB2312"/>
                <w:color w:val="auto"/>
                <w:sz w:val="30"/>
                <w:szCs w:val="30"/>
                <w:highlight w:val="none"/>
              </w:rPr>
            </w:pPr>
          </w:p>
        </w:tc>
        <w:tc>
          <w:tcPr>
            <w:tcW w:w="1243" w:type="dxa"/>
            <w:noWrap w:val="0"/>
            <w:vAlign w:val="top"/>
          </w:tcPr>
          <w:p w14:paraId="46765263">
            <w:pPr>
              <w:rPr>
                <w:rFonts w:eastAsia="仿宋_GB2312"/>
                <w:color w:val="auto"/>
                <w:sz w:val="30"/>
                <w:szCs w:val="30"/>
                <w:highlight w:val="none"/>
              </w:rPr>
            </w:pPr>
          </w:p>
        </w:tc>
        <w:tc>
          <w:tcPr>
            <w:tcW w:w="1450" w:type="dxa"/>
            <w:noWrap w:val="0"/>
            <w:vAlign w:val="top"/>
          </w:tcPr>
          <w:p w14:paraId="38F8B55D">
            <w:pPr>
              <w:rPr>
                <w:rFonts w:eastAsia="仿宋_GB2312"/>
                <w:color w:val="auto"/>
                <w:sz w:val="30"/>
                <w:szCs w:val="30"/>
                <w:highlight w:val="none"/>
              </w:rPr>
            </w:pPr>
          </w:p>
        </w:tc>
        <w:tc>
          <w:tcPr>
            <w:tcW w:w="1667" w:type="dxa"/>
            <w:noWrap w:val="0"/>
            <w:vAlign w:val="top"/>
          </w:tcPr>
          <w:p w14:paraId="3585CBEA">
            <w:pPr>
              <w:rPr>
                <w:rFonts w:eastAsia="仿宋_GB2312"/>
                <w:color w:val="auto"/>
                <w:sz w:val="30"/>
                <w:szCs w:val="30"/>
                <w:highlight w:val="none"/>
              </w:rPr>
            </w:pPr>
          </w:p>
        </w:tc>
      </w:tr>
    </w:tbl>
    <w:p w14:paraId="4881B7E9">
      <w:pPr>
        <w:spacing w:line="440" w:lineRule="exact"/>
        <w:rPr>
          <w:rFonts w:hint="eastAsia" w:eastAsia="仿宋_GB2312"/>
          <w:color w:val="auto"/>
          <w:sz w:val="30"/>
          <w:szCs w:val="30"/>
          <w:highlight w:val="none"/>
        </w:rPr>
      </w:pPr>
    </w:p>
    <w:p w14:paraId="6AF0C9B2">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附件</w:t>
      </w:r>
      <w:r>
        <w:rPr>
          <w:rFonts w:hint="eastAsia" w:eastAsia="仿宋_GB2312"/>
          <w:color w:val="auto"/>
          <w:sz w:val="30"/>
          <w:szCs w:val="30"/>
          <w:highlight w:val="none"/>
        </w:rPr>
        <w:t>4</w:t>
      </w:r>
      <w:r>
        <w:rPr>
          <w:rFonts w:hint="eastAsia" w:eastAsia="仿宋_GB2312" w:cs="仿宋_GB2312"/>
          <w:color w:val="auto"/>
          <w:sz w:val="30"/>
          <w:szCs w:val="30"/>
          <w:highlight w:val="none"/>
        </w:rPr>
        <w:t>：</w:t>
      </w:r>
    </w:p>
    <w:p w14:paraId="11421C2F">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承包人用于本工程施工的机械设备表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6922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162" w:type="dxa"/>
            <w:noWrap w:val="0"/>
            <w:vAlign w:val="center"/>
          </w:tcPr>
          <w:p w14:paraId="3743520E">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序号</w:t>
            </w:r>
          </w:p>
        </w:tc>
        <w:tc>
          <w:tcPr>
            <w:tcW w:w="1418" w:type="dxa"/>
            <w:noWrap w:val="0"/>
            <w:vAlign w:val="center"/>
          </w:tcPr>
          <w:p w14:paraId="6C3F9B9F">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机械或设备名称</w:t>
            </w:r>
          </w:p>
        </w:tc>
        <w:tc>
          <w:tcPr>
            <w:tcW w:w="850" w:type="dxa"/>
            <w:noWrap w:val="0"/>
            <w:vAlign w:val="center"/>
          </w:tcPr>
          <w:p w14:paraId="0FCD2F23">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规格型号</w:t>
            </w:r>
          </w:p>
        </w:tc>
        <w:tc>
          <w:tcPr>
            <w:tcW w:w="1058" w:type="dxa"/>
            <w:noWrap w:val="0"/>
            <w:vAlign w:val="center"/>
          </w:tcPr>
          <w:p w14:paraId="306DD710">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数量</w:t>
            </w:r>
          </w:p>
        </w:tc>
        <w:tc>
          <w:tcPr>
            <w:tcW w:w="880" w:type="dxa"/>
            <w:noWrap w:val="0"/>
            <w:vAlign w:val="center"/>
          </w:tcPr>
          <w:p w14:paraId="13DC20A6">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产地</w:t>
            </w:r>
          </w:p>
        </w:tc>
        <w:tc>
          <w:tcPr>
            <w:tcW w:w="1020" w:type="dxa"/>
            <w:noWrap w:val="0"/>
            <w:vAlign w:val="center"/>
          </w:tcPr>
          <w:p w14:paraId="13790BB2">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制造年份</w:t>
            </w:r>
          </w:p>
        </w:tc>
        <w:tc>
          <w:tcPr>
            <w:tcW w:w="1480" w:type="dxa"/>
            <w:noWrap w:val="0"/>
            <w:vAlign w:val="center"/>
          </w:tcPr>
          <w:p w14:paraId="12653C88">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额定功率（</w:t>
            </w:r>
            <w:r>
              <w:rPr>
                <w:rFonts w:eastAsia="仿宋_GB2312"/>
                <w:color w:val="auto"/>
                <w:sz w:val="28"/>
                <w:szCs w:val="28"/>
                <w:highlight w:val="none"/>
              </w:rPr>
              <w:t>kW</w:t>
            </w:r>
            <w:r>
              <w:rPr>
                <w:rFonts w:hint="eastAsia" w:eastAsia="仿宋_GB2312" w:cs="仿宋_GB2312"/>
                <w:color w:val="auto"/>
                <w:sz w:val="28"/>
                <w:szCs w:val="28"/>
                <w:highlight w:val="none"/>
              </w:rPr>
              <w:t>）</w:t>
            </w:r>
          </w:p>
        </w:tc>
        <w:tc>
          <w:tcPr>
            <w:tcW w:w="1020" w:type="dxa"/>
            <w:noWrap w:val="0"/>
            <w:vAlign w:val="center"/>
          </w:tcPr>
          <w:p w14:paraId="6BEB9512">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生产能力</w:t>
            </w:r>
          </w:p>
        </w:tc>
        <w:tc>
          <w:tcPr>
            <w:tcW w:w="921" w:type="dxa"/>
            <w:noWrap w:val="0"/>
            <w:vAlign w:val="center"/>
          </w:tcPr>
          <w:p w14:paraId="2CEABE5B">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备注</w:t>
            </w:r>
          </w:p>
        </w:tc>
      </w:tr>
      <w:tr w14:paraId="26F9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466B598">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30F004FF">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06F1C0EC">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4C9E3542">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25A98E34">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79ACCB84">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1FE00312">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35B31B41">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4AFDFF92">
            <w:pPr>
              <w:pStyle w:val="3"/>
              <w:keepNext/>
              <w:spacing w:after="0" w:line="440" w:lineRule="exact"/>
              <w:ind w:left="63" w:right="63"/>
              <w:rPr>
                <w:rFonts w:eastAsia="仿宋_GB2312"/>
                <w:color w:val="auto"/>
                <w:sz w:val="30"/>
                <w:szCs w:val="30"/>
                <w:highlight w:val="none"/>
              </w:rPr>
            </w:pPr>
          </w:p>
        </w:tc>
      </w:tr>
      <w:tr w14:paraId="055C4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59B139D5">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0E7F5DE7">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17A4A5D1">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48DB96D5">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4F688200">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1228D464">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66236E5D">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7B4E49EB">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3DE7EA06">
            <w:pPr>
              <w:pStyle w:val="3"/>
              <w:keepNext/>
              <w:spacing w:after="0" w:line="440" w:lineRule="exact"/>
              <w:ind w:left="63" w:right="63"/>
              <w:rPr>
                <w:rFonts w:eastAsia="仿宋_GB2312"/>
                <w:color w:val="auto"/>
                <w:sz w:val="30"/>
                <w:szCs w:val="30"/>
                <w:highlight w:val="none"/>
              </w:rPr>
            </w:pPr>
          </w:p>
        </w:tc>
      </w:tr>
      <w:tr w14:paraId="24F1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24FCEABC">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46C0A05A">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0F77AD68">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683CC545">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4B6E785B">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350F2731">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6E45E283">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40327003">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6AA4290A">
            <w:pPr>
              <w:pStyle w:val="3"/>
              <w:keepNext/>
              <w:spacing w:after="0" w:line="440" w:lineRule="exact"/>
              <w:ind w:left="63" w:right="63"/>
              <w:rPr>
                <w:rFonts w:eastAsia="仿宋_GB2312"/>
                <w:color w:val="auto"/>
                <w:sz w:val="30"/>
                <w:szCs w:val="30"/>
                <w:highlight w:val="none"/>
              </w:rPr>
            </w:pPr>
          </w:p>
        </w:tc>
      </w:tr>
      <w:tr w14:paraId="7683A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DB59F74">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01EBE69D">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2AB15AD7">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7DB6F515">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4519F347">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6127A93F">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357FE73D">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0FDED11C">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3D3986A2">
            <w:pPr>
              <w:pStyle w:val="3"/>
              <w:keepNext/>
              <w:spacing w:after="0" w:line="440" w:lineRule="exact"/>
              <w:ind w:left="63" w:right="63"/>
              <w:rPr>
                <w:rFonts w:eastAsia="仿宋_GB2312"/>
                <w:color w:val="auto"/>
                <w:sz w:val="30"/>
                <w:szCs w:val="30"/>
                <w:highlight w:val="none"/>
              </w:rPr>
            </w:pPr>
          </w:p>
        </w:tc>
      </w:tr>
      <w:tr w14:paraId="621E1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1AA802EE">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737C1F39">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5692BCBE">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3DCFBA73">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76FBA057">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0731A329">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3C30FF4E">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767D227D">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46411C81">
            <w:pPr>
              <w:pStyle w:val="3"/>
              <w:keepNext/>
              <w:spacing w:after="0" w:line="440" w:lineRule="exact"/>
              <w:ind w:left="63" w:right="63"/>
              <w:rPr>
                <w:rFonts w:eastAsia="仿宋_GB2312"/>
                <w:color w:val="auto"/>
                <w:sz w:val="30"/>
                <w:szCs w:val="30"/>
                <w:highlight w:val="none"/>
              </w:rPr>
            </w:pPr>
          </w:p>
        </w:tc>
      </w:tr>
      <w:tr w14:paraId="131C2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E6FCEBB">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4FA98D6E">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4448D63E">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63345661">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2AA63149">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42CE2866">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1376A61B">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56EE1E22">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281158A0">
            <w:pPr>
              <w:pStyle w:val="3"/>
              <w:keepNext/>
              <w:spacing w:after="0" w:line="440" w:lineRule="exact"/>
              <w:ind w:left="63" w:right="63"/>
              <w:rPr>
                <w:rFonts w:eastAsia="仿宋_GB2312"/>
                <w:color w:val="auto"/>
                <w:sz w:val="30"/>
                <w:szCs w:val="30"/>
                <w:highlight w:val="none"/>
              </w:rPr>
            </w:pPr>
          </w:p>
        </w:tc>
      </w:tr>
      <w:tr w14:paraId="5248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7E295151">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2F468B50">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634A734F">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1F302426">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13025899">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607A15EA">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040502FD">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215FD7C3">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5B161D58">
            <w:pPr>
              <w:pStyle w:val="3"/>
              <w:keepNext/>
              <w:spacing w:after="0" w:line="440" w:lineRule="exact"/>
              <w:ind w:left="63" w:right="63"/>
              <w:rPr>
                <w:rFonts w:eastAsia="仿宋_GB2312"/>
                <w:color w:val="auto"/>
                <w:sz w:val="30"/>
                <w:szCs w:val="30"/>
                <w:highlight w:val="none"/>
              </w:rPr>
            </w:pPr>
          </w:p>
        </w:tc>
      </w:tr>
      <w:tr w14:paraId="3E285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B13F492">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54BADD43">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23198E5A">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76DAC693">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164E432A">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057069F1">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67B044CE">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6DD977B6">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018E1123">
            <w:pPr>
              <w:pStyle w:val="3"/>
              <w:keepNext/>
              <w:spacing w:after="0" w:line="440" w:lineRule="exact"/>
              <w:ind w:left="63" w:right="63"/>
              <w:rPr>
                <w:rFonts w:eastAsia="仿宋_GB2312"/>
                <w:color w:val="auto"/>
                <w:sz w:val="30"/>
                <w:szCs w:val="30"/>
                <w:highlight w:val="none"/>
              </w:rPr>
            </w:pPr>
          </w:p>
        </w:tc>
      </w:tr>
      <w:tr w14:paraId="2E022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FCA2D88">
            <w:pPr>
              <w:rPr>
                <w:rFonts w:eastAsia="仿宋_GB2312"/>
                <w:color w:val="auto"/>
                <w:sz w:val="30"/>
                <w:szCs w:val="30"/>
                <w:highlight w:val="none"/>
              </w:rPr>
            </w:pPr>
          </w:p>
        </w:tc>
        <w:tc>
          <w:tcPr>
            <w:tcW w:w="1418" w:type="dxa"/>
            <w:noWrap w:val="0"/>
            <w:vAlign w:val="top"/>
          </w:tcPr>
          <w:p w14:paraId="70F3BC7C">
            <w:pPr>
              <w:rPr>
                <w:rFonts w:eastAsia="仿宋_GB2312"/>
                <w:color w:val="auto"/>
                <w:sz w:val="30"/>
                <w:szCs w:val="30"/>
                <w:highlight w:val="none"/>
              </w:rPr>
            </w:pPr>
          </w:p>
        </w:tc>
        <w:tc>
          <w:tcPr>
            <w:tcW w:w="850" w:type="dxa"/>
            <w:noWrap w:val="0"/>
            <w:vAlign w:val="top"/>
          </w:tcPr>
          <w:p w14:paraId="0EB69338">
            <w:pPr>
              <w:rPr>
                <w:rFonts w:eastAsia="仿宋_GB2312"/>
                <w:color w:val="auto"/>
                <w:sz w:val="30"/>
                <w:szCs w:val="30"/>
                <w:highlight w:val="none"/>
              </w:rPr>
            </w:pPr>
          </w:p>
        </w:tc>
        <w:tc>
          <w:tcPr>
            <w:tcW w:w="1058" w:type="dxa"/>
            <w:noWrap w:val="0"/>
            <w:vAlign w:val="top"/>
          </w:tcPr>
          <w:p w14:paraId="621EDF03">
            <w:pPr>
              <w:rPr>
                <w:rFonts w:eastAsia="仿宋_GB2312"/>
                <w:color w:val="auto"/>
                <w:sz w:val="30"/>
                <w:szCs w:val="30"/>
                <w:highlight w:val="none"/>
              </w:rPr>
            </w:pPr>
          </w:p>
        </w:tc>
        <w:tc>
          <w:tcPr>
            <w:tcW w:w="880" w:type="dxa"/>
            <w:noWrap w:val="0"/>
            <w:vAlign w:val="top"/>
          </w:tcPr>
          <w:p w14:paraId="1AEAD8C5">
            <w:pPr>
              <w:rPr>
                <w:rFonts w:eastAsia="仿宋_GB2312"/>
                <w:color w:val="auto"/>
                <w:sz w:val="30"/>
                <w:szCs w:val="30"/>
                <w:highlight w:val="none"/>
              </w:rPr>
            </w:pPr>
          </w:p>
        </w:tc>
        <w:tc>
          <w:tcPr>
            <w:tcW w:w="1020" w:type="dxa"/>
            <w:noWrap w:val="0"/>
            <w:vAlign w:val="top"/>
          </w:tcPr>
          <w:p w14:paraId="425BF245">
            <w:pPr>
              <w:rPr>
                <w:rFonts w:eastAsia="仿宋_GB2312"/>
                <w:color w:val="auto"/>
                <w:sz w:val="30"/>
                <w:szCs w:val="30"/>
                <w:highlight w:val="none"/>
              </w:rPr>
            </w:pPr>
          </w:p>
        </w:tc>
        <w:tc>
          <w:tcPr>
            <w:tcW w:w="1480" w:type="dxa"/>
            <w:noWrap w:val="0"/>
            <w:vAlign w:val="top"/>
          </w:tcPr>
          <w:p w14:paraId="6D1A6265">
            <w:pPr>
              <w:rPr>
                <w:rFonts w:eastAsia="仿宋_GB2312"/>
                <w:color w:val="auto"/>
                <w:sz w:val="30"/>
                <w:szCs w:val="30"/>
                <w:highlight w:val="none"/>
              </w:rPr>
            </w:pPr>
          </w:p>
        </w:tc>
        <w:tc>
          <w:tcPr>
            <w:tcW w:w="1020" w:type="dxa"/>
            <w:noWrap w:val="0"/>
            <w:vAlign w:val="top"/>
          </w:tcPr>
          <w:p w14:paraId="64818392">
            <w:pPr>
              <w:rPr>
                <w:rFonts w:eastAsia="仿宋_GB2312"/>
                <w:color w:val="auto"/>
                <w:sz w:val="30"/>
                <w:szCs w:val="30"/>
                <w:highlight w:val="none"/>
              </w:rPr>
            </w:pPr>
          </w:p>
        </w:tc>
        <w:tc>
          <w:tcPr>
            <w:tcW w:w="921" w:type="dxa"/>
            <w:noWrap w:val="0"/>
            <w:vAlign w:val="top"/>
          </w:tcPr>
          <w:p w14:paraId="78819DB7">
            <w:pPr>
              <w:rPr>
                <w:rFonts w:eastAsia="仿宋_GB2312"/>
                <w:color w:val="auto"/>
                <w:sz w:val="30"/>
                <w:szCs w:val="30"/>
                <w:highlight w:val="none"/>
              </w:rPr>
            </w:pPr>
          </w:p>
        </w:tc>
      </w:tr>
      <w:tr w14:paraId="4C00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center"/>
          </w:tcPr>
          <w:p w14:paraId="6E673726">
            <w:pPr>
              <w:pStyle w:val="3"/>
              <w:keepNext/>
              <w:spacing w:after="0" w:line="440" w:lineRule="exact"/>
              <w:ind w:left="63" w:right="63"/>
              <w:rPr>
                <w:rFonts w:eastAsia="仿宋_GB2312"/>
                <w:color w:val="auto"/>
                <w:sz w:val="30"/>
                <w:szCs w:val="30"/>
                <w:highlight w:val="none"/>
              </w:rPr>
            </w:pPr>
          </w:p>
        </w:tc>
        <w:tc>
          <w:tcPr>
            <w:tcW w:w="1418" w:type="dxa"/>
            <w:noWrap w:val="0"/>
            <w:vAlign w:val="center"/>
          </w:tcPr>
          <w:p w14:paraId="4D078DCE">
            <w:pPr>
              <w:pStyle w:val="3"/>
              <w:keepNext/>
              <w:spacing w:after="0" w:line="440" w:lineRule="exact"/>
              <w:ind w:left="63" w:right="63"/>
              <w:rPr>
                <w:rFonts w:eastAsia="仿宋_GB2312"/>
                <w:color w:val="auto"/>
                <w:sz w:val="30"/>
                <w:szCs w:val="30"/>
                <w:highlight w:val="none"/>
              </w:rPr>
            </w:pPr>
          </w:p>
        </w:tc>
        <w:tc>
          <w:tcPr>
            <w:tcW w:w="850" w:type="dxa"/>
            <w:noWrap w:val="0"/>
            <w:vAlign w:val="center"/>
          </w:tcPr>
          <w:p w14:paraId="0E660F64">
            <w:pPr>
              <w:pStyle w:val="3"/>
              <w:keepNext/>
              <w:spacing w:after="0" w:line="440" w:lineRule="exact"/>
              <w:ind w:left="63" w:right="63"/>
              <w:rPr>
                <w:rFonts w:eastAsia="仿宋_GB2312"/>
                <w:color w:val="auto"/>
                <w:sz w:val="30"/>
                <w:szCs w:val="30"/>
                <w:highlight w:val="none"/>
              </w:rPr>
            </w:pPr>
          </w:p>
        </w:tc>
        <w:tc>
          <w:tcPr>
            <w:tcW w:w="1058" w:type="dxa"/>
            <w:noWrap w:val="0"/>
            <w:vAlign w:val="center"/>
          </w:tcPr>
          <w:p w14:paraId="0480F5A0">
            <w:pPr>
              <w:pStyle w:val="3"/>
              <w:keepNext/>
              <w:spacing w:after="0" w:line="440" w:lineRule="exact"/>
              <w:ind w:left="63" w:right="63"/>
              <w:rPr>
                <w:rFonts w:eastAsia="仿宋_GB2312"/>
                <w:color w:val="auto"/>
                <w:sz w:val="30"/>
                <w:szCs w:val="30"/>
                <w:highlight w:val="none"/>
              </w:rPr>
            </w:pPr>
          </w:p>
        </w:tc>
        <w:tc>
          <w:tcPr>
            <w:tcW w:w="880" w:type="dxa"/>
            <w:noWrap w:val="0"/>
            <w:vAlign w:val="center"/>
          </w:tcPr>
          <w:p w14:paraId="121C4EDF">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4C6C90B9">
            <w:pPr>
              <w:pStyle w:val="3"/>
              <w:keepNext/>
              <w:spacing w:after="0" w:line="440" w:lineRule="exact"/>
              <w:ind w:left="63" w:right="63"/>
              <w:rPr>
                <w:rFonts w:eastAsia="仿宋_GB2312"/>
                <w:color w:val="auto"/>
                <w:sz w:val="30"/>
                <w:szCs w:val="30"/>
                <w:highlight w:val="none"/>
              </w:rPr>
            </w:pPr>
          </w:p>
        </w:tc>
        <w:tc>
          <w:tcPr>
            <w:tcW w:w="1480" w:type="dxa"/>
            <w:noWrap w:val="0"/>
            <w:vAlign w:val="center"/>
          </w:tcPr>
          <w:p w14:paraId="0E14159E">
            <w:pPr>
              <w:pStyle w:val="3"/>
              <w:keepNext/>
              <w:spacing w:after="0" w:line="440" w:lineRule="exact"/>
              <w:ind w:left="63" w:right="63"/>
              <w:rPr>
                <w:rFonts w:eastAsia="仿宋_GB2312"/>
                <w:color w:val="auto"/>
                <w:sz w:val="30"/>
                <w:szCs w:val="30"/>
                <w:highlight w:val="none"/>
              </w:rPr>
            </w:pPr>
          </w:p>
        </w:tc>
        <w:tc>
          <w:tcPr>
            <w:tcW w:w="1020" w:type="dxa"/>
            <w:noWrap w:val="0"/>
            <w:vAlign w:val="center"/>
          </w:tcPr>
          <w:p w14:paraId="43D001D5">
            <w:pPr>
              <w:pStyle w:val="3"/>
              <w:keepNext/>
              <w:spacing w:after="0" w:line="440" w:lineRule="exact"/>
              <w:ind w:left="63" w:right="63"/>
              <w:rPr>
                <w:rFonts w:eastAsia="仿宋_GB2312"/>
                <w:color w:val="auto"/>
                <w:sz w:val="30"/>
                <w:szCs w:val="30"/>
                <w:highlight w:val="none"/>
              </w:rPr>
            </w:pPr>
          </w:p>
        </w:tc>
        <w:tc>
          <w:tcPr>
            <w:tcW w:w="921" w:type="dxa"/>
            <w:noWrap w:val="0"/>
            <w:vAlign w:val="center"/>
          </w:tcPr>
          <w:p w14:paraId="4A0C6A33">
            <w:pPr>
              <w:pStyle w:val="3"/>
              <w:keepNext/>
              <w:spacing w:after="0" w:line="440" w:lineRule="exact"/>
              <w:ind w:left="63" w:right="63"/>
              <w:rPr>
                <w:rFonts w:eastAsia="仿宋_GB2312"/>
                <w:color w:val="auto"/>
                <w:sz w:val="30"/>
                <w:szCs w:val="30"/>
                <w:highlight w:val="none"/>
              </w:rPr>
            </w:pPr>
          </w:p>
        </w:tc>
      </w:tr>
      <w:tr w14:paraId="16D8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3986023">
            <w:pPr>
              <w:rPr>
                <w:rFonts w:eastAsia="仿宋_GB2312"/>
                <w:color w:val="auto"/>
                <w:sz w:val="30"/>
                <w:szCs w:val="30"/>
                <w:highlight w:val="none"/>
              </w:rPr>
            </w:pPr>
          </w:p>
        </w:tc>
        <w:tc>
          <w:tcPr>
            <w:tcW w:w="1418" w:type="dxa"/>
            <w:noWrap w:val="0"/>
            <w:vAlign w:val="top"/>
          </w:tcPr>
          <w:p w14:paraId="6ED4EB99">
            <w:pPr>
              <w:rPr>
                <w:rFonts w:eastAsia="仿宋_GB2312"/>
                <w:color w:val="auto"/>
                <w:sz w:val="30"/>
                <w:szCs w:val="30"/>
                <w:highlight w:val="none"/>
              </w:rPr>
            </w:pPr>
          </w:p>
        </w:tc>
        <w:tc>
          <w:tcPr>
            <w:tcW w:w="850" w:type="dxa"/>
            <w:noWrap w:val="0"/>
            <w:vAlign w:val="top"/>
          </w:tcPr>
          <w:p w14:paraId="0CC3FABA">
            <w:pPr>
              <w:rPr>
                <w:rFonts w:eastAsia="仿宋_GB2312"/>
                <w:color w:val="auto"/>
                <w:sz w:val="30"/>
                <w:szCs w:val="30"/>
                <w:highlight w:val="none"/>
              </w:rPr>
            </w:pPr>
          </w:p>
        </w:tc>
        <w:tc>
          <w:tcPr>
            <w:tcW w:w="1058" w:type="dxa"/>
            <w:noWrap w:val="0"/>
            <w:vAlign w:val="top"/>
          </w:tcPr>
          <w:p w14:paraId="163A8289">
            <w:pPr>
              <w:rPr>
                <w:rFonts w:eastAsia="仿宋_GB2312"/>
                <w:color w:val="auto"/>
                <w:sz w:val="30"/>
                <w:szCs w:val="30"/>
                <w:highlight w:val="none"/>
              </w:rPr>
            </w:pPr>
          </w:p>
        </w:tc>
        <w:tc>
          <w:tcPr>
            <w:tcW w:w="880" w:type="dxa"/>
            <w:noWrap w:val="0"/>
            <w:vAlign w:val="top"/>
          </w:tcPr>
          <w:p w14:paraId="559D7300">
            <w:pPr>
              <w:rPr>
                <w:rFonts w:eastAsia="仿宋_GB2312"/>
                <w:color w:val="auto"/>
                <w:sz w:val="30"/>
                <w:szCs w:val="30"/>
                <w:highlight w:val="none"/>
              </w:rPr>
            </w:pPr>
          </w:p>
        </w:tc>
        <w:tc>
          <w:tcPr>
            <w:tcW w:w="1020" w:type="dxa"/>
            <w:noWrap w:val="0"/>
            <w:vAlign w:val="top"/>
          </w:tcPr>
          <w:p w14:paraId="23964062">
            <w:pPr>
              <w:rPr>
                <w:rFonts w:eastAsia="仿宋_GB2312"/>
                <w:color w:val="auto"/>
                <w:sz w:val="30"/>
                <w:szCs w:val="30"/>
                <w:highlight w:val="none"/>
              </w:rPr>
            </w:pPr>
          </w:p>
        </w:tc>
        <w:tc>
          <w:tcPr>
            <w:tcW w:w="1480" w:type="dxa"/>
            <w:noWrap w:val="0"/>
            <w:vAlign w:val="top"/>
          </w:tcPr>
          <w:p w14:paraId="0F0C160F">
            <w:pPr>
              <w:rPr>
                <w:rFonts w:eastAsia="仿宋_GB2312"/>
                <w:color w:val="auto"/>
                <w:sz w:val="30"/>
                <w:szCs w:val="30"/>
                <w:highlight w:val="none"/>
              </w:rPr>
            </w:pPr>
          </w:p>
        </w:tc>
        <w:tc>
          <w:tcPr>
            <w:tcW w:w="1020" w:type="dxa"/>
            <w:noWrap w:val="0"/>
            <w:vAlign w:val="top"/>
          </w:tcPr>
          <w:p w14:paraId="150BF47E">
            <w:pPr>
              <w:rPr>
                <w:rFonts w:eastAsia="仿宋_GB2312"/>
                <w:color w:val="auto"/>
                <w:sz w:val="30"/>
                <w:szCs w:val="30"/>
                <w:highlight w:val="none"/>
              </w:rPr>
            </w:pPr>
          </w:p>
        </w:tc>
        <w:tc>
          <w:tcPr>
            <w:tcW w:w="921" w:type="dxa"/>
            <w:noWrap w:val="0"/>
            <w:vAlign w:val="top"/>
          </w:tcPr>
          <w:p w14:paraId="2AE9F2C9">
            <w:pPr>
              <w:rPr>
                <w:rFonts w:eastAsia="仿宋_GB2312"/>
                <w:color w:val="auto"/>
                <w:sz w:val="30"/>
                <w:szCs w:val="30"/>
                <w:highlight w:val="none"/>
              </w:rPr>
            </w:pPr>
          </w:p>
        </w:tc>
      </w:tr>
      <w:tr w14:paraId="5E21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92B6A74">
            <w:pPr>
              <w:rPr>
                <w:rFonts w:eastAsia="仿宋_GB2312"/>
                <w:color w:val="auto"/>
                <w:sz w:val="30"/>
                <w:szCs w:val="30"/>
                <w:highlight w:val="none"/>
              </w:rPr>
            </w:pPr>
          </w:p>
        </w:tc>
        <w:tc>
          <w:tcPr>
            <w:tcW w:w="1418" w:type="dxa"/>
            <w:noWrap w:val="0"/>
            <w:vAlign w:val="top"/>
          </w:tcPr>
          <w:p w14:paraId="70857405">
            <w:pPr>
              <w:rPr>
                <w:rFonts w:eastAsia="仿宋_GB2312"/>
                <w:color w:val="auto"/>
                <w:sz w:val="30"/>
                <w:szCs w:val="30"/>
                <w:highlight w:val="none"/>
              </w:rPr>
            </w:pPr>
          </w:p>
        </w:tc>
        <w:tc>
          <w:tcPr>
            <w:tcW w:w="850" w:type="dxa"/>
            <w:noWrap w:val="0"/>
            <w:vAlign w:val="top"/>
          </w:tcPr>
          <w:p w14:paraId="157C57F4">
            <w:pPr>
              <w:rPr>
                <w:rFonts w:eastAsia="仿宋_GB2312"/>
                <w:color w:val="auto"/>
                <w:sz w:val="30"/>
                <w:szCs w:val="30"/>
                <w:highlight w:val="none"/>
              </w:rPr>
            </w:pPr>
          </w:p>
        </w:tc>
        <w:tc>
          <w:tcPr>
            <w:tcW w:w="1058" w:type="dxa"/>
            <w:noWrap w:val="0"/>
            <w:vAlign w:val="top"/>
          </w:tcPr>
          <w:p w14:paraId="27E4D279">
            <w:pPr>
              <w:rPr>
                <w:rFonts w:eastAsia="仿宋_GB2312"/>
                <w:color w:val="auto"/>
                <w:sz w:val="30"/>
                <w:szCs w:val="30"/>
                <w:highlight w:val="none"/>
              </w:rPr>
            </w:pPr>
          </w:p>
        </w:tc>
        <w:tc>
          <w:tcPr>
            <w:tcW w:w="880" w:type="dxa"/>
            <w:noWrap w:val="0"/>
            <w:vAlign w:val="top"/>
          </w:tcPr>
          <w:p w14:paraId="5077DD8E">
            <w:pPr>
              <w:rPr>
                <w:rFonts w:eastAsia="仿宋_GB2312"/>
                <w:color w:val="auto"/>
                <w:sz w:val="30"/>
                <w:szCs w:val="30"/>
                <w:highlight w:val="none"/>
              </w:rPr>
            </w:pPr>
          </w:p>
        </w:tc>
        <w:tc>
          <w:tcPr>
            <w:tcW w:w="1020" w:type="dxa"/>
            <w:noWrap w:val="0"/>
            <w:vAlign w:val="top"/>
          </w:tcPr>
          <w:p w14:paraId="65429D39">
            <w:pPr>
              <w:rPr>
                <w:rFonts w:eastAsia="仿宋_GB2312"/>
                <w:color w:val="auto"/>
                <w:sz w:val="30"/>
                <w:szCs w:val="30"/>
                <w:highlight w:val="none"/>
              </w:rPr>
            </w:pPr>
          </w:p>
        </w:tc>
        <w:tc>
          <w:tcPr>
            <w:tcW w:w="1480" w:type="dxa"/>
            <w:noWrap w:val="0"/>
            <w:vAlign w:val="top"/>
          </w:tcPr>
          <w:p w14:paraId="70AE9692">
            <w:pPr>
              <w:rPr>
                <w:rFonts w:eastAsia="仿宋_GB2312"/>
                <w:color w:val="auto"/>
                <w:sz w:val="30"/>
                <w:szCs w:val="30"/>
                <w:highlight w:val="none"/>
              </w:rPr>
            </w:pPr>
          </w:p>
        </w:tc>
        <w:tc>
          <w:tcPr>
            <w:tcW w:w="1020" w:type="dxa"/>
            <w:noWrap w:val="0"/>
            <w:vAlign w:val="top"/>
          </w:tcPr>
          <w:p w14:paraId="40F0E7A3">
            <w:pPr>
              <w:rPr>
                <w:rFonts w:eastAsia="仿宋_GB2312"/>
                <w:color w:val="auto"/>
                <w:sz w:val="30"/>
                <w:szCs w:val="30"/>
                <w:highlight w:val="none"/>
              </w:rPr>
            </w:pPr>
          </w:p>
        </w:tc>
        <w:tc>
          <w:tcPr>
            <w:tcW w:w="921" w:type="dxa"/>
            <w:noWrap w:val="0"/>
            <w:vAlign w:val="top"/>
          </w:tcPr>
          <w:p w14:paraId="13BC3980">
            <w:pPr>
              <w:rPr>
                <w:rFonts w:eastAsia="仿宋_GB2312"/>
                <w:color w:val="auto"/>
                <w:sz w:val="30"/>
                <w:szCs w:val="30"/>
                <w:highlight w:val="none"/>
              </w:rPr>
            </w:pPr>
          </w:p>
        </w:tc>
      </w:tr>
      <w:tr w14:paraId="60C4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8BB9EE3">
            <w:pPr>
              <w:rPr>
                <w:rFonts w:eastAsia="仿宋_GB2312"/>
                <w:color w:val="auto"/>
                <w:sz w:val="30"/>
                <w:szCs w:val="30"/>
                <w:highlight w:val="none"/>
              </w:rPr>
            </w:pPr>
          </w:p>
        </w:tc>
        <w:tc>
          <w:tcPr>
            <w:tcW w:w="1418" w:type="dxa"/>
            <w:noWrap w:val="0"/>
            <w:vAlign w:val="top"/>
          </w:tcPr>
          <w:p w14:paraId="01B8C533">
            <w:pPr>
              <w:rPr>
                <w:rFonts w:eastAsia="仿宋_GB2312"/>
                <w:color w:val="auto"/>
                <w:sz w:val="30"/>
                <w:szCs w:val="30"/>
                <w:highlight w:val="none"/>
              </w:rPr>
            </w:pPr>
          </w:p>
        </w:tc>
        <w:tc>
          <w:tcPr>
            <w:tcW w:w="850" w:type="dxa"/>
            <w:noWrap w:val="0"/>
            <w:vAlign w:val="top"/>
          </w:tcPr>
          <w:p w14:paraId="4267050A">
            <w:pPr>
              <w:rPr>
                <w:rFonts w:eastAsia="仿宋_GB2312"/>
                <w:color w:val="auto"/>
                <w:sz w:val="30"/>
                <w:szCs w:val="30"/>
                <w:highlight w:val="none"/>
              </w:rPr>
            </w:pPr>
          </w:p>
        </w:tc>
        <w:tc>
          <w:tcPr>
            <w:tcW w:w="1058" w:type="dxa"/>
            <w:noWrap w:val="0"/>
            <w:vAlign w:val="top"/>
          </w:tcPr>
          <w:p w14:paraId="5E80AF21">
            <w:pPr>
              <w:rPr>
                <w:rFonts w:eastAsia="仿宋_GB2312"/>
                <w:color w:val="auto"/>
                <w:sz w:val="30"/>
                <w:szCs w:val="30"/>
                <w:highlight w:val="none"/>
              </w:rPr>
            </w:pPr>
          </w:p>
        </w:tc>
        <w:tc>
          <w:tcPr>
            <w:tcW w:w="880" w:type="dxa"/>
            <w:noWrap w:val="0"/>
            <w:vAlign w:val="top"/>
          </w:tcPr>
          <w:p w14:paraId="117F58E1">
            <w:pPr>
              <w:rPr>
                <w:rFonts w:eastAsia="仿宋_GB2312"/>
                <w:color w:val="auto"/>
                <w:sz w:val="30"/>
                <w:szCs w:val="30"/>
                <w:highlight w:val="none"/>
              </w:rPr>
            </w:pPr>
          </w:p>
        </w:tc>
        <w:tc>
          <w:tcPr>
            <w:tcW w:w="1020" w:type="dxa"/>
            <w:noWrap w:val="0"/>
            <w:vAlign w:val="top"/>
          </w:tcPr>
          <w:p w14:paraId="1D60A792">
            <w:pPr>
              <w:rPr>
                <w:rFonts w:eastAsia="仿宋_GB2312"/>
                <w:color w:val="auto"/>
                <w:sz w:val="30"/>
                <w:szCs w:val="30"/>
                <w:highlight w:val="none"/>
              </w:rPr>
            </w:pPr>
          </w:p>
        </w:tc>
        <w:tc>
          <w:tcPr>
            <w:tcW w:w="1480" w:type="dxa"/>
            <w:noWrap w:val="0"/>
            <w:vAlign w:val="top"/>
          </w:tcPr>
          <w:p w14:paraId="5114FB08">
            <w:pPr>
              <w:rPr>
                <w:rFonts w:eastAsia="仿宋_GB2312"/>
                <w:color w:val="auto"/>
                <w:sz w:val="30"/>
                <w:szCs w:val="30"/>
                <w:highlight w:val="none"/>
              </w:rPr>
            </w:pPr>
          </w:p>
        </w:tc>
        <w:tc>
          <w:tcPr>
            <w:tcW w:w="1020" w:type="dxa"/>
            <w:noWrap w:val="0"/>
            <w:vAlign w:val="top"/>
          </w:tcPr>
          <w:p w14:paraId="44F7416B">
            <w:pPr>
              <w:rPr>
                <w:rFonts w:eastAsia="仿宋_GB2312"/>
                <w:color w:val="auto"/>
                <w:sz w:val="30"/>
                <w:szCs w:val="30"/>
                <w:highlight w:val="none"/>
              </w:rPr>
            </w:pPr>
          </w:p>
        </w:tc>
        <w:tc>
          <w:tcPr>
            <w:tcW w:w="921" w:type="dxa"/>
            <w:noWrap w:val="0"/>
            <w:vAlign w:val="top"/>
          </w:tcPr>
          <w:p w14:paraId="31201B52">
            <w:pPr>
              <w:rPr>
                <w:rFonts w:eastAsia="仿宋_GB2312"/>
                <w:color w:val="auto"/>
                <w:sz w:val="30"/>
                <w:szCs w:val="30"/>
                <w:highlight w:val="none"/>
              </w:rPr>
            </w:pPr>
          </w:p>
        </w:tc>
      </w:tr>
      <w:tr w14:paraId="0D9A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311AEDE4">
            <w:pPr>
              <w:rPr>
                <w:rFonts w:eastAsia="仿宋_GB2312"/>
                <w:color w:val="auto"/>
                <w:sz w:val="30"/>
                <w:szCs w:val="30"/>
                <w:highlight w:val="none"/>
              </w:rPr>
            </w:pPr>
          </w:p>
        </w:tc>
        <w:tc>
          <w:tcPr>
            <w:tcW w:w="1418" w:type="dxa"/>
            <w:noWrap w:val="0"/>
            <w:vAlign w:val="top"/>
          </w:tcPr>
          <w:p w14:paraId="38AB1092">
            <w:pPr>
              <w:rPr>
                <w:rFonts w:eastAsia="仿宋_GB2312"/>
                <w:color w:val="auto"/>
                <w:sz w:val="30"/>
                <w:szCs w:val="30"/>
                <w:highlight w:val="none"/>
              </w:rPr>
            </w:pPr>
          </w:p>
        </w:tc>
        <w:tc>
          <w:tcPr>
            <w:tcW w:w="850" w:type="dxa"/>
            <w:noWrap w:val="0"/>
            <w:vAlign w:val="top"/>
          </w:tcPr>
          <w:p w14:paraId="4CCD1BD3">
            <w:pPr>
              <w:rPr>
                <w:rFonts w:eastAsia="仿宋_GB2312"/>
                <w:color w:val="auto"/>
                <w:sz w:val="30"/>
                <w:szCs w:val="30"/>
                <w:highlight w:val="none"/>
              </w:rPr>
            </w:pPr>
          </w:p>
        </w:tc>
        <w:tc>
          <w:tcPr>
            <w:tcW w:w="1058" w:type="dxa"/>
            <w:noWrap w:val="0"/>
            <w:vAlign w:val="top"/>
          </w:tcPr>
          <w:p w14:paraId="1B92BD7D">
            <w:pPr>
              <w:rPr>
                <w:rFonts w:eastAsia="仿宋_GB2312"/>
                <w:color w:val="auto"/>
                <w:sz w:val="30"/>
                <w:szCs w:val="30"/>
                <w:highlight w:val="none"/>
              </w:rPr>
            </w:pPr>
          </w:p>
        </w:tc>
        <w:tc>
          <w:tcPr>
            <w:tcW w:w="880" w:type="dxa"/>
            <w:noWrap w:val="0"/>
            <w:vAlign w:val="top"/>
          </w:tcPr>
          <w:p w14:paraId="61249944">
            <w:pPr>
              <w:rPr>
                <w:rFonts w:eastAsia="仿宋_GB2312"/>
                <w:color w:val="auto"/>
                <w:sz w:val="30"/>
                <w:szCs w:val="30"/>
                <w:highlight w:val="none"/>
              </w:rPr>
            </w:pPr>
          </w:p>
        </w:tc>
        <w:tc>
          <w:tcPr>
            <w:tcW w:w="1020" w:type="dxa"/>
            <w:noWrap w:val="0"/>
            <w:vAlign w:val="top"/>
          </w:tcPr>
          <w:p w14:paraId="41294380">
            <w:pPr>
              <w:rPr>
                <w:rFonts w:eastAsia="仿宋_GB2312"/>
                <w:color w:val="auto"/>
                <w:sz w:val="30"/>
                <w:szCs w:val="30"/>
                <w:highlight w:val="none"/>
              </w:rPr>
            </w:pPr>
          </w:p>
        </w:tc>
        <w:tc>
          <w:tcPr>
            <w:tcW w:w="1480" w:type="dxa"/>
            <w:noWrap w:val="0"/>
            <w:vAlign w:val="top"/>
          </w:tcPr>
          <w:p w14:paraId="619D16ED">
            <w:pPr>
              <w:rPr>
                <w:rFonts w:eastAsia="仿宋_GB2312"/>
                <w:color w:val="auto"/>
                <w:sz w:val="30"/>
                <w:szCs w:val="30"/>
                <w:highlight w:val="none"/>
              </w:rPr>
            </w:pPr>
          </w:p>
        </w:tc>
        <w:tc>
          <w:tcPr>
            <w:tcW w:w="1020" w:type="dxa"/>
            <w:noWrap w:val="0"/>
            <w:vAlign w:val="top"/>
          </w:tcPr>
          <w:p w14:paraId="60DE1B8F">
            <w:pPr>
              <w:rPr>
                <w:rFonts w:eastAsia="仿宋_GB2312"/>
                <w:color w:val="auto"/>
                <w:sz w:val="30"/>
                <w:szCs w:val="30"/>
                <w:highlight w:val="none"/>
              </w:rPr>
            </w:pPr>
          </w:p>
        </w:tc>
        <w:tc>
          <w:tcPr>
            <w:tcW w:w="921" w:type="dxa"/>
            <w:noWrap w:val="0"/>
            <w:vAlign w:val="top"/>
          </w:tcPr>
          <w:p w14:paraId="46DFCC15">
            <w:pPr>
              <w:rPr>
                <w:rFonts w:eastAsia="仿宋_GB2312"/>
                <w:color w:val="auto"/>
                <w:sz w:val="30"/>
                <w:szCs w:val="30"/>
                <w:highlight w:val="none"/>
              </w:rPr>
            </w:pPr>
          </w:p>
        </w:tc>
      </w:tr>
      <w:tr w14:paraId="13FC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2B2A5EC9">
            <w:pPr>
              <w:rPr>
                <w:rFonts w:eastAsia="仿宋_GB2312"/>
                <w:color w:val="auto"/>
                <w:sz w:val="30"/>
                <w:szCs w:val="30"/>
                <w:highlight w:val="none"/>
              </w:rPr>
            </w:pPr>
          </w:p>
        </w:tc>
        <w:tc>
          <w:tcPr>
            <w:tcW w:w="1418" w:type="dxa"/>
            <w:noWrap w:val="0"/>
            <w:vAlign w:val="top"/>
          </w:tcPr>
          <w:p w14:paraId="022FA2E4">
            <w:pPr>
              <w:rPr>
                <w:rFonts w:eastAsia="仿宋_GB2312"/>
                <w:color w:val="auto"/>
                <w:sz w:val="30"/>
                <w:szCs w:val="30"/>
                <w:highlight w:val="none"/>
              </w:rPr>
            </w:pPr>
          </w:p>
        </w:tc>
        <w:tc>
          <w:tcPr>
            <w:tcW w:w="850" w:type="dxa"/>
            <w:noWrap w:val="0"/>
            <w:vAlign w:val="top"/>
          </w:tcPr>
          <w:p w14:paraId="6BAF904C">
            <w:pPr>
              <w:rPr>
                <w:rFonts w:eastAsia="仿宋_GB2312"/>
                <w:color w:val="auto"/>
                <w:sz w:val="30"/>
                <w:szCs w:val="30"/>
                <w:highlight w:val="none"/>
              </w:rPr>
            </w:pPr>
          </w:p>
        </w:tc>
        <w:tc>
          <w:tcPr>
            <w:tcW w:w="1058" w:type="dxa"/>
            <w:noWrap w:val="0"/>
            <w:vAlign w:val="top"/>
          </w:tcPr>
          <w:p w14:paraId="295B23DE">
            <w:pPr>
              <w:rPr>
                <w:rFonts w:eastAsia="仿宋_GB2312"/>
                <w:color w:val="auto"/>
                <w:sz w:val="30"/>
                <w:szCs w:val="30"/>
                <w:highlight w:val="none"/>
              </w:rPr>
            </w:pPr>
          </w:p>
        </w:tc>
        <w:tc>
          <w:tcPr>
            <w:tcW w:w="880" w:type="dxa"/>
            <w:noWrap w:val="0"/>
            <w:vAlign w:val="top"/>
          </w:tcPr>
          <w:p w14:paraId="4FA2C9E6">
            <w:pPr>
              <w:rPr>
                <w:rFonts w:eastAsia="仿宋_GB2312"/>
                <w:color w:val="auto"/>
                <w:sz w:val="30"/>
                <w:szCs w:val="30"/>
                <w:highlight w:val="none"/>
              </w:rPr>
            </w:pPr>
          </w:p>
        </w:tc>
        <w:tc>
          <w:tcPr>
            <w:tcW w:w="1020" w:type="dxa"/>
            <w:noWrap w:val="0"/>
            <w:vAlign w:val="top"/>
          </w:tcPr>
          <w:p w14:paraId="3FA7E6D3">
            <w:pPr>
              <w:rPr>
                <w:rFonts w:eastAsia="仿宋_GB2312"/>
                <w:color w:val="auto"/>
                <w:sz w:val="30"/>
                <w:szCs w:val="30"/>
                <w:highlight w:val="none"/>
              </w:rPr>
            </w:pPr>
          </w:p>
        </w:tc>
        <w:tc>
          <w:tcPr>
            <w:tcW w:w="1480" w:type="dxa"/>
            <w:noWrap w:val="0"/>
            <w:vAlign w:val="top"/>
          </w:tcPr>
          <w:p w14:paraId="50909B44">
            <w:pPr>
              <w:rPr>
                <w:rFonts w:eastAsia="仿宋_GB2312"/>
                <w:color w:val="auto"/>
                <w:sz w:val="30"/>
                <w:szCs w:val="30"/>
                <w:highlight w:val="none"/>
              </w:rPr>
            </w:pPr>
          </w:p>
        </w:tc>
        <w:tc>
          <w:tcPr>
            <w:tcW w:w="1020" w:type="dxa"/>
            <w:noWrap w:val="0"/>
            <w:vAlign w:val="top"/>
          </w:tcPr>
          <w:p w14:paraId="5598B5D6">
            <w:pPr>
              <w:rPr>
                <w:rFonts w:eastAsia="仿宋_GB2312"/>
                <w:color w:val="auto"/>
                <w:sz w:val="30"/>
                <w:szCs w:val="30"/>
                <w:highlight w:val="none"/>
              </w:rPr>
            </w:pPr>
          </w:p>
        </w:tc>
        <w:tc>
          <w:tcPr>
            <w:tcW w:w="921" w:type="dxa"/>
            <w:noWrap w:val="0"/>
            <w:vAlign w:val="top"/>
          </w:tcPr>
          <w:p w14:paraId="5E3F7158">
            <w:pPr>
              <w:rPr>
                <w:rFonts w:eastAsia="仿宋_GB2312"/>
                <w:color w:val="auto"/>
                <w:sz w:val="30"/>
                <w:szCs w:val="30"/>
                <w:highlight w:val="none"/>
              </w:rPr>
            </w:pPr>
          </w:p>
        </w:tc>
      </w:tr>
      <w:tr w14:paraId="0B0A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62" w:type="dxa"/>
            <w:noWrap w:val="0"/>
            <w:vAlign w:val="top"/>
          </w:tcPr>
          <w:p w14:paraId="2CC93706">
            <w:pPr>
              <w:rPr>
                <w:rFonts w:eastAsia="仿宋_GB2312"/>
                <w:color w:val="auto"/>
                <w:sz w:val="30"/>
                <w:szCs w:val="30"/>
                <w:highlight w:val="none"/>
              </w:rPr>
            </w:pPr>
          </w:p>
        </w:tc>
        <w:tc>
          <w:tcPr>
            <w:tcW w:w="1418" w:type="dxa"/>
            <w:noWrap w:val="0"/>
            <w:vAlign w:val="top"/>
          </w:tcPr>
          <w:p w14:paraId="6D26E154">
            <w:pPr>
              <w:rPr>
                <w:rFonts w:eastAsia="仿宋_GB2312"/>
                <w:color w:val="auto"/>
                <w:sz w:val="30"/>
                <w:szCs w:val="30"/>
                <w:highlight w:val="none"/>
              </w:rPr>
            </w:pPr>
          </w:p>
        </w:tc>
        <w:tc>
          <w:tcPr>
            <w:tcW w:w="850" w:type="dxa"/>
            <w:noWrap w:val="0"/>
            <w:vAlign w:val="top"/>
          </w:tcPr>
          <w:p w14:paraId="6B392EE1">
            <w:pPr>
              <w:rPr>
                <w:rFonts w:eastAsia="仿宋_GB2312"/>
                <w:color w:val="auto"/>
                <w:sz w:val="30"/>
                <w:szCs w:val="30"/>
                <w:highlight w:val="none"/>
              </w:rPr>
            </w:pPr>
          </w:p>
        </w:tc>
        <w:tc>
          <w:tcPr>
            <w:tcW w:w="1058" w:type="dxa"/>
            <w:noWrap w:val="0"/>
            <w:vAlign w:val="top"/>
          </w:tcPr>
          <w:p w14:paraId="4828E222">
            <w:pPr>
              <w:rPr>
                <w:rFonts w:eastAsia="仿宋_GB2312"/>
                <w:color w:val="auto"/>
                <w:sz w:val="30"/>
                <w:szCs w:val="30"/>
                <w:highlight w:val="none"/>
              </w:rPr>
            </w:pPr>
          </w:p>
        </w:tc>
        <w:tc>
          <w:tcPr>
            <w:tcW w:w="880" w:type="dxa"/>
            <w:noWrap w:val="0"/>
            <w:vAlign w:val="top"/>
          </w:tcPr>
          <w:p w14:paraId="6283FA35">
            <w:pPr>
              <w:rPr>
                <w:rFonts w:eastAsia="仿宋_GB2312"/>
                <w:color w:val="auto"/>
                <w:sz w:val="30"/>
                <w:szCs w:val="30"/>
                <w:highlight w:val="none"/>
              </w:rPr>
            </w:pPr>
          </w:p>
        </w:tc>
        <w:tc>
          <w:tcPr>
            <w:tcW w:w="1020" w:type="dxa"/>
            <w:noWrap w:val="0"/>
            <w:vAlign w:val="top"/>
          </w:tcPr>
          <w:p w14:paraId="5AEC4273">
            <w:pPr>
              <w:rPr>
                <w:rFonts w:eastAsia="仿宋_GB2312"/>
                <w:color w:val="auto"/>
                <w:sz w:val="30"/>
                <w:szCs w:val="30"/>
                <w:highlight w:val="none"/>
              </w:rPr>
            </w:pPr>
          </w:p>
        </w:tc>
        <w:tc>
          <w:tcPr>
            <w:tcW w:w="1480" w:type="dxa"/>
            <w:noWrap w:val="0"/>
            <w:vAlign w:val="top"/>
          </w:tcPr>
          <w:p w14:paraId="10A3BB0C">
            <w:pPr>
              <w:rPr>
                <w:rFonts w:eastAsia="仿宋_GB2312"/>
                <w:color w:val="auto"/>
                <w:sz w:val="30"/>
                <w:szCs w:val="30"/>
                <w:highlight w:val="none"/>
              </w:rPr>
            </w:pPr>
          </w:p>
        </w:tc>
        <w:tc>
          <w:tcPr>
            <w:tcW w:w="1020" w:type="dxa"/>
            <w:noWrap w:val="0"/>
            <w:vAlign w:val="top"/>
          </w:tcPr>
          <w:p w14:paraId="3D32AFC2">
            <w:pPr>
              <w:rPr>
                <w:rFonts w:eastAsia="仿宋_GB2312"/>
                <w:color w:val="auto"/>
                <w:sz w:val="30"/>
                <w:szCs w:val="30"/>
                <w:highlight w:val="none"/>
              </w:rPr>
            </w:pPr>
          </w:p>
        </w:tc>
        <w:tc>
          <w:tcPr>
            <w:tcW w:w="921" w:type="dxa"/>
            <w:noWrap w:val="0"/>
            <w:vAlign w:val="top"/>
          </w:tcPr>
          <w:p w14:paraId="6563821B">
            <w:pPr>
              <w:rPr>
                <w:rFonts w:eastAsia="仿宋_GB2312"/>
                <w:color w:val="auto"/>
                <w:sz w:val="30"/>
                <w:szCs w:val="30"/>
                <w:highlight w:val="none"/>
              </w:rPr>
            </w:pPr>
          </w:p>
        </w:tc>
      </w:tr>
      <w:tr w14:paraId="5E59B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437A3C0A">
            <w:pPr>
              <w:rPr>
                <w:rFonts w:eastAsia="仿宋_GB2312"/>
                <w:color w:val="auto"/>
                <w:sz w:val="30"/>
                <w:szCs w:val="30"/>
                <w:highlight w:val="none"/>
              </w:rPr>
            </w:pPr>
          </w:p>
        </w:tc>
        <w:tc>
          <w:tcPr>
            <w:tcW w:w="1418" w:type="dxa"/>
            <w:noWrap w:val="0"/>
            <w:vAlign w:val="top"/>
          </w:tcPr>
          <w:p w14:paraId="768BEA8F">
            <w:pPr>
              <w:rPr>
                <w:rFonts w:eastAsia="仿宋_GB2312"/>
                <w:color w:val="auto"/>
                <w:sz w:val="30"/>
                <w:szCs w:val="30"/>
                <w:highlight w:val="none"/>
              </w:rPr>
            </w:pPr>
          </w:p>
        </w:tc>
        <w:tc>
          <w:tcPr>
            <w:tcW w:w="850" w:type="dxa"/>
            <w:noWrap w:val="0"/>
            <w:vAlign w:val="top"/>
          </w:tcPr>
          <w:p w14:paraId="7EF080EA">
            <w:pPr>
              <w:rPr>
                <w:rFonts w:eastAsia="仿宋_GB2312"/>
                <w:color w:val="auto"/>
                <w:sz w:val="30"/>
                <w:szCs w:val="30"/>
                <w:highlight w:val="none"/>
              </w:rPr>
            </w:pPr>
          </w:p>
        </w:tc>
        <w:tc>
          <w:tcPr>
            <w:tcW w:w="1058" w:type="dxa"/>
            <w:noWrap w:val="0"/>
            <w:vAlign w:val="top"/>
          </w:tcPr>
          <w:p w14:paraId="43CF1AB7">
            <w:pPr>
              <w:rPr>
                <w:rFonts w:eastAsia="仿宋_GB2312"/>
                <w:color w:val="auto"/>
                <w:sz w:val="30"/>
                <w:szCs w:val="30"/>
                <w:highlight w:val="none"/>
              </w:rPr>
            </w:pPr>
          </w:p>
        </w:tc>
        <w:tc>
          <w:tcPr>
            <w:tcW w:w="880" w:type="dxa"/>
            <w:noWrap w:val="0"/>
            <w:vAlign w:val="top"/>
          </w:tcPr>
          <w:p w14:paraId="39EE95A7">
            <w:pPr>
              <w:rPr>
                <w:rFonts w:eastAsia="仿宋_GB2312"/>
                <w:color w:val="auto"/>
                <w:sz w:val="30"/>
                <w:szCs w:val="30"/>
                <w:highlight w:val="none"/>
              </w:rPr>
            </w:pPr>
          </w:p>
        </w:tc>
        <w:tc>
          <w:tcPr>
            <w:tcW w:w="1020" w:type="dxa"/>
            <w:noWrap w:val="0"/>
            <w:vAlign w:val="top"/>
          </w:tcPr>
          <w:p w14:paraId="3A564513">
            <w:pPr>
              <w:rPr>
                <w:rFonts w:eastAsia="仿宋_GB2312"/>
                <w:color w:val="auto"/>
                <w:sz w:val="30"/>
                <w:szCs w:val="30"/>
                <w:highlight w:val="none"/>
              </w:rPr>
            </w:pPr>
          </w:p>
        </w:tc>
        <w:tc>
          <w:tcPr>
            <w:tcW w:w="1480" w:type="dxa"/>
            <w:noWrap w:val="0"/>
            <w:vAlign w:val="top"/>
          </w:tcPr>
          <w:p w14:paraId="25B22C1F">
            <w:pPr>
              <w:rPr>
                <w:rFonts w:eastAsia="仿宋_GB2312"/>
                <w:color w:val="auto"/>
                <w:sz w:val="30"/>
                <w:szCs w:val="30"/>
                <w:highlight w:val="none"/>
              </w:rPr>
            </w:pPr>
          </w:p>
        </w:tc>
        <w:tc>
          <w:tcPr>
            <w:tcW w:w="1020" w:type="dxa"/>
            <w:noWrap w:val="0"/>
            <w:vAlign w:val="top"/>
          </w:tcPr>
          <w:p w14:paraId="320FE1D7">
            <w:pPr>
              <w:rPr>
                <w:rFonts w:eastAsia="仿宋_GB2312"/>
                <w:color w:val="auto"/>
                <w:sz w:val="30"/>
                <w:szCs w:val="30"/>
                <w:highlight w:val="none"/>
              </w:rPr>
            </w:pPr>
          </w:p>
        </w:tc>
        <w:tc>
          <w:tcPr>
            <w:tcW w:w="921" w:type="dxa"/>
            <w:noWrap w:val="0"/>
            <w:vAlign w:val="top"/>
          </w:tcPr>
          <w:p w14:paraId="46841833">
            <w:pPr>
              <w:rPr>
                <w:rFonts w:eastAsia="仿宋_GB2312"/>
                <w:color w:val="auto"/>
                <w:sz w:val="30"/>
                <w:szCs w:val="30"/>
                <w:highlight w:val="none"/>
              </w:rPr>
            </w:pPr>
          </w:p>
        </w:tc>
      </w:tr>
      <w:tr w14:paraId="0AB8C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5D529B48">
            <w:pPr>
              <w:rPr>
                <w:rFonts w:eastAsia="仿宋_GB2312"/>
                <w:color w:val="auto"/>
                <w:sz w:val="30"/>
                <w:szCs w:val="30"/>
                <w:highlight w:val="none"/>
              </w:rPr>
            </w:pPr>
          </w:p>
        </w:tc>
        <w:tc>
          <w:tcPr>
            <w:tcW w:w="1418" w:type="dxa"/>
            <w:noWrap w:val="0"/>
            <w:vAlign w:val="top"/>
          </w:tcPr>
          <w:p w14:paraId="7CFBFED0">
            <w:pPr>
              <w:rPr>
                <w:rFonts w:eastAsia="仿宋_GB2312"/>
                <w:color w:val="auto"/>
                <w:sz w:val="30"/>
                <w:szCs w:val="30"/>
                <w:highlight w:val="none"/>
              </w:rPr>
            </w:pPr>
          </w:p>
        </w:tc>
        <w:tc>
          <w:tcPr>
            <w:tcW w:w="850" w:type="dxa"/>
            <w:noWrap w:val="0"/>
            <w:vAlign w:val="top"/>
          </w:tcPr>
          <w:p w14:paraId="632C1A1E">
            <w:pPr>
              <w:rPr>
                <w:rFonts w:eastAsia="仿宋_GB2312"/>
                <w:color w:val="auto"/>
                <w:sz w:val="30"/>
                <w:szCs w:val="30"/>
                <w:highlight w:val="none"/>
              </w:rPr>
            </w:pPr>
          </w:p>
        </w:tc>
        <w:tc>
          <w:tcPr>
            <w:tcW w:w="1058" w:type="dxa"/>
            <w:noWrap w:val="0"/>
            <w:vAlign w:val="top"/>
          </w:tcPr>
          <w:p w14:paraId="4B6E6B65">
            <w:pPr>
              <w:rPr>
                <w:rFonts w:eastAsia="仿宋_GB2312"/>
                <w:color w:val="auto"/>
                <w:sz w:val="30"/>
                <w:szCs w:val="30"/>
                <w:highlight w:val="none"/>
              </w:rPr>
            </w:pPr>
          </w:p>
        </w:tc>
        <w:tc>
          <w:tcPr>
            <w:tcW w:w="880" w:type="dxa"/>
            <w:noWrap w:val="0"/>
            <w:vAlign w:val="top"/>
          </w:tcPr>
          <w:p w14:paraId="46264F91">
            <w:pPr>
              <w:rPr>
                <w:rFonts w:eastAsia="仿宋_GB2312"/>
                <w:color w:val="auto"/>
                <w:sz w:val="30"/>
                <w:szCs w:val="30"/>
                <w:highlight w:val="none"/>
              </w:rPr>
            </w:pPr>
          </w:p>
        </w:tc>
        <w:tc>
          <w:tcPr>
            <w:tcW w:w="1020" w:type="dxa"/>
            <w:noWrap w:val="0"/>
            <w:vAlign w:val="top"/>
          </w:tcPr>
          <w:p w14:paraId="56EB3FD3">
            <w:pPr>
              <w:rPr>
                <w:rFonts w:eastAsia="仿宋_GB2312"/>
                <w:color w:val="auto"/>
                <w:sz w:val="30"/>
                <w:szCs w:val="30"/>
                <w:highlight w:val="none"/>
              </w:rPr>
            </w:pPr>
          </w:p>
        </w:tc>
        <w:tc>
          <w:tcPr>
            <w:tcW w:w="1480" w:type="dxa"/>
            <w:noWrap w:val="0"/>
            <w:vAlign w:val="top"/>
          </w:tcPr>
          <w:p w14:paraId="72BEE9C9">
            <w:pPr>
              <w:rPr>
                <w:rFonts w:eastAsia="仿宋_GB2312"/>
                <w:color w:val="auto"/>
                <w:sz w:val="30"/>
                <w:szCs w:val="30"/>
                <w:highlight w:val="none"/>
              </w:rPr>
            </w:pPr>
          </w:p>
        </w:tc>
        <w:tc>
          <w:tcPr>
            <w:tcW w:w="1020" w:type="dxa"/>
            <w:noWrap w:val="0"/>
            <w:vAlign w:val="top"/>
          </w:tcPr>
          <w:p w14:paraId="5850B77C">
            <w:pPr>
              <w:rPr>
                <w:rFonts w:eastAsia="仿宋_GB2312"/>
                <w:color w:val="auto"/>
                <w:sz w:val="30"/>
                <w:szCs w:val="30"/>
                <w:highlight w:val="none"/>
              </w:rPr>
            </w:pPr>
          </w:p>
        </w:tc>
        <w:tc>
          <w:tcPr>
            <w:tcW w:w="921" w:type="dxa"/>
            <w:noWrap w:val="0"/>
            <w:vAlign w:val="top"/>
          </w:tcPr>
          <w:p w14:paraId="16B7BA5D">
            <w:pPr>
              <w:rPr>
                <w:rFonts w:eastAsia="仿宋_GB2312"/>
                <w:color w:val="auto"/>
                <w:sz w:val="30"/>
                <w:szCs w:val="30"/>
                <w:highlight w:val="none"/>
              </w:rPr>
            </w:pPr>
          </w:p>
        </w:tc>
      </w:tr>
      <w:tr w14:paraId="5C25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162" w:type="dxa"/>
            <w:noWrap w:val="0"/>
            <w:vAlign w:val="top"/>
          </w:tcPr>
          <w:p w14:paraId="05D0130B">
            <w:pPr>
              <w:rPr>
                <w:rFonts w:eastAsia="仿宋_GB2312"/>
                <w:color w:val="auto"/>
                <w:sz w:val="30"/>
                <w:szCs w:val="30"/>
                <w:highlight w:val="none"/>
              </w:rPr>
            </w:pPr>
          </w:p>
        </w:tc>
        <w:tc>
          <w:tcPr>
            <w:tcW w:w="1418" w:type="dxa"/>
            <w:noWrap w:val="0"/>
            <w:vAlign w:val="top"/>
          </w:tcPr>
          <w:p w14:paraId="22C2C9F2">
            <w:pPr>
              <w:rPr>
                <w:rFonts w:eastAsia="仿宋_GB2312"/>
                <w:color w:val="auto"/>
                <w:sz w:val="30"/>
                <w:szCs w:val="30"/>
                <w:highlight w:val="none"/>
              </w:rPr>
            </w:pPr>
          </w:p>
        </w:tc>
        <w:tc>
          <w:tcPr>
            <w:tcW w:w="850" w:type="dxa"/>
            <w:noWrap w:val="0"/>
            <w:vAlign w:val="top"/>
          </w:tcPr>
          <w:p w14:paraId="0DCBC678">
            <w:pPr>
              <w:rPr>
                <w:rFonts w:eastAsia="仿宋_GB2312"/>
                <w:color w:val="auto"/>
                <w:sz w:val="30"/>
                <w:szCs w:val="30"/>
                <w:highlight w:val="none"/>
              </w:rPr>
            </w:pPr>
          </w:p>
        </w:tc>
        <w:tc>
          <w:tcPr>
            <w:tcW w:w="1058" w:type="dxa"/>
            <w:noWrap w:val="0"/>
            <w:vAlign w:val="top"/>
          </w:tcPr>
          <w:p w14:paraId="528D090C">
            <w:pPr>
              <w:rPr>
                <w:rFonts w:eastAsia="仿宋_GB2312"/>
                <w:color w:val="auto"/>
                <w:sz w:val="30"/>
                <w:szCs w:val="30"/>
                <w:highlight w:val="none"/>
              </w:rPr>
            </w:pPr>
          </w:p>
        </w:tc>
        <w:tc>
          <w:tcPr>
            <w:tcW w:w="880" w:type="dxa"/>
            <w:noWrap w:val="0"/>
            <w:vAlign w:val="top"/>
          </w:tcPr>
          <w:p w14:paraId="1ABBCF7A">
            <w:pPr>
              <w:rPr>
                <w:rFonts w:eastAsia="仿宋_GB2312"/>
                <w:color w:val="auto"/>
                <w:sz w:val="30"/>
                <w:szCs w:val="30"/>
                <w:highlight w:val="none"/>
              </w:rPr>
            </w:pPr>
          </w:p>
        </w:tc>
        <w:tc>
          <w:tcPr>
            <w:tcW w:w="1020" w:type="dxa"/>
            <w:noWrap w:val="0"/>
            <w:vAlign w:val="top"/>
          </w:tcPr>
          <w:p w14:paraId="0E4B6646">
            <w:pPr>
              <w:rPr>
                <w:rFonts w:eastAsia="仿宋_GB2312"/>
                <w:color w:val="auto"/>
                <w:sz w:val="30"/>
                <w:szCs w:val="30"/>
                <w:highlight w:val="none"/>
              </w:rPr>
            </w:pPr>
          </w:p>
        </w:tc>
        <w:tc>
          <w:tcPr>
            <w:tcW w:w="1480" w:type="dxa"/>
            <w:noWrap w:val="0"/>
            <w:vAlign w:val="top"/>
          </w:tcPr>
          <w:p w14:paraId="24422700">
            <w:pPr>
              <w:rPr>
                <w:rFonts w:eastAsia="仿宋_GB2312"/>
                <w:color w:val="auto"/>
                <w:sz w:val="30"/>
                <w:szCs w:val="30"/>
                <w:highlight w:val="none"/>
              </w:rPr>
            </w:pPr>
          </w:p>
        </w:tc>
        <w:tc>
          <w:tcPr>
            <w:tcW w:w="1020" w:type="dxa"/>
            <w:noWrap w:val="0"/>
            <w:vAlign w:val="top"/>
          </w:tcPr>
          <w:p w14:paraId="08ECBE57">
            <w:pPr>
              <w:rPr>
                <w:rFonts w:eastAsia="仿宋_GB2312"/>
                <w:color w:val="auto"/>
                <w:sz w:val="30"/>
                <w:szCs w:val="30"/>
                <w:highlight w:val="none"/>
              </w:rPr>
            </w:pPr>
          </w:p>
        </w:tc>
        <w:tc>
          <w:tcPr>
            <w:tcW w:w="921" w:type="dxa"/>
            <w:noWrap w:val="0"/>
            <w:vAlign w:val="top"/>
          </w:tcPr>
          <w:p w14:paraId="0B4224C1">
            <w:pPr>
              <w:rPr>
                <w:rFonts w:eastAsia="仿宋_GB2312"/>
                <w:color w:val="auto"/>
                <w:sz w:val="30"/>
                <w:szCs w:val="30"/>
                <w:highlight w:val="none"/>
              </w:rPr>
            </w:pPr>
          </w:p>
        </w:tc>
      </w:tr>
    </w:tbl>
    <w:p w14:paraId="6DA45325">
      <w:pPr>
        <w:spacing w:line="440" w:lineRule="exact"/>
        <w:rPr>
          <w:rFonts w:eastAsia="仿宋_GB2312"/>
          <w:color w:val="auto"/>
          <w:sz w:val="30"/>
          <w:szCs w:val="30"/>
          <w:highlight w:val="none"/>
        </w:rPr>
        <w:sectPr>
          <w:pgSz w:w="11907" w:h="16840"/>
          <w:pgMar w:top="1440" w:right="1440" w:bottom="1440" w:left="1797" w:header="851" w:footer="851" w:gutter="0"/>
          <w:pgNumType w:fmt="decimal"/>
          <w:cols w:space="720" w:num="1"/>
          <w:docGrid w:linePitch="312" w:charSpace="0"/>
        </w:sectPr>
      </w:pPr>
    </w:p>
    <w:p w14:paraId="04E44BDB">
      <w:pPr>
        <w:spacing w:line="440" w:lineRule="exact"/>
        <w:jc w:val="left"/>
        <w:rPr>
          <w:rFonts w:eastAsia="黑体"/>
          <w:color w:val="auto"/>
          <w:sz w:val="30"/>
          <w:szCs w:val="30"/>
          <w:highlight w:val="none"/>
        </w:rPr>
      </w:pPr>
      <w:r>
        <w:rPr>
          <w:rFonts w:hint="eastAsia" w:eastAsia="仿宋_GB2312" w:cs="仿宋_GB2312"/>
          <w:color w:val="auto"/>
          <w:sz w:val="30"/>
          <w:szCs w:val="30"/>
          <w:highlight w:val="none"/>
        </w:rPr>
        <w:t>附</w:t>
      </w:r>
      <w:bookmarkStart w:id="1210" w:name="_Toc296891056"/>
      <w:bookmarkStart w:id="1211" w:name="_Toc296347227"/>
      <w:bookmarkStart w:id="1212" w:name="_Toc296891268"/>
      <w:bookmarkStart w:id="1213" w:name="_Toc296346729"/>
      <w:bookmarkStart w:id="1214" w:name="_Toc267261699"/>
      <w:bookmarkStart w:id="1215" w:name="_Toc296503228"/>
      <w:bookmarkStart w:id="1216" w:name="_Toc296944567"/>
      <w:r>
        <w:rPr>
          <w:rFonts w:hint="eastAsia" w:eastAsia="仿宋_GB2312" w:cs="仿宋_GB2312"/>
          <w:color w:val="auto"/>
          <w:sz w:val="30"/>
          <w:szCs w:val="30"/>
          <w:highlight w:val="none"/>
        </w:rPr>
        <w:t>件</w:t>
      </w:r>
      <w:r>
        <w:rPr>
          <w:rFonts w:hint="eastAsia" w:eastAsia="仿宋_GB2312"/>
          <w:color w:val="auto"/>
          <w:sz w:val="30"/>
          <w:szCs w:val="30"/>
          <w:highlight w:val="none"/>
        </w:rPr>
        <w:t>5</w:t>
      </w:r>
      <w:r>
        <w:rPr>
          <w:rFonts w:hint="eastAsia" w:eastAsia="仿宋_GB2312" w:cs="仿宋_GB2312"/>
          <w:color w:val="auto"/>
          <w:sz w:val="30"/>
          <w:szCs w:val="30"/>
          <w:highlight w:val="none"/>
        </w:rPr>
        <w:t>：</w:t>
      </w:r>
    </w:p>
    <w:bookmarkEnd w:id="1210"/>
    <w:bookmarkEnd w:id="1211"/>
    <w:bookmarkEnd w:id="1212"/>
    <w:bookmarkEnd w:id="1213"/>
    <w:bookmarkEnd w:id="1214"/>
    <w:bookmarkEnd w:id="1215"/>
    <w:bookmarkEnd w:id="1216"/>
    <w:p w14:paraId="1BEAFE35">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承包人主要施工管理人员表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50D85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805A098">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名</w:t>
            </w:r>
            <w:r>
              <w:rPr>
                <w:rFonts w:eastAsia="仿宋_GB2312"/>
                <w:color w:val="auto"/>
                <w:sz w:val="28"/>
                <w:szCs w:val="28"/>
                <w:highlight w:val="none"/>
              </w:rPr>
              <w:t xml:space="preserve">    </w:t>
            </w:r>
            <w:r>
              <w:rPr>
                <w:rFonts w:hint="eastAsia" w:eastAsia="仿宋_GB2312" w:cs="仿宋_GB2312"/>
                <w:color w:val="auto"/>
                <w:sz w:val="28"/>
                <w:szCs w:val="28"/>
                <w:highlight w:val="none"/>
              </w:rPr>
              <w:t>称</w:t>
            </w:r>
          </w:p>
        </w:tc>
        <w:tc>
          <w:tcPr>
            <w:tcW w:w="1418" w:type="dxa"/>
            <w:noWrap w:val="0"/>
            <w:vAlign w:val="center"/>
          </w:tcPr>
          <w:p w14:paraId="7BA0028C">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noWrap w:val="0"/>
            <w:vAlign w:val="center"/>
          </w:tcPr>
          <w:p w14:paraId="10A79134">
            <w:pPr>
              <w:pStyle w:val="3"/>
              <w:keepNext/>
              <w:spacing w:after="0" w:line="440" w:lineRule="exact"/>
              <w:ind w:left="63" w:right="63"/>
              <w:rPr>
                <w:rFonts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noWrap w:val="0"/>
            <w:vAlign w:val="center"/>
          </w:tcPr>
          <w:p w14:paraId="212822D3">
            <w:pPr>
              <w:pStyle w:val="3"/>
              <w:keepNext/>
              <w:spacing w:after="0" w:line="440" w:lineRule="exact"/>
              <w:ind w:left="63" w:right="63"/>
              <w:rPr>
                <w:rFonts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noWrap w:val="0"/>
            <w:vAlign w:val="center"/>
          </w:tcPr>
          <w:p w14:paraId="70BA04B0">
            <w:pPr>
              <w:pStyle w:val="3"/>
              <w:keepNext/>
              <w:spacing w:after="0" w:line="440" w:lineRule="exact"/>
              <w:ind w:left="0" w:leftChars="0" w:right="63"/>
              <w:rPr>
                <w:rFonts w:eastAsia="仿宋_GB2312"/>
                <w:color w:val="auto"/>
                <w:sz w:val="30"/>
                <w:szCs w:val="30"/>
                <w:highlight w:val="none"/>
              </w:rPr>
            </w:pPr>
            <w:r>
              <w:rPr>
                <w:rFonts w:hint="eastAsia" w:eastAsia="仿宋_GB2312" w:cs="仿宋_GB2312"/>
                <w:color w:val="auto"/>
                <w:sz w:val="30"/>
                <w:szCs w:val="30"/>
                <w:highlight w:val="none"/>
              </w:rPr>
              <w:t>计划进场时间</w:t>
            </w:r>
          </w:p>
        </w:tc>
      </w:tr>
      <w:tr w14:paraId="311EF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68A99EA8">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一、总部人员</w:t>
            </w:r>
          </w:p>
        </w:tc>
      </w:tr>
      <w:tr w14:paraId="6FB4F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C81905F">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noWrap w:val="0"/>
            <w:vAlign w:val="center"/>
          </w:tcPr>
          <w:p w14:paraId="01095F07">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5FC7DA67">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04B88F41">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44E0161B">
            <w:pPr>
              <w:pStyle w:val="3"/>
              <w:keepNext/>
              <w:spacing w:after="0" w:line="440" w:lineRule="exact"/>
              <w:ind w:left="63" w:right="63"/>
              <w:rPr>
                <w:rFonts w:eastAsia="仿宋_GB2312"/>
                <w:color w:val="auto"/>
                <w:sz w:val="30"/>
                <w:szCs w:val="30"/>
                <w:highlight w:val="none"/>
              </w:rPr>
            </w:pPr>
          </w:p>
        </w:tc>
      </w:tr>
      <w:tr w14:paraId="18A9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3DB896C6">
            <w:pPr>
              <w:pStyle w:val="3"/>
              <w:keepNext/>
              <w:spacing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noWrap w:val="0"/>
            <w:vAlign w:val="center"/>
          </w:tcPr>
          <w:p w14:paraId="468718DD">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431EE868">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40877045">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70B20F44">
            <w:pPr>
              <w:pStyle w:val="3"/>
              <w:keepNext/>
              <w:spacing w:after="0" w:line="440" w:lineRule="exact"/>
              <w:ind w:left="63" w:right="63"/>
              <w:rPr>
                <w:rFonts w:eastAsia="仿宋_GB2312"/>
                <w:color w:val="auto"/>
                <w:sz w:val="30"/>
                <w:szCs w:val="30"/>
                <w:highlight w:val="none"/>
              </w:rPr>
            </w:pPr>
          </w:p>
        </w:tc>
      </w:tr>
      <w:tr w14:paraId="342F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63A176A2">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3AB5928B">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49B607A5">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62C4683A">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7B6781C2">
            <w:pPr>
              <w:pStyle w:val="3"/>
              <w:keepNext/>
              <w:spacing w:after="0" w:line="440" w:lineRule="exact"/>
              <w:ind w:left="63" w:right="63"/>
              <w:rPr>
                <w:rFonts w:eastAsia="仿宋_GB2312"/>
                <w:color w:val="auto"/>
                <w:sz w:val="30"/>
                <w:szCs w:val="30"/>
                <w:highlight w:val="none"/>
              </w:rPr>
            </w:pPr>
          </w:p>
        </w:tc>
      </w:tr>
      <w:tr w14:paraId="78923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A02C0FA">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170C90B5">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726DF147">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130C52CF">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75EAB48">
            <w:pPr>
              <w:pStyle w:val="3"/>
              <w:keepNext/>
              <w:spacing w:after="0" w:line="440" w:lineRule="exact"/>
              <w:ind w:left="63" w:right="63"/>
              <w:rPr>
                <w:rFonts w:eastAsia="仿宋_GB2312"/>
                <w:color w:val="auto"/>
                <w:sz w:val="30"/>
                <w:szCs w:val="30"/>
                <w:highlight w:val="none"/>
              </w:rPr>
            </w:pPr>
          </w:p>
        </w:tc>
      </w:tr>
      <w:tr w14:paraId="2C7B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0346CA01">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二、现场人员</w:t>
            </w:r>
          </w:p>
        </w:tc>
      </w:tr>
      <w:tr w14:paraId="54331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AB5F972">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noWrap w:val="0"/>
            <w:vAlign w:val="center"/>
          </w:tcPr>
          <w:p w14:paraId="0769339F">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0DCDCEF4">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2C172131">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74BB80DA">
            <w:pPr>
              <w:pStyle w:val="3"/>
              <w:keepNext/>
              <w:spacing w:after="0" w:line="440" w:lineRule="exact"/>
              <w:ind w:left="63" w:right="63"/>
              <w:rPr>
                <w:rFonts w:eastAsia="仿宋_GB2312"/>
                <w:color w:val="auto"/>
                <w:sz w:val="30"/>
                <w:szCs w:val="30"/>
                <w:highlight w:val="none"/>
              </w:rPr>
            </w:pPr>
          </w:p>
        </w:tc>
      </w:tr>
      <w:tr w14:paraId="3F31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388AE18">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项目副经理</w:t>
            </w:r>
          </w:p>
        </w:tc>
        <w:tc>
          <w:tcPr>
            <w:tcW w:w="1418" w:type="dxa"/>
            <w:noWrap w:val="0"/>
            <w:vAlign w:val="center"/>
          </w:tcPr>
          <w:p w14:paraId="6261877A">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4D8FD31A">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6F51473D">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3999E7F0">
            <w:pPr>
              <w:pStyle w:val="3"/>
              <w:keepNext/>
              <w:spacing w:after="0" w:line="440" w:lineRule="exact"/>
              <w:ind w:left="63" w:right="63"/>
              <w:rPr>
                <w:rFonts w:eastAsia="仿宋_GB2312"/>
                <w:color w:val="auto"/>
                <w:sz w:val="30"/>
                <w:szCs w:val="30"/>
                <w:highlight w:val="none"/>
              </w:rPr>
            </w:pPr>
          </w:p>
        </w:tc>
      </w:tr>
      <w:tr w14:paraId="1FE9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0DCBD76">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noWrap w:val="0"/>
            <w:vAlign w:val="center"/>
          </w:tcPr>
          <w:p w14:paraId="73329418">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02C25B28">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11B5A945">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7F760A0">
            <w:pPr>
              <w:pStyle w:val="3"/>
              <w:keepNext/>
              <w:spacing w:after="0" w:line="440" w:lineRule="exact"/>
              <w:ind w:left="63" w:right="63"/>
              <w:rPr>
                <w:rFonts w:eastAsia="仿宋_GB2312"/>
                <w:color w:val="auto"/>
                <w:sz w:val="30"/>
                <w:szCs w:val="30"/>
                <w:highlight w:val="none"/>
              </w:rPr>
            </w:pPr>
          </w:p>
        </w:tc>
      </w:tr>
      <w:tr w14:paraId="57177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4F517189">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noWrap w:val="0"/>
            <w:vAlign w:val="center"/>
          </w:tcPr>
          <w:p w14:paraId="44CC84D0">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13E313D0">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39F2A8CF">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C505A7D">
            <w:pPr>
              <w:pStyle w:val="3"/>
              <w:keepNext/>
              <w:spacing w:after="0" w:line="440" w:lineRule="exact"/>
              <w:ind w:left="63" w:right="63"/>
              <w:rPr>
                <w:rFonts w:eastAsia="仿宋_GB2312"/>
                <w:color w:val="auto"/>
                <w:sz w:val="30"/>
                <w:szCs w:val="30"/>
                <w:highlight w:val="none"/>
              </w:rPr>
            </w:pPr>
          </w:p>
        </w:tc>
      </w:tr>
      <w:tr w14:paraId="000C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15E4BDDE">
            <w:pPr>
              <w:pStyle w:val="3"/>
              <w:keepNext/>
              <w:spacing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noWrap w:val="0"/>
            <w:vAlign w:val="center"/>
          </w:tcPr>
          <w:p w14:paraId="713ADE22">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1F7328D7">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2F4C403B">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43B67E3F">
            <w:pPr>
              <w:pStyle w:val="3"/>
              <w:keepNext/>
              <w:spacing w:after="0" w:line="440" w:lineRule="exact"/>
              <w:ind w:left="63" w:right="63"/>
              <w:rPr>
                <w:rFonts w:eastAsia="仿宋_GB2312"/>
                <w:color w:val="auto"/>
                <w:sz w:val="30"/>
                <w:szCs w:val="30"/>
                <w:highlight w:val="none"/>
              </w:rPr>
            </w:pPr>
          </w:p>
        </w:tc>
      </w:tr>
      <w:tr w14:paraId="40657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33F25F5">
            <w:pPr>
              <w:pStyle w:val="3"/>
              <w:keepNext/>
              <w:spacing w:line="440" w:lineRule="exact"/>
              <w:ind w:left="63" w:right="63"/>
              <w:rPr>
                <w:rFonts w:eastAsia="仿宋_GB2312"/>
                <w:color w:val="auto"/>
                <w:sz w:val="28"/>
                <w:szCs w:val="28"/>
                <w:highlight w:val="none"/>
              </w:rPr>
            </w:pPr>
          </w:p>
        </w:tc>
        <w:tc>
          <w:tcPr>
            <w:tcW w:w="1418" w:type="dxa"/>
            <w:noWrap w:val="0"/>
            <w:vAlign w:val="center"/>
          </w:tcPr>
          <w:p w14:paraId="19E50FD6">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0A91ABDB">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3E7DB643">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9C04739">
            <w:pPr>
              <w:pStyle w:val="3"/>
              <w:keepNext/>
              <w:spacing w:after="0" w:line="440" w:lineRule="exact"/>
              <w:ind w:left="63" w:right="63"/>
              <w:rPr>
                <w:rFonts w:eastAsia="仿宋_GB2312"/>
                <w:color w:val="auto"/>
                <w:sz w:val="30"/>
                <w:szCs w:val="30"/>
                <w:highlight w:val="none"/>
              </w:rPr>
            </w:pPr>
          </w:p>
        </w:tc>
      </w:tr>
      <w:tr w14:paraId="49AF4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8D3E78E">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4D94C3D8">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4F179001">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3D6A7121">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58AF33B2">
            <w:pPr>
              <w:pStyle w:val="3"/>
              <w:keepNext/>
              <w:spacing w:after="0" w:line="440" w:lineRule="exact"/>
              <w:ind w:left="63" w:right="63"/>
              <w:rPr>
                <w:rFonts w:eastAsia="仿宋_GB2312"/>
                <w:color w:val="auto"/>
                <w:sz w:val="30"/>
                <w:szCs w:val="30"/>
                <w:highlight w:val="none"/>
              </w:rPr>
            </w:pPr>
          </w:p>
        </w:tc>
      </w:tr>
      <w:tr w14:paraId="5901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83B4EB9">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noWrap w:val="0"/>
            <w:vAlign w:val="center"/>
          </w:tcPr>
          <w:p w14:paraId="5E6EE0CC">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0B743CA5">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5735E310">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41E7DC4D">
            <w:pPr>
              <w:pStyle w:val="3"/>
              <w:keepNext/>
              <w:spacing w:after="0" w:line="440" w:lineRule="exact"/>
              <w:ind w:left="63" w:right="63"/>
              <w:rPr>
                <w:rFonts w:eastAsia="仿宋_GB2312"/>
                <w:color w:val="auto"/>
                <w:sz w:val="30"/>
                <w:szCs w:val="30"/>
                <w:highlight w:val="none"/>
              </w:rPr>
            </w:pPr>
          </w:p>
        </w:tc>
      </w:tr>
      <w:tr w14:paraId="484A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8807729">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noWrap w:val="0"/>
            <w:vAlign w:val="center"/>
          </w:tcPr>
          <w:p w14:paraId="4423450B">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3E6DE91F">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74E1C84A">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5D7E9E34">
            <w:pPr>
              <w:pStyle w:val="3"/>
              <w:keepNext/>
              <w:spacing w:after="0" w:line="440" w:lineRule="exact"/>
              <w:ind w:left="63" w:right="63"/>
              <w:rPr>
                <w:rFonts w:eastAsia="仿宋_GB2312"/>
                <w:color w:val="auto"/>
                <w:sz w:val="30"/>
                <w:szCs w:val="30"/>
                <w:highlight w:val="none"/>
              </w:rPr>
            </w:pPr>
          </w:p>
        </w:tc>
      </w:tr>
      <w:tr w14:paraId="01F0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00B22B69">
            <w:pPr>
              <w:pStyle w:val="3"/>
              <w:keepNext/>
              <w:spacing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noWrap w:val="0"/>
            <w:vAlign w:val="center"/>
          </w:tcPr>
          <w:p w14:paraId="4A620BAD">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74E078C2">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2F205A29">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6C207EE1">
            <w:pPr>
              <w:pStyle w:val="3"/>
              <w:keepNext/>
              <w:spacing w:after="0" w:line="440" w:lineRule="exact"/>
              <w:ind w:left="63" w:right="63"/>
              <w:rPr>
                <w:rFonts w:eastAsia="仿宋_GB2312"/>
                <w:color w:val="auto"/>
                <w:sz w:val="30"/>
                <w:szCs w:val="30"/>
                <w:highlight w:val="none"/>
              </w:rPr>
            </w:pPr>
          </w:p>
        </w:tc>
      </w:tr>
      <w:tr w14:paraId="02D4F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675FF9D">
            <w:pPr>
              <w:pStyle w:val="3"/>
              <w:keepNext/>
              <w:spacing w:line="440" w:lineRule="exact"/>
              <w:ind w:left="63" w:right="63"/>
              <w:rPr>
                <w:rFonts w:eastAsia="仿宋_GB2312"/>
                <w:color w:val="auto"/>
                <w:sz w:val="28"/>
                <w:szCs w:val="28"/>
                <w:highlight w:val="none"/>
              </w:rPr>
            </w:pPr>
          </w:p>
        </w:tc>
        <w:tc>
          <w:tcPr>
            <w:tcW w:w="1418" w:type="dxa"/>
            <w:noWrap w:val="0"/>
            <w:vAlign w:val="center"/>
          </w:tcPr>
          <w:p w14:paraId="159BBD78">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70C0D95A">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76DD57D1">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317AFEE6">
            <w:pPr>
              <w:pStyle w:val="3"/>
              <w:keepNext/>
              <w:spacing w:after="0" w:line="440" w:lineRule="exact"/>
              <w:ind w:left="63" w:right="63"/>
              <w:rPr>
                <w:rFonts w:eastAsia="仿宋_GB2312"/>
                <w:color w:val="auto"/>
                <w:sz w:val="30"/>
                <w:szCs w:val="30"/>
                <w:highlight w:val="none"/>
              </w:rPr>
            </w:pPr>
          </w:p>
        </w:tc>
      </w:tr>
      <w:tr w14:paraId="36967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AFC210A">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10782C5F">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6F312023">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3BFE7DB6">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3CE9A06C">
            <w:pPr>
              <w:pStyle w:val="3"/>
              <w:keepNext/>
              <w:spacing w:after="0" w:line="440" w:lineRule="exact"/>
              <w:ind w:left="63" w:right="63"/>
              <w:rPr>
                <w:rFonts w:eastAsia="仿宋_GB2312"/>
                <w:color w:val="auto"/>
                <w:sz w:val="30"/>
                <w:szCs w:val="30"/>
                <w:highlight w:val="none"/>
              </w:rPr>
            </w:pPr>
          </w:p>
        </w:tc>
      </w:tr>
      <w:tr w14:paraId="5BF16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49085FB2">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noWrap w:val="0"/>
            <w:vAlign w:val="center"/>
          </w:tcPr>
          <w:p w14:paraId="43C8B0BA">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73FAF1A2">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40306FE7">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23CEE295">
            <w:pPr>
              <w:pStyle w:val="3"/>
              <w:keepNext/>
              <w:spacing w:after="0" w:line="440" w:lineRule="exact"/>
              <w:ind w:left="63" w:right="63"/>
              <w:rPr>
                <w:rFonts w:eastAsia="仿宋_GB2312"/>
                <w:color w:val="auto"/>
                <w:sz w:val="30"/>
                <w:szCs w:val="30"/>
                <w:highlight w:val="none"/>
              </w:rPr>
            </w:pPr>
          </w:p>
        </w:tc>
      </w:tr>
      <w:tr w14:paraId="49D0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5707AC48">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3DED2B6A">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5231C050">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2B46A045">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2DFCCAD5">
            <w:pPr>
              <w:pStyle w:val="3"/>
              <w:keepNext/>
              <w:spacing w:after="0" w:line="440" w:lineRule="exact"/>
              <w:ind w:left="63" w:right="63"/>
              <w:rPr>
                <w:rFonts w:eastAsia="仿宋_GB2312"/>
                <w:color w:val="auto"/>
                <w:sz w:val="30"/>
                <w:szCs w:val="30"/>
                <w:highlight w:val="none"/>
              </w:rPr>
            </w:pPr>
          </w:p>
        </w:tc>
      </w:tr>
      <w:tr w14:paraId="1D5F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090731BD">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0DD2445B">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409323B4">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30C8BDA6">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22453A35">
            <w:pPr>
              <w:pStyle w:val="3"/>
              <w:keepNext/>
              <w:spacing w:after="0" w:line="440" w:lineRule="exact"/>
              <w:ind w:left="63" w:right="63"/>
              <w:rPr>
                <w:rFonts w:eastAsia="仿宋_GB2312"/>
                <w:color w:val="auto"/>
                <w:sz w:val="30"/>
                <w:szCs w:val="30"/>
                <w:highlight w:val="none"/>
              </w:rPr>
            </w:pPr>
          </w:p>
        </w:tc>
      </w:tr>
      <w:tr w14:paraId="4DA0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394542E9">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55B82DC5">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2296623D">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0F873274">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3E766016">
            <w:pPr>
              <w:pStyle w:val="3"/>
              <w:keepNext/>
              <w:spacing w:after="0" w:line="440" w:lineRule="exact"/>
              <w:ind w:left="63" w:right="63"/>
              <w:rPr>
                <w:rFonts w:eastAsia="仿宋_GB2312"/>
                <w:color w:val="auto"/>
                <w:sz w:val="30"/>
                <w:szCs w:val="30"/>
                <w:highlight w:val="none"/>
              </w:rPr>
            </w:pPr>
          </w:p>
        </w:tc>
      </w:tr>
      <w:tr w14:paraId="031C3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B7244C6">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6958B3C4">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668E3B4F">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09E25B93">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859929A">
            <w:pPr>
              <w:pStyle w:val="3"/>
              <w:keepNext/>
              <w:spacing w:after="0" w:line="440" w:lineRule="exact"/>
              <w:ind w:left="63" w:right="63"/>
              <w:rPr>
                <w:rFonts w:eastAsia="仿宋_GB2312"/>
                <w:color w:val="auto"/>
                <w:sz w:val="30"/>
                <w:szCs w:val="30"/>
                <w:highlight w:val="none"/>
              </w:rPr>
            </w:pPr>
          </w:p>
        </w:tc>
      </w:tr>
      <w:tr w14:paraId="4497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9BB82D6">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751F2796">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502B0486">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06020E6E">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D23A357">
            <w:pPr>
              <w:pStyle w:val="3"/>
              <w:keepNext/>
              <w:spacing w:after="0" w:line="440" w:lineRule="exact"/>
              <w:ind w:left="63" w:right="63"/>
              <w:rPr>
                <w:rFonts w:eastAsia="仿宋_GB2312"/>
                <w:color w:val="auto"/>
                <w:sz w:val="30"/>
                <w:szCs w:val="30"/>
                <w:highlight w:val="none"/>
              </w:rPr>
            </w:pPr>
          </w:p>
        </w:tc>
      </w:tr>
    </w:tbl>
    <w:p w14:paraId="52C1C175">
      <w:pPr>
        <w:spacing w:line="440" w:lineRule="exact"/>
        <w:rPr>
          <w:rFonts w:eastAsia="黑体"/>
          <w:color w:val="auto"/>
          <w:sz w:val="30"/>
          <w:szCs w:val="30"/>
          <w:highlight w:val="none"/>
        </w:rPr>
      </w:pPr>
      <w:r>
        <w:rPr>
          <w:rFonts w:eastAsia="仿宋_GB2312"/>
          <w:color w:val="auto"/>
          <w:sz w:val="30"/>
          <w:szCs w:val="30"/>
          <w:highlight w:val="none"/>
        </w:rPr>
        <w:br w:type="page"/>
      </w:r>
      <w:r>
        <w:rPr>
          <w:rFonts w:hint="eastAsia" w:eastAsia="仿宋_GB2312" w:cs="仿宋_GB2312"/>
          <w:color w:val="auto"/>
          <w:sz w:val="30"/>
          <w:szCs w:val="30"/>
          <w:highlight w:val="none"/>
        </w:rPr>
        <w:t>附</w:t>
      </w:r>
      <w:bookmarkStart w:id="1217" w:name="_Toc296503229"/>
      <w:bookmarkStart w:id="1218" w:name="_Toc296891269"/>
      <w:bookmarkStart w:id="1219" w:name="_Toc296891057"/>
      <w:bookmarkStart w:id="1220" w:name="_Toc296944568"/>
      <w:bookmarkStart w:id="1221" w:name="_Toc296346730"/>
      <w:bookmarkStart w:id="1222" w:name="_Toc296347228"/>
      <w:r>
        <w:rPr>
          <w:rFonts w:hint="eastAsia" w:eastAsia="仿宋_GB2312" w:cs="仿宋_GB2312"/>
          <w:color w:val="auto"/>
          <w:sz w:val="30"/>
          <w:szCs w:val="30"/>
          <w:highlight w:val="none"/>
        </w:rPr>
        <w:t>件</w:t>
      </w:r>
      <w:r>
        <w:rPr>
          <w:rFonts w:hint="eastAsia" w:eastAsia="仿宋_GB2312"/>
          <w:color w:val="auto"/>
          <w:sz w:val="30"/>
          <w:szCs w:val="30"/>
          <w:highlight w:val="none"/>
        </w:rPr>
        <w:t>6</w:t>
      </w:r>
      <w:r>
        <w:rPr>
          <w:rFonts w:hint="eastAsia" w:eastAsia="仿宋_GB2312" w:cs="仿宋_GB2312"/>
          <w:color w:val="auto"/>
          <w:sz w:val="30"/>
          <w:szCs w:val="30"/>
          <w:highlight w:val="none"/>
        </w:rPr>
        <w:t>：</w:t>
      </w:r>
    </w:p>
    <w:bookmarkEnd w:id="1217"/>
    <w:bookmarkEnd w:id="1218"/>
    <w:bookmarkEnd w:id="1219"/>
    <w:bookmarkEnd w:id="1220"/>
    <w:bookmarkEnd w:id="1221"/>
    <w:bookmarkEnd w:id="1222"/>
    <w:p w14:paraId="6E10BEE9">
      <w:pPr>
        <w:spacing w:before="120" w:beforeLines="50" w:after="120" w:afterLines="50" w:line="440" w:lineRule="exact"/>
        <w:jc w:val="center"/>
        <w:rPr>
          <w:rFonts w:eastAsia="黑体"/>
          <w:color w:val="auto"/>
          <w:sz w:val="30"/>
          <w:szCs w:val="30"/>
          <w:highlight w:val="none"/>
        </w:rPr>
      </w:pPr>
      <w:r>
        <w:rPr>
          <w:rFonts w:hint="eastAsia" w:eastAsia="黑体" w:cs="黑体"/>
          <w:color w:val="auto"/>
          <w:sz w:val="30"/>
          <w:szCs w:val="30"/>
          <w:highlight w:val="none"/>
        </w:rPr>
        <w:t>分包人主要施工管理人员表</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871"/>
        <w:gridCol w:w="1418"/>
        <w:gridCol w:w="1134"/>
        <w:gridCol w:w="1134"/>
        <w:gridCol w:w="4252"/>
      </w:tblGrid>
      <w:tr w14:paraId="45C8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674BF850">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名</w:t>
            </w:r>
            <w:r>
              <w:rPr>
                <w:rFonts w:eastAsia="仿宋_GB2312"/>
                <w:color w:val="auto"/>
                <w:sz w:val="28"/>
                <w:szCs w:val="28"/>
                <w:highlight w:val="none"/>
              </w:rPr>
              <w:t xml:space="preserve">    </w:t>
            </w:r>
            <w:r>
              <w:rPr>
                <w:rFonts w:hint="eastAsia" w:eastAsia="仿宋_GB2312" w:cs="仿宋_GB2312"/>
                <w:color w:val="auto"/>
                <w:sz w:val="28"/>
                <w:szCs w:val="28"/>
                <w:highlight w:val="none"/>
              </w:rPr>
              <w:t>称</w:t>
            </w:r>
          </w:p>
        </w:tc>
        <w:tc>
          <w:tcPr>
            <w:tcW w:w="1418" w:type="dxa"/>
            <w:noWrap w:val="0"/>
            <w:vAlign w:val="center"/>
          </w:tcPr>
          <w:p w14:paraId="7CE59B2D">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姓名</w:t>
            </w:r>
          </w:p>
        </w:tc>
        <w:tc>
          <w:tcPr>
            <w:tcW w:w="1134" w:type="dxa"/>
            <w:noWrap w:val="0"/>
            <w:vAlign w:val="center"/>
          </w:tcPr>
          <w:p w14:paraId="16018EDC">
            <w:pPr>
              <w:pStyle w:val="3"/>
              <w:keepNext/>
              <w:spacing w:after="0" w:line="440" w:lineRule="exact"/>
              <w:ind w:left="63" w:right="63"/>
              <w:rPr>
                <w:rFonts w:eastAsia="仿宋_GB2312"/>
                <w:color w:val="auto"/>
                <w:sz w:val="30"/>
                <w:szCs w:val="30"/>
                <w:highlight w:val="none"/>
              </w:rPr>
            </w:pPr>
            <w:r>
              <w:rPr>
                <w:rFonts w:hint="eastAsia" w:eastAsia="仿宋_GB2312" w:cs="仿宋_GB2312"/>
                <w:color w:val="auto"/>
                <w:sz w:val="30"/>
                <w:szCs w:val="30"/>
                <w:highlight w:val="none"/>
              </w:rPr>
              <w:t>职务</w:t>
            </w:r>
          </w:p>
        </w:tc>
        <w:tc>
          <w:tcPr>
            <w:tcW w:w="1134" w:type="dxa"/>
            <w:noWrap w:val="0"/>
            <w:vAlign w:val="center"/>
          </w:tcPr>
          <w:p w14:paraId="4F7161B0">
            <w:pPr>
              <w:pStyle w:val="3"/>
              <w:keepNext/>
              <w:spacing w:after="0" w:line="440" w:lineRule="exact"/>
              <w:ind w:left="63" w:right="63"/>
              <w:rPr>
                <w:rFonts w:eastAsia="仿宋_GB2312"/>
                <w:color w:val="auto"/>
                <w:sz w:val="30"/>
                <w:szCs w:val="30"/>
                <w:highlight w:val="none"/>
              </w:rPr>
            </w:pPr>
            <w:r>
              <w:rPr>
                <w:rFonts w:hint="eastAsia" w:eastAsia="仿宋_GB2312" w:cs="仿宋_GB2312"/>
                <w:color w:val="auto"/>
                <w:sz w:val="30"/>
                <w:szCs w:val="30"/>
                <w:highlight w:val="none"/>
              </w:rPr>
              <w:t>职称</w:t>
            </w:r>
          </w:p>
        </w:tc>
        <w:tc>
          <w:tcPr>
            <w:tcW w:w="4252" w:type="dxa"/>
            <w:noWrap w:val="0"/>
            <w:vAlign w:val="center"/>
          </w:tcPr>
          <w:p w14:paraId="04C2F3BC">
            <w:pPr>
              <w:pStyle w:val="3"/>
              <w:keepNext/>
              <w:spacing w:after="0" w:line="440" w:lineRule="exact"/>
              <w:ind w:left="63" w:right="63"/>
              <w:rPr>
                <w:rFonts w:eastAsia="仿宋_GB2312"/>
                <w:color w:val="auto"/>
                <w:sz w:val="30"/>
                <w:szCs w:val="30"/>
                <w:highlight w:val="none"/>
              </w:rPr>
            </w:pPr>
            <w:r>
              <w:rPr>
                <w:rFonts w:hint="eastAsia" w:eastAsia="仿宋_GB2312" w:cs="仿宋_GB2312"/>
                <w:color w:val="auto"/>
                <w:sz w:val="30"/>
                <w:szCs w:val="30"/>
                <w:highlight w:val="none"/>
              </w:rPr>
              <w:t>主要资历、经验及承担过的项目</w:t>
            </w:r>
          </w:p>
        </w:tc>
      </w:tr>
      <w:tr w14:paraId="603D1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3E3F33CC">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一、总部人员</w:t>
            </w:r>
          </w:p>
        </w:tc>
      </w:tr>
      <w:tr w14:paraId="06B53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C9D0B47">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项目主管</w:t>
            </w:r>
          </w:p>
        </w:tc>
        <w:tc>
          <w:tcPr>
            <w:tcW w:w="1418" w:type="dxa"/>
            <w:noWrap w:val="0"/>
            <w:vAlign w:val="center"/>
          </w:tcPr>
          <w:p w14:paraId="5C67BBB1">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29E1B8A7">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6B4DC3F0">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1B9E9D3">
            <w:pPr>
              <w:pStyle w:val="3"/>
              <w:keepNext/>
              <w:spacing w:after="0" w:line="440" w:lineRule="exact"/>
              <w:ind w:left="63" w:right="63"/>
              <w:rPr>
                <w:rFonts w:eastAsia="仿宋_GB2312"/>
                <w:color w:val="auto"/>
                <w:sz w:val="30"/>
                <w:szCs w:val="30"/>
                <w:highlight w:val="none"/>
              </w:rPr>
            </w:pPr>
          </w:p>
        </w:tc>
      </w:tr>
      <w:tr w14:paraId="3496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20F1C9CB">
            <w:pPr>
              <w:pStyle w:val="3"/>
              <w:keepNext/>
              <w:spacing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noWrap w:val="0"/>
            <w:vAlign w:val="center"/>
          </w:tcPr>
          <w:p w14:paraId="672678BC">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3C6495DF">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7FEB4F6B">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6690B95A">
            <w:pPr>
              <w:pStyle w:val="3"/>
              <w:keepNext/>
              <w:spacing w:after="0" w:line="440" w:lineRule="exact"/>
              <w:ind w:left="63" w:right="63"/>
              <w:rPr>
                <w:rFonts w:eastAsia="仿宋_GB2312"/>
                <w:color w:val="auto"/>
                <w:sz w:val="30"/>
                <w:szCs w:val="30"/>
                <w:highlight w:val="none"/>
              </w:rPr>
            </w:pPr>
          </w:p>
        </w:tc>
      </w:tr>
      <w:tr w14:paraId="48B0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E50EF41">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1288F726">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108D7E70">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24BA0DB8">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B782602">
            <w:pPr>
              <w:pStyle w:val="3"/>
              <w:keepNext/>
              <w:spacing w:after="0" w:line="440" w:lineRule="exact"/>
              <w:ind w:left="63" w:right="63"/>
              <w:rPr>
                <w:rFonts w:eastAsia="仿宋_GB2312"/>
                <w:color w:val="auto"/>
                <w:sz w:val="30"/>
                <w:szCs w:val="30"/>
                <w:highlight w:val="none"/>
              </w:rPr>
            </w:pPr>
          </w:p>
        </w:tc>
      </w:tr>
      <w:tr w14:paraId="1845C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4BA1433">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11043ED0">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701E8F66">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1A726055">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0CDA8609">
            <w:pPr>
              <w:pStyle w:val="3"/>
              <w:keepNext/>
              <w:spacing w:after="0" w:line="440" w:lineRule="exact"/>
              <w:ind w:left="63" w:right="63"/>
              <w:rPr>
                <w:rFonts w:eastAsia="仿宋_GB2312"/>
                <w:color w:val="auto"/>
                <w:sz w:val="30"/>
                <w:szCs w:val="30"/>
                <w:highlight w:val="none"/>
              </w:rPr>
            </w:pPr>
          </w:p>
        </w:tc>
      </w:tr>
      <w:tr w14:paraId="18032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9809" w:type="dxa"/>
            <w:gridSpan w:val="5"/>
            <w:noWrap w:val="0"/>
            <w:vAlign w:val="center"/>
          </w:tcPr>
          <w:p w14:paraId="7DF060C7">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二、现场人员</w:t>
            </w:r>
          </w:p>
        </w:tc>
      </w:tr>
      <w:tr w14:paraId="17A6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0CF40583">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项目经理</w:t>
            </w:r>
          </w:p>
        </w:tc>
        <w:tc>
          <w:tcPr>
            <w:tcW w:w="1418" w:type="dxa"/>
            <w:noWrap w:val="0"/>
            <w:vAlign w:val="center"/>
          </w:tcPr>
          <w:p w14:paraId="6BCE1056">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3465B7DA">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7A7CAC10">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0B34A17E">
            <w:pPr>
              <w:pStyle w:val="3"/>
              <w:keepNext/>
              <w:spacing w:after="0" w:line="440" w:lineRule="exact"/>
              <w:ind w:left="63" w:right="63"/>
              <w:rPr>
                <w:rFonts w:eastAsia="仿宋_GB2312"/>
                <w:color w:val="auto"/>
                <w:sz w:val="30"/>
                <w:szCs w:val="30"/>
                <w:highlight w:val="none"/>
              </w:rPr>
            </w:pPr>
          </w:p>
        </w:tc>
      </w:tr>
      <w:tr w14:paraId="456E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270787C">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项目副经理</w:t>
            </w:r>
          </w:p>
        </w:tc>
        <w:tc>
          <w:tcPr>
            <w:tcW w:w="1418" w:type="dxa"/>
            <w:noWrap w:val="0"/>
            <w:vAlign w:val="center"/>
          </w:tcPr>
          <w:p w14:paraId="367C6018">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4C0F26AD">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5D62BD28">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587E3FE8">
            <w:pPr>
              <w:pStyle w:val="3"/>
              <w:keepNext/>
              <w:spacing w:after="0" w:line="440" w:lineRule="exact"/>
              <w:ind w:left="63" w:right="63"/>
              <w:rPr>
                <w:rFonts w:eastAsia="仿宋_GB2312"/>
                <w:color w:val="auto"/>
                <w:sz w:val="30"/>
                <w:szCs w:val="30"/>
                <w:highlight w:val="none"/>
              </w:rPr>
            </w:pPr>
          </w:p>
        </w:tc>
      </w:tr>
      <w:tr w14:paraId="57D21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7A321FB">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技术负责人</w:t>
            </w:r>
          </w:p>
        </w:tc>
        <w:tc>
          <w:tcPr>
            <w:tcW w:w="1418" w:type="dxa"/>
            <w:noWrap w:val="0"/>
            <w:vAlign w:val="center"/>
          </w:tcPr>
          <w:p w14:paraId="2161CEAF">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0E0F3E4E">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4CB62E55">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60826A14">
            <w:pPr>
              <w:pStyle w:val="3"/>
              <w:keepNext/>
              <w:spacing w:after="0" w:line="440" w:lineRule="exact"/>
              <w:ind w:left="63" w:right="63"/>
              <w:rPr>
                <w:rFonts w:eastAsia="仿宋_GB2312"/>
                <w:color w:val="auto"/>
                <w:sz w:val="30"/>
                <w:szCs w:val="30"/>
                <w:highlight w:val="none"/>
              </w:rPr>
            </w:pPr>
          </w:p>
        </w:tc>
      </w:tr>
      <w:tr w14:paraId="3601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55950D95">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造价管理</w:t>
            </w:r>
          </w:p>
        </w:tc>
        <w:tc>
          <w:tcPr>
            <w:tcW w:w="1418" w:type="dxa"/>
            <w:noWrap w:val="0"/>
            <w:vAlign w:val="center"/>
          </w:tcPr>
          <w:p w14:paraId="686C18A1">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08F30A10">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27AB4540">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C80F543">
            <w:pPr>
              <w:pStyle w:val="3"/>
              <w:keepNext/>
              <w:spacing w:after="0" w:line="440" w:lineRule="exact"/>
              <w:ind w:left="63" w:right="63"/>
              <w:rPr>
                <w:rFonts w:eastAsia="仿宋_GB2312"/>
                <w:color w:val="auto"/>
                <w:sz w:val="30"/>
                <w:szCs w:val="30"/>
                <w:highlight w:val="none"/>
              </w:rPr>
            </w:pPr>
          </w:p>
        </w:tc>
      </w:tr>
      <w:tr w14:paraId="17B6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3DA6F1EA">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质量管理</w:t>
            </w:r>
          </w:p>
        </w:tc>
        <w:tc>
          <w:tcPr>
            <w:tcW w:w="1418" w:type="dxa"/>
            <w:noWrap w:val="0"/>
            <w:vAlign w:val="center"/>
          </w:tcPr>
          <w:p w14:paraId="4FD9E3E8">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3E1DB1E0">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77C596BC">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54ADDBBC">
            <w:pPr>
              <w:pStyle w:val="3"/>
              <w:keepNext/>
              <w:spacing w:after="0" w:line="440" w:lineRule="exact"/>
              <w:ind w:left="63" w:right="63"/>
              <w:rPr>
                <w:rFonts w:eastAsia="仿宋_GB2312"/>
                <w:color w:val="auto"/>
                <w:sz w:val="30"/>
                <w:szCs w:val="30"/>
                <w:highlight w:val="none"/>
              </w:rPr>
            </w:pPr>
          </w:p>
        </w:tc>
      </w:tr>
      <w:tr w14:paraId="3D27D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20F2C9DA">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材料管理</w:t>
            </w:r>
          </w:p>
        </w:tc>
        <w:tc>
          <w:tcPr>
            <w:tcW w:w="1418" w:type="dxa"/>
            <w:noWrap w:val="0"/>
            <w:vAlign w:val="center"/>
          </w:tcPr>
          <w:p w14:paraId="0609BA48">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28347974">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4D41AE44">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0BBBD669">
            <w:pPr>
              <w:pStyle w:val="3"/>
              <w:keepNext/>
              <w:spacing w:after="0" w:line="440" w:lineRule="exact"/>
              <w:ind w:left="63" w:right="63"/>
              <w:rPr>
                <w:rFonts w:eastAsia="仿宋_GB2312"/>
                <w:color w:val="auto"/>
                <w:sz w:val="30"/>
                <w:szCs w:val="30"/>
                <w:highlight w:val="none"/>
              </w:rPr>
            </w:pPr>
          </w:p>
        </w:tc>
      </w:tr>
      <w:tr w14:paraId="24AC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107AAAB5">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计划管理</w:t>
            </w:r>
          </w:p>
        </w:tc>
        <w:tc>
          <w:tcPr>
            <w:tcW w:w="1418" w:type="dxa"/>
            <w:noWrap w:val="0"/>
            <w:vAlign w:val="center"/>
          </w:tcPr>
          <w:p w14:paraId="2130442B">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26019729">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3BC74460">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3E3B53A6">
            <w:pPr>
              <w:pStyle w:val="3"/>
              <w:keepNext/>
              <w:spacing w:after="0" w:line="440" w:lineRule="exact"/>
              <w:ind w:left="63" w:right="63"/>
              <w:rPr>
                <w:rFonts w:eastAsia="仿宋_GB2312"/>
                <w:color w:val="auto"/>
                <w:sz w:val="30"/>
                <w:szCs w:val="30"/>
                <w:highlight w:val="none"/>
              </w:rPr>
            </w:pPr>
          </w:p>
        </w:tc>
      </w:tr>
      <w:tr w14:paraId="1192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noWrap w:val="0"/>
            <w:vAlign w:val="center"/>
          </w:tcPr>
          <w:p w14:paraId="7D258031">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安全管理</w:t>
            </w:r>
          </w:p>
        </w:tc>
        <w:tc>
          <w:tcPr>
            <w:tcW w:w="1418" w:type="dxa"/>
            <w:noWrap w:val="0"/>
            <w:vAlign w:val="center"/>
          </w:tcPr>
          <w:p w14:paraId="4FBCCA30">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27B28C54">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50906062">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67D16401">
            <w:pPr>
              <w:pStyle w:val="3"/>
              <w:keepNext/>
              <w:spacing w:after="0" w:line="440" w:lineRule="exact"/>
              <w:ind w:left="63" w:right="63"/>
              <w:rPr>
                <w:rFonts w:eastAsia="仿宋_GB2312"/>
                <w:color w:val="auto"/>
                <w:sz w:val="30"/>
                <w:szCs w:val="30"/>
                <w:highlight w:val="none"/>
              </w:rPr>
            </w:pPr>
          </w:p>
        </w:tc>
      </w:tr>
      <w:tr w14:paraId="61746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restart"/>
            <w:noWrap w:val="0"/>
            <w:vAlign w:val="center"/>
          </w:tcPr>
          <w:p w14:paraId="7A0CB10C">
            <w:pPr>
              <w:pStyle w:val="3"/>
              <w:keepNext/>
              <w:spacing w:after="0" w:line="440" w:lineRule="exact"/>
              <w:ind w:left="63" w:right="63"/>
              <w:rPr>
                <w:rFonts w:eastAsia="仿宋_GB2312"/>
                <w:color w:val="auto"/>
                <w:sz w:val="28"/>
                <w:szCs w:val="28"/>
                <w:highlight w:val="none"/>
              </w:rPr>
            </w:pPr>
            <w:r>
              <w:rPr>
                <w:rFonts w:hint="eastAsia" w:eastAsia="仿宋_GB2312" w:cs="仿宋_GB2312"/>
                <w:color w:val="auto"/>
                <w:sz w:val="28"/>
                <w:szCs w:val="28"/>
                <w:highlight w:val="none"/>
              </w:rPr>
              <w:t>其他人员</w:t>
            </w:r>
          </w:p>
        </w:tc>
        <w:tc>
          <w:tcPr>
            <w:tcW w:w="1418" w:type="dxa"/>
            <w:noWrap w:val="0"/>
            <w:vAlign w:val="center"/>
          </w:tcPr>
          <w:p w14:paraId="6E456B54">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20C71CD4">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06B0A51E">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4B2B3CBC">
            <w:pPr>
              <w:pStyle w:val="3"/>
              <w:keepNext/>
              <w:spacing w:after="0" w:line="440" w:lineRule="exact"/>
              <w:ind w:left="63" w:right="63"/>
              <w:rPr>
                <w:rFonts w:eastAsia="仿宋_GB2312"/>
                <w:color w:val="auto"/>
                <w:sz w:val="30"/>
                <w:szCs w:val="30"/>
                <w:highlight w:val="none"/>
              </w:rPr>
            </w:pPr>
          </w:p>
        </w:tc>
      </w:tr>
      <w:tr w14:paraId="6A46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762D5BC">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3AD1E997">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2AC8BC3C">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4C1C9767">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46CF7184">
            <w:pPr>
              <w:pStyle w:val="3"/>
              <w:keepNext/>
              <w:spacing w:after="0" w:line="440" w:lineRule="exact"/>
              <w:ind w:left="63" w:right="63"/>
              <w:rPr>
                <w:rFonts w:eastAsia="仿宋_GB2312"/>
                <w:color w:val="auto"/>
                <w:sz w:val="30"/>
                <w:szCs w:val="30"/>
                <w:highlight w:val="none"/>
              </w:rPr>
            </w:pPr>
          </w:p>
        </w:tc>
      </w:tr>
      <w:tr w14:paraId="08BDD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7ADBA8DF">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53C8328B">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5A7F933D">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73BF48DE">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28750C9D">
            <w:pPr>
              <w:pStyle w:val="3"/>
              <w:keepNext/>
              <w:spacing w:after="0" w:line="440" w:lineRule="exact"/>
              <w:ind w:left="63" w:right="63"/>
              <w:rPr>
                <w:rFonts w:eastAsia="仿宋_GB2312"/>
                <w:color w:val="auto"/>
                <w:sz w:val="30"/>
                <w:szCs w:val="30"/>
                <w:highlight w:val="none"/>
              </w:rPr>
            </w:pPr>
          </w:p>
        </w:tc>
      </w:tr>
      <w:tr w14:paraId="45B3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4383FE52">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0C63CB32">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309CE905">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69B77185">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1B1EF7AC">
            <w:pPr>
              <w:pStyle w:val="3"/>
              <w:keepNext/>
              <w:spacing w:after="0" w:line="440" w:lineRule="exact"/>
              <w:ind w:left="63" w:right="63"/>
              <w:rPr>
                <w:rFonts w:eastAsia="仿宋_GB2312"/>
                <w:color w:val="auto"/>
                <w:sz w:val="30"/>
                <w:szCs w:val="30"/>
                <w:highlight w:val="none"/>
              </w:rPr>
            </w:pPr>
          </w:p>
        </w:tc>
      </w:tr>
      <w:tr w14:paraId="36D6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16EEC4BD">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5A0EDF97">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0CC20C24">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71CE94F2">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7674A768">
            <w:pPr>
              <w:pStyle w:val="3"/>
              <w:keepNext/>
              <w:spacing w:after="0" w:line="440" w:lineRule="exact"/>
              <w:ind w:left="63" w:right="63"/>
              <w:rPr>
                <w:rFonts w:eastAsia="仿宋_GB2312"/>
                <w:color w:val="auto"/>
                <w:sz w:val="30"/>
                <w:szCs w:val="30"/>
                <w:highlight w:val="none"/>
              </w:rPr>
            </w:pPr>
          </w:p>
        </w:tc>
      </w:tr>
      <w:tr w14:paraId="1D3B5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871" w:type="dxa"/>
            <w:vMerge w:val="continue"/>
            <w:noWrap w:val="0"/>
            <w:vAlign w:val="center"/>
          </w:tcPr>
          <w:p w14:paraId="23A738D3">
            <w:pPr>
              <w:pStyle w:val="3"/>
              <w:keepNext/>
              <w:spacing w:after="0" w:line="440" w:lineRule="exact"/>
              <w:ind w:left="63" w:right="63"/>
              <w:rPr>
                <w:rFonts w:eastAsia="仿宋_GB2312"/>
                <w:color w:val="auto"/>
                <w:sz w:val="28"/>
                <w:szCs w:val="28"/>
                <w:highlight w:val="none"/>
              </w:rPr>
            </w:pPr>
          </w:p>
        </w:tc>
        <w:tc>
          <w:tcPr>
            <w:tcW w:w="1418" w:type="dxa"/>
            <w:noWrap w:val="0"/>
            <w:vAlign w:val="center"/>
          </w:tcPr>
          <w:p w14:paraId="42FC2F0F">
            <w:pPr>
              <w:pStyle w:val="3"/>
              <w:keepNext/>
              <w:spacing w:after="0" w:line="440" w:lineRule="exact"/>
              <w:ind w:left="63" w:right="63"/>
              <w:rPr>
                <w:rFonts w:eastAsia="仿宋_GB2312"/>
                <w:color w:val="auto"/>
                <w:sz w:val="28"/>
                <w:szCs w:val="28"/>
                <w:highlight w:val="none"/>
              </w:rPr>
            </w:pPr>
          </w:p>
        </w:tc>
        <w:tc>
          <w:tcPr>
            <w:tcW w:w="1134" w:type="dxa"/>
            <w:noWrap w:val="0"/>
            <w:vAlign w:val="center"/>
          </w:tcPr>
          <w:p w14:paraId="4D5A133D">
            <w:pPr>
              <w:pStyle w:val="3"/>
              <w:keepNext/>
              <w:spacing w:after="0" w:line="440" w:lineRule="exact"/>
              <w:ind w:left="63" w:right="63"/>
              <w:rPr>
                <w:rFonts w:eastAsia="仿宋_GB2312"/>
                <w:color w:val="auto"/>
                <w:sz w:val="30"/>
                <w:szCs w:val="30"/>
                <w:highlight w:val="none"/>
              </w:rPr>
            </w:pPr>
          </w:p>
        </w:tc>
        <w:tc>
          <w:tcPr>
            <w:tcW w:w="1134" w:type="dxa"/>
            <w:noWrap w:val="0"/>
            <w:vAlign w:val="center"/>
          </w:tcPr>
          <w:p w14:paraId="271C9186">
            <w:pPr>
              <w:pStyle w:val="3"/>
              <w:keepNext/>
              <w:spacing w:after="0" w:line="440" w:lineRule="exact"/>
              <w:ind w:left="63" w:right="63"/>
              <w:rPr>
                <w:rFonts w:eastAsia="仿宋_GB2312"/>
                <w:color w:val="auto"/>
                <w:sz w:val="30"/>
                <w:szCs w:val="30"/>
                <w:highlight w:val="none"/>
              </w:rPr>
            </w:pPr>
          </w:p>
        </w:tc>
        <w:tc>
          <w:tcPr>
            <w:tcW w:w="4252" w:type="dxa"/>
            <w:noWrap w:val="0"/>
            <w:vAlign w:val="center"/>
          </w:tcPr>
          <w:p w14:paraId="7A29BE00">
            <w:pPr>
              <w:pStyle w:val="3"/>
              <w:keepNext/>
              <w:spacing w:after="0" w:line="440" w:lineRule="exact"/>
              <w:ind w:left="63" w:right="63"/>
              <w:rPr>
                <w:rFonts w:eastAsia="仿宋_GB2312"/>
                <w:color w:val="auto"/>
                <w:sz w:val="30"/>
                <w:szCs w:val="30"/>
                <w:highlight w:val="none"/>
              </w:rPr>
            </w:pPr>
          </w:p>
        </w:tc>
      </w:tr>
    </w:tbl>
    <w:p w14:paraId="0438A957">
      <w:pPr>
        <w:spacing w:line="360" w:lineRule="auto"/>
        <w:jc w:val="left"/>
        <w:rPr>
          <w:rFonts w:hint="eastAsia" w:ascii="黑体" w:hAnsi="黑体" w:eastAsia="黑体" w:cs="黑体"/>
          <w:color w:val="auto"/>
          <w:sz w:val="32"/>
          <w:szCs w:val="32"/>
          <w:highlight w:val="none"/>
        </w:rPr>
      </w:pPr>
      <w:r>
        <w:rPr>
          <w:rFonts w:eastAsia="仿宋_GB2312"/>
          <w:color w:val="auto"/>
          <w:sz w:val="30"/>
          <w:szCs w:val="30"/>
          <w:highlight w:val="none"/>
        </w:rPr>
        <w:br w:type="page"/>
      </w:r>
      <w:bookmarkStart w:id="1223" w:name="_Toc267261701"/>
      <w:r>
        <w:rPr>
          <w:rFonts w:hint="eastAsia" w:ascii="黑体" w:hAnsi="黑体" w:eastAsia="黑体" w:cs="黑体"/>
          <w:color w:val="auto"/>
          <w:sz w:val="32"/>
          <w:szCs w:val="32"/>
          <w:highlight w:val="none"/>
        </w:rPr>
        <w:t>附件7</w:t>
      </w:r>
    </w:p>
    <w:p w14:paraId="1725F216">
      <w:pPr>
        <w:spacing w:line="360" w:lineRule="auto"/>
        <w:jc w:val="left"/>
        <w:rPr>
          <w:rFonts w:ascii="黑体" w:hAnsi="黑体" w:eastAsia="黑体" w:cs="黑体"/>
          <w:b/>
          <w:bCs/>
          <w:color w:val="auto"/>
          <w:sz w:val="32"/>
          <w:szCs w:val="32"/>
          <w:highlight w:val="none"/>
        </w:rPr>
      </w:pPr>
    </w:p>
    <w:p w14:paraId="1061F7A5">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272F07E9">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47C3AEDF">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06B6F49D">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2E57C189">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0D8DB42F">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52D23C43">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5453B879">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725AA5FB">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04EC979D">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37B72F76">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p w14:paraId="6EB337A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受益人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申请人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（以下简称“基础合同”），我方（即“开立人”）根据基础合同了解到申请人为基础合同项下之承包人，受益人为基础合同项下之发包人，基于申请人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保函（以下简称“本保函”）</w:t>
      </w:r>
      <w:r>
        <w:rPr>
          <w:rFonts w:ascii="宋体" w:hAnsi="宋体"/>
          <w:color w:val="auto"/>
          <w:sz w:val="24"/>
          <w:szCs w:val="24"/>
          <w:highlight w:val="none"/>
        </w:rPr>
        <w:t xml:space="preserve">。 </w:t>
      </w:r>
    </w:p>
    <w:p w14:paraId="5310713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一、本保函担保范围：承包人未按照基础合同的约定履行义务，应当向贵方承担的违约责任和赔偿因此造成的损失、利息、律师费、诉讼费用等实现债权的费用。</w:t>
      </w:r>
    </w:p>
    <w:p w14:paraId="724670C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4B8D9A1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基础合同约定的缺陷责任期</w:t>
      </w:r>
      <w:r>
        <w:rPr>
          <w:rFonts w:ascii="宋体" w:hAnsi="宋体"/>
          <w:color w:val="auto"/>
          <w:sz w:val="24"/>
          <w:szCs w:val="24"/>
          <w:highlight w:val="none"/>
        </w:rPr>
        <w:t>后</w:t>
      </w:r>
      <w:r>
        <w:rPr>
          <w:rFonts w:ascii="宋体" w:hAnsi="宋体"/>
          <w:color w:val="auto"/>
          <w:sz w:val="24"/>
          <w:szCs w:val="24"/>
          <w:highlight w:val="none"/>
          <w:u w:val="single"/>
        </w:rPr>
        <w:t xml:space="preserve">   </w:t>
      </w:r>
      <w:r>
        <w:rPr>
          <w:rFonts w:hint="eastAsia" w:ascii="宋体" w:hAnsi="宋体"/>
          <w:color w:val="auto"/>
          <w:sz w:val="24"/>
          <w:szCs w:val="24"/>
          <w:highlight w:val="none"/>
        </w:rPr>
        <w:t>日止，最迟不超过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6FAC6575">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09455F7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71A9BD9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5C14C75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786A291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6069C04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210F843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59FEAA3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1EE3913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w:t>
      </w:r>
      <w:r>
        <w:rPr>
          <w:rFonts w:hint="eastAsia" w:ascii="宋体" w:hAnsi="宋体"/>
          <w:color w:val="auto"/>
          <w:sz w:val="24"/>
          <w:szCs w:val="24"/>
          <w:highlight w:val="none"/>
        </w:rPr>
        <w:t>基础</w:t>
      </w:r>
      <w:r>
        <w:rPr>
          <w:rFonts w:ascii="宋体" w:hAnsi="宋体"/>
          <w:color w:val="auto"/>
          <w:sz w:val="24"/>
          <w:szCs w:val="24"/>
          <w:highlight w:val="none"/>
        </w:rPr>
        <w:t xml:space="preserve">合同不成立、不生效、无效、被撤销、被解除，不影响本保函的独立有效。 </w:t>
      </w:r>
    </w:p>
    <w:p w14:paraId="2C05C6C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263C80F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026A5CC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r>
        <w:rPr>
          <w:rFonts w:hint="eastAsia" w:ascii="宋体" w:hAnsi="宋体"/>
          <w:color w:val="auto"/>
          <w:sz w:val="24"/>
          <w:szCs w:val="24"/>
          <w:highlight w:val="none"/>
        </w:rPr>
        <w:t>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526138E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64FC2C5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6DA5E53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09AD6C4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18E7FDD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27A3E34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45F696C8">
      <w:pPr>
        <w:spacing w:line="360" w:lineRule="auto"/>
        <w:ind w:firstLine="480" w:firstLineChars="200"/>
        <w:rPr>
          <w:color w:val="auto"/>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w:t>
      </w:r>
    </w:p>
    <w:p w14:paraId="11CB938F">
      <w:pPr>
        <w:spacing w:line="360" w:lineRule="auto"/>
        <w:jc w:val="left"/>
        <w:rPr>
          <w:rFonts w:eastAsia="仿宋_GB2312"/>
          <w:color w:val="auto"/>
          <w:sz w:val="30"/>
          <w:szCs w:val="30"/>
          <w:highlight w:val="none"/>
        </w:rPr>
      </w:pPr>
    </w:p>
    <w:p w14:paraId="06578AA8">
      <w:pPr>
        <w:spacing w:line="360" w:lineRule="auto"/>
        <w:jc w:val="left"/>
        <w:rPr>
          <w:rFonts w:ascii="宋体" w:hAnsi="宋体"/>
          <w:color w:val="auto"/>
          <w:sz w:val="32"/>
          <w:szCs w:val="32"/>
          <w:highlight w:val="none"/>
        </w:rPr>
      </w:pPr>
      <w:r>
        <w:rPr>
          <w:rFonts w:hint="eastAsia" w:eastAsia="仿宋_GB2312" w:cs="仿宋_GB2312"/>
          <w:color w:val="auto"/>
          <w:sz w:val="30"/>
          <w:szCs w:val="30"/>
          <w:highlight w:val="none"/>
        </w:rPr>
        <w:br w:type="page"/>
      </w:r>
      <w:r>
        <w:rPr>
          <w:rFonts w:hint="eastAsia" w:eastAsia="仿宋_GB2312" w:cs="仿宋_GB2312"/>
          <w:color w:val="auto"/>
          <w:sz w:val="30"/>
          <w:szCs w:val="30"/>
          <w:highlight w:val="none"/>
        </w:rPr>
        <w:t>附</w:t>
      </w:r>
      <w:bookmarkStart w:id="1224" w:name="_Toc296891059"/>
      <w:bookmarkStart w:id="1225" w:name="_Toc296891271"/>
      <w:bookmarkStart w:id="1226" w:name="_Toc296346732"/>
      <w:bookmarkStart w:id="1227" w:name="_Toc296944570"/>
      <w:bookmarkStart w:id="1228" w:name="_Toc296503231"/>
      <w:bookmarkStart w:id="1229" w:name="_Toc296347230"/>
      <w:r>
        <w:rPr>
          <w:rFonts w:hint="eastAsia" w:eastAsia="仿宋_GB2312" w:cs="仿宋_GB2312"/>
          <w:color w:val="auto"/>
          <w:sz w:val="30"/>
          <w:szCs w:val="30"/>
          <w:highlight w:val="none"/>
        </w:rPr>
        <w:t>件</w:t>
      </w:r>
      <w:r>
        <w:rPr>
          <w:rFonts w:hint="eastAsia" w:eastAsia="仿宋_GB2312"/>
          <w:color w:val="auto"/>
          <w:sz w:val="30"/>
          <w:szCs w:val="30"/>
          <w:highlight w:val="none"/>
        </w:rPr>
        <w:t>7</w:t>
      </w:r>
      <w:r>
        <w:rPr>
          <w:rFonts w:hint="eastAsia" w:eastAsia="仿宋_GB2312" w:cs="仿宋_GB2312"/>
          <w:color w:val="auto"/>
          <w:sz w:val="30"/>
          <w:szCs w:val="30"/>
          <w:highlight w:val="none"/>
        </w:rPr>
        <w:t>：</w:t>
      </w:r>
    </w:p>
    <w:p w14:paraId="6C9B0E71">
      <w:pPr>
        <w:spacing w:line="360" w:lineRule="auto"/>
        <w:rPr>
          <w:rFonts w:ascii="宋体" w:hAnsi="宋体"/>
          <w:b/>
          <w:bCs/>
          <w:color w:val="auto"/>
          <w:sz w:val="32"/>
          <w:szCs w:val="32"/>
          <w:highlight w:val="none"/>
        </w:rPr>
      </w:pPr>
    </w:p>
    <w:p w14:paraId="489B7D56">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履约保函示范文本</w:t>
      </w:r>
    </w:p>
    <w:p w14:paraId="700827A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17BC697B">
      <w:pPr>
        <w:spacing w:line="360" w:lineRule="auto"/>
        <w:jc w:val="center"/>
        <w:rPr>
          <w:rFonts w:ascii="宋体" w:hAnsi="宋体"/>
          <w:b/>
          <w:bCs/>
          <w:color w:val="auto"/>
          <w:sz w:val="32"/>
          <w:szCs w:val="32"/>
          <w:highlight w:val="none"/>
        </w:rPr>
      </w:pPr>
    </w:p>
    <w:p w14:paraId="57455293">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1447CF0C">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p>
    <w:p w14:paraId="758AFB2C">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7371F01D">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r>
        <w:rPr>
          <w:rFonts w:ascii="宋体" w:hAnsi="宋体"/>
          <w:color w:val="auto"/>
          <w:sz w:val="24"/>
          <w:szCs w:val="24"/>
          <w:highlight w:val="none"/>
        </w:rPr>
        <w:t xml:space="preserve"> </w:t>
      </w:r>
    </w:p>
    <w:p w14:paraId="3EC5E3A3">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7BC94D74">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3E258C1E">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24358B13">
      <w:pPr>
        <w:spacing w:line="360" w:lineRule="auto"/>
        <w:rPr>
          <w:rFonts w:ascii="宋体" w:hAnsi="宋体"/>
          <w:color w:val="auto"/>
          <w:sz w:val="24"/>
          <w:szCs w:val="24"/>
          <w:highlight w:val="none"/>
        </w:rPr>
      </w:pPr>
    </w:p>
    <w:p w14:paraId="65AE6E17">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640243D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发包人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承包人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（以下简称“主合同”），我方即保证人基于承包人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如下保证担保（以下简称“本保证担保”）</w:t>
      </w:r>
      <w:r>
        <w:rPr>
          <w:rFonts w:ascii="宋体" w:hAnsi="宋体"/>
          <w:color w:val="auto"/>
          <w:sz w:val="24"/>
          <w:szCs w:val="24"/>
          <w:highlight w:val="none"/>
        </w:rPr>
        <w:t xml:space="preserve">。 </w:t>
      </w:r>
    </w:p>
    <w:p w14:paraId="39E850AB">
      <w:pPr>
        <w:spacing w:line="360" w:lineRule="auto"/>
        <w:rPr>
          <w:rFonts w:ascii="宋体" w:hAnsi="宋体"/>
          <w:b/>
          <w:bCs/>
          <w:color w:val="auto"/>
          <w:sz w:val="24"/>
          <w:szCs w:val="24"/>
          <w:highlight w:val="none"/>
        </w:rPr>
      </w:pPr>
      <w:r>
        <w:rPr>
          <w:rFonts w:hint="eastAsia" w:ascii="宋体" w:hAnsi="宋体"/>
          <w:color w:val="auto"/>
          <w:sz w:val="24"/>
          <w:szCs w:val="24"/>
          <w:highlight w:val="none"/>
        </w:rPr>
        <w:t xml:space="preserve">    </w:t>
      </w:r>
      <w:r>
        <w:rPr>
          <w:rFonts w:hint="eastAsia" w:ascii="宋体" w:hAnsi="宋体"/>
          <w:b/>
          <w:bCs/>
          <w:color w:val="auto"/>
          <w:sz w:val="24"/>
          <w:szCs w:val="24"/>
          <w:highlight w:val="none"/>
        </w:rPr>
        <w:t>一、保证担保的范围及保证担保金额</w:t>
      </w:r>
    </w:p>
    <w:p w14:paraId="4E2BD1A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保证担保范围：承包人未按照主合同的约定履行义务，应当向贵方承担的违约责任和赔偿因此造成的损失、利息、律师费、诉讼费用等实现债权的费用。</w:t>
      </w:r>
    </w:p>
    <w:p w14:paraId="6FDCD3D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731B5FB">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6C321A1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6500526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主合同约定的缺陷责任期</w:t>
      </w:r>
      <w:r>
        <w:rPr>
          <w:rFonts w:ascii="宋体" w:hAnsi="宋体"/>
          <w:color w:val="auto"/>
          <w:sz w:val="24"/>
          <w:szCs w:val="24"/>
          <w:highlight w:val="none"/>
        </w:rPr>
        <w:t>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0570B3A4">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4AB7199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我方按照贵方的要求以下列方式之一承担保证担保责任：</w:t>
      </w:r>
      <w:r>
        <w:rPr>
          <w:rFonts w:ascii="宋体" w:hAnsi="宋体"/>
          <w:color w:val="auto"/>
          <w:sz w:val="24"/>
          <w:szCs w:val="24"/>
          <w:highlight w:val="none"/>
        </w:rPr>
        <w:t xml:space="preserve"> </w:t>
      </w:r>
    </w:p>
    <w:p w14:paraId="256686D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1.向承包人资金、设备或者技术援助，使其能继续履行合同义务；</w:t>
      </w:r>
    </w:p>
    <w:p w14:paraId="2571598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2.直接接管该项工程或者委托经贵方同意的其他承包商，继续履行合同义务；</w:t>
      </w:r>
    </w:p>
    <w:p w14:paraId="10EF1E7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3.在保证担保金额最高限额内，按照合同约定，向贵方承担违约责任和赔偿因此造成的损失，以及利息和律师费、诉讼费用等实现债权的费用。</w:t>
      </w:r>
    </w:p>
    <w:p w14:paraId="0450B2E5">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6C0DE11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color w:val="auto"/>
          <w:sz w:val="24"/>
          <w:szCs w:val="24"/>
          <w:highlight w:val="none"/>
          <w:lang w:eastAsia="zh-CN"/>
        </w:rPr>
        <w:t>账号</w:t>
      </w:r>
      <w:r>
        <w:rPr>
          <w:rFonts w:hint="eastAsia" w:ascii="宋体" w:hAnsi="宋体"/>
          <w:color w:val="auto"/>
          <w:sz w:val="24"/>
          <w:szCs w:val="24"/>
          <w:highlight w:val="none"/>
        </w:rPr>
        <w:t>，并附有说明承包人违反主合同造成贵方损失情况的证明材料。</w:t>
      </w:r>
    </w:p>
    <w:p w14:paraId="2D751B8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2.贵方以工程质量不符合主合同约定标准为由，向我方提出违约索赔的，还需同时提供符合相应条件要求的工程质量检测部门出具的质量说明材料。</w:t>
      </w:r>
    </w:p>
    <w:p w14:paraId="3A1C70F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1C0B5D2B">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7C47FB2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43B186B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782B8A9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59CB2AB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4874DA53">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7AD23B1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承包人未按照主合同约定履行义务的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01A8ABE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0C89EB9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承包人未按照主合同约定履行义务的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5EC947B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2C8C982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5AA1301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0E42C3B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365C0954">
      <w:pPr>
        <w:spacing w:line="360" w:lineRule="auto"/>
        <w:ind w:firstLine="480" w:firstLineChars="200"/>
        <w:rPr>
          <w:rFonts w:ascii="宋体" w:hAnsi="宋体"/>
          <w:color w:val="auto"/>
          <w:sz w:val="24"/>
          <w:szCs w:val="24"/>
          <w:highlight w:val="none"/>
        </w:rPr>
      </w:pPr>
    </w:p>
    <w:p w14:paraId="7F51D79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（公</w:t>
      </w:r>
      <w:r>
        <w:rPr>
          <w:rFonts w:ascii="宋体" w:hAnsi="宋体"/>
          <w:color w:val="auto"/>
          <w:sz w:val="24"/>
          <w:szCs w:val="24"/>
          <w:highlight w:val="none"/>
        </w:rPr>
        <w:t xml:space="preserve">章） </w:t>
      </w:r>
    </w:p>
    <w:p w14:paraId="4B2CAA4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F92336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04E5219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32E5A12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65DE5EF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654462A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64FD12D6">
      <w:pPr>
        <w:rPr>
          <w:color w:val="auto"/>
          <w:highlight w:val="none"/>
        </w:rPr>
      </w:pPr>
    </w:p>
    <w:p w14:paraId="2A2B18FB">
      <w:pPr>
        <w:rPr>
          <w:color w:val="auto"/>
          <w:highlight w:val="none"/>
        </w:rPr>
      </w:pPr>
    </w:p>
    <w:bookmarkEnd w:id="1223"/>
    <w:bookmarkEnd w:id="1224"/>
    <w:bookmarkEnd w:id="1225"/>
    <w:bookmarkEnd w:id="1226"/>
    <w:bookmarkEnd w:id="1227"/>
    <w:bookmarkEnd w:id="1228"/>
    <w:bookmarkEnd w:id="1229"/>
    <w:p w14:paraId="670E9C66">
      <w:pPr>
        <w:spacing w:line="360" w:lineRule="auto"/>
        <w:jc w:val="left"/>
        <w:rPr>
          <w:rFonts w:ascii="黑体" w:hAnsi="黑体" w:eastAsia="黑体" w:cs="黑体"/>
          <w:color w:val="auto"/>
          <w:sz w:val="32"/>
          <w:szCs w:val="32"/>
          <w:highlight w:val="none"/>
        </w:rPr>
      </w:pPr>
      <w:r>
        <w:rPr>
          <w:rFonts w:hint="eastAsia" w:eastAsia="仿宋_GB2312" w:cs="仿宋_GB2312"/>
          <w:color w:val="auto"/>
          <w:sz w:val="30"/>
          <w:szCs w:val="30"/>
          <w:highlight w:val="none"/>
        </w:rPr>
        <w:br w:type="page"/>
      </w:r>
      <w:r>
        <w:rPr>
          <w:rFonts w:hint="eastAsia" w:eastAsia="仿宋_GB2312" w:cs="仿宋_GB2312"/>
          <w:color w:val="auto"/>
          <w:sz w:val="30"/>
          <w:szCs w:val="30"/>
          <w:highlight w:val="none"/>
        </w:rPr>
        <w:t>附件</w:t>
      </w:r>
      <w:r>
        <w:rPr>
          <w:rFonts w:hint="eastAsia" w:eastAsia="仿宋_GB2312"/>
          <w:color w:val="auto"/>
          <w:sz w:val="30"/>
          <w:szCs w:val="30"/>
          <w:highlight w:val="none"/>
        </w:rPr>
        <w:t>8</w:t>
      </w:r>
      <w:r>
        <w:rPr>
          <w:rFonts w:hint="eastAsia" w:eastAsia="仿宋_GB2312" w:cs="仿宋_GB2312"/>
          <w:color w:val="auto"/>
          <w:sz w:val="30"/>
          <w:szCs w:val="30"/>
          <w:highlight w:val="none"/>
        </w:rPr>
        <w:t>：</w:t>
      </w:r>
    </w:p>
    <w:p w14:paraId="26AFE8F1">
      <w:pPr>
        <w:spacing w:line="360" w:lineRule="auto"/>
        <w:jc w:val="left"/>
        <w:rPr>
          <w:rFonts w:ascii="黑体" w:hAnsi="黑体" w:eastAsia="黑体" w:cs="黑体"/>
          <w:b/>
          <w:bCs/>
          <w:color w:val="auto"/>
          <w:sz w:val="32"/>
          <w:szCs w:val="32"/>
          <w:highlight w:val="none"/>
        </w:rPr>
      </w:pPr>
    </w:p>
    <w:p w14:paraId="56DED248">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348AEF4C">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381A0725">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3233D95">
      <w:pPr>
        <w:spacing w:line="360" w:lineRule="auto"/>
        <w:rPr>
          <w:rFonts w:ascii="宋体" w:hAnsi="宋体"/>
          <w:color w:val="auto"/>
          <w:sz w:val="24"/>
          <w:szCs w:val="24"/>
          <w:highlight w:val="none"/>
        </w:rPr>
      </w:pPr>
    </w:p>
    <w:p w14:paraId="38258234">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3A498EB7">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6956A160">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77177215">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2FDF49A2">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27F67336">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47D11B90">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4D2625A5">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p w14:paraId="37C534E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受益人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申请人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（以下简称“基础合同”），我方（即“开立人”）根据主合同了解到申请人为主合同项下之承包人，受益人为主合同项下之发包人，基于申请人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申请人按照合同约定正确和合理地为合同目的使用预付款，</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保函（以下简称“本保函”）</w:t>
      </w:r>
      <w:r>
        <w:rPr>
          <w:rFonts w:ascii="宋体" w:hAnsi="宋体"/>
          <w:color w:val="auto"/>
          <w:sz w:val="24"/>
          <w:szCs w:val="24"/>
          <w:highlight w:val="none"/>
        </w:rPr>
        <w:t xml:space="preserve">。 </w:t>
      </w:r>
    </w:p>
    <w:p w14:paraId="6E59A8F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一、本保函担保范围：申请人未按照合同约定正确和合理地为合同目的使用预付款，应当向贵方承担的违约责任和赔偿因此造成的损失、利息、律师费、诉讼费用等实现债权的费用。</w:t>
      </w:r>
    </w:p>
    <w:p w14:paraId="4D4FE3A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4BEF87D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p>
    <w:p w14:paraId="58F36D7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41BA13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00F2D5A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4A5E8D2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68EF0BE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241330C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779179F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339A900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28F086B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w:t>
      </w:r>
      <w:r>
        <w:rPr>
          <w:rFonts w:hint="eastAsia" w:ascii="宋体" w:hAnsi="宋体"/>
          <w:color w:val="auto"/>
          <w:sz w:val="24"/>
          <w:szCs w:val="24"/>
          <w:highlight w:val="none"/>
        </w:rPr>
        <w:t>基础</w:t>
      </w:r>
      <w:r>
        <w:rPr>
          <w:rFonts w:ascii="宋体" w:hAnsi="宋体"/>
          <w:color w:val="auto"/>
          <w:sz w:val="24"/>
          <w:szCs w:val="24"/>
          <w:highlight w:val="none"/>
        </w:rPr>
        <w:t xml:space="preserve">合同不成立、不生效、无效、被撤销、被解除，不影响本保函的独立有效。 </w:t>
      </w:r>
    </w:p>
    <w:p w14:paraId="236C134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7CED29F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0D416B3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r>
        <w:rPr>
          <w:rFonts w:hint="eastAsia" w:ascii="宋体" w:hAnsi="宋体"/>
          <w:color w:val="auto"/>
          <w:sz w:val="24"/>
          <w:szCs w:val="24"/>
          <w:highlight w:val="none"/>
        </w:rPr>
        <w:t>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2395C051">
      <w:pPr>
        <w:spacing w:line="360" w:lineRule="auto"/>
        <w:ind w:firstLine="480" w:firstLineChars="200"/>
        <w:rPr>
          <w:rFonts w:ascii="宋体" w:hAnsi="宋体"/>
          <w:color w:val="auto"/>
          <w:sz w:val="24"/>
          <w:szCs w:val="24"/>
          <w:highlight w:val="none"/>
        </w:rPr>
      </w:pPr>
    </w:p>
    <w:p w14:paraId="6FC68E0F">
      <w:pPr>
        <w:spacing w:line="360" w:lineRule="auto"/>
        <w:ind w:firstLine="480" w:firstLineChars="200"/>
        <w:rPr>
          <w:rFonts w:ascii="宋体" w:hAnsi="宋体"/>
          <w:color w:val="auto"/>
          <w:sz w:val="24"/>
          <w:szCs w:val="24"/>
          <w:highlight w:val="none"/>
        </w:rPr>
      </w:pPr>
    </w:p>
    <w:p w14:paraId="1C31D6D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194D442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6E3A2CA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64F7F49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38D0187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2A11276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4490C602">
      <w:pPr>
        <w:rPr>
          <w:color w:val="auto"/>
          <w:highlight w:val="none"/>
        </w:rPr>
      </w:pPr>
      <w:r>
        <w:rPr>
          <w:rFonts w:hint="eastAsia" w:ascii="宋体" w:hAnsi="宋体"/>
          <w:color w:val="auto"/>
          <w:sz w:val="24"/>
          <w:szCs w:val="24"/>
          <w:highlight w:val="none"/>
        </w:rPr>
        <w:t xml:space="preserve">    开立时间：</w:t>
      </w:r>
      <w:r>
        <w:rPr>
          <w:rFonts w:ascii="宋体" w:hAnsi="宋体"/>
          <w:color w:val="auto"/>
          <w:sz w:val="24"/>
          <w:szCs w:val="24"/>
          <w:highlight w:val="none"/>
        </w:rPr>
        <w:t xml:space="preserve">      年      月        日</w:t>
      </w:r>
    </w:p>
    <w:p w14:paraId="2A6BB11A">
      <w:pPr>
        <w:spacing w:line="360" w:lineRule="auto"/>
        <w:jc w:val="center"/>
        <w:rPr>
          <w:rFonts w:ascii="宋体" w:hAnsi="宋体"/>
          <w:b/>
          <w:bCs/>
          <w:color w:val="auto"/>
          <w:sz w:val="32"/>
          <w:szCs w:val="32"/>
          <w:highlight w:val="none"/>
        </w:rPr>
      </w:pPr>
    </w:p>
    <w:p w14:paraId="3444A177">
      <w:pPr>
        <w:spacing w:line="360" w:lineRule="auto"/>
        <w:jc w:val="left"/>
        <w:rPr>
          <w:rFonts w:hint="eastAsia" w:ascii="黑体" w:hAnsi="黑体" w:eastAsia="黑体" w:cs="黑体"/>
          <w:b/>
          <w:bCs/>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ascii="黑体" w:hAnsi="黑体" w:eastAsia="黑体" w:cs="黑体"/>
          <w:color w:val="auto"/>
          <w:sz w:val="32"/>
          <w:szCs w:val="32"/>
          <w:highlight w:val="none"/>
        </w:rPr>
        <w:t>8</w:t>
      </w:r>
    </w:p>
    <w:p w14:paraId="5813D059">
      <w:pPr>
        <w:spacing w:line="360" w:lineRule="auto"/>
        <w:jc w:val="left"/>
        <w:rPr>
          <w:rFonts w:ascii="黑体" w:hAnsi="黑体" w:eastAsia="黑体" w:cs="黑体"/>
          <w:b/>
          <w:bCs/>
          <w:color w:val="auto"/>
          <w:sz w:val="32"/>
          <w:szCs w:val="32"/>
          <w:highlight w:val="none"/>
        </w:rPr>
      </w:pPr>
    </w:p>
    <w:p w14:paraId="7940C1C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预付款保函示范文本</w:t>
      </w:r>
    </w:p>
    <w:p w14:paraId="7469F50B">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54380B50">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7A7B058A">
      <w:pPr>
        <w:spacing w:line="360" w:lineRule="auto"/>
        <w:rPr>
          <w:rFonts w:ascii="宋体" w:hAnsi="宋体"/>
          <w:color w:val="auto"/>
          <w:sz w:val="24"/>
          <w:szCs w:val="24"/>
          <w:highlight w:val="none"/>
        </w:rPr>
      </w:pPr>
    </w:p>
    <w:p w14:paraId="1B34BB80">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担保权人/发包人：</w:t>
      </w:r>
    </w:p>
    <w:p w14:paraId="040ACFA0">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2A7355D3">
      <w:pPr>
        <w:spacing w:line="360" w:lineRule="auto"/>
        <w:rPr>
          <w:rFonts w:ascii="宋体" w:hAnsi="宋体"/>
          <w:color w:val="auto"/>
          <w:sz w:val="24"/>
          <w:szCs w:val="24"/>
          <w:highlight w:val="none"/>
        </w:rPr>
      </w:pPr>
      <w:r>
        <w:rPr>
          <w:rFonts w:hint="eastAsia" w:ascii="宋体" w:hAnsi="宋体"/>
          <w:color w:val="auto"/>
          <w:sz w:val="24"/>
          <w:szCs w:val="24"/>
          <w:highlight w:val="none"/>
        </w:rPr>
        <w:t>承包人：</w:t>
      </w:r>
      <w:r>
        <w:rPr>
          <w:rFonts w:ascii="宋体" w:hAnsi="宋体"/>
          <w:color w:val="auto"/>
          <w:sz w:val="24"/>
          <w:szCs w:val="24"/>
          <w:highlight w:val="none"/>
        </w:rPr>
        <w:t xml:space="preserve"> </w:t>
      </w:r>
    </w:p>
    <w:p w14:paraId="27C1F17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3F2496BE">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784A1D78">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0C1ECBB9">
      <w:pPr>
        <w:spacing w:line="360" w:lineRule="auto"/>
        <w:rPr>
          <w:rFonts w:ascii="宋体" w:hAnsi="宋体"/>
          <w:color w:val="auto"/>
          <w:sz w:val="24"/>
          <w:szCs w:val="24"/>
          <w:highlight w:val="none"/>
        </w:rPr>
      </w:pPr>
    </w:p>
    <w:p w14:paraId="2A30029C">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发包人</w:t>
      </w:r>
      <w:r>
        <w:rPr>
          <w:rFonts w:ascii="宋体" w:hAnsi="宋体"/>
          <w:color w:val="auto"/>
          <w:sz w:val="24"/>
          <w:szCs w:val="24"/>
          <w:highlight w:val="none"/>
        </w:rPr>
        <w:t xml:space="preserve">名称）： </w:t>
      </w:r>
    </w:p>
    <w:p w14:paraId="2108653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发包人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承包人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（以下简称“主合同”），我方即保证人基于承包人</w:t>
      </w:r>
      <w:r>
        <w:rPr>
          <w:rFonts w:ascii="宋体" w:hAnsi="宋体"/>
          <w:color w:val="auto"/>
          <w:sz w:val="24"/>
          <w:szCs w:val="24"/>
          <w:highlight w:val="none"/>
        </w:rPr>
        <w:t>的请求，同意就</w:t>
      </w:r>
      <w:r>
        <w:rPr>
          <w:rFonts w:hint="eastAsia" w:ascii="宋体" w:hAnsi="宋体"/>
          <w:color w:val="auto"/>
          <w:sz w:val="24"/>
          <w:szCs w:val="24"/>
          <w:highlight w:val="none"/>
        </w:rPr>
        <w:t>承包人按照合同约定正确和合理地为合同目的使用预付款，不将预付款挪作他用，</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如下保证担保（以下简称“本保证担保”）</w:t>
      </w:r>
      <w:r>
        <w:rPr>
          <w:rFonts w:ascii="宋体" w:hAnsi="宋体"/>
          <w:color w:val="auto"/>
          <w:sz w:val="24"/>
          <w:szCs w:val="24"/>
          <w:highlight w:val="none"/>
        </w:rPr>
        <w:t xml:space="preserve">。 </w:t>
      </w:r>
    </w:p>
    <w:p w14:paraId="12602AB0">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19703E1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保证担保范围：申请人未按照合同约定正确和合理地为合同目的使用预付款，应当向贵方承担的违约责任和赔偿因此造成的损失、利息、律师费、诉讼费用等实现债权的费用。</w:t>
      </w:r>
    </w:p>
    <w:p w14:paraId="0E02135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158231F2">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0AC3304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381FDE7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发包人全额扣回预付款后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057FE1DD">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48D9776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发生应承担保证责任情形的，我方在保证金额内向贵方支付，并赔偿因此给贵方造成的损失，以及利息和律师费、诉讼费用等实现债权的费用。</w:t>
      </w:r>
    </w:p>
    <w:p w14:paraId="64EF2FE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0AFD01F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1.贵方要求我方承担保证责任的，应向我方发出书面索赔通知及承包人未履行主合同约定义务的证明材料。索赔通知应写明要求索赔的金额，支付款项应到达的</w:t>
      </w:r>
      <w:r>
        <w:rPr>
          <w:rFonts w:hint="eastAsia" w:ascii="宋体" w:hAnsi="宋体"/>
          <w:color w:val="auto"/>
          <w:sz w:val="24"/>
          <w:szCs w:val="24"/>
          <w:highlight w:val="none"/>
          <w:lang w:eastAsia="zh-CN"/>
        </w:rPr>
        <w:t>账号</w:t>
      </w:r>
      <w:r>
        <w:rPr>
          <w:rFonts w:hint="eastAsia" w:ascii="宋体" w:hAnsi="宋体"/>
          <w:color w:val="auto"/>
          <w:sz w:val="24"/>
          <w:szCs w:val="24"/>
          <w:highlight w:val="none"/>
        </w:rPr>
        <w:t>，并附有说明承包人违反主合同造成贵方损失情况的证明材料。</w:t>
      </w:r>
    </w:p>
    <w:p w14:paraId="4AD2A51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2.我方收到贵方的书面索赔通知及相应证明材料后，在</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13672F9F">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32FAA93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71BBD99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0E5171D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5FE72DD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199228BC">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0B14E46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626A08E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承包</w:t>
      </w:r>
      <w:r>
        <w:rPr>
          <w:rFonts w:ascii="宋体" w:hAnsi="宋体"/>
          <w:color w:val="auto"/>
          <w:sz w:val="24"/>
          <w:szCs w:val="24"/>
          <w:highlight w:val="none"/>
        </w:rPr>
        <w:t>人的另行约定，免除</w:t>
      </w:r>
      <w:r>
        <w:rPr>
          <w:rFonts w:hint="eastAsia" w:ascii="宋体" w:hAnsi="宋体"/>
          <w:color w:val="auto"/>
          <w:sz w:val="24"/>
          <w:szCs w:val="24"/>
          <w:highlight w:val="none"/>
        </w:rPr>
        <w:t>承包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3385C9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发生应承担保证责任情形的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39B46861">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506E42E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2AF16E2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4F6CBB8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661AC96E">
      <w:pPr>
        <w:spacing w:line="360" w:lineRule="auto"/>
        <w:ind w:firstLine="480" w:firstLineChars="200"/>
        <w:rPr>
          <w:rFonts w:ascii="宋体" w:hAnsi="宋体"/>
          <w:color w:val="auto"/>
          <w:sz w:val="24"/>
          <w:szCs w:val="24"/>
          <w:highlight w:val="none"/>
        </w:rPr>
      </w:pPr>
    </w:p>
    <w:p w14:paraId="40A4CDF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0FD764E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9773C3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043C3D4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582507F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06216FD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4E971A4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45D0C132">
      <w:pPr>
        <w:rPr>
          <w:color w:val="auto"/>
          <w:highlight w:val="none"/>
        </w:rPr>
      </w:pPr>
    </w:p>
    <w:p w14:paraId="0E3366B5">
      <w:pPr>
        <w:spacing w:line="360" w:lineRule="auto"/>
        <w:jc w:val="center"/>
        <w:rPr>
          <w:rFonts w:hint="eastAsia" w:ascii="宋体" w:hAnsi="宋体"/>
          <w:b/>
          <w:bCs/>
          <w:color w:val="auto"/>
          <w:sz w:val="32"/>
          <w:szCs w:val="32"/>
          <w:highlight w:val="none"/>
        </w:rPr>
      </w:pPr>
    </w:p>
    <w:p w14:paraId="52A4F7BA">
      <w:pPr>
        <w:spacing w:line="440" w:lineRule="exact"/>
        <w:rPr>
          <w:rFonts w:eastAsia="黑体"/>
          <w:color w:val="auto"/>
          <w:sz w:val="30"/>
          <w:szCs w:val="30"/>
          <w:highlight w:val="none"/>
        </w:rPr>
      </w:pPr>
      <w:r>
        <w:rPr>
          <w:rFonts w:hint="eastAsia" w:eastAsia="仿宋_GB2312" w:cs="仿宋_GB2312"/>
          <w:color w:val="auto"/>
          <w:sz w:val="30"/>
          <w:szCs w:val="30"/>
          <w:highlight w:val="none"/>
        </w:rPr>
        <w:br w:type="page"/>
      </w:r>
      <w:r>
        <w:rPr>
          <w:rFonts w:hint="eastAsia" w:eastAsia="仿宋_GB2312" w:cs="仿宋_GB2312"/>
          <w:color w:val="auto"/>
          <w:sz w:val="30"/>
          <w:szCs w:val="30"/>
          <w:highlight w:val="none"/>
        </w:rPr>
        <w:t>附件</w:t>
      </w:r>
      <w:r>
        <w:rPr>
          <w:rFonts w:hint="eastAsia" w:eastAsia="仿宋_GB2312"/>
          <w:color w:val="auto"/>
          <w:sz w:val="30"/>
          <w:szCs w:val="30"/>
          <w:highlight w:val="none"/>
        </w:rPr>
        <w:t>9</w:t>
      </w:r>
      <w:r>
        <w:rPr>
          <w:rFonts w:hint="eastAsia" w:eastAsia="仿宋_GB2312" w:cs="仿宋_GB2312"/>
          <w:color w:val="auto"/>
          <w:sz w:val="30"/>
          <w:szCs w:val="30"/>
          <w:highlight w:val="none"/>
        </w:rPr>
        <w:t>：</w:t>
      </w:r>
    </w:p>
    <w:p w14:paraId="022C3DB2">
      <w:pPr>
        <w:spacing w:line="360" w:lineRule="auto"/>
        <w:jc w:val="left"/>
        <w:rPr>
          <w:rFonts w:ascii="黑体" w:hAnsi="黑体" w:eastAsia="黑体" w:cs="黑体"/>
          <w:b/>
          <w:bCs/>
          <w:color w:val="auto"/>
          <w:sz w:val="32"/>
          <w:szCs w:val="32"/>
          <w:highlight w:val="none"/>
        </w:rPr>
      </w:pPr>
    </w:p>
    <w:p w14:paraId="14A7B65D">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45850A83">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（独立保函）</w:t>
      </w:r>
    </w:p>
    <w:p w14:paraId="3F3A5FCA">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11BF95AC">
      <w:pPr>
        <w:spacing w:line="360" w:lineRule="auto"/>
        <w:rPr>
          <w:rFonts w:ascii="宋体" w:hAnsi="宋体"/>
          <w:color w:val="auto"/>
          <w:sz w:val="24"/>
          <w:szCs w:val="24"/>
          <w:highlight w:val="none"/>
        </w:rPr>
      </w:pPr>
      <w:r>
        <w:rPr>
          <w:rFonts w:hint="eastAsia" w:ascii="宋体" w:hAnsi="宋体"/>
          <w:color w:val="auto"/>
          <w:sz w:val="24"/>
          <w:szCs w:val="24"/>
          <w:highlight w:val="none"/>
        </w:rPr>
        <w:t>申请人：</w:t>
      </w:r>
    </w:p>
    <w:p w14:paraId="263A9D7B">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r>
        <w:rPr>
          <w:rFonts w:ascii="宋体" w:hAnsi="宋体"/>
          <w:color w:val="auto"/>
          <w:sz w:val="24"/>
          <w:szCs w:val="24"/>
          <w:highlight w:val="none"/>
        </w:rPr>
        <w:t>：</w:t>
      </w:r>
    </w:p>
    <w:p w14:paraId="7E7FE56D">
      <w:pPr>
        <w:spacing w:line="360" w:lineRule="auto"/>
        <w:rPr>
          <w:rFonts w:ascii="宋体" w:hAnsi="宋体"/>
          <w:color w:val="auto"/>
          <w:sz w:val="24"/>
          <w:szCs w:val="24"/>
          <w:highlight w:val="none"/>
        </w:rPr>
      </w:pPr>
      <w:r>
        <w:rPr>
          <w:rFonts w:hint="eastAsia" w:ascii="宋体" w:hAnsi="宋体"/>
          <w:color w:val="auto"/>
          <w:sz w:val="24"/>
          <w:szCs w:val="24"/>
          <w:highlight w:val="none"/>
        </w:rPr>
        <w:t>受益人：</w:t>
      </w:r>
    </w:p>
    <w:p w14:paraId="02E11948">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地址：</w:t>
      </w:r>
    </w:p>
    <w:p w14:paraId="28279E47">
      <w:pPr>
        <w:spacing w:line="360" w:lineRule="auto"/>
        <w:rPr>
          <w:rFonts w:ascii="宋体" w:hAnsi="宋体"/>
          <w:color w:val="auto"/>
          <w:sz w:val="24"/>
          <w:szCs w:val="24"/>
          <w:highlight w:val="none"/>
        </w:rPr>
      </w:pPr>
      <w:r>
        <w:rPr>
          <w:rFonts w:hint="eastAsia" w:ascii="宋体" w:hAnsi="宋体"/>
          <w:color w:val="auto"/>
          <w:sz w:val="24"/>
          <w:szCs w:val="24"/>
          <w:highlight w:val="none"/>
        </w:rPr>
        <w:t>开立人：</w:t>
      </w:r>
    </w:p>
    <w:p w14:paraId="4C1C06F8">
      <w:pPr>
        <w:spacing w:line="360" w:lineRule="auto"/>
        <w:rPr>
          <w:rFonts w:ascii="宋体" w:hAnsi="宋体"/>
          <w:color w:val="auto"/>
          <w:sz w:val="24"/>
          <w:szCs w:val="24"/>
          <w:highlight w:val="none"/>
        </w:rPr>
      </w:pP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地址：</w:t>
      </w:r>
    </w:p>
    <w:p w14:paraId="6C8B1487">
      <w:pPr>
        <w:spacing w:line="360" w:lineRule="auto"/>
        <w:rPr>
          <w:rFonts w:ascii="宋体" w:hAnsi="宋体"/>
          <w:color w:val="auto"/>
          <w:sz w:val="24"/>
          <w:szCs w:val="24"/>
          <w:highlight w:val="none"/>
        </w:rPr>
      </w:pPr>
      <w:r>
        <w:rPr>
          <w:rFonts w:ascii="宋体" w:hAnsi="宋体"/>
          <w:color w:val="auto"/>
          <w:sz w:val="24"/>
          <w:szCs w:val="24"/>
          <w:highlight w:val="none"/>
        </w:rPr>
        <w:t xml:space="preserve"> </w:t>
      </w:r>
    </w:p>
    <w:p w14:paraId="4FB1C846">
      <w:pPr>
        <w:spacing w:line="360" w:lineRule="auto"/>
        <w:rPr>
          <w:rFonts w:ascii="宋体" w:hAnsi="宋体"/>
          <w:color w:val="auto"/>
          <w:sz w:val="24"/>
          <w:szCs w:val="24"/>
          <w:highlight w:val="none"/>
        </w:rPr>
      </w:pPr>
      <w:bookmarkStart w:id="1230" w:name="_Hlk40355074"/>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受益人</w:t>
      </w:r>
      <w:r>
        <w:rPr>
          <w:rFonts w:ascii="宋体" w:hAnsi="宋体"/>
          <w:color w:val="auto"/>
          <w:sz w:val="24"/>
          <w:szCs w:val="24"/>
          <w:highlight w:val="none"/>
        </w:rPr>
        <w:t xml:space="preserve">名称）： </w:t>
      </w:r>
    </w:p>
    <w:bookmarkEnd w:id="1230"/>
    <w:p w14:paraId="3EE98F6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受益人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申请人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（以下简称基础合同”），我方（即“开立人”）根据基础合同了解到申请人为基础合同项下之发包人，受益人为基础合同项下之承包人，基于申请人</w:t>
      </w:r>
      <w:r>
        <w:rPr>
          <w:rFonts w:ascii="宋体" w:hAnsi="宋体"/>
          <w:color w:val="auto"/>
          <w:sz w:val="24"/>
          <w:szCs w:val="24"/>
          <w:highlight w:val="none"/>
        </w:rPr>
        <w:t>的请求，我方同意就</w:t>
      </w:r>
      <w:r>
        <w:rPr>
          <w:rFonts w:hint="eastAsia" w:ascii="宋体" w:hAnsi="宋体"/>
          <w:color w:val="auto"/>
          <w:sz w:val="24"/>
          <w:szCs w:val="24"/>
          <w:highlight w:val="none"/>
        </w:rPr>
        <w:t>申请人</w:t>
      </w:r>
      <w:r>
        <w:rPr>
          <w:rFonts w:ascii="宋体" w:hAnsi="宋体"/>
          <w:color w:val="auto"/>
          <w:sz w:val="24"/>
          <w:szCs w:val="24"/>
          <w:highlight w:val="none"/>
        </w:rPr>
        <w:t>履行</w:t>
      </w:r>
      <w:r>
        <w:rPr>
          <w:rFonts w:hint="eastAsia" w:ascii="宋体" w:hAnsi="宋体"/>
          <w:color w:val="auto"/>
          <w:sz w:val="24"/>
          <w:szCs w:val="24"/>
          <w:highlight w:val="none"/>
        </w:rPr>
        <w:t>与贵方签订的基础合同</w:t>
      </w:r>
      <w:r>
        <w:rPr>
          <w:rFonts w:ascii="宋体" w:hAnsi="宋体"/>
          <w:color w:val="auto"/>
          <w:sz w:val="24"/>
          <w:szCs w:val="24"/>
          <w:highlight w:val="none"/>
        </w:rPr>
        <w:t>项下的</w:t>
      </w:r>
      <w:r>
        <w:rPr>
          <w:rFonts w:hint="eastAsia" w:ascii="宋体" w:hAnsi="宋体"/>
          <w:color w:val="auto"/>
          <w:sz w:val="24"/>
          <w:szCs w:val="24"/>
          <w:highlight w:val="none"/>
        </w:rPr>
        <w:t>工程款（指基础合同约定的除工程质量保修金以外的工程款）付款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向贵方提供不可撤销、</w:t>
      </w:r>
      <w:r>
        <w:rPr>
          <w:rFonts w:hint="eastAsia" w:ascii="宋体" w:hAnsi="宋体"/>
          <w:color w:val="auto"/>
          <w:sz w:val="24"/>
          <w:szCs w:val="24"/>
          <w:highlight w:val="none"/>
        </w:rPr>
        <w:t>不可转让的见索即付</w:t>
      </w:r>
      <w:r>
        <w:rPr>
          <w:rFonts w:ascii="宋体" w:hAnsi="宋体"/>
          <w:color w:val="auto"/>
          <w:sz w:val="24"/>
          <w:szCs w:val="24"/>
          <w:highlight w:val="none"/>
        </w:rPr>
        <w:t>独立</w:t>
      </w:r>
      <w:r>
        <w:rPr>
          <w:rFonts w:hint="eastAsia" w:ascii="宋体" w:hAnsi="宋体"/>
          <w:color w:val="auto"/>
          <w:sz w:val="24"/>
          <w:szCs w:val="24"/>
          <w:highlight w:val="none"/>
        </w:rPr>
        <w:t>保函（以下简称“本保函”）</w:t>
      </w:r>
      <w:r>
        <w:rPr>
          <w:rFonts w:ascii="宋体" w:hAnsi="宋体"/>
          <w:color w:val="auto"/>
          <w:sz w:val="24"/>
          <w:szCs w:val="24"/>
          <w:highlight w:val="none"/>
        </w:rPr>
        <w:t xml:space="preserve">。 </w:t>
      </w:r>
    </w:p>
    <w:p w14:paraId="6F248BC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一、本保函担保范围：申请人未履行基础合同约定的工程款支付义务，应当向贵方承担的违约责任和赔偿因此造成的损失、利息、律师费、诉讼费用等实现债权的费用。</w:t>
      </w:r>
    </w:p>
    <w:p w14:paraId="2CDD4BF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二、本保函担保金额最高不超过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1DA9A7A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三、本保函</w:t>
      </w:r>
      <w:r>
        <w:rPr>
          <w:rFonts w:ascii="宋体" w:hAnsi="宋体"/>
          <w:color w:val="auto"/>
          <w:sz w:val="24"/>
          <w:szCs w:val="24"/>
          <w:highlight w:val="none"/>
        </w:rPr>
        <w:t>有效期自</w:t>
      </w:r>
      <w:r>
        <w:rPr>
          <w:rFonts w:hint="eastAsia" w:ascii="宋体" w:hAnsi="宋体"/>
          <w:color w:val="auto"/>
          <w:sz w:val="24"/>
          <w:szCs w:val="24"/>
          <w:highlight w:val="none"/>
        </w:rPr>
        <w:t>开立之日起</w:t>
      </w:r>
      <w:r>
        <w:rPr>
          <w:rFonts w:ascii="宋体" w:hAnsi="宋体"/>
          <w:color w:val="auto"/>
          <w:sz w:val="24"/>
          <w:szCs w:val="24"/>
          <w:highlight w:val="none"/>
        </w:rPr>
        <w:t>至</w:t>
      </w:r>
      <w:r>
        <w:rPr>
          <w:rFonts w:hint="eastAsia" w:ascii="宋体" w:hAnsi="宋体"/>
          <w:color w:val="auto"/>
          <w:sz w:val="24"/>
          <w:szCs w:val="24"/>
          <w:highlight w:val="none"/>
        </w:rPr>
        <w:t>基础合同约定的除工程质量保修金以外的全部工程结算款项支付之日后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551FE77A">
      <w:pPr>
        <w:spacing w:line="360" w:lineRule="auto"/>
        <w:ind w:firstLine="480"/>
        <w:rPr>
          <w:rFonts w:ascii="宋体" w:hAnsi="宋体"/>
          <w:color w:val="auto"/>
          <w:sz w:val="24"/>
          <w:szCs w:val="24"/>
          <w:highlight w:val="none"/>
        </w:rPr>
      </w:pPr>
      <w:r>
        <w:rPr>
          <w:rFonts w:hint="eastAsia" w:ascii="宋体" w:hAnsi="宋体"/>
          <w:color w:val="auto"/>
          <w:sz w:val="24"/>
          <w:szCs w:val="24"/>
          <w:highlight w:val="none"/>
        </w:rPr>
        <w:t>四、我方承诺，在收到受益人发来的书面付款通知后的</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日内无条件支付，前述书面付款通知即为付款要求之单据，且应满足以下要求：</w:t>
      </w:r>
    </w:p>
    <w:p w14:paraId="7EE7602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（1）付款通知到达的日期在本保函的有效期内；</w:t>
      </w:r>
    </w:p>
    <w:p w14:paraId="445544D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（2）载明要求支付的金额；</w:t>
      </w:r>
    </w:p>
    <w:p w14:paraId="118CD2A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（3）载明申请人违反合同义务的条款和内容；</w:t>
      </w:r>
    </w:p>
    <w:p w14:paraId="6F0767F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（4）声明不存在合同文件约定或我国法律规定免除申请人或开立人支付责任的情形；</w:t>
      </w:r>
    </w:p>
    <w:p w14:paraId="2C588BB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（5）付款通知应在本保函有效期内到达的地址是：</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p>
    <w:p w14:paraId="510B04F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受益人发出的书面付款通知应由其为鉴明受益人法定代表人（负责人）或授权代理人签字并加盖公章。</w:t>
      </w:r>
    </w:p>
    <w:p w14:paraId="3EC44D8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w:t>
      </w:r>
      <w:r>
        <w:rPr>
          <w:rFonts w:ascii="宋体" w:hAnsi="宋体"/>
          <w:color w:val="auto"/>
          <w:sz w:val="24"/>
          <w:szCs w:val="24"/>
          <w:highlight w:val="none"/>
        </w:rPr>
        <w:t>本保函项下的权利不得转让，不得设定担保。贵方未经我方书面同意转 让本保函或其项下任何权利，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352A04A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六、与</w:t>
      </w:r>
      <w:r>
        <w:rPr>
          <w:rFonts w:ascii="宋体" w:hAnsi="宋体"/>
          <w:color w:val="auto"/>
          <w:sz w:val="24"/>
          <w:szCs w:val="24"/>
          <w:highlight w:val="none"/>
        </w:rPr>
        <w:t>本保函</w:t>
      </w:r>
      <w:r>
        <w:rPr>
          <w:rFonts w:hint="eastAsia" w:ascii="宋体" w:hAnsi="宋体"/>
          <w:color w:val="auto"/>
          <w:sz w:val="24"/>
          <w:szCs w:val="24"/>
          <w:highlight w:val="none"/>
        </w:rPr>
        <w:t>有关</w:t>
      </w:r>
      <w:r>
        <w:rPr>
          <w:rFonts w:ascii="宋体" w:hAnsi="宋体"/>
          <w:color w:val="auto"/>
          <w:sz w:val="24"/>
          <w:szCs w:val="24"/>
          <w:highlight w:val="none"/>
        </w:rPr>
        <w:t>的基础</w:t>
      </w:r>
      <w:r>
        <w:rPr>
          <w:rFonts w:hint="eastAsia" w:ascii="宋体" w:hAnsi="宋体"/>
          <w:color w:val="auto"/>
          <w:sz w:val="24"/>
          <w:szCs w:val="24"/>
          <w:highlight w:val="none"/>
        </w:rPr>
        <w:t>合同</w:t>
      </w:r>
      <w:r>
        <w:rPr>
          <w:rFonts w:ascii="宋体" w:hAnsi="宋体"/>
          <w:color w:val="auto"/>
          <w:sz w:val="24"/>
          <w:szCs w:val="24"/>
          <w:highlight w:val="none"/>
        </w:rPr>
        <w:t xml:space="preserve">不成立、不生效、无效、被撤销、被解除，不影响本保函的独立有效。 </w:t>
      </w:r>
    </w:p>
    <w:p w14:paraId="76820C1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w:t>
      </w:r>
      <w:r>
        <w:rPr>
          <w:rFonts w:ascii="宋体" w:hAnsi="宋体"/>
          <w:color w:val="auto"/>
          <w:sz w:val="24"/>
          <w:szCs w:val="24"/>
          <w:highlight w:val="none"/>
        </w:rPr>
        <w:t>贵方应在本保函到期后的七日内将本保函正本退回我方注销，但是不论贵方是否按此要求将本保函正本退回我方，我方在本保函项下的义务和责任均在保函</w:t>
      </w:r>
      <w:r>
        <w:rPr>
          <w:rFonts w:hint="eastAsia" w:ascii="宋体" w:hAnsi="宋体"/>
          <w:color w:val="auto"/>
          <w:sz w:val="24"/>
          <w:szCs w:val="24"/>
          <w:highlight w:val="none"/>
        </w:rPr>
        <w:t>有效期</w:t>
      </w:r>
      <w:r>
        <w:rPr>
          <w:rFonts w:ascii="宋体" w:hAnsi="宋体"/>
          <w:color w:val="auto"/>
          <w:sz w:val="24"/>
          <w:szCs w:val="24"/>
          <w:highlight w:val="none"/>
        </w:rPr>
        <w:t xml:space="preserve">到期后自动消灭。 </w:t>
      </w:r>
    </w:p>
    <w:p w14:paraId="7DBE1CE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w:t>
      </w:r>
      <w:r>
        <w:rPr>
          <w:rFonts w:ascii="宋体" w:hAnsi="宋体"/>
          <w:color w:val="auto"/>
          <w:sz w:val="24"/>
          <w:szCs w:val="24"/>
          <w:highlight w:val="none"/>
        </w:rPr>
        <w:t>本保函</w:t>
      </w:r>
      <w:r>
        <w:rPr>
          <w:rFonts w:hint="eastAsia" w:ascii="宋体" w:hAnsi="宋体"/>
          <w:color w:val="auto"/>
          <w:sz w:val="24"/>
          <w:szCs w:val="24"/>
          <w:highlight w:val="none"/>
        </w:rPr>
        <w:t>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65AE62C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w:t>
      </w:r>
      <w:r>
        <w:rPr>
          <w:rFonts w:ascii="宋体" w:hAnsi="宋体"/>
          <w:color w:val="auto"/>
          <w:sz w:val="24"/>
          <w:szCs w:val="24"/>
          <w:highlight w:val="none"/>
        </w:rPr>
        <w:t>本保函自我方法定代表人</w:t>
      </w:r>
      <w:bookmarkStart w:id="1231" w:name="_Hlk58487855"/>
      <w:r>
        <w:rPr>
          <w:rFonts w:hint="eastAsia" w:ascii="宋体" w:hAnsi="宋体"/>
          <w:color w:val="auto"/>
          <w:sz w:val="24"/>
          <w:szCs w:val="24"/>
          <w:highlight w:val="none"/>
        </w:rPr>
        <w:t>或授权代表</w:t>
      </w:r>
      <w:bookmarkEnd w:id="1231"/>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423E047B">
      <w:pPr>
        <w:spacing w:line="360" w:lineRule="auto"/>
        <w:ind w:firstLine="480" w:firstLineChars="200"/>
        <w:rPr>
          <w:rFonts w:ascii="宋体" w:hAnsi="宋体"/>
          <w:color w:val="auto"/>
          <w:sz w:val="24"/>
          <w:szCs w:val="24"/>
          <w:highlight w:val="none"/>
        </w:rPr>
      </w:pPr>
    </w:p>
    <w:p w14:paraId="0AFEE297">
      <w:pPr>
        <w:spacing w:line="360" w:lineRule="auto"/>
        <w:ind w:firstLine="480" w:firstLineChars="200"/>
        <w:rPr>
          <w:rFonts w:ascii="宋体" w:hAnsi="宋体"/>
          <w:color w:val="auto"/>
          <w:sz w:val="24"/>
          <w:szCs w:val="24"/>
          <w:highlight w:val="none"/>
        </w:rPr>
      </w:pPr>
    </w:p>
    <w:p w14:paraId="6BA3C61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 立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1A9676B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2BDE4F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5FC12C1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5FC6705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1BC5278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447D66F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开立时间：</w:t>
      </w:r>
      <w:r>
        <w:rPr>
          <w:rFonts w:ascii="宋体" w:hAnsi="宋体"/>
          <w:color w:val="auto"/>
          <w:sz w:val="24"/>
          <w:szCs w:val="24"/>
          <w:highlight w:val="none"/>
        </w:rPr>
        <w:t xml:space="preserve">      年      月        日</w:t>
      </w:r>
    </w:p>
    <w:p w14:paraId="71D09102">
      <w:pPr>
        <w:spacing w:line="360" w:lineRule="auto"/>
        <w:ind w:firstLine="480" w:firstLineChars="200"/>
        <w:rPr>
          <w:rFonts w:ascii="宋体" w:hAnsi="宋体"/>
          <w:color w:val="auto"/>
          <w:sz w:val="24"/>
          <w:szCs w:val="24"/>
          <w:highlight w:val="none"/>
        </w:rPr>
      </w:pPr>
    </w:p>
    <w:p w14:paraId="66DEC896">
      <w:pPr>
        <w:spacing w:line="360" w:lineRule="auto"/>
        <w:jc w:val="left"/>
        <w:rPr>
          <w:rFonts w:hint="eastAsia" w:ascii="黑体" w:hAnsi="黑体" w:eastAsia="黑体" w:cs="黑体"/>
          <w:b/>
          <w:bCs/>
          <w:color w:val="auto"/>
          <w:sz w:val="32"/>
          <w:szCs w:val="32"/>
          <w:highlight w:val="none"/>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ascii="黑体" w:hAnsi="黑体" w:eastAsia="黑体" w:cs="黑体"/>
          <w:color w:val="auto"/>
          <w:sz w:val="32"/>
          <w:szCs w:val="32"/>
          <w:highlight w:val="none"/>
        </w:rPr>
        <w:t>9</w:t>
      </w:r>
      <w:r>
        <w:rPr>
          <w:rFonts w:hint="eastAsia" w:ascii="黑体" w:hAnsi="黑体" w:eastAsia="黑体" w:cs="黑体"/>
          <w:color w:val="auto"/>
          <w:sz w:val="32"/>
          <w:szCs w:val="32"/>
          <w:highlight w:val="none"/>
        </w:rPr>
        <w:t>：</w:t>
      </w:r>
    </w:p>
    <w:p w14:paraId="3D699C8D">
      <w:pPr>
        <w:spacing w:line="360" w:lineRule="auto"/>
        <w:jc w:val="left"/>
        <w:rPr>
          <w:rFonts w:ascii="黑体" w:hAnsi="黑体" w:eastAsia="黑体" w:cs="黑体"/>
          <w:b/>
          <w:bCs/>
          <w:color w:val="auto"/>
          <w:sz w:val="32"/>
          <w:szCs w:val="32"/>
          <w:highlight w:val="none"/>
        </w:rPr>
      </w:pPr>
    </w:p>
    <w:p w14:paraId="1AF02DBD">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支付保函示范文本</w:t>
      </w:r>
    </w:p>
    <w:p w14:paraId="2DD8E04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（非独立保函）</w:t>
      </w:r>
    </w:p>
    <w:p w14:paraId="631FA36B">
      <w:pPr>
        <w:wordWrap w:val="0"/>
        <w:spacing w:line="360" w:lineRule="auto"/>
        <w:jc w:val="right"/>
        <w:rPr>
          <w:rFonts w:ascii="宋体" w:hAnsi="宋体"/>
          <w:color w:val="auto"/>
          <w:highlight w:val="none"/>
        </w:rPr>
      </w:pPr>
      <w:r>
        <w:rPr>
          <w:rFonts w:hint="eastAsia" w:ascii="宋体" w:hAnsi="宋体"/>
          <w:color w:val="auto"/>
          <w:highlight w:val="none"/>
        </w:rPr>
        <w:t xml:space="preserve">编号： </w:t>
      </w:r>
      <w:r>
        <w:rPr>
          <w:rFonts w:ascii="宋体" w:hAnsi="宋体"/>
          <w:color w:val="auto"/>
          <w:highlight w:val="none"/>
        </w:rPr>
        <w:t xml:space="preserve">     </w:t>
      </w:r>
    </w:p>
    <w:p w14:paraId="36A2ECCE">
      <w:pPr>
        <w:wordWrap w:val="0"/>
        <w:spacing w:line="360" w:lineRule="auto"/>
        <w:jc w:val="right"/>
        <w:rPr>
          <w:rFonts w:ascii="宋体" w:hAnsi="宋体"/>
          <w:color w:val="auto"/>
          <w:highlight w:val="none"/>
        </w:rPr>
      </w:pPr>
      <w:r>
        <w:rPr>
          <w:rFonts w:ascii="宋体" w:hAnsi="宋体"/>
          <w:color w:val="auto"/>
          <w:highlight w:val="none"/>
        </w:rPr>
        <w:t xml:space="preserve">     </w:t>
      </w:r>
    </w:p>
    <w:p w14:paraId="14DEC7FE">
      <w:pPr>
        <w:spacing w:line="360" w:lineRule="auto"/>
        <w:rPr>
          <w:rFonts w:ascii="宋体" w:hAnsi="宋体"/>
          <w:color w:val="auto"/>
          <w:sz w:val="24"/>
          <w:szCs w:val="24"/>
          <w:highlight w:val="none"/>
        </w:rPr>
      </w:pPr>
      <w:r>
        <w:rPr>
          <w:rFonts w:hint="eastAsia" w:ascii="宋体" w:hAnsi="宋体"/>
          <w:color w:val="auto"/>
          <w:sz w:val="24"/>
          <w:szCs w:val="24"/>
          <w:highlight w:val="none"/>
        </w:rPr>
        <w:t>发包人：</w:t>
      </w:r>
    </w:p>
    <w:p w14:paraId="5B7A4425">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r>
        <w:rPr>
          <w:rFonts w:ascii="宋体" w:hAnsi="宋体"/>
          <w:color w:val="auto"/>
          <w:sz w:val="24"/>
          <w:szCs w:val="24"/>
          <w:highlight w:val="none"/>
        </w:rPr>
        <w:t>：</w:t>
      </w:r>
    </w:p>
    <w:p w14:paraId="26CFDA7F">
      <w:pPr>
        <w:spacing w:line="360" w:lineRule="auto"/>
        <w:rPr>
          <w:rFonts w:ascii="宋体" w:hAnsi="宋体"/>
          <w:color w:val="auto"/>
          <w:sz w:val="24"/>
          <w:szCs w:val="24"/>
          <w:highlight w:val="none"/>
        </w:rPr>
      </w:pPr>
      <w:r>
        <w:rPr>
          <w:rFonts w:hint="eastAsia" w:ascii="宋体" w:hAnsi="宋体"/>
          <w:color w:val="auto"/>
          <w:sz w:val="24"/>
          <w:szCs w:val="24"/>
          <w:highlight w:val="none"/>
        </w:rPr>
        <w:t>担保权人/承包人：</w:t>
      </w:r>
      <w:r>
        <w:rPr>
          <w:rFonts w:ascii="宋体" w:hAnsi="宋体"/>
          <w:color w:val="auto"/>
          <w:sz w:val="24"/>
          <w:szCs w:val="24"/>
          <w:highlight w:val="none"/>
        </w:rPr>
        <w:t xml:space="preserve"> </w:t>
      </w:r>
    </w:p>
    <w:p w14:paraId="4ABA5930">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452965C3">
      <w:pPr>
        <w:spacing w:line="360" w:lineRule="auto"/>
        <w:rPr>
          <w:rFonts w:ascii="宋体" w:hAnsi="宋体"/>
          <w:color w:val="auto"/>
          <w:sz w:val="24"/>
          <w:szCs w:val="24"/>
          <w:highlight w:val="none"/>
        </w:rPr>
      </w:pPr>
      <w:r>
        <w:rPr>
          <w:rFonts w:hint="eastAsia" w:ascii="宋体" w:hAnsi="宋体"/>
          <w:color w:val="auto"/>
          <w:sz w:val="24"/>
          <w:szCs w:val="24"/>
          <w:highlight w:val="none"/>
        </w:rPr>
        <w:t>保证人：</w:t>
      </w:r>
    </w:p>
    <w:p w14:paraId="7FEF5D91">
      <w:pPr>
        <w:spacing w:line="360" w:lineRule="auto"/>
        <w:rPr>
          <w:rFonts w:ascii="宋体" w:hAnsi="宋体"/>
          <w:color w:val="auto"/>
          <w:sz w:val="24"/>
          <w:szCs w:val="24"/>
          <w:highlight w:val="none"/>
        </w:rPr>
      </w:pPr>
      <w:r>
        <w:rPr>
          <w:rFonts w:hint="eastAsia" w:ascii="宋体" w:hAnsi="宋体"/>
          <w:color w:val="auto"/>
          <w:sz w:val="24"/>
          <w:szCs w:val="24"/>
          <w:highlight w:val="none"/>
        </w:rPr>
        <w:t>地址：</w:t>
      </w:r>
    </w:p>
    <w:p w14:paraId="5D2EC10D">
      <w:pPr>
        <w:spacing w:line="360" w:lineRule="auto"/>
        <w:rPr>
          <w:rFonts w:ascii="宋体" w:hAnsi="宋体"/>
          <w:color w:val="auto"/>
          <w:sz w:val="24"/>
          <w:szCs w:val="24"/>
          <w:highlight w:val="none"/>
        </w:rPr>
      </w:pPr>
    </w:p>
    <w:p w14:paraId="5E6E1110">
      <w:pPr>
        <w:spacing w:line="360" w:lineRule="auto"/>
        <w:rPr>
          <w:rFonts w:ascii="宋体" w:hAnsi="宋体"/>
          <w:color w:val="auto"/>
          <w:sz w:val="24"/>
          <w:szCs w:val="24"/>
          <w:highlight w:val="none"/>
        </w:rPr>
      </w:pPr>
      <w:r>
        <w:rPr>
          <w:rFonts w:ascii="宋体" w:hAnsi="宋体"/>
          <w:color w:val="auto"/>
          <w:sz w:val="24"/>
          <w:szCs w:val="24"/>
          <w:highlight w:val="none"/>
          <w:u w:val="single"/>
        </w:rPr>
        <w:t xml:space="preserve">              </w:t>
      </w:r>
      <w:r>
        <w:rPr>
          <w:rFonts w:ascii="宋体" w:hAnsi="宋体"/>
          <w:color w:val="auto"/>
          <w:sz w:val="24"/>
          <w:szCs w:val="24"/>
          <w:highlight w:val="none"/>
        </w:rPr>
        <w:t>（</w:t>
      </w:r>
      <w:r>
        <w:rPr>
          <w:rFonts w:hint="eastAsia" w:ascii="宋体" w:hAnsi="宋体"/>
          <w:color w:val="auto"/>
          <w:sz w:val="24"/>
          <w:szCs w:val="24"/>
          <w:highlight w:val="none"/>
        </w:rPr>
        <w:t>承包人</w:t>
      </w:r>
      <w:r>
        <w:rPr>
          <w:rFonts w:ascii="宋体" w:hAnsi="宋体"/>
          <w:color w:val="auto"/>
          <w:sz w:val="24"/>
          <w:szCs w:val="24"/>
          <w:highlight w:val="none"/>
        </w:rPr>
        <w:t xml:space="preserve">名称）： </w:t>
      </w:r>
    </w:p>
    <w:p w14:paraId="319E80B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鉴于</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发包人</w:t>
      </w:r>
      <w:r>
        <w:rPr>
          <w:rFonts w:ascii="宋体" w:hAnsi="宋体"/>
          <w:color w:val="auto"/>
          <w:sz w:val="24"/>
          <w:szCs w:val="24"/>
          <w:highlight w:val="none"/>
        </w:rPr>
        <w:t>”）</w:t>
      </w:r>
      <w:r>
        <w:rPr>
          <w:rFonts w:hint="eastAsia" w:ascii="宋体" w:hAnsi="宋体"/>
          <w:color w:val="auto"/>
          <w:sz w:val="24"/>
          <w:szCs w:val="24"/>
          <w:highlight w:val="none"/>
        </w:rPr>
        <w:t>与</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ascii="宋体" w:hAnsi="宋体"/>
          <w:color w:val="auto"/>
          <w:sz w:val="24"/>
          <w:szCs w:val="24"/>
          <w:highlight w:val="none"/>
        </w:rPr>
        <w:t>（以下简称“</w:t>
      </w:r>
      <w:r>
        <w:rPr>
          <w:rFonts w:hint="eastAsia" w:ascii="宋体" w:hAnsi="宋体"/>
          <w:color w:val="auto"/>
          <w:sz w:val="24"/>
          <w:szCs w:val="24"/>
          <w:highlight w:val="none"/>
        </w:rPr>
        <w:t>承包人</w:t>
      </w:r>
      <w:r>
        <w:rPr>
          <w:rFonts w:ascii="宋体" w:hAnsi="宋体"/>
          <w:color w:val="auto"/>
          <w:sz w:val="24"/>
          <w:szCs w:val="24"/>
          <w:highlight w:val="none"/>
        </w:rPr>
        <w:t>”）</w:t>
      </w:r>
      <w:r>
        <w:rPr>
          <w:rFonts w:hint="eastAsia" w:ascii="宋体" w:hAnsi="宋体"/>
          <w:color w:val="auto"/>
          <w:sz w:val="24"/>
          <w:szCs w:val="24"/>
          <w:highlight w:val="none"/>
        </w:rPr>
        <w:t>于</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日就</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工程（以下简称“本工程”）施工和有关事项协商一致共同签订</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w:t>
      </w:r>
      <w:r>
        <w:rPr>
          <w:rFonts w:hint="eastAsia" w:ascii="宋体" w:hAnsi="宋体"/>
          <w:color w:val="auto"/>
          <w:sz w:val="24"/>
          <w:szCs w:val="24"/>
          <w:highlight w:val="none"/>
        </w:rPr>
        <w:t>（以下简称“主合同”），我方即保证人基于发包人</w:t>
      </w:r>
      <w:r>
        <w:rPr>
          <w:rFonts w:ascii="宋体" w:hAnsi="宋体"/>
          <w:color w:val="auto"/>
          <w:sz w:val="24"/>
          <w:szCs w:val="24"/>
          <w:highlight w:val="none"/>
        </w:rPr>
        <w:t>的请求，同意就</w:t>
      </w:r>
      <w:r>
        <w:rPr>
          <w:rFonts w:hint="eastAsia" w:ascii="宋体" w:hAnsi="宋体"/>
          <w:color w:val="auto"/>
          <w:sz w:val="24"/>
          <w:szCs w:val="24"/>
          <w:highlight w:val="none"/>
        </w:rPr>
        <w:t>发包人</w:t>
      </w:r>
      <w:r>
        <w:rPr>
          <w:rFonts w:ascii="宋体" w:hAnsi="宋体"/>
          <w:color w:val="auto"/>
          <w:sz w:val="24"/>
          <w:szCs w:val="24"/>
          <w:highlight w:val="none"/>
        </w:rPr>
        <w:t>履行</w:t>
      </w:r>
      <w:r>
        <w:rPr>
          <w:rFonts w:hint="eastAsia" w:ascii="宋体" w:hAnsi="宋体"/>
          <w:color w:val="auto"/>
          <w:sz w:val="24"/>
          <w:szCs w:val="24"/>
          <w:highlight w:val="none"/>
        </w:rPr>
        <w:t>与贵方签订的主合同</w:t>
      </w:r>
      <w:r>
        <w:rPr>
          <w:rFonts w:ascii="宋体" w:hAnsi="宋体"/>
          <w:color w:val="auto"/>
          <w:sz w:val="24"/>
          <w:szCs w:val="24"/>
          <w:highlight w:val="none"/>
        </w:rPr>
        <w:t>项下的</w:t>
      </w:r>
      <w:r>
        <w:rPr>
          <w:rFonts w:hint="eastAsia" w:ascii="宋体" w:hAnsi="宋体"/>
          <w:color w:val="auto"/>
          <w:sz w:val="24"/>
          <w:szCs w:val="24"/>
          <w:highlight w:val="none"/>
        </w:rPr>
        <w:t>工程款（指主合同约定的除工程质量保修金以外的全部工程结算款项）付款</w:t>
      </w:r>
      <w:r>
        <w:rPr>
          <w:rFonts w:ascii="宋体" w:hAnsi="宋体"/>
          <w:color w:val="auto"/>
          <w:sz w:val="24"/>
          <w:szCs w:val="24"/>
          <w:highlight w:val="none"/>
        </w:rPr>
        <w:t>义务</w:t>
      </w:r>
      <w:r>
        <w:rPr>
          <w:rFonts w:hint="eastAsia" w:ascii="宋体" w:hAnsi="宋体"/>
          <w:color w:val="auto"/>
          <w:sz w:val="24"/>
          <w:szCs w:val="24"/>
          <w:highlight w:val="none"/>
        </w:rPr>
        <w:t>，</w:t>
      </w:r>
      <w:r>
        <w:rPr>
          <w:rFonts w:ascii="宋体" w:hAnsi="宋体"/>
          <w:color w:val="auto"/>
          <w:sz w:val="24"/>
          <w:szCs w:val="24"/>
          <w:highlight w:val="none"/>
        </w:rPr>
        <w:t>向贵方提供</w:t>
      </w:r>
      <w:r>
        <w:rPr>
          <w:rFonts w:hint="eastAsia" w:ascii="宋体" w:hAnsi="宋体"/>
          <w:color w:val="auto"/>
          <w:sz w:val="24"/>
          <w:szCs w:val="24"/>
          <w:highlight w:val="none"/>
        </w:rPr>
        <w:t>如下保证担保（以下简称“本保证担保”）</w:t>
      </w:r>
      <w:r>
        <w:rPr>
          <w:rFonts w:ascii="宋体" w:hAnsi="宋体"/>
          <w:color w:val="auto"/>
          <w:sz w:val="24"/>
          <w:szCs w:val="24"/>
          <w:highlight w:val="none"/>
        </w:rPr>
        <w:t xml:space="preserve">。 </w:t>
      </w:r>
    </w:p>
    <w:p w14:paraId="0FB604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一、保证担保的范围及保证担保金额</w:t>
      </w:r>
    </w:p>
    <w:p w14:paraId="6DD6C6D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w:t>
      </w:r>
      <w:r>
        <w:rPr>
          <w:rFonts w:hint="eastAsia" w:ascii="宋体" w:hAnsi="宋体"/>
          <w:color w:val="auto"/>
          <w:sz w:val="24"/>
          <w:szCs w:val="24"/>
          <w:highlight w:val="none"/>
        </w:rPr>
        <w:t>保证担保范围：申请人未履行主合同约定的工程款支付义务，应当向贵方承担的违约责任和赔偿因此造成的损失、利息、律师费、诉讼费用等实现债权的费用。</w:t>
      </w:r>
    </w:p>
    <w:p w14:paraId="080E9E46">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保证担保金额最高不超过</w:t>
      </w:r>
      <w:r>
        <w:rPr>
          <w:rFonts w:ascii="宋体" w:hAnsi="宋体"/>
          <w:color w:val="auto"/>
          <w:sz w:val="24"/>
          <w:szCs w:val="24"/>
          <w:highlight w:val="none"/>
        </w:rPr>
        <w:t>人民币（大写）</w:t>
      </w:r>
      <w:r>
        <w:rPr>
          <w:rFonts w:ascii="宋体" w:hAnsi="宋体"/>
          <w:color w:val="auto"/>
          <w:sz w:val="24"/>
          <w:szCs w:val="24"/>
          <w:highlight w:val="none"/>
          <w:u w:val="single"/>
        </w:rPr>
        <w:t xml:space="preserve">          </w:t>
      </w:r>
      <w:r>
        <w:rPr>
          <w:rFonts w:ascii="宋体" w:hAnsi="宋体"/>
          <w:color w:val="auto"/>
          <w:sz w:val="24"/>
          <w:szCs w:val="24"/>
          <w:highlight w:val="none"/>
        </w:rPr>
        <w:t>元（¥</w:t>
      </w:r>
      <w:r>
        <w:rPr>
          <w:rFonts w:ascii="宋体" w:hAnsi="宋体"/>
          <w:color w:val="auto"/>
          <w:sz w:val="24"/>
          <w:szCs w:val="24"/>
          <w:highlight w:val="none"/>
          <w:u w:val="single"/>
        </w:rPr>
        <w:t xml:space="preserve">       </w:t>
      </w:r>
      <w:r>
        <w:rPr>
          <w:rFonts w:ascii="宋体" w:hAnsi="宋体"/>
          <w:color w:val="auto"/>
          <w:sz w:val="24"/>
          <w:szCs w:val="24"/>
          <w:highlight w:val="none"/>
        </w:rPr>
        <w:t xml:space="preserve">）。 </w:t>
      </w:r>
    </w:p>
    <w:p w14:paraId="0B267BED">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二、保证担保的方式及保证期间</w:t>
      </w:r>
      <w:r>
        <w:rPr>
          <w:rFonts w:ascii="宋体" w:hAnsi="宋体"/>
          <w:b/>
          <w:bCs/>
          <w:color w:val="auto"/>
          <w:sz w:val="24"/>
          <w:szCs w:val="24"/>
          <w:highlight w:val="none"/>
        </w:rPr>
        <w:t xml:space="preserve"> </w:t>
      </w:r>
    </w:p>
    <w:p w14:paraId="4C1445B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1.保证担保方式：连带责任保证。</w:t>
      </w:r>
    </w:p>
    <w:p w14:paraId="09B8787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w:t>
      </w:r>
      <w:r>
        <w:rPr>
          <w:rFonts w:hint="eastAsia" w:ascii="宋体" w:hAnsi="宋体"/>
          <w:color w:val="auto"/>
          <w:sz w:val="24"/>
          <w:szCs w:val="24"/>
          <w:highlight w:val="none"/>
        </w:rPr>
        <w:t>保证期间：</w:t>
      </w:r>
      <w:r>
        <w:rPr>
          <w:rFonts w:ascii="宋体" w:hAnsi="宋体"/>
          <w:color w:val="auto"/>
          <w:sz w:val="24"/>
          <w:szCs w:val="24"/>
          <w:highlight w:val="none"/>
        </w:rPr>
        <w:t>自</w:t>
      </w:r>
      <w:r>
        <w:rPr>
          <w:rFonts w:hint="eastAsia" w:ascii="宋体" w:hAnsi="宋体"/>
          <w:color w:val="auto"/>
          <w:sz w:val="24"/>
          <w:szCs w:val="24"/>
          <w:highlight w:val="none"/>
        </w:rPr>
        <w:t>出具之日起</w:t>
      </w:r>
      <w:r>
        <w:rPr>
          <w:rFonts w:ascii="宋体" w:hAnsi="宋体"/>
          <w:color w:val="auto"/>
          <w:sz w:val="24"/>
          <w:szCs w:val="24"/>
          <w:highlight w:val="none"/>
        </w:rPr>
        <w:t>至</w:t>
      </w:r>
      <w:r>
        <w:rPr>
          <w:rFonts w:hint="eastAsia" w:ascii="宋体" w:hAnsi="宋体"/>
          <w:color w:val="auto"/>
          <w:sz w:val="24"/>
          <w:szCs w:val="24"/>
          <w:highlight w:val="none"/>
        </w:rPr>
        <w:t>主合同约定的除工程质量保修金以外的工程款支付之日后</w:t>
      </w:r>
      <w:r>
        <w:rPr>
          <w:rFonts w:ascii="宋体" w:hAnsi="宋体"/>
          <w:color w:val="auto"/>
          <w:sz w:val="24"/>
          <w:szCs w:val="24"/>
          <w:highlight w:val="none"/>
          <w:u w:val="single"/>
        </w:rPr>
        <w:t xml:space="preserve">   </w:t>
      </w:r>
      <w:r>
        <w:rPr>
          <w:rFonts w:ascii="宋体" w:hAnsi="宋体"/>
          <w:color w:val="auto"/>
          <w:sz w:val="24"/>
          <w:szCs w:val="24"/>
          <w:highlight w:val="none"/>
        </w:rPr>
        <w:t>日</w:t>
      </w:r>
      <w:r>
        <w:rPr>
          <w:rFonts w:hint="eastAsia" w:ascii="宋体" w:hAnsi="宋体"/>
          <w:color w:val="auto"/>
          <w:sz w:val="24"/>
          <w:szCs w:val="24"/>
          <w:highlight w:val="none"/>
        </w:rPr>
        <w:t>止，最迟不超过</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ascii="宋体" w:hAnsi="宋体"/>
          <w:color w:val="auto"/>
          <w:sz w:val="24"/>
          <w:szCs w:val="24"/>
          <w:highlight w:val="none"/>
        </w:rPr>
        <w:t xml:space="preserve">。 </w:t>
      </w:r>
    </w:p>
    <w:p w14:paraId="1FD77947">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三、承担保证担保责任的形式</w:t>
      </w:r>
    </w:p>
    <w:p w14:paraId="2AB94F5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发包人未按合同约定向贵方支付主合同项下工程款的，由我方在保证金额内代为支付，并赔偿因此给贵方造成的损失，以及利息和律师费、诉讼费用等实现债权的费用。</w:t>
      </w:r>
    </w:p>
    <w:p w14:paraId="7BE07851">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四、代偿的安排</w:t>
      </w:r>
      <w:r>
        <w:rPr>
          <w:rFonts w:ascii="宋体" w:hAnsi="宋体"/>
          <w:b/>
          <w:bCs/>
          <w:color w:val="auto"/>
          <w:sz w:val="24"/>
          <w:szCs w:val="24"/>
          <w:highlight w:val="none"/>
        </w:rPr>
        <w:t xml:space="preserve"> </w:t>
      </w:r>
    </w:p>
    <w:p w14:paraId="7350B63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1.贵方要求我方承担保证责任的，应向我方发出书面索赔通知及发包人未支付主合同约定工程款的证明材料。索赔通知应写明要求索赔的金额，支付款项应到达的</w:t>
      </w:r>
      <w:r>
        <w:rPr>
          <w:rFonts w:hint="eastAsia" w:ascii="宋体" w:hAnsi="宋体"/>
          <w:color w:val="auto"/>
          <w:sz w:val="24"/>
          <w:szCs w:val="24"/>
          <w:highlight w:val="none"/>
          <w:lang w:eastAsia="zh-CN"/>
        </w:rPr>
        <w:t>账号</w:t>
      </w:r>
      <w:r>
        <w:rPr>
          <w:rFonts w:hint="eastAsia" w:ascii="宋体" w:hAnsi="宋体"/>
          <w:color w:val="auto"/>
          <w:sz w:val="24"/>
          <w:szCs w:val="24"/>
          <w:highlight w:val="none"/>
        </w:rPr>
        <w:t>。</w:t>
      </w:r>
    </w:p>
    <w:p w14:paraId="40A961B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在出现贵方与发包人因工程质量发生争议，发包人拒绝向贵方支付工程款的情形时，贵方要求我方履行保证责任代为支付的，还需提供项目总监理工程师、监理单位或符合相应条件要求的工程质量检测机构出具的质量说明材料。</w:t>
      </w:r>
    </w:p>
    <w:p w14:paraId="6B8059E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3.我方收到贵方的书面索赔通知及相应证明材料后，在</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工作日内进行核定后按照本保函的承诺承担保证责任。</w:t>
      </w:r>
    </w:p>
    <w:p w14:paraId="2A303306">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五、保证担保责任的解除</w:t>
      </w:r>
      <w:r>
        <w:rPr>
          <w:rFonts w:ascii="宋体" w:hAnsi="宋体"/>
          <w:b/>
          <w:bCs/>
          <w:color w:val="auto"/>
          <w:sz w:val="24"/>
          <w:szCs w:val="24"/>
          <w:highlight w:val="none"/>
        </w:rPr>
        <w:t xml:space="preserve"> </w:t>
      </w:r>
    </w:p>
    <w:p w14:paraId="2007EEF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 xml:space="preserve">保证期间届满贵方未向我方书面主张保证责任的，自保证期间届满次日起，我方解除保证责任。 </w:t>
      </w:r>
    </w:p>
    <w:p w14:paraId="47E0C25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我方按照本</w:t>
      </w:r>
      <w:r>
        <w:rPr>
          <w:rFonts w:hint="eastAsia" w:ascii="宋体" w:hAnsi="宋体"/>
          <w:color w:val="auto"/>
          <w:sz w:val="24"/>
          <w:szCs w:val="24"/>
          <w:highlight w:val="none"/>
        </w:rPr>
        <w:t>保证担保</w:t>
      </w:r>
      <w:r>
        <w:rPr>
          <w:rFonts w:ascii="宋体" w:hAnsi="宋体"/>
          <w:color w:val="auto"/>
          <w:sz w:val="24"/>
          <w:szCs w:val="24"/>
          <w:highlight w:val="none"/>
        </w:rPr>
        <w:t>向贵方履行了</w:t>
      </w:r>
      <w:r>
        <w:rPr>
          <w:rFonts w:hint="eastAsia" w:ascii="宋体" w:hAnsi="宋体"/>
          <w:color w:val="auto"/>
          <w:sz w:val="24"/>
          <w:szCs w:val="24"/>
          <w:highlight w:val="none"/>
        </w:rPr>
        <w:t>保证担保责任</w:t>
      </w:r>
      <w:r>
        <w:rPr>
          <w:rFonts w:ascii="宋体" w:hAnsi="宋体"/>
          <w:color w:val="auto"/>
          <w:sz w:val="24"/>
          <w:szCs w:val="24"/>
          <w:highlight w:val="none"/>
        </w:rPr>
        <w:t>后，自我方向贵方支付</w:t>
      </w:r>
      <w:r>
        <w:rPr>
          <w:rFonts w:hint="eastAsia" w:ascii="宋体" w:hAnsi="宋体"/>
          <w:color w:val="auto"/>
          <w:sz w:val="24"/>
          <w:szCs w:val="24"/>
          <w:highlight w:val="none"/>
        </w:rPr>
        <w:t>的金额达到最高保证担保金额</w:t>
      </w:r>
      <w:r>
        <w:rPr>
          <w:rFonts w:ascii="宋体" w:hAnsi="宋体"/>
          <w:color w:val="auto"/>
          <w:sz w:val="24"/>
          <w:szCs w:val="24"/>
          <w:highlight w:val="none"/>
        </w:rPr>
        <w:t>之日起，</w:t>
      </w:r>
      <w:r>
        <w:rPr>
          <w:rFonts w:hint="eastAsia" w:ascii="宋体" w:hAnsi="宋体"/>
          <w:color w:val="auto"/>
          <w:sz w:val="24"/>
          <w:szCs w:val="24"/>
          <w:highlight w:val="none"/>
        </w:rPr>
        <w:t>保证担保责任</w:t>
      </w:r>
      <w:r>
        <w:rPr>
          <w:rFonts w:ascii="宋体" w:hAnsi="宋体"/>
          <w:color w:val="auto"/>
          <w:sz w:val="24"/>
          <w:szCs w:val="24"/>
          <w:highlight w:val="none"/>
        </w:rPr>
        <w:t xml:space="preserve">解除。 </w:t>
      </w:r>
    </w:p>
    <w:p w14:paraId="49E5489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按照法律法规的规定应解除我方保证</w:t>
      </w:r>
      <w:r>
        <w:rPr>
          <w:rFonts w:hint="eastAsia" w:ascii="宋体" w:hAnsi="宋体"/>
          <w:color w:val="auto"/>
          <w:sz w:val="24"/>
          <w:szCs w:val="24"/>
          <w:highlight w:val="none"/>
        </w:rPr>
        <w:t>担保</w:t>
      </w:r>
      <w:r>
        <w:rPr>
          <w:rFonts w:ascii="宋体" w:hAnsi="宋体"/>
          <w:color w:val="auto"/>
          <w:sz w:val="24"/>
          <w:szCs w:val="24"/>
          <w:highlight w:val="none"/>
        </w:rPr>
        <w:t>责任的其它情形的，我方在本保证担保项下的保证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责任亦解除。 </w:t>
      </w:r>
    </w:p>
    <w:p w14:paraId="7E215F6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4.我方解除保证责任后，贵方应按上述约定，自我方保证担保责任解除之日起七</w:t>
      </w:r>
      <w:r>
        <w:rPr>
          <w:rFonts w:ascii="宋体" w:hAnsi="宋体"/>
          <w:color w:val="auto"/>
          <w:sz w:val="24"/>
          <w:szCs w:val="24"/>
          <w:highlight w:val="none"/>
        </w:rPr>
        <w:t>日内，将本保证担保原件返还我方。但是不论贵方是否按此要求将本保证担保</w:t>
      </w:r>
      <w:r>
        <w:rPr>
          <w:rFonts w:hint="eastAsia" w:ascii="宋体" w:hAnsi="宋体"/>
          <w:color w:val="auto"/>
          <w:sz w:val="24"/>
          <w:szCs w:val="24"/>
          <w:highlight w:val="none"/>
        </w:rPr>
        <w:t>原件</w:t>
      </w:r>
      <w:r>
        <w:rPr>
          <w:rFonts w:ascii="宋体" w:hAnsi="宋体"/>
          <w:color w:val="auto"/>
          <w:sz w:val="24"/>
          <w:szCs w:val="24"/>
          <w:highlight w:val="none"/>
        </w:rPr>
        <w:t>退回我方，我方在本保证担保项下的义务和责任均</w:t>
      </w:r>
      <w:r>
        <w:rPr>
          <w:rFonts w:hint="eastAsia" w:ascii="宋体" w:hAnsi="宋体"/>
          <w:color w:val="auto"/>
          <w:sz w:val="24"/>
          <w:szCs w:val="24"/>
          <w:highlight w:val="none"/>
        </w:rPr>
        <w:t>自保证担保责任解除之日</w:t>
      </w:r>
      <w:r>
        <w:rPr>
          <w:rFonts w:ascii="宋体" w:hAnsi="宋体"/>
          <w:color w:val="auto"/>
          <w:sz w:val="24"/>
          <w:szCs w:val="24"/>
          <w:highlight w:val="none"/>
        </w:rPr>
        <w:t>自动消灭。</w:t>
      </w:r>
    </w:p>
    <w:p w14:paraId="6D1EFDB4">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六、免责条款</w:t>
      </w:r>
      <w:r>
        <w:rPr>
          <w:rFonts w:ascii="宋体" w:hAnsi="宋体"/>
          <w:b/>
          <w:bCs/>
          <w:color w:val="auto"/>
          <w:sz w:val="24"/>
          <w:szCs w:val="24"/>
          <w:highlight w:val="none"/>
        </w:rPr>
        <w:t xml:space="preserve"> </w:t>
      </w:r>
    </w:p>
    <w:p w14:paraId="7AFCCEC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因贵方</w:t>
      </w:r>
      <w:r>
        <w:rPr>
          <w:rFonts w:hint="eastAsia" w:ascii="宋体" w:hAnsi="宋体"/>
          <w:color w:val="auto"/>
          <w:sz w:val="24"/>
          <w:szCs w:val="24"/>
          <w:highlight w:val="none"/>
        </w:rPr>
        <w:t>原因</w:t>
      </w:r>
      <w:r>
        <w:rPr>
          <w:rFonts w:ascii="宋体" w:hAnsi="宋体"/>
          <w:color w:val="auto"/>
          <w:sz w:val="24"/>
          <w:szCs w:val="24"/>
          <w:highlight w:val="none"/>
        </w:rPr>
        <w:t>致使</w:t>
      </w:r>
      <w:r>
        <w:rPr>
          <w:rFonts w:hint="eastAsia" w:ascii="宋体" w:hAnsi="宋体"/>
          <w:color w:val="auto"/>
          <w:sz w:val="24"/>
          <w:szCs w:val="24"/>
          <w:highlight w:val="none"/>
        </w:rPr>
        <w:t>发包人未履行主合同项下工程款付款义务的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25CF30B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依照法律规定或贵方与</w:t>
      </w:r>
      <w:r>
        <w:rPr>
          <w:rFonts w:hint="eastAsia" w:ascii="宋体" w:hAnsi="宋体"/>
          <w:color w:val="auto"/>
          <w:sz w:val="24"/>
          <w:szCs w:val="24"/>
          <w:highlight w:val="none"/>
        </w:rPr>
        <w:t>发包</w:t>
      </w:r>
      <w:r>
        <w:rPr>
          <w:rFonts w:ascii="宋体" w:hAnsi="宋体"/>
          <w:color w:val="auto"/>
          <w:sz w:val="24"/>
          <w:szCs w:val="24"/>
          <w:highlight w:val="none"/>
        </w:rPr>
        <w:t>人的另行约定，免除</w:t>
      </w:r>
      <w:r>
        <w:rPr>
          <w:rFonts w:hint="eastAsia" w:ascii="宋体" w:hAnsi="宋体"/>
          <w:color w:val="auto"/>
          <w:sz w:val="24"/>
          <w:szCs w:val="24"/>
          <w:highlight w:val="none"/>
        </w:rPr>
        <w:t>发包</w:t>
      </w:r>
      <w:r>
        <w:rPr>
          <w:rFonts w:ascii="宋体" w:hAnsi="宋体"/>
          <w:color w:val="auto"/>
          <w:sz w:val="24"/>
          <w:szCs w:val="24"/>
          <w:highlight w:val="none"/>
        </w:rPr>
        <w:t>人部分或全部义务的，我方亦免除其相应的保证</w:t>
      </w:r>
      <w:r>
        <w:rPr>
          <w:rFonts w:hint="eastAsia" w:ascii="宋体" w:hAnsi="宋体"/>
          <w:color w:val="auto"/>
          <w:sz w:val="24"/>
          <w:szCs w:val="24"/>
          <w:highlight w:val="none"/>
        </w:rPr>
        <w:t>担保</w:t>
      </w:r>
      <w:r>
        <w:rPr>
          <w:rFonts w:ascii="宋体" w:hAnsi="宋体"/>
          <w:color w:val="auto"/>
          <w:sz w:val="24"/>
          <w:szCs w:val="24"/>
          <w:highlight w:val="none"/>
        </w:rPr>
        <w:t xml:space="preserve">责任。 </w:t>
      </w:r>
    </w:p>
    <w:p w14:paraId="0BE07CE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因不可抗力造成</w:t>
      </w:r>
      <w:r>
        <w:rPr>
          <w:rFonts w:hint="eastAsia" w:ascii="宋体" w:hAnsi="宋体"/>
          <w:color w:val="auto"/>
          <w:sz w:val="24"/>
          <w:szCs w:val="24"/>
          <w:highlight w:val="none"/>
        </w:rPr>
        <w:t>发包</w:t>
      </w:r>
      <w:r>
        <w:rPr>
          <w:rFonts w:ascii="宋体" w:hAnsi="宋体"/>
          <w:color w:val="auto"/>
          <w:sz w:val="24"/>
          <w:szCs w:val="24"/>
          <w:highlight w:val="none"/>
        </w:rPr>
        <w:t>人</w:t>
      </w:r>
      <w:r>
        <w:rPr>
          <w:rFonts w:hint="eastAsia" w:ascii="宋体" w:hAnsi="宋体"/>
          <w:color w:val="auto"/>
          <w:sz w:val="24"/>
          <w:szCs w:val="24"/>
          <w:highlight w:val="none"/>
        </w:rPr>
        <w:t>未履行主合同项下工程款付款义务的</w:t>
      </w:r>
      <w:r>
        <w:rPr>
          <w:rFonts w:ascii="宋体" w:hAnsi="宋体"/>
          <w:color w:val="auto"/>
          <w:sz w:val="24"/>
          <w:szCs w:val="24"/>
          <w:highlight w:val="none"/>
        </w:rPr>
        <w:t>，我方不承担保证</w:t>
      </w:r>
      <w:r>
        <w:rPr>
          <w:rFonts w:hint="eastAsia" w:ascii="宋体" w:hAnsi="宋体"/>
          <w:color w:val="auto"/>
          <w:sz w:val="24"/>
          <w:szCs w:val="24"/>
          <w:highlight w:val="none"/>
        </w:rPr>
        <w:t>担保</w:t>
      </w:r>
      <w:r>
        <w:rPr>
          <w:rFonts w:ascii="宋体" w:hAnsi="宋体"/>
          <w:color w:val="auto"/>
          <w:sz w:val="24"/>
          <w:szCs w:val="24"/>
          <w:highlight w:val="none"/>
        </w:rPr>
        <w:t>责任。</w:t>
      </w:r>
    </w:p>
    <w:p w14:paraId="6B621D2E">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七、其他</w:t>
      </w:r>
    </w:p>
    <w:p w14:paraId="3EBD0E8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ascii="宋体" w:hAnsi="宋体"/>
          <w:color w:val="auto"/>
          <w:sz w:val="24"/>
          <w:szCs w:val="24"/>
          <w:highlight w:val="none"/>
        </w:rPr>
        <w:t>本保证担保项下的权利不得转让，不得设定担保。贵方未经我方书面同意转让本保证担保或其项下任何权利，</w:t>
      </w:r>
      <w:r>
        <w:rPr>
          <w:rFonts w:hint="eastAsia" w:ascii="宋体" w:hAnsi="宋体"/>
          <w:color w:val="auto"/>
          <w:sz w:val="24"/>
          <w:szCs w:val="24"/>
          <w:highlight w:val="none"/>
        </w:rPr>
        <w:t>对我方不发生法律效力</w:t>
      </w:r>
      <w:r>
        <w:rPr>
          <w:rFonts w:ascii="宋体" w:hAnsi="宋体"/>
          <w:color w:val="auto"/>
          <w:sz w:val="24"/>
          <w:szCs w:val="24"/>
          <w:highlight w:val="none"/>
        </w:rPr>
        <w:t xml:space="preserve">。 </w:t>
      </w:r>
    </w:p>
    <w:p w14:paraId="63DBDE9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w:t>
      </w:r>
      <w:r>
        <w:rPr>
          <w:rFonts w:ascii="宋体" w:hAnsi="宋体"/>
          <w:color w:val="auto"/>
          <w:sz w:val="24"/>
          <w:szCs w:val="24"/>
          <w:highlight w:val="none"/>
        </w:rPr>
        <w:t>.本</w:t>
      </w:r>
      <w:r>
        <w:rPr>
          <w:rFonts w:hint="eastAsia" w:ascii="宋体" w:hAnsi="宋体"/>
          <w:color w:val="auto"/>
          <w:sz w:val="24"/>
          <w:szCs w:val="24"/>
          <w:highlight w:val="none"/>
        </w:rPr>
        <w:t>保证担保适用的法律为中华人民共和国法律，争议裁判管辖地为中华人民共和国</w:t>
      </w:r>
      <w:r>
        <w:rPr>
          <w:rFonts w:hint="eastAsia" w:ascii="宋体" w:hAnsi="宋体"/>
          <w:color w:val="auto"/>
          <w:sz w:val="24"/>
          <w:szCs w:val="24"/>
          <w:highlight w:val="none"/>
          <w:u w:val="single"/>
        </w:rPr>
        <w:t xml:space="preserve"> </w:t>
      </w:r>
      <w:r>
        <w:rPr>
          <w:rFonts w:ascii="宋体" w:hAnsi="宋体"/>
          <w:color w:val="auto"/>
          <w:sz w:val="24"/>
          <w:szCs w:val="24"/>
          <w:highlight w:val="none"/>
          <w:u w:val="single"/>
        </w:rPr>
        <w:t xml:space="preserve">    </w:t>
      </w:r>
      <w:r>
        <w:rPr>
          <w:rFonts w:hint="eastAsia" w:ascii="宋体" w:hAnsi="宋体"/>
          <w:color w:val="auto"/>
          <w:sz w:val="24"/>
          <w:szCs w:val="24"/>
          <w:highlight w:val="none"/>
        </w:rPr>
        <w:t>。</w:t>
      </w:r>
      <w:r>
        <w:rPr>
          <w:rFonts w:ascii="宋体" w:hAnsi="宋体"/>
          <w:color w:val="auto"/>
          <w:sz w:val="24"/>
          <w:szCs w:val="24"/>
          <w:highlight w:val="none"/>
        </w:rPr>
        <w:t xml:space="preserve"> </w:t>
      </w:r>
    </w:p>
    <w:p w14:paraId="10CD629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w:t>
      </w:r>
      <w:r>
        <w:rPr>
          <w:rFonts w:ascii="宋体" w:hAnsi="宋体"/>
          <w:color w:val="auto"/>
          <w:sz w:val="24"/>
          <w:szCs w:val="24"/>
          <w:highlight w:val="none"/>
        </w:rPr>
        <w:t>.本</w:t>
      </w:r>
      <w:r>
        <w:rPr>
          <w:rFonts w:hint="eastAsia" w:ascii="宋体" w:hAnsi="宋体"/>
          <w:color w:val="auto"/>
          <w:sz w:val="24"/>
          <w:szCs w:val="24"/>
          <w:highlight w:val="none"/>
        </w:rPr>
        <w:t>保证担保</w:t>
      </w:r>
      <w:r>
        <w:rPr>
          <w:rFonts w:ascii="宋体" w:hAnsi="宋体"/>
          <w:color w:val="auto"/>
          <w:sz w:val="24"/>
          <w:szCs w:val="24"/>
          <w:highlight w:val="none"/>
        </w:rPr>
        <w:t>自我方法定代表</w:t>
      </w:r>
      <w:r>
        <w:rPr>
          <w:rFonts w:hint="eastAsia" w:ascii="宋体" w:hAnsi="宋体"/>
          <w:color w:val="auto"/>
          <w:sz w:val="24"/>
          <w:szCs w:val="24"/>
          <w:highlight w:val="none"/>
        </w:rPr>
        <w:t>人或授权代表</w:t>
      </w:r>
      <w:r>
        <w:rPr>
          <w:rFonts w:ascii="宋体" w:hAnsi="宋体"/>
          <w:color w:val="auto"/>
          <w:sz w:val="24"/>
          <w:szCs w:val="24"/>
          <w:highlight w:val="none"/>
        </w:rPr>
        <w:t>签字</w:t>
      </w:r>
      <w:r>
        <w:rPr>
          <w:rFonts w:hint="eastAsia" w:ascii="宋体" w:hAnsi="宋体"/>
          <w:color w:val="auto"/>
          <w:sz w:val="24"/>
          <w:szCs w:val="24"/>
          <w:highlight w:val="none"/>
        </w:rPr>
        <w:t>并</w:t>
      </w:r>
      <w:r>
        <w:rPr>
          <w:rFonts w:ascii="宋体" w:hAnsi="宋体"/>
          <w:color w:val="auto"/>
          <w:sz w:val="24"/>
          <w:szCs w:val="24"/>
          <w:highlight w:val="none"/>
        </w:rPr>
        <w:t xml:space="preserve">加盖公章之日起生效。 </w:t>
      </w:r>
    </w:p>
    <w:p w14:paraId="2BB4C84B">
      <w:pPr>
        <w:spacing w:line="360" w:lineRule="auto"/>
        <w:ind w:firstLine="480" w:firstLineChars="200"/>
        <w:rPr>
          <w:rFonts w:ascii="宋体" w:hAnsi="宋体"/>
          <w:color w:val="auto"/>
          <w:sz w:val="24"/>
          <w:szCs w:val="24"/>
          <w:highlight w:val="none"/>
        </w:rPr>
      </w:pPr>
    </w:p>
    <w:p w14:paraId="2EDD418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保 证 人</w:t>
      </w:r>
      <w:r>
        <w:rPr>
          <w:rFonts w:ascii="宋体" w:hAnsi="宋体"/>
          <w:color w:val="auto"/>
          <w:sz w:val="24"/>
          <w:szCs w:val="24"/>
          <w:highlight w:val="none"/>
        </w:rPr>
        <w:t xml:space="preserve">：                </w:t>
      </w:r>
      <w:r>
        <w:rPr>
          <w:rFonts w:hint="eastAsia" w:ascii="宋体" w:hAnsi="宋体"/>
          <w:color w:val="auto"/>
          <w:sz w:val="24"/>
          <w:szCs w:val="24"/>
          <w:highlight w:val="none"/>
        </w:rPr>
        <w:t xml:space="preserve">             </w:t>
      </w:r>
      <w:r>
        <w:rPr>
          <w:rFonts w:ascii="宋体" w:hAnsi="宋体"/>
          <w:color w:val="auto"/>
          <w:sz w:val="24"/>
          <w:szCs w:val="24"/>
          <w:highlight w:val="none"/>
        </w:rPr>
        <w:t xml:space="preserve"> </w:t>
      </w:r>
      <w:r>
        <w:rPr>
          <w:rFonts w:hint="eastAsia" w:ascii="宋体" w:hAnsi="宋体"/>
          <w:color w:val="auto"/>
          <w:sz w:val="24"/>
          <w:szCs w:val="24"/>
          <w:highlight w:val="none"/>
        </w:rPr>
        <w:t>（公</w:t>
      </w:r>
      <w:r>
        <w:rPr>
          <w:rFonts w:ascii="宋体" w:hAnsi="宋体"/>
          <w:color w:val="auto"/>
          <w:sz w:val="24"/>
          <w:szCs w:val="24"/>
          <w:highlight w:val="none"/>
        </w:rPr>
        <w:t xml:space="preserve">章） </w:t>
      </w:r>
    </w:p>
    <w:p w14:paraId="3EFC3AD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法定代表人（或授权代表）：</w:t>
      </w:r>
      <w:r>
        <w:rPr>
          <w:rFonts w:ascii="宋体" w:hAnsi="宋体"/>
          <w:color w:val="auto"/>
          <w:sz w:val="24"/>
          <w:szCs w:val="24"/>
          <w:highlight w:val="none"/>
        </w:rPr>
        <w:t xml:space="preserve">               （签字） </w:t>
      </w:r>
    </w:p>
    <w:p w14:paraId="5014737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地</w:t>
      </w:r>
      <w:r>
        <w:rPr>
          <w:rFonts w:ascii="宋体" w:hAnsi="宋体"/>
          <w:color w:val="auto"/>
          <w:sz w:val="24"/>
          <w:szCs w:val="24"/>
          <w:highlight w:val="none"/>
        </w:rPr>
        <w:t xml:space="preserve">    址：                                       </w:t>
      </w:r>
    </w:p>
    <w:p w14:paraId="422B0D0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邮政编码：</w:t>
      </w:r>
      <w:r>
        <w:rPr>
          <w:rFonts w:ascii="宋体" w:hAnsi="宋体"/>
          <w:color w:val="auto"/>
          <w:sz w:val="24"/>
          <w:szCs w:val="24"/>
          <w:highlight w:val="none"/>
        </w:rPr>
        <w:t xml:space="preserve">                 </w:t>
      </w:r>
    </w:p>
    <w:p w14:paraId="2B6F805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电</w:t>
      </w:r>
      <w:r>
        <w:rPr>
          <w:rFonts w:ascii="宋体" w:hAnsi="宋体"/>
          <w:color w:val="auto"/>
          <w:sz w:val="24"/>
          <w:szCs w:val="24"/>
          <w:highlight w:val="none"/>
        </w:rPr>
        <w:t xml:space="preserve">    话：                 </w:t>
      </w:r>
    </w:p>
    <w:p w14:paraId="76C02E7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传</w:t>
      </w:r>
      <w:r>
        <w:rPr>
          <w:rFonts w:ascii="宋体" w:hAnsi="宋体"/>
          <w:color w:val="auto"/>
          <w:sz w:val="24"/>
          <w:szCs w:val="24"/>
          <w:highlight w:val="none"/>
        </w:rPr>
        <w:t xml:space="preserve">    真：                 </w:t>
      </w:r>
    </w:p>
    <w:p w14:paraId="34FD3C5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时 </w:t>
      </w:r>
      <w:r>
        <w:rPr>
          <w:rFonts w:ascii="宋体" w:hAnsi="宋体"/>
          <w:color w:val="auto"/>
          <w:sz w:val="24"/>
          <w:szCs w:val="24"/>
          <w:highlight w:val="none"/>
        </w:rPr>
        <w:t xml:space="preserve">   </w:t>
      </w:r>
      <w:r>
        <w:rPr>
          <w:rFonts w:hint="eastAsia" w:ascii="宋体" w:hAnsi="宋体"/>
          <w:color w:val="auto"/>
          <w:sz w:val="24"/>
          <w:szCs w:val="24"/>
          <w:highlight w:val="none"/>
        </w:rPr>
        <w:t>间：</w:t>
      </w:r>
      <w:r>
        <w:rPr>
          <w:rFonts w:ascii="宋体" w:hAnsi="宋体"/>
          <w:color w:val="auto"/>
          <w:sz w:val="24"/>
          <w:szCs w:val="24"/>
          <w:highlight w:val="none"/>
        </w:rPr>
        <w:t xml:space="preserve">      年      月        日</w:t>
      </w:r>
    </w:p>
    <w:p w14:paraId="174B06A2">
      <w:pPr>
        <w:rPr>
          <w:color w:val="auto"/>
          <w:highlight w:val="none"/>
        </w:rPr>
      </w:pPr>
    </w:p>
    <w:p w14:paraId="72536904">
      <w:pPr>
        <w:spacing w:line="360" w:lineRule="auto"/>
        <w:ind w:firstLine="480" w:firstLineChars="200"/>
        <w:rPr>
          <w:rFonts w:ascii="宋体" w:hAnsi="宋体"/>
          <w:color w:val="auto"/>
          <w:sz w:val="24"/>
          <w:szCs w:val="24"/>
          <w:highlight w:val="none"/>
        </w:rPr>
      </w:pPr>
    </w:p>
    <w:p w14:paraId="6243C756">
      <w:pPr>
        <w:spacing w:line="360" w:lineRule="auto"/>
        <w:ind w:firstLine="420" w:firstLineChars="200"/>
        <w:rPr>
          <w:rFonts w:hint="eastAsia"/>
          <w:color w:val="auto"/>
          <w:highlight w:val="none"/>
        </w:rPr>
      </w:pPr>
    </w:p>
    <w:p w14:paraId="0F9E404C">
      <w:pPr>
        <w:jc w:val="left"/>
        <w:rPr>
          <w:rFonts w:eastAsia="仿宋_GB2312"/>
          <w:color w:val="auto"/>
          <w:sz w:val="30"/>
          <w:szCs w:val="30"/>
          <w:highlight w:val="none"/>
        </w:rPr>
      </w:pPr>
      <w:r>
        <w:rPr>
          <w:rFonts w:eastAsia="仿宋_GB2312"/>
          <w:color w:val="auto"/>
          <w:sz w:val="30"/>
          <w:szCs w:val="30"/>
          <w:highlight w:val="none"/>
        </w:rPr>
        <w:t xml:space="preserve"> </w:t>
      </w:r>
    </w:p>
    <w:p w14:paraId="58F16214">
      <w:pPr>
        <w:jc w:val="left"/>
        <w:rPr>
          <w:rFonts w:hint="eastAsia" w:hAnsi="宋体" w:cs="宋体"/>
          <w:color w:val="auto"/>
          <w:sz w:val="30"/>
          <w:szCs w:val="30"/>
          <w:highlight w:val="none"/>
        </w:rPr>
      </w:pPr>
      <w:r>
        <w:rPr>
          <w:rFonts w:eastAsia="仿宋_GB2312"/>
          <w:color w:val="auto"/>
          <w:sz w:val="30"/>
          <w:szCs w:val="30"/>
          <w:highlight w:val="none"/>
        </w:rPr>
        <w:br w:type="page"/>
      </w:r>
      <w:r>
        <w:rPr>
          <w:rFonts w:hint="eastAsia" w:hAnsi="宋体" w:cs="宋体"/>
          <w:color w:val="auto"/>
          <w:sz w:val="30"/>
          <w:szCs w:val="30"/>
          <w:highlight w:val="none"/>
        </w:rPr>
        <w:t>附件10：</w:t>
      </w:r>
    </w:p>
    <w:p w14:paraId="56F438B9">
      <w:pPr>
        <w:jc w:val="center"/>
        <w:rPr>
          <w:rFonts w:hint="eastAsia"/>
          <w:b/>
          <w:color w:val="auto"/>
          <w:sz w:val="36"/>
          <w:szCs w:val="36"/>
          <w:highlight w:val="none"/>
        </w:rPr>
      </w:pPr>
      <w:r>
        <w:rPr>
          <w:rFonts w:hint="eastAsia"/>
          <w:b/>
          <w:color w:val="auto"/>
          <w:sz w:val="36"/>
          <w:szCs w:val="36"/>
          <w:highlight w:val="none"/>
        </w:rPr>
        <w:t>预付款支付申请（核准）表</w:t>
      </w:r>
    </w:p>
    <w:p w14:paraId="16A93808">
      <w:pPr>
        <w:rPr>
          <w:rFonts w:hint="eastAsia"/>
          <w:color w:val="auto"/>
          <w:sz w:val="24"/>
          <w:szCs w:val="24"/>
          <w:highlight w:val="none"/>
        </w:rPr>
      </w:pPr>
      <w:r>
        <w:rPr>
          <w:rFonts w:hint="eastAsia"/>
          <w:color w:val="auto"/>
          <w:sz w:val="24"/>
          <w:szCs w:val="24"/>
          <w:highlight w:val="none"/>
        </w:rPr>
        <w:t>工程名称：                                             编号：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8"/>
        <w:gridCol w:w="4697"/>
      </w:tblGrid>
      <w:tr w14:paraId="6C8A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8" w:hRule="atLeast"/>
          <w:jc w:val="center"/>
        </w:trPr>
        <w:tc>
          <w:tcPr>
            <w:tcW w:w="9185" w:type="dxa"/>
            <w:gridSpan w:val="2"/>
            <w:noWrap w:val="0"/>
            <w:vAlign w:val="top"/>
          </w:tcPr>
          <w:p w14:paraId="25E790FF">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569E4AAD">
            <w:pPr>
              <w:spacing w:line="400" w:lineRule="exact"/>
              <w:ind w:left="-4" w:leftChars="-2" w:firstLine="315" w:firstLineChars="150"/>
              <w:rPr>
                <w:rFonts w:hint="eastAsia"/>
                <w:color w:val="auto"/>
                <w:highlight w:val="none"/>
              </w:rPr>
            </w:pPr>
            <w:r>
              <w:rPr>
                <w:rFonts w:hint="eastAsia"/>
                <w:color w:val="auto"/>
                <w:highlight w:val="none"/>
              </w:rPr>
              <w:t>我方根据施工合同的约定，现申请支付工程预付款额为(大写)</w:t>
            </w:r>
            <w:r>
              <w:rPr>
                <w:rFonts w:hint="eastAsia"/>
                <w:color w:val="auto"/>
                <w:highlight w:val="none"/>
                <w:u w:val="single"/>
              </w:rPr>
              <w:t xml:space="preserve">            </w:t>
            </w:r>
            <w:r>
              <w:rPr>
                <w:rFonts w:hint="eastAsia"/>
                <w:color w:val="auto"/>
                <w:highlight w:val="none"/>
              </w:rPr>
              <w:t>元，(小写)</w:t>
            </w:r>
          </w:p>
          <w:p w14:paraId="633474A5">
            <w:pPr>
              <w:spacing w:line="400" w:lineRule="exact"/>
              <w:rPr>
                <w:rFonts w:hint="eastAsia"/>
                <w:color w:val="auto"/>
                <w:highlight w:val="none"/>
              </w:rPr>
            </w:pPr>
            <w:r>
              <w:rPr>
                <w:rFonts w:hint="eastAsia"/>
                <w:color w:val="auto"/>
                <w:highlight w:val="none"/>
                <w:u w:val="single"/>
              </w:rPr>
              <w:t xml:space="preserve">         </w:t>
            </w:r>
            <w:r>
              <w:rPr>
                <w:rFonts w:hint="eastAsia"/>
                <w:color w:val="auto"/>
                <w:highlight w:val="none"/>
              </w:rPr>
              <w:t>元，请予核准。</w:t>
            </w:r>
          </w:p>
          <w:tbl>
            <w:tblPr>
              <w:tblStyle w:val="4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022B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3A2856CA">
                  <w:pPr>
                    <w:spacing w:line="280" w:lineRule="exact"/>
                    <w:jc w:val="center"/>
                    <w:rPr>
                      <w:rFonts w:hint="eastAsia"/>
                      <w:color w:val="auto"/>
                      <w:highlight w:val="none"/>
                    </w:rPr>
                  </w:pPr>
                  <w:r>
                    <w:rPr>
                      <w:rFonts w:hint="eastAsia"/>
                      <w:color w:val="auto"/>
                      <w:highlight w:val="none"/>
                    </w:rPr>
                    <w:t>序号</w:t>
                  </w:r>
                </w:p>
              </w:tc>
              <w:tc>
                <w:tcPr>
                  <w:tcW w:w="3340" w:type="dxa"/>
                  <w:noWrap w:val="0"/>
                  <w:vAlign w:val="center"/>
                </w:tcPr>
                <w:p w14:paraId="7D0AA4D7">
                  <w:pPr>
                    <w:spacing w:line="280" w:lineRule="exact"/>
                    <w:jc w:val="center"/>
                    <w:rPr>
                      <w:rFonts w:hint="eastAsia"/>
                      <w:color w:val="auto"/>
                      <w:highlight w:val="none"/>
                    </w:rPr>
                  </w:pPr>
                  <w:r>
                    <w:rPr>
                      <w:rFonts w:hint="eastAsia"/>
                      <w:color w:val="auto"/>
                      <w:highlight w:val="none"/>
                    </w:rPr>
                    <w:t>名      称</w:t>
                  </w:r>
                </w:p>
              </w:tc>
              <w:tc>
                <w:tcPr>
                  <w:tcW w:w="1764" w:type="dxa"/>
                  <w:noWrap w:val="0"/>
                  <w:vAlign w:val="center"/>
                </w:tcPr>
                <w:p w14:paraId="4C7AD82E">
                  <w:pPr>
                    <w:spacing w:line="280" w:lineRule="exact"/>
                    <w:jc w:val="center"/>
                    <w:rPr>
                      <w:rFonts w:hint="eastAsia"/>
                      <w:color w:val="auto"/>
                      <w:highlight w:val="none"/>
                    </w:rPr>
                  </w:pPr>
                  <w:r>
                    <w:rPr>
                      <w:rFonts w:hint="eastAsia"/>
                      <w:color w:val="auto"/>
                      <w:highlight w:val="none"/>
                    </w:rPr>
                    <w:t>申请金额（元）</w:t>
                  </w:r>
                </w:p>
              </w:tc>
              <w:tc>
                <w:tcPr>
                  <w:tcW w:w="2240" w:type="dxa"/>
                  <w:noWrap w:val="0"/>
                  <w:vAlign w:val="center"/>
                </w:tcPr>
                <w:p w14:paraId="18E643CC">
                  <w:pPr>
                    <w:spacing w:line="280" w:lineRule="exact"/>
                    <w:jc w:val="center"/>
                    <w:rPr>
                      <w:rFonts w:hint="eastAsia"/>
                      <w:color w:val="auto"/>
                      <w:highlight w:val="none"/>
                    </w:rPr>
                  </w:pPr>
                  <w:r>
                    <w:rPr>
                      <w:rFonts w:hint="eastAsia"/>
                      <w:color w:val="auto"/>
                      <w:highlight w:val="none"/>
                    </w:rPr>
                    <w:t>复核金额（元）</w:t>
                  </w:r>
                </w:p>
              </w:tc>
              <w:tc>
                <w:tcPr>
                  <w:tcW w:w="1080" w:type="dxa"/>
                  <w:noWrap w:val="0"/>
                  <w:vAlign w:val="center"/>
                </w:tcPr>
                <w:p w14:paraId="499FE45B">
                  <w:pPr>
                    <w:spacing w:line="280" w:lineRule="exact"/>
                    <w:jc w:val="center"/>
                    <w:rPr>
                      <w:rFonts w:hint="eastAsia"/>
                      <w:color w:val="auto"/>
                      <w:highlight w:val="none"/>
                    </w:rPr>
                  </w:pPr>
                  <w:r>
                    <w:rPr>
                      <w:rFonts w:hint="eastAsia"/>
                      <w:color w:val="auto"/>
                      <w:highlight w:val="none"/>
                    </w:rPr>
                    <w:t>备注</w:t>
                  </w:r>
                </w:p>
              </w:tc>
            </w:tr>
            <w:tr w14:paraId="0CA7B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13099F8">
                  <w:pPr>
                    <w:spacing w:line="280" w:lineRule="exact"/>
                    <w:jc w:val="center"/>
                    <w:rPr>
                      <w:rFonts w:hint="eastAsia"/>
                      <w:color w:val="auto"/>
                      <w:highlight w:val="none"/>
                    </w:rPr>
                  </w:pPr>
                  <w:r>
                    <w:rPr>
                      <w:rFonts w:hint="eastAsia"/>
                      <w:color w:val="auto"/>
                      <w:highlight w:val="none"/>
                    </w:rPr>
                    <w:t>1</w:t>
                  </w:r>
                </w:p>
              </w:tc>
              <w:tc>
                <w:tcPr>
                  <w:tcW w:w="3340" w:type="dxa"/>
                  <w:noWrap w:val="0"/>
                  <w:vAlign w:val="top"/>
                </w:tcPr>
                <w:p w14:paraId="0970EE39">
                  <w:pPr>
                    <w:spacing w:line="280" w:lineRule="exact"/>
                    <w:rPr>
                      <w:rFonts w:hint="eastAsia"/>
                      <w:color w:val="auto"/>
                      <w:highlight w:val="none"/>
                    </w:rPr>
                  </w:pPr>
                  <w:r>
                    <w:rPr>
                      <w:rFonts w:hint="eastAsia"/>
                      <w:color w:val="auto"/>
                      <w:highlight w:val="none"/>
                    </w:rPr>
                    <w:t>已签约合同价款金额</w:t>
                  </w:r>
                </w:p>
              </w:tc>
              <w:tc>
                <w:tcPr>
                  <w:tcW w:w="1764" w:type="dxa"/>
                  <w:noWrap w:val="0"/>
                  <w:vAlign w:val="top"/>
                </w:tcPr>
                <w:p w14:paraId="5103373A">
                  <w:pPr>
                    <w:spacing w:line="280" w:lineRule="exact"/>
                    <w:rPr>
                      <w:rFonts w:hint="eastAsia"/>
                      <w:color w:val="auto"/>
                      <w:highlight w:val="none"/>
                    </w:rPr>
                  </w:pPr>
                </w:p>
              </w:tc>
              <w:tc>
                <w:tcPr>
                  <w:tcW w:w="2240" w:type="dxa"/>
                  <w:noWrap w:val="0"/>
                  <w:vAlign w:val="top"/>
                </w:tcPr>
                <w:p w14:paraId="44636ABE">
                  <w:pPr>
                    <w:spacing w:line="280" w:lineRule="exact"/>
                    <w:rPr>
                      <w:rFonts w:hint="eastAsia"/>
                      <w:color w:val="auto"/>
                      <w:highlight w:val="none"/>
                    </w:rPr>
                  </w:pPr>
                </w:p>
              </w:tc>
              <w:tc>
                <w:tcPr>
                  <w:tcW w:w="1080" w:type="dxa"/>
                  <w:noWrap w:val="0"/>
                  <w:vAlign w:val="top"/>
                </w:tcPr>
                <w:p w14:paraId="6F06A024">
                  <w:pPr>
                    <w:spacing w:line="280" w:lineRule="exact"/>
                    <w:rPr>
                      <w:rFonts w:hint="eastAsia"/>
                      <w:color w:val="auto"/>
                      <w:highlight w:val="none"/>
                    </w:rPr>
                  </w:pPr>
                </w:p>
              </w:tc>
            </w:tr>
            <w:tr w14:paraId="6520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7A5B33F">
                  <w:pPr>
                    <w:spacing w:line="280" w:lineRule="exact"/>
                    <w:jc w:val="center"/>
                    <w:rPr>
                      <w:rFonts w:hint="eastAsia"/>
                      <w:color w:val="auto"/>
                      <w:highlight w:val="none"/>
                    </w:rPr>
                  </w:pPr>
                  <w:r>
                    <w:rPr>
                      <w:rFonts w:hint="eastAsia"/>
                      <w:color w:val="auto"/>
                      <w:highlight w:val="none"/>
                    </w:rPr>
                    <w:t>2</w:t>
                  </w:r>
                </w:p>
              </w:tc>
              <w:tc>
                <w:tcPr>
                  <w:tcW w:w="3340" w:type="dxa"/>
                  <w:noWrap w:val="0"/>
                  <w:vAlign w:val="top"/>
                </w:tcPr>
                <w:p w14:paraId="3524C2EC">
                  <w:pPr>
                    <w:spacing w:line="280" w:lineRule="exact"/>
                    <w:rPr>
                      <w:rFonts w:hint="eastAsia"/>
                      <w:color w:val="auto"/>
                      <w:highlight w:val="none"/>
                    </w:rPr>
                  </w:pPr>
                  <w:r>
                    <w:rPr>
                      <w:rFonts w:hint="eastAsia"/>
                      <w:color w:val="auto"/>
                      <w:highlight w:val="none"/>
                    </w:rPr>
                    <w:t>其中：安全文明施工费</w:t>
                  </w:r>
                </w:p>
              </w:tc>
              <w:tc>
                <w:tcPr>
                  <w:tcW w:w="1764" w:type="dxa"/>
                  <w:noWrap w:val="0"/>
                  <w:vAlign w:val="top"/>
                </w:tcPr>
                <w:p w14:paraId="58FCEE9C">
                  <w:pPr>
                    <w:spacing w:line="280" w:lineRule="exact"/>
                    <w:rPr>
                      <w:rFonts w:hint="eastAsia"/>
                      <w:color w:val="auto"/>
                      <w:highlight w:val="none"/>
                    </w:rPr>
                  </w:pPr>
                </w:p>
              </w:tc>
              <w:tc>
                <w:tcPr>
                  <w:tcW w:w="2240" w:type="dxa"/>
                  <w:noWrap w:val="0"/>
                  <w:vAlign w:val="top"/>
                </w:tcPr>
                <w:p w14:paraId="2AA72055">
                  <w:pPr>
                    <w:spacing w:line="280" w:lineRule="exact"/>
                    <w:rPr>
                      <w:rFonts w:hint="eastAsia"/>
                      <w:color w:val="auto"/>
                      <w:highlight w:val="none"/>
                    </w:rPr>
                  </w:pPr>
                </w:p>
              </w:tc>
              <w:tc>
                <w:tcPr>
                  <w:tcW w:w="1080" w:type="dxa"/>
                  <w:noWrap w:val="0"/>
                  <w:vAlign w:val="top"/>
                </w:tcPr>
                <w:p w14:paraId="650812EE">
                  <w:pPr>
                    <w:spacing w:line="280" w:lineRule="exact"/>
                    <w:rPr>
                      <w:rFonts w:hint="eastAsia"/>
                      <w:color w:val="auto"/>
                      <w:highlight w:val="none"/>
                    </w:rPr>
                  </w:pPr>
                </w:p>
              </w:tc>
            </w:tr>
            <w:tr w14:paraId="757FE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1B3276C">
                  <w:pPr>
                    <w:spacing w:line="280" w:lineRule="exact"/>
                    <w:jc w:val="center"/>
                    <w:rPr>
                      <w:rFonts w:hint="eastAsia"/>
                      <w:color w:val="auto"/>
                      <w:highlight w:val="none"/>
                    </w:rPr>
                  </w:pPr>
                  <w:r>
                    <w:rPr>
                      <w:rFonts w:hint="eastAsia"/>
                      <w:color w:val="auto"/>
                      <w:highlight w:val="none"/>
                    </w:rPr>
                    <w:t>3</w:t>
                  </w:r>
                </w:p>
              </w:tc>
              <w:tc>
                <w:tcPr>
                  <w:tcW w:w="3340" w:type="dxa"/>
                  <w:noWrap w:val="0"/>
                  <w:vAlign w:val="top"/>
                </w:tcPr>
                <w:p w14:paraId="29EC092F">
                  <w:pPr>
                    <w:spacing w:line="280" w:lineRule="exact"/>
                    <w:rPr>
                      <w:rFonts w:hint="eastAsia"/>
                      <w:color w:val="auto"/>
                      <w:highlight w:val="none"/>
                    </w:rPr>
                  </w:pPr>
                  <w:r>
                    <w:rPr>
                      <w:rFonts w:hint="eastAsia"/>
                      <w:color w:val="auto"/>
                      <w:highlight w:val="none"/>
                    </w:rPr>
                    <w:t>应支付的预付款</w:t>
                  </w:r>
                </w:p>
              </w:tc>
              <w:tc>
                <w:tcPr>
                  <w:tcW w:w="1764" w:type="dxa"/>
                  <w:noWrap w:val="0"/>
                  <w:vAlign w:val="top"/>
                </w:tcPr>
                <w:p w14:paraId="11E6B131">
                  <w:pPr>
                    <w:spacing w:line="280" w:lineRule="exact"/>
                    <w:rPr>
                      <w:rFonts w:hint="eastAsia"/>
                      <w:color w:val="auto"/>
                      <w:highlight w:val="none"/>
                    </w:rPr>
                  </w:pPr>
                </w:p>
              </w:tc>
              <w:tc>
                <w:tcPr>
                  <w:tcW w:w="2240" w:type="dxa"/>
                  <w:noWrap w:val="0"/>
                  <w:vAlign w:val="top"/>
                </w:tcPr>
                <w:p w14:paraId="5F065562">
                  <w:pPr>
                    <w:spacing w:line="280" w:lineRule="exact"/>
                    <w:rPr>
                      <w:rFonts w:hint="eastAsia"/>
                      <w:color w:val="auto"/>
                      <w:highlight w:val="none"/>
                    </w:rPr>
                  </w:pPr>
                </w:p>
              </w:tc>
              <w:tc>
                <w:tcPr>
                  <w:tcW w:w="1080" w:type="dxa"/>
                  <w:noWrap w:val="0"/>
                  <w:vAlign w:val="top"/>
                </w:tcPr>
                <w:p w14:paraId="55E8D119">
                  <w:pPr>
                    <w:spacing w:line="280" w:lineRule="exact"/>
                    <w:rPr>
                      <w:rFonts w:hint="eastAsia"/>
                      <w:color w:val="auto"/>
                      <w:highlight w:val="none"/>
                    </w:rPr>
                  </w:pPr>
                </w:p>
              </w:tc>
            </w:tr>
            <w:tr w14:paraId="1E283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B914F08">
                  <w:pPr>
                    <w:spacing w:line="280" w:lineRule="exact"/>
                    <w:jc w:val="center"/>
                    <w:rPr>
                      <w:rFonts w:hint="eastAsia"/>
                      <w:color w:val="auto"/>
                      <w:highlight w:val="none"/>
                    </w:rPr>
                  </w:pPr>
                  <w:r>
                    <w:rPr>
                      <w:rFonts w:hint="eastAsia"/>
                      <w:color w:val="auto"/>
                      <w:highlight w:val="none"/>
                    </w:rPr>
                    <w:t>4</w:t>
                  </w:r>
                </w:p>
              </w:tc>
              <w:tc>
                <w:tcPr>
                  <w:tcW w:w="3340" w:type="dxa"/>
                  <w:noWrap w:val="0"/>
                  <w:vAlign w:val="top"/>
                </w:tcPr>
                <w:p w14:paraId="22719201">
                  <w:pPr>
                    <w:spacing w:line="280" w:lineRule="exact"/>
                    <w:rPr>
                      <w:rFonts w:hint="eastAsia"/>
                      <w:color w:val="auto"/>
                      <w:highlight w:val="none"/>
                    </w:rPr>
                  </w:pPr>
                  <w:r>
                    <w:rPr>
                      <w:rFonts w:hint="eastAsia"/>
                      <w:color w:val="auto"/>
                      <w:highlight w:val="none"/>
                    </w:rPr>
                    <w:t>应支付的安全文明施工费预付款</w:t>
                  </w:r>
                </w:p>
              </w:tc>
              <w:tc>
                <w:tcPr>
                  <w:tcW w:w="1764" w:type="dxa"/>
                  <w:noWrap w:val="0"/>
                  <w:vAlign w:val="top"/>
                </w:tcPr>
                <w:p w14:paraId="7C67672C">
                  <w:pPr>
                    <w:spacing w:line="280" w:lineRule="exact"/>
                    <w:rPr>
                      <w:rFonts w:hint="eastAsia"/>
                      <w:color w:val="auto"/>
                      <w:highlight w:val="none"/>
                    </w:rPr>
                  </w:pPr>
                </w:p>
              </w:tc>
              <w:tc>
                <w:tcPr>
                  <w:tcW w:w="2240" w:type="dxa"/>
                  <w:noWrap w:val="0"/>
                  <w:vAlign w:val="top"/>
                </w:tcPr>
                <w:p w14:paraId="151629F5">
                  <w:pPr>
                    <w:spacing w:line="280" w:lineRule="exact"/>
                    <w:rPr>
                      <w:rFonts w:hint="eastAsia"/>
                      <w:color w:val="auto"/>
                      <w:highlight w:val="none"/>
                    </w:rPr>
                  </w:pPr>
                </w:p>
              </w:tc>
              <w:tc>
                <w:tcPr>
                  <w:tcW w:w="1080" w:type="dxa"/>
                  <w:noWrap w:val="0"/>
                  <w:vAlign w:val="top"/>
                </w:tcPr>
                <w:p w14:paraId="2A2F0DAE">
                  <w:pPr>
                    <w:spacing w:line="280" w:lineRule="exact"/>
                    <w:rPr>
                      <w:rFonts w:hint="eastAsia"/>
                      <w:color w:val="auto"/>
                      <w:highlight w:val="none"/>
                    </w:rPr>
                  </w:pPr>
                </w:p>
              </w:tc>
            </w:tr>
            <w:tr w14:paraId="108EC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A5BD3E8">
                  <w:pPr>
                    <w:spacing w:line="280" w:lineRule="exact"/>
                    <w:jc w:val="center"/>
                    <w:rPr>
                      <w:rFonts w:hint="eastAsia"/>
                      <w:color w:val="auto"/>
                      <w:highlight w:val="none"/>
                    </w:rPr>
                  </w:pPr>
                  <w:r>
                    <w:rPr>
                      <w:rFonts w:hint="eastAsia"/>
                      <w:color w:val="auto"/>
                      <w:highlight w:val="none"/>
                    </w:rPr>
                    <w:t>5</w:t>
                  </w:r>
                </w:p>
              </w:tc>
              <w:tc>
                <w:tcPr>
                  <w:tcW w:w="3340" w:type="dxa"/>
                  <w:noWrap w:val="0"/>
                  <w:vAlign w:val="top"/>
                </w:tcPr>
                <w:p w14:paraId="021D9EC8">
                  <w:pPr>
                    <w:spacing w:line="280" w:lineRule="exact"/>
                    <w:rPr>
                      <w:rFonts w:hint="eastAsia"/>
                      <w:color w:val="auto"/>
                      <w:highlight w:val="none"/>
                    </w:rPr>
                  </w:pPr>
                  <w:r>
                    <w:rPr>
                      <w:rFonts w:hint="eastAsia"/>
                      <w:color w:val="auto"/>
                      <w:highlight w:val="none"/>
                    </w:rPr>
                    <w:t>合计应支付的预付款</w:t>
                  </w:r>
                </w:p>
              </w:tc>
              <w:tc>
                <w:tcPr>
                  <w:tcW w:w="1764" w:type="dxa"/>
                  <w:noWrap w:val="0"/>
                  <w:vAlign w:val="top"/>
                </w:tcPr>
                <w:p w14:paraId="3F638159">
                  <w:pPr>
                    <w:spacing w:line="280" w:lineRule="exact"/>
                    <w:rPr>
                      <w:rFonts w:hint="eastAsia"/>
                      <w:color w:val="auto"/>
                      <w:highlight w:val="none"/>
                    </w:rPr>
                  </w:pPr>
                </w:p>
              </w:tc>
              <w:tc>
                <w:tcPr>
                  <w:tcW w:w="2240" w:type="dxa"/>
                  <w:noWrap w:val="0"/>
                  <w:vAlign w:val="top"/>
                </w:tcPr>
                <w:p w14:paraId="2BA2091F">
                  <w:pPr>
                    <w:spacing w:line="280" w:lineRule="exact"/>
                    <w:rPr>
                      <w:rFonts w:hint="eastAsia"/>
                      <w:color w:val="auto"/>
                      <w:highlight w:val="none"/>
                    </w:rPr>
                  </w:pPr>
                </w:p>
              </w:tc>
              <w:tc>
                <w:tcPr>
                  <w:tcW w:w="1080" w:type="dxa"/>
                  <w:noWrap w:val="0"/>
                  <w:vAlign w:val="top"/>
                </w:tcPr>
                <w:p w14:paraId="07A40163">
                  <w:pPr>
                    <w:spacing w:line="280" w:lineRule="exact"/>
                    <w:rPr>
                      <w:rFonts w:hint="eastAsia"/>
                      <w:color w:val="auto"/>
                      <w:highlight w:val="none"/>
                    </w:rPr>
                  </w:pPr>
                </w:p>
              </w:tc>
            </w:tr>
            <w:tr w14:paraId="650D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938F211">
                  <w:pPr>
                    <w:spacing w:line="280" w:lineRule="exact"/>
                    <w:jc w:val="center"/>
                    <w:rPr>
                      <w:rFonts w:hint="eastAsia"/>
                      <w:color w:val="auto"/>
                      <w:highlight w:val="none"/>
                    </w:rPr>
                  </w:pPr>
                </w:p>
              </w:tc>
              <w:tc>
                <w:tcPr>
                  <w:tcW w:w="3340" w:type="dxa"/>
                  <w:noWrap w:val="0"/>
                  <w:vAlign w:val="top"/>
                </w:tcPr>
                <w:p w14:paraId="349C3A2B">
                  <w:pPr>
                    <w:spacing w:line="280" w:lineRule="exact"/>
                    <w:rPr>
                      <w:rFonts w:hint="eastAsia"/>
                      <w:color w:val="auto"/>
                      <w:highlight w:val="none"/>
                    </w:rPr>
                  </w:pPr>
                </w:p>
              </w:tc>
              <w:tc>
                <w:tcPr>
                  <w:tcW w:w="1764" w:type="dxa"/>
                  <w:noWrap w:val="0"/>
                  <w:vAlign w:val="top"/>
                </w:tcPr>
                <w:p w14:paraId="6D1E27D3">
                  <w:pPr>
                    <w:spacing w:line="280" w:lineRule="exact"/>
                    <w:rPr>
                      <w:rFonts w:hint="eastAsia"/>
                      <w:color w:val="auto"/>
                      <w:highlight w:val="none"/>
                    </w:rPr>
                  </w:pPr>
                </w:p>
              </w:tc>
              <w:tc>
                <w:tcPr>
                  <w:tcW w:w="2240" w:type="dxa"/>
                  <w:noWrap w:val="0"/>
                  <w:vAlign w:val="top"/>
                </w:tcPr>
                <w:p w14:paraId="67C4F1E3">
                  <w:pPr>
                    <w:spacing w:line="280" w:lineRule="exact"/>
                    <w:rPr>
                      <w:rFonts w:hint="eastAsia"/>
                      <w:color w:val="auto"/>
                      <w:highlight w:val="none"/>
                    </w:rPr>
                  </w:pPr>
                </w:p>
              </w:tc>
              <w:tc>
                <w:tcPr>
                  <w:tcW w:w="1080" w:type="dxa"/>
                  <w:noWrap w:val="0"/>
                  <w:vAlign w:val="top"/>
                </w:tcPr>
                <w:p w14:paraId="417633BE">
                  <w:pPr>
                    <w:spacing w:line="280" w:lineRule="exact"/>
                    <w:rPr>
                      <w:rFonts w:hint="eastAsia"/>
                      <w:color w:val="auto"/>
                      <w:highlight w:val="none"/>
                    </w:rPr>
                  </w:pPr>
                </w:p>
              </w:tc>
            </w:tr>
          </w:tbl>
          <w:p w14:paraId="4EF1DE5C">
            <w:pPr>
              <w:wordWrap w:val="0"/>
              <w:spacing w:line="400" w:lineRule="exact"/>
              <w:ind w:right="420"/>
              <w:rPr>
                <w:rFonts w:hint="eastAsia"/>
                <w:color w:val="auto"/>
                <w:highlight w:val="none"/>
              </w:rPr>
            </w:pPr>
          </w:p>
          <w:p w14:paraId="0FF8C120">
            <w:pPr>
              <w:wordWrap w:val="0"/>
              <w:spacing w:line="400" w:lineRule="exact"/>
              <w:ind w:right="420"/>
              <w:rPr>
                <w:rFonts w:hint="eastAsia"/>
                <w:color w:val="auto"/>
                <w:highlight w:val="none"/>
              </w:rPr>
            </w:pPr>
            <w:r>
              <w:rPr>
                <w:rFonts w:hint="eastAsia"/>
                <w:color w:val="auto"/>
                <w:highlight w:val="none"/>
              </w:rPr>
              <w:t xml:space="preserve">                                            承包人（章）             </w:t>
            </w:r>
          </w:p>
          <w:p w14:paraId="797491DC">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6C2ED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488" w:type="dxa"/>
            <w:noWrap w:val="0"/>
            <w:vAlign w:val="top"/>
          </w:tcPr>
          <w:p w14:paraId="3C673212">
            <w:pPr>
              <w:spacing w:line="360" w:lineRule="exact"/>
              <w:rPr>
                <w:rFonts w:hint="eastAsia"/>
                <w:color w:val="auto"/>
                <w:highlight w:val="none"/>
              </w:rPr>
            </w:pPr>
            <w:r>
              <w:rPr>
                <w:rFonts w:hint="eastAsia"/>
                <w:color w:val="auto"/>
                <w:highlight w:val="none"/>
              </w:rPr>
              <w:t>复核意见：</w:t>
            </w:r>
          </w:p>
          <w:p w14:paraId="1506DF19">
            <w:pPr>
              <w:spacing w:line="360" w:lineRule="exact"/>
              <w:ind w:firstLine="312"/>
              <w:rPr>
                <w:rFonts w:hint="eastAsia"/>
                <w:color w:val="auto"/>
                <w:highlight w:val="none"/>
              </w:rPr>
            </w:pPr>
            <w:r>
              <w:rPr>
                <w:rFonts w:hint="eastAsia"/>
                <w:color w:val="auto"/>
                <w:highlight w:val="none"/>
              </w:rPr>
              <w:t>□与合同约定不相符，修改意见见附件。</w:t>
            </w:r>
          </w:p>
          <w:p w14:paraId="31C6ABA6">
            <w:pPr>
              <w:spacing w:line="360" w:lineRule="exact"/>
              <w:ind w:firstLine="312"/>
              <w:rPr>
                <w:rFonts w:hint="eastAsia"/>
                <w:color w:val="auto"/>
                <w:highlight w:val="none"/>
              </w:rPr>
            </w:pPr>
            <w:r>
              <w:rPr>
                <w:rFonts w:hint="eastAsia"/>
                <w:color w:val="auto"/>
                <w:highlight w:val="none"/>
              </w:rPr>
              <w:t>□与合同约定相符，具体金额由造价工程师复核。</w:t>
            </w:r>
          </w:p>
          <w:p w14:paraId="3DF11656">
            <w:pPr>
              <w:spacing w:line="360" w:lineRule="exact"/>
              <w:ind w:firstLine="435"/>
              <w:jc w:val="right"/>
              <w:rPr>
                <w:rFonts w:hint="eastAsia"/>
                <w:color w:val="auto"/>
                <w:highlight w:val="none"/>
              </w:rPr>
            </w:pPr>
          </w:p>
          <w:p w14:paraId="0766D124">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5777A591">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697" w:type="dxa"/>
            <w:noWrap w:val="0"/>
            <w:vAlign w:val="top"/>
          </w:tcPr>
          <w:p w14:paraId="7FB90F36">
            <w:pPr>
              <w:spacing w:line="360" w:lineRule="exact"/>
              <w:rPr>
                <w:rFonts w:hint="eastAsia"/>
                <w:color w:val="auto"/>
                <w:highlight w:val="none"/>
              </w:rPr>
            </w:pPr>
            <w:r>
              <w:rPr>
                <w:rFonts w:hint="eastAsia"/>
                <w:color w:val="auto"/>
                <w:highlight w:val="none"/>
              </w:rPr>
              <w:t>复核意见：</w:t>
            </w:r>
          </w:p>
          <w:p w14:paraId="1CCBA5CD">
            <w:pPr>
              <w:spacing w:line="360" w:lineRule="exact"/>
              <w:ind w:firstLine="435"/>
              <w:rPr>
                <w:rFonts w:hint="eastAsia"/>
                <w:color w:val="auto"/>
                <w:highlight w:val="none"/>
              </w:rPr>
            </w:pPr>
            <w:r>
              <w:rPr>
                <w:rFonts w:hint="eastAsia"/>
                <w:color w:val="auto"/>
                <w:highlight w:val="none"/>
              </w:rPr>
              <w:t>你方提出的支付申请经复核，应支付预付款金额为(大写)</w:t>
            </w:r>
            <w:r>
              <w:rPr>
                <w:rFonts w:hint="eastAsia"/>
                <w:color w:val="auto"/>
                <w:highlight w:val="none"/>
                <w:u w:val="single"/>
              </w:rPr>
              <w:t xml:space="preserve">                </w:t>
            </w:r>
            <w:r>
              <w:rPr>
                <w:rFonts w:hint="eastAsia"/>
                <w:color w:val="auto"/>
                <w:highlight w:val="none"/>
              </w:rPr>
              <w:t>元，（小写）</w:t>
            </w:r>
          </w:p>
          <w:p w14:paraId="1C327702">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w:t>
            </w:r>
          </w:p>
          <w:p w14:paraId="1D860C20">
            <w:pPr>
              <w:spacing w:line="360" w:lineRule="exact"/>
              <w:rPr>
                <w:rFonts w:hint="eastAsia"/>
                <w:color w:val="auto"/>
                <w:highlight w:val="none"/>
                <w:u w:val="single"/>
              </w:rPr>
            </w:pPr>
          </w:p>
          <w:p w14:paraId="00AD4C51">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71C083DD">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r>
      <w:tr w14:paraId="14943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185" w:type="dxa"/>
            <w:gridSpan w:val="2"/>
            <w:noWrap w:val="0"/>
            <w:vAlign w:val="top"/>
          </w:tcPr>
          <w:p w14:paraId="7CB713FE">
            <w:pPr>
              <w:spacing w:line="400" w:lineRule="exact"/>
              <w:rPr>
                <w:rFonts w:hint="eastAsia"/>
                <w:color w:val="auto"/>
                <w:highlight w:val="none"/>
              </w:rPr>
            </w:pPr>
            <w:r>
              <w:rPr>
                <w:rFonts w:hint="eastAsia"/>
                <w:color w:val="auto"/>
                <w:highlight w:val="none"/>
              </w:rPr>
              <w:t>审核意见：</w:t>
            </w:r>
          </w:p>
          <w:p w14:paraId="11EC8878">
            <w:pPr>
              <w:spacing w:line="400" w:lineRule="exact"/>
              <w:ind w:firstLine="435"/>
              <w:rPr>
                <w:rFonts w:hint="eastAsia"/>
                <w:color w:val="auto"/>
                <w:highlight w:val="none"/>
              </w:rPr>
            </w:pPr>
            <w:r>
              <w:rPr>
                <w:rFonts w:hint="eastAsia"/>
                <w:color w:val="auto"/>
                <w:highlight w:val="none"/>
              </w:rPr>
              <w:t>□不同意。</w:t>
            </w:r>
          </w:p>
          <w:p w14:paraId="1789322B">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4FF00F03">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1DFE426F">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5A76B92C">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50434C68">
      <w:pPr>
        <w:spacing w:before="120"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43681740">
      <w:pPr>
        <w:spacing w:before="120" w:beforeLines="50"/>
        <w:ind w:left="720" w:hanging="720" w:hangingChars="400"/>
        <w:rPr>
          <w:rFonts w:hint="eastAsia" w:eastAsia="仿宋_GB2312"/>
          <w:color w:val="auto"/>
          <w:sz w:val="30"/>
          <w:szCs w:val="30"/>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76404241">
      <w:pPr>
        <w:spacing w:before="120" w:beforeLines="50"/>
        <w:ind w:left="1200" w:hanging="1200" w:hangingChars="400"/>
        <w:rPr>
          <w:rFonts w:hint="eastAsia" w:eastAsia="仿宋_GB2312"/>
          <w:color w:val="auto"/>
          <w:sz w:val="30"/>
          <w:szCs w:val="30"/>
          <w:highlight w:val="none"/>
        </w:rPr>
      </w:pPr>
      <w:r>
        <w:rPr>
          <w:rFonts w:hint="eastAsia" w:eastAsia="仿宋_GB2312"/>
          <w:color w:val="auto"/>
          <w:sz w:val="30"/>
          <w:szCs w:val="30"/>
          <w:highlight w:val="none"/>
        </w:rPr>
        <w:t>附件11：</w:t>
      </w:r>
    </w:p>
    <w:p w14:paraId="18884584">
      <w:pPr>
        <w:jc w:val="center"/>
        <w:rPr>
          <w:rFonts w:hint="eastAsia"/>
          <w:b/>
          <w:color w:val="auto"/>
          <w:sz w:val="36"/>
          <w:szCs w:val="36"/>
          <w:highlight w:val="none"/>
        </w:rPr>
      </w:pPr>
      <w:r>
        <w:rPr>
          <w:rFonts w:hint="eastAsia"/>
          <w:b/>
          <w:color w:val="auto"/>
          <w:sz w:val="36"/>
          <w:szCs w:val="36"/>
          <w:highlight w:val="none"/>
        </w:rPr>
        <w:t>进度款支付申请（核准）表</w:t>
      </w:r>
    </w:p>
    <w:p w14:paraId="6B30CA0C">
      <w:pPr>
        <w:rPr>
          <w:rFonts w:hint="eastAsia"/>
          <w:color w:val="auto"/>
          <w:sz w:val="24"/>
          <w:szCs w:val="24"/>
          <w:highlight w:val="none"/>
        </w:rPr>
      </w:pPr>
      <w:r>
        <w:rPr>
          <w:rFonts w:hint="eastAsia"/>
          <w:color w:val="auto"/>
          <w:sz w:val="24"/>
          <w:szCs w:val="24"/>
          <w:highlight w:val="none"/>
        </w:rPr>
        <w:t>工程名称：                                             编号：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0"/>
        <w:gridCol w:w="4552"/>
      </w:tblGrid>
      <w:tr w14:paraId="0180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gridSpan w:val="2"/>
            <w:noWrap w:val="0"/>
            <w:vAlign w:val="top"/>
          </w:tcPr>
          <w:p w14:paraId="2C87E625">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249E03E8">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w:t>
            </w:r>
            <w:r>
              <w:rPr>
                <w:rFonts w:hint="eastAsia"/>
                <w:color w:val="auto"/>
                <w:highlight w:val="none"/>
                <w:u w:val="single"/>
              </w:rPr>
              <w:t xml:space="preserve">               </w:t>
            </w:r>
            <w:r>
              <w:rPr>
                <w:rFonts w:hint="eastAsia"/>
                <w:color w:val="auto"/>
                <w:highlight w:val="none"/>
              </w:rPr>
              <w:t>工作，根据施工合同的约定，现申请支付本期的合同款额为(大写)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4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620A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FD6763E">
                  <w:pPr>
                    <w:spacing w:line="280" w:lineRule="exact"/>
                    <w:jc w:val="center"/>
                    <w:rPr>
                      <w:rFonts w:hint="eastAsia"/>
                      <w:color w:val="auto"/>
                      <w:highlight w:val="none"/>
                    </w:rPr>
                  </w:pPr>
                  <w:r>
                    <w:rPr>
                      <w:rFonts w:hint="eastAsia"/>
                      <w:color w:val="auto"/>
                      <w:highlight w:val="none"/>
                    </w:rPr>
                    <w:t>序号</w:t>
                  </w:r>
                </w:p>
              </w:tc>
              <w:tc>
                <w:tcPr>
                  <w:tcW w:w="3340" w:type="dxa"/>
                  <w:noWrap w:val="0"/>
                  <w:vAlign w:val="center"/>
                </w:tcPr>
                <w:p w14:paraId="2FD16D5D">
                  <w:pPr>
                    <w:spacing w:line="280" w:lineRule="exact"/>
                    <w:jc w:val="center"/>
                    <w:rPr>
                      <w:rFonts w:hint="eastAsia"/>
                      <w:color w:val="auto"/>
                      <w:highlight w:val="none"/>
                    </w:rPr>
                  </w:pPr>
                  <w:r>
                    <w:rPr>
                      <w:rFonts w:hint="eastAsia"/>
                      <w:color w:val="auto"/>
                      <w:highlight w:val="none"/>
                    </w:rPr>
                    <w:t>名      称</w:t>
                  </w:r>
                </w:p>
              </w:tc>
              <w:tc>
                <w:tcPr>
                  <w:tcW w:w="1340" w:type="dxa"/>
                  <w:noWrap w:val="0"/>
                  <w:vAlign w:val="center"/>
                </w:tcPr>
                <w:p w14:paraId="5BAE3C61">
                  <w:pPr>
                    <w:spacing w:line="280" w:lineRule="exact"/>
                    <w:jc w:val="center"/>
                    <w:rPr>
                      <w:rFonts w:hint="eastAsia"/>
                      <w:color w:val="auto"/>
                      <w:highlight w:val="none"/>
                    </w:rPr>
                  </w:pPr>
                  <w:r>
                    <w:rPr>
                      <w:rFonts w:hint="eastAsia"/>
                      <w:color w:val="auto"/>
                      <w:highlight w:val="none"/>
                    </w:rPr>
                    <w:t>实际金额（元）</w:t>
                  </w:r>
                </w:p>
              </w:tc>
              <w:tc>
                <w:tcPr>
                  <w:tcW w:w="1440" w:type="dxa"/>
                  <w:noWrap w:val="0"/>
                  <w:vAlign w:val="center"/>
                </w:tcPr>
                <w:p w14:paraId="59915EFD">
                  <w:pPr>
                    <w:spacing w:line="280" w:lineRule="exact"/>
                    <w:jc w:val="center"/>
                    <w:rPr>
                      <w:rFonts w:hint="eastAsia"/>
                      <w:color w:val="auto"/>
                      <w:highlight w:val="none"/>
                    </w:rPr>
                  </w:pPr>
                  <w:r>
                    <w:rPr>
                      <w:rFonts w:hint="eastAsia"/>
                      <w:color w:val="auto"/>
                      <w:highlight w:val="none"/>
                    </w:rPr>
                    <w:t>申请金额（元）</w:t>
                  </w:r>
                </w:p>
              </w:tc>
              <w:tc>
                <w:tcPr>
                  <w:tcW w:w="1260" w:type="dxa"/>
                  <w:noWrap w:val="0"/>
                  <w:vAlign w:val="center"/>
                </w:tcPr>
                <w:p w14:paraId="5B755BC1">
                  <w:pPr>
                    <w:spacing w:line="280" w:lineRule="exact"/>
                    <w:jc w:val="center"/>
                    <w:rPr>
                      <w:rFonts w:hint="eastAsia"/>
                      <w:color w:val="auto"/>
                      <w:highlight w:val="none"/>
                    </w:rPr>
                  </w:pPr>
                  <w:r>
                    <w:rPr>
                      <w:rFonts w:hint="eastAsia"/>
                      <w:color w:val="auto"/>
                      <w:highlight w:val="none"/>
                    </w:rPr>
                    <w:t>复核金额（元）</w:t>
                  </w:r>
                </w:p>
              </w:tc>
              <w:tc>
                <w:tcPr>
                  <w:tcW w:w="931" w:type="dxa"/>
                  <w:noWrap w:val="0"/>
                  <w:vAlign w:val="center"/>
                </w:tcPr>
                <w:p w14:paraId="2F709477">
                  <w:pPr>
                    <w:spacing w:line="280" w:lineRule="exact"/>
                    <w:jc w:val="center"/>
                    <w:rPr>
                      <w:rFonts w:hint="eastAsia"/>
                      <w:color w:val="auto"/>
                      <w:highlight w:val="none"/>
                    </w:rPr>
                  </w:pPr>
                  <w:r>
                    <w:rPr>
                      <w:rFonts w:hint="eastAsia"/>
                      <w:color w:val="auto"/>
                      <w:highlight w:val="none"/>
                    </w:rPr>
                    <w:t>备注</w:t>
                  </w:r>
                </w:p>
              </w:tc>
            </w:tr>
            <w:tr w14:paraId="53828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3230470">
                  <w:pPr>
                    <w:spacing w:line="280" w:lineRule="exact"/>
                    <w:jc w:val="center"/>
                    <w:rPr>
                      <w:rFonts w:hint="eastAsia"/>
                      <w:color w:val="auto"/>
                      <w:highlight w:val="none"/>
                    </w:rPr>
                  </w:pPr>
                  <w:r>
                    <w:rPr>
                      <w:rFonts w:hint="eastAsia"/>
                      <w:color w:val="auto"/>
                      <w:highlight w:val="none"/>
                    </w:rPr>
                    <w:t>1</w:t>
                  </w:r>
                </w:p>
              </w:tc>
              <w:tc>
                <w:tcPr>
                  <w:tcW w:w="3340" w:type="dxa"/>
                  <w:noWrap w:val="0"/>
                  <w:vAlign w:val="top"/>
                </w:tcPr>
                <w:p w14:paraId="7DD9D09B">
                  <w:pPr>
                    <w:spacing w:line="280" w:lineRule="exact"/>
                    <w:rPr>
                      <w:rFonts w:hint="eastAsia"/>
                      <w:color w:val="auto"/>
                      <w:highlight w:val="none"/>
                    </w:rPr>
                  </w:pPr>
                  <w:r>
                    <w:rPr>
                      <w:rFonts w:hint="eastAsia"/>
                      <w:color w:val="auto"/>
                      <w:highlight w:val="none"/>
                    </w:rPr>
                    <w:t>累计已完成的工程价款</w:t>
                  </w:r>
                </w:p>
              </w:tc>
              <w:tc>
                <w:tcPr>
                  <w:tcW w:w="1340" w:type="dxa"/>
                  <w:noWrap w:val="0"/>
                  <w:vAlign w:val="top"/>
                </w:tcPr>
                <w:p w14:paraId="417D2251">
                  <w:pPr>
                    <w:spacing w:line="280" w:lineRule="exact"/>
                    <w:rPr>
                      <w:rFonts w:hint="eastAsia"/>
                      <w:color w:val="auto"/>
                      <w:highlight w:val="none"/>
                    </w:rPr>
                  </w:pPr>
                </w:p>
              </w:tc>
              <w:tc>
                <w:tcPr>
                  <w:tcW w:w="1440" w:type="dxa"/>
                  <w:noWrap w:val="0"/>
                  <w:vAlign w:val="top"/>
                </w:tcPr>
                <w:p w14:paraId="4F724D07">
                  <w:pPr>
                    <w:spacing w:line="280" w:lineRule="exact"/>
                    <w:rPr>
                      <w:rFonts w:hint="eastAsia"/>
                      <w:color w:val="auto"/>
                      <w:highlight w:val="none"/>
                    </w:rPr>
                  </w:pPr>
                </w:p>
              </w:tc>
              <w:tc>
                <w:tcPr>
                  <w:tcW w:w="1260" w:type="dxa"/>
                  <w:noWrap w:val="0"/>
                  <w:vAlign w:val="top"/>
                </w:tcPr>
                <w:p w14:paraId="586FE224">
                  <w:pPr>
                    <w:spacing w:line="280" w:lineRule="exact"/>
                    <w:rPr>
                      <w:rFonts w:hint="eastAsia"/>
                      <w:color w:val="auto"/>
                      <w:highlight w:val="none"/>
                    </w:rPr>
                  </w:pPr>
                </w:p>
              </w:tc>
              <w:tc>
                <w:tcPr>
                  <w:tcW w:w="931" w:type="dxa"/>
                  <w:noWrap w:val="0"/>
                  <w:vAlign w:val="top"/>
                </w:tcPr>
                <w:p w14:paraId="66D19586">
                  <w:pPr>
                    <w:spacing w:line="280" w:lineRule="exact"/>
                    <w:rPr>
                      <w:rFonts w:hint="eastAsia"/>
                      <w:color w:val="auto"/>
                      <w:highlight w:val="none"/>
                    </w:rPr>
                  </w:pPr>
                </w:p>
              </w:tc>
            </w:tr>
            <w:tr w14:paraId="0A679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4F954B7">
                  <w:pPr>
                    <w:spacing w:line="280" w:lineRule="exact"/>
                    <w:jc w:val="center"/>
                    <w:rPr>
                      <w:rFonts w:hint="eastAsia"/>
                      <w:color w:val="auto"/>
                      <w:highlight w:val="none"/>
                    </w:rPr>
                  </w:pPr>
                </w:p>
              </w:tc>
              <w:tc>
                <w:tcPr>
                  <w:tcW w:w="3340" w:type="dxa"/>
                  <w:noWrap w:val="0"/>
                  <w:vAlign w:val="top"/>
                </w:tcPr>
                <w:p w14:paraId="4AE75903">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14B36218">
                  <w:pPr>
                    <w:spacing w:line="280" w:lineRule="exact"/>
                    <w:rPr>
                      <w:rFonts w:hint="eastAsia"/>
                      <w:color w:val="auto"/>
                      <w:highlight w:val="none"/>
                    </w:rPr>
                  </w:pPr>
                </w:p>
              </w:tc>
              <w:tc>
                <w:tcPr>
                  <w:tcW w:w="1440" w:type="dxa"/>
                  <w:noWrap w:val="0"/>
                  <w:vAlign w:val="top"/>
                </w:tcPr>
                <w:p w14:paraId="3C36DCED">
                  <w:pPr>
                    <w:spacing w:line="280" w:lineRule="exact"/>
                    <w:rPr>
                      <w:rFonts w:hint="eastAsia"/>
                      <w:color w:val="auto"/>
                      <w:highlight w:val="none"/>
                    </w:rPr>
                  </w:pPr>
                </w:p>
              </w:tc>
              <w:tc>
                <w:tcPr>
                  <w:tcW w:w="1260" w:type="dxa"/>
                  <w:noWrap w:val="0"/>
                  <w:vAlign w:val="top"/>
                </w:tcPr>
                <w:p w14:paraId="6135EC1E">
                  <w:pPr>
                    <w:spacing w:line="280" w:lineRule="exact"/>
                    <w:rPr>
                      <w:rFonts w:hint="eastAsia"/>
                      <w:color w:val="auto"/>
                      <w:highlight w:val="none"/>
                    </w:rPr>
                  </w:pPr>
                </w:p>
              </w:tc>
              <w:tc>
                <w:tcPr>
                  <w:tcW w:w="931" w:type="dxa"/>
                  <w:noWrap w:val="0"/>
                  <w:vAlign w:val="top"/>
                </w:tcPr>
                <w:p w14:paraId="0A96574A">
                  <w:pPr>
                    <w:spacing w:line="280" w:lineRule="exact"/>
                    <w:rPr>
                      <w:rFonts w:hint="eastAsia"/>
                      <w:color w:val="auto"/>
                      <w:highlight w:val="none"/>
                    </w:rPr>
                  </w:pPr>
                </w:p>
              </w:tc>
            </w:tr>
            <w:tr w14:paraId="34EE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13AD2D2">
                  <w:pPr>
                    <w:spacing w:line="280" w:lineRule="exact"/>
                    <w:jc w:val="center"/>
                    <w:rPr>
                      <w:rFonts w:hint="eastAsia"/>
                      <w:color w:val="auto"/>
                      <w:highlight w:val="none"/>
                    </w:rPr>
                  </w:pPr>
                  <w:r>
                    <w:rPr>
                      <w:rFonts w:hint="eastAsia"/>
                      <w:color w:val="auto"/>
                      <w:highlight w:val="none"/>
                    </w:rPr>
                    <w:t>2</w:t>
                  </w:r>
                </w:p>
              </w:tc>
              <w:tc>
                <w:tcPr>
                  <w:tcW w:w="3340" w:type="dxa"/>
                  <w:noWrap w:val="0"/>
                  <w:vAlign w:val="top"/>
                </w:tcPr>
                <w:p w14:paraId="30DEE339">
                  <w:pPr>
                    <w:spacing w:line="280" w:lineRule="exact"/>
                    <w:rPr>
                      <w:rFonts w:hint="eastAsia"/>
                      <w:color w:val="auto"/>
                      <w:highlight w:val="none"/>
                    </w:rPr>
                  </w:pPr>
                  <w:r>
                    <w:rPr>
                      <w:rFonts w:hint="eastAsia"/>
                      <w:color w:val="auto"/>
                      <w:highlight w:val="none"/>
                    </w:rPr>
                    <w:t>累计已实际支付的工程价款</w:t>
                  </w:r>
                </w:p>
              </w:tc>
              <w:tc>
                <w:tcPr>
                  <w:tcW w:w="1340" w:type="dxa"/>
                  <w:noWrap w:val="0"/>
                  <w:vAlign w:val="top"/>
                </w:tcPr>
                <w:p w14:paraId="509EDEFF">
                  <w:pPr>
                    <w:spacing w:line="280" w:lineRule="exact"/>
                    <w:rPr>
                      <w:rFonts w:hint="eastAsia"/>
                      <w:color w:val="auto"/>
                      <w:highlight w:val="none"/>
                    </w:rPr>
                  </w:pPr>
                </w:p>
              </w:tc>
              <w:tc>
                <w:tcPr>
                  <w:tcW w:w="1440" w:type="dxa"/>
                  <w:noWrap w:val="0"/>
                  <w:vAlign w:val="top"/>
                </w:tcPr>
                <w:p w14:paraId="02C5C447">
                  <w:pPr>
                    <w:spacing w:line="280" w:lineRule="exact"/>
                    <w:rPr>
                      <w:rFonts w:hint="eastAsia"/>
                      <w:color w:val="auto"/>
                      <w:highlight w:val="none"/>
                    </w:rPr>
                  </w:pPr>
                </w:p>
              </w:tc>
              <w:tc>
                <w:tcPr>
                  <w:tcW w:w="1260" w:type="dxa"/>
                  <w:noWrap w:val="0"/>
                  <w:vAlign w:val="top"/>
                </w:tcPr>
                <w:p w14:paraId="123AFF65">
                  <w:pPr>
                    <w:spacing w:line="280" w:lineRule="exact"/>
                    <w:rPr>
                      <w:rFonts w:hint="eastAsia"/>
                      <w:color w:val="auto"/>
                      <w:highlight w:val="none"/>
                    </w:rPr>
                  </w:pPr>
                </w:p>
              </w:tc>
              <w:tc>
                <w:tcPr>
                  <w:tcW w:w="931" w:type="dxa"/>
                  <w:noWrap w:val="0"/>
                  <w:vAlign w:val="top"/>
                </w:tcPr>
                <w:p w14:paraId="70CC96CB">
                  <w:pPr>
                    <w:spacing w:line="280" w:lineRule="exact"/>
                    <w:rPr>
                      <w:rFonts w:hint="eastAsia"/>
                      <w:color w:val="auto"/>
                      <w:highlight w:val="none"/>
                    </w:rPr>
                  </w:pPr>
                </w:p>
              </w:tc>
            </w:tr>
            <w:tr w14:paraId="474E6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315AEE1">
                  <w:pPr>
                    <w:spacing w:line="280" w:lineRule="exact"/>
                    <w:jc w:val="center"/>
                    <w:rPr>
                      <w:rFonts w:hint="eastAsia"/>
                      <w:color w:val="auto"/>
                      <w:highlight w:val="none"/>
                    </w:rPr>
                  </w:pPr>
                </w:p>
              </w:tc>
              <w:tc>
                <w:tcPr>
                  <w:tcW w:w="3340" w:type="dxa"/>
                  <w:noWrap w:val="0"/>
                  <w:vAlign w:val="top"/>
                </w:tcPr>
                <w:p w14:paraId="2377A7C4">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32ED8AD6">
                  <w:pPr>
                    <w:spacing w:line="280" w:lineRule="exact"/>
                    <w:rPr>
                      <w:rFonts w:hint="eastAsia"/>
                      <w:color w:val="auto"/>
                      <w:highlight w:val="none"/>
                    </w:rPr>
                  </w:pPr>
                </w:p>
              </w:tc>
              <w:tc>
                <w:tcPr>
                  <w:tcW w:w="1440" w:type="dxa"/>
                  <w:noWrap w:val="0"/>
                  <w:vAlign w:val="top"/>
                </w:tcPr>
                <w:p w14:paraId="59436EB6">
                  <w:pPr>
                    <w:spacing w:line="280" w:lineRule="exact"/>
                    <w:rPr>
                      <w:rFonts w:hint="eastAsia"/>
                      <w:color w:val="auto"/>
                      <w:highlight w:val="none"/>
                    </w:rPr>
                  </w:pPr>
                </w:p>
              </w:tc>
              <w:tc>
                <w:tcPr>
                  <w:tcW w:w="1260" w:type="dxa"/>
                  <w:noWrap w:val="0"/>
                  <w:vAlign w:val="top"/>
                </w:tcPr>
                <w:p w14:paraId="2EFDB97F">
                  <w:pPr>
                    <w:spacing w:line="280" w:lineRule="exact"/>
                    <w:rPr>
                      <w:rFonts w:hint="eastAsia"/>
                      <w:color w:val="auto"/>
                      <w:highlight w:val="none"/>
                    </w:rPr>
                  </w:pPr>
                </w:p>
              </w:tc>
              <w:tc>
                <w:tcPr>
                  <w:tcW w:w="931" w:type="dxa"/>
                  <w:noWrap w:val="0"/>
                  <w:vAlign w:val="top"/>
                </w:tcPr>
                <w:p w14:paraId="18AC05C9">
                  <w:pPr>
                    <w:spacing w:line="280" w:lineRule="exact"/>
                    <w:rPr>
                      <w:rFonts w:hint="eastAsia"/>
                      <w:color w:val="auto"/>
                      <w:highlight w:val="none"/>
                    </w:rPr>
                  </w:pPr>
                </w:p>
              </w:tc>
            </w:tr>
            <w:tr w14:paraId="72E66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D5FBD7F">
                  <w:pPr>
                    <w:spacing w:line="280" w:lineRule="exact"/>
                    <w:jc w:val="center"/>
                    <w:rPr>
                      <w:rFonts w:hint="eastAsia"/>
                      <w:color w:val="auto"/>
                      <w:highlight w:val="none"/>
                    </w:rPr>
                  </w:pPr>
                  <w:r>
                    <w:rPr>
                      <w:rFonts w:hint="eastAsia"/>
                      <w:color w:val="auto"/>
                      <w:highlight w:val="none"/>
                    </w:rPr>
                    <w:t>3</w:t>
                  </w:r>
                </w:p>
              </w:tc>
              <w:tc>
                <w:tcPr>
                  <w:tcW w:w="3340" w:type="dxa"/>
                  <w:noWrap w:val="0"/>
                  <w:vAlign w:val="top"/>
                </w:tcPr>
                <w:p w14:paraId="599C2A49">
                  <w:pPr>
                    <w:spacing w:line="280" w:lineRule="exact"/>
                    <w:rPr>
                      <w:rFonts w:hint="eastAsia"/>
                      <w:color w:val="auto"/>
                      <w:highlight w:val="none"/>
                    </w:rPr>
                  </w:pPr>
                  <w:r>
                    <w:rPr>
                      <w:rFonts w:hint="eastAsia"/>
                      <w:color w:val="auto"/>
                      <w:highlight w:val="none"/>
                    </w:rPr>
                    <w:t>本周期已完成的工程价款</w:t>
                  </w:r>
                </w:p>
              </w:tc>
              <w:tc>
                <w:tcPr>
                  <w:tcW w:w="1340" w:type="dxa"/>
                  <w:noWrap w:val="0"/>
                  <w:vAlign w:val="top"/>
                </w:tcPr>
                <w:p w14:paraId="6C35880D">
                  <w:pPr>
                    <w:spacing w:line="280" w:lineRule="exact"/>
                    <w:rPr>
                      <w:rFonts w:hint="eastAsia"/>
                      <w:color w:val="auto"/>
                      <w:highlight w:val="none"/>
                    </w:rPr>
                  </w:pPr>
                </w:p>
              </w:tc>
              <w:tc>
                <w:tcPr>
                  <w:tcW w:w="1440" w:type="dxa"/>
                  <w:noWrap w:val="0"/>
                  <w:vAlign w:val="top"/>
                </w:tcPr>
                <w:p w14:paraId="5BB791C8">
                  <w:pPr>
                    <w:spacing w:line="280" w:lineRule="exact"/>
                    <w:rPr>
                      <w:rFonts w:hint="eastAsia"/>
                      <w:color w:val="auto"/>
                      <w:highlight w:val="none"/>
                    </w:rPr>
                  </w:pPr>
                </w:p>
              </w:tc>
              <w:tc>
                <w:tcPr>
                  <w:tcW w:w="1260" w:type="dxa"/>
                  <w:noWrap w:val="0"/>
                  <w:vAlign w:val="top"/>
                </w:tcPr>
                <w:p w14:paraId="53CD4726">
                  <w:pPr>
                    <w:spacing w:line="280" w:lineRule="exact"/>
                    <w:rPr>
                      <w:rFonts w:hint="eastAsia"/>
                      <w:color w:val="auto"/>
                      <w:highlight w:val="none"/>
                    </w:rPr>
                  </w:pPr>
                </w:p>
              </w:tc>
              <w:tc>
                <w:tcPr>
                  <w:tcW w:w="931" w:type="dxa"/>
                  <w:noWrap w:val="0"/>
                  <w:vAlign w:val="top"/>
                </w:tcPr>
                <w:p w14:paraId="6BB06085">
                  <w:pPr>
                    <w:spacing w:line="280" w:lineRule="exact"/>
                    <w:rPr>
                      <w:rFonts w:hint="eastAsia"/>
                      <w:color w:val="auto"/>
                      <w:highlight w:val="none"/>
                    </w:rPr>
                  </w:pPr>
                </w:p>
              </w:tc>
            </w:tr>
            <w:tr w14:paraId="39B7F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BD18132">
                  <w:pPr>
                    <w:spacing w:line="280" w:lineRule="exact"/>
                    <w:jc w:val="center"/>
                    <w:rPr>
                      <w:rFonts w:hint="eastAsia"/>
                      <w:color w:val="auto"/>
                      <w:highlight w:val="none"/>
                    </w:rPr>
                  </w:pPr>
                </w:p>
              </w:tc>
              <w:tc>
                <w:tcPr>
                  <w:tcW w:w="3340" w:type="dxa"/>
                  <w:noWrap w:val="0"/>
                  <w:vAlign w:val="top"/>
                </w:tcPr>
                <w:p w14:paraId="03078A51">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64C2BFE2">
                  <w:pPr>
                    <w:spacing w:line="280" w:lineRule="exact"/>
                    <w:rPr>
                      <w:rFonts w:hint="eastAsia"/>
                      <w:color w:val="auto"/>
                      <w:highlight w:val="none"/>
                    </w:rPr>
                  </w:pPr>
                </w:p>
              </w:tc>
              <w:tc>
                <w:tcPr>
                  <w:tcW w:w="1440" w:type="dxa"/>
                  <w:noWrap w:val="0"/>
                  <w:vAlign w:val="top"/>
                </w:tcPr>
                <w:p w14:paraId="56731E08">
                  <w:pPr>
                    <w:spacing w:line="280" w:lineRule="exact"/>
                    <w:rPr>
                      <w:rFonts w:hint="eastAsia"/>
                      <w:color w:val="auto"/>
                      <w:highlight w:val="none"/>
                    </w:rPr>
                  </w:pPr>
                </w:p>
              </w:tc>
              <w:tc>
                <w:tcPr>
                  <w:tcW w:w="1260" w:type="dxa"/>
                  <w:noWrap w:val="0"/>
                  <w:vAlign w:val="top"/>
                </w:tcPr>
                <w:p w14:paraId="232B33C9">
                  <w:pPr>
                    <w:spacing w:line="280" w:lineRule="exact"/>
                    <w:rPr>
                      <w:rFonts w:hint="eastAsia"/>
                      <w:color w:val="auto"/>
                      <w:highlight w:val="none"/>
                    </w:rPr>
                  </w:pPr>
                </w:p>
              </w:tc>
              <w:tc>
                <w:tcPr>
                  <w:tcW w:w="931" w:type="dxa"/>
                  <w:noWrap w:val="0"/>
                  <w:vAlign w:val="top"/>
                </w:tcPr>
                <w:p w14:paraId="71D1EDB2">
                  <w:pPr>
                    <w:spacing w:line="280" w:lineRule="exact"/>
                    <w:rPr>
                      <w:rFonts w:hint="eastAsia"/>
                      <w:color w:val="auto"/>
                      <w:highlight w:val="none"/>
                    </w:rPr>
                  </w:pPr>
                </w:p>
              </w:tc>
            </w:tr>
            <w:tr w14:paraId="70B53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5ABF97C">
                  <w:pPr>
                    <w:spacing w:line="280" w:lineRule="exact"/>
                    <w:jc w:val="center"/>
                    <w:rPr>
                      <w:rFonts w:hint="eastAsia"/>
                      <w:color w:val="auto"/>
                      <w:highlight w:val="none"/>
                    </w:rPr>
                  </w:pPr>
                  <w:r>
                    <w:rPr>
                      <w:rFonts w:hint="eastAsia"/>
                      <w:color w:val="auto"/>
                      <w:highlight w:val="none"/>
                    </w:rPr>
                    <w:t>4</w:t>
                  </w:r>
                </w:p>
              </w:tc>
              <w:tc>
                <w:tcPr>
                  <w:tcW w:w="3340" w:type="dxa"/>
                  <w:noWrap w:val="0"/>
                  <w:vAlign w:val="top"/>
                </w:tcPr>
                <w:p w14:paraId="783B4834">
                  <w:pPr>
                    <w:spacing w:line="280" w:lineRule="exact"/>
                    <w:rPr>
                      <w:rFonts w:hint="eastAsia"/>
                      <w:color w:val="auto"/>
                      <w:highlight w:val="none"/>
                    </w:rPr>
                  </w:pPr>
                  <w:r>
                    <w:rPr>
                      <w:rFonts w:hint="eastAsia"/>
                      <w:color w:val="auto"/>
                      <w:highlight w:val="none"/>
                    </w:rPr>
                    <w:t>本周期应扣减的金额</w:t>
                  </w:r>
                </w:p>
              </w:tc>
              <w:tc>
                <w:tcPr>
                  <w:tcW w:w="1340" w:type="dxa"/>
                  <w:noWrap w:val="0"/>
                  <w:vAlign w:val="top"/>
                </w:tcPr>
                <w:p w14:paraId="6DB4D958">
                  <w:pPr>
                    <w:spacing w:line="280" w:lineRule="exact"/>
                    <w:rPr>
                      <w:rFonts w:hint="eastAsia"/>
                      <w:color w:val="auto"/>
                      <w:highlight w:val="none"/>
                    </w:rPr>
                  </w:pPr>
                </w:p>
              </w:tc>
              <w:tc>
                <w:tcPr>
                  <w:tcW w:w="1440" w:type="dxa"/>
                  <w:noWrap w:val="0"/>
                  <w:vAlign w:val="top"/>
                </w:tcPr>
                <w:p w14:paraId="59C3C324">
                  <w:pPr>
                    <w:spacing w:line="280" w:lineRule="exact"/>
                    <w:rPr>
                      <w:rFonts w:hint="eastAsia"/>
                      <w:color w:val="auto"/>
                      <w:highlight w:val="none"/>
                    </w:rPr>
                  </w:pPr>
                </w:p>
              </w:tc>
              <w:tc>
                <w:tcPr>
                  <w:tcW w:w="1260" w:type="dxa"/>
                  <w:noWrap w:val="0"/>
                  <w:vAlign w:val="top"/>
                </w:tcPr>
                <w:p w14:paraId="3D145576">
                  <w:pPr>
                    <w:spacing w:line="280" w:lineRule="exact"/>
                    <w:rPr>
                      <w:rFonts w:hint="eastAsia"/>
                      <w:color w:val="auto"/>
                      <w:highlight w:val="none"/>
                    </w:rPr>
                  </w:pPr>
                </w:p>
              </w:tc>
              <w:tc>
                <w:tcPr>
                  <w:tcW w:w="931" w:type="dxa"/>
                  <w:noWrap w:val="0"/>
                  <w:vAlign w:val="top"/>
                </w:tcPr>
                <w:p w14:paraId="2482EC5B">
                  <w:pPr>
                    <w:spacing w:line="280" w:lineRule="exact"/>
                    <w:rPr>
                      <w:rFonts w:hint="eastAsia"/>
                      <w:color w:val="auto"/>
                      <w:highlight w:val="none"/>
                    </w:rPr>
                  </w:pPr>
                </w:p>
              </w:tc>
            </w:tr>
            <w:tr w14:paraId="683FC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2642D00">
                  <w:pPr>
                    <w:spacing w:line="280" w:lineRule="exact"/>
                    <w:jc w:val="center"/>
                    <w:rPr>
                      <w:rFonts w:hint="eastAsia"/>
                      <w:color w:val="auto"/>
                      <w:highlight w:val="none"/>
                    </w:rPr>
                  </w:pPr>
                  <w:r>
                    <w:rPr>
                      <w:rFonts w:hint="eastAsia"/>
                      <w:color w:val="auto"/>
                      <w:highlight w:val="none"/>
                    </w:rPr>
                    <w:t>4.1</w:t>
                  </w:r>
                </w:p>
              </w:tc>
              <w:tc>
                <w:tcPr>
                  <w:tcW w:w="3340" w:type="dxa"/>
                  <w:noWrap w:val="0"/>
                  <w:vAlign w:val="top"/>
                </w:tcPr>
                <w:p w14:paraId="1CF74BAF">
                  <w:pPr>
                    <w:spacing w:line="280" w:lineRule="exact"/>
                    <w:rPr>
                      <w:rFonts w:hint="eastAsia"/>
                      <w:color w:val="auto"/>
                      <w:highlight w:val="none"/>
                    </w:rPr>
                  </w:pPr>
                  <w:r>
                    <w:rPr>
                      <w:rFonts w:hint="eastAsia"/>
                      <w:color w:val="auto"/>
                      <w:highlight w:val="none"/>
                    </w:rPr>
                    <w:t>本周期实际应抵扣的预付款</w:t>
                  </w:r>
                </w:p>
              </w:tc>
              <w:tc>
                <w:tcPr>
                  <w:tcW w:w="1340" w:type="dxa"/>
                  <w:noWrap w:val="0"/>
                  <w:vAlign w:val="top"/>
                </w:tcPr>
                <w:p w14:paraId="789E21DB">
                  <w:pPr>
                    <w:spacing w:line="280" w:lineRule="exact"/>
                    <w:rPr>
                      <w:rFonts w:hint="eastAsia"/>
                      <w:color w:val="auto"/>
                      <w:highlight w:val="none"/>
                    </w:rPr>
                  </w:pPr>
                </w:p>
              </w:tc>
              <w:tc>
                <w:tcPr>
                  <w:tcW w:w="1440" w:type="dxa"/>
                  <w:noWrap w:val="0"/>
                  <w:vAlign w:val="top"/>
                </w:tcPr>
                <w:p w14:paraId="765EB4B9">
                  <w:pPr>
                    <w:spacing w:line="280" w:lineRule="exact"/>
                    <w:rPr>
                      <w:rFonts w:hint="eastAsia"/>
                      <w:color w:val="auto"/>
                      <w:highlight w:val="none"/>
                    </w:rPr>
                  </w:pPr>
                </w:p>
              </w:tc>
              <w:tc>
                <w:tcPr>
                  <w:tcW w:w="1260" w:type="dxa"/>
                  <w:noWrap w:val="0"/>
                  <w:vAlign w:val="top"/>
                </w:tcPr>
                <w:p w14:paraId="4A270752">
                  <w:pPr>
                    <w:spacing w:line="280" w:lineRule="exact"/>
                    <w:rPr>
                      <w:rFonts w:hint="eastAsia"/>
                      <w:color w:val="auto"/>
                      <w:highlight w:val="none"/>
                    </w:rPr>
                  </w:pPr>
                </w:p>
              </w:tc>
              <w:tc>
                <w:tcPr>
                  <w:tcW w:w="931" w:type="dxa"/>
                  <w:noWrap w:val="0"/>
                  <w:vAlign w:val="top"/>
                </w:tcPr>
                <w:p w14:paraId="50099E67">
                  <w:pPr>
                    <w:spacing w:line="280" w:lineRule="exact"/>
                    <w:rPr>
                      <w:rFonts w:hint="eastAsia"/>
                      <w:color w:val="auto"/>
                      <w:highlight w:val="none"/>
                    </w:rPr>
                  </w:pPr>
                </w:p>
              </w:tc>
            </w:tr>
            <w:tr w14:paraId="2E158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A1A7A3A">
                  <w:pPr>
                    <w:spacing w:line="280" w:lineRule="exact"/>
                    <w:jc w:val="center"/>
                    <w:rPr>
                      <w:rFonts w:hint="eastAsia"/>
                      <w:color w:val="auto"/>
                      <w:highlight w:val="none"/>
                    </w:rPr>
                  </w:pPr>
                  <w:r>
                    <w:rPr>
                      <w:rFonts w:hint="eastAsia"/>
                      <w:color w:val="auto"/>
                      <w:highlight w:val="none"/>
                    </w:rPr>
                    <w:t>4.2</w:t>
                  </w:r>
                </w:p>
              </w:tc>
              <w:tc>
                <w:tcPr>
                  <w:tcW w:w="3340" w:type="dxa"/>
                  <w:noWrap w:val="0"/>
                  <w:vAlign w:val="top"/>
                </w:tcPr>
                <w:p w14:paraId="0BD241B0">
                  <w:pPr>
                    <w:spacing w:line="280" w:lineRule="exact"/>
                    <w:rPr>
                      <w:rFonts w:hint="eastAsia"/>
                      <w:color w:val="auto"/>
                      <w:highlight w:val="none"/>
                    </w:rPr>
                  </w:pPr>
                  <w:r>
                    <w:rPr>
                      <w:rFonts w:hint="eastAsia"/>
                      <w:color w:val="auto"/>
                      <w:highlight w:val="none"/>
                    </w:rPr>
                    <w:t>本周期应扣减的金额</w:t>
                  </w:r>
                </w:p>
              </w:tc>
              <w:tc>
                <w:tcPr>
                  <w:tcW w:w="1340" w:type="dxa"/>
                  <w:noWrap w:val="0"/>
                  <w:vAlign w:val="top"/>
                </w:tcPr>
                <w:p w14:paraId="0EDBED8B">
                  <w:pPr>
                    <w:spacing w:line="280" w:lineRule="exact"/>
                    <w:rPr>
                      <w:rFonts w:hint="eastAsia"/>
                      <w:color w:val="auto"/>
                      <w:highlight w:val="none"/>
                    </w:rPr>
                  </w:pPr>
                </w:p>
              </w:tc>
              <w:tc>
                <w:tcPr>
                  <w:tcW w:w="1440" w:type="dxa"/>
                  <w:noWrap w:val="0"/>
                  <w:vAlign w:val="top"/>
                </w:tcPr>
                <w:p w14:paraId="66EAEB1F">
                  <w:pPr>
                    <w:spacing w:line="280" w:lineRule="exact"/>
                    <w:rPr>
                      <w:rFonts w:hint="eastAsia"/>
                      <w:color w:val="auto"/>
                      <w:highlight w:val="none"/>
                    </w:rPr>
                  </w:pPr>
                </w:p>
              </w:tc>
              <w:tc>
                <w:tcPr>
                  <w:tcW w:w="1260" w:type="dxa"/>
                  <w:noWrap w:val="0"/>
                  <w:vAlign w:val="top"/>
                </w:tcPr>
                <w:p w14:paraId="06D330A9">
                  <w:pPr>
                    <w:spacing w:line="280" w:lineRule="exact"/>
                    <w:rPr>
                      <w:rFonts w:hint="eastAsia"/>
                      <w:color w:val="auto"/>
                      <w:highlight w:val="none"/>
                    </w:rPr>
                  </w:pPr>
                </w:p>
              </w:tc>
              <w:tc>
                <w:tcPr>
                  <w:tcW w:w="931" w:type="dxa"/>
                  <w:noWrap w:val="0"/>
                  <w:vAlign w:val="top"/>
                </w:tcPr>
                <w:p w14:paraId="1A8EA3F4">
                  <w:pPr>
                    <w:spacing w:line="280" w:lineRule="exact"/>
                    <w:rPr>
                      <w:rFonts w:hint="eastAsia"/>
                      <w:color w:val="auto"/>
                      <w:highlight w:val="none"/>
                    </w:rPr>
                  </w:pPr>
                </w:p>
              </w:tc>
            </w:tr>
            <w:tr w14:paraId="33A81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64E1681">
                  <w:pPr>
                    <w:spacing w:line="280" w:lineRule="exact"/>
                    <w:jc w:val="center"/>
                    <w:rPr>
                      <w:rFonts w:hint="eastAsia"/>
                      <w:color w:val="auto"/>
                      <w:highlight w:val="none"/>
                    </w:rPr>
                  </w:pPr>
                  <w:r>
                    <w:rPr>
                      <w:rFonts w:hint="eastAsia"/>
                      <w:color w:val="auto"/>
                      <w:highlight w:val="none"/>
                    </w:rPr>
                    <w:t>5</w:t>
                  </w:r>
                </w:p>
              </w:tc>
              <w:tc>
                <w:tcPr>
                  <w:tcW w:w="3340" w:type="dxa"/>
                  <w:noWrap w:val="0"/>
                  <w:vAlign w:val="top"/>
                </w:tcPr>
                <w:p w14:paraId="7A091C4D">
                  <w:pPr>
                    <w:spacing w:line="280" w:lineRule="exact"/>
                    <w:rPr>
                      <w:rFonts w:hint="eastAsia"/>
                      <w:color w:val="auto"/>
                      <w:highlight w:val="none"/>
                    </w:rPr>
                  </w:pPr>
                  <w:r>
                    <w:rPr>
                      <w:rFonts w:hint="eastAsia"/>
                      <w:color w:val="auto"/>
                      <w:highlight w:val="none"/>
                    </w:rPr>
                    <w:t>本周期应支付的合同价款</w:t>
                  </w:r>
                </w:p>
              </w:tc>
              <w:tc>
                <w:tcPr>
                  <w:tcW w:w="1340" w:type="dxa"/>
                  <w:noWrap w:val="0"/>
                  <w:vAlign w:val="top"/>
                </w:tcPr>
                <w:p w14:paraId="4F525E8D">
                  <w:pPr>
                    <w:spacing w:line="280" w:lineRule="exact"/>
                    <w:rPr>
                      <w:rFonts w:hint="eastAsia"/>
                      <w:color w:val="auto"/>
                      <w:highlight w:val="none"/>
                    </w:rPr>
                  </w:pPr>
                </w:p>
              </w:tc>
              <w:tc>
                <w:tcPr>
                  <w:tcW w:w="1440" w:type="dxa"/>
                  <w:noWrap w:val="0"/>
                  <w:vAlign w:val="top"/>
                </w:tcPr>
                <w:p w14:paraId="746C0268">
                  <w:pPr>
                    <w:spacing w:line="280" w:lineRule="exact"/>
                    <w:rPr>
                      <w:rFonts w:hint="eastAsia"/>
                      <w:color w:val="auto"/>
                      <w:highlight w:val="none"/>
                    </w:rPr>
                  </w:pPr>
                </w:p>
              </w:tc>
              <w:tc>
                <w:tcPr>
                  <w:tcW w:w="1260" w:type="dxa"/>
                  <w:noWrap w:val="0"/>
                  <w:vAlign w:val="top"/>
                </w:tcPr>
                <w:p w14:paraId="04109393">
                  <w:pPr>
                    <w:spacing w:line="280" w:lineRule="exact"/>
                    <w:rPr>
                      <w:rFonts w:hint="eastAsia"/>
                      <w:color w:val="auto"/>
                      <w:highlight w:val="none"/>
                    </w:rPr>
                  </w:pPr>
                </w:p>
              </w:tc>
              <w:tc>
                <w:tcPr>
                  <w:tcW w:w="931" w:type="dxa"/>
                  <w:noWrap w:val="0"/>
                  <w:vAlign w:val="top"/>
                </w:tcPr>
                <w:p w14:paraId="0E1997D1">
                  <w:pPr>
                    <w:spacing w:line="280" w:lineRule="exact"/>
                    <w:rPr>
                      <w:rFonts w:hint="eastAsia"/>
                      <w:color w:val="auto"/>
                      <w:highlight w:val="none"/>
                    </w:rPr>
                  </w:pPr>
                </w:p>
              </w:tc>
            </w:tr>
            <w:tr w14:paraId="145F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85BBAF7">
                  <w:pPr>
                    <w:spacing w:line="280" w:lineRule="exact"/>
                    <w:jc w:val="center"/>
                    <w:rPr>
                      <w:rFonts w:hint="eastAsia"/>
                      <w:color w:val="auto"/>
                      <w:highlight w:val="none"/>
                    </w:rPr>
                  </w:pPr>
                </w:p>
              </w:tc>
              <w:tc>
                <w:tcPr>
                  <w:tcW w:w="3340" w:type="dxa"/>
                  <w:noWrap w:val="0"/>
                  <w:vAlign w:val="top"/>
                </w:tcPr>
                <w:p w14:paraId="6B06314F">
                  <w:pPr>
                    <w:spacing w:line="280" w:lineRule="exact"/>
                    <w:rPr>
                      <w:rFonts w:hint="eastAsia"/>
                      <w:color w:val="auto"/>
                      <w:highlight w:val="none"/>
                    </w:rPr>
                  </w:pPr>
                  <w:r>
                    <w:rPr>
                      <w:rFonts w:hint="eastAsia"/>
                      <w:color w:val="auto"/>
                      <w:highlight w:val="none"/>
                    </w:rPr>
                    <w:t>其中：人工费</w:t>
                  </w:r>
                </w:p>
              </w:tc>
              <w:tc>
                <w:tcPr>
                  <w:tcW w:w="1340" w:type="dxa"/>
                  <w:noWrap w:val="0"/>
                  <w:vAlign w:val="top"/>
                </w:tcPr>
                <w:p w14:paraId="7AE93383">
                  <w:pPr>
                    <w:spacing w:line="280" w:lineRule="exact"/>
                    <w:rPr>
                      <w:rFonts w:hint="eastAsia"/>
                      <w:color w:val="auto"/>
                      <w:highlight w:val="none"/>
                    </w:rPr>
                  </w:pPr>
                </w:p>
              </w:tc>
              <w:tc>
                <w:tcPr>
                  <w:tcW w:w="1440" w:type="dxa"/>
                  <w:noWrap w:val="0"/>
                  <w:vAlign w:val="top"/>
                </w:tcPr>
                <w:p w14:paraId="61BF5CAB">
                  <w:pPr>
                    <w:spacing w:line="280" w:lineRule="exact"/>
                    <w:rPr>
                      <w:rFonts w:hint="eastAsia"/>
                      <w:color w:val="auto"/>
                      <w:highlight w:val="none"/>
                    </w:rPr>
                  </w:pPr>
                </w:p>
              </w:tc>
              <w:tc>
                <w:tcPr>
                  <w:tcW w:w="1260" w:type="dxa"/>
                  <w:noWrap w:val="0"/>
                  <w:vAlign w:val="top"/>
                </w:tcPr>
                <w:p w14:paraId="1FDF20F7">
                  <w:pPr>
                    <w:spacing w:line="280" w:lineRule="exact"/>
                    <w:rPr>
                      <w:rFonts w:hint="eastAsia"/>
                      <w:color w:val="auto"/>
                      <w:highlight w:val="none"/>
                    </w:rPr>
                  </w:pPr>
                </w:p>
              </w:tc>
              <w:tc>
                <w:tcPr>
                  <w:tcW w:w="931" w:type="dxa"/>
                  <w:noWrap w:val="0"/>
                  <w:vAlign w:val="top"/>
                </w:tcPr>
                <w:p w14:paraId="5CBCA532">
                  <w:pPr>
                    <w:spacing w:line="280" w:lineRule="exact"/>
                    <w:rPr>
                      <w:rFonts w:hint="eastAsia"/>
                      <w:color w:val="auto"/>
                      <w:highlight w:val="none"/>
                    </w:rPr>
                  </w:pPr>
                </w:p>
              </w:tc>
            </w:tr>
          </w:tbl>
          <w:p w14:paraId="1CDC7870">
            <w:pPr>
              <w:wordWrap w:val="0"/>
              <w:spacing w:line="400" w:lineRule="exact"/>
              <w:ind w:right="420"/>
              <w:rPr>
                <w:rFonts w:hint="eastAsia"/>
                <w:color w:val="auto"/>
                <w:highlight w:val="none"/>
              </w:rPr>
            </w:pPr>
            <w:r>
              <w:rPr>
                <w:rFonts w:hint="eastAsia"/>
                <w:color w:val="auto"/>
                <w:highlight w:val="none"/>
              </w:rPr>
              <w:t>附：上述3、4详见附件清单。</w:t>
            </w:r>
          </w:p>
          <w:p w14:paraId="77A4CE01">
            <w:pPr>
              <w:wordWrap w:val="0"/>
              <w:spacing w:line="400" w:lineRule="exact"/>
              <w:ind w:right="420"/>
              <w:rPr>
                <w:rFonts w:hint="eastAsia"/>
                <w:color w:val="auto"/>
                <w:highlight w:val="none"/>
              </w:rPr>
            </w:pPr>
            <w:r>
              <w:rPr>
                <w:rFonts w:hint="eastAsia"/>
                <w:color w:val="auto"/>
                <w:highlight w:val="none"/>
              </w:rPr>
              <w:t xml:space="preserve">                                            承包人（章）             </w:t>
            </w:r>
          </w:p>
          <w:p w14:paraId="41783DF7">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5ED11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2" w:hRule="atLeast"/>
          <w:jc w:val="center"/>
        </w:trPr>
        <w:tc>
          <w:tcPr>
            <w:tcW w:w="4520" w:type="dxa"/>
            <w:noWrap w:val="0"/>
            <w:vAlign w:val="top"/>
          </w:tcPr>
          <w:p w14:paraId="16E3C125">
            <w:pPr>
              <w:spacing w:line="360" w:lineRule="exact"/>
              <w:rPr>
                <w:rFonts w:hint="eastAsia"/>
                <w:color w:val="auto"/>
                <w:highlight w:val="none"/>
              </w:rPr>
            </w:pPr>
            <w:r>
              <w:rPr>
                <w:rFonts w:hint="eastAsia"/>
                <w:color w:val="auto"/>
                <w:highlight w:val="none"/>
              </w:rPr>
              <w:t>复核意见：</w:t>
            </w:r>
          </w:p>
          <w:p w14:paraId="070685C3">
            <w:pPr>
              <w:spacing w:line="360" w:lineRule="exact"/>
              <w:ind w:firstLine="312"/>
              <w:rPr>
                <w:rFonts w:hint="eastAsia"/>
                <w:color w:val="auto"/>
                <w:highlight w:val="none"/>
              </w:rPr>
            </w:pPr>
            <w:r>
              <w:rPr>
                <w:rFonts w:hint="eastAsia"/>
                <w:color w:val="auto"/>
                <w:highlight w:val="none"/>
              </w:rPr>
              <w:t>□与实际施工情况不相符，修改意见见附件。</w:t>
            </w:r>
          </w:p>
          <w:p w14:paraId="13259873">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24B75C05">
            <w:pPr>
              <w:spacing w:line="360" w:lineRule="exact"/>
              <w:ind w:firstLine="435"/>
              <w:jc w:val="right"/>
              <w:rPr>
                <w:rFonts w:hint="eastAsia"/>
                <w:color w:val="auto"/>
                <w:highlight w:val="none"/>
              </w:rPr>
            </w:pPr>
          </w:p>
          <w:p w14:paraId="0E3442EC">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监理工程师</w:t>
            </w:r>
            <w:r>
              <w:rPr>
                <w:rFonts w:hint="eastAsia"/>
                <w:color w:val="auto"/>
                <w:highlight w:val="none"/>
                <w:u w:val="single"/>
              </w:rPr>
              <w:t xml:space="preserve">           </w:t>
            </w:r>
          </w:p>
          <w:p w14:paraId="0CBBC743">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52" w:type="dxa"/>
            <w:noWrap w:val="0"/>
            <w:vAlign w:val="top"/>
          </w:tcPr>
          <w:p w14:paraId="19C19B53">
            <w:pPr>
              <w:spacing w:line="360" w:lineRule="exact"/>
              <w:rPr>
                <w:rFonts w:hint="eastAsia"/>
                <w:color w:val="auto"/>
                <w:highlight w:val="none"/>
              </w:rPr>
            </w:pPr>
            <w:r>
              <w:rPr>
                <w:rFonts w:hint="eastAsia"/>
                <w:color w:val="auto"/>
                <w:highlight w:val="none"/>
              </w:rPr>
              <w:t>复核意见：</w:t>
            </w:r>
          </w:p>
          <w:p w14:paraId="788F57A3">
            <w:pPr>
              <w:spacing w:line="360" w:lineRule="exact"/>
              <w:ind w:firstLine="435"/>
              <w:rPr>
                <w:rFonts w:hint="eastAsia"/>
                <w:color w:val="auto"/>
                <w:highlight w:val="none"/>
              </w:rPr>
            </w:pPr>
            <w:r>
              <w:rPr>
                <w:rFonts w:hint="eastAsia"/>
                <w:color w:val="auto"/>
                <w:highlight w:val="none"/>
              </w:rPr>
              <w:t>你方提出的支付申请经复核，本周期已完成工程价款为(大写)</w:t>
            </w:r>
            <w:r>
              <w:rPr>
                <w:rFonts w:hint="eastAsia"/>
                <w:color w:val="auto"/>
                <w:highlight w:val="none"/>
                <w:u w:val="single"/>
              </w:rPr>
              <w:t xml:space="preserve">                </w:t>
            </w:r>
            <w:r>
              <w:rPr>
                <w:rFonts w:hint="eastAsia"/>
                <w:color w:val="auto"/>
                <w:highlight w:val="none"/>
              </w:rPr>
              <w:t>元，（小写）</w:t>
            </w:r>
          </w:p>
          <w:p w14:paraId="0A517207">
            <w:pPr>
              <w:spacing w:line="360" w:lineRule="exact"/>
              <w:rPr>
                <w:rFonts w:hint="eastAsia"/>
                <w:color w:val="auto"/>
                <w:highlight w:val="none"/>
              </w:rPr>
            </w:pPr>
            <w:r>
              <w:rPr>
                <w:rFonts w:hint="eastAsia"/>
                <w:color w:val="auto"/>
                <w:highlight w:val="none"/>
                <w:u w:val="single"/>
              </w:rPr>
              <w:t xml:space="preserve">          </w:t>
            </w:r>
            <w:r>
              <w:rPr>
                <w:rFonts w:hint="eastAsia"/>
                <w:color w:val="auto"/>
                <w:highlight w:val="none"/>
              </w:rPr>
              <w:t xml:space="preserve"> 元，本期间应支付金额为（大写）</w:t>
            </w:r>
          </w:p>
          <w:p w14:paraId="36EC08E8">
            <w:pPr>
              <w:spacing w:line="360" w:lineRule="exact"/>
              <w:rPr>
                <w:rFonts w:hint="eastAsia"/>
                <w:color w:val="auto"/>
                <w:highlight w:val="none"/>
                <w:u w:val="single"/>
              </w:rPr>
            </w:pP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45A0A71E">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造价工程师</w:t>
            </w:r>
            <w:r>
              <w:rPr>
                <w:rFonts w:hint="eastAsia"/>
                <w:color w:val="auto"/>
                <w:highlight w:val="none"/>
                <w:u w:val="single"/>
              </w:rPr>
              <w:t xml:space="preserve">           </w:t>
            </w:r>
          </w:p>
          <w:p w14:paraId="481E7892">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0D5B0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7A6E3869">
            <w:pPr>
              <w:spacing w:line="400" w:lineRule="exact"/>
              <w:rPr>
                <w:rFonts w:hint="eastAsia"/>
                <w:color w:val="auto"/>
                <w:highlight w:val="none"/>
              </w:rPr>
            </w:pPr>
            <w:r>
              <w:rPr>
                <w:rFonts w:hint="eastAsia"/>
                <w:color w:val="auto"/>
                <w:highlight w:val="none"/>
              </w:rPr>
              <w:t>审核意见：</w:t>
            </w:r>
          </w:p>
          <w:p w14:paraId="27028819">
            <w:pPr>
              <w:spacing w:line="400" w:lineRule="exact"/>
              <w:ind w:firstLine="435"/>
              <w:rPr>
                <w:rFonts w:hint="eastAsia"/>
                <w:color w:val="auto"/>
                <w:highlight w:val="none"/>
              </w:rPr>
            </w:pPr>
            <w:r>
              <w:rPr>
                <w:rFonts w:hint="eastAsia"/>
                <w:color w:val="auto"/>
                <w:highlight w:val="none"/>
              </w:rPr>
              <w:t>□不同意。</w:t>
            </w:r>
          </w:p>
          <w:p w14:paraId="02A00C70">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6B7CABD9">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09CEDDCF">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627EEA4C">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428F4370">
      <w:pPr>
        <w:spacing w:before="120"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5D8A9C5F">
      <w:pPr>
        <w:spacing w:before="120"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0A80F047">
      <w:pPr>
        <w:jc w:val="left"/>
        <w:rPr>
          <w:rFonts w:hint="eastAsia"/>
          <w:color w:val="auto"/>
          <w:sz w:val="30"/>
          <w:szCs w:val="30"/>
          <w:highlight w:val="none"/>
        </w:rPr>
      </w:pPr>
      <w:r>
        <w:rPr>
          <w:rFonts w:hint="eastAsia"/>
          <w:color w:val="auto"/>
          <w:sz w:val="30"/>
          <w:szCs w:val="30"/>
          <w:highlight w:val="none"/>
        </w:rPr>
        <w:t>附件12</w:t>
      </w:r>
    </w:p>
    <w:p w14:paraId="5D1B5109">
      <w:pPr>
        <w:jc w:val="center"/>
        <w:rPr>
          <w:rFonts w:hint="eastAsia"/>
          <w:b/>
          <w:color w:val="auto"/>
          <w:sz w:val="36"/>
          <w:szCs w:val="36"/>
          <w:highlight w:val="none"/>
        </w:rPr>
      </w:pPr>
      <w:r>
        <w:rPr>
          <w:rFonts w:hint="eastAsia"/>
          <w:b/>
          <w:color w:val="auto"/>
          <w:sz w:val="36"/>
          <w:szCs w:val="36"/>
          <w:highlight w:val="none"/>
        </w:rPr>
        <w:t>竣工结算款支付申请（核准）表</w:t>
      </w:r>
    </w:p>
    <w:p w14:paraId="5E945B86">
      <w:pPr>
        <w:rPr>
          <w:rFonts w:hint="eastAsia"/>
          <w:color w:val="auto"/>
          <w:sz w:val="24"/>
          <w:szCs w:val="24"/>
          <w:highlight w:val="none"/>
        </w:rPr>
      </w:pPr>
      <w:r>
        <w:rPr>
          <w:rFonts w:hint="eastAsia"/>
          <w:color w:val="auto"/>
          <w:sz w:val="24"/>
          <w:szCs w:val="24"/>
          <w:highlight w:val="none"/>
        </w:rPr>
        <w:t>工程名称：                                              编号：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7FE4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gridSpan w:val="2"/>
            <w:noWrap w:val="0"/>
            <w:vAlign w:val="top"/>
          </w:tcPr>
          <w:p w14:paraId="5F636470">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1C6FF4D2">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期间已完成了合同约定的工作，根据施工合同的约定，现申请支付竣工结算的工程款额为(大写)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4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169F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3DFB5084">
                  <w:pPr>
                    <w:spacing w:line="280" w:lineRule="exact"/>
                    <w:jc w:val="center"/>
                    <w:rPr>
                      <w:rFonts w:hint="eastAsia"/>
                      <w:color w:val="auto"/>
                      <w:highlight w:val="none"/>
                    </w:rPr>
                  </w:pPr>
                  <w:r>
                    <w:rPr>
                      <w:rFonts w:hint="eastAsia"/>
                      <w:color w:val="auto"/>
                      <w:highlight w:val="none"/>
                    </w:rPr>
                    <w:t>序号</w:t>
                  </w:r>
                </w:p>
              </w:tc>
              <w:tc>
                <w:tcPr>
                  <w:tcW w:w="3420" w:type="dxa"/>
                  <w:noWrap w:val="0"/>
                  <w:vAlign w:val="center"/>
                </w:tcPr>
                <w:p w14:paraId="1925A2EF">
                  <w:pPr>
                    <w:spacing w:line="280" w:lineRule="exact"/>
                    <w:jc w:val="center"/>
                    <w:rPr>
                      <w:rFonts w:hint="eastAsia"/>
                      <w:color w:val="auto"/>
                      <w:highlight w:val="none"/>
                    </w:rPr>
                  </w:pPr>
                  <w:r>
                    <w:rPr>
                      <w:rFonts w:hint="eastAsia"/>
                      <w:color w:val="auto"/>
                      <w:highlight w:val="none"/>
                    </w:rPr>
                    <w:t>名      称</w:t>
                  </w:r>
                </w:p>
              </w:tc>
              <w:tc>
                <w:tcPr>
                  <w:tcW w:w="1620" w:type="dxa"/>
                  <w:noWrap w:val="0"/>
                  <w:vAlign w:val="center"/>
                </w:tcPr>
                <w:p w14:paraId="2019BABD">
                  <w:pPr>
                    <w:spacing w:line="280" w:lineRule="exact"/>
                    <w:jc w:val="center"/>
                    <w:rPr>
                      <w:rFonts w:hint="eastAsia"/>
                      <w:color w:val="auto"/>
                      <w:highlight w:val="none"/>
                    </w:rPr>
                  </w:pPr>
                  <w:r>
                    <w:rPr>
                      <w:rFonts w:hint="eastAsia"/>
                      <w:color w:val="auto"/>
                      <w:highlight w:val="none"/>
                    </w:rPr>
                    <w:t>申请金额（元）</w:t>
                  </w:r>
                </w:p>
              </w:tc>
              <w:tc>
                <w:tcPr>
                  <w:tcW w:w="1620" w:type="dxa"/>
                  <w:noWrap w:val="0"/>
                  <w:vAlign w:val="center"/>
                </w:tcPr>
                <w:p w14:paraId="4AB6D560">
                  <w:pPr>
                    <w:spacing w:line="280" w:lineRule="exact"/>
                    <w:jc w:val="center"/>
                    <w:rPr>
                      <w:rFonts w:hint="eastAsia"/>
                      <w:color w:val="auto"/>
                      <w:highlight w:val="none"/>
                    </w:rPr>
                  </w:pPr>
                  <w:r>
                    <w:rPr>
                      <w:rFonts w:hint="eastAsia"/>
                      <w:color w:val="auto"/>
                      <w:highlight w:val="none"/>
                    </w:rPr>
                    <w:t>复核金额（元）</w:t>
                  </w:r>
                </w:p>
              </w:tc>
              <w:tc>
                <w:tcPr>
                  <w:tcW w:w="1651" w:type="dxa"/>
                  <w:noWrap w:val="0"/>
                  <w:vAlign w:val="center"/>
                </w:tcPr>
                <w:p w14:paraId="64F984D4">
                  <w:pPr>
                    <w:spacing w:line="280" w:lineRule="exact"/>
                    <w:jc w:val="center"/>
                    <w:rPr>
                      <w:rFonts w:hint="eastAsia"/>
                      <w:color w:val="auto"/>
                      <w:highlight w:val="none"/>
                    </w:rPr>
                  </w:pPr>
                  <w:r>
                    <w:rPr>
                      <w:rFonts w:hint="eastAsia"/>
                      <w:color w:val="auto"/>
                      <w:highlight w:val="none"/>
                    </w:rPr>
                    <w:t>备注</w:t>
                  </w:r>
                </w:p>
              </w:tc>
            </w:tr>
            <w:tr w14:paraId="1BEF1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E1DDACF">
                  <w:pPr>
                    <w:spacing w:line="280" w:lineRule="exact"/>
                    <w:jc w:val="center"/>
                    <w:rPr>
                      <w:rFonts w:hint="eastAsia"/>
                      <w:color w:val="auto"/>
                      <w:highlight w:val="none"/>
                    </w:rPr>
                  </w:pPr>
                  <w:r>
                    <w:rPr>
                      <w:rFonts w:hint="eastAsia"/>
                      <w:color w:val="auto"/>
                      <w:highlight w:val="none"/>
                    </w:rPr>
                    <w:t>1</w:t>
                  </w:r>
                </w:p>
              </w:tc>
              <w:tc>
                <w:tcPr>
                  <w:tcW w:w="3420" w:type="dxa"/>
                  <w:noWrap w:val="0"/>
                  <w:vAlign w:val="top"/>
                </w:tcPr>
                <w:p w14:paraId="54701FB5">
                  <w:pPr>
                    <w:spacing w:line="280" w:lineRule="exact"/>
                    <w:rPr>
                      <w:rFonts w:hint="eastAsia"/>
                      <w:color w:val="auto"/>
                      <w:highlight w:val="none"/>
                    </w:rPr>
                  </w:pPr>
                  <w:r>
                    <w:rPr>
                      <w:rFonts w:hint="eastAsia"/>
                      <w:color w:val="auto"/>
                      <w:highlight w:val="none"/>
                    </w:rPr>
                    <w:t>竣工结算合同价款总额</w:t>
                  </w:r>
                </w:p>
              </w:tc>
              <w:tc>
                <w:tcPr>
                  <w:tcW w:w="1620" w:type="dxa"/>
                  <w:noWrap w:val="0"/>
                  <w:vAlign w:val="top"/>
                </w:tcPr>
                <w:p w14:paraId="17E1BD9F">
                  <w:pPr>
                    <w:spacing w:line="280" w:lineRule="exact"/>
                    <w:rPr>
                      <w:rFonts w:hint="eastAsia"/>
                      <w:color w:val="auto"/>
                      <w:highlight w:val="none"/>
                    </w:rPr>
                  </w:pPr>
                </w:p>
              </w:tc>
              <w:tc>
                <w:tcPr>
                  <w:tcW w:w="1620" w:type="dxa"/>
                  <w:noWrap w:val="0"/>
                  <w:vAlign w:val="top"/>
                </w:tcPr>
                <w:p w14:paraId="49704E39">
                  <w:pPr>
                    <w:spacing w:line="280" w:lineRule="exact"/>
                    <w:rPr>
                      <w:rFonts w:hint="eastAsia"/>
                      <w:color w:val="auto"/>
                      <w:highlight w:val="none"/>
                    </w:rPr>
                  </w:pPr>
                </w:p>
              </w:tc>
              <w:tc>
                <w:tcPr>
                  <w:tcW w:w="1651" w:type="dxa"/>
                  <w:noWrap w:val="0"/>
                  <w:vAlign w:val="top"/>
                </w:tcPr>
                <w:p w14:paraId="27D96732">
                  <w:pPr>
                    <w:spacing w:line="280" w:lineRule="exact"/>
                    <w:rPr>
                      <w:rFonts w:hint="eastAsia"/>
                      <w:color w:val="auto"/>
                      <w:highlight w:val="none"/>
                    </w:rPr>
                  </w:pPr>
                </w:p>
              </w:tc>
            </w:tr>
            <w:tr w14:paraId="05E7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160A923">
                  <w:pPr>
                    <w:spacing w:line="280" w:lineRule="exact"/>
                    <w:jc w:val="center"/>
                    <w:rPr>
                      <w:rFonts w:hint="eastAsia"/>
                      <w:color w:val="auto"/>
                      <w:highlight w:val="none"/>
                    </w:rPr>
                  </w:pPr>
                  <w:r>
                    <w:rPr>
                      <w:rFonts w:hint="eastAsia"/>
                      <w:color w:val="auto"/>
                      <w:highlight w:val="none"/>
                    </w:rPr>
                    <w:t>2</w:t>
                  </w:r>
                </w:p>
              </w:tc>
              <w:tc>
                <w:tcPr>
                  <w:tcW w:w="3420" w:type="dxa"/>
                  <w:noWrap w:val="0"/>
                  <w:vAlign w:val="top"/>
                </w:tcPr>
                <w:p w14:paraId="17C908D3">
                  <w:pPr>
                    <w:spacing w:line="280" w:lineRule="exact"/>
                    <w:rPr>
                      <w:rFonts w:hint="eastAsia"/>
                      <w:color w:val="auto"/>
                      <w:highlight w:val="none"/>
                    </w:rPr>
                  </w:pPr>
                  <w:r>
                    <w:rPr>
                      <w:rFonts w:hint="eastAsia"/>
                      <w:color w:val="auto"/>
                      <w:highlight w:val="none"/>
                    </w:rPr>
                    <w:t>累计已实际支付的合同价款</w:t>
                  </w:r>
                </w:p>
              </w:tc>
              <w:tc>
                <w:tcPr>
                  <w:tcW w:w="1620" w:type="dxa"/>
                  <w:noWrap w:val="0"/>
                  <w:vAlign w:val="top"/>
                </w:tcPr>
                <w:p w14:paraId="11FD9C6A">
                  <w:pPr>
                    <w:spacing w:line="280" w:lineRule="exact"/>
                    <w:rPr>
                      <w:rFonts w:hint="eastAsia"/>
                      <w:color w:val="auto"/>
                      <w:highlight w:val="none"/>
                    </w:rPr>
                  </w:pPr>
                </w:p>
              </w:tc>
              <w:tc>
                <w:tcPr>
                  <w:tcW w:w="1620" w:type="dxa"/>
                  <w:noWrap w:val="0"/>
                  <w:vAlign w:val="top"/>
                </w:tcPr>
                <w:p w14:paraId="79976658">
                  <w:pPr>
                    <w:spacing w:line="280" w:lineRule="exact"/>
                    <w:rPr>
                      <w:rFonts w:hint="eastAsia"/>
                      <w:color w:val="auto"/>
                      <w:highlight w:val="none"/>
                    </w:rPr>
                  </w:pPr>
                </w:p>
              </w:tc>
              <w:tc>
                <w:tcPr>
                  <w:tcW w:w="1651" w:type="dxa"/>
                  <w:noWrap w:val="0"/>
                  <w:vAlign w:val="top"/>
                </w:tcPr>
                <w:p w14:paraId="759FEDBA">
                  <w:pPr>
                    <w:spacing w:line="280" w:lineRule="exact"/>
                    <w:rPr>
                      <w:rFonts w:hint="eastAsia"/>
                      <w:color w:val="auto"/>
                      <w:highlight w:val="none"/>
                    </w:rPr>
                  </w:pPr>
                </w:p>
              </w:tc>
            </w:tr>
            <w:tr w14:paraId="33A3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8CA89C8">
                  <w:pPr>
                    <w:spacing w:line="280" w:lineRule="exact"/>
                    <w:jc w:val="center"/>
                    <w:rPr>
                      <w:rFonts w:hint="eastAsia"/>
                      <w:color w:val="auto"/>
                      <w:highlight w:val="none"/>
                    </w:rPr>
                  </w:pPr>
                  <w:r>
                    <w:rPr>
                      <w:rFonts w:hint="eastAsia"/>
                      <w:color w:val="auto"/>
                      <w:highlight w:val="none"/>
                    </w:rPr>
                    <w:t>3</w:t>
                  </w:r>
                </w:p>
              </w:tc>
              <w:tc>
                <w:tcPr>
                  <w:tcW w:w="3420" w:type="dxa"/>
                  <w:noWrap w:val="0"/>
                  <w:vAlign w:val="top"/>
                </w:tcPr>
                <w:p w14:paraId="7F33D81B">
                  <w:pPr>
                    <w:spacing w:line="280" w:lineRule="exact"/>
                    <w:rPr>
                      <w:rFonts w:hint="eastAsia"/>
                      <w:color w:val="auto"/>
                      <w:highlight w:val="none"/>
                    </w:rPr>
                  </w:pPr>
                  <w:r>
                    <w:rPr>
                      <w:rFonts w:hint="eastAsia"/>
                      <w:color w:val="auto"/>
                      <w:highlight w:val="none"/>
                    </w:rPr>
                    <w:t>应预留的质量保证金</w:t>
                  </w:r>
                </w:p>
              </w:tc>
              <w:tc>
                <w:tcPr>
                  <w:tcW w:w="1620" w:type="dxa"/>
                  <w:noWrap w:val="0"/>
                  <w:vAlign w:val="top"/>
                </w:tcPr>
                <w:p w14:paraId="2EA5390F">
                  <w:pPr>
                    <w:spacing w:line="280" w:lineRule="exact"/>
                    <w:rPr>
                      <w:rFonts w:hint="eastAsia"/>
                      <w:color w:val="auto"/>
                      <w:highlight w:val="none"/>
                    </w:rPr>
                  </w:pPr>
                </w:p>
              </w:tc>
              <w:tc>
                <w:tcPr>
                  <w:tcW w:w="1620" w:type="dxa"/>
                  <w:noWrap w:val="0"/>
                  <w:vAlign w:val="top"/>
                </w:tcPr>
                <w:p w14:paraId="08D79F62">
                  <w:pPr>
                    <w:spacing w:line="280" w:lineRule="exact"/>
                    <w:rPr>
                      <w:rFonts w:hint="eastAsia"/>
                      <w:color w:val="auto"/>
                      <w:highlight w:val="none"/>
                    </w:rPr>
                  </w:pPr>
                </w:p>
              </w:tc>
              <w:tc>
                <w:tcPr>
                  <w:tcW w:w="1651" w:type="dxa"/>
                  <w:noWrap w:val="0"/>
                  <w:vAlign w:val="top"/>
                </w:tcPr>
                <w:p w14:paraId="38374990">
                  <w:pPr>
                    <w:spacing w:line="280" w:lineRule="exact"/>
                    <w:rPr>
                      <w:rFonts w:hint="eastAsia"/>
                      <w:color w:val="auto"/>
                      <w:highlight w:val="none"/>
                    </w:rPr>
                  </w:pPr>
                </w:p>
              </w:tc>
            </w:tr>
            <w:tr w14:paraId="4942B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D482ED1">
                  <w:pPr>
                    <w:spacing w:line="280" w:lineRule="exact"/>
                    <w:jc w:val="center"/>
                    <w:rPr>
                      <w:rFonts w:hint="eastAsia"/>
                      <w:color w:val="auto"/>
                      <w:highlight w:val="none"/>
                    </w:rPr>
                  </w:pPr>
                  <w:r>
                    <w:rPr>
                      <w:rFonts w:hint="eastAsia"/>
                      <w:color w:val="auto"/>
                      <w:highlight w:val="none"/>
                    </w:rPr>
                    <w:t>4</w:t>
                  </w:r>
                </w:p>
              </w:tc>
              <w:tc>
                <w:tcPr>
                  <w:tcW w:w="3420" w:type="dxa"/>
                  <w:noWrap w:val="0"/>
                  <w:vAlign w:val="top"/>
                </w:tcPr>
                <w:p w14:paraId="4CA1DC22">
                  <w:pPr>
                    <w:spacing w:line="280" w:lineRule="exact"/>
                    <w:rPr>
                      <w:rFonts w:hint="eastAsia"/>
                      <w:color w:val="auto"/>
                      <w:highlight w:val="none"/>
                    </w:rPr>
                  </w:pPr>
                  <w:r>
                    <w:rPr>
                      <w:rFonts w:hint="eastAsia"/>
                      <w:color w:val="auto"/>
                      <w:highlight w:val="none"/>
                    </w:rPr>
                    <w:t>应支付的竣工结算款金额</w:t>
                  </w:r>
                </w:p>
              </w:tc>
              <w:tc>
                <w:tcPr>
                  <w:tcW w:w="1620" w:type="dxa"/>
                  <w:noWrap w:val="0"/>
                  <w:vAlign w:val="top"/>
                </w:tcPr>
                <w:p w14:paraId="0B6148A3">
                  <w:pPr>
                    <w:spacing w:line="280" w:lineRule="exact"/>
                    <w:rPr>
                      <w:rFonts w:hint="eastAsia"/>
                      <w:color w:val="auto"/>
                      <w:highlight w:val="none"/>
                    </w:rPr>
                  </w:pPr>
                </w:p>
              </w:tc>
              <w:tc>
                <w:tcPr>
                  <w:tcW w:w="1620" w:type="dxa"/>
                  <w:noWrap w:val="0"/>
                  <w:vAlign w:val="top"/>
                </w:tcPr>
                <w:p w14:paraId="3D25AEE7">
                  <w:pPr>
                    <w:spacing w:line="280" w:lineRule="exact"/>
                    <w:rPr>
                      <w:rFonts w:hint="eastAsia"/>
                      <w:color w:val="auto"/>
                      <w:highlight w:val="none"/>
                    </w:rPr>
                  </w:pPr>
                </w:p>
              </w:tc>
              <w:tc>
                <w:tcPr>
                  <w:tcW w:w="1651" w:type="dxa"/>
                  <w:noWrap w:val="0"/>
                  <w:vAlign w:val="top"/>
                </w:tcPr>
                <w:p w14:paraId="7F55C254">
                  <w:pPr>
                    <w:spacing w:line="280" w:lineRule="exact"/>
                    <w:rPr>
                      <w:rFonts w:hint="eastAsia"/>
                      <w:color w:val="auto"/>
                      <w:highlight w:val="none"/>
                    </w:rPr>
                  </w:pPr>
                </w:p>
              </w:tc>
            </w:tr>
            <w:tr w14:paraId="38593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E09E6E8">
                  <w:pPr>
                    <w:spacing w:line="280" w:lineRule="exact"/>
                    <w:jc w:val="center"/>
                    <w:rPr>
                      <w:rFonts w:hint="eastAsia"/>
                      <w:color w:val="auto"/>
                      <w:highlight w:val="none"/>
                    </w:rPr>
                  </w:pPr>
                </w:p>
              </w:tc>
              <w:tc>
                <w:tcPr>
                  <w:tcW w:w="3420" w:type="dxa"/>
                  <w:noWrap w:val="0"/>
                  <w:vAlign w:val="top"/>
                </w:tcPr>
                <w:p w14:paraId="36698459">
                  <w:pPr>
                    <w:spacing w:line="280" w:lineRule="exact"/>
                    <w:rPr>
                      <w:rFonts w:hint="eastAsia"/>
                      <w:color w:val="auto"/>
                      <w:highlight w:val="none"/>
                    </w:rPr>
                  </w:pPr>
                </w:p>
              </w:tc>
              <w:tc>
                <w:tcPr>
                  <w:tcW w:w="1620" w:type="dxa"/>
                  <w:noWrap w:val="0"/>
                  <w:vAlign w:val="top"/>
                </w:tcPr>
                <w:p w14:paraId="3A61DC99">
                  <w:pPr>
                    <w:spacing w:line="280" w:lineRule="exact"/>
                    <w:rPr>
                      <w:rFonts w:hint="eastAsia"/>
                      <w:color w:val="auto"/>
                      <w:highlight w:val="none"/>
                    </w:rPr>
                  </w:pPr>
                </w:p>
              </w:tc>
              <w:tc>
                <w:tcPr>
                  <w:tcW w:w="1620" w:type="dxa"/>
                  <w:noWrap w:val="0"/>
                  <w:vAlign w:val="top"/>
                </w:tcPr>
                <w:p w14:paraId="717B8C46">
                  <w:pPr>
                    <w:spacing w:line="280" w:lineRule="exact"/>
                    <w:rPr>
                      <w:rFonts w:hint="eastAsia"/>
                      <w:color w:val="auto"/>
                      <w:highlight w:val="none"/>
                    </w:rPr>
                  </w:pPr>
                </w:p>
              </w:tc>
              <w:tc>
                <w:tcPr>
                  <w:tcW w:w="1651" w:type="dxa"/>
                  <w:noWrap w:val="0"/>
                  <w:vAlign w:val="top"/>
                </w:tcPr>
                <w:p w14:paraId="30A1A9B1">
                  <w:pPr>
                    <w:spacing w:line="280" w:lineRule="exact"/>
                    <w:rPr>
                      <w:rFonts w:hint="eastAsia"/>
                      <w:color w:val="auto"/>
                      <w:highlight w:val="none"/>
                    </w:rPr>
                  </w:pPr>
                </w:p>
              </w:tc>
            </w:tr>
            <w:tr w14:paraId="1EA24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BA46343">
                  <w:pPr>
                    <w:spacing w:line="280" w:lineRule="exact"/>
                    <w:jc w:val="center"/>
                    <w:rPr>
                      <w:rFonts w:hint="eastAsia"/>
                      <w:color w:val="auto"/>
                      <w:highlight w:val="none"/>
                    </w:rPr>
                  </w:pPr>
                </w:p>
              </w:tc>
              <w:tc>
                <w:tcPr>
                  <w:tcW w:w="3420" w:type="dxa"/>
                  <w:noWrap w:val="0"/>
                  <w:vAlign w:val="top"/>
                </w:tcPr>
                <w:p w14:paraId="4031C17E">
                  <w:pPr>
                    <w:spacing w:line="280" w:lineRule="exact"/>
                    <w:rPr>
                      <w:rFonts w:hint="eastAsia"/>
                      <w:color w:val="auto"/>
                      <w:highlight w:val="none"/>
                    </w:rPr>
                  </w:pPr>
                </w:p>
              </w:tc>
              <w:tc>
                <w:tcPr>
                  <w:tcW w:w="1620" w:type="dxa"/>
                  <w:noWrap w:val="0"/>
                  <w:vAlign w:val="top"/>
                </w:tcPr>
                <w:p w14:paraId="422F60F2">
                  <w:pPr>
                    <w:spacing w:line="280" w:lineRule="exact"/>
                    <w:rPr>
                      <w:rFonts w:hint="eastAsia"/>
                      <w:color w:val="auto"/>
                      <w:highlight w:val="none"/>
                    </w:rPr>
                  </w:pPr>
                </w:p>
              </w:tc>
              <w:tc>
                <w:tcPr>
                  <w:tcW w:w="1620" w:type="dxa"/>
                  <w:noWrap w:val="0"/>
                  <w:vAlign w:val="top"/>
                </w:tcPr>
                <w:p w14:paraId="2DC19199">
                  <w:pPr>
                    <w:spacing w:line="280" w:lineRule="exact"/>
                    <w:rPr>
                      <w:rFonts w:hint="eastAsia"/>
                      <w:color w:val="auto"/>
                      <w:highlight w:val="none"/>
                    </w:rPr>
                  </w:pPr>
                </w:p>
              </w:tc>
              <w:tc>
                <w:tcPr>
                  <w:tcW w:w="1651" w:type="dxa"/>
                  <w:noWrap w:val="0"/>
                  <w:vAlign w:val="top"/>
                </w:tcPr>
                <w:p w14:paraId="0987874C">
                  <w:pPr>
                    <w:spacing w:line="280" w:lineRule="exact"/>
                    <w:rPr>
                      <w:rFonts w:hint="eastAsia"/>
                      <w:color w:val="auto"/>
                      <w:highlight w:val="none"/>
                    </w:rPr>
                  </w:pPr>
                </w:p>
              </w:tc>
            </w:tr>
            <w:tr w14:paraId="3E33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BFB7C42">
                  <w:pPr>
                    <w:spacing w:line="280" w:lineRule="exact"/>
                    <w:jc w:val="center"/>
                    <w:rPr>
                      <w:rFonts w:hint="eastAsia"/>
                      <w:color w:val="auto"/>
                      <w:highlight w:val="none"/>
                    </w:rPr>
                  </w:pPr>
                </w:p>
              </w:tc>
              <w:tc>
                <w:tcPr>
                  <w:tcW w:w="3420" w:type="dxa"/>
                  <w:noWrap w:val="0"/>
                  <w:vAlign w:val="top"/>
                </w:tcPr>
                <w:p w14:paraId="2A477817">
                  <w:pPr>
                    <w:spacing w:line="280" w:lineRule="exact"/>
                    <w:rPr>
                      <w:rFonts w:hint="eastAsia"/>
                      <w:color w:val="auto"/>
                      <w:highlight w:val="none"/>
                    </w:rPr>
                  </w:pPr>
                </w:p>
              </w:tc>
              <w:tc>
                <w:tcPr>
                  <w:tcW w:w="1620" w:type="dxa"/>
                  <w:noWrap w:val="0"/>
                  <w:vAlign w:val="top"/>
                </w:tcPr>
                <w:p w14:paraId="70380032">
                  <w:pPr>
                    <w:spacing w:line="280" w:lineRule="exact"/>
                    <w:rPr>
                      <w:rFonts w:hint="eastAsia"/>
                      <w:color w:val="auto"/>
                      <w:highlight w:val="none"/>
                    </w:rPr>
                  </w:pPr>
                </w:p>
              </w:tc>
              <w:tc>
                <w:tcPr>
                  <w:tcW w:w="1620" w:type="dxa"/>
                  <w:noWrap w:val="0"/>
                  <w:vAlign w:val="top"/>
                </w:tcPr>
                <w:p w14:paraId="78A5F749">
                  <w:pPr>
                    <w:spacing w:line="280" w:lineRule="exact"/>
                    <w:rPr>
                      <w:rFonts w:hint="eastAsia"/>
                      <w:color w:val="auto"/>
                      <w:highlight w:val="none"/>
                    </w:rPr>
                  </w:pPr>
                </w:p>
              </w:tc>
              <w:tc>
                <w:tcPr>
                  <w:tcW w:w="1651" w:type="dxa"/>
                  <w:noWrap w:val="0"/>
                  <w:vAlign w:val="top"/>
                </w:tcPr>
                <w:p w14:paraId="71147189">
                  <w:pPr>
                    <w:spacing w:line="280" w:lineRule="exact"/>
                    <w:rPr>
                      <w:rFonts w:hint="eastAsia"/>
                      <w:color w:val="auto"/>
                      <w:highlight w:val="none"/>
                    </w:rPr>
                  </w:pPr>
                </w:p>
              </w:tc>
            </w:tr>
            <w:tr w14:paraId="54C0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2CAE2C5">
                  <w:pPr>
                    <w:spacing w:line="280" w:lineRule="exact"/>
                    <w:jc w:val="center"/>
                    <w:rPr>
                      <w:rFonts w:hint="eastAsia"/>
                      <w:color w:val="auto"/>
                      <w:highlight w:val="none"/>
                    </w:rPr>
                  </w:pPr>
                </w:p>
              </w:tc>
              <w:tc>
                <w:tcPr>
                  <w:tcW w:w="3420" w:type="dxa"/>
                  <w:noWrap w:val="0"/>
                  <w:vAlign w:val="top"/>
                </w:tcPr>
                <w:p w14:paraId="63BC13D0">
                  <w:pPr>
                    <w:spacing w:line="280" w:lineRule="exact"/>
                    <w:rPr>
                      <w:rFonts w:hint="eastAsia"/>
                      <w:color w:val="auto"/>
                      <w:highlight w:val="none"/>
                    </w:rPr>
                  </w:pPr>
                </w:p>
              </w:tc>
              <w:tc>
                <w:tcPr>
                  <w:tcW w:w="1620" w:type="dxa"/>
                  <w:noWrap w:val="0"/>
                  <w:vAlign w:val="top"/>
                </w:tcPr>
                <w:p w14:paraId="2EF703FA">
                  <w:pPr>
                    <w:spacing w:line="280" w:lineRule="exact"/>
                    <w:rPr>
                      <w:rFonts w:hint="eastAsia"/>
                      <w:color w:val="auto"/>
                      <w:highlight w:val="none"/>
                    </w:rPr>
                  </w:pPr>
                </w:p>
              </w:tc>
              <w:tc>
                <w:tcPr>
                  <w:tcW w:w="1620" w:type="dxa"/>
                  <w:noWrap w:val="0"/>
                  <w:vAlign w:val="top"/>
                </w:tcPr>
                <w:p w14:paraId="7903A9CF">
                  <w:pPr>
                    <w:spacing w:line="280" w:lineRule="exact"/>
                    <w:rPr>
                      <w:rFonts w:hint="eastAsia"/>
                      <w:color w:val="auto"/>
                      <w:highlight w:val="none"/>
                    </w:rPr>
                  </w:pPr>
                </w:p>
              </w:tc>
              <w:tc>
                <w:tcPr>
                  <w:tcW w:w="1651" w:type="dxa"/>
                  <w:noWrap w:val="0"/>
                  <w:vAlign w:val="top"/>
                </w:tcPr>
                <w:p w14:paraId="41772B11">
                  <w:pPr>
                    <w:spacing w:line="280" w:lineRule="exact"/>
                    <w:rPr>
                      <w:rFonts w:hint="eastAsia"/>
                      <w:color w:val="auto"/>
                      <w:highlight w:val="none"/>
                    </w:rPr>
                  </w:pPr>
                </w:p>
              </w:tc>
            </w:tr>
            <w:tr w14:paraId="2B938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5AE7AC3">
                  <w:pPr>
                    <w:spacing w:line="280" w:lineRule="exact"/>
                    <w:jc w:val="center"/>
                    <w:rPr>
                      <w:rFonts w:hint="eastAsia"/>
                      <w:color w:val="auto"/>
                      <w:highlight w:val="none"/>
                    </w:rPr>
                  </w:pPr>
                </w:p>
              </w:tc>
              <w:tc>
                <w:tcPr>
                  <w:tcW w:w="3420" w:type="dxa"/>
                  <w:noWrap w:val="0"/>
                  <w:vAlign w:val="top"/>
                </w:tcPr>
                <w:p w14:paraId="0CA2A252">
                  <w:pPr>
                    <w:spacing w:line="280" w:lineRule="exact"/>
                    <w:rPr>
                      <w:rFonts w:hint="eastAsia"/>
                      <w:color w:val="auto"/>
                      <w:highlight w:val="none"/>
                    </w:rPr>
                  </w:pPr>
                </w:p>
              </w:tc>
              <w:tc>
                <w:tcPr>
                  <w:tcW w:w="1620" w:type="dxa"/>
                  <w:noWrap w:val="0"/>
                  <w:vAlign w:val="top"/>
                </w:tcPr>
                <w:p w14:paraId="5EEFF7C4">
                  <w:pPr>
                    <w:spacing w:line="280" w:lineRule="exact"/>
                    <w:rPr>
                      <w:rFonts w:hint="eastAsia"/>
                      <w:color w:val="auto"/>
                      <w:highlight w:val="none"/>
                    </w:rPr>
                  </w:pPr>
                </w:p>
              </w:tc>
              <w:tc>
                <w:tcPr>
                  <w:tcW w:w="1620" w:type="dxa"/>
                  <w:noWrap w:val="0"/>
                  <w:vAlign w:val="top"/>
                </w:tcPr>
                <w:p w14:paraId="298C38E7">
                  <w:pPr>
                    <w:spacing w:line="280" w:lineRule="exact"/>
                    <w:rPr>
                      <w:rFonts w:hint="eastAsia"/>
                      <w:color w:val="auto"/>
                      <w:highlight w:val="none"/>
                    </w:rPr>
                  </w:pPr>
                </w:p>
              </w:tc>
              <w:tc>
                <w:tcPr>
                  <w:tcW w:w="1651" w:type="dxa"/>
                  <w:noWrap w:val="0"/>
                  <w:vAlign w:val="top"/>
                </w:tcPr>
                <w:p w14:paraId="52D10A82">
                  <w:pPr>
                    <w:spacing w:line="280" w:lineRule="exact"/>
                    <w:rPr>
                      <w:rFonts w:hint="eastAsia"/>
                      <w:color w:val="auto"/>
                      <w:highlight w:val="none"/>
                    </w:rPr>
                  </w:pPr>
                </w:p>
              </w:tc>
            </w:tr>
          </w:tbl>
          <w:p w14:paraId="7C585649">
            <w:pPr>
              <w:spacing w:line="400" w:lineRule="exact"/>
              <w:ind w:right="420" w:firstLine="435"/>
              <w:jc w:val="center"/>
              <w:rPr>
                <w:rFonts w:hint="eastAsia"/>
                <w:color w:val="auto"/>
                <w:highlight w:val="none"/>
              </w:rPr>
            </w:pPr>
          </w:p>
          <w:p w14:paraId="4FE34A80">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4DEB0A5F">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58C0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5D748324">
            <w:pPr>
              <w:spacing w:line="360" w:lineRule="exact"/>
              <w:rPr>
                <w:rFonts w:hint="eastAsia"/>
                <w:color w:val="auto"/>
                <w:highlight w:val="none"/>
              </w:rPr>
            </w:pPr>
            <w:r>
              <w:rPr>
                <w:rFonts w:hint="eastAsia"/>
                <w:color w:val="auto"/>
                <w:highlight w:val="none"/>
              </w:rPr>
              <w:t>复核意见：</w:t>
            </w:r>
          </w:p>
          <w:p w14:paraId="4A16AC73">
            <w:pPr>
              <w:spacing w:line="360" w:lineRule="exact"/>
              <w:ind w:firstLine="312"/>
              <w:rPr>
                <w:rFonts w:hint="eastAsia"/>
                <w:color w:val="auto"/>
                <w:highlight w:val="none"/>
              </w:rPr>
            </w:pPr>
            <w:r>
              <w:rPr>
                <w:rFonts w:hint="eastAsia"/>
                <w:color w:val="auto"/>
                <w:highlight w:val="none"/>
              </w:rPr>
              <w:t>□与实际施工情况不相符，修改意见见附件。</w:t>
            </w:r>
          </w:p>
          <w:p w14:paraId="166B2363">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173830AC">
            <w:pPr>
              <w:spacing w:line="360" w:lineRule="exact"/>
              <w:ind w:firstLine="435"/>
              <w:jc w:val="right"/>
              <w:rPr>
                <w:rFonts w:hint="eastAsia"/>
                <w:color w:val="auto"/>
                <w:highlight w:val="none"/>
              </w:rPr>
            </w:pPr>
          </w:p>
          <w:p w14:paraId="2D7BE0D8">
            <w:pPr>
              <w:spacing w:line="360" w:lineRule="exact"/>
              <w:ind w:firstLine="435"/>
              <w:jc w:val="right"/>
              <w:rPr>
                <w:rFonts w:hint="eastAsia"/>
                <w:color w:val="auto"/>
                <w:highlight w:val="none"/>
              </w:rPr>
            </w:pPr>
          </w:p>
          <w:p w14:paraId="4DB699AE">
            <w:pPr>
              <w:spacing w:line="360" w:lineRule="exact"/>
              <w:ind w:firstLine="435"/>
              <w:jc w:val="center"/>
              <w:rPr>
                <w:rFonts w:hint="eastAsia"/>
                <w:color w:val="auto"/>
                <w:highlight w:val="none"/>
              </w:rPr>
            </w:pPr>
            <w:r>
              <w:rPr>
                <w:color w:val="auto"/>
                <w:highlight w:val="none"/>
              </w:rPr>
              <w:t xml:space="preserve">    </w:t>
            </w:r>
            <w:r>
              <w:rPr>
                <w:rFonts w:hint="eastAsia"/>
                <w:color w:val="auto"/>
                <w:highlight w:val="none"/>
              </w:rPr>
              <w:t xml:space="preserve">     </w:t>
            </w:r>
          </w:p>
          <w:p w14:paraId="358A56A8">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5C35C037">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noWrap w:val="0"/>
            <w:vAlign w:val="top"/>
          </w:tcPr>
          <w:p w14:paraId="284C2CFA">
            <w:pPr>
              <w:spacing w:line="360" w:lineRule="exact"/>
              <w:rPr>
                <w:rFonts w:hint="eastAsia"/>
                <w:color w:val="auto"/>
                <w:highlight w:val="none"/>
              </w:rPr>
            </w:pPr>
            <w:r>
              <w:rPr>
                <w:rFonts w:hint="eastAsia"/>
                <w:color w:val="auto"/>
                <w:highlight w:val="none"/>
              </w:rPr>
              <w:t>复核意见：</w:t>
            </w:r>
          </w:p>
          <w:p w14:paraId="1B329E06">
            <w:pPr>
              <w:spacing w:line="360" w:lineRule="exact"/>
              <w:ind w:firstLine="435"/>
              <w:rPr>
                <w:rFonts w:hint="eastAsia"/>
                <w:color w:val="auto"/>
                <w:highlight w:val="none"/>
                <w:u w:val="single"/>
              </w:rPr>
            </w:pPr>
            <w:r>
              <w:rPr>
                <w:rFonts w:hint="eastAsia"/>
                <w:color w:val="auto"/>
                <w:highlight w:val="none"/>
              </w:rPr>
              <w:t>你方提出的竣工结算支付申请经复核，竣工结算款总额为(大写)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 xml:space="preserve"> 元，扣除前期支付以及质量保证金后应支付金额为（大写）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w:t>
            </w:r>
          </w:p>
          <w:p w14:paraId="20697DE4">
            <w:pPr>
              <w:spacing w:line="360" w:lineRule="exact"/>
              <w:ind w:firstLine="435"/>
              <w:jc w:val="center"/>
              <w:rPr>
                <w:rFonts w:hint="eastAsia"/>
                <w:color w:val="auto"/>
                <w:highlight w:val="none"/>
              </w:rPr>
            </w:pPr>
            <w:r>
              <w:rPr>
                <w:color w:val="auto"/>
                <w:highlight w:val="none"/>
              </w:rPr>
              <w:t xml:space="preserve">    </w:t>
            </w:r>
          </w:p>
          <w:p w14:paraId="01B20571">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3728121E">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0025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5729AA8B">
            <w:pPr>
              <w:spacing w:line="400" w:lineRule="exact"/>
              <w:rPr>
                <w:rFonts w:hint="eastAsia"/>
                <w:color w:val="auto"/>
                <w:highlight w:val="none"/>
              </w:rPr>
            </w:pPr>
            <w:r>
              <w:rPr>
                <w:rFonts w:hint="eastAsia"/>
                <w:color w:val="auto"/>
                <w:highlight w:val="none"/>
              </w:rPr>
              <w:t>审核意见：</w:t>
            </w:r>
          </w:p>
          <w:p w14:paraId="5228DC27">
            <w:pPr>
              <w:spacing w:line="400" w:lineRule="exact"/>
              <w:ind w:firstLine="435"/>
              <w:rPr>
                <w:rFonts w:hint="eastAsia"/>
                <w:color w:val="auto"/>
                <w:highlight w:val="none"/>
              </w:rPr>
            </w:pPr>
            <w:r>
              <w:rPr>
                <w:rFonts w:hint="eastAsia"/>
                <w:color w:val="auto"/>
                <w:highlight w:val="none"/>
              </w:rPr>
              <w:t>□不同意。</w:t>
            </w:r>
          </w:p>
          <w:p w14:paraId="43D257AE">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638FFE88">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621EAF4A">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2C476131">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7F526879">
      <w:pPr>
        <w:spacing w:before="120" w:beforeLines="50"/>
        <w:ind w:firstLine="360" w:firstLineChars="200"/>
        <w:rPr>
          <w:rFonts w:hint="eastAsia"/>
          <w:color w:val="auto"/>
          <w:sz w:val="18"/>
          <w:szCs w:val="18"/>
          <w:highlight w:val="none"/>
        </w:rPr>
      </w:pPr>
      <w:r>
        <w:rPr>
          <w:rFonts w:hint="eastAsia"/>
          <w:color w:val="auto"/>
          <w:sz w:val="18"/>
          <w:szCs w:val="18"/>
          <w:highlight w:val="none"/>
        </w:rPr>
        <w:t xml:space="preserve">注：1.在选择栏中的“□”内作标识“√”。 </w:t>
      </w:r>
    </w:p>
    <w:p w14:paraId="67C2B297">
      <w:pPr>
        <w:spacing w:before="120"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2DF2E775">
      <w:pPr>
        <w:jc w:val="left"/>
        <w:rPr>
          <w:rFonts w:hint="eastAsia"/>
          <w:b/>
          <w:color w:val="auto"/>
          <w:sz w:val="30"/>
          <w:szCs w:val="30"/>
          <w:highlight w:val="none"/>
        </w:rPr>
      </w:pPr>
      <w:r>
        <w:rPr>
          <w:rFonts w:hint="eastAsia"/>
          <w:color w:val="auto"/>
          <w:sz w:val="18"/>
          <w:szCs w:val="18"/>
          <w:highlight w:val="none"/>
        </w:rPr>
        <w:t xml:space="preserve">          </w:t>
      </w:r>
      <w:r>
        <w:rPr>
          <w:rFonts w:hint="eastAsia" w:hAnsi="宋体" w:cs="宋体"/>
          <w:color w:val="auto"/>
          <w:sz w:val="30"/>
          <w:szCs w:val="30"/>
          <w:highlight w:val="none"/>
        </w:rPr>
        <w:t>附件13：</w:t>
      </w:r>
    </w:p>
    <w:p w14:paraId="45223C8D">
      <w:pPr>
        <w:jc w:val="center"/>
        <w:rPr>
          <w:rFonts w:hint="eastAsia"/>
          <w:b/>
          <w:color w:val="auto"/>
          <w:sz w:val="36"/>
          <w:szCs w:val="36"/>
          <w:highlight w:val="none"/>
        </w:rPr>
      </w:pPr>
      <w:r>
        <w:rPr>
          <w:rFonts w:hint="eastAsia"/>
          <w:b/>
          <w:color w:val="auto"/>
          <w:sz w:val="36"/>
          <w:szCs w:val="36"/>
          <w:highlight w:val="none"/>
        </w:rPr>
        <w:t>最终结算款支付申请（核准）表</w:t>
      </w:r>
    </w:p>
    <w:p w14:paraId="4768E05E">
      <w:pPr>
        <w:rPr>
          <w:rFonts w:hint="eastAsia"/>
          <w:color w:val="auto"/>
          <w:sz w:val="24"/>
          <w:szCs w:val="24"/>
          <w:highlight w:val="none"/>
        </w:rPr>
      </w:pPr>
      <w:r>
        <w:rPr>
          <w:rFonts w:hint="eastAsia"/>
          <w:color w:val="auto"/>
          <w:sz w:val="24"/>
          <w:szCs w:val="24"/>
          <w:highlight w:val="none"/>
        </w:rPr>
        <w:t>工程名称：                                             编号：</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9"/>
        <w:gridCol w:w="4533"/>
      </w:tblGrid>
      <w:tr w14:paraId="4DA83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gridSpan w:val="2"/>
            <w:noWrap w:val="0"/>
            <w:vAlign w:val="top"/>
          </w:tcPr>
          <w:p w14:paraId="42F02231">
            <w:pPr>
              <w:spacing w:line="480" w:lineRule="exact"/>
              <w:ind w:left="525" w:leftChars="149" w:hanging="212" w:hangingChars="101"/>
              <w:rPr>
                <w:rFonts w:hint="eastAsia"/>
                <w:color w:val="auto"/>
                <w:highlight w:val="none"/>
                <w:u w:val="single"/>
              </w:rPr>
            </w:pPr>
            <w:r>
              <w:rPr>
                <w:rFonts w:hint="eastAsia"/>
                <w:color w:val="auto"/>
                <w:highlight w:val="none"/>
              </w:rPr>
              <w:t>致：</w:t>
            </w:r>
            <w:r>
              <w:rPr>
                <w:rFonts w:hint="eastAsia"/>
                <w:color w:val="auto"/>
                <w:highlight w:val="none"/>
                <w:u w:val="single"/>
              </w:rPr>
              <w:t xml:space="preserve">                                   （发包人全称）</w:t>
            </w:r>
          </w:p>
          <w:p w14:paraId="44C149BF">
            <w:pPr>
              <w:spacing w:line="400" w:lineRule="exact"/>
              <w:ind w:left="-4" w:leftChars="-2" w:firstLine="315" w:firstLineChars="150"/>
              <w:rPr>
                <w:rFonts w:hint="eastAsia"/>
                <w:color w:val="auto"/>
                <w:highlight w:val="none"/>
              </w:rPr>
            </w:pPr>
            <w:r>
              <w:rPr>
                <w:rFonts w:hint="eastAsia"/>
                <w:color w:val="auto"/>
                <w:highlight w:val="none"/>
              </w:rPr>
              <w:t>我方于</w:t>
            </w:r>
            <w:r>
              <w:rPr>
                <w:rFonts w:hint="eastAsia"/>
                <w:color w:val="auto"/>
                <w:highlight w:val="none"/>
                <w:u w:val="single"/>
              </w:rPr>
              <w:t xml:space="preserve">         </w:t>
            </w:r>
            <w:r>
              <w:rPr>
                <w:rFonts w:hint="eastAsia"/>
                <w:color w:val="auto"/>
                <w:highlight w:val="none"/>
              </w:rPr>
              <w:t>至</w:t>
            </w:r>
            <w:r>
              <w:rPr>
                <w:rFonts w:hint="eastAsia"/>
                <w:color w:val="auto"/>
                <w:highlight w:val="none"/>
                <w:u w:val="single"/>
              </w:rPr>
              <w:t xml:space="preserve">          </w:t>
            </w:r>
            <w:r>
              <w:rPr>
                <w:rFonts w:hint="eastAsia"/>
                <w:color w:val="auto"/>
                <w:highlight w:val="none"/>
              </w:rPr>
              <w:t>期间已完成了缺陷修复工作，根据施工合同的约定，现申请支付最终结清合同款额为(大写)</w:t>
            </w:r>
            <w:r>
              <w:rPr>
                <w:rFonts w:hint="eastAsia"/>
                <w:color w:val="auto"/>
                <w:highlight w:val="none"/>
                <w:u w:val="single"/>
              </w:rPr>
              <w:t xml:space="preserve">            </w:t>
            </w:r>
            <w:r>
              <w:rPr>
                <w:rFonts w:hint="eastAsia"/>
                <w:color w:val="auto"/>
                <w:highlight w:val="none"/>
              </w:rPr>
              <w:t>元，(小写)</w:t>
            </w:r>
            <w:r>
              <w:rPr>
                <w:rFonts w:hint="eastAsia"/>
                <w:color w:val="auto"/>
                <w:highlight w:val="none"/>
                <w:u w:val="single"/>
              </w:rPr>
              <w:t xml:space="preserve">         </w:t>
            </w:r>
            <w:r>
              <w:rPr>
                <w:rFonts w:hint="eastAsia"/>
                <w:color w:val="auto"/>
                <w:highlight w:val="none"/>
              </w:rPr>
              <w:t>元，请予核准。</w:t>
            </w:r>
          </w:p>
          <w:tbl>
            <w:tblPr>
              <w:tblStyle w:val="40"/>
              <w:tblpPr w:leftFromText="180" w:rightFromText="180" w:vertAnchor="page" w:horzAnchor="margin"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497B9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1A83640F">
                  <w:pPr>
                    <w:spacing w:line="280" w:lineRule="exact"/>
                    <w:jc w:val="center"/>
                    <w:rPr>
                      <w:rFonts w:hint="eastAsia"/>
                      <w:color w:val="auto"/>
                      <w:highlight w:val="none"/>
                    </w:rPr>
                  </w:pPr>
                  <w:r>
                    <w:rPr>
                      <w:rFonts w:hint="eastAsia"/>
                      <w:color w:val="auto"/>
                      <w:highlight w:val="none"/>
                    </w:rPr>
                    <w:t>序号</w:t>
                  </w:r>
                </w:p>
              </w:tc>
              <w:tc>
                <w:tcPr>
                  <w:tcW w:w="3420" w:type="dxa"/>
                  <w:noWrap w:val="0"/>
                  <w:vAlign w:val="center"/>
                </w:tcPr>
                <w:p w14:paraId="0897F1F4">
                  <w:pPr>
                    <w:spacing w:line="280" w:lineRule="exact"/>
                    <w:jc w:val="center"/>
                    <w:rPr>
                      <w:rFonts w:hint="eastAsia"/>
                      <w:color w:val="auto"/>
                      <w:highlight w:val="none"/>
                    </w:rPr>
                  </w:pPr>
                  <w:r>
                    <w:rPr>
                      <w:rFonts w:hint="eastAsia"/>
                      <w:color w:val="auto"/>
                      <w:highlight w:val="none"/>
                    </w:rPr>
                    <w:t>名      称</w:t>
                  </w:r>
                </w:p>
              </w:tc>
              <w:tc>
                <w:tcPr>
                  <w:tcW w:w="1620" w:type="dxa"/>
                  <w:noWrap w:val="0"/>
                  <w:vAlign w:val="center"/>
                </w:tcPr>
                <w:p w14:paraId="6ED58636">
                  <w:pPr>
                    <w:spacing w:line="280" w:lineRule="exact"/>
                    <w:jc w:val="center"/>
                    <w:rPr>
                      <w:rFonts w:hint="eastAsia"/>
                      <w:color w:val="auto"/>
                      <w:highlight w:val="none"/>
                    </w:rPr>
                  </w:pPr>
                  <w:r>
                    <w:rPr>
                      <w:rFonts w:hint="eastAsia"/>
                      <w:color w:val="auto"/>
                      <w:highlight w:val="none"/>
                    </w:rPr>
                    <w:t>申请金额（元）</w:t>
                  </w:r>
                </w:p>
              </w:tc>
              <w:tc>
                <w:tcPr>
                  <w:tcW w:w="1620" w:type="dxa"/>
                  <w:noWrap w:val="0"/>
                  <w:vAlign w:val="center"/>
                </w:tcPr>
                <w:p w14:paraId="379A49D1">
                  <w:pPr>
                    <w:spacing w:line="280" w:lineRule="exact"/>
                    <w:jc w:val="center"/>
                    <w:rPr>
                      <w:rFonts w:hint="eastAsia"/>
                      <w:color w:val="auto"/>
                      <w:highlight w:val="none"/>
                    </w:rPr>
                  </w:pPr>
                  <w:r>
                    <w:rPr>
                      <w:rFonts w:hint="eastAsia"/>
                      <w:color w:val="auto"/>
                      <w:highlight w:val="none"/>
                    </w:rPr>
                    <w:t>复核金额（元）</w:t>
                  </w:r>
                </w:p>
              </w:tc>
              <w:tc>
                <w:tcPr>
                  <w:tcW w:w="1651" w:type="dxa"/>
                  <w:noWrap w:val="0"/>
                  <w:vAlign w:val="center"/>
                </w:tcPr>
                <w:p w14:paraId="6CC8070C">
                  <w:pPr>
                    <w:spacing w:line="280" w:lineRule="exact"/>
                    <w:jc w:val="center"/>
                    <w:rPr>
                      <w:rFonts w:hint="eastAsia"/>
                      <w:color w:val="auto"/>
                      <w:highlight w:val="none"/>
                    </w:rPr>
                  </w:pPr>
                  <w:r>
                    <w:rPr>
                      <w:rFonts w:hint="eastAsia"/>
                      <w:color w:val="auto"/>
                      <w:highlight w:val="none"/>
                    </w:rPr>
                    <w:t>备注</w:t>
                  </w:r>
                </w:p>
              </w:tc>
            </w:tr>
            <w:tr w14:paraId="6FA0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10226A2">
                  <w:pPr>
                    <w:spacing w:line="280" w:lineRule="exact"/>
                    <w:jc w:val="center"/>
                    <w:rPr>
                      <w:rFonts w:hint="eastAsia"/>
                      <w:color w:val="auto"/>
                      <w:highlight w:val="none"/>
                    </w:rPr>
                  </w:pPr>
                  <w:r>
                    <w:rPr>
                      <w:rFonts w:hint="eastAsia"/>
                      <w:color w:val="auto"/>
                      <w:highlight w:val="none"/>
                    </w:rPr>
                    <w:t>1</w:t>
                  </w:r>
                </w:p>
              </w:tc>
              <w:tc>
                <w:tcPr>
                  <w:tcW w:w="3420" w:type="dxa"/>
                  <w:noWrap w:val="0"/>
                  <w:vAlign w:val="top"/>
                </w:tcPr>
                <w:p w14:paraId="03B054E1">
                  <w:pPr>
                    <w:spacing w:line="280" w:lineRule="exact"/>
                    <w:rPr>
                      <w:rFonts w:hint="eastAsia"/>
                      <w:color w:val="auto"/>
                      <w:highlight w:val="none"/>
                    </w:rPr>
                  </w:pPr>
                  <w:r>
                    <w:rPr>
                      <w:rFonts w:hint="eastAsia"/>
                      <w:color w:val="auto"/>
                      <w:highlight w:val="none"/>
                    </w:rPr>
                    <w:t>已预留的质量保证金</w:t>
                  </w:r>
                </w:p>
              </w:tc>
              <w:tc>
                <w:tcPr>
                  <w:tcW w:w="1620" w:type="dxa"/>
                  <w:noWrap w:val="0"/>
                  <w:vAlign w:val="top"/>
                </w:tcPr>
                <w:p w14:paraId="3BFCFA6C">
                  <w:pPr>
                    <w:spacing w:line="280" w:lineRule="exact"/>
                    <w:rPr>
                      <w:rFonts w:hint="eastAsia"/>
                      <w:color w:val="auto"/>
                      <w:highlight w:val="none"/>
                    </w:rPr>
                  </w:pPr>
                </w:p>
              </w:tc>
              <w:tc>
                <w:tcPr>
                  <w:tcW w:w="1620" w:type="dxa"/>
                  <w:noWrap w:val="0"/>
                  <w:vAlign w:val="top"/>
                </w:tcPr>
                <w:p w14:paraId="3A9A2D23">
                  <w:pPr>
                    <w:spacing w:line="280" w:lineRule="exact"/>
                    <w:rPr>
                      <w:rFonts w:hint="eastAsia"/>
                      <w:color w:val="auto"/>
                      <w:highlight w:val="none"/>
                    </w:rPr>
                  </w:pPr>
                </w:p>
              </w:tc>
              <w:tc>
                <w:tcPr>
                  <w:tcW w:w="1651" w:type="dxa"/>
                  <w:noWrap w:val="0"/>
                  <w:vAlign w:val="top"/>
                </w:tcPr>
                <w:p w14:paraId="6B92CEFA">
                  <w:pPr>
                    <w:spacing w:line="280" w:lineRule="exact"/>
                    <w:rPr>
                      <w:rFonts w:hint="eastAsia"/>
                      <w:color w:val="auto"/>
                      <w:highlight w:val="none"/>
                    </w:rPr>
                  </w:pPr>
                </w:p>
              </w:tc>
            </w:tr>
            <w:tr w14:paraId="5FDCA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40BCBCD">
                  <w:pPr>
                    <w:spacing w:line="280" w:lineRule="exact"/>
                    <w:jc w:val="center"/>
                    <w:rPr>
                      <w:rFonts w:hint="eastAsia"/>
                      <w:color w:val="auto"/>
                      <w:highlight w:val="none"/>
                    </w:rPr>
                  </w:pPr>
                  <w:r>
                    <w:rPr>
                      <w:rFonts w:hint="eastAsia"/>
                      <w:color w:val="auto"/>
                      <w:highlight w:val="none"/>
                    </w:rPr>
                    <w:t>2</w:t>
                  </w:r>
                </w:p>
              </w:tc>
              <w:tc>
                <w:tcPr>
                  <w:tcW w:w="3420" w:type="dxa"/>
                  <w:noWrap w:val="0"/>
                  <w:vAlign w:val="top"/>
                </w:tcPr>
                <w:p w14:paraId="30E1E4E3">
                  <w:pPr>
                    <w:spacing w:line="280" w:lineRule="exact"/>
                    <w:rPr>
                      <w:rFonts w:hint="eastAsia"/>
                      <w:color w:val="auto"/>
                      <w:highlight w:val="none"/>
                    </w:rPr>
                  </w:pPr>
                  <w:r>
                    <w:rPr>
                      <w:rFonts w:hint="eastAsia"/>
                      <w:color w:val="auto"/>
                      <w:highlight w:val="none"/>
                    </w:rPr>
                    <w:t>应增加因发包人原因造成缺陷的修复金额</w:t>
                  </w:r>
                </w:p>
              </w:tc>
              <w:tc>
                <w:tcPr>
                  <w:tcW w:w="1620" w:type="dxa"/>
                  <w:noWrap w:val="0"/>
                  <w:vAlign w:val="top"/>
                </w:tcPr>
                <w:p w14:paraId="6845056F">
                  <w:pPr>
                    <w:spacing w:line="280" w:lineRule="exact"/>
                    <w:rPr>
                      <w:rFonts w:hint="eastAsia"/>
                      <w:color w:val="auto"/>
                      <w:highlight w:val="none"/>
                    </w:rPr>
                  </w:pPr>
                </w:p>
              </w:tc>
              <w:tc>
                <w:tcPr>
                  <w:tcW w:w="1620" w:type="dxa"/>
                  <w:noWrap w:val="0"/>
                  <w:vAlign w:val="top"/>
                </w:tcPr>
                <w:p w14:paraId="0260FA68">
                  <w:pPr>
                    <w:spacing w:line="280" w:lineRule="exact"/>
                    <w:rPr>
                      <w:rFonts w:hint="eastAsia"/>
                      <w:color w:val="auto"/>
                      <w:highlight w:val="none"/>
                    </w:rPr>
                  </w:pPr>
                </w:p>
              </w:tc>
              <w:tc>
                <w:tcPr>
                  <w:tcW w:w="1651" w:type="dxa"/>
                  <w:noWrap w:val="0"/>
                  <w:vAlign w:val="top"/>
                </w:tcPr>
                <w:p w14:paraId="0593D412">
                  <w:pPr>
                    <w:spacing w:line="280" w:lineRule="exact"/>
                    <w:rPr>
                      <w:rFonts w:hint="eastAsia"/>
                      <w:color w:val="auto"/>
                      <w:highlight w:val="none"/>
                    </w:rPr>
                  </w:pPr>
                </w:p>
              </w:tc>
            </w:tr>
            <w:tr w14:paraId="2336C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CECA635">
                  <w:pPr>
                    <w:spacing w:line="280" w:lineRule="exact"/>
                    <w:jc w:val="center"/>
                    <w:rPr>
                      <w:rFonts w:hint="eastAsia"/>
                      <w:color w:val="auto"/>
                      <w:highlight w:val="none"/>
                    </w:rPr>
                  </w:pPr>
                  <w:r>
                    <w:rPr>
                      <w:rFonts w:hint="eastAsia"/>
                      <w:color w:val="auto"/>
                      <w:highlight w:val="none"/>
                    </w:rPr>
                    <w:t>3</w:t>
                  </w:r>
                </w:p>
              </w:tc>
              <w:tc>
                <w:tcPr>
                  <w:tcW w:w="3420" w:type="dxa"/>
                  <w:noWrap w:val="0"/>
                  <w:vAlign w:val="top"/>
                </w:tcPr>
                <w:p w14:paraId="338C1DBA">
                  <w:pPr>
                    <w:spacing w:line="280" w:lineRule="exact"/>
                    <w:rPr>
                      <w:rFonts w:hint="eastAsia"/>
                      <w:color w:val="auto"/>
                      <w:highlight w:val="none"/>
                    </w:rPr>
                  </w:pPr>
                  <w:r>
                    <w:rPr>
                      <w:rFonts w:hint="eastAsia"/>
                      <w:color w:val="auto"/>
                      <w:highlight w:val="none"/>
                    </w:rPr>
                    <w:t>应扣减承包人不修复缺陷、发包人组织修复的金额</w:t>
                  </w:r>
                </w:p>
              </w:tc>
              <w:tc>
                <w:tcPr>
                  <w:tcW w:w="1620" w:type="dxa"/>
                  <w:noWrap w:val="0"/>
                  <w:vAlign w:val="top"/>
                </w:tcPr>
                <w:p w14:paraId="7B7B1EAD">
                  <w:pPr>
                    <w:spacing w:line="280" w:lineRule="exact"/>
                    <w:rPr>
                      <w:rFonts w:hint="eastAsia"/>
                      <w:color w:val="auto"/>
                      <w:highlight w:val="none"/>
                    </w:rPr>
                  </w:pPr>
                </w:p>
              </w:tc>
              <w:tc>
                <w:tcPr>
                  <w:tcW w:w="1620" w:type="dxa"/>
                  <w:noWrap w:val="0"/>
                  <w:vAlign w:val="top"/>
                </w:tcPr>
                <w:p w14:paraId="147B6372">
                  <w:pPr>
                    <w:spacing w:line="280" w:lineRule="exact"/>
                    <w:rPr>
                      <w:rFonts w:hint="eastAsia"/>
                      <w:color w:val="auto"/>
                      <w:highlight w:val="none"/>
                    </w:rPr>
                  </w:pPr>
                </w:p>
              </w:tc>
              <w:tc>
                <w:tcPr>
                  <w:tcW w:w="1651" w:type="dxa"/>
                  <w:noWrap w:val="0"/>
                  <w:vAlign w:val="top"/>
                </w:tcPr>
                <w:p w14:paraId="03106771">
                  <w:pPr>
                    <w:spacing w:line="280" w:lineRule="exact"/>
                    <w:rPr>
                      <w:rFonts w:hint="eastAsia"/>
                      <w:color w:val="auto"/>
                      <w:highlight w:val="none"/>
                    </w:rPr>
                  </w:pPr>
                </w:p>
              </w:tc>
            </w:tr>
            <w:tr w14:paraId="5772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459B54C">
                  <w:pPr>
                    <w:spacing w:line="280" w:lineRule="exact"/>
                    <w:jc w:val="center"/>
                    <w:rPr>
                      <w:rFonts w:hint="eastAsia"/>
                      <w:color w:val="auto"/>
                      <w:highlight w:val="none"/>
                    </w:rPr>
                  </w:pPr>
                  <w:r>
                    <w:rPr>
                      <w:rFonts w:hint="eastAsia"/>
                      <w:color w:val="auto"/>
                      <w:highlight w:val="none"/>
                    </w:rPr>
                    <w:t>4</w:t>
                  </w:r>
                </w:p>
              </w:tc>
              <w:tc>
                <w:tcPr>
                  <w:tcW w:w="3420" w:type="dxa"/>
                  <w:noWrap w:val="0"/>
                  <w:vAlign w:val="top"/>
                </w:tcPr>
                <w:p w14:paraId="17D79621">
                  <w:pPr>
                    <w:spacing w:line="280" w:lineRule="exact"/>
                    <w:rPr>
                      <w:rFonts w:hint="eastAsia"/>
                      <w:color w:val="auto"/>
                      <w:highlight w:val="none"/>
                    </w:rPr>
                  </w:pPr>
                  <w:r>
                    <w:rPr>
                      <w:rFonts w:hint="eastAsia"/>
                      <w:color w:val="auto"/>
                      <w:highlight w:val="none"/>
                    </w:rPr>
                    <w:t>最终应支付的合同价款</w:t>
                  </w:r>
                </w:p>
              </w:tc>
              <w:tc>
                <w:tcPr>
                  <w:tcW w:w="1620" w:type="dxa"/>
                  <w:noWrap w:val="0"/>
                  <w:vAlign w:val="top"/>
                </w:tcPr>
                <w:p w14:paraId="4D175475">
                  <w:pPr>
                    <w:spacing w:line="280" w:lineRule="exact"/>
                    <w:rPr>
                      <w:rFonts w:hint="eastAsia"/>
                      <w:color w:val="auto"/>
                      <w:highlight w:val="none"/>
                    </w:rPr>
                  </w:pPr>
                </w:p>
              </w:tc>
              <w:tc>
                <w:tcPr>
                  <w:tcW w:w="1620" w:type="dxa"/>
                  <w:noWrap w:val="0"/>
                  <w:vAlign w:val="top"/>
                </w:tcPr>
                <w:p w14:paraId="6F83B663">
                  <w:pPr>
                    <w:spacing w:line="280" w:lineRule="exact"/>
                    <w:rPr>
                      <w:rFonts w:hint="eastAsia"/>
                      <w:color w:val="auto"/>
                      <w:highlight w:val="none"/>
                    </w:rPr>
                  </w:pPr>
                </w:p>
              </w:tc>
              <w:tc>
                <w:tcPr>
                  <w:tcW w:w="1651" w:type="dxa"/>
                  <w:noWrap w:val="0"/>
                  <w:vAlign w:val="top"/>
                </w:tcPr>
                <w:p w14:paraId="6D26A7E5">
                  <w:pPr>
                    <w:spacing w:line="280" w:lineRule="exact"/>
                    <w:rPr>
                      <w:rFonts w:hint="eastAsia"/>
                      <w:color w:val="auto"/>
                      <w:highlight w:val="none"/>
                    </w:rPr>
                  </w:pPr>
                </w:p>
              </w:tc>
            </w:tr>
            <w:tr w14:paraId="6C660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B7A812A">
                  <w:pPr>
                    <w:spacing w:line="280" w:lineRule="exact"/>
                    <w:jc w:val="center"/>
                    <w:rPr>
                      <w:rFonts w:hint="eastAsia"/>
                      <w:color w:val="auto"/>
                      <w:highlight w:val="none"/>
                    </w:rPr>
                  </w:pPr>
                </w:p>
              </w:tc>
              <w:tc>
                <w:tcPr>
                  <w:tcW w:w="3420" w:type="dxa"/>
                  <w:noWrap w:val="0"/>
                  <w:vAlign w:val="top"/>
                </w:tcPr>
                <w:p w14:paraId="32C6E186">
                  <w:pPr>
                    <w:spacing w:line="280" w:lineRule="exact"/>
                    <w:rPr>
                      <w:rFonts w:hint="eastAsia"/>
                      <w:color w:val="auto"/>
                      <w:highlight w:val="none"/>
                    </w:rPr>
                  </w:pPr>
                </w:p>
              </w:tc>
              <w:tc>
                <w:tcPr>
                  <w:tcW w:w="1620" w:type="dxa"/>
                  <w:noWrap w:val="0"/>
                  <w:vAlign w:val="top"/>
                </w:tcPr>
                <w:p w14:paraId="366A1EF3">
                  <w:pPr>
                    <w:spacing w:line="280" w:lineRule="exact"/>
                    <w:rPr>
                      <w:rFonts w:hint="eastAsia"/>
                      <w:color w:val="auto"/>
                      <w:highlight w:val="none"/>
                    </w:rPr>
                  </w:pPr>
                </w:p>
              </w:tc>
              <w:tc>
                <w:tcPr>
                  <w:tcW w:w="1620" w:type="dxa"/>
                  <w:noWrap w:val="0"/>
                  <w:vAlign w:val="top"/>
                </w:tcPr>
                <w:p w14:paraId="4A3C6E5E">
                  <w:pPr>
                    <w:spacing w:line="280" w:lineRule="exact"/>
                    <w:rPr>
                      <w:rFonts w:hint="eastAsia"/>
                      <w:color w:val="auto"/>
                      <w:highlight w:val="none"/>
                    </w:rPr>
                  </w:pPr>
                </w:p>
              </w:tc>
              <w:tc>
                <w:tcPr>
                  <w:tcW w:w="1651" w:type="dxa"/>
                  <w:noWrap w:val="0"/>
                  <w:vAlign w:val="top"/>
                </w:tcPr>
                <w:p w14:paraId="4D13FF5D">
                  <w:pPr>
                    <w:spacing w:line="280" w:lineRule="exact"/>
                    <w:rPr>
                      <w:rFonts w:hint="eastAsia"/>
                      <w:color w:val="auto"/>
                      <w:highlight w:val="none"/>
                    </w:rPr>
                  </w:pPr>
                </w:p>
              </w:tc>
            </w:tr>
            <w:tr w14:paraId="01732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CDF953">
                  <w:pPr>
                    <w:spacing w:line="280" w:lineRule="exact"/>
                    <w:jc w:val="center"/>
                    <w:rPr>
                      <w:rFonts w:hint="eastAsia"/>
                      <w:color w:val="auto"/>
                      <w:highlight w:val="none"/>
                    </w:rPr>
                  </w:pPr>
                </w:p>
              </w:tc>
              <w:tc>
                <w:tcPr>
                  <w:tcW w:w="3420" w:type="dxa"/>
                  <w:noWrap w:val="0"/>
                  <w:vAlign w:val="top"/>
                </w:tcPr>
                <w:p w14:paraId="3EF4D90E">
                  <w:pPr>
                    <w:spacing w:line="280" w:lineRule="exact"/>
                    <w:rPr>
                      <w:rFonts w:hint="eastAsia"/>
                      <w:color w:val="auto"/>
                      <w:highlight w:val="none"/>
                    </w:rPr>
                  </w:pPr>
                </w:p>
              </w:tc>
              <w:tc>
                <w:tcPr>
                  <w:tcW w:w="1620" w:type="dxa"/>
                  <w:noWrap w:val="0"/>
                  <w:vAlign w:val="top"/>
                </w:tcPr>
                <w:p w14:paraId="75FEE4AB">
                  <w:pPr>
                    <w:spacing w:line="280" w:lineRule="exact"/>
                    <w:rPr>
                      <w:rFonts w:hint="eastAsia"/>
                      <w:color w:val="auto"/>
                      <w:highlight w:val="none"/>
                    </w:rPr>
                  </w:pPr>
                </w:p>
              </w:tc>
              <w:tc>
                <w:tcPr>
                  <w:tcW w:w="1620" w:type="dxa"/>
                  <w:noWrap w:val="0"/>
                  <w:vAlign w:val="top"/>
                </w:tcPr>
                <w:p w14:paraId="2799A7F4">
                  <w:pPr>
                    <w:spacing w:line="280" w:lineRule="exact"/>
                    <w:rPr>
                      <w:rFonts w:hint="eastAsia"/>
                      <w:color w:val="auto"/>
                      <w:highlight w:val="none"/>
                    </w:rPr>
                  </w:pPr>
                </w:p>
              </w:tc>
              <w:tc>
                <w:tcPr>
                  <w:tcW w:w="1651" w:type="dxa"/>
                  <w:noWrap w:val="0"/>
                  <w:vAlign w:val="top"/>
                </w:tcPr>
                <w:p w14:paraId="4013DB2C">
                  <w:pPr>
                    <w:spacing w:line="280" w:lineRule="exact"/>
                    <w:rPr>
                      <w:rFonts w:hint="eastAsia"/>
                      <w:color w:val="auto"/>
                      <w:highlight w:val="none"/>
                    </w:rPr>
                  </w:pPr>
                </w:p>
              </w:tc>
            </w:tr>
            <w:tr w14:paraId="65515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F65AFE">
                  <w:pPr>
                    <w:spacing w:line="280" w:lineRule="exact"/>
                    <w:jc w:val="center"/>
                    <w:rPr>
                      <w:rFonts w:hint="eastAsia"/>
                      <w:color w:val="auto"/>
                      <w:highlight w:val="none"/>
                    </w:rPr>
                  </w:pPr>
                </w:p>
              </w:tc>
              <w:tc>
                <w:tcPr>
                  <w:tcW w:w="3420" w:type="dxa"/>
                  <w:noWrap w:val="0"/>
                  <w:vAlign w:val="top"/>
                </w:tcPr>
                <w:p w14:paraId="07BC8D3D">
                  <w:pPr>
                    <w:spacing w:line="280" w:lineRule="exact"/>
                    <w:rPr>
                      <w:rFonts w:hint="eastAsia"/>
                      <w:color w:val="auto"/>
                      <w:highlight w:val="none"/>
                    </w:rPr>
                  </w:pPr>
                </w:p>
              </w:tc>
              <w:tc>
                <w:tcPr>
                  <w:tcW w:w="1620" w:type="dxa"/>
                  <w:noWrap w:val="0"/>
                  <w:vAlign w:val="top"/>
                </w:tcPr>
                <w:p w14:paraId="6585A090">
                  <w:pPr>
                    <w:spacing w:line="280" w:lineRule="exact"/>
                    <w:rPr>
                      <w:rFonts w:hint="eastAsia"/>
                      <w:color w:val="auto"/>
                      <w:highlight w:val="none"/>
                    </w:rPr>
                  </w:pPr>
                </w:p>
              </w:tc>
              <w:tc>
                <w:tcPr>
                  <w:tcW w:w="1620" w:type="dxa"/>
                  <w:noWrap w:val="0"/>
                  <w:vAlign w:val="top"/>
                </w:tcPr>
                <w:p w14:paraId="084C6D49">
                  <w:pPr>
                    <w:spacing w:line="280" w:lineRule="exact"/>
                    <w:rPr>
                      <w:rFonts w:hint="eastAsia"/>
                      <w:color w:val="auto"/>
                      <w:highlight w:val="none"/>
                    </w:rPr>
                  </w:pPr>
                </w:p>
              </w:tc>
              <w:tc>
                <w:tcPr>
                  <w:tcW w:w="1651" w:type="dxa"/>
                  <w:noWrap w:val="0"/>
                  <w:vAlign w:val="top"/>
                </w:tcPr>
                <w:p w14:paraId="5995A565">
                  <w:pPr>
                    <w:spacing w:line="280" w:lineRule="exact"/>
                    <w:rPr>
                      <w:rFonts w:hint="eastAsia"/>
                      <w:color w:val="auto"/>
                      <w:highlight w:val="none"/>
                    </w:rPr>
                  </w:pPr>
                </w:p>
              </w:tc>
            </w:tr>
            <w:tr w14:paraId="2E608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15D9D6A">
                  <w:pPr>
                    <w:spacing w:line="280" w:lineRule="exact"/>
                    <w:jc w:val="center"/>
                    <w:rPr>
                      <w:rFonts w:hint="eastAsia"/>
                      <w:color w:val="auto"/>
                      <w:highlight w:val="none"/>
                    </w:rPr>
                  </w:pPr>
                </w:p>
              </w:tc>
              <w:tc>
                <w:tcPr>
                  <w:tcW w:w="3420" w:type="dxa"/>
                  <w:noWrap w:val="0"/>
                  <w:vAlign w:val="top"/>
                </w:tcPr>
                <w:p w14:paraId="38D27E36">
                  <w:pPr>
                    <w:spacing w:line="280" w:lineRule="exact"/>
                    <w:rPr>
                      <w:rFonts w:hint="eastAsia"/>
                      <w:color w:val="auto"/>
                      <w:highlight w:val="none"/>
                    </w:rPr>
                  </w:pPr>
                </w:p>
              </w:tc>
              <w:tc>
                <w:tcPr>
                  <w:tcW w:w="1620" w:type="dxa"/>
                  <w:noWrap w:val="0"/>
                  <w:vAlign w:val="top"/>
                </w:tcPr>
                <w:p w14:paraId="7A95C545">
                  <w:pPr>
                    <w:spacing w:line="280" w:lineRule="exact"/>
                    <w:rPr>
                      <w:rFonts w:hint="eastAsia"/>
                      <w:color w:val="auto"/>
                      <w:highlight w:val="none"/>
                    </w:rPr>
                  </w:pPr>
                </w:p>
              </w:tc>
              <w:tc>
                <w:tcPr>
                  <w:tcW w:w="1620" w:type="dxa"/>
                  <w:noWrap w:val="0"/>
                  <w:vAlign w:val="top"/>
                </w:tcPr>
                <w:p w14:paraId="5487BB6A">
                  <w:pPr>
                    <w:spacing w:line="280" w:lineRule="exact"/>
                    <w:rPr>
                      <w:rFonts w:hint="eastAsia"/>
                      <w:color w:val="auto"/>
                      <w:highlight w:val="none"/>
                    </w:rPr>
                  </w:pPr>
                </w:p>
              </w:tc>
              <w:tc>
                <w:tcPr>
                  <w:tcW w:w="1651" w:type="dxa"/>
                  <w:noWrap w:val="0"/>
                  <w:vAlign w:val="top"/>
                </w:tcPr>
                <w:p w14:paraId="1EA9296A">
                  <w:pPr>
                    <w:spacing w:line="280" w:lineRule="exact"/>
                    <w:rPr>
                      <w:rFonts w:hint="eastAsia"/>
                      <w:color w:val="auto"/>
                      <w:highlight w:val="none"/>
                    </w:rPr>
                  </w:pPr>
                </w:p>
              </w:tc>
            </w:tr>
          </w:tbl>
          <w:p w14:paraId="37081330">
            <w:pPr>
              <w:spacing w:line="400" w:lineRule="exact"/>
              <w:ind w:right="420" w:firstLine="435"/>
              <w:jc w:val="center"/>
              <w:rPr>
                <w:rFonts w:hint="eastAsia"/>
                <w:color w:val="auto"/>
                <w:highlight w:val="none"/>
              </w:rPr>
            </w:pPr>
            <w:r>
              <w:rPr>
                <w:rFonts w:hint="eastAsia"/>
                <w:color w:val="auto"/>
                <w:highlight w:val="none"/>
              </w:rPr>
              <w:t xml:space="preserve">                                            承包人（章）             </w:t>
            </w:r>
          </w:p>
          <w:p w14:paraId="5065321B">
            <w:pPr>
              <w:spacing w:line="400" w:lineRule="exact"/>
              <w:ind w:right="420" w:firstLine="435"/>
              <w:rPr>
                <w:rFonts w:hint="eastAsia"/>
                <w:color w:val="auto"/>
                <w:highlight w:val="none"/>
              </w:rPr>
            </w:pPr>
            <w:r>
              <w:rPr>
                <w:rFonts w:hint="eastAsia"/>
                <w:color w:val="auto"/>
                <w:highlight w:val="none"/>
              </w:rPr>
              <w:t>造价人员</w:t>
            </w:r>
            <w:r>
              <w:rPr>
                <w:rFonts w:hint="eastAsia"/>
                <w:color w:val="auto"/>
                <w:highlight w:val="none"/>
                <w:u w:val="single"/>
              </w:rPr>
              <w:t xml:space="preserve">               </w:t>
            </w:r>
            <w:r>
              <w:rPr>
                <w:rFonts w:hint="eastAsia"/>
                <w:color w:val="auto"/>
                <w:highlight w:val="none"/>
              </w:rPr>
              <w:t>承包人代表</w:t>
            </w:r>
            <w:r>
              <w:rPr>
                <w:rFonts w:hint="eastAsia"/>
                <w:color w:val="auto"/>
                <w:highlight w:val="none"/>
                <w:u w:val="single"/>
              </w:rPr>
              <w:t xml:space="preserve">               </w:t>
            </w:r>
            <w:r>
              <w:rPr>
                <w:rFonts w:hint="eastAsia"/>
                <w:color w:val="auto"/>
                <w:highlight w:val="none"/>
              </w:rPr>
              <w:t>日      期</w:t>
            </w:r>
            <w:r>
              <w:rPr>
                <w:rFonts w:hint="eastAsia"/>
                <w:color w:val="auto"/>
                <w:highlight w:val="none"/>
                <w:u w:val="single"/>
              </w:rPr>
              <w:t xml:space="preserve">               </w:t>
            </w:r>
          </w:p>
        </w:tc>
      </w:tr>
      <w:tr w14:paraId="5638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9" w:type="dxa"/>
            <w:noWrap w:val="0"/>
            <w:vAlign w:val="top"/>
          </w:tcPr>
          <w:p w14:paraId="6434859D">
            <w:pPr>
              <w:spacing w:line="360" w:lineRule="exact"/>
              <w:rPr>
                <w:rFonts w:hint="eastAsia"/>
                <w:color w:val="auto"/>
                <w:highlight w:val="none"/>
              </w:rPr>
            </w:pPr>
            <w:r>
              <w:rPr>
                <w:rFonts w:hint="eastAsia"/>
                <w:color w:val="auto"/>
                <w:highlight w:val="none"/>
              </w:rPr>
              <w:t>复核意见：</w:t>
            </w:r>
          </w:p>
          <w:p w14:paraId="576ACEFD">
            <w:pPr>
              <w:spacing w:line="360" w:lineRule="exact"/>
              <w:ind w:firstLine="312"/>
              <w:rPr>
                <w:rFonts w:hint="eastAsia"/>
                <w:color w:val="auto"/>
                <w:highlight w:val="none"/>
              </w:rPr>
            </w:pPr>
            <w:r>
              <w:rPr>
                <w:rFonts w:hint="eastAsia"/>
                <w:color w:val="auto"/>
                <w:highlight w:val="none"/>
              </w:rPr>
              <w:t>□与实际施工情况不相符，修改意见见附件。</w:t>
            </w:r>
          </w:p>
          <w:p w14:paraId="5099A880">
            <w:pPr>
              <w:spacing w:line="360" w:lineRule="exact"/>
              <w:ind w:firstLine="312"/>
              <w:rPr>
                <w:rFonts w:hint="eastAsia"/>
                <w:color w:val="auto"/>
                <w:highlight w:val="none"/>
              </w:rPr>
            </w:pPr>
            <w:r>
              <w:rPr>
                <w:rFonts w:hint="eastAsia"/>
                <w:color w:val="auto"/>
                <w:highlight w:val="none"/>
              </w:rPr>
              <w:t>□与实际施工情况相符，具体金额由造价工程师复核。</w:t>
            </w:r>
          </w:p>
          <w:p w14:paraId="278DD476">
            <w:pPr>
              <w:spacing w:line="360" w:lineRule="exact"/>
              <w:ind w:firstLine="435"/>
              <w:jc w:val="right"/>
              <w:rPr>
                <w:rFonts w:hint="eastAsia"/>
                <w:color w:val="auto"/>
                <w:highlight w:val="none"/>
              </w:rPr>
            </w:pPr>
          </w:p>
          <w:p w14:paraId="69267AEB">
            <w:pPr>
              <w:spacing w:line="360" w:lineRule="exact"/>
              <w:ind w:firstLine="435"/>
              <w:jc w:val="center"/>
              <w:rPr>
                <w:rFonts w:hint="eastAsia"/>
                <w:color w:val="auto"/>
                <w:highlight w:val="none"/>
              </w:rPr>
            </w:pPr>
            <w:r>
              <w:rPr>
                <w:color w:val="auto"/>
                <w:highlight w:val="none"/>
              </w:rPr>
              <w:t xml:space="preserve">    </w:t>
            </w:r>
            <w:r>
              <w:rPr>
                <w:rFonts w:hint="eastAsia"/>
                <w:color w:val="auto"/>
                <w:highlight w:val="none"/>
              </w:rPr>
              <w:t xml:space="preserve">     </w:t>
            </w:r>
          </w:p>
          <w:p w14:paraId="157AA305">
            <w:pPr>
              <w:spacing w:line="360" w:lineRule="exact"/>
              <w:ind w:firstLine="435"/>
              <w:jc w:val="center"/>
              <w:rPr>
                <w:rFonts w:hint="eastAsia"/>
                <w:color w:val="auto"/>
                <w:highlight w:val="none"/>
                <w:u w:val="single"/>
              </w:rPr>
            </w:pPr>
            <w:r>
              <w:rPr>
                <w:rFonts w:hint="eastAsia"/>
                <w:color w:val="auto"/>
                <w:highlight w:val="none"/>
              </w:rPr>
              <w:t xml:space="preserve">        监理工程师</w:t>
            </w:r>
            <w:r>
              <w:rPr>
                <w:rFonts w:hint="eastAsia"/>
                <w:color w:val="auto"/>
                <w:highlight w:val="none"/>
                <w:u w:val="single"/>
              </w:rPr>
              <w:t xml:space="preserve">           </w:t>
            </w:r>
          </w:p>
          <w:p w14:paraId="3C263F8B">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single"/>
              </w:rPr>
              <w:t xml:space="preserve">           </w:t>
            </w:r>
          </w:p>
        </w:tc>
        <w:tc>
          <w:tcPr>
            <w:tcW w:w="4533" w:type="dxa"/>
            <w:noWrap w:val="0"/>
            <w:vAlign w:val="top"/>
          </w:tcPr>
          <w:p w14:paraId="4C3A5363">
            <w:pPr>
              <w:spacing w:line="360" w:lineRule="exact"/>
              <w:rPr>
                <w:rFonts w:hint="eastAsia"/>
                <w:color w:val="auto"/>
                <w:highlight w:val="none"/>
              </w:rPr>
            </w:pPr>
            <w:r>
              <w:rPr>
                <w:rFonts w:hint="eastAsia"/>
                <w:color w:val="auto"/>
                <w:highlight w:val="none"/>
              </w:rPr>
              <w:t>复核意见：</w:t>
            </w:r>
          </w:p>
          <w:p w14:paraId="0803C17B">
            <w:pPr>
              <w:spacing w:line="360" w:lineRule="exact"/>
              <w:ind w:firstLine="435"/>
              <w:rPr>
                <w:rFonts w:hint="eastAsia"/>
                <w:color w:val="auto"/>
                <w:highlight w:val="none"/>
                <w:u w:val="single"/>
              </w:rPr>
            </w:pPr>
            <w:r>
              <w:rPr>
                <w:rFonts w:hint="eastAsia"/>
                <w:color w:val="auto"/>
                <w:highlight w:val="none"/>
              </w:rPr>
              <w:t>你方提出的支付申请经复核，最终应支付金额为（大写）</w:t>
            </w:r>
            <w:r>
              <w:rPr>
                <w:rFonts w:hint="eastAsia"/>
                <w:color w:val="auto"/>
                <w:highlight w:val="none"/>
                <w:u w:val="single"/>
              </w:rPr>
              <w:t xml:space="preserve">          </w:t>
            </w:r>
            <w:r>
              <w:rPr>
                <w:rFonts w:hint="eastAsia"/>
                <w:color w:val="auto"/>
                <w:highlight w:val="none"/>
              </w:rPr>
              <w:t xml:space="preserve">元，（小写）  </w:t>
            </w:r>
            <w:r>
              <w:rPr>
                <w:rFonts w:hint="eastAsia"/>
                <w:color w:val="auto"/>
                <w:highlight w:val="none"/>
                <w:u w:val="single"/>
              </w:rPr>
              <w:t xml:space="preserve">       </w:t>
            </w:r>
            <w:r>
              <w:rPr>
                <w:rFonts w:hint="eastAsia"/>
                <w:color w:val="auto"/>
                <w:highlight w:val="none"/>
              </w:rPr>
              <w:t>元。</w:t>
            </w:r>
          </w:p>
          <w:p w14:paraId="7981EA24">
            <w:pPr>
              <w:spacing w:line="360" w:lineRule="exact"/>
              <w:ind w:firstLine="435"/>
              <w:jc w:val="center"/>
              <w:rPr>
                <w:rFonts w:hint="eastAsia"/>
                <w:color w:val="auto"/>
                <w:highlight w:val="none"/>
              </w:rPr>
            </w:pPr>
          </w:p>
          <w:p w14:paraId="3D2A9FB5">
            <w:pPr>
              <w:spacing w:line="360" w:lineRule="exact"/>
              <w:ind w:firstLine="435"/>
              <w:jc w:val="center"/>
              <w:rPr>
                <w:rFonts w:hint="eastAsia"/>
                <w:color w:val="auto"/>
                <w:highlight w:val="none"/>
              </w:rPr>
            </w:pPr>
          </w:p>
          <w:p w14:paraId="0548796C">
            <w:pPr>
              <w:spacing w:line="360" w:lineRule="exact"/>
              <w:ind w:firstLine="435"/>
              <w:jc w:val="center"/>
              <w:rPr>
                <w:rFonts w:hint="eastAsia"/>
                <w:color w:val="auto"/>
                <w:highlight w:val="none"/>
                <w:u w:val="single"/>
              </w:rPr>
            </w:pPr>
            <w:r>
              <w:rPr>
                <w:rFonts w:hint="eastAsia"/>
                <w:color w:val="auto"/>
                <w:highlight w:val="none"/>
              </w:rPr>
              <w:t xml:space="preserve">    造价工程师</w:t>
            </w:r>
            <w:r>
              <w:rPr>
                <w:rFonts w:hint="eastAsia"/>
                <w:color w:val="auto"/>
                <w:highlight w:val="none"/>
                <w:u w:val="single"/>
              </w:rPr>
              <w:t xml:space="preserve">           </w:t>
            </w:r>
          </w:p>
          <w:p w14:paraId="79AE1858">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日      期</w:t>
            </w:r>
            <w:r>
              <w:rPr>
                <w:rFonts w:hint="eastAsia"/>
                <w:color w:val="auto"/>
                <w:highlight w:val="none"/>
                <w:u w:val="single"/>
              </w:rPr>
              <w:t xml:space="preserve">           </w:t>
            </w:r>
          </w:p>
        </w:tc>
      </w:tr>
      <w:tr w14:paraId="3010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1" w:hRule="atLeast"/>
          <w:jc w:val="center"/>
        </w:trPr>
        <w:tc>
          <w:tcPr>
            <w:tcW w:w="9072" w:type="dxa"/>
            <w:gridSpan w:val="2"/>
            <w:noWrap w:val="0"/>
            <w:vAlign w:val="top"/>
          </w:tcPr>
          <w:p w14:paraId="1895046C">
            <w:pPr>
              <w:spacing w:line="400" w:lineRule="exact"/>
              <w:rPr>
                <w:rFonts w:hint="eastAsia"/>
                <w:color w:val="auto"/>
                <w:highlight w:val="none"/>
              </w:rPr>
            </w:pPr>
            <w:r>
              <w:rPr>
                <w:rFonts w:hint="eastAsia"/>
                <w:color w:val="auto"/>
                <w:highlight w:val="none"/>
              </w:rPr>
              <w:t>审核意见：</w:t>
            </w:r>
          </w:p>
          <w:p w14:paraId="4FBD9EA0">
            <w:pPr>
              <w:spacing w:line="400" w:lineRule="exact"/>
              <w:ind w:firstLine="435"/>
              <w:rPr>
                <w:rFonts w:hint="eastAsia"/>
                <w:color w:val="auto"/>
                <w:highlight w:val="none"/>
              </w:rPr>
            </w:pPr>
            <w:r>
              <w:rPr>
                <w:rFonts w:hint="eastAsia"/>
                <w:color w:val="auto"/>
                <w:highlight w:val="none"/>
              </w:rPr>
              <w:t>□不同意。</w:t>
            </w:r>
          </w:p>
          <w:p w14:paraId="24AFDE6B">
            <w:pPr>
              <w:spacing w:line="400" w:lineRule="exact"/>
              <w:ind w:firstLine="420" w:firstLineChars="200"/>
              <w:rPr>
                <w:rFonts w:hint="eastAsia"/>
                <w:color w:val="auto"/>
                <w:highlight w:val="none"/>
              </w:rPr>
            </w:pPr>
            <w:r>
              <w:rPr>
                <w:rFonts w:hint="eastAsia"/>
                <w:color w:val="auto"/>
                <w:highlight w:val="none"/>
              </w:rPr>
              <w:t>□同意，支付时间为本表签发后的15天内。</w:t>
            </w:r>
          </w:p>
          <w:p w14:paraId="23555AAA">
            <w:pPr>
              <w:wordWrap w:val="0"/>
              <w:spacing w:line="400" w:lineRule="exact"/>
              <w:ind w:firstLine="420" w:firstLineChars="200"/>
              <w:jc w:val="right"/>
              <w:rPr>
                <w:rFonts w:hint="eastAsia"/>
                <w:color w:val="auto"/>
                <w:highlight w:val="none"/>
              </w:rPr>
            </w:pPr>
            <w:r>
              <w:rPr>
                <w:rFonts w:hint="eastAsia"/>
                <w:color w:val="auto"/>
                <w:highlight w:val="none"/>
              </w:rPr>
              <w:t xml:space="preserve">发包人（章）           </w:t>
            </w:r>
          </w:p>
          <w:p w14:paraId="510037E1">
            <w:pPr>
              <w:wordWrap w:val="0"/>
              <w:spacing w:line="400" w:lineRule="exact"/>
              <w:ind w:firstLine="420" w:firstLineChars="200"/>
              <w:jc w:val="right"/>
              <w:rPr>
                <w:rFonts w:hint="eastAsia"/>
                <w:color w:val="auto"/>
                <w:highlight w:val="none"/>
                <w:u w:val="single"/>
              </w:rPr>
            </w:pPr>
            <w:r>
              <w:rPr>
                <w:rFonts w:hint="eastAsia"/>
                <w:color w:val="auto"/>
                <w:highlight w:val="none"/>
              </w:rPr>
              <w:t>发包人代表</w:t>
            </w:r>
            <w:r>
              <w:rPr>
                <w:rFonts w:hint="eastAsia"/>
                <w:color w:val="auto"/>
                <w:highlight w:val="none"/>
                <w:u w:val="single"/>
              </w:rPr>
              <w:t xml:space="preserve">             </w:t>
            </w:r>
          </w:p>
          <w:p w14:paraId="29F1A504">
            <w:pPr>
              <w:wordWrap w:val="0"/>
              <w:spacing w:line="400" w:lineRule="exact"/>
              <w:ind w:firstLine="420" w:firstLineChars="200"/>
              <w:jc w:val="right"/>
              <w:rPr>
                <w:rFonts w:hint="eastAsia"/>
                <w:color w:val="auto"/>
                <w:highlight w:val="none"/>
                <w:u w:val="single"/>
              </w:rPr>
            </w:pPr>
            <w:r>
              <w:rPr>
                <w:rFonts w:hint="eastAsia"/>
                <w:color w:val="auto"/>
                <w:highlight w:val="none"/>
              </w:rPr>
              <w:t>日      期</w:t>
            </w:r>
            <w:r>
              <w:rPr>
                <w:rFonts w:hint="eastAsia"/>
                <w:color w:val="auto"/>
                <w:highlight w:val="none"/>
                <w:u w:val="single"/>
              </w:rPr>
              <w:t xml:space="preserve">             </w:t>
            </w:r>
          </w:p>
        </w:tc>
      </w:tr>
    </w:tbl>
    <w:p w14:paraId="43C6B575">
      <w:pPr>
        <w:spacing w:before="120" w:beforeLines="50"/>
        <w:ind w:firstLine="360" w:firstLineChars="200"/>
        <w:rPr>
          <w:rFonts w:hint="eastAsia"/>
          <w:color w:val="auto"/>
          <w:sz w:val="18"/>
          <w:szCs w:val="18"/>
          <w:highlight w:val="none"/>
        </w:rPr>
      </w:pPr>
      <w:r>
        <w:rPr>
          <w:rFonts w:hint="eastAsia"/>
          <w:color w:val="auto"/>
          <w:sz w:val="18"/>
          <w:szCs w:val="18"/>
          <w:highlight w:val="none"/>
        </w:rPr>
        <w:t>注：1.在选择栏中的“□”内作标识“√”。 如监理人已退场，监理工程师栏可空缺。</w:t>
      </w:r>
    </w:p>
    <w:p w14:paraId="514E3B54">
      <w:pPr>
        <w:spacing w:before="120" w:beforeLines="50"/>
        <w:ind w:left="720" w:hanging="720" w:hangingChars="400"/>
        <w:rPr>
          <w:rFonts w:hint="eastAsia"/>
          <w:color w:val="auto"/>
          <w:sz w:val="18"/>
          <w:szCs w:val="18"/>
          <w:highlight w:val="none"/>
        </w:rPr>
      </w:pPr>
      <w:r>
        <w:rPr>
          <w:rFonts w:hint="eastAsia"/>
          <w:color w:val="auto"/>
          <w:sz w:val="18"/>
          <w:szCs w:val="18"/>
          <w:highlight w:val="none"/>
        </w:rPr>
        <w:t xml:space="preserve">    </w:t>
      </w:r>
      <w:r>
        <w:rPr>
          <w:color w:val="auto"/>
          <w:sz w:val="18"/>
          <w:szCs w:val="18"/>
          <w:highlight w:val="none"/>
        </w:rPr>
        <w:t xml:space="preserve">  </w:t>
      </w:r>
      <w:r>
        <w:rPr>
          <w:rFonts w:hint="eastAsia"/>
          <w:color w:val="auto"/>
          <w:sz w:val="18"/>
          <w:szCs w:val="18"/>
          <w:highlight w:val="none"/>
        </w:rPr>
        <w:t xml:space="preserve">  2.本表一式四份，由承包人填报，发包人、监理人、造价咨询人、承包人各存一份。</w:t>
      </w:r>
    </w:p>
    <w:p w14:paraId="53037EB5">
      <w:pPr>
        <w:spacing w:line="360" w:lineRule="auto"/>
        <w:ind w:firstLine="420" w:firstLineChars="200"/>
        <w:jc w:val="left"/>
        <w:rPr>
          <w:color w:val="auto"/>
          <w:highlight w:val="none"/>
          <w:u w:val="single"/>
        </w:rPr>
      </w:pPr>
    </w:p>
    <w:p w14:paraId="1B2664E2">
      <w:pPr>
        <w:spacing w:line="360" w:lineRule="auto"/>
        <w:jc w:val="left"/>
        <w:rPr>
          <w:rFonts w:hint="eastAsia" w:hAnsi="宋体" w:cs="宋体"/>
          <w:color w:val="auto"/>
          <w:sz w:val="30"/>
          <w:szCs w:val="30"/>
          <w:highlight w:val="none"/>
        </w:rPr>
      </w:pPr>
      <w:r>
        <w:rPr>
          <w:rFonts w:hint="eastAsia"/>
          <w:color w:val="auto"/>
          <w:sz w:val="30"/>
          <w:szCs w:val="30"/>
          <w:highlight w:val="none"/>
        </w:rPr>
        <w:t>附件14：</w:t>
      </w:r>
    </w:p>
    <w:p w14:paraId="0D5AF553">
      <w:pPr>
        <w:spacing w:line="360" w:lineRule="auto"/>
        <w:ind w:firstLine="720" w:firstLineChars="200"/>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总价合同进度款支付分解表</w:t>
      </w:r>
    </w:p>
    <w:p w14:paraId="22A8E6D1">
      <w:pPr>
        <w:spacing w:line="360" w:lineRule="auto"/>
        <w:rPr>
          <w:rFonts w:hint="eastAsia" w:ascii="宋体" w:hAnsi="宋体" w:cs="宋体"/>
          <w:color w:val="auto"/>
          <w:kern w:val="0"/>
          <w:highlight w:val="none"/>
        </w:rPr>
      </w:pPr>
      <w:r>
        <w:rPr>
          <w:rFonts w:hint="eastAsia" w:ascii="宋体" w:hAnsi="宋体" w:cs="宋体"/>
          <w:color w:val="auto"/>
          <w:kern w:val="0"/>
          <w:highlight w:val="none"/>
        </w:rPr>
        <w:t>工程名称：</w:t>
      </w:r>
    </w:p>
    <w:tbl>
      <w:tblPr>
        <w:tblStyle w:val="4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7"/>
        <w:gridCol w:w="3119"/>
        <w:gridCol w:w="675"/>
        <w:gridCol w:w="2268"/>
        <w:gridCol w:w="1276"/>
      </w:tblGrid>
      <w:tr w14:paraId="00D39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noWrap w:val="0"/>
            <w:vAlign w:val="top"/>
          </w:tcPr>
          <w:p w14:paraId="5F483E09">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进度款期次</w:t>
            </w:r>
          </w:p>
        </w:tc>
        <w:tc>
          <w:tcPr>
            <w:tcW w:w="3794" w:type="dxa"/>
            <w:gridSpan w:val="2"/>
            <w:noWrap w:val="0"/>
            <w:vAlign w:val="top"/>
          </w:tcPr>
          <w:p w14:paraId="407655EC">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形象进度</w:t>
            </w:r>
          </w:p>
        </w:tc>
        <w:tc>
          <w:tcPr>
            <w:tcW w:w="2268" w:type="dxa"/>
            <w:noWrap w:val="0"/>
            <w:vAlign w:val="top"/>
          </w:tcPr>
          <w:p w14:paraId="23375C93">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进度款付款金额（元）</w:t>
            </w:r>
          </w:p>
        </w:tc>
        <w:tc>
          <w:tcPr>
            <w:tcW w:w="1276" w:type="dxa"/>
            <w:noWrap w:val="0"/>
            <w:vAlign w:val="top"/>
          </w:tcPr>
          <w:p w14:paraId="02A4EDAD">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备注</w:t>
            </w:r>
          </w:p>
        </w:tc>
      </w:tr>
      <w:tr w14:paraId="1D31B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noWrap w:val="0"/>
            <w:vAlign w:val="top"/>
          </w:tcPr>
          <w:p w14:paraId="5E0A3CFE">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第一期</w:t>
            </w:r>
          </w:p>
        </w:tc>
        <w:tc>
          <w:tcPr>
            <w:tcW w:w="3794" w:type="dxa"/>
            <w:gridSpan w:val="2"/>
            <w:noWrap w:val="0"/>
            <w:vAlign w:val="top"/>
          </w:tcPr>
          <w:p w14:paraId="509A83F9">
            <w:pPr>
              <w:spacing w:line="360" w:lineRule="auto"/>
              <w:jc w:val="center"/>
              <w:rPr>
                <w:rFonts w:hint="eastAsia" w:ascii="宋体" w:hAnsi="宋体" w:cs="宋体"/>
                <w:color w:val="auto"/>
                <w:kern w:val="0"/>
                <w:highlight w:val="none"/>
              </w:rPr>
            </w:pPr>
          </w:p>
        </w:tc>
        <w:tc>
          <w:tcPr>
            <w:tcW w:w="2268" w:type="dxa"/>
            <w:noWrap w:val="0"/>
            <w:vAlign w:val="top"/>
          </w:tcPr>
          <w:p w14:paraId="37D40B8C">
            <w:pPr>
              <w:spacing w:line="360" w:lineRule="auto"/>
              <w:jc w:val="center"/>
              <w:rPr>
                <w:rFonts w:hint="eastAsia" w:ascii="宋体" w:hAnsi="宋体" w:cs="宋体"/>
                <w:color w:val="auto"/>
                <w:kern w:val="0"/>
                <w:highlight w:val="none"/>
              </w:rPr>
            </w:pPr>
          </w:p>
        </w:tc>
        <w:tc>
          <w:tcPr>
            <w:tcW w:w="1276" w:type="dxa"/>
            <w:noWrap w:val="0"/>
            <w:vAlign w:val="top"/>
          </w:tcPr>
          <w:p w14:paraId="2F20424C">
            <w:pPr>
              <w:spacing w:line="360" w:lineRule="auto"/>
              <w:jc w:val="center"/>
              <w:rPr>
                <w:rFonts w:hint="eastAsia" w:ascii="宋体" w:hAnsi="宋体" w:cs="宋体"/>
                <w:color w:val="auto"/>
                <w:kern w:val="0"/>
                <w:highlight w:val="none"/>
              </w:rPr>
            </w:pPr>
          </w:p>
        </w:tc>
      </w:tr>
      <w:tr w14:paraId="0E51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noWrap w:val="0"/>
            <w:vAlign w:val="top"/>
          </w:tcPr>
          <w:p w14:paraId="7716894D">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第二期</w:t>
            </w:r>
          </w:p>
        </w:tc>
        <w:tc>
          <w:tcPr>
            <w:tcW w:w="3794" w:type="dxa"/>
            <w:gridSpan w:val="2"/>
            <w:noWrap w:val="0"/>
            <w:vAlign w:val="top"/>
          </w:tcPr>
          <w:p w14:paraId="75B92028">
            <w:pPr>
              <w:spacing w:line="360" w:lineRule="auto"/>
              <w:jc w:val="center"/>
              <w:rPr>
                <w:rFonts w:hint="eastAsia" w:ascii="宋体" w:hAnsi="宋体" w:cs="宋体"/>
                <w:color w:val="auto"/>
                <w:kern w:val="0"/>
                <w:highlight w:val="none"/>
              </w:rPr>
            </w:pPr>
          </w:p>
        </w:tc>
        <w:tc>
          <w:tcPr>
            <w:tcW w:w="2268" w:type="dxa"/>
            <w:noWrap w:val="0"/>
            <w:vAlign w:val="top"/>
          </w:tcPr>
          <w:p w14:paraId="7399998E">
            <w:pPr>
              <w:spacing w:line="360" w:lineRule="auto"/>
              <w:jc w:val="center"/>
              <w:rPr>
                <w:rFonts w:hint="eastAsia" w:ascii="宋体" w:hAnsi="宋体" w:cs="宋体"/>
                <w:color w:val="auto"/>
                <w:kern w:val="0"/>
                <w:highlight w:val="none"/>
              </w:rPr>
            </w:pPr>
          </w:p>
        </w:tc>
        <w:tc>
          <w:tcPr>
            <w:tcW w:w="1276" w:type="dxa"/>
            <w:noWrap w:val="0"/>
            <w:vAlign w:val="top"/>
          </w:tcPr>
          <w:p w14:paraId="72A80520">
            <w:pPr>
              <w:spacing w:line="360" w:lineRule="auto"/>
              <w:jc w:val="center"/>
              <w:rPr>
                <w:rFonts w:hint="eastAsia" w:ascii="宋体" w:hAnsi="宋体" w:cs="宋体"/>
                <w:color w:val="auto"/>
                <w:kern w:val="0"/>
                <w:highlight w:val="none"/>
              </w:rPr>
            </w:pPr>
          </w:p>
        </w:tc>
      </w:tr>
      <w:tr w14:paraId="2C3E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noWrap w:val="0"/>
            <w:vAlign w:val="top"/>
          </w:tcPr>
          <w:p w14:paraId="60ED24A1">
            <w:pPr>
              <w:spacing w:line="360" w:lineRule="auto"/>
              <w:jc w:val="center"/>
              <w:rPr>
                <w:rFonts w:hint="eastAsia" w:ascii="宋体" w:hAnsi="宋体" w:cs="宋体"/>
                <w:color w:val="auto"/>
                <w:kern w:val="0"/>
                <w:highlight w:val="none"/>
              </w:rPr>
            </w:pPr>
            <w:r>
              <w:rPr>
                <w:rFonts w:hint="eastAsia" w:ascii="宋体" w:hAnsi="宋体" w:cs="宋体"/>
                <w:color w:val="auto"/>
                <w:kern w:val="0"/>
                <w:highlight w:val="none"/>
              </w:rPr>
              <w:t>第三期</w:t>
            </w:r>
          </w:p>
        </w:tc>
        <w:tc>
          <w:tcPr>
            <w:tcW w:w="3794" w:type="dxa"/>
            <w:gridSpan w:val="2"/>
            <w:noWrap w:val="0"/>
            <w:vAlign w:val="top"/>
          </w:tcPr>
          <w:p w14:paraId="262A979E">
            <w:pPr>
              <w:spacing w:line="360" w:lineRule="auto"/>
              <w:jc w:val="center"/>
              <w:rPr>
                <w:rFonts w:hint="eastAsia" w:ascii="宋体" w:hAnsi="宋体" w:cs="宋体"/>
                <w:color w:val="auto"/>
                <w:kern w:val="0"/>
                <w:highlight w:val="none"/>
              </w:rPr>
            </w:pPr>
          </w:p>
        </w:tc>
        <w:tc>
          <w:tcPr>
            <w:tcW w:w="2268" w:type="dxa"/>
            <w:noWrap w:val="0"/>
            <w:vAlign w:val="top"/>
          </w:tcPr>
          <w:p w14:paraId="4E8C9822">
            <w:pPr>
              <w:spacing w:line="360" w:lineRule="auto"/>
              <w:jc w:val="center"/>
              <w:rPr>
                <w:rFonts w:hint="eastAsia" w:ascii="宋体" w:hAnsi="宋体" w:cs="宋体"/>
                <w:color w:val="auto"/>
                <w:kern w:val="0"/>
                <w:highlight w:val="none"/>
              </w:rPr>
            </w:pPr>
          </w:p>
        </w:tc>
        <w:tc>
          <w:tcPr>
            <w:tcW w:w="1276" w:type="dxa"/>
            <w:noWrap w:val="0"/>
            <w:vAlign w:val="top"/>
          </w:tcPr>
          <w:p w14:paraId="77B8AFCD">
            <w:pPr>
              <w:spacing w:line="360" w:lineRule="auto"/>
              <w:jc w:val="center"/>
              <w:rPr>
                <w:rFonts w:hint="eastAsia" w:ascii="宋体" w:hAnsi="宋体" w:cs="宋体"/>
                <w:color w:val="auto"/>
                <w:kern w:val="0"/>
                <w:highlight w:val="none"/>
              </w:rPr>
            </w:pPr>
          </w:p>
        </w:tc>
      </w:tr>
      <w:tr w14:paraId="18973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7" w:type="dxa"/>
            <w:noWrap w:val="0"/>
            <w:vAlign w:val="top"/>
          </w:tcPr>
          <w:p w14:paraId="3377D6BC">
            <w:pPr>
              <w:spacing w:line="360" w:lineRule="auto"/>
              <w:jc w:val="center"/>
              <w:rPr>
                <w:rFonts w:hint="eastAsia" w:ascii="宋体" w:hAnsi="宋体" w:cs="宋体"/>
                <w:color w:val="auto"/>
                <w:kern w:val="0"/>
                <w:highlight w:val="none"/>
              </w:rPr>
            </w:pPr>
            <w:r>
              <w:rPr>
                <w:rFonts w:ascii="宋体" w:hAnsi="宋体" w:cs="宋体"/>
                <w:color w:val="auto"/>
                <w:kern w:val="0"/>
                <w:highlight w:val="none"/>
              </w:rPr>
              <w:t>……</w:t>
            </w:r>
          </w:p>
        </w:tc>
        <w:tc>
          <w:tcPr>
            <w:tcW w:w="3794" w:type="dxa"/>
            <w:gridSpan w:val="2"/>
            <w:noWrap w:val="0"/>
            <w:vAlign w:val="top"/>
          </w:tcPr>
          <w:p w14:paraId="41E5A8F6">
            <w:pPr>
              <w:spacing w:line="360" w:lineRule="auto"/>
              <w:jc w:val="center"/>
              <w:rPr>
                <w:rFonts w:hint="eastAsia" w:ascii="宋体" w:hAnsi="宋体" w:cs="宋体"/>
                <w:color w:val="auto"/>
                <w:kern w:val="0"/>
                <w:highlight w:val="none"/>
              </w:rPr>
            </w:pPr>
          </w:p>
        </w:tc>
        <w:tc>
          <w:tcPr>
            <w:tcW w:w="2268" w:type="dxa"/>
            <w:noWrap w:val="0"/>
            <w:vAlign w:val="top"/>
          </w:tcPr>
          <w:p w14:paraId="1395A97F">
            <w:pPr>
              <w:spacing w:line="360" w:lineRule="auto"/>
              <w:jc w:val="center"/>
              <w:rPr>
                <w:rFonts w:hint="eastAsia" w:ascii="宋体" w:hAnsi="宋体" w:cs="宋体"/>
                <w:color w:val="auto"/>
                <w:kern w:val="0"/>
                <w:highlight w:val="none"/>
              </w:rPr>
            </w:pPr>
          </w:p>
        </w:tc>
        <w:tc>
          <w:tcPr>
            <w:tcW w:w="1276" w:type="dxa"/>
            <w:noWrap w:val="0"/>
            <w:vAlign w:val="top"/>
          </w:tcPr>
          <w:p w14:paraId="3D460890">
            <w:pPr>
              <w:spacing w:line="360" w:lineRule="auto"/>
              <w:jc w:val="center"/>
              <w:rPr>
                <w:rFonts w:hint="eastAsia" w:ascii="宋体" w:hAnsi="宋体" w:cs="宋体"/>
                <w:color w:val="auto"/>
                <w:kern w:val="0"/>
                <w:highlight w:val="none"/>
              </w:rPr>
            </w:pPr>
          </w:p>
        </w:tc>
      </w:tr>
      <w:tr w14:paraId="273B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0" w:hRule="atLeast"/>
          <w:jc w:val="center"/>
        </w:trPr>
        <w:tc>
          <w:tcPr>
            <w:tcW w:w="4536" w:type="dxa"/>
            <w:gridSpan w:val="2"/>
            <w:noWrap w:val="0"/>
            <w:vAlign w:val="top"/>
          </w:tcPr>
          <w:p w14:paraId="4C5BE7B2">
            <w:pPr>
              <w:spacing w:line="360" w:lineRule="exact"/>
              <w:ind w:firstLine="435"/>
              <w:jc w:val="right"/>
              <w:rPr>
                <w:rFonts w:hint="eastAsia"/>
                <w:color w:val="auto"/>
                <w:highlight w:val="none"/>
              </w:rPr>
            </w:pPr>
          </w:p>
          <w:p w14:paraId="3CF23C48">
            <w:pPr>
              <w:spacing w:line="360" w:lineRule="exact"/>
              <w:ind w:firstLine="435"/>
              <w:jc w:val="center"/>
              <w:rPr>
                <w:rFonts w:hint="eastAsia"/>
                <w:color w:val="auto"/>
                <w:highlight w:val="none"/>
              </w:rPr>
            </w:pPr>
          </w:p>
          <w:p w14:paraId="70C4471B">
            <w:pPr>
              <w:spacing w:line="360" w:lineRule="exact"/>
              <w:ind w:firstLine="435"/>
              <w:jc w:val="center"/>
              <w:rPr>
                <w:rFonts w:hint="eastAsia"/>
                <w:color w:val="auto"/>
                <w:highlight w:val="none"/>
              </w:rPr>
            </w:pPr>
            <w:r>
              <w:rPr>
                <w:rFonts w:hint="eastAsia"/>
                <w:color w:val="auto"/>
                <w:highlight w:val="none"/>
              </w:rPr>
              <w:t>发包人代表签字：</w:t>
            </w:r>
          </w:p>
          <w:p w14:paraId="3AA47D24">
            <w:pPr>
              <w:spacing w:line="360" w:lineRule="exact"/>
              <w:ind w:firstLine="435"/>
              <w:jc w:val="center"/>
              <w:rPr>
                <w:rFonts w:hint="eastAsia"/>
                <w:color w:val="auto"/>
                <w:highlight w:val="none"/>
              </w:rPr>
            </w:pPr>
          </w:p>
          <w:p w14:paraId="5C927AFF">
            <w:pPr>
              <w:spacing w:line="360" w:lineRule="exact"/>
              <w:ind w:firstLine="435"/>
              <w:jc w:val="center"/>
              <w:rPr>
                <w:rFonts w:hint="eastAsia"/>
                <w:color w:val="auto"/>
                <w:highlight w:val="none"/>
              </w:rPr>
            </w:pPr>
            <w:r>
              <w:rPr>
                <w:rFonts w:hint="eastAsia"/>
                <w:color w:val="auto"/>
                <w:highlight w:val="none"/>
              </w:rPr>
              <w:t>发包人（盖公章）</w:t>
            </w:r>
          </w:p>
          <w:p w14:paraId="6AE7CDE0">
            <w:pPr>
              <w:spacing w:line="360" w:lineRule="exact"/>
              <w:ind w:firstLine="435"/>
              <w:jc w:val="center"/>
              <w:rPr>
                <w:rFonts w:hint="eastAsia"/>
                <w:color w:val="auto"/>
                <w:highlight w:val="none"/>
              </w:rPr>
            </w:pPr>
          </w:p>
          <w:p w14:paraId="699A47F5">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 </w:t>
            </w:r>
            <w:r>
              <w:rPr>
                <w:rFonts w:hint="eastAsia"/>
                <w:color w:val="auto"/>
                <w:highlight w:val="none"/>
                <w:u w:val="single"/>
              </w:rPr>
              <w:t xml:space="preserve">          </w:t>
            </w:r>
          </w:p>
        </w:tc>
        <w:tc>
          <w:tcPr>
            <w:tcW w:w="4219" w:type="dxa"/>
            <w:gridSpan w:val="3"/>
            <w:noWrap w:val="0"/>
            <w:vAlign w:val="top"/>
          </w:tcPr>
          <w:p w14:paraId="108CAF59">
            <w:pPr>
              <w:spacing w:line="360" w:lineRule="exact"/>
              <w:ind w:firstLine="435"/>
              <w:jc w:val="center"/>
              <w:rPr>
                <w:rFonts w:hint="eastAsia"/>
                <w:color w:val="auto"/>
                <w:highlight w:val="none"/>
              </w:rPr>
            </w:pPr>
          </w:p>
          <w:p w14:paraId="77F8F8EB">
            <w:pPr>
              <w:spacing w:line="360" w:lineRule="exact"/>
              <w:ind w:firstLine="435"/>
              <w:jc w:val="center"/>
              <w:rPr>
                <w:rFonts w:hint="eastAsia"/>
                <w:color w:val="auto"/>
                <w:highlight w:val="none"/>
                <w:u w:val="single"/>
              </w:rPr>
            </w:pPr>
          </w:p>
          <w:p w14:paraId="3004D3C5">
            <w:pPr>
              <w:spacing w:line="360" w:lineRule="exact"/>
              <w:ind w:firstLine="435"/>
              <w:jc w:val="center"/>
              <w:rPr>
                <w:rFonts w:hint="eastAsia"/>
                <w:color w:val="auto"/>
                <w:highlight w:val="none"/>
              </w:rPr>
            </w:pPr>
            <w:r>
              <w:rPr>
                <w:rFonts w:hint="eastAsia"/>
                <w:color w:val="auto"/>
                <w:highlight w:val="none"/>
              </w:rPr>
              <w:t>承包人代表签字：</w:t>
            </w:r>
          </w:p>
          <w:p w14:paraId="554ECA79">
            <w:pPr>
              <w:spacing w:line="360" w:lineRule="exact"/>
              <w:ind w:firstLine="435"/>
              <w:jc w:val="center"/>
              <w:rPr>
                <w:rFonts w:hint="eastAsia"/>
                <w:color w:val="auto"/>
                <w:highlight w:val="none"/>
              </w:rPr>
            </w:pPr>
          </w:p>
          <w:p w14:paraId="4C99E185">
            <w:pPr>
              <w:spacing w:line="360" w:lineRule="exact"/>
              <w:ind w:firstLine="435"/>
              <w:jc w:val="center"/>
              <w:rPr>
                <w:rFonts w:hint="eastAsia"/>
                <w:color w:val="auto"/>
                <w:highlight w:val="none"/>
              </w:rPr>
            </w:pPr>
            <w:r>
              <w:rPr>
                <w:rFonts w:hint="eastAsia"/>
                <w:color w:val="auto"/>
                <w:highlight w:val="none"/>
              </w:rPr>
              <w:t>承包人（盖公章）</w:t>
            </w:r>
          </w:p>
          <w:p w14:paraId="229BAFC9">
            <w:pPr>
              <w:spacing w:line="360" w:lineRule="exact"/>
              <w:ind w:firstLine="435"/>
              <w:jc w:val="center"/>
              <w:rPr>
                <w:rFonts w:hint="eastAsia"/>
                <w:color w:val="auto"/>
                <w:highlight w:val="none"/>
              </w:rPr>
            </w:pPr>
          </w:p>
          <w:p w14:paraId="179C7489">
            <w:pPr>
              <w:spacing w:line="360" w:lineRule="exact"/>
              <w:ind w:firstLine="435"/>
              <w:jc w:val="center"/>
              <w:rPr>
                <w:rFonts w:hint="eastAsia"/>
                <w:color w:val="auto"/>
                <w:highlight w:val="none"/>
                <w:u w:val="single"/>
              </w:rPr>
            </w:pPr>
            <w:r>
              <w:rPr>
                <w:color w:val="auto"/>
                <w:highlight w:val="none"/>
              </w:rPr>
              <w:t xml:space="preserve">    </w:t>
            </w:r>
            <w:r>
              <w:rPr>
                <w:rFonts w:hint="eastAsia"/>
                <w:color w:val="auto"/>
                <w:highlight w:val="none"/>
              </w:rPr>
              <w:t xml:space="preserve">    日      期</w:t>
            </w:r>
            <w:r>
              <w:rPr>
                <w:rFonts w:hint="eastAsia"/>
                <w:color w:val="auto"/>
                <w:highlight w:val="none"/>
                <w:u w:val="none"/>
              </w:rPr>
              <w:t xml:space="preserve"> </w:t>
            </w:r>
            <w:r>
              <w:rPr>
                <w:rFonts w:hint="eastAsia"/>
                <w:color w:val="auto"/>
                <w:highlight w:val="none"/>
                <w:u w:val="single"/>
              </w:rPr>
              <w:t xml:space="preserve">       </w:t>
            </w:r>
          </w:p>
        </w:tc>
      </w:tr>
    </w:tbl>
    <w:p w14:paraId="3E3C4515">
      <w:pPr>
        <w:autoSpaceDE w:val="0"/>
        <w:autoSpaceDN w:val="0"/>
        <w:adjustRightInd w:val="0"/>
        <w:snapToGrid w:val="0"/>
        <w:spacing w:line="300" w:lineRule="auto"/>
        <w:rPr>
          <w:rFonts w:ascii="仿宋_GB2312" w:hAnsi="宋体" w:eastAsia="仿宋_GB2312"/>
          <w:b/>
          <w:color w:val="auto"/>
          <w:kern w:val="0"/>
          <w:sz w:val="44"/>
          <w:szCs w:val="44"/>
          <w:highlight w:val="none"/>
        </w:rPr>
      </w:pPr>
      <w:r>
        <w:rPr>
          <w:rFonts w:ascii="仿宋_GB2312" w:hAnsi="宋体" w:eastAsia="仿宋_GB2312"/>
          <w:b/>
          <w:color w:val="auto"/>
          <w:kern w:val="0"/>
          <w:sz w:val="44"/>
          <w:szCs w:val="44"/>
          <w:highlight w:val="none"/>
        </w:rPr>
        <w:br w:type="page"/>
      </w:r>
    </w:p>
    <w:p w14:paraId="20142D46">
      <w:pPr>
        <w:autoSpaceDE w:val="0"/>
        <w:autoSpaceDN w:val="0"/>
        <w:adjustRightInd w:val="0"/>
        <w:snapToGrid w:val="0"/>
        <w:spacing w:line="300" w:lineRule="auto"/>
        <w:jc w:val="center"/>
        <w:outlineLvl w:val="0"/>
        <w:rPr>
          <w:rFonts w:ascii="宋体" w:hAnsi="宋体"/>
          <w:b/>
          <w:color w:val="auto"/>
          <w:kern w:val="0"/>
          <w:sz w:val="44"/>
          <w:szCs w:val="44"/>
          <w:highlight w:val="none"/>
        </w:rPr>
      </w:pPr>
      <w:bookmarkStart w:id="1232" w:name="_Toc176861412"/>
      <w:bookmarkStart w:id="1233" w:name="_Toc29416"/>
      <w:bookmarkStart w:id="1234" w:name="_Toc3994508"/>
      <w:r>
        <w:rPr>
          <w:rFonts w:hint="eastAsia" w:ascii="宋体" w:hAnsi="宋体"/>
          <w:b/>
          <w:color w:val="auto"/>
          <w:kern w:val="0"/>
          <w:sz w:val="44"/>
          <w:szCs w:val="44"/>
          <w:highlight w:val="none"/>
        </w:rPr>
        <w:t>第七章  评定标准</w:t>
      </w:r>
      <w:bookmarkEnd w:id="1232"/>
      <w:bookmarkEnd w:id="1233"/>
      <w:bookmarkEnd w:id="1234"/>
    </w:p>
    <w:p w14:paraId="6BF76CD6">
      <w:pPr>
        <w:pStyle w:val="26"/>
        <w:numPr>
          <w:ilvl w:val="0"/>
          <w:numId w:val="0"/>
        </w:numPr>
        <w:adjustRightInd w:val="0"/>
        <w:spacing w:line="360" w:lineRule="auto"/>
        <w:ind w:firstLine="482" w:firstLineChars="200"/>
        <w:contextualSpacing/>
        <w:rPr>
          <w:rFonts w:hAnsi="宋体"/>
          <w:b/>
          <w:bCs/>
          <w:color w:val="auto"/>
          <w:sz w:val="24"/>
          <w:szCs w:val="24"/>
          <w:highlight w:val="none"/>
        </w:rPr>
      </w:pPr>
      <w:r>
        <w:rPr>
          <w:rFonts w:hint="eastAsia" w:ascii="宋体" w:hAnsi="宋体" w:eastAsia="宋体" w:cs="Courier New"/>
          <w:b/>
          <w:bCs/>
          <w:color w:val="auto"/>
          <w:kern w:val="2"/>
          <w:sz w:val="24"/>
          <w:szCs w:val="24"/>
          <w:highlight w:val="none"/>
          <w:lang w:val="en-US" w:eastAsia="zh-CN" w:bidi="ar-SA"/>
        </w:rPr>
        <w:t>一、</w:t>
      </w:r>
      <w:r>
        <w:rPr>
          <w:rFonts w:hAnsi="宋体"/>
          <w:b/>
          <w:bCs/>
          <w:color w:val="auto"/>
          <w:sz w:val="24"/>
          <w:szCs w:val="24"/>
          <w:highlight w:val="none"/>
        </w:rPr>
        <w:t>评标原则</w:t>
      </w:r>
    </w:p>
    <w:p w14:paraId="77C7706B">
      <w:pPr>
        <w:pStyle w:val="26"/>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(一)磋商小组组成：本磋商采购项目的磋商小组由采购人代表、技术和经济等方面的专家共3人以上单数组成。其中，专家磋商小组成员不得少于成员总数的三分之二。</w:t>
      </w:r>
    </w:p>
    <w:p w14:paraId="653B3BAC">
      <w:pPr>
        <w:pStyle w:val="26"/>
        <w:adjustRightInd w:val="0"/>
        <w:spacing w:line="360" w:lineRule="auto"/>
        <w:ind w:firstLine="480" w:firstLineChars="200"/>
        <w:contextualSpacing/>
        <w:rPr>
          <w:rFonts w:hint="eastAsia" w:hAnsi="宋体" w:eastAsia="宋体" w:cs="宋体"/>
          <w:color w:val="auto"/>
          <w:sz w:val="24"/>
          <w:szCs w:val="24"/>
          <w:highlight w:val="none"/>
          <w:lang w:val="en-US" w:eastAsia="zh-CN"/>
        </w:rPr>
      </w:pPr>
      <w:r>
        <w:rPr>
          <w:rFonts w:hint="eastAsia" w:hAnsi="宋体" w:cs="宋体"/>
          <w:color w:val="auto"/>
          <w:sz w:val="24"/>
          <w:szCs w:val="24"/>
          <w:highlight w:val="none"/>
        </w:rPr>
        <w:t>(二)评审依据：磋商小组成员将以采购文件为评审依据，对供应商的最终报价、技术性能、实施方案、信誉业绩、售后服务、政策优惠等方面内容按百分制打分。</w:t>
      </w:r>
    </w:p>
    <w:p w14:paraId="0D971AA7">
      <w:pPr>
        <w:pStyle w:val="26"/>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(三)评审方式：以封闭方式进行。</w:t>
      </w:r>
    </w:p>
    <w:p w14:paraId="3D5DBE04">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(四)按《政府采购促进中小企业发展管理办法》(财库〔2020〕46号)的规定，</w:t>
      </w:r>
      <w:r>
        <w:rPr>
          <w:rFonts w:hint="eastAsia" w:ascii="宋体" w:hAnsi="宋体" w:cs="宋体"/>
          <w:color w:val="auto"/>
          <w:sz w:val="24"/>
          <w:highlight w:val="none"/>
        </w:rPr>
        <w:t>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的扣除，用扣除后的价格参加评审。中小企业参加政府采购活动，应当出具《中小企业声明函》，否则不得享受相关中小企业扶持政策。</w:t>
      </w:r>
    </w:p>
    <w:p w14:paraId="180F7023">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28B59C8F">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3EF654EE">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(七)未享受优惠政策的供应商的磋商最终报价即为评审价。</w:t>
      </w:r>
    </w:p>
    <w:p w14:paraId="7374B747">
      <w:pPr>
        <w:rPr>
          <w:rFonts w:hint="eastAsia" w:ascii="宋体" w:hAnsi="宋体" w:cs="Courier New"/>
          <w:b/>
          <w:color w:val="auto"/>
          <w:sz w:val="24"/>
          <w:highlight w:val="none"/>
        </w:rPr>
      </w:pPr>
      <w:r>
        <w:rPr>
          <w:rFonts w:hint="eastAsia" w:ascii="宋体" w:hAnsi="宋体" w:cs="Courier New"/>
          <w:b/>
          <w:color w:val="auto"/>
          <w:sz w:val="24"/>
          <w:highlight w:val="none"/>
        </w:rPr>
        <w:br w:type="page"/>
      </w:r>
    </w:p>
    <w:p w14:paraId="3BA8861A">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tbl>
      <w:tblPr>
        <w:tblStyle w:val="40"/>
        <w:tblW w:w="9599" w:type="dxa"/>
        <w:tblInd w:w="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1108"/>
        <w:gridCol w:w="7038"/>
        <w:gridCol w:w="794"/>
      </w:tblGrid>
      <w:tr w14:paraId="029D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659" w:type="dxa"/>
            <w:noWrap w:val="0"/>
            <w:vAlign w:val="center"/>
          </w:tcPr>
          <w:p w14:paraId="144BBD8C">
            <w:pPr>
              <w:spacing w:line="360" w:lineRule="auto"/>
              <w:jc w:val="center"/>
              <w:rPr>
                <w:rFonts w:hint="eastAsia"/>
                <w:bCs/>
                <w:color w:val="auto"/>
                <w:szCs w:val="21"/>
                <w:highlight w:val="none"/>
              </w:rPr>
            </w:pPr>
            <w:r>
              <w:rPr>
                <w:rFonts w:hint="eastAsia"/>
                <w:bCs/>
                <w:color w:val="auto"/>
                <w:szCs w:val="21"/>
                <w:highlight w:val="none"/>
              </w:rPr>
              <w:t>序号</w:t>
            </w:r>
          </w:p>
        </w:tc>
        <w:tc>
          <w:tcPr>
            <w:tcW w:w="1108" w:type="dxa"/>
            <w:noWrap w:val="0"/>
            <w:vAlign w:val="center"/>
          </w:tcPr>
          <w:p w14:paraId="15EF0A52">
            <w:pPr>
              <w:spacing w:line="360" w:lineRule="auto"/>
              <w:jc w:val="center"/>
              <w:rPr>
                <w:rFonts w:hint="eastAsia"/>
                <w:bCs/>
                <w:color w:val="auto"/>
                <w:szCs w:val="21"/>
                <w:highlight w:val="none"/>
              </w:rPr>
            </w:pPr>
            <w:r>
              <w:rPr>
                <w:rFonts w:hint="eastAsia"/>
                <w:bCs/>
                <w:color w:val="auto"/>
                <w:szCs w:val="21"/>
                <w:highlight w:val="none"/>
              </w:rPr>
              <w:t>评分类型</w:t>
            </w:r>
          </w:p>
        </w:tc>
        <w:tc>
          <w:tcPr>
            <w:tcW w:w="7038" w:type="dxa"/>
            <w:noWrap w:val="0"/>
            <w:vAlign w:val="center"/>
          </w:tcPr>
          <w:p w14:paraId="6F1597B3">
            <w:pPr>
              <w:spacing w:line="360" w:lineRule="auto"/>
              <w:jc w:val="center"/>
              <w:rPr>
                <w:rFonts w:hint="eastAsia"/>
                <w:bCs/>
                <w:color w:val="auto"/>
                <w:szCs w:val="21"/>
                <w:highlight w:val="none"/>
              </w:rPr>
            </w:pPr>
            <w:r>
              <w:rPr>
                <w:rFonts w:hint="eastAsia"/>
                <w:bCs/>
                <w:color w:val="auto"/>
                <w:szCs w:val="21"/>
                <w:highlight w:val="none"/>
              </w:rPr>
              <w:t>评分标准</w:t>
            </w:r>
          </w:p>
        </w:tc>
        <w:tc>
          <w:tcPr>
            <w:tcW w:w="794" w:type="dxa"/>
            <w:noWrap w:val="0"/>
            <w:vAlign w:val="center"/>
          </w:tcPr>
          <w:p w14:paraId="76C58264">
            <w:pPr>
              <w:spacing w:line="360" w:lineRule="auto"/>
              <w:jc w:val="center"/>
              <w:rPr>
                <w:rFonts w:hint="eastAsia"/>
                <w:bCs/>
                <w:color w:val="auto"/>
                <w:szCs w:val="21"/>
                <w:highlight w:val="none"/>
              </w:rPr>
            </w:pPr>
            <w:r>
              <w:rPr>
                <w:rFonts w:hint="eastAsia"/>
                <w:bCs/>
                <w:color w:val="auto"/>
                <w:szCs w:val="21"/>
                <w:highlight w:val="none"/>
              </w:rPr>
              <w:t>分值</w:t>
            </w:r>
          </w:p>
        </w:tc>
      </w:tr>
      <w:tr w14:paraId="3377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659" w:type="dxa"/>
            <w:noWrap w:val="0"/>
            <w:vAlign w:val="center"/>
          </w:tcPr>
          <w:p w14:paraId="04D7A6A7">
            <w:pPr>
              <w:spacing w:line="360" w:lineRule="auto"/>
              <w:jc w:val="center"/>
              <w:rPr>
                <w:rFonts w:hint="eastAsia"/>
                <w:bCs/>
                <w:color w:val="auto"/>
                <w:szCs w:val="21"/>
                <w:highlight w:val="none"/>
              </w:rPr>
            </w:pPr>
            <w:r>
              <w:rPr>
                <w:rFonts w:hint="eastAsia" w:ascii="宋体" w:hAnsi="宋体" w:eastAsia="宋体" w:cs="宋体"/>
                <w:bCs/>
                <w:color w:val="auto"/>
                <w:szCs w:val="21"/>
                <w:highlight w:val="none"/>
              </w:rPr>
              <w:t>1</w:t>
            </w:r>
          </w:p>
        </w:tc>
        <w:tc>
          <w:tcPr>
            <w:tcW w:w="1108" w:type="dxa"/>
            <w:noWrap w:val="0"/>
            <w:vAlign w:val="center"/>
          </w:tcPr>
          <w:p w14:paraId="35DB4989">
            <w:pPr>
              <w:spacing w:line="360" w:lineRule="auto"/>
              <w:jc w:val="center"/>
              <w:rPr>
                <w:rFonts w:hint="eastAsia"/>
                <w:bCs/>
                <w:color w:val="auto"/>
                <w:szCs w:val="21"/>
                <w:highlight w:val="none"/>
              </w:rPr>
            </w:pPr>
            <w:r>
              <w:rPr>
                <w:rFonts w:hint="eastAsia"/>
                <w:b/>
                <w:bCs w:val="0"/>
                <w:color w:val="auto"/>
                <w:szCs w:val="21"/>
                <w:highlight w:val="none"/>
              </w:rPr>
              <w:t>报</w:t>
            </w:r>
            <w:r>
              <w:rPr>
                <w:rFonts w:hint="default" w:ascii="Times New Roman" w:hAnsi="Times New Roman" w:cs="Times New Roman"/>
                <w:b/>
                <w:bCs w:val="0"/>
                <w:i w:val="0"/>
                <w:iCs w:val="0"/>
                <w:color w:val="auto"/>
                <w:szCs w:val="21"/>
                <w:highlight w:val="none"/>
              </w:rPr>
              <w:t>价</w:t>
            </w:r>
            <w:r>
              <w:rPr>
                <w:rFonts w:hint="default" w:ascii="Times New Roman" w:hAnsi="Times New Roman" w:cs="Times New Roman"/>
                <w:b/>
                <w:bCs w:val="0"/>
                <w:i w:val="0"/>
                <w:iCs w:val="0"/>
                <w:color w:val="auto"/>
                <w:kern w:val="0"/>
                <w:szCs w:val="21"/>
                <w:highlight w:val="none"/>
                <w:lang w:val="en-US" w:eastAsia="zh-CN"/>
              </w:rPr>
              <w:t>分</w:t>
            </w:r>
          </w:p>
        </w:tc>
        <w:tc>
          <w:tcPr>
            <w:tcW w:w="7038" w:type="dxa"/>
            <w:noWrap w:val="0"/>
            <w:vAlign w:val="top"/>
          </w:tcPr>
          <w:p w14:paraId="5F5BD601">
            <w:pPr>
              <w:spacing w:line="360" w:lineRule="auto"/>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eastAsia="zh-CN"/>
              </w:rPr>
              <w:t>本项目为专门面向</w:t>
            </w:r>
            <w:r>
              <w:rPr>
                <w:rFonts w:hint="eastAsia" w:cs="Times New Roman"/>
                <w:color w:val="auto"/>
                <w:highlight w:val="none"/>
                <w:lang w:val="en-US" w:eastAsia="zh-CN"/>
              </w:rPr>
              <w:t>中小</w:t>
            </w:r>
            <w:r>
              <w:rPr>
                <w:rFonts w:hint="eastAsia" w:ascii="Times New Roman" w:hAnsi="Times New Roman" w:eastAsia="宋体" w:cs="Times New Roman"/>
                <w:color w:val="auto"/>
                <w:highlight w:val="none"/>
                <w:lang w:eastAsia="zh-CN"/>
              </w:rPr>
              <w:t>企业采购的项目，按照《政府采购促进中小企业发展管理办法》（财库〔2020〕46号）的规定，对供应商最后报价不再执行价格评审优惠的扶持政策。</w:t>
            </w:r>
          </w:p>
          <w:p w14:paraId="6CA38502">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评审</w:t>
            </w:r>
            <w:r>
              <w:rPr>
                <w:rFonts w:hint="eastAsia" w:ascii="Times New Roman" w:hAnsi="Times New Roman" w:eastAsia="宋体" w:cs="Times New Roman"/>
                <w:color w:val="auto"/>
                <w:highlight w:val="none"/>
                <w:lang w:eastAsia="zh-CN"/>
              </w:rPr>
              <w:t>报</w:t>
            </w:r>
            <w:r>
              <w:rPr>
                <w:rFonts w:hint="eastAsia" w:ascii="Times New Roman" w:hAnsi="Times New Roman" w:eastAsia="宋体" w:cs="Times New Roman"/>
                <w:color w:val="auto"/>
                <w:highlight w:val="none"/>
              </w:rPr>
              <w:t>价为供应商的最后报价</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评审</w:t>
            </w:r>
            <w:r>
              <w:rPr>
                <w:rFonts w:hint="eastAsia" w:ascii="Times New Roman" w:hAnsi="Times New Roman" w:eastAsia="宋体" w:cs="Times New Roman"/>
                <w:color w:val="auto"/>
                <w:highlight w:val="none"/>
                <w:lang w:eastAsia="zh-CN"/>
              </w:rPr>
              <w:t>报</w:t>
            </w:r>
            <w:r>
              <w:rPr>
                <w:rFonts w:hint="eastAsia" w:ascii="Times New Roman" w:hAnsi="Times New Roman" w:eastAsia="宋体" w:cs="Times New Roman"/>
                <w:color w:val="auto"/>
                <w:highlight w:val="none"/>
              </w:rPr>
              <w:t>价只是作为评审时使用。最终成交供应商的成交金额等于最后报价（如有修正，以确认修正后的最后报价为准）。</w:t>
            </w:r>
          </w:p>
          <w:p w14:paraId="539B9487">
            <w:pPr>
              <w:spacing w:line="360" w:lineRule="auto"/>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3.</w:t>
            </w:r>
            <w:r>
              <w:rPr>
                <w:rFonts w:hint="eastAsia" w:ascii="Times New Roman" w:hAnsi="Times New Roman" w:eastAsia="宋体" w:cs="Times New Roman"/>
                <w:color w:val="auto"/>
                <w:highlight w:val="none"/>
                <w:lang w:eastAsia="zh-CN"/>
              </w:rPr>
              <w:t>以进入比较与评价环节的最低的评审报价为基准价，基准价得分为</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lang w:eastAsia="zh-CN"/>
              </w:rPr>
              <w:t>分。</w:t>
            </w:r>
          </w:p>
          <w:p w14:paraId="4AC97C10">
            <w:pPr>
              <w:spacing w:line="360" w:lineRule="auto"/>
              <w:ind w:firstLine="42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4.</w:t>
            </w:r>
            <w:r>
              <w:rPr>
                <w:rFonts w:hint="eastAsia" w:ascii="Times New Roman" w:hAnsi="Times New Roman" w:eastAsia="宋体" w:cs="Times New Roman"/>
                <w:color w:val="auto"/>
                <w:highlight w:val="none"/>
                <w:lang w:eastAsia="zh-CN"/>
              </w:rPr>
              <w:t>价格分计算公式：</w:t>
            </w:r>
          </w:p>
          <w:p w14:paraId="7E207E0D">
            <w:pPr>
              <w:spacing w:line="360" w:lineRule="auto"/>
              <w:ind w:firstLine="420" w:firstLineChars="200"/>
              <w:rPr>
                <w:rFonts w:hint="default" w:ascii="Times New Roman" w:hAnsi="Times New Roman" w:cs="Times New Roman"/>
                <w:color w:val="auto"/>
                <w:highlight w:val="none"/>
              </w:rPr>
            </w:pPr>
            <w:r>
              <w:rPr>
                <w:rFonts w:hint="eastAsia" w:ascii="Times New Roman" w:hAnsi="Times New Roman" w:eastAsia="宋体" w:cs="Times New Roman"/>
                <w:color w:val="auto"/>
                <w:highlight w:val="none"/>
                <w:lang w:eastAsia="zh-CN"/>
              </w:rPr>
              <w:t>报价得分=（基准价/评审报价）×</w:t>
            </w:r>
            <w:r>
              <w:rPr>
                <w:rFonts w:hint="eastAsia" w:cs="Times New Roman"/>
                <w:color w:val="auto"/>
                <w:highlight w:val="none"/>
                <w:lang w:val="en-US" w:eastAsia="zh-CN"/>
              </w:rPr>
              <w:t>2</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lang w:eastAsia="zh-CN"/>
              </w:rPr>
              <w:t>分</w:t>
            </w:r>
          </w:p>
        </w:tc>
        <w:tc>
          <w:tcPr>
            <w:tcW w:w="794" w:type="dxa"/>
            <w:noWrap w:val="0"/>
            <w:vAlign w:val="center"/>
          </w:tcPr>
          <w:p w14:paraId="7248185A">
            <w:pPr>
              <w:spacing w:line="360" w:lineRule="auto"/>
              <w:jc w:val="center"/>
              <w:rPr>
                <w:rFonts w:hint="default" w:ascii="Times New Roman" w:hAnsi="Times New Roman" w:cs="Times New Roman"/>
                <w:bCs/>
                <w:color w:val="auto"/>
                <w:szCs w:val="21"/>
                <w:highlight w:val="none"/>
              </w:rPr>
            </w:pPr>
            <w:r>
              <w:rPr>
                <w:rFonts w:hint="default" w:ascii="Times New Roman" w:hAnsi="Times New Roman" w:cs="Times New Roman"/>
                <w:color w:val="auto"/>
                <w:kern w:val="0"/>
                <w:szCs w:val="21"/>
                <w:highlight w:val="none"/>
                <w:lang w:val="en-US" w:eastAsia="zh-CN"/>
              </w:rPr>
              <w:t xml:space="preserve"> </w:t>
            </w:r>
            <w:r>
              <w:rPr>
                <w:rFonts w:hint="eastAsia" w:cs="Times New Roman"/>
                <w:color w:val="auto"/>
                <w:kern w:val="0"/>
                <w:szCs w:val="21"/>
                <w:highlight w:val="none"/>
                <w:lang w:val="en-US" w:eastAsia="zh-CN"/>
              </w:rPr>
              <w:t>2</w:t>
            </w:r>
            <w:r>
              <w:rPr>
                <w:rFonts w:hint="eastAsia" w:ascii="Times New Roman" w:hAnsi="Times New Roman" w:cs="Times New Roman"/>
                <w:color w:val="auto"/>
                <w:kern w:val="0"/>
                <w:szCs w:val="21"/>
                <w:highlight w:val="none"/>
                <w:lang w:val="en-US" w:eastAsia="zh-CN"/>
              </w:rPr>
              <w:t>0</w:t>
            </w:r>
            <w:r>
              <w:rPr>
                <w:rFonts w:hint="default" w:ascii="Times New Roman" w:hAnsi="Times New Roman" w:cs="Times New Roman"/>
                <w:color w:val="auto"/>
                <w:kern w:val="0"/>
                <w:szCs w:val="21"/>
                <w:highlight w:val="none"/>
              </w:rPr>
              <w:t>分</w:t>
            </w:r>
          </w:p>
        </w:tc>
      </w:tr>
      <w:tr w14:paraId="653E8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noWrap w:val="0"/>
            <w:vAlign w:val="center"/>
          </w:tcPr>
          <w:p w14:paraId="3EBF2F83">
            <w:pPr>
              <w:spacing w:line="360" w:lineRule="auto"/>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2</w:t>
            </w:r>
          </w:p>
        </w:tc>
        <w:tc>
          <w:tcPr>
            <w:tcW w:w="1108" w:type="dxa"/>
            <w:noWrap w:val="0"/>
            <w:vAlign w:val="center"/>
          </w:tcPr>
          <w:p w14:paraId="1FB4C407">
            <w:pPr>
              <w:spacing w:line="360" w:lineRule="auto"/>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
                <w:bCs/>
                <w:color w:val="auto"/>
                <w:highlight w:val="none"/>
              </w:rPr>
              <w:t>主要施工方法</w:t>
            </w:r>
            <w:r>
              <w:rPr>
                <w:rFonts w:hint="eastAsia" w:ascii="Times New Roman" w:hAnsi="Times New Roman" w:eastAsia="宋体" w:cs="Times New Roman"/>
                <w:b/>
                <w:bCs/>
                <w:color w:val="auto"/>
                <w:highlight w:val="none"/>
                <w:lang w:eastAsia="zh-CN"/>
              </w:rPr>
              <w:t>方案</w:t>
            </w:r>
            <w:r>
              <w:rPr>
                <w:rFonts w:hint="eastAsia" w:ascii="Times New Roman" w:hAnsi="Times New Roman" w:eastAsia="宋体" w:cs="Times New Roman"/>
                <w:b/>
                <w:bCs/>
                <w:color w:val="auto"/>
                <w:highlight w:val="none"/>
                <w:lang w:val="en-US" w:eastAsia="zh-CN"/>
              </w:rPr>
              <w:t>分</w:t>
            </w:r>
          </w:p>
        </w:tc>
        <w:tc>
          <w:tcPr>
            <w:tcW w:w="7038" w:type="dxa"/>
            <w:noWrap w:val="0"/>
            <w:vAlign w:val="top"/>
          </w:tcPr>
          <w:p w14:paraId="2E551EC2">
            <w:pPr>
              <w:spacing w:line="360" w:lineRule="auto"/>
              <w:rPr>
                <w:rFonts w:hint="eastAsia" w:ascii="Times New Roman" w:hAnsi="Times New Roman" w:eastAsia="宋体" w:cs="Times New Roman"/>
                <w:b/>
                <w:bCs/>
                <w:color w:val="auto"/>
                <w:highlight w:val="none"/>
                <w:lang w:eastAsia="zh-CN"/>
              </w:rPr>
            </w:pPr>
            <w:r>
              <w:rPr>
                <w:rFonts w:hint="eastAsia" w:ascii="Times New Roman" w:hAnsi="Times New Roman" w:eastAsia="宋体" w:cs="Times New Roman"/>
                <w:b/>
                <w:bCs/>
                <w:color w:val="auto"/>
                <w:highlight w:val="none"/>
              </w:rPr>
              <w:t>供应商未提供主要施工方法方案的不得分</w:t>
            </w:r>
            <w:r>
              <w:rPr>
                <w:rFonts w:hint="eastAsia" w:cs="Times New Roman"/>
                <w:b/>
                <w:bCs/>
                <w:color w:val="auto"/>
                <w:highlight w:val="none"/>
                <w:lang w:eastAsia="zh-CN"/>
              </w:rPr>
              <w:t>。</w:t>
            </w:r>
          </w:p>
          <w:p w14:paraId="14115D6D">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一档（</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分）：各主要分部施工方法符合项目</w:t>
            </w:r>
            <w:r>
              <w:rPr>
                <w:rFonts w:hint="eastAsia" w:ascii="Times New Roman" w:hAnsi="Times New Roman" w:eastAsia="宋体" w:cs="Times New Roman"/>
                <w:color w:val="auto"/>
                <w:highlight w:val="none"/>
                <w:lang w:eastAsia="zh-CN"/>
              </w:rPr>
              <w:t>需求</w:t>
            </w:r>
            <w:r>
              <w:rPr>
                <w:rFonts w:hint="eastAsia" w:ascii="Times New Roman" w:hAnsi="Times New Roman" w:eastAsia="宋体" w:cs="Times New Roman"/>
                <w:color w:val="auto"/>
                <w:highlight w:val="none"/>
              </w:rPr>
              <w:t xml:space="preserve">，有施工技术方案。 </w:t>
            </w:r>
          </w:p>
          <w:p w14:paraId="226E520F">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二档（</w:t>
            </w:r>
            <w:r>
              <w:rPr>
                <w:rFonts w:hint="eastAsia" w:ascii="Times New Roman" w:hAnsi="Times New Roman" w:eastAsia="宋体" w:cs="Times New Roman"/>
                <w:color w:val="auto"/>
                <w:highlight w:val="none"/>
                <w:lang w:val="en-US" w:eastAsia="zh-CN"/>
              </w:rPr>
              <w:t>10</w:t>
            </w:r>
            <w:r>
              <w:rPr>
                <w:rFonts w:hint="eastAsia" w:ascii="Times New Roman" w:hAnsi="Times New Roman" w:eastAsia="宋体" w:cs="Times New Roman"/>
                <w:color w:val="auto"/>
                <w:highlight w:val="none"/>
              </w:rPr>
              <w:t>分）：各主要分部施工方法符合项目实际，施工技术方案</w:t>
            </w:r>
            <w:r>
              <w:rPr>
                <w:rFonts w:hint="eastAsia" w:ascii="Times New Roman" w:hAnsi="Times New Roman" w:eastAsia="宋体" w:cs="Times New Roman"/>
                <w:color w:val="auto"/>
                <w:highlight w:val="none"/>
                <w:lang w:val="en-US" w:eastAsia="zh-CN"/>
              </w:rPr>
              <w:t>内容简单，具有各</w:t>
            </w:r>
            <w:r>
              <w:rPr>
                <w:rFonts w:hint="eastAsia" w:ascii="Times New Roman" w:hAnsi="Times New Roman" w:eastAsia="宋体" w:cs="Times New Roman"/>
                <w:color w:val="auto"/>
                <w:highlight w:val="none"/>
              </w:rPr>
              <w:t>主要分部工程施工步骤、施工要点</w:t>
            </w:r>
            <w:r>
              <w:rPr>
                <w:rFonts w:hint="eastAsia" w:ascii="Times New Roman" w:hAnsi="Times New Roman" w:eastAsia="宋体" w:cs="Times New Roman"/>
                <w:color w:val="auto"/>
                <w:highlight w:val="none"/>
                <w:lang w:val="en-US" w:eastAsia="zh-CN"/>
              </w:rPr>
              <w:t>内容</w:t>
            </w:r>
            <w:r>
              <w:rPr>
                <w:rFonts w:hint="eastAsia" w:ascii="Times New Roman" w:hAnsi="Times New Roman" w:eastAsia="宋体" w:cs="Times New Roman"/>
                <w:color w:val="auto"/>
                <w:highlight w:val="none"/>
              </w:rPr>
              <w:t xml:space="preserve">，能指导具体施工并确保安全。 </w:t>
            </w:r>
          </w:p>
          <w:p w14:paraId="4B32AE5D">
            <w:pPr>
              <w:spacing w:line="360" w:lineRule="auto"/>
              <w:ind w:firstLine="420" w:firstLineChars="200"/>
              <w:rPr>
                <w:rFonts w:hint="default"/>
                <w:color w:val="auto"/>
                <w:highlight w:val="none"/>
              </w:rPr>
            </w:pPr>
            <w:r>
              <w:rPr>
                <w:rFonts w:hint="eastAsia" w:ascii="Times New Roman" w:hAnsi="Times New Roman" w:eastAsia="宋体" w:cs="Times New Roman"/>
                <w:color w:val="auto"/>
                <w:highlight w:val="none"/>
              </w:rPr>
              <w:t>三档（</w:t>
            </w:r>
            <w:r>
              <w:rPr>
                <w:rFonts w:hint="eastAsia" w:ascii="Times New Roman" w:hAnsi="Times New Roman" w:eastAsia="宋体" w:cs="Times New Roman"/>
                <w:color w:val="auto"/>
                <w:highlight w:val="none"/>
                <w:lang w:val="en-US" w:eastAsia="zh-CN"/>
              </w:rPr>
              <w:t>15</w:t>
            </w:r>
            <w:r>
              <w:rPr>
                <w:rFonts w:hint="eastAsia" w:ascii="Times New Roman" w:hAnsi="Times New Roman" w:eastAsia="宋体" w:cs="Times New Roman"/>
                <w:color w:val="auto"/>
                <w:highlight w:val="none"/>
              </w:rPr>
              <w:t>分）：各主要分部施工方法符合项目实际，施工技术方案</w:t>
            </w:r>
            <w:r>
              <w:rPr>
                <w:rFonts w:hint="eastAsia" w:ascii="Times New Roman" w:hAnsi="Times New Roman" w:eastAsia="宋体" w:cs="Times New Roman"/>
                <w:color w:val="auto"/>
                <w:highlight w:val="none"/>
                <w:lang w:val="en-US" w:eastAsia="zh-CN"/>
              </w:rPr>
              <w:t>内容详细，具有各</w:t>
            </w:r>
            <w:r>
              <w:rPr>
                <w:rFonts w:hint="eastAsia" w:ascii="Times New Roman" w:hAnsi="Times New Roman" w:eastAsia="宋体" w:cs="Times New Roman"/>
                <w:color w:val="auto"/>
                <w:highlight w:val="none"/>
              </w:rPr>
              <w:t>主要分部工程施工工序、施工步骤、施工要点、施工工艺</w:t>
            </w:r>
            <w:r>
              <w:rPr>
                <w:rFonts w:hint="eastAsia" w:ascii="Times New Roman" w:hAnsi="Times New Roman" w:eastAsia="宋体" w:cs="Times New Roman"/>
                <w:color w:val="auto"/>
                <w:highlight w:val="none"/>
                <w:lang w:eastAsia="zh-CN"/>
              </w:rPr>
              <w:t>方案</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rPr>
              <w:t>施工准备、技术准备或交底、各工种施工配合方案</w:t>
            </w:r>
            <w:r>
              <w:rPr>
                <w:rFonts w:hint="eastAsia" w:ascii="Times New Roman" w:hAnsi="Times New Roman" w:eastAsia="宋体" w:cs="Times New Roman"/>
                <w:color w:val="auto"/>
                <w:highlight w:val="none"/>
                <w:lang w:val="en-US" w:eastAsia="zh-CN"/>
              </w:rPr>
              <w:t>且</w:t>
            </w:r>
            <w:r>
              <w:rPr>
                <w:rFonts w:hint="eastAsia" w:ascii="Times New Roman" w:hAnsi="Times New Roman" w:eastAsia="宋体" w:cs="Times New Roman"/>
                <w:color w:val="auto"/>
                <w:highlight w:val="none"/>
                <w:lang w:eastAsia="zh-CN"/>
              </w:rPr>
              <w:t>具有针对性</w:t>
            </w:r>
            <w:r>
              <w:rPr>
                <w:rFonts w:hint="eastAsia" w:ascii="Times New Roman" w:hAnsi="Times New Roman" w:eastAsia="宋体" w:cs="Times New Roman"/>
                <w:color w:val="auto"/>
                <w:highlight w:val="none"/>
              </w:rPr>
              <w:t>，能高效指导具体施工并确保安全。</w:t>
            </w:r>
          </w:p>
        </w:tc>
        <w:tc>
          <w:tcPr>
            <w:tcW w:w="794" w:type="dxa"/>
            <w:noWrap w:val="0"/>
            <w:vAlign w:val="center"/>
          </w:tcPr>
          <w:p w14:paraId="3C17C4E4">
            <w:pPr>
              <w:spacing w:line="360" w:lineRule="auto"/>
              <w:jc w:val="center"/>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15</w:t>
            </w:r>
            <w:r>
              <w:rPr>
                <w:rFonts w:hint="default" w:ascii="Times New Roman" w:hAnsi="Times New Roman" w:eastAsia="宋体" w:cs="Times New Roman"/>
                <w:bCs/>
                <w:color w:val="auto"/>
                <w:szCs w:val="21"/>
                <w:highlight w:val="none"/>
                <w:lang w:eastAsia="zh-CN"/>
              </w:rPr>
              <w:t>分</w:t>
            </w:r>
          </w:p>
        </w:tc>
      </w:tr>
      <w:tr w14:paraId="414AF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noWrap w:val="0"/>
            <w:vAlign w:val="center"/>
          </w:tcPr>
          <w:p w14:paraId="6951F3F2">
            <w:pPr>
              <w:spacing w:line="360" w:lineRule="auto"/>
              <w:jc w:val="center"/>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3</w:t>
            </w:r>
          </w:p>
        </w:tc>
        <w:tc>
          <w:tcPr>
            <w:tcW w:w="1108" w:type="dxa"/>
            <w:noWrap w:val="0"/>
            <w:vAlign w:val="center"/>
          </w:tcPr>
          <w:p w14:paraId="424B1B3A">
            <w:pPr>
              <w:spacing w:line="360" w:lineRule="auto"/>
              <w:rPr>
                <w:rFonts w:hint="eastAsia" w:ascii="Times New Roman" w:hAnsi="Times New Roman" w:eastAsia="宋体" w:cs="Times New Roman"/>
                <w:b/>
                <w:bCs/>
                <w:color w:val="auto"/>
                <w:highlight w:val="none"/>
                <w:lang w:eastAsia="zh-CN"/>
              </w:rPr>
            </w:pPr>
            <w:r>
              <w:rPr>
                <w:rFonts w:hint="eastAsia" w:ascii="Times New Roman" w:hAnsi="Times New Roman" w:eastAsia="宋体" w:cs="Times New Roman"/>
                <w:b/>
                <w:bCs/>
                <w:color w:val="auto"/>
                <w:highlight w:val="none"/>
              </w:rPr>
              <w:t>拟投入的主要物资计划、劳动力安排计划</w:t>
            </w:r>
            <w:r>
              <w:rPr>
                <w:rFonts w:hint="eastAsia" w:ascii="Times New Roman" w:hAnsi="Times New Roman" w:eastAsia="宋体" w:cs="Times New Roman"/>
                <w:b/>
                <w:bCs/>
                <w:color w:val="auto"/>
                <w:highlight w:val="none"/>
                <w:lang w:eastAsia="zh-CN"/>
              </w:rPr>
              <w:t>方案</w:t>
            </w:r>
            <w:r>
              <w:rPr>
                <w:rFonts w:hint="eastAsia" w:ascii="Times New Roman" w:hAnsi="Times New Roman" w:eastAsia="宋体" w:cs="Times New Roman"/>
                <w:b/>
                <w:bCs/>
                <w:color w:val="auto"/>
                <w:highlight w:val="none"/>
                <w:lang w:val="en-US" w:eastAsia="zh-CN"/>
              </w:rPr>
              <w:t>分</w:t>
            </w:r>
          </w:p>
          <w:p w14:paraId="6D74CC50">
            <w:pPr>
              <w:spacing w:line="360" w:lineRule="auto"/>
              <w:jc w:val="center"/>
              <w:rPr>
                <w:rFonts w:hint="default" w:ascii="Times New Roman" w:hAnsi="Times New Roman" w:eastAsia="宋体" w:cs="Times New Roman"/>
                <w:bCs/>
                <w:color w:val="auto"/>
                <w:szCs w:val="21"/>
                <w:highlight w:val="none"/>
              </w:rPr>
            </w:pPr>
          </w:p>
        </w:tc>
        <w:tc>
          <w:tcPr>
            <w:tcW w:w="7038" w:type="dxa"/>
            <w:noWrap w:val="0"/>
            <w:vAlign w:val="top"/>
          </w:tcPr>
          <w:p w14:paraId="188E9E37">
            <w:pPr>
              <w:spacing w:line="360" w:lineRule="auto"/>
              <w:rPr>
                <w:rFonts w:hint="eastAsia" w:ascii="Times New Roman" w:hAnsi="Times New Roman" w:eastAsia="宋体" w:cs="Times New Roman"/>
                <w:b/>
                <w:bCs/>
                <w:color w:val="auto"/>
                <w:highlight w:val="none"/>
                <w:lang w:eastAsia="zh-CN"/>
              </w:rPr>
            </w:pPr>
            <w:r>
              <w:rPr>
                <w:rFonts w:hint="eastAsia" w:ascii="Times New Roman" w:hAnsi="Times New Roman" w:eastAsia="宋体" w:cs="Times New Roman"/>
                <w:b/>
                <w:bCs/>
                <w:color w:val="auto"/>
                <w:highlight w:val="none"/>
              </w:rPr>
              <w:t>供应商未提供拟投入的主要物资计划、劳动力安排计划方案的不得分</w:t>
            </w:r>
            <w:r>
              <w:rPr>
                <w:rFonts w:hint="eastAsia" w:cs="Times New Roman"/>
                <w:b/>
                <w:bCs/>
                <w:color w:val="auto"/>
                <w:highlight w:val="none"/>
                <w:lang w:eastAsia="zh-CN"/>
              </w:rPr>
              <w:t>。</w:t>
            </w:r>
          </w:p>
          <w:p w14:paraId="67D35F80">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一档（</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分）：</w:t>
            </w:r>
            <w:r>
              <w:rPr>
                <w:color w:val="auto"/>
                <w:highlight w:val="none"/>
              </w:rPr>
              <w:t>投入的</w:t>
            </w:r>
            <w:r>
              <w:rPr>
                <w:rFonts w:hint="eastAsia"/>
                <w:color w:val="auto"/>
                <w:highlight w:val="none"/>
                <w:lang w:val="en-US" w:eastAsia="zh-CN"/>
              </w:rPr>
              <w:t>主要物资简单，具有</w:t>
            </w:r>
            <w:r>
              <w:rPr>
                <w:color w:val="auto"/>
                <w:highlight w:val="none"/>
              </w:rPr>
              <w:t>组织计划</w:t>
            </w:r>
            <w:r>
              <w:rPr>
                <w:rFonts w:hint="eastAsia" w:ascii="Times New Roman" w:hAnsi="Times New Roman" w:eastAsia="宋体" w:cs="Times New Roman"/>
                <w:color w:val="auto"/>
                <w:highlight w:val="none"/>
              </w:rPr>
              <w:t>。各主要施工工序有劳动力安排计划，有各工种劳动力安排计划。</w:t>
            </w:r>
          </w:p>
          <w:p w14:paraId="4E308791">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二档（</w:t>
            </w:r>
            <w:r>
              <w:rPr>
                <w:rFonts w:hint="eastAsia" w:ascii="Times New Roman" w:hAnsi="Times New Roman" w:eastAsia="宋体" w:cs="Times New Roman"/>
                <w:color w:val="auto"/>
                <w:highlight w:val="none"/>
                <w:lang w:val="en-US" w:eastAsia="zh-CN"/>
              </w:rPr>
              <w:t>10</w:t>
            </w:r>
            <w:r>
              <w:rPr>
                <w:rFonts w:hint="eastAsia" w:ascii="Times New Roman" w:hAnsi="Times New Roman" w:eastAsia="宋体" w:cs="Times New Roman"/>
                <w:color w:val="auto"/>
                <w:highlight w:val="none"/>
              </w:rPr>
              <w:t>分）：投入的主要物资计划与进度计划呼应，满足施工需要，定量定点堆放物资。各主要施工工序有劳动力安排计划，不窝工，有各工种劳动力安排计划，能满足施工需要。</w:t>
            </w:r>
          </w:p>
          <w:p w14:paraId="72410F03">
            <w:pPr>
              <w:spacing w:line="360" w:lineRule="auto"/>
              <w:ind w:firstLine="420" w:firstLineChars="200"/>
              <w:rPr>
                <w:rFonts w:hint="eastAsia" w:eastAsia="宋体"/>
                <w:color w:val="auto"/>
                <w:highlight w:val="none"/>
                <w:lang w:eastAsia="zh-CN"/>
              </w:rPr>
            </w:pPr>
            <w:r>
              <w:rPr>
                <w:rFonts w:hint="eastAsia" w:ascii="Times New Roman" w:hAnsi="Times New Roman" w:eastAsia="宋体" w:cs="Times New Roman"/>
                <w:color w:val="auto"/>
                <w:highlight w:val="none"/>
              </w:rPr>
              <w:t>三档（</w:t>
            </w:r>
            <w:r>
              <w:rPr>
                <w:rFonts w:hint="eastAsia" w:ascii="Times New Roman" w:hAnsi="Times New Roman" w:eastAsia="宋体" w:cs="Times New Roman"/>
                <w:color w:val="auto"/>
                <w:highlight w:val="none"/>
                <w:lang w:val="en-US" w:eastAsia="zh-CN"/>
              </w:rPr>
              <w:t>15</w:t>
            </w:r>
            <w:r>
              <w:rPr>
                <w:rFonts w:hint="eastAsia" w:ascii="Times New Roman" w:hAnsi="Times New Roman" w:eastAsia="宋体" w:cs="Times New Roman"/>
                <w:color w:val="auto"/>
                <w:highlight w:val="none"/>
              </w:rPr>
              <w:t>分）：投入的主要物资计划与进度计划呼应，满足施工需要，材料物资采购及供应保证措施，定量定点堆放物资。各主要施工工序有劳动力安排计划，不窝工，有各工种劳动力安排计划和劳动力保障措施</w:t>
            </w:r>
            <w:r>
              <w:rPr>
                <w:rFonts w:hint="eastAsia" w:cs="Times New Roman"/>
                <w:color w:val="auto"/>
                <w:highlight w:val="none"/>
                <w:lang w:eastAsia="zh-CN"/>
              </w:rPr>
              <w:t>。</w:t>
            </w:r>
          </w:p>
        </w:tc>
        <w:tc>
          <w:tcPr>
            <w:tcW w:w="794" w:type="dxa"/>
            <w:noWrap w:val="0"/>
            <w:vAlign w:val="center"/>
          </w:tcPr>
          <w:p w14:paraId="42B2E918">
            <w:pPr>
              <w:spacing w:line="360" w:lineRule="auto"/>
              <w:jc w:val="center"/>
              <w:rPr>
                <w:rFonts w:hint="default" w:ascii="Times New Roman" w:hAnsi="Times New Roman" w:eastAsia="宋体" w:cs="Times New Roman"/>
                <w:bCs/>
                <w:color w:val="auto"/>
                <w:szCs w:val="21"/>
                <w:highlight w:val="none"/>
                <w:lang w:eastAsia="zh-CN"/>
              </w:rPr>
            </w:pPr>
            <w:r>
              <w:rPr>
                <w:rFonts w:hint="eastAsia" w:ascii="Times New Roman" w:hAnsi="Times New Roman" w:eastAsia="宋体" w:cs="Times New Roman"/>
                <w:bCs/>
                <w:color w:val="auto"/>
                <w:szCs w:val="21"/>
                <w:highlight w:val="none"/>
                <w:lang w:val="en-US" w:eastAsia="zh-CN"/>
              </w:rPr>
              <w:t>15</w:t>
            </w:r>
            <w:r>
              <w:rPr>
                <w:rFonts w:hint="default" w:ascii="Times New Roman" w:hAnsi="Times New Roman" w:eastAsia="宋体" w:cs="Times New Roman"/>
                <w:bCs/>
                <w:color w:val="auto"/>
                <w:szCs w:val="21"/>
                <w:highlight w:val="none"/>
                <w:lang w:eastAsia="zh-CN"/>
              </w:rPr>
              <w:t>分</w:t>
            </w:r>
          </w:p>
        </w:tc>
      </w:tr>
      <w:tr w14:paraId="34CFC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noWrap w:val="0"/>
            <w:vAlign w:val="center"/>
          </w:tcPr>
          <w:p w14:paraId="3DEDC74F">
            <w:pPr>
              <w:spacing w:line="360" w:lineRule="auto"/>
              <w:jc w:val="center"/>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4</w:t>
            </w:r>
          </w:p>
        </w:tc>
        <w:tc>
          <w:tcPr>
            <w:tcW w:w="1108" w:type="dxa"/>
            <w:noWrap w:val="0"/>
            <w:vAlign w:val="center"/>
          </w:tcPr>
          <w:p w14:paraId="64A3F1CC">
            <w:pPr>
              <w:spacing w:line="360" w:lineRule="auto"/>
              <w:jc w:val="center"/>
              <w:rPr>
                <w:rFonts w:hint="default" w:ascii="Times New Roman" w:hAnsi="Times New Roman" w:eastAsia="宋体" w:cs="Times New Roman"/>
                <w:bCs/>
                <w:color w:val="auto"/>
                <w:szCs w:val="21"/>
                <w:highlight w:val="none"/>
              </w:rPr>
            </w:pPr>
            <w:r>
              <w:rPr>
                <w:rFonts w:hint="eastAsia" w:ascii="Times New Roman" w:hAnsi="Times New Roman" w:eastAsia="宋体" w:cs="Times New Roman"/>
                <w:b/>
                <w:bCs/>
                <w:color w:val="auto"/>
                <w:highlight w:val="none"/>
              </w:rPr>
              <w:t>确保工程质量的技术组织措施</w:t>
            </w:r>
            <w:r>
              <w:rPr>
                <w:rFonts w:hint="eastAsia" w:ascii="Times New Roman" w:hAnsi="Times New Roman" w:eastAsia="宋体" w:cs="Times New Roman"/>
                <w:b/>
                <w:bCs/>
                <w:color w:val="auto"/>
                <w:highlight w:val="none"/>
                <w:lang w:eastAsia="zh-CN"/>
              </w:rPr>
              <w:t>方案</w:t>
            </w:r>
            <w:r>
              <w:rPr>
                <w:rFonts w:hint="eastAsia" w:ascii="Times New Roman" w:hAnsi="Times New Roman" w:eastAsia="宋体" w:cs="Times New Roman"/>
                <w:b/>
                <w:bCs/>
                <w:color w:val="auto"/>
                <w:highlight w:val="none"/>
                <w:lang w:val="en-US" w:eastAsia="zh-CN"/>
              </w:rPr>
              <w:t>分</w:t>
            </w:r>
          </w:p>
        </w:tc>
        <w:tc>
          <w:tcPr>
            <w:tcW w:w="7038" w:type="dxa"/>
            <w:noWrap w:val="0"/>
            <w:vAlign w:val="top"/>
          </w:tcPr>
          <w:p w14:paraId="2923264D">
            <w:pPr>
              <w:spacing w:line="360" w:lineRule="auto"/>
              <w:rPr>
                <w:rFonts w:hint="eastAsia" w:ascii="Times New Roman" w:hAnsi="Times New Roman" w:eastAsia="宋体" w:cs="Times New Roman"/>
                <w:b/>
                <w:bCs/>
                <w:color w:val="auto"/>
                <w:highlight w:val="none"/>
                <w:lang w:eastAsia="zh-CN"/>
              </w:rPr>
            </w:pPr>
            <w:r>
              <w:rPr>
                <w:rFonts w:hint="eastAsia" w:ascii="Times New Roman" w:hAnsi="Times New Roman" w:eastAsia="宋体" w:cs="Times New Roman"/>
                <w:b/>
                <w:bCs/>
                <w:color w:val="auto"/>
                <w:highlight w:val="none"/>
              </w:rPr>
              <w:t>供应商未提供确保工程质量的技术组织措施方案的不得分</w:t>
            </w:r>
            <w:r>
              <w:rPr>
                <w:rFonts w:hint="eastAsia" w:cs="Times New Roman"/>
                <w:b/>
                <w:bCs/>
                <w:color w:val="auto"/>
                <w:highlight w:val="none"/>
                <w:lang w:eastAsia="zh-CN"/>
              </w:rPr>
              <w:t>。</w:t>
            </w:r>
          </w:p>
          <w:p w14:paraId="79F46151">
            <w:pPr>
              <w:spacing w:line="360" w:lineRule="auto"/>
              <w:ind w:firstLine="420" w:firstLineChars="20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一档（</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rPr>
              <w:t>分）：有质量技术管理班子和制度，主要工序有质量技术保证措施和手段</w:t>
            </w:r>
            <w:r>
              <w:rPr>
                <w:rFonts w:hint="eastAsia" w:ascii="Times New Roman" w:hAnsi="Times New Roman" w:eastAsia="宋体" w:cs="Times New Roman"/>
                <w:color w:val="auto"/>
                <w:highlight w:val="none"/>
                <w:lang w:eastAsia="zh-CN"/>
              </w:rPr>
              <w:t>。</w:t>
            </w:r>
          </w:p>
          <w:p w14:paraId="01FE11C0">
            <w:pPr>
              <w:spacing w:line="360" w:lineRule="auto"/>
              <w:ind w:firstLine="42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二档（</w:t>
            </w:r>
            <w:r>
              <w:rPr>
                <w:rFonts w:hint="eastAsia" w:ascii="Times New Roman" w:hAnsi="Times New Roman" w:eastAsia="宋体" w:cs="Times New Roman"/>
                <w:color w:val="auto"/>
                <w:highlight w:val="none"/>
                <w:lang w:val="en-US" w:eastAsia="zh-CN"/>
              </w:rPr>
              <w:t>10</w:t>
            </w:r>
            <w:r>
              <w:rPr>
                <w:rFonts w:hint="eastAsia" w:ascii="Times New Roman" w:hAnsi="Times New Roman" w:eastAsia="宋体" w:cs="Times New Roman"/>
                <w:color w:val="auto"/>
                <w:highlight w:val="none"/>
              </w:rPr>
              <w:t>分）：有质量技术管理班子和制度，主要工序有质量技术保证措施和手段</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lang w:val="en-US" w:eastAsia="zh-CN"/>
              </w:rPr>
              <w:t>自控体系、</w:t>
            </w:r>
            <w:r>
              <w:rPr>
                <w:rFonts w:hint="eastAsia" w:ascii="Times New Roman" w:hAnsi="Times New Roman" w:eastAsia="宋体" w:cs="Times New Roman"/>
                <w:color w:val="auto"/>
                <w:highlight w:val="none"/>
              </w:rPr>
              <w:t>施工准备阶段和施工过程质量控制措施，能保证技术质量，满足采购文件的质量要求及验收规范要求。</w:t>
            </w:r>
          </w:p>
          <w:p w14:paraId="1491D5C6">
            <w:pPr>
              <w:spacing w:line="360" w:lineRule="auto"/>
              <w:ind w:firstLine="420" w:firstLineChars="200"/>
              <w:rPr>
                <w:rFonts w:hint="eastAsia"/>
                <w:color w:val="auto"/>
                <w:highlight w:val="none"/>
                <w:lang w:eastAsia="zh-CN"/>
              </w:rPr>
            </w:pPr>
            <w:r>
              <w:rPr>
                <w:rFonts w:hint="eastAsia" w:ascii="Times New Roman" w:hAnsi="Times New Roman" w:eastAsia="宋体" w:cs="Times New Roman"/>
                <w:color w:val="auto"/>
                <w:highlight w:val="none"/>
              </w:rPr>
              <w:t>三档（</w:t>
            </w:r>
            <w:r>
              <w:rPr>
                <w:rFonts w:hint="eastAsia" w:ascii="Times New Roman" w:hAnsi="Times New Roman" w:eastAsia="宋体" w:cs="Times New Roman"/>
                <w:color w:val="auto"/>
                <w:highlight w:val="none"/>
                <w:lang w:val="en-US" w:eastAsia="zh-CN"/>
              </w:rPr>
              <w:t>15</w:t>
            </w:r>
            <w:r>
              <w:rPr>
                <w:rFonts w:hint="eastAsia" w:ascii="Times New Roman" w:hAnsi="Times New Roman" w:eastAsia="宋体" w:cs="Times New Roman"/>
                <w:color w:val="auto"/>
                <w:highlight w:val="none"/>
              </w:rPr>
              <w:t>分）：有专门的质量技术管理班子和制度，明确管理班子质量责任，主要工序有质量技术保证措施和手段</w:t>
            </w:r>
            <w:r>
              <w:rPr>
                <w:rFonts w:hint="eastAsia" w:ascii="Times New Roman" w:hAnsi="Times New Roman" w:eastAsia="宋体" w:cs="Times New Roman"/>
                <w:color w:val="auto"/>
                <w:highlight w:val="none"/>
                <w:lang w:val="en-US" w:eastAsia="zh-CN"/>
              </w:rPr>
              <w:t>、</w:t>
            </w:r>
            <w:r>
              <w:rPr>
                <w:rFonts w:hint="eastAsia" w:ascii="Times New Roman" w:hAnsi="Times New Roman" w:eastAsia="宋体" w:cs="Times New Roman"/>
                <w:color w:val="auto"/>
                <w:highlight w:val="none"/>
              </w:rPr>
              <w:t>自控体系</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施工准备阶段、施工过程、竣工验收及交工阶段质量控制措施，隐蔽工程检查制度，有施工质量验收制度，工程质量保修方案，能有效保证技术质量，达到承诺的质量标准及验收规范要求。</w:t>
            </w:r>
          </w:p>
        </w:tc>
        <w:tc>
          <w:tcPr>
            <w:tcW w:w="794" w:type="dxa"/>
            <w:noWrap w:val="0"/>
            <w:vAlign w:val="center"/>
          </w:tcPr>
          <w:p w14:paraId="640E6F3B">
            <w:pPr>
              <w:spacing w:line="360" w:lineRule="auto"/>
              <w:jc w:val="center"/>
              <w:rPr>
                <w:rFonts w:hint="default" w:ascii="Times New Roman" w:hAnsi="Times New Roman" w:eastAsia="宋体" w:cs="Times New Roman"/>
                <w:bCs/>
                <w:color w:val="auto"/>
                <w:szCs w:val="21"/>
                <w:highlight w:val="none"/>
                <w:lang w:eastAsia="zh-CN"/>
              </w:rPr>
            </w:pPr>
            <w:r>
              <w:rPr>
                <w:rFonts w:hint="eastAsia" w:ascii="Times New Roman" w:hAnsi="Times New Roman" w:eastAsia="宋体" w:cs="Times New Roman"/>
                <w:bCs/>
                <w:color w:val="auto"/>
                <w:szCs w:val="21"/>
                <w:highlight w:val="none"/>
                <w:lang w:val="en-US" w:eastAsia="zh-CN"/>
              </w:rPr>
              <w:t>15</w:t>
            </w:r>
            <w:r>
              <w:rPr>
                <w:rFonts w:hint="default" w:ascii="Times New Roman" w:hAnsi="Times New Roman" w:eastAsia="宋体" w:cs="Times New Roman"/>
                <w:bCs/>
                <w:color w:val="auto"/>
                <w:szCs w:val="21"/>
                <w:highlight w:val="none"/>
                <w:lang w:eastAsia="zh-CN"/>
              </w:rPr>
              <w:t>分</w:t>
            </w:r>
          </w:p>
        </w:tc>
      </w:tr>
      <w:tr w14:paraId="4A79F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noWrap w:val="0"/>
            <w:vAlign w:val="center"/>
          </w:tcPr>
          <w:p w14:paraId="47A39EF2">
            <w:pPr>
              <w:spacing w:line="360" w:lineRule="auto"/>
              <w:jc w:val="center"/>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5</w:t>
            </w:r>
          </w:p>
        </w:tc>
        <w:tc>
          <w:tcPr>
            <w:tcW w:w="1108" w:type="dxa"/>
            <w:noWrap w:val="0"/>
            <w:vAlign w:val="center"/>
          </w:tcPr>
          <w:p w14:paraId="693ED57E">
            <w:pPr>
              <w:spacing w:line="360" w:lineRule="auto"/>
              <w:jc w:val="center"/>
              <w:rPr>
                <w:rFonts w:hint="default" w:ascii="Times New Roman" w:hAnsi="Times New Roman" w:eastAsia="宋体" w:cs="Times New Roman"/>
                <w:bCs/>
                <w:color w:val="auto"/>
                <w:szCs w:val="21"/>
                <w:highlight w:val="none"/>
              </w:rPr>
            </w:pPr>
            <w:r>
              <w:rPr>
                <w:rFonts w:hint="eastAsia"/>
                <w:b/>
                <w:bCs/>
                <w:color w:val="auto"/>
                <w:highlight w:val="none"/>
              </w:rPr>
              <w:t>确保安全生产的技术组织措施</w:t>
            </w:r>
            <w:r>
              <w:rPr>
                <w:rFonts w:hint="eastAsia"/>
                <w:b/>
                <w:bCs/>
                <w:color w:val="auto"/>
                <w:highlight w:val="none"/>
                <w:lang w:eastAsia="zh-CN"/>
              </w:rPr>
              <w:t>方案</w:t>
            </w:r>
            <w:r>
              <w:rPr>
                <w:rFonts w:hint="eastAsia" w:ascii="Times New Roman" w:hAnsi="Times New Roman" w:eastAsia="宋体" w:cs="Times New Roman"/>
                <w:b/>
                <w:bCs/>
                <w:color w:val="auto"/>
                <w:highlight w:val="none"/>
                <w:lang w:val="en-US" w:eastAsia="zh-CN"/>
              </w:rPr>
              <w:t>分</w:t>
            </w:r>
          </w:p>
        </w:tc>
        <w:tc>
          <w:tcPr>
            <w:tcW w:w="7038" w:type="dxa"/>
            <w:noWrap w:val="0"/>
            <w:vAlign w:val="top"/>
          </w:tcPr>
          <w:p w14:paraId="74FE5D3E">
            <w:pPr>
              <w:spacing w:line="360" w:lineRule="auto"/>
              <w:rPr>
                <w:rFonts w:hint="eastAsia" w:eastAsia="宋体"/>
                <w:b/>
                <w:bCs/>
                <w:color w:val="auto"/>
                <w:highlight w:val="none"/>
                <w:lang w:eastAsia="zh-CN"/>
              </w:rPr>
            </w:pPr>
            <w:r>
              <w:rPr>
                <w:rFonts w:hint="eastAsia"/>
                <w:b/>
                <w:bCs/>
                <w:color w:val="auto"/>
                <w:highlight w:val="none"/>
              </w:rPr>
              <w:t>供应商未提供确保安全生产的技术组织措施方案的不得分</w:t>
            </w:r>
            <w:r>
              <w:rPr>
                <w:rFonts w:hint="eastAsia"/>
                <w:b/>
                <w:bCs/>
                <w:color w:val="auto"/>
                <w:highlight w:val="none"/>
                <w:lang w:eastAsia="zh-CN"/>
              </w:rPr>
              <w:t>。</w:t>
            </w:r>
          </w:p>
          <w:p w14:paraId="6CC4232D">
            <w:pPr>
              <w:spacing w:line="360" w:lineRule="auto"/>
              <w:ind w:firstLine="420" w:firstLineChars="200"/>
              <w:rPr>
                <w:rFonts w:hint="eastAsia" w:eastAsia="宋体"/>
                <w:color w:val="auto"/>
                <w:highlight w:val="none"/>
                <w:lang w:eastAsia="zh-CN"/>
              </w:rPr>
            </w:pPr>
            <w:r>
              <w:rPr>
                <w:rFonts w:hint="eastAsia"/>
                <w:color w:val="auto"/>
                <w:highlight w:val="none"/>
              </w:rPr>
              <w:t>一档（</w:t>
            </w:r>
            <w:r>
              <w:rPr>
                <w:rFonts w:hint="eastAsia"/>
                <w:color w:val="auto"/>
                <w:highlight w:val="none"/>
                <w:lang w:val="en-US" w:eastAsia="zh-CN"/>
              </w:rPr>
              <w:t>5</w:t>
            </w:r>
            <w:r>
              <w:rPr>
                <w:rFonts w:hint="eastAsia"/>
                <w:color w:val="auto"/>
                <w:highlight w:val="none"/>
              </w:rPr>
              <w:t>分）：</w:t>
            </w:r>
            <w:r>
              <w:rPr>
                <w:rFonts w:hint="eastAsia" w:ascii="宋体" w:hAnsi="宋体" w:cs="宋体"/>
                <w:color w:val="auto"/>
                <w:szCs w:val="21"/>
                <w:highlight w:val="none"/>
              </w:rPr>
              <w:t>有专门的安全管理人员和制度，有各道工序安全技术措施</w:t>
            </w:r>
            <w:r>
              <w:rPr>
                <w:rFonts w:hint="eastAsia" w:ascii="宋体" w:hAnsi="宋体" w:cs="宋体"/>
                <w:color w:val="auto"/>
                <w:szCs w:val="21"/>
                <w:highlight w:val="none"/>
                <w:lang w:eastAsia="zh-CN"/>
              </w:rPr>
              <w:t>。</w:t>
            </w:r>
          </w:p>
          <w:p w14:paraId="50501558">
            <w:pPr>
              <w:spacing w:line="360" w:lineRule="auto"/>
              <w:ind w:firstLine="420" w:firstLineChars="200"/>
              <w:rPr>
                <w:rFonts w:hint="eastAsia" w:hAnsi="宋体"/>
                <w:bCs/>
                <w:color w:val="auto"/>
                <w:sz w:val="21"/>
                <w:highlight w:val="none"/>
              </w:rPr>
            </w:pPr>
            <w:r>
              <w:rPr>
                <w:rFonts w:hint="eastAsia"/>
                <w:color w:val="auto"/>
                <w:highlight w:val="none"/>
              </w:rPr>
              <w:t>二档（</w:t>
            </w:r>
            <w:r>
              <w:rPr>
                <w:rFonts w:hint="eastAsia"/>
                <w:color w:val="auto"/>
                <w:highlight w:val="none"/>
                <w:lang w:val="en-US" w:eastAsia="zh-CN"/>
              </w:rPr>
              <w:t>10</w:t>
            </w:r>
            <w:r>
              <w:rPr>
                <w:rFonts w:hint="eastAsia"/>
                <w:color w:val="auto"/>
                <w:highlight w:val="none"/>
              </w:rPr>
              <w:t>分）：</w:t>
            </w:r>
            <w:r>
              <w:rPr>
                <w:rFonts w:hint="eastAsia" w:ascii="宋体" w:hAnsi="宋体" w:cs="宋体"/>
                <w:color w:val="auto"/>
                <w:szCs w:val="21"/>
                <w:highlight w:val="none"/>
              </w:rPr>
              <w:t>有专门的安全管理人员和制度，有各道工序安全技术措施，确保</w:t>
            </w:r>
            <w:r>
              <w:rPr>
                <w:rFonts w:hint="eastAsia" w:hAnsi="宋体"/>
                <w:bCs/>
                <w:color w:val="auto"/>
                <w:sz w:val="21"/>
                <w:highlight w:val="none"/>
              </w:rPr>
              <w:t>工程质量的技术组织措施符合实际且满足有关安全技术标准要求。有现场防火、应急救援、社会治安安全措施。</w:t>
            </w:r>
          </w:p>
          <w:p w14:paraId="7766B562">
            <w:pPr>
              <w:spacing w:line="360" w:lineRule="auto"/>
              <w:ind w:firstLine="420" w:firstLineChars="200"/>
              <w:rPr>
                <w:rFonts w:hint="default" w:ascii="Times New Roman" w:hAnsi="Times New Roman" w:eastAsia="宋体" w:cs="Times New Roman"/>
                <w:color w:val="auto"/>
                <w:highlight w:val="none"/>
              </w:rPr>
            </w:pPr>
            <w:r>
              <w:rPr>
                <w:rFonts w:hint="eastAsia" w:hAnsi="宋体"/>
                <w:bCs/>
                <w:color w:val="auto"/>
                <w:sz w:val="21"/>
                <w:highlight w:val="none"/>
              </w:rPr>
              <w:t>三档（</w:t>
            </w:r>
            <w:r>
              <w:rPr>
                <w:rFonts w:hint="eastAsia" w:hAnsi="宋体"/>
                <w:bCs/>
                <w:color w:val="auto"/>
                <w:sz w:val="21"/>
                <w:highlight w:val="none"/>
                <w:lang w:val="en-US" w:eastAsia="zh-CN"/>
              </w:rPr>
              <w:t>15</w:t>
            </w:r>
            <w:r>
              <w:rPr>
                <w:rFonts w:hint="eastAsia" w:hAnsi="宋体"/>
                <w:bCs/>
                <w:color w:val="auto"/>
                <w:sz w:val="21"/>
                <w:highlight w:val="none"/>
              </w:rPr>
              <w:t>分）：有专门的安全管理人员和制度，各道工序安全技术措施</w:t>
            </w:r>
            <w:r>
              <w:rPr>
                <w:rFonts w:hint="eastAsia" w:hAnsi="宋体"/>
                <w:bCs/>
                <w:color w:val="auto"/>
                <w:sz w:val="21"/>
                <w:highlight w:val="none"/>
                <w:lang w:eastAsia="zh-CN"/>
              </w:rPr>
              <w:t>具有针对性</w:t>
            </w:r>
            <w:r>
              <w:rPr>
                <w:rFonts w:hint="eastAsia" w:hAnsi="宋体"/>
                <w:bCs/>
                <w:color w:val="auto"/>
                <w:sz w:val="21"/>
                <w:highlight w:val="none"/>
              </w:rPr>
              <w:t>，确保工程质量的技术组织措施</w:t>
            </w:r>
            <w:r>
              <w:rPr>
                <w:rFonts w:hint="eastAsia" w:hAnsi="宋体"/>
                <w:bCs/>
                <w:color w:val="auto"/>
                <w:sz w:val="21"/>
                <w:highlight w:val="none"/>
                <w:lang w:eastAsia="zh-CN"/>
              </w:rPr>
              <w:t>切</w:t>
            </w:r>
            <w:r>
              <w:rPr>
                <w:rFonts w:hint="eastAsia" w:hAnsi="宋体"/>
                <w:bCs/>
                <w:color w:val="auto"/>
                <w:sz w:val="21"/>
                <w:highlight w:val="none"/>
              </w:rPr>
              <w:t>合实际且</w:t>
            </w:r>
            <w:r>
              <w:rPr>
                <w:rFonts w:hint="eastAsia" w:hAnsi="宋体"/>
                <w:bCs/>
                <w:color w:val="auto"/>
                <w:sz w:val="21"/>
                <w:highlight w:val="none"/>
                <w:lang w:eastAsia="zh-CN"/>
              </w:rPr>
              <w:t>优于</w:t>
            </w:r>
            <w:r>
              <w:rPr>
                <w:rFonts w:hint="eastAsia" w:hAnsi="宋体"/>
                <w:bCs/>
                <w:color w:val="auto"/>
                <w:sz w:val="21"/>
                <w:highlight w:val="none"/>
              </w:rPr>
              <w:t>有关安全技术标准要求。有现场防火、应急救援、社会治安安全措施</w:t>
            </w:r>
            <w:r>
              <w:rPr>
                <w:rFonts w:hint="eastAsia" w:hAnsi="宋体"/>
                <w:bCs/>
                <w:color w:val="auto"/>
                <w:sz w:val="21"/>
                <w:highlight w:val="none"/>
                <w:lang w:val="en-US" w:eastAsia="zh-CN"/>
              </w:rPr>
              <w:t>及</w:t>
            </w:r>
            <w:r>
              <w:rPr>
                <w:rFonts w:hint="eastAsia" w:hAnsi="宋体"/>
                <w:bCs/>
                <w:color w:val="auto"/>
                <w:sz w:val="21"/>
                <w:highlight w:val="none"/>
              </w:rPr>
              <w:t>安全生产责任、安全生产教育培训制度、施工现场临时用电方案及安全用电措施、安全管理目标。</w:t>
            </w:r>
          </w:p>
        </w:tc>
        <w:tc>
          <w:tcPr>
            <w:tcW w:w="794" w:type="dxa"/>
            <w:noWrap w:val="0"/>
            <w:vAlign w:val="center"/>
          </w:tcPr>
          <w:p w14:paraId="4E300959">
            <w:pPr>
              <w:spacing w:line="360" w:lineRule="auto"/>
              <w:jc w:val="center"/>
              <w:rPr>
                <w:rFonts w:hint="default" w:ascii="Times New Roman" w:hAnsi="Times New Roman" w:eastAsia="宋体" w:cs="Times New Roman"/>
                <w:bCs/>
                <w:color w:val="auto"/>
                <w:szCs w:val="21"/>
                <w:highlight w:val="none"/>
                <w:lang w:eastAsia="zh-CN"/>
              </w:rPr>
            </w:pPr>
            <w:r>
              <w:rPr>
                <w:rFonts w:hint="eastAsia" w:cs="Times New Roman"/>
                <w:bCs/>
                <w:color w:val="auto"/>
                <w:szCs w:val="21"/>
                <w:highlight w:val="none"/>
                <w:lang w:val="en-US" w:eastAsia="zh-CN"/>
              </w:rPr>
              <w:t>15</w:t>
            </w:r>
            <w:r>
              <w:rPr>
                <w:rFonts w:hint="default" w:ascii="Times New Roman" w:hAnsi="Times New Roman" w:eastAsia="宋体" w:cs="Times New Roman"/>
                <w:bCs/>
                <w:color w:val="auto"/>
                <w:szCs w:val="21"/>
                <w:highlight w:val="none"/>
                <w:lang w:eastAsia="zh-CN"/>
              </w:rPr>
              <w:t>分</w:t>
            </w:r>
          </w:p>
        </w:tc>
      </w:tr>
      <w:tr w14:paraId="7EC7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noWrap w:val="0"/>
            <w:vAlign w:val="center"/>
          </w:tcPr>
          <w:p w14:paraId="15B9B25B">
            <w:pPr>
              <w:spacing w:line="360" w:lineRule="auto"/>
              <w:jc w:val="center"/>
              <w:rPr>
                <w:rFonts w:hint="eastAsia"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Cs/>
                <w:color w:val="auto"/>
                <w:szCs w:val="21"/>
                <w:highlight w:val="none"/>
                <w:lang w:val="en-US" w:eastAsia="zh-CN"/>
              </w:rPr>
              <w:t>6</w:t>
            </w:r>
          </w:p>
        </w:tc>
        <w:tc>
          <w:tcPr>
            <w:tcW w:w="1108" w:type="dxa"/>
            <w:noWrap w:val="0"/>
            <w:vAlign w:val="center"/>
          </w:tcPr>
          <w:p w14:paraId="72078988">
            <w:pPr>
              <w:spacing w:line="360" w:lineRule="auto"/>
              <w:jc w:val="center"/>
              <w:rPr>
                <w:rFonts w:hint="default" w:ascii="Times New Roman" w:hAnsi="Times New Roman" w:eastAsia="宋体" w:cs="Times New Roman"/>
                <w:bCs/>
                <w:color w:val="auto"/>
                <w:szCs w:val="21"/>
                <w:highlight w:val="none"/>
              </w:rPr>
            </w:pPr>
            <w:r>
              <w:rPr>
                <w:rFonts w:hint="eastAsia"/>
                <w:b/>
                <w:bCs/>
                <w:color w:val="auto"/>
                <w:highlight w:val="none"/>
              </w:rPr>
              <w:t>确保工期的技术组织措施</w:t>
            </w:r>
            <w:r>
              <w:rPr>
                <w:rFonts w:hint="eastAsia"/>
                <w:b/>
                <w:bCs/>
                <w:color w:val="auto"/>
                <w:highlight w:val="none"/>
                <w:lang w:eastAsia="zh-CN"/>
              </w:rPr>
              <w:t>方案</w:t>
            </w:r>
            <w:r>
              <w:rPr>
                <w:rFonts w:hint="eastAsia" w:ascii="Times New Roman" w:hAnsi="Times New Roman" w:eastAsia="宋体" w:cs="Times New Roman"/>
                <w:b/>
                <w:bCs/>
                <w:color w:val="auto"/>
                <w:highlight w:val="none"/>
                <w:lang w:val="en-US" w:eastAsia="zh-CN"/>
              </w:rPr>
              <w:t>分</w:t>
            </w:r>
          </w:p>
        </w:tc>
        <w:tc>
          <w:tcPr>
            <w:tcW w:w="7038" w:type="dxa"/>
            <w:noWrap w:val="0"/>
            <w:vAlign w:val="top"/>
          </w:tcPr>
          <w:p w14:paraId="77A58229">
            <w:pPr>
              <w:spacing w:line="360" w:lineRule="auto"/>
              <w:rPr>
                <w:rFonts w:hint="eastAsia" w:eastAsia="宋体"/>
                <w:b/>
                <w:bCs/>
                <w:color w:val="auto"/>
                <w:highlight w:val="none"/>
                <w:lang w:eastAsia="zh-CN"/>
              </w:rPr>
            </w:pPr>
            <w:r>
              <w:rPr>
                <w:rFonts w:hint="eastAsia" w:eastAsia="宋体"/>
                <w:b/>
                <w:bCs/>
                <w:color w:val="auto"/>
                <w:highlight w:val="none"/>
                <w:lang w:eastAsia="zh-CN"/>
              </w:rPr>
              <w:t>供应商未提供确保工期的技术组织措施方案的不得分</w:t>
            </w:r>
            <w:r>
              <w:rPr>
                <w:rFonts w:hint="eastAsia"/>
                <w:b/>
                <w:bCs/>
                <w:color w:val="auto"/>
                <w:highlight w:val="none"/>
                <w:lang w:eastAsia="zh-CN"/>
              </w:rPr>
              <w:t>。</w:t>
            </w:r>
          </w:p>
          <w:p w14:paraId="2662E679">
            <w:pPr>
              <w:spacing w:line="360" w:lineRule="auto"/>
              <w:ind w:firstLine="420" w:firstLineChars="200"/>
              <w:rPr>
                <w:rFonts w:hint="eastAsia" w:eastAsia="宋体"/>
                <w:color w:val="auto"/>
                <w:highlight w:val="none"/>
                <w:lang w:eastAsia="zh-CN"/>
              </w:rPr>
            </w:pPr>
            <w:r>
              <w:rPr>
                <w:rFonts w:hint="eastAsia" w:eastAsia="宋体"/>
                <w:color w:val="auto"/>
                <w:highlight w:val="none"/>
                <w:lang w:eastAsia="zh-CN"/>
              </w:rPr>
              <w:t>一档（</w:t>
            </w:r>
            <w:r>
              <w:rPr>
                <w:rFonts w:hint="eastAsia"/>
                <w:color w:val="auto"/>
                <w:highlight w:val="none"/>
                <w:lang w:val="en-US" w:eastAsia="zh-CN"/>
              </w:rPr>
              <w:t>5</w:t>
            </w:r>
            <w:r>
              <w:rPr>
                <w:rFonts w:hint="eastAsia" w:eastAsia="宋体"/>
                <w:color w:val="auto"/>
                <w:highlight w:val="none"/>
                <w:lang w:eastAsia="zh-CN"/>
              </w:rPr>
              <w:t>分）：在施工工艺、施工方法、材料选用、劳动力安排、技术方面有保证工期的措施。有控制工期的施工进度计划。</w:t>
            </w:r>
          </w:p>
          <w:p w14:paraId="33B830CE">
            <w:pPr>
              <w:spacing w:line="360" w:lineRule="auto"/>
              <w:ind w:firstLine="420" w:firstLineChars="200"/>
              <w:rPr>
                <w:rFonts w:hint="eastAsia" w:eastAsia="宋体"/>
                <w:color w:val="auto"/>
                <w:highlight w:val="none"/>
                <w:lang w:eastAsia="zh-CN"/>
              </w:rPr>
            </w:pPr>
            <w:r>
              <w:rPr>
                <w:rFonts w:hint="eastAsia" w:eastAsia="宋体"/>
                <w:color w:val="auto"/>
                <w:highlight w:val="none"/>
                <w:lang w:eastAsia="zh-CN"/>
              </w:rPr>
              <w:t>二档（</w:t>
            </w:r>
            <w:r>
              <w:rPr>
                <w:rFonts w:hint="eastAsia"/>
                <w:color w:val="auto"/>
                <w:highlight w:val="none"/>
                <w:lang w:val="en-US" w:eastAsia="zh-CN"/>
              </w:rPr>
              <w:t>10</w:t>
            </w:r>
            <w:r>
              <w:rPr>
                <w:rFonts w:hint="eastAsia" w:eastAsia="宋体"/>
                <w:color w:val="auto"/>
                <w:highlight w:val="none"/>
                <w:lang w:eastAsia="zh-CN"/>
              </w:rPr>
              <w:t>分）：在施工工艺、施工方法、材料选用、劳动力安排、技术方面有保证工期的措施。有控制工期的施工进度计划。有施工总进度表或施工网络图。</w:t>
            </w:r>
          </w:p>
          <w:p w14:paraId="1A1DCB8A">
            <w:pPr>
              <w:spacing w:line="360" w:lineRule="auto"/>
              <w:ind w:firstLine="420" w:firstLineChars="200"/>
              <w:rPr>
                <w:rFonts w:hint="default" w:ascii="Times New Roman" w:hAnsi="Times New Roman" w:eastAsia="宋体" w:cs="Times New Roman"/>
                <w:color w:val="auto"/>
                <w:highlight w:val="none"/>
              </w:rPr>
            </w:pPr>
            <w:r>
              <w:rPr>
                <w:rFonts w:hint="eastAsia" w:eastAsia="宋体"/>
                <w:color w:val="auto"/>
                <w:highlight w:val="none"/>
                <w:lang w:eastAsia="zh-CN"/>
              </w:rPr>
              <w:t>三档（</w:t>
            </w:r>
            <w:r>
              <w:rPr>
                <w:rFonts w:hint="eastAsia"/>
                <w:color w:val="auto"/>
                <w:highlight w:val="none"/>
                <w:lang w:val="en-US" w:eastAsia="zh-CN"/>
              </w:rPr>
              <w:t>15</w:t>
            </w:r>
            <w:r>
              <w:rPr>
                <w:rFonts w:hint="eastAsia" w:eastAsia="宋体"/>
                <w:color w:val="auto"/>
                <w:highlight w:val="none"/>
                <w:lang w:eastAsia="zh-CN"/>
              </w:rPr>
              <w:t>分）：在施工工艺、施工方法、材料选用、劳动力安排、技术方面有保证工期的措施切实符合项目需求，具有针对性。有控制工期的施工进度计划，施工进度计划的执行与控制，进度偏差管理措施。有施工总进度表或施工网络图，</w:t>
            </w:r>
            <w:r>
              <w:rPr>
                <w:rFonts w:hint="eastAsia" w:eastAsia="宋体"/>
                <w:color w:val="auto"/>
                <w:highlight w:val="none"/>
                <w:lang w:val="en-US" w:eastAsia="zh-CN"/>
              </w:rPr>
              <w:t>具有</w:t>
            </w:r>
            <w:r>
              <w:rPr>
                <w:rFonts w:hint="eastAsia" w:eastAsia="宋体"/>
                <w:color w:val="auto"/>
                <w:highlight w:val="none"/>
                <w:lang w:eastAsia="zh-CN"/>
              </w:rPr>
              <w:t>各项计划图表。</w:t>
            </w:r>
          </w:p>
        </w:tc>
        <w:tc>
          <w:tcPr>
            <w:tcW w:w="794" w:type="dxa"/>
            <w:noWrap w:val="0"/>
            <w:vAlign w:val="center"/>
          </w:tcPr>
          <w:p w14:paraId="785BDC3E">
            <w:pPr>
              <w:spacing w:line="360" w:lineRule="auto"/>
              <w:jc w:val="center"/>
              <w:rPr>
                <w:rFonts w:hint="default" w:ascii="Times New Roman" w:hAnsi="Times New Roman" w:eastAsia="宋体" w:cs="Times New Roman"/>
                <w:bCs/>
                <w:color w:val="auto"/>
                <w:szCs w:val="21"/>
                <w:highlight w:val="none"/>
                <w:lang w:eastAsia="zh-CN"/>
              </w:rPr>
            </w:pPr>
            <w:r>
              <w:rPr>
                <w:rFonts w:hint="eastAsia" w:cs="Times New Roman"/>
                <w:bCs/>
                <w:color w:val="auto"/>
                <w:szCs w:val="21"/>
                <w:highlight w:val="none"/>
                <w:lang w:val="en-US" w:eastAsia="zh-CN"/>
              </w:rPr>
              <w:t>15</w:t>
            </w:r>
            <w:r>
              <w:rPr>
                <w:rFonts w:hint="default" w:ascii="Times New Roman" w:hAnsi="Times New Roman" w:eastAsia="宋体" w:cs="Times New Roman"/>
                <w:bCs/>
                <w:color w:val="auto"/>
                <w:szCs w:val="21"/>
                <w:highlight w:val="none"/>
                <w:lang w:eastAsia="zh-CN"/>
              </w:rPr>
              <w:t>分</w:t>
            </w:r>
          </w:p>
        </w:tc>
      </w:tr>
      <w:tr w14:paraId="5AA23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9" w:type="dxa"/>
            <w:noWrap w:val="0"/>
            <w:vAlign w:val="center"/>
          </w:tcPr>
          <w:p w14:paraId="4A961FA0">
            <w:pPr>
              <w:spacing w:line="360" w:lineRule="auto"/>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7</w:t>
            </w:r>
          </w:p>
        </w:tc>
        <w:tc>
          <w:tcPr>
            <w:tcW w:w="1108" w:type="dxa"/>
            <w:shd w:val="clear" w:color="auto" w:fill="auto"/>
            <w:noWrap w:val="0"/>
            <w:vAlign w:val="center"/>
          </w:tcPr>
          <w:p w14:paraId="496DBE0E">
            <w:pPr>
              <w:spacing w:line="36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
                <w:bCs w:val="0"/>
                <w:color w:val="auto"/>
                <w:szCs w:val="21"/>
                <w:highlight w:val="none"/>
                <w:lang w:val="en-US" w:eastAsia="zh-CN"/>
              </w:rPr>
              <w:t>业绩分</w:t>
            </w:r>
          </w:p>
        </w:tc>
        <w:tc>
          <w:tcPr>
            <w:tcW w:w="7038" w:type="dxa"/>
            <w:shd w:val="clear" w:color="auto" w:fill="auto"/>
            <w:noWrap w:val="0"/>
            <w:vAlign w:val="center"/>
          </w:tcPr>
          <w:p w14:paraId="747F19E2">
            <w:pPr>
              <w:spacing w:line="360" w:lineRule="auto"/>
              <w:ind w:firstLine="420" w:firstLineChars="200"/>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highlight w:val="none"/>
                <w:lang w:eastAsia="zh-CN"/>
              </w:rPr>
              <w:t>20</w:t>
            </w:r>
            <w:r>
              <w:rPr>
                <w:rFonts w:hint="eastAsia" w:ascii="Times New Roman" w:hAnsi="Times New Roman" w:eastAsia="宋体" w:cs="Times New Roman"/>
                <w:color w:val="auto"/>
                <w:highlight w:val="none"/>
                <w:lang w:val="en-US" w:eastAsia="zh-CN"/>
              </w:rPr>
              <w:t>2</w:t>
            </w:r>
            <w:r>
              <w:rPr>
                <w:rFonts w:hint="eastAsia" w:cs="Times New Roman"/>
                <w:color w:val="auto"/>
                <w:highlight w:val="none"/>
                <w:lang w:val="en-US" w:eastAsia="zh-CN"/>
              </w:rPr>
              <w:t>3</w:t>
            </w:r>
            <w:r>
              <w:rPr>
                <w:rFonts w:hint="eastAsia" w:ascii="Times New Roman" w:hAnsi="Times New Roman" w:eastAsia="宋体" w:cs="Times New Roman"/>
                <w:color w:val="auto"/>
                <w:highlight w:val="none"/>
                <w:lang w:eastAsia="zh-CN"/>
              </w:rPr>
              <w:t>年1月1日至首次响应文件提交截止时间止，供应商</w:t>
            </w:r>
            <w:r>
              <w:rPr>
                <w:rFonts w:hint="eastAsia" w:ascii="Times New Roman" w:hAnsi="Times New Roman" w:eastAsia="宋体" w:cs="Times New Roman"/>
                <w:color w:val="auto"/>
                <w:highlight w:val="none"/>
                <w:lang w:val="en-US" w:eastAsia="zh-CN"/>
              </w:rPr>
              <w:t>承接</w:t>
            </w:r>
            <w:r>
              <w:rPr>
                <w:rFonts w:hint="eastAsia" w:ascii="Times New Roman" w:hAnsi="Times New Roman" w:eastAsia="宋体" w:cs="Times New Roman"/>
                <w:color w:val="auto"/>
                <w:highlight w:val="none"/>
                <w:lang w:eastAsia="zh-CN"/>
              </w:rPr>
              <w:t>过</w:t>
            </w:r>
            <w:r>
              <w:rPr>
                <w:rFonts w:hint="eastAsia" w:ascii="Times New Roman" w:hAnsi="Times New Roman" w:eastAsia="宋体" w:cs="Times New Roman"/>
                <w:color w:val="auto"/>
                <w:highlight w:val="none"/>
                <w:lang w:val="en-US" w:eastAsia="zh-CN"/>
              </w:rPr>
              <w:t>与本项目采购内容相关的</w:t>
            </w:r>
            <w:r>
              <w:rPr>
                <w:rFonts w:hint="eastAsia" w:ascii="Times New Roman" w:hAnsi="Times New Roman" w:eastAsia="宋体" w:cs="Times New Roman"/>
                <w:color w:val="auto"/>
                <w:highlight w:val="none"/>
                <w:lang w:eastAsia="zh-CN"/>
              </w:rPr>
              <w:t>项目业绩的，每项得</w:t>
            </w:r>
            <w:r>
              <w:rPr>
                <w:rFonts w:hint="eastAsia" w:ascii="Times New Roman" w:hAnsi="Times New Roman" w:eastAsia="宋体" w:cs="Times New Roman"/>
                <w:color w:val="auto"/>
                <w:highlight w:val="none"/>
                <w:lang w:val="en-US" w:eastAsia="zh-CN"/>
              </w:rPr>
              <w:t>1</w:t>
            </w:r>
            <w:r>
              <w:rPr>
                <w:rFonts w:hint="eastAsia" w:ascii="Times New Roman" w:hAnsi="Times New Roman" w:eastAsia="宋体" w:cs="Times New Roman"/>
                <w:color w:val="auto"/>
                <w:highlight w:val="none"/>
                <w:lang w:eastAsia="zh-CN"/>
              </w:rPr>
              <w:t>分，满分</w:t>
            </w:r>
            <w:r>
              <w:rPr>
                <w:rFonts w:hint="eastAsia" w:ascii="Times New Roman" w:hAnsi="Times New Roman" w:eastAsia="宋体" w:cs="Times New Roman"/>
                <w:color w:val="auto"/>
                <w:highlight w:val="none"/>
                <w:lang w:val="en-US" w:eastAsia="zh-CN"/>
              </w:rPr>
              <w:t>5</w:t>
            </w:r>
            <w:r>
              <w:rPr>
                <w:rFonts w:hint="eastAsia" w:ascii="Times New Roman" w:hAnsi="Times New Roman" w:eastAsia="宋体" w:cs="Times New Roman"/>
                <w:color w:val="auto"/>
                <w:highlight w:val="none"/>
                <w:lang w:eastAsia="zh-CN"/>
              </w:rPr>
              <w:t>分。【</w:t>
            </w:r>
            <w:r>
              <w:rPr>
                <w:rFonts w:hint="eastAsia" w:cs="Times New Roman"/>
                <w:color w:val="auto"/>
                <w:highlight w:val="none"/>
                <w:lang w:val="en-US" w:eastAsia="zh-CN"/>
              </w:rPr>
              <w:t>须</w:t>
            </w:r>
            <w:r>
              <w:rPr>
                <w:rFonts w:hint="eastAsia" w:ascii="Times New Roman" w:hAnsi="Times New Roman" w:eastAsia="宋体" w:cs="Times New Roman"/>
                <w:color w:val="auto"/>
                <w:highlight w:val="none"/>
                <w:lang w:eastAsia="zh-CN"/>
              </w:rPr>
              <w:t>在响应文件中提供合同或者中标（成交）通知书扫描件】</w:t>
            </w:r>
          </w:p>
        </w:tc>
        <w:tc>
          <w:tcPr>
            <w:tcW w:w="794" w:type="dxa"/>
            <w:shd w:val="clear" w:color="auto" w:fill="auto"/>
            <w:noWrap w:val="0"/>
            <w:vAlign w:val="center"/>
          </w:tcPr>
          <w:p w14:paraId="3BFB69FF">
            <w:pPr>
              <w:spacing w:line="36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eastAsia" w:ascii="Times New Roman" w:hAnsi="Times New Roman" w:eastAsia="宋体" w:cs="Times New Roman"/>
                <w:bCs/>
                <w:color w:val="auto"/>
                <w:szCs w:val="21"/>
                <w:highlight w:val="none"/>
                <w:lang w:val="en-US" w:eastAsia="zh-CN"/>
              </w:rPr>
              <w:t>5</w:t>
            </w:r>
            <w:r>
              <w:rPr>
                <w:rFonts w:hint="default" w:ascii="Times New Roman" w:hAnsi="Times New Roman" w:eastAsia="宋体" w:cs="Times New Roman"/>
                <w:bCs/>
                <w:color w:val="auto"/>
                <w:szCs w:val="21"/>
                <w:highlight w:val="none"/>
                <w:lang w:eastAsia="zh-CN"/>
              </w:rPr>
              <w:t>分</w:t>
            </w:r>
          </w:p>
        </w:tc>
      </w:tr>
      <w:tr w14:paraId="0EA3B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9599" w:type="dxa"/>
            <w:gridSpan w:val="4"/>
            <w:noWrap w:val="0"/>
            <w:vAlign w:val="center"/>
          </w:tcPr>
          <w:p w14:paraId="4CE1A347">
            <w:pPr>
              <w:spacing w:line="360" w:lineRule="auto"/>
              <w:jc w:val="left"/>
              <w:rPr>
                <w:rFonts w:hint="default" w:ascii="Times New Roman" w:hAnsi="Times New Roman" w:eastAsia="宋体" w:cs="Times New Roman"/>
                <w:bCs/>
                <w:color w:val="auto"/>
                <w:szCs w:val="21"/>
                <w:highlight w:val="none"/>
                <w:lang w:val="en-US" w:eastAsia="zh-CN"/>
              </w:rPr>
            </w:pPr>
            <w:r>
              <w:rPr>
                <w:rFonts w:hint="eastAsia" w:ascii="Times New Roman" w:hAnsi="Times New Roman" w:eastAsia="宋体" w:cs="Times New Roman"/>
                <w:b/>
                <w:bCs w:val="0"/>
                <w:color w:val="auto"/>
                <w:szCs w:val="21"/>
                <w:highlight w:val="none"/>
                <w:lang w:val="en-US" w:eastAsia="zh-CN"/>
              </w:rPr>
              <w:t>合计=1+2+3+4+5+6+7</w:t>
            </w:r>
          </w:p>
        </w:tc>
      </w:tr>
    </w:tbl>
    <w:p w14:paraId="38E728CE">
      <w:pPr>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三、推荐成交候选供应商原则</w:t>
      </w:r>
    </w:p>
    <w:p w14:paraId="1935286D">
      <w:pPr>
        <w:pStyle w:val="80"/>
        <w:widowControl/>
        <w:ind w:firstLine="480"/>
        <w:rPr>
          <w:rFonts w:hint="eastAsia" w:ascii="宋体" w:hAnsi="宋体"/>
          <w:color w:val="auto"/>
          <w:sz w:val="24"/>
          <w:highlight w:val="none"/>
        </w:rPr>
      </w:pPr>
      <w:r>
        <w:rPr>
          <w:rFonts w:hint="eastAsia" w:ascii="宋体" w:hAnsi="宋体"/>
          <w:color w:val="auto"/>
          <w:sz w:val="24"/>
          <w:highlight w:val="none"/>
        </w:rPr>
        <w:t>磋商小组将根据得分由高到低排列次序（得分相同时，以评标价低优先；评标价相同时，依次以最终报价最低优先；最终报价相同时，以技术、商务综合指标优劣顺序排列）并推荐成交候选供应商。采购人应当确定评审委员会推荐排名第一的成交候选人为成交供应商。排名第一的成交候选人放弃成交、因不可抗力提出不能履行合同，采购人可以按照评审报告推荐的成交候选人名单排序，依法确定下一候选人为成交供应商，也可以重新开展采购活动。</w:t>
      </w:r>
    </w:p>
    <w:sectPr>
      <w:footerReference r:id="rId7" w:type="default"/>
      <w:pgSz w:w="11906" w:h="16838"/>
      <w:pgMar w:top="1247" w:right="1247" w:bottom="891" w:left="1247"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方正小标宋简体">
    <w:altName w:val="黑体"/>
    <w:panose1 w:val="02000000000000000000"/>
    <w:charset w:val="86"/>
    <w:family w:val="script"/>
    <w:pitch w:val="default"/>
    <w:sig w:usb0="00000000" w:usb1="00000000" w:usb2="00000000" w:usb3="00000000" w:csb0="00040000"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KSOFE44F9426">
    <w:panose1 w:val="02010609060101010101"/>
    <w:charset w:val="86"/>
    <w:family w:val="auto"/>
    <w:pitch w:val="default"/>
    <w:sig w:usb0="00000001" w:usb1="00000000" w:usb2="00000000" w:usb3="00000000" w:csb0="00040001" w:csb1="00000000"/>
  </w:font>
  <w:font w:name="KSOF45024875">
    <w:panose1 w:val="02020500000000000000"/>
    <w:charset w:val="88"/>
    <w:family w:val="auto"/>
    <w:pitch w:val="default"/>
    <w:sig w:usb0="00000001" w:usb1="00000000" w:usb2="00000000" w:usb3="00000000" w:csb0="0010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F13B1">
    <w:pPr>
      <w:pStyle w:val="30"/>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98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118</w:t>
    </w:r>
    <w:r>
      <w:rPr>
        <w:rFonts w:hint="eastAsia" w:ascii="仿宋_GB2312" w:eastAsia="仿宋_GB2312"/>
        <w:kern w:val="0"/>
      </w:rPr>
      <w:fldChar w:fldCharType="end"/>
    </w:r>
    <w:r>
      <w:rPr>
        <w:rFonts w:hint="eastAsia" w:ascii="仿宋_GB2312" w:eastAsia="仿宋_GB2312"/>
        <w:kern w:val="0"/>
      </w:rPr>
      <w:t xml:space="preserve"> 页</w:t>
    </w:r>
  </w:p>
  <w:p w14:paraId="6AF89C0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5BB47">
    <w:pPr>
      <w:pStyle w:val="30"/>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2E70F">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A12E70F">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6117E9F6">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00D92">
    <w:pPr>
      <w:pStyle w:val="30"/>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51D0FB">
                          <w:pPr>
                            <w:pStyle w:val="30"/>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051D0FB">
                    <w:pPr>
                      <w:pStyle w:val="30"/>
                    </w:pPr>
                    <w:r>
                      <w:fldChar w:fldCharType="begin"/>
                    </w:r>
                    <w:r>
                      <w:instrText xml:space="preserve"> PAGE  \* MERGEFORMAT </w:instrText>
                    </w:r>
                    <w:r>
                      <w:fldChar w:fldCharType="separate"/>
                    </w:r>
                    <w:r>
                      <w:t>2</w:t>
                    </w:r>
                    <w:r>
                      <w:fldChar w:fldCharType="end"/>
                    </w:r>
                  </w:p>
                </w:txbxContent>
              </v:textbox>
            </v:shape>
          </w:pict>
        </mc:Fallback>
      </mc:AlternateContent>
    </w:r>
  </w:p>
  <w:p w14:paraId="294CFAB9">
    <w:pPr>
      <w:pStyle w:val="3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B66DB">
    <w:pPr>
      <w:pStyle w:val="30"/>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673569">
                          <w:pPr>
                            <w:pStyle w:val="30"/>
                          </w:pPr>
                          <w:r>
                            <w:fldChar w:fldCharType="begin"/>
                          </w:r>
                          <w:r>
                            <w:instrText xml:space="preserve"> PAGE  \* MERGEFORMAT </w:instrText>
                          </w:r>
                          <w:r>
                            <w:fldChar w:fldCharType="separate"/>
                          </w:r>
                          <w:r>
                            <w:t>106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673569">
                    <w:pPr>
                      <w:pStyle w:val="30"/>
                    </w:pPr>
                    <w:r>
                      <w:fldChar w:fldCharType="begin"/>
                    </w:r>
                    <w:r>
                      <w:instrText xml:space="preserve"> PAGE  \* MERGEFORMAT </w:instrText>
                    </w:r>
                    <w:r>
                      <w:fldChar w:fldCharType="separate"/>
                    </w:r>
                    <w:r>
                      <w:t>106</w:t>
                    </w:r>
                    <w:r>
                      <w:fldChar w:fldCharType="end"/>
                    </w:r>
                  </w:p>
                </w:txbxContent>
              </v:textbox>
            </v:shape>
          </w:pict>
        </mc:Fallback>
      </mc:AlternateContent>
    </w:r>
  </w:p>
  <w:p w14:paraId="2C5715E9">
    <w:pPr>
      <w:pStyle w:val="3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5BCBE">
    <w:pPr>
      <w:pStyle w:val="31"/>
      <w:jc w:val="right"/>
    </w:pPr>
    <w:r>
      <w:rPr>
        <w:rFonts w:hint="eastAsia"/>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E66586"/>
    <w:multiLevelType w:val="singleLevel"/>
    <w:tmpl w:val="C0E66586"/>
    <w:lvl w:ilvl="0" w:tentative="0">
      <w:start w:val="1"/>
      <w:numFmt w:val="bullet"/>
      <w:pStyle w:val="23"/>
      <w:lvlText w:val=""/>
      <w:lvlJc w:val="left"/>
      <w:pPr>
        <w:tabs>
          <w:tab w:val="left" w:pos="780"/>
        </w:tabs>
        <w:ind w:left="780" w:hanging="360"/>
      </w:pPr>
      <w:rPr>
        <w:rFonts w:hint="default" w:ascii="Wingdings" w:hAnsi="Wingdings"/>
      </w:rPr>
    </w:lvl>
  </w:abstractNum>
  <w:abstractNum w:abstractNumId="1">
    <w:nsid w:val="00003F82"/>
    <w:multiLevelType w:val="multilevel"/>
    <w:tmpl w:val="00003F82"/>
    <w:lvl w:ilvl="0" w:tentative="0">
      <w:start w:val="1"/>
      <w:numFmt w:val="decimal"/>
      <w:pStyle w:val="2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8"/>
      <w:lvlText w:val="%5)"/>
      <w:lvlJc w:val="left"/>
      <w:pPr>
        <w:tabs>
          <w:tab w:val="left" w:pos="2100"/>
        </w:tabs>
        <w:ind w:left="2100" w:hanging="420"/>
      </w:pPr>
    </w:lvl>
    <w:lvl w:ilvl="5" w:tentative="0">
      <w:start w:val="1"/>
      <w:numFmt w:val="lowerRoman"/>
      <w:pStyle w:val="10"/>
      <w:lvlText w:val="%6."/>
      <w:lvlJc w:val="right"/>
      <w:pPr>
        <w:tabs>
          <w:tab w:val="left" w:pos="2520"/>
        </w:tabs>
        <w:ind w:left="2520" w:hanging="420"/>
      </w:pPr>
    </w:lvl>
    <w:lvl w:ilvl="6" w:tentative="0">
      <w:start w:val="1"/>
      <w:numFmt w:val="decimal"/>
      <w:pStyle w:val="11"/>
      <w:lvlText w:val="%7."/>
      <w:lvlJc w:val="left"/>
      <w:pPr>
        <w:tabs>
          <w:tab w:val="left" w:pos="2940"/>
        </w:tabs>
        <w:ind w:left="2940" w:hanging="420"/>
      </w:pPr>
    </w:lvl>
    <w:lvl w:ilvl="7" w:tentative="0">
      <w:start w:val="1"/>
      <w:numFmt w:val="lowerLetter"/>
      <w:pStyle w:val="12"/>
      <w:lvlText w:val="%8)"/>
      <w:lvlJc w:val="left"/>
      <w:pPr>
        <w:tabs>
          <w:tab w:val="left" w:pos="3360"/>
        </w:tabs>
        <w:ind w:left="3360" w:hanging="420"/>
      </w:pPr>
    </w:lvl>
    <w:lvl w:ilvl="8" w:tentative="0">
      <w:start w:val="1"/>
      <w:numFmt w:val="lowerRoman"/>
      <w:pStyle w:val="13"/>
      <w:lvlText w:val="%9."/>
      <w:lvlJc w:val="right"/>
      <w:pPr>
        <w:tabs>
          <w:tab w:val="left" w:pos="3780"/>
        </w:tabs>
        <w:ind w:left="3780" w:hanging="420"/>
      </w:pPr>
    </w:lvl>
  </w:abstractNum>
  <w:abstractNum w:abstractNumId="2">
    <w:nsid w:val="4D844C20"/>
    <w:multiLevelType w:val="singleLevel"/>
    <w:tmpl w:val="4D844C20"/>
    <w:lvl w:ilvl="0" w:tentative="0">
      <w:start w:val="10"/>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YjdmYTVhNWFiMjE1Y2E1NDNlZTdhNDMzMjk2M2EifQ=="/>
  </w:docVars>
  <w:rsids>
    <w:rsidRoot w:val="00172A27"/>
    <w:rsid w:val="000001E7"/>
    <w:rsid w:val="00000366"/>
    <w:rsid w:val="0000048D"/>
    <w:rsid w:val="00000716"/>
    <w:rsid w:val="00000A97"/>
    <w:rsid w:val="00000FE5"/>
    <w:rsid w:val="000010F5"/>
    <w:rsid w:val="000013BB"/>
    <w:rsid w:val="0000160B"/>
    <w:rsid w:val="0000181F"/>
    <w:rsid w:val="00002027"/>
    <w:rsid w:val="000026A8"/>
    <w:rsid w:val="0000279E"/>
    <w:rsid w:val="000027A3"/>
    <w:rsid w:val="00002A66"/>
    <w:rsid w:val="00002D43"/>
    <w:rsid w:val="00002DD8"/>
    <w:rsid w:val="00003301"/>
    <w:rsid w:val="000033B4"/>
    <w:rsid w:val="00003461"/>
    <w:rsid w:val="00003C25"/>
    <w:rsid w:val="00003DEE"/>
    <w:rsid w:val="0000402D"/>
    <w:rsid w:val="000043B1"/>
    <w:rsid w:val="00004632"/>
    <w:rsid w:val="0000477D"/>
    <w:rsid w:val="00004A06"/>
    <w:rsid w:val="000052CE"/>
    <w:rsid w:val="00005C76"/>
    <w:rsid w:val="00005E2B"/>
    <w:rsid w:val="00006003"/>
    <w:rsid w:val="000060BC"/>
    <w:rsid w:val="0000620D"/>
    <w:rsid w:val="0000726F"/>
    <w:rsid w:val="000075CD"/>
    <w:rsid w:val="00007683"/>
    <w:rsid w:val="00007872"/>
    <w:rsid w:val="00007A85"/>
    <w:rsid w:val="00007EEE"/>
    <w:rsid w:val="000103E1"/>
    <w:rsid w:val="00010544"/>
    <w:rsid w:val="000106AE"/>
    <w:rsid w:val="00010EB8"/>
    <w:rsid w:val="000121F1"/>
    <w:rsid w:val="00013234"/>
    <w:rsid w:val="0001385B"/>
    <w:rsid w:val="00013BF2"/>
    <w:rsid w:val="00014856"/>
    <w:rsid w:val="00014E8A"/>
    <w:rsid w:val="00015746"/>
    <w:rsid w:val="000159D8"/>
    <w:rsid w:val="00015BFC"/>
    <w:rsid w:val="00015C9A"/>
    <w:rsid w:val="00015CE7"/>
    <w:rsid w:val="000160FF"/>
    <w:rsid w:val="0001703D"/>
    <w:rsid w:val="0002028E"/>
    <w:rsid w:val="0002048F"/>
    <w:rsid w:val="0002053F"/>
    <w:rsid w:val="00020E60"/>
    <w:rsid w:val="00021435"/>
    <w:rsid w:val="00021947"/>
    <w:rsid w:val="00022B83"/>
    <w:rsid w:val="00022BE4"/>
    <w:rsid w:val="00023457"/>
    <w:rsid w:val="00023894"/>
    <w:rsid w:val="00023A16"/>
    <w:rsid w:val="000240E5"/>
    <w:rsid w:val="00024161"/>
    <w:rsid w:val="000243D1"/>
    <w:rsid w:val="000245C3"/>
    <w:rsid w:val="00024AB6"/>
    <w:rsid w:val="00024ACD"/>
    <w:rsid w:val="000251AD"/>
    <w:rsid w:val="000253C6"/>
    <w:rsid w:val="00025792"/>
    <w:rsid w:val="000257F2"/>
    <w:rsid w:val="00025934"/>
    <w:rsid w:val="00025979"/>
    <w:rsid w:val="00025A10"/>
    <w:rsid w:val="00025AF3"/>
    <w:rsid w:val="000267AE"/>
    <w:rsid w:val="00026875"/>
    <w:rsid w:val="000268F6"/>
    <w:rsid w:val="00026927"/>
    <w:rsid w:val="00026992"/>
    <w:rsid w:val="00026F49"/>
    <w:rsid w:val="00027C91"/>
    <w:rsid w:val="000301FB"/>
    <w:rsid w:val="00030269"/>
    <w:rsid w:val="000303F4"/>
    <w:rsid w:val="00030A2C"/>
    <w:rsid w:val="00030D49"/>
    <w:rsid w:val="000310B4"/>
    <w:rsid w:val="00031624"/>
    <w:rsid w:val="00031694"/>
    <w:rsid w:val="000317B4"/>
    <w:rsid w:val="00031FD2"/>
    <w:rsid w:val="000328F5"/>
    <w:rsid w:val="00032E7C"/>
    <w:rsid w:val="00032EA5"/>
    <w:rsid w:val="0003315B"/>
    <w:rsid w:val="00034049"/>
    <w:rsid w:val="000341A1"/>
    <w:rsid w:val="000349A8"/>
    <w:rsid w:val="000354FA"/>
    <w:rsid w:val="0003597C"/>
    <w:rsid w:val="00035A87"/>
    <w:rsid w:val="00035C07"/>
    <w:rsid w:val="00035FE3"/>
    <w:rsid w:val="00036189"/>
    <w:rsid w:val="00036707"/>
    <w:rsid w:val="00036D2F"/>
    <w:rsid w:val="00036D4A"/>
    <w:rsid w:val="0003702E"/>
    <w:rsid w:val="000370F3"/>
    <w:rsid w:val="000371E3"/>
    <w:rsid w:val="00037C85"/>
    <w:rsid w:val="00037EF7"/>
    <w:rsid w:val="000401B0"/>
    <w:rsid w:val="000403CC"/>
    <w:rsid w:val="0004127F"/>
    <w:rsid w:val="00041AB2"/>
    <w:rsid w:val="00041FE8"/>
    <w:rsid w:val="00042C85"/>
    <w:rsid w:val="00042FDE"/>
    <w:rsid w:val="000438B4"/>
    <w:rsid w:val="00043F42"/>
    <w:rsid w:val="000443B7"/>
    <w:rsid w:val="000446BD"/>
    <w:rsid w:val="00044BE6"/>
    <w:rsid w:val="00044FE9"/>
    <w:rsid w:val="000454C8"/>
    <w:rsid w:val="0004642E"/>
    <w:rsid w:val="00046963"/>
    <w:rsid w:val="00046DA6"/>
    <w:rsid w:val="00047604"/>
    <w:rsid w:val="000476DA"/>
    <w:rsid w:val="0005020A"/>
    <w:rsid w:val="000502A1"/>
    <w:rsid w:val="000509E1"/>
    <w:rsid w:val="00050F5A"/>
    <w:rsid w:val="00051025"/>
    <w:rsid w:val="000515BE"/>
    <w:rsid w:val="00051873"/>
    <w:rsid w:val="00051875"/>
    <w:rsid w:val="00051BF8"/>
    <w:rsid w:val="0005282C"/>
    <w:rsid w:val="00052993"/>
    <w:rsid w:val="00052E8B"/>
    <w:rsid w:val="0005301D"/>
    <w:rsid w:val="00053057"/>
    <w:rsid w:val="00053225"/>
    <w:rsid w:val="000533DF"/>
    <w:rsid w:val="00053519"/>
    <w:rsid w:val="00053947"/>
    <w:rsid w:val="00053C58"/>
    <w:rsid w:val="00054F12"/>
    <w:rsid w:val="0005528E"/>
    <w:rsid w:val="00055508"/>
    <w:rsid w:val="00056055"/>
    <w:rsid w:val="00056178"/>
    <w:rsid w:val="000565D0"/>
    <w:rsid w:val="00056641"/>
    <w:rsid w:val="00056B26"/>
    <w:rsid w:val="00056DD2"/>
    <w:rsid w:val="00057386"/>
    <w:rsid w:val="0005754F"/>
    <w:rsid w:val="00057690"/>
    <w:rsid w:val="0005780E"/>
    <w:rsid w:val="00057E84"/>
    <w:rsid w:val="000605FA"/>
    <w:rsid w:val="00060609"/>
    <w:rsid w:val="000608DA"/>
    <w:rsid w:val="00061482"/>
    <w:rsid w:val="00061489"/>
    <w:rsid w:val="00061B13"/>
    <w:rsid w:val="00061D96"/>
    <w:rsid w:val="00061D9D"/>
    <w:rsid w:val="0006240E"/>
    <w:rsid w:val="000625B1"/>
    <w:rsid w:val="00062874"/>
    <w:rsid w:val="00063349"/>
    <w:rsid w:val="000637F9"/>
    <w:rsid w:val="000638D4"/>
    <w:rsid w:val="000639E2"/>
    <w:rsid w:val="00063F74"/>
    <w:rsid w:val="0006479D"/>
    <w:rsid w:val="000648FB"/>
    <w:rsid w:val="00064FF9"/>
    <w:rsid w:val="00065247"/>
    <w:rsid w:val="00065383"/>
    <w:rsid w:val="000657DF"/>
    <w:rsid w:val="00065905"/>
    <w:rsid w:val="00066418"/>
    <w:rsid w:val="000665EC"/>
    <w:rsid w:val="000666F4"/>
    <w:rsid w:val="00066C48"/>
    <w:rsid w:val="00066D1C"/>
    <w:rsid w:val="00066FBA"/>
    <w:rsid w:val="00066FD9"/>
    <w:rsid w:val="000675B3"/>
    <w:rsid w:val="000678DC"/>
    <w:rsid w:val="00067F85"/>
    <w:rsid w:val="00070133"/>
    <w:rsid w:val="00070214"/>
    <w:rsid w:val="00070953"/>
    <w:rsid w:val="00070BF0"/>
    <w:rsid w:val="00070EC9"/>
    <w:rsid w:val="000712AE"/>
    <w:rsid w:val="000716D3"/>
    <w:rsid w:val="00071709"/>
    <w:rsid w:val="00071863"/>
    <w:rsid w:val="00072525"/>
    <w:rsid w:val="00072539"/>
    <w:rsid w:val="0007287D"/>
    <w:rsid w:val="00072B56"/>
    <w:rsid w:val="00072BED"/>
    <w:rsid w:val="00073509"/>
    <w:rsid w:val="000738C8"/>
    <w:rsid w:val="000739F4"/>
    <w:rsid w:val="00073AD4"/>
    <w:rsid w:val="00074470"/>
    <w:rsid w:val="0007467E"/>
    <w:rsid w:val="000746C2"/>
    <w:rsid w:val="00074988"/>
    <w:rsid w:val="0007510E"/>
    <w:rsid w:val="00075493"/>
    <w:rsid w:val="000764E3"/>
    <w:rsid w:val="00076629"/>
    <w:rsid w:val="000768BD"/>
    <w:rsid w:val="00076A3C"/>
    <w:rsid w:val="00076D10"/>
    <w:rsid w:val="00076F10"/>
    <w:rsid w:val="00077067"/>
    <w:rsid w:val="0007744D"/>
    <w:rsid w:val="00077793"/>
    <w:rsid w:val="00077888"/>
    <w:rsid w:val="00080194"/>
    <w:rsid w:val="00080517"/>
    <w:rsid w:val="0008099D"/>
    <w:rsid w:val="00080AF6"/>
    <w:rsid w:val="0008199B"/>
    <w:rsid w:val="00081D56"/>
    <w:rsid w:val="00081EE3"/>
    <w:rsid w:val="00081F53"/>
    <w:rsid w:val="0008237B"/>
    <w:rsid w:val="0008291C"/>
    <w:rsid w:val="00082B45"/>
    <w:rsid w:val="000830AC"/>
    <w:rsid w:val="000830C5"/>
    <w:rsid w:val="000830E5"/>
    <w:rsid w:val="00083EF5"/>
    <w:rsid w:val="00084569"/>
    <w:rsid w:val="0008458D"/>
    <w:rsid w:val="00085826"/>
    <w:rsid w:val="00085A3E"/>
    <w:rsid w:val="00085BB4"/>
    <w:rsid w:val="00085DA3"/>
    <w:rsid w:val="00085DF6"/>
    <w:rsid w:val="00085E3B"/>
    <w:rsid w:val="00085E44"/>
    <w:rsid w:val="00086890"/>
    <w:rsid w:val="00086A86"/>
    <w:rsid w:val="00086C6B"/>
    <w:rsid w:val="00086F28"/>
    <w:rsid w:val="00087061"/>
    <w:rsid w:val="00087117"/>
    <w:rsid w:val="0008734E"/>
    <w:rsid w:val="00087A84"/>
    <w:rsid w:val="000908E8"/>
    <w:rsid w:val="000908F5"/>
    <w:rsid w:val="00090A73"/>
    <w:rsid w:val="00090CB4"/>
    <w:rsid w:val="00090D1E"/>
    <w:rsid w:val="00090E81"/>
    <w:rsid w:val="0009114B"/>
    <w:rsid w:val="0009140A"/>
    <w:rsid w:val="00091B32"/>
    <w:rsid w:val="00091D0B"/>
    <w:rsid w:val="00091F18"/>
    <w:rsid w:val="00092065"/>
    <w:rsid w:val="000926BC"/>
    <w:rsid w:val="0009299B"/>
    <w:rsid w:val="00092F29"/>
    <w:rsid w:val="000930CC"/>
    <w:rsid w:val="0009319D"/>
    <w:rsid w:val="0009362D"/>
    <w:rsid w:val="000937AE"/>
    <w:rsid w:val="00093DEB"/>
    <w:rsid w:val="00093E2D"/>
    <w:rsid w:val="00093F68"/>
    <w:rsid w:val="0009404A"/>
    <w:rsid w:val="000940BD"/>
    <w:rsid w:val="00094731"/>
    <w:rsid w:val="00094C16"/>
    <w:rsid w:val="00095AC7"/>
    <w:rsid w:val="00095C3B"/>
    <w:rsid w:val="00095D49"/>
    <w:rsid w:val="000960CD"/>
    <w:rsid w:val="00096306"/>
    <w:rsid w:val="000965CA"/>
    <w:rsid w:val="000967D6"/>
    <w:rsid w:val="00096B21"/>
    <w:rsid w:val="00096DD4"/>
    <w:rsid w:val="00096F38"/>
    <w:rsid w:val="00097105"/>
    <w:rsid w:val="00097277"/>
    <w:rsid w:val="00097A0F"/>
    <w:rsid w:val="00097A78"/>
    <w:rsid w:val="00097ACA"/>
    <w:rsid w:val="00097B61"/>
    <w:rsid w:val="00097E7D"/>
    <w:rsid w:val="000A0224"/>
    <w:rsid w:val="000A02BC"/>
    <w:rsid w:val="000A04C1"/>
    <w:rsid w:val="000A0726"/>
    <w:rsid w:val="000A0AA4"/>
    <w:rsid w:val="000A0B6E"/>
    <w:rsid w:val="000A0C21"/>
    <w:rsid w:val="000A0FF0"/>
    <w:rsid w:val="000A15A5"/>
    <w:rsid w:val="000A170A"/>
    <w:rsid w:val="000A1A01"/>
    <w:rsid w:val="000A2108"/>
    <w:rsid w:val="000A24C2"/>
    <w:rsid w:val="000A24E9"/>
    <w:rsid w:val="000A2762"/>
    <w:rsid w:val="000A2C07"/>
    <w:rsid w:val="000A3234"/>
    <w:rsid w:val="000A4076"/>
    <w:rsid w:val="000A4710"/>
    <w:rsid w:val="000A49C2"/>
    <w:rsid w:val="000A555C"/>
    <w:rsid w:val="000A5AC3"/>
    <w:rsid w:val="000A5E6B"/>
    <w:rsid w:val="000A6539"/>
    <w:rsid w:val="000A7792"/>
    <w:rsid w:val="000B04F9"/>
    <w:rsid w:val="000B0591"/>
    <w:rsid w:val="000B0964"/>
    <w:rsid w:val="000B0D1F"/>
    <w:rsid w:val="000B11E4"/>
    <w:rsid w:val="000B15DE"/>
    <w:rsid w:val="000B196D"/>
    <w:rsid w:val="000B1A5F"/>
    <w:rsid w:val="000B1DDB"/>
    <w:rsid w:val="000B2278"/>
    <w:rsid w:val="000B26F8"/>
    <w:rsid w:val="000B3AF9"/>
    <w:rsid w:val="000B3CDE"/>
    <w:rsid w:val="000B43AC"/>
    <w:rsid w:val="000B5538"/>
    <w:rsid w:val="000B5B5A"/>
    <w:rsid w:val="000B5DE3"/>
    <w:rsid w:val="000B5F3E"/>
    <w:rsid w:val="000B6175"/>
    <w:rsid w:val="000B6858"/>
    <w:rsid w:val="000B69DE"/>
    <w:rsid w:val="000B6A2C"/>
    <w:rsid w:val="000B763B"/>
    <w:rsid w:val="000B78B2"/>
    <w:rsid w:val="000B79A9"/>
    <w:rsid w:val="000B7F0F"/>
    <w:rsid w:val="000C019B"/>
    <w:rsid w:val="000C022F"/>
    <w:rsid w:val="000C09E5"/>
    <w:rsid w:val="000C0BB2"/>
    <w:rsid w:val="000C0D87"/>
    <w:rsid w:val="000C0E98"/>
    <w:rsid w:val="000C1181"/>
    <w:rsid w:val="000C19AE"/>
    <w:rsid w:val="000C19B4"/>
    <w:rsid w:val="000C1A4E"/>
    <w:rsid w:val="000C1FA9"/>
    <w:rsid w:val="000C2158"/>
    <w:rsid w:val="000C21E8"/>
    <w:rsid w:val="000C285C"/>
    <w:rsid w:val="000C2F46"/>
    <w:rsid w:val="000C3373"/>
    <w:rsid w:val="000C3478"/>
    <w:rsid w:val="000C3EA7"/>
    <w:rsid w:val="000C4083"/>
    <w:rsid w:val="000C4455"/>
    <w:rsid w:val="000C4561"/>
    <w:rsid w:val="000C4739"/>
    <w:rsid w:val="000C4D91"/>
    <w:rsid w:val="000C51D4"/>
    <w:rsid w:val="000C5C42"/>
    <w:rsid w:val="000C6906"/>
    <w:rsid w:val="000C6B3E"/>
    <w:rsid w:val="000C6B70"/>
    <w:rsid w:val="000C7B5B"/>
    <w:rsid w:val="000C7B87"/>
    <w:rsid w:val="000D026D"/>
    <w:rsid w:val="000D05B5"/>
    <w:rsid w:val="000D07A7"/>
    <w:rsid w:val="000D08B3"/>
    <w:rsid w:val="000D0ADC"/>
    <w:rsid w:val="000D0C2C"/>
    <w:rsid w:val="000D0CE0"/>
    <w:rsid w:val="000D158F"/>
    <w:rsid w:val="000D1631"/>
    <w:rsid w:val="000D1CEA"/>
    <w:rsid w:val="000D1FEF"/>
    <w:rsid w:val="000D2385"/>
    <w:rsid w:val="000D2750"/>
    <w:rsid w:val="000D277B"/>
    <w:rsid w:val="000D2B57"/>
    <w:rsid w:val="000D2C64"/>
    <w:rsid w:val="000D2F62"/>
    <w:rsid w:val="000D30D3"/>
    <w:rsid w:val="000D35A7"/>
    <w:rsid w:val="000D35E0"/>
    <w:rsid w:val="000D36D3"/>
    <w:rsid w:val="000D43F5"/>
    <w:rsid w:val="000D4524"/>
    <w:rsid w:val="000D4E47"/>
    <w:rsid w:val="000D4FF3"/>
    <w:rsid w:val="000D50F9"/>
    <w:rsid w:val="000D52E9"/>
    <w:rsid w:val="000D61EE"/>
    <w:rsid w:val="000D6610"/>
    <w:rsid w:val="000D6891"/>
    <w:rsid w:val="000D6AE7"/>
    <w:rsid w:val="000D6C67"/>
    <w:rsid w:val="000D6ED6"/>
    <w:rsid w:val="000D74E3"/>
    <w:rsid w:val="000D7ECE"/>
    <w:rsid w:val="000E0408"/>
    <w:rsid w:val="000E0746"/>
    <w:rsid w:val="000E0D4C"/>
    <w:rsid w:val="000E11E2"/>
    <w:rsid w:val="000E124B"/>
    <w:rsid w:val="000E138A"/>
    <w:rsid w:val="000E14C3"/>
    <w:rsid w:val="000E1DE2"/>
    <w:rsid w:val="000E20BB"/>
    <w:rsid w:val="000E20E3"/>
    <w:rsid w:val="000E21F1"/>
    <w:rsid w:val="000E22EF"/>
    <w:rsid w:val="000E2A43"/>
    <w:rsid w:val="000E2F71"/>
    <w:rsid w:val="000E3248"/>
    <w:rsid w:val="000E3B54"/>
    <w:rsid w:val="000E3F9F"/>
    <w:rsid w:val="000E3FC4"/>
    <w:rsid w:val="000E4161"/>
    <w:rsid w:val="000E4182"/>
    <w:rsid w:val="000E454A"/>
    <w:rsid w:val="000E4600"/>
    <w:rsid w:val="000E4F0B"/>
    <w:rsid w:val="000E50B2"/>
    <w:rsid w:val="000E5165"/>
    <w:rsid w:val="000E5630"/>
    <w:rsid w:val="000E582F"/>
    <w:rsid w:val="000E5BE6"/>
    <w:rsid w:val="000E5C71"/>
    <w:rsid w:val="000E607D"/>
    <w:rsid w:val="000E61C3"/>
    <w:rsid w:val="000E6529"/>
    <w:rsid w:val="000E6E28"/>
    <w:rsid w:val="000E7CAD"/>
    <w:rsid w:val="000F01CC"/>
    <w:rsid w:val="000F03A0"/>
    <w:rsid w:val="000F0599"/>
    <w:rsid w:val="000F0980"/>
    <w:rsid w:val="000F1440"/>
    <w:rsid w:val="000F174D"/>
    <w:rsid w:val="000F1B49"/>
    <w:rsid w:val="000F21E3"/>
    <w:rsid w:val="000F26EA"/>
    <w:rsid w:val="000F2743"/>
    <w:rsid w:val="000F2773"/>
    <w:rsid w:val="000F28AF"/>
    <w:rsid w:val="000F2A54"/>
    <w:rsid w:val="000F2DB6"/>
    <w:rsid w:val="000F2DD9"/>
    <w:rsid w:val="000F2F7A"/>
    <w:rsid w:val="000F3689"/>
    <w:rsid w:val="000F40FC"/>
    <w:rsid w:val="000F4668"/>
    <w:rsid w:val="000F4927"/>
    <w:rsid w:val="000F495B"/>
    <w:rsid w:val="000F4B54"/>
    <w:rsid w:val="000F55DE"/>
    <w:rsid w:val="000F5F38"/>
    <w:rsid w:val="000F65CA"/>
    <w:rsid w:val="000F664B"/>
    <w:rsid w:val="000F6765"/>
    <w:rsid w:val="000F698F"/>
    <w:rsid w:val="000F6C79"/>
    <w:rsid w:val="000F7842"/>
    <w:rsid w:val="000F7927"/>
    <w:rsid w:val="001000D3"/>
    <w:rsid w:val="0010019B"/>
    <w:rsid w:val="001002FB"/>
    <w:rsid w:val="0010031E"/>
    <w:rsid w:val="001008CC"/>
    <w:rsid w:val="001009A7"/>
    <w:rsid w:val="001009B8"/>
    <w:rsid w:val="001011B4"/>
    <w:rsid w:val="00101354"/>
    <w:rsid w:val="001015EB"/>
    <w:rsid w:val="00101757"/>
    <w:rsid w:val="00101758"/>
    <w:rsid w:val="001017C0"/>
    <w:rsid w:val="00101E6C"/>
    <w:rsid w:val="0010217A"/>
    <w:rsid w:val="001022AD"/>
    <w:rsid w:val="0010231C"/>
    <w:rsid w:val="0010247F"/>
    <w:rsid w:val="00102C42"/>
    <w:rsid w:val="00102C4A"/>
    <w:rsid w:val="00102E5D"/>
    <w:rsid w:val="00103293"/>
    <w:rsid w:val="0010335E"/>
    <w:rsid w:val="0010395B"/>
    <w:rsid w:val="00103AB2"/>
    <w:rsid w:val="00103C10"/>
    <w:rsid w:val="00103EE5"/>
    <w:rsid w:val="00103F6D"/>
    <w:rsid w:val="001042A5"/>
    <w:rsid w:val="00104573"/>
    <w:rsid w:val="00104906"/>
    <w:rsid w:val="001049F6"/>
    <w:rsid w:val="00104D25"/>
    <w:rsid w:val="00104E39"/>
    <w:rsid w:val="001057FD"/>
    <w:rsid w:val="00105B97"/>
    <w:rsid w:val="00105D98"/>
    <w:rsid w:val="00105F98"/>
    <w:rsid w:val="00106D0B"/>
    <w:rsid w:val="0010712D"/>
    <w:rsid w:val="001075AA"/>
    <w:rsid w:val="00107A38"/>
    <w:rsid w:val="00107E04"/>
    <w:rsid w:val="001102AA"/>
    <w:rsid w:val="00110556"/>
    <w:rsid w:val="00110A94"/>
    <w:rsid w:val="00110D5A"/>
    <w:rsid w:val="0011108B"/>
    <w:rsid w:val="00112010"/>
    <w:rsid w:val="00112E13"/>
    <w:rsid w:val="00113101"/>
    <w:rsid w:val="00113DDA"/>
    <w:rsid w:val="001145AE"/>
    <w:rsid w:val="00114632"/>
    <w:rsid w:val="00114812"/>
    <w:rsid w:val="00115EBD"/>
    <w:rsid w:val="0011643A"/>
    <w:rsid w:val="0012067C"/>
    <w:rsid w:val="00120B52"/>
    <w:rsid w:val="001211FC"/>
    <w:rsid w:val="001212CE"/>
    <w:rsid w:val="001215E7"/>
    <w:rsid w:val="00121AD3"/>
    <w:rsid w:val="00121BBD"/>
    <w:rsid w:val="00121DCE"/>
    <w:rsid w:val="0012224E"/>
    <w:rsid w:val="001230C7"/>
    <w:rsid w:val="001235A0"/>
    <w:rsid w:val="00123733"/>
    <w:rsid w:val="00123871"/>
    <w:rsid w:val="0012389A"/>
    <w:rsid w:val="001238F8"/>
    <w:rsid w:val="00123910"/>
    <w:rsid w:val="00123CA5"/>
    <w:rsid w:val="00123DA5"/>
    <w:rsid w:val="00124508"/>
    <w:rsid w:val="001248CE"/>
    <w:rsid w:val="00124A76"/>
    <w:rsid w:val="00124EA0"/>
    <w:rsid w:val="00125155"/>
    <w:rsid w:val="00125613"/>
    <w:rsid w:val="00125742"/>
    <w:rsid w:val="001257BC"/>
    <w:rsid w:val="00125D14"/>
    <w:rsid w:val="00125E17"/>
    <w:rsid w:val="0012631D"/>
    <w:rsid w:val="001264DD"/>
    <w:rsid w:val="00126799"/>
    <w:rsid w:val="00126DA3"/>
    <w:rsid w:val="00130020"/>
    <w:rsid w:val="00131893"/>
    <w:rsid w:val="001318A4"/>
    <w:rsid w:val="001319AD"/>
    <w:rsid w:val="001326D6"/>
    <w:rsid w:val="0013299B"/>
    <w:rsid w:val="00132EA0"/>
    <w:rsid w:val="001337A8"/>
    <w:rsid w:val="00133CE4"/>
    <w:rsid w:val="00134207"/>
    <w:rsid w:val="00134265"/>
    <w:rsid w:val="0013446A"/>
    <w:rsid w:val="00134D71"/>
    <w:rsid w:val="0013634C"/>
    <w:rsid w:val="001364E7"/>
    <w:rsid w:val="00136522"/>
    <w:rsid w:val="00136F32"/>
    <w:rsid w:val="001373F4"/>
    <w:rsid w:val="00137922"/>
    <w:rsid w:val="00137ABA"/>
    <w:rsid w:val="00137C07"/>
    <w:rsid w:val="0014059C"/>
    <w:rsid w:val="00140ADD"/>
    <w:rsid w:val="00141225"/>
    <w:rsid w:val="00141721"/>
    <w:rsid w:val="00141F7B"/>
    <w:rsid w:val="0014209C"/>
    <w:rsid w:val="0014220D"/>
    <w:rsid w:val="001433B7"/>
    <w:rsid w:val="00143681"/>
    <w:rsid w:val="00143ED2"/>
    <w:rsid w:val="001440F1"/>
    <w:rsid w:val="0014414C"/>
    <w:rsid w:val="0014490D"/>
    <w:rsid w:val="00144AA3"/>
    <w:rsid w:val="00144E27"/>
    <w:rsid w:val="00145334"/>
    <w:rsid w:val="001453EA"/>
    <w:rsid w:val="0014545B"/>
    <w:rsid w:val="00145BB1"/>
    <w:rsid w:val="00146777"/>
    <w:rsid w:val="00146811"/>
    <w:rsid w:val="00146AB4"/>
    <w:rsid w:val="0014708A"/>
    <w:rsid w:val="001471F7"/>
    <w:rsid w:val="00147490"/>
    <w:rsid w:val="00150218"/>
    <w:rsid w:val="001509EB"/>
    <w:rsid w:val="001510D1"/>
    <w:rsid w:val="001510EE"/>
    <w:rsid w:val="00151589"/>
    <w:rsid w:val="00151786"/>
    <w:rsid w:val="001519CE"/>
    <w:rsid w:val="00151F80"/>
    <w:rsid w:val="001523B4"/>
    <w:rsid w:val="00152778"/>
    <w:rsid w:val="001527B8"/>
    <w:rsid w:val="001527D7"/>
    <w:rsid w:val="00152C02"/>
    <w:rsid w:val="00153DBF"/>
    <w:rsid w:val="00154260"/>
    <w:rsid w:val="00154C93"/>
    <w:rsid w:val="00154DA7"/>
    <w:rsid w:val="00154EBC"/>
    <w:rsid w:val="0015549A"/>
    <w:rsid w:val="00155BEF"/>
    <w:rsid w:val="00155E39"/>
    <w:rsid w:val="00156C99"/>
    <w:rsid w:val="00156DAB"/>
    <w:rsid w:val="001572CC"/>
    <w:rsid w:val="00157E05"/>
    <w:rsid w:val="0016028E"/>
    <w:rsid w:val="001604B4"/>
    <w:rsid w:val="001615E0"/>
    <w:rsid w:val="00161CB3"/>
    <w:rsid w:val="00162689"/>
    <w:rsid w:val="00162955"/>
    <w:rsid w:val="00162A34"/>
    <w:rsid w:val="00162C68"/>
    <w:rsid w:val="00163048"/>
    <w:rsid w:val="00163161"/>
    <w:rsid w:val="00163430"/>
    <w:rsid w:val="001635F9"/>
    <w:rsid w:val="00163795"/>
    <w:rsid w:val="00163A92"/>
    <w:rsid w:val="00164A30"/>
    <w:rsid w:val="00164C0A"/>
    <w:rsid w:val="00165378"/>
    <w:rsid w:val="00166168"/>
    <w:rsid w:val="00166196"/>
    <w:rsid w:val="0016676B"/>
    <w:rsid w:val="001674B1"/>
    <w:rsid w:val="00167AA5"/>
    <w:rsid w:val="00167F10"/>
    <w:rsid w:val="0017003D"/>
    <w:rsid w:val="00170337"/>
    <w:rsid w:val="00170A24"/>
    <w:rsid w:val="00170FB5"/>
    <w:rsid w:val="00171713"/>
    <w:rsid w:val="00171B95"/>
    <w:rsid w:val="00171C15"/>
    <w:rsid w:val="00171FB8"/>
    <w:rsid w:val="00172212"/>
    <w:rsid w:val="0017248D"/>
    <w:rsid w:val="00172726"/>
    <w:rsid w:val="00172A27"/>
    <w:rsid w:val="001730DD"/>
    <w:rsid w:val="00173154"/>
    <w:rsid w:val="00173A6A"/>
    <w:rsid w:val="00173A94"/>
    <w:rsid w:val="00173CC0"/>
    <w:rsid w:val="0017415E"/>
    <w:rsid w:val="001742B5"/>
    <w:rsid w:val="00174A8B"/>
    <w:rsid w:val="00174C64"/>
    <w:rsid w:val="00174CC3"/>
    <w:rsid w:val="001752C8"/>
    <w:rsid w:val="001758F8"/>
    <w:rsid w:val="00175F4C"/>
    <w:rsid w:val="0017634A"/>
    <w:rsid w:val="001764BD"/>
    <w:rsid w:val="00176A73"/>
    <w:rsid w:val="00176FD0"/>
    <w:rsid w:val="00177738"/>
    <w:rsid w:val="001804B7"/>
    <w:rsid w:val="00180808"/>
    <w:rsid w:val="0018107A"/>
    <w:rsid w:val="00181822"/>
    <w:rsid w:val="00181A4A"/>
    <w:rsid w:val="00181B8E"/>
    <w:rsid w:val="00182640"/>
    <w:rsid w:val="00182982"/>
    <w:rsid w:val="00182BBD"/>
    <w:rsid w:val="00182CD2"/>
    <w:rsid w:val="00182F4F"/>
    <w:rsid w:val="00182FC7"/>
    <w:rsid w:val="001830B4"/>
    <w:rsid w:val="00183288"/>
    <w:rsid w:val="00183588"/>
    <w:rsid w:val="00183925"/>
    <w:rsid w:val="001839D3"/>
    <w:rsid w:val="00184282"/>
    <w:rsid w:val="001844AB"/>
    <w:rsid w:val="00184B06"/>
    <w:rsid w:val="001852E1"/>
    <w:rsid w:val="00185760"/>
    <w:rsid w:val="00185B61"/>
    <w:rsid w:val="00185DC6"/>
    <w:rsid w:val="00185F2E"/>
    <w:rsid w:val="0018665C"/>
    <w:rsid w:val="001868FA"/>
    <w:rsid w:val="00186987"/>
    <w:rsid w:val="001869B4"/>
    <w:rsid w:val="00186B06"/>
    <w:rsid w:val="00186F2B"/>
    <w:rsid w:val="00187C59"/>
    <w:rsid w:val="00187DCD"/>
    <w:rsid w:val="0019095C"/>
    <w:rsid w:val="00191012"/>
    <w:rsid w:val="00191849"/>
    <w:rsid w:val="001919AB"/>
    <w:rsid w:val="001926A1"/>
    <w:rsid w:val="001926DB"/>
    <w:rsid w:val="001929F3"/>
    <w:rsid w:val="00192E37"/>
    <w:rsid w:val="001930D0"/>
    <w:rsid w:val="00193339"/>
    <w:rsid w:val="0019344B"/>
    <w:rsid w:val="00193A98"/>
    <w:rsid w:val="00193ACE"/>
    <w:rsid w:val="00194309"/>
    <w:rsid w:val="00194399"/>
    <w:rsid w:val="00194497"/>
    <w:rsid w:val="001945FA"/>
    <w:rsid w:val="00194CEE"/>
    <w:rsid w:val="00195064"/>
    <w:rsid w:val="00195CAF"/>
    <w:rsid w:val="00195E05"/>
    <w:rsid w:val="00196043"/>
    <w:rsid w:val="0019608F"/>
    <w:rsid w:val="00196A25"/>
    <w:rsid w:val="0019740F"/>
    <w:rsid w:val="00197614"/>
    <w:rsid w:val="00197905"/>
    <w:rsid w:val="00197A74"/>
    <w:rsid w:val="00197E59"/>
    <w:rsid w:val="00197EE5"/>
    <w:rsid w:val="001A02FB"/>
    <w:rsid w:val="001A0865"/>
    <w:rsid w:val="001A08CE"/>
    <w:rsid w:val="001A090E"/>
    <w:rsid w:val="001A0BDD"/>
    <w:rsid w:val="001A1192"/>
    <w:rsid w:val="001A1655"/>
    <w:rsid w:val="001A18F8"/>
    <w:rsid w:val="001A1C5C"/>
    <w:rsid w:val="001A2017"/>
    <w:rsid w:val="001A2246"/>
    <w:rsid w:val="001A2A66"/>
    <w:rsid w:val="001A3083"/>
    <w:rsid w:val="001A3486"/>
    <w:rsid w:val="001A3DD7"/>
    <w:rsid w:val="001A3EC8"/>
    <w:rsid w:val="001A4294"/>
    <w:rsid w:val="001A440B"/>
    <w:rsid w:val="001A49A2"/>
    <w:rsid w:val="001A4D6E"/>
    <w:rsid w:val="001A4F45"/>
    <w:rsid w:val="001A5682"/>
    <w:rsid w:val="001A5765"/>
    <w:rsid w:val="001A5C3E"/>
    <w:rsid w:val="001A5DEA"/>
    <w:rsid w:val="001A5F9E"/>
    <w:rsid w:val="001A617A"/>
    <w:rsid w:val="001A6233"/>
    <w:rsid w:val="001A6A14"/>
    <w:rsid w:val="001A73B5"/>
    <w:rsid w:val="001A76EF"/>
    <w:rsid w:val="001A790B"/>
    <w:rsid w:val="001A7A2D"/>
    <w:rsid w:val="001A7B8F"/>
    <w:rsid w:val="001B080F"/>
    <w:rsid w:val="001B1096"/>
    <w:rsid w:val="001B1458"/>
    <w:rsid w:val="001B145C"/>
    <w:rsid w:val="001B16A2"/>
    <w:rsid w:val="001B1732"/>
    <w:rsid w:val="001B1CD2"/>
    <w:rsid w:val="001B2C6A"/>
    <w:rsid w:val="001B3B89"/>
    <w:rsid w:val="001B4283"/>
    <w:rsid w:val="001B4A4F"/>
    <w:rsid w:val="001B4B1D"/>
    <w:rsid w:val="001B4BCC"/>
    <w:rsid w:val="001B4D55"/>
    <w:rsid w:val="001B5B48"/>
    <w:rsid w:val="001B5D49"/>
    <w:rsid w:val="001B5D93"/>
    <w:rsid w:val="001B5E64"/>
    <w:rsid w:val="001B5F81"/>
    <w:rsid w:val="001B5FD7"/>
    <w:rsid w:val="001B652F"/>
    <w:rsid w:val="001B6F32"/>
    <w:rsid w:val="001C00F2"/>
    <w:rsid w:val="001C0186"/>
    <w:rsid w:val="001C0C1B"/>
    <w:rsid w:val="001C114E"/>
    <w:rsid w:val="001C1981"/>
    <w:rsid w:val="001C19A8"/>
    <w:rsid w:val="001C1D66"/>
    <w:rsid w:val="001C1DBF"/>
    <w:rsid w:val="001C203B"/>
    <w:rsid w:val="001C2342"/>
    <w:rsid w:val="001C2851"/>
    <w:rsid w:val="001C294A"/>
    <w:rsid w:val="001C2A82"/>
    <w:rsid w:val="001C32D4"/>
    <w:rsid w:val="001C3305"/>
    <w:rsid w:val="001C3451"/>
    <w:rsid w:val="001C3CCF"/>
    <w:rsid w:val="001C4F09"/>
    <w:rsid w:val="001C58BE"/>
    <w:rsid w:val="001C58C9"/>
    <w:rsid w:val="001C5C12"/>
    <w:rsid w:val="001C5FC5"/>
    <w:rsid w:val="001C6936"/>
    <w:rsid w:val="001C6FAE"/>
    <w:rsid w:val="001C7CF3"/>
    <w:rsid w:val="001C7EE9"/>
    <w:rsid w:val="001C7F27"/>
    <w:rsid w:val="001D0D67"/>
    <w:rsid w:val="001D126E"/>
    <w:rsid w:val="001D14E2"/>
    <w:rsid w:val="001D18E5"/>
    <w:rsid w:val="001D1965"/>
    <w:rsid w:val="001D19EC"/>
    <w:rsid w:val="001D1E61"/>
    <w:rsid w:val="001D2055"/>
    <w:rsid w:val="001D2365"/>
    <w:rsid w:val="001D2837"/>
    <w:rsid w:val="001D3221"/>
    <w:rsid w:val="001D3315"/>
    <w:rsid w:val="001D434C"/>
    <w:rsid w:val="001D43D7"/>
    <w:rsid w:val="001D4409"/>
    <w:rsid w:val="001D4ADD"/>
    <w:rsid w:val="001D4D5D"/>
    <w:rsid w:val="001D4FDB"/>
    <w:rsid w:val="001D5D2C"/>
    <w:rsid w:val="001D5E55"/>
    <w:rsid w:val="001D5F05"/>
    <w:rsid w:val="001D6124"/>
    <w:rsid w:val="001D6444"/>
    <w:rsid w:val="001D65F1"/>
    <w:rsid w:val="001D6CEF"/>
    <w:rsid w:val="001D6D36"/>
    <w:rsid w:val="001D708C"/>
    <w:rsid w:val="001D7146"/>
    <w:rsid w:val="001D7954"/>
    <w:rsid w:val="001D7A13"/>
    <w:rsid w:val="001D7EFE"/>
    <w:rsid w:val="001E10B4"/>
    <w:rsid w:val="001E1140"/>
    <w:rsid w:val="001E1884"/>
    <w:rsid w:val="001E26E8"/>
    <w:rsid w:val="001E2FE6"/>
    <w:rsid w:val="001E3479"/>
    <w:rsid w:val="001E3BD5"/>
    <w:rsid w:val="001E3E65"/>
    <w:rsid w:val="001E4887"/>
    <w:rsid w:val="001E4A29"/>
    <w:rsid w:val="001E4FCA"/>
    <w:rsid w:val="001E5932"/>
    <w:rsid w:val="001E5B73"/>
    <w:rsid w:val="001E64E4"/>
    <w:rsid w:val="001E67EA"/>
    <w:rsid w:val="001E6905"/>
    <w:rsid w:val="001E6F56"/>
    <w:rsid w:val="001E78AA"/>
    <w:rsid w:val="001F0080"/>
    <w:rsid w:val="001F04FF"/>
    <w:rsid w:val="001F05F9"/>
    <w:rsid w:val="001F09C4"/>
    <w:rsid w:val="001F0D9A"/>
    <w:rsid w:val="001F124C"/>
    <w:rsid w:val="001F2A99"/>
    <w:rsid w:val="001F2B54"/>
    <w:rsid w:val="001F30EB"/>
    <w:rsid w:val="001F316D"/>
    <w:rsid w:val="001F32B2"/>
    <w:rsid w:val="001F3701"/>
    <w:rsid w:val="001F3DAE"/>
    <w:rsid w:val="001F4286"/>
    <w:rsid w:val="001F4695"/>
    <w:rsid w:val="001F4779"/>
    <w:rsid w:val="001F4F01"/>
    <w:rsid w:val="001F556E"/>
    <w:rsid w:val="001F5B99"/>
    <w:rsid w:val="001F60A1"/>
    <w:rsid w:val="001F6190"/>
    <w:rsid w:val="001F66B7"/>
    <w:rsid w:val="001F67F4"/>
    <w:rsid w:val="001F6894"/>
    <w:rsid w:val="001F6927"/>
    <w:rsid w:val="001F7113"/>
    <w:rsid w:val="001F7274"/>
    <w:rsid w:val="001F7C3F"/>
    <w:rsid w:val="001F7DCE"/>
    <w:rsid w:val="00200103"/>
    <w:rsid w:val="00200DCD"/>
    <w:rsid w:val="002017D7"/>
    <w:rsid w:val="00201B8C"/>
    <w:rsid w:val="00202489"/>
    <w:rsid w:val="002025CA"/>
    <w:rsid w:val="00202898"/>
    <w:rsid w:val="002034F7"/>
    <w:rsid w:val="0020396D"/>
    <w:rsid w:val="00203A07"/>
    <w:rsid w:val="00203F79"/>
    <w:rsid w:val="00204133"/>
    <w:rsid w:val="0020434F"/>
    <w:rsid w:val="002043A9"/>
    <w:rsid w:val="00204EBB"/>
    <w:rsid w:val="00204FF5"/>
    <w:rsid w:val="00205338"/>
    <w:rsid w:val="00205CC8"/>
    <w:rsid w:val="002070A1"/>
    <w:rsid w:val="002072F7"/>
    <w:rsid w:val="002073DA"/>
    <w:rsid w:val="002077A0"/>
    <w:rsid w:val="00207A83"/>
    <w:rsid w:val="00207DBE"/>
    <w:rsid w:val="00210477"/>
    <w:rsid w:val="00210B7D"/>
    <w:rsid w:val="0021162F"/>
    <w:rsid w:val="00211969"/>
    <w:rsid w:val="00211B24"/>
    <w:rsid w:val="002120CA"/>
    <w:rsid w:val="002121A4"/>
    <w:rsid w:val="00212C64"/>
    <w:rsid w:val="00212D31"/>
    <w:rsid w:val="002134D4"/>
    <w:rsid w:val="002135AC"/>
    <w:rsid w:val="002139F8"/>
    <w:rsid w:val="00214A5D"/>
    <w:rsid w:val="00215193"/>
    <w:rsid w:val="002152CB"/>
    <w:rsid w:val="00215C58"/>
    <w:rsid w:val="00215D65"/>
    <w:rsid w:val="00215DF0"/>
    <w:rsid w:val="00215F4D"/>
    <w:rsid w:val="00216376"/>
    <w:rsid w:val="00216C88"/>
    <w:rsid w:val="00216D2E"/>
    <w:rsid w:val="00216EF0"/>
    <w:rsid w:val="0021762C"/>
    <w:rsid w:val="00217E65"/>
    <w:rsid w:val="0022081A"/>
    <w:rsid w:val="00221D09"/>
    <w:rsid w:val="00221E8B"/>
    <w:rsid w:val="00221F12"/>
    <w:rsid w:val="002224E1"/>
    <w:rsid w:val="0022256E"/>
    <w:rsid w:val="00222A15"/>
    <w:rsid w:val="00222D68"/>
    <w:rsid w:val="00223430"/>
    <w:rsid w:val="002235F9"/>
    <w:rsid w:val="0022378A"/>
    <w:rsid w:val="00223D37"/>
    <w:rsid w:val="00223E0B"/>
    <w:rsid w:val="0022414A"/>
    <w:rsid w:val="002241C8"/>
    <w:rsid w:val="0022420C"/>
    <w:rsid w:val="00224A3C"/>
    <w:rsid w:val="00224C05"/>
    <w:rsid w:val="00224C6E"/>
    <w:rsid w:val="00224C85"/>
    <w:rsid w:val="00224DA3"/>
    <w:rsid w:val="00224EB4"/>
    <w:rsid w:val="0022571B"/>
    <w:rsid w:val="00225DDD"/>
    <w:rsid w:val="00225ECC"/>
    <w:rsid w:val="00225F7F"/>
    <w:rsid w:val="00226942"/>
    <w:rsid w:val="00226DDF"/>
    <w:rsid w:val="00226FCB"/>
    <w:rsid w:val="002272D4"/>
    <w:rsid w:val="002272F4"/>
    <w:rsid w:val="00227D01"/>
    <w:rsid w:val="00230294"/>
    <w:rsid w:val="002302F9"/>
    <w:rsid w:val="00230602"/>
    <w:rsid w:val="0023180B"/>
    <w:rsid w:val="0023198F"/>
    <w:rsid w:val="002320AD"/>
    <w:rsid w:val="002320BF"/>
    <w:rsid w:val="00232190"/>
    <w:rsid w:val="00233437"/>
    <w:rsid w:val="00233D32"/>
    <w:rsid w:val="0023419F"/>
    <w:rsid w:val="002346A9"/>
    <w:rsid w:val="00234961"/>
    <w:rsid w:val="00234CAB"/>
    <w:rsid w:val="00234CCD"/>
    <w:rsid w:val="00234D51"/>
    <w:rsid w:val="0023514C"/>
    <w:rsid w:val="0023528F"/>
    <w:rsid w:val="002359D6"/>
    <w:rsid w:val="00235BF2"/>
    <w:rsid w:val="00235F64"/>
    <w:rsid w:val="002363CB"/>
    <w:rsid w:val="002365EA"/>
    <w:rsid w:val="00236C44"/>
    <w:rsid w:val="00236EC2"/>
    <w:rsid w:val="00236EC9"/>
    <w:rsid w:val="00236F9A"/>
    <w:rsid w:val="00237357"/>
    <w:rsid w:val="0023739F"/>
    <w:rsid w:val="00237663"/>
    <w:rsid w:val="0024023F"/>
    <w:rsid w:val="002405EF"/>
    <w:rsid w:val="002409AD"/>
    <w:rsid w:val="00240BD4"/>
    <w:rsid w:val="0024180B"/>
    <w:rsid w:val="00241990"/>
    <w:rsid w:val="00241A1C"/>
    <w:rsid w:val="00241A8F"/>
    <w:rsid w:val="00241B97"/>
    <w:rsid w:val="00241EFC"/>
    <w:rsid w:val="00243008"/>
    <w:rsid w:val="00243A69"/>
    <w:rsid w:val="00244260"/>
    <w:rsid w:val="0024453E"/>
    <w:rsid w:val="0024465B"/>
    <w:rsid w:val="002449C8"/>
    <w:rsid w:val="002449CF"/>
    <w:rsid w:val="00244C8A"/>
    <w:rsid w:val="002452A6"/>
    <w:rsid w:val="002456CF"/>
    <w:rsid w:val="002457DE"/>
    <w:rsid w:val="0024596F"/>
    <w:rsid w:val="002459A5"/>
    <w:rsid w:val="00245FA9"/>
    <w:rsid w:val="002465D7"/>
    <w:rsid w:val="002468E6"/>
    <w:rsid w:val="00246906"/>
    <w:rsid w:val="00246F2F"/>
    <w:rsid w:val="00246FEB"/>
    <w:rsid w:val="0024707A"/>
    <w:rsid w:val="002470C7"/>
    <w:rsid w:val="002474E2"/>
    <w:rsid w:val="0024772C"/>
    <w:rsid w:val="0024788C"/>
    <w:rsid w:val="00247FA7"/>
    <w:rsid w:val="00250177"/>
    <w:rsid w:val="00250397"/>
    <w:rsid w:val="002507C6"/>
    <w:rsid w:val="00250D34"/>
    <w:rsid w:val="002511F1"/>
    <w:rsid w:val="002514C2"/>
    <w:rsid w:val="00251AB8"/>
    <w:rsid w:val="002520FF"/>
    <w:rsid w:val="002521D4"/>
    <w:rsid w:val="00252288"/>
    <w:rsid w:val="002524F8"/>
    <w:rsid w:val="00252632"/>
    <w:rsid w:val="00252BBD"/>
    <w:rsid w:val="002531D5"/>
    <w:rsid w:val="002532A9"/>
    <w:rsid w:val="002532FF"/>
    <w:rsid w:val="00253371"/>
    <w:rsid w:val="002536DE"/>
    <w:rsid w:val="002537F7"/>
    <w:rsid w:val="0025428D"/>
    <w:rsid w:val="002547D7"/>
    <w:rsid w:val="002552D8"/>
    <w:rsid w:val="0025532F"/>
    <w:rsid w:val="002553B6"/>
    <w:rsid w:val="0025578E"/>
    <w:rsid w:val="002559BB"/>
    <w:rsid w:val="00256597"/>
    <w:rsid w:val="0025666D"/>
    <w:rsid w:val="0025681A"/>
    <w:rsid w:val="00256908"/>
    <w:rsid w:val="00256EE0"/>
    <w:rsid w:val="0025779F"/>
    <w:rsid w:val="00257805"/>
    <w:rsid w:val="002578F3"/>
    <w:rsid w:val="0026007A"/>
    <w:rsid w:val="00260278"/>
    <w:rsid w:val="00260A38"/>
    <w:rsid w:val="00260DC2"/>
    <w:rsid w:val="00260E29"/>
    <w:rsid w:val="002611EA"/>
    <w:rsid w:val="0026178F"/>
    <w:rsid w:val="00261D59"/>
    <w:rsid w:val="00261DB1"/>
    <w:rsid w:val="00261EE6"/>
    <w:rsid w:val="00262015"/>
    <w:rsid w:val="002625A4"/>
    <w:rsid w:val="00262815"/>
    <w:rsid w:val="00262A9F"/>
    <w:rsid w:val="00262C1C"/>
    <w:rsid w:val="00262FAA"/>
    <w:rsid w:val="00262FED"/>
    <w:rsid w:val="002631F9"/>
    <w:rsid w:val="0026346A"/>
    <w:rsid w:val="0026353F"/>
    <w:rsid w:val="00263832"/>
    <w:rsid w:val="00263AE3"/>
    <w:rsid w:val="00263EDF"/>
    <w:rsid w:val="00264FB8"/>
    <w:rsid w:val="00265295"/>
    <w:rsid w:val="0026541D"/>
    <w:rsid w:val="0026678F"/>
    <w:rsid w:val="0026682E"/>
    <w:rsid w:val="0026688E"/>
    <w:rsid w:val="00266B65"/>
    <w:rsid w:val="00266B96"/>
    <w:rsid w:val="00266CE6"/>
    <w:rsid w:val="00267345"/>
    <w:rsid w:val="002679D8"/>
    <w:rsid w:val="00270638"/>
    <w:rsid w:val="002707D5"/>
    <w:rsid w:val="00270AB8"/>
    <w:rsid w:val="0027122A"/>
    <w:rsid w:val="00271386"/>
    <w:rsid w:val="00271861"/>
    <w:rsid w:val="00271AC0"/>
    <w:rsid w:val="00272AD9"/>
    <w:rsid w:val="00272C03"/>
    <w:rsid w:val="00273221"/>
    <w:rsid w:val="0027329A"/>
    <w:rsid w:val="00273613"/>
    <w:rsid w:val="002739F2"/>
    <w:rsid w:val="00273B96"/>
    <w:rsid w:val="00273BD1"/>
    <w:rsid w:val="00273C81"/>
    <w:rsid w:val="002742E6"/>
    <w:rsid w:val="0027510C"/>
    <w:rsid w:val="0027555D"/>
    <w:rsid w:val="00275F97"/>
    <w:rsid w:val="0027668B"/>
    <w:rsid w:val="002766F1"/>
    <w:rsid w:val="00276B6B"/>
    <w:rsid w:val="00276F30"/>
    <w:rsid w:val="00276FDD"/>
    <w:rsid w:val="00277054"/>
    <w:rsid w:val="0027723D"/>
    <w:rsid w:val="002772C2"/>
    <w:rsid w:val="00277331"/>
    <w:rsid w:val="00277C97"/>
    <w:rsid w:val="00277F45"/>
    <w:rsid w:val="00280670"/>
    <w:rsid w:val="00280C26"/>
    <w:rsid w:val="00280C70"/>
    <w:rsid w:val="00280C9A"/>
    <w:rsid w:val="00281303"/>
    <w:rsid w:val="00282008"/>
    <w:rsid w:val="002826CD"/>
    <w:rsid w:val="00282946"/>
    <w:rsid w:val="00282BA7"/>
    <w:rsid w:val="0028326D"/>
    <w:rsid w:val="0028335D"/>
    <w:rsid w:val="00283816"/>
    <w:rsid w:val="00283C52"/>
    <w:rsid w:val="00283FF7"/>
    <w:rsid w:val="00284407"/>
    <w:rsid w:val="00284744"/>
    <w:rsid w:val="00284C5D"/>
    <w:rsid w:val="00284E0B"/>
    <w:rsid w:val="00284FB9"/>
    <w:rsid w:val="002851CE"/>
    <w:rsid w:val="002853A3"/>
    <w:rsid w:val="00285437"/>
    <w:rsid w:val="00285600"/>
    <w:rsid w:val="00285D23"/>
    <w:rsid w:val="002865DA"/>
    <w:rsid w:val="00286814"/>
    <w:rsid w:val="00286DB4"/>
    <w:rsid w:val="0028710A"/>
    <w:rsid w:val="0028718F"/>
    <w:rsid w:val="002900B8"/>
    <w:rsid w:val="00290127"/>
    <w:rsid w:val="002906DB"/>
    <w:rsid w:val="00290D63"/>
    <w:rsid w:val="002916C2"/>
    <w:rsid w:val="0029191D"/>
    <w:rsid w:val="002919DF"/>
    <w:rsid w:val="0029200F"/>
    <w:rsid w:val="002926C7"/>
    <w:rsid w:val="00292C53"/>
    <w:rsid w:val="00292D66"/>
    <w:rsid w:val="00292EEE"/>
    <w:rsid w:val="0029314A"/>
    <w:rsid w:val="002931F5"/>
    <w:rsid w:val="00293247"/>
    <w:rsid w:val="002939F5"/>
    <w:rsid w:val="002943B7"/>
    <w:rsid w:val="00294A28"/>
    <w:rsid w:val="0029539B"/>
    <w:rsid w:val="002954E4"/>
    <w:rsid w:val="002956EC"/>
    <w:rsid w:val="00296340"/>
    <w:rsid w:val="00296378"/>
    <w:rsid w:val="002965EB"/>
    <w:rsid w:val="00296958"/>
    <w:rsid w:val="00296BD3"/>
    <w:rsid w:val="00296E8C"/>
    <w:rsid w:val="00297586"/>
    <w:rsid w:val="00297A0F"/>
    <w:rsid w:val="00297A8B"/>
    <w:rsid w:val="00297A8D"/>
    <w:rsid w:val="00297B8F"/>
    <w:rsid w:val="002A18CA"/>
    <w:rsid w:val="002A193F"/>
    <w:rsid w:val="002A1FC0"/>
    <w:rsid w:val="002A298F"/>
    <w:rsid w:val="002A29AB"/>
    <w:rsid w:val="002A29C1"/>
    <w:rsid w:val="002A38A2"/>
    <w:rsid w:val="002A3EAF"/>
    <w:rsid w:val="002A4180"/>
    <w:rsid w:val="002A4215"/>
    <w:rsid w:val="002A4458"/>
    <w:rsid w:val="002A473C"/>
    <w:rsid w:val="002A4914"/>
    <w:rsid w:val="002A4B58"/>
    <w:rsid w:val="002A508B"/>
    <w:rsid w:val="002A5111"/>
    <w:rsid w:val="002A52F1"/>
    <w:rsid w:val="002A54D4"/>
    <w:rsid w:val="002A5CCF"/>
    <w:rsid w:val="002A611C"/>
    <w:rsid w:val="002A6C4B"/>
    <w:rsid w:val="002A6E8D"/>
    <w:rsid w:val="002A6F04"/>
    <w:rsid w:val="002A7029"/>
    <w:rsid w:val="002A730A"/>
    <w:rsid w:val="002B0837"/>
    <w:rsid w:val="002B0BA4"/>
    <w:rsid w:val="002B0BBB"/>
    <w:rsid w:val="002B0F45"/>
    <w:rsid w:val="002B1204"/>
    <w:rsid w:val="002B145E"/>
    <w:rsid w:val="002B154F"/>
    <w:rsid w:val="002B1567"/>
    <w:rsid w:val="002B1BCB"/>
    <w:rsid w:val="002B1E34"/>
    <w:rsid w:val="002B24FC"/>
    <w:rsid w:val="002B268B"/>
    <w:rsid w:val="002B2873"/>
    <w:rsid w:val="002B2AF6"/>
    <w:rsid w:val="002B2CAF"/>
    <w:rsid w:val="002B2E2A"/>
    <w:rsid w:val="002B2F5B"/>
    <w:rsid w:val="002B30CC"/>
    <w:rsid w:val="002B32C4"/>
    <w:rsid w:val="002B3686"/>
    <w:rsid w:val="002B36CE"/>
    <w:rsid w:val="002B3751"/>
    <w:rsid w:val="002B3959"/>
    <w:rsid w:val="002B408A"/>
    <w:rsid w:val="002B4661"/>
    <w:rsid w:val="002B4C53"/>
    <w:rsid w:val="002B4CE0"/>
    <w:rsid w:val="002B4D33"/>
    <w:rsid w:val="002B4E0C"/>
    <w:rsid w:val="002B4E1B"/>
    <w:rsid w:val="002B5168"/>
    <w:rsid w:val="002B581C"/>
    <w:rsid w:val="002B5A10"/>
    <w:rsid w:val="002B5ACB"/>
    <w:rsid w:val="002B5CA4"/>
    <w:rsid w:val="002B60AC"/>
    <w:rsid w:val="002B623D"/>
    <w:rsid w:val="002B64D8"/>
    <w:rsid w:val="002B67C3"/>
    <w:rsid w:val="002B6995"/>
    <w:rsid w:val="002B6A48"/>
    <w:rsid w:val="002B6A50"/>
    <w:rsid w:val="002B733B"/>
    <w:rsid w:val="002B766E"/>
    <w:rsid w:val="002B7C9F"/>
    <w:rsid w:val="002C0289"/>
    <w:rsid w:val="002C0320"/>
    <w:rsid w:val="002C046A"/>
    <w:rsid w:val="002C0487"/>
    <w:rsid w:val="002C0EE6"/>
    <w:rsid w:val="002C0FA5"/>
    <w:rsid w:val="002C1053"/>
    <w:rsid w:val="002C163C"/>
    <w:rsid w:val="002C22BA"/>
    <w:rsid w:val="002C23EC"/>
    <w:rsid w:val="002C255C"/>
    <w:rsid w:val="002C2BBB"/>
    <w:rsid w:val="002C30E3"/>
    <w:rsid w:val="002C325E"/>
    <w:rsid w:val="002C34DA"/>
    <w:rsid w:val="002C38CA"/>
    <w:rsid w:val="002C3C77"/>
    <w:rsid w:val="002C3D37"/>
    <w:rsid w:val="002C3E9F"/>
    <w:rsid w:val="002C42B3"/>
    <w:rsid w:val="002C4410"/>
    <w:rsid w:val="002C488A"/>
    <w:rsid w:val="002C4CBC"/>
    <w:rsid w:val="002C4F83"/>
    <w:rsid w:val="002C5654"/>
    <w:rsid w:val="002C5924"/>
    <w:rsid w:val="002C5952"/>
    <w:rsid w:val="002C5C94"/>
    <w:rsid w:val="002C5DC1"/>
    <w:rsid w:val="002C6200"/>
    <w:rsid w:val="002C6327"/>
    <w:rsid w:val="002C63A9"/>
    <w:rsid w:val="002C6864"/>
    <w:rsid w:val="002C6D31"/>
    <w:rsid w:val="002C6F4A"/>
    <w:rsid w:val="002C7271"/>
    <w:rsid w:val="002C76B0"/>
    <w:rsid w:val="002C7A99"/>
    <w:rsid w:val="002C7B0B"/>
    <w:rsid w:val="002C7B3E"/>
    <w:rsid w:val="002C7B9D"/>
    <w:rsid w:val="002C7C74"/>
    <w:rsid w:val="002D01C5"/>
    <w:rsid w:val="002D04B5"/>
    <w:rsid w:val="002D1026"/>
    <w:rsid w:val="002D1201"/>
    <w:rsid w:val="002D1C26"/>
    <w:rsid w:val="002D2070"/>
    <w:rsid w:val="002D209C"/>
    <w:rsid w:val="002D2541"/>
    <w:rsid w:val="002D2582"/>
    <w:rsid w:val="002D2B58"/>
    <w:rsid w:val="002D2C09"/>
    <w:rsid w:val="002D2F24"/>
    <w:rsid w:val="002D347F"/>
    <w:rsid w:val="002D3B87"/>
    <w:rsid w:val="002D492C"/>
    <w:rsid w:val="002D4FAC"/>
    <w:rsid w:val="002D504B"/>
    <w:rsid w:val="002D5173"/>
    <w:rsid w:val="002D5372"/>
    <w:rsid w:val="002D596C"/>
    <w:rsid w:val="002D6164"/>
    <w:rsid w:val="002D61FD"/>
    <w:rsid w:val="002D66F6"/>
    <w:rsid w:val="002D6DDA"/>
    <w:rsid w:val="002D747A"/>
    <w:rsid w:val="002D76FC"/>
    <w:rsid w:val="002D7DDD"/>
    <w:rsid w:val="002D7EBC"/>
    <w:rsid w:val="002E10A7"/>
    <w:rsid w:val="002E11F8"/>
    <w:rsid w:val="002E131E"/>
    <w:rsid w:val="002E1623"/>
    <w:rsid w:val="002E179F"/>
    <w:rsid w:val="002E1FEF"/>
    <w:rsid w:val="002E24F8"/>
    <w:rsid w:val="002E2614"/>
    <w:rsid w:val="002E2F9C"/>
    <w:rsid w:val="002E34AA"/>
    <w:rsid w:val="002E3974"/>
    <w:rsid w:val="002E3DBB"/>
    <w:rsid w:val="002E4029"/>
    <w:rsid w:val="002E4935"/>
    <w:rsid w:val="002E4F9A"/>
    <w:rsid w:val="002E51AD"/>
    <w:rsid w:val="002E6166"/>
    <w:rsid w:val="002E67A0"/>
    <w:rsid w:val="002E6B05"/>
    <w:rsid w:val="002E6D4B"/>
    <w:rsid w:val="002E6EB5"/>
    <w:rsid w:val="002E6ED5"/>
    <w:rsid w:val="002E6F9C"/>
    <w:rsid w:val="002E7122"/>
    <w:rsid w:val="002E7A29"/>
    <w:rsid w:val="002E7A5F"/>
    <w:rsid w:val="002F04BB"/>
    <w:rsid w:val="002F091C"/>
    <w:rsid w:val="002F0B3C"/>
    <w:rsid w:val="002F0C47"/>
    <w:rsid w:val="002F237B"/>
    <w:rsid w:val="002F26FE"/>
    <w:rsid w:val="002F2B24"/>
    <w:rsid w:val="002F2F61"/>
    <w:rsid w:val="002F3652"/>
    <w:rsid w:val="002F3976"/>
    <w:rsid w:val="002F408C"/>
    <w:rsid w:val="002F4AAD"/>
    <w:rsid w:val="002F4C82"/>
    <w:rsid w:val="002F4ED5"/>
    <w:rsid w:val="002F4FF6"/>
    <w:rsid w:val="002F5508"/>
    <w:rsid w:val="002F563E"/>
    <w:rsid w:val="002F582D"/>
    <w:rsid w:val="002F5ADE"/>
    <w:rsid w:val="002F5AE7"/>
    <w:rsid w:val="002F6472"/>
    <w:rsid w:val="002F6A81"/>
    <w:rsid w:val="002F6C4C"/>
    <w:rsid w:val="002F6D62"/>
    <w:rsid w:val="002F6E83"/>
    <w:rsid w:val="002F7122"/>
    <w:rsid w:val="002F74F6"/>
    <w:rsid w:val="002F79AC"/>
    <w:rsid w:val="002F7A53"/>
    <w:rsid w:val="002F7C4B"/>
    <w:rsid w:val="002F7EE4"/>
    <w:rsid w:val="00300EB0"/>
    <w:rsid w:val="003012F0"/>
    <w:rsid w:val="00301407"/>
    <w:rsid w:val="00301450"/>
    <w:rsid w:val="00301725"/>
    <w:rsid w:val="0030176D"/>
    <w:rsid w:val="00301829"/>
    <w:rsid w:val="0030186D"/>
    <w:rsid w:val="00301E6E"/>
    <w:rsid w:val="003022AE"/>
    <w:rsid w:val="00302BED"/>
    <w:rsid w:val="00302E1E"/>
    <w:rsid w:val="00302FEB"/>
    <w:rsid w:val="00303C54"/>
    <w:rsid w:val="003040D3"/>
    <w:rsid w:val="00304362"/>
    <w:rsid w:val="003048B2"/>
    <w:rsid w:val="00304C82"/>
    <w:rsid w:val="00305006"/>
    <w:rsid w:val="003050B5"/>
    <w:rsid w:val="0030563F"/>
    <w:rsid w:val="0030569F"/>
    <w:rsid w:val="003056DF"/>
    <w:rsid w:val="0030579C"/>
    <w:rsid w:val="003057DB"/>
    <w:rsid w:val="0030592C"/>
    <w:rsid w:val="00305B47"/>
    <w:rsid w:val="00305DA6"/>
    <w:rsid w:val="00305E73"/>
    <w:rsid w:val="00306234"/>
    <w:rsid w:val="0030625C"/>
    <w:rsid w:val="0030641E"/>
    <w:rsid w:val="003066E5"/>
    <w:rsid w:val="00306BDE"/>
    <w:rsid w:val="00306F18"/>
    <w:rsid w:val="00306F74"/>
    <w:rsid w:val="003071FC"/>
    <w:rsid w:val="00307331"/>
    <w:rsid w:val="00307B8C"/>
    <w:rsid w:val="00307E23"/>
    <w:rsid w:val="00310570"/>
    <w:rsid w:val="0031059B"/>
    <w:rsid w:val="003113F1"/>
    <w:rsid w:val="00311845"/>
    <w:rsid w:val="00311B79"/>
    <w:rsid w:val="00311E6C"/>
    <w:rsid w:val="00312484"/>
    <w:rsid w:val="003125A4"/>
    <w:rsid w:val="00312BAA"/>
    <w:rsid w:val="00312D22"/>
    <w:rsid w:val="00313133"/>
    <w:rsid w:val="003133D0"/>
    <w:rsid w:val="00313559"/>
    <w:rsid w:val="00313DD5"/>
    <w:rsid w:val="00313E66"/>
    <w:rsid w:val="00313F95"/>
    <w:rsid w:val="003142C0"/>
    <w:rsid w:val="003145EC"/>
    <w:rsid w:val="003147EF"/>
    <w:rsid w:val="00314B74"/>
    <w:rsid w:val="00314BDD"/>
    <w:rsid w:val="00314DE8"/>
    <w:rsid w:val="00314E0D"/>
    <w:rsid w:val="0031583B"/>
    <w:rsid w:val="003158F3"/>
    <w:rsid w:val="00315A20"/>
    <w:rsid w:val="00315EC8"/>
    <w:rsid w:val="003163A3"/>
    <w:rsid w:val="003166FC"/>
    <w:rsid w:val="003168EC"/>
    <w:rsid w:val="00316AA1"/>
    <w:rsid w:val="00316AC0"/>
    <w:rsid w:val="00316CCE"/>
    <w:rsid w:val="0031719D"/>
    <w:rsid w:val="00320483"/>
    <w:rsid w:val="003209CB"/>
    <w:rsid w:val="00320DA6"/>
    <w:rsid w:val="00320DFD"/>
    <w:rsid w:val="00320F58"/>
    <w:rsid w:val="0032130F"/>
    <w:rsid w:val="00321C2C"/>
    <w:rsid w:val="003228AA"/>
    <w:rsid w:val="0032349B"/>
    <w:rsid w:val="003236FD"/>
    <w:rsid w:val="00323892"/>
    <w:rsid w:val="00324012"/>
    <w:rsid w:val="003240A7"/>
    <w:rsid w:val="0032423D"/>
    <w:rsid w:val="00324A05"/>
    <w:rsid w:val="003255C5"/>
    <w:rsid w:val="003265FC"/>
    <w:rsid w:val="00326EDE"/>
    <w:rsid w:val="00327163"/>
    <w:rsid w:val="00327199"/>
    <w:rsid w:val="00327255"/>
    <w:rsid w:val="0032725E"/>
    <w:rsid w:val="00330071"/>
    <w:rsid w:val="00330466"/>
    <w:rsid w:val="0033053E"/>
    <w:rsid w:val="00330691"/>
    <w:rsid w:val="003306C9"/>
    <w:rsid w:val="0033087F"/>
    <w:rsid w:val="00330992"/>
    <w:rsid w:val="00330DA6"/>
    <w:rsid w:val="00331240"/>
    <w:rsid w:val="00331DEE"/>
    <w:rsid w:val="00331DFF"/>
    <w:rsid w:val="00332C53"/>
    <w:rsid w:val="003336AC"/>
    <w:rsid w:val="00333959"/>
    <w:rsid w:val="00333988"/>
    <w:rsid w:val="00333E50"/>
    <w:rsid w:val="003344D1"/>
    <w:rsid w:val="00334F9B"/>
    <w:rsid w:val="00335B12"/>
    <w:rsid w:val="00335F9E"/>
    <w:rsid w:val="00336079"/>
    <w:rsid w:val="003366C3"/>
    <w:rsid w:val="00336DA8"/>
    <w:rsid w:val="00336F7B"/>
    <w:rsid w:val="003371DD"/>
    <w:rsid w:val="00337621"/>
    <w:rsid w:val="00337764"/>
    <w:rsid w:val="00340054"/>
    <w:rsid w:val="00340701"/>
    <w:rsid w:val="00340AFD"/>
    <w:rsid w:val="003415DF"/>
    <w:rsid w:val="0034185C"/>
    <w:rsid w:val="00341DF8"/>
    <w:rsid w:val="003422A3"/>
    <w:rsid w:val="003422F3"/>
    <w:rsid w:val="003423F3"/>
    <w:rsid w:val="003428FF"/>
    <w:rsid w:val="00342922"/>
    <w:rsid w:val="00342ECF"/>
    <w:rsid w:val="003430AB"/>
    <w:rsid w:val="00343AB8"/>
    <w:rsid w:val="00344064"/>
    <w:rsid w:val="003445DE"/>
    <w:rsid w:val="00344B8D"/>
    <w:rsid w:val="00344BD2"/>
    <w:rsid w:val="003453DE"/>
    <w:rsid w:val="00345814"/>
    <w:rsid w:val="003459EC"/>
    <w:rsid w:val="00345D4F"/>
    <w:rsid w:val="00346225"/>
    <w:rsid w:val="003475DD"/>
    <w:rsid w:val="003479AE"/>
    <w:rsid w:val="00347DE2"/>
    <w:rsid w:val="00350099"/>
    <w:rsid w:val="00350C61"/>
    <w:rsid w:val="0035117C"/>
    <w:rsid w:val="00351464"/>
    <w:rsid w:val="00351B60"/>
    <w:rsid w:val="00351CF0"/>
    <w:rsid w:val="00352169"/>
    <w:rsid w:val="00352467"/>
    <w:rsid w:val="00352825"/>
    <w:rsid w:val="0035297E"/>
    <w:rsid w:val="003529F3"/>
    <w:rsid w:val="00352B27"/>
    <w:rsid w:val="00352BA4"/>
    <w:rsid w:val="0035302E"/>
    <w:rsid w:val="0035342D"/>
    <w:rsid w:val="00353A94"/>
    <w:rsid w:val="00353BA7"/>
    <w:rsid w:val="00353F51"/>
    <w:rsid w:val="00354302"/>
    <w:rsid w:val="003544E8"/>
    <w:rsid w:val="003547DA"/>
    <w:rsid w:val="00354E15"/>
    <w:rsid w:val="00354E8F"/>
    <w:rsid w:val="0035527F"/>
    <w:rsid w:val="00355972"/>
    <w:rsid w:val="00355F0D"/>
    <w:rsid w:val="003562F6"/>
    <w:rsid w:val="003564E3"/>
    <w:rsid w:val="00356B77"/>
    <w:rsid w:val="00356DAA"/>
    <w:rsid w:val="00356FB9"/>
    <w:rsid w:val="003577FD"/>
    <w:rsid w:val="00357C6C"/>
    <w:rsid w:val="00360162"/>
    <w:rsid w:val="00360BC8"/>
    <w:rsid w:val="00360E93"/>
    <w:rsid w:val="00361052"/>
    <w:rsid w:val="00361403"/>
    <w:rsid w:val="00361DCA"/>
    <w:rsid w:val="00362200"/>
    <w:rsid w:val="003622C4"/>
    <w:rsid w:val="0036262A"/>
    <w:rsid w:val="003626A2"/>
    <w:rsid w:val="00362C62"/>
    <w:rsid w:val="00363174"/>
    <w:rsid w:val="003633C3"/>
    <w:rsid w:val="0036371A"/>
    <w:rsid w:val="0036397E"/>
    <w:rsid w:val="00363CDA"/>
    <w:rsid w:val="00364505"/>
    <w:rsid w:val="00364743"/>
    <w:rsid w:val="003650E8"/>
    <w:rsid w:val="003657A6"/>
    <w:rsid w:val="00366037"/>
    <w:rsid w:val="0036636A"/>
    <w:rsid w:val="003665E0"/>
    <w:rsid w:val="00366682"/>
    <w:rsid w:val="00366C48"/>
    <w:rsid w:val="00367178"/>
    <w:rsid w:val="00367984"/>
    <w:rsid w:val="00367AE4"/>
    <w:rsid w:val="00367BE4"/>
    <w:rsid w:val="00367C30"/>
    <w:rsid w:val="00370456"/>
    <w:rsid w:val="00370605"/>
    <w:rsid w:val="00370FCD"/>
    <w:rsid w:val="00370FD9"/>
    <w:rsid w:val="003711CD"/>
    <w:rsid w:val="003713EB"/>
    <w:rsid w:val="00371676"/>
    <w:rsid w:val="0037182D"/>
    <w:rsid w:val="00371F93"/>
    <w:rsid w:val="00371FDC"/>
    <w:rsid w:val="0037204A"/>
    <w:rsid w:val="003728A8"/>
    <w:rsid w:val="003728A9"/>
    <w:rsid w:val="003729BA"/>
    <w:rsid w:val="00373663"/>
    <w:rsid w:val="00373724"/>
    <w:rsid w:val="003739A4"/>
    <w:rsid w:val="00373A99"/>
    <w:rsid w:val="0037425A"/>
    <w:rsid w:val="00374755"/>
    <w:rsid w:val="00374988"/>
    <w:rsid w:val="00374C04"/>
    <w:rsid w:val="00375D98"/>
    <w:rsid w:val="00375F4B"/>
    <w:rsid w:val="00376586"/>
    <w:rsid w:val="00376774"/>
    <w:rsid w:val="00376B3C"/>
    <w:rsid w:val="003775B2"/>
    <w:rsid w:val="00377BBB"/>
    <w:rsid w:val="00377EA7"/>
    <w:rsid w:val="00380142"/>
    <w:rsid w:val="0038021C"/>
    <w:rsid w:val="003809DB"/>
    <w:rsid w:val="003811E8"/>
    <w:rsid w:val="003816F5"/>
    <w:rsid w:val="00381B61"/>
    <w:rsid w:val="00381FEA"/>
    <w:rsid w:val="00382116"/>
    <w:rsid w:val="00382B46"/>
    <w:rsid w:val="00382CC0"/>
    <w:rsid w:val="00382EBA"/>
    <w:rsid w:val="003833E7"/>
    <w:rsid w:val="00383567"/>
    <w:rsid w:val="003838AD"/>
    <w:rsid w:val="00383BB7"/>
    <w:rsid w:val="00384628"/>
    <w:rsid w:val="003848A6"/>
    <w:rsid w:val="00384ED1"/>
    <w:rsid w:val="003851C4"/>
    <w:rsid w:val="00385462"/>
    <w:rsid w:val="00385884"/>
    <w:rsid w:val="00385A20"/>
    <w:rsid w:val="003860D3"/>
    <w:rsid w:val="003860E4"/>
    <w:rsid w:val="00386428"/>
    <w:rsid w:val="003865E9"/>
    <w:rsid w:val="003866DF"/>
    <w:rsid w:val="00386877"/>
    <w:rsid w:val="00386DF0"/>
    <w:rsid w:val="0038795D"/>
    <w:rsid w:val="00387FAB"/>
    <w:rsid w:val="00387FB9"/>
    <w:rsid w:val="0039042F"/>
    <w:rsid w:val="00390749"/>
    <w:rsid w:val="00390BDF"/>
    <w:rsid w:val="003913B5"/>
    <w:rsid w:val="00392186"/>
    <w:rsid w:val="003922C1"/>
    <w:rsid w:val="003922E5"/>
    <w:rsid w:val="00392436"/>
    <w:rsid w:val="00392E73"/>
    <w:rsid w:val="0039352B"/>
    <w:rsid w:val="00393580"/>
    <w:rsid w:val="003941C0"/>
    <w:rsid w:val="00394548"/>
    <w:rsid w:val="00394561"/>
    <w:rsid w:val="00394CDC"/>
    <w:rsid w:val="00394EBB"/>
    <w:rsid w:val="003951F9"/>
    <w:rsid w:val="0039554A"/>
    <w:rsid w:val="00395687"/>
    <w:rsid w:val="00395881"/>
    <w:rsid w:val="003960AA"/>
    <w:rsid w:val="00396147"/>
    <w:rsid w:val="00396755"/>
    <w:rsid w:val="003967D2"/>
    <w:rsid w:val="00396A60"/>
    <w:rsid w:val="00396AE1"/>
    <w:rsid w:val="00396E57"/>
    <w:rsid w:val="00396E94"/>
    <w:rsid w:val="0039707A"/>
    <w:rsid w:val="003A00DC"/>
    <w:rsid w:val="003A0B2E"/>
    <w:rsid w:val="003A0C1B"/>
    <w:rsid w:val="003A10B9"/>
    <w:rsid w:val="003A14C6"/>
    <w:rsid w:val="003A17C0"/>
    <w:rsid w:val="003A1E39"/>
    <w:rsid w:val="003A1ED4"/>
    <w:rsid w:val="003A23F1"/>
    <w:rsid w:val="003A2410"/>
    <w:rsid w:val="003A258C"/>
    <w:rsid w:val="003A260E"/>
    <w:rsid w:val="003A2EB4"/>
    <w:rsid w:val="003A38A6"/>
    <w:rsid w:val="003A3905"/>
    <w:rsid w:val="003A3B7F"/>
    <w:rsid w:val="003A3CA7"/>
    <w:rsid w:val="003A3E19"/>
    <w:rsid w:val="003A3F47"/>
    <w:rsid w:val="003A4D28"/>
    <w:rsid w:val="003A4E7D"/>
    <w:rsid w:val="003A501B"/>
    <w:rsid w:val="003A5DC5"/>
    <w:rsid w:val="003A63E4"/>
    <w:rsid w:val="003A65A0"/>
    <w:rsid w:val="003A6804"/>
    <w:rsid w:val="003A6B3E"/>
    <w:rsid w:val="003A6E4E"/>
    <w:rsid w:val="003A72DA"/>
    <w:rsid w:val="003A72ED"/>
    <w:rsid w:val="003A7B72"/>
    <w:rsid w:val="003A7CEF"/>
    <w:rsid w:val="003B0715"/>
    <w:rsid w:val="003B0BF3"/>
    <w:rsid w:val="003B0CE7"/>
    <w:rsid w:val="003B15AE"/>
    <w:rsid w:val="003B192E"/>
    <w:rsid w:val="003B1DCE"/>
    <w:rsid w:val="003B2BEA"/>
    <w:rsid w:val="003B30C1"/>
    <w:rsid w:val="003B3277"/>
    <w:rsid w:val="003B4A15"/>
    <w:rsid w:val="003B4F34"/>
    <w:rsid w:val="003B4F3D"/>
    <w:rsid w:val="003B51B9"/>
    <w:rsid w:val="003B55EE"/>
    <w:rsid w:val="003B5801"/>
    <w:rsid w:val="003B5BED"/>
    <w:rsid w:val="003B5CF7"/>
    <w:rsid w:val="003B60E6"/>
    <w:rsid w:val="003B6666"/>
    <w:rsid w:val="003B6BB8"/>
    <w:rsid w:val="003B6CD9"/>
    <w:rsid w:val="003B6F42"/>
    <w:rsid w:val="003B74DD"/>
    <w:rsid w:val="003B7617"/>
    <w:rsid w:val="003B7814"/>
    <w:rsid w:val="003C11F3"/>
    <w:rsid w:val="003C12BC"/>
    <w:rsid w:val="003C163F"/>
    <w:rsid w:val="003C1754"/>
    <w:rsid w:val="003C1CA9"/>
    <w:rsid w:val="003C1DE5"/>
    <w:rsid w:val="003C2A1D"/>
    <w:rsid w:val="003C2B62"/>
    <w:rsid w:val="003C2CF5"/>
    <w:rsid w:val="003C2F4A"/>
    <w:rsid w:val="003C2FE5"/>
    <w:rsid w:val="003C3B51"/>
    <w:rsid w:val="003C3DDA"/>
    <w:rsid w:val="003C4071"/>
    <w:rsid w:val="003C4097"/>
    <w:rsid w:val="003C473D"/>
    <w:rsid w:val="003C48E5"/>
    <w:rsid w:val="003C49C0"/>
    <w:rsid w:val="003C4C6A"/>
    <w:rsid w:val="003C4EE7"/>
    <w:rsid w:val="003C5262"/>
    <w:rsid w:val="003C5466"/>
    <w:rsid w:val="003C54AA"/>
    <w:rsid w:val="003C562D"/>
    <w:rsid w:val="003C5C13"/>
    <w:rsid w:val="003C60DF"/>
    <w:rsid w:val="003C620A"/>
    <w:rsid w:val="003C68BA"/>
    <w:rsid w:val="003C68CB"/>
    <w:rsid w:val="003C69EA"/>
    <w:rsid w:val="003C6F47"/>
    <w:rsid w:val="003C7282"/>
    <w:rsid w:val="003C7AC9"/>
    <w:rsid w:val="003D0178"/>
    <w:rsid w:val="003D017C"/>
    <w:rsid w:val="003D04E2"/>
    <w:rsid w:val="003D05C4"/>
    <w:rsid w:val="003D0A0F"/>
    <w:rsid w:val="003D11C9"/>
    <w:rsid w:val="003D13BC"/>
    <w:rsid w:val="003D2A9B"/>
    <w:rsid w:val="003D2CE7"/>
    <w:rsid w:val="003D3788"/>
    <w:rsid w:val="003D3A26"/>
    <w:rsid w:val="003D3B0D"/>
    <w:rsid w:val="003D3EC9"/>
    <w:rsid w:val="003D4521"/>
    <w:rsid w:val="003D56C2"/>
    <w:rsid w:val="003D5A08"/>
    <w:rsid w:val="003D5B2E"/>
    <w:rsid w:val="003D5BEF"/>
    <w:rsid w:val="003D625F"/>
    <w:rsid w:val="003D6351"/>
    <w:rsid w:val="003D65E4"/>
    <w:rsid w:val="003D67F2"/>
    <w:rsid w:val="003D6BA9"/>
    <w:rsid w:val="003D6DE8"/>
    <w:rsid w:val="003D7459"/>
    <w:rsid w:val="003D7724"/>
    <w:rsid w:val="003D773E"/>
    <w:rsid w:val="003D7811"/>
    <w:rsid w:val="003D79BC"/>
    <w:rsid w:val="003D7B46"/>
    <w:rsid w:val="003D7E00"/>
    <w:rsid w:val="003E006C"/>
    <w:rsid w:val="003E055F"/>
    <w:rsid w:val="003E0887"/>
    <w:rsid w:val="003E1C22"/>
    <w:rsid w:val="003E1E4A"/>
    <w:rsid w:val="003E20E7"/>
    <w:rsid w:val="003E21E3"/>
    <w:rsid w:val="003E21F2"/>
    <w:rsid w:val="003E2775"/>
    <w:rsid w:val="003E32AC"/>
    <w:rsid w:val="003E33F0"/>
    <w:rsid w:val="003E3C3B"/>
    <w:rsid w:val="003E40FF"/>
    <w:rsid w:val="003E4AED"/>
    <w:rsid w:val="003E4F5A"/>
    <w:rsid w:val="003E51AA"/>
    <w:rsid w:val="003E5A5A"/>
    <w:rsid w:val="003E61C9"/>
    <w:rsid w:val="003E69D7"/>
    <w:rsid w:val="003F01E7"/>
    <w:rsid w:val="003F02D4"/>
    <w:rsid w:val="003F0B42"/>
    <w:rsid w:val="003F0C43"/>
    <w:rsid w:val="003F0EB5"/>
    <w:rsid w:val="003F1399"/>
    <w:rsid w:val="003F1BCE"/>
    <w:rsid w:val="003F1D26"/>
    <w:rsid w:val="003F1DFB"/>
    <w:rsid w:val="003F2104"/>
    <w:rsid w:val="003F21A2"/>
    <w:rsid w:val="003F23A7"/>
    <w:rsid w:val="003F34B6"/>
    <w:rsid w:val="003F381C"/>
    <w:rsid w:val="003F3B11"/>
    <w:rsid w:val="003F41D2"/>
    <w:rsid w:val="003F434D"/>
    <w:rsid w:val="003F439E"/>
    <w:rsid w:val="003F440C"/>
    <w:rsid w:val="003F4445"/>
    <w:rsid w:val="003F4489"/>
    <w:rsid w:val="003F4B03"/>
    <w:rsid w:val="003F4DF2"/>
    <w:rsid w:val="003F541B"/>
    <w:rsid w:val="003F549F"/>
    <w:rsid w:val="003F588A"/>
    <w:rsid w:val="003F5891"/>
    <w:rsid w:val="003F5C0F"/>
    <w:rsid w:val="003F60B6"/>
    <w:rsid w:val="003F688A"/>
    <w:rsid w:val="003F70EA"/>
    <w:rsid w:val="003F7166"/>
    <w:rsid w:val="003F742F"/>
    <w:rsid w:val="003F7567"/>
    <w:rsid w:val="003F7838"/>
    <w:rsid w:val="003F7934"/>
    <w:rsid w:val="003F7A10"/>
    <w:rsid w:val="003F7B76"/>
    <w:rsid w:val="003F7BB2"/>
    <w:rsid w:val="003F7CD2"/>
    <w:rsid w:val="00400701"/>
    <w:rsid w:val="00401157"/>
    <w:rsid w:val="0040122F"/>
    <w:rsid w:val="004013FB"/>
    <w:rsid w:val="0040162C"/>
    <w:rsid w:val="00401697"/>
    <w:rsid w:val="00401BB1"/>
    <w:rsid w:val="00401DB8"/>
    <w:rsid w:val="00402066"/>
    <w:rsid w:val="0040222D"/>
    <w:rsid w:val="004022CC"/>
    <w:rsid w:val="004027A4"/>
    <w:rsid w:val="0040290E"/>
    <w:rsid w:val="00402F75"/>
    <w:rsid w:val="004036F3"/>
    <w:rsid w:val="00404229"/>
    <w:rsid w:val="004045C1"/>
    <w:rsid w:val="0040534B"/>
    <w:rsid w:val="004054F0"/>
    <w:rsid w:val="0040570B"/>
    <w:rsid w:val="00405890"/>
    <w:rsid w:val="00405B70"/>
    <w:rsid w:val="004060BE"/>
    <w:rsid w:val="0040670B"/>
    <w:rsid w:val="004076BD"/>
    <w:rsid w:val="004077C8"/>
    <w:rsid w:val="00407B9F"/>
    <w:rsid w:val="00407D23"/>
    <w:rsid w:val="0041017D"/>
    <w:rsid w:val="0041024D"/>
    <w:rsid w:val="00410E23"/>
    <w:rsid w:val="00410F8F"/>
    <w:rsid w:val="00411206"/>
    <w:rsid w:val="004113FF"/>
    <w:rsid w:val="00412065"/>
    <w:rsid w:val="00412318"/>
    <w:rsid w:val="00412498"/>
    <w:rsid w:val="00412843"/>
    <w:rsid w:val="0041292E"/>
    <w:rsid w:val="00412996"/>
    <w:rsid w:val="004131F4"/>
    <w:rsid w:val="004133B2"/>
    <w:rsid w:val="00413695"/>
    <w:rsid w:val="00413FB6"/>
    <w:rsid w:val="00414101"/>
    <w:rsid w:val="0041466E"/>
    <w:rsid w:val="004146E7"/>
    <w:rsid w:val="00414929"/>
    <w:rsid w:val="00415110"/>
    <w:rsid w:val="00415CE3"/>
    <w:rsid w:val="0041632B"/>
    <w:rsid w:val="00416765"/>
    <w:rsid w:val="004168DE"/>
    <w:rsid w:val="0041697A"/>
    <w:rsid w:val="00416A64"/>
    <w:rsid w:val="00416AB7"/>
    <w:rsid w:val="00416D35"/>
    <w:rsid w:val="00417057"/>
    <w:rsid w:val="0041740D"/>
    <w:rsid w:val="0041758E"/>
    <w:rsid w:val="00417728"/>
    <w:rsid w:val="00417E61"/>
    <w:rsid w:val="00420050"/>
    <w:rsid w:val="004204FF"/>
    <w:rsid w:val="004205F5"/>
    <w:rsid w:val="00420D81"/>
    <w:rsid w:val="004210FF"/>
    <w:rsid w:val="00421505"/>
    <w:rsid w:val="00421954"/>
    <w:rsid w:val="004219FD"/>
    <w:rsid w:val="00421A9B"/>
    <w:rsid w:val="00421BD5"/>
    <w:rsid w:val="00421D8E"/>
    <w:rsid w:val="0042210E"/>
    <w:rsid w:val="004222AC"/>
    <w:rsid w:val="00422727"/>
    <w:rsid w:val="004227F3"/>
    <w:rsid w:val="00423766"/>
    <w:rsid w:val="004237A5"/>
    <w:rsid w:val="0042387B"/>
    <w:rsid w:val="00423BE3"/>
    <w:rsid w:val="00423D4A"/>
    <w:rsid w:val="004248B4"/>
    <w:rsid w:val="00424961"/>
    <w:rsid w:val="00424B41"/>
    <w:rsid w:val="0042506F"/>
    <w:rsid w:val="00425276"/>
    <w:rsid w:val="004256CA"/>
    <w:rsid w:val="00425735"/>
    <w:rsid w:val="00425774"/>
    <w:rsid w:val="00425BD0"/>
    <w:rsid w:val="00425EEC"/>
    <w:rsid w:val="00426121"/>
    <w:rsid w:val="00426809"/>
    <w:rsid w:val="004269E0"/>
    <w:rsid w:val="004277E5"/>
    <w:rsid w:val="00427E15"/>
    <w:rsid w:val="00430110"/>
    <w:rsid w:val="0043091C"/>
    <w:rsid w:val="00430B77"/>
    <w:rsid w:val="00430CB8"/>
    <w:rsid w:val="0043105E"/>
    <w:rsid w:val="004317F0"/>
    <w:rsid w:val="004321E1"/>
    <w:rsid w:val="004325DF"/>
    <w:rsid w:val="004326DD"/>
    <w:rsid w:val="00432A18"/>
    <w:rsid w:val="00433025"/>
    <w:rsid w:val="004332FE"/>
    <w:rsid w:val="00433F4A"/>
    <w:rsid w:val="00434485"/>
    <w:rsid w:val="00434B85"/>
    <w:rsid w:val="00434CD8"/>
    <w:rsid w:val="00435168"/>
    <w:rsid w:val="004355FE"/>
    <w:rsid w:val="004356A3"/>
    <w:rsid w:val="00435AB3"/>
    <w:rsid w:val="00435B28"/>
    <w:rsid w:val="00436379"/>
    <w:rsid w:val="00436D15"/>
    <w:rsid w:val="00437234"/>
    <w:rsid w:val="00437559"/>
    <w:rsid w:val="004377C6"/>
    <w:rsid w:val="00437AE3"/>
    <w:rsid w:val="0044026F"/>
    <w:rsid w:val="004409DC"/>
    <w:rsid w:val="00440A3C"/>
    <w:rsid w:val="00440B9F"/>
    <w:rsid w:val="0044107D"/>
    <w:rsid w:val="00441A4B"/>
    <w:rsid w:val="00441A4C"/>
    <w:rsid w:val="00441FB4"/>
    <w:rsid w:val="004423E5"/>
    <w:rsid w:val="00442CC6"/>
    <w:rsid w:val="00442D69"/>
    <w:rsid w:val="00442D8C"/>
    <w:rsid w:val="00443442"/>
    <w:rsid w:val="00443B1D"/>
    <w:rsid w:val="00444666"/>
    <w:rsid w:val="004448F7"/>
    <w:rsid w:val="00444A13"/>
    <w:rsid w:val="00444D0C"/>
    <w:rsid w:val="00444DA2"/>
    <w:rsid w:val="0044503D"/>
    <w:rsid w:val="00445069"/>
    <w:rsid w:val="004450F1"/>
    <w:rsid w:val="00445DA7"/>
    <w:rsid w:val="00445EF6"/>
    <w:rsid w:val="00445FBC"/>
    <w:rsid w:val="0044611E"/>
    <w:rsid w:val="00446530"/>
    <w:rsid w:val="004469A8"/>
    <w:rsid w:val="00446C28"/>
    <w:rsid w:val="00447266"/>
    <w:rsid w:val="00447429"/>
    <w:rsid w:val="00450002"/>
    <w:rsid w:val="004502FF"/>
    <w:rsid w:val="00450808"/>
    <w:rsid w:val="004509C5"/>
    <w:rsid w:val="00451274"/>
    <w:rsid w:val="004519B4"/>
    <w:rsid w:val="00451E80"/>
    <w:rsid w:val="00451F00"/>
    <w:rsid w:val="0045207F"/>
    <w:rsid w:val="0045241F"/>
    <w:rsid w:val="004525E1"/>
    <w:rsid w:val="0045274D"/>
    <w:rsid w:val="00452832"/>
    <w:rsid w:val="00452A91"/>
    <w:rsid w:val="00452B46"/>
    <w:rsid w:val="00452F0E"/>
    <w:rsid w:val="004535A9"/>
    <w:rsid w:val="004538F4"/>
    <w:rsid w:val="00453985"/>
    <w:rsid w:val="00453D49"/>
    <w:rsid w:val="00454485"/>
    <w:rsid w:val="00454A48"/>
    <w:rsid w:val="00454A7A"/>
    <w:rsid w:val="00454EED"/>
    <w:rsid w:val="00455D0D"/>
    <w:rsid w:val="004563CF"/>
    <w:rsid w:val="00456953"/>
    <w:rsid w:val="00456D28"/>
    <w:rsid w:val="00457B77"/>
    <w:rsid w:val="004600D5"/>
    <w:rsid w:val="0046046D"/>
    <w:rsid w:val="004604D7"/>
    <w:rsid w:val="004605E0"/>
    <w:rsid w:val="00460950"/>
    <w:rsid w:val="004609EC"/>
    <w:rsid w:val="00460E38"/>
    <w:rsid w:val="004613B8"/>
    <w:rsid w:val="0046167A"/>
    <w:rsid w:val="00462065"/>
    <w:rsid w:val="00462242"/>
    <w:rsid w:val="00463286"/>
    <w:rsid w:val="00463429"/>
    <w:rsid w:val="00463C1B"/>
    <w:rsid w:val="00463D64"/>
    <w:rsid w:val="00463F19"/>
    <w:rsid w:val="004641AB"/>
    <w:rsid w:val="00464470"/>
    <w:rsid w:val="004646CA"/>
    <w:rsid w:val="00464CED"/>
    <w:rsid w:val="004651E3"/>
    <w:rsid w:val="00465599"/>
    <w:rsid w:val="004656E2"/>
    <w:rsid w:val="00465EF4"/>
    <w:rsid w:val="0046620A"/>
    <w:rsid w:val="004662C5"/>
    <w:rsid w:val="00466333"/>
    <w:rsid w:val="00466341"/>
    <w:rsid w:val="00466E0A"/>
    <w:rsid w:val="00466E10"/>
    <w:rsid w:val="00467255"/>
    <w:rsid w:val="00467428"/>
    <w:rsid w:val="00467679"/>
    <w:rsid w:val="0046790B"/>
    <w:rsid w:val="00467FAF"/>
    <w:rsid w:val="0047000B"/>
    <w:rsid w:val="0047010B"/>
    <w:rsid w:val="004705F9"/>
    <w:rsid w:val="00470781"/>
    <w:rsid w:val="00470C15"/>
    <w:rsid w:val="00470F5F"/>
    <w:rsid w:val="00471BBF"/>
    <w:rsid w:val="004722A6"/>
    <w:rsid w:val="004722B5"/>
    <w:rsid w:val="0047266B"/>
    <w:rsid w:val="00472F2D"/>
    <w:rsid w:val="00473041"/>
    <w:rsid w:val="004731F1"/>
    <w:rsid w:val="004738D8"/>
    <w:rsid w:val="00473CB8"/>
    <w:rsid w:val="00474567"/>
    <w:rsid w:val="00474817"/>
    <w:rsid w:val="00474827"/>
    <w:rsid w:val="00474AA6"/>
    <w:rsid w:val="00474DD1"/>
    <w:rsid w:val="00474F21"/>
    <w:rsid w:val="00475353"/>
    <w:rsid w:val="0047558F"/>
    <w:rsid w:val="004758B7"/>
    <w:rsid w:val="00475D1C"/>
    <w:rsid w:val="00475E7C"/>
    <w:rsid w:val="00475F00"/>
    <w:rsid w:val="00476382"/>
    <w:rsid w:val="00476ABD"/>
    <w:rsid w:val="0047737A"/>
    <w:rsid w:val="00477D76"/>
    <w:rsid w:val="00477E95"/>
    <w:rsid w:val="00477F0B"/>
    <w:rsid w:val="00480266"/>
    <w:rsid w:val="0048099E"/>
    <w:rsid w:val="00480AA6"/>
    <w:rsid w:val="00480AD7"/>
    <w:rsid w:val="00481A3E"/>
    <w:rsid w:val="00481C16"/>
    <w:rsid w:val="00481D3F"/>
    <w:rsid w:val="00481DD9"/>
    <w:rsid w:val="0048261F"/>
    <w:rsid w:val="00482BBE"/>
    <w:rsid w:val="00482CFF"/>
    <w:rsid w:val="00482DF7"/>
    <w:rsid w:val="0048328C"/>
    <w:rsid w:val="004836C4"/>
    <w:rsid w:val="00483CE6"/>
    <w:rsid w:val="004840BE"/>
    <w:rsid w:val="00484320"/>
    <w:rsid w:val="004848D8"/>
    <w:rsid w:val="00484D62"/>
    <w:rsid w:val="0048534D"/>
    <w:rsid w:val="00485BC4"/>
    <w:rsid w:val="00485F6B"/>
    <w:rsid w:val="004860DA"/>
    <w:rsid w:val="00486128"/>
    <w:rsid w:val="004862D0"/>
    <w:rsid w:val="00486838"/>
    <w:rsid w:val="00486E67"/>
    <w:rsid w:val="0048715E"/>
    <w:rsid w:val="00490123"/>
    <w:rsid w:val="00490886"/>
    <w:rsid w:val="00490C8C"/>
    <w:rsid w:val="004912D5"/>
    <w:rsid w:val="0049136C"/>
    <w:rsid w:val="00491850"/>
    <w:rsid w:val="00491AF6"/>
    <w:rsid w:val="00491FB3"/>
    <w:rsid w:val="00492280"/>
    <w:rsid w:val="00492BD6"/>
    <w:rsid w:val="00494013"/>
    <w:rsid w:val="004940D3"/>
    <w:rsid w:val="004949A3"/>
    <w:rsid w:val="00494CB0"/>
    <w:rsid w:val="00495639"/>
    <w:rsid w:val="0049577E"/>
    <w:rsid w:val="00495965"/>
    <w:rsid w:val="00495C1B"/>
    <w:rsid w:val="00495DCE"/>
    <w:rsid w:val="00496042"/>
    <w:rsid w:val="00496C81"/>
    <w:rsid w:val="00496F2F"/>
    <w:rsid w:val="00497372"/>
    <w:rsid w:val="00497459"/>
    <w:rsid w:val="00497580"/>
    <w:rsid w:val="00497769"/>
    <w:rsid w:val="004A1098"/>
    <w:rsid w:val="004A10B8"/>
    <w:rsid w:val="004A1365"/>
    <w:rsid w:val="004A1506"/>
    <w:rsid w:val="004A23DC"/>
    <w:rsid w:val="004A25B0"/>
    <w:rsid w:val="004A28A0"/>
    <w:rsid w:val="004A2995"/>
    <w:rsid w:val="004A2C5E"/>
    <w:rsid w:val="004A2DFD"/>
    <w:rsid w:val="004A3708"/>
    <w:rsid w:val="004A3B3B"/>
    <w:rsid w:val="004A44A2"/>
    <w:rsid w:val="004A50B6"/>
    <w:rsid w:val="004A55EF"/>
    <w:rsid w:val="004A564D"/>
    <w:rsid w:val="004A5668"/>
    <w:rsid w:val="004A5770"/>
    <w:rsid w:val="004A5890"/>
    <w:rsid w:val="004A5AC6"/>
    <w:rsid w:val="004A5BD5"/>
    <w:rsid w:val="004A5EBA"/>
    <w:rsid w:val="004A604D"/>
    <w:rsid w:val="004A6130"/>
    <w:rsid w:val="004A67CB"/>
    <w:rsid w:val="004A6A6B"/>
    <w:rsid w:val="004A6BCC"/>
    <w:rsid w:val="004A6F1F"/>
    <w:rsid w:val="004A706A"/>
    <w:rsid w:val="004A70F1"/>
    <w:rsid w:val="004A7FB2"/>
    <w:rsid w:val="004B039B"/>
    <w:rsid w:val="004B04EE"/>
    <w:rsid w:val="004B061D"/>
    <w:rsid w:val="004B090C"/>
    <w:rsid w:val="004B0D3B"/>
    <w:rsid w:val="004B1FC4"/>
    <w:rsid w:val="004B2129"/>
    <w:rsid w:val="004B218B"/>
    <w:rsid w:val="004B28C5"/>
    <w:rsid w:val="004B2914"/>
    <w:rsid w:val="004B29D0"/>
    <w:rsid w:val="004B2D32"/>
    <w:rsid w:val="004B3734"/>
    <w:rsid w:val="004B3A7D"/>
    <w:rsid w:val="004B3A88"/>
    <w:rsid w:val="004B3EA3"/>
    <w:rsid w:val="004B40F5"/>
    <w:rsid w:val="004B46D3"/>
    <w:rsid w:val="004B4A0E"/>
    <w:rsid w:val="004B4A25"/>
    <w:rsid w:val="004B4CE8"/>
    <w:rsid w:val="004B50B2"/>
    <w:rsid w:val="004B5246"/>
    <w:rsid w:val="004B6472"/>
    <w:rsid w:val="004B6A7A"/>
    <w:rsid w:val="004B7429"/>
    <w:rsid w:val="004B7611"/>
    <w:rsid w:val="004B7F3A"/>
    <w:rsid w:val="004C034E"/>
    <w:rsid w:val="004C037A"/>
    <w:rsid w:val="004C044E"/>
    <w:rsid w:val="004C098E"/>
    <w:rsid w:val="004C0B43"/>
    <w:rsid w:val="004C0E0B"/>
    <w:rsid w:val="004C0E4E"/>
    <w:rsid w:val="004C1191"/>
    <w:rsid w:val="004C14AF"/>
    <w:rsid w:val="004C1885"/>
    <w:rsid w:val="004C1B0A"/>
    <w:rsid w:val="004C1D09"/>
    <w:rsid w:val="004C1E79"/>
    <w:rsid w:val="004C20D5"/>
    <w:rsid w:val="004C2143"/>
    <w:rsid w:val="004C2431"/>
    <w:rsid w:val="004C2D60"/>
    <w:rsid w:val="004C2D69"/>
    <w:rsid w:val="004C3882"/>
    <w:rsid w:val="004C3C3B"/>
    <w:rsid w:val="004C490E"/>
    <w:rsid w:val="004C49B0"/>
    <w:rsid w:val="004C516C"/>
    <w:rsid w:val="004C537A"/>
    <w:rsid w:val="004C5AFD"/>
    <w:rsid w:val="004C5C8F"/>
    <w:rsid w:val="004C5EB6"/>
    <w:rsid w:val="004C64AA"/>
    <w:rsid w:val="004C658C"/>
    <w:rsid w:val="004C68C9"/>
    <w:rsid w:val="004C6E19"/>
    <w:rsid w:val="004C6EBE"/>
    <w:rsid w:val="004C72F7"/>
    <w:rsid w:val="004C7443"/>
    <w:rsid w:val="004C7614"/>
    <w:rsid w:val="004C77A1"/>
    <w:rsid w:val="004C7830"/>
    <w:rsid w:val="004C7E75"/>
    <w:rsid w:val="004D0726"/>
    <w:rsid w:val="004D0EF8"/>
    <w:rsid w:val="004D11FA"/>
    <w:rsid w:val="004D1417"/>
    <w:rsid w:val="004D1573"/>
    <w:rsid w:val="004D1E41"/>
    <w:rsid w:val="004D29D3"/>
    <w:rsid w:val="004D2C34"/>
    <w:rsid w:val="004D3880"/>
    <w:rsid w:val="004D3986"/>
    <w:rsid w:val="004D3B6E"/>
    <w:rsid w:val="004D44B3"/>
    <w:rsid w:val="004D45F5"/>
    <w:rsid w:val="004D492D"/>
    <w:rsid w:val="004D4969"/>
    <w:rsid w:val="004D563F"/>
    <w:rsid w:val="004D590B"/>
    <w:rsid w:val="004D5988"/>
    <w:rsid w:val="004D63F1"/>
    <w:rsid w:val="004D646C"/>
    <w:rsid w:val="004E0447"/>
    <w:rsid w:val="004E0ACA"/>
    <w:rsid w:val="004E0EE2"/>
    <w:rsid w:val="004E14A7"/>
    <w:rsid w:val="004E1AB5"/>
    <w:rsid w:val="004E1C08"/>
    <w:rsid w:val="004E258C"/>
    <w:rsid w:val="004E2B43"/>
    <w:rsid w:val="004E2C6D"/>
    <w:rsid w:val="004E2C83"/>
    <w:rsid w:val="004E2DAA"/>
    <w:rsid w:val="004E2F9F"/>
    <w:rsid w:val="004E32A0"/>
    <w:rsid w:val="004E32C8"/>
    <w:rsid w:val="004E341D"/>
    <w:rsid w:val="004E3756"/>
    <w:rsid w:val="004E3949"/>
    <w:rsid w:val="004E39A9"/>
    <w:rsid w:val="004E42CB"/>
    <w:rsid w:val="004E434D"/>
    <w:rsid w:val="004E4602"/>
    <w:rsid w:val="004E4896"/>
    <w:rsid w:val="004E52D5"/>
    <w:rsid w:val="004E56CC"/>
    <w:rsid w:val="004E58A4"/>
    <w:rsid w:val="004E6085"/>
    <w:rsid w:val="004E640F"/>
    <w:rsid w:val="004E657B"/>
    <w:rsid w:val="004E6620"/>
    <w:rsid w:val="004E6757"/>
    <w:rsid w:val="004E67F1"/>
    <w:rsid w:val="004E67FD"/>
    <w:rsid w:val="004E71D4"/>
    <w:rsid w:val="004E71F9"/>
    <w:rsid w:val="004F0258"/>
    <w:rsid w:val="004F057D"/>
    <w:rsid w:val="004F05DC"/>
    <w:rsid w:val="004F0C89"/>
    <w:rsid w:val="004F0D1A"/>
    <w:rsid w:val="004F0F3A"/>
    <w:rsid w:val="004F1147"/>
    <w:rsid w:val="004F1807"/>
    <w:rsid w:val="004F1C6C"/>
    <w:rsid w:val="004F22F8"/>
    <w:rsid w:val="004F23FA"/>
    <w:rsid w:val="004F2E08"/>
    <w:rsid w:val="004F38A0"/>
    <w:rsid w:val="004F3B96"/>
    <w:rsid w:val="004F3E5B"/>
    <w:rsid w:val="004F47FC"/>
    <w:rsid w:val="004F4922"/>
    <w:rsid w:val="004F4F41"/>
    <w:rsid w:val="004F502E"/>
    <w:rsid w:val="004F5414"/>
    <w:rsid w:val="004F6840"/>
    <w:rsid w:val="004F687F"/>
    <w:rsid w:val="004F6962"/>
    <w:rsid w:val="004F69F6"/>
    <w:rsid w:val="004F6C1F"/>
    <w:rsid w:val="004F6C83"/>
    <w:rsid w:val="004F6D52"/>
    <w:rsid w:val="004F7583"/>
    <w:rsid w:val="004F75D9"/>
    <w:rsid w:val="004F7E52"/>
    <w:rsid w:val="005008B4"/>
    <w:rsid w:val="005009A9"/>
    <w:rsid w:val="005010E9"/>
    <w:rsid w:val="00501FFD"/>
    <w:rsid w:val="00502ACD"/>
    <w:rsid w:val="00502AFA"/>
    <w:rsid w:val="005034E5"/>
    <w:rsid w:val="00503B94"/>
    <w:rsid w:val="00503FCF"/>
    <w:rsid w:val="00504A48"/>
    <w:rsid w:val="00504FC7"/>
    <w:rsid w:val="00505C8C"/>
    <w:rsid w:val="00506147"/>
    <w:rsid w:val="00506274"/>
    <w:rsid w:val="00506677"/>
    <w:rsid w:val="00506968"/>
    <w:rsid w:val="00506B41"/>
    <w:rsid w:val="00506CF8"/>
    <w:rsid w:val="00506D53"/>
    <w:rsid w:val="00506F3C"/>
    <w:rsid w:val="005075C3"/>
    <w:rsid w:val="005079ED"/>
    <w:rsid w:val="00507BE8"/>
    <w:rsid w:val="00507C26"/>
    <w:rsid w:val="00507E61"/>
    <w:rsid w:val="005100FA"/>
    <w:rsid w:val="005104A9"/>
    <w:rsid w:val="005104EC"/>
    <w:rsid w:val="0051056D"/>
    <w:rsid w:val="00510673"/>
    <w:rsid w:val="00511264"/>
    <w:rsid w:val="0051132B"/>
    <w:rsid w:val="00511457"/>
    <w:rsid w:val="0051184B"/>
    <w:rsid w:val="00511B39"/>
    <w:rsid w:val="00511F77"/>
    <w:rsid w:val="00512270"/>
    <w:rsid w:val="00512478"/>
    <w:rsid w:val="005126C2"/>
    <w:rsid w:val="005129EB"/>
    <w:rsid w:val="005129EF"/>
    <w:rsid w:val="0051339A"/>
    <w:rsid w:val="005138B5"/>
    <w:rsid w:val="00513953"/>
    <w:rsid w:val="00513C86"/>
    <w:rsid w:val="00513C98"/>
    <w:rsid w:val="00513D8A"/>
    <w:rsid w:val="00514194"/>
    <w:rsid w:val="005147E8"/>
    <w:rsid w:val="0051486E"/>
    <w:rsid w:val="00514AE9"/>
    <w:rsid w:val="00514AF7"/>
    <w:rsid w:val="005158BD"/>
    <w:rsid w:val="00515D71"/>
    <w:rsid w:val="00515E2C"/>
    <w:rsid w:val="0051635E"/>
    <w:rsid w:val="005165EE"/>
    <w:rsid w:val="005167E4"/>
    <w:rsid w:val="00516C66"/>
    <w:rsid w:val="00516C9A"/>
    <w:rsid w:val="00516F35"/>
    <w:rsid w:val="00517404"/>
    <w:rsid w:val="00517415"/>
    <w:rsid w:val="005177D3"/>
    <w:rsid w:val="00517A2D"/>
    <w:rsid w:val="00517D21"/>
    <w:rsid w:val="005203E3"/>
    <w:rsid w:val="0052056D"/>
    <w:rsid w:val="005209A3"/>
    <w:rsid w:val="00521B60"/>
    <w:rsid w:val="00522A52"/>
    <w:rsid w:val="005231A2"/>
    <w:rsid w:val="005234DD"/>
    <w:rsid w:val="005236F2"/>
    <w:rsid w:val="00523DD9"/>
    <w:rsid w:val="00523E1F"/>
    <w:rsid w:val="00524147"/>
    <w:rsid w:val="005244A7"/>
    <w:rsid w:val="005244DF"/>
    <w:rsid w:val="00524862"/>
    <w:rsid w:val="0052510A"/>
    <w:rsid w:val="0052693D"/>
    <w:rsid w:val="00527256"/>
    <w:rsid w:val="00527574"/>
    <w:rsid w:val="00527BDF"/>
    <w:rsid w:val="00527D7A"/>
    <w:rsid w:val="005302F4"/>
    <w:rsid w:val="00530550"/>
    <w:rsid w:val="005307BF"/>
    <w:rsid w:val="00530EA0"/>
    <w:rsid w:val="00530F8B"/>
    <w:rsid w:val="00531A23"/>
    <w:rsid w:val="00531AA5"/>
    <w:rsid w:val="00531B3D"/>
    <w:rsid w:val="00531C55"/>
    <w:rsid w:val="00531DEF"/>
    <w:rsid w:val="005323B8"/>
    <w:rsid w:val="00532B6D"/>
    <w:rsid w:val="00532F0E"/>
    <w:rsid w:val="005335A0"/>
    <w:rsid w:val="0053369B"/>
    <w:rsid w:val="00533BDC"/>
    <w:rsid w:val="00533E2D"/>
    <w:rsid w:val="00533EAE"/>
    <w:rsid w:val="005345D0"/>
    <w:rsid w:val="00534B36"/>
    <w:rsid w:val="00535368"/>
    <w:rsid w:val="00535588"/>
    <w:rsid w:val="005355A4"/>
    <w:rsid w:val="005355A9"/>
    <w:rsid w:val="00535632"/>
    <w:rsid w:val="00535862"/>
    <w:rsid w:val="0053675C"/>
    <w:rsid w:val="005367A9"/>
    <w:rsid w:val="00536A24"/>
    <w:rsid w:val="00536B4E"/>
    <w:rsid w:val="005370D8"/>
    <w:rsid w:val="0053778F"/>
    <w:rsid w:val="0053792C"/>
    <w:rsid w:val="00537A07"/>
    <w:rsid w:val="00537A11"/>
    <w:rsid w:val="00537A17"/>
    <w:rsid w:val="00537B22"/>
    <w:rsid w:val="005405FF"/>
    <w:rsid w:val="0054070C"/>
    <w:rsid w:val="00540886"/>
    <w:rsid w:val="00540F02"/>
    <w:rsid w:val="0054115D"/>
    <w:rsid w:val="005411DB"/>
    <w:rsid w:val="0054139D"/>
    <w:rsid w:val="005413C8"/>
    <w:rsid w:val="005414AE"/>
    <w:rsid w:val="005415D5"/>
    <w:rsid w:val="005416AA"/>
    <w:rsid w:val="005419EF"/>
    <w:rsid w:val="00542270"/>
    <w:rsid w:val="0054276D"/>
    <w:rsid w:val="00542A01"/>
    <w:rsid w:val="005435F5"/>
    <w:rsid w:val="00543ADE"/>
    <w:rsid w:val="00543D89"/>
    <w:rsid w:val="00543F44"/>
    <w:rsid w:val="00544A34"/>
    <w:rsid w:val="005450CB"/>
    <w:rsid w:val="00545704"/>
    <w:rsid w:val="005457D4"/>
    <w:rsid w:val="00546850"/>
    <w:rsid w:val="00546B68"/>
    <w:rsid w:val="00547509"/>
    <w:rsid w:val="005475A5"/>
    <w:rsid w:val="005475D3"/>
    <w:rsid w:val="00547675"/>
    <w:rsid w:val="005477F5"/>
    <w:rsid w:val="005478AA"/>
    <w:rsid w:val="00547A0B"/>
    <w:rsid w:val="00547B58"/>
    <w:rsid w:val="00547F80"/>
    <w:rsid w:val="00550478"/>
    <w:rsid w:val="005504CB"/>
    <w:rsid w:val="00550970"/>
    <w:rsid w:val="00550F7B"/>
    <w:rsid w:val="00551639"/>
    <w:rsid w:val="00551D05"/>
    <w:rsid w:val="00552177"/>
    <w:rsid w:val="005521A2"/>
    <w:rsid w:val="00552266"/>
    <w:rsid w:val="0055267B"/>
    <w:rsid w:val="0055274D"/>
    <w:rsid w:val="0055279C"/>
    <w:rsid w:val="00552AFC"/>
    <w:rsid w:val="00552B49"/>
    <w:rsid w:val="00552E15"/>
    <w:rsid w:val="00552EBE"/>
    <w:rsid w:val="00553EDC"/>
    <w:rsid w:val="00554063"/>
    <w:rsid w:val="00554085"/>
    <w:rsid w:val="00554775"/>
    <w:rsid w:val="00554B0A"/>
    <w:rsid w:val="00554E88"/>
    <w:rsid w:val="005551D8"/>
    <w:rsid w:val="005557D3"/>
    <w:rsid w:val="00555B40"/>
    <w:rsid w:val="00556F7E"/>
    <w:rsid w:val="00557524"/>
    <w:rsid w:val="00557585"/>
    <w:rsid w:val="0055796B"/>
    <w:rsid w:val="00557DFD"/>
    <w:rsid w:val="0056004A"/>
    <w:rsid w:val="00560272"/>
    <w:rsid w:val="005609D4"/>
    <w:rsid w:val="00560AEA"/>
    <w:rsid w:val="00561514"/>
    <w:rsid w:val="00561519"/>
    <w:rsid w:val="00561618"/>
    <w:rsid w:val="00561B3B"/>
    <w:rsid w:val="00561BA2"/>
    <w:rsid w:val="00562955"/>
    <w:rsid w:val="005629E5"/>
    <w:rsid w:val="00562B93"/>
    <w:rsid w:val="00562E31"/>
    <w:rsid w:val="0056337E"/>
    <w:rsid w:val="00563687"/>
    <w:rsid w:val="00563AA7"/>
    <w:rsid w:val="0056434F"/>
    <w:rsid w:val="00564970"/>
    <w:rsid w:val="00565906"/>
    <w:rsid w:val="00565BA4"/>
    <w:rsid w:val="00565C27"/>
    <w:rsid w:val="00565DF8"/>
    <w:rsid w:val="0056635C"/>
    <w:rsid w:val="005668E0"/>
    <w:rsid w:val="00566B11"/>
    <w:rsid w:val="00566D25"/>
    <w:rsid w:val="00567126"/>
    <w:rsid w:val="005675B0"/>
    <w:rsid w:val="00567D39"/>
    <w:rsid w:val="00567FC9"/>
    <w:rsid w:val="00570140"/>
    <w:rsid w:val="005701A7"/>
    <w:rsid w:val="0057121A"/>
    <w:rsid w:val="005714FE"/>
    <w:rsid w:val="0057153A"/>
    <w:rsid w:val="005719E7"/>
    <w:rsid w:val="00571B87"/>
    <w:rsid w:val="00571CAD"/>
    <w:rsid w:val="005723FE"/>
    <w:rsid w:val="00572654"/>
    <w:rsid w:val="0057306C"/>
    <w:rsid w:val="0057319C"/>
    <w:rsid w:val="00573326"/>
    <w:rsid w:val="005735CF"/>
    <w:rsid w:val="00573A3C"/>
    <w:rsid w:val="005741DF"/>
    <w:rsid w:val="0057457F"/>
    <w:rsid w:val="00574BB8"/>
    <w:rsid w:val="00575016"/>
    <w:rsid w:val="0057529C"/>
    <w:rsid w:val="005752E1"/>
    <w:rsid w:val="005753FD"/>
    <w:rsid w:val="00575414"/>
    <w:rsid w:val="0057603D"/>
    <w:rsid w:val="00576927"/>
    <w:rsid w:val="0057695F"/>
    <w:rsid w:val="00576EBE"/>
    <w:rsid w:val="00577419"/>
    <w:rsid w:val="00577C2B"/>
    <w:rsid w:val="00577EEF"/>
    <w:rsid w:val="00580752"/>
    <w:rsid w:val="0058113D"/>
    <w:rsid w:val="00581544"/>
    <w:rsid w:val="00581A37"/>
    <w:rsid w:val="00581B08"/>
    <w:rsid w:val="00581BFE"/>
    <w:rsid w:val="005821BC"/>
    <w:rsid w:val="005821CD"/>
    <w:rsid w:val="005828AA"/>
    <w:rsid w:val="00582B16"/>
    <w:rsid w:val="00583AD7"/>
    <w:rsid w:val="00584011"/>
    <w:rsid w:val="00584CFB"/>
    <w:rsid w:val="00584D29"/>
    <w:rsid w:val="00585027"/>
    <w:rsid w:val="00585086"/>
    <w:rsid w:val="0058554F"/>
    <w:rsid w:val="00585A16"/>
    <w:rsid w:val="00585A24"/>
    <w:rsid w:val="005863F5"/>
    <w:rsid w:val="005866BE"/>
    <w:rsid w:val="00586F87"/>
    <w:rsid w:val="005870CE"/>
    <w:rsid w:val="005875E8"/>
    <w:rsid w:val="00587892"/>
    <w:rsid w:val="005901C6"/>
    <w:rsid w:val="005903B8"/>
    <w:rsid w:val="00590B62"/>
    <w:rsid w:val="00590D08"/>
    <w:rsid w:val="00590FCE"/>
    <w:rsid w:val="005912D8"/>
    <w:rsid w:val="00591382"/>
    <w:rsid w:val="00591789"/>
    <w:rsid w:val="005919BF"/>
    <w:rsid w:val="00591B89"/>
    <w:rsid w:val="00591FC4"/>
    <w:rsid w:val="00592430"/>
    <w:rsid w:val="005924E7"/>
    <w:rsid w:val="00592ACA"/>
    <w:rsid w:val="00592DA2"/>
    <w:rsid w:val="00592E79"/>
    <w:rsid w:val="00592EEF"/>
    <w:rsid w:val="0059375D"/>
    <w:rsid w:val="00594204"/>
    <w:rsid w:val="00594383"/>
    <w:rsid w:val="005944CA"/>
    <w:rsid w:val="00594904"/>
    <w:rsid w:val="00597181"/>
    <w:rsid w:val="00597A75"/>
    <w:rsid w:val="00597C51"/>
    <w:rsid w:val="00597D50"/>
    <w:rsid w:val="00597EE3"/>
    <w:rsid w:val="005A0035"/>
    <w:rsid w:val="005A00E2"/>
    <w:rsid w:val="005A025C"/>
    <w:rsid w:val="005A033A"/>
    <w:rsid w:val="005A064D"/>
    <w:rsid w:val="005A06B9"/>
    <w:rsid w:val="005A06E2"/>
    <w:rsid w:val="005A1075"/>
    <w:rsid w:val="005A1666"/>
    <w:rsid w:val="005A1C5B"/>
    <w:rsid w:val="005A1C74"/>
    <w:rsid w:val="005A2B71"/>
    <w:rsid w:val="005A3536"/>
    <w:rsid w:val="005A35F5"/>
    <w:rsid w:val="005A3ED0"/>
    <w:rsid w:val="005A3F85"/>
    <w:rsid w:val="005A435D"/>
    <w:rsid w:val="005A4579"/>
    <w:rsid w:val="005A539E"/>
    <w:rsid w:val="005A5999"/>
    <w:rsid w:val="005A5C15"/>
    <w:rsid w:val="005A5ED1"/>
    <w:rsid w:val="005A6286"/>
    <w:rsid w:val="005A6311"/>
    <w:rsid w:val="005A6346"/>
    <w:rsid w:val="005A655E"/>
    <w:rsid w:val="005A666E"/>
    <w:rsid w:val="005A694D"/>
    <w:rsid w:val="005A6D2F"/>
    <w:rsid w:val="005A73EE"/>
    <w:rsid w:val="005A7997"/>
    <w:rsid w:val="005A7BBA"/>
    <w:rsid w:val="005B082B"/>
    <w:rsid w:val="005B09F5"/>
    <w:rsid w:val="005B17DD"/>
    <w:rsid w:val="005B17E8"/>
    <w:rsid w:val="005B1DD4"/>
    <w:rsid w:val="005B1E97"/>
    <w:rsid w:val="005B21DD"/>
    <w:rsid w:val="005B21FB"/>
    <w:rsid w:val="005B22E1"/>
    <w:rsid w:val="005B2589"/>
    <w:rsid w:val="005B28F5"/>
    <w:rsid w:val="005B29DA"/>
    <w:rsid w:val="005B30B2"/>
    <w:rsid w:val="005B30FC"/>
    <w:rsid w:val="005B343F"/>
    <w:rsid w:val="005B3962"/>
    <w:rsid w:val="005B3B5A"/>
    <w:rsid w:val="005B3B76"/>
    <w:rsid w:val="005B4329"/>
    <w:rsid w:val="005B4430"/>
    <w:rsid w:val="005B47BE"/>
    <w:rsid w:val="005B507F"/>
    <w:rsid w:val="005B5626"/>
    <w:rsid w:val="005B5A17"/>
    <w:rsid w:val="005B5BAC"/>
    <w:rsid w:val="005B5F94"/>
    <w:rsid w:val="005B5FE9"/>
    <w:rsid w:val="005B6056"/>
    <w:rsid w:val="005B63FE"/>
    <w:rsid w:val="005B699A"/>
    <w:rsid w:val="005B6E4B"/>
    <w:rsid w:val="005B72C9"/>
    <w:rsid w:val="005C0014"/>
    <w:rsid w:val="005C0424"/>
    <w:rsid w:val="005C0A90"/>
    <w:rsid w:val="005C0AFC"/>
    <w:rsid w:val="005C0C3B"/>
    <w:rsid w:val="005C0D75"/>
    <w:rsid w:val="005C15EB"/>
    <w:rsid w:val="005C164F"/>
    <w:rsid w:val="005C1AB2"/>
    <w:rsid w:val="005C1EF2"/>
    <w:rsid w:val="005C2234"/>
    <w:rsid w:val="005C2338"/>
    <w:rsid w:val="005C2676"/>
    <w:rsid w:val="005C296C"/>
    <w:rsid w:val="005C29FA"/>
    <w:rsid w:val="005C319D"/>
    <w:rsid w:val="005C31BC"/>
    <w:rsid w:val="005C371D"/>
    <w:rsid w:val="005C3F8A"/>
    <w:rsid w:val="005C413D"/>
    <w:rsid w:val="005C4156"/>
    <w:rsid w:val="005C417C"/>
    <w:rsid w:val="005C47FE"/>
    <w:rsid w:val="005C4CB0"/>
    <w:rsid w:val="005C4CF7"/>
    <w:rsid w:val="005C4EB4"/>
    <w:rsid w:val="005C4F32"/>
    <w:rsid w:val="005C4F9E"/>
    <w:rsid w:val="005C4FEC"/>
    <w:rsid w:val="005C50DE"/>
    <w:rsid w:val="005C512A"/>
    <w:rsid w:val="005C5669"/>
    <w:rsid w:val="005C57C6"/>
    <w:rsid w:val="005C59AA"/>
    <w:rsid w:val="005C5BB2"/>
    <w:rsid w:val="005C5E90"/>
    <w:rsid w:val="005C60E9"/>
    <w:rsid w:val="005C6473"/>
    <w:rsid w:val="005C6584"/>
    <w:rsid w:val="005C6713"/>
    <w:rsid w:val="005C6ABB"/>
    <w:rsid w:val="005C6AD7"/>
    <w:rsid w:val="005C6CCE"/>
    <w:rsid w:val="005C6DC0"/>
    <w:rsid w:val="005C71CC"/>
    <w:rsid w:val="005C78DD"/>
    <w:rsid w:val="005C7AC4"/>
    <w:rsid w:val="005C7B9A"/>
    <w:rsid w:val="005C7F6D"/>
    <w:rsid w:val="005D0197"/>
    <w:rsid w:val="005D04C8"/>
    <w:rsid w:val="005D08D8"/>
    <w:rsid w:val="005D115D"/>
    <w:rsid w:val="005D1179"/>
    <w:rsid w:val="005D12EB"/>
    <w:rsid w:val="005D1490"/>
    <w:rsid w:val="005D16E4"/>
    <w:rsid w:val="005D1B42"/>
    <w:rsid w:val="005D1D57"/>
    <w:rsid w:val="005D1DC7"/>
    <w:rsid w:val="005D221B"/>
    <w:rsid w:val="005D2875"/>
    <w:rsid w:val="005D2A41"/>
    <w:rsid w:val="005D30BA"/>
    <w:rsid w:val="005D349A"/>
    <w:rsid w:val="005D3986"/>
    <w:rsid w:val="005D40ED"/>
    <w:rsid w:val="005D42A8"/>
    <w:rsid w:val="005D5019"/>
    <w:rsid w:val="005D50F4"/>
    <w:rsid w:val="005D51DB"/>
    <w:rsid w:val="005D5327"/>
    <w:rsid w:val="005D53F6"/>
    <w:rsid w:val="005D58FD"/>
    <w:rsid w:val="005D5D94"/>
    <w:rsid w:val="005D6D00"/>
    <w:rsid w:val="005D6F4B"/>
    <w:rsid w:val="005D79C1"/>
    <w:rsid w:val="005D7C40"/>
    <w:rsid w:val="005E00BD"/>
    <w:rsid w:val="005E0147"/>
    <w:rsid w:val="005E0FC4"/>
    <w:rsid w:val="005E1EF3"/>
    <w:rsid w:val="005E21C1"/>
    <w:rsid w:val="005E26B3"/>
    <w:rsid w:val="005E27AA"/>
    <w:rsid w:val="005E288A"/>
    <w:rsid w:val="005E30A7"/>
    <w:rsid w:val="005E3739"/>
    <w:rsid w:val="005E3DA4"/>
    <w:rsid w:val="005E3DA6"/>
    <w:rsid w:val="005E3DB6"/>
    <w:rsid w:val="005E40E0"/>
    <w:rsid w:val="005E41BE"/>
    <w:rsid w:val="005E41C0"/>
    <w:rsid w:val="005E50D7"/>
    <w:rsid w:val="005E5426"/>
    <w:rsid w:val="005E555D"/>
    <w:rsid w:val="005E5DC4"/>
    <w:rsid w:val="005E65AC"/>
    <w:rsid w:val="005E6827"/>
    <w:rsid w:val="005E7188"/>
    <w:rsid w:val="005E7408"/>
    <w:rsid w:val="005E754D"/>
    <w:rsid w:val="005E7593"/>
    <w:rsid w:val="005E787B"/>
    <w:rsid w:val="005E7C73"/>
    <w:rsid w:val="005F0503"/>
    <w:rsid w:val="005F072C"/>
    <w:rsid w:val="005F0D0E"/>
    <w:rsid w:val="005F0DF7"/>
    <w:rsid w:val="005F149F"/>
    <w:rsid w:val="005F15B0"/>
    <w:rsid w:val="005F1879"/>
    <w:rsid w:val="005F1B5A"/>
    <w:rsid w:val="005F2089"/>
    <w:rsid w:val="005F22A7"/>
    <w:rsid w:val="005F25D7"/>
    <w:rsid w:val="005F2CBF"/>
    <w:rsid w:val="005F3012"/>
    <w:rsid w:val="005F3439"/>
    <w:rsid w:val="005F3E3A"/>
    <w:rsid w:val="005F3E51"/>
    <w:rsid w:val="005F4261"/>
    <w:rsid w:val="005F442F"/>
    <w:rsid w:val="005F4784"/>
    <w:rsid w:val="005F56AE"/>
    <w:rsid w:val="005F5F8F"/>
    <w:rsid w:val="005F77A6"/>
    <w:rsid w:val="005F781A"/>
    <w:rsid w:val="005F7CC5"/>
    <w:rsid w:val="006002D8"/>
    <w:rsid w:val="00600335"/>
    <w:rsid w:val="006003BA"/>
    <w:rsid w:val="00600A0C"/>
    <w:rsid w:val="00600B25"/>
    <w:rsid w:val="00600CB5"/>
    <w:rsid w:val="00600FAC"/>
    <w:rsid w:val="00601010"/>
    <w:rsid w:val="006011CF"/>
    <w:rsid w:val="006018F8"/>
    <w:rsid w:val="00601C2A"/>
    <w:rsid w:val="0060216E"/>
    <w:rsid w:val="00602E43"/>
    <w:rsid w:val="006034CA"/>
    <w:rsid w:val="00603749"/>
    <w:rsid w:val="00603C82"/>
    <w:rsid w:val="00604B22"/>
    <w:rsid w:val="00604B43"/>
    <w:rsid w:val="00604DEB"/>
    <w:rsid w:val="00605496"/>
    <w:rsid w:val="006058EC"/>
    <w:rsid w:val="0060625E"/>
    <w:rsid w:val="00606D58"/>
    <w:rsid w:val="00606D5C"/>
    <w:rsid w:val="00606DDA"/>
    <w:rsid w:val="00606FF4"/>
    <w:rsid w:val="006074E3"/>
    <w:rsid w:val="00607B49"/>
    <w:rsid w:val="0061026B"/>
    <w:rsid w:val="00610803"/>
    <w:rsid w:val="00610A1B"/>
    <w:rsid w:val="00611304"/>
    <w:rsid w:val="00611406"/>
    <w:rsid w:val="006115FD"/>
    <w:rsid w:val="0061219C"/>
    <w:rsid w:val="00612344"/>
    <w:rsid w:val="006123DF"/>
    <w:rsid w:val="00612AD8"/>
    <w:rsid w:val="00612C03"/>
    <w:rsid w:val="00612EA1"/>
    <w:rsid w:val="006130C1"/>
    <w:rsid w:val="006138D2"/>
    <w:rsid w:val="00613F66"/>
    <w:rsid w:val="00614183"/>
    <w:rsid w:val="006142C0"/>
    <w:rsid w:val="006147DC"/>
    <w:rsid w:val="006148C7"/>
    <w:rsid w:val="00614A20"/>
    <w:rsid w:val="006155E6"/>
    <w:rsid w:val="00615909"/>
    <w:rsid w:val="00615B68"/>
    <w:rsid w:val="00615DF7"/>
    <w:rsid w:val="0061673A"/>
    <w:rsid w:val="00616B1A"/>
    <w:rsid w:val="0061717F"/>
    <w:rsid w:val="0061725A"/>
    <w:rsid w:val="00617773"/>
    <w:rsid w:val="006178A4"/>
    <w:rsid w:val="006179A3"/>
    <w:rsid w:val="00617B79"/>
    <w:rsid w:val="00620746"/>
    <w:rsid w:val="00620BC8"/>
    <w:rsid w:val="00620DCD"/>
    <w:rsid w:val="00620EFE"/>
    <w:rsid w:val="0062102A"/>
    <w:rsid w:val="0062105C"/>
    <w:rsid w:val="00621410"/>
    <w:rsid w:val="00621FDB"/>
    <w:rsid w:val="0062265B"/>
    <w:rsid w:val="00622936"/>
    <w:rsid w:val="00622D66"/>
    <w:rsid w:val="00622FED"/>
    <w:rsid w:val="006237ED"/>
    <w:rsid w:val="0062385A"/>
    <w:rsid w:val="006238FB"/>
    <w:rsid w:val="00623CFD"/>
    <w:rsid w:val="0062411A"/>
    <w:rsid w:val="006243A5"/>
    <w:rsid w:val="00624915"/>
    <w:rsid w:val="00624D88"/>
    <w:rsid w:val="00624FCA"/>
    <w:rsid w:val="0062542B"/>
    <w:rsid w:val="00625DAA"/>
    <w:rsid w:val="00625E48"/>
    <w:rsid w:val="00626818"/>
    <w:rsid w:val="006271AA"/>
    <w:rsid w:val="006271CB"/>
    <w:rsid w:val="00627271"/>
    <w:rsid w:val="00627424"/>
    <w:rsid w:val="006278AF"/>
    <w:rsid w:val="0062790C"/>
    <w:rsid w:val="00627EBA"/>
    <w:rsid w:val="00630141"/>
    <w:rsid w:val="0063034D"/>
    <w:rsid w:val="0063038B"/>
    <w:rsid w:val="00630767"/>
    <w:rsid w:val="00630825"/>
    <w:rsid w:val="006309C9"/>
    <w:rsid w:val="00630A01"/>
    <w:rsid w:val="0063113E"/>
    <w:rsid w:val="0063175E"/>
    <w:rsid w:val="0063187B"/>
    <w:rsid w:val="0063197A"/>
    <w:rsid w:val="00632415"/>
    <w:rsid w:val="00632663"/>
    <w:rsid w:val="0063271C"/>
    <w:rsid w:val="00632CBF"/>
    <w:rsid w:val="00632D5B"/>
    <w:rsid w:val="00633471"/>
    <w:rsid w:val="00634494"/>
    <w:rsid w:val="006347E6"/>
    <w:rsid w:val="0063515C"/>
    <w:rsid w:val="0063526E"/>
    <w:rsid w:val="006355AB"/>
    <w:rsid w:val="00635642"/>
    <w:rsid w:val="00635BB0"/>
    <w:rsid w:val="00635BC1"/>
    <w:rsid w:val="00635D2D"/>
    <w:rsid w:val="00635FD1"/>
    <w:rsid w:val="006361DD"/>
    <w:rsid w:val="006363A4"/>
    <w:rsid w:val="00636C69"/>
    <w:rsid w:val="006371ED"/>
    <w:rsid w:val="00637640"/>
    <w:rsid w:val="00637E70"/>
    <w:rsid w:val="006405D7"/>
    <w:rsid w:val="006410C3"/>
    <w:rsid w:val="006411AE"/>
    <w:rsid w:val="006416C6"/>
    <w:rsid w:val="00641A94"/>
    <w:rsid w:val="00641DCC"/>
    <w:rsid w:val="0064228D"/>
    <w:rsid w:val="00642939"/>
    <w:rsid w:val="00642A4E"/>
    <w:rsid w:val="00642F0E"/>
    <w:rsid w:val="006430AC"/>
    <w:rsid w:val="0064373E"/>
    <w:rsid w:val="00643815"/>
    <w:rsid w:val="006439C0"/>
    <w:rsid w:val="00643E33"/>
    <w:rsid w:val="0064453D"/>
    <w:rsid w:val="00644DDE"/>
    <w:rsid w:val="00644FD3"/>
    <w:rsid w:val="00645453"/>
    <w:rsid w:val="00645A33"/>
    <w:rsid w:val="00645ECD"/>
    <w:rsid w:val="00645F33"/>
    <w:rsid w:val="00646792"/>
    <w:rsid w:val="00646946"/>
    <w:rsid w:val="006469BE"/>
    <w:rsid w:val="00646E33"/>
    <w:rsid w:val="00646E66"/>
    <w:rsid w:val="006473A7"/>
    <w:rsid w:val="0064789A"/>
    <w:rsid w:val="0064798E"/>
    <w:rsid w:val="00647B47"/>
    <w:rsid w:val="00647C0B"/>
    <w:rsid w:val="00647D02"/>
    <w:rsid w:val="006503A9"/>
    <w:rsid w:val="006504A8"/>
    <w:rsid w:val="00650514"/>
    <w:rsid w:val="006506F5"/>
    <w:rsid w:val="00650705"/>
    <w:rsid w:val="00650C48"/>
    <w:rsid w:val="00650E27"/>
    <w:rsid w:val="00651063"/>
    <w:rsid w:val="006518EF"/>
    <w:rsid w:val="00651D17"/>
    <w:rsid w:val="00652529"/>
    <w:rsid w:val="006525B9"/>
    <w:rsid w:val="006526A5"/>
    <w:rsid w:val="00652859"/>
    <w:rsid w:val="00652A2F"/>
    <w:rsid w:val="00652E00"/>
    <w:rsid w:val="00653A58"/>
    <w:rsid w:val="00653B56"/>
    <w:rsid w:val="00653E41"/>
    <w:rsid w:val="00653EC0"/>
    <w:rsid w:val="00654F5A"/>
    <w:rsid w:val="00655292"/>
    <w:rsid w:val="0065534F"/>
    <w:rsid w:val="00655C02"/>
    <w:rsid w:val="00655C06"/>
    <w:rsid w:val="00656287"/>
    <w:rsid w:val="00656393"/>
    <w:rsid w:val="006565C7"/>
    <w:rsid w:val="00657212"/>
    <w:rsid w:val="00657303"/>
    <w:rsid w:val="00657931"/>
    <w:rsid w:val="006579A6"/>
    <w:rsid w:val="0066055C"/>
    <w:rsid w:val="006613C8"/>
    <w:rsid w:val="00661415"/>
    <w:rsid w:val="006618E2"/>
    <w:rsid w:val="006619E4"/>
    <w:rsid w:val="00661E5C"/>
    <w:rsid w:val="006623C8"/>
    <w:rsid w:val="00662552"/>
    <w:rsid w:val="006626CC"/>
    <w:rsid w:val="006627AD"/>
    <w:rsid w:val="00662B0F"/>
    <w:rsid w:val="00663CD6"/>
    <w:rsid w:val="00663DBB"/>
    <w:rsid w:val="006641DB"/>
    <w:rsid w:val="00664D82"/>
    <w:rsid w:val="00664FAA"/>
    <w:rsid w:val="006656BD"/>
    <w:rsid w:val="00666472"/>
    <w:rsid w:val="006664F3"/>
    <w:rsid w:val="00666573"/>
    <w:rsid w:val="00666E74"/>
    <w:rsid w:val="00667571"/>
    <w:rsid w:val="0067033F"/>
    <w:rsid w:val="0067064E"/>
    <w:rsid w:val="0067109F"/>
    <w:rsid w:val="0067140F"/>
    <w:rsid w:val="00671498"/>
    <w:rsid w:val="00672649"/>
    <w:rsid w:val="00672BD6"/>
    <w:rsid w:val="00672CDF"/>
    <w:rsid w:val="00672F0E"/>
    <w:rsid w:val="0067314A"/>
    <w:rsid w:val="00673873"/>
    <w:rsid w:val="00673B23"/>
    <w:rsid w:val="0067419B"/>
    <w:rsid w:val="0067429D"/>
    <w:rsid w:val="0067458B"/>
    <w:rsid w:val="00674A88"/>
    <w:rsid w:val="00674D44"/>
    <w:rsid w:val="00675718"/>
    <w:rsid w:val="0067594C"/>
    <w:rsid w:val="00675C57"/>
    <w:rsid w:val="006762ED"/>
    <w:rsid w:val="0067630C"/>
    <w:rsid w:val="006765A5"/>
    <w:rsid w:val="00676B40"/>
    <w:rsid w:val="00676BDD"/>
    <w:rsid w:val="00676FE8"/>
    <w:rsid w:val="006770BF"/>
    <w:rsid w:val="006771C5"/>
    <w:rsid w:val="00677550"/>
    <w:rsid w:val="00677DDD"/>
    <w:rsid w:val="006806F0"/>
    <w:rsid w:val="00680BA5"/>
    <w:rsid w:val="00680F0D"/>
    <w:rsid w:val="006815DF"/>
    <w:rsid w:val="00681768"/>
    <w:rsid w:val="006818FE"/>
    <w:rsid w:val="00681B67"/>
    <w:rsid w:val="00682368"/>
    <w:rsid w:val="006835E7"/>
    <w:rsid w:val="0068388B"/>
    <w:rsid w:val="00683B1B"/>
    <w:rsid w:val="00683CFF"/>
    <w:rsid w:val="00683F03"/>
    <w:rsid w:val="00683FF5"/>
    <w:rsid w:val="00683FFB"/>
    <w:rsid w:val="00684ADC"/>
    <w:rsid w:val="0068548E"/>
    <w:rsid w:val="00685556"/>
    <w:rsid w:val="006855C4"/>
    <w:rsid w:val="00685D63"/>
    <w:rsid w:val="00686054"/>
    <w:rsid w:val="006865A3"/>
    <w:rsid w:val="006869EF"/>
    <w:rsid w:val="00686CDD"/>
    <w:rsid w:val="00686FD4"/>
    <w:rsid w:val="00687204"/>
    <w:rsid w:val="0068740F"/>
    <w:rsid w:val="006876A0"/>
    <w:rsid w:val="00687E8A"/>
    <w:rsid w:val="00687EEF"/>
    <w:rsid w:val="006901BC"/>
    <w:rsid w:val="00690CBB"/>
    <w:rsid w:val="00690F01"/>
    <w:rsid w:val="00691812"/>
    <w:rsid w:val="00691EA1"/>
    <w:rsid w:val="006923D4"/>
    <w:rsid w:val="006929C6"/>
    <w:rsid w:val="00692C22"/>
    <w:rsid w:val="00693104"/>
    <w:rsid w:val="00693130"/>
    <w:rsid w:val="00693613"/>
    <w:rsid w:val="00693634"/>
    <w:rsid w:val="0069495A"/>
    <w:rsid w:val="006954D3"/>
    <w:rsid w:val="00695653"/>
    <w:rsid w:val="00695C3B"/>
    <w:rsid w:val="00695DE0"/>
    <w:rsid w:val="00696061"/>
    <w:rsid w:val="00696413"/>
    <w:rsid w:val="006967E4"/>
    <w:rsid w:val="00696AF6"/>
    <w:rsid w:val="00697403"/>
    <w:rsid w:val="00697D76"/>
    <w:rsid w:val="006A0040"/>
    <w:rsid w:val="006A00BE"/>
    <w:rsid w:val="006A0312"/>
    <w:rsid w:val="006A099C"/>
    <w:rsid w:val="006A0CE4"/>
    <w:rsid w:val="006A0E1F"/>
    <w:rsid w:val="006A0EDB"/>
    <w:rsid w:val="006A0F32"/>
    <w:rsid w:val="006A10DE"/>
    <w:rsid w:val="006A12FD"/>
    <w:rsid w:val="006A1737"/>
    <w:rsid w:val="006A1B0A"/>
    <w:rsid w:val="006A1C83"/>
    <w:rsid w:val="006A294C"/>
    <w:rsid w:val="006A2977"/>
    <w:rsid w:val="006A2B3F"/>
    <w:rsid w:val="006A3740"/>
    <w:rsid w:val="006A37E7"/>
    <w:rsid w:val="006A40DE"/>
    <w:rsid w:val="006A482D"/>
    <w:rsid w:val="006A4AE8"/>
    <w:rsid w:val="006A4EA7"/>
    <w:rsid w:val="006A4FFF"/>
    <w:rsid w:val="006A516F"/>
    <w:rsid w:val="006A5E45"/>
    <w:rsid w:val="006A633E"/>
    <w:rsid w:val="006A6448"/>
    <w:rsid w:val="006A654A"/>
    <w:rsid w:val="006A6B81"/>
    <w:rsid w:val="006A6DB4"/>
    <w:rsid w:val="006A6DF0"/>
    <w:rsid w:val="006A7087"/>
    <w:rsid w:val="006A7251"/>
    <w:rsid w:val="006A72F1"/>
    <w:rsid w:val="006A737E"/>
    <w:rsid w:val="006A742C"/>
    <w:rsid w:val="006A76DA"/>
    <w:rsid w:val="006A7754"/>
    <w:rsid w:val="006A7AC5"/>
    <w:rsid w:val="006B02B7"/>
    <w:rsid w:val="006B078C"/>
    <w:rsid w:val="006B0CD3"/>
    <w:rsid w:val="006B108E"/>
    <w:rsid w:val="006B111C"/>
    <w:rsid w:val="006B124D"/>
    <w:rsid w:val="006B1480"/>
    <w:rsid w:val="006B17E1"/>
    <w:rsid w:val="006B19C0"/>
    <w:rsid w:val="006B1B6F"/>
    <w:rsid w:val="006B2719"/>
    <w:rsid w:val="006B29F7"/>
    <w:rsid w:val="006B3752"/>
    <w:rsid w:val="006B41C3"/>
    <w:rsid w:val="006B4326"/>
    <w:rsid w:val="006B4C44"/>
    <w:rsid w:val="006B4FDA"/>
    <w:rsid w:val="006B53A2"/>
    <w:rsid w:val="006B55F0"/>
    <w:rsid w:val="006B5D00"/>
    <w:rsid w:val="006B6087"/>
    <w:rsid w:val="006B66A4"/>
    <w:rsid w:val="006B6995"/>
    <w:rsid w:val="006B6A26"/>
    <w:rsid w:val="006B6D6E"/>
    <w:rsid w:val="006B71C5"/>
    <w:rsid w:val="006B7263"/>
    <w:rsid w:val="006B72BD"/>
    <w:rsid w:val="006C054B"/>
    <w:rsid w:val="006C05ED"/>
    <w:rsid w:val="006C07E9"/>
    <w:rsid w:val="006C120C"/>
    <w:rsid w:val="006C1258"/>
    <w:rsid w:val="006C146B"/>
    <w:rsid w:val="006C274B"/>
    <w:rsid w:val="006C295B"/>
    <w:rsid w:val="006C2960"/>
    <w:rsid w:val="006C2C32"/>
    <w:rsid w:val="006C2D06"/>
    <w:rsid w:val="006C2EFB"/>
    <w:rsid w:val="006C38D5"/>
    <w:rsid w:val="006C3A9E"/>
    <w:rsid w:val="006C3C0B"/>
    <w:rsid w:val="006C3D9A"/>
    <w:rsid w:val="006C3F5E"/>
    <w:rsid w:val="006C3FF6"/>
    <w:rsid w:val="006C415A"/>
    <w:rsid w:val="006C487C"/>
    <w:rsid w:val="006C48F3"/>
    <w:rsid w:val="006C4961"/>
    <w:rsid w:val="006C4CE9"/>
    <w:rsid w:val="006C4D81"/>
    <w:rsid w:val="006C52D7"/>
    <w:rsid w:val="006C552A"/>
    <w:rsid w:val="006C6516"/>
    <w:rsid w:val="006C65D7"/>
    <w:rsid w:val="006C667C"/>
    <w:rsid w:val="006C6687"/>
    <w:rsid w:val="006C694A"/>
    <w:rsid w:val="006C69D9"/>
    <w:rsid w:val="006C6EBB"/>
    <w:rsid w:val="006C6F82"/>
    <w:rsid w:val="006C7172"/>
    <w:rsid w:val="006C74A5"/>
    <w:rsid w:val="006D0767"/>
    <w:rsid w:val="006D0856"/>
    <w:rsid w:val="006D0F63"/>
    <w:rsid w:val="006D10A8"/>
    <w:rsid w:val="006D1219"/>
    <w:rsid w:val="006D1384"/>
    <w:rsid w:val="006D14B3"/>
    <w:rsid w:val="006D1557"/>
    <w:rsid w:val="006D160B"/>
    <w:rsid w:val="006D19CF"/>
    <w:rsid w:val="006D22B4"/>
    <w:rsid w:val="006D2E91"/>
    <w:rsid w:val="006D3086"/>
    <w:rsid w:val="006D31FA"/>
    <w:rsid w:val="006D3233"/>
    <w:rsid w:val="006D3B1D"/>
    <w:rsid w:val="006D3BFE"/>
    <w:rsid w:val="006D3DD1"/>
    <w:rsid w:val="006D4D50"/>
    <w:rsid w:val="006D54B2"/>
    <w:rsid w:val="006D5839"/>
    <w:rsid w:val="006D5941"/>
    <w:rsid w:val="006D5B73"/>
    <w:rsid w:val="006D5F59"/>
    <w:rsid w:val="006D6937"/>
    <w:rsid w:val="006D69A5"/>
    <w:rsid w:val="006D6AF1"/>
    <w:rsid w:val="006D6CAD"/>
    <w:rsid w:val="006D70CB"/>
    <w:rsid w:val="006D77B2"/>
    <w:rsid w:val="006D7C18"/>
    <w:rsid w:val="006E0049"/>
    <w:rsid w:val="006E0165"/>
    <w:rsid w:val="006E12EB"/>
    <w:rsid w:val="006E1F0E"/>
    <w:rsid w:val="006E1F85"/>
    <w:rsid w:val="006E25A0"/>
    <w:rsid w:val="006E3398"/>
    <w:rsid w:val="006E36C2"/>
    <w:rsid w:val="006E37B3"/>
    <w:rsid w:val="006E3D54"/>
    <w:rsid w:val="006E3DD6"/>
    <w:rsid w:val="006E4970"/>
    <w:rsid w:val="006E49EC"/>
    <w:rsid w:val="006E4D41"/>
    <w:rsid w:val="006E522C"/>
    <w:rsid w:val="006E5589"/>
    <w:rsid w:val="006E5D02"/>
    <w:rsid w:val="006E5DE4"/>
    <w:rsid w:val="006E65BD"/>
    <w:rsid w:val="006E692D"/>
    <w:rsid w:val="006E7038"/>
    <w:rsid w:val="006E72D6"/>
    <w:rsid w:val="006E782C"/>
    <w:rsid w:val="006E7961"/>
    <w:rsid w:val="006E7CE1"/>
    <w:rsid w:val="006E7DEB"/>
    <w:rsid w:val="006F052A"/>
    <w:rsid w:val="006F0655"/>
    <w:rsid w:val="006F0E09"/>
    <w:rsid w:val="006F1128"/>
    <w:rsid w:val="006F15B8"/>
    <w:rsid w:val="006F2464"/>
    <w:rsid w:val="006F27A4"/>
    <w:rsid w:val="006F3184"/>
    <w:rsid w:val="006F3D7A"/>
    <w:rsid w:val="006F4856"/>
    <w:rsid w:val="006F4958"/>
    <w:rsid w:val="006F5337"/>
    <w:rsid w:val="006F5746"/>
    <w:rsid w:val="006F5E2D"/>
    <w:rsid w:val="006F66AE"/>
    <w:rsid w:val="006F6919"/>
    <w:rsid w:val="006F6985"/>
    <w:rsid w:val="006F69ED"/>
    <w:rsid w:val="006F730B"/>
    <w:rsid w:val="006F7649"/>
    <w:rsid w:val="00700135"/>
    <w:rsid w:val="007002A7"/>
    <w:rsid w:val="007005B6"/>
    <w:rsid w:val="00700A09"/>
    <w:rsid w:val="00700F5E"/>
    <w:rsid w:val="00701050"/>
    <w:rsid w:val="00701FFC"/>
    <w:rsid w:val="00702203"/>
    <w:rsid w:val="0070220A"/>
    <w:rsid w:val="007028D7"/>
    <w:rsid w:val="00702F23"/>
    <w:rsid w:val="00703800"/>
    <w:rsid w:val="007044F6"/>
    <w:rsid w:val="00704A96"/>
    <w:rsid w:val="00704C1A"/>
    <w:rsid w:val="007050E6"/>
    <w:rsid w:val="00705E38"/>
    <w:rsid w:val="007061C5"/>
    <w:rsid w:val="007061DF"/>
    <w:rsid w:val="0070620B"/>
    <w:rsid w:val="0070644B"/>
    <w:rsid w:val="00706A36"/>
    <w:rsid w:val="00706AFB"/>
    <w:rsid w:val="00706B39"/>
    <w:rsid w:val="00707249"/>
    <w:rsid w:val="007075A5"/>
    <w:rsid w:val="007076D2"/>
    <w:rsid w:val="007078C9"/>
    <w:rsid w:val="007104D3"/>
    <w:rsid w:val="007106CA"/>
    <w:rsid w:val="007106D5"/>
    <w:rsid w:val="00710D8C"/>
    <w:rsid w:val="0071134F"/>
    <w:rsid w:val="00711851"/>
    <w:rsid w:val="00712040"/>
    <w:rsid w:val="007121EE"/>
    <w:rsid w:val="007126A0"/>
    <w:rsid w:val="0071305A"/>
    <w:rsid w:val="007135BA"/>
    <w:rsid w:val="00713D30"/>
    <w:rsid w:val="00714A00"/>
    <w:rsid w:val="00714C6B"/>
    <w:rsid w:val="0071501A"/>
    <w:rsid w:val="00715597"/>
    <w:rsid w:val="007164D9"/>
    <w:rsid w:val="007165B6"/>
    <w:rsid w:val="0071692A"/>
    <w:rsid w:val="00716B67"/>
    <w:rsid w:val="00716C40"/>
    <w:rsid w:val="00716DCF"/>
    <w:rsid w:val="00717250"/>
    <w:rsid w:val="007173ED"/>
    <w:rsid w:val="00717A3E"/>
    <w:rsid w:val="00717C82"/>
    <w:rsid w:val="0072010A"/>
    <w:rsid w:val="00720292"/>
    <w:rsid w:val="007204D6"/>
    <w:rsid w:val="0072084F"/>
    <w:rsid w:val="00720EC9"/>
    <w:rsid w:val="007211FC"/>
    <w:rsid w:val="0072142C"/>
    <w:rsid w:val="00721A50"/>
    <w:rsid w:val="00722080"/>
    <w:rsid w:val="00722505"/>
    <w:rsid w:val="00722577"/>
    <w:rsid w:val="007225D5"/>
    <w:rsid w:val="007225D6"/>
    <w:rsid w:val="00722618"/>
    <w:rsid w:val="00722C94"/>
    <w:rsid w:val="00723023"/>
    <w:rsid w:val="00723819"/>
    <w:rsid w:val="00723B45"/>
    <w:rsid w:val="00723E1F"/>
    <w:rsid w:val="00723F6B"/>
    <w:rsid w:val="00724669"/>
    <w:rsid w:val="007247D3"/>
    <w:rsid w:val="00724A88"/>
    <w:rsid w:val="00724CA1"/>
    <w:rsid w:val="00724CE4"/>
    <w:rsid w:val="00724E6C"/>
    <w:rsid w:val="0072525F"/>
    <w:rsid w:val="0072526F"/>
    <w:rsid w:val="007253BB"/>
    <w:rsid w:val="00725722"/>
    <w:rsid w:val="00725864"/>
    <w:rsid w:val="00725B1A"/>
    <w:rsid w:val="00725C35"/>
    <w:rsid w:val="007269A6"/>
    <w:rsid w:val="007270D2"/>
    <w:rsid w:val="007271E2"/>
    <w:rsid w:val="00727729"/>
    <w:rsid w:val="00727A97"/>
    <w:rsid w:val="00727BC8"/>
    <w:rsid w:val="00727DC5"/>
    <w:rsid w:val="00727ED8"/>
    <w:rsid w:val="007303EF"/>
    <w:rsid w:val="00730693"/>
    <w:rsid w:val="00730D80"/>
    <w:rsid w:val="0073154E"/>
    <w:rsid w:val="00731AAB"/>
    <w:rsid w:val="0073233E"/>
    <w:rsid w:val="0073294A"/>
    <w:rsid w:val="00732952"/>
    <w:rsid w:val="00732961"/>
    <w:rsid w:val="00732F00"/>
    <w:rsid w:val="00733102"/>
    <w:rsid w:val="00733200"/>
    <w:rsid w:val="007333C5"/>
    <w:rsid w:val="007336C4"/>
    <w:rsid w:val="007336DC"/>
    <w:rsid w:val="00734005"/>
    <w:rsid w:val="007340C4"/>
    <w:rsid w:val="007344FC"/>
    <w:rsid w:val="0073489B"/>
    <w:rsid w:val="007349EA"/>
    <w:rsid w:val="00734F94"/>
    <w:rsid w:val="007350E8"/>
    <w:rsid w:val="007354DF"/>
    <w:rsid w:val="00735929"/>
    <w:rsid w:val="00735962"/>
    <w:rsid w:val="0073648E"/>
    <w:rsid w:val="00736884"/>
    <w:rsid w:val="00736F2C"/>
    <w:rsid w:val="00736F7D"/>
    <w:rsid w:val="0073703A"/>
    <w:rsid w:val="0073719C"/>
    <w:rsid w:val="00737C43"/>
    <w:rsid w:val="007406CE"/>
    <w:rsid w:val="00740CA0"/>
    <w:rsid w:val="00741003"/>
    <w:rsid w:val="007410EF"/>
    <w:rsid w:val="007414C7"/>
    <w:rsid w:val="00742059"/>
    <w:rsid w:val="00742274"/>
    <w:rsid w:val="00742E7D"/>
    <w:rsid w:val="00742F9D"/>
    <w:rsid w:val="0074301E"/>
    <w:rsid w:val="00743764"/>
    <w:rsid w:val="007439CB"/>
    <w:rsid w:val="00743D8C"/>
    <w:rsid w:val="00743DE5"/>
    <w:rsid w:val="00743F00"/>
    <w:rsid w:val="00743F6E"/>
    <w:rsid w:val="0074438D"/>
    <w:rsid w:val="00744E38"/>
    <w:rsid w:val="00745019"/>
    <w:rsid w:val="00745094"/>
    <w:rsid w:val="00745233"/>
    <w:rsid w:val="00745528"/>
    <w:rsid w:val="007457FA"/>
    <w:rsid w:val="00745B11"/>
    <w:rsid w:val="00745BC4"/>
    <w:rsid w:val="00745BD7"/>
    <w:rsid w:val="007460FB"/>
    <w:rsid w:val="0074642E"/>
    <w:rsid w:val="00746A07"/>
    <w:rsid w:val="00746FB0"/>
    <w:rsid w:val="007475F5"/>
    <w:rsid w:val="007478CE"/>
    <w:rsid w:val="00747D46"/>
    <w:rsid w:val="00747FBA"/>
    <w:rsid w:val="00750284"/>
    <w:rsid w:val="00750AE9"/>
    <w:rsid w:val="007511BC"/>
    <w:rsid w:val="0075132D"/>
    <w:rsid w:val="0075141D"/>
    <w:rsid w:val="007519BB"/>
    <w:rsid w:val="0075211A"/>
    <w:rsid w:val="00752799"/>
    <w:rsid w:val="00752940"/>
    <w:rsid w:val="00752A33"/>
    <w:rsid w:val="00753128"/>
    <w:rsid w:val="007533D7"/>
    <w:rsid w:val="007534A2"/>
    <w:rsid w:val="007534AA"/>
    <w:rsid w:val="007534F0"/>
    <w:rsid w:val="00754597"/>
    <w:rsid w:val="00754AE4"/>
    <w:rsid w:val="00755450"/>
    <w:rsid w:val="00755726"/>
    <w:rsid w:val="0075580D"/>
    <w:rsid w:val="00755B29"/>
    <w:rsid w:val="007560D0"/>
    <w:rsid w:val="00756107"/>
    <w:rsid w:val="00756191"/>
    <w:rsid w:val="00756195"/>
    <w:rsid w:val="00756251"/>
    <w:rsid w:val="00757B40"/>
    <w:rsid w:val="00757C47"/>
    <w:rsid w:val="00757EB3"/>
    <w:rsid w:val="00757EFF"/>
    <w:rsid w:val="00760589"/>
    <w:rsid w:val="00760884"/>
    <w:rsid w:val="00760EAE"/>
    <w:rsid w:val="007611A3"/>
    <w:rsid w:val="0076133A"/>
    <w:rsid w:val="00761B8E"/>
    <w:rsid w:val="00761CDF"/>
    <w:rsid w:val="00762431"/>
    <w:rsid w:val="007627DB"/>
    <w:rsid w:val="0076285E"/>
    <w:rsid w:val="00762931"/>
    <w:rsid w:val="00762AD5"/>
    <w:rsid w:val="00763369"/>
    <w:rsid w:val="00763390"/>
    <w:rsid w:val="00763455"/>
    <w:rsid w:val="00763462"/>
    <w:rsid w:val="00763CBB"/>
    <w:rsid w:val="007643E3"/>
    <w:rsid w:val="00764784"/>
    <w:rsid w:val="007648E4"/>
    <w:rsid w:val="007651F5"/>
    <w:rsid w:val="0076569A"/>
    <w:rsid w:val="00765B15"/>
    <w:rsid w:val="00765BFA"/>
    <w:rsid w:val="00765E06"/>
    <w:rsid w:val="00765EAC"/>
    <w:rsid w:val="00765F2F"/>
    <w:rsid w:val="00765F65"/>
    <w:rsid w:val="00766054"/>
    <w:rsid w:val="00766937"/>
    <w:rsid w:val="00766DF1"/>
    <w:rsid w:val="0076748C"/>
    <w:rsid w:val="00767991"/>
    <w:rsid w:val="00770387"/>
    <w:rsid w:val="007705A0"/>
    <w:rsid w:val="00770A1A"/>
    <w:rsid w:val="00771177"/>
    <w:rsid w:val="007716F5"/>
    <w:rsid w:val="00771CA3"/>
    <w:rsid w:val="0077243B"/>
    <w:rsid w:val="00772459"/>
    <w:rsid w:val="00772751"/>
    <w:rsid w:val="00772B15"/>
    <w:rsid w:val="007730F5"/>
    <w:rsid w:val="0077325B"/>
    <w:rsid w:val="0077346C"/>
    <w:rsid w:val="00773ED4"/>
    <w:rsid w:val="00774648"/>
    <w:rsid w:val="007746C6"/>
    <w:rsid w:val="0077557E"/>
    <w:rsid w:val="0077559F"/>
    <w:rsid w:val="00775795"/>
    <w:rsid w:val="007758B5"/>
    <w:rsid w:val="0077701D"/>
    <w:rsid w:val="00777211"/>
    <w:rsid w:val="0077795C"/>
    <w:rsid w:val="00777A43"/>
    <w:rsid w:val="00777CCE"/>
    <w:rsid w:val="00777DF6"/>
    <w:rsid w:val="0078074A"/>
    <w:rsid w:val="00780A92"/>
    <w:rsid w:val="00781303"/>
    <w:rsid w:val="0078151C"/>
    <w:rsid w:val="00781584"/>
    <w:rsid w:val="0078210E"/>
    <w:rsid w:val="0078223E"/>
    <w:rsid w:val="0078228C"/>
    <w:rsid w:val="007825C7"/>
    <w:rsid w:val="007827EA"/>
    <w:rsid w:val="0078282B"/>
    <w:rsid w:val="00782927"/>
    <w:rsid w:val="00782C8B"/>
    <w:rsid w:val="007834B3"/>
    <w:rsid w:val="00783A91"/>
    <w:rsid w:val="007841EE"/>
    <w:rsid w:val="007844AD"/>
    <w:rsid w:val="007846D2"/>
    <w:rsid w:val="00784BE1"/>
    <w:rsid w:val="00785749"/>
    <w:rsid w:val="007859B0"/>
    <w:rsid w:val="00785B9F"/>
    <w:rsid w:val="00785D60"/>
    <w:rsid w:val="00785FE9"/>
    <w:rsid w:val="007863A2"/>
    <w:rsid w:val="0078667C"/>
    <w:rsid w:val="00786DE5"/>
    <w:rsid w:val="00787310"/>
    <w:rsid w:val="00787425"/>
    <w:rsid w:val="00787518"/>
    <w:rsid w:val="007875FC"/>
    <w:rsid w:val="00787883"/>
    <w:rsid w:val="00787A8B"/>
    <w:rsid w:val="00787F63"/>
    <w:rsid w:val="007905F9"/>
    <w:rsid w:val="00790CAC"/>
    <w:rsid w:val="00790E2F"/>
    <w:rsid w:val="007910F2"/>
    <w:rsid w:val="007918EB"/>
    <w:rsid w:val="00791E29"/>
    <w:rsid w:val="0079268E"/>
    <w:rsid w:val="007928B4"/>
    <w:rsid w:val="00792BB0"/>
    <w:rsid w:val="00792E10"/>
    <w:rsid w:val="007933D8"/>
    <w:rsid w:val="0079368F"/>
    <w:rsid w:val="007937EB"/>
    <w:rsid w:val="00793C77"/>
    <w:rsid w:val="00793EAD"/>
    <w:rsid w:val="007943C7"/>
    <w:rsid w:val="0079477A"/>
    <w:rsid w:val="00794ABA"/>
    <w:rsid w:val="00794C1B"/>
    <w:rsid w:val="0079571C"/>
    <w:rsid w:val="007959FE"/>
    <w:rsid w:val="00795E9F"/>
    <w:rsid w:val="007962AD"/>
    <w:rsid w:val="00796364"/>
    <w:rsid w:val="00796805"/>
    <w:rsid w:val="00796DA4"/>
    <w:rsid w:val="00796F0C"/>
    <w:rsid w:val="007978C9"/>
    <w:rsid w:val="007978FE"/>
    <w:rsid w:val="00797923"/>
    <w:rsid w:val="00797C43"/>
    <w:rsid w:val="007A08F1"/>
    <w:rsid w:val="007A0B81"/>
    <w:rsid w:val="007A0CE7"/>
    <w:rsid w:val="007A12A4"/>
    <w:rsid w:val="007A22C4"/>
    <w:rsid w:val="007A2435"/>
    <w:rsid w:val="007A2AC2"/>
    <w:rsid w:val="007A2BD4"/>
    <w:rsid w:val="007A2FB7"/>
    <w:rsid w:val="007A37EA"/>
    <w:rsid w:val="007A391A"/>
    <w:rsid w:val="007A3E90"/>
    <w:rsid w:val="007A3FC3"/>
    <w:rsid w:val="007A4C68"/>
    <w:rsid w:val="007A50AC"/>
    <w:rsid w:val="007A5224"/>
    <w:rsid w:val="007A533E"/>
    <w:rsid w:val="007A5533"/>
    <w:rsid w:val="007A5CB5"/>
    <w:rsid w:val="007A6318"/>
    <w:rsid w:val="007A6421"/>
    <w:rsid w:val="007A72F3"/>
    <w:rsid w:val="007A7897"/>
    <w:rsid w:val="007A79D6"/>
    <w:rsid w:val="007A7BB9"/>
    <w:rsid w:val="007A7F81"/>
    <w:rsid w:val="007A7F84"/>
    <w:rsid w:val="007A7FB1"/>
    <w:rsid w:val="007A7FD9"/>
    <w:rsid w:val="007B03FB"/>
    <w:rsid w:val="007B07DB"/>
    <w:rsid w:val="007B0CF0"/>
    <w:rsid w:val="007B1CD2"/>
    <w:rsid w:val="007B1D35"/>
    <w:rsid w:val="007B244A"/>
    <w:rsid w:val="007B339A"/>
    <w:rsid w:val="007B3C62"/>
    <w:rsid w:val="007B42B9"/>
    <w:rsid w:val="007B43DE"/>
    <w:rsid w:val="007B46D8"/>
    <w:rsid w:val="007B52B5"/>
    <w:rsid w:val="007B52C0"/>
    <w:rsid w:val="007B5E8D"/>
    <w:rsid w:val="007B5FAD"/>
    <w:rsid w:val="007B7011"/>
    <w:rsid w:val="007B71D0"/>
    <w:rsid w:val="007B71F5"/>
    <w:rsid w:val="007B74A8"/>
    <w:rsid w:val="007B76FC"/>
    <w:rsid w:val="007B7852"/>
    <w:rsid w:val="007C015B"/>
    <w:rsid w:val="007C016B"/>
    <w:rsid w:val="007C026A"/>
    <w:rsid w:val="007C0306"/>
    <w:rsid w:val="007C0434"/>
    <w:rsid w:val="007C0D69"/>
    <w:rsid w:val="007C0DC1"/>
    <w:rsid w:val="007C17FD"/>
    <w:rsid w:val="007C18FD"/>
    <w:rsid w:val="007C2003"/>
    <w:rsid w:val="007C2836"/>
    <w:rsid w:val="007C2950"/>
    <w:rsid w:val="007C2C40"/>
    <w:rsid w:val="007C2F11"/>
    <w:rsid w:val="007C3779"/>
    <w:rsid w:val="007C3A5A"/>
    <w:rsid w:val="007C3A87"/>
    <w:rsid w:val="007C43C5"/>
    <w:rsid w:val="007C448E"/>
    <w:rsid w:val="007C46F0"/>
    <w:rsid w:val="007C49C5"/>
    <w:rsid w:val="007C4F6D"/>
    <w:rsid w:val="007C57DC"/>
    <w:rsid w:val="007C5905"/>
    <w:rsid w:val="007C5E36"/>
    <w:rsid w:val="007C6F22"/>
    <w:rsid w:val="007C744E"/>
    <w:rsid w:val="007C7455"/>
    <w:rsid w:val="007C7515"/>
    <w:rsid w:val="007C7A16"/>
    <w:rsid w:val="007C7D68"/>
    <w:rsid w:val="007D04CF"/>
    <w:rsid w:val="007D0C2F"/>
    <w:rsid w:val="007D0D01"/>
    <w:rsid w:val="007D1295"/>
    <w:rsid w:val="007D1934"/>
    <w:rsid w:val="007D1D44"/>
    <w:rsid w:val="007D1EF0"/>
    <w:rsid w:val="007D2220"/>
    <w:rsid w:val="007D2460"/>
    <w:rsid w:val="007D24DC"/>
    <w:rsid w:val="007D3948"/>
    <w:rsid w:val="007D3B70"/>
    <w:rsid w:val="007D3D16"/>
    <w:rsid w:val="007D4AF0"/>
    <w:rsid w:val="007D527D"/>
    <w:rsid w:val="007D5587"/>
    <w:rsid w:val="007D580D"/>
    <w:rsid w:val="007D5D26"/>
    <w:rsid w:val="007D5FA8"/>
    <w:rsid w:val="007D6084"/>
    <w:rsid w:val="007D60C5"/>
    <w:rsid w:val="007D61BF"/>
    <w:rsid w:val="007D6694"/>
    <w:rsid w:val="007D6728"/>
    <w:rsid w:val="007D67B8"/>
    <w:rsid w:val="007D6940"/>
    <w:rsid w:val="007D7085"/>
    <w:rsid w:val="007D7A52"/>
    <w:rsid w:val="007E07E4"/>
    <w:rsid w:val="007E081B"/>
    <w:rsid w:val="007E0C09"/>
    <w:rsid w:val="007E0C54"/>
    <w:rsid w:val="007E0E19"/>
    <w:rsid w:val="007E113E"/>
    <w:rsid w:val="007E1217"/>
    <w:rsid w:val="007E1338"/>
    <w:rsid w:val="007E199C"/>
    <w:rsid w:val="007E19C2"/>
    <w:rsid w:val="007E1D61"/>
    <w:rsid w:val="007E2422"/>
    <w:rsid w:val="007E27C0"/>
    <w:rsid w:val="007E287D"/>
    <w:rsid w:val="007E2FDC"/>
    <w:rsid w:val="007E306E"/>
    <w:rsid w:val="007E3378"/>
    <w:rsid w:val="007E34FA"/>
    <w:rsid w:val="007E3618"/>
    <w:rsid w:val="007E38FA"/>
    <w:rsid w:val="007E3FC7"/>
    <w:rsid w:val="007E47B3"/>
    <w:rsid w:val="007E4B5D"/>
    <w:rsid w:val="007E4EFD"/>
    <w:rsid w:val="007E5100"/>
    <w:rsid w:val="007E5987"/>
    <w:rsid w:val="007E5E19"/>
    <w:rsid w:val="007E5FBF"/>
    <w:rsid w:val="007E65E4"/>
    <w:rsid w:val="007E728A"/>
    <w:rsid w:val="007E79E2"/>
    <w:rsid w:val="007E7CDF"/>
    <w:rsid w:val="007E7F7A"/>
    <w:rsid w:val="007F0504"/>
    <w:rsid w:val="007F080C"/>
    <w:rsid w:val="007F13B5"/>
    <w:rsid w:val="007F13BC"/>
    <w:rsid w:val="007F15C2"/>
    <w:rsid w:val="007F1969"/>
    <w:rsid w:val="007F1CD1"/>
    <w:rsid w:val="007F25A8"/>
    <w:rsid w:val="007F3776"/>
    <w:rsid w:val="007F3BBC"/>
    <w:rsid w:val="007F3E78"/>
    <w:rsid w:val="007F43A9"/>
    <w:rsid w:val="007F49ED"/>
    <w:rsid w:val="007F516E"/>
    <w:rsid w:val="007F5244"/>
    <w:rsid w:val="007F5F2F"/>
    <w:rsid w:val="007F6232"/>
    <w:rsid w:val="007F7386"/>
    <w:rsid w:val="007F7B7E"/>
    <w:rsid w:val="008003BB"/>
    <w:rsid w:val="00800D9E"/>
    <w:rsid w:val="00801902"/>
    <w:rsid w:val="00802155"/>
    <w:rsid w:val="008022EB"/>
    <w:rsid w:val="008022F0"/>
    <w:rsid w:val="008039C1"/>
    <w:rsid w:val="008039F6"/>
    <w:rsid w:val="00803B8B"/>
    <w:rsid w:val="00804002"/>
    <w:rsid w:val="008040D5"/>
    <w:rsid w:val="0080452D"/>
    <w:rsid w:val="0080489E"/>
    <w:rsid w:val="00804EBF"/>
    <w:rsid w:val="008050E9"/>
    <w:rsid w:val="0080547D"/>
    <w:rsid w:val="00805517"/>
    <w:rsid w:val="00805B41"/>
    <w:rsid w:val="00805FAA"/>
    <w:rsid w:val="008067FF"/>
    <w:rsid w:val="00806897"/>
    <w:rsid w:val="00806B15"/>
    <w:rsid w:val="00806BCF"/>
    <w:rsid w:val="0080706D"/>
    <w:rsid w:val="00807415"/>
    <w:rsid w:val="0080788D"/>
    <w:rsid w:val="008078D7"/>
    <w:rsid w:val="00807BA5"/>
    <w:rsid w:val="00807DCD"/>
    <w:rsid w:val="008102DA"/>
    <w:rsid w:val="008109A2"/>
    <w:rsid w:val="0081125F"/>
    <w:rsid w:val="00811712"/>
    <w:rsid w:val="0081238D"/>
    <w:rsid w:val="0081251C"/>
    <w:rsid w:val="00812741"/>
    <w:rsid w:val="008128C8"/>
    <w:rsid w:val="00812A03"/>
    <w:rsid w:val="0081326E"/>
    <w:rsid w:val="00813367"/>
    <w:rsid w:val="0081352D"/>
    <w:rsid w:val="00814514"/>
    <w:rsid w:val="00814DD7"/>
    <w:rsid w:val="00815FDC"/>
    <w:rsid w:val="008160CE"/>
    <w:rsid w:val="008161B8"/>
    <w:rsid w:val="008171BA"/>
    <w:rsid w:val="008174E5"/>
    <w:rsid w:val="00817738"/>
    <w:rsid w:val="008179D0"/>
    <w:rsid w:val="00817E7E"/>
    <w:rsid w:val="00820353"/>
    <w:rsid w:val="008203AC"/>
    <w:rsid w:val="008208C4"/>
    <w:rsid w:val="00821018"/>
    <w:rsid w:val="0082112F"/>
    <w:rsid w:val="00821A6F"/>
    <w:rsid w:val="00821BC6"/>
    <w:rsid w:val="008232CA"/>
    <w:rsid w:val="00823629"/>
    <w:rsid w:val="0082397E"/>
    <w:rsid w:val="00823F4E"/>
    <w:rsid w:val="0082401A"/>
    <w:rsid w:val="008242C2"/>
    <w:rsid w:val="008246C4"/>
    <w:rsid w:val="00824B5A"/>
    <w:rsid w:val="00825A71"/>
    <w:rsid w:val="00825B67"/>
    <w:rsid w:val="00825C56"/>
    <w:rsid w:val="00826021"/>
    <w:rsid w:val="008261C2"/>
    <w:rsid w:val="008262DE"/>
    <w:rsid w:val="008266DA"/>
    <w:rsid w:val="008268E2"/>
    <w:rsid w:val="00826A63"/>
    <w:rsid w:val="00826BD7"/>
    <w:rsid w:val="0082704A"/>
    <w:rsid w:val="00827407"/>
    <w:rsid w:val="00827E17"/>
    <w:rsid w:val="00827F3C"/>
    <w:rsid w:val="0083017F"/>
    <w:rsid w:val="008301B4"/>
    <w:rsid w:val="008305F9"/>
    <w:rsid w:val="00831A3D"/>
    <w:rsid w:val="00831BD6"/>
    <w:rsid w:val="008325F9"/>
    <w:rsid w:val="008330F9"/>
    <w:rsid w:val="0083336A"/>
    <w:rsid w:val="008337A7"/>
    <w:rsid w:val="0083410C"/>
    <w:rsid w:val="0083416F"/>
    <w:rsid w:val="00834182"/>
    <w:rsid w:val="0083463E"/>
    <w:rsid w:val="00834671"/>
    <w:rsid w:val="00834A58"/>
    <w:rsid w:val="00834AB9"/>
    <w:rsid w:val="00834C83"/>
    <w:rsid w:val="00834CBB"/>
    <w:rsid w:val="00835C0A"/>
    <w:rsid w:val="0083649A"/>
    <w:rsid w:val="0083685F"/>
    <w:rsid w:val="008371DE"/>
    <w:rsid w:val="0083721A"/>
    <w:rsid w:val="00837423"/>
    <w:rsid w:val="00837454"/>
    <w:rsid w:val="008376F1"/>
    <w:rsid w:val="00837759"/>
    <w:rsid w:val="008377F6"/>
    <w:rsid w:val="00837831"/>
    <w:rsid w:val="00837BFC"/>
    <w:rsid w:val="00840352"/>
    <w:rsid w:val="008407DB"/>
    <w:rsid w:val="00840D8A"/>
    <w:rsid w:val="0084161A"/>
    <w:rsid w:val="008419E1"/>
    <w:rsid w:val="0084200B"/>
    <w:rsid w:val="0084220B"/>
    <w:rsid w:val="0084227E"/>
    <w:rsid w:val="008428BB"/>
    <w:rsid w:val="008429F8"/>
    <w:rsid w:val="00842F1C"/>
    <w:rsid w:val="00842F37"/>
    <w:rsid w:val="00843975"/>
    <w:rsid w:val="00843C2E"/>
    <w:rsid w:val="00843C5A"/>
    <w:rsid w:val="00843CFF"/>
    <w:rsid w:val="00843D03"/>
    <w:rsid w:val="00844568"/>
    <w:rsid w:val="008447D0"/>
    <w:rsid w:val="00844820"/>
    <w:rsid w:val="00845742"/>
    <w:rsid w:val="00845BF0"/>
    <w:rsid w:val="00845E86"/>
    <w:rsid w:val="00847138"/>
    <w:rsid w:val="00847B4F"/>
    <w:rsid w:val="00847C46"/>
    <w:rsid w:val="00847C9C"/>
    <w:rsid w:val="008509A2"/>
    <w:rsid w:val="00850FE5"/>
    <w:rsid w:val="0085116D"/>
    <w:rsid w:val="00851278"/>
    <w:rsid w:val="00851932"/>
    <w:rsid w:val="00851B89"/>
    <w:rsid w:val="00851FCE"/>
    <w:rsid w:val="00852315"/>
    <w:rsid w:val="0085301F"/>
    <w:rsid w:val="0085309D"/>
    <w:rsid w:val="008534B9"/>
    <w:rsid w:val="00853711"/>
    <w:rsid w:val="0085374E"/>
    <w:rsid w:val="00853773"/>
    <w:rsid w:val="00853B9D"/>
    <w:rsid w:val="00853ED1"/>
    <w:rsid w:val="00854979"/>
    <w:rsid w:val="00854B0B"/>
    <w:rsid w:val="00854BB2"/>
    <w:rsid w:val="00854CB5"/>
    <w:rsid w:val="00854D51"/>
    <w:rsid w:val="00854F23"/>
    <w:rsid w:val="008550B1"/>
    <w:rsid w:val="00855171"/>
    <w:rsid w:val="00855394"/>
    <w:rsid w:val="00855779"/>
    <w:rsid w:val="0085595F"/>
    <w:rsid w:val="00856A42"/>
    <w:rsid w:val="00856DC5"/>
    <w:rsid w:val="008570E0"/>
    <w:rsid w:val="0086054C"/>
    <w:rsid w:val="00860977"/>
    <w:rsid w:val="00860CC1"/>
    <w:rsid w:val="00860FDA"/>
    <w:rsid w:val="008612A0"/>
    <w:rsid w:val="0086156E"/>
    <w:rsid w:val="00861820"/>
    <w:rsid w:val="00861BB3"/>
    <w:rsid w:val="0086219B"/>
    <w:rsid w:val="00862610"/>
    <w:rsid w:val="00862C49"/>
    <w:rsid w:val="008631DB"/>
    <w:rsid w:val="00863B29"/>
    <w:rsid w:val="00863CCE"/>
    <w:rsid w:val="00863D38"/>
    <w:rsid w:val="008645CB"/>
    <w:rsid w:val="00864C01"/>
    <w:rsid w:val="00864C0F"/>
    <w:rsid w:val="00864D9E"/>
    <w:rsid w:val="00864E12"/>
    <w:rsid w:val="00864F27"/>
    <w:rsid w:val="00865AFD"/>
    <w:rsid w:val="00865C8B"/>
    <w:rsid w:val="0086601C"/>
    <w:rsid w:val="00866473"/>
    <w:rsid w:val="0086677C"/>
    <w:rsid w:val="00866AED"/>
    <w:rsid w:val="00866F5E"/>
    <w:rsid w:val="00867387"/>
    <w:rsid w:val="008678EE"/>
    <w:rsid w:val="00867FD4"/>
    <w:rsid w:val="0087051A"/>
    <w:rsid w:val="00870BA2"/>
    <w:rsid w:val="00870BAE"/>
    <w:rsid w:val="00870FF5"/>
    <w:rsid w:val="0087154C"/>
    <w:rsid w:val="0087155D"/>
    <w:rsid w:val="0087184A"/>
    <w:rsid w:val="008718AB"/>
    <w:rsid w:val="00871E96"/>
    <w:rsid w:val="008721C5"/>
    <w:rsid w:val="008723F1"/>
    <w:rsid w:val="00872537"/>
    <w:rsid w:val="00873193"/>
    <w:rsid w:val="0087345F"/>
    <w:rsid w:val="00873FD2"/>
    <w:rsid w:val="00874286"/>
    <w:rsid w:val="00874593"/>
    <w:rsid w:val="0087467E"/>
    <w:rsid w:val="008747CE"/>
    <w:rsid w:val="008748E5"/>
    <w:rsid w:val="00874E62"/>
    <w:rsid w:val="00874EA9"/>
    <w:rsid w:val="00875B8D"/>
    <w:rsid w:val="008764C4"/>
    <w:rsid w:val="00876576"/>
    <w:rsid w:val="008765A9"/>
    <w:rsid w:val="008769AC"/>
    <w:rsid w:val="00876EFF"/>
    <w:rsid w:val="008773DD"/>
    <w:rsid w:val="008776FF"/>
    <w:rsid w:val="0088014A"/>
    <w:rsid w:val="00880557"/>
    <w:rsid w:val="00880592"/>
    <w:rsid w:val="00880DFD"/>
    <w:rsid w:val="00881584"/>
    <w:rsid w:val="00881974"/>
    <w:rsid w:val="00881BE1"/>
    <w:rsid w:val="00882710"/>
    <w:rsid w:val="00882C4C"/>
    <w:rsid w:val="008838DA"/>
    <w:rsid w:val="00883E46"/>
    <w:rsid w:val="00883FF3"/>
    <w:rsid w:val="008841FF"/>
    <w:rsid w:val="008849DF"/>
    <w:rsid w:val="00884E47"/>
    <w:rsid w:val="0088563C"/>
    <w:rsid w:val="00885AC2"/>
    <w:rsid w:val="0088607E"/>
    <w:rsid w:val="00886585"/>
    <w:rsid w:val="0088664D"/>
    <w:rsid w:val="008866E2"/>
    <w:rsid w:val="00886DED"/>
    <w:rsid w:val="00886F99"/>
    <w:rsid w:val="00887372"/>
    <w:rsid w:val="00887383"/>
    <w:rsid w:val="00887714"/>
    <w:rsid w:val="00887AA9"/>
    <w:rsid w:val="00887D76"/>
    <w:rsid w:val="00887FC4"/>
    <w:rsid w:val="00890448"/>
    <w:rsid w:val="00890826"/>
    <w:rsid w:val="00890AEE"/>
    <w:rsid w:val="00890B31"/>
    <w:rsid w:val="00890D89"/>
    <w:rsid w:val="00891003"/>
    <w:rsid w:val="00891582"/>
    <w:rsid w:val="00891682"/>
    <w:rsid w:val="00891B29"/>
    <w:rsid w:val="00891B4F"/>
    <w:rsid w:val="00891D85"/>
    <w:rsid w:val="00891E72"/>
    <w:rsid w:val="0089222E"/>
    <w:rsid w:val="008929BB"/>
    <w:rsid w:val="00892BD7"/>
    <w:rsid w:val="00892E8C"/>
    <w:rsid w:val="008939F1"/>
    <w:rsid w:val="00893F33"/>
    <w:rsid w:val="00893F5B"/>
    <w:rsid w:val="0089458E"/>
    <w:rsid w:val="00895313"/>
    <w:rsid w:val="008966DD"/>
    <w:rsid w:val="00896D36"/>
    <w:rsid w:val="00896E8B"/>
    <w:rsid w:val="008978FC"/>
    <w:rsid w:val="00897E80"/>
    <w:rsid w:val="00897FD0"/>
    <w:rsid w:val="008A0516"/>
    <w:rsid w:val="008A0E3B"/>
    <w:rsid w:val="008A1D62"/>
    <w:rsid w:val="008A1DE6"/>
    <w:rsid w:val="008A2422"/>
    <w:rsid w:val="008A2C0F"/>
    <w:rsid w:val="008A2C4F"/>
    <w:rsid w:val="008A2C73"/>
    <w:rsid w:val="008A2E3C"/>
    <w:rsid w:val="008A33EC"/>
    <w:rsid w:val="008A395E"/>
    <w:rsid w:val="008A3CE0"/>
    <w:rsid w:val="008A41EE"/>
    <w:rsid w:val="008A43C9"/>
    <w:rsid w:val="008A43E5"/>
    <w:rsid w:val="008A4579"/>
    <w:rsid w:val="008A45A3"/>
    <w:rsid w:val="008A4F7B"/>
    <w:rsid w:val="008A52D6"/>
    <w:rsid w:val="008A544E"/>
    <w:rsid w:val="008A5AF9"/>
    <w:rsid w:val="008A5DCB"/>
    <w:rsid w:val="008A5DE0"/>
    <w:rsid w:val="008A6B37"/>
    <w:rsid w:val="008A6CB0"/>
    <w:rsid w:val="008A6FDC"/>
    <w:rsid w:val="008A75C7"/>
    <w:rsid w:val="008A7811"/>
    <w:rsid w:val="008A7B79"/>
    <w:rsid w:val="008B0258"/>
    <w:rsid w:val="008B0317"/>
    <w:rsid w:val="008B040C"/>
    <w:rsid w:val="008B044A"/>
    <w:rsid w:val="008B04F2"/>
    <w:rsid w:val="008B10BD"/>
    <w:rsid w:val="008B11A0"/>
    <w:rsid w:val="008B12D6"/>
    <w:rsid w:val="008B1778"/>
    <w:rsid w:val="008B2355"/>
    <w:rsid w:val="008B249C"/>
    <w:rsid w:val="008B2DE8"/>
    <w:rsid w:val="008B2E8E"/>
    <w:rsid w:val="008B315D"/>
    <w:rsid w:val="008B34D5"/>
    <w:rsid w:val="008B3AA1"/>
    <w:rsid w:val="008B3FBB"/>
    <w:rsid w:val="008B4D87"/>
    <w:rsid w:val="008B5321"/>
    <w:rsid w:val="008B58FA"/>
    <w:rsid w:val="008B5DCC"/>
    <w:rsid w:val="008B5F88"/>
    <w:rsid w:val="008B6217"/>
    <w:rsid w:val="008B6241"/>
    <w:rsid w:val="008B67CB"/>
    <w:rsid w:val="008B7419"/>
    <w:rsid w:val="008B78E9"/>
    <w:rsid w:val="008B7F15"/>
    <w:rsid w:val="008C0456"/>
    <w:rsid w:val="008C08A8"/>
    <w:rsid w:val="008C0A46"/>
    <w:rsid w:val="008C0C1E"/>
    <w:rsid w:val="008C0F60"/>
    <w:rsid w:val="008C189F"/>
    <w:rsid w:val="008C18B9"/>
    <w:rsid w:val="008C1904"/>
    <w:rsid w:val="008C1AA4"/>
    <w:rsid w:val="008C1BED"/>
    <w:rsid w:val="008C1C9A"/>
    <w:rsid w:val="008C26E4"/>
    <w:rsid w:val="008C3766"/>
    <w:rsid w:val="008C3D36"/>
    <w:rsid w:val="008C3F7E"/>
    <w:rsid w:val="008C44E1"/>
    <w:rsid w:val="008C4D49"/>
    <w:rsid w:val="008C501A"/>
    <w:rsid w:val="008C55A1"/>
    <w:rsid w:val="008C6077"/>
    <w:rsid w:val="008C66D3"/>
    <w:rsid w:val="008C76F4"/>
    <w:rsid w:val="008D027D"/>
    <w:rsid w:val="008D041F"/>
    <w:rsid w:val="008D0454"/>
    <w:rsid w:val="008D0C39"/>
    <w:rsid w:val="008D0E9A"/>
    <w:rsid w:val="008D0FC1"/>
    <w:rsid w:val="008D1311"/>
    <w:rsid w:val="008D216C"/>
    <w:rsid w:val="008D21D9"/>
    <w:rsid w:val="008D2463"/>
    <w:rsid w:val="008D2F22"/>
    <w:rsid w:val="008D32B4"/>
    <w:rsid w:val="008D38BF"/>
    <w:rsid w:val="008D3AC2"/>
    <w:rsid w:val="008D434C"/>
    <w:rsid w:val="008D44FC"/>
    <w:rsid w:val="008D44FD"/>
    <w:rsid w:val="008D4737"/>
    <w:rsid w:val="008D50A6"/>
    <w:rsid w:val="008D534A"/>
    <w:rsid w:val="008D557C"/>
    <w:rsid w:val="008D5593"/>
    <w:rsid w:val="008D58B9"/>
    <w:rsid w:val="008D612D"/>
    <w:rsid w:val="008D65B6"/>
    <w:rsid w:val="008D65D9"/>
    <w:rsid w:val="008D68B2"/>
    <w:rsid w:val="008D6A0B"/>
    <w:rsid w:val="008D74C7"/>
    <w:rsid w:val="008D7801"/>
    <w:rsid w:val="008D7823"/>
    <w:rsid w:val="008D7D57"/>
    <w:rsid w:val="008E0E40"/>
    <w:rsid w:val="008E123E"/>
    <w:rsid w:val="008E13A0"/>
    <w:rsid w:val="008E1A30"/>
    <w:rsid w:val="008E1ECC"/>
    <w:rsid w:val="008E256D"/>
    <w:rsid w:val="008E258A"/>
    <w:rsid w:val="008E2A17"/>
    <w:rsid w:val="008E2B72"/>
    <w:rsid w:val="008E2F39"/>
    <w:rsid w:val="008E3609"/>
    <w:rsid w:val="008E3B41"/>
    <w:rsid w:val="008E4047"/>
    <w:rsid w:val="008E40BA"/>
    <w:rsid w:val="008E41C6"/>
    <w:rsid w:val="008E4355"/>
    <w:rsid w:val="008E4731"/>
    <w:rsid w:val="008E4B0C"/>
    <w:rsid w:val="008E4CB4"/>
    <w:rsid w:val="008E4DCD"/>
    <w:rsid w:val="008E616B"/>
    <w:rsid w:val="008E6410"/>
    <w:rsid w:val="008E648C"/>
    <w:rsid w:val="008E7477"/>
    <w:rsid w:val="008F019E"/>
    <w:rsid w:val="008F01AD"/>
    <w:rsid w:val="008F0648"/>
    <w:rsid w:val="008F0956"/>
    <w:rsid w:val="008F0CF9"/>
    <w:rsid w:val="008F11A8"/>
    <w:rsid w:val="008F1930"/>
    <w:rsid w:val="008F22AB"/>
    <w:rsid w:val="008F2680"/>
    <w:rsid w:val="008F2797"/>
    <w:rsid w:val="008F2849"/>
    <w:rsid w:val="008F28FE"/>
    <w:rsid w:val="008F29BE"/>
    <w:rsid w:val="008F2C2D"/>
    <w:rsid w:val="008F3063"/>
    <w:rsid w:val="008F31DB"/>
    <w:rsid w:val="008F335A"/>
    <w:rsid w:val="008F3D6C"/>
    <w:rsid w:val="008F3D96"/>
    <w:rsid w:val="008F42F7"/>
    <w:rsid w:val="008F456A"/>
    <w:rsid w:val="008F4668"/>
    <w:rsid w:val="008F50B4"/>
    <w:rsid w:val="008F5B28"/>
    <w:rsid w:val="008F5C0B"/>
    <w:rsid w:val="008F5E41"/>
    <w:rsid w:val="008F5E8D"/>
    <w:rsid w:val="008F615F"/>
    <w:rsid w:val="008F6322"/>
    <w:rsid w:val="008F6547"/>
    <w:rsid w:val="008F65A7"/>
    <w:rsid w:val="008F672F"/>
    <w:rsid w:val="008F6868"/>
    <w:rsid w:val="008F6C30"/>
    <w:rsid w:val="008F71BD"/>
    <w:rsid w:val="008F79F7"/>
    <w:rsid w:val="008F7D0F"/>
    <w:rsid w:val="008F7FB4"/>
    <w:rsid w:val="00900616"/>
    <w:rsid w:val="009010DF"/>
    <w:rsid w:val="00901103"/>
    <w:rsid w:val="009011AD"/>
    <w:rsid w:val="00901222"/>
    <w:rsid w:val="00901D76"/>
    <w:rsid w:val="00902024"/>
    <w:rsid w:val="0090245C"/>
    <w:rsid w:val="00902584"/>
    <w:rsid w:val="0090270C"/>
    <w:rsid w:val="00902725"/>
    <w:rsid w:val="00902848"/>
    <w:rsid w:val="00902986"/>
    <w:rsid w:val="009029EC"/>
    <w:rsid w:val="00902D57"/>
    <w:rsid w:val="009031F0"/>
    <w:rsid w:val="00903390"/>
    <w:rsid w:val="00903B9D"/>
    <w:rsid w:val="009040DF"/>
    <w:rsid w:val="009042B4"/>
    <w:rsid w:val="00904898"/>
    <w:rsid w:val="0090490D"/>
    <w:rsid w:val="00904A0B"/>
    <w:rsid w:val="00904F85"/>
    <w:rsid w:val="009051EE"/>
    <w:rsid w:val="00905918"/>
    <w:rsid w:val="00905BAE"/>
    <w:rsid w:val="00905D41"/>
    <w:rsid w:val="009061B6"/>
    <w:rsid w:val="009064A9"/>
    <w:rsid w:val="009064F8"/>
    <w:rsid w:val="00906B30"/>
    <w:rsid w:val="00907430"/>
    <w:rsid w:val="009074E7"/>
    <w:rsid w:val="0090783F"/>
    <w:rsid w:val="009078EA"/>
    <w:rsid w:val="00907A3A"/>
    <w:rsid w:val="00907B44"/>
    <w:rsid w:val="00907E44"/>
    <w:rsid w:val="00907E93"/>
    <w:rsid w:val="00907F6B"/>
    <w:rsid w:val="0091019E"/>
    <w:rsid w:val="009101E2"/>
    <w:rsid w:val="00910786"/>
    <w:rsid w:val="00910A92"/>
    <w:rsid w:val="00911ADA"/>
    <w:rsid w:val="00911B6C"/>
    <w:rsid w:val="0091209C"/>
    <w:rsid w:val="00912932"/>
    <w:rsid w:val="00912A2A"/>
    <w:rsid w:val="00912E8B"/>
    <w:rsid w:val="00913009"/>
    <w:rsid w:val="00913630"/>
    <w:rsid w:val="009136D5"/>
    <w:rsid w:val="00913DF7"/>
    <w:rsid w:val="00913F0E"/>
    <w:rsid w:val="0091427B"/>
    <w:rsid w:val="00914409"/>
    <w:rsid w:val="0091443F"/>
    <w:rsid w:val="0091481C"/>
    <w:rsid w:val="009149A5"/>
    <w:rsid w:val="00914CB7"/>
    <w:rsid w:val="00914EA8"/>
    <w:rsid w:val="00915065"/>
    <w:rsid w:val="0091536C"/>
    <w:rsid w:val="00915757"/>
    <w:rsid w:val="009167FE"/>
    <w:rsid w:val="009177A2"/>
    <w:rsid w:val="00917E2D"/>
    <w:rsid w:val="00917F2D"/>
    <w:rsid w:val="00917F36"/>
    <w:rsid w:val="00917F4D"/>
    <w:rsid w:val="009207CD"/>
    <w:rsid w:val="00920A06"/>
    <w:rsid w:val="00920A6E"/>
    <w:rsid w:val="00920E77"/>
    <w:rsid w:val="00920F6C"/>
    <w:rsid w:val="00921089"/>
    <w:rsid w:val="0092118D"/>
    <w:rsid w:val="009211EF"/>
    <w:rsid w:val="0092136C"/>
    <w:rsid w:val="0092188B"/>
    <w:rsid w:val="009218D8"/>
    <w:rsid w:val="00921D48"/>
    <w:rsid w:val="009225E1"/>
    <w:rsid w:val="00923129"/>
    <w:rsid w:val="009234F7"/>
    <w:rsid w:val="009236A1"/>
    <w:rsid w:val="00924A23"/>
    <w:rsid w:val="00924B20"/>
    <w:rsid w:val="00924BF6"/>
    <w:rsid w:val="00925177"/>
    <w:rsid w:val="00925787"/>
    <w:rsid w:val="00926094"/>
    <w:rsid w:val="009263B3"/>
    <w:rsid w:val="00926405"/>
    <w:rsid w:val="0092683C"/>
    <w:rsid w:val="00926FA6"/>
    <w:rsid w:val="00927409"/>
    <w:rsid w:val="009279DD"/>
    <w:rsid w:val="00927C72"/>
    <w:rsid w:val="00930327"/>
    <w:rsid w:val="00930360"/>
    <w:rsid w:val="0093037F"/>
    <w:rsid w:val="0093094A"/>
    <w:rsid w:val="00930D40"/>
    <w:rsid w:val="0093187D"/>
    <w:rsid w:val="00931A84"/>
    <w:rsid w:val="00932246"/>
    <w:rsid w:val="009323FF"/>
    <w:rsid w:val="009326FC"/>
    <w:rsid w:val="00933751"/>
    <w:rsid w:val="00933779"/>
    <w:rsid w:val="009338B6"/>
    <w:rsid w:val="00933917"/>
    <w:rsid w:val="00933A81"/>
    <w:rsid w:val="00933EC2"/>
    <w:rsid w:val="0093402C"/>
    <w:rsid w:val="00934345"/>
    <w:rsid w:val="009348B1"/>
    <w:rsid w:val="00935197"/>
    <w:rsid w:val="0093559A"/>
    <w:rsid w:val="00935B81"/>
    <w:rsid w:val="00935C2B"/>
    <w:rsid w:val="00936B6C"/>
    <w:rsid w:val="009377A4"/>
    <w:rsid w:val="00937A60"/>
    <w:rsid w:val="00937BD1"/>
    <w:rsid w:val="00937CB4"/>
    <w:rsid w:val="00937F59"/>
    <w:rsid w:val="00940134"/>
    <w:rsid w:val="009401BB"/>
    <w:rsid w:val="0094094E"/>
    <w:rsid w:val="00940CBA"/>
    <w:rsid w:val="009410DC"/>
    <w:rsid w:val="00941BBC"/>
    <w:rsid w:val="00941E1B"/>
    <w:rsid w:val="00941FB1"/>
    <w:rsid w:val="0094213F"/>
    <w:rsid w:val="00942273"/>
    <w:rsid w:val="009425FC"/>
    <w:rsid w:val="00942A61"/>
    <w:rsid w:val="009432C9"/>
    <w:rsid w:val="00943F93"/>
    <w:rsid w:val="00944337"/>
    <w:rsid w:val="00944CE5"/>
    <w:rsid w:val="009452FB"/>
    <w:rsid w:val="009454E8"/>
    <w:rsid w:val="00945854"/>
    <w:rsid w:val="00945B30"/>
    <w:rsid w:val="00945BF2"/>
    <w:rsid w:val="009462D0"/>
    <w:rsid w:val="0094667F"/>
    <w:rsid w:val="00946973"/>
    <w:rsid w:val="00946F86"/>
    <w:rsid w:val="00947001"/>
    <w:rsid w:val="009472F5"/>
    <w:rsid w:val="00947761"/>
    <w:rsid w:val="00947815"/>
    <w:rsid w:val="00947B47"/>
    <w:rsid w:val="00947B9C"/>
    <w:rsid w:val="00947BB4"/>
    <w:rsid w:val="00947BD1"/>
    <w:rsid w:val="009501B6"/>
    <w:rsid w:val="00950AA3"/>
    <w:rsid w:val="009513C3"/>
    <w:rsid w:val="009515B6"/>
    <w:rsid w:val="009519FF"/>
    <w:rsid w:val="00951C7C"/>
    <w:rsid w:val="00951D26"/>
    <w:rsid w:val="00951D3A"/>
    <w:rsid w:val="00951D3B"/>
    <w:rsid w:val="0095237B"/>
    <w:rsid w:val="00952754"/>
    <w:rsid w:val="00952BA2"/>
    <w:rsid w:val="009530DC"/>
    <w:rsid w:val="009530F0"/>
    <w:rsid w:val="009536A7"/>
    <w:rsid w:val="00953D59"/>
    <w:rsid w:val="00953FF5"/>
    <w:rsid w:val="009542E8"/>
    <w:rsid w:val="00954793"/>
    <w:rsid w:val="00954979"/>
    <w:rsid w:val="00954B61"/>
    <w:rsid w:val="00954EA6"/>
    <w:rsid w:val="00955423"/>
    <w:rsid w:val="00955748"/>
    <w:rsid w:val="00955974"/>
    <w:rsid w:val="00955A63"/>
    <w:rsid w:val="00955AF9"/>
    <w:rsid w:val="0095668F"/>
    <w:rsid w:val="009566F7"/>
    <w:rsid w:val="00956A4D"/>
    <w:rsid w:val="00956F77"/>
    <w:rsid w:val="00957324"/>
    <w:rsid w:val="009573E4"/>
    <w:rsid w:val="009574FE"/>
    <w:rsid w:val="009575E7"/>
    <w:rsid w:val="00957FC4"/>
    <w:rsid w:val="00957FC5"/>
    <w:rsid w:val="00960041"/>
    <w:rsid w:val="009606EE"/>
    <w:rsid w:val="0096077A"/>
    <w:rsid w:val="00960954"/>
    <w:rsid w:val="00960A87"/>
    <w:rsid w:val="0096152A"/>
    <w:rsid w:val="0096172D"/>
    <w:rsid w:val="009617C1"/>
    <w:rsid w:val="00961DF4"/>
    <w:rsid w:val="00961E17"/>
    <w:rsid w:val="00962343"/>
    <w:rsid w:val="00962443"/>
    <w:rsid w:val="0096262B"/>
    <w:rsid w:val="00962FD9"/>
    <w:rsid w:val="0096306A"/>
    <w:rsid w:val="009634EE"/>
    <w:rsid w:val="009636AA"/>
    <w:rsid w:val="00963C32"/>
    <w:rsid w:val="00964055"/>
    <w:rsid w:val="00964082"/>
    <w:rsid w:val="00964215"/>
    <w:rsid w:val="0096470D"/>
    <w:rsid w:val="00964E63"/>
    <w:rsid w:val="00964F37"/>
    <w:rsid w:val="0096580B"/>
    <w:rsid w:val="00965E3F"/>
    <w:rsid w:val="00965F43"/>
    <w:rsid w:val="00965F4D"/>
    <w:rsid w:val="00966346"/>
    <w:rsid w:val="00966B98"/>
    <w:rsid w:val="00966BE4"/>
    <w:rsid w:val="00967037"/>
    <w:rsid w:val="0096735B"/>
    <w:rsid w:val="00970199"/>
    <w:rsid w:val="009709F4"/>
    <w:rsid w:val="00970D5F"/>
    <w:rsid w:val="00970FA1"/>
    <w:rsid w:val="00971B29"/>
    <w:rsid w:val="00972F13"/>
    <w:rsid w:val="009735F3"/>
    <w:rsid w:val="00973641"/>
    <w:rsid w:val="00973705"/>
    <w:rsid w:val="0097379F"/>
    <w:rsid w:val="00974BE3"/>
    <w:rsid w:val="009753C7"/>
    <w:rsid w:val="009755AB"/>
    <w:rsid w:val="009758E7"/>
    <w:rsid w:val="00975E39"/>
    <w:rsid w:val="00976038"/>
    <w:rsid w:val="00976285"/>
    <w:rsid w:val="009766C3"/>
    <w:rsid w:val="009769A3"/>
    <w:rsid w:val="00976EEE"/>
    <w:rsid w:val="00976F0B"/>
    <w:rsid w:val="0097750C"/>
    <w:rsid w:val="00977590"/>
    <w:rsid w:val="009778D0"/>
    <w:rsid w:val="00977C1E"/>
    <w:rsid w:val="00980742"/>
    <w:rsid w:val="00980C72"/>
    <w:rsid w:val="00980E3A"/>
    <w:rsid w:val="009812A0"/>
    <w:rsid w:val="0098178A"/>
    <w:rsid w:val="00981986"/>
    <w:rsid w:val="009819B2"/>
    <w:rsid w:val="00981AEF"/>
    <w:rsid w:val="00981EA6"/>
    <w:rsid w:val="009824AA"/>
    <w:rsid w:val="0098282C"/>
    <w:rsid w:val="00982946"/>
    <w:rsid w:val="00982EC0"/>
    <w:rsid w:val="009839B0"/>
    <w:rsid w:val="00983D7B"/>
    <w:rsid w:val="00984348"/>
    <w:rsid w:val="009843B2"/>
    <w:rsid w:val="00984580"/>
    <w:rsid w:val="009846FE"/>
    <w:rsid w:val="00984E46"/>
    <w:rsid w:val="00984FC4"/>
    <w:rsid w:val="00984FFC"/>
    <w:rsid w:val="00985567"/>
    <w:rsid w:val="0098570E"/>
    <w:rsid w:val="00985897"/>
    <w:rsid w:val="00985D39"/>
    <w:rsid w:val="009863AD"/>
    <w:rsid w:val="00987368"/>
    <w:rsid w:val="0098761E"/>
    <w:rsid w:val="0098763D"/>
    <w:rsid w:val="00987697"/>
    <w:rsid w:val="009878FD"/>
    <w:rsid w:val="00990021"/>
    <w:rsid w:val="0099048A"/>
    <w:rsid w:val="009905FC"/>
    <w:rsid w:val="00990811"/>
    <w:rsid w:val="0099171B"/>
    <w:rsid w:val="00991828"/>
    <w:rsid w:val="00991AF5"/>
    <w:rsid w:val="00992514"/>
    <w:rsid w:val="00992573"/>
    <w:rsid w:val="00992B92"/>
    <w:rsid w:val="00992BDB"/>
    <w:rsid w:val="009931C3"/>
    <w:rsid w:val="0099330B"/>
    <w:rsid w:val="0099377B"/>
    <w:rsid w:val="00993847"/>
    <w:rsid w:val="00993D78"/>
    <w:rsid w:val="00993DC8"/>
    <w:rsid w:val="0099415D"/>
    <w:rsid w:val="009941C4"/>
    <w:rsid w:val="0099535C"/>
    <w:rsid w:val="0099554C"/>
    <w:rsid w:val="00995D09"/>
    <w:rsid w:val="00995D8D"/>
    <w:rsid w:val="009963EB"/>
    <w:rsid w:val="009965A4"/>
    <w:rsid w:val="00996FF0"/>
    <w:rsid w:val="00997258"/>
    <w:rsid w:val="009974D1"/>
    <w:rsid w:val="00997592"/>
    <w:rsid w:val="00997ACF"/>
    <w:rsid w:val="00997B02"/>
    <w:rsid w:val="00997E7B"/>
    <w:rsid w:val="00997E8C"/>
    <w:rsid w:val="009A01DE"/>
    <w:rsid w:val="009A05CF"/>
    <w:rsid w:val="009A0A1D"/>
    <w:rsid w:val="009A0AEA"/>
    <w:rsid w:val="009A0BF6"/>
    <w:rsid w:val="009A0EAF"/>
    <w:rsid w:val="009A0FD8"/>
    <w:rsid w:val="009A0FF5"/>
    <w:rsid w:val="009A10D4"/>
    <w:rsid w:val="009A1318"/>
    <w:rsid w:val="009A2037"/>
    <w:rsid w:val="009A20AD"/>
    <w:rsid w:val="009A2510"/>
    <w:rsid w:val="009A29F3"/>
    <w:rsid w:val="009A2CDF"/>
    <w:rsid w:val="009A303A"/>
    <w:rsid w:val="009A396D"/>
    <w:rsid w:val="009A3C39"/>
    <w:rsid w:val="009A3CCB"/>
    <w:rsid w:val="009A48AC"/>
    <w:rsid w:val="009A5BC9"/>
    <w:rsid w:val="009A624E"/>
    <w:rsid w:val="009A646B"/>
    <w:rsid w:val="009A65AE"/>
    <w:rsid w:val="009A67AF"/>
    <w:rsid w:val="009A7783"/>
    <w:rsid w:val="009A783E"/>
    <w:rsid w:val="009B05AE"/>
    <w:rsid w:val="009B1D27"/>
    <w:rsid w:val="009B1E6C"/>
    <w:rsid w:val="009B20A7"/>
    <w:rsid w:val="009B24C8"/>
    <w:rsid w:val="009B289B"/>
    <w:rsid w:val="009B2C2E"/>
    <w:rsid w:val="009B2C59"/>
    <w:rsid w:val="009B3347"/>
    <w:rsid w:val="009B3837"/>
    <w:rsid w:val="009B3AAD"/>
    <w:rsid w:val="009B3AB6"/>
    <w:rsid w:val="009B3B27"/>
    <w:rsid w:val="009B3BD2"/>
    <w:rsid w:val="009B40CA"/>
    <w:rsid w:val="009B466D"/>
    <w:rsid w:val="009B48F9"/>
    <w:rsid w:val="009B51AF"/>
    <w:rsid w:val="009B5289"/>
    <w:rsid w:val="009B5439"/>
    <w:rsid w:val="009B55A5"/>
    <w:rsid w:val="009B55E4"/>
    <w:rsid w:val="009B57C8"/>
    <w:rsid w:val="009B6027"/>
    <w:rsid w:val="009B64CC"/>
    <w:rsid w:val="009B69F1"/>
    <w:rsid w:val="009B6A10"/>
    <w:rsid w:val="009B775E"/>
    <w:rsid w:val="009B7791"/>
    <w:rsid w:val="009C0014"/>
    <w:rsid w:val="009C025B"/>
    <w:rsid w:val="009C087D"/>
    <w:rsid w:val="009C0DF5"/>
    <w:rsid w:val="009C1334"/>
    <w:rsid w:val="009C13DA"/>
    <w:rsid w:val="009C14FE"/>
    <w:rsid w:val="009C1B77"/>
    <w:rsid w:val="009C1E78"/>
    <w:rsid w:val="009C21D0"/>
    <w:rsid w:val="009C23CD"/>
    <w:rsid w:val="009C2730"/>
    <w:rsid w:val="009C2C62"/>
    <w:rsid w:val="009C3119"/>
    <w:rsid w:val="009C381A"/>
    <w:rsid w:val="009C3AD1"/>
    <w:rsid w:val="009C3F3C"/>
    <w:rsid w:val="009C3F57"/>
    <w:rsid w:val="009C4BBA"/>
    <w:rsid w:val="009C4C8A"/>
    <w:rsid w:val="009C4DF8"/>
    <w:rsid w:val="009C4E2C"/>
    <w:rsid w:val="009C4F06"/>
    <w:rsid w:val="009C4F8D"/>
    <w:rsid w:val="009C4FAA"/>
    <w:rsid w:val="009C5AA8"/>
    <w:rsid w:val="009C5C4C"/>
    <w:rsid w:val="009C5D87"/>
    <w:rsid w:val="009C606F"/>
    <w:rsid w:val="009C657C"/>
    <w:rsid w:val="009C69BA"/>
    <w:rsid w:val="009C6CE4"/>
    <w:rsid w:val="009C7012"/>
    <w:rsid w:val="009C7C0C"/>
    <w:rsid w:val="009C7EED"/>
    <w:rsid w:val="009D0205"/>
    <w:rsid w:val="009D030A"/>
    <w:rsid w:val="009D033A"/>
    <w:rsid w:val="009D0372"/>
    <w:rsid w:val="009D0425"/>
    <w:rsid w:val="009D09A3"/>
    <w:rsid w:val="009D0A04"/>
    <w:rsid w:val="009D0B58"/>
    <w:rsid w:val="009D0CD1"/>
    <w:rsid w:val="009D149C"/>
    <w:rsid w:val="009D177E"/>
    <w:rsid w:val="009D1EA4"/>
    <w:rsid w:val="009D2067"/>
    <w:rsid w:val="009D25ED"/>
    <w:rsid w:val="009D2B6E"/>
    <w:rsid w:val="009D4453"/>
    <w:rsid w:val="009D5743"/>
    <w:rsid w:val="009D5CCC"/>
    <w:rsid w:val="009D60D3"/>
    <w:rsid w:val="009D65AD"/>
    <w:rsid w:val="009D723D"/>
    <w:rsid w:val="009D73A1"/>
    <w:rsid w:val="009D73BF"/>
    <w:rsid w:val="009D775C"/>
    <w:rsid w:val="009D7C21"/>
    <w:rsid w:val="009D7FEF"/>
    <w:rsid w:val="009E02CC"/>
    <w:rsid w:val="009E0328"/>
    <w:rsid w:val="009E03D0"/>
    <w:rsid w:val="009E056F"/>
    <w:rsid w:val="009E065E"/>
    <w:rsid w:val="009E0EBA"/>
    <w:rsid w:val="009E12AE"/>
    <w:rsid w:val="009E12CA"/>
    <w:rsid w:val="009E1649"/>
    <w:rsid w:val="009E17FD"/>
    <w:rsid w:val="009E28A2"/>
    <w:rsid w:val="009E2C1A"/>
    <w:rsid w:val="009E300D"/>
    <w:rsid w:val="009E3271"/>
    <w:rsid w:val="009E3272"/>
    <w:rsid w:val="009E32BF"/>
    <w:rsid w:val="009E35FA"/>
    <w:rsid w:val="009E370E"/>
    <w:rsid w:val="009E38D3"/>
    <w:rsid w:val="009E3907"/>
    <w:rsid w:val="009E3D57"/>
    <w:rsid w:val="009E47A9"/>
    <w:rsid w:val="009E47B7"/>
    <w:rsid w:val="009E4A3A"/>
    <w:rsid w:val="009E4BF1"/>
    <w:rsid w:val="009E57BF"/>
    <w:rsid w:val="009E5D07"/>
    <w:rsid w:val="009E5FD3"/>
    <w:rsid w:val="009E5FE5"/>
    <w:rsid w:val="009E604C"/>
    <w:rsid w:val="009E60C6"/>
    <w:rsid w:val="009E6A2A"/>
    <w:rsid w:val="009E6BAC"/>
    <w:rsid w:val="009E6F4A"/>
    <w:rsid w:val="009E710A"/>
    <w:rsid w:val="009E723D"/>
    <w:rsid w:val="009E79CA"/>
    <w:rsid w:val="009E7A4E"/>
    <w:rsid w:val="009E7E65"/>
    <w:rsid w:val="009F073E"/>
    <w:rsid w:val="009F10E9"/>
    <w:rsid w:val="009F11F7"/>
    <w:rsid w:val="009F126D"/>
    <w:rsid w:val="009F1367"/>
    <w:rsid w:val="009F15F8"/>
    <w:rsid w:val="009F1E45"/>
    <w:rsid w:val="009F2198"/>
    <w:rsid w:val="009F22DC"/>
    <w:rsid w:val="009F27C3"/>
    <w:rsid w:val="009F2ACA"/>
    <w:rsid w:val="009F2AEB"/>
    <w:rsid w:val="009F2B85"/>
    <w:rsid w:val="009F2CDB"/>
    <w:rsid w:val="009F2E61"/>
    <w:rsid w:val="009F4009"/>
    <w:rsid w:val="009F41B9"/>
    <w:rsid w:val="009F4773"/>
    <w:rsid w:val="009F4791"/>
    <w:rsid w:val="009F5A39"/>
    <w:rsid w:val="009F5B39"/>
    <w:rsid w:val="009F5DD0"/>
    <w:rsid w:val="009F62C7"/>
    <w:rsid w:val="009F6518"/>
    <w:rsid w:val="009F7307"/>
    <w:rsid w:val="009F7710"/>
    <w:rsid w:val="009F7ABA"/>
    <w:rsid w:val="00A006B4"/>
    <w:rsid w:val="00A008B2"/>
    <w:rsid w:val="00A00BED"/>
    <w:rsid w:val="00A01F85"/>
    <w:rsid w:val="00A023D7"/>
    <w:rsid w:val="00A0243F"/>
    <w:rsid w:val="00A02844"/>
    <w:rsid w:val="00A03485"/>
    <w:rsid w:val="00A03616"/>
    <w:rsid w:val="00A039C9"/>
    <w:rsid w:val="00A04189"/>
    <w:rsid w:val="00A04241"/>
    <w:rsid w:val="00A04435"/>
    <w:rsid w:val="00A049A9"/>
    <w:rsid w:val="00A04B78"/>
    <w:rsid w:val="00A04D19"/>
    <w:rsid w:val="00A04DC1"/>
    <w:rsid w:val="00A052F7"/>
    <w:rsid w:val="00A05493"/>
    <w:rsid w:val="00A059C2"/>
    <w:rsid w:val="00A06425"/>
    <w:rsid w:val="00A07139"/>
    <w:rsid w:val="00A0732D"/>
    <w:rsid w:val="00A07C0F"/>
    <w:rsid w:val="00A10673"/>
    <w:rsid w:val="00A1109D"/>
    <w:rsid w:val="00A11132"/>
    <w:rsid w:val="00A1212D"/>
    <w:rsid w:val="00A12260"/>
    <w:rsid w:val="00A124C6"/>
    <w:rsid w:val="00A126B1"/>
    <w:rsid w:val="00A12D3A"/>
    <w:rsid w:val="00A12F20"/>
    <w:rsid w:val="00A13095"/>
    <w:rsid w:val="00A1314F"/>
    <w:rsid w:val="00A13B17"/>
    <w:rsid w:val="00A13BF0"/>
    <w:rsid w:val="00A13E9D"/>
    <w:rsid w:val="00A1421E"/>
    <w:rsid w:val="00A155CD"/>
    <w:rsid w:val="00A16CEB"/>
    <w:rsid w:val="00A17493"/>
    <w:rsid w:val="00A175EA"/>
    <w:rsid w:val="00A2016F"/>
    <w:rsid w:val="00A203D4"/>
    <w:rsid w:val="00A20592"/>
    <w:rsid w:val="00A20950"/>
    <w:rsid w:val="00A20B70"/>
    <w:rsid w:val="00A21987"/>
    <w:rsid w:val="00A21CE6"/>
    <w:rsid w:val="00A21D45"/>
    <w:rsid w:val="00A21DA8"/>
    <w:rsid w:val="00A21F78"/>
    <w:rsid w:val="00A225EC"/>
    <w:rsid w:val="00A2292A"/>
    <w:rsid w:val="00A22DA8"/>
    <w:rsid w:val="00A22F08"/>
    <w:rsid w:val="00A23642"/>
    <w:rsid w:val="00A23831"/>
    <w:rsid w:val="00A238E4"/>
    <w:rsid w:val="00A23913"/>
    <w:rsid w:val="00A23A29"/>
    <w:rsid w:val="00A23A96"/>
    <w:rsid w:val="00A23B5C"/>
    <w:rsid w:val="00A2435E"/>
    <w:rsid w:val="00A24372"/>
    <w:rsid w:val="00A24858"/>
    <w:rsid w:val="00A25055"/>
    <w:rsid w:val="00A25114"/>
    <w:rsid w:val="00A2557E"/>
    <w:rsid w:val="00A258CA"/>
    <w:rsid w:val="00A26448"/>
    <w:rsid w:val="00A268AE"/>
    <w:rsid w:val="00A26A57"/>
    <w:rsid w:val="00A26ACA"/>
    <w:rsid w:val="00A272D0"/>
    <w:rsid w:val="00A27BA8"/>
    <w:rsid w:val="00A27EB8"/>
    <w:rsid w:val="00A27F6E"/>
    <w:rsid w:val="00A305A8"/>
    <w:rsid w:val="00A30959"/>
    <w:rsid w:val="00A31391"/>
    <w:rsid w:val="00A3147A"/>
    <w:rsid w:val="00A3147F"/>
    <w:rsid w:val="00A31C14"/>
    <w:rsid w:val="00A31CBC"/>
    <w:rsid w:val="00A31E84"/>
    <w:rsid w:val="00A320DD"/>
    <w:rsid w:val="00A322B3"/>
    <w:rsid w:val="00A325FB"/>
    <w:rsid w:val="00A32697"/>
    <w:rsid w:val="00A32AC9"/>
    <w:rsid w:val="00A33134"/>
    <w:rsid w:val="00A3332F"/>
    <w:rsid w:val="00A33342"/>
    <w:rsid w:val="00A33872"/>
    <w:rsid w:val="00A33878"/>
    <w:rsid w:val="00A33BC3"/>
    <w:rsid w:val="00A343FA"/>
    <w:rsid w:val="00A345C0"/>
    <w:rsid w:val="00A345F1"/>
    <w:rsid w:val="00A34C48"/>
    <w:rsid w:val="00A34DA5"/>
    <w:rsid w:val="00A353F5"/>
    <w:rsid w:val="00A35713"/>
    <w:rsid w:val="00A35BF8"/>
    <w:rsid w:val="00A36CC5"/>
    <w:rsid w:val="00A37CFA"/>
    <w:rsid w:val="00A4049C"/>
    <w:rsid w:val="00A41411"/>
    <w:rsid w:val="00A4169A"/>
    <w:rsid w:val="00A4174A"/>
    <w:rsid w:val="00A42039"/>
    <w:rsid w:val="00A423B3"/>
    <w:rsid w:val="00A42944"/>
    <w:rsid w:val="00A431F9"/>
    <w:rsid w:val="00A436C7"/>
    <w:rsid w:val="00A43914"/>
    <w:rsid w:val="00A439AF"/>
    <w:rsid w:val="00A44224"/>
    <w:rsid w:val="00A45024"/>
    <w:rsid w:val="00A450DF"/>
    <w:rsid w:val="00A452AC"/>
    <w:rsid w:val="00A455E3"/>
    <w:rsid w:val="00A4578A"/>
    <w:rsid w:val="00A45A16"/>
    <w:rsid w:val="00A45AC3"/>
    <w:rsid w:val="00A4616D"/>
    <w:rsid w:val="00A465B5"/>
    <w:rsid w:val="00A46913"/>
    <w:rsid w:val="00A47763"/>
    <w:rsid w:val="00A47891"/>
    <w:rsid w:val="00A47A3D"/>
    <w:rsid w:val="00A50058"/>
    <w:rsid w:val="00A503B6"/>
    <w:rsid w:val="00A51796"/>
    <w:rsid w:val="00A520F6"/>
    <w:rsid w:val="00A5298C"/>
    <w:rsid w:val="00A52AA2"/>
    <w:rsid w:val="00A52DBA"/>
    <w:rsid w:val="00A5310B"/>
    <w:rsid w:val="00A53BDA"/>
    <w:rsid w:val="00A53C45"/>
    <w:rsid w:val="00A53E29"/>
    <w:rsid w:val="00A53F7B"/>
    <w:rsid w:val="00A540E2"/>
    <w:rsid w:val="00A544E9"/>
    <w:rsid w:val="00A545CC"/>
    <w:rsid w:val="00A555A7"/>
    <w:rsid w:val="00A55645"/>
    <w:rsid w:val="00A55682"/>
    <w:rsid w:val="00A5568D"/>
    <w:rsid w:val="00A55996"/>
    <w:rsid w:val="00A562AA"/>
    <w:rsid w:val="00A56B99"/>
    <w:rsid w:val="00A56D07"/>
    <w:rsid w:val="00A56E00"/>
    <w:rsid w:val="00A60906"/>
    <w:rsid w:val="00A60BDB"/>
    <w:rsid w:val="00A60CEC"/>
    <w:rsid w:val="00A60FFD"/>
    <w:rsid w:val="00A6153A"/>
    <w:rsid w:val="00A62123"/>
    <w:rsid w:val="00A62244"/>
    <w:rsid w:val="00A62393"/>
    <w:rsid w:val="00A62A71"/>
    <w:rsid w:val="00A62AFC"/>
    <w:rsid w:val="00A62D8A"/>
    <w:rsid w:val="00A62F62"/>
    <w:rsid w:val="00A62FBC"/>
    <w:rsid w:val="00A63473"/>
    <w:rsid w:val="00A638C0"/>
    <w:rsid w:val="00A639B7"/>
    <w:rsid w:val="00A63FD1"/>
    <w:rsid w:val="00A643D8"/>
    <w:rsid w:val="00A645B4"/>
    <w:rsid w:val="00A64878"/>
    <w:rsid w:val="00A64A30"/>
    <w:rsid w:val="00A65766"/>
    <w:rsid w:val="00A65775"/>
    <w:rsid w:val="00A66131"/>
    <w:rsid w:val="00A666B8"/>
    <w:rsid w:val="00A668A2"/>
    <w:rsid w:val="00A66BAD"/>
    <w:rsid w:val="00A67DE1"/>
    <w:rsid w:val="00A70549"/>
    <w:rsid w:val="00A709F6"/>
    <w:rsid w:val="00A7117A"/>
    <w:rsid w:val="00A717D7"/>
    <w:rsid w:val="00A718E3"/>
    <w:rsid w:val="00A71A79"/>
    <w:rsid w:val="00A71C19"/>
    <w:rsid w:val="00A71D6E"/>
    <w:rsid w:val="00A72032"/>
    <w:rsid w:val="00A7265B"/>
    <w:rsid w:val="00A72A86"/>
    <w:rsid w:val="00A72F71"/>
    <w:rsid w:val="00A72FD0"/>
    <w:rsid w:val="00A734C1"/>
    <w:rsid w:val="00A7353E"/>
    <w:rsid w:val="00A73E75"/>
    <w:rsid w:val="00A73FA2"/>
    <w:rsid w:val="00A747B4"/>
    <w:rsid w:val="00A7499E"/>
    <w:rsid w:val="00A74A70"/>
    <w:rsid w:val="00A74ED0"/>
    <w:rsid w:val="00A751DF"/>
    <w:rsid w:val="00A75929"/>
    <w:rsid w:val="00A75933"/>
    <w:rsid w:val="00A75D68"/>
    <w:rsid w:val="00A76467"/>
    <w:rsid w:val="00A76F2F"/>
    <w:rsid w:val="00A77211"/>
    <w:rsid w:val="00A77651"/>
    <w:rsid w:val="00A777E9"/>
    <w:rsid w:val="00A778E5"/>
    <w:rsid w:val="00A77964"/>
    <w:rsid w:val="00A77C29"/>
    <w:rsid w:val="00A77C72"/>
    <w:rsid w:val="00A77DD5"/>
    <w:rsid w:val="00A77DE6"/>
    <w:rsid w:val="00A8014A"/>
    <w:rsid w:val="00A80266"/>
    <w:rsid w:val="00A8034E"/>
    <w:rsid w:val="00A80622"/>
    <w:rsid w:val="00A80780"/>
    <w:rsid w:val="00A811BF"/>
    <w:rsid w:val="00A81E32"/>
    <w:rsid w:val="00A82089"/>
    <w:rsid w:val="00A822F3"/>
    <w:rsid w:val="00A828DD"/>
    <w:rsid w:val="00A8297A"/>
    <w:rsid w:val="00A83169"/>
    <w:rsid w:val="00A83454"/>
    <w:rsid w:val="00A835C6"/>
    <w:rsid w:val="00A8364E"/>
    <w:rsid w:val="00A83700"/>
    <w:rsid w:val="00A83953"/>
    <w:rsid w:val="00A839E1"/>
    <w:rsid w:val="00A83E9B"/>
    <w:rsid w:val="00A83FE6"/>
    <w:rsid w:val="00A840F1"/>
    <w:rsid w:val="00A8461A"/>
    <w:rsid w:val="00A84ACC"/>
    <w:rsid w:val="00A84B08"/>
    <w:rsid w:val="00A851AF"/>
    <w:rsid w:val="00A85474"/>
    <w:rsid w:val="00A85E23"/>
    <w:rsid w:val="00A8644F"/>
    <w:rsid w:val="00A865A2"/>
    <w:rsid w:val="00A866B6"/>
    <w:rsid w:val="00A86B8A"/>
    <w:rsid w:val="00A86BE7"/>
    <w:rsid w:val="00A86E47"/>
    <w:rsid w:val="00A86F26"/>
    <w:rsid w:val="00A86F8A"/>
    <w:rsid w:val="00A874C5"/>
    <w:rsid w:val="00A87671"/>
    <w:rsid w:val="00A876FA"/>
    <w:rsid w:val="00A90573"/>
    <w:rsid w:val="00A90F5E"/>
    <w:rsid w:val="00A913A5"/>
    <w:rsid w:val="00A91432"/>
    <w:rsid w:val="00A9176A"/>
    <w:rsid w:val="00A91BF7"/>
    <w:rsid w:val="00A92695"/>
    <w:rsid w:val="00A926AE"/>
    <w:rsid w:val="00A92B05"/>
    <w:rsid w:val="00A92E1F"/>
    <w:rsid w:val="00A92F77"/>
    <w:rsid w:val="00A933D9"/>
    <w:rsid w:val="00A934EB"/>
    <w:rsid w:val="00A93612"/>
    <w:rsid w:val="00A93DD8"/>
    <w:rsid w:val="00A9437A"/>
    <w:rsid w:val="00A94415"/>
    <w:rsid w:val="00A94947"/>
    <w:rsid w:val="00A94964"/>
    <w:rsid w:val="00A9535E"/>
    <w:rsid w:val="00A95E82"/>
    <w:rsid w:val="00A9605C"/>
    <w:rsid w:val="00A9695C"/>
    <w:rsid w:val="00A9791E"/>
    <w:rsid w:val="00A97BF4"/>
    <w:rsid w:val="00AA094E"/>
    <w:rsid w:val="00AA0AFE"/>
    <w:rsid w:val="00AA0C1F"/>
    <w:rsid w:val="00AA1164"/>
    <w:rsid w:val="00AA145F"/>
    <w:rsid w:val="00AA1680"/>
    <w:rsid w:val="00AA1739"/>
    <w:rsid w:val="00AA26A4"/>
    <w:rsid w:val="00AA26CD"/>
    <w:rsid w:val="00AA32F0"/>
    <w:rsid w:val="00AA3463"/>
    <w:rsid w:val="00AA3DA8"/>
    <w:rsid w:val="00AA48A4"/>
    <w:rsid w:val="00AA498E"/>
    <w:rsid w:val="00AA4E40"/>
    <w:rsid w:val="00AA51EC"/>
    <w:rsid w:val="00AA52A8"/>
    <w:rsid w:val="00AA5404"/>
    <w:rsid w:val="00AA5A56"/>
    <w:rsid w:val="00AA5C03"/>
    <w:rsid w:val="00AA5F58"/>
    <w:rsid w:val="00AA5FF2"/>
    <w:rsid w:val="00AA61AC"/>
    <w:rsid w:val="00AA6212"/>
    <w:rsid w:val="00AA63C8"/>
    <w:rsid w:val="00AA66D6"/>
    <w:rsid w:val="00AB01A7"/>
    <w:rsid w:val="00AB0850"/>
    <w:rsid w:val="00AB086E"/>
    <w:rsid w:val="00AB0946"/>
    <w:rsid w:val="00AB1047"/>
    <w:rsid w:val="00AB12EC"/>
    <w:rsid w:val="00AB2751"/>
    <w:rsid w:val="00AB2B8E"/>
    <w:rsid w:val="00AB2C91"/>
    <w:rsid w:val="00AB32A9"/>
    <w:rsid w:val="00AB33A1"/>
    <w:rsid w:val="00AB3D93"/>
    <w:rsid w:val="00AB4133"/>
    <w:rsid w:val="00AB4971"/>
    <w:rsid w:val="00AB49A6"/>
    <w:rsid w:val="00AB55C7"/>
    <w:rsid w:val="00AB5CFB"/>
    <w:rsid w:val="00AB5F22"/>
    <w:rsid w:val="00AB60B8"/>
    <w:rsid w:val="00AB6C62"/>
    <w:rsid w:val="00AB76FC"/>
    <w:rsid w:val="00AB7845"/>
    <w:rsid w:val="00AB7AA8"/>
    <w:rsid w:val="00AC05F7"/>
    <w:rsid w:val="00AC148D"/>
    <w:rsid w:val="00AC1E3B"/>
    <w:rsid w:val="00AC2470"/>
    <w:rsid w:val="00AC2813"/>
    <w:rsid w:val="00AC2B3A"/>
    <w:rsid w:val="00AC2D8F"/>
    <w:rsid w:val="00AC312D"/>
    <w:rsid w:val="00AC3734"/>
    <w:rsid w:val="00AC384C"/>
    <w:rsid w:val="00AC3EEF"/>
    <w:rsid w:val="00AC3FDF"/>
    <w:rsid w:val="00AC44EC"/>
    <w:rsid w:val="00AC4A75"/>
    <w:rsid w:val="00AC4F79"/>
    <w:rsid w:val="00AC5001"/>
    <w:rsid w:val="00AC51C1"/>
    <w:rsid w:val="00AC5337"/>
    <w:rsid w:val="00AC5437"/>
    <w:rsid w:val="00AC5B3F"/>
    <w:rsid w:val="00AC5DE8"/>
    <w:rsid w:val="00AC5F36"/>
    <w:rsid w:val="00AC65C6"/>
    <w:rsid w:val="00AC6783"/>
    <w:rsid w:val="00AC714B"/>
    <w:rsid w:val="00AC71AE"/>
    <w:rsid w:val="00AC7258"/>
    <w:rsid w:val="00AC7ACE"/>
    <w:rsid w:val="00AC7AF7"/>
    <w:rsid w:val="00AC7EB6"/>
    <w:rsid w:val="00AD06FF"/>
    <w:rsid w:val="00AD09D1"/>
    <w:rsid w:val="00AD18DF"/>
    <w:rsid w:val="00AD19B0"/>
    <w:rsid w:val="00AD20EE"/>
    <w:rsid w:val="00AD21D2"/>
    <w:rsid w:val="00AD241A"/>
    <w:rsid w:val="00AD350D"/>
    <w:rsid w:val="00AD3981"/>
    <w:rsid w:val="00AD3A84"/>
    <w:rsid w:val="00AD4539"/>
    <w:rsid w:val="00AD4BB3"/>
    <w:rsid w:val="00AD5589"/>
    <w:rsid w:val="00AD5D29"/>
    <w:rsid w:val="00AD5D35"/>
    <w:rsid w:val="00AD7062"/>
    <w:rsid w:val="00AD70AA"/>
    <w:rsid w:val="00AD7896"/>
    <w:rsid w:val="00AD78EF"/>
    <w:rsid w:val="00AE10C8"/>
    <w:rsid w:val="00AE18F6"/>
    <w:rsid w:val="00AE2095"/>
    <w:rsid w:val="00AE23EE"/>
    <w:rsid w:val="00AE245F"/>
    <w:rsid w:val="00AE2768"/>
    <w:rsid w:val="00AE2AE3"/>
    <w:rsid w:val="00AE2E62"/>
    <w:rsid w:val="00AE31D4"/>
    <w:rsid w:val="00AE31DC"/>
    <w:rsid w:val="00AE3505"/>
    <w:rsid w:val="00AE3D60"/>
    <w:rsid w:val="00AE4A81"/>
    <w:rsid w:val="00AE4D38"/>
    <w:rsid w:val="00AE4D50"/>
    <w:rsid w:val="00AE4DF1"/>
    <w:rsid w:val="00AE4F14"/>
    <w:rsid w:val="00AE542A"/>
    <w:rsid w:val="00AE55A9"/>
    <w:rsid w:val="00AE589D"/>
    <w:rsid w:val="00AE602E"/>
    <w:rsid w:val="00AE6096"/>
    <w:rsid w:val="00AE6252"/>
    <w:rsid w:val="00AE661A"/>
    <w:rsid w:val="00AE72CB"/>
    <w:rsid w:val="00AF0493"/>
    <w:rsid w:val="00AF04F3"/>
    <w:rsid w:val="00AF07AD"/>
    <w:rsid w:val="00AF0990"/>
    <w:rsid w:val="00AF1011"/>
    <w:rsid w:val="00AF11D7"/>
    <w:rsid w:val="00AF1473"/>
    <w:rsid w:val="00AF164A"/>
    <w:rsid w:val="00AF19BA"/>
    <w:rsid w:val="00AF1C02"/>
    <w:rsid w:val="00AF24B8"/>
    <w:rsid w:val="00AF2B25"/>
    <w:rsid w:val="00AF31D7"/>
    <w:rsid w:val="00AF37D1"/>
    <w:rsid w:val="00AF390F"/>
    <w:rsid w:val="00AF395B"/>
    <w:rsid w:val="00AF3CFD"/>
    <w:rsid w:val="00AF4057"/>
    <w:rsid w:val="00AF42B5"/>
    <w:rsid w:val="00AF45B3"/>
    <w:rsid w:val="00AF4AA6"/>
    <w:rsid w:val="00AF517C"/>
    <w:rsid w:val="00AF570C"/>
    <w:rsid w:val="00AF5906"/>
    <w:rsid w:val="00AF61F1"/>
    <w:rsid w:val="00AF6247"/>
    <w:rsid w:val="00AF63B6"/>
    <w:rsid w:val="00AF6473"/>
    <w:rsid w:val="00AF6915"/>
    <w:rsid w:val="00AF69D2"/>
    <w:rsid w:val="00B002B4"/>
    <w:rsid w:val="00B00848"/>
    <w:rsid w:val="00B018C6"/>
    <w:rsid w:val="00B01B56"/>
    <w:rsid w:val="00B01C26"/>
    <w:rsid w:val="00B01FDC"/>
    <w:rsid w:val="00B0219A"/>
    <w:rsid w:val="00B0253B"/>
    <w:rsid w:val="00B02F9B"/>
    <w:rsid w:val="00B035CC"/>
    <w:rsid w:val="00B039DD"/>
    <w:rsid w:val="00B0421D"/>
    <w:rsid w:val="00B04ED9"/>
    <w:rsid w:val="00B064F7"/>
    <w:rsid w:val="00B067DF"/>
    <w:rsid w:val="00B06880"/>
    <w:rsid w:val="00B06921"/>
    <w:rsid w:val="00B070CF"/>
    <w:rsid w:val="00B10023"/>
    <w:rsid w:val="00B10184"/>
    <w:rsid w:val="00B10229"/>
    <w:rsid w:val="00B10294"/>
    <w:rsid w:val="00B104A2"/>
    <w:rsid w:val="00B1088E"/>
    <w:rsid w:val="00B10BE2"/>
    <w:rsid w:val="00B10C94"/>
    <w:rsid w:val="00B10CA7"/>
    <w:rsid w:val="00B10D22"/>
    <w:rsid w:val="00B10EF8"/>
    <w:rsid w:val="00B114C0"/>
    <w:rsid w:val="00B1153F"/>
    <w:rsid w:val="00B1179C"/>
    <w:rsid w:val="00B11E2A"/>
    <w:rsid w:val="00B12174"/>
    <w:rsid w:val="00B12941"/>
    <w:rsid w:val="00B13721"/>
    <w:rsid w:val="00B1396C"/>
    <w:rsid w:val="00B13A6E"/>
    <w:rsid w:val="00B13DF6"/>
    <w:rsid w:val="00B13EC2"/>
    <w:rsid w:val="00B1425F"/>
    <w:rsid w:val="00B14408"/>
    <w:rsid w:val="00B1458B"/>
    <w:rsid w:val="00B14908"/>
    <w:rsid w:val="00B14B61"/>
    <w:rsid w:val="00B14B6B"/>
    <w:rsid w:val="00B15384"/>
    <w:rsid w:val="00B156A4"/>
    <w:rsid w:val="00B161B3"/>
    <w:rsid w:val="00B1652F"/>
    <w:rsid w:val="00B165E3"/>
    <w:rsid w:val="00B16AE9"/>
    <w:rsid w:val="00B16B96"/>
    <w:rsid w:val="00B16F6F"/>
    <w:rsid w:val="00B1743E"/>
    <w:rsid w:val="00B1745D"/>
    <w:rsid w:val="00B178A8"/>
    <w:rsid w:val="00B17AF7"/>
    <w:rsid w:val="00B17ECE"/>
    <w:rsid w:val="00B203E3"/>
    <w:rsid w:val="00B2082C"/>
    <w:rsid w:val="00B208C9"/>
    <w:rsid w:val="00B20D52"/>
    <w:rsid w:val="00B21662"/>
    <w:rsid w:val="00B21F56"/>
    <w:rsid w:val="00B21FBB"/>
    <w:rsid w:val="00B22386"/>
    <w:rsid w:val="00B22865"/>
    <w:rsid w:val="00B228FB"/>
    <w:rsid w:val="00B22CB7"/>
    <w:rsid w:val="00B22D99"/>
    <w:rsid w:val="00B23362"/>
    <w:rsid w:val="00B23C86"/>
    <w:rsid w:val="00B23CD2"/>
    <w:rsid w:val="00B23E06"/>
    <w:rsid w:val="00B23E19"/>
    <w:rsid w:val="00B23F97"/>
    <w:rsid w:val="00B248CB"/>
    <w:rsid w:val="00B24911"/>
    <w:rsid w:val="00B24DCB"/>
    <w:rsid w:val="00B256F6"/>
    <w:rsid w:val="00B2598D"/>
    <w:rsid w:val="00B25C36"/>
    <w:rsid w:val="00B25C45"/>
    <w:rsid w:val="00B25CD7"/>
    <w:rsid w:val="00B26BC5"/>
    <w:rsid w:val="00B275D7"/>
    <w:rsid w:val="00B27C71"/>
    <w:rsid w:val="00B27E92"/>
    <w:rsid w:val="00B27E97"/>
    <w:rsid w:val="00B27FC8"/>
    <w:rsid w:val="00B30366"/>
    <w:rsid w:val="00B31011"/>
    <w:rsid w:val="00B311E9"/>
    <w:rsid w:val="00B3154C"/>
    <w:rsid w:val="00B31D26"/>
    <w:rsid w:val="00B31FB2"/>
    <w:rsid w:val="00B334CC"/>
    <w:rsid w:val="00B33A58"/>
    <w:rsid w:val="00B33C7B"/>
    <w:rsid w:val="00B33DA7"/>
    <w:rsid w:val="00B3404C"/>
    <w:rsid w:val="00B3438A"/>
    <w:rsid w:val="00B346B1"/>
    <w:rsid w:val="00B3485E"/>
    <w:rsid w:val="00B348DC"/>
    <w:rsid w:val="00B349B6"/>
    <w:rsid w:val="00B350E2"/>
    <w:rsid w:val="00B35793"/>
    <w:rsid w:val="00B35F75"/>
    <w:rsid w:val="00B364F7"/>
    <w:rsid w:val="00B366AA"/>
    <w:rsid w:val="00B36826"/>
    <w:rsid w:val="00B36ACF"/>
    <w:rsid w:val="00B36EE1"/>
    <w:rsid w:val="00B36F2D"/>
    <w:rsid w:val="00B36FDC"/>
    <w:rsid w:val="00B371C1"/>
    <w:rsid w:val="00B37865"/>
    <w:rsid w:val="00B37925"/>
    <w:rsid w:val="00B37926"/>
    <w:rsid w:val="00B37EC0"/>
    <w:rsid w:val="00B40C61"/>
    <w:rsid w:val="00B40F71"/>
    <w:rsid w:val="00B4119A"/>
    <w:rsid w:val="00B41248"/>
    <w:rsid w:val="00B41943"/>
    <w:rsid w:val="00B41A46"/>
    <w:rsid w:val="00B41FA6"/>
    <w:rsid w:val="00B42399"/>
    <w:rsid w:val="00B42472"/>
    <w:rsid w:val="00B429E8"/>
    <w:rsid w:val="00B42A87"/>
    <w:rsid w:val="00B42DB1"/>
    <w:rsid w:val="00B43634"/>
    <w:rsid w:val="00B43CF7"/>
    <w:rsid w:val="00B4544D"/>
    <w:rsid w:val="00B4545D"/>
    <w:rsid w:val="00B456C8"/>
    <w:rsid w:val="00B46231"/>
    <w:rsid w:val="00B4630F"/>
    <w:rsid w:val="00B46610"/>
    <w:rsid w:val="00B4670F"/>
    <w:rsid w:val="00B46724"/>
    <w:rsid w:val="00B4672B"/>
    <w:rsid w:val="00B46CE2"/>
    <w:rsid w:val="00B46F45"/>
    <w:rsid w:val="00B474AA"/>
    <w:rsid w:val="00B47E7C"/>
    <w:rsid w:val="00B501A7"/>
    <w:rsid w:val="00B50446"/>
    <w:rsid w:val="00B50762"/>
    <w:rsid w:val="00B509AF"/>
    <w:rsid w:val="00B50F32"/>
    <w:rsid w:val="00B5103E"/>
    <w:rsid w:val="00B510FD"/>
    <w:rsid w:val="00B513C7"/>
    <w:rsid w:val="00B51AD5"/>
    <w:rsid w:val="00B51AE0"/>
    <w:rsid w:val="00B51C68"/>
    <w:rsid w:val="00B51F5D"/>
    <w:rsid w:val="00B52520"/>
    <w:rsid w:val="00B52A9D"/>
    <w:rsid w:val="00B52F19"/>
    <w:rsid w:val="00B53038"/>
    <w:rsid w:val="00B534B7"/>
    <w:rsid w:val="00B53540"/>
    <w:rsid w:val="00B537C4"/>
    <w:rsid w:val="00B5380B"/>
    <w:rsid w:val="00B5386E"/>
    <w:rsid w:val="00B53914"/>
    <w:rsid w:val="00B53B4A"/>
    <w:rsid w:val="00B53D8B"/>
    <w:rsid w:val="00B53FA6"/>
    <w:rsid w:val="00B54148"/>
    <w:rsid w:val="00B5416D"/>
    <w:rsid w:val="00B54191"/>
    <w:rsid w:val="00B551E7"/>
    <w:rsid w:val="00B55943"/>
    <w:rsid w:val="00B55B31"/>
    <w:rsid w:val="00B55C60"/>
    <w:rsid w:val="00B55D04"/>
    <w:rsid w:val="00B55E26"/>
    <w:rsid w:val="00B56CA6"/>
    <w:rsid w:val="00B56D62"/>
    <w:rsid w:val="00B56EAF"/>
    <w:rsid w:val="00B573BA"/>
    <w:rsid w:val="00B57BEE"/>
    <w:rsid w:val="00B57D7A"/>
    <w:rsid w:val="00B605B5"/>
    <w:rsid w:val="00B60B65"/>
    <w:rsid w:val="00B6138F"/>
    <w:rsid w:val="00B6158B"/>
    <w:rsid w:val="00B61DF6"/>
    <w:rsid w:val="00B62086"/>
    <w:rsid w:val="00B62214"/>
    <w:rsid w:val="00B623A0"/>
    <w:rsid w:val="00B62D82"/>
    <w:rsid w:val="00B62DCE"/>
    <w:rsid w:val="00B62F60"/>
    <w:rsid w:val="00B6366B"/>
    <w:rsid w:val="00B6371A"/>
    <w:rsid w:val="00B639C4"/>
    <w:rsid w:val="00B6404C"/>
    <w:rsid w:val="00B6436F"/>
    <w:rsid w:val="00B64B47"/>
    <w:rsid w:val="00B6583A"/>
    <w:rsid w:val="00B663CA"/>
    <w:rsid w:val="00B663D9"/>
    <w:rsid w:val="00B6667F"/>
    <w:rsid w:val="00B666B9"/>
    <w:rsid w:val="00B66CEB"/>
    <w:rsid w:val="00B6732E"/>
    <w:rsid w:val="00B7036C"/>
    <w:rsid w:val="00B70410"/>
    <w:rsid w:val="00B70433"/>
    <w:rsid w:val="00B70956"/>
    <w:rsid w:val="00B70DCB"/>
    <w:rsid w:val="00B71038"/>
    <w:rsid w:val="00B7146A"/>
    <w:rsid w:val="00B71A9C"/>
    <w:rsid w:val="00B71B55"/>
    <w:rsid w:val="00B71E4B"/>
    <w:rsid w:val="00B72208"/>
    <w:rsid w:val="00B7283B"/>
    <w:rsid w:val="00B72943"/>
    <w:rsid w:val="00B72F5A"/>
    <w:rsid w:val="00B7315A"/>
    <w:rsid w:val="00B73698"/>
    <w:rsid w:val="00B7390E"/>
    <w:rsid w:val="00B74069"/>
    <w:rsid w:val="00B74641"/>
    <w:rsid w:val="00B746B7"/>
    <w:rsid w:val="00B75124"/>
    <w:rsid w:val="00B754D2"/>
    <w:rsid w:val="00B75611"/>
    <w:rsid w:val="00B75C48"/>
    <w:rsid w:val="00B7666E"/>
    <w:rsid w:val="00B7667F"/>
    <w:rsid w:val="00B7670C"/>
    <w:rsid w:val="00B7678A"/>
    <w:rsid w:val="00B769C1"/>
    <w:rsid w:val="00B76F56"/>
    <w:rsid w:val="00B771AC"/>
    <w:rsid w:val="00B77312"/>
    <w:rsid w:val="00B7731E"/>
    <w:rsid w:val="00B7745C"/>
    <w:rsid w:val="00B7798C"/>
    <w:rsid w:val="00B779B6"/>
    <w:rsid w:val="00B804B3"/>
    <w:rsid w:val="00B80EEB"/>
    <w:rsid w:val="00B80FE9"/>
    <w:rsid w:val="00B81077"/>
    <w:rsid w:val="00B816CB"/>
    <w:rsid w:val="00B81981"/>
    <w:rsid w:val="00B81D7A"/>
    <w:rsid w:val="00B81F9A"/>
    <w:rsid w:val="00B82004"/>
    <w:rsid w:val="00B8231D"/>
    <w:rsid w:val="00B828A9"/>
    <w:rsid w:val="00B829B5"/>
    <w:rsid w:val="00B83178"/>
    <w:rsid w:val="00B83227"/>
    <w:rsid w:val="00B833AF"/>
    <w:rsid w:val="00B836C7"/>
    <w:rsid w:val="00B837CC"/>
    <w:rsid w:val="00B848EF"/>
    <w:rsid w:val="00B84AC4"/>
    <w:rsid w:val="00B84D64"/>
    <w:rsid w:val="00B84E7B"/>
    <w:rsid w:val="00B84FD8"/>
    <w:rsid w:val="00B8500B"/>
    <w:rsid w:val="00B850D8"/>
    <w:rsid w:val="00B85A6A"/>
    <w:rsid w:val="00B85CE0"/>
    <w:rsid w:val="00B86612"/>
    <w:rsid w:val="00B86B2A"/>
    <w:rsid w:val="00B86BC2"/>
    <w:rsid w:val="00B86F40"/>
    <w:rsid w:val="00B875EF"/>
    <w:rsid w:val="00B87B5F"/>
    <w:rsid w:val="00B87B66"/>
    <w:rsid w:val="00B900CD"/>
    <w:rsid w:val="00B90417"/>
    <w:rsid w:val="00B90896"/>
    <w:rsid w:val="00B90F09"/>
    <w:rsid w:val="00B911E0"/>
    <w:rsid w:val="00B913B5"/>
    <w:rsid w:val="00B915AD"/>
    <w:rsid w:val="00B91B41"/>
    <w:rsid w:val="00B91D9C"/>
    <w:rsid w:val="00B91E0A"/>
    <w:rsid w:val="00B92339"/>
    <w:rsid w:val="00B92400"/>
    <w:rsid w:val="00B93171"/>
    <w:rsid w:val="00B935D0"/>
    <w:rsid w:val="00B93EF9"/>
    <w:rsid w:val="00B940B6"/>
    <w:rsid w:val="00B94DF0"/>
    <w:rsid w:val="00B9522B"/>
    <w:rsid w:val="00B9578C"/>
    <w:rsid w:val="00B9590C"/>
    <w:rsid w:val="00B95A93"/>
    <w:rsid w:val="00B95F51"/>
    <w:rsid w:val="00B96956"/>
    <w:rsid w:val="00B979A5"/>
    <w:rsid w:val="00B97BD4"/>
    <w:rsid w:val="00B97EDA"/>
    <w:rsid w:val="00BA022A"/>
    <w:rsid w:val="00BA04CF"/>
    <w:rsid w:val="00BA0F57"/>
    <w:rsid w:val="00BA0F7A"/>
    <w:rsid w:val="00BA10F3"/>
    <w:rsid w:val="00BA12EE"/>
    <w:rsid w:val="00BA1AE2"/>
    <w:rsid w:val="00BA1D53"/>
    <w:rsid w:val="00BA2F13"/>
    <w:rsid w:val="00BA4074"/>
    <w:rsid w:val="00BA479E"/>
    <w:rsid w:val="00BA4909"/>
    <w:rsid w:val="00BA4E7D"/>
    <w:rsid w:val="00BA4F11"/>
    <w:rsid w:val="00BA50DF"/>
    <w:rsid w:val="00BA539B"/>
    <w:rsid w:val="00BA5911"/>
    <w:rsid w:val="00BA5A5A"/>
    <w:rsid w:val="00BA5F76"/>
    <w:rsid w:val="00BA73B6"/>
    <w:rsid w:val="00BA7C0A"/>
    <w:rsid w:val="00BA7FF9"/>
    <w:rsid w:val="00BB00B8"/>
    <w:rsid w:val="00BB0578"/>
    <w:rsid w:val="00BB0621"/>
    <w:rsid w:val="00BB07D7"/>
    <w:rsid w:val="00BB0878"/>
    <w:rsid w:val="00BB0986"/>
    <w:rsid w:val="00BB0AC1"/>
    <w:rsid w:val="00BB0D3A"/>
    <w:rsid w:val="00BB12BD"/>
    <w:rsid w:val="00BB198B"/>
    <w:rsid w:val="00BB1BB3"/>
    <w:rsid w:val="00BB2153"/>
    <w:rsid w:val="00BB2177"/>
    <w:rsid w:val="00BB2777"/>
    <w:rsid w:val="00BB27A3"/>
    <w:rsid w:val="00BB3FA9"/>
    <w:rsid w:val="00BB3FE3"/>
    <w:rsid w:val="00BB423B"/>
    <w:rsid w:val="00BB437B"/>
    <w:rsid w:val="00BB5114"/>
    <w:rsid w:val="00BB5841"/>
    <w:rsid w:val="00BB5EA7"/>
    <w:rsid w:val="00BB6297"/>
    <w:rsid w:val="00BB65A6"/>
    <w:rsid w:val="00BB65EF"/>
    <w:rsid w:val="00BB69D7"/>
    <w:rsid w:val="00BB6A31"/>
    <w:rsid w:val="00BB6F2A"/>
    <w:rsid w:val="00BB76EB"/>
    <w:rsid w:val="00BB780E"/>
    <w:rsid w:val="00BB7C0C"/>
    <w:rsid w:val="00BC0829"/>
    <w:rsid w:val="00BC10BB"/>
    <w:rsid w:val="00BC1194"/>
    <w:rsid w:val="00BC12CB"/>
    <w:rsid w:val="00BC1BD1"/>
    <w:rsid w:val="00BC247C"/>
    <w:rsid w:val="00BC2725"/>
    <w:rsid w:val="00BC2BE3"/>
    <w:rsid w:val="00BC2CB6"/>
    <w:rsid w:val="00BC2E4E"/>
    <w:rsid w:val="00BC30AE"/>
    <w:rsid w:val="00BC32A4"/>
    <w:rsid w:val="00BC4542"/>
    <w:rsid w:val="00BC5C7F"/>
    <w:rsid w:val="00BC6038"/>
    <w:rsid w:val="00BC6109"/>
    <w:rsid w:val="00BC6674"/>
    <w:rsid w:val="00BC6795"/>
    <w:rsid w:val="00BC6B71"/>
    <w:rsid w:val="00BC6E7C"/>
    <w:rsid w:val="00BC7611"/>
    <w:rsid w:val="00BC79EB"/>
    <w:rsid w:val="00BC7A89"/>
    <w:rsid w:val="00BD0417"/>
    <w:rsid w:val="00BD0C45"/>
    <w:rsid w:val="00BD0F1C"/>
    <w:rsid w:val="00BD169C"/>
    <w:rsid w:val="00BD1851"/>
    <w:rsid w:val="00BD19CC"/>
    <w:rsid w:val="00BD1C34"/>
    <w:rsid w:val="00BD1F1E"/>
    <w:rsid w:val="00BD1F71"/>
    <w:rsid w:val="00BD2073"/>
    <w:rsid w:val="00BD21BD"/>
    <w:rsid w:val="00BD2D0B"/>
    <w:rsid w:val="00BD3460"/>
    <w:rsid w:val="00BD3E9F"/>
    <w:rsid w:val="00BD43DC"/>
    <w:rsid w:val="00BD43E9"/>
    <w:rsid w:val="00BD445E"/>
    <w:rsid w:val="00BD4920"/>
    <w:rsid w:val="00BD523F"/>
    <w:rsid w:val="00BD536A"/>
    <w:rsid w:val="00BD55FF"/>
    <w:rsid w:val="00BD57D1"/>
    <w:rsid w:val="00BD663F"/>
    <w:rsid w:val="00BD72E7"/>
    <w:rsid w:val="00BD7529"/>
    <w:rsid w:val="00BD7683"/>
    <w:rsid w:val="00BD783A"/>
    <w:rsid w:val="00BD794A"/>
    <w:rsid w:val="00BD7B4F"/>
    <w:rsid w:val="00BD7D30"/>
    <w:rsid w:val="00BD7FCE"/>
    <w:rsid w:val="00BE0081"/>
    <w:rsid w:val="00BE0236"/>
    <w:rsid w:val="00BE0287"/>
    <w:rsid w:val="00BE0931"/>
    <w:rsid w:val="00BE0BBF"/>
    <w:rsid w:val="00BE1098"/>
    <w:rsid w:val="00BE1263"/>
    <w:rsid w:val="00BE19C8"/>
    <w:rsid w:val="00BE1AC7"/>
    <w:rsid w:val="00BE1D2A"/>
    <w:rsid w:val="00BE1FBA"/>
    <w:rsid w:val="00BE22C8"/>
    <w:rsid w:val="00BE289D"/>
    <w:rsid w:val="00BE2AC5"/>
    <w:rsid w:val="00BE30D6"/>
    <w:rsid w:val="00BE3C07"/>
    <w:rsid w:val="00BE433E"/>
    <w:rsid w:val="00BE43D1"/>
    <w:rsid w:val="00BE477A"/>
    <w:rsid w:val="00BE4BF7"/>
    <w:rsid w:val="00BE4C92"/>
    <w:rsid w:val="00BE50D2"/>
    <w:rsid w:val="00BE52C2"/>
    <w:rsid w:val="00BE53A2"/>
    <w:rsid w:val="00BE6217"/>
    <w:rsid w:val="00BE6361"/>
    <w:rsid w:val="00BE6AD5"/>
    <w:rsid w:val="00BE7214"/>
    <w:rsid w:val="00BE735E"/>
    <w:rsid w:val="00BE76A9"/>
    <w:rsid w:val="00BE7AF6"/>
    <w:rsid w:val="00BE7E84"/>
    <w:rsid w:val="00BF00D7"/>
    <w:rsid w:val="00BF0172"/>
    <w:rsid w:val="00BF01B6"/>
    <w:rsid w:val="00BF0599"/>
    <w:rsid w:val="00BF0855"/>
    <w:rsid w:val="00BF0CF2"/>
    <w:rsid w:val="00BF0DD3"/>
    <w:rsid w:val="00BF157F"/>
    <w:rsid w:val="00BF1648"/>
    <w:rsid w:val="00BF1E08"/>
    <w:rsid w:val="00BF1F9C"/>
    <w:rsid w:val="00BF20C0"/>
    <w:rsid w:val="00BF29E8"/>
    <w:rsid w:val="00BF2B49"/>
    <w:rsid w:val="00BF2B63"/>
    <w:rsid w:val="00BF2EC9"/>
    <w:rsid w:val="00BF34D3"/>
    <w:rsid w:val="00BF378A"/>
    <w:rsid w:val="00BF4099"/>
    <w:rsid w:val="00BF49FE"/>
    <w:rsid w:val="00BF4DE4"/>
    <w:rsid w:val="00BF4E51"/>
    <w:rsid w:val="00BF52BA"/>
    <w:rsid w:val="00BF56A0"/>
    <w:rsid w:val="00BF60F0"/>
    <w:rsid w:val="00BF640C"/>
    <w:rsid w:val="00BF6705"/>
    <w:rsid w:val="00BF6BE9"/>
    <w:rsid w:val="00BF780E"/>
    <w:rsid w:val="00BF7A59"/>
    <w:rsid w:val="00BF7C59"/>
    <w:rsid w:val="00BF7E18"/>
    <w:rsid w:val="00BF7F0D"/>
    <w:rsid w:val="00C00125"/>
    <w:rsid w:val="00C007F5"/>
    <w:rsid w:val="00C00A28"/>
    <w:rsid w:val="00C00C0B"/>
    <w:rsid w:val="00C00E59"/>
    <w:rsid w:val="00C00FAA"/>
    <w:rsid w:val="00C013B5"/>
    <w:rsid w:val="00C013EB"/>
    <w:rsid w:val="00C01791"/>
    <w:rsid w:val="00C018F8"/>
    <w:rsid w:val="00C01A36"/>
    <w:rsid w:val="00C02D16"/>
    <w:rsid w:val="00C02E16"/>
    <w:rsid w:val="00C03508"/>
    <w:rsid w:val="00C035CC"/>
    <w:rsid w:val="00C039B6"/>
    <w:rsid w:val="00C03A9B"/>
    <w:rsid w:val="00C03F76"/>
    <w:rsid w:val="00C041A3"/>
    <w:rsid w:val="00C04D46"/>
    <w:rsid w:val="00C04ED4"/>
    <w:rsid w:val="00C05290"/>
    <w:rsid w:val="00C0532A"/>
    <w:rsid w:val="00C0566F"/>
    <w:rsid w:val="00C05D72"/>
    <w:rsid w:val="00C065D3"/>
    <w:rsid w:val="00C069D5"/>
    <w:rsid w:val="00C06AFA"/>
    <w:rsid w:val="00C06C47"/>
    <w:rsid w:val="00C07F39"/>
    <w:rsid w:val="00C100F9"/>
    <w:rsid w:val="00C101E1"/>
    <w:rsid w:val="00C107CA"/>
    <w:rsid w:val="00C10C88"/>
    <w:rsid w:val="00C1148A"/>
    <w:rsid w:val="00C11CE3"/>
    <w:rsid w:val="00C1221B"/>
    <w:rsid w:val="00C123D7"/>
    <w:rsid w:val="00C12727"/>
    <w:rsid w:val="00C13344"/>
    <w:rsid w:val="00C13ACE"/>
    <w:rsid w:val="00C13DDE"/>
    <w:rsid w:val="00C13FA0"/>
    <w:rsid w:val="00C14AE6"/>
    <w:rsid w:val="00C14C5E"/>
    <w:rsid w:val="00C14F31"/>
    <w:rsid w:val="00C1551F"/>
    <w:rsid w:val="00C16588"/>
    <w:rsid w:val="00C165EA"/>
    <w:rsid w:val="00C16DAB"/>
    <w:rsid w:val="00C170DC"/>
    <w:rsid w:val="00C17D77"/>
    <w:rsid w:val="00C17DF4"/>
    <w:rsid w:val="00C20385"/>
    <w:rsid w:val="00C20397"/>
    <w:rsid w:val="00C203FB"/>
    <w:rsid w:val="00C208E1"/>
    <w:rsid w:val="00C209FE"/>
    <w:rsid w:val="00C21697"/>
    <w:rsid w:val="00C2180F"/>
    <w:rsid w:val="00C21BDE"/>
    <w:rsid w:val="00C22714"/>
    <w:rsid w:val="00C22CF9"/>
    <w:rsid w:val="00C22FEE"/>
    <w:rsid w:val="00C23178"/>
    <w:rsid w:val="00C23A16"/>
    <w:rsid w:val="00C23A3B"/>
    <w:rsid w:val="00C23A94"/>
    <w:rsid w:val="00C23C2C"/>
    <w:rsid w:val="00C23DF1"/>
    <w:rsid w:val="00C240AC"/>
    <w:rsid w:val="00C2428E"/>
    <w:rsid w:val="00C24421"/>
    <w:rsid w:val="00C2446C"/>
    <w:rsid w:val="00C245C8"/>
    <w:rsid w:val="00C246E2"/>
    <w:rsid w:val="00C24836"/>
    <w:rsid w:val="00C250F5"/>
    <w:rsid w:val="00C258BC"/>
    <w:rsid w:val="00C25B45"/>
    <w:rsid w:val="00C26577"/>
    <w:rsid w:val="00C26612"/>
    <w:rsid w:val="00C26869"/>
    <w:rsid w:val="00C26A20"/>
    <w:rsid w:val="00C26CDB"/>
    <w:rsid w:val="00C271F8"/>
    <w:rsid w:val="00C2767A"/>
    <w:rsid w:val="00C277D1"/>
    <w:rsid w:val="00C279AD"/>
    <w:rsid w:val="00C27CDF"/>
    <w:rsid w:val="00C27E3D"/>
    <w:rsid w:val="00C27F38"/>
    <w:rsid w:val="00C30180"/>
    <w:rsid w:val="00C301E4"/>
    <w:rsid w:val="00C301EA"/>
    <w:rsid w:val="00C30CE2"/>
    <w:rsid w:val="00C30F41"/>
    <w:rsid w:val="00C31251"/>
    <w:rsid w:val="00C31419"/>
    <w:rsid w:val="00C32809"/>
    <w:rsid w:val="00C32903"/>
    <w:rsid w:val="00C32FF5"/>
    <w:rsid w:val="00C3309E"/>
    <w:rsid w:val="00C335D6"/>
    <w:rsid w:val="00C337D8"/>
    <w:rsid w:val="00C33D7B"/>
    <w:rsid w:val="00C34223"/>
    <w:rsid w:val="00C34597"/>
    <w:rsid w:val="00C346B6"/>
    <w:rsid w:val="00C34AB3"/>
    <w:rsid w:val="00C35215"/>
    <w:rsid w:val="00C35E7E"/>
    <w:rsid w:val="00C35F7B"/>
    <w:rsid w:val="00C3633C"/>
    <w:rsid w:val="00C3647B"/>
    <w:rsid w:val="00C366E3"/>
    <w:rsid w:val="00C36C6C"/>
    <w:rsid w:val="00C36F57"/>
    <w:rsid w:val="00C371E2"/>
    <w:rsid w:val="00C3793E"/>
    <w:rsid w:val="00C37A1E"/>
    <w:rsid w:val="00C37B34"/>
    <w:rsid w:val="00C37D06"/>
    <w:rsid w:val="00C37D80"/>
    <w:rsid w:val="00C37FEF"/>
    <w:rsid w:val="00C401CE"/>
    <w:rsid w:val="00C40B55"/>
    <w:rsid w:val="00C41D3A"/>
    <w:rsid w:val="00C41ED6"/>
    <w:rsid w:val="00C41EF3"/>
    <w:rsid w:val="00C42407"/>
    <w:rsid w:val="00C42B17"/>
    <w:rsid w:val="00C42B54"/>
    <w:rsid w:val="00C42C66"/>
    <w:rsid w:val="00C42D17"/>
    <w:rsid w:val="00C43291"/>
    <w:rsid w:val="00C434B0"/>
    <w:rsid w:val="00C44455"/>
    <w:rsid w:val="00C4466C"/>
    <w:rsid w:val="00C448D4"/>
    <w:rsid w:val="00C44944"/>
    <w:rsid w:val="00C44A78"/>
    <w:rsid w:val="00C44A84"/>
    <w:rsid w:val="00C44BEA"/>
    <w:rsid w:val="00C45A18"/>
    <w:rsid w:val="00C46258"/>
    <w:rsid w:val="00C46677"/>
    <w:rsid w:val="00C4675F"/>
    <w:rsid w:val="00C46851"/>
    <w:rsid w:val="00C46A70"/>
    <w:rsid w:val="00C46BA5"/>
    <w:rsid w:val="00C471FB"/>
    <w:rsid w:val="00C47766"/>
    <w:rsid w:val="00C47F22"/>
    <w:rsid w:val="00C501DB"/>
    <w:rsid w:val="00C501E3"/>
    <w:rsid w:val="00C5022C"/>
    <w:rsid w:val="00C505DF"/>
    <w:rsid w:val="00C508D1"/>
    <w:rsid w:val="00C50A05"/>
    <w:rsid w:val="00C50AB0"/>
    <w:rsid w:val="00C50CD2"/>
    <w:rsid w:val="00C518A9"/>
    <w:rsid w:val="00C51946"/>
    <w:rsid w:val="00C51AB1"/>
    <w:rsid w:val="00C51E7E"/>
    <w:rsid w:val="00C52222"/>
    <w:rsid w:val="00C528D4"/>
    <w:rsid w:val="00C52969"/>
    <w:rsid w:val="00C529A5"/>
    <w:rsid w:val="00C52BB3"/>
    <w:rsid w:val="00C53040"/>
    <w:rsid w:val="00C536BE"/>
    <w:rsid w:val="00C5377D"/>
    <w:rsid w:val="00C53F3F"/>
    <w:rsid w:val="00C543FE"/>
    <w:rsid w:val="00C545C3"/>
    <w:rsid w:val="00C548D0"/>
    <w:rsid w:val="00C54A5B"/>
    <w:rsid w:val="00C55294"/>
    <w:rsid w:val="00C552DE"/>
    <w:rsid w:val="00C55699"/>
    <w:rsid w:val="00C556A7"/>
    <w:rsid w:val="00C55D93"/>
    <w:rsid w:val="00C55F83"/>
    <w:rsid w:val="00C561F1"/>
    <w:rsid w:val="00C5637A"/>
    <w:rsid w:val="00C565F5"/>
    <w:rsid w:val="00C56BB8"/>
    <w:rsid w:val="00C56D1C"/>
    <w:rsid w:val="00C5748E"/>
    <w:rsid w:val="00C57D82"/>
    <w:rsid w:val="00C60746"/>
    <w:rsid w:val="00C607FC"/>
    <w:rsid w:val="00C608A7"/>
    <w:rsid w:val="00C60CAF"/>
    <w:rsid w:val="00C61365"/>
    <w:rsid w:val="00C61B52"/>
    <w:rsid w:val="00C61F31"/>
    <w:rsid w:val="00C625B3"/>
    <w:rsid w:val="00C62A2E"/>
    <w:rsid w:val="00C6319D"/>
    <w:rsid w:val="00C63282"/>
    <w:rsid w:val="00C633F7"/>
    <w:rsid w:val="00C63548"/>
    <w:rsid w:val="00C638E6"/>
    <w:rsid w:val="00C63A08"/>
    <w:rsid w:val="00C63EE9"/>
    <w:rsid w:val="00C6433D"/>
    <w:rsid w:val="00C6493A"/>
    <w:rsid w:val="00C64AF0"/>
    <w:rsid w:val="00C64CFB"/>
    <w:rsid w:val="00C65753"/>
    <w:rsid w:val="00C657A4"/>
    <w:rsid w:val="00C667FE"/>
    <w:rsid w:val="00C66810"/>
    <w:rsid w:val="00C66818"/>
    <w:rsid w:val="00C66AC2"/>
    <w:rsid w:val="00C6702E"/>
    <w:rsid w:val="00C67609"/>
    <w:rsid w:val="00C678A0"/>
    <w:rsid w:val="00C702B4"/>
    <w:rsid w:val="00C702F5"/>
    <w:rsid w:val="00C70873"/>
    <w:rsid w:val="00C718A5"/>
    <w:rsid w:val="00C71987"/>
    <w:rsid w:val="00C719BC"/>
    <w:rsid w:val="00C71D7B"/>
    <w:rsid w:val="00C71F67"/>
    <w:rsid w:val="00C72130"/>
    <w:rsid w:val="00C721F2"/>
    <w:rsid w:val="00C726F0"/>
    <w:rsid w:val="00C729DB"/>
    <w:rsid w:val="00C72FC8"/>
    <w:rsid w:val="00C735CA"/>
    <w:rsid w:val="00C73911"/>
    <w:rsid w:val="00C7466D"/>
    <w:rsid w:val="00C74694"/>
    <w:rsid w:val="00C7486C"/>
    <w:rsid w:val="00C74897"/>
    <w:rsid w:val="00C74C5C"/>
    <w:rsid w:val="00C75023"/>
    <w:rsid w:val="00C75522"/>
    <w:rsid w:val="00C75567"/>
    <w:rsid w:val="00C75DB6"/>
    <w:rsid w:val="00C762F3"/>
    <w:rsid w:val="00C76376"/>
    <w:rsid w:val="00C76751"/>
    <w:rsid w:val="00C768E8"/>
    <w:rsid w:val="00C76A11"/>
    <w:rsid w:val="00C76C64"/>
    <w:rsid w:val="00C77039"/>
    <w:rsid w:val="00C776AB"/>
    <w:rsid w:val="00C80525"/>
    <w:rsid w:val="00C806FD"/>
    <w:rsid w:val="00C80A0B"/>
    <w:rsid w:val="00C81105"/>
    <w:rsid w:val="00C82281"/>
    <w:rsid w:val="00C8272C"/>
    <w:rsid w:val="00C82B0B"/>
    <w:rsid w:val="00C83340"/>
    <w:rsid w:val="00C834A3"/>
    <w:rsid w:val="00C835F7"/>
    <w:rsid w:val="00C8388F"/>
    <w:rsid w:val="00C838B5"/>
    <w:rsid w:val="00C838F3"/>
    <w:rsid w:val="00C83B86"/>
    <w:rsid w:val="00C83D8B"/>
    <w:rsid w:val="00C84422"/>
    <w:rsid w:val="00C8497D"/>
    <w:rsid w:val="00C84AD4"/>
    <w:rsid w:val="00C84D4F"/>
    <w:rsid w:val="00C85459"/>
    <w:rsid w:val="00C85A99"/>
    <w:rsid w:val="00C85BD4"/>
    <w:rsid w:val="00C8640B"/>
    <w:rsid w:val="00C86F11"/>
    <w:rsid w:val="00C86F62"/>
    <w:rsid w:val="00C8707A"/>
    <w:rsid w:val="00C8718C"/>
    <w:rsid w:val="00C87325"/>
    <w:rsid w:val="00C876B2"/>
    <w:rsid w:val="00C8776F"/>
    <w:rsid w:val="00C87A11"/>
    <w:rsid w:val="00C87EF5"/>
    <w:rsid w:val="00C87FB5"/>
    <w:rsid w:val="00C901D9"/>
    <w:rsid w:val="00C9128C"/>
    <w:rsid w:val="00C91943"/>
    <w:rsid w:val="00C91FE9"/>
    <w:rsid w:val="00C9203A"/>
    <w:rsid w:val="00C92159"/>
    <w:rsid w:val="00C92A6B"/>
    <w:rsid w:val="00C92A74"/>
    <w:rsid w:val="00C930EA"/>
    <w:rsid w:val="00C932F2"/>
    <w:rsid w:val="00C9467A"/>
    <w:rsid w:val="00C953CA"/>
    <w:rsid w:val="00C959AC"/>
    <w:rsid w:val="00C95D23"/>
    <w:rsid w:val="00C95E7B"/>
    <w:rsid w:val="00C96143"/>
    <w:rsid w:val="00C969A3"/>
    <w:rsid w:val="00C97212"/>
    <w:rsid w:val="00C97B9D"/>
    <w:rsid w:val="00C97FD2"/>
    <w:rsid w:val="00CA0309"/>
    <w:rsid w:val="00CA061F"/>
    <w:rsid w:val="00CA0690"/>
    <w:rsid w:val="00CA073F"/>
    <w:rsid w:val="00CA0DD8"/>
    <w:rsid w:val="00CA1352"/>
    <w:rsid w:val="00CA1415"/>
    <w:rsid w:val="00CA1A2A"/>
    <w:rsid w:val="00CA23F7"/>
    <w:rsid w:val="00CA2A9D"/>
    <w:rsid w:val="00CA2C1C"/>
    <w:rsid w:val="00CA365B"/>
    <w:rsid w:val="00CA38DE"/>
    <w:rsid w:val="00CA417D"/>
    <w:rsid w:val="00CA41B9"/>
    <w:rsid w:val="00CA42A3"/>
    <w:rsid w:val="00CA483E"/>
    <w:rsid w:val="00CA4941"/>
    <w:rsid w:val="00CA5B08"/>
    <w:rsid w:val="00CA635E"/>
    <w:rsid w:val="00CA6C1B"/>
    <w:rsid w:val="00CA6CA4"/>
    <w:rsid w:val="00CA7786"/>
    <w:rsid w:val="00CB06FD"/>
    <w:rsid w:val="00CB084E"/>
    <w:rsid w:val="00CB091E"/>
    <w:rsid w:val="00CB09BF"/>
    <w:rsid w:val="00CB0A5B"/>
    <w:rsid w:val="00CB0C41"/>
    <w:rsid w:val="00CB0F2F"/>
    <w:rsid w:val="00CB11A2"/>
    <w:rsid w:val="00CB1941"/>
    <w:rsid w:val="00CB1A50"/>
    <w:rsid w:val="00CB1E29"/>
    <w:rsid w:val="00CB1F12"/>
    <w:rsid w:val="00CB2190"/>
    <w:rsid w:val="00CB2683"/>
    <w:rsid w:val="00CB2A95"/>
    <w:rsid w:val="00CB2E32"/>
    <w:rsid w:val="00CB31EC"/>
    <w:rsid w:val="00CB35C6"/>
    <w:rsid w:val="00CB3775"/>
    <w:rsid w:val="00CB3805"/>
    <w:rsid w:val="00CB3DA7"/>
    <w:rsid w:val="00CB4044"/>
    <w:rsid w:val="00CB42E1"/>
    <w:rsid w:val="00CB447E"/>
    <w:rsid w:val="00CB455D"/>
    <w:rsid w:val="00CB56BF"/>
    <w:rsid w:val="00CB59D0"/>
    <w:rsid w:val="00CB60A8"/>
    <w:rsid w:val="00CB6476"/>
    <w:rsid w:val="00CB664C"/>
    <w:rsid w:val="00CB693B"/>
    <w:rsid w:val="00CB6EB1"/>
    <w:rsid w:val="00CB7108"/>
    <w:rsid w:val="00CC047A"/>
    <w:rsid w:val="00CC0867"/>
    <w:rsid w:val="00CC101B"/>
    <w:rsid w:val="00CC114C"/>
    <w:rsid w:val="00CC153A"/>
    <w:rsid w:val="00CC1CC5"/>
    <w:rsid w:val="00CC22A3"/>
    <w:rsid w:val="00CC305A"/>
    <w:rsid w:val="00CC33F4"/>
    <w:rsid w:val="00CC3578"/>
    <w:rsid w:val="00CC3C4A"/>
    <w:rsid w:val="00CC3E0F"/>
    <w:rsid w:val="00CC3FAB"/>
    <w:rsid w:val="00CC4872"/>
    <w:rsid w:val="00CC48E8"/>
    <w:rsid w:val="00CC48F6"/>
    <w:rsid w:val="00CC4B77"/>
    <w:rsid w:val="00CC5AFC"/>
    <w:rsid w:val="00CC5F7C"/>
    <w:rsid w:val="00CC614C"/>
    <w:rsid w:val="00CC615E"/>
    <w:rsid w:val="00CC647E"/>
    <w:rsid w:val="00CC64AF"/>
    <w:rsid w:val="00CC66D9"/>
    <w:rsid w:val="00CC69A4"/>
    <w:rsid w:val="00CC6A61"/>
    <w:rsid w:val="00CC6D46"/>
    <w:rsid w:val="00CC73EC"/>
    <w:rsid w:val="00CC792E"/>
    <w:rsid w:val="00CC7DBF"/>
    <w:rsid w:val="00CD0661"/>
    <w:rsid w:val="00CD0C58"/>
    <w:rsid w:val="00CD13BF"/>
    <w:rsid w:val="00CD1977"/>
    <w:rsid w:val="00CD1CAF"/>
    <w:rsid w:val="00CD2405"/>
    <w:rsid w:val="00CD26B0"/>
    <w:rsid w:val="00CD348C"/>
    <w:rsid w:val="00CD3518"/>
    <w:rsid w:val="00CD351B"/>
    <w:rsid w:val="00CD352C"/>
    <w:rsid w:val="00CD3615"/>
    <w:rsid w:val="00CD3B3B"/>
    <w:rsid w:val="00CD445E"/>
    <w:rsid w:val="00CD46DB"/>
    <w:rsid w:val="00CD49D9"/>
    <w:rsid w:val="00CD4B4C"/>
    <w:rsid w:val="00CD4EF6"/>
    <w:rsid w:val="00CD54DF"/>
    <w:rsid w:val="00CD5702"/>
    <w:rsid w:val="00CD5848"/>
    <w:rsid w:val="00CD58A5"/>
    <w:rsid w:val="00CD5BC7"/>
    <w:rsid w:val="00CD5E43"/>
    <w:rsid w:val="00CD60E7"/>
    <w:rsid w:val="00CD6666"/>
    <w:rsid w:val="00CD670E"/>
    <w:rsid w:val="00CD67EA"/>
    <w:rsid w:val="00CD68A7"/>
    <w:rsid w:val="00CD6B5E"/>
    <w:rsid w:val="00CD6EE5"/>
    <w:rsid w:val="00CD6F28"/>
    <w:rsid w:val="00CD7295"/>
    <w:rsid w:val="00CD7499"/>
    <w:rsid w:val="00CD772B"/>
    <w:rsid w:val="00CD7892"/>
    <w:rsid w:val="00CD7F20"/>
    <w:rsid w:val="00CE0447"/>
    <w:rsid w:val="00CE062F"/>
    <w:rsid w:val="00CE0B03"/>
    <w:rsid w:val="00CE1AC0"/>
    <w:rsid w:val="00CE286D"/>
    <w:rsid w:val="00CE3556"/>
    <w:rsid w:val="00CE3865"/>
    <w:rsid w:val="00CE3B41"/>
    <w:rsid w:val="00CE3DE2"/>
    <w:rsid w:val="00CE3E86"/>
    <w:rsid w:val="00CE43EF"/>
    <w:rsid w:val="00CE4901"/>
    <w:rsid w:val="00CE5233"/>
    <w:rsid w:val="00CE577B"/>
    <w:rsid w:val="00CE60C9"/>
    <w:rsid w:val="00CE650A"/>
    <w:rsid w:val="00CE65EB"/>
    <w:rsid w:val="00CE6862"/>
    <w:rsid w:val="00CE6A91"/>
    <w:rsid w:val="00CE6CB0"/>
    <w:rsid w:val="00CE76E7"/>
    <w:rsid w:val="00CE7F2B"/>
    <w:rsid w:val="00CF0687"/>
    <w:rsid w:val="00CF07F2"/>
    <w:rsid w:val="00CF0A05"/>
    <w:rsid w:val="00CF11E0"/>
    <w:rsid w:val="00CF25D4"/>
    <w:rsid w:val="00CF3302"/>
    <w:rsid w:val="00CF338B"/>
    <w:rsid w:val="00CF349F"/>
    <w:rsid w:val="00CF37B6"/>
    <w:rsid w:val="00CF3D6F"/>
    <w:rsid w:val="00CF4F7E"/>
    <w:rsid w:val="00CF58ED"/>
    <w:rsid w:val="00CF61C5"/>
    <w:rsid w:val="00CF67BD"/>
    <w:rsid w:val="00CF785A"/>
    <w:rsid w:val="00CF7D0A"/>
    <w:rsid w:val="00D0019A"/>
    <w:rsid w:val="00D002A2"/>
    <w:rsid w:val="00D00638"/>
    <w:rsid w:val="00D00863"/>
    <w:rsid w:val="00D00A2A"/>
    <w:rsid w:val="00D012C5"/>
    <w:rsid w:val="00D019FB"/>
    <w:rsid w:val="00D01C8E"/>
    <w:rsid w:val="00D01CBA"/>
    <w:rsid w:val="00D01D65"/>
    <w:rsid w:val="00D01E01"/>
    <w:rsid w:val="00D0219C"/>
    <w:rsid w:val="00D022BF"/>
    <w:rsid w:val="00D02BA9"/>
    <w:rsid w:val="00D02FBF"/>
    <w:rsid w:val="00D0308E"/>
    <w:rsid w:val="00D031C3"/>
    <w:rsid w:val="00D0337C"/>
    <w:rsid w:val="00D03641"/>
    <w:rsid w:val="00D03701"/>
    <w:rsid w:val="00D03879"/>
    <w:rsid w:val="00D03BB3"/>
    <w:rsid w:val="00D044A6"/>
    <w:rsid w:val="00D045C0"/>
    <w:rsid w:val="00D0483E"/>
    <w:rsid w:val="00D04A64"/>
    <w:rsid w:val="00D04E40"/>
    <w:rsid w:val="00D04EFB"/>
    <w:rsid w:val="00D058CA"/>
    <w:rsid w:val="00D05AC2"/>
    <w:rsid w:val="00D05AD3"/>
    <w:rsid w:val="00D05FC5"/>
    <w:rsid w:val="00D05FC6"/>
    <w:rsid w:val="00D068B9"/>
    <w:rsid w:val="00D06AED"/>
    <w:rsid w:val="00D06C58"/>
    <w:rsid w:val="00D07059"/>
    <w:rsid w:val="00D072E0"/>
    <w:rsid w:val="00D077AE"/>
    <w:rsid w:val="00D10040"/>
    <w:rsid w:val="00D10604"/>
    <w:rsid w:val="00D106C3"/>
    <w:rsid w:val="00D10BAE"/>
    <w:rsid w:val="00D11981"/>
    <w:rsid w:val="00D11DE8"/>
    <w:rsid w:val="00D1226D"/>
    <w:rsid w:val="00D12311"/>
    <w:rsid w:val="00D127B3"/>
    <w:rsid w:val="00D128C4"/>
    <w:rsid w:val="00D12CD8"/>
    <w:rsid w:val="00D12CF6"/>
    <w:rsid w:val="00D13B8D"/>
    <w:rsid w:val="00D13F2A"/>
    <w:rsid w:val="00D13FAF"/>
    <w:rsid w:val="00D143BD"/>
    <w:rsid w:val="00D14578"/>
    <w:rsid w:val="00D15A77"/>
    <w:rsid w:val="00D15BA3"/>
    <w:rsid w:val="00D164F1"/>
    <w:rsid w:val="00D1683B"/>
    <w:rsid w:val="00D16961"/>
    <w:rsid w:val="00D16EE6"/>
    <w:rsid w:val="00D1737C"/>
    <w:rsid w:val="00D17A8E"/>
    <w:rsid w:val="00D17ACF"/>
    <w:rsid w:val="00D202A4"/>
    <w:rsid w:val="00D20626"/>
    <w:rsid w:val="00D20775"/>
    <w:rsid w:val="00D20A53"/>
    <w:rsid w:val="00D20FCA"/>
    <w:rsid w:val="00D217C7"/>
    <w:rsid w:val="00D21880"/>
    <w:rsid w:val="00D21BE7"/>
    <w:rsid w:val="00D21D89"/>
    <w:rsid w:val="00D21F1B"/>
    <w:rsid w:val="00D22356"/>
    <w:rsid w:val="00D22A8C"/>
    <w:rsid w:val="00D231E7"/>
    <w:rsid w:val="00D23557"/>
    <w:rsid w:val="00D23AE3"/>
    <w:rsid w:val="00D23B50"/>
    <w:rsid w:val="00D23F66"/>
    <w:rsid w:val="00D24BA2"/>
    <w:rsid w:val="00D25061"/>
    <w:rsid w:val="00D25941"/>
    <w:rsid w:val="00D2696F"/>
    <w:rsid w:val="00D26977"/>
    <w:rsid w:val="00D26FF6"/>
    <w:rsid w:val="00D27227"/>
    <w:rsid w:val="00D27948"/>
    <w:rsid w:val="00D27BC5"/>
    <w:rsid w:val="00D308FF"/>
    <w:rsid w:val="00D30A75"/>
    <w:rsid w:val="00D30AED"/>
    <w:rsid w:val="00D30DF6"/>
    <w:rsid w:val="00D30F0B"/>
    <w:rsid w:val="00D3103E"/>
    <w:rsid w:val="00D3107C"/>
    <w:rsid w:val="00D3113C"/>
    <w:rsid w:val="00D31146"/>
    <w:rsid w:val="00D31235"/>
    <w:rsid w:val="00D31438"/>
    <w:rsid w:val="00D31498"/>
    <w:rsid w:val="00D31A47"/>
    <w:rsid w:val="00D32A9E"/>
    <w:rsid w:val="00D32CD1"/>
    <w:rsid w:val="00D337CA"/>
    <w:rsid w:val="00D33D73"/>
    <w:rsid w:val="00D340E6"/>
    <w:rsid w:val="00D3417B"/>
    <w:rsid w:val="00D341C2"/>
    <w:rsid w:val="00D349BC"/>
    <w:rsid w:val="00D34A5D"/>
    <w:rsid w:val="00D34C59"/>
    <w:rsid w:val="00D351AE"/>
    <w:rsid w:val="00D352AB"/>
    <w:rsid w:val="00D35594"/>
    <w:rsid w:val="00D356F9"/>
    <w:rsid w:val="00D35EB1"/>
    <w:rsid w:val="00D363C1"/>
    <w:rsid w:val="00D36B0F"/>
    <w:rsid w:val="00D36BF3"/>
    <w:rsid w:val="00D371BB"/>
    <w:rsid w:val="00D374BD"/>
    <w:rsid w:val="00D37579"/>
    <w:rsid w:val="00D4058D"/>
    <w:rsid w:val="00D406D3"/>
    <w:rsid w:val="00D40C52"/>
    <w:rsid w:val="00D4132E"/>
    <w:rsid w:val="00D4137E"/>
    <w:rsid w:val="00D413A7"/>
    <w:rsid w:val="00D4210E"/>
    <w:rsid w:val="00D42A75"/>
    <w:rsid w:val="00D42B28"/>
    <w:rsid w:val="00D43455"/>
    <w:rsid w:val="00D43649"/>
    <w:rsid w:val="00D43D5B"/>
    <w:rsid w:val="00D43E29"/>
    <w:rsid w:val="00D43E2D"/>
    <w:rsid w:val="00D43F3D"/>
    <w:rsid w:val="00D43FAA"/>
    <w:rsid w:val="00D446EA"/>
    <w:rsid w:val="00D447FF"/>
    <w:rsid w:val="00D44988"/>
    <w:rsid w:val="00D44C6C"/>
    <w:rsid w:val="00D452B5"/>
    <w:rsid w:val="00D4533C"/>
    <w:rsid w:val="00D458F2"/>
    <w:rsid w:val="00D46C85"/>
    <w:rsid w:val="00D475BE"/>
    <w:rsid w:val="00D50410"/>
    <w:rsid w:val="00D507AE"/>
    <w:rsid w:val="00D507EA"/>
    <w:rsid w:val="00D5080F"/>
    <w:rsid w:val="00D5081A"/>
    <w:rsid w:val="00D508E8"/>
    <w:rsid w:val="00D50E7D"/>
    <w:rsid w:val="00D514CE"/>
    <w:rsid w:val="00D5154F"/>
    <w:rsid w:val="00D515BF"/>
    <w:rsid w:val="00D516D0"/>
    <w:rsid w:val="00D518F4"/>
    <w:rsid w:val="00D51B52"/>
    <w:rsid w:val="00D51BBC"/>
    <w:rsid w:val="00D51FD8"/>
    <w:rsid w:val="00D52121"/>
    <w:rsid w:val="00D521CD"/>
    <w:rsid w:val="00D52F40"/>
    <w:rsid w:val="00D53047"/>
    <w:rsid w:val="00D530E2"/>
    <w:rsid w:val="00D53A82"/>
    <w:rsid w:val="00D542E3"/>
    <w:rsid w:val="00D54788"/>
    <w:rsid w:val="00D55426"/>
    <w:rsid w:val="00D559B3"/>
    <w:rsid w:val="00D560B9"/>
    <w:rsid w:val="00D56551"/>
    <w:rsid w:val="00D56677"/>
    <w:rsid w:val="00D5670B"/>
    <w:rsid w:val="00D56AA9"/>
    <w:rsid w:val="00D56B52"/>
    <w:rsid w:val="00D56EC6"/>
    <w:rsid w:val="00D5748E"/>
    <w:rsid w:val="00D57664"/>
    <w:rsid w:val="00D57A0D"/>
    <w:rsid w:val="00D57C80"/>
    <w:rsid w:val="00D603B0"/>
    <w:rsid w:val="00D60746"/>
    <w:rsid w:val="00D60EA6"/>
    <w:rsid w:val="00D614BE"/>
    <w:rsid w:val="00D61EDA"/>
    <w:rsid w:val="00D6222F"/>
    <w:rsid w:val="00D6289B"/>
    <w:rsid w:val="00D62C0A"/>
    <w:rsid w:val="00D63F48"/>
    <w:rsid w:val="00D64064"/>
    <w:rsid w:val="00D64093"/>
    <w:rsid w:val="00D644BC"/>
    <w:rsid w:val="00D6453A"/>
    <w:rsid w:val="00D6456F"/>
    <w:rsid w:val="00D64700"/>
    <w:rsid w:val="00D64752"/>
    <w:rsid w:val="00D64D13"/>
    <w:rsid w:val="00D652F5"/>
    <w:rsid w:val="00D65B8F"/>
    <w:rsid w:val="00D67382"/>
    <w:rsid w:val="00D6761C"/>
    <w:rsid w:val="00D706D0"/>
    <w:rsid w:val="00D708F2"/>
    <w:rsid w:val="00D71143"/>
    <w:rsid w:val="00D715C0"/>
    <w:rsid w:val="00D718C6"/>
    <w:rsid w:val="00D71EB9"/>
    <w:rsid w:val="00D71FED"/>
    <w:rsid w:val="00D728D2"/>
    <w:rsid w:val="00D729A9"/>
    <w:rsid w:val="00D72CBB"/>
    <w:rsid w:val="00D72EB3"/>
    <w:rsid w:val="00D730C7"/>
    <w:rsid w:val="00D7323A"/>
    <w:rsid w:val="00D732A6"/>
    <w:rsid w:val="00D73AB1"/>
    <w:rsid w:val="00D74611"/>
    <w:rsid w:val="00D74999"/>
    <w:rsid w:val="00D74B0A"/>
    <w:rsid w:val="00D74D21"/>
    <w:rsid w:val="00D75291"/>
    <w:rsid w:val="00D7686C"/>
    <w:rsid w:val="00D76BD7"/>
    <w:rsid w:val="00D76D4B"/>
    <w:rsid w:val="00D77228"/>
    <w:rsid w:val="00D80321"/>
    <w:rsid w:val="00D81386"/>
    <w:rsid w:val="00D814F3"/>
    <w:rsid w:val="00D81C8D"/>
    <w:rsid w:val="00D82157"/>
    <w:rsid w:val="00D82636"/>
    <w:rsid w:val="00D82EF3"/>
    <w:rsid w:val="00D82FC3"/>
    <w:rsid w:val="00D8351C"/>
    <w:rsid w:val="00D83630"/>
    <w:rsid w:val="00D8390A"/>
    <w:rsid w:val="00D83FAA"/>
    <w:rsid w:val="00D842AA"/>
    <w:rsid w:val="00D842E7"/>
    <w:rsid w:val="00D846D6"/>
    <w:rsid w:val="00D84ACA"/>
    <w:rsid w:val="00D84C83"/>
    <w:rsid w:val="00D85453"/>
    <w:rsid w:val="00D857E7"/>
    <w:rsid w:val="00D85C0C"/>
    <w:rsid w:val="00D85DCE"/>
    <w:rsid w:val="00D85EE2"/>
    <w:rsid w:val="00D86B6E"/>
    <w:rsid w:val="00D86DAF"/>
    <w:rsid w:val="00D8703B"/>
    <w:rsid w:val="00D87165"/>
    <w:rsid w:val="00D879C8"/>
    <w:rsid w:val="00D909AF"/>
    <w:rsid w:val="00D90BBE"/>
    <w:rsid w:val="00D90CE5"/>
    <w:rsid w:val="00D912CF"/>
    <w:rsid w:val="00D91528"/>
    <w:rsid w:val="00D91B26"/>
    <w:rsid w:val="00D92215"/>
    <w:rsid w:val="00D929AD"/>
    <w:rsid w:val="00D92CD2"/>
    <w:rsid w:val="00D93117"/>
    <w:rsid w:val="00D933CE"/>
    <w:rsid w:val="00D933DA"/>
    <w:rsid w:val="00D936BF"/>
    <w:rsid w:val="00D93FB7"/>
    <w:rsid w:val="00D940B9"/>
    <w:rsid w:val="00D94302"/>
    <w:rsid w:val="00D9462F"/>
    <w:rsid w:val="00D949DC"/>
    <w:rsid w:val="00D94BB2"/>
    <w:rsid w:val="00D95073"/>
    <w:rsid w:val="00D95D70"/>
    <w:rsid w:val="00D9644F"/>
    <w:rsid w:val="00D96664"/>
    <w:rsid w:val="00D96F3C"/>
    <w:rsid w:val="00D9704B"/>
    <w:rsid w:val="00D97C54"/>
    <w:rsid w:val="00D97D80"/>
    <w:rsid w:val="00D97F70"/>
    <w:rsid w:val="00D97FBA"/>
    <w:rsid w:val="00DA0276"/>
    <w:rsid w:val="00DA02D1"/>
    <w:rsid w:val="00DA077A"/>
    <w:rsid w:val="00DA097F"/>
    <w:rsid w:val="00DA0E5F"/>
    <w:rsid w:val="00DA1023"/>
    <w:rsid w:val="00DA1BEF"/>
    <w:rsid w:val="00DA1E73"/>
    <w:rsid w:val="00DA1EA4"/>
    <w:rsid w:val="00DA1FD4"/>
    <w:rsid w:val="00DA246D"/>
    <w:rsid w:val="00DA251F"/>
    <w:rsid w:val="00DA27B6"/>
    <w:rsid w:val="00DA2E12"/>
    <w:rsid w:val="00DA3469"/>
    <w:rsid w:val="00DA34B0"/>
    <w:rsid w:val="00DA3700"/>
    <w:rsid w:val="00DA3C18"/>
    <w:rsid w:val="00DA41D3"/>
    <w:rsid w:val="00DA462C"/>
    <w:rsid w:val="00DA4801"/>
    <w:rsid w:val="00DA4A0D"/>
    <w:rsid w:val="00DA4C47"/>
    <w:rsid w:val="00DA4D02"/>
    <w:rsid w:val="00DA4E01"/>
    <w:rsid w:val="00DA5C82"/>
    <w:rsid w:val="00DA60C2"/>
    <w:rsid w:val="00DA78AE"/>
    <w:rsid w:val="00DA7C57"/>
    <w:rsid w:val="00DA7D85"/>
    <w:rsid w:val="00DA7E60"/>
    <w:rsid w:val="00DA7F6B"/>
    <w:rsid w:val="00DB01E6"/>
    <w:rsid w:val="00DB05B5"/>
    <w:rsid w:val="00DB0672"/>
    <w:rsid w:val="00DB08CE"/>
    <w:rsid w:val="00DB0BBE"/>
    <w:rsid w:val="00DB0E0B"/>
    <w:rsid w:val="00DB10C9"/>
    <w:rsid w:val="00DB1583"/>
    <w:rsid w:val="00DB1E53"/>
    <w:rsid w:val="00DB2111"/>
    <w:rsid w:val="00DB249A"/>
    <w:rsid w:val="00DB27D3"/>
    <w:rsid w:val="00DB2F5C"/>
    <w:rsid w:val="00DB3296"/>
    <w:rsid w:val="00DB3379"/>
    <w:rsid w:val="00DB34F7"/>
    <w:rsid w:val="00DB3608"/>
    <w:rsid w:val="00DB385F"/>
    <w:rsid w:val="00DB3869"/>
    <w:rsid w:val="00DB3D92"/>
    <w:rsid w:val="00DB3ED2"/>
    <w:rsid w:val="00DB466C"/>
    <w:rsid w:val="00DB468E"/>
    <w:rsid w:val="00DB46BD"/>
    <w:rsid w:val="00DB5120"/>
    <w:rsid w:val="00DB538B"/>
    <w:rsid w:val="00DB540C"/>
    <w:rsid w:val="00DB57B8"/>
    <w:rsid w:val="00DB5B09"/>
    <w:rsid w:val="00DB6B36"/>
    <w:rsid w:val="00DB769D"/>
    <w:rsid w:val="00DB776E"/>
    <w:rsid w:val="00DB77EE"/>
    <w:rsid w:val="00DC029B"/>
    <w:rsid w:val="00DC0A08"/>
    <w:rsid w:val="00DC0F09"/>
    <w:rsid w:val="00DC1126"/>
    <w:rsid w:val="00DC1B6E"/>
    <w:rsid w:val="00DC1B86"/>
    <w:rsid w:val="00DC1C65"/>
    <w:rsid w:val="00DC215E"/>
    <w:rsid w:val="00DC2161"/>
    <w:rsid w:val="00DC244B"/>
    <w:rsid w:val="00DC24B7"/>
    <w:rsid w:val="00DC2617"/>
    <w:rsid w:val="00DC26F7"/>
    <w:rsid w:val="00DC289B"/>
    <w:rsid w:val="00DC28DD"/>
    <w:rsid w:val="00DC3661"/>
    <w:rsid w:val="00DC3710"/>
    <w:rsid w:val="00DC38B7"/>
    <w:rsid w:val="00DC3B39"/>
    <w:rsid w:val="00DC3B5D"/>
    <w:rsid w:val="00DC3B67"/>
    <w:rsid w:val="00DC3CDB"/>
    <w:rsid w:val="00DC4BCE"/>
    <w:rsid w:val="00DC4D15"/>
    <w:rsid w:val="00DC53FB"/>
    <w:rsid w:val="00DC5769"/>
    <w:rsid w:val="00DC5B13"/>
    <w:rsid w:val="00DC5D65"/>
    <w:rsid w:val="00DC60F4"/>
    <w:rsid w:val="00DC63AF"/>
    <w:rsid w:val="00DC7745"/>
    <w:rsid w:val="00DC7A7D"/>
    <w:rsid w:val="00DC7AF1"/>
    <w:rsid w:val="00DC7AF6"/>
    <w:rsid w:val="00DC7B24"/>
    <w:rsid w:val="00DD01B0"/>
    <w:rsid w:val="00DD0394"/>
    <w:rsid w:val="00DD1471"/>
    <w:rsid w:val="00DD14AF"/>
    <w:rsid w:val="00DD1D02"/>
    <w:rsid w:val="00DD23A0"/>
    <w:rsid w:val="00DD288A"/>
    <w:rsid w:val="00DD2D1D"/>
    <w:rsid w:val="00DD39F4"/>
    <w:rsid w:val="00DD3B4B"/>
    <w:rsid w:val="00DD3EF4"/>
    <w:rsid w:val="00DD402D"/>
    <w:rsid w:val="00DD45AC"/>
    <w:rsid w:val="00DD4FE0"/>
    <w:rsid w:val="00DD51D5"/>
    <w:rsid w:val="00DD540E"/>
    <w:rsid w:val="00DD591B"/>
    <w:rsid w:val="00DD5ED3"/>
    <w:rsid w:val="00DD63CB"/>
    <w:rsid w:val="00DD6895"/>
    <w:rsid w:val="00DD692D"/>
    <w:rsid w:val="00DD707C"/>
    <w:rsid w:val="00DD70F3"/>
    <w:rsid w:val="00DD772B"/>
    <w:rsid w:val="00DE01EB"/>
    <w:rsid w:val="00DE04C9"/>
    <w:rsid w:val="00DE05C5"/>
    <w:rsid w:val="00DE066B"/>
    <w:rsid w:val="00DE08A0"/>
    <w:rsid w:val="00DE173A"/>
    <w:rsid w:val="00DE1769"/>
    <w:rsid w:val="00DE2124"/>
    <w:rsid w:val="00DE22A6"/>
    <w:rsid w:val="00DE2588"/>
    <w:rsid w:val="00DE259F"/>
    <w:rsid w:val="00DE2B80"/>
    <w:rsid w:val="00DE2F89"/>
    <w:rsid w:val="00DE2FE2"/>
    <w:rsid w:val="00DE33D5"/>
    <w:rsid w:val="00DE39A9"/>
    <w:rsid w:val="00DE3F99"/>
    <w:rsid w:val="00DE3FE5"/>
    <w:rsid w:val="00DE4847"/>
    <w:rsid w:val="00DE4BE5"/>
    <w:rsid w:val="00DE4E2E"/>
    <w:rsid w:val="00DE5D50"/>
    <w:rsid w:val="00DE5D79"/>
    <w:rsid w:val="00DE6156"/>
    <w:rsid w:val="00DE61D8"/>
    <w:rsid w:val="00DE63B3"/>
    <w:rsid w:val="00DE652E"/>
    <w:rsid w:val="00DE6642"/>
    <w:rsid w:val="00DE67F4"/>
    <w:rsid w:val="00DE698E"/>
    <w:rsid w:val="00DE6F0A"/>
    <w:rsid w:val="00DE77B1"/>
    <w:rsid w:val="00DE7E6A"/>
    <w:rsid w:val="00DF02DE"/>
    <w:rsid w:val="00DF064C"/>
    <w:rsid w:val="00DF0B6F"/>
    <w:rsid w:val="00DF1163"/>
    <w:rsid w:val="00DF11B1"/>
    <w:rsid w:val="00DF1AD8"/>
    <w:rsid w:val="00DF1B37"/>
    <w:rsid w:val="00DF1BC8"/>
    <w:rsid w:val="00DF2098"/>
    <w:rsid w:val="00DF20BD"/>
    <w:rsid w:val="00DF2B67"/>
    <w:rsid w:val="00DF2C2C"/>
    <w:rsid w:val="00DF3CE6"/>
    <w:rsid w:val="00DF3D53"/>
    <w:rsid w:val="00DF4102"/>
    <w:rsid w:val="00DF42F2"/>
    <w:rsid w:val="00DF4E71"/>
    <w:rsid w:val="00DF4EB5"/>
    <w:rsid w:val="00DF4F92"/>
    <w:rsid w:val="00DF5CE8"/>
    <w:rsid w:val="00DF5E03"/>
    <w:rsid w:val="00DF5F72"/>
    <w:rsid w:val="00DF66CB"/>
    <w:rsid w:val="00DF6775"/>
    <w:rsid w:val="00DF6890"/>
    <w:rsid w:val="00DF6D18"/>
    <w:rsid w:val="00DF6FC2"/>
    <w:rsid w:val="00DF725B"/>
    <w:rsid w:val="00DF7580"/>
    <w:rsid w:val="00DF77FE"/>
    <w:rsid w:val="00E003CC"/>
    <w:rsid w:val="00E00495"/>
    <w:rsid w:val="00E00E18"/>
    <w:rsid w:val="00E00E3C"/>
    <w:rsid w:val="00E00F14"/>
    <w:rsid w:val="00E014ED"/>
    <w:rsid w:val="00E0172C"/>
    <w:rsid w:val="00E0194E"/>
    <w:rsid w:val="00E02113"/>
    <w:rsid w:val="00E0229E"/>
    <w:rsid w:val="00E0235D"/>
    <w:rsid w:val="00E02824"/>
    <w:rsid w:val="00E02A62"/>
    <w:rsid w:val="00E02D5D"/>
    <w:rsid w:val="00E033EE"/>
    <w:rsid w:val="00E03721"/>
    <w:rsid w:val="00E037B5"/>
    <w:rsid w:val="00E03FC5"/>
    <w:rsid w:val="00E0486F"/>
    <w:rsid w:val="00E04B3D"/>
    <w:rsid w:val="00E0567E"/>
    <w:rsid w:val="00E05B95"/>
    <w:rsid w:val="00E05EAC"/>
    <w:rsid w:val="00E0641D"/>
    <w:rsid w:val="00E06607"/>
    <w:rsid w:val="00E06689"/>
    <w:rsid w:val="00E0668F"/>
    <w:rsid w:val="00E06ABD"/>
    <w:rsid w:val="00E06B3F"/>
    <w:rsid w:val="00E07184"/>
    <w:rsid w:val="00E0734E"/>
    <w:rsid w:val="00E076CB"/>
    <w:rsid w:val="00E10526"/>
    <w:rsid w:val="00E106E7"/>
    <w:rsid w:val="00E10887"/>
    <w:rsid w:val="00E109B7"/>
    <w:rsid w:val="00E10A8F"/>
    <w:rsid w:val="00E10D7A"/>
    <w:rsid w:val="00E10F90"/>
    <w:rsid w:val="00E1103C"/>
    <w:rsid w:val="00E11410"/>
    <w:rsid w:val="00E11491"/>
    <w:rsid w:val="00E11BA8"/>
    <w:rsid w:val="00E12134"/>
    <w:rsid w:val="00E126F4"/>
    <w:rsid w:val="00E12739"/>
    <w:rsid w:val="00E1296E"/>
    <w:rsid w:val="00E12CE9"/>
    <w:rsid w:val="00E13072"/>
    <w:rsid w:val="00E137A5"/>
    <w:rsid w:val="00E139D6"/>
    <w:rsid w:val="00E14CCB"/>
    <w:rsid w:val="00E153FA"/>
    <w:rsid w:val="00E156A0"/>
    <w:rsid w:val="00E15A51"/>
    <w:rsid w:val="00E1698F"/>
    <w:rsid w:val="00E16C0C"/>
    <w:rsid w:val="00E16D9F"/>
    <w:rsid w:val="00E17202"/>
    <w:rsid w:val="00E17424"/>
    <w:rsid w:val="00E17806"/>
    <w:rsid w:val="00E17D82"/>
    <w:rsid w:val="00E17FC5"/>
    <w:rsid w:val="00E201DC"/>
    <w:rsid w:val="00E2036A"/>
    <w:rsid w:val="00E20A3A"/>
    <w:rsid w:val="00E20AF1"/>
    <w:rsid w:val="00E20B88"/>
    <w:rsid w:val="00E210AF"/>
    <w:rsid w:val="00E211CC"/>
    <w:rsid w:val="00E213C7"/>
    <w:rsid w:val="00E22697"/>
    <w:rsid w:val="00E230F2"/>
    <w:rsid w:val="00E23FB4"/>
    <w:rsid w:val="00E24070"/>
    <w:rsid w:val="00E24443"/>
    <w:rsid w:val="00E24498"/>
    <w:rsid w:val="00E244B4"/>
    <w:rsid w:val="00E24801"/>
    <w:rsid w:val="00E24F7F"/>
    <w:rsid w:val="00E2509C"/>
    <w:rsid w:val="00E25888"/>
    <w:rsid w:val="00E25E91"/>
    <w:rsid w:val="00E25FAC"/>
    <w:rsid w:val="00E26D01"/>
    <w:rsid w:val="00E26F69"/>
    <w:rsid w:val="00E30673"/>
    <w:rsid w:val="00E309CF"/>
    <w:rsid w:val="00E30D63"/>
    <w:rsid w:val="00E30F5E"/>
    <w:rsid w:val="00E31018"/>
    <w:rsid w:val="00E31587"/>
    <w:rsid w:val="00E3178F"/>
    <w:rsid w:val="00E31B8C"/>
    <w:rsid w:val="00E31EDD"/>
    <w:rsid w:val="00E324C7"/>
    <w:rsid w:val="00E324E6"/>
    <w:rsid w:val="00E32BAE"/>
    <w:rsid w:val="00E32DD8"/>
    <w:rsid w:val="00E32E02"/>
    <w:rsid w:val="00E32ED5"/>
    <w:rsid w:val="00E333F9"/>
    <w:rsid w:val="00E3344E"/>
    <w:rsid w:val="00E33B62"/>
    <w:rsid w:val="00E33F28"/>
    <w:rsid w:val="00E34013"/>
    <w:rsid w:val="00E34233"/>
    <w:rsid w:val="00E34BD4"/>
    <w:rsid w:val="00E34D62"/>
    <w:rsid w:val="00E35D04"/>
    <w:rsid w:val="00E35D6F"/>
    <w:rsid w:val="00E36723"/>
    <w:rsid w:val="00E373C0"/>
    <w:rsid w:val="00E3758B"/>
    <w:rsid w:val="00E3772D"/>
    <w:rsid w:val="00E37850"/>
    <w:rsid w:val="00E37AB0"/>
    <w:rsid w:val="00E37EAB"/>
    <w:rsid w:val="00E400EA"/>
    <w:rsid w:val="00E408C6"/>
    <w:rsid w:val="00E4093B"/>
    <w:rsid w:val="00E40E02"/>
    <w:rsid w:val="00E4100D"/>
    <w:rsid w:val="00E41548"/>
    <w:rsid w:val="00E418F1"/>
    <w:rsid w:val="00E41F2D"/>
    <w:rsid w:val="00E42114"/>
    <w:rsid w:val="00E43274"/>
    <w:rsid w:val="00E432F8"/>
    <w:rsid w:val="00E43982"/>
    <w:rsid w:val="00E4436B"/>
    <w:rsid w:val="00E44EAD"/>
    <w:rsid w:val="00E44FE2"/>
    <w:rsid w:val="00E45974"/>
    <w:rsid w:val="00E45BD9"/>
    <w:rsid w:val="00E4686E"/>
    <w:rsid w:val="00E46F66"/>
    <w:rsid w:val="00E47020"/>
    <w:rsid w:val="00E470E3"/>
    <w:rsid w:val="00E47951"/>
    <w:rsid w:val="00E4797D"/>
    <w:rsid w:val="00E47B6C"/>
    <w:rsid w:val="00E501BC"/>
    <w:rsid w:val="00E5097F"/>
    <w:rsid w:val="00E50B40"/>
    <w:rsid w:val="00E50DB3"/>
    <w:rsid w:val="00E50E05"/>
    <w:rsid w:val="00E51A87"/>
    <w:rsid w:val="00E5209D"/>
    <w:rsid w:val="00E524A4"/>
    <w:rsid w:val="00E546FB"/>
    <w:rsid w:val="00E54787"/>
    <w:rsid w:val="00E549ED"/>
    <w:rsid w:val="00E555CE"/>
    <w:rsid w:val="00E55CE6"/>
    <w:rsid w:val="00E55EF2"/>
    <w:rsid w:val="00E56472"/>
    <w:rsid w:val="00E56A26"/>
    <w:rsid w:val="00E56BFF"/>
    <w:rsid w:val="00E56DB7"/>
    <w:rsid w:val="00E56DCA"/>
    <w:rsid w:val="00E56FA0"/>
    <w:rsid w:val="00E570D5"/>
    <w:rsid w:val="00E571EC"/>
    <w:rsid w:val="00E57668"/>
    <w:rsid w:val="00E6070A"/>
    <w:rsid w:val="00E60756"/>
    <w:rsid w:val="00E60860"/>
    <w:rsid w:val="00E60C14"/>
    <w:rsid w:val="00E60C1A"/>
    <w:rsid w:val="00E61018"/>
    <w:rsid w:val="00E611D2"/>
    <w:rsid w:val="00E6122A"/>
    <w:rsid w:val="00E61426"/>
    <w:rsid w:val="00E61F3E"/>
    <w:rsid w:val="00E628B6"/>
    <w:rsid w:val="00E62A82"/>
    <w:rsid w:val="00E62B29"/>
    <w:rsid w:val="00E6329E"/>
    <w:rsid w:val="00E633F9"/>
    <w:rsid w:val="00E6364A"/>
    <w:rsid w:val="00E637D2"/>
    <w:rsid w:val="00E64007"/>
    <w:rsid w:val="00E64045"/>
    <w:rsid w:val="00E64204"/>
    <w:rsid w:val="00E6426A"/>
    <w:rsid w:val="00E642C0"/>
    <w:rsid w:val="00E64343"/>
    <w:rsid w:val="00E6457D"/>
    <w:rsid w:val="00E646E2"/>
    <w:rsid w:val="00E64A52"/>
    <w:rsid w:val="00E64C6F"/>
    <w:rsid w:val="00E64E92"/>
    <w:rsid w:val="00E64F17"/>
    <w:rsid w:val="00E64FB8"/>
    <w:rsid w:val="00E6526A"/>
    <w:rsid w:val="00E655CB"/>
    <w:rsid w:val="00E65FB8"/>
    <w:rsid w:val="00E66183"/>
    <w:rsid w:val="00E66731"/>
    <w:rsid w:val="00E66E9E"/>
    <w:rsid w:val="00E702CC"/>
    <w:rsid w:val="00E7036F"/>
    <w:rsid w:val="00E70615"/>
    <w:rsid w:val="00E70929"/>
    <w:rsid w:val="00E70ACD"/>
    <w:rsid w:val="00E70E86"/>
    <w:rsid w:val="00E71833"/>
    <w:rsid w:val="00E71B8F"/>
    <w:rsid w:val="00E72001"/>
    <w:rsid w:val="00E7207E"/>
    <w:rsid w:val="00E72A93"/>
    <w:rsid w:val="00E73AD0"/>
    <w:rsid w:val="00E74354"/>
    <w:rsid w:val="00E7440A"/>
    <w:rsid w:val="00E74B55"/>
    <w:rsid w:val="00E74B6B"/>
    <w:rsid w:val="00E74DEE"/>
    <w:rsid w:val="00E7588A"/>
    <w:rsid w:val="00E75CB0"/>
    <w:rsid w:val="00E75E21"/>
    <w:rsid w:val="00E76282"/>
    <w:rsid w:val="00E763CB"/>
    <w:rsid w:val="00E76588"/>
    <w:rsid w:val="00E768AF"/>
    <w:rsid w:val="00E76FC8"/>
    <w:rsid w:val="00E77251"/>
    <w:rsid w:val="00E772C4"/>
    <w:rsid w:val="00E77502"/>
    <w:rsid w:val="00E77B60"/>
    <w:rsid w:val="00E77FDC"/>
    <w:rsid w:val="00E80AFC"/>
    <w:rsid w:val="00E80B8E"/>
    <w:rsid w:val="00E80CE7"/>
    <w:rsid w:val="00E8149F"/>
    <w:rsid w:val="00E81726"/>
    <w:rsid w:val="00E81A72"/>
    <w:rsid w:val="00E81F1D"/>
    <w:rsid w:val="00E823AD"/>
    <w:rsid w:val="00E823B7"/>
    <w:rsid w:val="00E82AD9"/>
    <w:rsid w:val="00E830C1"/>
    <w:rsid w:val="00E83428"/>
    <w:rsid w:val="00E8359B"/>
    <w:rsid w:val="00E8397C"/>
    <w:rsid w:val="00E8399D"/>
    <w:rsid w:val="00E8462C"/>
    <w:rsid w:val="00E84E66"/>
    <w:rsid w:val="00E84F71"/>
    <w:rsid w:val="00E8526D"/>
    <w:rsid w:val="00E85529"/>
    <w:rsid w:val="00E85A63"/>
    <w:rsid w:val="00E85AEC"/>
    <w:rsid w:val="00E85CEE"/>
    <w:rsid w:val="00E85EC0"/>
    <w:rsid w:val="00E862F3"/>
    <w:rsid w:val="00E86308"/>
    <w:rsid w:val="00E863AA"/>
    <w:rsid w:val="00E866D3"/>
    <w:rsid w:val="00E868D0"/>
    <w:rsid w:val="00E877F6"/>
    <w:rsid w:val="00E87922"/>
    <w:rsid w:val="00E87E86"/>
    <w:rsid w:val="00E900E9"/>
    <w:rsid w:val="00E900F9"/>
    <w:rsid w:val="00E905F6"/>
    <w:rsid w:val="00E90D14"/>
    <w:rsid w:val="00E91740"/>
    <w:rsid w:val="00E917B0"/>
    <w:rsid w:val="00E91AC4"/>
    <w:rsid w:val="00E91D2F"/>
    <w:rsid w:val="00E9277D"/>
    <w:rsid w:val="00E929B8"/>
    <w:rsid w:val="00E92D52"/>
    <w:rsid w:val="00E935DC"/>
    <w:rsid w:val="00E93684"/>
    <w:rsid w:val="00E93D8C"/>
    <w:rsid w:val="00E942E1"/>
    <w:rsid w:val="00E94DFD"/>
    <w:rsid w:val="00E952A1"/>
    <w:rsid w:val="00E9671D"/>
    <w:rsid w:val="00E97167"/>
    <w:rsid w:val="00E9738B"/>
    <w:rsid w:val="00E97661"/>
    <w:rsid w:val="00E977E8"/>
    <w:rsid w:val="00E97971"/>
    <w:rsid w:val="00E97AA4"/>
    <w:rsid w:val="00EA0587"/>
    <w:rsid w:val="00EA0603"/>
    <w:rsid w:val="00EA0D51"/>
    <w:rsid w:val="00EA1091"/>
    <w:rsid w:val="00EA1302"/>
    <w:rsid w:val="00EA17DE"/>
    <w:rsid w:val="00EA191F"/>
    <w:rsid w:val="00EA1C67"/>
    <w:rsid w:val="00EA209F"/>
    <w:rsid w:val="00EA2320"/>
    <w:rsid w:val="00EA2C74"/>
    <w:rsid w:val="00EA3595"/>
    <w:rsid w:val="00EA3F7E"/>
    <w:rsid w:val="00EA4CE4"/>
    <w:rsid w:val="00EA4CF1"/>
    <w:rsid w:val="00EA4D6C"/>
    <w:rsid w:val="00EA4DC9"/>
    <w:rsid w:val="00EA52A2"/>
    <w:rsid w:val="00EA589A"/>
    <w:rsid w:val="00EA5905"/>
    <w:rsid w:val="00EA60BA"/>
    <w:rsid w:val="00EA6115"/>
    <w:rsid w:val="00EA6298"/>
    <w:rsid w:val="00EA6429"/>
    <w:rsid w:val="00EA67BF"/>
    <w:rsid w:val="00EA6DDB"/>
    <w:rsid w:val="00EA6E5A"/>
    <w:rsid w:val="00EA72CD"/>
    <w:rsid w:val="00EA7A71"/>
    <w:rsid w:val="00EB0578"/>
    <w:rsid w:val="00EB067F"/>
    <w:rsid w:val="00EB0885"/>
    <w:rsid w:val="00EB08E9"/>
    <w:rsid w:val="00EB09A5"/>
    <w:rsid w:val="00EB1098"/>
    <w:rsid w:val="00EB2353"/>
    <w:rsid w:val="00EB2D05"/>
    <w:rsid w:val="00EB31A8"/>
    <w:rsid w:val="00EB33D8"/>
    <w:rsid w:val="00EB3CAF"/>
    <w:rsid w:val="00EB42A5"/>
    <w:rsid w:val="00EB42F7"/>
    <w:rsid w:val="00EB4335"/>
    <w:rsid w:val="00EB4577"/>
    <w:rsid w:val="00EB4B46"/>
    <w:rsid w:val="00EB4C85"/>
    <w:rsid w:val="00EB4E38"/>
    <w:rsid w:val="00EB52B2"/>
    <w:rsid w:val="00EB568C"/>
    <w:rsid w:val="00EB573D"/>
    <w:rsid w:val="00EB5AAF"/>
    <w:rsid w:val="00EB5F23"/>
    <w:rsid w:val="00EB6143"/>
    <w:rsid w:val="00EB656E"/>
    <w:rsid w:val="00EB69CC"/>
    <w:rsid w:val="00EB6A94"/>
    <w:rsid w:val="00EB7A4C"/>
    <w:rsid w:val="00EC043A"/>
    <w:rsid w:val="00EC0554"/>
    <w:rsid w:val="00EC1044"/>
    <w:rsid w:val="00EC104F"/>
    <w:rsid w:val="00EC1616"/>
    <w:rsid w:val="00EC16A4"/>
    <w:rsid w:val="00EC1785"/>
    <w:rsid w:val="00EC1E89"/>
    <w:rsid w:val="00EC203B"/>
    <w:rsid w:val="00EC2109"/>
    <w:rsid w:val="00EC215D"/>
    <w:rsid w:val="00EC263A"/>
    <w:rsid w:val="00EC2EA2"/>
    <w:rsid w:val="00EC3010"/>
    <w:rsid w:val="00EC3900"/>
    <w:rsid w:val="00EC3B9E"/>
    <w:rsid w:val="00EC441E"/>
    <w:rsid w:val="00EC486D"/>
    <w:rsid w:val="00EC49C1"/>
    <w:rsid w:val="00EC4A3A"/>
    <w:rsid w:val="00EC4BFE"/>
    <w:rsid w:val="00EC500D"/>
    <w:rsid w:val="00EC5583"/>
    <w:rsid w:val="00EC55C2"/>
    <w:rsid w:val="00EC5AD3"/>
    <w:rsid w:val="00EC5DF1"/>
    <w:rsid w:val="00EC5F17"/>
    <w:rsid w:val="00EC619A"/>
    <w:rsid w:val="00EC62AF"/>
    <w:rsid w:val="00EC63A2"/>
    <w:rsid w:val="00EC67B7"/>
    <w:rsid w:val="00EC67C5"/>
    <w:rsid w:val="00EC69B9"/>
    <w:rsid w:val="00EC6C55"/>
    <w:rsid w:val="00EC6D56"/>
    <w:rsid w:val="00EC7C64"/>
    <w:rsid w:val="00EC7F21"/>
    <w:rsid w:val="00ED0488"/>
    <w:rsid w:val="00ED0590"/>
    <w:rsid w:val="00ED0B67"/>
    <w:rsid w:val="00ED0CAA"/>
    <w:rsid w:val="00ED1631"/>
    <w:rsid w:val="00ED195C"/>
    <w:rsid w:val="00ED1C2A"/>
    <w:rsid w:val="00ED2049"/>
    <w:rsid w:val="00ED2509"/>
    <w:rsid w:val="00ED38E1"/>
    <w:rsid w:val="00ED4BA0"/>
    <w:rsid w:val="00ED526A"/>
    <w:rsid w:val="00ED548C"/>
    <w:rsid w:val="00ED54CD"/>
    <w:rsid w:val="00ED5A52"/>
    <w:rsid w:val="00ED5DF6"/>
    <w:rsid w:val="00ED6368"/>
    <w:rsid w:val="00ED663B"/>
    <w:rsid w:val="00ED6765"/>
    <w:rsid w:val="00ED6AEE"/>
    <w:rsid w:val="00ED6E16"/>
    <w:rsid w:val="00ED7772"/>
    <w:rsid w:val="00ED7971"/>
    <w:rsid w:val="00EE042D"/>
    <w:rsid w:val="00EE0437"/>
    <w:rsid w:val="00EE08C1"/>
    <w:rsid w:val="00EE0DD6"/>
    <w:rsid w:val="00EE1412"/>
    <w:rsid w:val="00EE181F"/>
    <w:rsid w:val="00EE1FD1"/>
    <w:rsid w:val="00EE26AC"/>
    <w:rsid w:val="00EE3997"/>
    <w:rsid w:val="00EE3C4E"/>
    <w:rsid w:val="00EE4083"/>
    <w:rsid w:val="00EE4A75"/>
    <w:rsid w:val="00EE4DBA"/>
    <w:rsid w:val="00EE4EDE"/>
    <w:rsid w:val="00EE4FBC"/>
    <w:rsid w:val="00EE5006"/>
    <w:rsid w:val="00EE51D2"/>
    <w:rsid w:val="00EE530C"/>
    <w:rsid w:val="00EE56A5"/>
    <w:rsid w:val="00EE5807"/>
    <w:rsid w:val="00EE5B5A"/>
    <w:rsid w:val="00EE5F4D"/>
    <w:rsid w:val="00EE6A4B"/>
    <w:rsid w:val="00EE6C2A"/>
    <w:rsid w:val="00EE7060"/>
    <w:rsid w:val="00EE764E"/>
    <w:rsid w:val="00EE7CB0"/>
    <w:rsid w:val="00EE7D0A"/>
    <w:rsid w:val="00EF0336"/>
    <w:rsid w:val="00EF0976"/>
    <w:rsid w:val="00EF0A9B"/>
    <w:rsid w:val="00EF0B6A"/>
    <w:rsid w:val="00EF0CF1"/>
    <w:rsid w:val="00EF0DCD"/>
    <w:rsid w:val="00EF1218"/>
    <w:rsid w:val="00EF1633"/>
    <w:rsid w:val="00EF1CF7"/>
    <w:rsid w:val="00EF225B"/>
    <w:rsid w:val="00EF27C0"/>
    <w:rsid w:val="00EF2AAC"/>
    <w:rsid w:val="00EF2C5A"/>
    <w:rsid w:val="00EF2F1E"/>
    <w:rsid w:val="00EF313A"/>
    <w:rsid w:val="00EF32A8"/>
    <w:rsid w:val="00EF3565"/>
    <w:rsid w:val="00EF3BD4"/>
    <w:rsid w:val="00EF4595"/>
    <w:rsid w:val="00EF465C"/>
    <w:rsid w:val="00EF475C"/>
    <w:rsid w:val="00EF4A0C"/>
    <w:rsid w:val="00EF4B88"/>
    <w:rsid w:val="00EF4D11"/>
    <w:rsid w:val="00EF5AFB"/>
    <w:rsid w:val="00EF5C00"/>
    <w:rsid w:val="00EF5D63"/>
    <w:rsid w:val="00EF6DDE"/>
    <w:rsid w:val="00EF6EFD"/>
    <w:rsid w:val="00EF6FB9"/>
    <w:rsid w:val="00EF7242"/>
    <w:rsid w:val="00EF74C5"/>
    <w:rsid w:val="00EF7805"/>
    <w:rsid w:val="00EF78EC"/>
    <w:rsid w:val="00EF7D8A"/>
    <w:rsid w:val="00F00140"/>
    <w:rsid w:val="00F0046C"/>
    <w:rsid w:val="00F00EAC"/>
    <w:rsid w:val="00F0120A"/>
    <w:rsid w:val="00F01432"/>
    <w:rsid w:val="00F01570"/>
    <w:rsid w:val="00F01B64"/>
    <w:rsid w:val="00F01B91"/>
    <w:rsid w:val="00F01CE7"/>
    <w:rsid w:val="00F02C11"/>
    <w:rsid w:val="00F02F28"/>
    <w:rsid w:val="00F0321D"/>
    <w:rsid w:val="00F0325A"/>
    <w:rsid w:val="00F0335C"/>
    <w:rsid w:val="00F03B55"/>
    <w:rsid w:val="00F04069"/>
    <w:rsid w:val="00F0424C"/>
    <w:rsid w:val="00F04B8A"/>
    <w:rsid w:val="00F04D4A"/>
    <w:rsid w:val="00F04DB1"/>
    <w:rsid w:val="00F04FAB"/>
    <w:rsid w:val="00F0564E"/>
    <w:rsid w:val="00F06148"/>
    <w:rsid w:val="00F06241"/>
    <w:rsid w:val="00F06E83"/>
    <w:rsid w:val="00F071E9"/>
    <w:rsid w:val="00F07540"/>
    <w:rsid w:val="00F077DA"/>
    <w:rsid w:val="00F078FB"/>
    <w:rsid w:val="00F07E04"/>
    <w:rsid w:val="00F07E61"/>
    <w:rsid w:val="00F1011D"/>
    <w:rsid w:val="00F1029B"/>
    <w:rsid w:val="00F105AE"/>
    <w:rsid w:val="00F10DC7"/>
    <w:rsid w:val="00F10F08"/>
    <w:rsid w:val="00F11063"/>
    <w:rsid w:val="00F1109C"/>
    <w:rsid w:val="00F11481"/>
    <w:rsid w:val="00F118C1"/>
    <w:rsid w:val="00F11E5F"/>
    <w:rsid w:val="00F11E80"/>
    <w:rsid w:val="00F11F4B"/>
    <w:rsid w:val="00F1209B"/>
    <w:rsid w:val="00F124CC"/>
    <w:rsid w:val="00F12E09"/>
    <w:rsid w:val="00F1304A"/>
    <w:rsid w:val="00F134CA"/>
    <w:rsid w:val="00F13B3C"/>
    <w:rsid w:val="00F13E73"/>
    <w:rsid w:val="00F151F9"/>
    <w:rsid w:val="00F154A1"/>
    <w:rsid w:val="00F159F1"/>
    <w:rsid w:val="00F15BFD"/>
    <w:rsid w:val="00F16529"/>
    <w:rsid w:val="00F165F9"/>
    <w:rsid w:val="00F166BD"/>
    <w:rsid w:val="00F16A39"/>
    <w:rsid w:val="00F1726A"/>
    <w:rsid w:val="00F172C0"/>
    <w:rsid w:val="00F17D12"/>
    <w:rsid w:val="00F17D35"/>
    <w:rsid w:val="00F17F0B"/>
    <w:rsid w:val="00F216EC"/>
    <w:rsid w:val="00F21D5A"/>
    <w:rsid w:val="00F221AE"/>
    <w:rsid w:val="00F22903"/>
    <w:rsid w:val="00F234B9"/>
    <w:rsid w:val="00F2353D"/>
    <w:rsid w:val="00F23842"/>
    <w:rsid w:val="00F23C93"/>
    <w:rsid w:val="00F25339"/>
    <w:rsid w:val="00F25375"/>
    <w:rsid w:val="00F25CBF"/>
    <w:rsid w:val="00F2666B"/>
    <w:rsid w:val="00F26A52"/>
    <w:rsid w:val="00F26A8A"/>
    <w:rsid w:val="00F26B7F"/>
    <w:rsid w:val="00F274F8"/>
    <w:rsid w:val="00F279EF"/>
    <w:rsid w:val="00F27C24"/>
    <w:rsid w:val="00F27C31"/>
    <w:rsid w:val="00F27E0D"/>
    <w:rsid w:val="00F306D4"/>
    <w:rsid w:val="00F30886"/>
    <w:rsid w:val="00F30BEC"/>
    <w:rsid w:val="00F31038"/>
    <w:rsid w:val="00F31B05"/>
    <w:rsid w:val="00F32287"/>
    <w:rsid w:val="00F322AD"/>
    <w:rsid w:val="00F324A7"/>
    <w:rsid w:val="00F329AC"/>
    <w:rsid w:val="00F32A8A"/>
    <w:rsid w:val="00F32BFF"/>
    <w:rsid w:val="00F32F91"/>
    <w:rsid w:val="00F33574"/>
    <w:rsid w:val="00F336FA"/>
    <w:rsid w:val="00F33C1A"/>
    <w:rsid w:val="00F33D67"/>
    <w:rsid w:val="00F33F68"/>
    <w:rsid w:val="00F3409F"/>
    <w:rsid w:val="00F3520F"/>
    <w:rsid w:val="00F35C25"/>
    <w:rsid w:val="00F3640B"/>
    <w:rsid w:val="00F36B05"/>
    <w:rsid w:val="00F36C3C"/>
    <w:rsid w:val="00F36CFC"/>
    <w:rsid w:val="00F3774A"/>
    <w:rsid w:val="00F37957"/>
    <w:rsid w:val="00F37A07"/>
    <w:rsid w:val="00F37D45"/>
    <w:rsid w:val="00F37FA7"/>
    <w:rsid w:val="00F40091"/>
    <w:rsid w:val="00F4011C"/>
    <w:rsid w:val="00F4053F"/>
    <w:rsid w:val="00F407B0"/>
    <w:rsid w:val="00F40A92"/>
    <w:rsid w:val="00F4116F"/>
    <w:rsid w:val="00F411DE"/>
    <w:rsid w:val="00F4128F"/>
    <w:rsid w:val="00F419AD"/>
    <w:rsid w:val="00F41CB5"/>
    <w:rsid w:val="00F421A0"/>
    <w:rsid w:val="00F428F2"/>
    <w:rsid w:val="00F42A20"/>
    <w:rsid w:val="00F42D51"/>
    <w:rsid w:val="00F43225"/>
    <w:rsid w:val="00F43A92"/>
    <w:rsid w:val="00F43C3C"/>
    <w:rsid w:val="00F43E4E"/>
    <w:rsid w:val="00F4429C"/>
    <w:rsid w:val="00F44477"/>
    <w:rsid w:val="00F444DF"/>
    <w:rsid w:val="00F444E8"/>
    <w:rsid w:val="00F445B5"/>
    <w:rsid w:val="00F44701"/>
    <w:rsid w:val="00F44723"/>
    <w:rsid w:val="00F45093"/>
    <w:rsid w:val="00F45487"/>
    <w:rsid w:val="00F459A6"/>
    <w:rsid w:val="00F45B68"/>
    <w:rsid w:val="00F46457"/>
    <w:rsid w:val="00F46C7D"/>
    <w:rsid w:val="00F47233"/>
    <w:rsid w:val="00F47393"/>
    <w:rsid w:val="00F473CA"/>
    <w:rsid w:val="00F479BC"/>
    <w:rsid w:val="00F501C1"/>
    <w:rsid w:val="00F502F8"/>
    <w:rsid w:val="00F5046F"/>
    <w:rsid w:val="00F51004"/>
    <w:rsid w:val="00F513AE"/>
    <w:rsid w:val="00F519F6"/>
    <w:rsid w:val="00F52604"/>
    <w:rsid w:val="00F526E1"/>
    <w:rsid w:val="00F52C4A"/>
    <w:rsid w:val="00F52D44"/>
    <w:rsid w:val="00F53802"/>
    <w:rsid w:val="00F54777"/>
    <w:rsid w:val="00F54FD2"/>
    <w:rsid w:val="00F5503F"/>
    <w:rsid w:val="00F55107"/>
    <w:rsid w:val="00F55635"/>
    <w:rsid w:val="00F556D9"/>
    <w:rsid w:val="00F558CB"/>
    <w:rsid w:val="00F55B37"/>
    <w:rsid w:val="00F55E6F"/>
    <w:rsid w:val="00F564EB"/>
    <w:rsid w:val="00F56C0B"/>
    <w:rsid w:val="00F56C88"/>
    <w:rsid w:val="00F56C9D"/>
    <w:rsid w:val="00F56EA2"/>
    <w:rsid w:val="00F57483"/>
    <w:rsid w:val="00F576F0"/>
    <w:rsid w:val="00F57907"/>
    <w:rsid w:val="00F60470"/>
    <w:rsid w:val="00F60956"/>
    <w:rsid w:val="00F60A4E"/>
    <w:rsid w:val="00F60AF3"/>
    <w:rsid w:val="00F60CA9"/>
    <w:rsid w:val="00F60F83"/>
    <w:rsid w:val="00F60FBC"/>
    <w:rsid w:val="00F6143D"/>
    <w:rsid w:val="00F6154B"/>
    <w:rsid w:val="00F61EA7"/>
    <w:rsid w:val="00F628DA"/>
    <w:rsid w:val="00F62C1A"/>
    <w:rsid w:val="00F62C85"/>
    <w:rsid w:val="00F641EA"/>
    <w:rsid w:val="00F64BCA"/>
    <w:rsid w:val="00F65111"/>
    <w:rsid w:val="00F654F6"/>
    <w:rsid w:val="00F65642"/>
    <w:rsid w:val="00F65D97"/>
    <w:rsid w:val="00F6604C"/>
    <w:rsid w:val="00F66325"/>
    <w:rsid w:val="00F6635B"/>
    <w:rsid w:val="00F664FC"/>
    <w:rsid w:val="00F6690A"/>
    <w:rsid w:val="00F66990"/>
    <w:rsid w:val="00F66D1F"/>
    <w:rsid w:val="00F66DDB"/>
    <w:rsid w:val="00F66E82"/>
    <w:rsid w:val="00F67E19"/>
    <w:rsid w:val="00F7026C"/>
    <w:rsid w:val="00F7039E"/>
    <w:rsid w:val="00F70ADD"/>
    <w:rsid w:val="00F70F7F"/>
    <w:rsid w:val="00F711C9"/>
    <w:rsid w:val="00F71E2C"/>
    <w:rsid w:val="00F72122"/>
    <w:rsid w:val="00F72352"/>
    <w:rsid w:val="00F72402"/>
    <w:rsid w:val="00F72435"/>
    <w:rsid w:val="00F72ABC"/>
    <w:rsid w:val="00F72D60"/>
    <w:rsid w:val="00F72FD1"/>
    <w:rsid w:val="00F73109"/>
    <w:rsid w:val="00F73894"/>
    <w:rsid w:val="00F738A2"/>
    <w:rsid w:val="00F73ACC"/>
    <w:rsid w:val="00F73FEF"/>
    <w:rsid w:val="00F74700"/>
    <w:rsid w:val="00F74DCF"/>
    <w:rsid w:val="00F74E72"/>
    <w:rsid w:val="00F75B21"/>
    <w:rsid w:val="00F75DD2"/>
    <w:rsid w:val="00F7613A"/>
    <w:rsid w:val="00F763BB"/>
    <w:rsid w:val="00F7647C"/>
    <w:rsid w:val="00F766FD"/>
    <w:rsid w:val="00F76906"/>
    <w:rsid w:val="00F76CF1"/>
    <w:rsid w:val="00F774D0"/>
    <w:rsid w:val="00F7785D"/>
    <w:rsid w:val="00F80104"/>
    <w:rsid w:val="00F80F76"/>
    <w:rsid w:val="00F81219"/>
    <w:rsid w:val="00F81372"/>
    <w:rsid w:val="00F813D2"/>
    <w:rsid w:val="00F818C7"/>
    <w:rsid w:val="00F81C1D"/>
    <w:rsid w:val="00F827E8"/>
    <w:rsid w:val="00F82B5F"/>
    <w:rsid w:val="00F82BEA"/>
    <w:rsid w:val="00F831D8"/>
    <w:rsid w:val="00F831E0"/>
    <w:rsid w:val="00F8323B"/>
    <w:rsid w:val="00F83891"/>
    <w:rsid w:val="00F8399C"/>
    <w:rsid w:val="00F83C61"/>
    <w:rsid w:val="00F83CD1"/>
    <w:rsid w:val="00F844DE"/>
    <w:rsid w:val="00F84600"/>
    <w:rsid w:val="00F846A6"/>
    <w:rsid w:val="00F8473C"/>
    <w:rsid w:val="00F84903"/>
    <w:rsid w:val="00F855DC"/>
    <w:rsid w:val="00F857A8"/>
    <w:rsid w:val="00F857F0"/>
    <w:rsid w:val="00F8590F"/>
    <w:rsid w:val="00F85DAA"/>
    <w:rsid w:val="00F8601E"/>
    <w:rsid w:val="00F86541"/>
    <w:rsid w:val="00F8659B"/>
    <w:rsid w:val="00F86ACA"/>
    <w:rsid w:val="00F87409"/>
    <w:rsid w:val="00F8753F"/>
    <w:rsid w:val="00F87563"/>
    <w:rsid w:val="00F87FCB"/>
    <w:rsid w:val="00F90238"/>
    <w:rsid w:val="00F902AA"/>
    <w:rsid w:val="00F908AB"/>
    <w:rsid w:val="00F90DD0"/>
    <w:rsid w:val="00F90E25"/>
    <w:rsid w:val="00F90E8A"/>
    <w:rsid w:val="00F90F54"/>
    <w:rsid w:val="00F91592"/>
    <w:rsid w:val="00F91D89"/>
    <w:rsid w:val="00F92240"/>
    <w:rsid w:val="00F92286"/>
    <w:rsid w:val="00F929D4"/>
    <w:rsid w:val="00F92B73"/>
    <w:rsid w:val="00F92FA4"/>
    <w:rsid w:val="00F92FAF"/>
    <w:rsid w:val="00F93D16"/>
    <w:rsid w:val="00F93ED4"/>
    <w:rsid w:val="00F9518C"/>
    <w:rsid w:val="00F9532D"/>
    <w:rsid w:val="00F953F6"/>
    <w:rsid w:val="00F956DC"/>
    <w:rsid w:val="00F95958"/>
    <w:rsid w:val="00F95C12"/>
    <w:rsid w:val="00F964F4"/>
    <w:rsid w:val="00F96B01"/>
    <w:rsid w:val="00F96D79"/>
    <w:rsid w:val="00F96F40"/>
    <w:rsid w:val="00F96F75"/>
    <w:rsid w:val="00F97242"/>
    <w:rsid w:val="00F97F26"/>
    <w:rsid w:val="00FA0E1D"/>
    <w:rsid w:val="00FA16EF"/>
    <w:rsid w:val="00FA1A49"/>
    <w:rsid w:val="00FA218E"/>
    <w:rsid w:val="00FA2238"/>
    <w:rsid w:val="00FA263F"/>
    <w:rsid w:val="00FA266E"/>
    <w:rsid w:val="00FA2A95"/>
    <w:rsid w:val="00FA3138"/>
    <w:rsid w:val="00FA337C"/>
    <w:rsid w:val="00FA3598"/>
    <w:rsid w:val="00FA370B"/>
    <w:rsid w:val="00FA3AFB"/>
    <w:rsid w:val="00FA3B77"/>
    <w:rsid w:val="00FA3BC1"/>
    <w:rsid w:val="00FA3FA1"/>
    <w:rsid w:val="00FA44CB"/>
    <w:rsid w:val="00FA523B"/>
    <w:rsid w:val="00FA52DD"/>
    <w:rsid w:val="00FA563E"/>
    <w:rsid w:val="00FA5A81"/>
    <w:rsid w:val="00FA5D9A"/>
    <w:rsid w:val="00FA65AB"/>
    <w:rsid w:val="00FA6737"/>
    <w:rsid w:val="00FA685A"/>
    <w:rsid w:val="00FA69E8"/>
    <w:rsid w:val="00FA6AA9"/>
    <w:rsid w:val="00FA6B2E"/>
    <w:rsid w:val="00FA6D0A"/>
    <w:rsid w:val="00FA7610"/>
    <w:rsid w:val="00FA7688"/>
    <w:rsid w:val="00FA7827"/>
    <w:rsid w:val="00FB0A15"/>
    <w:rsid w:val="00FB1160"/>
    <w:rsid w:val="00FB11A0"/>
    <w:rsid w:val="00FB128E"/>
    <w:rsid w:val="00FB1321"/>
    <w:rsid w:val="00FB14BC"/>
    <w:rsid w:val="00FB1544"/>
    <w:rsid w:val="00FB1815"/>
    <w:rsid w:val="00FB1F15"/>
    <w:rsid w:val="00FB29C2"/>
    <w:rsid w:val="00FB2AFF"/>
    <w:rsid w:val="00FB31C3"/>
    <w:rsid w:val="00FB3226"/>
    <w:rsid w:val="00FB33D4"/>
    <w:rsid w:val="00FB35AD"/>
    <w:rsid w:val="00FB396B"/>
    <w:rsid w:val="00FB4097"/>
    <w:rsid w:val="00FB4136"/>
    <w:rsid w:val="00FB44AE"/>
    <w:rsid w:val="00FB48AB"/>
    <w:rsid w:val="00FB4D78"/>
    <w:rsid w:val="00FB4D9B"/>
    <w:rsid w:val="00FB4FE2"/>
    <w:rsid w:val="00FB5182"/>
    <w:rsid w:val="00FB5498"/>
    <w:rsid w:val="00FB5667"/>
    <w:rsid w:val="00FB571F"/>
    <w:rsid w:val="00FB586B"/>
    <w:rsid w:val="00FB5993"/>
    <w:rsid w:val="00FB5D68"/>
    <w:rsid w:val="00FB60E2"/>
    <w:rsid w:val="00FB69B7"/>
    <w:rsid w:val="00FB6AAC"/>
    <w:rsid w:val="00FB74F4"/>
    <w:rsid w:val="00FB7DB2"/>
    <w:rsid w:val="00FC0267"/>
    <w:rsid w:val="00FC0DBF"/>
    <w:rsid w:val="00FC19E7"/>
    <w:rsid w:val="00FC2137"/>
    <w:rsid w:val="00FC3072"/>
    <w:rsid w:val="00FC3438"/>
    <w:rsid w:val="00FC374F"/>
    <w:rsid w:val="00FC3799"/>
    <w:rsid w:val="00FC3B38"/>
    <w:rsid w:val="00FC495F"/>
    <w:rsid w:val="00FC4C03"/>
    <w:rsid w:val="00FC4C04"/>
    <w:rsid w:val="00FC539B"/>
    <w:rsid w:val="00FC5A01"/>
    <w:rsid w:val="00FC5AA3"/>
    <w:rsid w:val="00FC5BD0"/>
    <w:rsid w:val="00FC6262"/>
    <w:rsid w:val="00FC693C"/>
    <w:rsid w:val="00FC6AEE"/>
    <w:rsid w:val="00FC6CA3"/>
    <w:rsid w:val="00FC6D9F"/>
    <w:rsid w:val="00FC6E0E"/>
    <w:rsid w:val="00FC7689"/>
    <w:rsid w:val="00FC7EC1"/>
    <w:rsid w:val="00FD0648"/>
    <w:rsid w:val="00FD06D1"/>
    <w:rsid w:val="00FD0719"/>
    <w:rsid w:val="00FD0A26"/>
    <w:rsid w:val="00FD0A4F"/>
    <w:rsid w:val="00FD0B9A"/>
    <w:rsid w:val="00FD12D5"/>
    <w:rsid w:val="00FD1AAF"/>
    <w:rsid w:val="00FD1E4D"/>
    <w:rsid w:val="00FD20D6"/>
    <w:rsid w:val="00FD23EF"/>
    <w:rsid w:val="00FD24FE"/>
    <w:rsid w:val="00FD29E4"/>
    <w:rsid w:val="00FD2A10"/>
    <w:rsid w:val="00FD2A22"/>
    <w:rsid w:val="00FD30E9"/>
    <w:rsid w:val="00FD3178"/>
    <w:rsid w:val="00FD3426"/>
    <w:rsid w:val="00FD34B4"/>
    <w:rsid w:val="00FD3548"/>
    <w:rsid w:val="00FD37CD"/>
    <w:rsid w:val="00FD3B7C"/>
    <w:rsid w:val="00FD3E0B"/>
    <w:rsid w:val="00FD406A"/>
    <w:rsid w:val="00FD4722"/>
    <w:rsid w:val="00FD51C4"/>
    <w:rsid w:val="00FD5287"/>
    <w:rsid w:val="00FD542E"/>
    <w:rsid w:val="00FD584C"/>
    <w:rsid w:val="00FD5D94"/>
    <w:rsid w:val="00FD5E9B"/>
    <w:rsid w:val="00FD63AE"/>
    <w:rsid w:val="00FD6630"/>
    <w:rsid w:val="00FD687B"/>
    <w:rsid w:val="00FD6D0F"/>
    <w:rsid w:val="00FD7338"/>
    <w:rsid w:val="00FE02A8"/>
    <w:rsid w:val="00FE03A8"/>
    <w:rsid w:val="00FE08C3"/>
    <w:rsid w:val="00FE128B"/>
    <w:rsid w:val="00FE1694"/>
    <w:rsid w:val="00FE18DD"/>
    <w:rsid w:val="00FE1917"/>
    <w:rsid w:val="00FE1D00"/>
    <w:rsid w:val="00FE1DBB"/>
    <w:rsid w:val="00FE26B5"/>
    <w:rsid w:val="00FE2FDF"/>
    <w:rsid w:val="00FE3902"/>
    <w:rsid w:val="00FE3E97"/>
    <w:rsid w:val="00FE4072"/>
    <w:rsid w:val="00FE41D6"/>
    <w:rsid w:val="00FE4DD8"/>
    <w:rsid w:val="00FE4EDD"/>
    <w:rsid w:val="00FE5035"/>
    <w:rsid w:val="00FE53A2"/>
    <w:rsid w:val="00FE54D0"/>
    <w:rsid w:val="00FE55EA"/>
    <w:rsid w:val="00FE5C87"/>
    <w:rsid w:val="00FE5F0A"/>
    <w:rsid w:val="00FE5F87"/>
    <w:rsid w:val="00FE640C"/>
    <w:rsid w:val="00FE6798"/>
    <w:rsid w:val="00FE6B89"/>
    <w:rsid w:val="00FE6CE1"/>
    <w:rsid w:val="00FE6E5A"/>
    <w:rsid w:val="00FE751B"/>
    <w:rsid w:val="00FE77B8"/>
    <w:rsid w:val="00FE79D5"/>
    <w:rsid w:val="00FE7CF0"/>
    <w:rsid w:val="00FE7EB3"/>
    <w:rsid w:val="00FE7EC2"/>
    <w:rsid w:val="00FF07C3"/>
    <w:rsid w:val="00FF116B"/>
    <w:rsid w:val="00FF1FB7"/>
    <w:rsid w:val="00FF2243"/>
    <w:rsid w:val="00FF251E"/>
    <w:rsid w:val="00FF2706"/>
    <w:rsid w:val="00FF2D6D"/>
    <w:rsid w:val="00FF2E3D"/>
    <w:rsid w:val="00FF3537"/>
    <w:rsid w:val="00FF3734"/>
    <w:rsid w:val="00FF3BA8"/>
    <w:rsid w:val="00FF400F"/>
    <w:rsid w:val="00FF434E"/>
    <w:rsid w:val="00FF44A5"/>
    <w:rsid w:val="00FF4640"/>
    <w:rsid w:val="00FF4895"/>
    <w:rsid w:val="00FF5154"/>
    <w:rsid w:val="00FF5506"/>
    <w:rsid w:val="00FF5686"/>
    <w:rsid w:val="00FF5E7C"/>
    <w:rsid w:val="00FF5EBD"/>
    <w:rsid w:val="00FF610E"/>
    <w:rsid w:val="00FF6515"/>
    <w:rsid w:val="00FF6921"/>
    <w:rsid w:val="00FF6C9B"/>
    <w:rsid w:val="00FF745A"/>
    <w:rsid w:val="00FF75A8"/>
    <w:rsid w:val="00FF7B91"/>
    <w:rsid w:val="01E11C3A"/>
    <w:rsid w:val="020531A4"/>
    <w:rsid w:val="02243951"/>
    <w:rsid w:val="02BB2E31"/>
    <w:rsid w:val="02C67B7D"/>
    <w:rsid w:val="032558AB"/>
    <w:rsid w:val="03F36308"/>
    <w:rsid w:val="04C36291"/>
    <w:rsid w:val="059E36F3"/>
    <w:rsid w:val="06AB256C"/>
    <w:rsid w:val="06B31420"/>
    <w:rsid w:val="08345FF5"/>
    <w:rsid w:val="083A51B0"/>
    <w:rsid w:val="08767BD3"/>
    <w:rsid w:val="08A77585"/>
    <w:rsid w:val="09A1314D"/>
    <w:rsid w:val="09FB7366"/>
    <w:rsid w:val="0A04221C"/>
    <w:rsid w:val="0A3A3F77"/>
    <w:rsid w:val="0A560D2F"/>
    <w:rsid w:val="0A571E72"/>
    <w:rsid w:val="0B4E7969"/>
    <w:rsid w:val="0B867103"/>
    <w:rsid w:val="0B875353"/>
    <w:rsid w:val="0BA56A04"/>
    <w:rsid w:val="0BB93306"/>
    <w:rsid w:val="0BC1638D"/>
    <w:rsid w:val="0D6D128A"/>
    <w:rsid w:val="0F567396"/>
    <w:rsid w:val="0FBD6FC9"/>
    <w:rsid w:val="100729BD"/>
    <w:rsid w:val="10192EC5"/>
    <w:rsid w:val="10B1077E"/>
    <w:rsid w:val="10F16C99"/>
    <w:rsid w:val="12777691"/>
    <w:rsid w:val="127E6D86"/>
    <w:rsid w:val="128F06FD"/>
    <w:rsid w:val="13FA2F85"/>
    <w:rsid w:val="145E0C1D"/>
    <w:rsid w:val="14995C41"/>
    <w:rsid w:val="14BE346A"/>
    <w:rsid w:val="151C5656"/>
    <w:rsid w:val="152359C3"/>
    <w:rsid w:val="15916DD0"/>
    <w:rsid w:val="16445BF1"/>
    <w:rsid w:val="165322D8"/>
    <w:rsid w:val="16545A4F"/>
    <w:rsid w:val="170C344F"/>
    <w:rsid w:val="178070FD"/>
    <w:rsid w:val="17F11DA8"/>
    <w:rsid w:val="18F30F3D"/>
    <w:rsid w:val="19B01D21"/>
    <w:rsid w:val="1A5477D9"/>
    <w:rsid w:val="1AB23A71"/>
    <w:rsid w:val="1AE968D2"/>
    <w:rsid w:val="1B2014BF"/>
    <w:rsid w:val="1C811B0F"/>
    <w:rsid w:val="1CA522C0"/>
    <w:rsid w:val="1CDB1E2E"/>
    <w:rsid w:val="1D7D1214"/>
    <w:rsid w:val="1D8D218F"/>
    <w:rsid w:val="1DCC5F20"/>
    <w:rsid w:val="201E1C07"/>
    <w:rsid w:val="20244E58"/>
    <w:rsid w:val="20D342AA"/>
    <w:rsid w:val="20FE6665"/>
    <w:rsid w:val="21A030E5"/>
    <w:rsid w:val="22B831B5"/>
    <w:rsid w:val="237920D6"/>
    <w:rsid w:val="24600885"/>
    <w:rsid w:val="24730DB4"/>
    <w:rsid w:val="24774765"/>
    <w:rsid w:val="24786F1A"/>
    <w:rsid w:val="27E47234"/>
    <w:rsid w:val="28A30E9D"/>
    <w:rsid w:val="28C74374"/>
    <w:rsid w:val="28D64DCE"/>
    <w:rsid w:val="290B77F3"/>
    <w:rsid w:val="291458F7"/>
    <w:rsid w:val="291A4434"/>
    <w:rsid w:val="291A7D1A"/>
    <w:rsid w:val="2A0D657B"/>
    <w:rsid w:val="2A5A37DD"/>
    <w:rsid w:val="2AB303AA"/>
    <w:rsid w:val="2B1517CD"/>
    <w:rsid w:val="2B276439"/>
    <w:rsid w:val="2B6F18D5"/>
    <w:rsid w:val="2B8B76FF"/>
    <w:rsid w:val="2BBE5228"/>
    <w:rsid w:val="2BDD7930"/>
    <w:rsid w:val="2BF51305"/>
    <w:rsid w:val="2BFF5D1B"/>
    <w:rsid w:val="2CFE2B46"/>
    <w:rsid w:val="2D7D3FBE"/>
    <w:rsid w:val="2DFD44B7"/>
    <w:rsid w:val="2E3436CC"/>
    <w:rsid w:val="2ECD4F05"/>
    <w:rsid w:val="2EE97857"/>
    <w:rsid w:val="2EFD03CC"/>
    <w:rsid w:val="2F2A6C72"/>
    <w:rsid w:val="302A5A00"/>
    <w:rsid w:val="30CF0188"/>
    <w:rsid w:val="31692CF6"/>
    <w:rsid w:val="3183186B"/>
    <w:rsid w:val="32340DB8"/>
    <w:rsid w:val="32D81743"/>
    <w:rsid w:val="33982716"/>
    <w:rsid w:val="349C48BF"/>
    <w:rsid w:val="350A761F"/>
    <w:rsid w:val="353F1F4D"/>
    <w:rsid w:val="3639699D"/>
    <w:rsid w:val="36F23DEC"/>
    <w:rsid w:val="379E46E5"/>
    <w:rsid w:val="37DF742A"/>
    <w:rsid w:val="37FA617F"/>
    <w:rsid w:val="38A30A45"/>
    <w:rsid w:val="392C4AB5"/>
    <w:rsid w:val="39CC42E8"/>
    <w:rsid w:val="3A337E96"/>
    <w:rsid w:val="3AAC4BD9"/>
    <w:rsid w:val="3B042080"/>
    <w:rsid w:val="3B1F2605"/>
    <w:rsid w:val="3B331C0C"/>
    <w:rsid w:val="3B6A39B8"/>
    <w:rsid w:val="3C5207B8"/>
    <w:rsid w:val="3C6F3118"/>
    <w:rsid w:val="3D2D7451"/>
    <w:rsid w:val="3DBB413B"/>
    <w:rsid w:val="3DCB1735"/>
    <w:rsid w:val="3E2E677D"/>
    <w:rsid w:val="3EAD487E"/>
    <w:rsid w:val="3F567F50"/>
    <w:rsid w:val="3F670A11"/>
    <w:rsid w:val="401B184F"/>
    <w:rsid w:val="40A6476D"/>
    <w:rsid w:val="40C15F0C"/>
    <w:rsid w:val="40C63523"/>
    <w:rsid w:val="41036525"/>
    <w:rsid w:val="41200C5E"/>
    <w:rsid w:val="41774E42"/>
    <w:rsid w:val="424879BD"/>
    <w:rsid w:val="42512046"/>
    <w:rsid w:val="427261A5"/>
    <w:rsid w:val="42B43694"/>
    <w:rsid w:val="43207677"/>
    <w:rsid w:val="43CA597D"/>
    <w:rsid w:val="43EF4B3E"/>
    <w:rsid w:val="45632313"/>
    <w:rsid w:val="45DE5BB4"/>
    <w:rsid w:val="4629258A"/>
    <w:rsid w:val="465143D8"/>
    <w:rsid w:val="466940EE"/>
    <w:rsid w:val="467D28D5"/>
    <w:rsid w:val="4695561C"/>
    <w:rsid w:val="46F52E39"/>
    <w:rsid w:val="47846478"/>
    <w:rsid w:val="47947ED7"/>
    <w:rsid w:val="47BE388F"/>
    <w:rsid w:val="482F688A"/>
    <w:rsid w:val="48A64C5F"/>
    <w:rsid w:val="49227764"/>
    <w:rsid w:val="49380D36"/>
    <w:rsid w:val="49E705D6"/>
    <w:rsid w:val="49F7474D"/>
    <w:rsid w:val="4A3B0ADD"/>
    <w:rsid w:val="4A7C1F5E"/>
    <w:rsid w:val="4AF54CB9"/>
    <w:rsid w:val="4B307BF4"/>
    <w:rsid w:val="4B4E06F9"/>
    <w:rsid w:val="4B687F5B"/>
    <w:rsid w:val="4D225F85"/>
    <w:rsid w:val="4D23359C"/>
    <w:rsid w:val="4D8E03AE"/>
    <w:rsid w:val="4DEA6AA2"/>
    <w:rsid w:val="4E8938D8"/>
    <w:rsid w:val="4F766769"/>
    <w:rsid w:val="50311835"/>
    <w:rsid w:val="507C59AC"/>
    <w:rsid w:val="50A7754E"/>
    <w:rsid w:val="50D643AB"/>
    <w:rsid w:val="50DD17B8"/>
    <w:rsid w:val="51C85281"/>
    <w:rsid w:val="522C72C3"/>
    <w:rsid w:val="528E426D"/>
    <w:rsid w:val="531401FE"/>
    <w:rsid w:val="539B25ED"/>
    <w:rsid w:val="53BC2C8F"/>
    <w:rsid w:val="54112C0C"/>
    <w:rsid w:val="54285EBF"/>
    <w:rsid w:val="54C76671"/>
    <w:rsid w:val="550270C7"/>
    <w:rsid w:val="560E03C2"/>
    <w:rsid w:val="570003CC"/>
    <w:rsid w:val="58BD5BDC"/>
    <w:rsid w:val="590B3BC9"/>
    <w:rsid w:val="5B6A1223"/>
    <w:rsid w:val="5BE96A18"/>
    <w:rsid w:val="5C64301A"/>
    <w:rsid w:val="5C913BE7"/>
    <w:rsid w:val="5CE458CA"/>
    <w:rsid w:val="5CEE7E81"/>
    <w:rsid w:val="5D752101"/>
    <w:rsid w:val="5DDD54D0"/>
    <w:rsid w:val="5E3C1C92"/>
    <w:rsid w:val="5F132D32"/>
    <w:rsid w:val="5FD62C69"/>
    <w:rsid w:val="5FFB68ED"/>
    <w:rsid w:val="60A0417B"/>
    <w:rsid w:val="60E60B56"/>
    <w:rsid w:val="61137A97"/>
    <w:rsid w:val="612D1C31"/>
    <w:rsid w:val="6166248C"/>
    <w:rsid w:val="61D92C5E"/>
    <w:rsid w:val="636D06F5"/>
    <w:rsid w:val="63790315"/>
    <w:rsid w:val="63A848C4"/>
    <w:rsid w:val="641F4158"/>
    <w:rsid w:val="6437144D"/>
    <w:rsid w:val="646B26B9"/>
    <w:rsid w:val="64A60B9F"/>
    <w:rsid w:val="64A97E58"/>
    <w:rsid w:val="65470D3C"/>
    <w:rsid w:val="658832E0"/>
    <w:rsid w:val="65EC10C6"/>
    <w:rsid w:val="66213C5D"/>
    <w:rsid w:val="662810B4"/>
    <w:rsid w:val="66B655CD"/>
    <w:rsid w:val="67944AE4"/>
    <w:rsid w:val="67A11B51"/>
    <w:rsid w:val="67F719E3"/>
    <w:rsid w:val="68232E85"/>
    <w:rsid w:val="682A79D5"/>
    <w:rsid w:val="683D1CDF"/>
    <w:rsid w:val="692C3B2F"/>
    <w:rsid w:val="695842CC"/>
    <w:rsid w:val="696F474E"/>
    <w:rsid w:val="699B4C9D"/>
    <w:rsid w:val="6A0665BA"/>
    <w:rsid w:val="6A0D45D1"/>
    <w:rsid w:val="6A5E68E0"/>
    <w:rsid w:val="6A8E62F4"/>
    <w:rsid w:val="6AE723D6"/>
    <w:rsid w:val="6AF458A9"/>
    <w:rsid w:val="6B1031B7"/>
    <w:rsid w:val="6BAE7BA3"/>
    <w:rsid w:val="6C3D64DF"/>
    <w:rsid w:val="6C676C46"/>
    <w:rsid w:val="6CE46DB3"/>
    <w:rsid w:val="6D6A5AEC"/>
    <w:rsid w:val="6D8E6C32"/>
    <w:rsid w:val="6E213A2A"/>
    <w:rsid w:val="6E34796C"/>
    <w:rsid w:val="6E6F56C5"/>
    <w:rsid w:val="6E9F158A"/>
    <w:rsid w:val="6EEC6AC2"/>
    <w:rsid w:val="6F241583"/>
    <w:rsid w:val="6F8C7562"/>
    <w:rsid w:val="6F97125C"/>
    <w:rsid w:val="7046527E"/>
    <w:rsid w:val="70553DF8"/>
    <w:rsid w:val="70825BF9"/>
    <w:rsid w:val="70D7566B"/>
    <w:rsid w:val="70F745F5"/>
    <w:rsid w:val="712F289B"/>
    <w:rsid w:val="71EC253A"/>
    <w:rsid w:val="721C4A9F"/>
    <w:rsid w:val="73595954"/>
    <w:rsid w:val="740551C4"/>
    <w:rsid w:val="740F250F"/>
    <w:rsid w:val="744C3F3F"/>
    <w:rsid w:val="74EB4D2A"/>
    <w:rsid w:val="74F3461E"/>
    <w:rsid w:val="75F20A95"/>
    <w:rsid w:val="76B92C06"/>
    <w:rsid w:val="76BD3590"/>
    <w:rsid w:val="784441FF"/>
    <w:rsid w:val="78C30E55"/>
    <w:rsid w:val="79224DC2"/>
    <w:rsid w:val="79843D42"/>
    <w:rsid w:val="79C618C2"/>
    <w:rsid w:val="79CB1296"/>
    <w:rsid w:val="7A00361B"/>
    <w:rsid w:val="7A0667FB"/>
    <w:rsid w:val="7A1001C8"/>
    <w:rsid w:val="7A3A3DC9"/>
    <w:rsid w:val="7B1D1075"/>
    <w:rsid w:val="7B811154"/>
    <w:rsid w:val="7BC42557"/>
    <w:rsid w:val="7DDF11A4"/>
    <w:rsid w:val="7DE03890"/>
    <w:rsid w:val="7DE525EE"/>
    <w:rsid w:val="7DE900BA"/>
    <w:rsid w:val="7E1F5A45"/>
    <w:rsid w:val="7E706900"/>
    <w:rsid w:val="7E8D30E5"/>
    <w:rsid w:val="7F0030C0"/>
    <w:rsid w:val="7F272E03"/>
    <w:rsid w:val="7F9D4566"/>
    <w:rsid w:val="7FF01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7"/>
    <w:qFormat/>
    <w:uiPriority w:val="9"/>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48"/>
    <w:qFormat/>
    <w:uiPriority w:val="0"/>
    <w:pPr>
      <w:keepNext/>
      <w:keepLines/>
      <w:spacing w:before="260" w:after="260" w:line="416" w:lineRule="auto"/>
      <w:outlineLvl w:val="2"/>
    </w:pPr>
    <w:rPr>
      <w:rFonts w:ascii="Calibri" w:hAnsi="Calibri"/>
      <w:b/>
      <w:bCs/>
      <w:sz w:val="32"/>
      <w:szCs w:val="32"/>
    </w:rPr>
  </w:style>
  <w:style w:type="paragraph" w:styleId="7">
    <w:name w:val="heading 4"/>
    <w:basedOn w:val="1"/>
    <w:next w:val="1"/>
    <w:link w:val="49"/>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8">
    <w:name w:val="heading 5"/>
    <w:basedOn w:val="1"/>
    <w:next w:val="9"/>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qFormat/>
    <w:uiPriority w:val="0"/>
    <w:pPr>
      <w:keepNext/>
      <w:keepLines/>
      <w:numPr>
        <w:ilvl w:val="8"/>
        <w:numId w:val="1"/>
      </w:numPr>
      <w:spacing w:before="240" w:after="64" w:line="320" w:lineRule="auto"/>
      <w:outlineLvl w:val="8"/>
    </w:pPr>
    <w:rPr>
      <w:rFonts w:ascii="Arial" w:hAnsi="Arial" w:eastAsia="黑体"/>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link w:val="56"/>
    <w:qFormat/>
    <w:uiPriority w:val="0"/>
    <w:pPr>
      <w:spacing w:after="120" w:line="240" w:lineRule="auto"/>
      <w:ind w:firstLine="420" w:firstLineChars="100"/>
    </w:pPr>
    <w:rPr>
      <w:sz w:val="21"/>
    </w:rPr>
  </w:style>
  <w:style w:type="paragraph" w:styleId="3">
    <w:name w:val="Body Text"/>
    <w:basedOn w:val="1"/>
    <w:link w:val="51"/>
    <w:qFormat/>
    <w:uiPriority w:val="0"/>
    <w:pPr>
      <w:spacing w:line="380" w:lineRule="exact"/>
    </w:pPr>
    <w:rPr>
      <w:sz w:val="24"/>
    </w:rPr>
  </w:style>
  <w:style w:type="paragraph" w:styleId="9">
    <w:name w:val="Normal Indent"/>
    <w:basedOn w:val="1"/>
    <w:link w:val="50"/>
    <w:qFormat/>
    <w:uiPriority w:val="0"/>
    <w:pPr>
      <w:ind w:firstLine="420"/>
    </w:pPr>
    <w:rPr>
      <w:szCs w:val="20"/>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semiHidden/>
    <w:qFormat/>
    <w:uiPriority w:val="0"/>
    <w:pPr>
      <w:shd w:val="clear" w:color="auto" w:fill="000080"/>
    </w:pPr>
  </w:style>
  <w:style w:type="paragraph" w:styleId="18">
    <w:name w:val="annotation text"/>
    <w:basedOn w:val="1"/>
    <w:qFormat/>
    <w:uiPriority w:val="0"/>
    <w:pPr>
      <w:jc w:val="left"/>
    </w:pPr>
  </w:style>
  <w:style w:type="paragraph" w:styleId="19">
    <w:name w:val="Body Text 3"/>
    <w:basedOn w:val="1"/>
    <w:qFormat/>
    <w:uiPriority w:val="0"/>
    <w:pPr>
      <w:spacing w:line="500" w:lineRule="exact"/>
    </w:pPr>
    <w:rPr>
      <w:b/>
      <w:bCs/>
      <w:sz w:val="24"/>
    </w:rPr>
  </w:style>
  <w:style w:type="paragraph" w:styleId="20">
    <w:name w:val="Body Text Indent"/>
    <w:basedOn w:val="1"/>
    <w:link w:val="52"/>
    <w:qFormat/>
    <w:uiPriority w:val="0"/>
    <w:pPr>
      <w:ind w:firstLine="830" w:firstLineChars="352"/>
    </w:pPr>
    <w:rPr>
      <w:rFonts w:ascii="仿宋_GB2312" w:eastAsia="仿宋_GB2312"/>
      <w:sz w:val="32"/>
      <w:szCs w:val="20"/>
    </w:rPr>
  </w:style>
  <w:style w:type="paragraph" w:styleId="21">
    <w:name w:val="List Number 3"/>
    <w:basedOn w:val="1"/>
    <w:qFormat/>
    <w:uiPriority w:val="0"/>
    <w:pPr>
      <w:numPr>
        <w:ilvl w:val="0"/>
        <w:numId w:val="1"/>
      </w:numPr>
      <w:tabs>
        <w:tab w:val="left" w:pos="1200"/>
        <w:tab w:val="clear" w:pos="360"/>
      </w:tabs>
    </w:pPr>
  </w:style>
  <w:style w:type="paragraph" w:styleId="22">
    <w:name w:val="List 2"/>
    <w:basedOn w:val="1"/>
    <w:qFormat/>
    <w:uiPriority w:val="0"/>
    <w:pPr>
      <w:ind w:left="100" w:leftChars="200" w:hanging="200" w:hangingChars="200"/>
    </w:pPr>
    <w:rPr>
      <w:sz w:val="28"/>
    </w:rPr>
  </w:style>
  <w:style w:type="paragraph" w:styleId="23">
    <w:name w:val="List Bullet 2"/>
    <w:basedOn w:val="1"/>
    <w:next w:val="24"/>
    <w:qFormat/>
    <w:uiPriority w:val="0"/>
    <w:pPr>
      <w:numPr>
        <w:ilvl w:val="0"/>
        <w:numId w:val="2"/>
      </w:numPr>
    </w:pPr>
  </w:style>
  <w:style w:type="paragraph" w:customStyle="1" w:styleId="24">
    <w:name w:val="正文1"/>
    <w:basedOn w:val="25"/>
    <w:next w:val="20"/>
    <w:qFormat/>
    <w:uiPriority w:val="0"/>
    <w:pPr>
      <w:tabs>
        <w:tab w:val="right" w:leader="dot" w:pos="8268"/>
      </w:tabs>
      <w:ind w:left="0" w:leftChars="0" w:firstLine="480" w:firstLineChars="200"/>
    </w:pPr>
    <w:rPr>
      <w:rFonts w:ascii="仿宋_GB2312" w:hAnsi="Courier New" w:eastAsia="仿宋_GB2312"/>
      <w:kern w:val="28"/>
      <w:sz w:val="24"/>
    </w:rPr>
  </w:style>
  <w:style w:type="paragraph" w:styleId="25">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26">
    <w:name w:val="Plain Text"/>
    <w:basedOn w:val="1"/>
    <w:link w:val="53"/>
    <w:qFormat/>
    <w:uiPriority w:val="0"/>
    <w:rPr>
      <w:rFonts w:ascii="宋体" w:hAnsi="Courier New" w:cs="Courier New"/>
      <w:szCs w:val="21"/>
    </w:rPr>
  </w:style>
  <w:style w:type="paragraph" w:styleId="27">
    <w:name w:val="Date"/>
    <w:basedOn w:val="1"/>
    <w:next w:val="1"/>
    <w:qFormat/>
    <w:uiPriority w:val="0"/>
    <w:pPr>
      <w:ind w:left="100" w:leftChars="2500"/>
    </w:pPr>
    <w:rPr>
      <w:rFonts w:ascii="宋体" w:hAnsi="Courier New" w:cs="Courier New"/>
      <w:szCs w:val="21"/>
    </w:rPr>
  </w:style>
  <w:style w:type="paragraph" w:styleId="28">
    <w:name w:val="Body Text Indent 2"/>
    <w:basedOn w:val="1"/>
    <w:link w:val="54"/>
    <w:qFormat/>
    <w:uiPriority w:val="0"/>
    <w:pPr>
      <w:ind w:firstLine="630"/>
    </w:pPr>
    <w:rPr>
      <w:sz w:val="32"/>
      <w:szCs w:val="20"/>
    </w:rPr>
  </w:style>
  <w:style w:type="paragraph" w:styleId="29">
    <w:name w:val="Balloon Text"/>
    <w:basedOn w:val="1"/>
    <w:semiHidden/>
    <w:qFormat/>
    <w:uiPriority w:val="0"/>
    <w:rPr>
      <w:sz w:val="18"/>
      <w:szCs w:val="18"/>
    </w:rPr>
  </w:style>
  <w:style w:type="paragraph" w:styleId="30">
    <w:name w:val="footer"/>
    <w:basedOn w:val="1"/>
    <w:link w:val="55"/>
    <w:qFormat/>
    <w:uiPriority w:val="0"/>
    <w:pPr>
      <w:tabs>
        <w:tab w:val="center" w:pos="4153"/>
        <w:tab w:val="right" w:pos="8306"/>
      </w:tabs>
      <w:snapToGrid w:val="0"/>
      <w:jc w:val="left"/>
    </w:pPr>
    <w:rPr>
      <w:sz w:val="18"/>
      <w:szCs w:val="18"/>
    </w:rPr>
  </w:style>
  <w:style w:type="paragraph" w:styleId="3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39"/>
  </w:style>
  <w:style w:type="paragraph" w:styleId="33">
    <w:name w:val="List"/>
    <w:basedOn w:val="1"/>
    <w:qFormat/>
    <w:uiPriority w:val="0"/>
    <w:pPr>
      <w:ind w:left="200" w:hanging="200" w:hangingChars="200"/>
    </w:pPr>
    <w:rPr>
      <w:sz w:val="28"/>
    </w:rPr>
  </w:style>
  <w:style w:type="paragraph" w:styleId="34">
    <w:name w:val="Body Text Indent 3"/>
    <w:basedOn w:val="1"/>
    <w:qFormat/>
    <w:uiPriority w:val="0"/>
    <w:pPr>
      <w:spacing w:after="120"/>
      <w:ind w:left="420" w:leftChars="200"/>
    </w:pPr>
    <w:rPr>
      <w:sz w:val="16"/>
      <w:szCs w:val="16"/>
    </w:rPr>
  </w:style>
  <w:style w:type="paragraph" w:styleId="35">
    <w:name w:val="toc 2"/>
    <w:basedOn w:val="1"/>
    <w:next w:val="1"/>
    <w:qFormat/>
    <w:uiPriority w:val="39"/>
    <w:pPr>
      <w:tabs>
        <w:tab w:val="right" w:leader="dot" w:pos="9360"/>
      </w:tabs>
      <w:ind w:left="420" w:leftChars="200"/>
    </w:pPr>
  </w:style>
  <w:style w:type="paragraph" w:styleId="36">
    <w:name w:val="Body Text 2"/>
    <w:basedOn w:val="1"/>
    <w:qFormat/>
    <w:uiPriority w:val="0"/>
    <w:pPr>
      <w:spacing w:after="120" w:line="480" w:lineRule="auto"/>
    </w:pPr>
  </w:style>
  <w:style w:type="paragraph" w:styleId="37">
    <w:name w:val="Normal (Web)"/>
    <w:basedOn w:val="1"/>
    <w:qFormat/>
    <w:uiPriority w:val="0"/>
    <w:pPr>
      <w:widowControl/>
      <w:spacing w:before="100" w:beforeAutospacing="1" w:after="100" w:afterAutospacing="1"/>
      <w:jc w:val="left"/>
    </w:pPr>
    <w:rPr>
      <w:rFonts w:ascii="宋体" w:hAnsi="宋体"/>
      <w:kern w:val="0"/>
      <w:sz w:val="24"/>
    </w:rPr>
  </w:style>
  <w:style w:type="paragraph" w:styleId="38">
    <w:name w:val="index 1"/>
    <w:basedOn w:val="1"/>
    <w:next w:val="1"/>
    <w:semiHidden/>
    <w:qFormat/>
    <w:uiPriority w:val="0"/>
    <w:pPr>
      <w:spacing w:line="400" w:lineRule="exact"/>
      <w:ind w:firstLine="420" w:firstLineChars="200"/>
    </w:pPr>
    <w:rPr>
      <w:rFonts w:ascii="宋体" w:hAnsi="Courier New"/>
      <w:b/>
      <w:szCs w:val="20"/>
    </w:rPr>
  </w:style>
  <w:style w:type="paragraph" w:styleId="39">
    <w:name w:val="Body Text First Indent 2"/>
    <w:basedOn w:val="20"/>
    <w:link w:val="57"/>
    <w:qFormat/>
    <w:uiPriority w:val="0"/>
    <w:pPr>
      <w:spacing w:after="120"/>
      <w:ind w:left="420" w:leftChars="200" w:firstLine="420" w:firstLineChars="200"/>
    </w:pPr>
    <w:rPr>
      <w:sz w:val="21"/>
      <w:szCs w:val="24"/>
    </w:rPr>
  </w:style>
  <w:style w:type="table" w:styleId="41">
    <w:name w:val="Table Grid"/>
    <w:basedOn w:val="4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3">
    <w:name w:val="Strong"/>
    <w:qFormat/>
    <w:uiPriority w:val="0"/>
    <w:rPr>
      <w:b/>
      <w:bCs/>
    </w:rPr>
  </w:style>
  <w:style w:type="character" w:styleId="44">
    <w:name w:val="page number"/>
    <w:qFormat/>
    <w:uiPriority w:val="0"/>
  </w:style>
  <w:style w:type="character" w:styleId="45">
    <w:name w:val="Hyperlink"/>
    <w:qFormat/>
    <w:uiPriority w:val="99"/>
    <w:rPr>
      <w:color w:val="0000FF"/>
      <w:u w:val="single"/>
    </w:rPr>
  </w:style>
  <w:style w:type="character" w:customStyle="1" w:styleId="46">
    <w:name w:val="标题 1 Char"/>
    <w:link w:val="4"/>
    <w:qFormat/>
    <w:uiPriority w:val="0"/>
    <w:rPr>
      <w:rFonts w:eastAsia="宋体"/>
      <w:b/>
      <w:bCs/>
      <w:kern w:val="44"/>
      <w:sz w:val="44"/>
      <w:szCs w:val="44"/>
      <w:lang w:val="en-US" w:eastAsia="zh-CN" w:bidi="ar-SA"/>
    </w:rPr>
  </w:style>
  <w:style w:type="character" w:customStyle="1" w:styleId="47">
    <w:name w:val="标题 2 Char"/>
    <w:link w:val="5"/>
    <w:qFormat/>
    <w:uiPriority w:val="9"/>
    <w:rPr>
      <w:rFonts w:ascii="Arial" w:hAnsi="Arial" w:eastAsia="黑体"/>
      <w:b/>
      <w:bCs/>
      <w:kern w:val="2"/>
      <w:sz w:val="32"/>
      <w:szCs w:val="32"/>
    </w:rPr>
  </w:style>
  <w:style w:type="character" w:customStyle="1" w:styleId="48">
    <w:name w:val="标题 3 Char"/>
    <w:link w:val="6"/>
    <w:qFormat/>
    <w:uiPriority w:val="0"/>
    <w:rPr>
      <w:rFonts w:ascii="Calibri" w:hAnsi="Calibri" w:eastAsia="宋体"/>
      <w:b/>
      <w:bCs/>
      <w:kern w:val="2"/>
      <w:sz w:val="32"/>
      <w:szCs w:val="32"/>
      <w:lang w:val="en-US" w:eastAsia="zh-CN" w:bidi="ar-SA"/>
    </w:rPr>
  </w:style>
  <w:style w:type="character" w:customStyle="1" w:styleId="49">
    <w:name w:val="标题 4 Char"/>
    <w:link w:val="7"/>
    <w:qFormat/>
    <w:uiPriority w:val="0"/>
    <w:rPr>
      <w:rFonts w:ascii="黑体" w:hAnsi="黑体" w:eastAsia="黑体"/>
      <w:b/>
      <w:bCs/>
      <w:kern w:val="2"/>
      <w:sz w:val="24"/>
      <w:szCs w:val="24"/>
    </w:rPr>
  </w:style>
  <w:style w:type="character" w:customStyle="1" w:styleId="50">
    <w:name w:val="正文缩进 Char"/>
    <w:link w:val="9"/>
    <w:qFormat/>
    <w:locked/>
    <w:uiPriority w:val="0"/>
    <w:rPr>
      <w:kern w:val="2"/>
      <w:sz w:val="21"/>
    </w:rPr>
  </w:style>
  <w:style w:type="character" w:customStyle="1" w:styleId="51">
    <w:name w:val="正文文本 Char"/>
    <w:link w:val="3"/>
    <w:qFormat/>
    <w:uiPriority w:val="0"/>
    <w:rPr>
      <w:kern w:val="2"/>
      <w:sz w:val="24"/>
      <w:szCs w:val="24"/>
    </w:rPr>
  </w:style>
  <w:style w:type="character" w:customStyle="1" w:styleId="52">
    <w:name w:val="正文文本缩进 Char"/>
    <w:link w:val="20"/>
    <w:qFormat/>
    <w:uiPriority w:val="0"/>
    <w:rPr>
      <w:rFonts w:ascii="仿宋_GB2312" w:eastAsia="仿宋_GB2312"/>
      <w:kern w:val="2"/>
      <w:sz w:val="32"/>
    </w:rPr>
  </w:style>
  <w:style w:type="character" w:customStyle="1" w:styleId="53">
    <w:name w:val="纯文本 Char"/>
    <w:link w:val="26"/>
    <w:qFormat/>
    <w:uiPriority w:val="0"/>
    <w:rPr>
      <w:rFonts w:ascii="宋体" w:hAnsi="Courier New" w:eastAsia="宋体" w:cs="Courier New"/>
      <w:kern w:val="2"/>
      <w:sz w:val="21"/>
      <w:szCs w:val="21"/>
      <w:lang w:val="en-US" w:eastAsia="zh-CN" w:bidi="ar-SA"/>
    </w:rPr>
  </w:style>
  <w:style w:type="character" w:customStyle="1" w:styleId="54">
    <w:name w:val="正文文本缩进 2 Char"/>
    <w:link w:val="28"/>
    <w:qFormat/>
    <w:uiPriority w:val="0"/>
    <w:rPr>
      <w:kern w:val="2"/>
      <w:sz w:val="32"/>
    </w:rPr>
  </w:style>
  <w:style w:type="character" w:customStyle="1" w:styleId="55">
    <w:name w:val="页脚 Char"/>
    <w:link w:val="30"/>
    <w:qFormat/>
    <w:uiPriority w:val="0"/>
    <w:rPr>
      <w:kern w:val="2"/>
      <w:sz w:val="18"/>
      <w:szCs w:val="18"/>
    </w:rPr>
  </w:style>
  <w:style w:type="character" w:customStyle="1" w:styleId="56">
    <w:name w:val="正文首行缩进 Char"/>
    <w:link w:val="2"/>
    <w:qFormat/>
    <w:uiPriority w:val="0"/>
    <w:rPr>
      <w:kern w:val="2"/>
      <w:sz w:val="21"/>
      <w:szCs w:val="24"/>
    </w:rPr>
  </w:style>
  <w:style w:type="character" w:customStyle="1" w:styleId="57">
    <w:name w:val="正文首行缩进 2 Char"/>
    <w:link w:val="39"/>
    <w:qFormat/>
    <w:uiPriority w:val="0"/>
    <w:rPr>
      <w:rFonts w:ascii="仿宋_GB2312" w:eastAsia="仿宋_GB2312"/>
      <w:kern w:val="2"/>
      <w:sz w:val="21"/>
      <w:szCs w:val="24"/>
    </w:rPr>
  </w:style>
  <w:style w:type="character" w:customStyle="1" w:styleId="58">
    <w:name w:val="font21"/>
    <w:qFormat/>
    <w:uiPriority w:val="0"/>
    <w:rPr>
      <w:rFonts w:hint="default" w:ascii="仿宋_GB2312" w:eastAsia="仿宋_GB2312" w:cs="仿宋_GB2312"/>
      <w:b/>
      <w:color w:val="000000"/>
      <w:sz w:val="24"/>
      <w:szCs w:val="24"/>
      <w:u w:val="none"/>
    </w:rPr>
  </w:style>
  <w:style w:type="character" w:customStyle="1" w:styleId="59">
    <w:name w:val="纯文本 Char1"/>
    <w:qFormat/>
    <w:uiPriority w:val="0"/>
    <w:rPr>
      <w:rFonts w:ascii="宋体" w:hAnsi="Courier New" w:eastAsia="宋体" w:cs="Courier New"/>
      <w:szCs w:val="21"/>
    </w:rPr>
  </w:style>
  <w:style w:type="character" w:customStyle="1" w:styleId="60">
    <w:name w:val="param-name param-explain"/>
    <w:qFormat/>
    <w:uiPriority w:val="0"/>
  </w:style>
  <w:style w:type="character" w:customStyle="1" w:styleId="61">
    <w:name w:val="1ji Char"/>
    <w:link w:val="62"/>
    <w:qFormat/>
    <w:uiPriority w:val="0"/>
    <w:rPr>
      <w:rFonts w:ascii="宋体" w:hAnsi="宋体" w:eastAsia="宋体"/>
      <w:b/>
      <w:bCs/>
      <w:kern w:val="44"/>
      <w:sz w:val="36"/>
      <w:szCs w:val="44"/>
      <w:lang w:val="en-US" w:eastAsia="zh-CN" w:bidi="ar-SA"/>
    </w:rPr>
  </w:style>
  <w:style w:type="paragraph" w:customStyle="1" w:styleId="62">
    <w:name w:val="1ji"/>
    <w:basedOn w:val="4"/>
    <w:link w:val="61"/>
    <w:qFormat/>
    <w:uiPriority w:val="0"/>
    <w:pPr>
      <w:keepLines w:val="0"/>
      <w:widowControl/>
      <w:spacing w:before="0" w:after="0" w:line="240" w:lineRule="auto"/>
      <w:jc w:val="center"/>
    </w:pPr>
    <w:rPr>
      <w:rFonts w:ascii="宋体" w:hAnsi="宋体"/>
      <w:sz w:val="36"/>
    </w:rPr>
  </w:style>
  <w:style w:type="character" w:customStyle="1" w:styleId="63">
    <w:name w:val="普通文字 Char Char2"/>
    <w:qFormat/>
    <w:uiPriority w:val="0"/>
    <w:rPr>
      <w:rFonts w:ascii="宋体" w:hAnsi="Courier New" w:eastAsia="宋体"/>
      <w:kern w:val="2"/>
      <w:sz w:val="21"/>
      <w:lang w:val="en-US" w:eastAsia="zh-CN" w:bidi="ar-SA"/>
    </w:rPr>
  </w:style>
  <w:style w:type="character" w:customStyle="1" w:styleId="64">
    <w:name w:val="10"/>
    <w:qFormat/>
    <w:uiPriority w:val="0"/>
    <w:rPr>
      <w:rFonts w:hint="default" w:ascii="Times New Roman" w:hAnsi="Times New Roman" w:cs="Times New Roman"/>
    </w:rPr>
  </w:style>
  <w:style w:type="character" w:customStyle="1" w:styleId="65">
    <w:name w:val="font11"/>
    <w:qFormat/>
    <w:uiPriority w:val="0"/>
    <w:rPr>
      <w:rFonts w:hint="eastAsia" w:ascii="宋体" w:hAnsi="宋体" w:eastAsia="宋体" w:cs="宋体"/>
      <w:color w:val="000000"/>
      <w:sz w:val="20"/>
      <w:szCs w:val="20"/>
      <w:u w:val="none"/>
    </w:rPr>
  </w:style>
  <w:style w:type="character" w:customStyle="1" w:styleId="66">
    <w:name w:val="apple-converted-space"/>
    <w:qFormat/>
    <w:uiPriority w:val="0"/>
  </w:style>
  <w:style w:type="character" w:customStyle="1" w:styleId="67">
    <w:name w:val="mark"/>
    <w:qFormat/>
    <w:uiPriority w:val="0"/>
  </w:style>
  <w:style w:type="character" w:customStyle="1" w:styleId="68">
    <w:name w:val="15"/>
    <w:qFormat/>
    <w:uiPriority w:val="0"/>
    <w:rPr>
      <w:rFonts w:hint="default" w:ascii="Times New Roman" w:hAnsi="Times New Roman" w:cs="Times New Roman"/>
    </w:rPr>
  </w:style>
  <w:style w:type="paragraph" w:customStyle="1" w:styleId="69">
    <w:name w:val="默认段落字体 Para Char Char Char Char Char Char Char Char Char1 Char Char Char Char"/>
    <w:basedOn w:val="1"/>
    <w:qFormat/>
    <w:uiPriority w:val="0"/>
    <w:rPr>
      <w:rFonts w:ascii="Tahoma" w:hAnsi="Tahoma"/>
      <w:sz w:val="24"/>
      <w:szCs w:val="20"/>
    </w:rPr>
  </w:style>
  <w:style w:type="paragraph" w:customStyle="1" w:styleId="70">
    <w:name w:val="列出段落1"/>
    <w:basedOn w:val="1"/>
    <w:qFormat/>
    <w:uiPriority w:val="0"/>
    <w:pPr>
      <w:ind w:firstLine="420" w:firstLineChars="200"/>
    </w:pPr>
    <w:rPr>
      <w:szCs w:val="20"/>
    </w:rPr>
  </w:style>
  <w:style w:type="paragraph" w:customStyle="1" w:styleId="71">
    <w:name w:val="1"/>
    <w:basedOn w:val="1"/>
    <w:next w:val="26"/>
    <w:qFormat/>
    <w:uiPriority w:val="0"/>
    <w:rPr>
      <w:rFonts w:ascii="宋体" w:hAnsi="Courier New"/>
      <w:szCs w:val="20"/>
    </w:rPr>
  </w:style>
  <w:style w:type="paragraph" w:customStyle="1" w:styleId="72">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3">
    <w:name w:val="正文段"/>
    <w:basedOn w:val="1"/>
    <w:qFormat/>
    <w:uiPriority w:val="0"/>
    <w:pPr>
      <w:widowControl/>
      <w:snapToGrid w:val="0"/>
      <w:spacing w:after="50" w:afterLines="50"/>
      <w:ind w:firstLine="200" w:firstLineChars="200"/>
    </w:pPr>
    <w:rPr>
      <w:kern w:val="0"/>
      <w:sz w:val="24"/>
      <w:szCs w:val="20"/>
    </w:rPr>
  </w:style>
  <w:style w:type="paragraph" w:customStyle="1" w:styleId="7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5">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6">
    <w:name w:val="_Style 34"/>
    <w:basedOn w:val="17"/>
    <w:qFormat/>
    <w:uiPriority w:val="0"/>
    <w:pPr>
      <w:widowControl/>
      <w:ind w:firstLine="454"/>
      <w:jc w:val="left"/>
    </w:pPr>
  </w:style>
  <w:style w:type="paragraph" w:customStyle="1" w:styleId="77">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8">
    <w:name w:val="_Style 5"/>
    <w:basedOn w:val="1"/>
    <w:qFormat/>
    <w:uiPriority w:val="0"/>
    <w:pPr>
      <w:spacing w:after="78" w:afterLines="25"/>
    </w:pPr>
    <w:rPr>
      <w:rFonts w:ascii="Arial" w:hAnsi="Arial"/>
    </w:rPr>
  </w:style>
  <w:style w:type="paragraph" w:customStyle="1" w:styleId="79">
    <w:name w:val="Char"/>
    <w:basedOn w:val="17"/>
    <w:qFormat/>
    <w:uiPriority w:val="0"/>
    <w:pPr>
      <w:widowControl/>
      <w:ind w:firstLine="454"/>
      <w:jc w:val="left"/>
    </w:pPr>
    <w:rPr>
      <w:rFonts w:ascii="Tahoma" w:hAnsi="Tahoma" w:cs="宋体"/>
      <w:kern w:val="0"/>
      <w:sz w:val="24"/>
      <w:szCs w:val="20"/>
    </w:rPr>
  </w:style>
  <w:style w:type="paragraph" w:customStyle="1" w:styleId="80">
    <w:name w:val="msolistparagraph"/>
    <w:basedOn w:val="1"/>
    <w:qFormat/>
    <w:uiPriority w:val="0"/>
    <w:pPr>
      <w:spacing w:line="360" w:lineRule="auto"/>
      <w:ind w:firstLine="420" w:firstLineChars="200"/>
    </w:pPr>
    <w:rPr>
      <w:sz w:val="28"/>
    </w:rPr>
  </w:style>
  <w:style w:type="paragraph" w:customStyle="1" w:styleId="8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2">
    <w:name w:val="Char Char Char"/>
    <w:basedOn w:val="17"/>
    <w:qFormat/>
    <w:uiPriority w:val="0"/>
    <w:pPr>
      <w:snapToGrid w:val="0"/>
    </w:pPr>
    <w:rPr>
      <w:rFonts w:ascii="Calibri" w:hAnsi="Calibri"/>
      <w:sz w:val="28"/>
      <w:szCs w:val="20"/>
    </w:rPr>
  </w:style>
  <w:style w:type="paragraph" w:customStyle="1" w:styleId="83">
    <w:name w:val="_Style 341"/>
    <w:basedOn w:val="17"/>
    <w:qFormat/>
    <w:uiPriority w:val="0"/>
    <w:pPr>
      <w:widowControl/>
      <w:ind w:firstLine="454"/>
      <w:jc w:val="left"/>
    </w:pPr>
  </w:style>
  <w:style w:type="paragraph" w:customStyle="1" w:styleId="84">
    <w:name w:val="Char1"/>
    <w:basedOn w:val="17"/>
    <w:qFormat/>
    <w:uiPriority w:val="0"/>
    <w:pPr>
      <w:widowControl/>
      <w:ind w:firstLine="454"/>
      <w:jc w:val="left"/>
    </w:pPr>
    <w:rPr>
      <w:rFonts w:ascii="Tahoma" w:hAnsi="Tahoma" w:cs="宋体"/>
      <w:kern w:val="0"/>
      <w:sz w:val="24"/>
      <w:szCs w:val="20"/>
    </w:rPr>
  </w:style>
  <w:style w:type="paragraph" w:styleId="85">
    <w:name w:val="List Paragraph"/>
    <w:basedOn w:val="1"/>
    <w:qFormat/>
    <w:uiPriority w:val="34"/>
    <w:pPr>
      <w:ind w:firstLine="420" w:firstLineChars="200"/>
    </w:pPr>
    <w:rPr>
      <w:rFonts w:ascii="Book Antiqua" w:hAnsi="Book Antiqua" w:cs="Book Antiqua"/>
    </w:rPr>
  </w:style>
  <w:style w:type="paragraph" w:styleId="86">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
    <w:name w:val="样式 标题 2 + 宋体"/>
    <w:basedOn w:val="5"/>
    <w:qFormat/>
    <w:uiPriority w:val="0"/>
    <w:pPr>
      <w:tabs>
        <w:tab w:val="left" w:pos="360"/>
      </w:tabs>
    </w:pPr>
    <w:rPr>
      <w:rFonts w:ascii="宋体" w:hAnsi="宋体" w:eastAsia="宋体"/>
      <w:sz w:val="30"/>
    </w:rPr>
  </w:style>
  <w:style w:type="paragraph" w:customStyle="1" w:styleId="88">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90">
    <w:name w:val="Table Normal"/>
    <w:unhideWhenUsed/>
    <w:qFormat/>
    <w:uiPriority w:val="0"/>
    <w:tblPr>
      <w:tblCellMar>
        <w:top w:w="0" w:type="dxa"/>
        <w:left w:w="0" w:type="dxa"/>
        <w:bottom w:w="0" w:type="dxa"/>
        <w:right w:w="0" w:type="dxa"/>
      </w:tblCellMar>
    </w:tblPr>
  </w:style>
  <w:style w:type="paragraph" w:customStyle="1" w:styleId="91">
    <w:name w:val="表格文字"/>
    <w:basedOn w:val="20"/>
    <w:next w:val="3"/>
    <w:qFormat/>
    <w:uiPriority w:val="99"/>
    <w:pPr>
      <w:spacing w:before="25" w:after="25"/>
    </w:pPr>
    <w:rPr>
      <w:rFonts w:ascii="Calibri" w:hAnsi="Calibri" w:eastAsia="Calibri"/>
      <w:bCs/>
      <w:spacing w:val="10"/>
      <w:kern w:val="0"/>
    </w:rPr>
  </w:style>
  <w:style w:type="paragraph" w:customStyle="1" w:styleId="92">
    <w:name w:val="正文2"/>
    <w:basedOn w:val="1"/>
    <w:link w:val="93"/>
    <w:qFormat/>
    <w:uiPriority w:val="0"/>
    <w:pPr>
      <w:adjustRightInd w:val="0"/>
      <w:spacing w:before="156" w:line="360" w:lineRule="auto"/>
      <w:ind w:firstLine="510" w:firstLineChars="200"/>
    </w:pPr>
    <w:rPr>
      <w:sz w:val="24"/>
      <w:szCs w:val="20"/>
    </w:rPr>
  </w:style>
  <w:style w:type="character" w:customStyle="1" w:styleId="93">
    <w:name w:val="正文2 Char Char"/>
    <w:link w:val="92"/>
    <w:qFormat/>
    <w:uiPriority w:val="0"/>
    <w:rPr>
      <w:kern w:val="2"/>
      <w:sz w:val="24"/>
    </w:rPr>
  </w:style>
  <w:style w:type="table" w:customStyle="1" w:styleId="94">
    <w:name w:val="网格型1"/>
    <w:basedOn w:val="4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5">
    <w:name w:val="网格型2"/>
    <w:basedOn w:val="4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6">
    <w:name w:val="*正文 Char"/>
    <w:link w:val="97"/>
    <w:qFormat/>
    <w:locked/>
    <w:uiPriority w:val="0"/>
    <w:rPr>
      <w:rFonts w:ascii="宋体" w:hAnsi="宋体"/>
      <w:sz w:val="24"/>
    </w:rPr>
  </w:style>
  <w:style w:type="paragraph" w:customStyle="1" w:styleId="97">
    <w:name w:val="*正文"/>
    <w:basedOn w:val="1"/>
    <w:link w:val="96"/>
    <w:qFormat/>
    <w:uiPriority w:val="0"/>
    <w:pPr>
      <w:adjustRightInd w:val="0"/>
      <w:snapToGrid w:val="0"/>
      <w:spacing w:line="360" w:lineRule="auto"/>
      <w:ind w:firstLine="482"/>
      <w:jc w:val="left"/>
    </w:pPr>
    <w:rPr>
      <w:rFonts w:ascii="宋体" w:hAnsi="宋体"/>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9FE1FB-4655-4B35-BD7E-6AAB8BF4B5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134</Pages>
  <Words>95</Words>
  <Characters>150</Characters>
  <Lines>163</Lines>
  <Paragraphs>142</Paragraphs>
  <TotalTime>48</TotalTime>
  <ScaleCrop>false</ScaleCrop>
  <LinksUpToDate>false</LinksUpToDate>
  <CharactersWithSpaces>189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NTKO</cp:lastModifiedBy>
  <cp:lastPrinted>2026-01-12T07:40:00Z</cp:lastPrinted>
  <dcterms:modified xsi:type="dcterms:W3CDTF">2026-07-02T09:59:13Z</dcterms:modified>
  <dc:title>北海市政府采购中心;</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0C7F5C32B0194A13A7CB8C845D5A133D</vt:lpwstr>
  </property>
  <property fmtid="{D5CDD505-2E9C-101B-9397-08002B2CF9AE}" pid="4" name="KSOTemplateDocerSaveRecord">
    <vt:lpwstr>eyJoZGlkIjoiZGRkYzRjNWM1NDU0Njg1NWM0Y2MzOWY4ZDY4M2YxNGQiLCJ1c2VySWQiOiIyMzA3MTg5ODgifQ==</vt:lpwstr>
  </property>
</Properties>
</file>