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6236F">
      <w:pPr>
        <w:keepNext/>
        <w:keepLines/>
        <w:spacing w:before="340" w:after="330" w:line="578" w:lineRule="auto"/>
        <w:jc w:val="center"/>
        <w:outlineLvl w:val="0"/>
        <w:rPr>
          <w:rFonts w:ascii="宋体" w:hAnsi="宋体" w:eastAsia="宋体" w:cs="宋体"/>
          <w:b/>
          <w:bCs/>
          <w:sz w:val="44"/>
          <w:szCs w:val="44"/>
          <w:lang w:val="zh-CN"/>
        </w:rPr>
      </w:pPr>
      <w:r>
        <w:rPr>
          <w:rFonts w:hint="eastAsia" w:ascii="宋体" w:hAnsi="宋体" w:eastAsia="宋体" w:cs="宋体"/>
          <w:b/>
          <w:sz w:val="32"/>
          <w:szCs w:val="32"/>
          <w:lang w:val="zh-CN"/>
        </w:rPr>
        <w:t>第二章 采购需求</w:t>
      </w:r>
    </w:p>
    <w:p w14:paraId="2746C603">
      <w:pPr>
        <w:spacing w:line="420" w:lineRule="exact"/>
        <w:jc w:val="left"/>
        <w:rPr>
          <w:rFonts w:ascii="宋体" w:hAnsi="宋体" w:eastAsia="宋体" w:cs="宋体"/>
          <w:szCs w:val="21"/>
        </w:rPr>
      </w:pPr>
      <w:r>
        <w:rPr>
          <w:rFonts w:hint="eastAsia" w:ascii="宋体" w:hAnsi="宋体" w:eastAsia="宋体" w:cs="宋体"/>
          <w:szCs w:val="21"/>
        </w:rPr>
        <w:t>说明：</w:t>
      </w:r>
    </w:p>
    <w:p w14:paraId="06AC0E35">
      <w:pPr>
        <w:spacing w:line="360" w:lineRule="auto"/>
        <w:ind w:firstLine="420"/>
        <w:jc w:val="left"/>
        <w:rPr>
          <w:rFonts w:ascii="宋体" w:hAnsi="宋体" w:eastAsia="宋体" w:cs="宋体"/>
          <w:szCs w:val="21"/>
        </w:rPr>
      </w:pPr>
      <w:r>
        <w:rPr>
          <w:rFonts w:hint="eastAsia" w:ascii="宋体" w:hAnsi="宋体" w:eastAsia="宋体" w:cs="宋体"/>
          <w:szCs w:val="24"/>
        </w:rPr>
        <w:t>1. 为落实政府采购政策需满足的要求：</w:t>
      </w:r>
    </w:p>
    <w:p w14:paraId="28BD821A">
      <w:pPr>
        <w:spacing w:line="360" w:lineRule="auto"/>
        <w:ind w:firstLine="420"/>
        <w:jc w:val="left"/>
        <w:rPr>
          <w:rFonts w:ascii="宋体" w:hAnsi="宋体" w:eastAsia="宋体" w:cs="宋体"/>
          <w:szCs w:val="21"/>
        </w:rPr>
      </w:pPr>
      <w:r>
        <w:rPr>
          <w:rFonts w:hint="eastAsia" w:ascii="宋体" w:hAnsi="宋体" w:eastAsia="宋体" w:cs="宋体"/>
          <w:szCs w:val="21"/>
        </w:rPr>
        <w:t>（1）本竞争性谈判文件所称中小企业必须符合《政府采购促进中小企业发展管理办法》（财库〔2020〕46号）的规定。</w:t>
      </w:r>
    </w:p>
    <w:p w14:paraId="1C303EA9">
      <w:pPr>
        <w:spacing w:line="360" w:lineRule="auto"/>
        <w:ind w:firstLine="420"/>
        <w:jc w:val="left"/>
        <w:rPr>
          <w:rFonts w:ascii="宋体" w:hAnsi="宋体" w:eastAsia="宋体" w:cs="宋体"/>
          <w:color w:val="auto"/>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市场监管总局关于调整优化节能产品、环境标志产品政府采购执行机制的通知》（财库〔2019〕于品目清单内非标注“★”的产品时，应优先采购，具体详见“第</w:t>
      </w:r>
      <w:r>
        <w:rPr>
          <w:rFonts w:hint="eastAsia" w:ascii="宋体" w:hAnsi="宋体" w:eastAsia="宋体" w:cs="宋体"/>
          <w:color w:val="auto"/>
          <w:szCs w:val="21"/>
        </w:rPr>
        <w:t>四章 评审程序、评审方法和成交标准”。</w:t>
      </w:r>
    </w:p>
    <w:p w14:paraId="37A42756">
      <w:pPr>
        <w:pStyle w:val="4"/>
        <w:spacing w:line="360" w:lineRule="auto"/>
        <w:ind w:firstLine="420"/>
        <w:rPr>
          <w:rFonts w:ascii="宋体" w:hAnsi="宋体" w:cs="宋体"/>
          <w:b/>
          <w:bCs/>
          <w:color w:val="auto"/>
          <w:szCs w:val="21"/>
          <w:lang w:val="en-US"/>
        </w:rPr>
      </w:pPr>
      <w:r>
        <w:rPr>
          <w:rFonts w:hint="eastAsia" w:ascii="宋体" w:hAnsi="宋体" w:cs="宋体"/>
          <w:color w:val="auto"/>
          <w:sz w:val="21"/>
          <w:szCs w:val="21"/>
          <w:lang w:val="en-US"/>
        </w:rPr>
        <w:t>2.</w:t>
      </w:r>
      <w:r>
        <w:rPr>
          <w:rFonts w:hint="eastAsia" w:ascii="宋体" w:hAnsi="宋体" w:eastAsia="宋体" w:cs="宋体"/>
          <w:b w:val="0"/>
          <w:bCs w:val="0"/>
          <w:sz w:val="21"/>
          <w:szCs w:val="21"/>
          <w:lang w:val="en-US"/>
        </w:rPr>
        <w:t>采购需求中的所有</w:t>
      </w:r>
      <w:r>
        <w:rPr>
          <w:rFonts w:hint="eastAsia" w:ascii="宋体" w:hAnsi="宋体" w:eastAsia="宋体" w:cs="宋体"/>
          <w:sz w:val="21"/>
          <w:szCs w:val="21"/>
          <w:lang w:val="en-US"/>
        </w:rPr>
        <w:t>技术参数要求、技术参数及配置、商务要求及其他说明</w:t>
      </w:r>
      <w:r>
        <w:rPr>
          <w:rFonts w:hint="eastAsia" w:ascii="宋体" w:hAnsi="宋体" w:eastAsia="宋体" w:cs="宋体"/>
          <w:b w:val="0"/>
          <w:bCs w:val="0"/>
          <w:sz w:val="21"/>
          <w:szCs w:val="21"/>
          <w:lang w:val="en-US"/>
        </w:rPr>
        <w:t>的条款均为实质性条款，不满足作无效响应处理。</w:t>
      </w:r>
    </w:p>
    <w:p w14:paraId="238814B7">
      <w:pPr>
        <w:pStyle w:val="4"/>
        <w:spacing w:line="360" w:lineRule="auto"/>
        <w:ind w:firstLine="420"/>
        <w:rPr>
          <w:rFonts w:ascii="宋体" w:hAnsi="宋体" w:cs="宋体"/>
          <w:sz w:val="21"/>
          <w:szCs w:val="21"/>
          <w:lang w:val="en-US"/>
        </w:rPr>
      </w:pPr>
      <w:r>
        <w:rPr>
          <w:rFonts w:hint="eastAsia" w:ascii="宋体" w:hAnsi="宋体" w:cs="宋体"/>
          <w:sz w:val="21"/>
          <w:szCs w:val="21"/>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14:paraId="5812AEF1">
      <w:pPr>
        <w:spacing w:line="360" w:lineRule="auto"/>
        <w:ind w:firstLine="424"/>
        <w:jc w:val="left"/>
        <w:rPr>
          <w:rFonts w:ascii="宋体" w:hAnsi="宋体" w:eastAsia="宋体" w:cs="宋体"/>
        </w:rPr>
      </w:pPr>
      <w:bookmarkStart w:id="0" w:name="PO_3000001871_PM050"/>
      <w:r>
        <w:rPr>
          <w:rFonts w:hint="eastAsia" w:ascii="宋体" w:hAnsi="宋体" w:eastAsia="宋体" w:cs="宋体"/>
          <w:szCs w:val="21"/>
        </w:rPr>
        <w:t>4.供应商必须对响应文件中提供的证明材料和资质文件真实性负责，如出现虚假应标情况，供应商除了应接受有关部门的处罚外，还应依据《中华人民共和国民法典》的相关条款来进行赔偿。</w:t>
      </w:r>
    </w:p>
    <w:p w14:paraId="6AB8F5EC">
      <w:pPr>
        <w:tabs>
          <w:tab w:val="left" w:pos="180"/>
          <w:tab w:val="left" w:pos="1620"/>
        </w:tabs>
        <w:spacing w:line="420" w:lineRule="exact"/>
        <w:ind w:firstLine="420"/>
        <w:rPr>
          <w:rFonts w:ascii="宋体" w:hAnsi="宋体" w:eastAsia="宋体" w:cs="宋体"/>
        </w:rPr>
      </w:pPr>
      <w:r>
        <w:rPr>
          <w:rFonts w:hint="eastAsia" w:ascii="宋体" w:hAnsi="宋体" w:eastAsia="宋体" w:cs="宋体"/>
        </w:rPr>
        <w:t>5.</w:t>
      </w:r>
      <w:r>
        <w:rPr>
          <w:rFonts w:hint="eastAsia" w:ascii="宋体" w:hAnsi="宋体" w:eastAsia="宋体" w:cs="宋体"/>
          <w:szCs w:val="21"/>
        </w:rPr>
        <w:t>供应商</w:t>
      </w:r>
      <w:r>
        <w:rPr>
          <w:rFonts w:hint="eastAsia" w:ascii="宋体" w:hAnsi="宋体" w:eastAsia="宋体" w:cs="宋体"/>
        </w:rPr>
        <w:t>应对竞标内容所涉及的专利承担法律责任，并负责保护采购人的利益不受任何损害。一切由于文字、商标、技术和软件专利授权引起的法律裁决、诉讼和赔偿费用均由成交供应商负责。</w:t>
      </w:r>
    </w:p>
    <w:p w14:paraId="7A15CF3B">
      <w:pPr>
        <w:tabs>
          <w:tab w:val="left" w:pos="180"/>
          <w:tab w:val="left" w:pos="1620"/>
        </w:tabs>
        <w:spacing w:line="420" w:lineRule="exact"/>
        <w:ind w:firstLine="420"/>
        <w:rPr>
          <w:rFonts w:ascii="宋体" w:hAnsi="宋体" w:eastAsia="宋体" w:cs="宋体"/>
          <w:i/>
          <w:iCs/>
          <w:color w:val="FF0000"/>
          <w:u w:val="single"/>
        </w:rPr>
      </w:pPr>
      <w:r>
        <w:rPr>
          <w:rFonts w:hint="eastAsia" w:ascii="宋体" w:hAnsi="宋体" w:eastAsia="宋体" w:cs="宋体"/>
        </w:rPr>
        <w:t>6.采购标的对应的中小企业划分标准</w:t>
      </w:r>
      <w:r>
        <w:rPr>
          <w:rFonts w:hint="eastAsia" w:ascii="宋体" w:hAnsi="宋体" w:eastAsia="宋体" w:cs="宋体"/>
          <w:color w:val="auto"/>
        </w:rPr>
        <w:t>所属行业名称：</w:t>
      </w:r>
      <w:r>
        <w:rPr>
          <w:rFonts w:hint="eastAsia" w:ascii="宋体" w:hAnsi="宋体" w:eastAsia="宋体" w:cs="宋体"/>
          <w:color w:val="auto"/>
          <w:u w:val="single"/>
        </w:rPr>
        <w:t xml:space="preserve"> </w:t>
      </w:r>
      <w:r>
        <w:rPr>
          <w:rFonts w:hint="eastAsia" w:ascii="宋体" w:hAnsi="宋体" w:eastAsia="宋体" w:cs="宋体"/>
          <w:color w:val="auto"/>
        </w:rPr>
        <w:t>工业</w:t>
      </w:r>
      <w:r>
        <w:rPr>
          <w:rFonts w:hint="eastAsia" w:ascii="宋体" w:hAnsi="宋体" w:eastAsia="宋体" w:cs="宋体"/>
          <w:color w:val="auto"/>
          <w:u w:val="single"/>
        </w:rPr>
        <w:t>。</w:t>
      </w:r>
    </w:p>
    <w:bookmarkEnd w:id="0"/>
    <w:p w14:paraId="1E6C5C5D">
      <w:pPr>
        <w:pStyle w:val="4"/>
        <w:rPr>
          <w:rFonts w:ascii="宋体" w:hAnsi="宋体" w:cs="宋体"/>
          <w:i/>
          <w:iCs/>
          <w:u w:val="single"/>
          <w:lang w:val="en-US"/>
        </w:rPr>
      </w:pPr>
    </w:p>
    <w:tbl>
      <w:tblPr>
        <w:tblStyle w:val="5"/>
        <w:tblW w:w="10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77"/>
        <w:gridCol w:w="941"/>
        <w:gridCol w:w="708"/>
        <w:gridCol w:w="993"/>
        <w:gridCol w:w="567"/>
        <w:gridCol w:w="5154"/>
        <w:gridCol w:w="567"/>
      </w:tblGrid>
      <w:tr w14:paraId="23CE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0793" w:type="dxa"/>
            <w:gridSpan w:val="8"/>
            <w:tcBorders>
              <w:top w:val="single" w:color="auto" w:sz="4" w:space="0"/>
              <w:left w:val="single" w:color="auto" w:sz="4" w:space="0"/>
              <w:bottom w:val="single" w:color="auto" w:sz="4" w:space="0"/>
              <w:right w:val="single" w:color="auto" w:sz="4" w:space="0"/>
            </w:tcBorders>
            <w:vAlign w:val="center"/>
          </w:tcPr>
          <w:p w14:paraId="36031D0C">
            <w:pPr>
              <w:spacing w:line="560" w:lineRule="exact"/>
              <w:jc w:val="left"/>
              <w:rPr>
                <w:rFonts w:ascii="宋体" w:hAnsi="宋体" w:eastAsia="宋体" w:cs="宋体"/>
                <w:b/>
                <w:sz w:val="28"/>
                <w:szCs w:val="28"/>
              </w:rPr>
            </w:pPr>
            <w:bookmarkStart w:id="1" w:name="PO_TDCUS_ITEM_PB_REQ_FILE_1_1"/>
            <w:r>
              <w:rPr>
                <w:rFonts w:hint="eastAsia" w:ascii="宋体" w:hAnsi="宋体" w:eastAsia="宋体" w:cs="宋体"/>
                <w:b/>
                <w:sz w:val="28"/>
                <w:szCs w:val="28"/>
              </w:rPr>
              <w:t>一、采购需求一览表</w:t>
            </w:r>
          </w:p>
        </w:tc>
      </w:tr>
      <w:bookmarkEnd w:id="1"/>
      <w:tr w14:paraId="26F2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vAlign w:val="center"/>
          </w:tcPr>
          <w:p w14:paraId="425606D0">
            <w:pPr>
              <w:spacing w:line="560" w:lineRule="exact"/>
              <w:jc w:val="center"/>
              <w:rPr>
                <w:rFonts w:ascii="宋体" w:hAnsi="宋体" w:eastAsia="宋体" w:cs="宋体"/>
                <w:szCs w:val="21"/>
              </w:rPr>
            </w:pPr>
            <w:r>
              <w:rPr>
                <w:rFonts w:hint="eastAsia" w:ascii="宋体" w:hAnsi="宋体" w:eastAsia="宋体" w:cs="宋体"/>
                <w:szCs w:val="21"/>
              </w:rPr>
              <w:t>序号</w:t>
            </w:r>
          </w:p>
        </w:tc>
        <w:tc>
          <w:tcPr>
            <w:tcW w:w="1277" w:type="dxa"/>
            <w:tcBorders>
              <w:top w:val="single" w:color="auto" w:sz="4" w:space="0"/>
              <w:left w:val="single" w:color="auto" w:sz="4" w:space="0"/>
              <w:bottom w:val="single" w:color="auto" w:sz="4" w:space="0"/>
              <w:right w:val="single" w:color="auto" w:sz="4" w:space="0"/>
            </w:tcBorders>
            <w:vAlign w:val="center"/>
          </w:tcPr>
          <w:p w14:paraId="3F00BA97">
            <w:pPr>
              <w:spacing w:line="560" w:lineRule="exact"/>
              <w:jc w:val="center"/>
              <w:rPr>
                <w:rFonts w:ascii="宋体" w:hAnsi="宋体" w:eastAsia="宋体" w:cs="宋体"/>
                <w:szCs w:val="21"/>
              </w:rPr>
            </w:pPr>
            <w:r>
              <w:rPr>
                <w:rFonts w:hint="eastAsia" w:ascii="宋体" w:hAnsi="宋体" w:eastAsia="宋体" w:cs="宋体"/>
                <w:szCs w:val="21"/>
              </w:rPr>
              <w:t>标的名称</w:t>
            </w:r>
          </w:p>
        </w:tc>
        <w:tc>
          <w:tcPr>
            <w:tcW w:w="941" w:type="dxa"/>
            <w:tcBorders>
              <w:top w:val="single" w:color="auto" w:sz="4" w:space="0"/>
              <w:left w:val="single" w:color="auto" w:sz="4" w:space="0"/>
              <w:bottom w:val="single" w:color="auto" w:sz="4" w:space="0"/>
              <w:right w:val="single" w:color="auto" w:sz="4" w:space="0"/>
            </w:tcBorders>
            <w:vAlign w:val="center"/>
          </w:tcPr>
          <w:p w14:paraId="7A59ED40">
            <w:pPr>
              <w:spacing w:line="560" w:lineRule="exact"/>
              <w:jc w:val="center"/>
              <w:rPr>
                <w:rFonts w:ascii="宋体" w:hAnsi="宋体" w:eastAsia="宋体" w:cs="宋体"/>
                <w:szCs w:val="21"/>
              </w:rPr>
            </w:pPr>
            <w:r>
              <w:rPr>
                <w:rFonts w:hint="eastAsia" w:ascii="宋体" w:hAnsi="宋体" w:eastAsia="宋体" w:cs="宋体"/>
                <w:szCs w:val="21"/>
              </w:rPr>
              <w:t>单价预算（元）</w:t>
            </w:r>
          </w:p>
        </w:tc>
        <w:tc>
          <w:tcPr>
            <w:tcW w:w="708" w:type="dxa"/>
            <w:tcBorders>
              <w:top w:val="single" w:color="auto" w:sz="4" w:space="0"/>
              <w:left w:val="single" w:color="auto" w:sz="4" w:space="0"/>
              <w:bottom w:val="single" w:color="auto" w:sz="4" w:space="0"/>
              <w:right w:val="single" w:color="auto" w:sz="4" w:space="0"/>
            </w:tcBorders>
            <w:vAlign w:val="center"/>
          </w:tcPr>
          <w:p w14:paraId="3F39999B">
            <w:pPr>
              <w:spacing w:line="560" w:lineRule="exact"/>
              <w:jc w:val="center"/>
              <w:rPr>
                <w:rFonts w:ascii="宋体" w:hAnsi="宋体" w:eastAsia="宋体" w:cs="宋体"/>
                <w:szCs w:val="21"/>
              </w:rPr>
            </w:pPr>
            <w:r>
              <w:rPr>
                <w:rFonts w:hint="eastAsia" w:ascii="宋体" w:hAnsi="宋体" w:eastAsia="宋体" w:cs="宋体"/>
                <w:szCs w:val="21"/>
              </w:rPr>
              <w:t>数量</w:t>
            </w:r>
          </w:p>
        </w:tc>
        <w:tc>
          <w:tcPr>
            <w:tcW w:w="993" w:type="dxa"/>
            <w:tcBorders>
              <w:top w:val="single" w:color="auto" w:sz="4" w:space="0"/>
              <w:left w:val="single" w:color="auto" w:sz="4" w:space="0"/>
              <w:bottom w:val="single" w:color="auto" w:sz="4" w:space="0"/>
              <w:right w:val="single" w:color="auto" w:sz="4" w:space="0"/>
            </w:tcBorders>
            <w:vAlign w:val="center"/>
          </w:tcPr>
          <w:p w14:paraId="1858FDA7">
            <w:pPr>
              <w:spacing w:line="560" w:lineRule="exact"/>
              <w:jc w:val="center"/>
              <w:rPr>
                <w:rFonts w:ascii="宋体" w:hAnsi="宋体" w:eastAsia="宋体" w:cs="宋体"/>
                <w:szCs w:val="21"/>
              </w:rPr>
            </w:pPr>
            <w:r>
              <w:rPr>
                <w:rFonts w:hint="eastAsia" w:ascii="宋体" w:hAnsi="宋体" w:eastAsia="宋体" w:cs="宋体"/>
                <w:szCs w:val="21"/>
              </w:rPr>
              <w:t>分项</w:t>
            </w:r>
            <w:r>
              <w:rPr>
                <w:rFonts w:hint="eastAsia" w:ascii="宋体" w:hAnsi="宋体" w:eastAsia="宋体" w:cs="宋体"/>
                <w:szCs w:val="21"/>
                <w:lang w:val="en-US" w:eastAsia="zh-CN"/>
              </w:rPr>
              <w:t>预算</w:t>
            </w:r>
            <w:r>
              <w:rPr>
                <w:rFonts w:hint="eastAsia" w:ascii="宋体" w:hAnsi="宋体" w:eastAsia="宋体" w:cs="宋体"/>
                <w:szCs w:val="21"/>
              </w:rPr>
              <w:t>合计（元）</w:t>
            </w:r>
          </w:p>
        </w:tc>
        <w:tc>
          <w:tcPr>
            <w:tcW w:w="567" w:type="dxa"/>
            <w:tcBorders>
              <w:top w:val="single" w:color="auto" w:sz="4" w:space="0"/>
              <w:left w:val="single" w:color="auto" w:sz="4" w:space="0"/>
              <w:bottom w:val="single" w:color="auto" w:sz="4" w:space="0"/>
              <w:right w:val="single" w:color="auto" w:sz="4" w:space="0"/>
            </w:tcBorders>
            <w:vAlign w:val="center"/>
          </w:tcPr>
          <w:p w14:paraId="7428DFC2">
            <w:pPr>
              <w:spacing w:line="560" w:lineRule="exact"/>
              <w:jc w:val="center"/>
              <w:rPr>
                <w:rFonts w:ascii="宋体" w:hAnsi="宋体" w:eastAsia="宋体" w:cs="宋体"/>
                <w:szCs w:val="21"/>
              </w:rPr>
            </w:pPr>
            <w:r>
              <w:rPr>
                <w:rFonts w:hint="eastAsia" w:ascii="宋体" w:hAnsi="宋体" w:eastAsia="宋体" w:cs="宋体"/>
              </w:rPr>
              <w:t>计量单位</w:t>
            </w:r>
          </w:p>
        </w:tc>
        <w:tc>
          <w:tcPr>
            <w:tcW w:w="5154" w:type="dxa"/>
            <w:tcBorders>
              <w:top w:val="single" w:color="auto" w:sz="4" w:space="0"/>
              <w:left w:val="single" w:color="auto" w:sz="4" w:space="0"/>
              <w:bottom w:val="single" w:color="auto" w:sz="4" w:space="0"/>
              <w:right w:val="single" w:color="auto" w:sz="4" w:space="0"/>
            </w:tcBorders>
            <w:vAlign w:val="center"/>
          </w:tcPr>
          <w:p w14:paraId="3AFAC0DA">
            <w:pPr>
              <w:spacing w:line="560" w:lineRule="exact"/>
              <w:jc w:val="center"/>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技术参数要求、技术参数及配置</w:t>
            </w:r>
          </w:p>
        </w:tc>
        <w:tc>
          <w:tcPr>
            <w:tcW w:w="567" w:type="dxa"/>
            <w:tcBorders>
              <w:top w:val="single" w:color="auto" w:sz="4" w:space="0"/>
              <w:left w:val="single" w:color="auto" w:sz="4" w:space="0"/>
              <w:bottom w:val="single" w:color="auto" w:sz="4" w:space="0"/>
              <w:right w:val="single" w:color="auto" w:sz="4" w:space="0"/>
            </w:tcBorders>
            <w:vAlign w:val="center"/>
          </w:tcPr>
          <w:p w14:paraId="1352CC0C">
            <w:pPr>
              <w:spacing w:line="560" w:lineRule="exact"/>
              <w:jc w:val="center"/>
              <w:rPr>
                <w:rFonts w:ascii="宋体" w:hAnsi="宋体" w:eastAsia="宋体" w:cs="宋体"/>
                <w:szCs w:val="21"/>
              </w:rPr>
            </w:pPr>
            <w:r>
              <w:rPr>
                <w:rFonts w:hint="eastAsia" w:ascii="宋体" w:hAnsi="宋体" w:eastAsia="宋体" w:cs="宋体"/>
                <w:szCs w:val="21"/>
              </w:rPr>
              <w:t>是否进口</w:t>
            </w:r>
          </w:p>
        </w:tc>
      </w:tr>
      <w:tr w14:paraId="43FA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4694AB5">
            <w:pPr>
              <w:spacing w:line="560" w:lineRule="exact"/>
              <w:jc w:val="center"/>
              <w:rPr>
                <w:rFonts w:ascii="宋体" w:hAnsi="宋体" w:eastAsia="宋体" w:cs="宋体"/>
                <w:bCs/>
                <w:szCs w:val="21"/>
              </w:rPr>
            </w:pPr>
            <w:r>
              <w:rPr>
                <w:rFonts w:hint="eastAsia" w:ascii="宋体" w:hAnsi="宋体" w:eastAsia="宋体" w:cs="宋体"/>
                <w:bCs/>
                <w:szCs w:val="21"/>
              </w:rPr>
              <w:t>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F6ED5B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蛇类文化展馆科普智能交互终端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27982B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5723E9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4B5D91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2C79081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A117A73">
            <w:pPr>
              <w:widowControl/>
              <w:numPr>
                <w:ilvl w:val="0"/>
                <w:numId w:val="1"/>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整机要求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1、整机需采用一体化设计，全金属外壳，外部无任何可见内部功能模块连接线，边角圆弧设计，无尖锐边缘或凸起。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2、显示屏幕尺寸规格：≥65英寸，采用UHD超高清LED液晶屏，防眩光全钢化防爆玻璃面板,显示比例为16：9，分辨率不低于3840*2160。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3、整机需符合GB40070-2021标准的显示技术要求，亮度需≥300cd/m²且≤400cd/m²，对比度≥1000：1，亮度均匀性≥70%，闪烁等级≤-30dB（60Hz），蓝光防护需符合RG0等级要求，水平视角≥120°；垂直视角≥60°。（</w:t>
            </w:r>
            <w:r>
              <w:rPr>
                <w:rFonts w:hint="eastAsia"/>
                <w:highlight w:val="none"/>
                <w:lang w:val="en-US" w:eastAsia="zh-CN"/>
              </w:rPr>
              <w:t>竞标时在响应文件中</w:t>
            </w:r>
            <w:r>
              <w:rPr>
                <w:rFonts w:hint="eastAsia" w:ascii="宋体" w:hAnsi="宋体" w:eastAsia="宋体" w:cs="宋体"/>
                <w:color w:val="000000"/>
                <w:szCs w:val="21"/>
                <w:highlight w:val="none"/>
                <w:lang w:bidi="ar"/>
              </w:rPr>
              <w:t>提供国家认可的第三方权威机构出具的测试报告复印件或官网截图或产品彩页复印件，并加盖</w:t>
            </w:r>
            <w:r>
              <w:rPr>
                <w:rFonts w:hint="eastAsia" w:ascii="宋体" w:hAnsi="宋体" w:eastAsia="宋体" w:cs="宋体"/>
                <w:color w:val="000000"/>
                <w:szCs w:val="21"/>
                <w:highlight w:val="none"/>
                <w:lang w:val="en-US" w:eastAsia="zh-CN" w:bidi="ar"/>
              </w:rPr>
              <w:t>供应商</w:t>
            </w:r>
            <w:r>
              <w:rPr>
                <w:rFonts w:hint="eastAsia" w:ascii="宋体" w:hAnsi="宋体" w:eastAsia="宋体" w:cs="宋体"/>
                <w:color w:val="000000"/>
                <w:szCs w:val="21"/>
                <w:highlight w:val="none"/>
                <w:lang w:bidi="ar"/>
              </w:rPr>
              <w:t>公章）</w:t>
            </w:r>
            <w:r>
              <w:rPr>
                <w:rFonts w:hint="eastAsia" w:ascii="宋体" w:hAnsi="宋体" w:eastAsia="宋体" w:cs="宋体"/>
                <w:color w:val="000000"/>
                <w:szCs w:val="21"/>
                <w:highlight w:val="none"/>
                <w:lang w:bidi="ar"/>
              </w:rPr>
              <w:br w:type="textWrapping"/>
            </w:r>
            <w:r>
              <w:rPr>
                <w:rFonts w:hint="eastAsia" w:ascii="宋体" w:hAnsi="宋体" w:eastAsia="宋体" w:cs="宋体"/>
                <w:color w:val="000000"/>
                <w:szCs w:val="21"/>
                <w:highlight w:val="none"/>
                <w:lang w:bidi="ar"/>
              </w:rPr>
              <w:t>4、整机系统需具备高清电视处理能力，支持4K高清画质输出。</w:t>
            </w:r>
            <w:r>
              <w:rPr>
                <w:rFonts w:hint="eastAsia" w:ascii="宋体" w:hAnsi="宋体" w:eastAsia="宋体" w:cs="宋体"/>
                <w:color w:val="000000"/>
                <w:szCs w:val="21"/>
                <w:highlight w:val="none"/>
                <w:lang w:bidi="ar"/>
              </w:rPr>
              <w:br w:type="textWrapping"/>
            </w:r>
            <w:r>
              <w:rPr>
                <w:rFonts w:hint="eastAsia" w:ascii="宋体" w:hAnsi="宋体" w:eastAsia="宋体" w:cs="宋体"/>
                <w:color w:val="000000"/>
                <w:szCs w:val="21"/>
                <w:highlight w:val="none"/>
                <w:lang w:bidi="ar"/>
              </w:rPr>
              <w:t>5、整机需内置专业硬件自检维护工具，不接受第三方工具。（</w:t>
            </w:r>
            <w:r>
              <w:rPr>
                <w:rFonts w:hint="eastAsia"/>
                <w:highlight w:val="none"/>
                <w:lang w:val="en-US" w:eastAsia="zh-CN"/>
              </w:rPr>
              <w:t>竞标时在响应文件中</w:t>
            </w:r>
            <w:r>
              <w:rPr>
                <w:rFonts w:hint="eastAsia" w:ascii="宋体" w:hAnsi="宋体" w:eastAsia="宋体" w:cs="宋体"/>
                <w:color w:val="000000"/>
                <w:szCs w:val="21"/>
                <w:highlight w:val="none"/>
                <w:lang w:bidi="ar"/>
              </w:rPr>
              <w:t>提</w:t>
            </w:r>
            <w:r>
              <w:rPr>
                <w:rFonts w:hint="eastAsia" w:ascii="宋体" w:hAnsi="宋体" w:eastAsia="宋体" w:cs="宋体"/>
                <w:color w:val="000000"/>
                <w:szCs w:val="21"/>
                <w:lang w:bidi="ar"/>
              </w:rPr>
              <w:t>供国家认可的第三方权威机构出具的测试报告复印件或官网截图或产品彩页复印件，并加盖</w:t>
            </w:r>
            <w:r>
              <w:rPr>
                <w:rFonts w:hint="eastAsia" w:ascii="宋体" w:hAnsi="宋体" w:eastAsia="宋体" w:cs="宋体"/>
                <w:color w:val="000000"/>
                <w:szCs w:val="21"/>
                <w:lang w:val="en-US"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6、整机需支持在window7/8/10/MacOS/Linux/麒麟/UOS统信等国产化系统下≥40点触控。整机红外触控技术支持HID免驱协议，window7/8/10/MacOS/Linux/麒麟/UOS统信等国产化系统下自动识别，无需额外安装驱动程序。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7、整机需支持在任意通道中可以无需通过物理按键，通过三指手势调用悬浮菜单到屏幕任意位置。悬浮菜单可根据用户需要自定义替换。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8、整机需支持在任意通道下调出中控便捷菜单，响应无延迟，具有返回操作、一键主页、任务预览、菜单设置、全通道屏幕批注功能。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9、整机需自带Android系统，嵌入式系统版本≥Android13.0，内存≥4GB，存储空间≥32GB。（</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提供国家认可的第三方权威机构出具的测试报告复印件或官网截图或产品彩页复印件，并加盖</w:t>
            </w:r>
            <w:r>
              <w:rPr>
                <w:rFonts w:hint="eastAsia" w:ascii="宋体" w:hAnsi="宋体" w:eastAsia="宋体" w:cs="宋体"/>
                <w:color w:val="000000"/>
                <w:szCs w:val="21"/>
                <w:lang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10、无需借助PC，嵌入式系统需内置互动白板，工具栏采用发散式图标，易于识别。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11、嵌入式系统下，在选中笔迹或形状后，可选择不同颜色对笔迹或形状进行换色，区别各类内容，突出重点。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12、嵌入式系统下，可实现白板书写、多媒体播放、网页浏览等功能，与内置/外接电脑形成双操作系统安全备份。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13、嵌入式系统需具备文件浏览功能，可实现文件分类，选定、全选、复制、粘贴、删除。</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14、嵌入式系统需支持将文件进行自动归类，分类查找文档、音乐、视频、图片等文件，检索后可直接在界面中打开，并支持自主安装第三方APK应用。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15、嵌入式系统需内置无线传屏功能，支持安卓、IOS、Windows及Mac设备通过无线方式连接到一体机。支持单画面、多画面显示。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16、嵌入式系统传屏时，需支持不少于4个投屏客户端图像画面对比展示。</w:t>
            </w:r>
          </w:p>
          <w:p w14:paraId="23243DA0">
            <w:pPr>
              <w:widowControl/>
              <w:numPr>
                <w:ilvl w:val="255"/>
                <w:numId w:val="0"/>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17、整机需提供不少于8个固定功能的物理按键，至少具备电源开关、一键切换安卓主页、一键调用信号源菜单、音量调节、一键开启护眼模式、触控开关等常用功能；并提供不少于1个自定义按键，满足个性化需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18、整机需具备常用的前置接口，具备≥1路HDMI接口、≥3路前置双系统USB接口、≥1路Type-C、≥1路TOUCHUSB。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19、整机需支持通过Type-C接口实现音视频输入，外接电脑设备通过标准Type-C线连接至整机Type-C口，即可把外接电脑设备画面投到整机上，同时在整机上操作画面，可实现触摸电脑的操作。</w:t>
            </w:r>
          </w:p>
          <w:p w14:paraId="3386DD71">
            <w:pPr>
              <w:widowControl/>
              <w:numPr>
                <w:ilvl w:val="255"/>
                <w:numId w:val="0"/>
              </w:numPr>
              <w:jc w:val="left"/>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20、整机需内置摄像头、麦克风以及扬声器，不占用整机外部设备接口，摄像头可拍摄≥1600万像素的照片，麦克风阵列数≥8阵列，扬声器总功率≥60W。</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21、整机摄像头需支持人脸识别、点人数、随机抽人，可识别镜头前的所有学生，并显示人脸标记、随机抽选。支持同时显示标记不少于60人，可AI识别人像，人像识别距离≥10米。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22、整机需支持纸质护眼模式，可实时调整画面纹理，同时支持色温调节和透明度调节。（</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提供国家认可的第三方权威机构出具的测试报告复印件或官网截图或产品彩页复印件，并加盖</w:t>
            </w:r>
            <w:r>
              <w:rPr>
                <w:rFonts w:hint="eastAsia" w:ascii="宋体" w:hAnsi="宋体" w:eastAsia="宋体" w:cs="宋体"/>
                <w:color w:val="000000"/>
                <w:szCs w:val="21"/>
                <w:lang w:eastAsia="zh-CN" w:bidi="ar"/>
              </w:rPr>
              <w:t>供应商</w:t>
            </w:r>
            <w:r>
              <w:rPr>
                <w:rFonts w:hint="eastAsia" w:ascii="宋体" w:hAnsi="宋体" w:eastAsia="宋体" w:cs="宋体"/>
                <w:color w:val="000000"/>
                <w:szCs w:val="21"/>
                <w:lang w:bidi="ar"/>
              </w:rPr>
              <w:t>公章）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23、整机需具备单独听功能，在关闭显示部分的情况下可播放音频。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24、整机需内含WiFi热点，支持2.4G/5G网络接入，并且WIFI天线模块采用面板前置设计。</w:t>
            </w:r>
          </w:p>
          <w:p w14:paraId="6E3B0AC4">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25、整机需自带无线AP模块，支持自身连接网络的同时，支持一键自建热点（覆盖5G、2.4G双频模式），一边连WiFi上网，一边开热点共享。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26、不采用任何物理升降结构，整机需支持通过软件快捷键即可实现液晶屏显示窗口下移。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二、内置OPS电脑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1、OPS为标准的80针可拔插式电脑OPS电脑，采用抽拉内置式模块化电脑。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2、支持≥Inteli5系列处理器，内存配置≥8GB，硬盘支持≥256GB固态硬盘，内置WIFI和蓝牙模块。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3、扩展接口：≥1路HDMI输出、≥1路网线端口、≥6路USB、≥1路MICIN、≥1路LineOUT。</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4、预装Windows操作系统。</w:t>
            </w:r>
            <w:r>
              <w:rPr>
                <w:rFonts w:hint="eastAsia" w:ascii="宋体" w:hAnsi="宋体" w:eastAsia="宋体" w:cs="宋体"/>
                <w:color w:val="000000"/>
                <w:szCs w:val="21"/>
                <w:lang w:bidi="ar"/>
              </w:rPr>
              <w:br w:type="textWrapping"/>
            </w:r>
          </w:p>
        </w:tc>
        <w:tc>
          <w:tcPr>
            <w:tcW w:w="567" w:type="dxa"/>
            <w:tcBorders>
              <w:top w:val="single" w:color="auto" w:sz="4" w:space="0"/>
              <w:left w:val="single" w:color="auto" w:sz="4" w:space="0"/>
              <w:bottom w:val="single" w:color="auto" w:sz="4" w:space="0"/>
              <w:right w:val="single" w:color="auto" w:sz="4" w:space="0"/>
            </w:tcBorders>
            <w:vAlign w:val="center"/>
          </w:tcPr>
          <w:p w14:paraId="0AF4877D">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7A6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5E08DC5">
            <w:pPr>
              <w:spacing w:line="560" w:lineRule="exact"/>
              <w:jc w:val="center"/>
              <w:rPr>
                <w:rFonts w:ascii="宋体" w:hAnsi="宋体" w:eastAsia="宋体" w:cs="宋体"/>
                <w:bCs/>
                <w:szCs w:val="21"/>
              </w:rPr>
            </w:pPr>
            <w:r>
              <w:rPr>
                <w:rFonts w:hint="eastAsia" w:ascii="宋体" w:hAnsi="宋体" w:eastAsia="宋体" w:cs="宋体"/>
                <w:bCs/>
                <w:szCs w:val="21"/>
              </w:rPr>
              <w:t>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126CC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蛇类科普知识智能互动问答系统</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8D7FEF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E3F6C5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816450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3B670E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09E4FCD">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1．采用WPF（WindowsPresentationFoundation）是微软推出的基于Windows的用户界面框架开发。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2．支持UI设计与制作版面，自定义更换素材资料、支持题库分类、支持题库更改，题库用Execl表保存，不需要专业人员即可调整。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3．支持题目设置相当合理可分初级、中级、高级、内容支持用Excel表管理题库，可随意更改题目。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4．支持单选题、多选题、判断题，系统随机从题库抽取多少道进行答题。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5．支持自定义背景图片、自定义功能按钮、自由拖动按钮位置。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6．支持答题人数统计，答错答对都有动效提示，答错显示正确答案。</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7．支持用户体验结束后可进行拍照留念，可以将成绩单打印下来，也可以将成绩单通过手机扫二维码保存到手机上。</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8．支持打印的纸张尺寸可以调整，答对答错动画时间调整，里面可以设置总答题数量。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9．支持答题过程中可设置重答按钮，支持单选或者多选提示，题目顺序可在软件内设置，题目的数量，单题分数，单题时间，答题时间。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10．支持开启正确答题提示语，支持参与者页面，支持显示时间，支持背景音乐，支持屏保功能，支持返回主页。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11．支持排行榜统计功能，类目有排行、姓名、成绩、答题时间。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12．支持具有排行榜功能，每次答题结束后，将当前成绩及历史成绩显示在界面中。</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13．支持所展示的背景、按钮功能键更换方便；更换的背景，按钮直接替换到指定文件夹，软件会自动扫描进行更换。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14．支持本地后台管理，按钮背景图片可以在文件夹内进行更换。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15．支持开机自启、自动关机、无人触摸广告图播放、无人触摸自动返回主页、背景音乐等功能。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16．支持安全保障，全屏浏览限制，隐藏式退出按钮，需管理员输入密码方可退出系统。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17．前端界面具有自由拖拽功能按钮、页面排版等设计模式功能。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18．含蛇类互动问题不少于50题。</w:t>
            </w:r>
          </w:p>
        </w:tc>
        <w:tc>
          <w:tcPr>
            <w:tcW w:w="567" w:type="dxa"/>
            <w:tcBorders>
              <w:top w:val="single" w:color="auto" w:sz="4" w:space="0"/>
              <w:left w:val="single" w:color="auto" w:sz="4" w:space="0"/>
              <w:bottom w:val="single" w:color="auto" w:sz="4" w:space="0"/>
              <w:right w:val="single" w:color="auto" w:sz="4" w:space="0"/>
            </w:tcBorders>
            <w:vAlign w:val="center"/>
          </w:tcPr>
          <w:p w14:paraId="0F30AAC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9C0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1CD9634">
            <w:pPr>
              <w:spacing w:line="560" w:lineRule="exact"/>
              <w:jc w:val="center"/>
              <w:rPr>
                <w:rFonts w:ascii="宋体" w:hAnsi="宋体" w:eastAsia="宋体" w:cs="宋体"/>
                <w:bCs/>
                <w:szCs w:val="21"/>
              </w:rPr>
            </w:pPr>
            <w:r>
              <w:rPr>
                <w:rFonts w:hint="eastAsia" w:ascii="宋体" w:hAnsi="宋体" w:eastAsia="宋体" w:cs="宋体"/>
                <w:bCs/>
                <w:szCs w:val="21"/>
              </w:rPr>
              <w:t>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362FF2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墙面互动感应识别软件</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50EE1E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AAB8D3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E9692B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2C0520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D5155A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1．软件采用</w:t>
            </w:r>
            <w:bookmarkStart w:id="2" w:name="OLE_LINK2"/>
            <w:r>
              <w:rPr>
                <w:rFonts w:hint="eastAsia" w:ascii="宋体" w:hAnsi="宋体" w:eastAsia="宋体" w:cs="宋体"/>
                <w:color w:val="000000"/>
                <w:szCs w:val="21"/>
                <w:lang w:bidi="ar"/>
              </w:rPr>
              <w:t>Unity3D</w:t>
            </w:r>
            <w:bookmarkEnd w:id="2"/>
            <w:r>
              <w:rPr>
                <w:rFonts w:hint="eastAsia" w:ascii="宋体" w:hAnsi="宋体" w:eastAsia="宋体" w:cs="宋体"/>
                <w:color w:val="000000"/>
                <w:szCs w:val="21"/>
                <w:lang w:bidi="ar"/>
              </w:rPr>
              <w:t>技术开发，Unity是实时3D互动内容创作和运营平台；包括多媒体软件开发、影视的所有创作者，借助Unity将创意变成现实；Unity平台提供一整套完善的软件解决方案，可用于创作、运营和变现任何实时互动的2D和3D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2．支持交互软件与灯箱实时联动，点击灯箱，显示屏内软件可展示相对应的内容。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3．支持展示图片、视频、PDF等文档资料。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4．支持视频展示有进度条可调节快进快退，暂停播放等操作。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5．支持图片展示点击后可放大缩小，或自动轮播展示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6．支持自定义背景图片、支持自定义更换版面UI、自由拖动按钮位置。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7．支持所展示的资料信息维护更新方便；维护的信息直接放到指定文件夹，系统会自动扫描识别进行更新。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8．支持本地化后台管理，互动展示系统上所展示的各种多媒体文件都可进行编辑、管理与发布。以上功能都可以在本地后台进行设置。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9．支持开机自启、自动关机、无人触摸自动返回主页等功能。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10．支持安全保障，全屏浏览限制，隐藏式退出按钮，需管理员输入密码方可退出系统。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11．前端界面具有自由拖拽功能按钮、页面排版等设计模式功能。</w:t>
            </w:r>
          </w:p>
        </w:tc>
        <w:tc>
          <w:tcPr>
            <w:tcW w:w="567" w:type="dxa"/>
            <w:tcBorders>
              <w:top w:val="single" w:color="auto" w:sz="4" w:space="0"/>
              <w:left w:val="single" w:color="auto" w:sz="4" w:space="0"/>
              <w:bottom w:val="single" w:color="auto" w:sz="4" w:space="0"/>
              <w:right w:val="single" w:color="auto" w:sz="4" w:space="0"/>
            </w:tcBorders>
            <w:vAlign w:val="center"/>
          </w:tcPr>
          <w:p w14:paraId="58822F8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196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85E53B7">
            <w:pPr>
              <w:spacing w:line="560" w:lineRule="exact"/>
              <w:jc w:val="center"/>
              <w:rPr>
                <w:rFonts w:ascii="宋体" w:hAnsi="宋体" w:eastAsia="宋体" w:cs="宋体"/>
                <w:bCs/>
                <w:szCs w:val="21"/>
              </w:rPr>
            </w:pPr>
            <w:r>
              <w:rPr>
                <w:rFonts w:hint="eastAsia" w:ascii="宋体" w:hAnsi="宋体" w:eastAsia="宋体" w:cs="宋体"/>
                <w:bCs/>
                <w:szCs w:val="21"/>
              </w:rPr>
              <w:t>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DD0A64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墙面交互设备智能控制终端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54718C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F45682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57D9F9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586751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1769086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（一）控制终端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测量频率：≥n9000／秒；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刷新率：≥12Hz；</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测距直径：≥8米；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通讯方式：RJ45串口通信协议转USB通信协议或串口通信协议转网络通信协议通讯；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（二）定制触摸板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面板材质：高透光亚克力（PMMA）；</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照度均匀度：≥50%；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额定功率：≥15W（视尺寸和灯珠数量浮动）；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光源寿命：≥5000小时；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工作温度：-10℃~40℃；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防护等级：</w:t>
            </w:r>
            <w:r>
              <w:rPr>
                <w:rFonts w:hint="eastAsia" w:ascii="宋体" w:hAnsi="宋体" w:eastAsia="宋体" w:cs="宋体"/>
                <w:color w:val="000000"/>
                <w:szCs w:val="21"/>
                <w:lang w:val="en-US" w:eastAsia="zh-CN" w:bidi="ar"/>
              </w:rPr>
              <w:t>不低于</w:t>
            </w:r>
            <w:r>
              <w:rPr>
                <w:rFonts w:hint="eastAsia" w:ascii="宋体" w:hAnsi="宋体" w:eastAsia="宋体" w:cs="宋体"/>
                <w:color w:val="000000"/>
                <w:szCs w:val="21"/>
                <w:lang w:bidi="ar"/>
              </w:rPr>
              <w:t>IP20（室内使用，无防水）；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根据整体风格及场馆尺寸定制</w:t>
            </w:r>
            <w:r>
              <w:rPr>
                <w:rFonts w:hint="eastAsia" w:ascii="宋体" w:hAnsi="宋体" w:eastAsia="宋体" w:cs="宋体"/>
                <w:color w:val="000000"/>
                <w:szCs w:val="21"/>
                <w:lang w:eastAsia="zh-CN" w:bidi="ar"/>
              </w:rPr>
              <w:t>。</w:t>
            </w:r>
          </w:p>
        </w:tc>
        <w:tc>
          <w:tcPr>
            <w:tcW w:w="567" w:type="dxa"/>
            <w:tcBorders>
              <w:top w:val="single" w:color="auto" w:sz="4" w:space="0"/>
              <w:left w:val="single" w:color="auto" w:sz="4" w:space="0"/>
              <w:bottom w:val="single" w:color="auto" w:sz="4" w:space="0"/>
              <w:right w:val="single" w:color="auto" w:sz="4" w:space="0"/>
            </w:tcBorders>
            <w:vAlign w:val="center"/>
          </w:tcPr>
          <w:p w14:paraId="1C4DCD99">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D9E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D7D6CA3">
            <w:pPr>
              <w:spacing w:line="560" w:lineRule="exact"/>
              <w:jc w:val="center"/>
              <w:rPr>
                <w:rFonts w:ascii="宋体" w:hAnsi="宋体" w:eastAsia="宋体" w:cs="宋体"/>
                <w:bCs/>
                <w:szCs w:val="21"/>
              </w:rPr>
            </w:pPr>
            <w:r>
              <w:rPr>
                <w:rFonts w:hint="eastAsia" w:ascii="宋体" w:hAnsi="宋体" w:eastAsia="宋体" w:cs="宋体"/>
                <w:bCs/>
                <w:szCs w:val="21"/>
              </w:rPr>
              <w:t>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8E2C1D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蛇类科研团队宣传片制作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E45AF5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FF960E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FB658F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B17830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C20630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1.视频分辨率：原生4K（3840×2160），向下兼容1080P，帧率25fps，视频码率≥16Mbps；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2.音频规格：立体声，采样率48kHz，比特率320kbps，配音、背景音乐双音轨分离输出；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3.交付格式：MP4（H.265编码）、MOV双格式，适配展馆安卓触控大屏、Windows系统流畅播放；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1.开篇平台篇：展示珍稀濒危动植物生态与环境保护教育部重点实验室等核心平台实景，引出蛇类研究方向；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2.团队梯队篇：介绍首席专家武正军教授、骨干陈泽柠副教授及完整科研梯队，实拍实验室科研、野外调查工作场景；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3.科研成果篇：呈现素贞环蛇、广西两头蛇等新物种发现成果，展示SCI论文、国家自然科学基金项目、DNA条形码鉴定等技术突破，配合标本特写、数据动画包装；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4.产业服务篇：展示药用蛇良种选育、蛇毒药用开发、养殖技术培训、产学研合作等广西本地产业落地成果；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5.生态保护篇：呈现濒危蛇类种群恢复、栖息地修复、公众科普进校园等保护工作；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6.结尾升华：呼应“科研-产业-保护”协同发展主题，输出团队使命理念。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1.前期筹备：实地调研采访学院科研团队，输出完整分镜脚本，经采购人科研团队审核确认后方可开拍；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2.拍摄制作：采用专业4K电影级摄影机实景拍摄，覆盖实验室、标本馆、野外科研基地、合作产业园区等场景，搭配历史资料素材、数据可视化动画包装；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3.后期制作：专业电影级调色、特效包装、字幕制作，搭配原创科研氛围背景音乐，无版权风险；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4.配音解说：专业配音，语速约220字/分钟，配简体中文同步字幕，关键数据高亮标注；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5.内容合规：所有科研数据、人物信息、成果表述需经采购人科研团队终审确认，确保学术严谨性。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4K成片、1080P成片、后期工程源文件、配音文稿、无字幕纯净版。</w:t>
            </w:r>
          </w:p>
        </w:tc>
        <w:tc>
          <w:tcPr>
            <w:tcW w:w="567" w:type="dxa"/>
            <w:tcBorders>
              <w:top w:val="single" w:color="auto" w:sz="4" w:space="0"/>
              <w:left w:val="single" w:color="auto" w:sz="4" w:space="0"/>
              <w:bottom w:val="single" w:color="auto" w:sz="4" w:space="0"/>
              <w:right w:val="single" w:color="auto" w:sz="4" w:space="0"/>
            </w:tcBorders>
            <w:vAlign w:val="center"/>
          </w:tcPr>
          <w:p w14:paraId="774A43D9">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818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681F370">
            <w:pPr>
              <w:spacing w:line="560" w:lineRule="exact"/>
              <w:jc w:val="center"/>
              <w:rPr>
                <w:rFonts w:ascii="宋体" w:hAnsi="宋体" w:eastAsia="宋体" w:cs="宋体"/>
                <w:bCs/>
                <w:szCs w:val="21"/>
              </w:rPr>
            </w:pPr>
            <w:r>
              <w:rPr>
                <w:rFonts w:hint="eastAsia" w:ascii="宋体" w:hAnsi="宋体" w:eastAsia="宋体" w:cs="宋体"/>
                <w:bCs/>
                <w:szCs w:val="21"/>
              </w:rPr>
              <w:t>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F47AF2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蛇类保护典型违法案例警示教育动画影片制作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41EACC5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58000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F4D6E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BBB7EB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58000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4D3F59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187635AB">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1.视频分辨率：1920×1080（全高清），帧率25fps，视频码率≥8Mbps；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2.音频规格：立体声，采样率48kHz，配音、警示音效、背景音乐三音轨可分离；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3.交付格式：MP4（H.264编码），适配展馆各类播放终端、循环播放需求；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1.开篇引述：点明《野生动物保护法》《国家重点保护野生动物名录》相关法律依据，明确蛇类保护法律定位；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2.案例一：非法猎捕交易：动画还原野外布设猎套、线上交易野生蛇类场景，明确“三有动物20只即刑事立案”的法律标准与处罚后果；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3.案例二：违规食用野味：展示餐馆经营蛇餐、私人组织野味宴席场景，讲解“禁野令”顶格处罚标准与公共健康风险；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4.案例三：盲目外来放生：演示外来蛇种放生后的生态入侵危害，明确生态修复赔偿与民事刑事责任；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5.结尾警示：总结三类违法行为后果，引导公众合法保护、主动举报。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1.呈现形式：采用MG扁平化动画+实景执法素材混剪形式，画风严肃清晰，警示性强，适配全年龄段观众；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2.脚本合规：依据现行《野生动物保护法》《刑法》相关条款编写，法律条文、立案标准、处罚力度表述准确，案例贴合广西本地执法实际；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3.动画制作：场景还原度高，关键法律条文以醒目字幕弹窗呈现，节奏紧凑无冗余；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4.配音解说：专业配音，语气庄重清晰，配简体中文字幕，法律条款内容高亮标注；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5.内容审核：所有法律条文、处罚标准经合规性审核，无表述错误。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高清成片、循环播放版、动画工程源文件、配音文稿、无字幕纯净版</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0F1C3B37">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B15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B98962F">
            <w:pPr>
              <w:spacing w:line="560" w:lineRule="exact"/>
              <w:jc w:val="center"/>
              <w:rPr>
                <w:rFonts w:ascii="宋体" w:hAnsi="宋体" w:eastAsia="宋体" w:cs="宋体"/>
                <w:bCs/>
                <w:szCs w:val="21"/>
              </w:rPr>
            </w:pPr>
            <w:r>
              <w:rPr>
                <w:rFonts w:hint="eastAsia" w:ascii="宋体" w:hAnsi="宋体" w:eastAsia="宋体" w:cs="宋体"/>
                <w:bCs/>
                <w:szCs w:val="21"/>
              </w:rPr>
              <w:t>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6166DA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蛇类保护及合理利用科普动画影片制作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0FC9F2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F4C3A0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4B356F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A509C7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C4AB24F">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一、技术规格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1.视频分辨率：1920×1080（全高清），帧率25fps，视频码率≥8Mbps；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2.音频规格：立体声，采样率48kHz，配音、背景音乐双音轨分离；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3.交付格式：MP4（H.264编码），适配展馆各类播放终端；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4.影片时长：2.5-3分钟。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二、内容框架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1.生态价值篇：动画演示蛇类控鼠、维持食物链平衡的作用，量化展示对农业生产、疫病防控的贡献；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2.医用价值篇：讲解蛇毒凝血酶、神经毒素、抗蛇毒血清的现代医药应用，区分“正规药用”与“非法食用”的边界，破除进补误区；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3.产业转型篇：对比“粗放食用养殖”旧模式与“药用提取、科普观赏、合规繁育”新模式，展示广西本地生物医药、标准化养殖产业实践；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4.公众行动篇：普及日常保护行为准则，引导公众不伤害、不买卖野生蛇类，遇到蛇类科学求助；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5.结尾升华：传递“保护与合理利用平衡”理念，呼应人与自然共生主题。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1.呈现形式：趣味科普MG动画风格，画风生动明快，色彩贴合展馆绿色生态主基调，适配青少年与成人观众；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2.脚本创作：基于展馆科普图文内容编写，所有生物知识点、产业数据准确无误，表述通俗易懂；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3.动画制作：角色、场景融入广西喀斯特、亚热带雨林地域特色，知识点可视化呈现，降低理解门槛，动画流畅度≥24帧/秒；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4.配音解说：专业科普类播音员配音，语速适中、亲和力强，配简体中文字幕，核心知识点高亮标注；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5.内容审核：所有科普知识点经采购人专业团队终审确认，无科学性错误。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四、交付物</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高清成片、动画工程源文件、配音文稿、无字幕纯净版</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62FAA3FD">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894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C35B25A">
            <w:pPr>
              <w:spacing w:line="560" w:lineRule="exact"/>
              <w:jc w:val="center"/>
              <w:rPr>
                <w:rFonts w:ascii="宋体" w:hAnsi="宋体" w:eastAsia="宋体" w:cs="宋体"/>
                <w:bCs/>
                <w:szCs w:val="21"/>
              </w:rPr>
            </w:pPr>
            <w:r>
              <w:rPr>
                <w:rFonts w:hint="eastAsia" w:ascii="宋体" w:hAnsi="宋体" w:eastAsia="宋体" w:cs="宋体"/>
                <w:bCs/>
                <w:szCs w:val="21"/>
              </w:rPr>
              <w:t>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FD880D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蛇类形态AR教学资源</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8283FB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102950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627B52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2E525D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102950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141595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8327998">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1．蛇外部形态、躯体比例、鳞片排布。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2．外部形态高精度AR资源，同步输出轻量化交互版本；</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3．外部形态：2K高清PBR物理材质贴图，包含漫反射、法线、粗糙度，精准还原背鳞、腹鳞的结构差异与皮肤肌理质感，鳞片光泽贴合真实生物特征，适配多光照环境渲染；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4．完整覆盖表皮层，包含：躯体鳞片系统、皮肤纹理。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5．所有结构均以权威两栖爬行动物学资料及展馆科普图文为依据，物种特征结构准确，可通过专业科普团队审核。</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6．模型支持360°旋转、缩放查看，支持分层剥离交互：可单独隐藏/显示任一层级。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7．文件格式齐全、层级分组清晰，无破面、贴图丢失、层级错乱问题；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二、数量要求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不少于30条蛇的AR资源。</w:t>
            </w:r>
          </w:p>
        </w:tc>
        <w:tc>
          <w:tcPr>
            <w:tcW w:w="567" w:type="dxa"/>
            <w:tcBorders>
              <w:top w:val="single" w:color="auto" w:sz="4" w:space="0"/>
              <w:left w:val="single" w:color="auto" w:sz="4" w:space="0"/>
              <w:bottom w:val="single" w:color="auto" w:sz="4" w:space="0"/>
              <w:right w:val="single" w:color="auto" w:sz="4" w:space="0"/>
            </w:tcBorders>
            <w:vAlign w:val="center"/>
          </w:tcPr>
          <w:p w14:paraId="361EE3E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D20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058D250">
            <w:pPr>
              <w:spacing w:line="560" w:lineRule="exact"/>
              <w:jc w:val="center"/>
              <w:rPr>
                <w:rFonts w:ascii="宋体" w:hAnsi="宋体" w:eastAsia="宋体" w:cs="宋体"/>
                <w:bCs/>
                <w:szCs w:val="21"/>
              </w:rPr>
            </w:pPr>
            <w:r>
              <w:rPr>
                <w:rFonts w:hint="eastAsia" w:ascii="宋体" w:hAnsi="宋体" w:eastAsia="宋体" w:cs="宋体"/>
                <w:bCs/>
                <w:szCs w:val="21"/>
              </w:rPr>
              <w:t>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417F77DA">
            <w:pPr>
              <w:widowControl/>
              <w:jc w:val="center"/>
              <w:textAlignment w:val="center"/>
              <w:rPr>
                <w:rFonts w:ascii="宋体" w:hAnsi="宋体" w:eastAsia="宋体" w:cs="宋体"/>
                <w:color w:val="FF0000"/>
                <w:kern w:val="2"/>
                <w:szCs w:val="21"/>
              </w:rPr>
            </w:pPr>
            <w:r>
              <w:rPr>
                <w:rFonts w:hint="eastAsia" w:ascii="宋体" w:hAnsi="宋体" w:eastAsia="宋体" w:cs="宋体"/>
                <w:color w:val="000000"/>
                <w:szCs w:val="21"/>
                <w:lang w:bidi="ar"/>
              </w:rPr>
              <w:t>博物馆小程序定制</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8184B8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96000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577DF2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3B82AC2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96000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A8DBFE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079938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（一）微信小程序端（用户侧，公众号内嵌）</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入口与访问：（1）展品二维码直达：每件蛇类标本对应独立专属二维码，粘贴于展柜旁，微信扫一扫直接跳转对应物种详情页，无需关注公众号即可查看核心内容。（2）公众号菜单入口：博物馆官方公众号设置固定菜单入口，点击直接进入小程序首页。（3）社交分享入口：支持物种详情页、科普文章分享至微信好友与群聊，分享卡片自带物种名称、缩略图与跳转链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首页功能：（1）顶部轮播区：不少于3个轮播位，支持后台自定义上传图片、配置跳转链接，可用于场馆公告、活动宣传、特色物种推荐。（2）快捷功能区：设置扫码导览、蛇类图鉴、场馆资讯、参观指南4个核心快捷入口，图标、名称、跳转路径支持后台可视化配置。（3）热门物种区：自动展示访问量排名前8的热门蛇类物种，点击直接进入详情页，排序规则支持后台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蛇类图鉴核心模块：（1）多维度检索筛选：毒性等级（无毒、微毒、剧毒）、保护级别（国家一级、国家二级、三有保护、无保护）（2）标准化物种详情页：设置基础信息栏、科普正文、多媒体资源、字段结构支持后台灵活调整。（3）基础信息栏：展示中文名、拉丁学名、别名、分类地位、保护等级、毒性标识，信息字段可自定义扩展。（4）科普正文：包含形态特征、生活习性、栖息环境、地理分布、生态价值、安全提示6个标准化栏目，支持富文本格式，可灵活增删栏目。扫码导览模块（1）内置扫码组件：小程序内自带扫码功能，可直接扫描场馆部分展品二维码获取内容。（2）参观足迹：自动记录用户扫码及浏览过的物种，生成个人参观足迹列表，支持回看与批量分享。</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4.场馆资讯模块：（1）支持发布场馆动态、开放通知、研学活动、科普文章等内容，支持图文混排、置顶设置、分类管理。（2）支持查看单篇内容的阅读量、分享量，数据同步至后台统计看板。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5.场馆服务模块：（1）展示开放时间、场馆地址、交通指引、参观须知、联系电话等基础信息，支持后台随时修改。（2）预留研学预约、场馆预约功能接口，后续扩展无需重构系统。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（二）Web管理后台（运营侧）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物种资源管理系统：（1）全生命周期管理：支持物种信息新增、编辑、删除、上下架，支持单条录入与批量Excel导入导出。（2）分类体系管理：支持自定义生物分类层级，可灵活新增、修改、删除分类节点；首期配置蛇类完整分类体系，后续可由采购人自主新增其他生物类群分类。（3）标签管理：支持毒性、保护级别、分布区域等多维度标签自定义，可灵活调整标签选项。（4）富文本编辑器：内置专业富文本编辑工具，支持图文混排、音频视频插入、格式调整，非技术人员可快速上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二维码管理系统：（1）批量生成：支持按物种批量生成专属二维码，支持高清矢量图与位图两种格式导出，满足打印张贴需求。（2）绑定调整：支持二维码与物种信息的绑定、解绑与重新绑定，适配展陈位置变动调整。（3）扫码统计：实时统计每个二维码的扫码次数、扫码时段、用户地域分布，生成统计报表，支持按时间段筛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内容资讯管理系统：（1）文章管理：支持科普文章、场馆通知的新增、编辑、发布、下架，支持定时发布、置顶设置、分类管理。（2）审核流程：内置两级审核机制，支持编辑提交、管理员审核发布，保障科普内容准确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数据统计分析系统：（1）运营总览：展示总访问量、日活跃用户数、新增用户数、累计扫码量等核心指标，支持按日、周、月查看数据趋势。（2）内容热度分析：生成物种访问量排行榜、文章阅读量排行榜、扫码量排行榜，支持数据导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权限管理：（1）多角色管理：支持超级管理员、内容编辑员、数据查看员等自定义角色，可细粒度配置每个角色的操作权限。（2）操作日志：完整记录全部后台操作，包含操作人、操作时间、操作内容，支持追溯查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6.系统配置管理：（1）支持小程序首页轮播图、快捷入口、页面布局的可视化配置，无需修改代码即可调整前端展示。（2）支持系统基础参数、分享设置、接口配置等自定义调整。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（三）系统扩展性要求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采用模块化、低耦合架构，所有功能模块独立封装，新增两栖类、鸟类、昆虫类、植物类等生物类群，仅需新增对应模块与分类数据，不影响现有蛇类模块正常运行。</w:t>
            </w:r>
          </w:p>
        </w:tc>
        <w:tc>
          <w:tcPr>
            <w:tcW w:w="567" w:type="dxa"/>
            <w:tcBorders>
              <w:top w:val="single" w:color="auto" w:sz="4" w:space="0"/>
              <w:left w:val="single" w:color="auto" w:sz="4" w:space="0"/>
              <w:bottom w:val="single" w:color="auto" w:sz="4" w:space="0"/>
              <w:right w:val="single" w:color="auto" w:sz="4" w:space="0"/>
            </w:tcBorders>
            <w:vAlign w:val="center"/>
          </w:tcPr>
          <w:p w14:paraId="667497A4">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555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A7022DF">
            <w:pPr>
              <w:spacing w:line="560" w:lineRule="exact"/>
              <w:jc w:val="center"/>
              <w:rPr>
                <w:rFonts w:ascii="宋体" w:hAnsi="宋体" w:eastAsia="宋体" w:cs="宋体"/>
                <w:bCs/>
                <w:szCs w:val="21"/>
              </w:rPr>
            </w:pPr>
            <w:r>
              <w:rPr>
                <w:rFonts w:hint="eastAsia" w:ascii="宋体" w:hAnsi="宋体" w:eastAsia="宋体" w:cs="宋体"/>
                <w:bCs/>
                <w:szCs w:val="21"/>
              </w:rPr>
              <w:t>10</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4E7DC9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蛇文化展示终端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9C6372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440D6E1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82E404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16000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95E13F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32AA279">
            <w:pPr>
              <w:widowControl/>
              <w:numPr>
                <w:ilvl w:val="0"/>
                <w:numId w:val="2"/>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硬件参数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1.整机采用环保实木边框，应用传统卯榫工艺，坚固耐用、防潮耐蚀锈，适应校园多种使用环境。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2.整机采用高雾度液晶屏体，表面偏光纳米涂层增益屏体漫反射形成真实视感。屏体雾度≥25%，无需防眩光钢化玻璃或磨砂防眩光贴膜，全方位可视角度≥178°。</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3.机画面对比度及色彩还原真实，画面细节及Gamma无损失，确保师生观看画面不会因显示损耗导致视觉偏差。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4.整机屏幕采用智能匹配显示技术，能够根据显示内容的类型自动匹配画质参数，使屏幕显示的油画、国画、素描、摄影等不同类型的作品最大程度的还原作品特征。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5.整机屏幕采用直流背光源，保证显示画面无频闪，有效避免视觉疲劳，呵护师生用眼健康。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6.整机屏幕采用硬件低蓝光背光技术，在源头减少有害蓝光波段能量，蓝光占比（有害蓝光415～455nm能量综合）/（整体蓝光400～500能量综合）＜50%，低蓝光保护显示不偏色、不泛黄。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7.整机液晶屏显示尺寸≥32寸，分辨率≥1920*1080，显示比例16:9，支持横、竖安装方式。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8.整机最大显示亮度≥350cd/㎡。整机具备光线感应功能，根据环境光强度自动调整显示亮度。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9.整机安装到墙面后无任何外置、外露、外挂的线材、天线及元器件模块。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10.内置2.0声道环绕功放，支持音视频声音外放。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11.整机背部与平整墙面贴齐，边框边缘与平整墙面间隙最大处≤10mm。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12.整机安卓系统版本不低于Android 13</w:t>
            </w:r>
            <w:r>
              <w:rPr>
                <w:rFonts w:hint="eastAsia" w:ascii="宋体" w:hAnsi="宋体" w:eastAsia="宋体" w:cs="宋体"/>
                <w:color w:val="000000"/>
                <w:szCs w:val="21"/>
                <w:lang w:val="en-US" w:eastAsia="zh-CN" w:bidi="ar"/>
              </w:rPr>
              <w:t>.0</w:t>
            </w:r>
            <w:r>
              <w:rPr>
                <w:rFonts w:hint="eastAsia" w:ascii="宋体" w:hAnsi="宋体" w:eastAsia="宋体" w:cs="宋体"/>
                <w:color w:val="000000"/>
                <w:szCs w:val="21"/>
                <w:lang w:bidi="ar"/>
              </w:rPr>
              <w:t>，运行内存不低于4G，存储内存不低于32G。</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13.整机接口：USB3.0*1个，HDMI2.0*2个，microUSB接口*1个，RJ45接口,*1个，3.5mm耳机插孔*1个，内置Wi-Fi模块。全部端口采用隐藏设计，无可见外露端口。</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14.兼容主流多媒体格式。视频格式：MPEG1、MPEG2、MPEG4、H.263、H.264等；音频格式：MP3等；图片格式：JPG、JPEG、BMP、PNG、GIF等。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15.整机信息发布系统与设备一体化集成，无需外接任何信息发布设备即可完成信息发布。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二、软件参数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1.后台管理系统采用“B/S”架构，支持跨平台应用操作的能力。后台管理系统采用SaaS服务方式。支持按区域分组管理，可以高效快速的实现跨区域的管理和内容分发，实现对设备的远程控制与管理。</w:t>
            </w:r>
          </w:p>
          <w:p w14:paraId="419F4903">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2.支持网页及移动端后台管理系统进行设备管理、内容管理和发布。</w:t>
            </w:r>
          </w:p>
          <w:p w14:paraId="7EAE43C3">
            <w:pPr>
              <w:widowControl/>
              <w:numPr>
                <w:ilvl w:val="255"/>
                <w:numId w:val="0"/>
              </w:numPr>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3.支持多种场地绑定方式：支持在设备上生成二维码，通过移动端扫码方式将设备与场地关联；支持手动输入学校代码进行设备绑定；支持后台批量导入信息进行设备绑定。</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4.管理后台支持用户名密码登录，支持绑定手机号和邮箱。</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5.应用软件和系统软件支持远程OTA静默升级。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6.支持在设备端展示图片、视频、公告、网页、时间日期等内容。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7.后台管理系统支持在该机构下，新增下级机构，可查看下级机构的素材、节目、设备、成员、权限等信息。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8.系统支持权限管理，学校高级管理员可添加多位管理员协同管理，并支持为普通管理员分配不同权限。用户也可自定义权限类型，根据可勾选的权限进行分配。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9.后台管理系统支持按机构和分组查看设备数量、设备场地分布、素材资源统计、节目公告统计等。并可查看设备状态，例如播放、空闲、离线、休眠等。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10.支持管理员查看后台的事件记录：包括设备的状态变更、节目发布状态等。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11.后台管理系统支持上传图片、视频、音频等素材，图片和视频支持上传1080p、2K、4K分辨率。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12.后台管理系统提供在线数字文化内容资源，系统内置不少于8000+艺术资源、党建资源及校园文化宣传资源，并提供在线更新。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13.支持通过管理后台将在线数字文化内容资源发布到显示设备上进行展示。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14.节目制作支持横屏、竖屏两种模式；节目支持分辨率：1920×1080、3840×2160，节目支持分屏显示，提供四种分屏显示模板。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15.节目制作可设置音频作为背景音乐循环播放，可添加多张图片和视频进行轮播，图片可以单独设定轮播时间或者多张图片批量修改轮播时间。</w:t>
            </w:r>
            <w:r>
              <w:rPr>
                <w:rFonts w:hint="eastAsia" w:ascii="宋体" w:hAnsi="宋体" w:eastAsia="宋体" w:cs="宋体"/>
                <w:color w:val="000000"/>
                <w:szCs w:val="21"/>
                <w:lang w:bidi="ar"/>
              </w:rPr>
              <w:br w:type="textWrapping"/>
            </w:r>
          </w:p>
        </w:tc>
        <w:tc>
          <w:tcPr>
            <w:tcW w:w="567" w:type="dxa"/>
            <w:tcBorders>
              <w:top w:val="single" w:color="auto" w:sz="4" w:space="0"/>
              <w:left w:val="single" w:color="auto" w:sz="4" w:space="0"/>
              <w:bottom w:val="single" w:color="auto" w:sz="4" w:space="0"/>
              <w:right w:val="single" w:color="auto" w:sz="4" w:space="0"/>
            </w:tcBorders>
            <w:vAlign w:val="center"/>
          </w:tcPr>
          <w:p w14:paraId="05E48EE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A79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ADE1945">
            <w:pPr>
              <w:spacing w:line="560" w:lineRule="exact"/>
              <w:jc w:val="center"/>
              <w:rPr>
                <w:rFonts w:ascii="宋体" w:hAnsi="宋体" w:eastAsia="宋体" w:cs="宋体"/>
                <w:bCs/>
                <w:szCs w:val="21"/>
              </w:rPr>
            </w:pPr>
            <w:r>
              <w:rPr>
                <w:rFonts w:hint="eastAsia" w:ascii="宋体" w:hAnsi="宋体" w:eastAsia="宋体" w:cs="宋体"/>
                <w:bCs/>
                <w:szCs w:val="21"/>
              </w:rPr>
              <w:t>11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7F259D0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生物多样性AR交互平台</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40BCE5E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180000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A97FB4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635A4C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180000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1C492B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72321A4D">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本系统的管理后台是AR教学资源App的重要支撑平台，用于实现教学资源的统一管理、版本发布、用户权限控制、使用数据统计与系统维护。后台采用Web端可视化管理界面，支持通过浏览器访问，具有良好的安全性、可扩展性与操作便捷性。系统应提供多角色登录、可视化内容管理、数据分析报表、日志追踪及云端存储等核心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一、AR内容管理模块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AR内容管理模块是后台的核心功能，用于管理所有与教材知识点关联的AR教学资源。该模块应满足以下要求：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1、资源上传与分类管理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（1）支持上传brio格式的AR教学资源，brio格式文件包括3D模型文件、图像、音频、视频、语音讲解文件以及交互脚本。</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支持对资源进行主题、学科、年级、教材章节等多维度分类。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（2）可添加标签与关键词，方便内容检索与统计。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（3）提供资源基础信息在线编辑功能，可修改名称、简介、展示说明、封面、关联知识点等信息。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（4）系统支持版本管理，可记录每次修改历史并支持版本回滚。</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（5）对重要资源修改需经过审核流程（草稿—审核—发布）。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（6）支持以可视化方式配置AR场景，设定3D模型的位置、比例、旋转角度、动画播放逻辑及触发条件。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（7）支持多触发模式配置，包括二维码识别、图像识别、平面追踪及地理位置触发。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（8）每个场景可绑定多个交互元素，如语音讲解、文字标签、知识卡片或测验任务。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（9）提供预览功能，可自动生成二维码用于测试端扫描预览。</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（10）系统支持导入教材章节结构表，与AR内容进行知识点级别的关联。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（11）支持按照教材版本、章节、页码快速匹配AR内容，实现教材与数字资源的一一对应。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（12）支持内容发布、下架、归档等状态管理。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（13）已发布内容应可同步至移动端App端进行即时更新，支持差分更新机制，避免大文件重复下载。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（14）提供发布日志记录，支持按日期或操作人追踪发布历史。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2、用户与权限管理模块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（1）管理后台应支持多层级用户体系，确保系统操作安全与职责分工明确。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（2）支持创建管理员、编辑者、审核员、统计查看者等多种角色。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（3）每个角色可分配不同模块的访问、编辑和发布权限。</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（4）提供账户启用、禁用、密码重置、角色切换等功能。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（5）系统自动记录用户操作日志，包含登录时间、操作内容、IP地址等信息，支持日志导出与审计。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3、使用数据管理模块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（1）后台需具备完善的数据采集与分析功能，为教学应用效果评估提供支持。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（2）自动采集移动端App的使用数据，包括访问次数、使用时长、场景加载成功率、互动频次等指标。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（3）支持按时间、学科、年级、知识点维度进行统计与筛选。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（4）提供可视化数据仪表板（Dashboard），以图表形式展示访问趋势、热门内容与用户活跃度。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（5）支持数据导出功能，可生成Excel或CSV报表供教学研究使用。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（6）系统需保存不少于24个月的历史数据，并支持自动备份与恢复。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4、二维码与触发管理模块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（1）系统可为每个AR场景或知识点自动生成唯一二维码。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（2）支持批量生成、导入与导出二维码，并可统一编号管理。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（3）后台可查看各二维码的扫描次数、使用地点及访问终端类型。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（4）支持按项目、教材、章节维度统计二维码使用情况。</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5、系统设置与维护模块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（1）提供系统基础参数设置功能，包括界面语言、LOGO、系统标题、版权信息及接口密钥等。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（2）支持中英文双语界面切换。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（3）系统应具备日志记录、操作审计、异常报警等维护功能。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（4）提供自动与手动数据备份机制，支持云端存储与恢复。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（5）支持管理员对资源路径、API接口地址等配置进行调整。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6、技术与安全要求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（1）兼容性：后台可在主流浏览器（Chrome、Edge等）中运行，界面自适应多分辨率。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（2）接口标准：采用RESTfulAPI或GraphQL接口，与移动端ARApp实现数据交互。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（3）数据库：采用MySQL或PostgreSQL，支持高并发与快速查询。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（4）文件存储：可对接云存储服务（阿里云OSS、腾讯云COS或AWSS3等）。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二、AR软件跨平台客户端支持说明</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1、移动端支持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（1）iOS设备支持：AR软件客户端需要适用于iOS设备（如iPhone和iPad）的应用程序，可以方便地进行模型呈现和交互。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（2）安卓设备支持：AR软件客户端需要适用于安卓设备（不限于pad和phone）的应用程序，可以方便地进行模型呈现和交互。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2、桌面端支持</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桌面应用程序：提供桌面版应用程序或Web端平台，用户可以通过电脑更加便捷的进行展示和查看三维知识模型动画。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三、AR软件AR资源说明</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AR软件中的每个AR知识内容需要包含“引导、概念、操作、练习题”四个模块，每个模块都应定制设计，其中“引导、概念”两个模块为三维动画播放，可以暂停，360度旋转与缩放；“操作”模块需要可以对模型进行交互互动，比如模型的拼装等内容；“练习题”模块可以出现题目供用户选择回答，并由成绩系统进行记录和反馈。</w:t>
            </w:r>
          </w:p>
        </w:tc>
        <w:tc>
          <w:tcPr>
            <w:tcW w:w="567" w:type="dxa"/>
            <w:tcBorders>
              <w:top w:val="single" w:color="auto" w:sz="4" w:space="0"/>
              <w:left w:val="single" w:color="auto" w:sz="4" w:space="0"/>
              <w:bottom w:val="single" w:color="auto" w:sz="4" w:space="0"/>
              <w:right w:val="single" w:color="auto" w:sz="4" w:space="0"/>
            </w:tcBorders>
            <w:vAlign w:val="center"/>
          </w:tcPr>
          <w:p w14:paraId="0536B615">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28A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3A29119C">
            <w:pPr>
              <w:spacing w:line="560" w:lineRule="exact"/>
              <w:jc w:val="center"/>
              <w:rPr>
                <w:rFonts w:ascii="宋体" w:hAnsi="宋体" w:eastAsia="宋体" w:cs="宋体"/>
                <w:bCs/>
                <w:szCs w:val="21"/>
              </w:rPr>
            </w:pPr>
            <w:r>
              <w:rPr>
                <w:rFonts w:hint="eastAsia" w:ascii="宋体" w:hAnsi="宋体" w:eastAsia="宋体" w:cs="宋体"/>
                <w:bCs/>
                <w:szCs w:val="21"/>
              </w:rPr>
              <w:t>12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5069CC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AR交互终端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1BD0FF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BFB774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CC721A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AFF520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3EFE30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1.网络类型：支持WiFi</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2.存储容量：128GB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3.屏幕分辨率：2.3K</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4.运行内存：8GB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5.厚度：9.0mm以下</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6.屏幕尺寸：10英寸</w:t>
            </w:r>
          </w:p>
        </w:tc>
        <w:tc>
          <w:tcPr>
            <w:tcW w:w="567" w:type="dxa"/>
            <w:tcBorders>
              <w:top w:val="single" w:color="auto" w:sz="4" w:space="0"/>
              <w:left w:val="single" w:color="auto" w:sz="4" w:space="0"/>
              <w:bottom w:val="single" w:color="auto" w:sz="4" w:space="0"/>
              <w:right w:val="single" w:color="auto" w:sz="4" w:space="0"/>
            </w:tcBorders>
            <w:vAlign w:val="center"/>
          </w:tcPr>
          <w:p w14:paraId="35072A17">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3D0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F4F0E17">
            <w:pPr>
              <w:spacing w:line="560" w:lineRule="exact"/>
              <w:jc w:val="center"/>
              <w:rPr>
                <w:rFonts w:ascii="宋体" w:hAnsi="宋体" w:eastAsia="宋体" w:cs="宋体"/>
                <w:bCs/>
                <w:szCs w:val="21"/>
              </w:rPr>
            </w:pPr>
            <w:r>
              <w:rPr>
                <w:rFonts w:hint="eastAsia" w:ascii="宋体" w:hAnsi="宋体" w:eastAsia="宋体" w:cs="宋体"/>
                <w:bCs/>
                <w:szCs w:val="21"/>
              </w:rPr>
              <w:t>13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2021C89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多参数环境检测仪</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638622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2900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73C4BD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02BBF6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2900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025B180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28478D3">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监测甲醛、PM2.5&amp;PM10、温度、湿度、光照、二氧化碳、大气压、TVOC等数值</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需支持接入采购人现有实验室智能综合管理平台（品牌：为乐）进行管理，进行无缝数据对接，包含对接相关的所有费用，实现数据同步，并支持实现以下功能（</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(1)支持在管理后台查看环境监测硬件的在线情况和实时数据；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(2)支持设置环境探头名称、位置、类型、ID、数据上限、下限等参数；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(3)支持设置探头的每天数据记录时间，系统自动在设定时间记录数据，生成记录；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(4)系统自动监测探头数据，监测到超过上限或下限后自动报警，生成报警记录；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(5)可设置报警消息的接收人、消息内容和消息接收方式，可通过站内消息、邮件等方式报警；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(6)带有统计分析功能，可查看设备总数量、在线离线数量、报警数量、报警趋势、报警排行等数据。</w:t>
            </w:r>
          </w:p>
        </w:tc>
        <w:tc>
          <w:tcPr>
            <w:tcW w:w="567" w:type="dxa"/>
            <w:tcBorders>
              <w:top w:val="single" w:color="auto" w:sz="4" w:space="0"/>
              <w:left w:val="single" w:color="auto" w:sz="4" w:space="0"/>
              <w:bottom w:val="single" w:color="auto" w:sz="4" w:space="0"/>
              <w:right w:val="single" w:color="auto" w:sz="4" w:space="0"/>
            </w:tcBorders>
            <w:vAlign w:val="center"/>
          </w:tcPr>
          <w:p w14:paraId="300AFFB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06D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B6926B6">
            <w:pPr>
              <w:spacing w:line="560" w:lineRule="exact"/>
              <w:jc w:val="center"/>
              <w:rPr>
                <w:rFonts w:ascii="宋体" w:hAnsi="宋体" w:eastAsia="宋体" w:cs="宋体"/>
                <w:bCs/>
                <w:szCs w:val="21"/>
              </w:rPr>
            </w:pPr>
            <w:r>
              <w:rPr>
                <w:rFonts w:hint="eastAsia" w:ascii="宋体" w:hAnsi="宋体" w:eastAsia="宋体" w:cs="宋体"/>
                <w:bCs/>
                <w:szCs w:val="21"/>
              </w:rPr>
              <w:t>14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8DF255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可燃气体探测器</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04E174C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2400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6943AD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5E024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D8B982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00F3A64">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检测气体：可燃气体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量程：0-100%LEL</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响应时间：T90≤30s；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检测精度：≤±3%F.S.</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分辨率：0.1%LEL量程的千分之一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传感器方式：智能插拔式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报警功能：内置蜂鸣器、屏闪、不锈钢声光报警灯</w:t>
            </w:r>
            <w:r>
              <w:rPr>
                <w:rFonts w:hint="eastAsia" w:ascii="宋体" w:hAnsi="宋体" w:eastAsia="宋体" w:cs="宋体"/>
              </w:rPr>
              <w:t>。</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需支持接入学校现有实验室智能综合管理平台（品牌：为乐）进行管理，进行无缝数据对接，包含对接相关的所有费用，实现数据同步，并支持实现以下功能（</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(1)支持在管理后台查看环境监测硬件的在线情况和实时数据；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(2)支持设置环境探头名称、位置、类型、ID、数据上限、下限等参数；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(3)支持设置探头的每天数据记录时间，系统自动在设定时间记录数据，生成记录；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(4)系统自动监测探头数据，监测到超过上限或下限后自动报警，生成报警记录；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(5)可设置报警消息的接收人、消息内容和消息接收方式，可通过站内消息、邮件等方式报警；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(6)带有统计分析功能，可查看设备总数量、在线离线数量、报警数量、报警趋势、报警排行等数据。</w:t>
            </w:r>
          </w:p>
        </w:tc>
        <w:tc>
          <w:tcPr>
            <w:tcW w:w="567" w:type="dxa"/>
            <w:tcBorders>
              <w:top w:val="single" w:color="auto" w:sz="4" w:space="0"/>
              <w:left w:val="single" w:color="auto" w:sz="4" w:space="0"/>
              <w:bottom w:val="single" w:color="auto" w:sz="4" w:space="0"/>
              <w:right w:val="single" w:color="auto" w:sz="4" w:space="0"/>
            </w:tcBorders>
            <w:vAlign w:val="center"/>
          </w:tcPr>
          <w:p w14:paraId="7B566930">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61C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0499C65">
            <w:pPr>
              <w:spacing w:line="560" w:lineRule="exact"/>
              <w:jc w:val="center"/>
              <w:rPr>
                <w:rFonts w:ascii="宋体" w:hAnsi="宋体" w:eastAsia="宋体" w:cs="宋体"/>
                <w:bCs/>
                <w:szCs w:val="21"/>
              </w:rPr>
            </w:pPr>
            <w:r>
              <w:rPr>
                <w:rFonts w:hint="eastAsia" w:ascii="宋体" w:hAnsi="宋体" w:eastAsia="宋体" w:cs="宋体"/>
                <w:bCs/>
                <w:szCs w:val="21"/>
              </w:rPr>
              <w:t>15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FB6B71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报警控制主机</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321D4A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7AF554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193B00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3E5224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ED408F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通道：128通道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显示：2.8寸彩色液晶触摸屏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操作方式：触摸+金属按键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通讯方式：RS-485</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报警方式：声、光、液晶显示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报警设定：2级声光报警，报警值可设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数据储存：1000条（报警数据）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安装方式:壁挂式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输出信号：默认总线RS-485</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浓度单位:ppm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继电器:4组继电器</w:t>
            </w:r>
          </w:p>
        </w:tc>
        <w:tc>
          <w:tcPr>
            <w:tcW w:w="567" w:type="dxa"/>
            <w:tcBorders>
              <w:top w:val="single" w:color="auto" w:sz="4" w:space="0"/>
              <w:left w:val="single" w:color="auto" w:sz="4" w:space="0"/>
              <w:bottom w:val="single" w:color="auto" w:sz="4" w:space="0"/>
              <w:right w:val="single" w:color="auto" w:sz="4" w:space="0"/>
            </w:tcBorders>
            <w:vAlign w:val="center"/>
          </w:tcPr>
          <w:p w14:paraId="654E4F75">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715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84C89DF">
            <w:pPr>
              <w:spacing w:line="560" w:lineRule="exact"/>
              <w:jc w:val="center"/>
              <w:rPr>
                <w:rFonts w:ascii="宋体" w:hAnsi="宋体" w:eastAsia="宋体" w:cs="宋体"/>
                <w:bCs/>
                <w:szCs w:val="21"/>
              </w:rPr>
            </w:pPr>
            <w:r>
              <w:rPr>
                <w:rFonts w:hint="eastAsia" w:ascii="宋体" w:hAnsi="宋体" w:eastAsia="宋体" w:cs="宋体"/>
                <w:bCs/>
                <w:szCs w:val="21"/>
              </w:rPr>
              <w:t>16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560C1F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信息发布终端</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10E569C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3800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5557F7A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D0F9BB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6A37C0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台</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6DDD882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尺寸：21.5寸,外观颜色：黑色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分辨率：1920*1080,亮度：250cd/㎡-20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对比度：1000：1,触摸参数：10点电容触摸</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CPU：大于等于4核心，主频1.8Ghz</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运行内存：2GB,存储：16GB</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系统:安卓11,WiFi：2.4GhzWiFi</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接口：2*USB，单网口</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需支持接入采购人现有实验室智能综合管理平台（品牌：为乐）进行管理，进行无缝数据对接，包含对接相关的所有费用。（</w:t>
            </w:r>
            <w:r>
              <w:rPr>
                <w:rFonts w:hint="eastAsia" w:ascii="宋体" w:hAnsi="宋体" w:eastAsia="宋体" w:cs="宋体"/>
                <w:color w:val="000000"/>
                <w:szCs w:val="21"/>
                <w:lang w:eastAsia="zh-CN" w:bidi="ar"/>
              </w:rPr>
              <w:t>竞标时在响应文件中</w:t>
            </w:r>
            <w:r>
              <w:rPr>
                <w:rFonts w:hint="eastAsia" w:ascii="宋体" w:hAnsi="宋体" w:eastAsia="宋体" w:cs="宋体"/>
                <w:color w:val="000000"/>
                <w:szCs w:val="21"/>
                <w:lang w:bidi="ar"/>
              </w:rPr>
              <w:t>需提供承诺函并加盖供应商公章，格式自拟）</w:t>
            </w:r>
          </w:p>
        </w:tc>
        <w:tc>
          <w:tcPr>
            <w:tcW w:w="567" w:type="dxa"/>
            <w:tcBorders>
              <w:top w:val="single" w:color="auto" w:sz="4" w:space="0"/>
              <w:left w:val="single" w:color="auto" w:sz="4" w:space="0"/>
              <w:bottom w:val="single" w:color="auto" w:sz="4" w:space="0"/>
              <w:right w:val="single" w:color="auto" w:sz="4" w:space="0"/>
            </w:tcBorders>
            <w:vAlign w:val="center"/>
          </w:tcPr>
          <w:p w14:paraId="6138B820">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D8A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1164394">
            <w:pPr>
              <w:spacing w:line="560" w:lineRule="exact"/>
              <w:jc w:val="center"/>
              <w:rPr>
                <w:rFonts w:ascii="宋体" w:hAnsi="宋体" w:eastAsia="宋体" w:cs="宋体"/>
                <w:bCs/>
                <w:szCs w:val="21"/>
              </w:rPr>
            </w:pPr>
            <w:r>
              <w:rPr>
                <w:rFonts w:hint="eastAsia" w:ascii="宋体" w:hAnsi="宋体" w:eastAsia="宋体" w:cs="宋体"/>
                <w:bCs/>
                <w:szCs w:val="21"/>
              </w:rPr>
              <w:t>17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407C8D9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蛇剥标本制作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7A3ECC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122000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52CA17E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E8D934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122000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A1F526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6ED6F52">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以下清单各1条：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1．赤链蛇；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2．蝮蛇；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3．黑眉锦蛇；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4．水蛇；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5．王锦蛇；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w:t>
            </w:r>
            <w:bookmarkStart w:id="3" w:name="OLE_LINK3"/>
            <w:r>
              <w:rPr>
                <w:rFonts w:hint="eastAsia" w:ascii="宋体" w:hAnsi="宋体" w:eastAsia="宋体" w:cs="宋体"/>
                <w:color w:val="000000"/>
                <w:szCs w:val="21"/>
                <w:lang w:bidi="ar"/>
              </w:rPr>
              <w:t>眼镜蛇；</w:t>
            </w:r>
            <w:bookmarkEnd w:id="3"/>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7．蟒蛇。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二、核心制作工艺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1.剥皮处理：采用解剖学规范手法整皮剥离，保证皮肤完整无破损，头部唇鳞、眶鳞及尾部细节完整保留。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2.防腐防霉防虫：采用环保型复合防腐药剂对皮肤内外双重渗透处理，搭配防霉、防虫缓释药剂，符合室内公共场所环保安全标准，无刺激性异味。</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3.假体塑形：采用高环保材料制作内部假体，严格按照物种真实躯体比例塑形，肌肉轮廓、躯体曲线符合生物解剖学特征，长期展示无塌陷、不变形。</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4.整形：依据物种原生习性设计自然姿态，定型后做防紫外线、抗氧化表面防护处理。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1.躯体比例协调，姿态生动自然；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2.鳞片排列整齐、体色还原原生色彩，斑纹过渡自然，无明显人工上色痕迹；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3.整体无破损、无霉斑、无虫蛀，表面洁净无污渍。</w:t>
            </w:r>
          </w:p>
        </w:tc>
        <w:tc>
          <w:tcPr>
            <w:tcW w:w="567" w:type="dxa"/>
            <w:tcBorders>
              <w:top w:val="single" w:color="auto" w:sz="4" w:space="0"/>
              <w:left w:val="single" w:color="auto" w:sz="4" w:space="0"/>
              <w:bottom w:val="single" w:color="auto" w:sz="4" w:space="0"/>
              <w:right w:val="single" w:color="auto" w:sz="4" w:space="0"/>
            </w:tcBorders>
            <w:vAlign w:val="center"/>
          </w:tcPr>
          <w:p w14:paraId="1161A284">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17B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CA24B0C">
            <w:pPr>
              <w:spacing w:line="560" w:lineRule="exact"/>
              <w:jc w:val="center"/>
              <w:rPr>
                <w:rFonts w:ascii="宋体" w:hAnsi="宋体" w:eastAsia="宋体" w:cs="宋体"/>
                <w:bCs/>
                <w:szCs w:val="21"/>
              </w:rPr>
            </w:pPr>
            <w:r>
              <w:rPr>
                <w:rFonts w:hint="eastAsia" w:ascii="宋体" w:hAnsi="宋体" w:eastAsia="宋体" w:cs="宋体"/>
                <w:bCs/>
                <w:szCs w:val="21"/>
              </w:rPr>
              <w:t>18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3AF379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浸制标本制作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0250735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95000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D4DE44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D26C8D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95000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55D77CF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8DD5C5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一、制作依据与物种合规要求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以下清单各1条：</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1．金花蛇。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2．黄环林蛇。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3．几内亚树蝰。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4．铠甲蝮。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5．秦皇锦蛇。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6．海岛竹叶青。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7．角蝰。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8．黄环林蛇。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9．乌萨巴拉树蝰。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10．鼓蝮咝蝰。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11．苏门答腊竹叶青。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12．素贞环蛇。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13．马拉巴尔竹叶青。</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14．鼓腹咝蝰。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15．女神响尾蛇。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16．纯黑斑马喷毒眼镜蛇。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17．阿鲁巴单色响尾蛇。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18．西部菱斑响尾蛇。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19．东部森王蛇。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1.固定护色：采用缓冲福尔马林或酒精固定液对标本整体定型固定，保持躯体自然舒展姿态；对有色物种做专业护色处理，最大程度保留原生体色与斑纹，避免长期浸泡褪色。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2.封装容器：采用高硼硅加厚玻璃标本瓶，瓶身无气泡、无划痕，透光率≥92%，抗冲击性能符合公共场所展示安全标准。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3.浸制密封：注入环保型中性福尔马林保存液或酒精，液面完全没过标本躯体；瓶口采用医用级橡胶塞密封，外加防盗金属盖加固，无渗漏、无挥发。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4.标识规范：瓶身配套防水耐腐蚀标识牌，标注物种中文名、拉丁学名、产地、分类地位，字体清晰规范。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1.标本姿态舒展无蜷缩，躯体完整，斑纹清晰可辨；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2.保存液清澈无浑浊、无沉淀，长期展示无明显挥发减量；</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3.瓶体牢固无破损，密封性能达标，无漏液风险。</w:t>
            </w:r>
          </w:p>
        </w:tc>
        <w:tc>
          <w:tcPr>
            <w:tcW w:w="567" w:type="dxa"/>
            <w:tcBorders>
              <w:top w:val="single" w:color="auto" w:sz="4" w:space="0"/>
              <w:left w:val="single" w:color="auto" w:sz="4" w:space="0"/>
              <w:bottom w:val="single" w:color="auto" w:sz="4" w:space="0"/>
              <w:right w:val="single" w:color="auto" w:sz="4" w:space="0"/>
            </w:tcBorders>
            <w:vAlign w:val="center"/>
          </w:tcPr>
          <w:p w14:paraId="52B92FC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31E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9127E63">
            <w:pPr>
              <w:spacing w:line="560" w:lineRule="exact"/>
              <w:jc w:val="center"/>
              <w:rPr>
                <w:rFonts w:ascii="宋体" w:hAnsi="宋体" w:eastAsia="宋体" w:cs="宋体"/>
                <w:bCs/>
                <w:szCs w:val="21"/>
              </w:rPr>
            </w:pPr>
            <w:r>
              <w:rPr>
                <w:rFonts w:hint="eastAsia" w:ascii="宋体" w:hAnsi="宋体" w:eastAsia="宋体" w:cs="宋体"/>
                <w:bCs/>
                <w:szCs w:val="21"/>
              </w:rPr>
              <w:t>19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AED383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蛇类模型制作</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716ED3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50000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F37CDA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60F619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50000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6E70D41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9A7012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一、制作依据与品类清单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制作清单：</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1.外形仿真模型：眼镜蛇、眼镜王蛇各1条，模型蛇身长度不小于100cm；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2.身体构造模型：皮肤分层结构模型、完整骨骼模型、内部器官模型，各1套。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二、核心制作工艺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1.三维建模：参照实体标本、高清影像、解剖图谱完成高精度三维建模，鳞片纹理、骨骼关节、器官形态精准还原。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2.3D打印成型：采用工业级光固化3D打印工艺；打印耗材选用高强度环保光敏树脂，无毒无异味、韧性强、不易脆裂、抗老化。</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3.上色防护：专业模型颜料手工分色上色，多层罩光保护，色彩还原物种原生特征，过渡自然不掉色；表面做哑光防眩光处理，适配展厅灯光环境，无反光刺眼问题。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三、成品质量要求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1.外观仿真度高，纹理清晰，色彩自然，无毛刺、流痕、掉色问题；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2.所有边缘做圆角安全处理，无尖锐棱角，适合公众近距离参观；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3.配套对应结构名称标识，科普信息准确无误。</w:t>
            </w:r>
          </w:p>
        </w:tc>
        <w:tc>
          <w:tcPr>
            <w:tcW w:w="567" w:type="dxa"/>
            <w:tcBorders>
              <w:top w:val="single" w:color="auto" w:sz="4" w:space="0"/>
              <w:left w:val="single" w:color="auto" w:sz="4" w:space="0"/>
              <w:bottom w:val="single" w:color="auto" w:sz="4" w:space="0"/>
              <w:right w:val="single" w:color="auto" w:sz="4" w:space="0"/>
            </w:tcBorders>
            <w:vAlign w:val="center"/>
          </w:tcPr>
          <w:p w14:paraId="34805FEF">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9DD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6D62F747">
            <w:pPr>
              <w:spacing w:line="560" w:lineRule="exact"/>
              <w:jc w:val="center"/>
              <w:rPr>
                <w:rFonts w:ascii="宋体" w:hAnsi="宋体" w:eastAsia="宋体" w:cs="宋体"/>
                <w:bCs/>
                <w:szCs w:val="21"/>
              </w:rPr>
            </w:pPr>
            <w:r>
              <w:rPr>
                <w:rFonts w:hint="eastAsia" w:ascii="宋体" w:hAnsi="宋体" w:eastAsia="宋体" w:cs="宋体"/>
                <w:bCs/>
                <w:szCs w:val="21"/>
              </w:rPr>
              <w:t>20</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9433DD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原展区拆除</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22FC804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61500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EDC2D2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4B7839D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61500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3CF403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4986168F">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拆除原有7个展区：包含拆除、破损修复、垃圾清运等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1、拆除要求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（1）施工前先排查展柜周边水电、消防管线，完成断电、断水交底；对周边已完成成品展区采用珍珠棉+防尘保护膜全覆盖防护，避免拆除过程造成磕碰、划伤、粉尘污染。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（2）采用人工配合小型手持工具分步拆除，作业顺序为：玻璃拆卸→五金配件拆除→内部层板拆除→柜体拆解→固定骨架/预埋件拆除；严禁暴力拆除、整体推倒，避免冲击破坏建筑基面与周边设施。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（3）钢化玻璃拆除执行专项防护流程，整块拆卸后做硬质包裹处理，碎裂玻璃及时收纳，杜绝尖锐物裸露风险；木质、金属构件分类拆解、规整堆放。</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2、拆除后基面修复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（1）对地面因拆除造成的划痕、孔洞、空鼓部位，采用同材质材料修补找平，修复后与原地面平整度一致，无凸起、凹陷，不影响后续展柜安装与整体美观。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（2）修复同步排查拆除区域隐蔽管线，对松动、破损管线进行紧固、修复，确保原有水电管线功能完好。</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3、垃圾清运与场地清理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（1）拆除产生的所有建筑垃圾、废弃构件全部分类打包封装，应及时清运出展馆区域，运送至合规建筑垃圾消纳场处置，不得在展馆内、校园公共区域堆放滞留。</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（2）清运采用密闭式运输车辆，全程做好防尘、防遗撒措施，严格遵守场馆及学校物业管理规定，按采购人指定路线、指定时段清运。</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（3）清运完成后对施工区域进行全面清扫除尘，确保场地整洁无杂物、无粉尘，达到后续布展施工进场条件。</w:t>
            </w:r>
          </w:p>
        </w:tc>
        <w:tc>
          <w:tcPr>
            <w:tcW w:w="567" w:type="dxa"/>
            <w:tcBorders>
              <w:top w:val="single" w:color="auto" w:sz="4" w:space="0"/>
              <w:left w:val="single" w:color="auto" w:sz="4" w:space="0"/>
              <w:bottom w:val="single" w:color="auto" w:sz="4" w:space="0"/>
              <w:right w:val="single" w:color="auto" w:sz="4" w:space="0"/>
            </w:tcBorders>
            <w:vAlign w:val="center"/>
          </w:tcPr>
          <w:p w14:paraId="7628DB3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D35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3BD52FC7">
            <w:pPr>
              <w:spacing w:line="560" w:lineRule="exact"/>
              <w:jc w:val="center"/>
              <w:rPr>
                <w:rFonts w:ascii="宋体" w:hAnsi="宋体" w:eastAsia="宋体" w:cs="宋体"/>
                <w:bCs/>
                <w:szCs w:val="21"/>
              </w:rPr>
            </w:pPr>
            <w:r>
              <w:rPr>
                <w:rFonts w:hint="eastAsia" w:ascii="宋体" w:hAnsi="宋体" w:eastAsia="宋体" w:cs="宋体"/>
                <w:bCs/>
                <w:szCs w:val="21"/>
              </w:rPr>
              <w:t>21</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149341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入口布展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956F35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45450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7A8D037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0291911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45450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6529DB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5FC4390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1.门头主体结构与基层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尺寸规格：根据现场实际门洞尺寸定制，整体呈矩形门洞结构。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基层板材：采用15mm高密度阻燃板作为打底基材，表面需做三遍防火涂料处理。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外饰面材质：采用深灰色/黑色水泥纤维板（厚度≥6mm）或微水泥艺术涂料。表面需做出粗糙的岩石/工业肌理感，触感干燥且无掉粉现象，整体色调需与馆内“洞穴”主题保持一致。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结构加固：门套四周悬挑结构及顶部需做钢结构转换层，并与原建筑墙体采用化学锚栓（M10）植筋连接，确保稳固不晃动。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2.发光标识系统（主标题）</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发光字工艺：采用立体亚克力无边发光字（或精工不锈钢烤漆背发光字）。</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面板材质：亚克力板（PMMA），厚度≥8mm，表面抛光。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光源：内置高品质LED模组（5730灯珠），单字功率密度合理，发光均匀无暗区，需加设漫反射匀光罩，杜绝刺眼眩光。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颜色参数：中文“蛇类文化馆”及英文“SnakeCultureMuseum”均发出高亮纯白色光。</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字体排版：中文字体建议采用稳重的书法体或黑体加粗，英文字体为无衬线体，上下两行居中对齐，离地高度需符合人体工程学视平线。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电源：内置变压器需隐藏安装于顶部检修口内，确保低压供电（12V/24V）安全。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3.几何线性灯光（两侧装饰）</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灯带形式：门套两侧立面各设计一组对称的“V”字形或交叉折线形线性光带。</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灯具规格：采用嵌入式LED铝槽灯带（硬灯条或高质量柔性软灯带），灯槽深度≥15mm。</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光源参数：高亮2835/3030贴片LED，色温6000K（纯白光），显色指数Ra≥80。</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安装工艺：铝槽需预埋进饰面基层内，外覆与墙面同色的哑光不锈钢盖板或黑色亚克力卡槽，线条边缘切割顺滑无毛刺。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视觉效果：灯光需具备渐亮/渐暗调光功能（或常亮），光线投射至墙面形成强烈的科技感与引导性。</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4.顶部及内部过渡区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顶部吊顶：门洞上方横梁区域需进行包装，采用黑色哑光格栅或拉丝黑钛金不锈钢板包边，内嵌筒灯向下洗墙，照亮门头区域。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内部引导：透过门洞可见的内部走廊/玄关区域，墙面需延续外部的深色岩石肌理风格，并配合暗藏灯带勾勒轮廓，增强空间的纵深感。</w:t>
            </w:r>
          </w:p>
        </w:tc>
        <w:tc>
          <w:tcPr>
            <w:tcW w:w="567" w:type="dxa"/>
            <w:tcBorders>
              <w:top w:val="single" w:color="auto" w:sz="4" w:space="0"/>
              <w:left w:val="single" w:color="auto" w:sz="4" w:space="0"/>
              <w:bottom w:val="single" w:color="auto" w:sz="4" w:space="0"/>
              <w:right w:val="single" w:color="auto" w:sz="4" w:space="0"/>
            </w:tcBorders>
            <w:vAlign w:val="center"/>
          </w:tcPr>
          <w:p w14:paraId="438BA353">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4D0C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5E8D6B46">
            <w:pPr>
              <w:spacing w:line="560" w:lineRule="exact"/>
              <w:jc w:val="center"/>
              <w:rPr>
                <w:rFonts w:ascii="宋体" w:hAnsi="宋体" w:eastAsia="宋体" w:cs="宋体"/>
                <w:bCs/>
                <w:szCs w:val="21"/>
              </w:rPr>
            </w:pPr>
            <w:r>
              <w:rPr>
                <w:rFonts w:hint="eastAsia" w:ascii="宋体" w:hAnsi="宋体" w:eastAsia="宋体" w:cs="宋体"/>
                <w:bCs/>
                <w:szCs w:val="21"/>
              </w:rPr>
              <w:t>22</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D9A1C9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蛇类总体知识科普展区布展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50C06F9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55500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749D8A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D4C2FB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55500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560885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2BB926E">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（一）微型生态场景（入口处）</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1.场景尺寸：按现场实际空间定制；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2.基层结构：采用热镀锌方管结构性龙骨，半包围钢丝网加固，焊接牢固，做防锈防腐处理；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3.造型工艺：基层纹理制模、AB型材料翻模造型，CaSiO3环保塑型材料打底，高分子生态专用复合材料覆面层，特制场景调色材料、人工多层次着色调整，还原自然生境质感；</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4.场景配置：配置仿真藤蔓、仿真岩石、灌木、花草若干，种类、数量按设计方案配置，还原蛇类原生栖息环境；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5.异形玻璃制作，圆柱玻璃罩中放置蟒蛇剥制标本，蟒科图文展板制作，根据现场及设计内容定制。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（二）背景墙及图文展板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1.墙体尺寸：按现场实际空间定制调整；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3.面层工艺：基层采用9.5mm厚阻燃防火板，表面做纹理饰面处理，与整体展区风格统一；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4.内容范围：含全球蛇类概况（总物种数、分类阶元、种群数量、核心科属介绍）、已灭绝蛇类警示录等，含文字资料收集整理、版面内容优化编排、艺术字体设计、高清配图处理；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2.材质工艺：展板采用5mm厚PVC板+UV高清喷绘，或3mm厚亚克力板+UV打印，画面分辨率≥300DPI，色彩还原准确，无偏色、无像素点；</w:t>
            </w:r>
          </w:p>
        </w:tc>
        <w:tc>
          <w:tcPr>
            <w:tcW w:w="567" w:type="dxa"/>
            <w:tcBorders>
              <w:top w:val="single" w:color="auto" w:sz="4" w:space="0"/>
              <w:left w:val="single" w:color="auto" w:sz="4" w:space="0"/>
              <w:bottom w:val="single" w:color="auto" w:sz="4" w:space="0"/>
              <w:right w:val="single" w:color="auto" w:sz="4" w:space="0"/>
            </w:tcBorders>
            <w:vAlign w:val="center"/>
          </w:tcPr>
          <w:p w14:paraId="7610A6A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055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025045D">
            <w:pPr>
              <w:spacing w:line="560" w:lineRule="exact"/>
              <w:jc w:val="center"/>
              <w:rPr>
                <w:rFonts w:ascii="宋体" w:hAnsi="宋体" w:eastAsia="宋体" w:cs="宋体"/>
                <w:bCs/>
                <w:szCs w:val="21"/>
              </w:rPr>
            </w:pPr>
            <w:r>
              <w:rPr>
                <w:rFonts w:hint="eastAsia" w:ascii="宋体" w:hAnsi="宋体" w:eastAsia="宋体" w:cs="宋体"/>
                <w:bCs/>
                <w:szCs w:val="21"/>
              </w:rPr>
              <w:t>23</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DCA952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蛇起源与演化展区布展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F3537C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0151D5B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4F5039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2C783FF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AB8CD00">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（一）原展区改造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1.改造范围：按效果图对原有展柜的内部结构、外部饰面进行全面重新布局改造，尺寸与原有展柜匹配；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2.内部结构：采用15mm厚阻燃木工板制作内部支撑结构，板材加固，间距≤300mm，做防火防腐处理；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3.外部饰面：表面做纹理饰面处理，与整体展区洞穴风格统一，面层平整，无开裂、无空鼓；</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（二）图文展板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蛇类演化史诗核心时间轴（带肢远古蜥蜴→残肢早期蛇→现代蛇类）、各演化阶段科普介绍、演化误区澄清等内容，含文字资料收集整理、版面内容优化编排、艺术字体设计、高清复原图/骨骼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3.规格尺寸：单块展板尺寸按设计方案定制，适配展柜内部及周边空间；</w:t>
            </w:r>
          </w:p>
        </w:tc>
        <w:tc>
          <w:tcPr>
            <w:tcW w:w="567" w:type="dxa"/>
            <w:tcBorders>
              <w:top w:val="single" w:color="auto" w:sz="4" w:space="0"/>
              <w:left w:val="single" w:color="auto" w:sz="4" w:space="0"/>
              <w:bottom w:val="single" w:color="auto" w:sz="4" w:space="0"/>
              <w:right w:val="single" w:color="auto" w:sz="4" w:space="0"/>
            </w:tcBorders>
            <w:vAlign w:val="center"/>
          </w:tcPr>
          <w:p w14:paraId="075431AC">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ECE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0313140A">
            <w:pPr>
              <w:spacing w:line="560" w:lineRule="exact"/>
              <w:jc w:val="center"/>
              <w:rPr>
                <w:rFonts w:ascii="宋体" w:hAnsi="宋体" w:eastAsia="宋体" w:cs="宋体"/>
                <w:bCs/>
                <w:szCs w:val="21"/>
              </w:rPr>
            </w:pPr>
            <w:r>
              <w:rPr>
                <w:rFonts w:hint="eastAsia" w:ascii="宋体" w:hAnsi="宋体" w:eastAsia="宋体" w:cs="宋体"/>
                <w:bCs/>
                <w:szCs w:val="21"/>
              </w:rPr>
              <w:t>24</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1E4B68C8">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蛇身体构造展区布展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8EA098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65F9C93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47AFDA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30500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3032CD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D594A59">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展柜布置：</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1.框架：18mmE1级防潮多层板框架+隐形钢角码加固（每节点≥2颗ST4.2×16自攻螺钉），柜体背板满铺12mm阻燃板。</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2.内饰：无机矿物涂料/水性环氧半光漆（一底两面），防霉等级0级（符合GB/T1741标准）。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3.外饰：纹理饰面+局部涂料分色。</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4.异形玻璃：采用6+0.76PVB+6mm超白夹胶钢化玻璃，所有外露边抛光倒角，玻璃胶采用中性防霉硅酮胶。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科普图文：</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1.基板：8mmPVC结皮板UV打印（≥1200DPI）或10mm亚克力双层板（文字层背雕填漆/UV打印），以保运输安全。</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2.内容层级：中央骨骼/头骨大图+引线标注各器官（脊椎/肋骨/毒腺/鳞片），定制模型等，文字字号、线宽、配色以采购人签认的小样为准。</w:t>
            </w:r>
          </w:p>
        </w:tc>
        <w:tc>
          <w:tcPr>
            <w:tcW w:w="567" w:type="dxa"/>
            <w:tcBorders>
              <w:top w:val="single" w:color="auto" w:sz="4" w:space="0"/>
              <w:left w:val="single" w:color="auto" w:sz="4" w:space="0"/>
              <w:bottom w:val="single" w:color="auto" w:sz="4" w:space="0"/>
              <w:right w:val="single" w:color="auto" w:sz="4" w:space="0"/>
            </w:tcBorders>
            <w:vAlign w:val="center"/>
          </w:tcPr>
          <w:p w14:paraId="438B6D11">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24D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547FCBD">
            <w:pPr>
              <w:spacing w:line="560" w:lineRule="exact"/>
              <w:jc w:val="center"/>
              <w:rPr>
                <w:rFonts w:ascii="宋体" w:hAnsi="宋体" w:eastAsia="宋体" w:cs="宋体"/>
                <w:bCs/>
                <w:szCs w:val="21"/>
              </w:rPr>
            </w:pPr>
            <w:r>
              <w:rPr>
                <w:rFonts w:hint="eastAsia" w:ascii="宋体" w:hAnsi="宋体" w:eastAsia="宋体" w:cs="宋体"/>
                <w:bCs/>
                <w:szCs w:val="21"/>
              </w:rPr>
              <w:t>25</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66C9B3A0">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蛇类生态展区布展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6BABEF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43500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4151687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4</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52875DA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174000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4583F1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套</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232DE401">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（一）生态场景造景制作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1.造景类型：蛇类生态造景，单组造景尺寸按展柜内部空间定制；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2.基层结构：采用热镀锌方管结构性龙骨，半包围钢丝网加固，焊接牢固，做防锈防腐处理；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3.造型工艺：基层纹理制模、AB型材料翻模造型，CaSiO3环保塑型材料打底，高分子生态专用复合材料覆面层，特制场景调色材料、人工多层次着色调整，还原对应生态环境的自然质感，含透明背景画制作；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4.场景配置：每组造景配置对应生态环境的仿真岩石、植被、藤蔓、底材等，种类、数量按设计方案配置，还原蛇类原生栖息环境。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（二）科普展板制作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1.内容范围：生态环境对应的蛇类生存状态科普、蛇类生态位介绍、生态系统价值科普等内容，含文字资料收集整理、版面内容优化编排、艺术字体设计、高清生态场景图处理；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p>
        </w:tc>
        <w:tc>
          <w:tcPr>
            <w:tcW w:w="567" w:type="dxa"/>
            <w:tcBorders>
              <w:top w:val="single" w:color="auto" w:sz="4" w:space="0"/>
              <w:left w:val="single" w:color="auto" w:sz="4" w:space="0"/>
              <w:bottom w:val="single" w:color="auto" w:sz="4" w:space="0"/>
              <w:right w:val="single" w:color="auto" w:sz="4" w:space="0"/>
            </w:tcBorders>
            <w:vAlign w:val="center"/>
          </w:tcPr>
          <w:p w14:paraId="397F8468">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603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40A5C3C">
            <w:pPr>
              <w:spacing w:line="560" w:lineRule="exact"/>
              <w:jc w:val="center"/>
              <w:rPr>
                <w:rFonts w:ascii="宋体" w:hAnsi="宋体" w:eastAsia="宋体" w:cs="宋体"/>
                <w:bCs/>
                <w:szCs w:val="21"/>
              </w:rPr>
            </w:pPr>
            <w:r>
              <w:rPr>
                <w:rFonts w:hint="eastAsia" w:ascii="宋体" w:hAnsi="宋体" w:eastAsia="宋体" w:cs="宋体"/>
                <w:bCs/>
                <w:szCs w:val="21"/>
              </w:rPr>
              <w:t>26</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3FE058F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广西地域蛇类展示区布展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792FAE0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23600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1F7988D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2315AC9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23600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3636654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65D10CF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1.内容范围：含广西蛇类物种宝库介绍、明星蛇种科普、生态分布特点、保护现状等内容，突出展示广西地域特有蛇类，含文字资料收集整理、版面内容优化编排、艺术字体设计、高清蛇类特写图处理；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3.规格尺寸：单块展板尺寸按设计方案定制，适配背景墙及标本展示布局；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5.面层工艺：基层采用9.5mm厚阻燃防火板，石膏板艺术造型，面层做文化石纹理处理，与整体展区洞穴风格统一。</w:t>
            </w:r>
          </w:p>
        </w:tc>
        <w:tc>
          <w:tcPr>
            <w:tcW w:w="567" w:type="dxa"/>
            <w:tcBorders>
              <w:top w:val="single" w:color="auto" w:sz="4" w:space="0"/>
              <w:left w:val="single" w:color="auto" w:sz="4" w:space="0"/>
              <w:bottom w:val="single" w:color="auto" w:sz="4" w:space="0"/>
              <w:right w:val="single" w:color="auto" w:sz="4" w:space="0"/>
            </w:tcBorders>
            <w:vAlign w:val="center"/>
          </w:tcPr>
          <w:p w14:paraId="067AFB3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38EC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2553D0F8">
            <w:pPr>
              <w:spacing w:line="560" w:lineRule="exact"/>
              <w:jc w:val="center"/>
              <w:rPr>
                <w:rFonts w:ascii="宋体" w:hAnsi="宋体" w:eastAsia="宋体" w:cs="宋体"/>
                <w:bCs/>
                <w:szCs w:val="21"/>
              </w:rPr>
            </w:pPr>
            <w:r>
              <w:rPr>
                <w:rFonts w:hint="eastAsia" w:ascii="宋体" w:hAnsi="宋体" w:eastAsia="宋体" w:cs="宋体"/>
                <w:bCs/>
                <w:szCs w:val="21"/>
              </w:rPr>
              <w:t>27</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015797D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蛇标本展示区布展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D80034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27800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0A5BCBA">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13B37F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27800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1DD0647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0A68912A">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（一）原展区改造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1.改造范围：按效果图对原有展柜的内部结构、外部饰面进行全面重新布局改造，按蛇类分类进行分区布展，尺寸与原有展柜匹配；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2.内部结构：采用15mm厚阻燃木工板制作内部支撑结构，板材加固，间距≤300mm，做防火防腐处理，内部做防火涂料涂刷；</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3.外部饰面：表面做文化石料纹理处理，与整体展区洞穴风格统一，面层平整，无开裂、无空鼓。（二）图文展板制作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按盲蛇科、蟒科、游蛇科、眼镜蛇科、蝰蛇科、闪鳞蛇科6大科进行分类科普，其中游蛇科标本区域最大（世界上70%蛇类属于游蛇科，游蛇标本比较多），含各科特征介绍、代表物种科普、识别要点、毒性说明等内容，与标本陈列一一对应，含文字资料收集整理、版面内容优化编排、艺术字体设计、高清标本特写图处理。</w:t>
            </w:r>
          </w:p>
        </w:tc>
        <w:tc>
          <w:tcPr>
            <w:tcW w:w="567" w:type="dxa"/>
            <w:tcBorders>
              <w:top w:val="single" w:color="auto" w:sz="4" w:space="0"/>
              <w:left w:val="single" w:color="auto" w:sz="4" w:space="0"/>
              <w:bottom w:val="single" w:color="auto" w:sz="4" w:space="0"/>
              <w:right w:val="single" w:color="auto" w:sz="4" w:space="0"/>
            </w:tcBorders>
            <w:vAlign w:val="center"/>
          </w:tcPr>
          <w:p w14:paraId="5D86423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5B0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4B7E9CF3">
            <w:pPr>
              <w:spacing w:line="560" w:lineRule="exact"/>
              <w:jc w:val="center"/>
              <w:rPr>
                <w:rFonts w:ascii="宋体" w:hAnsi="宋体" w:eastAsia="宋体" w:cs="宋体"/>
                <w:bCs/>
                <w:szCs w:val="21"/>
              </w:rPr>
            </w:pPr>
            <w:r>
              <w:rPr>
                <w:rFonts w:hint="eastAsia" w:ascii="宋体" w:hAnsi="宋体" w:eastAsia="宋体" w:cs="宋体"/>
                <w:bCs/>
                <w:szCs w:val="21"/>
              </w:rPr>
              <w:t>28</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5B4566A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应急救护科普区布展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6E4EB78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3A55FCA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628C30E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4A6A32A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34E60452">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1.内容范围：含应急与救护两大板块，蛇类咬伤应急处置步骤、注意事项、急救知识、避险常识等内容，含文字资料收集整理、版面内容优化编排、艺术字体设计、高清步骤示意图处理；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2.材质工艺：采用5mm厚PVC或3mm厚亚克力材质，艺术雕刻一体成型，字体大小按设计方案排版现场定制，表面做哑光/亮光处理，颜色与整体风格匹配；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3.尺寸按现场实际空间调整；</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4.基层结构：采用木龙骨，间距≤300mm，排列整齐顺直，做防火防腐处理；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5.面层工艺：基层采用9.5mm厚阻燃防火板。</w:t>
            </w:r>
          </w:p>
        </w:tc>
        <w:tc>
          <w:tcPr>
            <w:tcW w:w="567" w:type="dxa"/>
            <w:tcBorders>
              <w:top w:val="single" w:color="auto" w:sz="4" w:space="0"/>
              <w:left w:val="single" w:color="auto" w:sz="4" w:space="0"/>
              <w:bottom w:val="single" w:color="auto" w:sz="4" w:space="0"/>
              <w:right w:val="single" w:color="auto" w:sz="4" w:space="0"/>
            </w:tcBorders>
            <w:vAlign w:val="center"/>
          </w:tcPr>
          <w:p w14:paraId="3244369B">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2B20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vAlign w:val="center"/>
          </w:tcPr>
          <w:p w14:paraId="7043C796">
            <w:pPr>
              <w:spacing w:line="560" w:lineRule="exact"/>
              <w:jc w:val="center"/>
              <w:rPr>
                <w:rFonts w:ascii="宋体" w:hAnsi="宋体" w:eastAsia="宋体" w:cs="宋体"/>
                <w:bCs/>
                <w:szCs w:val="21"/>
              </w:rPr>
            </w:pPr>
            <w:r>
              <w:rPr>
                <w:rFonts w:hint="eastAsia" w:ascii="宋体" w:hAnsi="宋体" w:eastAsia="宋体" w:cs="宋体"/>
                <w:bCs/>
                <w:szCs w:val="21"/>
              </w:rPr>
              <w:t>29</w:t>
            </w:r>
          </w:p>
        </w:tc>
        <w:tc>
          <w:tcPr>
            <w:tcW w:w="1277" w:type="dxa"/>
            <w:tcBorders>
              <w:top w:val="single" w:color="auto" w:sz="4" w:space="0"/>
              <w:left w:val="single" w:color="auto" w:sz="4" w:space="0"/>
              <w:bottom w:val="single" w:color="auto" w:sz="4" w:space="0"/>
              <w:right w:val="single" w:color="auto" w:sz="4" w:space="0"/>
            </w:tcBorders>
            <w:shd w:val="clear" w:color="000000" w:fill="FFFFFF"/>
            <w:vAlign w:val="center"/>
          </w:tcPr>
          <w:p w14:paraId="266AD09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蛇类保护及合理利用展区布展</w:t>
            </w:r>
          </w:p>
        </w:tc>
        <w:tc>
          <w:tcPr>
            <w:tcW w:w="941" w:type="dxa"/>
            <w:tcBorders>
              <w:top w:val="single" w:color="auto" w:sz="4" w:space="0"/>
              <w:left w:val="single" w:color="auto" w:sz="4" w:space="0"/>
              <w:bottom w:val="single" w:color="auto" w:sz="4" w:space="0"/>
              <w:right w:val="single" w:color="auto" w:sz="4" w:space="0"/>
            </w:tcBorders>
            <w:shd w:val="clear" w:color="000000" w:fill="FFFFFF"/>
            <w:vAlign w:val="center"/>
          </w:tcPr>
          <w:p w14:paraId="3875C92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25700</w:t>
            </w:r>
          </w:p>
        </w:tc>
        <w:tc>
          <w:tcPr>
            <w:tcW w:w="708" w:type="dxa"/>
            <w:tcBorders>
              <w:top w:val="single" w:color="auto" w:sz="4" w:space="0"/>
              <w:left w:val="single" w:color="auto" w:sz="4" w:space="0"/>
              <w:bottom w:val="single" w:color="auto" w:sz="4" w:space="0"/>
              <w:right w:val="single" w:color="auto" w:sz="4" w:space="0"/>
            </w:tcBorders>
            <w:shd w:val="clear" w:color="000000" w:fill="FFFFFF"/>
            <w:vAlign w:val="center"/>
          </w:tcPr>
          <w:p w14:paraId="26BF31D3">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14:paraId="714B1E3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25700</w:t>
            </w:r>
          </w:p>
        </w:tc>
        <w:tc>
          <w:tcPr>
            <w:tcW w:w="567" w:type="dxa"/>
            <w:tcBorders>
              <w:top w:val="single" w:color="auto" w:sz="4" w:space="0"/>
              <w:left w:val="single" w:color="auto" w:sz="4" w:space="0"/>
              <w:bottom w:val="single" w:color="auto" w:sz="4" w:space="0"/>
              <w:right w:val="single" w:color="auto" w:sz="4" w:space="0"/>
            </w:tcBorders>
            <w:shd w:val="clear" w:color="000000" w:fill="FFFFFF"/>
            <w:vAlign w:val="center"/>
          </w:tcPr>
          <w:p w14:paraId="7AB8E70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tcBorders>
              <w:top w:val="single" w:color="auto" w:sz="4" w:space="0"/>
              <w:left w:val="single" w:color="auto" w:sz="4" w:space="0"/>
              <w:bottom w:val="single" w:color="auto" w:sz="4" w:space="0"/>
              <w:right w:val="single" w:color="auto" w:sz="4" w:space="0"/>
            </w:tcBorders>
            <w:shd w:val="clear" w:color="000000" w:fill="FFFFFF"/>
            <w:vAlign w:val="center"/>
          </w:tcPr>
          <w:p w14:paraId="5A72AC87">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(一）展板要求</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1.尺寸：按现场实际空间定制，匹配展区整体布局，与周边展区风格统一；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2.基层结构：采用木龙骨，间距≤300mm，排列整齐顺直，做防火防腐处理，与原有建筑结构固定牢固；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3.面层工艺：基层采用9.5mm厚阻燃防火板，外表面做文化石纹理饰面处理，与整体展区洞穴风格统一，表面平整无毛刺。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（二）蛇类保护现状科普图文展板制作安装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1.内容范围：含全球蛇类保护现状、中国蛇类保护等级划分、濒危蛇种红色名录、广西本地蛇类保护现状四大核心板块，含文字资料收集整理、版面内容优化编排、艺术字体设计、高清蛇类生态图/分布图处理；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3.规格尺寸：单块展板尺寸按设计方案定制，整体排版与背景墙匹配；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4.安装工艺：采用墙面固定件+结构胶安装，安装牢固平整，展板间距均匀，与同展区其他展板对齐，无松动、无偏移。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（三）蛇类合理利用科普图文展板制作安装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1.内容范围：含蛇类传统药用价值科普、现代生物医学应用、蛇类养殖产业规范、非遗蛇文化传承四大核心板块，含文字资料收集整理、版面内容优化编排、艺术字体设计、高清应用场景图/文物图处理；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3.规格尺寸：单块展板尺寸按设计方案定制，与10.1展板尺寸统一，排版对称，整体布局协调；</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4.安装工艺：采用墙面固定件+结构胶安装，安装牢固平整，展板间距均匀，与同展区其他展板对齐，无松动、无偏移。</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（四）保护法规与公众参与科普图文展板制作安装</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中华人民共和国野生动物保护法》核心条款解读、蛇类保护相关法规条例、公众参与蛇类保护的途径与方式、非法猎捕交易警示案例四大核心板块，含文字资料收集整理、版面内容优化编排、艺术字体设计、高清法规文本/案例配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3.安装工艺：采用墙面固定件+结构胶安装，安装牢固平整，展板间距均匀，与同展区其他展板对齐，无松动、无偏移</w:t>
            </w:r>
            <w:r>
              <w:rPr>
                <w:rFonts w:hint="eastAsia" w:ascii="宋体" w:hAnsi="宋体" w:eastAsia="宋体" w:cs="宋体"/>
              </w:rPr>
              <w:t>。</w:t>
            </w:r>
          </w:p>
        </w:tc>
        <w:tc>
          <w:tcPr>
            <w:tcW w:w="567" w:type="dxa"/>
            <w:tcBorders>
              <w:top w:val="single" w:color="auto" w:sz="4" w:space="0"/>
              <w:left w:val="single" w:color="auto" w:sz="4" w:space="0"/>
              <w:bottom w:val="single" w:color="auto" w:sz="4" w:space="0"/>
              <w:right w:val="single" w:color="auto" w:sz="4" w:space="0"/>
            </w:tcBorders>
            <w:vAlign w:val="center"/>
          </w:tcPr>
          <w:p w14:paraId="5A6653E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626F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E01B751">
            <w:pPr>
              <w:spacing w:line="560" w:lineRule="exact"/>
              <w:jc w:val="center"/>
              <w:rPr>
                <w:rFonts w:ascii="宋体" w:hAnsi="宋体" w:eastAsia="宋体" w:cs="宋体"/>
                <w:bCs/>
                <w:szCs w:val="21"/>
              </w:rPr>
            </w:pPr>
            <w:r>
              <w:rPr>
                <w:rFonts w:hint="eastAsia" w:ascii="宋体" w:hAnsi="宋体" w:eastAsia="宋体" w:cs="宋体"/>
                <w:bCs/>
                <w:szCs w:val="21"/>
              </w:rPr>
              <w:t>30</w:t>
            </w:r>
          </w:p>
        </w:tc>
        <w:tc>
          <w:tcPr>
            <w:tcW w:w="1277" w:type="dxa"/>
            <w:vAlign w:val="center"/>
          </w:tcPr>
          <w:p w14:paraId="4CC6817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蛇类科研成果展区布展</w:t>
            </w:r>
          </w:p>
        </w:tc>
        <w:tc>
          <w:tcPr>
            <w:tcW w:w="941" w:type="dxa"/>
            <w:vAlign w:val="center"/>
          </w:tcPr>
          <w:p w14:paraId="11738D1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708" w:type="dxa"/>
            <w:vAlign w:val="center"/>
          </w:tcPr>
          <w:p w14:paraId="0B5F1A59">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79C6DE6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22000</w:t>
            </w:r>
          </w:p>
        </w:tc>
        <w:tc>
          <w:tcPr>
            <w:tcW w:w="567" w:type="dxa"/>
            <w:vAlign w:val="center"/>
          </w:tcPr>
          <w:p w14:paraId="5681C0D2">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4A8822E5">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（一）蛇类科研成果展区背景墙制作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1.墙体尺寸：按现场实际空间定制，高度≥2400mm，宽度匹配展区整体布局，与周边展区风格统一；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2.基层结构：采用木龙骨，间距≤300mm，排列整齐顺直，做防火防腐处理，与原有建筑结构固定牢固；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3.面层工艺：基层采用9.5mm厚阻燃防火板，外表面做文化石纹理饰面处理，与整体展区洞穴风格统一，预留科研成果展示点位，表面平整无毛刺。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（二）蛇类科研成果核心展板制作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国内外蛇类科研重大成果、广西本地蛇类科研进展、蛇类基因组学研究、蛇毒药理研究、生态保护研究五大核心板块，含文字资料收集整理、版面内容优化编排、艺术字体设计、高清科研图谱/实验场景图处理；</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2.材质工艺：展板采用5mm厚PVC板+UV高清喷绘，核心成果标题区域采用3mm厚亚克力雕刻+UV打印，画面分辨率≥300DPI，色彩还原准确，无偏色、无像素点，边缘做磨边处理，无毛刺。</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（三）科研互动装置配套图文内容制作</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1.内容范围：含科研互动触控屏配套的操作指引、核心科研知识点说明、点击弹窗科普内容、互动游戏规则说明、背景墙线稿图设计，适配互动装置的功能逻辑；</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2.画面要求：所有画面分辨率≥1920*1080，适配触控屏显示比例，色彩与整体展区风格统一，操作界面简洁易懂，符合科普展示逻辑，互动节点与图文内容一一对应；</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3.材质工艺：背景墙图文采用UV高清喷绘，分辨率≥300DPI，材质与周边展板统一，触控屏周边装饰图文采用3mm厚亚克力雕刻+UV打印，与装置无缝衔接。</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（四）科研成果展示展区改造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1.改造范围：按设计方案对原有展柜的内部结构、外部饰面进行全面改造，适配科研成果标本、文献、模型的展示需求，尺寸与原有展柜匹配；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2.内部结构：采用15mm厚阻燃木工板制作内部支撑结构，分层设计，层板间距可调节，做防火防腐处理，内部做哑光乳胶漆饰面，平整光滑，无开裂、无流坠；</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3.外部饰面：外表面做文化石纹理处理，与整体展区洞穴风格统一；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4.灯光配置：展柜内部配置LED暖白光灯带，色温4000K，显指Ra≥90，单米功率≤12W，灯光均匀无眩光，适配展品展示需求。</w:t>
            </w:r>
          </w:p>
        </w:tc>
        <w:tc>
          <w:tcPr>
            <w:tcW w:w="567" w:type="dxa"/>
          </w:tcPr>
          <w:p w14:paraId="2226171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412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7B57CAB">
            <w:pPr>
              <w:spacing w:line="560" w:lineRule="exact"/>
              <w:jc w:val="center"/>
              <w:rPr>
                <w:rFonts w:ascii="宋体" w:hAnsi="宋体" w:eastAsia="宋体" w:cs="宋体"/>
                <w:bCs/>
                <w:szCs w:val="21"/>
              </w:rPr>
            </w:pPr>
            <w:r>
              <w:rPr>
                <w:rFonts w:hint="eastAsia" w:ascii="宋体" w:hAnsi="宋体" w:eastAsia="宋体" w:cs="宋体"/>
                <w:bCs/>
                <w:szCs w:val="21"/>
              </w:rPr>
              <w:t>31</w:t>
            </w:r>
          </w:p>
        </w:tc>
        <w:tc>
          <w:tcPr>
            <w:tcW w:w="1277" w:type="dxa"/>
            <w:vAlign w:val="center"/>
          </w:tcPr>
          <w:p w14:paraId="1A7ADD0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结束语设计制作</w:t>
            </w:r>
          </w:p>
        </w:tc>
        <w:tc>
          <w:tcPr>
            <w:tcW w:w="941" w:type="dxa"/>
            <w:vAlign w:val="center"/>
          </w:tcPr>
          <w:p w14:paraId="31D3785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8500</w:t>
            </w:r>
          </w:p>
        </w:tc>
        <w:tc>
          <w:tcPr>
            <w:tcW w:w="708" w:type="dxa"/>
            <w:vAlign w:val="center"/>
          </w:tcPr>
          <w:p w14:paraId="634A6D94">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0C0D356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8500</w:t>
            </w:r>
          </w:p>
        </w:tc>
        <w:tc>
          <w:tcPr>
            <w:tcW w:w="567" w:type="dxa"/>
            <w:vAlign w:val="center"/>
          </w:tcPr>
          <w:p w14:paraId="526382F7">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7F38B8EC">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1.布展范围：按设计方案完成结束语展区的整体造型、背景墙、图文内容、灯光系统的制作安装，与入口展区风格呼应，形成完整的参观闭环；</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2.整体造型：采用与入口展区统一的洞穴风格造型，整体尺寸按现场实际空间定制，</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3.内容范围：含结束语主题标题、核心总结文案，含文字内容优化、艺术字体设计、排版布局，与整体展区风格统一；</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4.材质工艺：标题采用5mm厚304不锈钢板，激光切割成型，氩弧焊接打磨，表面做白色哑光氟碳漆处理；正文采用3mm厚亚克力材质，艺术雕刻一体成型，表面做哑光处理，颜色与整体风格匹配；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5.规格尺寸：标题单字尺寸≥400mm×400mm，正文单字尺寸≥80mm，整体排版居中对称，与文化墙尺寸匹配；</w:t>
            </w:r>
            <w:r>
              <w:rPr>
                <w:rFonts w:hint="eastAsia" w:ascii="宋体" w:hAnsi="宋体" w:eastAsia="宋体" w:cs="宋体"/>
                <w:color w:val="000000"/>
                <w:szCs w:val="21"/>
                <w:lang w:bidi="ar"/>
              </w:rPr>
              <w:br w:type="textWrapping"/>
            </w:r>
            <w:r>
              <w:rPr>
                <w:rFonts w:hint="eastAsia" w:ascii="宋体" w:hAnsi="宋体" w:eastAsia="宋体" w:cs="宋体"/>
                <w:color w:val="000000"/>
                <w:szCs w:val="21"/>
                <w:lang w:bidi="ar"/>
              </w:rPr>
              <w:t>6.安装工艺：采用墙面预埋固定件+结构胶粘贴安装，安装牢固平整，无松动、无偏移，字体间距均匀，排版符合设计要求，电源线隐藏于造型内部，无外露管线。</w:t>
            </w:r>
          </w:p>
        </w:tc>
        <w:tc>
          <w:tcPr>
            <w:tcW w:w="567" w:type="dxa"/>
          </w:tcPr>
          <w:p w14:paraId="3C794172">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5CC0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86" w:type="dxa"/>
            <w:vAlign w:val="center"/>
          </w:tcPr>
          <w:p w14:paraId="09542A84">
            <w:pPr>
              <w:spacing w:line="560" w:lineRule="exact"/>
              <w:jc w:val="center"/>
              <w:rPr>
                <w:rFonts w:ascii="宋体" w:hAnsi="宋体" w:eastAsia="宋体" w:cs="宋体"/>
                <w:bCs/>
                <w:szCs w:val="21"/>
              </w:rPr>
            </w:pPr>
            <w:r>
              <w:rPr>
                <w:rFonts w:hint="eastAsia" w:ascii="宋体" w:hAnsi="宋体" w:eastAsia="宋体" w:cs="宋体"/>
                <w:bCs/>
                <w:szCs w:val="21"/>
              </w:rPr>
              <w:t>32</w:t>
            </w:r>
          </w:p>
        </w:tc>
        <w:tc>
          <w:tcPr>
            <w:tcW w:w="1277" w:type="dxa"/>
            <w:vAlign w:val="center"/>
          </w:tcPr>
          <w:p w14:paraId="0C9FF18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线管辅材</w:t>
            </w:r>
          </w:p>
        </w:tc>
        <w:tc>
          <w:tcPr>
            <w:tcW w:w="941" w:type="dxa"/>
            <w:vAlign w:val="center"/>
          </w:tcPr>
          <w:p w14:paraId="00C40E9C">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6000</w:t>
            </w:r>
          </w:p>
        </w:tc>
        <w:tc>
          <w:tcPr>
            <w:tcW w:w="708" w:type="dxa"/>
            <w:vAlign w:val="center"/>
          </w:tcPr>
          <w:p w14:paraId="27A2EE4F">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6DEAFA5E">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6000</w:t>
            </w:r>
          </w:p>
        </w:tc>
        <w:tc>
          <w:tcPr>
            <w:tcW w:w="567" w:type="dxa"/>
            <w:vAlign w:val="center"/>
          </w:tcPr>
          <w:p w14:paraId="15A4DCD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批</w:t>
            </w:r>
          </w:p>
        </w:tc>
        <w:tc>
          <w:tcPr>
            <w:tcW w:w="5154" w:type="dxa"/>
            <w:vAlign w:val="center"/>
          </w:tcPr>
          <w:p w14:paraId="652B1998">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网线、电源线、HDMI线、音频线、水晶头、暗盒、盒配件、软管、软管连接配件、普通电工胶布、水泥钉、膨胀螺丝、电线、插座、LED筒灯、LED射灯、T5日光灯等1批</w:t>
            </w:r>
            <w:r>
              <w:rPr>
                <w:rFonts w:hint="eastAsia" w:ascii="宋体" w:hAnsi="宋体" w:eastAsia="宋体" w:cs="宋体"/>
              </w:rPr>
              <w:t>。</w:t>
            </w:r>
          </w:p>
        </w:tc>
        <w:tc>
          <w:tcPr>
            <w:tcW w:w="567" w:type="dxa"/>
          </w:tcPr>
          <w:p w14:paraId="595BD2DE">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1C29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jc w:val="center"/>
        </w:trPr>
        <w:tc>
          <w:tcPr>
            <w:tcW w:w="586" w:type="dxa"/>
            <w:vAlign w:val="center"/>
          </w:tcPr>
          <w:p w14:paraId="3DB88731">
            <w:pPr>
              <w:spacing w:line="560" w:lineRule="exact"/>
              <w:jc w:val="center"/>
              <w:rPr>
                <w:rFonts w:ascii="宋体" w:hAnsi="宋体" w:eastAsia="宋体" w:cs="宋体"/>
                <w:bCs/>
                <w:szCs w:val="21"/>
              </w:rPr>
            </w:pPr>
            <w:r>
              <w:rPr>
                <w:rFonts w:hint="eastAsia" w:ascii="宋体" w:hAnsi="宋体" w:eastAsia="宋体" w:cs="宋体"/>
                <w:bCs/>
                <w:szCs w:val="21"/>
              </w:rPr>
              <w:t>33</w:t>
            </w:r>
          </w:p>
        </w:tc>
        <w:tc>
          <w:tcPr>
            <w:tcW w:w="1277" w:type="dxa"/>
            <w:vAlign w:val="center"/>
          </w:tcPr>
          <w:p w14:paraId="58A43EFD">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系统集成及安装调试</w:t>
            </w:r>
          </w:p>
        </w:tc>
        <w:tc>
          <w:tcPr>
            <w:tcW w:w="941" w:type="dxa"/>
            <w:vAlign w:val="center"/>
          </w:tcPr>
          <w:p w14:paraId="59B9BCC5">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708" w:type="dxa"/>
            <w:vAlign w:val="center"/>
          </w:tcPr>
          <w:p w14:paraId="753D5B31">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1</w:t>
            </w:r>
          </w:p>
        </w:tc>
        <w:tc>
          <w:tcPr>
            <w:tcW w:w="993" w:type="dxa"/>
            <w:vAlign w:val="center"/>
          </w:tcPr>
          <w:p w14:paraId="477F3376">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9000</w:t>
            </w:r>
          </w:p>
        </w:tc>
        <w:tc>
          <w:tcPr>
            <w:tcW w:w="567" w:type="dxa"/>
            <w:vAlign w:val="center"/>
          </w:tcPr>
          <w:p w14:paraId="0C70A19B">
            <w:pPr>
              <w:widowControl/>
              <w:jc w:val="center"/>
              <w:textAlignment w:val="center"/>
              <w:rPr>
                <w:rFonts w:ascii="宋体" w:hAnsi="宋体" w:eastAsia="宋体" w:cs="宋体"/>
                <w:color w:val="000000"/>
                <w:kern w:val="2"/>
                <w:szCs w:val="21"/>
              </w:rPr>
            </w:pPr>
            <w:r>
              <w:rPr>
                <w:rFonts w:hint="eastAsia" w:ascii="宋体" w:hAnsi="宋体" w:eastAsia="宋体" w:cs="宋体"/>
                <w:color w:val="000000"/>
                <w:szCs w:val="21"/>
                <w:lang w:bidi="ar"/>
              </w:rPr>
              <w:t>项</w:t>
            </w:r>
          </w:p>
        </w:tc>
        <w:tc>
          <w:tcPr>
            <w:tcW w:w="5154" w:type="dxa"/>
            <w:vAlign w:val="center"/>
          </w:tcPr>
          <w:p w14:paraId="25961116">
            <w:pPr>
              <w:widowControl/>
              <w:jc w:val="left"/>
              <w:textAlignment w:val="center"/>
              <w:rPr>
                <w:rFonts w:ascii="宋体" w:hAnsi="宋体" w:eastAsia="宋体" w:cs="宋体"/>
                <w:color w:val="000000"/>
                <w:kern w:val="2"/>
                <w:szCs w:val="21"/>
              </w:rPr>
            </w:pPr>
            <w:r>
              <w:rPr>
                <w:rFonts w:hint="eastAsia" w:ascii="宋体" w:hAnsi="宋体" w:eastAsia="宋体" w:cs="宋体"/>
                <w:color w:val="000000"/>
                <w:szCs w:val="21"/>
                <w:lang w:bidi="ar"/>
              </w:rPr>
              <w:t>系统集成、施工布线及本项目所有设备安装调试，以及设备相关物流、搬运上楼费用等。</w:t>
            </w:r>
          </w:p>
        </w:tc>
        <w:tc>
          <w:tcPr>
            <w:tcW w:w="567" w:type="dxa"/>
          </w:tcPr>
          <w:p w14:paraId="1AA1212A">
            <w:pPr>
              <w:spacing w:line="560" w:lineRule="exact"/>
              <w:jc w:val="center"/>
              <w:rPr>
                <w:rFonts w:ascii="宋体" w:hAnsi="宋体" w:eastAsia="宋体" w:cs="宋体"/>
                <w:bCs/>
                <w:szCs w:val="21"/>
              </w:rPr>
            </w:pPr>
            <w:r>
              <w:rPr>
                <w:rFonts w:hint="eastAsia" w:ascii="宋体" w:hAnsi="宋体" w:eastAsia="宋体" w:cs="宋体"/>
                <w:bCs/>
                <w:szCs w:val="21"/>
              </w:rPr>
              <w:t>否</w:t>
            </w:r>
          </w:p>
        </w:tc>
      </w:tr>
      <w:tr w14:paraId="70D2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793" w:type="dxa"/>
            <w:gridSpan w:val="8"/>
            <w:vAlign w:val="center"/>
          </w:tcPr>
          <w:p w14:paraId="70AC8F66">
            <w:pPr>
              <w:spacing w:line="560" w:lineRule="exact"/>
              <w:jc w:val="left"/>
              <w:rPr>
                <w:rFonts w:ascii="宋体" w:hAnsi="宋体" w:eastAsia="宋体" w:cs="宋体"/>
                <w:bCs/>
                <w:szCs w:val="21"/>
              </w:rPr>
            </w:pPr>
            <w:r>
              <w:rPr>
                <w:rFonts w:hint="eastAsia" w:ascii="宋体" w:hAnsi="宋体" w:eastAsia="宋体" w:cs="宋体"/>
                <w:szCs w:val="21"/>
                <w:lang w:bidi="ar"/>
              </w:rPr>
              <w:t>▲</w:t>
            </w:r>
            <w:r>
              <w:rPr>
                <w:rFonts w:hint="eastAsia" w:ascii="宋体" w:hAnsi="宋体" w:eastAsia="宋体" w:cs="宋体"/>
                <w:sz w:val="28"/>
                <w:szCs w:val="28"/>
              </w:rPr>
              <w:t>二、商务要求</w:t>
            </w:r>
          </w:p>
        </w:tc>
      </w:tr>
      <w:tr w14:paraId="11C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8" w:hRule="atLeast"/>
          <w:jc w:val="center"/>
        </w:trPr>
        <w:tc>
          <w:tcPr>
            <w:tcW w:w="10793" w:type="dxa"/>
            <w:gridSpan w:val="8"/>
            <w:vAlign w:val="center"/>
          </w:tcPr>
          <w:p w14:paraId="4FB16F19">
            <w:pPr>
              <w:widowControl/>
              <w:spacing w:line="400" w:lineRule="exact"/>
              <w:rPr>
                <w:rFonts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合同签订期：自成交通知书发出之日起</w:t>
            </w:r>
            <w:r>
              <w:rPr>
                <w:rFonts w:hint="eastAsia" w:ascii="宋体" w:hAnsi="宋体" w:eastAsia="宋体" w:cs="宋体"/>
                <w:szCs w:val="21"/>
                <w:u w:val="single"/>
              </w:rPr>
              <w:t xml:space="preserve"> 25 　</w:t>
            </w:r>
            <w:r>
              <w:rPr>
                <w:rFonts w:hint="eastAsia" w:ascii="宋体" w:hAnsi="宋体" w:eastAsia="宋体" w:cs="宋体"/>
                <w:szCs w:val="21"/>
              </w:rPr>
              <w:t>日内</w:t>
            </w:r>
            <w:r>
              <w:rPr>
                <w:rFonts w:hint="eastAsia" w:ascii="宋体" w:hAnsi="宋体" w:eastAsia="宋体" w:cs="宋体"/>
              </w:rPr>
              <w:t>。</w:t>
            </w:r>
          </w:p>
          <w:p w14:paraId="14ED1A59">
            <w:pPr>
              <w:widowControl/>
              <w:spacing w:line="400" w:lineRule="exact"/>
              <w:rPr>
                <w:rFonts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交付</w:t>
            </w:r>
            <w:r>
              <w:rPr>
                <w:rFonts w:hint="eastAsia" w:ascii="宋体" w:hAnsi="宋体" w:eastAsia="宋体" w:cs="宋体"/>
                <w:bCs/>
                <w:szCs w:val="21"/>
              </w:rPr>
              <w:t>时间：</w:t>
            </w:r>
            <w:r>
              <w:rPr>
                <w:rFonts w:hint="eastAsia" w:ascii="宋体" w:hAnsi="宋体" w:eastAsia="宋体" w:cs="宋体"/>
                <w:szCs w:val="21"/>
                <w:u w:val="single"/>
              </w:rPr>
              <w:t xml:space="preserve"> </w:t>
            </w:r>
            <w:r>
              <w:rPr>
                <w:rFonts w:hint="eastAsia" w:ascii="宋体" w:hAnsi="宋体" w:eastAsia="宋体" w:cs="宋体"/>
                <w:szCs w:val="21"/>
              </w:rPr>
              <w:t>自签订合同之日起60个工作日内到货并全部安装调试验收合格完毕。</w:t>
            </w:r>
            <w:r>
              <w:rPr>
                <w:rFonts w:hint="eastAsia" w:ascii="宋体" w:hAnsi="宋体" w:eastAsia="宋体" w:cs="宋体"/>
                <w:szCs w:val="21"/>
                <w:u w:val="single"/>
              </w:rPr>
              <w:t xml:space="preserve"> </w:t>
            </w:r>
          </w:p>
          <w:p w14:paraId="520AFEC6">
            <w:pPr>
              <w:widowControl/>
              <w:spacing w:line="400" w:lineRule="exact"/>
              <w:rPr>
                <w:rFonts w:ascii="宋体" w:hAnsi="宋体" w:eastAsia="宋体" w:cs="宋体"/>
                <w:bCs/>
                <w:szCs w:val="21"/>
                <w:u w:val="single"/>
              </w:rPr>
            </w:pPr>
            <w:r>
              <w:rPr>
                <w:rFonts w:hint="eastAsia" w:ascii="宋体" w:hAnsi="宋体" w:eastAsia="宋体" w:cs="宋体"/>
                <w:szCs w:val="21"/>
                <w:lang w:val="en-US" w:eastAsia="zh-CN"/>
              </w:rPr>
              <w:t>3.</w:t>
            </w:r>
            <w:r>
              <w:rPr>
                <w:rFonts w:hint="eastAsia" w:ascii="宋体" w:hAnsi="宋体" w:eastAsia="宋体" w:cs="宋体"/>
                <w:szCs w:val="21"/>
              </w:rPr>
              <w:t>交付地点：</w:t>
            </w:r>
            <w:r>
              <w:rPr>
                <w:rFonts w:hint="eastAsia" w:ascii="宋体" w:hAnsi="宋体" w:eastAsia="宋体" w:cs="宋体"/>
                <w:bCs/>
                <w:szCs w:val="21"/>
                <w:u w:val="single"/>
              </w:rPr>
              <w:t xml:space="preserve"> 广西桂林市采购人指定地点（广西师范大学雁山校区） </w:t>
            </w:r>
          </w:p>
          <w:p w14:paraId="6D8DB4D6">
            <w:pPr>
              <w:widowControl/>
              <w:spacing w:line="400" w:lineRule="exact"/>
              <w:rPr>
                <w:rFonts w:ascii="宋体" w:hAnsi="宋体" w:eastAsia="宋体" w:cs="宋体"/>
              </w:rPr>
            </w:pPr>
            <w:r>
              <w:rPr>
                <w:rFonts w:hint="eastAsia" w:ascii="宋体" w:hAnsi="宋体" w:eastAsia="宋体" w:cs="宋体"/>
                <w:bCs/>
                <w:szCs w:val="21"/>
                <w:lang w:val="en-US" w:eastAsia="zh-CN"/>
              </w:rPr>
              <w:t>4.</w:t>
            </w:r>
            <w:r>
              <w:rPr>
                <w:rFonts w:hint="eastAsia" w:ascii="宋体" w:hAnsi="宋体" w:eastAsia="宋体" w:cs="宋体"/>
                <w:szCs w:val="21"/>
              </w:rPr>
              <w:t>验收标准、规范：</w:t>
            </w:r>
          </w:p>
          <w:p w14:paraId="584B32E8">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w:t>
            </w:r>
            <w:r>
              <w:rPr>
                <w:rFonts w:hint="eastAsia" w:ascii="宋体" w:hAnsi="宋体" w:eastAsia="宋体" w:cs="宋体"/>
              </w:rPr>
              <w:t>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583D178B">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产品到货后，采购人现场根据谈判文件要求及响应文件承诺逐条对应进行核验（含测试或试运行），核验不合格的，采购人有权不予验收，同时报相关监督管理部门，由此造成采购人经济损失的由乙方承担全部赔偿责任。</w:t>
            </w:r>
          </w:p>
          <w:p w14:paraId="09604242">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因产品质量问题发生争议的，应邀请国家认可的质量检测机构对产品质量进行鉴定。产品符合标准的，鉴定费由采购人承担；产品不符合标准的，鉴定费由成交供应商承担。</w:t>
            </w:r>
          </w:p>
          <w:p w14:paraId="79FA6A7A">
            <w:pPr>
              <w:widowControl/>
              <w:spacing w:line="400" w:lineRule="exact"/>
              <w:rPr>
                <w:rFonts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要求成交供应商所提供的第</w:t>
            </w:r>
            <w:r>
              <w:rPr>
                <w:rFonts w:ascii="宋体" w:hAnsi="宋体" w:eastAsia="宋体" w:cs="宋体"/>
              </w:rPr>
              <w:t>16</w:t>
            </w:r>
            <w:r>
              <w:rPr>
                <w:rFonts w:hint="eastAsia" w:ascii="宋体" w:hAnsi="宋体" w:eastAsia="宋体" w:cs="宋体"/>
              </w:rPr>
              <w:t>项号产品“信息发布终端”须确保在不额外增加设备和成本的前提下，能实现与采购人现有“实验室智能综合管理平台”无缝对接，成交供应商在验收时对所提供的以上产品进行兼容性测试，测试所需的配件、材料和费用由成交供应商全额承担，不得增加任何费用，不能通过测试的或测试结果不满足响应文件承诺的，视为验收不合格，由成交供应商进行整改达到验收合格标准，在此期间，成交供应商每天须按合同金额的</w:t>
            </w:r>
            <w:r>
              <w:rPr>
                <w:rFonts w:ascii="宋体" w:hAnsi="宋体" w:eastAsia="宋体" w:cs="宋体"/>
              </w:rPr>
              <w:t>0.5%</w:t>
            </w:r>
            <w:r>
              <w:rPr>
                <w:rFonts w:hint="eastAsia" w:ascii="宋体" w:hAnsi="宋体" w:eastAsia="宋体" w:cs="宋体"/>
              </w:rPr>
              <w:t>赔偿采购人损失，整改时间超过</w:t>
            </w:r>
            <w:r>
              <w:rPr>
                <w:rFonts w:ascii="宋体" w:hAnsi="宋体" w:eastAsia="宋体" w:cs="宋体"/>
              </w:rPr>
              <w:t>15</w:t>
            </w:r>
            <w:r>
              <w:rPr>
                <w:rFonts w:hint="eastAsia" w:ascii="宋体" w:hAnsi="宋体" w:eastAsia="宋体" w:cs="宋体"/>
              </w:rPr>
              <w:t>个日历日的，采购人有权解除合同并追偿相关损失。</w:t>
            </w:r>
          </w:p>
          <w:p w14:paraId="34F7D0DC">
            <w:pPr>
              <w:widowControl/>
              <w:spacing w:line="400" w:lineRule="exact"/>
              <w:rPr>
                <w:rFonts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售后服务要求：</w:t>
            </w:r>
          </w:p>
          <w:p w14:paraId="111FD17C">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按国家有关产品“三包”规定执行“三包”，免费质保期自验收之日算起最短不得少于 1 年（设备技术要求栏中有特别注明的除外），保修期内上门维修免收维修费和元器件费，并提供终身维修服务。</w:t>
            </w:r>
          </w:p>
          <w:p w14:paraId="496EEFB6">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包含送货上门，安装、调试，提供现场技术培训，保证使用人员正常操作设备的各种功能；在系统有更新时进行免费升级服务。</w:t>
            </w:r>
          </w:p>
          <w:p w14:paraId="52B465D2">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371FDC6A">
            <w:pPr>
              <w:widowControl/>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响应时间：接到采购人处理问题通知后</w:t>
            </w:r>
            <w:r>
              <w:rPr>
                <w:rFonts w:hint="eastAsia" w:ascii="宋体" w:hAnsi="宋体" w:eastAsia="宋体" w:cs="宋体"/>
                <w:szCs w:val="21"/>
                <w:u w:val="single"/>
              </w:rPr>
              <w:t xml:space="preserve"> 2</w:t>
            </w:r>
            <w:r>
              <w:rPr>
                <w:rFonts w:hint="eastAsia" w:ascii="宋体" w:hAnsi="宋体" w:eastAsia="宋体" w:cs="宋体"/>
                <w:szCs w:val="21"/>
              </w:rPr>
              <w:t>小时内到达采购人指定现场处理。</w:t>
            </w:r>
          </w:p>
          <w:p w14:paraId="6A61ECAB">
            <w:pPr>
              <w:spacing w:line="400" w:lineRule="exact"/>
              <w:rPr>
                <w:rFonts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其他要求：</w:t>
            </w:r>
          </w:p>
          <w:p w14:paraId="5418C156">
            <w:pPr>
              <w:spacing w:line="400" w:lineRule="exact"/>
              <w:rPr>
                <w:rFonts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报价必须含以下部分，包括：</w:t>
            </w:r>
          </w:p>
          <w:p w14:paraId="7DFB371E">
            <w:pPr>
              <w:spacing w:line="400" w:lineRule="exact"/>
              <w:ind w:firstLine="210" w:firstLineChars="100"/>
              <w:rPr>
                <w:rFonts w:ascii="宋体" w:hAnsi="宋体" w:eastAsia="宋体" w:cs="宋体"/>
                <w:szCs w:val="21"/>
              </w:rPr>
            </w:pPr>
            <w:r>
              <w:rPr>
                <w:rFonts w:hint="eastAsia" w:ascii="宋体" w:hAnsi="宋体" w:eastAsia="宋体" w:cs="宋体"/>
                <w:szCs w:val="21"/>
                <w:lang w:val="en-US" w:eastAsia="zh-CN"/>
              </w:rPr>
              <w:t>a.</w:t>
            </w:r>
            <w:r>
              <w:rPr>
                <w:rFonts w:hint="eastAsia" w:ascii="宋体" w:hAnsi="宋体" w:eastAsia="宋体" w:cs="宋体"/>
                <w:szCs w:val="21"/>
              </w:rPr>
              <w:t>货物的价格；</w:t>
            </w:r>
          </w:p>
          <w:p w14:paraId="6AB8B632">
            <w:pPr>
              <w:spacing w:line="400" w:lineRule="exact"/>
              <w:ind w:firstLine="210" w:firstLineChars="100"/>
              <w:rPr>
                <w:rFonts w:ascii="宋体" w:hAnsi="宋体" w:eastAsia="宋体" w:cs="宋体"/>
                <w:szCs w:val="21"/>
              </w:rPr>
            </w:pPr>
            <w:r>
              <w:rPr>
                <w:rFonts w:hint="eastAsia" w:ascii="宋体" w:hAnsi="宋体" w:eastAsia="宋体" w:cs="宋体"/>
                <w:szCs w:val="21"/>
                <w:lang w:val="en-US" w:eastAsia="zh-CN"/>
              </w:rPr>
              <w:t>b.</w:t>
            </w:r>
            <w:r>
              <w:rPr>
                <w:rFonts w:hint="eastAsia" w:ascii="宋体" w:hAnsi="宋体" w:eastAsia="宋体" w:cs="宋体"/>
                <w:szCs w:val="21"/>
              </w:rPr>
              <w:t>必要的保险费用和各项税金；</w:t>
            </w:r>
          </w:p>
          <w:p w14:paraId="16114121">
            <w:pPr>
              <w:spacing w:line="400" w:lineRule="exact"/>
              <w:ind w:firstLine="210" w:firstLineChars="100"/>
              <w:rPr>
                <w:rFonts w:ascii="宋体" w:hAnsi="宋体" w:eastAsia="宋体" w:cs="宋体"/>
                <w:b/>
                <w:bCs/>
                <w:i/>
                <w:iCs/>
                <w:szCs w:val="21"/>
                <w:highlight w:val="yellow"/>
              </w:rPr>
            </w:pPr>
            <w:r>
              <w:rPr>
                <w:rFonts w:hint="eastAsia" w:ascii="宋体" w:hAnsi="宋体" w:eastAsia="宋体" w:cs="宋体"/>
                <w:szCs w:val="21"/>
                <w:lang w:val="en-US" w:eastAsia="zh-CN"/>
              </w:rPr>
              <w:t>c.</w:t>
            </w:r>
            <w:r>
              <w:rPr>
                <w:rFonts w:hint="eastAsia" w:ascii="宋体" w:hAnsi="宋体" w:eastAsia="宋体" w:cs="宋体"/>
                <w:szCs w:val="21"/>
              </w:rPr>
              <w:t>其他：</w:t>
            </w:r>
            <w:r>
              <w:rPr>
                <w:rFonts w:hint="eastAsia"/>
              </w:rPr>
              <w:t>包含满足本次竞标全部采购需求所应提供的货物</w:t>
            </w:r>
            <w:r>
              <w:rPr>
                <w:rFonts w:hint="eastAsia"/>
                <w:lang w:val="en-US" w:eastAsia="zh-CN"/>
              </w:rPr>
              <w:t>价格</w:t>
            </w:r>
            <w:r>
              <w:rPr>
                <w:rFonts w:hint="eastAsia"/>
              </w:rPr>
              <w:t>，运输、装卸、安装、调试、培训、技术支持、售后服务所有费用</w:t>
            </w:r>
            <w:r>
              <w:rPr>
                <w:rFonts w:hint="eastAsia"/>
                <w:lang w:eastAsia="zh-CN"/>
              </w:rPr>
              <w:t>，</w:t>
            </w:r>
            <w:r>
              <w:rPr>
                <w:rFonts w:hint="eastAsia"/>
              </w:rPr>
              <w:t>以及必要的保险费用和各项税金。</w:t>
            </w:r>
          </w:p>
          <w:p w14:paraId="3451897E">
            <w:pPr>
              <w:spacing w:line="400" w:lineRule="exact"/>
              <w:jc w:val="left"/>
              <w:rPr>
                <w:rFonts w:ascii="宋体" w:hAnsi="宋体" w:eastAsia="宋体" w:cs="宋体"/>
                <w:bCs/>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付款方式：</w:t>
            </w:r>
            <w:r>
              <w:rPr>
                <w:rFonts w:hint="eastAsia"/>
                <w:color w:val="auto"/>
              </w:rPr>
              <w:t>交货验收合格后，供应商开具增值税专用发票给采购人，</w:t>
            </w:r>
            <w:r>
              <w:rPr>
                <w:rFonts w:hint="eastAsia"/>
                <w:color w:val="auto"/>
                <w:lang w:val="en-US" w:eastAsia="zh-CN"/>
              </w:rPr>
              <w:t>甲方在收到发票后</w:t>
            </w:r>
            <w:r>
              <w:rPr>
                <w:rFonts w:hint="eastAsia"/>
                <w:color w:val="auto"/>
              </w:rPr>
              <w:t>15个工作日内采购人支付合同总金额的100%（无息）</w:t>
            </w:r>
          </w:p>
        </w:tc>
      </w:tr>
      <w:tr w14:paraId="7FC5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793" w:type="dxa"/>
            <w:gridSpan w:val="8"/>
            <w:vAlign w:val="center"/>
          </w:tcPr>
          <w:p w14:paraId="67FB0EE9">
            <w:pPr>
              <w:spacing w:line="560" w:lineRule="exact"/>
              <w:jc w:val="left"/>
              <w:rPr>
                <w:rFonts w:ascii="宋体" w:hAnsi="宋体" w:eastAsia="宋体" w:cs="宋体"/>
                <w:szCs w:val="21"/>
              </w:rPr>
            </w:pPr>
            <w:r>
              <w:rPr>
                <w:rFonts w:hint="eastAsia" w:ascii="宋体" w:hAnsi="宋体" w:eastAsia="宋体" w:cs="宋体"/>
                <w:sz w:val="28"/>
                <w:szCs w:val="28"/>
              </w:rPr>
              <w:t>三、其他说明</w:t>
            </w:r>
          </w:p>
        </w:tc>
      </w:tr>
      <w:tr w14:paraId="67B6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793" w:type="dxa"/>
            <w:gridSpan w:val="8"/>
            <w:vAlign w:val="center"/>
          </w:tcPr>
          <w:p w14:paraId="2ADF411F">
            <w:pPr>
              <w:widowControl/>
              <w:tabs>
                <w:tab w:val="left" w:pos="180"/>
                <w:tab w:val="left" w:pos="1620"/>
              </w:tabs>
              <w:spacing w:line="360" w:lineRule="auto"/>
              <w:rPr>
                <w:rFonts w:ascii="宋体" w:hAnsi="宋体" w:eastAsia="宋体" w:cs="宋体"/>
                <w:color w:val="000000"/>
              </w:rPr>
            </w:pPr>
            <w:r>
              <w:rPr>
                <w:rFonts w:hint="eastAsia" w:ascii="宋体" w:hAnsi="宋体" w:eastAsia="宋体" w:cs="宋体"/>
                <w:color w:val="000000"/>
              </w:rPr>
              <w:t>1.进口产品说明：</w:t>
            </w:r>
          </w:p>
          <w:p w14:paraId="7F7228E6">
            <w:pPr>
              <w:tabs>
                <w:tab w:val="left" w:pos="180"/>
                <w:tab w:val="left" w:pos="1620"/>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□本项目</w:t>
            </w:r>
            <w:r>
              <w:rPr>
                <w:rFonts w:hint="eastAsia" w:ascii="宋体" w:hAnsi="宋体" w:eastAsia="宋体" w:cs="宋体"/>
                <w:color w:val="000000"/>
              </w:rPr>
              <w:t>“</w:t>
            </w:r>
            <w:r>
              <w:rPr>
                <w:rFonts w:hint="eastAsia" w:ascii="宋体" w:hAnsi="宋体" w:eastAsia="宋体" w:cs="宋体"/>
                <w:color w:val="000000"/>
                <w:szCs w:val="21"/>
              </w:rPr>
              <w:t>需求一览表</w:t>
            </w:r>
            <w:r>
              <w:rPr>
                <w:rFonts w:hint="eastAsia" w:ascii="宋体" w:hAnsi="宋体" w:eastAsia="宋体" w:cs="宋体"/>
                <w:color w:val="000000"/>
              </w:rPr>
              <w:t>”中</w:t>
            </w:r>
            <w:r>
              <w:rPr>
                <w:rFonts w:hint="eastAsia" w:ascii="宋体" w:hAnsi="宋体" w:eastAsia="宋体" w:cs="宋体"/>
                <w:color w:val="000000"/>
                <w:szCs w:val="21"/>
              </w:rPr>
              <w:t>的第</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项货物所涉及的货物已按规定办妥进口产品采购审核手续，竞标产品可选用进口产品；但如选用进口产品时必须为全套原装进口产品（即通过中国海关报关验放进入中国境内且产自关境外的产品），同时供应商必须负责办理进口产品所有相关手续并承担所有费用。优先采购向我国企业转让技术、与我国企业签订消化吸收再创新方案的供应商的进口产品。</w:t>
            </w:r>
            <w:r>
              <w:rPr>
                <w:rFonts w:hint="eastAsia" w:ascii="宋体" w:hAnsi="宋体" w:eastAsia="宋体" w:cs="宋体"/>
                <w:b/>
                <w:bCs/>
                <w:color w:val="000000"/>
                <w:szCs w:val="21"/>
              </w:rPr>
              <w:t>其他货物不接受进口产品参与投标</w:t>
            </w:r>
            <w:r>
              <w:rPr>
                <w:rFonts w:hint="eastAsia" w:ascii="宋体" w:hAnsi="宋体" w:eastAsia="宋体" w:cs="宋体"/>
                <w:color w:val="000000"/>
                <w:szCs w:val="21"/>
              </w:rPr>
              <w:t>，</w:t>
            </w:r>
            <w:r>
              <w:rPr>
                <w:rFonts w:hint="eastAsia" w:ascii="宋体" w:hAnsi="宋体" w:eastAsia="宋体" w:cs="宋体"/>
                <w:b/>
                <w:color w:val="000000"/>
                <w:szCs w:val="21"/>
              </w:rPr>
              <w:t>否则作无效投标处理。</w:t>
            </w:r>
          </w:p>
          <w:p w14:paraId="6BD3A447">
            <w:pPr>
              <w:tabs>
                <w:tab w:val="left" w:pos="180"/>
                <w:tab w:val="left" w:pos="1620"/>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☑本项目货物所涉及的货物不接受进口产品（即通过中国海关报关验放进入中国境内且产自关境外的产品）参与竞标，</w:t>
            </w:r>
            <w:r>
              <w:rPr>
                <w:rFonts w:hint="eastAsia" w:ascii="宋体" w:hAnsi="宋体" w:eastAsia="宋体" w:cs="宋体"/>
                <w:b/>
                <w:color w:val="000000"/>
                <w:szCs w:val="21"/>
              </w:rPr>
              <w:t>如有进口产品参与竞标的作无效投标处理</w:t>
            </w:r>
            <w:r>
              <w:rPr>
                <w:rFonts w:hint="eastAsia" w:ascii="宋体" w:hAnsi="宋体" w:eastAsia="宋体" w:cs="宋体"/>
                <w:color w:val="000000"/>
                <w:szCs w:val="21"/>
              </w:rPr>
              <w:t>。</w:t>
            </w:r>
          </w:p>
          <w:p w14:paraId="27DFAE45">
            <w:pPr>
              <w:tabs>
                <w:tab w:val="left" w:pos="180"/>
                <w:tab w:val="left" w:pos="1620"/>
              </w:tabs>
              <w:spacing w:line="360" w:lineRule="auto"/>
              <w:rPr>
                <w:rFonts w:ascii="宋体" w:hAnsi="宋体" w:eastAsia="宋体" w:cs="宋体"/>
                <w:bCs/>
                <w:color w:val="000000"/>
                <w:szCs w:val="21"/>
                <w:highlight w:val="yellow"/>
              </w:rPr>
            </w:pPr>
            <w:r>
              <w:rPr>
                <w:rFonts w:hint="eastAsia" w:ascii="宋体" w:hAnsi="宋体" w:eastAsia="宋体" w:cs="宋体"/>
                <w:color w:val="000000"/>
                <w:szCs w:val="21"/>
              </w:rPr>
              <w:t>2.根据《国务院办公厅关于在政府采购中实施本国产品标准及相关政策的通知》（国办发〔2025〕34号）的规定，</w:t>
            </w:r>
            <w:r>
              <w:rPr>
                <w:rFonts w:hint="eastAsia" w:ascii="宋体" w:hAnsi="宋体" w:eastAsia="宋体" w:cs="宋体"/>
                <w:color w:val="000000"/>
                <w:szCs w:val="21"/>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000000"/>
                <w:szCs w:val="21"/>
              </w:rPr>
              <w:t>具体详见“第四章 评标方法和评标标准”</w:t>
            </w:r>
            <w:r>
              <w:rPr>
                <w:rFonts w:hint="eastAsia" w:ascii="宋体" w:hAnsi="宋体" w:eastAsia="宋体" w:cs="宋体"/>
                <w:color w:val="000000"/>
                <w:szCs w:val="21"/>
              </w:rPr>
              <w:t>。产品在中国境内生产的组件成本，按照《中国境内生产的组件成本核算基本规则》（见附件3）计算。</w:t>
            </w:r>
          </w:p>
          <w:p w14:paraId="28F80415">
            <w:pPr>
              <w:tabs>
                <w:tab w:val="left" w:pos="180"/>
                <w:tab w:val="left" w:pos="1620"/>
              </w:tabs>
              <w:spacing w:line="360" w:lineRule="auto"/>
              <w:rPr>
                <w:rFonts w:ascii="宋体" w:hAnsi="宋体" w:eastAsia="宋体" w:cs="宋体"/>
                <w:color w:val="000000"/>
              </w:rPr>
            </w:pPr>
            <w:r>
              <w:rPr>
                <w:rFonts w:hint="eastAsia" w:ascii="宋体" w:hAnsi="宋体" w:eastAsia="宋体" w:cs="宋体"/>
                <w:color w:val="000000"/>
                <w:szCs w:val="21"/>
              </w:rPr>
              <w:t>3.</w:t>
            </w:r>
            <w:r>
              <w:rPr>
                <w:rFonts w:hint="eastAsia" w:ascii="宋体" w:hAnsi="宋体" w:eastAsia="宋体" w:cs="宋体"/>
                <w:color w:val="000000"/>
              </w:rPr>
              <w:t>核心产品：</w:t>
            </w:r>
          </w:p>
          <w:p w14:paraId="7694DC06">
            <w:pPr>
              <w:spacing w:line="400" w:lineRule="exact"/>
              <w:jc w:val="left"/>
              <w:rPr>
                <w:rFonts w:ascii="宋体" w:hAnsi="宋体" w:eastAsia="宋体" w:cs="宋体"/>
                <w:szCs w:val="21"/>
              </w:rPr>
            </w:pPr>
            <w:r>
              <w:rPr>
                <w:rFonts w:hint="eastAsia" w:ascii="宋体" w:hAnsi="宋体" w:eastAsia="宋体" w:cs="宋体"/>
                <w:color w:val="000000"/>
              </w:rPr>
              <w:t>本</w:t>
            </w:r>
            <w:r>
              <w:rPr>
                <w:rFonts w:hint="eastAsia" w:ascii="宋体" w:hAnsi="宋体" w:eastAsia="宋体" w:cs="宋体"/>
                <w:color w:val="000000"/>
                <w:szCs w:val="21"/>
              </w:rPr>
              <w:t>分标</w:t>
            </w:r>
            <w:r>
              <w:rPr>
                <w:rFonts w:hint="eastAsia" w:ascii="宋体" w:hAnsi="宋体" w:eastAsia="宋体" w:cs="宋体"/>
                <w:color w:val="000000"/>
              </w:rPr>
              <w:t>的核心产品为“</w:t>
            </w:r>
            <w:r>
              <w:rPr>
                <w:rFonts w:hint="eastAsia" w:ascii="宋体" w:hAnsi="宋体" w:eastAsia="宋体" w:cs="宋体"/>
                <w:color w:val="000000"/>
                <w:szCs w:val="21"/>
              </w:rPr>
              <w:t>需求一览表</w:t>
            </w:r>
            <w:r>
              <w:rPr>
                <w:rFonts w:hint="eastAsia" w:ascii="宋体" w:hAnsi="宋体" w:eastAsia="宋体" w:cs="宋体"/>
                <w:color w:val="000000"/>
              </w:rPr>
              <w:t>”中第  1 项产品</w:t>
            </w:r>
            <w:r>
              <w:rPr>
                <w:rFonts w:hint="eastAsia" w:ascii="宋体" w:hAnsi="宋体" w:eastAsia="宋体" w:cs="宋体"/>
                <w:color w:val="000000"/>
                <w:u w:val="single"/>
              </w:rPr>
              <w:t xml:space="preserve">：蛇类文化展馆科普智能交互终端 </w:t>
            </w:r>
            <w:r>
              <w:rPr>
                <w:rFonts w:hint="eastAsia" w:ascii="宋体" w:hAnsi="宋体" w:eastAsia="宋体" w:cs="宋体"/>
                <w:color w:val="000000"/>
                <w:szCs w:val="21"/>
                <w:u w:val="single"/>
              </w:rPr>
              <w:t xml:space="preserve"> </w:t>
            </w:r>
            <w:r>
              <w:rPr>
                <w:rFonts w:hint="eastAsia" w:ascii="宋体" w:hAnsi="宋体" w:eastAsia="宋体" w:cs="宋体"/>
                <w:color w:val="000000"/>
                <w:u w:val="single"/>
              </w:rPr>
              <w:t xml:space="preserve"> </w:t>
            </w:r>
            <w:r>
              <w:rPr>
                <w:rFonts w:hint="eastAsia" w:ascii="宋体" w:hAnsi="宋体" w:eastAsia="宋体" w:cs="宋体"/>
                <w:color w:val="000000"/>
              </w:rPr>
              <w:t>。</w:t>
            </w:r>
          </w:p>
        </w:tc>
      </w:tr>
    </w:tbl>
    <w:p w14:paraId="1AC04D97">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5CA72"/>
    <w:multiLevelType w:val="singleLevel"/>
    <w:tmpl w:val="5625CA72"/>
    <w:lvl w:ilvl="0" w:tentative="0">
      <w:start w:val="1"/>
      <w:numFmt w:val="chineseCounting"/>
      <w:suff w:val="nothing"/>
      <w:lvlText w:val="%1、"/>
      <w:lvlJc w:val="left"/>
      <w:rPr>
        <w:rFonts w:hint="eastAsia"/>
      </w:rPr>
    </w:lvl>
  </w:abstractNum>
  <w:abstractNum w:abstractNumId="1">
    <w:nsid w:val="5DADC630"/>
    <w:multiLevelType w:val="singleLevel"/>
    <w:tmpl w:val="5DADC63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85FBF"/>
    <w:rsid w:val="028644EF"/>
    <w:rsid w:val="7108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unhideWhenUsed/>
    <w:qFormat/>
    <w:uiPriority w:val="0"/>
    <w:pPr>
      <w:spacing w:after="120"/>
    </w:pPr>
    <w:rPr>
      <w:rFonts w:ascii="Times New Roman" w:hAnsi="Times New Roman" w:eastAsia="宋体" w:cs="Times New Roman"/>
      <w:szCs w:val="24"/>
      <w:lang w:val="zh-CN"/>
    </w:rPr>
  </w:style>
  <w:style w:type="paragraph" w:styleId="4">
    <w:name w:val="footer"/>
    <w:basedOn w:val="1"/>
    <w:next w:val="1"/>
    <w:unhideWhenUsed/>
    <w:qFormat/>
    <w:uiPriority w:val="0"/>
    <w:pPr>
      <w:tabs>
        <w:tab w:val="center" w:pos="4153"/>
        <w:tab w:val="right" w:pos="8306"/>
      </w:tabs>
      <w:jc w:val="left"/>
    </w:pPr>
    <w:rPr>
      <w:rFonts w:ascii="Times New Roman" w:hAnsi="Times New Roman" w:eastAsia="宋体" w:cs="Times New Roman"/>
      <w:sz w:val="18"/>
      <w:szCs w:val="18"/>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2026-07-23T08:34:00Z</dcterms:created>
  <dc:creator>唐颖</dc:creator>
  <cp:lastModifiedBy>唐颖</cp:lastModifiedBy>
  <dcterms:modified xsi:type="dcterms:W3CDTF">2026-07-23T08:36:53Z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A2B7DF4695A042FC9E8525F8AFA90B20_11</vt:lpwstr>
  </property>
  <property fmtid="{D5CDD505-2E9C-101B-9397-08002B2CF9AE}" pid="4" name="KSOTemplateDocerSaveRecord">
    <vt:lpwstr>eyJoZGlkIjoiZDJmN2I5YjYwMjdkYTdhYmZmYTNiY2VlOGI2ZDkyZDAiLCJ1c2VySWQiOiIxODM5MzM1MzkxIn0=</vt:lpwstr>
  </property>
</Properties>
</file>