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E12F1">
      <w:pPr>
        <w:spacing w:line="360" w:lineRule="auto"/>
        <w:jc w:val="center"/>
        <w:rPr>
          <w:rFonts w:hint="eastAsia" w:ascii="方正小标宋简体" w:hAnsi="宋体" w:eastAsia="方正小标宋简体"/>
          <w:sz w:val="52"/>
          <w:szCs w:val="52"/>
          <w:highlight w:val="none"/>
        </w:rPr>
      </w:pPr>
    </w:p>
    <w:p w14:paraId="3E2D03D6">
      <w:pPr>
        <w:spacing w:line="360" w:lineRule="auto"/>
        <w:jc w:val="center"/>
        <w:rPr>
          <w:rFonts w:hint="eastAsia" w:ascii="方正小标宋简体" w:hAnsi="方正小标宋简体" w:eastAsia="方正小标宋简体" w:cs="方正小标宋简体"/>
          <w:b/>
          <w:sz w:val="52"/>
          <w:szCs w:val="52"/>
          <w:highlight w:val="none"/>
          <w:lang w:eastAsia="zh-CN"/>
        </w:rPr>
      </w:pPr>
      <w:r>
        <w:rPr>
          <w:rFonts w:hint="eastAsia" w:ascii="宋体" w:hAnsi="宋体" w:eastAsia="方正小标宋简体" w:cs="宋体"/>
          <w:b/>
          <w:sz w:val="52"/>
          <w:szCs w:val="52"/>
          <w:highlight w:val="none"/>
          <w:lang w:eastAsia="zh-CN"/>
        </w:rPr>
        <w:t>广西建隆工程咨询有限公司</w:t>
      </w:r>
    </w:p>
    <w:p w14:paraId="391802DE">
      <w:pPr>
        <w:spacing w:before="156" w:beforeLines="50" w:line="360" w:lineRule="auto"/>
        <w:jc w:val="center"/>
        <w:rPr>
          <w:rFonts w:hint="eastAsia" w:ascii="宋体" w:hAnsi="宋体"/>
          <w:iCs/>
          <w:sz w:val="52"/>
          <w:szCs w:val="52"/>
          <w:highlight w:val="none"/>
        </w:rPr>
      </w:pPr>
      <w:r>
        <w:rPr>
          <w:rFonts w:hint="eastAsia" w:ascii="宋体" w:hAnsi="宋体"/>
          <w:iCs/>
          <w:sz w:val="52"/>
          <w:szCs w:val="52"/>
          <w:highlight w:val="none"/>
        </w:rPr>
        <w:t xml:space="preserve"> </w:t>
      </w:r>
    </w:p>
    <w:p w14:paraId="67331A0A">
      <w:pPr>
        <w:spacing w:line="360" w:lineRule="auto"/>
        <w:jc w:val="center"/>
        <w:rPr>
          <w:rFonts w:hint="eastAsia" w:ascii="方正小标宋简体" w:hAnsi="方正小标宋简体" w:eastAsia="方正小标宋简体" w:cs="方正小标宋简体"/>
          <w:b/>
          <w:sz w:val="44"/>
          <w:szCs w:val="44"/>
          <w:highlight w:val="none"/>
        </w:rPr>
      </w:pPr>
    </w:p>
    <w:p w14:paraId="50317B78">
      <w:pPr>
        <w:spacing w:line="360" w:lineRule="auto"/>
        <w:jc w:val="center"/>
        <w:rPr>
          <w:rFonts w:hint="eastAsia" w:ascii="方正小标宋简体" w:hAnsi="方正小标宋简体" w:eastAsia="方正小标宋简体" w:cs="方正小标宋简体"/>
          <w:b/>
          <w:sz w:val="44"/>
          <w:szCs w:val="44"/>
          <w:highlight w:val="none"/>
        </w:rPr>
      </w:pPr>
    </w:p>
    <w:p w14:paraId="39A7ABDB">
      <w:pPr>
        <w:snapToGrid w:val="0"/>
        <w:spacing w:before="156" w:beforeLines="50" w:line="360" w:lineRule="auto"/>
        <w:jc w:val="center"/>
        <w:rPr>
          <w:rFonts w:hint="eastAsia" w:ascii="华文新魏" w:hAnsi="宋体" w:eastAsia="华文新魏"/>
          <w:sz w:val="120"/>
          <w:szCs w:val="120"/>
          <w:highlight w:val="none"/>
        </w:rPr>
      </w:pPr>
      <w:r>
        <w:rPr>
          <w:rFonts w:hint="eastAsia" w:ascii="华文新魏" w:hAnsi="宋体" w:eastAsia="华文新魏"/>
          <w:sz w:val="120"/>
          <w:szCs w:val="120"/>
          <w:highlight w:val="none"/>
        </w:rPr>
        <w:t>竞争性磋商文件</w:t>
      </w:r>
    </w:p>
    <w:p w14:paraId="6A2508C5">
      <w:pPr>
        <w:snapToGrid w:val="0"/>
        <w:spacing w:line="360" w:lineRule="auto"/>
        <w:rPr>
          <w:rFonts w:hint="eastAsia" w:ascii="仿宋_GB2312" w:hAnsi="宋体" w:eastAsia="仿宋_GB2312"/>
          <w:sz w:val="30"/>
          <w:szCs w:val="72"/>
          <w:highlight w:val="none"/>
        </w:rPr>
      </w:pPr>
    </w:p>
    <w:p w14:paraId="7560681B">
      <w:pPr>
        <w:pStyle w:val="25"/>
        <w:snapToGrid w:val="0"/>
        <w:spacing w:line="360" w:lineRule="auto"/>
        <w:jc w:val="center"/>
        <w:rPr>
          <w:rFonts w:hint="eastAsia" w:ascii="仿宋" w:hAnsi="仿宋" w:eastAsia="仿宋"/>
          <w:b/>
          <w:bCs/>
          <w:sz w:val="32"/>
          <w:szCs w:val="32"/>
          <w:highlight w:val="none"/>
        </w:rPr>
      </w:pPr>
    </w:p>
    <w:p w14:paraId="1152397F">
      <w:pPr>
        <w:pStyle w:val="25"/>
        <w:snapToGrid w:val="0"/>
        <w:spacing w:line="360" w:lineRule="auto"/>
        <w:jc w:val="center"/>
        <w:rPr>
          <w:rFonts w:hint="eastAsia" w:ascii="仿宋" w:hAnsi="仿宋" w:eastAsia="仿宋"/>
          <w:b/>
          <w:bCs/>
          <w:sz w:val="32"/>
          <w:szCs w:val="32"/>
          <w:highlight w:val="none"/>
          <w:lang w:eastAsia="zh-CN"/>
        </w:rPr>
      </w:pPr>
      <w:r>
        <w:rPr>
          <w:rFonts w:hint="eastAsia" w:ascii="仿宋" w:hAnsi="仿宋" w:eastAsia="仿宋"/>
          <w:b/>
          <w:bCs/>
          <w:sz w:val="32"/>
          <w:szCs w:val="32"/>
          <w:highlight w:val="none"/>
        </w:rPr>
        <w:t>项目</w:t>
      </w:r>
      <w:r>
        <w:rPr>
          <w:rFonts w:hint="eastAsia" w:ascii="仿宋" w:hAnsi="仿宋" w:eastAsia="仿宋" w:cs="Courier New"/>
          <w:b/>
          <w:bCs/>
          <w:w w:val="95"/>
          <w:sz w:val="32"/>
          <w:szCs w:val="32"/>
          <w:highlight w:val="none"/>
        </w:rPr>
        <w:t>名称</w:t>
      </w:r>
      <w:r>
        <w:rPr>
          <w:rFonts w:hint="eastAsia" w:ascii="仿宋" w:hAnsi="仿宋" w:eastAsia="仿宋"/>
          <w:b/>
          <w:bCs/>
          <w:sz w:val="32"/>
          <w:szCs w:val="32"/>
          <w:highlight w:val="none"/>
        </w:rPr>
        <w:t>：</w:t>
      </w:r>
      <w:r>
        <w:rPr>
          <w:rFonts w:hint="eastAsia" w:ascii="仿宋" w:hAnsi="仿宋" w:eastAsia="仿宋"/>
          <w:b/>
          <w:bCs/>
          <w:sz w:val="32"/>
          <w:szCs w:val="32"/>
          <w:highlight w:val="none"/>
          <w:lang w:eastAsia="zh-CN"/>
        </w:rPr>
        <w:t>苍梧县梨埠镇初级中学教学楼维修、运动场维修、学生宿舍维修</w:t>
      </w:r>
    </w:p>
    <w:p w14:paraId="10F0E8F3">
      <w:pPr>
        <w:pStyle w:val="25"/>
        <w:snapToGrid w:val="0"/>
        <w:spacing w:line="360" w:lineRule="auto"/>
        <w:ind w:left="2971" w:leftChars="688" w:hanging="1526" w:hangingChars="500"/>
        <w:rPr>
          <w:rFonts w:hint="default" w:ascii="仿宋" w:hAnsi="仿宋" w:eastAsia="仿宋"/>
          <w:sz w:val="32"/>
          <w:szCs w:val="96"/>
          <w:highlight w:val="green"/>
          <w:lang w:val="en-US" w:eastAsia="zh-CN"/>
        </w:rPr>
      </w:pPr>
      <w:r>
        <w:rPr>
          <w:rFonts w:hint="eastAsia" w:ascii="仿宋" w:hAnsi="仿宋" w:eastAsia="仿宋" w:cs="Courier New"/>
          <w:b/>
          <w:bCs/>
          <w:w w:val="95"/>
          <w:sz w:val="32"/>
          <w:szCs w:val="32"/>
          <w:highlight w:val="none"/>
        </w:rPr>
        <w:t>项目</w:t>
      </w:r>
      <w:r>
        <w:rPr>
          <w:rFonts w:hint="eastAsia" w:ascii="仿宋" w:hAnsi="仿宋" w:eastAsia="仿宋"/>
          <w:b/>
          <w:bCs/>
          <w:sz w:val="32"/>
          <w:szCs w:val="32"/>
          <w:highlight w:val="none"/>
        </w:rPr>
        <w:t>编号</w:t>
      </w:r>
      <w:r>
        <w:rPr>
          <w:rFonts w:hint="eastAsia" w:ascii="仿宋" w:hAnsi="仿宋" w:eastAsia="仿宋" w:cs="Courier New"/>
          <w:b/>
          <w:bCs/>
          <w:w w:val="95"/>
          <w:sz w:val="32"/>
          <w:szCs w:val="32"/>
          <w:highlight w:val="none"/>
        </w:rPr>
        <w:t>：WZZC2026-C2-210065-GX</w:t>
      </w:r>
      <w:r>
        <w:rPr>
          <w:rFonts w:hint="eastAsia" w:ascii="仿宋" w:hAnsi="仿宋" w:eastAsia="仿宋" w:cs="Courier New"/>
          <w:b/>
          <w:bCs/>
          <w:w w:val="95"/>
          <w:sz w:val="32"/>
          <w:szCs w:val="32"/>
          <w:highlight w:val="none"/>
          <w:lang w:val="en-US" w:eastAsia="zh-CN"/>
        </w:rPr>
        <w:t xml:space="preserve">JL  </w:t>
      </w:r>
      <w:r>
        <w:rPr>
          <w:rFonts w:hint="eastAsia" w:ascii="仿宋" w:hAnsi="仿宋" w:eastAsia="仿宋" w:cs="Courier New"/>
          <w:b/>
          <w:bCs/>
          <w:w w:val="95"/>
          <w:sz w:val="32"/>
          <w:szCs w:val="32"/>
          <w:highlight w:val="none"/>
          <w:lang w:eastAsia="zh-CN"/>
        </w:rPr>
        <w:t xml:space="preserve">   </w:t>
      </w:r>
      <w:r>
        <w:rPr>
          <w:rFonts w:hint="eastAsia" w:ascii="仿宋" w:hAnsi="仿宋" w:eastAsia="仿宋" w:cs="Courier New"/>
          <w:b/>
          <w:bCs/>
          <w:w w:val="95"/>
          <w:sz w:val="32"/>
          <w:szCs w:val="32"/>
          <w:highlight w:val="none"/>
          <w:lang w:val="en-US" w:eastAsia="zh-CN"/>
        </w:rPr>
        <w:t xml:space="preserve">  </w:t>
      </w:r>
    </w:p>
    <w:p w14:paraId="07A5ECE0">
      <w:pPr>
        <w:pStyle w:val="25"/>
        <w:snapToGrid w:val="0"/>
        <w:spacing w:line="360" w:lineRule="auto"/>
        <w:ind w:firstLine="1526" w:firstLineChars="500"/>
        <w:rPr>
          <w:rFonts w:hint="eastAsia" w:ascii="仿宋" w:hAnsi="仿宋" w:eastAsia="仿宋"/>
          <w:b/>
          <w:bCs/>
          <w:w w:val="95"/>
          <w:sz w:val="32"/>
          <w:szCs w:val="32"/>
          <w:highlight w:val="none"/>
        </w:rPr>
      </w:pPr>
      <w:r>
        <w:rPr>
          <w:rFonts w:hint="eastAsia" w:ascii="仿宋" w:hAnsi="仿宋" w:eastAsia="仿宋"/>
          <w:b/>
          <w:bCs/>
          <w:w w:val="95"/>
          <w:sz w:val="32"/>
          <w:szCs w:val="32"/>
          <w:highlight w:val="none"/>
        </w:rPr>
        <w:t>采 购 人：</w:t>
      </w:r>
      <w:r>
        <w:rPr>
          <w:rFonts w:hint="eastAsia" w:ascii="仿宋" w:hAnsi="仿宋" w:eastAsia="仿宋"/>
          <w:b/>
          <w:bCs/>
          <w:w w:val="95"/>
          <w:sz w:val="32"/>
          <w:szCs w:val="32"/>
          <w:highlight w:val="none"/>
          <w:lang w:eastAsia="zh-CN"/>
        </w:rPr>
        <w:t>苍梧县梨埠镇初级中学</w:t>
      </w:r>
      <w:r>
        <w:rPr>
          <w:rFonts w:hint="eastAsia" w:ascii="仿宋" w:hAnsi="仿宋" w:eastAsia="仿宋"/>
          <w:b/>
          <w:bCs/>
          <w:w w:val="95"/>
          <w:sz w:val="32"/>
          <w:szCs w:val="32"/>
          <w:highlight w:val="none"/>
        </w:rPr>
        <w:t xml:space="preserve"> </w:t>
      </w:r>
    </w:p>
    <w:p w14:paraId="5EC93EB1">
      <w:pPr>
        <w:pStyle w:val="25"/>
        <w:snapToGrid w:val="0"/>
        <w:spacing w:line="360" w:lineRule="auto"/>
        <w:ind w:firstLine="1526" w:firstLineChars="500"/>
        <w:rPr>
          <w:rFonts w:hint="eastAsia" w:ascii="仿宋" w:hAnsi="仿宋" w:eastAsia="仿宋"/>
          <w:b/>
          <w:bCs/>
          <w:w w:val="95"/>
          <w:sz w:val="32"/>
          <w:szCs w:val="32"/>
          <w:highlight w:val="none"/>
          <w:lang w:eastAsia="zh-CN"/>
        </w:rPr>
      </w:pPr>
      <w:r>
        <w:rPr>
          <w:rFonts w:hint="eastAsia" w:ascii="仿宋" w:hAnsi="仿宋" w:eastAsia="仿宋"/>
          <w:b/>
          <w:bCs/>
          <w:w w:val="95"/>
          <w:sz w:val="32"/>
          <w:szCs w:val="32"/>
          <w:highlight w:val="none"/>
        </w:rPr>
        <w:t>采购代理机构：</w:t>
      </w:r>
      <w:r>
        <w:rPr>
          <w:rFonts w:hint="eastAsia" w:ascii="仿宋" w:hAnsi="仿宋" w:eastAsia="仿宋"/>
          <w:b/>
          <w:bCs/>
          <w:w w:val="95"/>
          <w:sz w:val="32"/>
          <w:szCs w:val="32"/>
          <w:highlight w:val="none"/>
          <w:lang w:eastAsia="zh-CN"/>
        </w:rPr>
        <w:t>广西建隆工程咨询有限公司</w:t>
      </w:r>
    </w:p>
    <w:p w14:paraId="3C58121A">
      <w:pPr>
        <w:pStyle w:val="25"/>
        <w:snapToGrid w:val="0"/>
        <w:spacing w:line="360" w:lineRule="auto"/>
        <w:ind w:firstLine="1200" w:firstLineChars="393"/>
        <w:rPr>
          <w:rFonts w:hint="eastAsia" w:ascii="仿宋_GB2312" w:hAnsi="宋体" w:eastAsia="仿宋_GB2312"/>
          <w:b/>
          <w:bCs/>
          <w:w w:val="95"/>
          <w:sz w:val="32"/>
          <w:szCs w:val="32"/>
          <w:highlight w:val="none"/>
        </w:rPr>
      </w:pPr>
    </w:p>
    <w:p w14:paraId="17F145F2">
      <w:pPr>
        <w:pStyle w:val="25"/>
        <w:snapToGrid w:val="0"/>
        <w:spacing w:line="360" w:lineRule="auto"/>
        <w:ind w:left="420" w:firstLine="897" w:firstLineChars="294"/>
        <w:rPr>
          <w:rFonts w:hint="eastAsia" w:ascii="仿宋_GB2312" w:eastAsia="仿宋_GB2312"/>
          <w:sz w:val="21"/>
          <w:highlight w:val="none"/>
        </w:rPr>
      </w:pPr>
      <w:r>
        <w:rPr>
          <w:rFonts w:hint="eastAsia" w:ascii="仿宋_GB2312" w:hAnsi="宋体" w:eastAsia="仿宋_GB2312"/>
          <w:b/>
          <w:bCs/>
          <w:w w:val="95"/>
          <w:sz w:val="32"/>
          <w:szCs w:val="32"/>
          <w:highlight w:val="none"/>
        </w:rPr>
        <w:t xml:space="preserve"> </w:t>
      </w:r>
      <w:r>
        <w:rPr>
          <w:rFonts w:hint="eastAsia" w:ascii="仿宋" w:hAnsi="仿宋" w:eastAsia="仿宋"/>
          <w:b/>
          <w:bCs/>
          <w:w w:val="95"/>
          <w:sz w:val="32"/>
          <w:szCs w:val="32"/>
          <w:highlight w:val="none"/>
        </w:rPr>
        <w:t xml:space="preserve">            202</w:t>
      </w:r>
      <w:r>
        <w:rPr>
          <w:rFonts w:hint="eastAsia" w:ascii="仿宋" w:hAnsi="仿宋" w:eastAsia="仿宋"/>
          <w:b/>
          <w:bCs/>
          <w:w w:val="95"/>
          <w:sz w:val="32"/>
          <w:szCs w:val="32"/>
          <w:highlight w:val="none"/>
          <w:lang w:val="en-US" w:eastAsia="zh-CN"/>
        </w:rPr>
        <w:t>6</w:t>
      </w:r>
      <w:r>
        <w:rPr>
          <w:rFonts w:hint="eastAsia" w:ascii="仿宋" w:hAnsi="仿宋" w:eastAsia="仿宋"/>
          <w:b/>
          <w:bCs/>
          <w:w w:val="95"/>
          <w:sz w:val="32"/>
          <w:szCs w:val="32"/>
          <w:highlight w:val="none"/>
        </w:rPr>
        <w:t>年</w:t>
      </w:r>
      <w:r>
        <w:rPr>
          <w:rFonts w:hint="eastAsia" w:ascii="仿宋" w:hAnsi="仿宋" w:eastAsia="仿宋"/>
          <w:b/>
          <w:bCs/>
          <w:w w:val="95"/>
          <w:sz w:val="32"/>
          <w:szCs w:val="32"/>
          <w:highlight w:val="none"/>
          <w:lang w:val="en-US" w:eastAsia="zh-CN"/>
        </w:rPr>
        <w:t>6</w:t>
      </w:r>
      <w:r>
        <w:rPr>
          <w:rFonts w:hint="eastAsia" w:ascii="仿宋" w:hAnsi="仿宋" w:eastAsia="仿宋"/>
          <w:b/>
          <w:bCs/>
          <w:w w:val="95"/>
          <w:sz w:val="32"/>
          <w:szCs w:val="32"/>
          <w:highlight w:val="none"/>
        </w:rPr>
        <w:t xml:space="preserve">月 </w:t>
      </w:r>
    </w:p>
    <w:p w14:paraId="6E18EA05">
      <w:pPr>
        <w:spacing w:line="360" w:lineRule="auto"/>
        <w:jc w:val="center"/>
        <w:rPr>
          <w:rFonts w:hint="eastAsia" w:ascii="宋体" w:hAnsi="宋体"/>
          <w:b/>
          <w:sz w:val="44"/>
          <w:szCs w:val="44"/>
          <w:highlight w:val="none"/>
        </w:rPr>
      </w:pPr>
      <w:r>
        <w:rPr>
          <w:rFonts w:hint="eastAsia" w:ascii="宋体" w:hAnsi="宋体"/>
          <w:b/>
          <w:sz w:val="44"/>
          <w:szCs w:val="44"/>
          <w:highlight w:val="none"/>
        </w:rPr>
        <w:br w:type="page"/>
      </w:r>
      <w:r>
        <w:rPr>
          <w:rFonts w:hint="eastAsia" w:ascii="宋体" w:hAnsi="宋体"/>
          <w:b/>
          <w:sz w:val="44"/>
          <w:szCs w:val="44"/>
          <w:highlight w:val="none"/>
        </w:rPr>
        <w:t>目  录</w:t>
      </w:r>
    </w:p>
    <w:p w14:paraId="616B5247">
      <w:pPr>
        <w:spacing w:line="400" w:lineRule="exact"/>
        <w:jc w:val="center"/>
        <w:rPr>
          <w:rFonts w:hint="eastAsia" w:ascii="宋体" w:hAnsi="宋体"/>
          <w:b/>
          <w:sz w:val="44"/>
          <w:szCs w:val="44"/>
          <w:highlight w:val="none"/>
        </w:rPr>
      </w:pPr>
    </w:p>
    <w:p w14:paraId="1858D112">
      <w:pPr>
        <w:pStyle w:val="32"/>
        <w:tabs>
          <w:tab w:val="right" w:leader="dot" w:pos="8879"/>
        </w:tabs>
        <w:spacing w:line="360" w:lineRule="auto"/>
        <w:rPr>
          <w:rFonts w:hint="eastAsia" w:ascii="宋体" w:hAnsi="宋体" w:cs="宋体"/>
          <w:b/>
          <w:bCs/>
          <w:highlight w:val="none"/>
        </w:rPr>
      </w:pP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TOC \o "1-3" \h \z \u </w:instrText>
      </w:r>
      <w:r>
        <w:rPr>
          <w:rFonts w:hint="eastAsia" w:ascii="宋体" w:hAnsi="宋体" w:cs="宋体"/>
          <w:b/>
          <w:bCs/>
          <w:sz w:val="24"/>
          <w:highlight w:val="none"/>
        </w:rPr>
        <w:fldChar w:fldCharType="separate"/>
      </w:r>
      <w:r>
        <w:rPr>
          <w:rFonts w:hint="eastAsia" w:ascii="宋体" w:hAnsi="宋体" w:cs="宋体"/>
          <w:b/>
          <w:bCs/>
          <w:highlight w:val="none"/>
        </w:rPr>
        <w:fldChar w:fldCharType="begin"/>
      </w:r>
      <w:r>
        <w:rPr>
          <w:rFonts w:hint="eastAsia" w:ascii="宋体" w:hAnsi="宋体" w:cs="宋体"/>
          <w:b/>
          <w:bCs/>
          <w:highlight w:val="none"/>
        </w:rPr>
        <w:instrText xml:space="preserve"> HYPERLINK \l _Toc9172 </w:instrText>
      </w:r>
      <w:r>
        <w:rPr>
          <w:rFonts w:hint="eastAsia" w:ascii="宋体" w:hAnsi="宋体" w:cs="宋体"/>
          <w:b/>
          <w:bCs/>
          <w:highlight w:val="none"/>
        </w:rPr>
        <w:fldChar w:fldCharType="separate"/>
      </w:r>
      <w:r>
        <w:rPr>
          <w:rFonts w:hint="eastAsia" w:ascii="宋体" w:hAnsi="宋体" w:cs="宋体"/>
          <w:b/>
          <w:bCs/>
          <w:highlight w:val="none"/>
        </w:rPr>
        <w:t>第一章 竞争性磋商公告</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_Toc9172 \h </w:instrText>
      </w:r>
      <w:r>
        <w:rPr>
          <w:rFonts w:hint="eastAsia" w:ascii="宋体" w:hAnsi="宋体" w:cs="宋体"/>
          <w:b/>
          <w:bCs/>
          <w:highlight w:val="none"/>
        </w:rPr>
        <w:fldChar w:fldCharType="separate"/>
      </w:r>
      <w:r>
        <w:rPr>
          <w:rFonts w:hint="eastAsia" w:ascii="宋体" w:hAnsi="宋体" w:cs="宋体"/>
          <w:b/>
          <w:bCs/>
          <w:highlight w:val="none"/>
        </w:rPr>
        <w:t>1</w:t>
      </w:r>
      <w:r>
        <w:rPr>
          <w:rFonts w:hint="eastAsia" w:ascii="宋体" w:hAnsi="宋体" w:cs="宋体"/>
          <w:b/>
          <w:bCs/>
          <w:highlight w:val="none"/>
        </w:rPr>
        <w:fldChar w:fldCharType="end"/>
      </w:r>
      <w:r>
        <w:rPr>
          <w:rFonts w:hint="eastAsia" w:ascii="宋体" w:hAnsi="宋体" w:cs="宋体"/>
          <w:b/>
          <w:bCs/>
          <w:highlight w:val="none"/>
        </w:rPr>
        <w:fldChar w:fldCharType="end"/>
      </w:r>
    </w:p>
    <w:p w14:paraId="345B0024">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_Toc20841 </w:instrText>
      </w:r>
      <w:r>
        <w:rPr>
          <w:rFonts w:hint="eastAsia" w:ascii="宋体" w:hAnsi="宋体" w:cs="宋体"/>
          <w:b/>
          <w:bCs/>
          <w:highlight w:val="none"/>
        </w:rPr>
        <w:fldChar w:fldCharType="separate"/>
      </w:r>
      <w:r>
        <w:rPr>
          <w:rFonts w:hint="eastAsia" w:ascii="宋体" w:hAnsi="宋体" w:cs="宋体"/>
          <w:b/>
          <w:bCs/>
          <w:highlight w:val="none"/>
        </w:rPr>
        <w:t>第二章 供应商须知</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_Toc20841 \h </w:instrText>
      </w:r>
      <w:r>
        <w:rPr>
          <w:rFonts w:hint="eastAsia" w:ascii="宋体" w:hAnsi="宋体" w:cs="宋体"/>
          <w:b/>
          <w:bCs/>
          <w:highlight w:val="none"/>
        </w:rPr>
        <w:fldChar w:fldCharType="separate"/>
      </w:r>
      <w:r>
        <w:rPr>
          <w:rFonts w:hint="eastAsia" w:ascii="宋体" w:hAnsi="宋体" w:cs="宋体"/>
          <w:b/>
          <w:bCs/>
          <w:highlight w:val="none"/>
        </w:rPr>
        <w:t>4</w:t>
      </w:r>
      <w:r>
        <w:rPr>
          <w:rFonts w:hint="eastAsia" w:ascii="宋体" w:hAnsi="宋体" w:cs="宋体"/>
          <w:b/>
          <w:bCs/>
          <w:highlight w:val="none"/>
        </w:rPr>
        <w:fldChar w:fldCharType="end"/>
      </w:r>
      <w:r>
        <w:rPr>
          <w:rFonts w:hint="eastAsia" w:ascii="宋体" w:hAnsi="宋体" w:cs="宋体"/>
          <w:b/>
          <w:bCs/>
          <w:highlight w:val="none"/>
        </w:rPr>
        <w:fldChar w:fldCharType="end"/>
      </w:r>
    </w:p>
    <w:p w14:paraId="14C98BB7">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_Toc19037 </w:instrText>
      </w:r>
      <w:r>
        <w:rPr>
          <w:rFonts w:hint="eastAsia" w:ascii="宋体" w:hAnsi="宋体" w:cs="宋体"/>
          <w:b/>
          <w:bCs/>
          <w:highlight w:val="none"/>
        </w:rPr>
        <w:fldChar w:fldCharType="separate"/>
      </w:r>
      <w:r>
        <w:rPr>
          <w:rFonts w:hint="eastAsia" w:ascii="宋体" w:hAnsi="宋体" w:cs="宋体"/>
          <w:b/>
          <w:bCs/>
          <w:kern w:val="44"/>
          <w:szCs w:val="44"/>
          <w:highlight w:val="none"/>
        </w:rPr>
        <w:t>第三章 采购需</w:t>
      </w:r>
      <w:bookmarkStart w:id="0" w:name="_Hlt170896116"/>
      <w:bookmarkStart w:id="1" w:name="_Hlt170896115"/>
      <w:r>
        <w:rPr>
          <w:rFonts w:hint="eastAsia" w:ascii="宋体" w:hAnsi="宋体" w:cs="宋体"/>
          <w:b/>
          <w:bCs/>
          <w:kern w:val="44"/>
          <w:szCs w:val="44"/>
          <w:highlight w:val="none"/>
        </w:rPr>
        <w:t>求</w:t>
      </w:r>
      <w:bookmarkEnd w:id="0"/>
      <w:bookmarkEnd w:id="1"/>
      <w:bookmarkStart w:id="2" w:name="_Hlt165201855"/>
      <w:r>
        <w:rPr>
          <w:rFonts w:hint="eastAsia" w:ascii="宋体" w:hAnsi="宋体" w:cs="宋体"/>
          <w:b/>
          <w:bCs/>
          <w:highlight w:val="none"/>
        </w:rPr>
        <w:tab/>
      </w:r>
      <w:bookmarkEnd w:id="2"/>
      <w:r>
        <w:rPr>
          <w:rFonts w:hint="eastAsia" w:ascii="宋体" w:hAnsi="宋体" w:cs="宋体"/>
          <w:b/>
          <w:bCs/>
          <w:highlight w:val="none"/>
        </w:rPr>
        <w:fldChar w:fldCharType="begin"/>
      </w:r>
      <w:r>
        <w:rPr>
          <w:rFonts w:hint="eastAsia" w:ascii="宋体" w:hAnsi="宋体" w:cs="宋体"/>
          <w:b/>
          <w:bCs/>
          <w:highlight w:val="none"/>
        </w:rPr>
        <w:instrText xml:space="preserve"> PAGEREF _Toc19037 \h </w:instrText>
      </w:r>
      <w:r>
        <w:rPr>
          <w:rFonts w:hint="eastAsia" w:ascii="宋体" w:hAnsi="宋体" w:cs="宋体"/>
          <w:b/>
          <w:bCs/>
          <w:highlight w:val="none"/>
        </w:rPr>
        <w:fldChar w:fldCharType="separate"/>
      </w:r>
      <w:r>
        <w:rPr>
          <w:rFonts w:hint="eastAsia" w:ascii="宋体" w:hAnsi="宋体" w:cs="宋体"/>
          <w:b/>
          <w:bCs/>
          <w:highlight w:val="none"/>
        </w:rPr>
        <w:t>23</w:t>
      </w:r>
      <w:r>
        <w:rPr>
          <w:rFonts w:hint="eastAsia" w:ascii="宋体" w:hAnsi="宋体" w:cs="宋体"/>
          <w:b/>
          <w:bCs/>
          <w:highlight w:val="none"/>
        </w:rPr>
        <w:fldChar w:fldCharType="end"/>
      </w:r>
      <w:r>
        <w:rPr>
          <w:rFonts w:hint="eastAsia" w:ascii="宋体" w:hAnsi="宋体" w:cs="宋体"/>
          <w:b/>
          <w:bCs/>
          <w:highlight w:val="none"/>
        </w:rPr>
        <w:fldChar w:fldCharType="end"/>
      </w:r>
    </w:p>
    <w:p w14:paraId="1D4DC13E">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_Toc27545 </w:instrText>
      </w:r>
      <w:r>
        <w:rPr>
          <w:rFonts w:hint="eastAsia" w:ascii="宋体" w:hAnsi="宋体" w:cs="宋体"/>
          <w:b/>
          <w:bCs/>
          <w:highlight w:val="none"/>
        </w:rPr>
        <w:fldChar w:fldCharType="separate"/>
      </w:r>
      <w:r>
        <w:rPr>
          <w:rFonts w:hint="eastAsia" w:ascii="宋体" w:hAnsi="宋体" w:cs="宋体"/>
          <w:b/>
          <w:bCs/>
          <w:highlight w:val="none"/>
        </w:rPr>
        <w:t>第四章 评审程序、评审</w:t>
      </w:r>
      <w:bookmarkStart w:id="3" w:name="_Hlt165200750"/>
      <w:bookmarkStart w:id="4" w:name="_Hlt165200749"/>
      <w:r>
        <w:rPr>
          <w:rFonts w:hint="eastAsia" w:ascii="宋体" w:hAnsi="宋体" w:cs="宋体"/>
          <w:b/>
          <w:bCs/>
          <w:highlight w:val="none"/>
        </w:rPr>
        <w:t>方</w:t>
      </w:r>
      <w:bookmarkEnd w:id="3"/>
      <w:bookmarkEnd w:id="4"/>
      <w:r>
        <w:rPr>
          <w:rFonts w:hint="eastAsia" w:ascii="宋体" w:hAnsi="宋体" w:cs="宋体"/>
          <w:b/>
          <w:bCs/>
          <w:highlight w:val="none"/>
        </w:rPr>
        <w:t>法和评审标准</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_Toc27545 \h </w:instrText>
      </w:r>
      <w:r>
        <w:rPr>
          <w:rFonts w:hint="eastAsia" w:ascii="宋体" w:hAnsi="宋体" w:cs="宋体"/>
          <w:b/>
          <w:bCs/>
          <w:highlight w:val="none"/>
        </w:rPr>
        <w:fldChar w:fldCharType="separate"/>
      </w:r>
      <w:r>
        <w:rPr>
          <w:rFonts w:hint="eastAsia" w:ascii="宋体" w:hAnsi="宋体" w:cs="宋体"/>
          <w:b/>
          <w:bCs/>
          <w:highlight w:val="none"/>
        </w:rPr>
        <w:t>27</w:t>
      </w:r>
      <w:r>
        <w:rPr>
          <w:rFonts w:hint="eastAsia" w:ascii="宋体" w:hAnsi="宋体" w:cs="宋体"/>
          <w:b/>
          <w:bCs/>
          <w:highlight w:val="none"/>
        </w:rPr>
        <w:fldChar w:fldCharType="end"/>
      </w:r>
      <w:r>
        <w:rPr>
          <w:rFonts w:hint="eastAsia" w:ascii="宋体" w:hAnsi="宋体" w:cs="宋体"/>
          <w:b/>
          <w:bCs/>
          <w:highlight w:val="none"/>
        </w:rPr>
        <w:fldChar w:fldCharType="end"/>
      </w:r>
    </w:p>
    <w:p w14:paraId="1AC3E0DC">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_Toc28684 </w:instrText>
      </w:r>
      <w:r>
        <w:rPr>
          <w:rFonts w:hint="eastAsia" w:ascii="宋体" w:hAnsi="宋体" w:cs="宋体"/>
          <w:b/>
          <w:bCs/>
          <w:highlight w:val="none"/>
        </w:rPr>
        <w:fldChar w:fldCharType="separate"/>
      </w:r>
      <w:r>
        <w:rPr>
          <w:rFonts w:hint="eastAsia" w:ascii="宋体" w:hAnsi="宋体" w:cs="宋体"/>
          <w:b/>
          <w:bCs/>
          <w:highlight w:val="none"/>
        </w:rPr>
        <w:t>第五章 工程量清单及图纸</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_Toc28684 \h </w:instrText>
      </w:r>
      <w:r>
        <w:rPr>
          <w:rFonts w:hint="eastAsia" w:ascii="宋体" w:hAnsi="宋体" w:cs="宋体"/>
          <w:b/>
          <w:bCs/>
          <w:highlight w:val="none"/>
        </w:rPr>
        <w:fldChar w:fldCharType="separate"/>
      </w:r>
      <w:r>
        <w:rPr>
          <w:rFonts w:hint="eastAsia" w:ascii="宋体" w:hAnsi="宋体" w:cs="宋体"/>
          <w:b/>
          <w:bCs/>
          <w:highlight w:val="none"/>
        </w:rPr>
        <w:t>38</w:t>
      </w:r>
      <w:r>
        <w:rPr>
          <w:rFonts w:hint="eastAsia" w:ascii="宋体" w:hAnsi="宋体" w:cs="宋体"/>
          <w:b/>
          <w:bCs/>
          <w:highlight w:val="none"/>
        </w:rPr>
        <w:fldChar w:fldCharType="end"/>
      </w:r>
      <w:r>
        <w:rPr>
          <w:rFonts w:hint="eastAsia" w:ascii="宋体" w:hAnsi="宋体" w:cs="宋体"/>
          <w:b/>
          <w:bCs/>
          <w:highlight w:val="none"/>
        </w:rPr>
        <w:fldChar w:fldCharType="end"/>
      </w:r>
    </w:p>
    <w:p w14:paraId="62AA8762">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_Toc30724 </w:instrText>
      </w:r>
      <w:r>
        <w:rPr>
          <w:rFonts w:hint="eastAsia" w:ascii="宋体" w:hAnsi="宋体" w:cs="宋体"/>
          <w:b/>
          <w:bCs/>
          <w:highlight w:val="none"/>
        </w:rPr>
        <w:fldChar w:fldCharType="separate"/>
      </w:r>
      <w:r>
        <w:rPr>
          <w:rFonts w:hint="eastAsia" w:ascii="宋体" w:hAnsi="宋体" w:cs="宋体"/>
          <w:b/>
          <w:bCs/>
          <w:highlight w:val="none"/>
        </w:rPr>
        <w:t>第六章 响应文件格式</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_Toc30724 \h </w:instrText>
      </w:r>
      <w:r>
        <w:rPr>
          <w:rFonts w:hint="eastAsia" w:ascii="宋体" w:hAnsi="宋体" w:cs="宋体"/>
          <w:b/>
          <w:bCs/>
          <w:highlight w:val="none"/>
        </w:rPr>
        <w:fldChar w:fldCharType="separate"/>
      </w:r>
      <w:r>
        <w:rPr>
          <w:rFonts w:hint="eastAsia" w:ascii="宋体" w:hAnsi="宋体" w:cs="宋体"/>
          <w:b/>
          <w:bCs/>
          <w:highlight w:val="none"/>
        </w:rPr>
        <w:t>39</w:t>
      </w:r>
      <w:r>
        <w:rPr>
          <w:rFonts w:hint="eastAsia" w:ascii="宋体" w:hAnsi="宋体" w:cs="宋体"/>
          <w:b/>
          <w:bCs/>
          <w:highlight w:val="none"/>
        </w:rPr>
        <w:fldChar w:fldCharType="end"/>
      </w:r>
      <w:r>
        <w:rPr>
          <w:rFonts w:hint="eastAsia" w:ascii="宋体" w:hAnsi="宋体" w:cs="宋体"/>
          <w:b/>
          <w:bCs/>
          <w:highlight w:val="none"/>
        </w:rPr>
        <w:fldChar w:fldCharType="end"/>
      </w:r>
    </w:p>
    <w:p w14:paraId="2C0290EB">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_Toc28864 </w:instrText>
      </w:r>
      <w:r>
        <w:rPr>
          <w:rFonts w:hint="eastAsia" w:ascii="宋体" w:hAnsi="宋体" w:cs="宋体"/>
          <w:b/>
          <w:bCs/>
          <w:highlight w:val="none"/>
        </w:rPr>
        <w:fldChar w:fldCharType="separate"/>
      </w:r>
      <w:r>
        <w:rPr>
          <w:rFonts w:hint="eastAsia" w:ascii="宋体" w:hAnsi="宋体" w:cs="宋体"/>
          <w:b/>
          <w:bCs/>
          <w:highlight w:val="none"/>
        </w:rPr>
        <w:t>第七章 合同文本</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_Toc28864 \h </w:instrText>
      </w:r>
      <w:r>
        <w:rPr>
          <w:rFonts w:hint="eastAsia" w:ascii="宋体" w:hAnsi="宋体" w:cs="宋体"/>
          <w:b/>
          <w:bCs/>
          <w:highlight w:val="none"/>
        </w:rPr>
        <w:fldChar w:fldCharType="separate"/>
      </w:r>
      <w:r>
        <w:rPr>
          <w:rFonts w:hint="eastAsia" w:ascii="宋体" w:hAnsi="宋体" w:cs="宋体"/>
          <w:b/>
          <w:bCs/>
          <w:highlight w:val="none"/>
        </w:rPr>
        <w:t>64</w:t>
      </w:r>
      <w:r>
        <w:rPr>
          <w:rFonts w:hint="eastAsia" w:ascii="宋体" w:hAnsi="宋体" w:cs="宋体"/>
          <w:b/>
          <w:bCs/>
          <w:highlight w:val="none"/>
        </w:rPr>
        <w:fldChar w:fldCharType="end"/>
      </w:r>
      <w:r>
        <w:rPr>
          <w:rFonts w:hint="eastAsia" w:ascii="宋体" w:hAnsi="宋体" w:cs="宋体"/>
          <w:b/>
          <w:bCs/>
          <w:highlight w:val="none"/>
        </w:rPr>
        <w:fldChar w:fldCharType="end"/>
      </w:r>
    </w:p>
    <w:p w14:paraId="734D9D1E">
      <w:pPr>
        <w:pStyle w:val="32"/>
        <w:tabs>
          <w:tab w:val="right" w:leader="dot" w:pos="8869"/>
        </w:tabs>
        <w:spacing w:line="360" w:lineRule="auto"/>
        <w:rPr>
          <w:rFonts w:hint="eastAsia" w:ascii="宋体" w:hAnsi="宋体"/>
          <w:b/>
          <w:sz w:val="24"/>
          <w:highlight w:val="none"/>
        </w:rPr>
      </w:pPr>
      <w:r>
        <w:rPr>
          <w:rFonts w:hint="eastAsia" w:ascii="宋体" w:hAnsi="宋体" w:cs="宋体"/>
          <w:b/>
          <w:bCs/>
          <w:highlight w:val="none"/>
        </w:rPr>
        <w:fldChar w:fldCharType="end"/>
      </w:r>
    </w:p>
    <w:p w14:paraId="3772C64F">
      <w:pPr>
        <w:spacing w:line="360" w:lineRule="auto"/>
        <w:jc w:val="left"/>
        <w:rPr>
          <w:rFonts w:hint="eastAsia" w:ascii="宋体" w:hAnsi="宋体"/>
          <w:b/>
          <w:sz w:val="32"/>
          <w:szCs w:val="32"/>
          <w:highlight w:val="none"/>
        </w:rPr>
      </w:pPr>
    </w:p>
    <w:p w14:paraId="5D3F61EA">
      <w:pPr>
        <w:spacing w:line="400" w:lineRule="exact"/>
        <w:jc w:val="center"/>
        <w:rPr>
          <w:rFonts w:hint="eastAsia" w:ascii="宋体" w:hAnsi="宋体"/>
          <w:b/>
          <w:sz w:val="32"/>
          <w:szCs w:val="32"/>
          <w:highlight w:val="none"/>
        </w:rPr>
      </w:pPr>
    </w:p>
    <w:p w14:paraId="41A67D04">
      <w:pPr>
        <w:spacing w:line="400" w:lineRule="exact"/>
        <w:jc w:val="center"/>
        <w:rPr>
          <w:rFonts w:hint="eastAsia" w:ascii="宋体" w:hAnsi="宋体"/>
          <w:b/>
          <w:sz w:val="32"/>
          <w:szCs w:val="32"/>
          <w:highlight w:val="none"/>
        </w:rPr>
      </w:pPr>
    </w:p>
    <w:p w14:paraId="21815DCB">
      <w:pPr>
        <w:spacing w:line="400" w:lineRule="exact"/>
        <w:jc w:val="center"/>
        <w:rPr>
          <w:rFonts w:hint="eastAsia" w:ascii="宋体" w:hAnsi="宋体"/>
          <w:b/>
          <w:sz w:val="32"/>
          <w:szCs w:val="32"/>
          <w:highlight w:val="none"/>
        </w:rPr>
      </w:pPr>
    </w:p>
    <w:p w14:paraId="55F762D7">
      <w:pPr>
        <w:spacing w:line="400" w:lineRule="exact"/>
        <w:jc w:val="center"/>
        <w:rPr>
          <w:rFonts w:hint="eastAsia" w:ascii="宋体" w:hAnsi="宋体"/>
          <w:b/>
          <w:sz w:val="32"/>
          <w:szCs w:val="32"/>
          <w:highlight w:val="none"/>
        </w:rPr>
      </w:pPr>
    </w:p>
    <w:p w14:paraId="26548BBF">
      <w:pPr>
        <w:spacing w:line="400" w:lineRule="exact"/>
        <w:rPr>
          <w:rFonts w:hint="eastAsia" w:ascii="宋体" w:hAnsi="宋体"/>
          <w:b/>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69E8E03A">
      <w:pPr>
        <w:pStyle w:val="2"/>
        <w:spacing w:after="340" w:line="400" w:lineRule="exact"/>
        <w:jc w:val="center"/>
        <w:rPr>
          <w:highlight w:val="none"/>
        </w:rPr>
      </w:pPr>
      <w:bookmarkStart w:id="5" w:name="_Toc9172"/>
      <w:r>
        <w:rPr>
          <w:rFonts w:hint="eastAsia"/>
          <w:highlight w:val="none"/>
        </w:rPr>
        <w:t>第一章 竞争性磋商公告</w:t>
      </w:r>
      <w:bookmarkEnd w:id="5"/>
    </w:p>
    <w:p w14:paraId="271AE3CC">
      <w:pPr>
        <w:spacing w:line="400" w:lineRule="exact"/>
        <w:jc w:val="center"/>
        <w:rPr>
          <w:rFonts w:hint="eastAsia" w:ascii="宋体" w:hAnsi="宋体"/>
          <w:b/>
          <w:bCs/>
          <w:sz w:val="32"/>
          <w:szCs w:val="32"/>
          <w:highlight w:val="none"/>
        </w:rPr>
      </w:pPr>
      <w:r>
        <w:rPr>
          <w:rFonts w:hint="eastAsia" w:ascii="宋体" w:hAnsi="宋体"/>
          <w:b/>
          <w:bCs/>
          <w:sz w:val="32"/>
          <w:szCs w:val="32"/>
          <w:highlight w:val="none"/>
        </w:rPr>
        <w:t>竞争性磋商公告</w:t>
      </w:r>
    </w:p>
    <w:p w14:paraId="7FB4EEFC">
      <w:pPr>
        <w:pBdr>
          <w:top w:val="single" w:color="auto" w:sz="4" w:space="1"/>
          <w:left w:val="single" w:color="auto" w:sz="4" w:space="4"/>
          <w:bottom w:val="single" w:color="auto" w:sz="4" w:space="1"/>
          <w:right w:val="single" w:color="auto" w:sz="4" w:space="4"/>
        </w:pBdr>
        <w:spacing w:line="460" w:lineRule="exact"/>
        <w:ind w:firstLine="420" w:firstLineChars="200"/>
        <w:rPr>
          <w:rFonts w:ascii="宋体" w:hAnsi="宋体"/>
          <w:szCs w:val="21"/>
          <w:highlight w:val="none"/>
        </w:rPr>
      </w:pPr>
      <w:bookmarkStart w:id="6" w:name="_Hlk37430271"/>
      <w:r>
        <w:rPr>
          <w:rFonts w:hint="eastAsia" w:ascii="宋体" w:hAnsi="宋体"/>
          <w:szCs w:val="21"/>
          <w:highlight w:val="none"/>
        </w:rPr>
        <w:t>项目概况</w:t>
      </w:r>
    </w:p>
    <w:p w14:paraId="11E24BC1">
      <w:pPr>
        <w:pBdr>
          <w:top w:val="single" w:color="auto" w:sz="4" w:space="1"/>
          <w:left w:val="single" w:color="auto" w:sz="4" w:space="4"/>
          <w:bottom w:val="single" w:color="auto" w:sz="4" w:space="1"/>
          <w:right w:val="single" w:color="auto" w:sz="4" w:space="4"/>
        </w:pBdr>
        <w:spacing w:line="460" w:lineRule="exact"/>
        <w:ind w:firstLine="420" w:firstLineChars="200"/>
        <w:rPr>
          <w:rFonts w:ascii="宋体" w:hAnsi="宋体"/>
          <w:szCs w:val="21"/>
          <w:highlight w:val="none"/>
        </w:rPr>
      </w:pPr>
      <w:r>
        <w:rPr>
          <w:rFonts w:hint="eastAsia" w:ascii="宋体" w:hAnsi="宋体"/>
          <w:szCs w:val="21"/>
          <w:highlight w:val="none"/>
          <w:u w:val="single"/>
          <w:lang w:eastAsia="zh-CN"/>
        </w:rPr>
        <w:t>苍梧县梨埠镇初级中学教学楼维修、运动场维修、学生宿舍维修</w:t>
      </w:r>
      <w:r>
        <w:rPr>
          <w:rFonts w:hint="eastAsia" w:ascii="宋体" w:hAnsi="宋体"/>
          <w:szCs w:val="21"/>
          <w:highlight w:val="none"/>
        </w:rPr>
        <w:t>的潜在供应商应在广西政府采购云平台（</w:t>
      </w:r>
      <w:r>
        <w:rPr>
          <w:rFonts w:ascii="宋体" w:hAnsi="宋体"/>
          <w:bCs/>
          <w:szCs w:val="21"/>
          <w:highlight w:val="none"/>
        </w:rPr>
        <w:t>https://www.gcy.zfcg.gxzf.gov.cn/）获取（下载）竞争性磋商文件，并于</w:t>
      </w:r>
      <w:bookmarkStart w:id="7" w:name="OLE_LINK1"/>
      <w:r>
        <w:rPr>
          <w:rFonts w:ascii="宋体" w:hAnsi="宋体"/>
          <w:bCs/>
          <w:szCs w:val="21"/>
          <w:highlight w:val="none"/>
        </w:rPr>
        <w:t>202</w:t>
      </w:r>
      <w:r>
        <w:rPr>
          <w:rFonts w:hint="eastAsia" w:ascii="宋体" w:hAnsi="宋体"/>
          <w:bCs/>
          <w:szCs w:val="21"/>
          <w:highlight w:val="none"/>
          <w:lang w:val="en-US" w:eastAsia="zh-CN"/>
        </w:rPr>
        <w:t>6</w:t>
      </w:r>
      <w:r>
        <w:rPr>
          <w:rFonts w:ascii="宋体" w:hAnsi="宋体"/>
          <w:bCs/>
          <w:szCs w:val="21"/>
          <w:highlight w:val="none"/>
        </w:rPr>
        <w:t>年</w:t>
      </w:r>
      <w:r>
        <w:rPr>
          <w:rFonts w:hint="eastAsia" w:ascii="宋体" w:hAnsi="宋体"/>
          <w:bCs/>
          <w:szCs w:val="21"/>
          <w:highlight w:val="none"/>
          <w:lang w:val="en-US" w:eastAsia="zh-CN"/>
        </w:rPr>
        <w:t>7</w:t>
      </w:r>
      <w:r>
        <w:rPr>
          <w:rFonts w:ascii="宋体" w:hAnsi="宋体"/>
          <w:bCs/>
          <w:szCs w:val="21"/>
          <w:highlight w:val="none"/>
        </w:rPr>
        <w:t>月</w:t>
      </w:r>
      <w:r>
        <w:rPr>
          <w:rFonts w:hint="eastAsia" w:ascii="宋体" w:hAnsi="宋体"/>
          <w:szCs w:val="21"/>
          <w:highlight w:val="none"/>
          <w:lang w:val="en-US" w:eastAsia="zh-CN"/>
        </w:rPr>
        <w:t>13</w:t>
      </w:r>
      <w:r>
        <w:rPr>
          <w:rFonts w:hint="eastAsia" w:ascii="宋体" w:hAnsi="宋体"/>
          <w:szCs w:val="21"/>
          <w:highlight w:val="none"/>
        </w:rPr>
        <w:t>日</w:t>
      </w:r>
      <w:r>
        <w:rPr>
          <w:rFonts w:hint="eastAsia" w:ascii="宋体" w:hAnsi="宋体" w:cs="宋体"/>
          <w:szCs w:val="21"/>
          <w:highlight w:val="none"/>
          <w:lang w:val="en-US" w:eastAsia="zh-CN"/>
        </w:rPr>
        <w:t>9</w:t>
      </w:r>
      <w:r>
        <w:rPr>
          <w:rFonts w:hint="eastAsia" w:ascii="宋体" w:hAnsi="宋体"/>
          <w:szCs w:val="21"/>
          <w:highlight w:val="none"/>
        </w:rPr>
        <w:t>时</w:t>
      </w:r>
      <w:r>
        <w:rPr>
          <w:rFonts w:hint="eastAsia" w:ascii="宋体" w:hAnsi="宋体"/>
          <w:szCs w:val="21"/>
          <w:highlight w:val="none"/>
          <w:lang w:val="en-US" w:eastAsia="zh-CN"/>
        </w:rPr>
        <w:t>30</w:t>
      </w:r>
      <w:r>
        <w:rPr>
          <w:rFonts w:hint="eastAsia" w:ascii="宋体" w:hAnsi="宋体"/>
          <w:szCs w:val="21"/>
          <w:highlight w:val="none"/>
        </w:rPr>
        <w:t>分</w:t>
      </w:r>
      <w:bookmarkEnd w:id="7"/>
      <w:r>
        <w:rPr>
          <w:rFonts w:hint="eastAsia" w:ascii="宋体" w:hAnsi="宋体"/>
          <w:bCs/>
          <w:szCs w:val="21"/>
          <w:highlight w:val="none"/>
        </w:rPr>
        <w:t>（北京时间）前提交（上传）</w:t>
      </w:r>
      <w:r>
        <w:rPr>
          <w:rFonts w:hint="eastAsia" w:ascii="宋体" w:hAnsi="宋体"/>
          <w:szCs w:val="21"/>
          <w:highlight w:val="none"/>
        </w:rPr>
        <w:t>响应</w:t>
      </w:r>
      <w:r>
        <w:rPr>
          <w:rFonts w:hint="eastAsia" w:ascii="宋体" w:hAnsi="宋体"/>
          <w:bCs/>
          <w:szCs w:val="21"/>
          <w:highlight w:val="none"/>
        </w:rPr>
        <w:t>文件</w:t>
      </w:r>
      <w:r>
        <w:rPr>
          <w:rFonts w:hint="eastAsia" w:ascii="宋体" w:hAnsi="宋体"/>
          <w:szCs w:val="21"/>
          <w:highlight w:val="none"/>
        </w:rPr>
        <w:t>。</w:t>
      </w:r>
    </w:p>
    <w:p w14:paraId="637AE62F">
      <w:pPr>
        <w:spacing w:line="460" w:lineRule="exact"/>
        <w:ind w:firstLine="354" w:firstLineChars="147"/>
        <w:rPr>
          <w:rFonts w:ascii="黑体" w:hAnsi="黑体" w:eastAsia="黑体"/>
          <w:b/>
          <w:sz w:val="24"/>
          <w:highlight w:val="none"/>
        </w:rPr>
      </w:pPr>
      <w:bookmarkStart w:id="8" w:name="_Toc28359012"/>
      <w:bookmarkStart w:id="9" w:name="_Toc35393629"/>
      <w:bookmarkStart w:id="10" w:name="_Toc71365905"/>
      <w:bookmarkStart w:id="11" w:name="_Toc28359089"/>
      <w:bookmarkStart w:id="12" w:name="_Toc35393798"/>
      <w:bookmarkStart w:id="13" w:name="_Toc44229878"/>
      <w:r>
        <w:rPr>
          <w:rFonts w:hint="eastAsia" w:ascii="黑体" w:hAnsi="黑体" w:eastAsia="黑体"/>
          <w:b/>
          <w:sz w:val="24"/>
          <w:highlight w:val="none"/>
        </w:rPr>
        <w:t>一、项目基本情况</w:t>
      </w:r>
      <w:bookmarkEnd w:id="8"/>
      <w:bookmarkEnd w:id="9"/>
      <w:bookmarkEnd w:id="10"/>
      <w:bookmarkEnd w:id="11"/>
      <w:bookmarkEnd w:id="12"/>
      <w:bookmarkEnd w:id="13"/>
    </w:p>
    <w:p w14:paraId="57395CC7">
      <w:pPr>
        <w:spacing w:line="460" w:lineRule="exact"/>
        <w:ind w:firstLine="420" w:firstLineChars="200"/>
        <w:rPr>
          <w:rFonts w:hint="eastAsia" w:ascii="宋体" w:hAnsi="宋体"/>
          <w:szCs w:val="21"/>
          <w:highlight w:val="none"/>
          <w:lang w:val="en-US" w:eastAsia="zh-CN"/>
        </w:rPr>
      </w:pPr>
      <w:r>
        <w:rPr>
          <w:rFonts w:hint="eastAsia" w:ascii="宋体" w:hAnsi="宋体"/>
          <w:szCs w:val="21"/>
          <w:highlight w:val="none"/>
        </w:rPr>
        <w:t>项目编号：WZZC2026-C2-210065-GX</w:t>
      </w:r>
      <w:r>
        <w:rPr>
          <w:rFonts w:hint="eastAsia" w:ascii="宋体" w:hAnsi="宋体"/>
          <w:szCs w:val="21"/>
          <w:highlight w:val="none"/>
          <w:lang w:val="en-US" w:eastAsia="zh-CN"/>
        </w:rPr>
        <w:t xml:space="preserve">JL </w:t>
      </w:r>
      <w:r>
        <w:rPr>
          <w:rFonts w:hint="eastAsia" w:ascii="宋体" w:hAnsi="宋体"/>
          <w:szCs w:val="21"/>
          <w:highlight w:val="none"/>
          <w:lang w:eastAsia="zh-CN"/>
        </w:rPr>
        <w:t xml:space="preserve">  </w:t>
      </w:r>
      <w:r>
        <w:rPr>
          <w:rFonts w:hint="eastAsia" w:ascii="宋体" w:hAnsi="宋体"/>
          <w:szCs w:val="21"/>
          <w:highlight w:val="none"/>
          <w:lang w:val="en-US" w:eastAsia="zh-CN"/>
        </w:rPr>
        <w:t xml:space="preserve"> </w:t>
      </w:r>
    </w:p>
    <w:p w14:paraId="205EF84A">
      <w:pPr>
        <w:spacing w:line="460" w:lineRule="exact"/>
        <w:ind w:firstLine="420" w:firstLineChars="200"/>
        <w:rPr>
          <w:rFonts w:hint="eastAsia" w:ascii="宋体" w:hAnsi="宋体" w:eastAsia="宋体"/>
          <w:szCs w:val="21"/>
          <w:highlight w:val="none"/>
          <w:u w:val="single"/>
          <w:lang w:eastAsia="zh-CN"/>
        </w:rPr>
      </w:pPr>
      <w:r>
        <w:rPr>
          <w:rFonts w:hint="eastAsia" w:ascii="宋体" w:hAnsi="宋体"/>
          <w:szCs w:val="21"/>
          <w:highlight w:val="none"/>
        </w:rPr>
        <w:t>项目名称：</w:t>
      </w:r>
      <w:r>
        <w:rPr>
          <w:rFonts w:hint="eastAsia" w:ascii="宋体" w:hAnsi="宋体"/>
          <w:szCs w:val="21"/>
          <w:highlight w:val="none"/>
          <w:lang w:eastAsia="zh-CN"/>
        </w:rPr>
        <w:t>苍梧县梨埠镇初级中学教学楼维修、运动场维修、学生宿舍维修</w:t>
      </w:r>
    </w:p>
    <w:p w14:paraId="1535FB60">
      <w:pPr>
        <w:spacing w:line="460" w:lineRule="exact"/>
        <w:ind w:firstLine="420" w:firstLineChars="200"/>
        <w:rPr>
          <w:rFonts w:ascii="宋体" w:hAnsi="宋体"/>
          <w:szCs w:val="21"/>
          <w:highlight w:val="none"/>
        </w:rPr>
      </w:pPr>
      <w:r>
        <w:rPr>
          <w:rFonts w:hint="eastAsia" w:ascii="宋体" w:hAnsi="宋体"/>
          <w:szCs w:val="21"/>
          <w:highlight w:val="none"/>
        </w:rPr>
        <w:t>采购方式：竞争性磋商</w:t>
      </w:r>
    </w:p>
    <w:p w14:paraId="63237C46">
      <w:pPr>
        <w:spacing w:line="460" w:lineRule="exact"/>
        <w:ind w:firstLine="420" w:firstLineChars="200"/>
        <w:rPr>
          <w:rFonts w:hint="eastAsia" w:ascii="宋体" w:hAnsi="宋体" w:eastAsia="宋体"/>
          <w:szCs w:val="21"/>
          <w:highlight w:val="none"/>
          <w:lang w:val="en-US" w:eastAsia="zh-CN"/>
        </w:rPr>
      </w:pPr>
      <w:r>
        <w:rPr>
          <w:rFonts w:hint="eastAsia" w:ascii="宋体" w:hAnsi="宋体"/>
          <w:szCs w:val="21"/>
          <w:highlight w:val="none"/>
        </w:rPr>
        <w:t>预算金额：</w:t>
      </w:r>
      <w:r>
        <w:rPr>
          <w:rFonts w:hint="eastAsia" w:ascii="宋体" w:hAnsi="宋体"/>
          <w:szCs w:val="21"/>
          <w:highlight w:val="none"/>
          <w:lang w:val="en-US" w:eastAsia="zh-CN"/>
        </w:rPr>
        <w:t>3379892.46元</w:t>
      </w:r>
    </w:p>
    <w:p w14:paraId="36BA4E1B">
      <w:pPr>
        <w:spacing w:line="460" w:lineRule="exact"/>
        <w:ind w:firstLine="420" w:firstLineChars="200"/>
        <w:rPr>
          <w:rFonts w:ascii="宋体" w:hAnsi="宋体"/>
          <w:szCs w:val="21"/>
          <w:highlight w:val="none"/>
        </w:rPr>
      </w:pPr>
      <w:r>
        <w:rPr>
          <w:rFonts w:hint="eastAsia" w:ascii="宋体" w:hAnsi="宋体"/>
          <w:szCs w:val="21"/>
          <w:highlight w:val="none"/>
        </w:rPr>
        <w:t>最高限价：</w:t>
      </w:r>
      <w:r>
        <w:rPr>
          <w:rFonts w:hint="eastAsia" w:ascii="宋体" w:hAnsi="宋体"/>
          <w:szCs w:val="21"/>
          <w:highlight w:val="none"/>
          <w:lang w:val="en-US" w:eastAsia="zh-CN"/>
        </w:rPr>
        <w:t>2896744.08</w:t>
      </w:r>
      <w:r>
        <w:rPr>
          <w:rFonts w:hint="eastAsia" w:ascii="宋体" w:hAnsi="宋体"/>
          <w:szCs w:val="21"/>
          <w:highlight w:val="none"/>
        </w:rPr>
        <w:t>元</w:t>
      </w:r>
    </w:p>
    <w:p w14:paraId="13F1E41F">
      <w:pPr>
        <w:spacing w:line="460" w:lineRule="exact"/>
        <w:ind w:firstLine="420" w:firstLineChars="200"/>
        <w:rPr>
          <w:rFonts w:hint="eastAsia" w:ascii="宋体" w:hAnsi="宋体"/>
          <w:szCs w:val="21"/>
          <w:highlight w:val="none"/>
        </w:rPr>
      </w:pPr>
      <w:r>
        <w:rPr>
          <w:rFonts w:hint="eastAsia" w:ascii="宋体" w:hAnsi="宋体"/>
          <w:szCs w:val="21"/>
          <w:highlight w:val="none"/>
        </w:rPr>
        <w:t>采购需求：</w:t>
      </w:r>
      <w:bookmarkStart w:id="14" w:name="OLE_LINK5"/>
      <w:r>
        <w:rPr>
          <w:rFonts w:hint="eastAsia" w:ascii="宋体" w:hAnsi="宋体"/>
          <w:szCs w:val="21"/>
          <w:highlight w:val="none"/>
          <w:lang w:eastAsia="zh-CN"/>
        </w:rPr>
        <w:t>建筑工程、拆除工程、给排水工程等</w:t>
      </w:r>
      <w:r>
        <w:rPr>
          <w:rFonts w:hint="eastAsia" w:ascii="宋体" w:hAnsi="宋体"/>
          <w:szCs w:val="21"/>
          <w:highlight w:val="none"/>
        </w:rPr>
        <w:t>，具体详见本项目工程量清单、图纸。</w:t>
      </w:r>
    </w:p>
    <w:bookmarkEnd w:id="14"/>
    <w:p w14:paraId="2F275725">
      <w:pPr>
        <w:spacing w:line="460" w:lineRule="exact"/>
        <w:ind w:firstLine="420" w:firstLineChars="200"/>
        <w:rPr>
          <w:rFonts w:ascii="宋体" w:hAnsi="宋体"/>
          <w:sz w:val="21"/>
          <w:szCs w:val="21"/>
          <w:highlight w:val="cyan"/>
          <w:u w:val="single"/>
        </w:rPr>
      </w:pPr>
      <w:r>
        <w:rPr>
          <w:rFonts w:hint="eastAsia" w:ascii="宋体" w:hAnsi="宋体"/>
          <w:sz w:val="21"/>
          <w:szCs w:val="21"/>
          <w:highlight w:val="none"/>
        </w:rPr>
        <w:t>合同履行期限：</w:t>
      </w:r>
      <w:bookmarkStart w:id="15" w:name="OLE_LINK4"/>
      <w:r>
        <w:rPr>
          <w:rFonts w:hint="eastAsia" w:ascii="宋体" w:hAnsi="宋体"/>
          <w:sz w:val="21"/>
          <w:szCs w:val="21"/>
          <w:highlight w:val="none"/>
          <w:lang w:val="en-US" w:eastAsia="zh-CN"/>
        </w:rPr>
        <w:t>35</w:t>
      </w:r>
      <w:r>
        <w:rPr>
          <w:rFonts w:hint="eastAsia" w:ascii="宋体" w:hAnsi="宋体"/>
          <w:sz w:val="21"/>
          <w:szCs w:val="21"/>
          <w:highlight w:val="none"/>
        </w:rPr>
        <w:t>日历天</w:t>
      </w:r>
      <w:bookmarkEnd w:id="15"/>
    </w:p>
    <w:p w14:paraId="2F00DD3C">
      <w:pPr>
        <w:spacing w:line="460" w:lineRule="exact"/>
        <w:ind w:firstLine="420" w:firstLineChars="200"/>
        <w:rPr>
          <w:rFonts w:ascii="宋体" w:hAnsi="宋体"/>
          <w:szCs w:val="21"/>
          <w:highlight w:val="none"/>
        </w:rPr>
      </w:pPr>
      <w:r>
        <w:rPr>
          <w:rFonts w:hint="eastAsia" w:ascii="宋体" w:hAnsi="宋体"/>
          <w:szCs w:val="21"/>
          <w:highlight w:val="none"/>
        </w:rPr>
        <w:t>本项目不接受联合体。</w:t>
      </w:r>
    </w:p>
    <w:p w14:paraId="31C37F92">
      <w:pPr>
        <w:spacing w:line="460" w:lineRule="exact"/>
        <w:ind w:firstLine="354" w:firstLineChars="147"/>
        <w:rPr>
          <w:rFonts w:ascii="黑体" w:hAnsi="黑体" w:eastAsia="黑体"/>
          <w:b/>
          <w:sz w:val="24"/>
          <w:highlight w:val="none"/>
        </w:rPr>
      </w:pPr>
      <w:bookmarkStart w:id="16" w:name="_Toc71365906"/>
      <w:bookmarkStart w:id="17" w:name="_Toc44229879"/>
      <w:bookmarkStart w:id="18" w:name="_Toc28359013"/>
      <w:bookmarkStart w:id="19" w:name="_Toc35393630"/>
      <w:bookmarkStart w:id="20" w:name="_Toc28359090"/>
      <w:bookmarkStart w:id="21" w:name="_Toc35393799"/>
      <w:r>
        <w:rPr>
          <w:rFonts w:hint="eastAsia" w:ascii="黑体" w:hAnsi="黑体" w:eastAsia="黑体"/>
          <w:b/>
          <w:sz w:val="24"/>
          <w:highlight w:val="none"/>
        </w:rPr>
        <w:t>二、申请人的资格条件：</w:t>
      </w:r>
      <w:bookmarkEnd w:id="16"/>
      <w:bookmarkEnd w:id="17"/>
      <w:bookmarkEnd w:id="18"/>
      <w:bookmarkEnd w:id="19"/>
      <w:bookmarkEnd w:id="20"/>
      <w:bookmarkEnd w:id="21"/>
    </w:p>
    <w:p w14:paraId="2B47C722">
      <w:pPr>
        <w:spacing w:line="460" w:lineRule="exact"/>
        <w:ind w:firstLine="420" w:firstLineChars="200"/>
        <w:rPr>
          <w:rFonts w:ascii="宋体" w:hAnsi="宋体"/>
          <w:szCs w:val="21"/>
          <w:highlight w:val="none"/>
        </w:rPr>
      </w:pPr>
      <w:bookmarkStart w:id="22" w:name="_Toc28359091"/>
      <w:bookmarkStart w:id="23" w:name="_Toc28359014"/>
      <w:bookmarkStart w:id="24" w:name="_Toc35393800"/>
      <w:bookmarkStart w:id="25" w:name="_Toc44229880"/>
      <w:bookmarkStart w:id="26" w:name="_Toc35393631"/>
      <w:r>
        <w:rPr>
          <w:rFonts w:hint="eastAsia" w:ascii="宋体" w:hAnsi="宋体"/>
          <w:szCs w:val="21"/>
          <w:highlight w:val="none"/>
        </w:rPr>
        <w:t>1.</w:t>
      </w:r>
      <w:r>
        <w:rPr>
          <w:rFonts w:hint="eastAsia" w:ascii="宋体" w:hAnsi="宋体"/>
          <w:szCs w:val="21"/>
          <w:highlight w:val="none"/>
          <w:lang w:val="en-US" w:eastAsia="zh-CN"/>
        </w:rPr>
        <w:t>满足</w:t>
      </w:r>
      <w:r>
        <w:rPr>
          <w:rFonts w:hint="eastAsia" w:ascii="宋体" w:hAnsi="宋体"/>
          <w:szCs w:val="21"/>
          <w:highlight w:val="none"/>
        </w:rPr>
        <w:t>《中华人民共和国政府采购法》第二十二条规定；</w:t>
      </w:r>
    </w:p>
    <w:p w14:paraId="42C86749">
      <w:pPr>
        <w:spacing w:line="460" w:lineRule="exact"/>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.落实政府采购政策需满足的资格要求：</w:t>
      </w:r>
      <w:bookmarkStart w:id="27" w:name="OLE_LINK6"/>
      <w:r>
        <w:rPr>
          <w:rFonts w:hint="eastAsia" w:ascii="宋体" w:hAnsi="宋体"/>
          <w:szCs w:val="21"/>
          <w:highlight w:val="none"/>
        </w:rPr>
        <w:t>本项目属于专门面向中小企业采购的项目，工程的施工单位全部为符合政策要求的中小企业（包括监狱企业及残疾人福利单位），须提供中小企业声明函【如属于残疾人福利性单位的提供残疾人福利性单位声明函，属于监狱企业的提供由省级以上监狱管理局、戒毒管理局（含新疆生产建设兵团）出具的属于监狱企业的证明文件】</w:t>
      </w:r>
    </w:p>
    <w:bookmarkEnd w:id="27"/>
    <w:p w14:paraId="7223B782">
      <w:pPr>
        <w:spacing w:line="460" w:lineRule="exact"/>
        <w:ind w:firstLine="420" w:firstLineChars="200"/>
        <w:rPr>
          <w:rFonts w:ascii="宋体" w:hAnsi="宋体"/>
          <w:szCs w:val="21"/>
          <w:highlight w:val="none"/>
          <w:u w:val="single"/>
        </w:rPr>
      </w:pPr>
      <w:r>
        <w:rPr>
          <w:rFonts w:hint="eastAsia" w:ascii="宋体" w:hAnsi="宋体"/>
          <w:szCs w:val="21"/>
          <w:highlight w:val="none"/>
        </w:rPr>
        <w:t>3.本项目的特定资格要求：</w:t>
      </w:r>
    </w:p>
    <w:p w14:paraId="00A5F6E8">
      <w:pPr>
        <w:spacing w:line="460" w:lineRule="exact"/>
        <w:ind w:firstLine="420" w:firstLineChars="200"/>
        <w:rPr>
          <w:rFonts w:hint="eastAsia" w:ascii="宋体" w:hAnsi="宋体"/>
          <w:szCs w:val="21"/>
          <w:highlight w:val="none"/>
        </w:rPr>
      </w:pPr>
      <w:bookmarkStart w:id="28" w:name="OLE_LINK7"/>
      <w:r>
        <w:rPr>
          <w:rFonts w:hint="eastAsia" w:ascii="宋体" w:hAnsi="宋体"/>
          <w:szCs w:val="21"/>
          <w:highlight w:val="none"/>
        </w:rPr>
        <w:t>（1）供应商具备建筑工程施工总承包叁级及以上资质</w:t>
      </w:r>
      <w:r>
        <w:rPr>
          <w:rFonts w:hint="eastAsia"/>
          <w:highlight w:val="none"/>
        </w:rPr>
        <w:t>，并具有有效安全生产许可证</w:t>
      </w:r>
      <w:r>
        <w:rPr>
          <w:rFonts w:hint="eastAsia" w:ascii="宋体" w:hAnsi="宋体"/>
          <w:szCs w:val="21"/>
          <w:highlight w:val="none"/>
        </w:rPr>
        <w:t>；</w:t>
      </w:r>
    </w:p>
    <w:bookmarkEnd w:id="28"/>
    <w:p w14:paraId="7996D5D9">
      <w:pPr>
        <w:spacing w:line="460" w:lineRule="exact"/>
        <w:ind w:firstLine="420" w:firstLineChars="200"/>
        <w:rPr>
          <w:rFonts w:hint="eastAsia" w:ascii="宋体" w:hAnsi="宋体" w:eastAsia="宋体"/>
          <w:szCs w:val="21"/>
          <w:highlight w:val="none"/>
          <w:lang w:eastAsia="zh-CN"/>
        </w:rPr>
      </w:pPr>
      <w:bookmarkStart w:id="29" w:name="OLE_LINK8"/>
      <w:r>
        <w:rPr>
          <w:rFonts w:hint="eastAsia" w:ascii="宋体" w:hAnsi="宋体"/>
          <w:szCs w:val="21"/>
          <w:highlight w:val="none"/>
        </w:rPr>
        <w:t>（2）</w:t>
      </w:r>
      <w:bookmarkStart w:id="30" w:name="OLE_LINK22"/>
      <w:r>
        <w:rPr>
          <w:rFonts w:hint="eastAsia"/>
          <w:highlight w:val="none"/>
        </w:rPr>
        <w:t>供应商拟派项目经理须具备建筑工程专业贰级（含以上级）注册建造师执业资格，具备有效的安全生产考核合格证书（B类）</w:t>
      </w:r>
      <w:r>
        <w:rPr>
          <w:rFonts w:hint="eastAsia" w:ascii="宋体" w:hAnsi="宋体"/>
          <w:szCs w:val="21"/>
          <w:highlight w:val="none"/>
          <w:lang w:eastAsia="zh-CN"/>
        </w:rPr>
        <w:t>；</w:t>
      </w:r>
    </w:p>
    <w:bookmarkEnd w:id="29"/>
    <w:bookmarkEnd w:id="30"/>
    <w:p w14:paraId="23A46BF5">
      <w:pPr>
        <w:spacing w:line="460" w:lineRule="exact"/>
        <w:ind w:firstLine="420" w:firstLineChars="200"/>
        <w:rPr>
          <w:rFonts w:hint="eastAsia" w:ascii="宋体" w:hAnsi="宋体"/>
          <w:szCs w:val="21"/>
          <w:highlight w:val="none"/>
        </w:rPr>
      </w:pPr>
      <w:bookmarkStart w:id="31" w:name="OLE_LINK9"/>
      <w:r>
        <w:rPr>
          <w:rFonts w:hint="eastAsia" w:ascii="宋体" w:hAnsi="宋体"/>
          <w:szCs w:val="21"/>
          <w:highlight w:val="none"/>
        </w:rPr>
        <w:t>（3）拟投入专职</w:t>
      </w:r>
      <w:r>
        <w:rPr>
          <w:rFonts w:hint="eastAsia" w:ascii="宋体" w:hAnsi="宋体"/>
          <w:szCs w:val="21"/>
          <w:highlight w:val="none"/>
          <w:lang w:val="en-US" w:eastAsia="zh-CN"/>
        </w:rPr>
        <w:t>安全生产管理人员</w:t>
      </w:r>
      <w:r>
        <w:rPr>
          <w:rFonts w:hint="eastAsia" w:ascii="宋体" w:hAnsi="宋体"/>
          <w:szCs w:val="21"/>
          <w:highlight w:val="none"/>
        </w:rPr>
        <w:t>须具备安全生产考核合格证书（C类）至少1人</w:t>
      </w:r>
      <w:bookmarkEnd w:id="31"/>
      <w:r>
        <w:rPr>
          <w:rFonts w:hint="eastAsia" w:ascii="宋体" w:hAnsi="宋体"/>
          <w:szCs w:val="21"/>
          <w:highlight w:val="none"/>
        </w:rPr>
        <w:t>。</w:t>
      </w:r>
    </w:p>
    <w:p w14:paraId="73B85A16">
      <w:pPr>
        <w:spacing w:line="460" w:lineRule="exact"/>
        <w:ind w:firstLine="354" w:firstLineChars="147"/>
        <w:rPr>
          <w:rFonts w:ascii="黑体" w:hAnsi="黑体" w:eastAsia="黑体"/>
          <w:b/>
          <w:sz w:val="24"/>
          <w:highlight w:val="none"/>
        </w:rPr>
      </w:pPr>
      <w:bookmarkStart w:id="32" w:name="_Toc71365907"/>
      <w:r>
        <w:rPr>
          <w:rFonts w:hint="eastAsia" w:ascii="黑体" w:hAnsi="黑体" w:eastAsia="黑体"/>
          <w:b/>
          <w:sz w:val="24"/>
          <w:highlight w:val="none"/>
        </w:rPr>
        <w:t>三、获取竞争性磋商文件</w:t>
      </w:r>
      <w:bookmarkEnd w:id="22"/>
      <w:bookmarkEnd w:id="23"/>
      <w:bookmarkEnd w:id="24"/>
      <w:bookmarkEnd w:id="25"/>
      <w:bookmarkEnd w:id="26"/>
      <w:bookmarkEnd w:id="32"/>
    </w:p>
    <w:p w14:paraId="159C38B2">
      <w:pPr>
        <w:spacing w:line="460" w:lineRule="exact"/>
        <w:ind w:firstLine="420" w:firstLineChars="200"/>
        <w:rPr>
          <w:rFonts w:hint="eastAsia" w:ascii="宋体" w:hAnsi="宋体" w:cs="宋体"/>
          <w:bCs/>
          <w:kern w:val="0"/>
          <w:szCs w:val="21"/>
          <w:highlight w:val="none"/>
        </w:rPr>
      </w:pPr>
      <w:bookmarkStart w:id="33" w:name="_Toc28359015"/>
      <w:bookmarkStart w:id="34" w:name="_Toc28359092"/>
      <w:bookmarkStart w:id="35" w:name="_Toc44229881"/>
      <w:bookmarkStart w:id="36" w:name="_Toc35393632"/>
      <w:bookmarkStart w:id="37" w:name="_Toc35393801"/>
      <w:r>
        <w:rPr>
          <w:rFonts w:hint="eastAsia" w:ascii="宋体" w:hAnsi="宋体" w:cs="宋体"/>
          <w:bCs/>
          <w:kern w:val="0"/>
          <w:szCs w:val="21"/>
          <w:highlight w:val="none"/>
        </w:rPr>
        <w:t>时间：</w:t>
      </w:r>
      <w:r>
        <w:rPr>
          <w:rFonts w:hint="eastAsia" w:ascii="宋体" w:hAnsi="宋体"/>
          <w:szCs w:val="21"/>
          <w:highlight w:val="none"/>
        </w:rPr>
        <w:t>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6</w:t>
      </w:r>
      <w:r>
        <w:rPr>
          <w:rFonts w:hint="eastAsia" w:ascii="宋体" w:hAnsi="宋体"/>
          <w:szCs w:val="21"/>
          <w:highlight w:val="none"/>
        </w:rPr>
        <w:t>月</w:t>
      </w:r>
      <w:r>
        <w:rPr>
          <w:rFonts w:hint="eastAsia" w:ascii="宋体" w:hAnsi="宋体"/>
          <w:szCs w:val="21"/>
          <w:highlight w:val="none"/>
          <w:lang w:val="en-US" w:eastAsia="zh-CN"/>
        </w:rPr>
        <w:t>30</w:t>
      </w:r>
      <w:r>
        <w:rPr>
          <w:rFonts w:hint="eastAsia" w:ascii="宋体" w:hAnsi="宋体"/>
          <w:szCs w:val="21"/>
          <w:highlight w:val="none"/>
        </w:rPr>
        <w:t>日</w:t>
      </w:r>
      <w:r>
        <w:rPr>
          <w:rFonts w:hint="eastAsia" w:ascii="宋体" w:hAnsi="宋体" w:cs="宋体"/>
          <w:bCs/>
          <w:kern w:val="0"/>
          <w:szCs w:val="21"/>
          <w:highlight w:val="none"/>
        </w:rPr>
        <w:t>起至</w:t>
      </w:r>
      <w:r>
        <w:rPr>
          <w:rFonts w:hint="eastAsia" w:ascii="宋体" w:hAnsi="宋体"/>
          <w:szCs w:val="21"/>
          <w:highlight w:val="none"/>
        </w:rPr>
        <w:t>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7</w:t>
      </w:r>
      <w:r>
        <w:rPr>
          <w:rFonts w:hint="eastAsia" w:ascii="宋体" w:hAnsi="宋体"/>
          <w:szCs w:val="21"/>
          <w:highlight w:val="none"/>
        </w:rPr>
        <w:t>月</w:t>
      </w:r>
      <w:r>
        <w:rPr>
          <w:rFonts w:hint="eastAsia" w:ascii="宋体" w:hAnsi="宋体"/>
          <w:szCs w:val="21"/>
          <w:highlight w:val="none"/>
          <w:lang w:val="en-US" w:eastAsia="zh-CN"/>
        </w:rPr>
        <w:t>10</w:t>
      </w:r>
      <w:r>
        <w:rPr>
          <w:rFonts w:hint="eastAsia" w:ascii="宋体" w:hAnsi="宋体"/>
          <w:szCs w:val="21"/>
          <w:highlight w:val="none"/>
        </w:rPr>
        <w:t>日</w:t>
      </w:r>
      <w:r>
        <w:rPr>
          <w:rFonts w:hint="eastAsia" w:ascii="宋体" w:hAnsi="宋体" w:cs="宋体"/>
          <w:bCs/>
          <w:kern w:val="0"/>
          <w:szCs w:val="21"/>
          <w:highlight w:val="none"/>
        </w:rPr>
        <w:t>，每天上00:00:00至12:00:00，下午12:00:00至23:59:59（北京时间，法定节假日除外）</w:t>
      </w:r>
    </w:p>
    <w:p w14:paraId="50499918">
      <w:pPr>
        <w:spacing w:line="460" w:lineRule="exact"/>
        <w:ind w:firstLine="420" w:firstLineChars="200"/>
        <w:rPr>
          <w:rFonts w:ascii="宋体" w:hAnsi="宋体" w:cs="宋体"/>
          <w:bCs/>
          <w:kern w:val="0"/>
          <w:szCs w:val="21"/>
          <w:highlight w:val="none"/>
        </w:rPr>
      </w:pPr>
      <w:r>
        <w:rPr>
          <w:rFonts w:hint="eastAsia" w:ascii="宋体" w:hAnsi="宋体" w:cs="宋体"/>
          <w:bCs/>
          <w:kern w:val="0"/>
          <w:szCs w:val="21"/>
          <w:highlight w:val="none"/>
        </w:rPr>
        <w:t>地点：</w:t>
      </w:r>
      <w:r>
        <w:rPr>
          <w:rFonts w:hint="eastAsia" w:ascii="宋体" w:hAnsi="宋体"/>
          <w:szCs w:val="21"/>
          <w:highlight w:val="none"/>
        </w:rPr>
        <w:t>广西政府采购云平台（</w:t>
      </w:r>
      <w:r>
        <w:rPr>
          <w:rFonts w:hint="eastAsia" w:ascii="宋体" w:hAnsi="宋体"/>
          <w:bCs/>
          <w:szCs w:val="21"/>
          <w:highlight w:val="none"/>
        </w:rPr>
        <w:t>https://www.gcy.zfcg.gxzf.gov.cn/</w:t>
      </w:r>
      <w:r>
        <w:rPr>
          <w:rFonts w:hint="eastAsia" w:ascii="宋体" w:hAnsi="宋体"/>
          <w:szCs w:val="21"/>
          <w:highlight w:val="none"/>
        </w:rPr>
        <w:t>）</w:t>
      </w:r>
    </w:p>
    <w:p w14:paraId="6FEE631D">
      <w:pPr>
        <w:spacing w:line="460" w:lineRule="exact"/>
        <w:ind w:firstLine="420" w:firstLineChars="200"/>
        <w:rPr>
          <w:rFonts w:ascii="宋体" w:hAnsi="宋体" w:cs="宋体"/>
          <w:bCs/>
          <w:kern w:val="0"/>
          <w:szCs w:val="21"/>
          <w:highlight w:val="none"/>
        </w:rPr>
      </w:pPr>
      <w:r>
        <w:rPr>
          <w:rFonts w:hint="eastAsia" w:ascii="宋体" w:hAnsi="宋体" w:cs="宋体"/>
          <w:bCs/>
          <w:kern w:val="0"/>
          <w:szCs w:val="21"/>
          <w:highlight w:val="none"/>
        </w:rPr>
        <w:t>方式：</w:t>
      </w:r>
      <w:bookmarkStart w:id="38" w:name="OLE_LINK11"/>
      <w:r>
        <w:rPr>
          <w:rFonts w:hint="eastAsia" w:ascii="宋体" w:hAnsi="宋体" w:cs="宋体"/>
          <w:bCs/>
          <w:kern w:val="0"/>
          <w:szCs w:val="21"/>
          <w:highlight w:val="none"/>
        </w:rPr>
        <w:t>供应商登录广西政府采购云平台https://www.gcy.zfcg.gxzf.gov.cn/在线申请获取采购文件（进入“项目采购”应用，在获取采购文件菜单中选择项目，申请获取采购文件）。</w:t>
      </w:r>
    </w:p>
    <w:bookmarkEnd w:id="38"/>
    <w:p w14:paraId="585A20B1">
      <w:pPr>
        <w:spacing w:line="460" w:lineRule="exact"/>
        <w:ind w:firstLine="420" w:firstLineChars="200"/>
        <w:rPr>
          <w:rFonts w:hint="eastAsia" w:ascii="宋体" w:hAnsi="宋体" w:cs="宋体"/>
          <w:iCs/>
          <w:szCs w:val="21"/>
          <w:highlight w:val="none"/>
        </w:rPr>
      </w:pPr>
      <w:r>
        <w:rPr>
          <w:rFonts w:hint="eastAsia" w:ascii="宋体" w:hAnsi="宋体" w:cs="宋体"/>
          <w:bCs/>
          <w:kern w:val="0"/>
          <w:szCs w:val="21"/>
          <w:highlight w:val="none"/>
        </w:rPr>
        <w:t>售价：</w:t>
      </w:r>
      <w:r>
        <w:rPr>
          <w:rFonts w:hint="eastAsia" w:ascii="宋体" w:hAnsi="宋体" w:cs="宋体"/>
          <w:iCs/>
          <w:szCs w:val="21"/>
          <w:highlight w:val="none"/>
          <w:u w:val="single"/>
        </w:rPr>
        <w:t>0</w:t>
      </w:r>
      <w:r>
        <w:rPr>
          <w:rFonts w:hint="eastAsia" w:ascii="宋体" w:hAnsi="宋体" w:cs="宋体"/>
          <w:iCs/>
          <w:szCs w:val="21"/>
          <w:highlight w:val="none"/>
        </w:rPr>
        <w:t>元</w:t>
      </w:r>
    </w:p>
    <w:p w14:paraId="5EEBF5C6">
      <w:pPr>
        <w:spacing w:line="460" w:lineRule="exact"/>
        <w:ind w:firstLine="354" w:firstLineChars="147"/>
        <w:rPr>
          <w:rFonts w:ascii="黑体" w:hAnsi="黑体" w:eastAsia="黑体"/>
          <w:b/>
          <w:sz w:val="24"/>
          <w:highlight w:val="none"/>
        </w:rPr>
      </w:pPr>
      <w:bookmarkStart w:id="39" w:name="_Toc71365908"/>
      <w:r>
        <w:rPr>
          <w:rFonts w:hint="eastAsia" w:ascii="黑体" w:hAnsi="黑体" w:eastAsia="黑体"/>
          <w:b/>
          <w:sz w:val="24"/>
          <w:highlight w:val="none"/>
        </w:rPr>
        <w:t>四、响应文件提交</w:t>
      </w:r>
      <w:bookmarkEnd w:id="33"/>
      <w:bookmarkEnd w:id="34"/>
      <w:bookmarkEnd w:id="35"/>
      <w:bookmarkEnd w:id="36"/>
      <w:bookmarkEnd w:id="37"/>
      <w:bookmarkEnd w:id="39"/>
    </w:p>
    <w:p w14:paraId="2F55E4A9">
      <w:pPr>
        <w:spacing w:line="460" w:lineRule="exact"/>
        <w:ind w:firstLine="420" w:firstLineChars="200"/>
        <w:rPr>
          <w:rFonts w:hint="eastAsia" w:ascii="宋体" w:hAnsi="宋体"/>
          <w:szCs w:val="21"/>
          <w:highlight w:val="none"/>
        </w:rPr>
      </w:pPr>
      <w:bookmarkStart w:id="40" w:name="_Toc35393633"/>
      <w:bookmarkStart w:id="41" w:name="_Toc35393802"/>
      <w:bookmarkStart w:id="42" w:name="_Toc44229882"/>
      <w:bookmarkStart w:id="43" w:name="_Toc28359016"/>
      <w:bookmarkStart w:id="44" w:name="_Toc28359093"/>
      <w:bookmarkStart w:id="45" w:name="_Toc71365909"/>
      <w:r>
        <w:rPr>
          <w:rFonts w:hint="eastAsia" w:ascii="宋体" w:hAnsi="宋体"/>
          <w:szCs w:val="21"/>
          <w:highlight w:val="none"/>
        </w:rPr>
        <w:t>截止时间：202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bCs/>
          <w:szCs w:val="21"/>
          <w:highlight w:val="none"/>
          <w:lang w:val="en-US" w:eastAsia="zh-CN"/>
        </w:rPr>
        <w:t>7</w:t>
      </w:r>
      <w:r>
        <w:rPr>
          <w:rFonts w:ascii="宋体" w:hAnsi="宋体"/>
          <w:bCs/>
          <w:szCs w:val="21"/>
          <w:highlight w:val="none"/>
        </w:rPr>
        <w:t>月</w:t>
      </w:r>
      <w:r>
        <w:rPr>
          <w:rFonts w:hint="eastAsia" w:ascii="宋体" w:hAnsi="宋体"/>
          <w:szCs w:val="21"/>
          <w:highlight w:val="none"/>
          <w:lang w:val="en-US" w:eastAsia="zh-CN"/>
        </w:rPr>
        <w:t>13</w:t>
      </w:r>
      <w:r>
        <w:rPr>
          <w:rFonts w:hint="eastAsia" w:ascii="宋体" w:hAnsi="宋体"/>
          <w:szCs w:val="21"/>
          <w:highlight w:val="none"/>
        </w:rPr>
        <w:t>日</w:t>
      </w:r>
      <w:r>
        <w:rPr>
          <w:rFonts w:hint="eastAsia" w:ascii="宋体" w:hAnsi="宋体" w:cs="宋体"/>
          <w:szCs w:val="21"/>
          <w:highlight w:val="none"/>
          <w:lang w:val="en-US" w:eastAsia="zh-CN"/>
        </w:rPr>
        <w:t>9</w:t>
      </w:r>
      <w:r>
        <w:rPr>
          <w:rFonts w:hint="eastAsia" w:ascii="宋体" w:hAnsi="宋体"/>
          <w:szCs w:val="21"/>
          <w:highlight w:val="none"/>
        </w:rPr>
        <w:t>时</w:t>
      </w:r>
      <w:r>
        <w:rPr>
          <w:rFonts w:hint="eastAsia" w:ascii="宋体" w:hAnsi="宋体"/>
          <w:szCs w:val="21"/>
          <w:highlight w:val="none"/>
          <w:lang w:val="en-US" w:eastAsia="zh-CN"/>
        </w:rPr>
        <w:t>30</w:t>
      </w:r>
      <w:r>
        <w:rPr>
          <w:rFonts w:hint="eastAsia" w:ascii="宋体" w:hAnsi="宋体"/>
          <w:szCs w:val="21"/>
          <w:highlight w:val="none"/>
        </w:rPr>
        <w:t>分（北京时间）</w:t>
      </w:r>
    </w:p>
    <w:p w14:paraId="45FB500C">
      <w:pPr>
        <w:spacing w:line="460" w:lineRule="exact"/>
        <w:ind w:firstLine="420" w:firstLineChars="200"/>
        <w:rPr>
          <w:rFonts w:hint="eastAsia" w:ascii="宋体" w:hAnsi="宋体"/>
          <w:szCs w:val="21"/>
          <w:highlight w:val="none"/>
        </w:rPr>
      </w:pPr>
      <w:r>
        <w:rPr>
          <w:rFonts w:hint="eastAsia" w:ascii="宋体" w:hAnsi="宋体"/>
          <w:szCs w:val="21"/>
          <w:highlight w:val="none"/>
        </w:rPr>
        <w:t>地点：</w:t>
      </w:r>
      <w:bookmarkStart w:id="46" w:name="OLE_LINK12"/>
      <w:r>
        <w:rPr>
          <w:rFonts w:hint="eastAsia" w:ascii="宋体" w:hAnsi="宋体"/>
          <w:szCs w:val="21"/>
          <w:highlight w:val="none"/>
        </w:rPr>
        <w:t>广西政府采购云平台（</w:t>
      </w:r>
      <w:r>
        <w:rPr>
          <w:rFonts w:hint="eastAsia" w:ascii="宋体" w:hAnsi="宋体"/>
          <w:bCs/>
          <w:szCs w:val="21"/>
          <w:highlight w:val="none"/>
        </w:rPr>
        <w:t>https://www.gcy.zfcg.gxzf.gov.cn/</w:t>
      </w:r>
      <w:r>
        <w:rPr>
          <w:rFonts w:hint="eastAsia" w:ascii="宋体" w:hAnsi="宋体"/>
          <w:szCs w:val="21"/>
          <w:highlight w:val="none"/>
        </w:rPr>
        <w:t>）</w:t>
      </w:r>
    </w:p>
    <w:bookmarkEnd w:id="46"/>
    <w:p w14:paraId="15841B0C">
      <w:pPr>
        <w:spacing w:line="460" w:lineRule="exact"/>
        <w:ind w:firstLine="354" w:firstLineChars="147"/>
        <w:rPr>
          <w:rFonts w:ascii="黑体" w:hAnsi="黑体" w:eastAsia="黑体"/>
          <w:b/>
          <w:sz w:val="24"/>
          <w:highlight w:val="none"/>
        </w:rPr>
      </w:pPr>
      <w:r>
        <w:rPr>
          <w:rFonts w:hint="eastAsia" w:ascii="黑体" w:hAnsi="黑体" w:eastAsia="黑体"/>
          <w:b/>
          <w:sz w:val="24"/>
          <w:highlight w:val="none"/>
        </w:rPr>
        <w:t>五、开启</w:t>
      </w:r>
      <w:bookmarkEnd w:id="40"/>
      <w:bookmarkEnd w:id="41"/>
      <w:bookmarkEnd w:id="42"/>
      <w:bookmarkEnd w:id="43"/>
      <w:bookmarkEnd w:id="44"/>
      <w:bookmarkEnd w:id="45"/>
    </w:p>
    <w:p w14:paraId="6DDC9375">
      <w:pPr>
        <w:spacing w:line="460" w:lineRule="exact"/>
        <w:ind w:firstLine="420" w:firstLineChars="200"/>
        <w:rPr>
          <w:rFonts w:ascii="宋体" w:hAnsi="宋体"/>
          <w:bCs/>
          <w:szCs w:val="21"/>
          <w:highlight w:val="none"/>
          <w:u w:val="single"/>
        </w:rPr>
      </w:pP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rPr>
        <w:t>时间：202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bCs/>
          <w:szCs w:val="21"/>
          <w:highlight w:val="none"/>
          <w:lang w:val="en-US" w:eastAsia="zh-CN"/>
        </w:rPr>
        <w:t>7</w:t>
      </w:r>
      <w:r>
        <w:rPr>
          <w:rFonts w:ascii="宋体" w:hAnsi="宋体"/>
          <w:bCs/>
          <w:szCs w:val="21"/>
          <w:highlight w:val="none"/>
        </w:rPr>
        <w:t>月</w:t>
      </w:r>
      <w:r>
        <w:rPr>
          <w:rFonts w:hint="eastAsia" w:ascii="宋体" w:hAnsi="宋体"/>
          <w:szCs w:val="21"/>
          <w:highlight w:val="none"/>
          <w:lang w:val="en-US" w:eastAsia="zh-CN"/>
        </w:rPr>
        <w:t>13</w:t>
      </w:r>
      <w:r>
        <w:rPr>
          <w:rFonts w:hint="eastAsia" w:ascii="宋体" w:hAnsi="宋体"/>
          <w:szCs w:val="21"/>
          <w:highlight w:val="none"/>
        </w:rPr>
        <w:t>日</w:t>
      </w:r>
      <w:r>
        <w:rPr>
          <w:rFonts w:hint="eastAsia" w:ascii="宋体" w:hAnsi="宋体" w:cs="宋体"/>
          <w:szCs w:val="21"/>
          <w:highlight w:val="none"/>
          <w:lang w:val="en-US" w:eastAsia="zh-CN"/>
        </w:rPr>
        <w:t>9</w:t>
      </w:r>
      <w:r>
        <w:rPr>
          <w:rFonts w:hint="eastAsia" w:ascii="宋体" w:hAnsi="宋体"/>
          <w:szCs w:val="21"/>
          <w:highlight w:val="none"/>
        </w:rPr>
        <w:t>时</w:t>
      </w:r>
      <w:r>
        <w:rPr>
          <w:rFonts w:hint="eastAsia" w:ascii="宋体" w:hAnsi="宋体"/>
          <w:szCs w:val="21"/>
          <w:highlight w:val="none"/>
          <w:lang w:val="en-US" w:eastAsia="zh-CN"/>
        </w:rPr>
        <w:t>30</w:t>
      </w:r>
      <w:r>
        <w:rPr>
          <w:rFonts w:hint="eastAsia" w:ascii="宋体" w:hAnsi="宋体"/>
          <w:szCs w:val="21"/>
          <w:highlight w:val="none"/>
        </w:rPr>
        <w:t>分</w:t>
      </w:r>
      <w:r>
        <w:rPr>
          <w:rFonts w:hint="eastAsia" w:ascii="宋体" w:hAnsi="宋体"/>
          <w:bCs/>
          <w:szCs w:val="21"/>
          <w:highlight w:val="none"/>
        </w:rPr>
        <w:t>（北京时间）</w:t>
      </w:r>
    </w:p>
    <w:p w14:paraId="6AA78BB8">
      <w:pPr>
        <w:spacing w:line="460" w:lineRule="exact"/>
        <w:ind w:firstLine="420" w:firstLineChars="200"/>
        <w:rPr>
          <w:rFonts w:hint="eastAsia" w:ascii="宋体" w:hAnsi="宋体"/>
          <w:bCs/>
          <w:szCs w:val="21"/>
          <w:highlight w:val="none"/>
          <w:u w:val="single"/>
        </w:rPr>
      </w:pPr>
      <w:r>
        <w:rPr>
          <w:rFonts w:hint="eastAsia" w:ascii="宋体" w:hAnsi="宋体"/>
          <w:szCs w:val="21"/>
          <w:highlight w:val="none"/>
        </w:rPr>
        <w:t>2</w:t>
      </w:r>
      <w:r>
        <w:rPr>
          <w:rFonts w:ascii="宋体" w:hAnsi="宋体"/>
          <w:szCs w:val="21"/>
          <w:highlight w:val="none"/>
        </w:rPr>
        <w:t>.</w:t>
      </w:r>
      <w:r>
        <w:rPr>
          <w:rFonts w:hint="eastAsia" w:ascii="宋体" w:hAnsi="宋体"/>
          <w:szCs w:val="21"/>
          <w:highlight w:val="none"/>
        </w:rPr>
        <w:t>地点：</w:t>
      </w:r>
      <w:bookmarkStart w:id="47" w:name="OLE_LINK10"/>
      <w:r>
        <w:rPr>
          <w:rFonts w:hint="eastAsia" w:ascii="宋体" w:hAnsi="宋体"/>
          <w:szCs w:val="21"/>
          <w:highlight w:val="none"/>
        </w:rPr>
        <w:t>广西政府采购云平台（https://www.gcy.zfcg.gxzf.gov.cn/）</w:t>
      </w:r>
    </w:p>
    <w:bookmarkEnd w:id="47"/>
    <w:p w14:paraId="3D7C34C0">
      <w:pPr>
        <w:spacing w:line="460" w:lineRule="exact"/>
        <w:ind w:firstLine="354" w:firstLineChars="147"/>
        <w:rPr>
          <w:rFonts w:ascii="黑体" w:hAnsi="黑体" w:eastAsia="黑体"/>
          <w:b/>
          <w:sz w:val="24"/>
          <w:highlight w:val="none"/>
        </w:rPr>
      </w:pPr>
      <w:bookmarkStart w:id="48" w:name="_Toc35393803"/>
      <w:bookmarkStart w:id="49" w:name="_Toc44229883"/>
      <w:bookmarkStart w:id="50" w:name="_Toc35393634"/>
      <w:bookmarkStart w:id="51" w:name="_Toc28359017"/>
      <w:bookmarkStart w:id="52" w:name="_Toc71365910"/>
      <w:bookmarkStart w:id="53" w:name="_Toc28359094"/>
      <w:r>
        <w:rPr>
          <w:rFonts w:hint="eastAsia" w:ascii="黑体" w:hAnsi="黑体" w:eastAsia="黑体"/>
          <w:b/>
          <w:sz w:val="24"/>
          <w:highlight w:val="none"/>
        </w:rPr>
        <w:t>六、公告期限</w:t>
      </w:r>
      <w:bookmarkEnd w:id="48"/>
      <w:bookmarkEnd w:id="49"/>
      <w:bookmarkEnd w:id="50"/>
      <w:bookmarkEnd w:id="51"/>
      <w:bookmarkEnd w:id="52"/>
      <w:bookmarkEnd w:id="53"/>
    </w:p>
    <w:p w14:paraId="6F085570">
      <w:pPr>
        <w:spacing w:line="460" w:lineRule="exact"/>
        <w:ind w:firstLine="420" w:firstLineChars="200"/>
        <w:rPr>
          <w:rFonts w:ascii="宋体" w:hAnsi="宋体" w:cs="宋体"/>
          <w:kern w:val="0"/>
          <w:szCs w:val="21"/>
          <w:highlight w:val="none"/>
        </w:rPr>
      </w:pPr>
      <w:r>
        <w:rPr>
          <w:rFonts w:hint="eastAsia" w:ascii="宋体" w:hAnsi="宋体" w:cs="宋体"/>
          <w:kern w:val="0"/>
          <w:szCs w:val="21"/>
          <w:highlight w:val="none"/>
        </w:rPr>
        <w:t>自本公告发布之日起</w:t>
      </w:r>
      <w:r>
        <w:rPr>
          <w:rFonts w:hint="eastAsia" w:ascii="宋体" w:hAnsi="宋体" w:cs="宋体"/>
          <w:kern w:val="0"/>
          <w:szCs w:val="21"/>
          <w:highlight w:val="none"/>
          <w:lang w:val="en-US" w:eastAsia="zh-CN"/>
        </w:rPr>
        <w:t>5</w:t>
      </w:r>
      <w:r>
        <w:rPr>
          <w:rFonts w:hint="eastAsia" w:ascii="宋体" w:hAnsi="宋体" w:cs="宋体"/>
          <w:kern w:val="0"/>
          <w:szCs w:val="21"/>
          <w:highlight w:val="none"/>
        </w:rPr>
        <w:t>个工作日。</w:t>
      </w:r>
    </w:p>
    <w:p w14:paraId="1A36408B">
      <w:pPr>
        <w:spacing w:line="460" w:lineRule="exact"/>
        <w:ind w:firstLine="354" w:firstLineChars="147"/>
        <w:rPr>
          <w:rFonts w:ascii="黑体" w:hAnsi="黑体" w:eastAsia="黑体"/>
          <w:b/>
          <w:sz w:val="24"/>
          <w:highlight w:val="none"/>
        </w:rPr>
      </w:pPr>
      <w:bookmarkStart w:id="54" w:name="_Toc71365911"/>
      <w:bookmarkStart w:id="55" w:name="_Toc35393804"/>
      <w:bookmarkStart w:id="56" w:name="_Toc44229884"/>
      <w:bookmarkStart w:id="57" w:name="_Toc35393635"/>
      <w:r>
        <w:rPr>
          <w:rFonts w:hint="eastAsia" w:ascii="黑体" w:hAnsi="黑体" w:eastAsia="黑体"/>
          <w:b/>
          <w:sz w:val="24"/>
          <w:highlight w:val="none"/>
        </w:rPr>
        <w:t>七、其他补充事宜</w:t>
      </w:r>
      <w:bookmarkEnd w:id="54"/>
      <w:bookmarkEnd w:id="55"/>
      <w:bookmarkEnd w:id="56"/>
      <w:bookmarkEnd w:id="57"/>
    </w:p>
    <w:p w14:paraId="6887854F">
      <w:pPr>
        <w:spacing w:line="460" w:lineRule="exact"/>
        <w:ind w:firstLine="420" w:firstLineChars="200"/>
        <w:rPr>
          <w:rFonts w:hint="eastAsia" w:ascii="宋体" w:hAnsi="宋体" w:cs="宋体"/>
          <w:kern w:val="0"/>
          <w:szCs w:val="21"/>
          <w:highlight w:val="none"/>
        </w:rPr>
      </w:pPr>
      <w:bookmarkStart w:id="58" w:name="OLE_LINK13"/>
      <w:bookmarkStart w:id="59" w:name="_Toc35393805"/>
      <w:bookmarkStart w:id="60" w:name="_Toc28359018"/>
      <w:bookmarkStart w:id="61" w:name="_Toc35393636"/>
      <w:bookmarkStart w:id="62" w:name="_Toc28359095"/>
      <w:bookmarkStart w:id="63" w:name="_Toc44229885"/>
      <w:r>
        <w:rPr>
          <w:rFonts w:hint="eastAsia" w:ascii="宋体" w:hAnsi="宋体" w:cs="宋体"/>
          <w:kern w:val="0"/>
          <w:szCs w:val="21"/>
          <w:highlight w:val="none"/>
        </w:rPr>
        <w:t>1</w:t>
      </w:r>
      <w:r>
        <w:rPr>
          <w:rFonts w:ascii="宋体" w:hAnsi="宋体" w:cs="宋体"/>
          <w:kern w:val="0"/>
          <w:szCs w:val="21"/>
          <w:highlight w:val="none"/>
        </w:rPr>
        <w:t>.</w:t>
      </w:r>
      <w:r>
        <w:rPr>
          <w:rFonts w:hint="eastAsia" w:ascii="宋体" w:hAnsi="宋体" w:cs="宋体"/>
          <w:kern w:val="0"/>
          <w:szCs w:val="21"/>
          <w:highlight w:val="none"/>
        </w:rPr>
        <w:t>网上查询地址</w:t>
      </w:r>
    </w:p>
    <w:p w14:paraId="465928FC">
      <w:pPr>
        <w:spacing w:line="460" w:lineRule="exact"/>
        <w:ind w:firstLine="424" w:firstLineChars="202"/>
        <w:rPr>
          <w:rFonts w:hint="eastAsia" w:ascii="宋体" w:hAnsi="宋体"/>
          <w:szCs w:val="21"/>
          <w:highlight w:val="none"/>
        </w:rPr>
      </w:pPr>
      <w:bookmarkStart w:id="64" w:name="_Hlk37429674"/>
      <w:r>
        <w:rPr>
          <w:rFonts w:hint="eastAsia" w:ascii="宋体" w:hAnsi="宋体"/>
          <w:szCs w:val="21"/>
          <w:highlight w:val="none"/>
        </w:rPr>
        <w:t>中国政府采购网、广西壮族自治区政府采购网、梧州市政府采购网</w:t>
      </w:r>
      <w:r>
        <w:rPr>
          <w:rFonts w:hint="eastAsia" w:ascii="宋体" w:hAnsi="宋体"/>
          <w:szCs w:val="21"/>
          <w:highlight w:val="none"/>
          <w:lang w:eastAsia="zh-CN"/>
        </w:rPr>
        <w:t>、</w:t>
      </w:r>
      <w:r>
        <w:rPr>
          <w:rFonts w:hint="eastAsia" w:ascii="宋体" w:hAnsi="宋体" w:eastAsia="宋体" w:cs="宋体"/>
          <w:b w:val="0"/>
          <w:bCs w:val="0"/>
          <w:color w:val="auto"/>
          <w:kern w:val="0"/>
          <w:sz w:val="21"/>
          <w:szCs w:val="21"/>
          <w:lang w:val="en-US" w:eastAsia="zh-CN"/>
        </w:rPr>
        <w:t>广西梧州苍梧县人民政府门户网</w:t>
      </w:r>
      <w:r>
        <w:rPr>
          <w:rFonts w:hint="eastAsia" w:ascii="宋体" w:hAnsi="宋体"/>
          <w:szCs w:val="21"/>
          <w:highlight w:val="none"/>
        </w:rPr>
        <w:t>。</w:t>
      </w:r>
    </w:p>
    <w:p w14:paraId="1D34CA7A">
      <w:pPr>
        <w:spacing w:line="460" w:lineRule="exact"/>
        <w:ind w:firstLine="424" w:firstLineChars="202"/>
        <w:rPr>
          <w:rFonts w:hint="eastAsia" w:ascii="宋体" w:hAnsi="宋体" w:cs="宋体"/>
          <w:kern w:val="0"/>
          <w:szCs w:val="21"/>
          <w:highlight w:val="none"/>
        </w:rPr>
      </w:pPr>
      <w:r>
        <w:rPr>
          <w:rFonts w:hint="eastAsia" w:ascii="宋体" w:hAnsi="宋体"/>
          <w:szCs w:val="21"/>
          <w:highlight w:val="none"/>
        </w:rPr>
        <w:t>2</w:t>
      </w:r>
      <w:r>
        <w:rPr>
          <w:rFonts w:ascii="宋体" w:hAnsi="宋体"/>
          <w:szCs w:val="21"/>
          <w:highlight w:val="none"/>
        </w:rPr>
        <w:t>.</w:t>
      </w:r>
      <w:r>
        <w:rPr>
          <w:rFonts w:hint="eastAsia" w:ascii="宋体" w:hAnsi="宋体" w:cs="宋体"/>
          <w:kern w:val="0"/>
          <w:szCs w:val="21"/>
          <w:highlight w:val="none"/>
        </w:rPr>
        <w:t>本项目需要落实的政府采购政策</w:t>
      </w:r>
    </w:p>
    <w:p w14:paraId="3421DBB1">
      <w:pPr>
        <w:spacing w:line="46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（1）政府采购促进中小企业发展。</w:t>
      </w:r>
    </w:p>
    <w:p w14:paraId="773C0CD6">
      <w:pPr>
        <w:spacing w:line="46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（2）政府采购支持采用本国产品的政策。</w:t>
      </w:r>
    </w:p>
    <w:p w14:paraId="07769A17">
      <w:pPr>
        <w:spacing w:line="46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（3）强制采购节能产品；优先采购节能产品、环境标志产品。</w:t>
      </w:r>
    </w:p>
    <w:p w14:paraId="0EDC86A1">
      <w:pPr>
        <w:spacing w:line="46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（4）政府采购促进残疾人就业政策。</w:t>
      </w:r>
    </w:p>
    <w:p w14:paraId="7B1E7701">
      <w:pPr>
        <w:spacing w:line="460" w:lineRule="exact"/>
        <w:ind w:firstLine="420" w:firstLineChars="200"/>
        <w:rPr>
          <w:rFonts w:hint="eastAsia" w:ascii="宋体" w:hAnsi="宋体" w:cs="宋体"/>
          <w:i/>
          <w:iCs/>
          <w:kern w:val="0"/>
          <w:szCs w:val="21"/>
          <w:highlight w:val="none"/>
        </w:rPr>
      </w:pPr>
      <w:r>
        <w:rPr>
          <w:rFonts w:hint="eastAsia" w:ascii="宋体" w:hAnsi="宋体" w:cs="宋体"/>
          <w:kern w:val="0"/>
          <w:szCs w:val="21"/>
          <w:highlight w:val="none"/>
        </w:rPr>
        <w:t>（5）政府采购支持监狱企业发展。</w:t>
      </w:r>
    </w:p>
    <w:bookmarkEnd w:id="64"/>
    <w:p w14:paraId="19181F6A">
      <w:pPr>
        <w:widowControl/>
        <w:spacing w:line="460" w:lineRule="exact"/>
        <w:ind w:firstLine="420" w:firstLineChars="200"/>
        <w:jc w:val="left"/>
        <w:rPr>
          <w:rFonts w:ascii="宋体" w:hAnsi="宋体"/>
          <w:szCs w:val="21"/>
          <w:highlight w:val="none"/>
        </w:rPr>
      </w:pPr>
      <w:r>
        <w:rPr>
          <w:rFonts w:hint="eastAsia" w:ascii="宋体" w:hAnsi="宋体" w:cs="宋体"/>
          <w:kern w:val="0"/>
          <w:szCs w:val="21"/>
          <w:highlight w:val="none"/>
        </w:rPr>
        <w:t>3.供应商</w:t>
      </w:r>
      <w:r>
        <w:rPr>
          <w:rFonts w:hint="eastAsia" w:ascii="宋体" w:hAnsi="宋体"/>
          <w:szCs w:val="21"/>
          <w:highlight w:val="none"/>
        </w:rPr>
        <w:t>竞标注意事项</w:t>
      </w:r>
    </w:p>
    <w:p w14:paraId="5E4086F0">
      <w:pPr>
        <w:widowControl/>
        <w:spacing w:line="460" w:lineRule="exact"/>
        <w:ind w:firstLine="420" w:firstLineChars="200"/>
        <w:jc w:val="left"/>
        <w:rPr>
          <w:rFonts w:hint="eastAsia" w:ascii="宋体" w:hAnsi="宋体"/>
          <w:szCs w:val="21"/>
          <w:highlight w:val="none"/>
        </w:rPr>
      </w:pPr>
      <w:r>
        <w:rPr>
          <w:rFonts w:hint="eastAsia" w:ascii="宋体" w:hAnsi="宋体"/>
          <w:szCs w:val="21"/>
          <w:highlight w:val="none"/>
        </w:rPr>
        <w:t>（1）本项目为全流程电子化采购项目，通过广西政府采购云平台（</w:t>
      </w:r>
      <w:r>
        <w:rPr>
          <w:rFonts w:hint="eastAsia" w:ascii="宋体" w:hAnsi="宋体"/>
          <w:bCs/>
          <w:szCs w:val="21"/>
          <w:highlight w:val="none"/>
        </w:rPr>
        <w:t>https://www.gcy.zfcg.gxzf.gov.cn/</w:t>
      </w:r>
      <w:r>
        <w:rPr>
          <w:rFonts w:hint="eastAsia" w:ascii="宋体" w:hAnsi="宋体"/>
          <w:szCs w:val="21"/>
          <w:highlight w:val="none"/>
        </w:rPr>
        <w:t>）实行在线电子竞标，供应商应按照本项目招标文件和广西政府采购云平台的要求编制、加密后在投标截止时间前通过网络上传至广西政府采购云平台（加密的电子投标文件是指</w:t>
      </w:r>
      <w:r>
        <w:rPr>
          <w:rFonts w:hint="eastAsia"/>
          <w:highlight w:val="none"/>
        </w:rPr>
        <w:t>后缀名为“</w:t>
      </w:r>
      <w:r>
        <w:rPr>
          <w:highlight w:val="none"/>
        </w:rPr>
        <w:t>jmbs</w:t>
      </w:r>
      <w:r>
        <w:rPr>
          <w:rFonts w:hint="eastAsia"/>
          <w:highlight w:val="none"/>
        </w:rPr>
        <w:t>”的文件</w:t>
      </w:r>
      <w:r>
        <w:rPr>
          <w:rFonts w:hint="eastAsia" w:ascii="宋体" w:hAnsi="宋体"/>
          <w:szCs w:val="21"/>
          <w:highlight w:val="none"/>
        </w:rPr>
        <w:t>）。</w:t>
      </w:r>
    </w:p>
    <w:p w14:paraId="5F6FE3E2">
      <w:pPr>
        <w:widowControl/>
        <w:spacing w:line="460" w:lineRule="exact"/>
        <w:ind w:firstLine="420" w:firstLineChars="200"/>
        <w:jc w:val="left"/>
        <w:rPr>
          <w:rFonts w:hint="eastAsia" w:ascii="宋体" w:hAnsi="宋体"/>
          <w:szCs w:val="21"/>
          <w:highlight w:val="none"/>
        </w:rPr>
      </w:pPr>
      <w:r>
        <w:rPr>
          <w:rFonts w:hint="eastAsia" w:ascii="宋体" w:hAnsi="宋体"/>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kern w:val="0"/>
          <w:szCs w:val="21"/>
          <w:highlight w:val="none"/>
        </w:rPr>
        <w:t>广西政府采购云平台，</w:t>
      </w:r>
      <w:r>
        <w:rPr>
          <w:rFonts w:hint="eastAsia" w:ascii="宋体" w:hAnsi="宋体"/>
          <w:szCs w:val="21"/>
          <w:highlight w:val="none"/>
        </w:rPr>
        <w:t>依次进入“服务中心-入驻与配置”中查看CA数字证书办理操作流程。如在操作过程中遇到问题或者需要技术支持，请致电客服热线：95763）。</w:t>
      </w:r>
    </w:p>
    <w:p w14:paraId="4BCF3A4A">
      <w:pPr>
        <w:widowControl/>
        <w:spacing w:line="460" w:lineRule="exact"/>
        <w:ind w:firstLine="420" w:firstLineChars="200"/>
        <w:jc w:val="left"/>
        <w:rPr>
          <w:rFonts w:hint="eastAsia" w:ascii="宋体" w:hAnsi="宋体" w:cs="宋体"/>
          <w:kern w:val="0"/>
          <w:szCs w:val="21"/>
          <w:highlight w:val="none"/>
        </w:rPr>
      </w:pPr>
      <w:r>
        <w:rPr>
          <w:rFonts w:hint="eastAsia" w:ascii="宋体" w:hAnsi="宋体"/>
          <w:szCs w:val="21"/>
          <w:highlight w:val="none"/>
        </w:rPr>
        <w:t>（3）CA证书在线解密：首次响应文件开启时，需携带制作响应文件时用来加密的有效数字证书（CA认证）登录广西政府采购云平台</w:t>
      </w:r>
      <w:r>
        <w:rPr>
          <w:rFonts w:hint="eastAsia" w:ascii="宋体" w:hAnsi="宋体" w:cs="宋体"/>
          <w:kern w:val="0"/>
          <w:szCs w:val="21"/>
          <w:highlight w:val="none"/>
        </w:rPr>
        <w:t>电子开标大厅现场按规定时间对加密的响应文件进行解密，否则后果自负。</w:t>
      </w:r>
    </w:p>
    <w:bookmarkEnd w:id="58"/>
    <w:p w14:paraId="2047F071">
      <w:pPr>
        <w:spacing w:line="460" w:lineRule="exact"/>
        <w:ind w:firstLine="354" w:firstLineChars="147"/>
        <w:rPr>
          <w:rFonts w:ascii="黑体" w:hAnsi="黑体" w:eastAsia="黑体"/>
          <w:b/>
          <w:sz w:val="24"/>
          <w:highlight w:val="none"/>
        </w:rPr>
      </w:pPr>
      <w:r>
        <w:rPr>
          <w:rFonts w:hint="eastAsia" w:ascii="黑体" w:hAnsi="黑体" w:eastAsia="黑体"/>
          <w:b/>
          <w:sz w:val="24"/>
          <w:highlight w:val="none"/>
        </w:rPr>
        <w:t>八、凡对本次采购提出询问，请按</w:t>
      </w:r>
      <w:r>
        <w:rPr>
          <w:rFonts w:ascii="黑体" w:hAnsi="黑体" w:eastAsia="黑体"/>
          <w:b/>
          <w:sz w:val="24"/>
          <w:highlight w:val="none"/>
        </w:rPr>
        <w:t>以下方式</w:t>
      </w:r>
      <w:r>
        <w:rPr>
          <w:rFonts w:hint="eastAsia" w:ascii="黑体" w:hAnsi="黑体" w:eastAsia="黑体"/>
          <w:b/>
          <w:sz w:val="24"/>
          <w:highlight w:val="none"/>
        </w:rPr>
        <w:t>联系。</w:t>
      </w:r>
      <w:bookmarkEnd w:id="59"/>
      <w:bookmarkEnd w:id="60"/>
      <w:bookmarkEnd w:id="61"/>
      <w:bookmarkEnd w:id="62"/>
      <w:bookmarkEnd w:id="63"/>
    </w:p>
    <w:p w14:paraId="13FAF2EB">
      <w:pPr>
        <w:spacing w:line="460" w:lineRule="exact"/>
        <w:ind w:firstLine="420" w:firstLineChars="200"/>
        <w:rPr>
          <w:rFonts w:hint="eastAsia" w:ascii="宋体" w:hAnsi="宋体" w:cs="宋体"/>
          <w:kern w:val="0"/>
          <w:szCs w:val="21"/>
          <w:highlight w:val="none"/>
        </w:rPr>
      </w:pPr>
      <w:bookmarkStart w:id="65" w:name="_Toc35393637"/>
      <w:bookmarkStart w:id="66" w:name="_Toc28359019"/>
      <w:bookmarkStart w:id="67" w:name="_Toc35393806"/>
      <w:bookmarkStart w:id="68" w:name="_Toc28359096"/>
      <w:r>
        <w:rPr>
          <w:rFonts w:hint="eastAsia" w:ascii="宋体" w:hAnsi="宋体" w:cs="宋体"/>
          <w:kern w:val="0"/>
          <w:szCs w:val="21"/>
          <w:highlight w:val="none"/>
        </w:rPr>
        <w:t>1.采购人信息</w:t>
      </w:r>
      <w:bookmarkEnd w:id="65"/>
      <w:bookmarkEnd w:id="66"/>
      <w:bookmarkEnd w:id="67"/>
      <w:bookmarkEnd w:id="68"/>
    </w:p>
    <w:p w14:paraId="3F21E0E2">
      <w:pPr>
        <w:spacing w:line="46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名    称：</w:t>
      </w:r>
      <w:r>
        <w:rPr>
          <w:rFonts w:hint="eastAsia" w:ascii="宋体" w:hAnsi="宋体" w:cs="宋体"/>
          <w:szCs w:val="21"/>
          <w:highlight w:val="none"/>
          <w:lang w:eastAsia="zh-CN"/>
        </w:rPr>
        <w:t>苍梧县梨埠镇初级中学</w:t>
      </w:r>
    </w:p>
    <w:p w14:paraId="3E05A040">
      <w:pPr>
        <w:spacing w:line="460" w:lineRule="exact"/>
        <w:ind w:firstLine="420" w:firstLineChars="200"/>
        <w:jc w:val="left"/>
        <w:rPr>
          <w:rFonts w:hint="eastAsia" w:ascii="宋体" w:hAnsi="宋体" w:eastAsia="宋体" w:cs="宋体"/>
          <w:szCs w:val="21"/>
          <w:highlight w:val="none"/>
          <w:lang w:eastAsia="zh-CN"/>
        </w:rPr>
      </w:pPr>
      <w:bookmarkStart w:id="69" w:name="_Toc35393638"/>
      <w:bookmarkStart w:id="70" w:name="_Toc35393807"/>
      <w:bookmarkStart w:id="71" w:name="_Toc28359097"/>
      <w:bookmarkStart w:id="72" w:name="_Toc28359020"/>
      <w:r>
        <w:rPr>
          <w:rFonts w:hint="eastAsia" w:ascii="宋体" w:hAnsi="宋体" w:cs="宋体"/>
          <w:szCs w:val="21"/>
          <w:highlight w:val="none"/>
        </w:rPr>
        <w:t>地    址：</w:t>
      </w:r>
      <w:r>
        <w:rPr>
          <w:rFonts w:hint="eastAsia"/>
          <w:color w:val="000000"/>
          <w:szCs w:val="21"/>
          <w:highlight w:val="none"/>
          <w:lang w:val="en-US" w:eastAsia="zh-CN"/>
        </w:rPr>
        <w:t>广西苍梧县梨埠镇旧街42号</w:t>
      </w:r>
    </w:p>
    <w:p w14:paraId="7618FB80">
      <w:pPr>
        <w:spacing w:line="46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联系方式：袁海勇</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0774-3981007</w:t>
      </w:r>
      <w:r>
        <w:rPr>
          <w:rFonts w:hint="eastAsia" w:ascii="宋体" w:hAnsi="宋体" w:eastAsia="宋体" w:cs="宋体"/>
          <w:kern w:val="0"/>
          <w:szCs w:val="21"/>
          <w:highlight w:val="none"/>
        </w:rPr>
        <w:t xml:space="preserve"> </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rPr>
        <w:t xml:space="preserve"> </w:t>
      </w:r>
    </w:p>
    <w:bookmarkEnd w:id="69"/>
    <w:bookmarkEnd w:id="70"/>
    <w:bookmarkEnd w:id="71"/>
    <w:bookmarkEnd w:id="72"/>
    <w:p w14:paraId="537F725D">
      <w:pPr>
        <w:spacing w:line="460" w:lineRule="exact"/>
        <w:ind w:firstLine="420" w:firstLineChars="200"/>
        <w:rPr>
          <w:rFonts w:hint="eastAsia" w:ascii="宋体" w:hAnsi="宋体" w:eastAsia="宋体" w:cs="宋体"/>
          <w:kern w:val="0"/>
          <w:szCs w:val="21"/>
          <w:highlight w:val="none"/>
        </w:rPr>
      </w:pPr>
    </w:p>
    <w:p w14:paraId="728C808D">
      <w:pPr>
        <w:spacing w:line="46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2.采购代理机构信息</w:t>
      </w:r>
    </w:p>
    <w:p w14:paraId="4064C750">
      <w:pPr>
        <w:spacing w:line="460" w:lineRule="exact"/>
        <w:ind w:firstLine="420" w:firstLineChars="200"/>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名    称：</w:t>
      </w:r>
      <w:r>
        <w:rPr>
          <w:rFonts w:hint="eastAsia" w:ascii="宋体" w:hAnsi="宋体" w:eastAsia="宋体" w:cs="宋体"/>
          <w:kern w:val="0"/>
          <w:szCs w:val="21"/>
          <w:highlight w:val="none"/>
          <w:lang w:eastAsia="zh-CN"/>
        </w:rPr>
        <w:t>广西建隆工程咨询有限公司</w:t>
      </w:r>
    </w:p>
    <w:p w14:paraId="3AE6AEE7">
      <w:pPr>
        <w:spacing w:line="460" w:lineRule="exact"/>
        <w:ind w:firstLine="420" w:firstLineChars="200"/>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地　　址：</w:t>
      </w:r>
      <w:bookmarkStart w:id="73" w:name="OLE_LINK17"/>
      <w:r>
        <w:rPr>
          <w:rFonts w:hint="eastAsia" w:ascii="宋体" w:hAnsi="宋体" w:eastAsia="宋体" w:cs="宋体"/>
          <w:szCs w:val="21"/>
          <w:highlight w:val="none"/>
        </w:rPr>
        <w:t>梧州市万秀区枣冲路64号第7幢负一层7号商铺</w:t>
      </w:r>
    </w:p>
    <w:bookmarkEnd w:id="73"/>
    <w:p w14:paraId="1B13CF90">
      <w:pPr>
        <w:spacing w:line="46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联系方式：</w:t>
      </w:r>
      <w:r>
        <w:rPr>
          <w:rFonts w:hint="eastAsia" w:ascii="宋体" w:hAnsi="宋体" w:cs="宋体"/>
          <w:kern w:val="0"/>
          <w:szCs w:val="21"/>
          <w:highlight w:val="none"/>
          <w:lang w:eastAsia="zh-CN"/>
        </w:rPr>
        <w:t>莫工</w:t>
      </w:r>
      <w:r>
        <w:rPr>
          <w:rFonts w:hint="eastAsia" w:ascii="宋体" w:hAnsi="宋体" w:eastAsia="宋体" w:cs="宋体"/>
          <w:kern w:val="0"/>
          <w:szCs w:val="21"/>
          <w:highlight w:val="none"/>
        </w:rPr>
        <w:t>，0774-3856100</w:t>
      </w:r>
    </w:p>
    <w:p w14:paraId="277D645D">
      <w:pPr>
        <w:spacing w:line="460" w:lineRule="exact"/>
        <w:ind w:firstLine="420" w:firstLineChars="200"/>
        <w:rPr>
          <w:rFonts w:hint="eastAsia" w:ascii="宋体" w:hAnsi="宋体" w:eastAsia="宋体" w:cs="宋体"/>
          <w:kern w:val="0"/>
          <w:szCs w:val="21"/>
          <w:highlight w:val="none"/>
        </w:rPr>
      </w:pPr>
      <w:bookmarkStart w:id="74" w:name="_Toc35393808"/>
      <w:bookmarkStart w:id="75" w:name="_Toc28359098"/>
      <w:bookmarkStart w:id="76" w:name="_Toc28359021"/>
      <w:bookmarkStart w:id="77" w:name="_Toc35393639"/>
    </w:p>
    <w:p w14:paraId="04177BAC">
      <w:pPr>
        <w:spacing w:line="46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3.项目联系方式</w:t>
      </w:r>
      <w:bookmarkEnd w:id="74"/>
      <w:bookmarkEnd w:id="75"/>
      <w:bookmarkEnd w:id="76"/>
      <w:bookmarkEnd w:id="77"/>
    </w:p>
    <w:p w14:paraId="450E7143">
      <w:pPr>
        <w:pStyle w:val="25"/>
        <w:spacing w:line="460" w:lineRule="exact"/>
        <w:ind w:firstLine="420" w:firstLineChars="200"/>
        <w:rPr>
          <w:rFonts w:hint="eastAsia" w:ascii="宋体" w:hAnsi="宋体" w:eastAsia="宋体" w:cs="宋体"/>
          <w:sz w:val="21"/>
          <w:highlight w:val="none"/>
          <w:lang w:eastAsia="zh-CN"/>
        </w:rPr>
      </w:pPr>
      <w:r>
        <w:rPr>
          <w:rFonts w:hint="eastAsia" w:ascii="宋体" w:hAnsi="宋体" w:eastAsia="宋体" w:cs="宋体"/>
          <w:sz w:val="21"/>
          <w:highlight w:val="none"/>
        </w:rPr>
        <w:t>项目联系人：</w:t>
      </w:r>
      <w:r>
        <w:rPr>
          <w:rFonts w:hint="eastAsia" w:hAnsi="宋体" w:cs="宋体"/>
          <w:sz w:val="21"/>
          <w:highlight w:val="none"/>
          <w:lang w:eastAsia="zh-CN"/>
        </w:rPr>
        <w:t>莫工</w:t>
      </w:r>
    </w:p>
    <w:p w14:paraId="53EA401F">
      <w:pPr>
        <w:spacing w:line="46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电　　话：</w:t>
      </w:r>
      <w:r>
        <w:rPr>
          <w:rFonts w:hint="eastAsia" w:ascii="宋体" w:hAnsi="宋体" w:eastAsia="宋体" w:cs="宋体"/>
          <w:kern w:val="0"/>
          <w:szCs w:val="21"/>
          <w:highlight w:val="none"/>
        </w:rPr>
        <w:t xml:space="preserve"> 0774-3856100</w:t>
      </w:r>
    </w:p>
    <w:p w14:paraId="07EC5390">
      <w:pPr>
        <w:spacing w:line="460" w:lineRule="exact"/>
        <w:ind w:firstLine="420" w:firstLineChars="200"/>
        <w:rPr>
          <w:rFonts w:ascii="宋体" w:hAnsi="宋体"/>
          <w:szCs w:val="21"/>
          <w:highlight w:val="none"/>
          <w:u w:val="single"/>
        </w:rPr>
      </w:pPr>
    </w:p>
    <w:bookmarkEnd w:id="6"/>
    <w:p w14:paraId="5D37578B">
      <w:pPr>
        <w:spacing w:line="460" w:lineRule="exact"/>
        <w:ind w:firstLine="630" w:firstLineChars="300"/>
        <w:jc w:val="right"/>
        <w:rPr>
          <w:rFonts w:hint="eastAsia" w:ascii="宋体" w:hAnsi="宋体" w:eastAsia="宋体" w:cs="宋体"/>
          <w:szCs w:val="21"/>
          <w:highlight w:val="none"/>
          <w:lang w:eastAsia="zh-CN"/>
        </w:rPr>
      </w:pPr>
      <w:r>
        <w:rPr>
          <w:rFonts w:hint="eastAsia" w:ascii="宋体" w:hAnsi="宋体" w:cs="宋体"/>
          <w:szCs w:val="21"/>
          <w:highlight w:val="none"/>
          <w:lang w:eastAsia="zh-CN"/>
        </w:rPr>
        <w:t>广西建隆工程咨询有限公司</w:t>
      </w:r>
    </w:p>
    <w:p w14:paraId="53B98C26">
      <w:pPr>
        <w:widowControl/>
        <w:spacing w:line="460" w:lineRule="exact"/>
        <w:jc w:val="right"/>
        <w:rPr>
          <w:rFonts w:hint="eastAsia" w:ascii="宋体" w:hAnsi="宋体" w:cs="宋体"/>
          <w:sz w:val="28"/>
          <w:szCs w:val="28"/>
          <w:highlight w:val="none"/>
        </w:rPr>
      </w:pPr>
      <w:r>
        <w:rPr>
          <w:rFonts w:hint="eastAsia" w:ascii="宋体" w:hAnsi="宋体"/>
          <w:szCs w:val="21"/>
          <w:highlight w:val="none"/>
        </w:rPr>
        <w:t>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6</w:t>
      </w:r>
      <w:r>
        <w:rPr>
          <w:rFonts w:hint="eastAsia" w:ascii="宋体" w:hAnsi="宋体"/>
          <w:szCs w:val="21"/>
          <w:highlight w:val="none"/>
        </w:rPr>
        <w:t>月</w:t>
      </w:r>
      <w:r>
        <w:rPr>
          <w:rFonts w:hint="eastAsia" w:ascii="宋体" w:hAnsi="宋体" w:cs="宋体"/>
          <w:szCs w:val="21"/>
          <w:highlight w:val="none"/>
          <w:lang w:val="en-US" w:eastAsia="zh-CN"/>
        </w:rPr>
        <w:t>30</w:t>
      </w:r>
      <w:r>
        <w:rPr>
          <w:rFonts w:hint="eastAsia" w:ascii="宋体" w:hAnsi="宋体" w:cs="宋体"/>
          <w:szCs w:val="21"/>
          <w:highlight w:val="none"/>
        </w:rPr>
        <w:t>日</w:t>
      </w:r>
    </w:p>
    <w:p w14:paraId="56829ECA">
      <w:pPr>
        <w:pStyle w:val="2"/>
        <w:spacing w:before="300" w:after="300" w:line="360" w:lineRule="auto"/>
        <w:jc w:val="center"/>
        <w:rPr>
          <w:rFonts w:hint="eastAsia"/>
          <w:highlight w:val="none"/>
        </w:rPr>
      </w:pPr>
      <w:r>
        <w:rPr>
          <w:rFonts w:ascii="宋体" w:hAnsi="宋体"/>
          <w:sz w:val="32"/>
          <w:szCs w:val="32"/>
          <w:highlight w:val="none"/>
        </w:rPr>
        <w:br w:type="page"/>
      </w:r>
      <w:bookmarkStart w:id="78" w:name="_Toc20841"/>
      <w:r>
        <w:rPr>
          <w:rFonts w:hint="eastAsia"/>
          <w:highlight w:val="none"/>
        </w:rPr>
        <w:t>第二章 供应商须知</w:t>
      </w:r>
      <w:bookmarkEnd w:id="78"/>
    </w:p>
    <w:p w14:paraId="0C4D0B24">
      <w:pPr>
        <w:spacing w:line="360" w:lineRule="auto"/>
        <w:jc w:val="center"/>
        <w:rPr>
          <w:rFonts w:hint="eastAsia" w:ascii="宋体" w:hAnsi="宋体"/>
          <w:b/>
          <w:sz w:val="32"/>
          <w:szCs w:val="32"/>
          <w:highlight w:val="none"/>
        </w:rPr>
      </w:pPr>
      <w:r>
        <w:rPr>
          <w:rFonts w:hint="eastAsia" w:ascii="宋体" w:hAnsi="宋体"/>
          <w:b/>
          <w:sz w:val="32"/>
          <w:szCs w:val="32"/>
          <w:highlight w:val="none"/>
        </w:rPr>
        <w:t>供应商须知前附表</w:t>
      </w:r>
    </w:p>
    <w:tbl>
      <w:tblPr>
        <w:tblStyle w:val="4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2486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11417666">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条款号</w:t>
            </w:r>
          </w:p>
        </w:tc>
        <w:tc>
          <w:tcPr>
            <w:tcW w:w="7912" w:type="dxa"/>
            <w:noWrap w:val="0"/>
            <w:vAlign w:val="top"/>
          </w:tcPr>
          <w:p w14:paraId="14B40905">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内    容</w:t>
            </w:r>
          </w:p>
        </w:tc>
      </w:tr>
      <w:tr w14:paraId="4EBD6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5C10940">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w:t>
            </w:r>
          </w:p>
        </w:tc>
        <w:tc>
          <w:tcPr>
            <w:tcW w:w="7912" w:type="dxa"/>
            <w:noWrap w:val="0"/>
            <w:vAlign w:val="center"/>
          </w:tcPr>
          <w:p w14:paraId="7B73E4C0">
            <w:pPr>
              <w:spacing w:line="360" w:lineRule="auto"/>
              <w:rPr>
                <w:rFonts w:hint="eastAsia" w:ascii="宋体" w:hAnsi="宋体" w:eastAsia="宋体" w:cs="宋体"/>
                <w:sz w:val="21"/>
                <w:szCs w:val="21"/>
                <w:highlight w:val="none"/>
              </w:rPr>
            </w:pPr>
            <w:r>
              <w:rPr>
                <w:rFonts w:hint="eastAsia" w:ascii="宋体" w:hAnsi="宋体" w:eastAsia="宋体" w:cs="宋体"/>
                <w:bCs/>
                <w:sz w:val="21"/>
                <w:szCs w:val="21"/>
                <w:highlight w:val="none"/>
              </w:rPr>
              <w:t>供应商的资格条件</w:t>
            </w:r>
            <w:r>
              <w:rPr>
                <w:rFonts w:hint="eastAsia" w:ascii="宋体" w:hAnsi="宋体" w:eastAsia="宋体" w:cs="宋体"/>
                <w:sz w:val="21"/>
                <w:szCs w:val="21"/>
                <w:highlight w:val="none"/>
              </w:rPr>
              <w:t>：</w:t>
            </w:r>
            <w:r>
              <w:rPr>
                <w:rFonts w:hint="eastAsia" w:ascii="宋体" w:hAnsi="宋体" w:eastAsia="宋体" w:cs="宋体"/>
                <w:iCs/>
                <w:sz w:val="21"/>
                <w:szCs w:val="21"/>
                <w:highlight w:val="none"/>
              </w:rPr>
              <w:t>详见竞争性磋商公告</w:t>
            </w:r>
          </w:p>
        </w:tc>
      </w:tr>
      <w:tr w14:paraId="7469E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A65CF75">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5.1</w:t>
            </w:r>
          </w:p>
        </w:tc>
        <w:tc>
          <w:tcPr>
            <w:tcW w:w="7912" w:type="dxa"/>
            <w:noWrap w:val="0"/>
            <w:vAlign w:val="center"/>
          </w:tcPr>
          <w:p w14:paraId="029EAE28">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是否接受联合体竞标: 详见竞争性磋商公告</w:t>
            </w:r>
          </w:p>
        </w:tc>
      </w:tr>
      <w:tr w14:paraId="29BF8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4519306">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5.2</w:t>
            </w:r>
          </w:p>
        </w:tc>
        <w:tc>
          <w:tcPr>
            <w:tcW w:w="7912" w:type="dxa"/>
            <w:noWrap w:val="0"/>
            <w:vAlign w:val="center"/>
          </w:tcPr>
          <w:p w14:paraId="45DF6553">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本项目不接受联合体。</w:t>
            </w:r>
          </w:p>
        </w:tc>
      </w:tr>
      <w:tr w14:paraId="59458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84CD2DD">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6.2</w:t>
            </w:r>
          </w:p>
        </w:tc>
        <w:tc>
          <w:tcPr>
            <w:tcW w:w="7912" w:type="dxa"/>
            <w:noWrap w:val="0"/>
            <w:vAlign w:val="center"/>
          </w:tcPr>
          <w:p w14:paraId="43D5F016">
            <w:pPr>
              <w:pStyle w:val="1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FE"/>
            </w:r>
            <w:r>
              <w:rPr>
                <w:rFonts w:hint="eastAsia" w:ascii="宋体" w:hAnsi="宋体" w:eastAsia="宋体" w:cs="宋体"/>
                <w:sz w:val="21"/>
                <w:szCs w:val="21"/>
                <w:highlight w:val="none"/>
              </w:rPr>
              <w:t>不允许分包</w:t>
            </w:r>
          </w:p>
          <w:p w14:paraId="38B1E970">
            <w:pPr>
              <w:pStyle w:val="1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允许分包</w:t>
            </w:r>
          </w:p>
          <w:p w14:paraId="61788CC1">
            <w:pPr>
              <w:pStyle w:val="16"/>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分包内容：</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p>
          <w:p w14:paraId="12FC7AC5">
            <w:pPr>
              <w:pStyle w:val="16"/>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分包金额或者比例：</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p>
          <w:p w14:paraId="0238260F">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分包供应商必须具备的资质：</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w:t>
            </w:r>
          </w:p>
        </w:tc>
      </w:tr>
      <w:tr w14:paraId="2DDC7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0914E28">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12.1.1</w:t>
            </w:r>
          </w:p>
        </w:tc>
        <w:tc>
          <w:tcPr>
            <w:tcW w:w="7912" w:type="dxa"/>
            <w:noWrap w:val="0"/>
            <w:vAlign w:val="center"/>
          </w:tcPr>
          <w:p w14:paraId="0E52B8F2">
            <w:pPr>
              <w:snapToGrid w:val="0"/>
              <w:spacing w:line="360" w:lineRule="auto"/>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资格证明文件</w:t>
            </w:r>
          </w:p>
          <w:p w14:paraId="783526D8">
            <w:pPr>
              <w:pStyle w:val="16"/>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bookmarkStart w:id="79" w:name="OLE_LINK18"/>
            <w:r>
              <w:rPr>
                <w:rFonts w:hint="eastAsia" w:ascii="宋体" w:hAnsi="宋体" w:eastAsia="宋体" w:cs="宋体"/>
                <w:sz w:val="21"/>
                <w:szCs w:val="21"/>
                <w:highlight w:val="none"/>
              </w:rPr>
              <w:t>供应商为法人或者其他组织的提供其营业执照等证明文件（如营业执照或者事业单位法人证书或者执业许可证或者登记证书等）；</w:t>
            </w:r>
            <w:bookmarkEnd w:id="79"/>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79D6DFF8">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bookmarkStart w:id="80" w:name="OLE_LINK19"/>
            <w:r>
              <w:rPr>
                <w:rFonts w:hint="eastAsia" w:ascii="宋体" w:hAnsi="宋体" w:eastAsia="宋体" w:cs="宋体"/>
                <w:sz w:val="21"/>
                <w:szCs w:val="21"/>
                <w:highlight w:val="none"/>
              </w:rPr>
              <w:t>供应商依法缴纳税收的相关材料（20</w:t>
            </w:r>
            <w:r>
              <w:rPr>
                <w:rFonts w:hint="eastAsia" w:ascii="宋体" w:hAnsi="宋体" w:eastAsia="宋体" w:cs="宋体"/>
                <w:sz w:val="21"/>
                <w:szCs w:val="21"/>
                <w:highlight w:val="none"/>
                <w:lang w:val="en-US" w:eastAsia="zh-CN"/>
              </w:rPr>
              <w:t>26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月至响应文件递交截止时间内任意一个月的依法缴纳税收的凭据；依法免税的，必须提供相应文件证明其依法免税。从成立之日起到响应文件提交截止时间止不足要求月数的，只需提供从成立之日起的依法缴纳税收相应证明文件）</w:t>
            </w:r>
            <w:bookmarkEnd w:id="80"/>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4BAA2B7E">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bookmarkStart w:id="81" w:name="OLE_LINK20"/>
            <w:r>
              <w:rPr>
                <w:rFonts w:hint="eastAsia" w:ascii="宋体" w:hAnsi="宋体" w:eastAsia="宋体" w:cs="宋体"/>
                <w:sz w:val="21"/>
                <w:szCs w:val="21"/>
                <w:highlight w:val="none"/>
              </w:rPr>
              <w:t>供应商依法缴纳社会保障资金的相关材料[20</w:t>
            </w:r>
            <w:r>
              <w:rPr>
                <w:rFonts w:hint="eastAsia" w:ascii="宋体" w:hAnsi="宋体" w:eastAsia="宋体" w:cs="宋体"/>
                <w:sz w:val="21"/>
                <w:szCs w:val="21"/>
                <w:highlight w:val="none"/>
                <w:lang w:val="en-US" w:eastAsia="zh-CN"/>
              </w:rPr>
              <w:t>26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月至响应文件递交截止时间内任意一个月的依法缴纳社会保障资金的缴费凭证；依法不需要缴纳社会保障资金的，必须提供相应文件证明不需要缴纳社会保障资金。从成立之日起到响应文件提交截止时间止不足要求月数的只需提供从成立之日起的依法缴纳社会保障资金的相应证明文件]；</w:t>
            </w:r>
            <w:bookmarkEnd w:id="81"/>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6931C418">
            <w:pPr>
              <w:pStyle w:val="16"/>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4.</w:t>
            </w:r>
            <w:bookmarkStart w:id="82" w:name="OLE_LINK21"/>
            <w:r>
              <w:rPr>
                <w:rFonts w:hint="eastAsia" w:ascii="宋体" w:hAnsi="宋体" w:eastAsia="宋体" w:cs="宋体"/>
                <w:sz w:val="21"/>
                <w:szCs w:val="21"/>
                <w:highlight w:val="none"/>
              </w:rPr>
              <w:t>供应商财务状况报告（202</w:t>
            </w:r>
            <w:r>
              <w:rPr>
                <w:rFonts w:hint="eastAsia" w:ascii="宋体" w:hAnsi="宋体" w:eastAsia="宋体" w:cs="宋体"/>
                <w:sz w:val="21"/>
                <w:szCs w:val="21"/>
                <w:highlight w:val="none"/>
                <w:lang w:val="en-US" w:eastAsia="zh-CN"/>
              </w:rPr>
              <w:t>4或2025</w:t>
            </w:r>
            <w:r>
              <w:rPr>
                <w:rFonts w:hint="eastAsia" w:ascii="宋体" w:hAnsi="宋体" w:eastAsia="宋体" w:cs="宋体"/>
                <w:sz w:val="21"/>
                <w:szCs w:val="21"/>
                <w:highlight w:val="none"/>
              </w:rPr>
              <w:t>年度财务报表，或者银行出具的资信证明，或者中国人民银行征信中心出具的信用报告；供应商属于成立时间</w:t>
            </w:r>
            <w:r>
              <w:rPr>
                <w:rFonts w:hint="eastAsia" w:ascii="宋体" w:hAnsi="宋体" w:eastAsia="宋体" w:cs="宋体"/>
                <w:kern w:val="0"/>
                <w:sz w:val="21"/>
                <w:szCs w:val="21"/>
                <w:highlight w:val="none"/>
              </w:rPr>
              <w:t>在规定年度之后</w:t>
            </w:r>
            <w:r>
              <w:rPr>
                <w:rFonts w:hint="eastAsia" w:ascii="宋体" w:hAnsi="宋体" w:eastAsia="宋体" w:cs="宋体"/>
                <w:sz w:val="21"/>
                <w:szCs w:val="21"/>
                <w:highlight w:val="none"/>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得超过一年）；</w:t>
            </w:r>
            <w:bookmarkEnd w:id="82"/>
            <w:r>
              <w:rPr>
                <w:rFonts w:hint="eastAsia" w:ascii="宋体" w:hAnsi="宋体" w:eastAsia="宋体" w:cs="宋体"/>
                <w:bCs/>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bCs/>
                <w:sz w:val="21"/>
                <w:szCs w:val="21"/>
                <w:highlight w:val="none"/>
              </w:rPr>
              <w:t>）</w:t>
            </w:r>
          </w:p>
          <w:p w14:paraId="5728B02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5.供应商直接控股、管理关系信息表（格式后附）；（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67DA4C1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6.竞标声明（格式后附）；（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58D4D2E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7.有效的企业</w:t>
            </w:r>
            <w:r>
              <w:rPr>
                <w:rFonts w:hint="eastAsia" w:ascii="宋体" w:hAnsi="宋体" w:eastAsia="宋体" w:cs="宋体"/>
                <w:bCs/>
                <w:sz w:val="21"/>
                <w:szCs w:val="21"/>
                <w:highlight w:val="none"/>
              </w:rPr>
              <w:t>资质证书、安全生产许可证；</w:t>
            </w:r>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1FFDA51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w:t>
            </w:r>
            <w:bookmarkStart w:id="83" w:name="OLE_LINK23"/>
            <w:r>
              <w:rPr>
                <w:rFonts w:hint="eastAsia" w:ascii="宋体" w:hAnsi="宋体" w:eastAsia="宋体" w:cs="宋体"/>
                <w:sz w:val="21"/>
                <w:szCs w:val="21"/>
                <w:highlight w:val="none"/>
              </w:rPr>
              <w:t>供应商</w:t>
            </w:r>
            <w:r>
              <w:rPr>
                <w:rFonts w:hint="eastAsia" w:ascii="宋体" w:hAnsi="宋体" w:eastAsia="宋体" w:cs="宋体"/>
                <w:bCs/>
                <w:sz w:val="21"/>
                <w:szCs w:val="21"/>
                <w:highlight w:val="none"/>
              </w:rPr>
              <w:t>拟投入本项目项目经理的注册建造师执业资格证书</w:t>
            </w:r>
            <w:r>
              <w:rPr>
                <w:rFonts w:hint="eastAsia" w:ascii="宋体" w:hAnsi="宋体" w:eastAsia="宋体" w:cs="宋体"/>
                <w:bCs/>
                <w:sz w:val="21"/>
                <w:szCs w:val="21"/>
                <w:highlight w:val="none"/>
                <w:lang w:val="en-US" w:eastAsia="zh-CN"/>
              </w:rPr>
              <w:t>及有效的安全生产考核合格证书</w:t>
            </w:r>
            <w:r>
              <w:rPr>
                <w:rFonts w:hint="eastAsia" w:ascii="宋体" w:hAnsi="宋体" w:eastAsia="宋体" w:cs="宋体"/>
                <w:bCs/>
                <w:sz w:val="21"/>
                <w:szCs w:val="21"/>
                <w:highlight w:val="none"/>
              </w:rPr>
              <w:t>（B类）</w:t>
            </w:r>
            <w:r>
              <w:rPr>
                <w:rFonts w:hint="eastAsia" w:ascii="宋体" w:hAnsi="宋体" w:eastAsia="宋体" w:cs="宋体"/>
                <w:sz w:val="21"/>
                <w:szCs w:val="21"/>
                <w:highlight w:val="none"/>
              </w:rPr>
              <w:t>、有效的身份证正反面</w:t>
            </w:r>
            <w:r>
              <w:rPr>
                <w:rFonts w:hint="eastAsia" w:ascii="宋体" w:hAnsi="宋体" w:eastAsia="宋体" w:cs="宋体"/>
                <w:iCs/>
                <w:sz w:val="21"/>
                <w:szCs w:val="21"/>
                <w:highlight w:val="none"/>
              </w:rPr>
              <w:t>；</w:t>
            </w:r>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bookmarkEnd w:id="83"/>
          </w:p>
          <w:p w14:paraId="62F2D42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9.</w:t>
            </w:r>
            <w:bookmarkStart w:id="84" w:name="OLE_LINK24"/>
            <w:r>
              <w:rPr>
                <w:rFonts w:hint="eastAsia" w:ascii="宋体" w:hAnsi="宋体" w:eastAsia="宋体" w:cs="宋体"/>
                <w:sz w:val="21"/>
                <w:szCs w:val="21"/>
                <w:highlight w:val="none"/>
              </w:rPr>
              <w:t>供应商</w:t>
            </w:r>
            <w:r>
              <w:rPr>
                <w:rFonts w:hint="eastAsia" w:ascii="宋体" w:hAnsi="宋体" w:eastAsia="宋体" w:cs="宋体"/>
                <w:bCs/>
                <w:sz w:val="21"/>
                <w:szCs w:val="21"/>
                <w:highlight w:val="none"/>
              </w:rPr>
              <w:t>拟投入本项目</w:t>
            </w:r>
            <w:r>
              <w:rPr>
                <w:rFonts w:hint="eastAsia" w:ascii="宋体" w:hAnsi="宋体" w:eastAsia="宋体" w:cs="宋体"/>
                <w:color w:val="auto"/>
                <w:sz w:val="21"/>
                <w:szCs w:val="21"/>
                <w:highlight w:val="none"/>
              </w:rPr>
              <w:t>专职安全生产管理人员</w:t>
            </w:r>
            <w:r>
              <w:rPr>
                <w:rFonts w:hint="eastAsia" w:ascii="宋体" w:hAnsi="宋体" w:eastAsia="宋体" w:cs="宋体"/>
                <w:bCs/>
                <w:sz w:val="21"/>
                <w:szCs w:val="21"/>
                <w:highlight w:val="none"/>
              </w:rPr>
              <w:t>安全生产考核合格证书（C类）</w:t>
            </w:r>
            <w:r>
              <w:rPr>
                <w:rFonts w:hint="eastAsia" w:ascii="宋体" w:hAnsi="宋体" w:eastAsia="宋体" w:cs="宋体"/>
                <w:sz w:val="21"/>
                <w:szCs w:val="21"/>
                <w:highlight w:val="none"/>
              </w:rPr>
              <w:t>、有效的身份证正反面</w:t>
            </w:r>
            <w:r>
              <w:rPr>
                <w:rFonts w:hint="eastAsia" w:ascii="宋体" w:hAnsi="宋体" w:eastAsia="宋体" w:cs="宋体"/>
                <w:iCs/>
                <w:sz w:val="21"/>
                <w:szCs w:val="21"/>
                <w:highlight w:val="none"/>
              </w:rPr>
              <w:t>；</w:t>
            </w:r>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bookmarkEnd w:id="84"/>
          </w:p>
          <w:p w14:paraId="6872930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sz w:val="21"/>
                <w:szCs w:val="21"/>
                <w:highlight w:val="none"/>
              </w:rPr>
              <w:t>10.</w:t>
            </w:r>
            <w:bookmarkStart w:id="85" w:name="OLE_LINK25"/>
            <w:r>
              <w:rPr>
                <w:rFonts w:hint="eastAsia" w:ascii="宋体" w:hAnsi="宋体" w:eastAsia="宋体" w:cs="宋体"/>
                <w:bCs/>
                <w:sz w:val="21"/>
                <w:szCs w:val="21"/>
                <w:highlight w:val="none"/>
              </w:rPr>
              <w:t>供应商</w:t>
            </w:r>
            <w:r>
              <w:rPr>
                <w:rFonts w:hint="eastAsia" w:ascii="宋体" w:hAnsi="宋体" w:eastAsia="宋体" w:cs="宋体"/>
                <w:color w:val="auto"/>
                <w:sz w:val="21"/>
                <w:szCs w:val="21"/>
                <w:highlight w:val="none"/>
              </w:rPr>
              <w:t>享受</w:t>
            </w:r>
            <w:r>
              <w:rPr>
                <w:rFonts w:hint="eastAsia" w:ascii="宋体" w:hAnsi="宋体" w:eastAsia="宋体" w:cs="宋体"/>
                <w:bCs/>
                <w:color w:val="auto"/>
                <w:sz w:val="21"/>
                <w:szCs w:val="21"/>
                <w:highlight w:val="none"/>
              </w:rPr>
              <w:t>中小企业扶持政策的材料（</w:t>
            </w:r>
            <w:r>
              <w:rPr>
                <w:rFonts w:hint="eastAsia" w:ascii="宋体" w:hAnsi="宋体" w:eastAsia="宋体" w:cs="宋体"/>
                <w:color w:val="auto"/>
                <w:sz w:val="21"/>
                <w:szCs w:val="21"/>
                <w:highlight w:val="none"/>
              </w:rPr>
              <w:t>供应商根据自身响应情况，提供以下任意一项材料以证明自身可享受中小企业</w:t>
            </w:r>
            <w:r>
              <w:rPr>
                <w:rFonts w:hint="eastAsia" w:ascii="宋体" w:hAnsi="宋体" w:eastAsia="宋体" w:cs="宋体"/>
                <w:bCs/>
                <w:color w:val="auto"/>
                <w:sz w:val="21"/>
                <w:szCs w:val="21"/>
                <w:highlight w:val="none"/>
              </w:rPr>
              <w:t>扶持政策）：</w:t>
            </w:r>
          </w:p>
          <w:p w14:paraId="3469CEB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rPr>
              <w:t>《</w:t>
            </w:r>
            <w:r>
              <w:rPr>
                <w:rFonts w:hint="eastAsia" w:ascii="宋体" w:hAnsi="宋体" w:eastAsia="宋体" w:cs="宋体"/>
                <w:sz w:val="21"/>
                <w:szCs w:val="21"/>
                <w:highlight w:val="none"/>
              </w:rPr>
              <w:t>中小企业</w:t>
            </w:r>
            <w:r>
              <w:rPr>
                <w:rFonts w:hint="eastAsia" w:ascii="宋体" w:hAnsi="宋体" w:eastAsia="宋体" w:cs="宋体"/>
                <w:color w:val="auto"/>
                <w:sz w:val="21"/>
                <w:szCs w:val="21"/>
                <w:highlight w:val="none"/>
              </w:rPr>
              <w:t>声明函》（格式后附）</w:t>
            </w:r>
          </w:p>
          <w:p w14:paraId="5EAB3E0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（2）《残疾人</w:t>
            </w:r>
            <w:r>
              <w:rPr>
                <w:rFonts w:hint="eastAsia" w:ascii="宋体" w:hAnsi="宋体" w:eastAsia="宋体" w:cs="宋体"/>
                <w:sz w:val="21"/>
                <w:szCs w:val="21"/>
                <w:highlight w:val="none"/>
              </w:rPr>
              <w:t>福利性</w:t>
            </w:r>
            <w:r>
              <w:rPr>
                <w:rFonts w:hint="eastAsia" w:ascii="宋体" w:hAnsi="宋体" w:eastAsia="宋体" w:cs="宋体"/>
                <w:color w:val="auto"/>
                <w:sz w:val="21"/>
                <w:szCs w:val="21"/>
                <w:highlight w:val="none"/>
              </w:rPr>
              <w:t>单位声明函》（格式后附）</w:t>
            </w:r>
          </w:p>
          <w:p w14:paraId="1DDD6A3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（3）省级以上监狱管理局、戒毒管理局(含新疆生产建设兵团)出具的属于监狱企业的证明文件；</w:t>
            </w:r>
          </w:p>
          <w:bookmarkEnd w:id="85"/>
          <w:p w14:paraId="29BB984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b/>
                <w:sz w:val="21"/>
                <w:szCs w:val="21"/>
                <w:highlight w:val="none"/>
              </w:rPr>
              <w:t>（必须提供，否则响应文件按无效处理）</w:t>
            </w:r>
          </w:p>
          <w:p w14:paraId="54A824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11.除磋商文件规定必须提供以外，供应商认为需要提供的其他证明材料。</w:t>
            </w:r>
          </w:p>
          <w:p w14:paraId="51393F7E">
            <w:pPr>
              <w:snapToGrid w:val="0"/>
              <w:spacing w:line="360" w:lineRule="auto"/>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注：</w:t>
            </w:r>
          </w:p>
          <w:p w14:paraId="2F05E2DC">
            <w:pPr>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1.以上标明“必须提供”的，必须加盖供应商CA签章，否则电子响应文件作无效处理。</w:t>
            </w:r>
          </w:p>
          <w:p w14:paraId="7131DA33">
            <w:pPr>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2.电子响应文件中所须加盖公章部分均采用CA签章。若竞争性磋商文件中有专门标注的某关联点，并要求供应商在电子投标系统中作出磋商响应的，如供应商未对关联点进行响应或者在电子响应文件其它内容进行描述，造成电子评审不能查询的责任由供应商自行承担。</w:t>
            </w:r>
          </w:p>
          <w:p w14:paraId="415BEC55">
            <w:pPr>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3.联合体竞标时，第1-5项资格证明文件联合体各方均必须分别提供，并由联合体牵头人加盖电子签章，规定签字处签字（或者电子签名），否则响应文件按无效处理。</w:t>
            </w:r>
          </w:p>
          <w:p w14:paraId="0A226325">
            <w:pPr>
              <w:pStyle w:val="16"/>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4.以上材料未附格式的，由供应商自行拟定。</w:t>
            </w:r>
          </w:p>
        </w:tc>
      </w:tr>
      <w:tr w14:paraId="46B53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140D412">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12.1.2</w:t>
            </w:r>
          </w:p>
        </w:tc>
        <w:tc>
          <w:tcPr>
            <w:tcW w:w="7912" w:type="dxa"/>
            <w:noWrap w:val="0"/>
            <w:vAlign w:val="center"/>
          </w:tcPr>
          <w:p w14:paraId="0DCC935E">
            <w:pPr>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报价文件</w:t>
            </w:r>
          </w:p>
          <w:p w14:paraId="405169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1.竞标函及竞标函附录（格式后附）；（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6FD674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2.竞标报价表（格式后附）；（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4C0B30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3.已标价工程量清单；（</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0CFAED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4.供应商认为需要提供的其他有关资料。</w:t>
            </w:r>
          </w:p>
        </w:tc>
      </w:tr>
      <w:tr w14:paraId="704A0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9196E4D">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12.1.3</w:t>
            </w:r>
          </w:p>
        </w:tc>
        <w:tc>
          <w:tcPr>
            <w:tcW w:w="7912" w:type="dxa"/>
            <w:noWrap w:val="0"/>
            <w:vAlign w:val="center"/>
          </w:tcPr>
          <w:p w14:paraId="287664F5">
            <w:pPr>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商务技术文件</w:t>
            </w:r>
          </w:p>
          <w:p w14:paraId="6254286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1.无串通竞标行为的承诺函（格式后附）；（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779AB56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bookmarkStart w:id="86" w:name="OLE_LINK26"/>
            <w:r>
              <w:rPr>
                <w:rFonts w:hint="eastAsia" w:ascii="宋体" w:hAnsi="宋体" w:eastAsia="宋体" w:cs="宋体"/>
                <w:sz w:val="21"/>
                <w:szCs w:val="21"/>
                <w:highlight w:val="none"/>
              </w:rPr>
              <w:t>法定代表人身份证明书（格式后附）</w:t>
            </w:r>
            <w:bookmarkEnd w:id="86"/>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6822111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3.授权委托书（格式后附）；（</w:t>
            </w:r>
            <w:r>
              <w:rPr>
                <w:rFonts w:hint="eastAsia" w:ascii="宋体" w:hAnsi="宋体" w:eastAsia="宋体" w:cs="宋体"/>
                <w:b/>
                <w:sz w:val="21"/>
                <w:szCs w:val="21"/>
                <w:highlight w:val="none"/>
              </w:rPr>
              <w:t>委托时必须提供，否则响应文件按无效处理</w:t>
            </w:r>
            <w:r>
              <w:rPr>
                <w:rFonts w:hint="eastAsia" w:ascii="宋体" w:hAnsi="宋体" w:eastAsia="宋体" w:cs="宋体"/>
                <w:sz w:val="21"/>
                <w:szCs w:val="21"/>
                <w:highlight w:val="none"/>
              </w:rPr>
              <w:t>）</w:t>
            </w:r>
          </w:p>
          <w:p w14:paraId="01B8784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4.建筑材料和设备节能环保要求承诺书（格式后附）；（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46F67DBF">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5.农民工工资保证金的交纳与使用承诺书（格式自拟）；（</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78BE987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.磋商保证金提交凭证；（</w:t>
            </w:r>
            <w:r>
              <w:rPr>
                <w:rFonts w:hint="eastAsia" w:ascii="宋体" w:hAnsi="宋体" w:eastAsia="宋体" w:cs="宋体"/>
                <w:b/>
                <w:bCs/>
                <w:sz w:val="21"/>
                <w:szCs w:val="21"/>
                <w:highlight w:val="none"/>
              </w:rPr>
              <w:t>如要求提交磋商保证金的则必须提供</w:t>
            </w:r>
            <w:r>
              <w:rPr>
                <w:rFonts w:hint="eastAsia" w:ascii="宋体" w:hAnsi="宋体" w:eastAsia="宋体" w:cs="宋体"/>
                <w:b/>
                <w:sz w:val="21"/>
                <w:szCs w:val="21"/>
                <w:highlight w:val="none"/>
              </w:rPr>
              <w:t>，否则响应文件按无效处理</w:t>
            </w:r>
            <w:r>
              <w:rPr>
                <w:rFonts w:hint="eastAsia" w:ascii="宋体" w:hAnsi="宋体" w:eastAsia="宋体" w:cs="宋体"/>
                <w:sz w:val="21"/>
                <w:szCs w:val="21"/>
                <w:highlight w:val="none"/>
              </w:rPr>
              <w:t>）</w:t>
            </w:r>
          </w:p>
          <w:p w14:paraId="1F549D7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.施工组织设计（格式自拟）；（</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55C6108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.项目管理机构配备情况表及主要人员简历表；（</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 xml:space="preserve">） </w:t>
            </w:r>
          </w:p>
          <w:p w14:paraId="05CCA665">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w:t>
            </w:r>
            <w:r>
              <w:rPr>
                <w:rFonts w:hint="eastAsia" w:ascii="宋体" w:hAnsi="宋体" w:eastAsia="宋体" w:cs="宋体"/>
                <w:spacing w:val="-1"/>
                <w:sz w:val="21"/>
                <w:szCs w:val="21"/>
              </w:rPr>
              <w:t>业</w:t>
            </w:r>
            <w:r>
              <w:rPr>
                <w:rFonts w:hint="eastAsia" w:ascii="宋体" w:hAnsi="宋体" w:eastAsia="宋体" w:cs="宋体"/>
                <w:spacing w:val="2"/>
                <w:sz w:val="21"/>
                <w:szCs w:val="21"/>
              </w:rPr>
              <w:t>绩</w:t>
            </w:r>
            <w:r>
              <w:rPr>
                <w:rFonts w:hint="eastAsia" w:ascii="宋体" w:hAnsi="宋体" w:eastAsia="宋体" w:cs="宋体"/>
                <w:spacing w:val="-1"/>
                <w:sz w:val="21"/>
                <w:szCs w:val="21"/>
              </w:rPr>
              <w:t>证</w:t>
            </w:r>
            <w:r>
              <w:rPr>
                <w:rFonts w:hint="eastAsia" w:ascii="宋体" w:hAnsi="宋体" w:eastAsia="宋体" w:cs="宋体"/>
                <w:spacing w:val="2"/>
                <w:sz w:val="21"/>
                <w:szCs w:val="21"/>
              </w:rPr>
              <w:t>明</w:t>
            </w:r>
            <w:r>
              <w:rPr>
                <w:rFonts w:hint="eastAsia" w:ascii="宋体" w:hAnsi="宋体" w:eastAsia="宋体" w:cs="宋体"/>
                <w:spacing w:val="-1"/>
                <w:sz w:val="21"/>
                <w:szCs w:val="21"/>
              </w:rPr>
              <w:t>材</w:t>
            </w:r>
            <w:r>
              <w:rPr>
                <w:rFonts w:hint="eastAsia" w:ascii="宋体" w:hAnsi="宋体" w:eastAsia="宋体" w:cs="宋体"/>
                <w:spacing w:val="2"/>
                <w:sz w:val="21"/>
                <w:szCs w:val="21"/>
              </w:rPr>
              <w:t>料</w:t>
            </w:r>
            <w:r>
              <w:rPr>
                <w:rFonts w:hint="eastAsia" w:ascii="宋体" w:hAnsi="宋体" w:eastAsia="宋体" w:cs="宋体"/>
                <w:spacing w:val="-1"/>
                <w:sz w:val="21"/>
                <w:szCs w:val="21"/>
              </w:rPr>
              <w:t>；</w:t>
            </w:r>
            <w:r>
              <w:rPr>
                <w:rFonts w:hint="eastAsia" w:ascii="宋体" w:hAnsi="宋体" w:eastAsia="宋体" w:cs="宋体"/>
                <w:spacing w:val="2"/>
                <w:sz w:val="21"/>
                <w:szCs w:val="21"/>
              </w:rPr>
              <w:t>（如有</w:t>
            </w:r>
            <w:r>
              <w:rPr>
                <w:rFonts w:hint="eastAsia" w:ascii="宋体" w:hAnsi="宋体" w:eastAsia="宋体" w:cs="宋体"/>
                <w:spacing w:val="-1"/>
                <w:sz w:val="21"/>
                <w:szCs w:val="21"/>
              </w:rPr>
              <w:t>可</w:t>
            </w:r>
            <w:r>
              <w:rPr>
                <w:rFonts w:hint="eastAsia" w:ascii="宋体" w:hAnsi="宋体" w:eastAsia="宋体" w:cs="宋体"/>
                <w:spacing w:val="2"/>
                <w:sz w:val="21"/>
                <w:szCs w:val="21"/>
              </w:rPr>
              <w:t>提供，格式</w:t>
            </w:r>
            <w:r>
              <w:rPr>
                <w:rFonts w:hint="eastAsia" w:ascii="宋体" w:hAnsi="宋体" w:eastAsia="宋体" w:cs="宋体"/>
                <w:spacing w:val="-1"/>
                <w:sz w:val="21"/>
                <w:szCs w:val="21"/>
              </w:rPr>
              <w:t>自</w:t>
            </w:r>
            <w:r>
              <w:rPr>
                <w:rFonts w:hint="eastAsia" w:ascii="宋体" w:hAnsi="宋体" w:eastAsia="宋体" w:cs="宋体"/>
                <w:spacing w:val="2"/>
                <w:sz w:val="21"/>
                <w:szCs w:val="21"/>
              </w:rPr>
              <w:t>拟</w:t>
            </w:r>
            <w:r>
              <w:rPr>
                <w:rFonts w:hint="eastAsia" w:ascii="宋体" w:hAnsi="宋体" w:eastAsia="宋体" w:cs="宋体"/>
                <w:sz w:val="21"/>
                <w:szCs w:val="21"/>
              </w:rPr>
              <w:t>）</w:t>
            </w:r>
          </w:p>
          <w:p w14:paraId="5BD09064">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供应商认为需要提供的其他有关资料。</w:t>
            </w:r>
          </w:p>
          <w:p w14:paraId="41240DBC">
            <w:pPr>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注：1.以上标明“必须提供”材料的，必须加盖供应商CA签章，否则电子响应文件作无效处理。</w:t>
            </w:r>
          </w:p>
          <w:p w14:paraId="2F1D9E94">
            <w:pPr>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2.电子响应文件中所须加盖公章部分均采用CA签章。若竞争性磋商文件中有专门标注的某关联点，并要求供应商在电子投标系统中作出磋商响应的，如供应商未对关联点进行响应或者在电子响应文件其它内容进行描述，造成电子评审不能查询的责任由供应商自行承担。</w:t>
            </w:r>
          </w:p>
          <w:p w14:paraId="77199149">
            <w:pPr>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3.以上材料未附格式的，由供应商自行拟定。</w:t>
            </w:r>
          </w:p>
        </w:tc>
      </w:tr>
      <w:tr w14:paraId="60FD0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59F25DC">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15.2</w:t>
            </w:r>
          </w:p>
        </w:tc>
        <w:tc>
          <w:tcPr>
            <w:tcW w:w="7912" w:type="dxa"/>
            <w:noWrap w:val="0"/>
            <w:vAlign w:val="center"/>
          </w:tcPr>
          <w:p w14:paraId="2F0CAAFE">
            <w:pPr>
              <w:spacing w:line="360" w:lineRule="auto"/>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竞标报价是履行合同的最终价格，包括了为实施和完成合同工程所需的劳务、材料、机械、质检（自检）、安装、缺陷修复、管理、保险、税费、利润等费用，以及合同明示或暗示的所有责任、义务和风险。</w:t>
            </w:r>
          </w:p>
        </w:tc>
      </w:tr>
      <w:tr w14:paraId="65C82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F7DD15F">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15.3</w:t>
            </w:r>
          </w:p>
        </w:tc>
        <w:tc>
          <w:tcPr>
            <w:tcW w:w="7912" w:type="dxa"/>
            <w:noWrap w:val="0"/>
            <w:vAlign w:val="center"/>
          </w:tcPr>
          <w:p w14:paraId="379A4DEC">
            <w:pPr>
              <w:spacing w:line="360" w:lineRule="auto"/>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本工程增值税计税方法：一般计税法</w:t>
            </w:r>
          </w:p>
          <w:p w14:paraId="5C9794FD">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编制依据：</w:t>
            </w:r>
          </w:p>
          <w:p w14:paraId="05012666">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(一)广西规亿工程技术集团有限公司设计的图纸；</w:t>
            </w:r>
          </w:p>
          <w:p w14:paraId="31898083">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(二)清单采用(GB50500-2013)《建设工程工程量清单计价规范》、(GB50856-2013)《通用安装工程工程量清单计价规范》；</w:t>
            </w:r>
          </w:p>
          <w:p w14:paraId="5D2BA752">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(三)工程建安费计价依据:2024年版《广西壮族自治区建筑装饰装修工程消耗量及费用定额》、2023年版《广西壮族自治区安装工程消耗量及费用定额》。</w:t>
            </w:r>
          </w:p>
          <w:p w14:paraId="1683E38B">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(四)桂建标(2023)7号《关于调整建设工程定额人工费及有关费率的通知》；</w:t>
            </w:r>
          </w:p>
          <w:p w14:paraId="6B18BFF5">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(五)桂建标(2016)17号《自治区住房城乡建设厅关于建筑业实施营业税改征增值</w:t>
            </w:r>
          </w:p>
          <w:p w14:paraId="69B9A788">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税后广西壮族自治区建设工程计价依据调整的通知》；</w:t>
            </w:r>
          </w:p>
          <w:p w14:paraId="0109DD94">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(六)桂建标(2019)12号《自治区住房城乡建设厅关于调整建设工程计价增值税税率的通知》；</w:t>
            </w:r>
          </w:p>
          <w:p w14:paraId="14BC0727">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(七)桂建发(2023)6号《自治区住房城乡建设厅关于印发广西壮族自治区房屋建筑和市政基础设施工程安全生产责任保险计价规定的通知》；</w:t>
            </w:r>
          </w:p>
          <w:p w14:paraId="01BB9454">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(八)《梧州建设工程造价信息》2026年第4期信息价；</w:t>
            </w:r>
          </w:p>
          <w:p w14:paraId="78206933">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(九)其他有关的法律、法规、政策、技术资料、技术要求、技术规范。</w:t>
            </w:r>
          </w:p>
        </w:tc>
      </w:tr>
      <w:tr w14:paraId="48DDC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BD4FC95">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16.2</w:t>
            </w:r>
          </w:p>
        </w:tc>
        <w:tc>
          <w:tcPr>
            <w:tcW w:w="7912" w:type="dxa"/>
            <w:noWrap w:val="0"/>
            <w:vAlign w:val="center"/>
          </w:tcPr>
          <w:p w14:paraId="0BEF0D0B">
            <w:pPr>
              <w:pStyle w:val="13"/>
              <w:widowControl w:val="0"/>
              <w:tabs>
                <w:tab w:val="clear" w:pos="454"/>
              </w:tabs>
              <w:snapToGrid w:val="0"/>
              <w:spacing w:afterLines="0" w:line="360" w:lineRule="auto"/>
              <w:ind w:left="283" w:hanging="283" w:hangingChars="135"/>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竞标有效期：自首次响应文件提交截止之日起</w:t>
            </w:r>
            <w:r>
              <w:rPr>
                <w:rFonts w:hint="eastAsia" w:ascii="宋体" w:hAnsi="宋体" w:eastAsia="宋体" w:cs="宋体"/>
                <w:kern w:val="2"/>
                <w:sz w:val="21"/>
                <w:szCs w:val="21"/>
                <w:highlight w:val="none"/>
                <w:u w:val="single"/>
              </w:rPr>
              <w:t>90</w:t>
            </w:r>
            <w:r>
              <w:rPr>
                <w:rFonts w:hint="eastAsia" w:ascii="宋体" w:hAnsi="宋体" w:eastAsia="宋体" w:cs="宋体"/>
                <w:kern w:val="2"/>
                <w:sz w:val="21"/>
                <w:szCs w:val="21"/>
                <w:highlight w:val="none"/>
              </w:rPr>
              <w:t>日。</w:t>
            </w:r>
          </w:p>
        </w:tc>
      </w:tr>
      <w:tr w14:paraId="0330A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E2E1876">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17.1</w:t>
            </w:r>
          </w:p>
        </w:tc>
        <w:tc>
          <w:tcPr>
            <w:tcW w:w="7912" w:type="dxa"/>
            <w:noWrap w:val="0"/>
            <w:vAlign w:val="center"/>
          </w:tcPr>
          <w:p w14:paraId="07E7F424">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本项目不收取磋商保证金。</w:t>
            </w:r>
          </w:p>
          <w:p w14:paraId="705BB38F">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本项目收取磋商保证金，具体规定如下：</w:t>
            </w:r>
          </w:p>
          <w:p w14:paraId="395D2852">
            <w:pPr>
              <w:snapToGrid w:val="0"/>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磋商保证金人民币</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lang w:val="en-US" w:eastAsia="zh-CN"/>
              </w:rPr>
              <w:t>人民币五千元整（￥5000.00）</w:t>
            </w:r>
          </w:p>
          <w:p w14:paraId="0B2E909A">
            <w:pPr>
              <w:snapToGrid w:val="0"/>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磋商保证金的交纳方式：银行转账、支票、汇票、本票或者银行、保险机构出具的保函</w:t>
            </w:r>
            <w:r>
              <w:rPr>
                <w:rFonts w:hint="eastAsia" w:ascii="宋体" w:hAnsi="宋体" w:eastAsia="宋体" w:cs="宋体"/>
                <w:sz w:val="21"/>
                <w:szCs w:val="21"/>
                <w:highlight w:val="none"/>
              </w:rPr>
              <w:t>（包含电保函）</w:t>
            </w:r>
            <w:r>
              <w:rPr>
                <w:rFonts w:hint="eastAsia" w:ascii="宋体" w:hAnsi="宋体" w:eastAsia="宋体" w:cs="宋体"/>
                <w:kern w:val="0"/>
                <w:sz w:val="21"/>
                <w:szCs w:val="21"/>
                <w:highlight w:val="none"/>
              </w:rPr>
              <w:t>，禁止采用现钞方式。采用银行转账方式的，在响应文件提交截止时间前交至指定账户并且到账</w:t>
            </w:r>
            <w:r>
              <w:rPr>
                <w:rFonts w:hint="eastAsia" w:ascii="宋体" w:hAnsi="宋体" w:eastAsia="宋体" w:cs="宋体"/>
                <w:kern w:val="0"/>
                <w:sz w:val="21"/>
                <w:szCs w:val="21"/>
                <w:highlight w:val="none"/>
                <w:lang w:eastAsia="zh-CN"/>
              </w:rPr>
              <w:t>（</w:t>
            </w:r>
            <w:r>
              <w:rPr>
                <w:rFonts w:hint="eastAsia" w:ascii="宋体" w:hAnsi="宋体" w:eastAsia="宋体" w:cs="宋体"/>
                <w:color w:val="auto"/>
                <w:sz w:val="21"/>
                <w:szCs w:val="21"/>
                <w:highlight w:val="none"/>
                <w:lang w:val="en-US" w:eastAsia="zh-CN"/>
              </w:rPr>
              <w:t>开户银行：</w:t>
            </w:r>
            <w:r>
              <w:rPr>
                <w:rFonts w:hint="eastAsia" w:ascii="宋体" w:hAnsi="宋体" w:cs="宋体"/>
                <w:color w:val="auto"/>
                <w:sz w:val="21"/>
                <w:szCs w:val="21"/>
                <w:highlight w:val="none"/>
                <w:lang w:val="en-US" w:eastAsia="zh-CN"/>
              </w:rPr>
              <w:t>农村信用社</w:t>
            </w:r>
            <w:r>
              <w:rPr>
                <w:rFonts w:hint="eastAsia" w:ascii="宋体" w:hAnsi="宋体" w:eastAsia="宋体" w:cs="宋体"/>
                <w:color w:val="auto"/>
                <w:sz w:val="21"/>
                <w:szCs w:val="21"/>
                <w:highlight w:val="none"/>
                <w:lang w:val="en-US" w:eastAsia="zh-CN"/>
              </w:rPr>
              <w:t>，开户名称：</w:t>
            </w:r>
            <w:r>
              <w:rPr>
                <w:rFonts w:hint="eastAsia" w:ascii="宋体" w:hAnsi="宋体" w:cs="宋体"/>
                <w:color w:val="auto"/>
                <w:sz w:val="21"/>
                <w:szCs w:val="21"/>
                <w:highlight w:val="none"/>
                <w:lang w:val="en-US" w:eastAsia="zh-CN"/>
              </w:rPr>
              <w:t>苍梧县梨埠镇初级中学</w:t>
            </w:r>
            <w:r>
              <w:rPr>
                <w:rFonts w:hint="eastAsia" w:ascii="宋体" w:hAnsi="宋体" w:eastAsia="宋体" w:cs="宋体"/>
                <w:color w:val="auto"/>
                <w:sz w:val="21"/>
                <w:szCs w:val="21"/>
                <w:highlight w:val="none"/>
                <w:lang w:val="en-US" w:eastAsia="zh-CN"/>
              </w:rPr>
              <w:t>，银行账号：</w:t>
            </w:r>
            <w:r>
              <w:rPr>
                <w:rFonts w:hint="eastAsia" w:ascii="宋体" w:hAnsi="宋体" w:cs="宋体"/>
                <w:color w:val="auto"/>
                <w:sz w:val="21"/>
                <w:szCs w:val="21"/>
                <w:highlight w:val="none"/>
                <w:lang w:val="en-US" w:eastAsia="zh-CN"/>
              </w:rPr>
              <w:t>450512010115338997</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；采用支票、汇票、本票或者保函等方式的，在响应文件提交截止时间前，供应商必须提交单独密封的支票、汇票、本票或者保函原件。</w:t>
            </w:r>
            <w:r>
              <w:rPr>
                <w:rFonts w:hint="eastAsia" w:ascii="宋体" w:hAnsi="宋体" w:eastAsia="宋体" w:cs="宋体"/>
                <w:b/>
                <w:kern w:val="0"/>
                <w:sz w:val="21"/>
                <w:szCs w:val="21"/>
                <w:highlight w:val="none"/>
              </w:rPr>
              <w:t>否则视为无效磋商保证金。</w:t>
            </w:r>
          </w:p>
          <w:p w14:paraId="6B51CB8F">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相关要求：</w:t>
            </w:r>
          </w:p>
          <w:p w14:paraId="4333E88E">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1.磋商保证金采用银行转账交纳方式的，在响应文件提交截止时间前交至指定账户并且到账，供应商应将银行转账底单作为磋商保证金提交凭证，放置于商务技术文件中，</w:t>
            </w:r>
            <w:r>
              <w:rPr>
                <w:rFonts w:hint="eastAsia" w:ascii="宋体" w:hAnsi="宋体" w:eastAsia="宋体" w:cs="宋体"/>
                <w:b/>
                <w:sz w:val="21"/>
                <w:szCs w:val="21"/>
                <w:highlight w:val="none"/>
              </w:rPr>
              <w:t>否则响应文件按无效处理</w:t>
            </w:r>
            <w:r>
              <w:rPr>
                <w:rFonts w:hint="eastAsia" w:ascii="宋体" w:hAnsi="宋体" w:eastAsia="宋体" w:cs="宋体"/>
                <w:sz w:val="21"/>
                <w:szCs w:val="21"/>
                <w:highlight w:val="none"/>
              </w:rPr>
              <w:t>。</w:t>
            </w:r>
          </w:p>
          <w:p w14:paraId="266AC77D">
            <w:pPr>
              <w:pStyle w:val="1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2.磋商保证金采用支票、汇票、本票或者银行、保险机构出具的保函（包含电保函）</w:t>
            </w:r>
          </w:p>
          <w:p w14:paraId="0929ED37">
            <w:pPr>
              <w:pStyle w:val="1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交纳方式的，供应商应将支票、汇票、本票或者银行、保险机构出具的保函（包含电保函）作为磋商保证金提交凭证，放置于商务技术文件中，</w:t>
            </w:r>
            <w:r>
              <w:rPr>
                <w:rFonts w:hint="eastAsia" w:ascii="宋体" w:hAnsi="宋体" w:eastAsia="宋体" w:cs="宋体"/>
                <w:b/>
                <w:sz w:val="21"/>
                <w:szCs w:val="21"/>
                <w:highlight w:val="none"/>
              </w:rPr>
              <w:t>否则响应文件按无效处理</w:t>
            </w:r>
            <w:r>
              <w:rPr>
                <w:rFonts w:hint="eastAsia" w:ascii="宋体" w:hAnsi="宋体" w:eastAsia="宋体" w:cs="宋体"/>
                <w:sz w:val="21"/>
                <w:szCs w:val="21"/>
                <w:highlight w:val="none"/>
              </w:rPr>
              <w:t>。供应商必须在响应文件提交截止时间前采用现场或邮寄方式（注：支票、汇票、本票或者银行、保险机构出具的保函原件可邮寄，邮寄地址：梧州市万秀区枣冲路64号第7幢负一层7号商铺，联系人：</w:t>
            </w:r>
            <w:r>
              <w:rPr>
                <w:rFonts w:hint="eastAsia" w:ascii="宋体" w:hAnsi="宋体" w:cs="宋体"/>
                <w:sz w:val="21"/>
                <w:szCs w:val="21"/>
                <w:highlight w:val="none"/>
                <w:lang w:eastAsia="zh-CN"/>
              </w:rPr>
              <w:t>莫工</w:t>
            </w:r>
            <w:r>
              <w:rPr>
                <w:rFonts w:hint="eastAsia" w:ascii="宋体" w:hAnsi="宋体" w:eastAsia="宋体" w:cs="宋体"/>
                <w:sz w:val="21"/>
                <w:szCs w:val="21"/>
                <w:highlight w:val="none"/>
              </w:rPr>
              <w:t>，电话：0774-3856100，但邮寄的风险由供应商自行承担）将</w:t>
            </w:r>
            <w:r>
              <w:rPr>
                <w:rFonts w:hint="eastAsia" w:ascii="宋体" w:hAnsi="宋体" w:eastAsia="宋体" w:cs="宋体"/>
                <w:kern w:val="0"/>
                <w:sz w:val="21"/>
                <w:szCs w:val="21"/>
                <w:highlight w:val="none"/>
              </w:rPr>
              <w:t>单独密封的</w:t>
            </w:r>
            <w:r>
              <w:rPr>
                <w:rFonts w:hint="eastAsia" w:ascii="宋体" w:hAnsi="宋体" w:eastAsia="宋体" w:cs="宋体"/>
                <w:sz w:val="21"/>
                <w:szCs w:val="21"/>
                <w:highlight w:val="none"/>
              </w:rPr>
              <w:t>支票、汇票、本票或者银行、保险机构出具的保函原件提交给采购人或者采购代理机构，由采购人或者采购代理机构向供应商出具回执（邮寄方式的除外），并妥善保管。</w:t>
            </w:r>
          </w:p>
          <w:p w14:paraId="7012AE0D">
            <w:pPr>
              <w:snapToGrid w:val="0"/>
              <w:spacing w:line="360" w:lineRule="auto"/>
              <w:rPr>
                <w:rFonts w:hint="eastAsia" w:ascii="宋体" w:hAnsi="宋体" w:eastAsia="宋体" w:cs="宋体"/>
                <w:b/>
                <w:sz w:val="21"/>
                <w:szCs w:val="21"/>
                <w:highlight w:val="none"/>
              </w:rPr>
            </w:pPr>
            <w:r>
              <w:rPr>
                <w:rFonts w:hint="eastAsia" w:ascii="宋体" w:hAnsi="宋体" w:eastAsia="宋体" w:cs="宋体"/>
                <w:sz w:val="21"/>
                <w:szCs w:val="21"/>
                <w:highlight w:val="none"/>
              </w:rPr>
              <w:t>3.供应商为联合体的，可以由联合体中的一方或者多方共同交纳磋商保证金，其交纳的保证金对联合体各方均具有约束力。</w:t>
            </w:r>
          </w:p>
          <w:p w14:paraId="2E7F0C50">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备注： </w:t>
            </w:r>
          </w:p>
          <w:p w14:paraId="27A65600">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1.磋商保证金在响应文件提交截止时间后提交的，或者不按规定交纳方式交纳的，或者未足额交纳的（包含保函额度不足的），视为无效磋商保证金。</w:t>
            </w:r>
          </w:p>
          <w:p w14:paraId="16886379">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2.供应商采用现钞方式或者从个人账户转出的磋商保证金，视为无效磋商保证金。</w:t>
            </w:r>
          </w:p>
          <w:p w14:paraId="4EE96F63">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3.支票、汇票或者本票出现无效或者背书情形的，视为无效磋商保证金。</w:t>
            </w:r>
          </w:p>
          <w:p w14:paraId="4CC4F818">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4.保函有效期低于竞标有效期的，视为无效磋商保证金。</w:t>
            </w:r>
          </w:p>
          <w:p w14:paraId="41F788D6">
            <w:pPr>
              <w:snapToGrid w:val="0"/>
              <w:spacing w:line="360" w:lineRule="auto"/>
              <w:rPr>
                <w:rFonts w:hint="eastAsia" w:ascii="宋体" w:hAnsi="宋体" w:eastAsia="宋体" w:cs="宋体"/>
                <w:sz w:val="21"/>
                <w:szCs w:val="21"/>
                <w:highlight w:val="none"/>
              </w:rPr>
            </w:pPr>
            <w:r>
              <w:rPr>
                <w:rFonts w:hint="eastAsia" w:ascii="宋体" w:hAnsi="宋体" w:eastAsia="宋体" w:cs="宋体"/>
                <w:b/>
                <w:sz w:val="21"/>
                <w:szCs w:val="21"/>
                <w:highlight w:val="none"/>
              </w:rPr>
              <w:t>5.采用银行、保险机构出具保函的，必须为无条件保函，否则视为无效磋商保证金。</w:t>
            </w:r>
          </w:p>
        </w:tc>
      </w:tr>
      <w:tr w14:paraId="781B8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E9D00B7">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7912" w:type="dxa"/>
            <w:noWrap w:val="0"/>
            <w:vAlign w:val="center"/>
          </w:tcPr>
          <w:p w14:paraId="3D7989F4">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本项目不接受电子备份响应文件</w:t>
            </w:r>
          </w:p>
        </w:tc>
      </w:tr>
      <w:tr w14:paraId="344D7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5DC267C">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20.1</w:t>
            </w:r>
          </w:p>
        </w:tc>
        <w:tc>
          <w:tcPr>
            <w:tcW w:w="7912" w:type="dxa"/>
            <w:noWrap w:val="0"/>
            <w:vAlign w:val="center"/>
          </w:tcPr>
          <w:p w14:paraId="35B8CA7E">
            <w:pPr>
              <w:spacing w:line="360" w:lineRule="auto"/>
              <w:contextualSpacing/>
              <w:jc w:val="lef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响应文件提交截止时间：详见竞争性磋商公告。</w:t>
            </w:r>
          </w:p>
          <w:p w14:paraId="3D143FB4">
            <w:pPr>
              <w:spacing w:line="360" w:lineRule="auto"/>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响应文件提交地点：详见竞争性磋商公告。</w:t>
            </w:r>
          </w:p>
        </w:tc>
      </w:tr>
      <w:tr w14:paraId="0338E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E0D2CE6">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24.1</w:t>
            </w:r>
          </w:p>
        </w:tc>
        <w:tc>
          <w:tcPr>
            <w:tcW w:w="7912" w:type="dxa"/>
            <w:noWrap w:val="0"/>
            <w:vAlign w:val="center"/>
          </w:tcPr>
          <w:p w14:paraId="65ED7F01">
            <w:pPr>
              <w:snapToGrid w:val="0"/>
              <w:spacing w:line="360" w:lineRule="auto"/>
              <w:jc w:val="lef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磋商小组的人数：</w:t>
            </w:r>
            <w:r>
              <w:rPr>
                <w:rFonts w:hint="eastAsia" w:ascii="宋体" w:hAnsi="宋体" w:eastAsia="宋体" w:cs="宋体"/>
                <w:sz w:val="21"/>
                <w:szCs w:val="21"/>
                <w:highlight w:val="none"/>
                <w:u w:val="single"/>
              </w:rPr>
              <w:t>3</w:t>
            </w:r>
            <w:r>
              <w:rPr>
                <w:rFonts w:hint="eastAsia" w:ascii="宋体" w:hAnsi="宋体" w:eastAsia="宋体" w:cs="宋体"/>
                <w:sz w:val="21"/>
                <w:szCs w:val="21"/>
                <w:highlight w:val="none"/>
              </w:rPr>
              <w:t>人。</w:t>
            </w:r>
          </w:p>
        </w:tc>
      </w:tr>
      <w:tr w14:paraId="65E2D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78720D9">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25</w:t>
            </w:r>
          </w:p>
        </w:tc>
        <w:tc>
          <w:tcPr>
            <w:tcW w:w="7912" w:type="dxa"/>
            <w:noWrap w:val="0"/>
            <w:vAlign w:val="center"/>
          </w:tcPr>
          <w:p w14:paraId="345F45A1">
            <w:pPr>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首次响应文件开启时间详见“竞争性磋商公告”</w:t>
            </w:r>
          </w:p>
          <w:p w14:paraId="4F2FE39E">
            <w:pPr>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首次响应文件解密时间：</w:t>
            </w:r>
            <w:r>
              <w:rPr>
                <w:rFonts w:hint="eastAsia" w:ascii="宋体" w:hAnsi="宋体" w:eastAsia="宋体" w:cs="宋体"/>
                <w:sz w:val="21"/>
                <w:szCs w:val="21"/>
                <w:highlight w:val="none"/>
                <w:u w:val="single"/>
              </w:rPr>
              <w:t>30</w:t>
            </w:r>
            <w:r>
              <w:rPr>
                <w:rFonts w:hint="eastAsia" w:ascii="宋体" w:hAnsi="宋体" w:eastAsia="宋体" w:cs="宋体"/>
                <w:sz w:val="21"/>
                <w:szCs w:val="21"/>
                <w:highlight w:val="none"/>
              </w:rPr>
              <w:t>分钟</w:t>
            </w:r>
          </w:p>
        </w:tc>
      </w:tr>
      <w:tr w14:paraId="23B4E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3872AAD">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28.1</w:t>
            </w:r>
          </w:p>
        </w:tc>
        <w:tc>
          <w:tcPr>
            <w:tcW w:w="7912" w:type="dxa"/>
            <w:noWrap w:val="0"/>
            <w:vAlign w:val="center"/>
          </w:tcPr>
          <w:p w14:paraId="6D5F3811">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本项目不收取履约保证金。</w:t>
            </w:r>
          </w:p>
          <w:p w14:paraId="43C871F0">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本项目收取履约保证金，具体规定如下：</w:t>
            </w:r>
          </w:p>
          <w:p w14:paraId="268E3A86">
            <w:pPr>
              <w:spacing w:line="360" w:lineRule="auto"/>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履约保证金金额：按成交金额的</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2</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p>
          <w:p w14:paraId="08545453">
            <w:pPr>
              <w:spacing w:line="360" w:lineRule="auto"/>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履约保证金提交方式：银行转账、支票、汇票、本票或者银行、保险机构出具的保函等非现金方式（参照磋商保证金）。</w:t>
            </w:r>
          </w:p>
          <w:p w14:paraId="531B1560">
            <w:pPr>
              <w:spacing w:line="360" w:lineRule="auto"/>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履约保证金指定账户：</w:t>
            </w:r>
          </w:p>
          <w:p w14:paraId="0EAC8095">
            <w:pPr>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开户银行：农村信用社</w:t>
            </w:r>
          </w:p>
          <w:p w14:paraId="72A17B4F">
            <w:pPr>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开户名称：</w:t>
            </w:r>
            <w:r>
              <w:rPr>
                <w:rFonts w:hint="eastAsia" w:ascii="宋体" w:hAnsi="宋体" w:cs="宋体"/>
                <w:color w:val="auto"/>
                <w:sz w:val="21"/>
                <w:szCs w:val="21"/>
                <w:highlight w:val="none"/>
                <w:lang w:val="en-US" w:eastAsia="zh-CN"/>
              </w:rPr>
              <w:t>苍梧县梨埠镇初级中学</w:t>
            </w:r>
          </w:p>
          <w:p w14:paraId="764652C0">
            <w:pPr>
              <w:spacing w:line="360" w:lineRule="auto"/>
              <w:contextualSpacing/>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val="en-US" w:eastAsia="zh-CN"/>
              </w:rPr>
              <w:t>银行账号：</w:t>
            </w:r>
            <w:r>
              <w:rPr>
                <w:rFonts w:hint="eastAsia" w:ascii="宋体" w:hAnsi="宋体" w:cs="宋体"/>
                <w:color w:val="auto"/>
                <w:sz w:val="21"/>
                <w:szCs w:val="21"/>
                <w:highlight w:val="none"/>
                <w:lang w:val="en-US" w:eastAsia="zh-CN"/>
              </w:rPr>
              <w:t>450512010115338997</w:t>
            </w:r>
          </w:p>
          <w:p w14:paraId="42E7705A">
            <w:pPr>
              <w:spacing w:line="360" w:lineRule="auto"/>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退付方式、时间及条件：由成交供应商向履约保证金收取单位提供《广西壮族自治区政府采购项目合同验收书》（详见桂财采〔2015〕22号），保证金收取单位在收到合格材料后5个工作日内办理退还手续（不计利息）。</w:t>
            </w:r>
          </w:p>
          <w:p w14:paraId="0C9CC234">
            <w:pPr>
              <w:spacing w:line="360" w:lineRule="auto"/>
              <w:contextualSpacing/>
              <w:rPr>
                <w:rFonts w:hint="eastAsia" w:ascii="宋体" w:hAnsi="宋体" w:eastAsia="宋体" w:cs="宋体"/>
                <w:b/>
                <w:sz w:val="21"/>
                <w:szCs w:val="21"/>
                <w:highlight w:val="none"/>
              </w:rPr>
            </w:pPr>
            <w:r>
              <w:rPr>
                <w:rFonts w:hint="eastAsia" w:ascii="宋体" w:hAnsi="宋体" w:eastAsia="宋体" w:cs="宋体"/>
                <w:b/>
                <w:sz w:val="21"/>
                <w:szCs w:val="21"/>
                <w:highlight w:val="none"/>
              </w:rPr>
              <w:t>备注：</w:t>
            </w:r>
            <w:r>
              <w:rPr>
                <w:rFonts w:hint="eastAsia" w:ascii="宋体" w:hAnsi="宋体" w:eastAsia="宋体" w:cs="宋体"/>
                <w:sz w:val="21"/>
                <w:szCs w:val="21"/>
                <w:highlight w:val="none"/>
              </w:rPr>
              <w:br w:type="textWrapping"/>
            </w:r>
            <w:r>
              <w:rPr>
                <w:rFonts w:hint="eastAsia" w:ascii="宋体" w:hAnsi="宋体" w:eastAsia="宋体" w:cs="宋体"/>
                <w:b/>
                <w:sz w:val="21"/>
                <w:szCs w:val="21"/>
                <w:highlight w:val="none"/>
              </w:rPr>
              <w:t>1.</w:t>
            </w:r>
            <w:bookmarkStart w:id="87" w:name="_Hlk54170335"/>
            <w:r>
              <w:rPr>
                <w:rFonts w:hint="eastAsia" w:ascii="宋体" w:hAnsi="宋体" w:eastAsia="宋体" w:cs="宋体"/>
                <w:b/>
                <w:sz w:val="21"/>
                <w:szCs w:val="21"/>
                <w:highlight w:val="none"/>
              </w:rPr>
              <w:t>根据《广西壮族自治区财政厅关于贯彻落实政府采购优化营商环境百日攻坚行动方案的通知》（桂财采〔2020〕49号）规定，履约保证金数额不得超过政府采购合同金额的5%。</w:t>
            </w:r>
            <w:bookmarkEnd w:id="87"/>
          </w:p>
          <w:p w14:paraId="6597666B">
            <w:pPr>
              <w:spacing w:line="360" w:lineRule="auto"/>
              <w:contextualSpacing/>
              <w:rPr>
                <w:rFonts w:hint="eastAsia" w:ascii="宋体" w:hAnsi="宋体" w:eastAsia="宋体" w:cs="宋体"/>
                <w:b/>
                <w:sz w:val="21"/>
                <w:szCs w:val="21"/>
                <w:highlight w:val="none"/>
              </w:rPr>
            </w:pPr>
            <w:r>
              <w:rPr>
                <w:rFonts w:hint="eastAsia" w:ascii="宋体" w:hAnsi="宋体" w:eastAsia="宋体" w:cs="宋体"/>
                <w:b/>
                <w:sz w:val="21"/>
                <w:szCs w:val="21"/>
                <w:highlight w:val="none"/>
              </w:rPr>
              <w:t>2.履约保证金不足额缴纳的，或者银行、保险机构出具的保函额度不足的或者保函有效期低于合同履行期限（即签订采购合同之日起至履行完合同约定的权利及义务之日止）的，不予签订合同。</w:t>
            </w:r>
            <w:r>
              <w:rPr>
                <w:rFonts w:hint="eastAsia" w:ascii="宋体" w:hAnsi="宋体" w:eastAsia="宋体" w:cs="宋体"/>
                <w:b/>
                <w:sz w:val="21"/>
                <w:szCs w:val="21"/>
                <w:highlight w:val="none"/>
              </w:rPr>
              <w:br w:type="textWrapping"/>
            </w:r>
            <w:r>
              <w:rPr>
                <w:rFonts w:hint="eastAsia" w:ascii="宋体" w:hAnsi="宋体" w:eastAsia="宋体" w:cs="宋体"/>
                <w:b/>
                <w:sz w:val="21"/>
                <w:szCs w:val="21"/>
                <w:highlight w:val="none"/>
              </w:rPr>
              <w:t>3.采用银行、保险机构出具的保函的，必须为无条件保函，否则不予签订合同。</w:t>
            </w:r>
          </w:p>
          <w:p w14:paraId="79D9191F">
            <w:pPr>
              <w:spacing w:line="360" w:lineRule="auto"/>
              <w:contextualSpacing/>
              <w:rPr>
                <w:rFonts w:hint="eastAsia" w:ascii="宋体" w:hAnsi="宋体" w:eastAsia="宋体" w:cs="宋体"/>
                <w:sz w:val="21"/>
                <w:szCs w:val="21"/>
                <w:highlight w:val="none"/>
              </w:rPr>
            </w:pPr>
            <w:r>
              <w:rPr>
                <w:rFonts w:hint="eastAsia" w:ascii="宋体" w:hAnsi="宋体" w:eastAsia="宋体" w:cs="宋体"/>
                <w:b/>
                <w:sz w:val="21"/>
                <w:szCs w:val="21"/>
                <w:highlight w:val="none"/>
              </w:rPr>
              <w:t>4.供应商为联合体的，由联合体任意一方按规定提交的履约保证金，视为有效履约保证金。</w:t>
            </w:r>
          </w:p>
        </w:tc>
      </w:tr>
      <w:tr w14:paraId="40CB6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2A396DF">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29.1</w:t>
            </w:r>
          </w:p>
        </w:tc>
        <w:tc>
          <w:tcPr>
            <w:tcW w:w="7912" w:type="dxa"/>
            <w:noWrap w:val="0"/>
            <w:vAlign w:val="center"/>
          </w:tcPr>
          <w:p w14:paraId="247DDEA4">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签订合同携带的证明材料： </w:t>
            </w:r>
          </w:p>
          <w:p w14:paraId="7849702D">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委托代理人负责签订合同的，须携带授权委托书及委托代理人身份证原件等其他资格证件。</w:t>
            </w:r>
          </w:p>
          <w:p w14:paraId="2A1E7696">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法定代表人负责签订合同的，须携带法定代表人身份证明原件及身份证原件等其他证明材料。</w:t>
            </w:r>
          </w:p>
        </w:tc>
      </w:tr>
      <w:tr w14:paraId="49361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352A552">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31.2</w:t>
            </w:r>
          </w:p>
        </w:tc>
        <w:tc>
          <w:tcPr>
            <w:tcW w:w="7912" w:type="dxa"/>
            <w:noWrap w:val="0"/>
            <w:vAlign w:val="center"/>
          </w:tcPr>
          <w:p w14:paraId="49EDF2D2">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接收质疑函方式：书面形式或者广西政府采购云平台系统在线形式</w:t>
            </w:r>
          </w:p>
          <w:p w14:paraId="41B3860D">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质疑联系部门及联系方式：</w:t>
            </w:r>
            <w:r>
              <w:rPr>
                <w:rFonts w:hint="eastAsia" w:ascii="宋体" w:hAnsi="宋体" w:eastAsia="宋体" w:cs="宋体"/>
                <w:sz w:val="21"/>
                <w:szCs w:val="21"/>
                <w:highlight w:val="none"/>
                <w:lang w:eastAsia="zh-CN"/>
              </w:rPr>
              <w:t>广西建隆工程咨询有限公司</w:t>
            </w:r>
            <w:r>
              <w:rPr>
                <w:rFonts w:hint="eastAsia" w:ascii="宋体" w:hAnsi="宋体" w:eastAsia="宋体" w:cs="宋体"/>
                <w:sz w:val="21"/>
                <w:szCs w:val="21"/>
                <w:highlight w:val="none"/>
              </w:rPr>
              <w:t xml:space="preserve">，联系电话：0774-3856100，通讯地址：梧州市万秀区枣冲路64号第7幢负一层7号商铺          </w:t>
            </w:r>
          </w:p>
          <w:p w14:paraId="4D0A6A8A">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业务时间：工作日每天上午</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时00分到12时00分，下午3时00分到6时00分。</w:t>
            </w:r>
          </w:p>
        </w:tc>
      </w:tr>
      <w:tr w14:paraId="17649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DE47B8D">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32.1</w:t>
            </w:r>
          </w:p>
        </w:tc>
        <w:tc>
          <w:tcPr>
            <w:tcW w:w="7912" w:type="dxa"/>
            <w:noWrap w:val="0"/>
            <w:vAlign w:val="center"/>
          </w:tcPr>
          <w:p w14:paraId="70E655D2">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1.采购代理费支付方式：</w:t>
            </w:r>
          </w:p>
          <w:p w14:paraId="705E5F49">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☑本项目代理服务费由</w:t>
            </w:r>
            <w:r>
              <w:rPr>
                <w:rFonts w:hint="eastAsia" w:ascii="宋体" w:hAnsi="宋体" w:eastAsia="宋体" w:cs="宋体"/>
                <w:sz w:val="21"/>
                <w:szCs w:val="21"/>
                <w:highlight w:val="none"/>
                <w:u w:val="single"/>
              </w:rPr>
              <w:t>成交供应商</w:t>
            </w:r>
            <w:r>
              <w:rPr>
                <w:rFonts w:hint="eastAsia" w:ascii="宋体" w:hAnsi="宋体" w:eastAsia="宋体" w:cs="宋体"/>
                <w:sz w:val="21"/>
                <w:szCs w:val="21"/>
                <w:highlight w:val="none"/>
              </w:rPr>
              <w:t>在领取成交通知书前，一次性向采购代理机构支付。</w:t>
            </w:r>
          </w:p>
          <w:p w14:paraId="19B9CF6A">
            <w:pPr>
              <w:pStyle w:val="25"/>
              <w:numPr>
                <w:ilvl w:val="0"/>
                <w:numId w:val="1"/>
              </w:num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采购代理费收取标准：</w:t>
            </w:r>
          </w:p>
          <w:p w14:paraId="72A12D00">
            <w:pPr>
              <w:pStyle w:val="25"/>
              <w:snapToGrid w:val="0"/>
              <w:spacing w:line="360" w:lineRule="auto"/>
              <w:rPr>
                <w:rFonts w:hint="eastAsia" w:ascii="宋体" w:hAnsi="宋体" w:eastAsia="宋体" w:cs="宋体"/>
                <w:sz w:val="21"/>
                <w:szCs w:val="21"/>
                <w:highlight w:val="none"/>
              </w:rPr>
            </w:pPr>
            <w:bookmarkStart w:id="88" w:name="OLE_LINK14"/>
            <w:r>
              <w:rPr>
                <w:rFonts w:hint="eastAsia" w:ascii="宋体" w:hAnsi="宋体" w:eastAsia="宋体" w:cs="宋体"/>
                <w:sz w:val="21"/>
                <w:szCs w:val="21"/>
                <w:highlight w:val="none"/>
              </w:rPr>
              <w:t>☑以成交金额为计费额，按本须知正文第32.2条规定的工程类收费标准采用差额定率累进法计算出收费基准价格，采购代理收费以收费基准价格100%收取。</w:t>
            </w:r>
          </w:p>
          <w:bookmarkEnd w:id="88"/>
          <w:p w14:paraId="19D933E1">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□固定采购代理收费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r>
              <w:rPr>
                <w:rFonts w:hint="eastAsia" w:ascii="宋体" w:hAnsi="宋体" w:eastAsia="宋体" w:cs="宋体"/>
                <w:kern w:val="2"/>
                <w:sz w:val="21"/>
                <w:szCs w:val="21"/>
                <w:highlight w:val="none"/>
              </w:rPr>
              <w:t xml:space="preserve"> </w:t>
            </w:r>
          </w:p>
        </w:tc>
      </w:tr>
      <w:tr w14:paraId="0792B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ED8E2A7">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33.1</w:t>
            </w:r>
          </w:p>
        </w:tc>
        <w:tc>
          <w:tcPr>
            <w:tcW w:w="7912" w:type="dxa"/>
            <w:noWrap w:val="0"/>
            <w:vAlign w:val="center"/>
          </w:tcPr>
          <w:p w14:paraId="176162E0">
            <w:pPr>
              <w:pStyle w:val="25"/>
              <w:snapToGrid w:val="0"/>
              <w:spacing w:line="360" w:lineRule="auto"/>
              <w:rPr>
                <w:rFonts w:hint="eastAsia" w:ascii="宋体" w:hAnsi="宋体" w:eastAsia="宋体" w:cs="宋体"/>
                <w:kern w:val="2"/>
                <w:sz w:val="21"/>
                <w:szCs w:val="21"/>
                <w:highlight w:val="none"/>
              </w:rPr>
            </w:pPr>
            <w:r>
              <w:rPr>
                <w:rFonts w:hint="eastAsia" w:ascii="宋体" w:hAnsi="宋体" w:eastAsia="宋体" w:cs="宋体"/>
                <w:sz w:val="21"/>
                <w:szCs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261AF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EEECA21">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33.2</w:t>
            </w:r>
          </w:p>
        </w:tc>
        <w:tc>
          <w:tcPr>
            <w:tcW w:w="7912" w:type="dxa"/>
            <w:noWrap w:val="0"/>
            <w:vAlign w:val="center"/>
          </w:tcPr>
          <w:p w14:paraId="53BF41F0">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2D48F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D875695">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33.3</w:t>
            </w:r>
          </w:p>
        </w:tc>
        <w:tc>
          <w:tcPr>
            <w:tcW w:w="7912" w:type="dxa"/>
            <w:noWrap w:val="0"/>
            <w:vAlign w:val="center"/>
          </w:tcPr>
          <w:p w14:paraId="35218783">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640C995">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bCs/>
                <w:sz w:val="21"/>
                <w:szCs w:val="21"/>
                <w:highlight w:val="none"/>
              </w:rPr>
              <w:t>2.本磋商文件所称的“</w:t>
            </w:r>
            <w:r>
              <w:rPr>
                <w:rFonts w:hint="eastAsia" w:ascii="宋体" w:hAnsi="宋体" w:eastAsia="宋体" w:cs="宋体"/>
                <w:sz w:val="21"/>
                <w:szCs w:val="21"/>
                <w:highlight w:val="none"/>
              </w:rPr>
              <w:t>电子签章</w:t>
            </w:r>
            <w:r>
              <w:rPr>
                <w:rFonts w:hint="eastAsia" w:ascii="宋体" w:hAnsi="宋体" w:eastAsia="宋体" w:cs="宋体"/>
                <w:bCs/>
                <w:sz w:val="21"/>
                <w:szCs w:val="21"/>
                <w:highlight w:val="none"/>
              </w:rPr>
              <w:t>”、“电子签名”</w:t>
            </w:r>
            <w:r>
              <w:rPr>
                <w:rFonts w:hint="eastAsia" w:ascii="宋体" w:hAnsi="宋体" w:eastAsia="宋体" w:cs="宋体"/>
                <w:sz w:val="21"/>
                <w:szCs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31E8579F">
            <w:pPr>
              <w:pStyle w:val="25"/>
              <w:snapToGrid w:val="0"/>
              <w:spacing w:line="360" w:lineRule="auto"/>
              <w:rPr>
                <w:rFonts w:hint="eastAsia" w:ascii="宋体" w:hAnsi="宋体" w:eastAsia="宋体" w:cs="宋体"/>
                <w:bCs/>
                <w:sz w:val="21"/>
                <w:szCs w:val="21"/>
                <w:highlight w:val="none"/>
              </w:rPr>
            </w:pPr>
            <w:r>
              <w:rPr>
                <w:rFonts w:hint="eastAsia" w:ascii="宋体" w:hAnsi="宋体" w:eastAsia="宋体" w:cs="宋体"/>
                <w:sz w:val="21"/>
                <w:szCs w:val="21"/>
                <w:highlight w:val="none"/>
              </w:rPr>
              <w:t>3.供应商为其他组织时，本磋商文件规定的法定代表人指负责人。本磋商文件所称负责人是指参加竞标的其他组织</w:t>
            </w:r>
            <w:r>
              <w:rPr>
                <w:rFonts w:hint="eastAsia" w:ascii="宋体" w:hAnsi="宋体" w:eastAsia="宋体" w:cs="宋体"/>
                <w:bCs/>
                <w:sz w:val="21"/>
                <w:szCs w:val="21"/>
                <w:highlight w:val="none"/>
              </w:rPr>
              <w:t>营业执照或者执业许可证等证照上的</w:t>
            </w:r>
            <w:r>
              <w:rPr>
                <w:rFonts w:hint="eastAsia" w:ascii="宋体" w:hAnsi="宋体" w:eastAsia="宋体" w:cs="宋体"/>
                <w:sz w:val="21"/>
                <w:szCs w:val="21"/>
                <w:highlight w:val="none"/>
              </w:rPr>
              <w:t>负责人</w:t>
            </w:r>
            <w:r>
              <w:rPr>
                <w:rFonts w:hint="eastAsia" w:ascii="宋体" w:hAnsi="宋体" w:eastAsia="宋体" w:cs="宋体"/>
                <w:bCs/>
                <w:sz w:val="21"/>
                <w:szCs w:val="21"/>
                <w:highlight w:val="none"/>
              </w:rPr>
              <w:t>。</w:t>
            </w:r>
          </w:p>
          <w:p w14:paraId="3B63645A">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0A729084">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5.本磋商文件所称的“以上”“以下”“以内”“届满”，包括本数；所称的“不满”“超过”“以外”，不包括本数。</w:t>
            </w:r>
          </w:p>
        </w:tc>
      </w:tr>
    </w:tbl>
    <w:p w14:paraId="55F5BE29">
      <w:pPr>
        <w:spacing w:line="360" w:lineRule="exact"/>
        <w:jc w:val="center"/>
        <w:rPr>
          <w:rFonts w:hint="eastAsia" w:ascii="宋体" w:hAnsi="宋体"/>
          <w:b/>
          <w:sz w:val="32"/>
          <w:szCs w:val="32"/>
          <w:highlight w:val="none"/>
        </w:rPr>
      </w:pPr>
      <w:r>
        <w:rPr>
          <w:rFonts w:ascii="宋体" w:hAnsi="宋体"/>
          <w:b/>
          <w:sz w:val="32"/>
          <w:szCs w:val="32"/>
          <w:highlight w:val="none"/>
        </w:rPr>
        <w:br w:type="page"/>
      </w:r>
      <w:r>
        <w:rPr>
          <w:rFonts w:hint="eastAsia" w:ascii="宋体" w:hAnsi="宋体"/>
          <w:b/>
          <w:sz w:val="32"/>
          <w:szCs w:val="32"/>
          <w:highlight w:val="none"/>
        </w:rPr>
        <w:t>供应商须知正文</w:t>
      </w:r>
    </w:p>
    <w:p w14:paraId="63985CBE">
      <w:pPr>
        <w:spacing w:line="360" w:lineRule="exact"/>
        <w:jc w:val="center"/>
        <w:rPr>
          <w:rFonts w:hint="eastAsia" w:ascii="宋体" w:hAnsi="宋体"/>
          <w:b/>
          <w:sz w:val="32"/>
          <w:szCs w:val="32"/>
          <w:highlight w:val="none"/>
        </w:rPr>
      </w:pPr>
    </w:p>
    <w:p w14:paraId="1E7DD1DB">
      <w:pPr>
        <w:spacing w:line="360" w:lineRule="exact"/>
        <w:jc w:val="center"/>
        <w:rPr>
          <w:rFonts w:hint="eastAsia" w:ascii="宋体" w:hAnsi="宋体"/>
          <w:b/>
          <w:sz w:val="32"/>
          <w:szCs w:val="32"/>
          <w:highlight w:val="none"/>
        </w:rPr>
      </w:pPr>
      <w:r>
        <w:rPr>
          <w:rFonts w:hint="eastAsia" w:ascii="宋体" w:hAnsi="宋体"/>
          <w:b/>
          <w:sz w:val="32"/>
          <w:szCs w:val="32"/>
          <w:highlight w:val="none"/>
        </w:rPr>
        <w:t>一、总则</w:t>
      </w:r>
    </w:p>
    <w:p w14:paraId="4D2A5342">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1.适用范围</w:t>
      </w:r>
    </w:p>
    <w:p w14:paraId="0C243CE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51CEAC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1.2本竞争性磋商文件（以下简称磋商文件）适用于本项目的所有采购程序和环节（法律、法规另有规定的，从其规定）</w:t>
      </w:r>
      <w:r>
        <w:rPr>
          <w:rFonts w:hint="eastAsia" w:ascii="宋体" w:hAnsi="宋体" w:eastAsia="宋体" w:cs="宋体"/>
          <w:spacing w:val="-6"/>
          <w:sz w:val="21"/>
          <w:szCs w:val="21"/>
          <w:highlight w:val="none"/>
        </w:rPr>
        <w:t>。</w:t>
      </w:r>
    </w:p>
    <w:p w14:paraId="5560078E">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2.定义</w:t>
      </w:r>
    </w:p>
    <w:p w14:paraId="776F5B5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2.1“采购人”是指依法进行政府采购的国家机关、事业单位、团体组织。</w:t>
      </w:r>
    </w:p>
    <w:p w14:paraId="39060CB3">
      <w:pPr>
        <w:spacing w:line="360" w:lineRule="auto"/>
        <w:ind w:firstLine="420" w:firstLine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2.2“采购代理机构”是指政府采购集中采购机构和集中采购机构以外的采购代理机构。</w:t>
      </w:r>
    </w:p>
    <w:p w14:paraId="5C1FB72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2.3“供应商”是指向采购人提供货物、工程或者服务的法人、其他组织或者自然人。</w:t>
      </w:r>
    </w:p>
    <w:p w14:paraId="2249669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2.4“工程”是指建设工程，包括建筑物和构筑物的新建、改建、扩建、装修、拆除、修缮等。</w:t>
      </w:r>
    </w:p>
    <w:p w14:paraId="3D3F41A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2.5“竞标”是指供应商按照本项目竞争性磋商公告或者邀请函规定的方式获取磋商文件、提交响应文件并希望获得标的的行为。</w:t>
      </w:r>
    </w:p>
    <w:p w14:paraId="526A4D60">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2.6“书面形式”是指合同书、信件和数据电文（包括电报、电传、传真、电子数据交换和电子邮件）等可以有形地表现所载内容的形式。</w:t>
      </w:r>
    </w:p>
    <w:p w14:paraId="3E3E4EBC">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2.7“响应文件”是指：供应商根据本磋商文件要求，编制包含资格证明、报价、商务技术等所有内容的文件</w:t>
      </w:r>
      <w:r>
        <w:rPr>
          <w:rFonts w:hint="eastAsia" w:ascii="宋体" w:hAnsi="宋体" w:eastAsia="宋体" w:cs="宋体"/>
          <w:spacing w:val="-6"/>
          <w:sz w:val="21"/>
          <w:szCs w:val="21"/>
          <w:highlight w:val="none"/>
        </w:rPr>
        <w:t>。</w:t>
      </w:r>
    </w:p>
    <w:p w14:paraId="18F7E449">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2.8“实质性要求”是指磋商文件中已经指明不满足则响应文件按无效处理的条款，或者不能负偏离的条款，或者采购需求中带“▲”的条款。</w:t>
      </w:r>
    </w:p>
    <w:p w14:paraId="55E9E3D2">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2.9“正偏离”，是指响应文件对磋商文件“采购需求”中有关条款作出的响应优于条款要求并有利于采购人的情形。</w:t>
      </w:r>
    </w:p>
    <w:p w14:paraId="55D26BDD">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2.10“负偏离”，是指响应文件对磋商文件“采购需求”中有关条款作出的响应不满足条款要求，导致采购人要求不能得到满足的情形。</w:t>
      </w:r>
    </w:p>
    <w:p w14:paraId="74F4827A">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2.11“允许负偏离的条款”是指采购需求中的不属于“实质性要求”的条款。</w:t>
      </w:r>
    </w:p>
    <w:p w14:paraId="6565978A">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2.12“首次报价”是指供应商提交的首次响应文件中的报价。</w:t>
      </w:r>
    </w:p>
    <w:p w14:paraId="1A3903ED">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3.供应商的资格条件</w:t>
      </w:r>
    </w:p>
    <w:p w14:paraId="44F5FCA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3.1供应商的资格条件详见“供应商须知前附表”。</w:t>
      </w:r>
    </w:p>
    <w:p w14:paraId="11D14E2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3.2供应商不得存在下列情形之一：</w:t>
      </w:r>
    </w:p>
    <w:p w14:paraId="00CE2EE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（1）单位负责人为同一人或者存在直接控股、管理关系的不同供应商，不得参加同一合同项下的政府采购活动；</w:t>
      </w:r>
    </w:p>
    <w:p w14:paraId="3CFEE99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（2）为本项目提供过整体设计、规范编制或者项目管理、监理、检测等服务的供应商，不得再参加本项目上述服务以外的其他采购活动；</w:t>
      </w:r>
    </w:p>
    <w:p w14:paraId="10DEC16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（3）为本分标的代建人；</w:t>
      </w:r>
    </w:p>
    <w:p w14:paraId="6F3921F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（4）为本分标提供采购代理服务的；</w:t>
      </w:r>
    </w:p>
    <w:p w14:paraId="2F7CA8E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（5）与本分标的监理人或代建人或采购代理机构同为一个法定代表人的；</w:t>
      </w:r>
    </w:p>
    <w:p w14:paraId="692CC8E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（6）与本分标的监理人或代建人或采购代理机构相互控股或参股的；</w:t>
      </w:r>
    </w:p>
    <w:p w14:paraId="69016E8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（7）与本分标的监理人或代建人或采购代理机构相互任职或工作的；</w:t>
      </w:r>
    </w:p>
    <w:p w14:paraId="1D73CA1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（8）在“信用中国”网站（www.creditchina.gov.cn） 、中国政府采购网（www.ccgp.gov.cn）被列入失信被执行人、重大税收违法失信主体、政府采购严重违法失信行为记录名单及其他不符合《中华人民共和国政府采购法》第二十二条规定条件的。</w:t>
      </w:r>
    </w:p>
    <w:p w14:paraId="10429529">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4.竞标费用</w:t>
      </w:r>
    </w:p>
    <w:p w14:paraId="0CBB25E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供应商应承担参与本次采购活动有关的所有费用，包括但不限于获取磋商文件、勘查现场、编制和提交响应文件、参加磋商与应答、签订合同等，不论竞标结果如何，均应自行承担。</w:t>
      </w:r>
    </w:p>
    <w:p w14:paraId="39DC2C77">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5.联合体竞标</w:t>
      </w:r>
    </w:p>
    <w:p w14:paraId="784963E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5.1本项目是否接受联合体竞标，详见“供应商须知前附表”。</w:t>
      </w:r>
    </w:p>
    <w:p w14:paraId="445C072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5.2如接受联合体竞标，联合体竞标要求详见“供应商须知前附表”。</w:t>
      </w:r>
    </w:p>
    <w:p w14:paraId="4656532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5.3</w:t>
      </w:r>
      <w:bookmarkStart w:id="89" w:name="_Hlk66782192"/>
      <w:r>
        <w:rPr>
          <w:rFonts w:hint="eastAsia" w:ascii="宋体" w:hAnsi="宋体" w:eastAsia="宋体" w:cs="宋体"/>
          <w:sz w:val="21"/>
          <w:szCs w:val="21"/>
          <w:highlight w:val="none"/>
        </w:rPr>
        <w:t>根据《政府采购促进中小企业发展管理办法》（财库〔2020〕46号）第九条第二款及《广西壮族自治区财政厅关于贯彻落实政府采购支持中小企业发展政策的通知》（桂财采〔2022〕31号 ）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的扣除，用扣除后的价格参加评审。</w:t>
      </w:r>
      <w:bookmarkEnd w:id="89"/>
    </w:p>
    <w:p w14:paraId="16DB7355">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6.转包与分包             </w:t>
      </w:r>
    </w:p>
    <w:p w14:paraId="4DCE43A5">
      <w:pPr>
        <w:pStyle w:val="6"/>
        <w:keepNext w:val="0"/>
        <w:keepLines w:val="0"/>
        <w:spacing w:before="0" w:after="0" w:line="360" w:lineRule="auto"/>
        <w:ind w:left="420" w:leftChars="200"/>
        <w:rPr>
          <w:rFonts w:hint="eastAsia" w:ascii="宋体" w:hAnsi="宋体" w:eastAsia="宋体" w:cs="宋体"/>
          <w:b w:val="0"/>
          <w:sz w:val="21"/>
          <w:szCs w:val="21"/>
          <w:highlight w:val="none"/>
        </w:rPr>
      </w:pPr>
      <w:bookmarkStart w:id="90" w:name="_Toc254970532"/>
      <w:bookmarkStart w:id="91" w:name="_Toc254970673"/>
      <w:r>
        <w:rPr>
          <w:rFonts w:hint="eastAsia" w:ascii="宋体" w:hAnsi="宋体" w:eastAsia="宋体" w:cs="宋体"/>
          <w:b w:val="0"/>
          <w:sz w:val="21"/>
          <w:szCs w:val="21"/>
          <w:highlight w:val="none"/>
        </w:rPr>
        <w:t>6.1本项目不允许转包。</w:t>
      </w:r>
    </w:p>
    <w:p w14:paraId="61940E7D">
      <w:pPr>
        <w:pStyle w:val="6"/>
        <w:keepNext w:val="0"/>
        <w:keepLines w:val="0"/>
        <w:spacing w:before="0" w:after="0" w:line="360" w:lineRule="auto"/>
        <w:ind w:firstLine="315" w:firstLineChars="15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2A235D43">
      <w:pPr>
        <w:pStyle w:val="6"/>
        <w:keepNext w:val="0"/>
        <w:keepLines w:val="0"/>
        <w:spacing w:before="0" w:after="0" w:line="360" w:lineRule="auto"/>
        <w:ind w:firstLine="315" w:firstLineChars="15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78766BF8">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7.特别说明</w:t>
      </w:r>
      <w:bookmarkEnd w:id="90"/>
      <w:bookmarkEnd w:id="91"/>
    </w:p>
    <w:p w14:paraId="2B53E9CE">
      <w:pPr>
        <w:spacing w:line="360" w:lineRule="auto"/>
        <w:ind w:firstLine="420" w:firstLineChars="200"/>
        <w:rPr>
          <w:rFonts w:hint="eastAsia" w:ascii="宋体" w:hAnsi="宋体" w:eastAsia="宋体" w:cs="宋体"/>
          <w:sz w:val="21"/>
          <w:szCs w:val="21"/>
          <w:highlight w:val="none"/>
        </w:rPr>
      </w:pPr>
      <w:bookmarkStart w:id="92" w:name="_8.1提供相同品牌产品且通过资格审查、符合性审查的不同投标人参加同一合"/>
      <w:bookmarkEnd w:id="92"/>
      <w:r>
        <w:rPr>
          <w:rFonts w:hint="eastAsia" w:ascii="宋体" w:hAnsi="宋体" w:eastAsia="宋体" w:cs="宋体"/>
          <w:sz w:val="21"/>
          <w:szCs w:val="21"/>
          <w:highlight w:val="none"/>
        </w:rPr>
        <w:t>7.1</w:t>
      </w:r>
      <w:bookmarkStart w:id="93" w:name="_Hlk65832145"/>
      <w:r>
        <w:rPr>
          <w:rFonts w:hint="eastAsia" w:ascii="宋体" w:hAnsi="宋体" w:eastAsia="宋体" w:cs="宋体"/>
          <w:sz w:val="21"/>
          <w:szCs w:val="21"/>
          <w:highlight w:val="none"/>
        </w:rPr>
        <w:t>如果本磋商文件要求提供供应商或制造商的资格、信誉、荣誉、业绩与企业认证等材料的，资格、信誉、荣誉、业绩与企业认证等必须为供应商或者制造商所拥有或自身获得 。</w:t>
      </w:r>
    </w:p>
    <w:bookmarkEnd w:id="93"/>
    <w:p w14:paraId="554142F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7.2供应商应仔细阅读磋商文件的所有内容，按照磋商文件的要求提交响应文件，并对所提供的全部资料的真实性承担法律责任。</w:t>
      </w:r>
    </w:p>
    <w:p w14:paraId="2A39B95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7.3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0C19DF7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7.4在政府采购活动中，采购人员及相关人员与供应商有下列利害关系之一的，应当回避：</w:t>
      </w:r>
    </w:p>
    <w:p w14:paraId="532E062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（1）参加采购活动前3年内与供应商存在劳动关系；</w:t>
      </w:r>
    </w:p>
    <w:p w14:paraId="1A1ADED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（2）参加采购活动前3年内担任供应商的董事、监事；</w:t>
      </w:r>
    </w:p>
    <w:p w14:paraId="11DFDE6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（3）参加采购活动前3年内是供应商的控股股东或者实际控制人；</w:t>
      </w:r>
    </w:p>
    <w:p w14:paraId="07DBF07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（4）与供应商的法定代表人或者负责人有夫妻、直系血亲、三代以内旁系血亲或者近姻亲关系；</w:t>
      </w:r>
    </w:p>
    <w:p w14:paraId="7BABB02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（5）与供应商有其他可能影响政府采购活动公平、公正进行的关系。</w:t>
      </w:r>
    </w:p>
    <w:p w14:paraId="0CA0059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43EAAF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7.5有下列情形之一的视为供应商相互串通竞标，响应文件将被视为无效：</w:t>
      </w:r>
    </w:p>
    <w:p w14:paraId="3F7165B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（1）不同供应商的响应文件由同一单位或者个人编制； </w:t>
      </w:r>
    </w:p>
    <w:p w14:paraId="3E6E526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（2）不同供应商委托同一单位或者个人办理竞标事宜；</w:t>
      </w:r>
    </w:p>
    <w:p w14:paraId="05876E3F">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（3）不同的供应商的响应文件载明的项目管理员为同一个人；</w:t>
      </w:r>
    </w:p>
    <w:p w14:paraId="3FDF4E9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（4）不同供应商的响应文件异常一致或者报价呈规律性差异；</w:t>
      </w:r>
    </w:p>
    <w:p w14:paraId="609C895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（5）不同供应商的响应文件相互混装；</w:t>
      </w:r>
    </w:p>
    <w:p w14:paraId="15895151">
      <w:pPr>
        <w:tabs>
          <w:tab w:val="left" w:pos="6931"/>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（6）不同供应商的磋商保证金从同一单位或者个人账户转出。</w:t>
      </w:r>
    </w:p>
    <w:p w14:paraId="21A100FD">
      <w:pPr>
        <w:tabs>
          <w:tab w:val="left" w:pos="6931"/>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不同供应商的响应文件由同一单位或者个人编制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或不同响应文件报名的IP地址一致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ab/>
      </w:r>
    </w:p>
    <w:p w14:paraId="377F2FA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7.6供应商有下列情形之一的，属于恶意串通行为，将报同级监督管理部门：</w:t>
      </w:r>
    </w:p>
    <w:p w14:paraId="7B0857C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（1）供应商直接或者间接从采购人或者采购代理机构处获得其他供应商的相关信息并修改其响应文件；</w:t>
      </w:r>
    </w:p>
    <w:p w14:paraId="030A7E6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（2）供应商按照采购人或者采购代理机构的授意撤换、修改响应文件；</w:t>
      </w:r>
    </w:p>
    <w:p w14:paraId="5C8E220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（3）供应商之间协商报价、技术方案等响应文件或者响应文件的实质性内容；</w:t>
      </w:r>
    </w:p>
    <w:p w14:paraId="466F11E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（4）属于同一集团、协会、商会等组织成员的供应商按照该组织要求协同参加政府采购活动；</w:t>
      </w:r>
    </w:p>
    <w:p w14:paraId="45876DE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（5）供应商之间事先约定一致抬高或者压低报价，或者在政府采购活动中事先约定轮流以高价位或者低价位成交，或者事先约定由某一特定供应商成交，然后再参加竞标；</w:t>
      </w:r>
    </w:p>
    <w:p w14:paraId="2CA53BF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（6）供应商之间商定部分供应商放弃参加政府采购活动或者放弃成交；</w:t>
      </w:r>
    </w:p>
    <w:p w14:paraId="75EE289E">
      <w:pPr>
        <w:spacing w:line="360" w:lineRule="auto"/>
        <w:ind w:firstLine="420" w:firstLineChars="200"/>
        <w:rPr>
          <w:rFonts w:hint="eastAsia" w:ascii="宋体" w:hAnsi="宋体" w:cs="宋体"/>
          <w:szCs w:val="21"/>
          <w:highlight w:val="none"/>
        </w:rPr>
      </w:pPr>
      <w:r>
        <w:rPr>
          <w:rFonts w:hint="eastAsia" w:ascii="宋体" w:hAnsi="宋体" w:eastAsia="宋体" w:cs="宋体"/>
          <w:sz w:val="21"/>
          <w:szCs w:val="21"/>
          <w:highlight w:val="none"/>
        </w:rPr>
        <w:t>（7）供应商与采购人或者采购代理机构之间、供应商相互之间，为谋求特定供应商成交或者排斥其他供应商的其他串通行为。</w:t>
      </w:r>
    </w:p>
    <w:p w14:paraId="4A3B8EB2">
      <w:pPr>
        <w:spacing w:line="360" w:lineRule="exact"/>
        <w:ind w:firstLine="420" w:firstLineChars="200"/>
        <w:rPr>
          <w:rFonts w:hint="eastAsia" w:ascii="宋体" w:hAnsi="宋体" w:cs="宋体"/>
          <w:szCs w:val="21"/>
          <w:highlight w:val="none"/>
        </w:rPr>
      </w:pPr>
    </w:p>
    <w:p w14:paraId="12079B91">
      <w:pPr>
        <w:spacing w:line="360" w:lineRule="exact"/>
        <w:ind w:left="1" w:firstLine="417" w:firstLineChars="199"/>
        <w:jc w:val="center"/>
        <w:rPr>
          <w:rFonts w:hint="eastAsia" w:ascii="宋体" w:hAnsi="宋体"/>
          <w:highlight w:val="none"/>
        </w:rPr>
      </w:pPr>
      <w:bookmarkStart w:id="94" w:name="_Toc254970675"/>
      <w:bookmarkStart w:id="95" w:name="_Toc254970534"/>
    </w:p>
    <w:p w14:paraId="332B125C">
      <w:pPr>
        <w:spacing w:line="360" w:lineRule="exact"/>
        <w:jc w:val="center"/>
        <w:rPr>
          <w:rFonts w:hint="eastAsia" w:ascii="宋体" w:hAnsi="宋体"/>
          <w:b/>
          <w:bCs/>
          <w:sz w:val="32"/>
          <w:szCs w:val="32"/>
          <w:highlight w:val="none"/>
        </w:rPr>
      </w:pPr>
      <w:r>
        <w:rPr>
          <w:rFonts w:hint="eastAsia" w:ascii="宋体" w:hAnsi="宋体"/>
          <w:b/>
          <w:bCs/>
          <w:sz w:val="32"/>
          <w:szCs w:val="32"/>
          <w:highlight w:val="none"/>
        </w:rPr>
        <w:t>二、磋商文件</w:t>
      </w:r>
      <w:bookmarkEnd w:id="94"/>
      <w:bookmarkEnd w:id="95"/>
    </w:p>
    <w:p w14:paraId="5BD60920">
      <w:pPr>
        <w:spacing w:line="360" w:lineRule="exact"/>
        <w:rPr>
          <w:rFonts w:hint="eastAsia" w:ascii="宋体" w:hAnsi="宋体"/>
          <w:szCs w:val="21"/>
          <w:highlight w:val="none"/>
        </w:rPr>
      </w:pPr>
    </w:p>
    <w:p w14:paraId="784C1BD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8.磋商文件的构成</w:t>
      </w:r>
    </w:p>
    <w:p w14:paraId="337D15B3">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第一章  竞争性磋商公告；</w:t>
      </w:r>
    </w:p>
    <w:p w14:paraId="2DDF3B9D">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第二章  供应商须知； </w:t>
      </w:r>
    </w:p>
    <w:p w14:paraId="671369D2">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第三章  采购需求；</w:t>
      </w:r>
    </w:p>
    <w:p w14:paraId="67ECF406">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第四章  评审程序、评审方法和评审标准；</w:t>
      </w:r>
    </w:p>
    <w:p w14:paraId="2FBF055D">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第五章  工程量清单及图纸；</w:t>
      </w:r>
    </w:p>
    <w:p w14:paraId="2102AF4B">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第六章  响应文件格式；</w:t>
      </w:r>
    </w:p>
    <w:p w14:paraId="7595846B">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第七章  合同文本。</w:t>
      </w:r>
    </w:p>
    <w:p w14:paraId="18D1242C">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9.供应商的询问</w:t>
      </w:r>
    </w:p>
    <w:p w14:paraId="577420C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1DCD77F2">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10.磋商文件的澄清和修改</w:t>
      </w:r>
    </w:p>
    <w:p w14:paraId="526263C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个工作日前，以书面形式通知所有获取磋商文件的供应商，不足</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个工作日的，应当顺延提交首次响应文件截止之日。</w:t>
      </w:r>
    </w:p>
    <w:p w14:paraId="4E2860A1">
      <w:pPr>
        <w:spacing w:line="360" w:lineRule="exact"/>
        <w:rPr>
          <w:rFonts w:hint="eastAsia" w:ascii="宋体" w:hAnsi="宋体"/>
          <w:szCs w:val="21"/>
          <w:highlight w:val="none"/>
        </w:rPr>
      </w:pPr>
    </w:p>
    <w:p w14:paraId="42E21FFB">
      <w:pPr>
        <w:spacing w:line="360" w:lineRule="exact"/>
        <w:jc w:val="center"/>
        <w:rPr>
          <w:rFonts w:hint="eastAsia" w:ascii="宋体" w:hAnsi="宋体"/>
          <w:b/>
          <w:bCs/>
          <w:szCs w:val="21"/>
          <w:highlight w:val="none"/>
        </w:rPr>
      </w:pPr>
      <w:r>
        <w:rPr>
          <w:rFonts w:hint="eastAsia" w:ascii="宋体" w:hAnsi="宋体"/>
          <w:b/>
          <w:bCs/>
          <w:sz w:val="32"/>
          <w:szCs w:val="32"/>
          <w:highlight w:val="none"/>
        </w:rPr>
        <w:t>三、响应文件的编制</w:t>
      </w:r>
    </w:p>
    <w:p w14:paraId="5616FA2D">
      <w:pPr>
        <w:spacing w:line="360" w:lineRule="exact"/>
        <w:rPr>
          <w:rFonts w:hint="eastAsia" w:ascii="宋体" w:hAnsi="宋体"/>
          <w:szCs w:val="21"/>
          <w:highlight w:val="none"/>
        </w:rPr>
      </w:pPr>
    </w:p>
    <w:p w14:paraId="108F29FC">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11.响应文件的编制原则</w:t>
      </w:r>
    </w:p>
    <w:p w14:paraId="75A4B57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供应商必须按照磋商文件的要求编制响应文件，并对其提交的响应文件的真实性、合法性承担法律责任。响应文件必须对磋商文件作出实质性响应。</w:t>
      </w:r>
    </w:p>
    <w:p w14:paraId="5F0B12B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12.响应文件的组成</w:t>
      </w:r>
    </w:p>
    <w:p w14:paraId="3405F76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12.1响应文件由资格证明文件、报价文件、商务技术文件三部分组成。</w:t>
      </w:r>
    </w:p>
    <w:p w14:paraId="356A007E">
      <w:pPr>
        <w:spacing w:line="360" w:lineRule="auto"/>
        <w:ind w:left="840" w:leftChars="200" w:hanging="420" w:hangingChars="200"/>
        <w:rPr>
          <w:rFonts w:hint="eastAsia" w:ascii="宋体" w:hAnsi="宋体" w:eastAsia="宋体" w:cs="宋体"/>
          <w:sz w:val="21"/>
          <w:szCs w:val="21"/>
          <w:highlight w:val="none"/>
        </w:rPr>
      </w:pPr>
      <w:r>
        <w:rPr>
          <w:rFonts w:hint="eastAsia" w:ascii="宋体" w:hAnsi="宋体" w:eastAsia="宋体" w:cs="宋体"/>
          <w:sz w:val="21"/>
          <w:szCs w:val="21"/>
          <w:highlight w:val="none"/>
        </w:rPr>
        <w:t>12.1.1资格证明文件：详见“供应商须知前附表”</w:t>
      </w:r>
    </w:p>
    <w:p w14:paraId="74F0E0B6">
      <w:pPr>
        <w:spacing w:line="360" w:lineRule="auto"/>
        <w:ind w:left="840" w:leftChars="200" w:hanging="420" w:hangingChars="200"/>
        <w:rPr>
          <w:rFonts w:hint="eastAsia" w:ascii="宋体" w:hAnsi="宋体" w:eastAsia="宋体" w:cs="宋体"/>
          <w:sz w:val="21"/>
          <w:szCs w:val="21"/>
          <w:highlight w:val="none"/>
        </w:rPr>
      </w:pPr>
      <w:r>
        <w:rPr>
          <w:rFonts w:hint="eastAsia" w:ascii="宋体" w:hAnsi="宋体" w:eastAsia="宋体" w:cs="宋体"/>
          <w:sz w:val="21"/>
          <w:szCs w:val="21"/>
          <w:highlight w:val="none"/>
        </w:rPr>
        <w:t>12.1.2报价文件：详见“供应商须知前附表”</w:t>
      </w:r>
    </w:p>
    <w:p w14:paraId="57D981F7">
      <w:pPr>
        <w:spacing w:line="360" w:lineRule="auto"/>
        <w:ind w:left="840" w:leftChars="200" w:hanging="420" w:hangingChars="200"/>
        <w:rPr>
          <w:rFonts w:hint="eastAsia" w:ascii="宋体" w:hAnsi="宋体" w:eastAsia="宋体" w:cs="宋体"/>
          <w:sz w:val="21"/>
          <w:szCs w:val="21"/>
          <w:highlight w:val="none"/>
        </w:rPr>
      </w:pPr>
      <w:r>
        <w:rPr>
          <w:rFonts w:hint="eastAsia" w:ascii="宋体" w:hAnsi="宋体" w:eastAsia="宋体" w:cs="宋体"/>
          <w:sz w:val="21"/>
          <w:szCs w:val="21"/>
          <w:highlight w:val="none"/>
        </w:rPr>
        <w:t>12.1.3商务技术文件：详见“供应商须知前附表”</w:t>
      </w:r>
    </w:p>
    <w:p w14:paraId="234DC58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13.计量单位</w:t>
      </w:r>
    </w:p>
    <w:p w14:paraId="5EF0421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磋商文件已有明确规定的，使用磋商文件规定的计量单位；磋商文件没有规定的，应采用中华人民共和国法定计量单位，货币种类为人民币，否则视同未响应。</w:t>
      </w:r>
    </w:p>
    <w:p w14:paraId="71EE0347">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14.竞标的风险</w:t>
      </w:r>
    </w:p>
    <w:p w14:paraId="4F6F4F6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供应商没有按照磋商文件要求提供全部资料，或者供应商没有对磋商文件在各方面作出实质性响应可能导致其响应无效，是供应商应当考虑的风险。</w:t>
      </w:r>
    </w:p>
    <w:p w14:paraId="365AF1B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15.竞标报价</w:t>
      </w:r>
    </w:p>
    <w:p w14:paraId="65371A0B">
      <w:pPr>
        <w:tabs>
          <w:tab w:val="left" w:pos="2492"/>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15.1竞标报价应按磋商文件第五章“工程量清单及图纸”的要求及第六章“响应文件格式”填写相应表格。</w:t>
      </w:r>
    </w:p>
    <w:p w14:paraId="5ECB4B46">
      <w:pPr>
        <w:tabs>
          <w:tab w:val="left" w:pos="2492"/>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15.2竞标报价的内容见“供应商须知前附表”。</w:t>
      </w:r>
    </w:p>
    <w:p w14:paraId="56DB61D9">
      <w:pPr>
        <w:tabs>
          <w:tab w:val="left" w:pos="2492"/>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15.3本项目的增值税计税方法见“供应商须知前附表”。</w:t>
      </w:r>
    </w:p>
    <w:p w14:paraId="49D9A4D5">
      <w:pPr>
        <w:spacing w:line="360" w:lineRule="auto"/>
        <w:ind w:left="426" w:leftChars="203"/>
        <w:rPr>
          <w:rFonts w:hint="eastAsia" w:ascii="宋体" w:hAnsi="宋体" w:eastAsia="宋体" w:cs="宋体"/>
          <w:sz w:val="21"/>
          <w:szCs w:val="21"/>
          <w:highlight w:val="none"/>
        </w:rPr>
      </w:pPr>
      <w:r>
        <w:rPr>
          <w:rFonts w:hint="eastAsia" w:ascii="宋体" w:hAnsi="宋体" w:eastAsia="宋体" w:cs="宋体"/>
          <w:sz w:val="21"/>
          <w:szCs w:val="21"/>
          <w:highlight w:val="none"/>
        </w:rPr>
        <w:t>15.4竞标报价要求</w:t>
      </w:r>
    </w:p>
    <w:p w14:paraId="1EF7729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15.4.1供应商的竞标报价应符合以下要求，否则响应文件按无效处理：</w:t>
      </w:r>
    </w:p>
    <w:p w14:paraId="3FBE425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（1）供应商必须就“采购需求”中所竞标的每个分标的全部内容分别作完整唯一总价报价，不得存在漏项报价；</w:t>
      </w:r>
    </w:p>
    <w:p w14:paraId="7EEA412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（2）供应商必须就所竞标的分标的单项内容作唯一报价。</w:t>
      </w:r>
    </w:p>
    <w:p w14:paraId="24DBC86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15.4.2竞标报价（包含首次报价、最后报价）超过所竞标分标规定的采购预算金额或者最高限价的，其响应文件将按无效处理。</w:t>
      </w:r>
    </w:p>
    <w:p w14:paraId="7A98439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15.4.3</w:t>
      </w:r>
      <w:bookmarkStart w:id="96" w:name="_Hlk42592874"/>
      <w:r>
        <w:rPr>
          <w:rFonts w:hint="eastAsia" w:ascii="宋体" w:hAnsi="宋体" w:eastAsia="宋体" w:cs="宋体"/>
          <w:sz w:val="21"/>
          <w:szCs w:val="21"/>
          <w:highlight w:val="none"/>
        </w:rPr>
        <w:t>竞标报价（包含首次报价、最后报价）超过分项采购预算金额或者单价最高限价的（如有要求），其响应文件将按无效处理。</w:t>
      </w:r>
    </w:p>
    <w:p w14:paraId="453B23C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96"/>
    <w:p w14:paraId="1E940CFC">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16.竞标有效期</w:t>
      </w:r>
    </w:p>
    <w:p w14:paraId="781A748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16.1竞标有效期是指为保证采购人有足够的时间在提交响应文件后完成评审、确定成交供应商、合同签订等工作而要求供应商提交的响应文件在一定时间内保持有效的期限。</w:t>
      </w:r>
    </w:p>
    <w:p w14:paraId="4493758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16.2 竞标有效期应由供应商按“供应商须知前附表”规定的期限作出响应。</w:t>
      </w:r>
    </w:p>
    <w:p w14:paraId="255AD05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16.3供应商的响应文件在竞标有效期内均保持有效。</w:t>
      </w:r>
    </w:p>
    <w:p w14:paraId="211D90C4">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17.磋商保证金</w:t>
      </w:r>
    </w:p>
    <w:p w14:paraId="608F17FB">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17.1供应商须按“供应商须知前附表”的规定提交磋商保证金。</w:t>
      </w:r>
    </w:p>
    <w:p w14:paraId="5E7B1630">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17.2磋商保证金的退还</w:t>
      </w:r>
    </w:p>
    <w:p w14:paraId="59F777FD">
      <w:pPr>
        <w:spacing w:line="360" w:lineRule="auto"/>
        <w:ind w:firstLine="420" w:firstLineChars="200"/>
        <w:rPr>
          <w:rFonts w:hint="eastAsia" w:ascii="宋体" w:hAnsi="宋体" w:eastAsia="宋体" w:cs="宋体"/>
          <w:sz w:val="21"/>
          <w:szCs w:val="21"/>
          <w:highlight w:val="none"/>
        </w:rPr>
      </w:pPr>
      <w:bookmarkStart w:id="97" w:name="_Hlk66782243"/>
      <w:r>
        <w:rPr>
          <w:rFonts w:hint="eastAsia" w:ascii="宋体" w:hAnsi="宋体" w:eastAsia="宋体" w:cs="宋体"/>
          <w:sz w:val="21"/>
          <w:szCs w:val="21"/>
          <w:highlight w:val="none"/>
        </w:rPr>
        <w:t>未成交供应商的磋商保证金自成交通知书发出之日起5个工作日内退还；成交供应商的磋商保证金自签订合同之日起5个工作日内退还或者转为成交供应商的履约保证金。</w:t>
      </w:r>
      <w:bookmarkEnd w:id="97"/>
      <w:r>
        <w:rPr>
          <w:rFonts w:hint="eastAsia" w:ascii="宋体" w:hAnsi="宋体" w:eastAsia="宋体" w:cs="宋体"/>
          <w:sz w:val="21"/>
          <w:szCs w:val="21"/>
          <w:highlight w:val="none"/>
        </w:rPr>
        <w:t xml:space="preserve"> </w:t>
      </w:r>
    </w:p>
    <w:p w14:paraId="2263198A">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17.3磋商保证金不计息。</w:t>
      </w:r>
    </w:p>
    <w:p w14:paraId="6D74FF01">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17.4供应商有下列情形之一的，磋商保证金将不予退还： </w:t>
      </w:r>
    </w:p>
    <w:p w14:paraId="6ED095E5">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（1）供应商在提交响应文件截止时间后撤回响应文件的；</w:t>
      </w:r>
    </w:p>
    <w:p w14:paraId="5D55950B">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（2）未按规定提交履约保证金的；</w:t>
      </w:r>
    </w:p>
    <w:p w14:paraId="0E4F78A8">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（3）供应商在响应文件中提供虚假材料的；</w:t>
      </w:r>
    </w:p>
    <w:p w14:paraId="5823134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（4）除因不可抗力或者磋商文件认可的情形以外，成交供应商不与采购人签订合同的；</w:t>
      </w:r>
    </w:p>
    <w:p w14:paraId="0BAE938E">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（5）供应商与采购人、其他供应商或者采购代理机构恶意串通的；</w:t>
      </w:r>
    </w:p>
    <w:p w14:paraId="1AD952DA">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（6）法律法规规定的其他情形。</w:t>
      </w:r>
    </w:p>
    <w:p w14:paraId="480D336E">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18.响应文件编制的要求</w:t>
      </w:r>
    </w:p>
    <w:p w14:paraId="0A55320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18.1投标人应按照本项目招标文件规定的格式和顺序和广西政府采购云平台的要求编制并加密。响应文件内容不完整、编排混乱导致响应文件被误读、漏读或者查找不到相关内容的，由此引发的后果由供应商承担。</w:t>
      </w:r>
    </w:p>
    <w:p w14:paraId="716F057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2AADFD7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18.3响应文件须由供应商在规定位置签字、盖章（具体以供应商须知前附表或响应文件格式规定为准），否则按无效响应处理。</w:t>
      </w:r>
    </w:p>
    <w:p w14:paraId="3715268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18.4响应文件中标注的供应商名称应与主体资格证明（如营业执照或者事业单位法人证书或者执业许可证或者登记证书等）及公章一致，否则其响应文件按无效处理。</w:t>
      </w:r>
    </w:p>
    <w:p w14:paraId="6C173E1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2C3DF0E">
      <w:pPr>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19.电子</w:t>
      </w:r>
      <w:r>
        <w:rPr>
          <w:rFonts w:hint="eastAsia" w:ascii="宋体" w:hAnsi="宋体" w:eastAsia="宋体" w:cs="宋体"/>
          <w:b/>
          <w:sz w:val="21"/>
          <w:szCs w:val="21"/>
          <w:highlight w:val="none"/>
        </w:rPr>
        <w:t>备份响应文件</w:t>
      </w:r>
    </w:p>
    <w:p w14:paraId="1CBA9E3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电子备份投标文件是指通过在线编制生成且后缀名为“bfbs”的文件，是否接受电子备份响应文件</w:t>
      </w:r>
      <w:r>
        <w:rPr>
          <w:rFonts w:hint="eastAsia" w:ascii="宋体" w:hAnsi="宋体" w:eastAsia="宋体" w:cs="宋体"/>
          <w:bCs/>
          <w:sz w:val="21"/>
          <w:szCs w:val="21"/>
          <w:highlight w:val="none"/>
        </w:rPr>
        <w:t>详见在“供应商须知前附表”。</w:t>
      </w:r>
    </w:p>
    <w:p w14:paraId="53FC330B">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20.响应文件的提交</w:t>
      </w:r>
    </w:p>
    <w:p w14:paraId="1DD75923">
      <w:pPr>
        <w:spacing w:line="360" w:lineRule="auto"/>
        <w:ind w:firstLine="420" w:firstLineChars="200"/>
        <w:rPr>
          <w:rFonts w:hint="eastAsia" w:ascii="宋体" w:hAnsi="宋体" w:eastAsia="宋体" w:cs="宋体"/>
          <w:b/>
          <w:sz w:val="21"/>
          <w:szCs w:val="21"/>
          <w:highlight w:val="none"/>
        </w:rPr>
      </w:pPr>
      <w:r>
        <w:rPr>
          <w:rFonts w:hint="eastAsia" w:ascii="宋体" w:hAnsi="宋体" w:eastAsia="宋体" w:cs="宋体"/>
          <w:bCs/>
          <w:sz w:val="21"/>
          <w:szCs w:val="21"/>
          <w:highlight w:val="none"/>
        </w:rPr>
        <w:t>20.1供应商必须按“供应商须知前附表”规定的</w:t>
      </w:r>
      <w:r>
        <w:rPr>
          <w:rFonts w:hint="eastAsia" w:ascii="宋体" w:hAnsi="宋体" w:eastAsia="宋体" w:cs="宋体"/>
          <w:sz w:val="21"/>
          <w:szCs w:val="21"/>
          <w:highlight w:val="none"/>
        </w:rPr>
        <w:t>时间及</w:t>
      </w:r>
      <w:r>
        <w:rPr>
          <w:rFonts w:hint="eastAsia" w:ascii="宋体" w:hAnsi="宋体" w:eastAsia="宋体" w:cs="宋体"/>
          <w:bCs/>
          <w:sz w:val="21"/>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eastAsia="宋体" w:cs="宋体"/>
          <w:sz w:val="21"/>
          <w:szCs w:val="21"/>
          <w:highlight w:val="none"/>
        </w:rPr>
        <w:t>广西政府采购云平台</w:t>
      </w:r>
      <w:r>
        <w:rPr>
          <w:rFonts w:hint="eastAsia" w:ascii="宋体" w:hAnsi="宋体" w:eastAsia="宋体" w:cs="宋体"/>
          <w:bCs/>
          <w:sz w:val="21"/>
          <w:szCs w:val="21"/>
          <w:highlight w:val="none"/>
        </w:rPr>
        <w:t xml:space="preserve">。 </w:t>
      </w:r>
      <w:r>
        <w:rPr>
          <w:rFonts w:hint="eastAsia" w:ascii="宋体" w:hAnsi="宋体" w:eastAsia="宋体" w:cs="宋体"/>
          <w:b/>
          <w:sz w:val="21"/>
          <w:szCs w:val="21"/>
          <w:highlight w:val="none"/>
        </w:rPr>
        <w:t xml:space="preserve"> </w:t>
      </w:r>
    </w:p>
    <w:p w14:paraId="5257FC2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20.2未在规定时间内提交或者未按照磋商文件要求加密的电子响应文件，广西政府采购云平台将拒收。</w:t>
      </w:r>
    </w:p>
    <w:p w14:paraId="7F1AD0C1">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21.首次响应文件的补充、修改与撤回</w:t>
      </w:r>
    </w:p>
    <w:p w14:paraId="2D591E5D">
      <w:pPr>
        <w:spacing w:line="360" w:lineRule="auto"/>
        <w:ind w:firstLine="420" w:firstLineChars="200"/>
        <w:rPr>
          <w:rFonts w:hint="eastAsia" w:ascii="宋体" w:hAnsi="宋体" w:eastAsia="宋体" w:cs="宋体"/>
          <w:bCs/>
          <w:sz w:val="21"/>
          <w:szCs w:val="21"/>
          <w:highlight w:val="none"/>
        </w:rPr>
      </w:pPr>
      <w:bookmarkStart w:id="98" w:name="_Toc254970684"/>
      <w:bookmarkStart w:id="99" w:name="_Toc254970543"/>
      <w:r>
        <w:rPr>
          <w:rFonts w:hint="eastAsia" w:ascii="宋体" w:hAnsi="宋体" w:eastAsia="宋体" w:cs="宋体"/>
          <w:bCs/>
          <w:sz w:val="21"/>
          <w:szCs w:val="21"/>
          <w:highlight w:val="none"/>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录广西政府采购云平台，进入“服务中心”中查看 “电子投标文件制作与投送教程”）</w:t>
      </w:r>
    </w:p>
    <w:bookmarkEnd w:id="98"/>
    <w:bookmarkEnd w:id="99"/>
    <w:p w14:paraId="12DE7FFA">
      <w:pPr>
        <w:pStyle w:val="102"/>
        <w:spacing w:before="0" w:line="360" w:lineRule="auto"/>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21.2在提交响应文件截止时间前，除供应商补充、修改或者撤回响应文件外，任何单位和个人不得解密或提取响应文件。</w:t>
      </w:r>
    </w:p>
    <w:p w14:paraId="1CE11A87">
      <w:pPr>
        <w:spacing w:line="360" w:lineRule="auto"/>
        <w:ind w:firstLine="422" w:firstLineChars="200"/>
        <w:rPr>
          <w:rFonts w:hint="eastAsia" w:ascii="宋体" w:hAnsi="宋体" w:eastAsia="宋体" w:cs="宋体"/>
          <w:b/>
          <w:bCs/>
          <w:sz w:val="21"/>
          <w:szCs w:val="21"/>
          <w:highlight w:val="none"/>
        </w:rPr>
      </w:pPr>
      <w:bookmarkStart w:id="100" w:name="_Hlk45702405"/>
      <w:r>
        <w:rPr>
          <w:rFonts w:hint="eastAsia" w:ascii="宋体" w:hAnsi="宋体" w:eastAsia="宋体" w:cs="宋体"/>
          <w:b/>
          <w:bCs/>
          <w:sz w:val="21"/>
          <w:szCs w:val="21"/>
          <w:highlight w:val="none"/>
        </w:rPr>
        <w:t>22.响应文件的退回</w:t>
      </w:r>
    </w:p>
    <w:p w14:paraId="61A33E1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采购人和采购代理机构对已提交的响应文件概不退回。</w:t>
      </w:r>
    </w:p>
    <w:p w14:paraId="3687086D">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23.截止时间后的撤回</w:t>
      </w:r>
    </w:p>
    <w:p w14:paraId="281EEFF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供应商在响应文件提交截止时间后向采购人、采购代理机构书面申请撤回响应文件的，将根据本须知正文第17.4条的规定不予退还其磋商保证金。</w:t>
      </w:r>
    </w:p>
    <w:bookmarkEnd w:id="100"/>
    <w:p w14:paraId="117D6649">
      <w:pPr>
        <w:spacing w:line="360" w:lineRule="exact"/>
        <w:rPr>
          <w:rFonts w:hint="eastAsia" w:ascii="宋体" w:hAnsi="宋体"/>
          <w:szCs w:val="21"/>
          <w:highlight w:val="none"/>
        </w:rPr>
      </w:pPr>
    </w:p>
    <w:p w14:paraId="555EEF60">
      <w:pPr>
        <w:spacing w:line="360" w:lineRule="exact"/>
        <w:ind w:left="420" w:firstLine="420"/>
        <w:jc w:val="center"/>
        <w:rPr>
          <w:rFonts w:hint="eastAsia" w:ascii="宋体" w:hAnsi="宋体"/>
          <w:b/>
          <w:bCs/>
          <w:sz w:val="32"/>
          <w:szCs w:val="32"/>
          <w:highlight w:val="none"/>
        </w:rPr>
      </w:pPr>
      <w:r>
        <w:rPr>
          <w:rFonts w:hint="eastAsia" w:ascii="宋体" w:hAnsi="宋体"/>
          <w:b/>
          <w:bCs/>
          <w:sz w:val="32"/>
          <w:szCs w:val="32"/>
          <w:highlight w:val="none"/>
        </w:rPr>
        <w:t>四、评审及磋商</w:t>
      </w:r>
    </w:p>
    <w:p w14:paraId="38263469">
      <w:pPr>
        <w:spacing w:line="360" w:lineRule="exact"/>
        <w:ind w:left="420" w:firstLine="420"/>
        <w:rPr>
          <w:rFonts w:hint="eastAsia" w:ascii="宋体" w:hAnsi="宋体"/>
          <w:szCs w:val="21"/>
          <w:highlight w:val="none"/>
        </w:rPr>
      </w:pPr>
    </w:p>
    <w:p w14:paraId="526CD9F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24.磋商小组成立</w:t>
      </w:r>
    </w:p>
    <w:p w14:paraId="211F5EF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08B55DF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6CFFDA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24.3</w:t>
      </w:r>
      <w:r>
        <w:rPr>
          <w:rFonts w:hint="eastAsia" w:ascii="宋体" w:hAnsi="宋体" w:eastAsia="宋体" w:cs="宋体"/>
          <w:bCs/>
          <w:sz w:val="21"/>
          <w:szCs w:val="21"/>
          <w:highlight w:val="none"/>
        </w:rPr>
        <w:t>采购代理机构应当基于广西政府采购云平台抽（选）取评审专家。</w:t>
      </w:r>
    </w:p>
    <w:p w14:paraId="2F795BBF">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25.首次响应文件的开启和解密</w:t>
      </w:r>
    </w:p>
    <w:p w14:paraId="26177CF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bCs/>
          <w:sz w:val="21"/>
          <w:szCs w:val="21"/>
          <w:highlight w:val="none"/>
        </w:rPr>
        <w:t>采购代理机构将在“供应商须知前附表”规定的时</w:t>
      </w:r>
      <w:r>
        <w:rPr>
          <w:rFonts w:hint="eastAsia" w:ascii="宋体" w:hAnsi="宋体" w:eastAsia="宋体" w:cs="宋体"/>
          <w:sz w:val="21"/>
          <w:szCs w:val="21"/>
          <w:highlight w:val="none"/>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eastAsia="宋体" w:cs="宋体"/>
          <w:bCs/>
          <w:sz w:val="21"/>
          <w:szCs w:val="21"/>
          <w:highlight w:val="none"/>
        </w:rPr>
        <w:t>“供应商须知前附表”</w:t>
      </w:r>
      <w:r>
        <w:rPr>
          <w:rFonts w:hint="eastAsia" w:ascii="宋体" w:hAnsi="宋体" w:eastAsia="宋体" w:cs="宋体"/>
          <w:sz w:val="21"/>
          <w:szCs w:val="21"/>
          <w:highlight w:val="none"/>
        </w:rPr>
        <w:t>规定的时间内自行进行响应文件解密。</w:t>
      </w:r>
      <w:r>
        <w:rPr>
          <w:rFonts w:hint="eastAsia" w:ascii="宋体" w:hAnsi="宋体" w:eastAsia="宋体" w:cs="宋体"/>
          <w:b/>
          <w:sz w:val="21"/>
          <w:szCs w:val="21"/>
          <w:highlight w:val="none"/>
        </w:rPr>
        <w:t>供应商未在规定的时间内解密响应文件或者解密失败的，供应商的响应文件按无效处理。</w:t>
      </w:r>
    </w:p>
    <w:p w14:paraId="637BCB72">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26.评审程序、评审方法和评审标准</w:t>
      </w:r>
    </w:p>
    <w:p w14:paraId="795F1BC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26.1本项目的评审方法为综合评分法。</w:t>
      </w:r>
    </w:p>
    <w:p w14:paraId="3A613C7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26.2磋商小组按照“第四章 评审程序、评审方法和评审标准”规定的方法、评审因素、标准和程序对响应文件进行评审并推荐成交候选供应商。</w:t>
      </w:r>
    </w:p>
    <w:p w14:paraId="58F42D7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2C78EAB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26.4电子交易活动的中止。采购过程中出现以下情形，导致电子交易平台无法正常运行，或者无法保证电子交易的公平、公正和安全时，采购机构可中止电子交易活动：</w:t>
      </w:r>
    </w:p>
    <w:p w14:paraId="6F2085E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（1）电子交易平台发生故障而无法登录访问的； </w:t>
      </w:r>
    </w:p>
    <w:p w14:paraId="237EC63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（2）电子交易平台应用或数据库出现错误，不能进行正常操作的；</w:t>
      </w:r>
    </w:p>
    <w:p w14:paraId="16590EC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（3）电子交易平台发现严重安全漏洞，有潜在泄密危险的；</w:t>
      </w:r>
    </w:p>
    <w:p w14:paraId="7E6FA0D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（4）病毒发作导致不能进行正常操作的； </w:t>
      </w:r>
    </w:p>
    <w:p w14:paraId="64B7DC2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（5）其他无法保证电子交易的公平、公正和安全的情况。</w:t>
      </w:r>
    </w:p>
    <w:p w14:paraId="1074114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E6D1F04">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27.确定成交供应商及结果公告</w:t>
      </w:r>
    </w:p>
    <w:p w14:paraId="79D20EE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27.1</w:t>
      </w:r>
      <w:r>
        <w:rPr>
          <w:rFonts w:hint="eastAsia" w:ascii="宋体" w:hAnsi="宋体" w:eastAsia="宋体" w:cs="宋体"/>
          <w:kern w:val="0"/>
          <w:sz w:val="21"/>
          <w:szCs w:val="21"/>
          <w:highlight w:val="none"/>
        </w:rPr>
        <w:t xml:space="preserve"> </w:t>
      </w:r>
      <w:r>
        <w:rPr>
          <w:rFonts w:hint="eastAsia" w:ascii="宋体" w:hAnsi="宋体" w:eastAsia="宋体" w:cs="宋体"/>
          <w:sz w:val="21"/>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17DE45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27.2采购代理机构应当在</w:t>
      </w:r>
      <w:r>
        <w:rPr>
          <w:rFonts w:hint="eastAsia" w:ascii="宋体" w:hAnsi="宋体" w:eastAsia="宋体" w:cs="宋体"/>
          <w:kern w:val="0"/>
          <w:sz w:val="21"/>
          <w:szCs w:val="21"/>
          <w:highlight w:val="none"/>
        </w:rPr>
        <w:t>成交</w:t>
      </w:r>
      <w:r>
        <w:rPr>
          <w:rFonts w:hint="eastAsia" w:ascii="宋体" w:hAnsi="宋体" w:eastAsia="宋体" w:cs="宋体"/>
          <w:sz w:val="21"/>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101" w:name="_Hlk66782294"/>
      <w:r>
        <w:rPr>
          <w:rFonts w:hint="eastAsia" w:ascii="宋体" w:hAnsi="宋体" w:eastAsia="宋体" w:cs="宋体"/>
          <w:sz w:val="21"/>
          <w:szCs w:val="21"/>
          <w:highlight w:val="none"/>
        </w:rPr>
        <w:t>成交供应商享受《政府采购促进中小企业发展管理办法》（财库〔2020〕46号）规定的中小企业扶持政策的，采购人、采购代理机构应当随成交结果公开成交供应商的《中小企业声明函》。</w:t>
      </w:r>
      <w:bookmarkEnd w:id="101"/>
    </w:p>
    <w:p w14:paraId="1093ABA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27.3出现下列情形之一的，采购人或者采购代理机构应当终止竞争性磋商采购活动，发布项目终止公告并说明原因，重新开展采购活动：</w:t>
      </w:r>
    </w:p>
    <w:p w14:paraId="1F7340F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（1）因情况变化，不再符合规定的竞争性磋商采购方式适用情形的；</w:t>
      </w:r>
    </w:p>
    <w:p w14:paraId="5E859D2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（2）出现影响采购公正的违法、违规行为的；</w:t>
      </w:r>
    </w:p>
    <w:p w14:paraId="5A74F52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（3）除“第四章 评审程序、评审方法和评审标准”第4.3条规定的情形外，在采购过程中符合要求的供应商或者报价未超过采购预算的供应商不足3家的。</w:t>
      </w:r>
    </w:p>
    <w:p w14:paraId="1DF1DF0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DBC636D">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28.履约保证金</w:t>
      </w:r>
    </w:p>
    <w:p w14:paraId="6CEB1267">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28.1 履约保证金的金额、提交方式、退付的时间和条件详见 “供应商须知前附表”。成交供应商未按规定提交履约保证金的，视为拒绝与采购人签订合同。</w:t>
      </w:r>
    </w:p>
    <w:p w14:paraId="65D7B99F">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28.2在履约保证金退还日期前，若成交供应商的开户名称、开户银行、帐号有变动的，请以书面形式通知履约保证金收取单位，否则由此产生的后果由成交供应商自行承担。</w:t>
      </w:r>
    </w:p>
    <w:p w14:paraId="3997728D">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29.签订合同</w:t>
      </w:r>
    </w:p>
    <w:p w14:paraId="431125C3">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29.1签订电子采购合同：成交供应商领取电子成交通知书后，在</w:t>
      </w:r>
      <w:r>
        <w:rPr>
          <w:rFonts w:hint="eastAsia" w:ascii="宋体" w:hAnsi="宋体" w:eastAsia="宋体" w:cs="宋体"/>
          <w:sz w:val="21"/>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6232DAC">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线下签订纸质合同：供应商领取成交通知书后，按“供应商须知前附表”规定向采购人出示相关证明材料，经采购人核验合格后方可签订合同。</w:t>
      </w:r>
    </w:p>
    <w:p w14:paraId="67BB6A8D">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29.2签订合同时间：按成交通知书规定的时间与采购人签订合同。</w:t>
      </w:r>
    </w:p>
    <w:p w14:paraId="440F312D">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E5CE415">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C06A31F">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7EA2AC8C">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29.6如签订合同并生效后，供应商无故拒绝或延期，除按照合同条款处理外，将承担相应的法律责任。</w:t>
      </w:r>
    </w:p>
    <w:p w14:paraId="6187EBFF">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AAF1E88">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30.政府采购合同公告</w:t>
      </w:r>
    </w:p>
    <w:p w14:paraId="2BA5558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7498F8B">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31. 询问、质疑和投诉</w:t>
      </w:r>
    </w:p>
    <w:p w14:paraId="782AC689">
      <w:pPr>
        <w:pStyle w:val="7"/>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31.1供应商对政府采购活动事项有疑问的，可以向采购人、采购代理机构提出询问，采购人或者采购代理机构应当在3个工作日内对供应商依法提出的询问作出答复，但答复的内容不得涉及商业秘密。</w:t>
      </w:r>
    </w:p>
    <w:p w14:paraId="58EBB3F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sz w:val="21"/>
          <w:szCs w:val="21"/>
          <w:highlight w:val="none"/>
          <w:shd w:val="clear" w:color="auto" w:fill="FFFFFF"/>
        </w:rPr>
        <w:t>接收质疑函的方式、联系部门、联系电话和通讯地址等信息详见</w:t>
      </w:r>
      <w:r>
        <w:rPr>
          <w:rFonts w:hint="eastAsia" w:ascii="宋体" w:hAnsi="宋体" w:eastAsia="宋体" w:cs="宋体"/>
          <w:sz w:val="21"/>
          <w:szCs w:val="21"/>
          <w:highlight w:val="none"/>
        </w:rPr>
        <w:t>“供应商须知前附表”。具体质疑起算时间如下：</w:t>
      </w:r>
    </w:p>
    <w:p w14:paraId="7121FBD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（1）对可以质疑的磋商文件提出质疑的，为获取磋商文件之日或者竞争性磋商公告期限届满之日；</w:t>
      </w:r>
    </w:p>
    <w:p w14:paraId="35D7204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（2）对采购过程提出质疑的，为各采购程序环节结束之日；</w:t>
      </w:r>
    </w:p>
    <w:p w14:paraId="3E82B5B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（3）对成交结果提出质疑的，为成交结果公告期限届满之日。</w:t>
      </w:r>
    </w:p>
    <w:p w14:paraId="307A5BE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179E4C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sz w:val="21"/>
          <w:szCs w:val="21"/>
          <w:highlight w:val="none"/>
        </w:rPr>
        <w:t>（质疑函格式后附）</w:t>
      </w:r>
      <w:r>
        <w:rPr>
          <w:rFonts w:hint="eastAsia" w:ascii="宋体" w:hAnsi="宋体" w:eastAsia="宋体" w:cs="宋体"/>
          <w:sz w:val="21"/>
          <w:szCs w:val="21"/>
          <w:highlight w:val="none"/>
        </w:rPr>
        <w:t>：</w:t>
      </w:r>
    </w:p>
    <w:p w14:paraId="15E8C63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（1）供应商的姓名或者名称、地址、邮编、联系人及联系电话；</w:t>
      </w:r>
    </w:p>
    <w:p w14:paraId="0E461EB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（2）质疑项目的名称、编号；</w:t>
      </w:r>
    </w:p>
    <w:p w14:paraId="7E8E0D2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（3）具体、明确的质疑事项和与质疑事项相关的请求；</w:t>
      </w:r>
    </w:p>
    <w:p w14:paraId="2F94694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（4）事实依据；</w:t>
      </w:r>
    </w:p>
    <w:p w14:paraId="7159259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（5）必要的法律依据；</w:t>
      </w:r>
    </w:p>
    <w:p w14:paraId="43ACA85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（6）提出质疑的日期。</w:t>
      </w:r>
    </w:p>
    <w:p w14:paraId="779C700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供应商为自然人的，应当由本人签字；供应商为法人或者其他组织的，应当由法定代表人、主要负责人，或者其委托代理人签字或者盖章，并加盖公章。</w:t>
      </w:r>
    </w:p>
    <w:p w14:paraId="2EDB467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4834B48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（一）对采购文件提出的质疑，依法通过澄清或者修改可以继续开展采购活动的，澄清或者修改采购文件后继续开展采购活动；否则应当修改采购文件后重新开展采购活动。</w:t>
      </w:r>
    </w:p>
    <w:p w14:paraId="1198F47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5E1031F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质疑答复导致成交结果改变的，采购人或者采购代理机构应当将有关情况书面报告本级财政部门。</w:t>
      </w:r>
    </w:p>
    <w:p w14:paraId="2298BC4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F46226B">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32.其他内容</w:t>
      </w:r>
    </w:p>
    <w:p w14:paraId="005B8402">
      <w:pPr>
        <w:tabs>
          <w:tab w:val="left" w:pos="2835"/>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32.1代理服务收取标准及缴费账户详见“供应商须知前附表”，供应商为联合体的，可以由联合体中的一方或者多方共同交纳代理服务费。</w:t>
      </w:r>
    </w:p>
    <w:p w14:paraId="0A2BCB29">
      <w:pPr>
        <w:tabs>
          <w:tab w:val="left" w:pos="2835"/>
        </w:tabs>
        <w:spacing w:line="360" w:lineRule="auto"/>
        <w:ind w:firstLine="420" w:firstLineChars="200"/>
        <w:rPr>
          <w:rFonts w:hint="eastAsia" w:ascii="宋体" w:hAnsi="宋体" w:cs="宋体"/>
          <w:szCs w:val="21"/>
          <w:highlight w:val="none"/>
        </w:rPr>
      </w:pPr>
      <w:r>
        <w:rPr>
          <w:rFonts w:hint="eastAsia" w:ascii="宋体" w:hAnsi="宋体" w:eastAsia="宋体" w:cs="宋体"/>
          <w:sz w:val="21"/>
          <w:szCs w:val="21"/>
          <w:highlight w:val="none"/>
        </w:rPr>
        <w:t>32.2代理服务费收费计算标准：</w:t>
      </w:r>
    </w:p>
    <w:tbl>
      <w:tblPr>
        <w:tblStyle w:val="4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5ACE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C6375D2">
            <w:pPr>
              <w:spacing w:line="360" w:lineRule="auto"/>
              <w:rPr>
                <w:rFonts w:hint="eastAsia" w:ascii="宋体" w:hAnsi="宋体" w:cs="宋体"/>
                <w:szCs w:val="21"/>
                <w:highlight w:val="none"/>
              </w:rPr>
            </w:pPr>
            <w:r>
              <w:rPr>
                <w:rFonts w:hint="eastAsia" w:ascii="宋体" w:hAnsi="宋体" w:cs="宋体"/>
                <w:szCs w:val="21"/>
                <w:highlight w:val="none"/>
              </w:rPr>
              <w:t xml:space="preserve">               费率</w:t>
            </w:r>
          </w:p>
          <w:p w14:paraId="27F80965">
            <w:pPr>
              <w:spacing w:line="360" w:lineRule="auto"/>
              <w:rPr>
                <w:rFonts w:hint="eastAsia" w:ascii="宋体" w:hAnsi="宋体" w:cs="宋体"/>
                <w:szCs w:val="21"/>
                <w:highlight w:val="none"/>
              </w:rPr>
            </w:pPr>
            <w:r>
              <w:rPr>
                <w:rFonts w:hint="eastAsia" w:ascii="宋体" w:hAnsi="宋体" w:cs="宋体"/>
                <w:szCs w:val="21"/>
                <w:highlight w:val="none"/>
              </w:rPr>
              <w:t>金额</w:t>
            </w:r>
          </w:p>
        </w:tc>
        <w:tc>
          <w:tcPr>
            <w:tcW w:w="1659" w:type="dxa"/>
            <w:noWrap w:val="0"/>
            <w:vAlign w:val="center"/>
          </w:tcPr>
          <w:p w14:paraId="100763D7">
            <w:pPr>
              <w:spacing w:line="360" w:lineRule="auto"/>
              <w:ind w:firstLine="105" w:firstLineChars="50"/>
              <w:jc w:val="center"/>
              <w:rPr>
                <w:rFonts w:hint="eastAsia" w:ascii="宋体" w:hAnsi="宋体" w:cs="宋体"/>
                <w:szCs w:val="21"/>
                <w:highlight w:val="none"/>
              </w:rPr>
            </w:pPr>
            <w:r>
              <w:rPr>
                <w:rFonts w:hint="eastAsia" w:ascii="宋体" w:hAnsi="宋体" w:cs="宋体"/>
                <w:szCs w:val="21"/>
                <w:highlight w:val="none"/>
              </w:rPr>
              <w:t>货物类</w:t>
            </w:r>
          </w:p>
        </w:tc>
        <w:tc>
          <w:tcPr>
            <w:tcW w:w="1532" w:type="dxa"/>
            <w:noWrap w:val="0"/>
            <w:vAlign w:val="center"/>
          </w:tcPr>
          <w:p w14:paraId="5D097994">
            <w:pPr>
              <w:spacing w:line="360" w:lineRule="auto"/>
              <w:jc w:val="center"/>
              <w:rPr>
                <w:rFonts w:hint="eastAsia" w:ascii="宋体" w:hAnsi="宋体" w:cs="宋体"/>
                <w:szCs w:val="21"/>
                <w:highlight w:val="none"/>
              </w:rPr>
            </w:pPr>
            <w:r>
              <w:rPr>
                <w:rFonts w:hint="eastAsia" w:ascii="宋体" w:hAnsi="宋体" w:cs="宋体"/>
                <w:szCs w:val="21"/>
                <w:highlight w:val="none"/>
              </w:rPr>
              <w:t>服务类</w:t>
            </w:r>
          </w:p>
        </w:tc>
        <w:tc>
          <w:tcPr>
            <w:tcW w:w="1546" w:type="dxa"/>
            <w:noWrap w:val="0"/>
            <w:vAlign w:val="center"/>
          </w:tcPr>
          <w:p w14:paraId="3AAEC9EB">
            <w:pPr>
              <w:spacing w:line="360" w:lineRule="auto"/>
              <w:jc w:val="center"/>
              <w:rPr>
                <w:rFonts w:hint="eastAsia" w:ascii="宋体" w:hAnsi="宋体" w:cs="宋体"/>
                <w:szCs w:val="21"/>
                <w:highlight w:val="none"/>
              </w:rPr>
            </w:pPr>
            <w:r>
              <w:rPr>
                <w:rFonts w:hint="eastAsia" w:ascii="宋体" w:hAnsi="宋体" w:cs="宋体"/>
                <w:szCs w:val="21"/>
                <w:highlight w:val="none"/>
              </w:rPr>
              <w:t>工程类</w:t>
            </w:r>
          </w:p>
        </w:tc>
      </w:tr>
      <w:tr w14:paraId="0D26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36B590E">
            <w:pPr>
              <w:spacing w:line="360" w:lineRule="auto"/>
              <w:rPr>
                <w:rFonts w:hint="eastAsia" w:ascii="宋体" w:hAnsi="宋体" w:cs="宋体"/>
                <w:szCs w:val="21"/>
                <w:highlight w:val="none"/>
              </w:rPr>
            </w:pPr>
            <w:r>
              <w:rPr>
                <w:rFonts w:hint="eastAsia" w:ascii="宋体" w:hAnsi="宋体" w:cs="宋体"/>
                <w:szCs w:val="21"/>
                <w:highlight w:val="none"/>
              </w:rPr>
              <w:t>100万元以下</w:t>
            </w:r>
          </w:p>
        </w:tc>
        <w:tc>
          <w:tcPr>
            <w:tcW w:w="1659" w:type="dxa"/>
            <w:noWrap w:val="0"/>
            <w:vAlign w:val="top"/>
          </w:tcPr>
          <w:p w14:paraId="2C102F3B">
            <w:pPr>
              <w:spacing w:line="360" w:lineRule="auto"/>
              <w:rPr>
                <w:rFonts w:hint="eastAsia" w:ascii="宋体" w:hAnsi="宋体" w:cs="宋体"/>
                <w:szCs w:val="21"/>
                <w:highlight w:val="none"/>
              </w:rPr>
            </w:pPr>
            <w:r>
              <w:rPr>
                <w:rFonts w:hint="eastAsia" w:ascii="宋体" w:hAnsi="宋体" w:cs="宋体"/>
                <w:kern w:val="0"/>
                <w:szCs w:val="21"/>
                <w:highlight w:val="none"/>
              </w:rPr>
              <w:t xml:space="preserve">  1.5%                </w:t>
            </w:r>
          </w:p>
        </w:tc>
        <w:tc>
          <w:tcPr>
            <w:tcW w:w="1532" w:type="dxa"/>
            <w:noWrap w:val="0"/>
            <w:vAlign w:val="top"/>
          </w:tcPr>
          <w:p w14:paraId="4441D16D">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1.5%</w:t>
            </w:r>
          </w:p>
        </w:tc>
        <w:tc>
          <w:tcPr>
            <w:tcW w:w="1546" w:type="dxa"/>
            <w:noWrap w:val="0"/>
            <w:vAlign w:val="top"/>
          </w:tcPr>
          <w:p w14:paraId="4291ABF2">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1.0% </w:t>
            </w:r>
          </w:p>
        </w:tc>
      </w:tr>
      <w:tr w14:paraId="14D7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B9FE88B">
            <w:pPr>
              <w:spacing w:line="360" w:lineRule="auto"/>
              <w:rPr>
                <w:rFonts w:hint="eastAsia" w:ascii="宋体" w:hAnsi="宋体" w:cs="宋体"/>
                <w:szCs w:val="21"/>
                <w:highlight w:val="none"/>
              </w:rPr>
            </w:pPr>
            <w:r>
              <w:rPr>
                <w:rFonts w:hint="eastAsia" w:ascii="宋体" w:hAnsi="宋体" w:cs="宋体"/>
                <w:szCs w:val="21"/>
                <w:highlight w:val="none"/>
              </w:rPr>
              <w:t>100～500万元</w:t>
            </w:r>
          </w:p>
        </w:tc>
        <w:tc>
          <w:tcPr>
            <w:tcW w:w="1659" w:type="dxa"/>
            <w:noWrap w:val="0"/>
            <w:vAlign w:val="top"/>
          </w:tcPr>
          <w:p w14:paraId="104A70B0">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1.1%                 </w:t>
            </w:r>
          </w:p>
        </w:tc>
        <w:tc>
          <w:tcPr>
            <w:tcW w:w="1532" w:type="dxa"/>
            <w:noWrap w:val="0"/>
            <w:vAlign w:val="top"/>
          </w:tcPr>
          <w:p w14:paraId="34C67A64">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0.8%</w:t>
            </w:r>
          </w:p>
        </w:tc>
        <w:tc>
          <w:tcPr>
            <w:tcW w:w="1546" w:type="dxa"/>
            <w:noWrap w:val="0"/>
            <w:vAlign w:val="top"/>
          </w:tcPr>
          <w:p w14:paraId="2FF3A37B">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0.7% </w:t>
            </w:r>
          </w:p>
        </w:tc>
      </w:tr>
      <w:tr w14:paraId="6112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C2E3999">
            <w:pPr>
              <w:spacing w:line="360" w:lineRule="auto"/>
              <w:rPr>
                <w:rFonts w:hint="eastAsia" w:ascii="宋体" w:hAnsi="宋体" w:cs="宋体"/>
                <w:szCs w:val="21"/>
                <w:highlight w:val="none"/>
              </w:rPr>
            </w:pPr>
            <w:r>
              <w:rPr>
                <w:rFonts w:hint="eastAsia" w:ascii="宋体" w:hAnsi="宋体" w:cs="宋体"/>
                <w:szCs w:val="21"/>
                <w:highlight w:val="none"/>
              </w:rPr>
              <w:t>500～1000万元</w:t>
            </w:r>
          </w:p>
        </w:tc>
        <w:tc>
          <w:tcPr>
            <w:tcW w:w="1659" w:type="dxa"/>
            <w:noWrap w:val="0"/>
            <w:vAlign w:val="top"/>
          </w:tcPr>
          <w:p w14:paraId="7688032E">
            <w:pPr>
              <w:spacing w:line="360" w:lineRule="auto"/>
              <w:rPr>
                <w:rFonts w:hint="eastAsia" w:ascii="宋体" w:hAnsi="宋体" w:cs="宋体"/>
                <w:szCs w:val="21"/>
                <w:highlight w:val="none"/>
              </w:rPr>
            </w:pPr>
            <w:r>
              <w:rPr>
                <w:rFonts w:hint="eastAsia" w:ascii="宋体" w:hAnsi="宋体" w:cs="宋体"/>
                <w:kern w:val="0"/>
                <w:szCs w:val="21"/>
                <w:highlight w:val="none"/>
              </w:rPr>
              <w:t xml:space="preserve">  0.8%                </w:t>
            </w:r>
          </w:p>
        </w:tc>
        <w:tc>
          <w:tcPr>
            <w:tcW w:w="1532" w:type="dxa"/>
            <w:noWrap w:val="0"/>
            <w:vAlign w:val="top"/>
          </w:tcPr>
          <w:p w14:paraId="2210113F">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0.45%</w:t>
            </w:r>
          </w:p>
        </w:tc>
        <w:tc>
          <w:tcPr>
            <w:tcW w:w="1546" w:type="dxa"/>
            <w:noWrap w:val="0"/>
            <w:vAlign w:val="top"/>
          </w:tcPr>
          <w:p w14:paraId="05D32054">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0.55%</w:t>
            </w:r>
          </w:p>
        </w:tc>
      </w:tr>
      <w:tr w14:paraId="143A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1E24F9F">
            <w:pPr>
              <w:spacing w:line="360" w:lineRule="auto"/>
              <w:rPr>
                <w:rFonts w:hint="eastAsia" w:ascii="宋体" w:hAnsi="宋体" w:cs="宋体"/>
                <w:szCs w:val="21"/>
                <w:highlight w:val="none"/>
              </w:rPr>
            </w:pPr>
            <w:r>
              <w:rPr>
                <w:rFonts w:hint="eastAsia" w:ascii="宋体" w:hAnsi="宋体" w:cs="宋体"/>
                <w:szCs w:val="21"/>
                <w:highlight w:val="none"/>
              </w:rPr>
              <w:t>1000～5000万元</w:t>
            </w:r>
          </w:p>
        </w:tc>
        <w:tc>
          <w:tcPr>
            <w:tcW w:w="1659" w:type="dxa"/>
            <w:noWrap w:val="0"/>
            <w:vAlign w:val="top"/>
          </w:tcPr>
          <w:p w14:paraId="10753730">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0.5%                </w:t>
            </w:r>
          </w:p>
        </w:tc>
        <w:tc>
          <w:tcPr>
            <w:tcW w:w="1532" w:type="dxa"/>
            <w:noWrap w:val="0"/>
            <w:vAlign w:val="top"/>
          </w:tcPr>
          <w:p w14:paraId="53672D89">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0.25%</w:t>
            </w:r>
          </w:p>
        </w:tc>
        <w:tc>
          <w:tcPr>
            <w:tcW w:w="1546" w:type="dxa"/>
            <w:noWrap w:val="0"/>
            <w:vAlign w:val="top"/>
          </w:tcPr>
          <w:p w14:paraId="054F0F11">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0.35% </w:t>
            </w:r>
          </w:p>
        </w:tc>
      </w:tr>
      <w:tr w14:paraId="5A8C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942FD98">
            <w:pPr>
              <w:spacing w:line="360" w:lineRule="auto"/>
              <w:rPr>
                <w:rFonts w:hint="eastAsia" w:ascii="宋体" w:hAnsi="宋体" w:cs="宋体"/>
                <w:szCs w:val="21"/>
                <w:highlight w:val="none"/>
              </w:rPr>
            </w:pPr>
            <w:r>
              <w:rPr>
                <w:rFonts w:hint="eastAsia" w:ascii="宋体" w:hAnsi="宋体" w:cs="宋体"/>
                <w:szCs w:val="21"/>
                <w:highlight w:val="none"/>
              </w:rPr>
              <w:t>5000万元～1亿元</w:t>
            </w:r>
          </w:p>
        </w:tc>
        <w:tc>
          <w:tcPr>
            <w:tcW w:w="1659" w:type="dxa"/>
            <w:noWrap w:val="0"/>
            <w:vAlign w:val="top"/>
          </w:tcPr>
          <w:p w14:paraId="05F92036">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0.25%                 </w:t>
            </w:r>
          </w:p>
        </w:tc>
        <w:tc>
          <w:tcPr>
            <w:tcW w:w="1532" w:type="dxa"/>
            <w:noWrap w:val="0"/>
            <w:vAlign w:val="top"/>
          </w:tcPr>
          <w:p w14:paraId="3EBB50D5">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0.1%</w:t>
            </w:r>
          </w:p>
        </w:tc>
        <w:tc>
          <w:tcPr>
            <w:tcW w:w="1546" w:type="dxa"/>
            <w:noWrap w:val="0"/>
            <w:vAlign w:val="top"/>
          </w:tcPr>
          <w:p w14:paraId="20783645">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0.2%</w:t>
            </w:r>
          </w:p>
        </w:tc>
      </w:tr>
      <w:tr w14:paraId="49EC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8745DF3">
            <w:pPr>
              <w:spacing w:line="360" w:lineRule="auto"/>
              <w:rPr>
                <w:rFonts w:hint="eastAsia" w:ascii="宋体" w:hAnsi="宋体" w:cs="宋体"/>
                <w:szCs w:val="21"/>
                <w:highlight w:val="none"/>
              </w:rPr>
            </w:pPr>
            <w:r>
              <w:rPr>
                <w:rFonts w:hint="eastAsia" w:ascii="宋体" w:hAnsi="宋体" w:cs="宋体"/>
                <w:szCs w:val="21"/>
                <w:highlight w:val="none"/>
              </w:rPr>
              <w:t>1～5亿元</w:t>
            </w:r>
          </w:p>
        </w:tc>
        <w:tc>
          <w:tcPr>
            <w:tcW w:w="1659" w:type="dxa"/>
            <w:noWrap w:val="0"/>
            <w:vAlign w:val="top"/>
          </w:tcPr>
          <w:p w14:paraId="36C3A348">
            <w:pPr>
              <w:spacing w:line="360" w:lineRule="auto"/>
              <w:ind w:firstLine="210" w:firstLineChars="100"/>
              <w:rPr>
                <w:rFonts w:hint="eastAsia" w:ascii="宋体" w:hAnsi="宋体" w:cs="宋体"/>
                <w:szCs w:val="21"/>
                <w:highlight w:val="none"/>
              </w:rPr>
            </w:pPr>
            <w:r>
              <w:rPr>
                <w:rFonts w:hint="eastAsia" w:ascii="宋体" w:hAnsi="宋体" w:cs="宋体"/>
                <w:szCs w:val="21"/>
                <w:highlight w:val="none"/>
              </w:rPr>
              <w:t>0.05%</w:t>
            </w:r>
          </w:p>
        </w:tc>
        <w:tc>
          <w:tcPr>
            <w:tcW w:w="1532" w:type="dxa"/>
            <w:noWrap w:val="0"/>
            <w:vAlign w:val="top"/>
          </w:tcPr>
          <w:p w14:paraId="74F3683B">
            <w:pPr>
              <w:spacing w:line="360" w:lineRule="auto"/>
              <w:rPr>
                <w:rFonts w:hint="eastAsia" w:ascii="宋体" w:hAnsi="宋体" w:cs="宋体"/>
                <w:szCs w:val="21"/>
                <w:highlight w:val="none"/>
              </w:rPr>
            </w:pPr>
            <w:r>
              <w:rPr>
                <w:rFonts w:hint="eastAsia" w:ascii="宋体" w:hAnsi="宋体" w:cs="宋体"/>
                <w:szCs w:val="21"/>
                <w:highlight w:val="none"/>
              </w:rPr>
              <w:t xml:space="preserve">  0.05%</w:t>
            </w:r>
          </w:p>
        </w:tc>
        <w:tc>
          <w:tcPr>
            <w:tcW w:w="1546" w:type="dxa"/>
            <w:noWrap w:val="0"/>
            <w:vAlign w:val="top"/>
          </w:tcPr>
          <w:p w14:paraId="4C90DA54">
            <w:pPr>
              <w:spacing w:line="360" w:lineRule="auto"/>
              <w:rPr>
                <w:rFonts w:hint="eastAsia" w:ascii="宋体" w:hAnsi="宋体" w:cs="宋体"/>
                <w:szCs w:val="21"/>
                <w:highlight w:val="none"/>
              </w:rPr>
            </w:pPr>
            <w:r>
              <w:rPr>
                <w:rFonts w:hint="eastAsia" w:ascii="宋体" w:hAnsi="宋体" w:cs="宋体"/>
                <w:szCs w:val="21"/>
                <w:highlight w:val="none"/>
              </w:rPr>
              <w:t xml:space="preserve">  0.05%</w:t>
            </w:r>
          </w:p>
        </w:tc>
      </w:tr>
      <w:tr w14:paraId="47D8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716B5DF">
            <w:pPr>
              <w:spacing w:line="360" w:lineRule="auto"/>
              <w:rPr>
                <w:rFonts w:hint="eastAsia" w:ascii="宋体" w:hAnsi="宋体" w:cs="宋体"/>
                <w:szCs w:val="21"/>
                <w:highlight w:val="none"/>
              </w:rPr>
            </w:pPr>
            <w:r>
              <w:rPr>
                <w:rFonts w:hint="eastAsia" w:ascii="宋体" w:hAnsi="宋体" w:cs="宋体"/>
                <w:szCs w:val="21"/>
                <w:highlight w:val="none"/>
              </w:rPr>
              <w:t>5～10亿元</w:t>
            </w:r>
          </w:p>
        </w:tc>
        <w:tc>
          <w:tcPr>
            <w:tcW w:w="1659" w:type="dxa"/>
            <w:noWrap w:val="0"/>
            <w:vAlign w:val="top"/>
          </w:tcPr>
          <w:p w14:paraId="0D600E04">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0.035%</w:t>
            </w:r>
          </w:p>
        </w:tc>
        <w:tc>
          <w:tcPr>
            <w:tcW w:w="1532" w:type="dxa"/>
            <w:noWrap w:val="0"/>
            <w:vAlign w:val="top"/>
          </w:tcPr>
          <w:p w14:paraId="5E33EB22">
            <w:pPr>
              <w:spacing w:line="360" w:lineRule="auto"/>
              <w:rPr>
                <w:rFonts w:hint="eastAsia" w:ascii="宋体" w:hAnsi="宋体" w:cs="宋体"/>
                <w:szCs w:val="21"/>
                <w:highlight w:val="none"/>
              </w:rPr>
            </w:pPr>
            <w:r>
              <w:rPr>
                <w:rFonts w:hint="eastAsia" w:ascii="宋体" w:hAnsi="宋体" w:cs="宋体"/>
                <w:szCs w:val="21"/>
                <w:highlight w:val="none"/>
              </w:rPr>
              <w:t xml:space="preserve">  0.035%</w:t>
            </w:r>
          </w:p>
        </w:tc>
        <w:tc>
          <w:tcPr>
            <w:tcW w:w="1546" w:type="dxa"/>
            <w:noWrap w:val="0"/>
            <w:vAlign w:val="top"/>
          </w:tcPr>
          <w:p w14:paraId="3783FD23">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0.035%</w:t>
            </w:r>
          </w:p>
        </w:tc>
      </w:tr>
      <w:tr w14:paraId="3E1B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30C2F4B">
            <w:pPr>
              <w:spacing w:line="360" w:lineRule="auto"/>
              <w:rPr>
                <w:rFonts w:hint="eastAsia" w:ascii="宋体" w:hAnsi="宋体" w:cs="宋体"/>
                <w:szCs w:val="21"/>
                <w:highlight w:val="none"/>
              </w:rPr>
            </w:pPr>
            <w:r>
              <w:rPr>
                <w:rFonts w:hint="eastAsia" w:ascii="宋体" w:hAnsi="宋体" w:cs="宋体"/>
                <w:szCs w:val="21"/>
                <w:highlight w:val="none"/>
              </w:rPr>
              <w:t>10～50亿元</w:t>
            </w:r>
          </w:p>
        </w:tc>
        <w:tc>
          <w:tcPr>
            <w:tcW w:w="1659" w:type="dxa"/>
            <w:noWrap w:val="0"/>
            <w:vAlign w:val="top"/>
          </w:tcPr>
          <w:p w14:paraId="2A0171BA">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0.008%</w:t>
            </w:r>
          </w:p>
        </w:tc>
        <w:tc>
          <w:tcPr>
            <w:tcW w:w="1532" w:type="dxa"/>
            <w:noWrap w:val="0"/>
            <w:vAlign w:val="top"/>
          </w:tcPr>
          <w:p w14:paraId="73931BAA">
            <w:pPr>
              <w:spacing w:line="360" w:lineRule="auto"/>
              <w:ind w:firstLine="210" w:firstLineChars="100"/>
              <w:rPr>
                <w:rFonts w:hint="eastAsia" w:ascii="宋体" w:hAnsi="宋体" w:cs="宋体"/>
                <w:szCs w:val="21"/>
                <w:highlight w:val="none"/>
              </w:rPr>
            </w:pPr>
            <w:r>
              <w:rPr>
                <w:rFonts w:hint="eastAsia" w:ascii="宋体" w:hAnsi="宋体" w:cs="宋体"/>
                <w:szCs w:val="21"/>
                <w:highlight w:val="none"/>
              </w:rPr>
              <w:t>0.008%</w:t>
            </w:r>
          </w:p>
        </w:tc>
        <w:tc>
          <w:tcPr>
            <w:tcW w:w="1546" w:type="dxa"/>
            <w:noWrap w:val="0"/>
            <w:vAlign w:val="top"/>
          </w:tcPr>
          <w:p w14:paraId="1AE670D9">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0.008%</w:t>
            </w:r>
          </w:p>
        </w:tc>
      </w:tr>
      <w:tr w14:paraId="7D1B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B995E79">
            <w:pPr>
              <w:spacing w:line="360" w:lineRule="auto"/>
              <w:rPr>
                <w:rFonts w:hint="eastAsia" w:ascii="宋体" w:hAnsi="宋体" w:cs="宋体"/>
                <w:szCs w:val="21"/>
                <w:highlight w:val="none"/>
              </w:rPr>
            </w:pPr>
            <w:r>
              <w:rPr>
                <w:rFonts w:hint="eastAsia" w:ascii="宋体" w:hAnsi="宋体" w:cs="宋体"/>
                <w:szCs w:val="21"/>
                <w:highlight w:val="none"/>
              </w:rPr>
              <w:t>50～100亿元</w:t>
            </w:r>
          </w:p>
        </w:tc>
        <w:tc>
          <w:tcPr>
            <w:tcW w:w="1659" w:type="dxa"/>
            <w:noWrap w:val="0"/>
            <w:vAlign w:val="top"/>
          </w:tcPr>
          <w:p w14:paraId="33BDF586">
            <w:pPr>
              <w:spacing w:line="360" w:lineRule="auto"/>
              <w:rPr>
                <w:rFonts w:hint="eastAsia" w:ascii="宋体" w:hAnsi="宋体" w:cs="宋体"/>
                <w:szCs w:val="21"/>
                <w:highlight w:val="none"/>
              </w:rPr>
            </w:pPr>
            <w:r>
              <w:rPr>
                <w:rFonts w:hint="eastAsia" w:ascii="宋体" w:hAnsi="宋体" w:cs="宋体"/>
                <w:szCs w:val="21"/>
                <w:highlight w:val="none"/>
              </w:rPr>
              <w:t xml:space="preserve"> 0.006%</w:t>
            </w:r>
          </w:p>
        </w:tc>
        <w:tc>
          <w:tcPr>
            <w:tcW w:w="1532" w:type="dxa"/>
            <w:noWrap w:val="0"/>
            <w:vAlign w:val="top"/>
          </w:tcPr>
          <w:p w14:paraId="51B56812">
            <w:pPr>
              <w:spacing w:line="360" w:lineRule="auto"/>
              <w:ind w:firstLine="210" w:firstLineChars="100"/>
              <w:rPr>
                <w:rFonts w:hint="eastAsia" w:ascii="宋体" w:hAnsi="宋体" w:cs="宋体"/>
                <w:szCs w:val="21"/>
                <w:highlight w:val="none"/>
              </w:rPr>
            </w:pPr>
            <w:r>
              <w:rPr>
                <w:rFonts w:hint="eastAsia" w:ascii="宋体" w:hAnsi="宋体" w:cs="宋体"/>
                <w:szCs w:val="21"/>
                <w:highlight w:val="none"/>
              </w:rPr>
              <w:t>0.006%</w:t>
            </w:r>
          </w:p>
        </w:tc>
        <w:tc>
          <w:tcPr>
            <w:tcW w:w="1546" w:type="dxa"/>
            <w:noWrap w:val="0"/>
            <w:vAlign w:val="top"/>
          </w:tcPr>
          <w:p w14:paraId="7BF092FF">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0.006%</w:t>
            </w:r>
          </w:p>
        </w:tc>
      </w:tr>
      <w:tr w14:paraId="4B7B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B31F802">
            <w:pPr>
              <w:spacing w:line="360" w:lineRule="auto"/>
              <w:rPr>
                <w:rFonts w:hint="eastAsia" w:ascii="宋体" w:hAnsi="宋体" w:cs="宋体"/>
                <w:szCs w:val="21"/>
                <w:highlight w:val="none"/>
              </w:rPr>
            </w:pPr>
            <w:r>
              <w:rPr>
                <w:rFonts w:hint="eastAsia" w:ascii="宋体" w:hAnsi="宋体" w:cs="宋体"/>
                <w:szCs w:val="21"/>
                <w:highlight w:val="none"/>
              </w:rPr>
              <w:t>100亿以上</w:t>
            </w:r>
          </w:p>
        </w:tc>
        <w:tc>
          <w:tcPr>
            <w:tcW w:w="1659" w:type="dxa"/>
            <w:noWrap w:val="0"/>
            <w:vAlign w:val="top"/>
          </w:tcPr>
          <w:p w14:paraId="24EE99CA">
            <w:pPr>
              <w:spacing w:line="360" w:lineRule="auto"/>
              <w:rPr>
                <w:rFonts w:hint="eastAsia" w:ascii="宋体" w:hAnsi="宋体" w:cs="宋体"/>
                <w:szCs w:val="21"/>
                <w:highlight w:val="none"/>
              </w:rPr>
            </w:pPr>
            <w:r>
              <w:rPr>
                <w:rFonts w:hint="eastAsia" w:ascii="宋体" w:hAnsi="宋体" w:cs="宋体"/>
                <w:szCs w:val="21"/>
                <w:highlight w:val="none"/>
              </w:rPr>
              <w:t xml:space="preserve"> 0.004%</w:t>
            </w:r>
          </w:p>
        </w:tc>
        <w:tc>
          <w:tcPr>
            <w:tcW w:w="1532" w:type="dxa"/>
            <w:noWrap w:val="0"/>
            <w:vAlign w:val="top"/>
          </w:tcPr>
          <w:p w14:paraId="4828F859">
            <w:pPr>
              <w:spacing w:line="360" w:lineRule="auto"/>
              <w:ind w:firstLine="210" w:firstLineChars="100"/>
              <w:rPr>
                <w:rFonts w:hint="eastAsia" w:ascii="宋体" w:hAnsi="宋体" w:cs="宋体"/>
                <w:szCs w:val="21"/>
                <w:highlight w:val="none"/>
              </w:rPr>
            </w:pPr>
            <w:r>
              <w:rPr>
                <w:rFonts w:hint="eastAsia" w:ascii="宋体" w:hAnsi="宋体" w:cs="宋体"/>
                <w:szCs w:val="21"/>
                <w:highlight w:val="none"/>
              </w:rPr>
              <w:t>0.004%</w:t>
            </w:r>
          </w:p>
        </w:tc>
        <w:tc>
          <w:tcPr>
            <w:tcW w:w="1546" w:type="dxa"/>
            <w:noWrap w:val="0"/>
            <w:vAlign w:val="top"/>
          </w:tcPr>
          <w:p w14:paraId="7B104EC6">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0.004%</w:t>
            </w:r>
          </w:p>
        </w:tc>
      </w:tr>
    </w:tbl>
    <w:p w14:paraId="1486848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026119D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（1）按本表费率计算的收费为采购代理的收费基准价格；</w:t>
      </w:r>
    </w:p>
    <w:p w14:paraId="30D3D0D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（2）采购代理收费按差额定率累进法计算。</w:t>
      </w:r>
    </w:p>
    <w:p w14:paraId="648C7E8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例如：某服务采购代理业务成交金额或者暂定价为150万元，计算采购代理收费额如下：</w:t>
      </w:r>
    </w:p>
    <w:p w14:paraId="70F8E84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100 万元 ×l.5 %＝ 1.5 万元</w:t>
      </w:r>
    </w:p>
    <w:p w14:paraId="4125E57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150 － 100 ）万元 ×0.8%＝0.4万元</w:t>
      </w:r>
    </w:p>
    <w:p w14:paraId="428B71D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合计收费＝ 1.5 ＋ 0.4＝ 1.9 万元</w:t>
      </w:r>
    </w:p>
    <w:p w14:paraId="1409F00F">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33.需要补充的其他内容</w:t>
      </w:r>
    </w:p>
    <w:p w14:paraId="630578AD">
      <w:pPr>
        <w:pStyle w:val="25"/>
        <w:spacing w:line="360" w:lineRule="auto"/>
        <w:ind w:firstLine="420" w:firstLineChars="200"/>
        <w:textAlignment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33.1本磋商文件解释规则详见“供应商须知前附表”。</w:t>
      </w:r>
    </w:p>
    <w:p w14:paraId="0811D406">
      <w:pPr>
        <w:pStyle w:val="25"/>
        <w:spacing w:line="360" w:lineRule="auto"/>
        <w:ind w:firstLine="420" w:firstLineChars="200"/>
        <w:textAlignment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33.2农民工工资保证金见“供应商须知前附表”。</w:t>
      </w:r>
    </w:p>
    <w:p w14:paraId="57699197">
      <w:pPr>
        <w:pStyle w:val="25"/>
        <w:spacing w:line="360" w:lineRule="auto"/>
        <w:ind w:firstLine="420" w:firstLineChars="200"/>
        <w:textAlignment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33.3 其他事项详见“供应商须知前附表”。</w:t>
      </w:r>
    </w:p>
    <w:p w14:paraId="4341A06A">
      <w:pPr>
        <w:pStyle w:val="25"/>
        <w:spacing w:line="360" w:lineRule="auto"/>
        <w:ind w:firstLine="420" w:firstLineChars="200"/>
        <w:textAlignment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33.4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1841A4BC">
      <w:pPr>
        <w:pStyle w:val="25"/>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（1）在货物采购项目中，货物由中小企业制造，即货物由中小企业生产且使用该中小企业商号或者注册商标，不对其中涉及的工程承建商和服务的承接商作出要求；</w:t>
      </w:r>
    </w:p>
    <w:p w14:paraId="7508DDE6">
      <w:pPr>
        <w:pStyle w:val="25"/>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（2）在工程采购项目中，工程由中小企业承建，即工程施工单位为中小企业，不对其中涉及的货物的制造商和服务的承接商作出要求；</w:t>
      </w:r>
    </w:p>
    <w:p w14:paraId="786383C3">
      <w:pPr>
        <w:pStyle w:val="25"/>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5EEE759">
      <w:pPr>
        <w:pStyle w:val="25"/>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kern w:val="2"/>
          <w:sz w:val="21"/>
          <w:szCs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ascii="宋体" w:hAnsi="宋体" w:eastAsia="宋体" w:cs="宋体"/>
          <w:sz w:val="21"/>
          <w:szCs w:val="21"/>
          <w:highlight w:val="none"/>
        </w:rPr>
        <w:t>中小企业的，联合体视同中小企业。其中，联合体各方均为小微企业的，联合体视同小微企业。</w:t>
      </w:r>
    </w:p>
    <w:p w14:paraId="052576EB">
      <w:pPr>
        <w:pStyle w:val="25"/>
        <w:spacing w:line="360" w:lineRule="auto"/>
        <w:ind w:firstLine="420" w:firstLineChars="200"/>
        <w:contextualSpacing/>
        <w:rPr>
          <w:rFonts w:hint="eastAsia" w:hAnsi="宋体"/>
          <w:sz w:val="21"/>
          <w:highlight w:val="none"/>
        </w:rPr>
      </w:pPr>
      <w:r>
        <w:rPr>
          <w:rFonts w:hint="eastAsia" w:ascii="宋体" w:hAnsi="宋体" w:eastAsia="宋体" w:cs="宋体"/>
          <w:sz w:val="21"/>
          <w:szCs w:val="21"/>
          <w:highlight w:val="none"/>
        </w:rPr>
        <w:t>依据本磋商文件规定享受扶持政策获得政府采购合同的，小微企业不得将合同分包给大中型企业，中型企业不得将合同分包给大型企业。</w:t>
      </w:r>
    </w:p>
    <w:p w14:paraId="56DF08B0">
      <w:pPr>
        <w:pStyle w:val="25"/>
        <w:spacing w:before="340" w:after="340" w:line="360" w:lineRule="auto"/>
        <w:ind w:firstLine="402" w:firstLineChars="200"/>
        <w:jc w:val="center"/>
        <w:textAlignment w:val="center"/>
        <w:outlineLvl w:val="0"/>
        <w:rPr>
          <w:rFonts w:hint="eastAsia" w:ascii="Times New Roman" w:hAnsi="Times New Roman"/>
          <w:b/>
          <w:bCs/>
          <w:kern w:val="44"/>
          <w:sz w:val="44"/>
          <w:szCs w:val="44"/>
          <w:highlight w:val="none"/>
        </w:rPr>
      </w:pPr>
      <w:r>
        <w:rPr>
          <w:rFonts w:hAnsi="宋体"/>
          <w:b/>
          <w:highlight w:val="none"/>
        </w:rPr>
        <w:br w:type="page"/>
      </w:r>
      <w:bookmarkStart w:id="102" w:name="_Toc74323458"/>
      <w:bookmarkStart w:id="103" w:name="_Toc19037"/>
      <w:r>
        <w:rPr>
          <w:rFonts w:hint="eastAsia" w:ascii="Times New Roman" w:hAnsi="Times New Roman"/>
          <w:b/>
          <w:bCs/>
          <w:kern w:val="44"/>
          <w:sz w:val="44"/>
          <w:szCs w:val="44"/>
          <w:highlight w:val="none"/>
        </w:rPr>
        <w:t>第三章 采购需求</w:t>
      </w:r>
      <w:bookmarkEnd w:id="102"/>
      <w:bookmarkEnd w:id="103"/>
    </w:p>
    <w:p w14:paraId="5AE9C2C8">
      <w:pPr>
        <w:spacing w:line="360" w:lineRule="auto"/>
        <w:jc w:val="left"/>
        <w:rPr>
          <w:rFonts w:hint="eastAsia" w:ascii="宋体" w:hAnsi="宋体" w:eastAsia="宋体" w:cs="宋体"/>
          <w:szCs w:val="21"/>
          <w:highlight w:val="none"/>
        </w:rPr>
      </w:pPr>
      <w:r>
        <w:rPr>
          <w:rFonts w:hint="eastAsia" w:ascii="宋体" w:hAnsi="宋体" w:eastAsia="宋体" w:cs="宋体"/>
          <w:szCs w:val="21"/>
          <w:highlight w:val="none"/>
        </w:rPr>
        <w:t>说明：</w:t>
      </w:r>
    </w:p>
    <w:p w14:paraId="5C199301">
      <w:pPr>
        <w:spacing w:line="360" w:lineRule="auto"/>
        <w:ind w:firstLine="420" w:firstLineChars="200"/>
        <w:jc w:val="left"/>
        <w:rPr>
          <w:rFonts w:hint="eastAsia" w:ascii="宋体" w:hAnsi="宋体" w:eastAsia="宋体" w:cs="宋体"/>
          <w:szCs w:val="21"/>
          <w:highlight w:val="none"/>
        </w:rPr>
      </w:pPr>
      <w:r>
        <w:rPr>
          <w:rFonts w:hint="eastAsia" w:ascii="宋体" w:hAnsi="宋体" w:eastAsia="宋体" w:cs="宋体"/>
          <w:highlight w:val="none"/>
        </w:rPr>
        <w:t>1. 为落实政府采购政策需满足的要求</w:t>
      </w:r>
    </w:p>
    <w:p w14:paraId="08C840FE">
      <w:pPr>
        <w:wordWrap w:val="0"/>
        <w:spacing w:line="360" w:lineRule="auto"/>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（1）本竞争性磋商采购文件所称中小企业必须符合《政府采购促进中小企业发展管理办法》（财库〔2020〕46号）的规定。</w:t>
      </w:r>
    </w:p>
    <w:p w14:paraId="69CCE90A">
      <w:pPr>
        <w:wordWrap w:val="0"/>
        <w:spacing w:line="360" w:lineRule="auto"/>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2. “实质性要求”是指采购需求中带“▲”的条款或者不能负偏离的条款或者已经指明不满足按响应文件按无效处理的条款。</w:t>
      </w:r>
    </w:p>
    <w:p w14:paraId="74207FA9">
      <w:pPr>
        <w:wordWrap w:val="0"/>
        <w:spacing w:line="360" w:lineRule="auto"/>
        <w:ind w:firstLine="424" w:firstLineChars="202"/>
        <w:jc w:val="left"/>
        <w:rPr>
          <w:rFonts w:hint="eastAsia" w:ascii="宋体" w:hAnsi="宋体" w:eastAsia="宋体" w:cs="宋体"/>
          <w:bCs/>
          <w:szCs w:val="21"/>
          <w:highlight w:val="none"/>
          <w:u w:val="single"/>
        </w:rPr>
      </w:pPr>
      <w:r>
        <w:rPr>
          <w:rFonts w:hint="eastAsia" w:ascii="宋体" w:hAnsi="宋体" w:eastAsia="宋体" w:cs="宋体"/>
          <w:szCs w:val="21"/>
          <w:highlight w:val="none"/>
        </w:rPr>
        <w:t>3.</w:t>
      </w:r>
      <w:r>
        <w:rPr>
          <w:rFonts w:hint="eastAsia" w:ascii="宋体" w:hAnsi="宋体" w:eastAsia="宋体" w:cs="宋体"/>
          <w:highlight w:val="none"/>
        </w:rPr>
        <w:t>供应商必须自行为其竞标产品侵犯他人的知识产权或者专利成果的行为承担相应法律责任。</w:t>
      </w:r>
    </w:p>
    <w:p w14:paraId="28E11A57">
      <w:pPr>
        <w:wordWrap w:val="0"/>
        <w:spacing w:line="360" w:lineRule="auto"/>
        <w:ind w:firstLine="424" w:firstLineChars="202"/>
        <w:jc w:val="left"/>
        <w:rPr>
          <w:rFonts w:hint="eastAsia" w:ascii="宋体" w:hAnsi="宋体" w:eastAsia="宋体" w:cs="宋体"/>
          <w:highlight w:val="none"/>
        </w:rPr>
      </w:pPr>
      <w:r>
        <w:rPr>
          <w:rFonts w:hint="eastAsia" w:ascii="宋体" w:hAnsi="宋体" w:eastAsia="宋体" w:cs="宋体"/>
          <w:highlight w:val="none"/>
        </w:rPr>
        <w:t>采购预算：</w:t>
      </w:r>
      <w:r>
        <w:rPr>
          <w:rFonts w:hint="eastAsia" w:ascii="宋体" w:hAnsi="宋体" w:cs="宋体"/>
          <w:highlight w:val="none"/>
          <w:lang w:val="en-US" w:eastAsia="zh-CN"/>
        </w:rPr>
        <w:t>3379892.46</w:t>
      </w:r>
      <w:r>
        <w:rPr>
          <w:rFonts w:hint="eastAsia" w:ascii="宋体" w:hAnsi="宋体" w:eastAsia="宋体" w:cs="宋体"/>
          <w:highlight w:val="none"/>
          <w:lang w:val="en-US" w:eastAsia="zh-CN"/>
        </w:rPr>
        <w:t>元</w:t>
      </w:r>
      <w:r>
        <w:rPr>
          <w:rFonts w:hint="eastAsia" w:ascii="宋体" w:hAnsi="宋体" w:eastAsia="宋体" w:cs="宋体"/>
          <w:highlight w:val="none"/>
        </w:rPr>
        <w:t xml:space="preserve"> </w:t>
      </w:r>
    </w:p>
    <w:p w14:paraId="591FEB20">
      <w:pPr>
        <w:wordWrap w:val="0"/>
        <w:spacing w:line="360" w:lineRule="auto"/>
        <w:ind w:firstLine="424" w:firstLineChars="202"/>
        <w:jc w:val="left"/>
        <w:rPr>
          <w:highlight w:val="yellow"/>
        </w:rPr>
      </w:pPr>
      <w:r>
        <w:rPr>
          <w:rFonts w:hint="eastAsia" w:ascii="宋体" w:hAnsi="宋体" w:eastAsia="宋体" w:cs="宋体"/>
          <w:highlight w:val="none"/>
        </w:rPr>
        <w:t>最高限价</w:t>
      </w:r>
      <w:r>
        <w:rPr>
          <w:rFonts w:hint="eastAsia" w:ascii="宋体" w:hAnsi="宋体" w:eastAsia="宋体" w:cs="宋体"/>
          <w:highlight w:val="none"/>
          <w:lang w:val="en-US" w:eastAsia="zh-CN"/>
        </w:rPr>
        <w:t>(招标控制价）</w:t>
      </w:r>
      <w:r>
        <w:rPr>
          <w:rFonts w:hint="eastAsia" w:ascii="宋体" w:hAnsi="宋体" w:eastAsia="宋体" w:cs="宋体"/>
          <w:highlight w:val="none"/>
        </w:rPr>
        <w:t>：</w:t>
      </w:r>
      <w:r>
        <w:rPr>
          <w:rFonts w:hint="eastAsia" w:ascii="宋体" w:hAnsi="宋体" w:cs="宋体"/>
          <w:highlight w:val="none"/>
          <w:lang w:val="en-US" w:eastAsia="zh-CN"/>
        </w:rPr>
        <w:t>2896744.08</w:t>
      </w:r>
      <w:r>
        <w:rPr>
          <w:rFonts w:hint="eastAsia" w:ascii="宋体" w:hAnsi="宋体" w:eastAsia="宋体" w:cs="宋体"/>
          <w:highlight w:val="none"/>
        </w:rPr>
        <w:t>元</w:t>
      </w:r>
    </w:p>
    <w:tbl>
      <w:tblPr>
        <w:tblStyle w:val="4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2338"/>
        <w:gridCol w:w="1118"/>
        <w:gridCol w:w="997"/>
        <w:gridCol w:w="3430"/>
      </w:tblGrid>
      <w:tr w14:paraId="68497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67" w:type="pct"/>
            <w:noWrap w:val="0"/>
            <w:vAlign w:val="center"/>
          </w:tcPr>
          <w:p w14:paraId="58B4C2E6">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序号</w:t>
            </w:r>
          </w:p>
        </w:tc>
        <w:tc>
          <w:tcPr>
            <w:tcW w:w="1374" w:type="pct"/>
            <w:noWrap w:val="0"/>
            <w:vAlign w:val="center"/>
          </w:tcPr>
          <w:p w14:paraId="0E4CCE08">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标的的名称</w:t>
            </w:r>
          </w:p>
        </w:tc>
        <w:tc>
          <w:tcPr>
            <w:tcW w:w="657" w:type="pct"/>
            <w:noWrap w:val="0"/>
            <w:vAlign w:val="center"/>
          </w:tcPr>
          <w:p w14:paraId="76AC3A62">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数量单位</w:t>
            </w:r>
          </w:p>
        </w:tc>
        <w:tc>
          <w:tcPr>
            <w:tcW w:w="586" w:type="pct"/>
            <w:noWrap w:val="0"/>
            <w:vAlign w:val="center"/>
          </w:tcPr>
          <w:p w14:paraId="24D50D3C">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所属</w:t>
            </w:r>
          </w:p>
          <w:p w14:paraId="50EF0317">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行业</w:t>
            </w:r>
          </w:p>
        </w:tc>
        <w:tc>
          <w:tcPr>
            <w:tcW w:w="2014" w:type="pct"/>
            <w:noWrap w:val="0"/>
            <w:vAlign w:val="center"/>
          </w:tcPr>
          <w:p w14:paraId="5FB987F5">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szCs w:val="21"/>
                <w:highlight w:val="none"/>
              </w:rPr>
              <w:t>▲</w:t>
            </w:r>
            <w:r>
              <w:rPr>
                <w:rFonts w:hint="eastAsia" w:ascii="宋体" w:hAnsi="宋体" w:cs="宋体"/>
                <w:szCs w:val="21"/>
                <w:highlight w:val="none"/>
              </w:rPr>
              <w:t>技术要求</w:t>
            </w:r>
          </w:p>
        </w:tc>
      </w:tr>
      <w:tr w14:paraId="22FAE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367" w:type="pct"/>
            <w:noWrap w:val="0"/>
            <w:vAlign w:val="center"/>
          </w:tcPr>
          <w:p w14:paraId="6DCAEB8C">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1374" w:type="pct"/>
            <w:noWrap w:val="0"/>
            <w:vAlign w:val="center"/>
          </w:tcPr>
          <w:p w14:paraId="228EB6D2">
            <w:pPr>
              <w:tabs>
                <w:tab w:val="left" w:pos="180"/>
                <w:tab w:val="left" w:pos="1620"/>
              </w:tabs>
              <w:wordWrap w:val="0"/>
              <w:spacing w:line="360" w:lineRule="auto"/>
              <w:jc w:val="center"/>
              <w:rPr>
                <w:rFonts w:hint="eastAsia" w:ascii="宋体" w:hAnsi="宋体" w:eastAsia="宋体" w:cs="宋体"/>
                <w:szCs w:val="21"/>
                <w:highlight w:val="none"/>
                <w:lang w:eastAsia="zh-CN"/>
              </w:rPr>
            </w:pPr>
            <w:r>
              <w:rPr>
                <w:rFonts w:hint="eastAsia" w:ascii="宋体" w:hAnsi="宋体" w:cs="宋体"/>
                <w:szCs w:val="21"/>
                <w:highlight w:val="none"/>
                <w:lang w:eastAsia="zh-CN"/>
              </w:rPr>
              <w:t>苍梧县梨埠镇初级中学教学楼维修、运动场维修、学生宿舍维修</w:t>
            </w:r>
          </w:p>
        </w:tc>
        <w:tc>
          <w:tcPr>
            <w:tcW w:w="657" w:type="pct"/>
            <w:noWrap w:val="0"/>
            <w:vAlign w:val="center"/>
          </w:tcPr>
          <w:p w14:paraId="3C23724C">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1项</w:t>
            </w:r>
          </w:p>
        </w:tc>
        <w:tc>
          <w:tcPr>
            <w:tcW w:w="586" w:type="pct"/>
            <w:noWrap w:val="0"/>
            <w:vAlign w:val="center"/>
          </w:tcPr>
          <w:p w14:paraId="491887BC">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建筑业</w:t>
            </w:r>
          </w:p>
        </w:tc>
        <w:tc>
          <w:tcPr>
            <w:tcW w:w="2014" w:type="pct"/>
            <w:noWrap w:val="0"/>
            <w:vAlign w:val="center"/>
          </w:tcPr>
          <w:p w14:paraId="438CFD7C">
            <w:pPr>
              <w:spacing w:line="360" w:lineRule="auto"/>
              <w:ind w:firstLine="420" w:firstLineChars="200"/>
              <w:rPr>
                <w:rFonts w:hint="eastAsia" w:ascii="宋体" w:hAnsi="宋体" w:cs="宋体"/>
                <w:szCs w:val="21"/>
                <w:highlight w:val="none"/>
              </w:rPr>
            </w:pPr>
            <w:r>
              <w:rPr>
                <w:rFonts w:hint="eastAsia" w:ascii="宋体" w:hAnsi="宋体"/>
                <w:szCs w:val="21"/>
                <w:highlight w:val="none"/>
                <w:lang w:eastAsia="zh-CN"/>
              </w:rPr>
              <w:t>建筑工程、拆除工程、给排水工程等</w:t>
            </w:r>
            <w:r>
              <w:rPr>
                <w:rFonts w:hint="eastAsia" w:ascii="宋体" w:hAnsi="宋体"/>
                <w:szCs w:val="21"/>
                <w:highlight w:val="none"/>
              </w:rPr>
              <w:t>，具体详见本项目工程量清单、图纸。</w:t>
            </w:r>
          </w:p>
          <w:p w14:paraId="3E5EF0F8">
            <w:pPr>
              <w:pStyle w:val="16"/>
              <w:wordWrap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项目质量</w:t>
            </w:r>
            <w:r>
              <w:rPr>
                <w:rFonts w:hint="eastAsia" w:ascii="宋体" w:hAnsi="宋体" w:cs="宋体"/>
                <w:szCs w:val="21"/>
                <w:highlight w:val="none"/>
                <w:lang w:val="en-US" w:eastAsia="zh-CN"/>
              </w:rPr>
              <w:t>标准</w:t>
            </w:r>
            <w:r>
              <w:rPr>
                <w:rFonts w:hint="eastAsia" w:ascii="宋体" w:hAnsi="宋体" w:cs="宋体"/>
                <w:szCs w:val="21"/>
                <w:highlight w:val="none"/>
              </w:rPr>
              <w:t>：合格。</w:t>
            </w:r>
          </w:p>
        </w:tc>
      </w:tr>
      <w:tr w14:paraId="40BEA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21C06866">
            <w:pPr>
              <w:spacing w:line="360" w:lineRule="auto"/>
              <w:rPr>
                <w:rFonts w:ascii="宋体" w:hAnsi="宋体"/>
                <w:szCs w:val="21"/>
                <w:highlight w:val="none"/>
              </w:rPr>
            </w:pPr>
            <w:r>
              <w:rPr>
                <w:rFonts w:hint="eastAsia" w:ascii="宋体" w:hAnsi="宋体"/>
                <w:szCs w:val="21"/>
                <w:highlight w:val="none"/>
              </w:rPr>
              <w:t>▲</w:t>
            </w:r>
            <w:r>
              <w:rPr>
                <w:rFonts w:hint="eastAsia" w:ascii="宋体" w:hAnsi="宋体"/>
                <w:b/>
                <w:szCs w:val="21"/>
                <w:highlight w:val="none"/>
              </w:rPr>
              <w:t>一、商务要求</w:t>
            </w:r>
          </w:p>
        </w:tc>
      </w:tr>
      <w:tr w14:paraId="66158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10D07AF4">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计划工期</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2B75A840">
            <w:pPr>
              <w:spacing w:line="360" w:lineRule="auto"/>
              <w:jc w:val="left"/>
              <w:rPr>
                <w:rFonts w:hint="eastAsia" w:ascii="宋体" w:hAnsi="宋体" w:eastAsia="宋体"/>
                <w:b/>
                <w:szCs w:val="21"/>
                <w:highlight w:val="none"/>
                <w:lang w:eastAsia="zh-CN"/>
              </w:rPr>
            </w:pPr>
            <w:r>
              <w:rPr>
                <w:rFonts w:hint="eastAsia" w:ascii="宋体" w:hAnsi="宋体"/>
                <w:szCs w:val="21"/>
                <w:highlight w:val="none"/>
                <w:lang w:val="en-US" w:eastAsia="zh-CN"/>
              </w:rPr>
              <w:t>35</w:t>
            </w:r>
            <w:r>
              <w:rPr>
                <w:rFonts w:hint="eastAsia" w:ascii="宋体" w:hAnsi="宋体"/>
                <w:szCs w:val="21"/>
                <w:highlight w:val="none"/>
              </w:rPr>
              <w:t>日历天</w:t>
            </w:r>
            <w:r>
              <w:rPr>
                <w:rFonts w:hint="eastAsia" w:ascii="宋体" w:hAnsi="宋体"/>
                <w:szCs w:val="21"/>
                <w:highlight w:val="none"/>
                <w:lang w:eastAsia="zh-CN"/>
              </w:rPr>
              <w:t>。</w:t>
            </w:r>
          </w:p>
        </w:tc>
      </w:tr>
      <w:tr w14:paraId="11A5B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522554B7">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建设地点</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31A4A8A6">
            <w:pPr>
              <w:spacing w:line="360" w:lineRule="auto"/>
              <w:jc w:val="left"/>
              <w:rPr>
                <w:rFonts w:hint="eastAsia" w:ascii="宋体" w:hAnsi="宋体"/>
                <w:szCs w:val="21"/>
                <w:highlight w:val="none"/>
              </w:rPr>
            </w:pPr>
            <w:r>
              <w:rPr>
                <w:rFonts w:hint="eastAsia" w:ascii="宋体" w:hAnsi="宋体" w:cs="宋体"/>
                <w:highlight w:val="none"/>
                <w:lang w:eastAsia="zh-CN"/>
              </w:rPr>
              <w:t>苍梧县梨埠镇初级中学</w:t>
            </w:r>
            <w:r>
              <w:rPr>
                <w:rFonts w:hint="eastAsia" w:ascii="宋体" w:hAnsi="宋体" w:cs="宋体"/>
                <w:highlight w:val="none"/>
              </w:rPr>
              <w:t>校园内。</w:t>
            </w:r>
          </w:p>
        </w:tc>
      </w:tr>
      <w:tr w14:paraId="0C251B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764D2CFA">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合同签订时间</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4F18895B">
            <w:pPr>
              <w:spacing w:line="360" w:lineRule="auto"/>
              <w:jc w:val="left"/>
              <w:rPr>
                <w:rFonts w:hint="eastAsia" w:ascii="宋体" w:hAnsi="宋体"/>
                <w:b/>
                <w:szCs w:val="21"/>
                <w:highlight w:val="none"/>
              </w:rPr>
            </w:pPr>
            <w:r>
              <w:rPr>
                <w:rFonts w:hint="eastAsia" w:ascii="宋体" w:hAnsi="宋体"/>
                <w:szCs w:val="21"/>
                <w:highlight w:val="none"/>
              </w:rPr>
              <w:t xml:space="preserve">自成交通知书发出之日起 </w:t>
            </w:r>
            <w:r>
              <w:rPr>
                <w:rFonts w:hint="eastAsia" w:ascii="宋体" w:hAnsi="宋体"/>
                <w:szCs w:val="21"/>
                <w:highlight w:val="none"/>
                <w:u w:val="single"/>
              </w:rPr>
              <w:t>15</w:t>
            </w:r>
            <w:r>
              <w:rPr>
                <w:rFonts w:hint="eastAsia" w:ascii="宋体" w:hAnsi="宋体"/>
                <w:szCs w:val="21"/>
                <w:highlight w:val="none"/>
              </w:rPr>
              <w:t>日内。</w:t>
            </w:r>
          </w:p>
        </w:tc>
      </w:tr>
      <w:tr w14:paraId="17ADC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567D4C0E">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其他要求</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26FE04B7">
            <w:pPr>
              <w:pStyle w:val="18"/>
              <w:spacing w:line="360" w:lineRule="auto"/>
              <w:rPr>
                <w:rFonts w:hint="eastAsia" w:ascii="宋体" w:hAnsi="宋体"/>
                <w:szCs w:val="21"/>
                <w:highlight w:val="none"/>
              </w:rPr>
            </w:pPr>
            <w:r>
              <w:rPr>
                <w:rFonts w:hint="eastAsia" w:ascii="宋体" w:hAnsi="宋体" w:cs="宋体"/>
                <w:highlight w:val="none"/>
              </w:rPr>
              <w:t>为确保项目</w:t>
            </w:r>
            <w:r>
              <w:rPr>
                <w:rFonts w:hint="eastAsia"/>
                <w:highlight w:val="none"/>
              </w:rPr>
              <w:t>及时、顺利实施，</w:t>
            </w:r>
            <w:r>
              <w:rPr>
                <w:rFonts w:ascii="宋体" w:hAnsi="宋体" w:cs="宋体"/>
                <w:highlight w:val="none"/>
              </w:rPr>
              <w:t>投入的项目管理人员符合国家及广西壮族自治区的规</w:t>
            </w:r>
            <w:r>
              <w:rPr>
                <w:rFonts w:hint="eastAsia" w:ascii="宋体" w:hAnsi="宋体" w:cs="宋体"/>
                <w:highlight w:val="none"/>
              </w:rPr>
              <w:t>定</w:t>
            </w:r>
            <w:r>
              <w:rPr>
                <w:rFonts w:hint="eastAsia"/>
                <w:highlight w:val="none"/>
              </w:rPr>
              <w:t>。</w:t>
            </w:r>
          </w:p>
        </w:tc>
      </w:tr>
      <w:tr w14:paraId="3D7C9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2701E84D">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付款条件</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037932FE">
            <w:pPr>
              <w:wordWrap w:val="0"/>
              <w:spacing w:line="360" w:lineRule="auto"/>
              <w:rPr>
                <w:rFonts w:hint="eastAsia" w:ascii="宋体" w:hAnsi="宋体"/>
                <w:b/>
                <w:szCs w:val="21"/>
                <w:highlight w:val="none"/>
              </w:rPr>
            </w:pPr>
            <w:r>
              <w:rPr>
                <w:rFonts w:hint="eastAsia" w:ascii="宋体" w:hAnsi="宋体"/>
                <w:b w:val="0"/>
                <w:bCs/>
                <w:szCs w:val="21"/>
                <w:highlight w:val="none"/>
                <w:lang w:val="en-US" w:eastAsia="zh-CN"/>
              </w:rPr>
              <w:t>1.无预付款；工程款原则上按月支付，完成合同约定所有工程量后支付至合同总价的80%工程款；工程竣工验收合格后，支付至合同总价的90%工程款，工程变更部分进度款支付限额为已完成工程量的（80%）；工程完工验收达到质量要求，结算经相关审计部门审定后，工程款支付至结算总价的97%（不得低于97%）；发包人按工程价款结算总额的3%（最高不超过3%）预留工程质量保修金（可由承包人以银行保函替代预留保证金），待工程质量缺陷责任期满后返还</w:t>
            </w:r>
            <w:r>
              <w:rPr>
                <w:rFonts w:hint="eastAsia" w:ascii="宋体" w:hAnsi="宋体"/>
                <w:b w:val="0"/>
                <w:bCs/>
                <w:szCs w:val="21"/>
                <w:highlight w:val="none"/>
              </w:rPr>
              <w:t>。</w:t>
            </w:r>
          </w:p>
        </w:tc>
      </w:tr>
      <w:tr w14:paraId="652AE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19CCEDAD">
            <w:pPr>
              <w:wordWrap w:val="0"/>
              <w:spacing w:line="360" w:lineRule="auto"/>
              <w:jc w:val="center"/>
              <w:rPr>
                <w:rFonts w:hint="eastAsia" w:ascii="宋体" w:hAnsi="宋体" w:cs="宋体"/>
                <w:bCs/>
                <w:szCs w:val="21"/>
                <w:highlight w:val="none"/>
              </w:rPr>
            </w:pPr>
            <w:r>
              <w:rPr>
                <w:rFonts w:hint="eastAsia" w:ascii="宋体" w:hAnsi="宋体" w:cs="宋体"/>
                <w:bCs/>
                <w:szCs w:val="21"/>
                <w:highlight w:val="none"/>
              </w:rPr>
              <w:t>项目合同价格形式</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47078C4E">
            <w:pPr>
              <w:wordWrap w:val="0"/>
              <w:spacing w:line="360" w:lineRule="auto"/>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单价合同</w:t>
            </w:r>
          </w:p>
        </w:tc>
      </w:tr>
      <w:tr w14:paraId="78C1E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025D87EB">
            <w:pPr>
              <w:wordWrap w:val="0"/>
              <w:spacing w:line="360" w:lineRule="auto"/>
              <w:jc w:val="center"/>
              <w:rPr>
                <w:rFonts w:hint="eastAsia" w:ascii="宋体" w:hAnsi="宋体" w:cs="宋体"/>
                <w:bCs/>
                <w:szCs w:val="21"/>
                <w:highlight w:val="none"/>
              </w:rPr>
            </w:pPr>
            <w:r>
              <w:rPr>
                <w:rFonts w:hint="eastAsia" w:ascii="宋体" w:hAnsi="宋体" w:cs="宋体"/>
                <w:bCs/>
                <w:szCs w:val="21"/>
                <w:highlight w:val="none"/>
              </w:rPr>
              <w:t>保修要求</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5D5E94CF">
            <w:pPr>
              <w:wordWrap w:val="0"/>
              <w:spacing w:line="360" w:lineRule="auto"/>
              <w:rPr>
                <w:rFonts w:hint="eastAsia" w:ascii="宋体" w:hAnsi="宋体" w:cs="宋体"/>
                <w:bCs/>
                <w:szCs w:val="21"/>
                <w:highlight w:val="none"/>
              </w:rPr>
            </w:pPr>
            <w:r>
              <w:rPr>
                <w:rFonts w:hint="eastAsia" w:ascii="宋体" w:hAnsi="宋体" w:cs="宋体"/>
                <w:bCs/>
                <w:szCs w:val="21"/>
                <w:highlight w:val="none"/>
              </w:rPr>
              <w:t>按照有关法律规定和合同约定，承担工程质量保修责任。</w:t>
            </w:r>
          </w:p>
        </w:tc>
      </w:tr>
      <w:tr w14:paraId="7AF39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4CCF25C0">
            <w:pPr>
              <w:wordWrap w:val="0"/>
              <w:spacing w:line="360" w:lineRule="auto"/>
              <w:jc w:val="center"/>
              <w:rPr>
                <w:rFonts w:hint="eastAsia" w:ascii="宋体" w:hAnsi="宋体" w:cs="宋体"/>
                <w:bCs/>
                <w:szCs w:val="21"/>
                <w:highlight w:val="none"/>
              </w:rPr>
            </w:pPr>
            <w:r>
              <w:rPr>
                <w:rFonts w:hint="eastAsia" w:ascii="宋体" w:hAnsi="宋体" w:cs="宋体"/>
                <w:bCs/>
                <w:szCs w:val="21"/>
                <w:highlight w:val="none"/>
              </w:rPr>
              <w:t>技术标准和要求</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39DDDCEB">
            <w:pPr>
              <w:wordWrap w:val="0"/>
              <w:spacing w:line="360" w:lineRule="auto"/>
              <w:rPr>
                <w:rFonts w:hint="eastAsia" w:ascii="宋体" w:hAnsi="宋体" w:cs="宋体"/>
                <w:bCs/>
                <w:szCs w:val="21"/>
                <w:highlight w:val="none"/>
              </w:rPr>
            </w:pPr>
            <w:r>
              <w:rPr>
                <w:rFonts w:hint="eastAsia" w:ascii="宋体" w:hAnsi="宋体" w:cs="宋体"/>
                <w:bCs/>
                <w:szCs w:val="21"/>
                <w:highlight w:val="none"/>
              </w:rPr>
              <w:t>1、按照根据国家行业和地方现行标准、规范和规程等施工；</w:t>
            </w:r>
          </w:p>
          <w:p w14:paraId="79506C5D">
            <w:pPr>
              <w:wordWrap w:val="0"/>
              <w:spacing w:line="360" w:lineRule="auto"/>
              <w:rPr>
                <w:rFonts w:hint="eastAsia" w:ascii="宋体" w:hAnsi="宋体" w:cs="宋体"/>
                <w:bCs/>
                <w:szCs w:val="21"/>
                <w:highlight w:val="none"/>
              </w:rPr>
            </w:pPr>
            <w:r>
              <w:rPr>
                <w:rFonts w:hint="eastAsia" w:ascii="宋体" w:hAnsi="宋体" w:cs="宋体"/>
                <w:bCs/>
                <w:szCs w:val="21"/>
                <w:highlight w:val="none"/>
              </w:rPr>
              <w:t>2、工程项目按国家或行业的施工验收规范、工程质量检验评定标准及设计文件等检验评定标准；</w:t>
            </w:r>
          </w:p>
          <w:p w14:paraId="17486F84">
            <w:pPr>
              <w:wordWrap w:val="0"/>
              <w:spacing w:line="360" w:lineRule="auto"/>
              <w:rPr>
                <w:rFonts w:hint="eastAsia" w:ascii="宋体" w:hAnsi="宋体" w:cs="宋体"/>
                <w:bCs/>
                <w:szCs w:val="21"/>
                <w:highlight w:val="none"/>
              </w:rPr>
            </w:pPr>
            <w:r>
              <w:rPr>
                <w:rFonts w:hint="eastAsia" w:ascii="宋体" w:hAnsi="宋体" w:cs="宋体"/>
                <w:bCs/>
                <w:szCs w:val="21"/>
                <w:highlight w:val="none"/>
              </w:rPr>
              <w:t>3、标准产品按选定的国家或行业检验评定标准。</w:t>
            </w:r>
          </w:p>
        </w:tc>
      </w:tr>
      <w:tr w14:paraId="04471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717422D7">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验收标准</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100CE605">
            <w:pPr>
              <w:widowControl/>
              <w:spacing w:line="360" w:lineRule="auto"/>
              <w:jc w:val="left"/>
              <w:rPr>
                <w:rFonts w:hint="eastAsia" w:ascii="宋体" w:hAnsi="宋体" w:cs="宋体"/>
                <w:szCs w:val="21"/>
                <w:highlight w:val="none"/>
              </w:rPr>
            </w:pPr>
            <w:r>
              <w:rPr>
                <w:rFonts w:hint="eastAsia" w:ascii="宋体" w:hAnsi="宋体" w:cs="宋体"/>
                <w:szCs w:val="21"/>
                <w:highlight w:val="none"/>
              </w:rPr>
              <w:t>符合现行国家相关标准、行业标准、地方标准或者其他标准、规范的相关规定执行。</w:t>
            </w:r>
          </w:p>
        </w:tc>
      </w:tr>
    </w:tbl>
    <w:p w14:paraId="21CD5858">
      <w:pPr>
        <w:tabs>
          <w:tab w:val="left" w:pos="180"/>
          <w:tab w:val="left" w:pos="1620"/>
        </w:tabs>
        <w:spacing w:line="360" w:lineRule="auto"/>
        <w:ind w:firstLine="422" w:firstLineChars="200"/>
        <w:rPr>
          <w:rFonts w:ascii="宋体" w:hAnsi="宋体" w:cs="宋体"/>
          <w:b/>
          <w:bCs/>
          <w:szCs w:val="21"/>
          <w:highlight w:val="none"/>
        </w:rPr>
      </w:pPr>
    </w:p>
    <w:p w14:paraId="5D371E5E">
      <w:pPr>
        <w:spacing w:line="360" w:lineRule="auto"/>
        <w:jc w:val="center"/>
        <w:rPr>
          <w:rFonts w:hint="eastAsia" w:ascii="宋体" w:hAnsi="宋体" w:cs="宋体"/>
          <w:b/>
          <w:bCs/>
          <w:sz w:val="32"/>
          <w:szCs w:val="32"/>
          <w:highlight w:val="none"/>
        </w:rPr>
      </w:pPr>
      <w:r>
        <w:rPr>
          <w:rFonts w:hint="eastAsia" w:ascii="宋体" w:hAnsi="宋体" w:cs="宋体"/>
          <w:b/>
          <w:bCs/>
          <w:sz w:val="32"/>
          <w:szCs w:val="32"/>
          <w:highlight w:val="none"/>
        </w:rPr>
        <w:br w:type="page"/>
      </w:r>
      <w:r>
        <w:rPr>
          <w:rFonts w:hint="eastAsia" w:ascii="宋体" w:hAnsi="宋体" w:cs="宋体"/>
          <w:b/>
          <w:bCs/>
          <w:sz w:val="32"/>
          <w:szCs w:val="32"/>
          <w:highlight w:val="none"/>
        </w:rPr>
        <w:t>中小微企业划型标准</w:t>
      </w:r>
    </w:p>
    <w:tbl>
      <w:tblPr>
        <w:tblStyle w:val="44"/>
        <w:tblW w:w="9734" w:type="dxa"/>
        <w:tblInd w:w="-428" w:type="dxa"/>
        <w:tblLayout w:type="fixed"/>
        <w:tblCellMar>
          <w:top w:w="0" w:type="dxa"/>
          <w:left w:w="108" w:type="dxa"/>
          <w:bottom w:w="0" w:type="dxa"/>
          <w:right w:w="108" w:type="dxa"/>
        </w:tblCellMar>
      </w:tblPr>
      <w:tblGrid>
        <w:gridCol w:w="1867"/>
        <w:gridCol w:w="1500"/>
        <w:gridCol w:w="1308"/>
        <w:gridCol w:w="2042"/>
        <w:gridCol w:w="1700"/>
        <w:gridCol w:w="1317"/>
      </w:tblGrid>
      <w:tr w14:paraId="6ADFA170">
        <w:tblPrEx>
          <w:tblCellMar>
            <w:top w:w="0" w:type="dxa"/>
            <w:left w:w="108" w:type="dxa"/>
            <w:bottom w:w="0" w:type="dxa"/>
            <w:right w:w="108" w:type="dxa"/>
          </w:tblCellMar>
        </w:tblPrEx>
        <w:trPr>
          <w:trHeight w:val="285" w:hRule="atLeast"/>
        </w:trPr>
        <w:tc>
          <w:tcPr>
            <w:tcW w:w="1867" w:type="dxa"/>
            <w:tcBorders>
              <w:top w:val="single" w:color="auto" w:sz="4" w:space="0"/>
              <w:left w:val="single" w:color="auto" w:sz="4" w:space="0"/>
              <w:bottom w:val="single" w:color="auto" w:sz="4" w:space="0"/>
              <w:right w:val="single" w:color="auto" w:sz="4" w:space="0"/>
            </w:tcBorders>
            <w:noWrap/>
            <w:vAlign w:val="center"/>
          </w:tcPr>
          <w:p w14:paraId="5FCE7ED4">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行业名称</w:t>
            </w:r>
          </w:p>
        </w:tc>
        <w:tc>
          <w:tcPr>
            <w:tcW w:w="1500" w:type="dxa"/>
            <w:tcBorders>
              <w:top w:val="single" w:color="auto" w:sz="4" w:space="0"/>
              <w:left w:val="nil"/>
              <w:bottom w:val="single" w:color="auto" w:sz="4" w:space="0"/>
              <w:right w:val="single" w:color="auto" w:sz="4" w:space="0"/>
            </w:tcBorders>
            <w:noWrap/>
            <w:vAlign w:val="center"/>
          </w:tcPr>
          <w:p w14:paraId="59ADB74D">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指标名称</w:t>
            </w:r>
          </w:p>
        </w:tc>
        <w:tc>
          <w:tcPr>
            <w:tcW w:w="1308" w:type="dxa"/>
            <w:tcBorders>
              <w:top w:val="single" w:color="auto" w:sz="4" w:space="0"/>
              <w:left w:val="nil"/>
              <w:bottom w:val="single" w:color="auto" w:sz="4" w:space="0"/>
              <w:right w:val="single" w:color="auto" w:sz="4" w:space="0"/>
            </w:tcBorders>
            <w:noWrap/>
            <w:vAlign w:val="center"/>
          </w:tcPr>
          <w:p w14:paraId="6B77C422">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计量单位</w:t>
            </w:r>
          </w:p>
        </w:tc>
        <w:tc>
          <w:tcPr>
            <w:tcW w:w="2042" w:type="dxa"/>
            <w:tcBorders>
              <w:top w:val="single" w:color="auto" w:sz="4" w:space="0"/>
              <w:left w:val="nil"/>
              <w:bottom w:val="single" w:color="auto" w:sz="4" w:space="0"/>
              <w:right w:val="single" w:color="auto" w:sz="4" w:space="0"/>
            </w:tcBorders>
            <w:noWrap/>
            <w:vAlign w:val="center"/>
          </w:tcPr>
          <w:p w14:paraId="42F19043">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中型</w:t>
            </w:r>
          </w:p>
        </w:tc>
        <w:tc>
          <w:tcPr>
            <w:tcW w:w="1700" w:type="dxa"/>
            <w:tcBorders>
              <w:top w:val="single" w:color="auto" w:sz="4" w:space="0"/>
              <w:left w:val="nil"/>
              <w:bottom w:val="single" w:color="auto" w:sz="4" w:space="0"/>
              <w:right w:val="single" w:color="auto" w:sz="4" w:space="0"/>
            </w:tcBorders>
            <w:noWrap/>
            <w:vAlign w:val="center"/>
          </w:tcPr>
          <w:p w14:paraId="37A56C82">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小型</w:t>
            </w:r>
          </w:p>
        </w:tc>
        <w:tc>
          <w:tcPr>
            <w:tcW w:w="1317" w:type="dxa"/>
            <w:tcBorders>
              <w:top w:val="single" w:color="auto" w:sz="4" w:space="0"/>
              <w:left w:val="nil"/>
              <w:bottom w:val="single" w:color="auto" w:sz="4" w:space="0"/>
              <w:right w:val="single" w:color="auto" w:sz="4" w:space="0"/>
            </w:tcBorders>
            <w:noWrap/>
            <w:vAlign w:val="center"/>
          </w:tcPr>
          <w:p w14:paraId="76D82D69">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微型</w:t>
            </w:r>
          </w:p>
        </w:tc>
      </w:tr>
      <w:tr w14:paraId="2FDDA473">
        <w:tblPrEx>
          <w:tblCellMar>
            <w:top w:w="0" w:type="dxa"/>
            <w:left w:w="108" w:type="dxa"/>
            <w:bottom w:w="0" w:type="dxa"/>
            <w:right w:w="108" w:type="dxa"/>
          </w:tblCellMar>
        </w:tblPrEx>
        <w:trPr>
          <w:trHeight w:val="225" w:hRule="atLeast"/>
        </w:trPr>
        <w:tc>
          <w:tcPr>
            <w:tcW w:w="1867" w:type="dxa"/>
            <w:tcBorders>
              <w:top w:val="nil"/>
              <w:left w:val="single" w:color="auto" w:sz="4" w:space="0"/>
              <w:bottom w:val="single" w:color="auto" w:sz="4" w:space="0"/>
              <w:right w:val="single" w:color="auto" w:sz="4" w:space="0"/>
            </w:tcBorders>
            <w:noWrap/>
            <w:vAlign w:val="center"/>
          </w:tcPr>
          <w:p w14:paraId="51BD9623">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农、林、牧、渔</w:t>
            </w:r>
          </w:p>
        </w:tc>
        <w:tc>
          <w:tcPr>
            <w:tcW w:w="1500" w:type="dxa"/>
            <w:tcBorders>
              <w:top w:val="nil"/>
              <w:left w:val="nil"/>
              <w:bottom w:val="single" w:color="auto" w:sz="4" w:space="0"/>
              <w:right w:val="single" w:color="auto" w:sz="4" w:space="0"/>
            </w:tcBorders>
            <w:noWrap/>
            <w:vAlign w:val="center"/>
          </w:tcPr>
          <w:p w14:paraId="0C674CE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0F49B33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6BCCA7D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500≤Y＜20000</w:t>
            </w:r>
          </w:p>
        </w:tc>
        <w:tc>
          <w:tcPr>
            <w:tcW w:w="1700" w:type="dxa"/>
            <w:tcBorders>
              <w:top w:val="nil"/>
              <w:left w:val="nil"/>
              <w:bottom w:val="single" w:color="auto" w:sz="4" w:space="0"/>
              <w:right w:val="single" w:color="auto" w:sz="4" w:space="0"/>
            </w:tcBorders>
            <w:noWrap/>
            <w:vAlign w:val="center"/>
          </w:tcPr>
          <w:p w14:paraId="1A47323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50≤Y＜500</w:t>
            </w:r>
          </w:p>
        </w:tc>
        <w:tc>
          <w:tcPr>
            <w:tcW w:w="1317" w:type="dxa"/>
            <w:tcBorders>
              <w:top w:val="nil"/>
              <w:left w:val="nil"/>
              <w:bottom w:val="single" w:color="auto" w:sz="4" w:space="0"/>
              <w:right w:val="single" w:color="auto" w:sz="4" w:space="0"/>
            </w:tcBorders>
            <w:noWrap/>
            <w:vAlign w:val="center"/>
          </w:tcPr>
          <w:p w14:paraId="61BC223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Y＜50</w:t>
            </w:r>
          </w:p>
        </w:tc>
      </w:tr>
      <w:tr w14:paraId="591881A0">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3956C809">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工业</w:t>
            </w:r>
          </w:p>
        </w:tc>
        <w:tc>
          <w:tcPr>
            <w:tcW w:w="1500" w:type="dxa"/>
            <w:tcBorders>
              <w:top w:val="nil"/>
              <w:left w:val="nil"/>
              <w:bottom w:val="single" w:color="auto" w:sz="4" w:space="0"/>
              <w:right w:val="single" w:color="auto" w:sz="4" w:space="0"/>
            </w:tcBorders>
            <w:noWrap/>
            <w:vAlign w:val="center"/>
          </w:tcPr>
          <w:p w14:paraId="4708717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21148A2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444810A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300≤X＜1000</w:t>
            </w:r>
          </w:p>
        </w:tc>
        <w:tc>
          <w:tcPr>
            <w:tcW w:w="1700" w:type="dxa"/>
            <w:tcBorders>
              <w:top w:val="nil"/>
              <w:left w:val="nil"/>
              <w:bottom w:val="single" w:color="auto" w:sz="4" w:space="0"/>
              <w:right w:val="single" w:color="auto" w:sz="4" w:space="0"/>
            </w:tcBorders>
            <w:noWrap/>
            <w:vAlign w:val="center"/>
          </w:tcPr>
          <w:p w14:paraId="1E813C3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20≤X＜300</w:t>
            </w:r>
          </w:p>
        </w:tc>
        <w:tc>
          <w:tcPr>
            <w:tcW w:w="1317" w:type="dxa"/>
            <w:tcBorders>
              <w:top w:val="nil"/>
              <w:left w:val="nil"/>
              <w:bottom w:val="single" w:color="auto" w:sz="4" w:space="0"/>
              <w:right w:val="single" w:color="auto" w:sz="4" w:space="0"/>
            </w:tcBorders>
            <w:noWrap/>
            <w:vAlign w:val="center"/>
          </w:tcPr>
          <w:p w14:paraId="01E4021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X＜20</w:t>
            </w:r>
          </w:p>
        </w:tc>
      </w:tr>
      <w:tr w14:paraId="4DA7F27C">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04A81286">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4D851BD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3628CAA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2852BF4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2000≤Y＜40000</w:t>
            </w:r>
          </w:p>
        </w:tc>
        <w:tc>
          <w:tcPr>
            <w:tcW w:w="1700" w:type="dxa"/>
            <w:tcBorders>
              <w:top w:val="nil"/>
              <w:left w:val="nil"/>
              <w:bottom w:val="single" w:color="auto" w:sz="4" w:space="0"/>
              <w:right w:val="single" w:color="auto" w:sz="4" w:space="0"/>
            </w:tcBorders>
            <w:noWrap/>
            <w:vAlign w:val="center"/>
          </w:tcPr>
          <w:p w14:paraId="11E7583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300≤Y＜2000</w:t>
            </w:r>
          </w:p>
        </w:tc>
        <w:tc>
          <w:tcPr>
            <w:tcW w:w="1317" w:type="dxa"/>
            <w:tcBorders>
              <w:top w:val="nil"/>
              <w:left w:val="nil"/>
              <w:bottom w:val="single" w:color="auto" w:sz="4" w:space="0"/>
              <w:right w:val="single" w:color="auto" w:sz="4" w:space="0"/>
            </w:tcBorders>
            <w:noWrap/>
            <w:vAlign w:val="center"/>
          </w:tcPr>
          <w:p w14:paraId="67C04D5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Y＜300</w:t>
            </w:r>
          </w:p>
        </w:tc>
      </w:tr>
      <w:tr w14:paraId="38A751D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36E2F7B0">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建筑业</w:t>
            </w:r>
          </w:p>
        </w:tc>
        <w:tc>
          <w:tcPr>
            <w:tcW w:w="1500" w:type="dxa"/>
            <w:tcBorders>
              <w:top w:val="nil"/>
              <w:left w:val="nil"/>
              <w:bottom w:val="single" w:color="auto" w:sz="4" w:space="0"/>
              <w:right w:val="single" w:color="auto" w:sz="4" w:space="0"/>
            </w:tcBorders>
            <w:noWrap/>
            <w:vAlign w:val="center"/>
          </w:tcPr>
          <w:p w14:paraId="3841585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3478F8B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1180B95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6000≤Y＜80000</w:t>
            </w:r>
          </w:p>
        </w:tc>
        <w:tc>
          <w:tcPr>
            <w:tcW w:w="1700" w:type="dxa"/>
            <w:tcBorders>
              <w:top w:val="nil"/>
              <w:left w:val="nil"/>
              <w:bottom w:val="single" w:color="auto" w:sz="4" w:space="0"/>
              <w:right w:val="single" w:color="auto" w:sz="4" w:space="0"/>
            </w:tcBorders>
            <w:noWrap/>
            <w:vAlign w:val="center"/>
          </w:tcPr>
          <w:p w14:paraId="11B4BAC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300≤Y＜6000</w:t>
            </w:r>
          </w:p>
        </w:tc>
        <w:tc>
          <w:tcPr>
            <w:tcW w:w="1317" w:type="dxa"/>
            <w:tcBorders>
              <w:top w:val="nil"/>
              <w:left w:val="nil"/>
              <w:bottom w:val="single" w:color="auto" w:sz="4" w:space="0"/>
              <w:right w:val="single" w:color="auto" w:sz="4" w:space="0"/>
            </w:tcBorders>
            <w:noWrap/>
            <w:vAlign w:val="center"/>
          </w:tcPr>
          <w:p w14:paraId="023B189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Y＜300</w:t>
            </w:r>
          </w:p>
        </w:tc>
      </w:tr>
      <w:tr w14:paraId="74C2638C">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0C9A54D9">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5958587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资产总额（Z）</w:t>
            </w:r>
          </w:p>
        </w:tc>
        <w:tc>
          <w:tcPr>
            <w:tcW w:w="1308" w:type="dxa"/>
            <w:tcBorders>
              <w:top w:val="nil"/>
              <w:left w:val="nil"/>
              <w:bottom w:val="single" w:color="auto" w:sz="4" w:space="0"/>
              <w:right w:val="single" w:color="auto" w:sz="4" w:space="0"/>
            </w:tcBorders>
            <w:noWrap/>
            <w:vAlign w:val="center"/>
          </w:tcPr>
          <w:p w14:paraId="570612D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1AD847F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5000≤Z＜80000</w:t>
            </w:r>
          </w:p>
        </w:tc>
        <w:tc>
          <w:tcPr>
            <w:tcW w:w="1700" w:type="dxa"/>
            <w:tcBorders>
              <w:top w:val="nil"/>
              <w:left w:val="nil"/>
              <w:bottom w:val="single" w:color="auto" w:sz="4" w:space="0"/>
              <w:right w:val="single" w:color="auto" w:sz="4" w:space="0"/>
            </w:tcBorders>
            <w:noWrap/>
            <w:vAlign w:val="center"/>
          </w:tcPr>
          <w:p w14:paraId="7EA71CB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300≤Z＜5000</w:t>
            </w:r>
          </w:p>
        </w:tc>
        <w:tc>
          <w:tcPr>
            <w:tcW w:w="1317" w:type="dxa"/>
            <w:tcBorders>
              <w:top w:val="nil"/>
              <w:left w:val="nil"/>
              <w:bottom w:val="single" w:color="auto" w:sz="4" w:space="0"/>
              <w:right w:val="single" w:color="auto" w:sz="4" w:space="0"/>
            </w:tcBorders>
            <w:noWrap/>
            <w:vAlign w:val="center"/>
          </w:tcPr>
          <w:p w14:paraId="4792D65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Z＜300</w:t>
            </w:r>
          </w:p>
        </w:tc>
      </w:tr>
      <w:tr w14:paraId="7C782BDC">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05C19346">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批发业</w:t>
            </w:r>
          </w:p>
        </w:tc>
        <w:tc>
          <w:tcPr>
            <w:tcW w:w="1500" w:type="dxa"/>
            <w:tcBorders>
              <w:top w:val="nil"/>
              <w:left w:val="nil"/>
              <w:bottom w:val="single" w:color="auto" w:sz="4" w:space="0"/>
              <w:right w:val="single" w:color="auto" w:sz="4" w:space="0"/>
            </w:tcBorders>
            <w:noWrap/>
            <w:vAlign w:val="center"/>
          </w:tcPr>
          <w:p w14:paraId="23006E3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10A3E9D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5F91F56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20≤X＜200</w:t>
            </w:r>
          </w:p>
        </w:tc>
        <w:tc>
          <w:tcPr>
            <w:tcW w:w="1700" w:type="dxa"/>
            <w:tcBorders>
              <w:top w:val="nil"/>
              <w:left w:val="nil"/>
              <w:bottom w:val="single" w:color="auto" w:sz="4" w:space="0"/>
              <w:right w:val="single" w:color="auto" w:sz="4" w:space="0"/>
            </w:tcBorders>
            <w:noWrap/>
            <w:vAlign w:val="center"/>
          </w:tcPr>
          <w:p w14:paraId="3C0E6E5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5≤X＜20</w:t>
            </w:r>
          </w:p>
        </w:tc>
        <w:tc>
          <w:tcPr>
            <w:tcW w:w="1317" w:type="dxa"/>
            <w:tcBorders>
              <w:top w:val="nil"/>
              <w:left w:val="nil"/>
              <w:bottom w:val="single" w:color="auto" w:sz="4" w:space="0"/>
              <w:right w:val="single" w:color="auto" w:sz="4" w:space="0"/>
            </w:tcBorders>
            <w:noWrap/>
            <w:vAlign w:val="center"/>
          </w:tcPr>
          <w:p w14:paraId="1E9EB41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X＜5</w:t>
            </w:r>
          </w:p>
        </w:tc>
      </w:tr>
      <w:tr w14:paraId="489636B6">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75F85206">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0912BC6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67383D5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74AA015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5000≤Y＜40000</w:t>
            </w:r>
          </w:p>
        </w:tc>
        <w:tc>
          <w:tcPr>
            <w:tcW w:w="1700" w:type="dxa"/>
            <w:tcBorders>
              <w:top w:val="nil"/>
              <w:left w:val="nil"/>
              <w:bottom w:val="single" w:color="auto" w:sz="4" w:space="0"/>
              <w:right w:val="single" w:color="auto" w:sz="4" w:space="0"/>
            </w:tcBorders>
            <w:noWrap/>
            <w:vAlign w:val="center"/>
          </w:tcPr>
          <w:p w14:paraId="4C0AE6A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1000≤Y＜5000</w:t>
            </w:r>
          </w:p>
        </w:tc>
        <w:tc>
          <w:tcPr>
            <w:tcW w:w="1317" w:type="dxa"/>
            <w:tcBorders>
              <w:top w:val="nil"/>
              <w:left w:val="nil"/>
              <w:bottom w:val="single" w:color="auto" w:sz="4" w:space="0"/>
              <w:right w:val="single" w:color="auto" w:sz="4" w:space="0"/>
            </w:tcBorders>
            <w:noWrap/>
            <w:vAlign w:val="center"/>
          </w:tcPr>
          <w:p w14:paraId="708ABD9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Y＜1000</w:t>
            </w:r>
          </w:p>
        </w:tc>
      </w:tr>
      <w:tr w14:paraId="60475340">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09A19E69">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零售业</w:t>
            </w:r>
          </w:p>
        </w:tc>
        <w:tc>
          <w:tcPr>
            <w:tcW w:w="1500" w:type="dxa"/>
            <w:tcBorders>
              <w:top w:val="nil"/>
              <w:left w:val="nil"/>
              <w:bottom w:val="single" w:color="auto" w:sz="4" w:space="0"/>
              <w:right w:val="single" w:color="auto" w:sz="4" w:space="0"/>
            </w:tcBorders>
            <w:noWrap/>
            <w:vAlign w:val="center"/>
          </w:tcPr>
          <w:p w14:paraId="3E345DE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3A64080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83C821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50≤X＜300</w:t>
            </w:r>
          </w:p>
        </w:tc>
        <w:tc>
          <w:tcPr>
            <w:tcW w:w="1700" w:type="dxa"/>
            <w:tcBorders>
              <w:top w:val="nil"/>
              <w:left w:val="nil"/>
              <w:bottom w:val="single" w:color="auto" w:sz="4" w:space="0"/>
              <w:right w:val="single" w:color="auto" w:sz="4" w:space="0"/>
            </w:tcBorders>
            <w:noWrap/>
            <w:vAlign w:val="center"/>
          </w:tcPr>
          <w:p w14:paraId="24B0D92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10≤X＜50</w:t>
            </w:r>
          </w:p>
        </w:tc>
        <w:tc>
          <w:tcPr>
            <w:tcW w:w="1317" w:type="dxa"/>
            <w:tcBorders>
              <w:top w:val="nil"/>
              <w:left w:val="nil"/>
              <w:bottom w:val="single" w:color="auto" w:sz="4" w:space="0"/>
              <w:right w:val="single" w:color="auto" w:sz="4" w:space="0"/>
            </w:tcBorders>
            <w:noWrap/>
            <w:vAlign w:val="center"/>
          </w:tcPr>
          <w:p w14:paraId="0A38EAA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02498A00">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402E981D">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61F0BB9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5F7EE9F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7EC729D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500≤Y＜20000</w:t>
            </w:r>
          </w:p>
        </w:tc>
        <w:tc>
          <w:tcPr>
            <w:tcW w:w="1700" w:type="dxa"/>
            <w:tcBorders>
              <w:top w:val="nil"/>
              <w:left w:val="nil"/>
              <w:bottom w:val="single" w:color="auto" w:sz="4" w:space="0"/>
              <w:right w:val="single" w:color="auto" w:sz="4" w:space="0"/>
            </w:tcBorders>
            <w:noWrap/>
            <w:vAlign w:val="center"/>
          </w:tcPr>
          <w:p w14:paraId="7414789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100≤Y＜500</w:t>
            </w:r>
          </w:p>
        </w:tc>
        <w:tc>
          <w:tcPr>
            <w:tcW w:w="1317" w:type="dxa"/>
            <w:tcBorders>
              <w:top w:val="nil"/>
              <w:left w:val="nil"/>
              <w:bottom w:val="single" w:color="auto" w:sz="4" w:space="0"/>
              <w:right w:val="single" w:color="auto" w:sz="4" w:space="0"/>
            </w:tcBorders>
            <w:noWrap/>
            <w:vAlign w:val="center"/>
          </w:tcPr>
          <w:p w14:paraId="33EED86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7DFF944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7EED9866">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交通运输业</w:t>
            </w:r>
          </w:p>
        </w:tc>
        <w:tc>
          <w:tcPr>
            <w:tcW w:w="1500" w:type="dxa"/>
            <w:tcBorders>
              <w:top w:val="nil"/>
              <w:left w:val="nil"/>
              <w:bottom w:val="single" w:color="auto" w:sz="4" w:space="0"/>
              <w:right w:val="single" w:color="auto" w:sz="4" w:space="0"/>
            </w:tcBorders>
            <w:noWrap/>
            <w:vAlign w:val="center"/>
          </w:tcPr>
          <w:p w14:paraId="5BA0A74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193C632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7109B04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300≤X＜1000</w:t>
            </w:r>
          </w:p>
        </w:tc>
        <w:tc>
          <w:tcPr>
            <w:tcW w:w="1700" w:type="dxa"/>
            <w:tcBorders>
              <w:top w:val="nil"/>
              <w:left w:val="nil"/>
              <w:bottom w:val="single" w:color="auto" w:sz="4" w:space="0"/>
              <w:right w:val="single" w:color="auto" w:sz="4" w:space="0"/>
            </w:tcBorders>
            <w:noWrap/>
            <w:vAlign w:val="center"/>
          </w:tcPr>
          <w:p w14:paraId="5736EF2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20≤X＜300</w:t>
            </w:r>
          </w:p>
        </w:tc>
        <w:tc>
          <w:tcPr>
            <w:tcW w:w="1317" w:type="dxa"/>
            <w:tcBorders>
              <w:top w:val="nil"/>
              <w:left w:val="nil"/>
              <w:bottom w:val="single" w:color="auto" w:sz="4" w:space="0"/>
              <w:right w:val="single" w:color="auto" w:sz="4" w:space="0"/>
            </w:tcBorders>
            <w:noWrap/>
            <w:vAlign w:val="center"/>
          </w:tcPr>
          <w:p w14:paraId="6C67947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X＜20</w:t>
            </w:r>
          </w:p>
        </w:tc>
      </w:tr>
      <w:tr w14:paraId="5C9763C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0DDD00A7">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3A45770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5CC21D4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2943C3A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3000≤Y＜30000</w:t>
            </w:r>
          </w:p>
        </w:tc>
        <w:tc>
          <w:tcPr>
            <w:tcW w:w="1700" w:type="dxa"/>
            <w:tcBorders>
              <w:top w:val="nil"/>
              <w:left w:val="nil"/>
              <w:bottom w:val="single" w:color="auto" w:sz="4" w:space="0"/>
              <w:right w:val="single" w:color="auto" w:sz="4" w:space="0"/>
            </w:tcBorders>
            <w:noWrap/>
            <w:vAlign w:val="center"/>
          </w:tcPr>
          <w:p w14:paraId="6FDA356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200≤Y＜3000</w:t>
            </w:r>
          </w:p>
        </w:tc>
        <w:tc>
          <w:tcPr>
            <w:tcW w:w="1317" w:type="dxa"/>
            <w:tcBorders>
              <w:top w:val="nil"/>
              <w:left w:val="nil"/>
              <w:bottom w:val="single" w:color="auto" w:sz="4" w:space="0"/>
              <w:right w:val="single" w:color="auto" w:sz="4" w:space="0"/>
            </w:tcBorders>
            <w:noWrap/>
            <w:vAlign w:val="center"/>
          </w:tcPr>
          <w:p w14:paraId="4CC2971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Y＜200</w:t>
            </w:r>
          </w:p>
        </w:tc>
      </w:tr>
      <w:tr w14:paraId="3755C8EE">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65351D36">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仓储业</w:t>
            </w:r>
          </w:p>
        </w:tc>
        <w:tc>
          <w:tcPr>
            <w:tcW w:w="1500" w:type="dxa"/>
            <w:tcBorders>
              <w:top w:val="nil"/>
              <w:left w:val="nil"/>
              <w:bottom w:val="single" w:color="auto" w:sz="4" w:space="0"/>
              <w:right w:val="single" w:color="auto" w:sz="4" w:space="0"/>
            </w:tcBorders>
            <w:noWrap/>
            <w:vAlign w:val="center"/>
          </w:tcPr>
          <w:p w14:paraId="628CEAB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1F6FF60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77501C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100≤X＜200</w:t>
            </w:r>
          </w:p>
        </w:tc>
        <w:tc>
          <w:tcPr>
            <w:tcW w:w="1700" w:type="dxa"/>
            <w:tcBorders>
              <w:top w:val="nil"/>
              <w:left w:val="nil"/>
              <w:bottom w:val="single" w:color="auto" w:sz="4" w:space="0"/>
              <w:right w:val="single" w:color="auto" w:sz="4" w:space="0"/>
            </w:tcBorders>
            <w:noWrap/>
            <w:vAlign w:val="center"/>
          </w:tcPr>
          <w:p w14:paraId="40EBE44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20≤X＜100</w:t>
            </w:r>
          </w:p>
        </w:tc>
        <w:tc>
          <w:tcPr>
            <w:tcW w:w="1317" w:type="dxa"/>
            <w:tcBorders>
              <w:top w:val="nil"/>
              <w:left w:val="nil"/>
              <w:bottom w:val="single" w:color="auto" w:sz="4" w:space="0"/>
              <w:right w:val="single" w:color="auto" w:sz="4" w:space="0"/>
            </w:tcBorders>
            <w:noWrap/>
            <w:vAlign w:val="center"/>
          </w:tcPr>
          <w:p w14:paraId="6660385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X＜20</w:t>
            </w:r>
          </w:p>
        </w:tc>
      </w:tr>
      <w:tr w14:paraId="52AF4CEB">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73DFAA0E">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44D5AF2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288A9E3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5604390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1000≤Y＜30000</w:t>
            </w:r>
          </w:p>
        </w:tc>
        <w:tc>
          <w:tcPr>
            <w:tcW w:w="1700" w:type="dxa"/>
            <w:tcBorders>
              <w:top w:val="nil"/>
              <w:left w:val="nil"/>
              <w:bottom w:val="single" w:color="auto" w:sz="4" w:space="0"/>
              <w:right w:val="single" w:color="auto" w:sz="4" w:space="0"/>
            </w:tcBorders>
            <w:noWrap/>
            <w:vAlign w:val="center"/>
          </w:tcPr>
          <w:p w14:paraId="6E168DB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100≤Y＜1000</w:t>
            </w:r>
          </w:p>
        </w:tc>
        <w:tc>
          <w:tcPr>
            <w:tcW w:w="1317" w:type="dxa"/>
            <w:tcBorders>
              <w:top w:val="nil"/>
              <w:left w:val="nil"/>
              <w:bottom w:val="single" w:color="auto" w:sz="4" w:space="0"/>
              <w:right w:val="single" w:color="auto" w:sz="4" w:space="0"/>
            </w:tcBorders>
            <w:noWrap/>
            <w:vAlign w:val="center"/>
          </w:tcPr>
          <w:p w14:paraId="3423A68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4624B70B">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36F21E2A">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邮政业</w:t>
            </w:r>
          </w:p>
        </w:tc>
        <w:tc>
          <w:tcPr>
            <w:tcW w:w="1500" w:type="dxa"/>
            <w:tcBorders>
              <w:top w:val="nil"/>
              <w:left w:val="nil"/>
              <w:bottom w:val="single" w:color="auto" w:sz="4" w:space="0"/>
              <w:right w:val="single" w:color="auto" w:sz="4" w:space="0"/>
            </w:tcBorders>
            <w:noWrap/>
            <w:vAlign w:val="center"/>
          </w:tcPr>
          <w:p w14:paraId="12EA5B1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7A47911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7A83320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300≤X＜1000</w:t>
            </w:r>
          </w:p>
        </w:tc>
        <w:tc>
          <w:tcPr>
            <w:tcW w:w="1700" w:type="dxa"/>
            <w:tcBorders>
              <w:top w:val="nil"/>
              <w:left w:val="nil"/>
              <w:bottom w:val="single" w:color="auto" w:sz="4" w:space="0"/>
              <w:right w:val="single" w:color="auto" w:sz="4" w:space="0"/>
            </w:tcBorders>
            <w:noWrap/>
            <w:vAlign w:val="center"/>
          </w:tcPr>
          <w:p w14:paraId="43DF132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20≤X＜300</w:t>
            </w:r>
          </w:p>
        </w:tc>
        <w:tc>
          <w:tcPr>
            <w:tcW w:w="1317" w:type="dxa"/>
            <w:tcBorders>
              <w:top w:val="nil"/>
              <w:left w:val="nil"/>
              <w:bottom w:val="single" w:color="auto" w:sz="4" w:space="0"/>
              <w:right w:val="single" w:color="auto" w:sz="4" w:space="0"/>
            </w:tcBorders>
            <w:noWrap/>
            <w:vAlign w:val="center"/>
          </w:tcPr>
          <w:p w14:paraId="1736703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X＜20</w:t>
            </w:r>
          </w:p>
        </w:tc>
      </w:tr>
      <w:tr w14:paraId="4BE747BA">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2F3BDDA5">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472007F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4587DB7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29B4648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2000≤Y＜30000</w:t>
            </w:r>
          </w:p>
        </w:tc>
        <w:tc>
          <w:tcPr>
            <w:tcW w:w="1700" w:type="dxa"/>
            <w:tcBorders>
              <w:top w:val="nil"/>
              <w:left w:val="nil"/>
              <w:bottom w:val="single" w:color="auto" w:sz="4" w:space="0"/>
              <w:right w:val="single" w:color="auto" w:sz="4" w:space="0"/>
            </w:tcBorders>
            <w:noWrap/>
            <w:vAlign w:val="center"/>
          </w:tcPr>
          <w:p w14:paraId="6FA5CE2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100≤Y＜2000</w:t>
            </w:r>
          </w:p>
        </w:tc>
        <w:tc>
          <w:tcPr>
            <w:tcW w:w="1317" w:type="dxa"/>
            <w:tcBorders>
              <w:top w:val="nil"/>
              <w:left w:val="nil"/>
              <w:bottom w:val="single" w:color="auto" w:sz="4" w:space="0"/>
              <w:right w:val="single" w:color="auto" w:sz="4" w:space="0"/>
            </w:tcBorders>
            <w:noWrap/>
            <w:vAlign w:val="center"/>
          </w:tcPr>
          <w:p w14:paraId="75730F9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093E785A">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7FFEA0FA">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住宿业</w:t>
            </w:r>
          </w:p>
        </w:tc>
        <w:tc>
          <w:tcPr>
            <w:tcW w:w="1500" w:type="dxa"/>
            <w:tcBorders>
              <w:top w:val="nil"/>
              <w:left w:val="nil"/>
              <w:bottom w:val="single" w:color="auto" w:sz="4" w:space="0"/>
              <w:right w:val="single" w:color="auto" w:sz="4" w:space="0"/>
            </w:tcBorders>
            <w:noWrap/>
            <w:vAlign w:val="center"/>
          </w:tcPr>
          <w:p w14:paraId="429E536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031B278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18A42AA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0EC5C06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0CB70BA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4566016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2BF5272D">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57E276F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163D77E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5DAEE35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2000≤Y＜10000</w:t>
            </w:r>
          </w:p>
        </w:tc>
        <w:tc>
          <w:tcPr>
            <w:tcW w:w="1700" w:type="dxa"/>
            <w:tcBorders>
              <w:top w:val="nil"/>
              <w:left w:val="nil"/>
              <w:bottom w:val="single" w:color="auto" w:sz="4" w:space="0"/>
              <w:right w:val="single" w:color="auto" w:sz="4" w:space="0"/>
            </w:tcBorders>
            <w:noWrap/>
            <w:vAlign w:val="center"/>
          </w:tcPr>
          <w:p w14:paraId="47B87E9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100≤Y＜2000</w:t>
            </w:r>
          </w:p>
        </w:tc>
        <w:tc>
          <w:tcPr>
            <w:tcW w:w="1317" w:type="dxa"/>
            <w:tcBorders>
              <w:top w:val="nil"/>
              <w:left w:val="nil"/>
              <w:bottom w:val="single" w:color="auto" w:sz="4" w:space="0"/>
              <w:right w:val="single" w:color="auto" w:sz="4" w:space="0"/>
            </w:tcBorders>
            <w:noWrap/>
            <w:vAlign w:val="center"/>
          </w:tcPr>
          <w:p w14:paraId="0348D28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650C4130">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658FBBA5">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餐饮业</w:t>
            </w:r>
          </w:p>
        </w:tc>
        <w:tc>
          <w:tcPr>
            <w:tcW w:w="1500" w:type="dxa"/>
            <w:tcBorders>
              <w:top w:val="nil"/>
              <w:left w:val="nil"/>
              <w:bottom w:val="single" w:color="auto" w:sz="4" w:space="0"/>
              <w:right w:val="single" w:color="auto" w:sz="4" w:space="0"/>
            </w:tcBorders>
            <w:noWrap/>
            <w:vAlign w:val="center"/>
          </w:tcPr>
          <w:p w14:paraId="3E2B10D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294279A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1FA9371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465039E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3CFD17B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20F55C16">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3746EF4E">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5F7E929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4885709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48BE0C2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2000≤Y＜10000</w:t>
            </w:r>
          </w:p>
        </w:tc>
        <w:tc>
          <w:tcPr>
            <w:tcW w:w="1700" w:type="dxa"/>
            <w:tcBorders>
              <w:top w:val="nil"/>
              <w:left w:val="nil"/>
              <w:bottom w:val="single" w:color="auto" w:sz="4" w:space="0"/>
              <w:right w:val="single" w:color="auto" w:sz="4" w:space="0"/>
            </w:tcBorders>
            <w:noWrap/>
            <w:vAlign w:val="center"/>
          </w:tcPr>
          <w:p w14:paraId="39ED5C8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100≤Y＜2000</w:t>
            </w:r>
          </w:p>
        </w:tc>
        <w:tc>
          <w:tcPr>
            <w:tcW w:w="1317" w:type="dxa"/>
            <w:tcBorders>
              <w:top w:val="nil"/>
              <w:left w:val="nil"/>
              <w:bottom w:val="single" w:color="auto" w:sz="4" w:space="0"/>
              <w:right w:val="single" w:color="auto" w:sz="4" w:space="0"/>
            </w:tcBorders>
            <w:noWrap/>
            <w:vAlign w:val="center"/>
          </w:tcPr>
          <w:p w14:paraId="4630B22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5B3E3719">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5C52A81B">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信息传输业</w:t>
            </w:r>
          </w:p>
        </w:tc>
        <w:tc>
          <w:tcPr>
            <w:tcW w:w="1500" w:type="dxa"/>
            <w:tcBorders>
              <w:top w:val="nil"/>
              <w:left w:val="nil"/>
              <w:bottom w:val="single" w:color="auto" w:sz="4" w:space="0"/>
              <w:right w:val="single" w:color="auto" w:sz="4" w:space="0"/>
            </w:tcBorders>
            <w:noWrap/>
            <w:vAlign w:val="center"/>
          </w:tcPr>
          <w:p w14:paraId="6C0D131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5FAF4D9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BA7D25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100≤X＜2000</w:t>
            </w:r>
          </w:p>
        </w:tc>
        <w:tc>
          <w:tcPr>
            <w:tcW w:w="1700" w:type="dxa"/>
            <w:tcBorders>
              <w:top w:val="nil"/>
              <w:left w:val="nil"/>
              <w:bottom w:val="single" w:color="auto" w:sz="4" w:space="0"/>
              <w:right w:val="single" w:color="auto" w:sz="4" w:space="0"/>
            </w:tcBorders>
            <w:noWrap/>
            <w:vAlign w:val="center"/>
          </w:tcPr>
          <w:p w14:paraId="6BF17B9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54BC393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77FF05B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57A96383">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11E858C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37B9427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286D209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1000≤Y＜100000</w:t>
            </w:r>
          </w:p>
        </w:tc>
        <w:tc>
          <w:tcPr>
            <w:tcW w:w="1700" w:type="dxa"/>
            <w:tcBorders>
              <w:top w:val="nil"/>
              <w:left w:val="nil"/>
              <w:bottom w:val="single" w:color="auto" w:sz="4" w:space="0"/>
              <w:right w:val="single" w:color="auto" w:sz="4" w:space="0"/>
            </w:tcBorders>
            <w:noWrap/>
            <w:vAlign w:val="center"/>
          </w:tcPr>
          <w:p w14:paraId="4CC22DD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100≤Y＜1000</w:t>
            </w:r>
          </w:p>
        </w:tc>
        <w:tc>
          <w:tcPr>
            <w:tcW w:w="1317" w:type="dxa"/>
            <w:tcBorders>
              <w:top w:val="nil"/>
              <w:left w:val="nil"/>
              <w:bottom w:val="single" w:color="auto" w:sz="4" w:space="0"/>
              <w:right w:val="single" w:color="auto" w:sz="4" w:space="0"/>
            </w:tcBorders>
            <w:noWrap/>
            <w:vAlign w:val="center"/>
          </w:tcPr>
          <w:p w14:paraId="6308E66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00CE055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5BE3DECD">
            <w:pPr>
              <w:spacing w:before="57" w:line="360" w:lineRule="auto"/>
              <w:ind w:left="59" w:right="60"/>
              <w:jc w:val="center"/>
              <w:rPr>
                <w:rFonts w:hint="eastAsia" w:ascii="宋体" w:hAnsi="宋体" w:eastAsia="宋体" w:cs="宋体"/>
                <w:b/>
                <w:bCs/>
                <w:w w:val="99"/>
                <w:kern w:val="0"/>
                <w:sz w:val="22"/>
                <w:szCs w:val="22"/>
                <w:highlight w:val="none"/>
              </w:rPr>
            </w:pPr>
            <w:r>
              <w:rPr>
                <w:rFonts w:hint="eastAsia" w:ascii="宋体" w:hAnsi="宋体" w:eastAsia="宋体" w:cs="宋体"/>
                <w:b/>
                <w:bCs/>
                <w:w w:val="99"/>
                <w:kern w:val="0"/>
                <w:sz w:val="22"/>
                <w:szCs w:val="22"/>
                <w:highlight w:val="none"/>
              </w:rPr>
              <w:t>软件和信息技术服务业</w:t>
            </w:r>
          </w:p>
        </w:tc>
        <w:tc>
          <w:tcPr>
            <w:tcW w:w="1500" w:type="dxa"/>
            <w:tcBorders>
              <w:top w:val="nil"/>
              <w:left w:val="nil"/>
              <w:bottom w:val="single" w:color="auto" w:sz="4" w:space="0"/>
              <w:right w:val="single" w:color="auto" w:sz="4" w:space="0"/>
            </w:tcBorders>
            <w:noWrap/>
            <w:vAlign w:val="center"/>
          </w:tcPr>
          <w:p w14:paraId="2DBF9BD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767D3E3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06672F6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5F1DF29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39308FA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298613C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6327ED37">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7D7208B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432438A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434B722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1000≤Y＜10000</w:t>
            </w:r>
          </w:p>
        </w:tc>
        <w:tc>
          <w:tcPr>
            <w:tcW w:w="1700" w:type="dxa"/>
            <w:tcBorders>
              <w:top w:val="nil"/>
              <w:left w:val="nil"/>
              <w:bottom w:val="single" w:color="auto" w:sz="4" w:space="0"/>
              <w:right w:val="single" w:color="auto" w:sz="4" w:space="0"/>
            </w:tcBorders>
            <w:noWrap/>
            <w:vAlign w:val="center"/>
          </w:tcPr>
          <w:p w14:paraId="0D893F6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50≤Y＜1000</w:t>
            </w:r>
          </w:p>
        </w:tc>
        <w:tc>
          <w:tcPr>
            <w:tcW w:w="1317" w:type="dxa"/>
            <w:tcBorders>
              <w:top w:val="nil"/>
              <w:left w:val="nil"/>
              <w:bottom w:val="single" w:color="auto" w:sz="4" w:space="0"/>
              <w:right w:val="single" w:color="auto" w:sz="4" w:space="0"/>
            </w:tcBorders>
            <w:noWrap/>
            <w:vAlign w:val="center"/>
          </w:tcPr>
          <w:p w14:paraId="5016EC3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Y＜50</w:t>
            </w:r>
          </w:p>
        </w:tc>
      </w:tr>
      <w:tr w14:paraId="3F270D4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63054CFD">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房地产开发经营</w:t>
            </w:r>
          </w:p>
        </w:tc>
        <w:tc>
          <w:tcPr>
            <w:tcW w:w="1500" w:type="dxa"/>
            <w:tcBorders>
              <w:top w:val="nil"/>
              <w:left w:val="nil"/>
              <w:bottom w:val="single" w:color="auto" w:sz="4" w:space="0"/>
              <w:right w:val="single" w:color="auto" w:sz="4" w:space="0"/>
            </w:tcBorders>
            <w:noWrap/>
            <w:vAlign w:val="center"/>
          </w:tcPr>
          <w:p w14:paraId="5DDF591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2FFC8CA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033644C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1000≤Y＜200000</w:t>
            </w:r>
          </w:p>
        </w:tc>
        <w:tc>
          <w:tcPr>
            <w:tcW w:w="1700" w:type="dxa"/>
            <w:tcBorders>
              <w:top w:val="nil"/>
              <w:left w:val="nil"/>
              <w:bottom w:val="single" w:color="auto" w:sz="4" w:space="0"/>
              <w:right w:val="single" w:color="auto" w:sz="4" w:space="0"/>
            </w:tcBorders>
            <w:noWrap/>
            <w:vAlign w:val="center"/>
          </w:tcPr>
          <w:p w14:paraId="6E7E6B1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100≤X＜1000</w:t>
            </w:r>
          </w:p>
        </w:tc>
        <w:tc>
          <w:tcPr>
            <w:tcW w:w="1317" w:type="dxa"/>
            <w:tcBorders>
              <w:top w:val="nil"/>
              <w:left w:val="nil"/>
              <w:bottom w:val="single" w:color="auto" w:sz="4" w:space="0"/>
              <w:right w:val="single" w:color="auto" w:sz="4" w:space="0"/>
            </w:tcBorders>
            <w:noWrap/>
            <w:vAlign w:val="center"/>
          </w:tcPr>
          <w:p w14:paraId="49BCA0E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X＜100</w:t>
            </w:r>
          </w:p>
        </w:tc>
      </w:tr>
      <w:tr w14:paraId="765E362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6AEAA258">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00DF9D4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资产总额（Z）</w:t>
            </w:r>
          </w:p>
        </w:tc>
        <w:tc>
          <w:tcPr>
            <w:tcW w:w="1308" w:type="dxa"/>
            <w:tcBorders>
              <w:top w:val="nil"/>
              <w:left w:val="nil"/>
              <w:bottom w:val="single" w:color="auto" w:sz="4" w:space="0"/>
              <w:right w:val="single" w:color="auto" w:sz="4" w:space="0"/>
            </w:tcBorders>
            <w:noWrap/>
            <w:vAlign w:val="center"/>
          </w:tcPr>
          <w:p w14:paraId="2CB9277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4A3A87A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5000≤Z＜10000</w:t>
            </w:r>
          </w:p>
        </w:tc>
        <w:tc>
          <w:tcPr>
            <w:tcW w:w="1700" w:type="dxa"/>
            <w:tcBorders>
              <w:top w:val="nil"/>
              <w:left w:val="nil"/>
              <w:bottom w:val="single" w:color="auto" w:sz="4" w:space="0"/>
              <w:right w:val="single" w:color="auto" w:sz="4" w:space="0"/>
            </w:tcBorders>
            <w:noWrap/>
            <w:vAlign w:val="center"/>
          </w:tcPr>
          <w:p w14:paraId="091DD50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2000≤Y＜5000</w:t>
            </w:r>
          </w:p>
        </w:tc>
        <w:tc>
          <w:tcPr>
            <w:tcW w:w="1317" w:type="dxa"/>
            <w:tcBorders>
              <w:top w:val="nil"/>
              <w:left w:val="nil"/>
              <w:bottom w:val="single" w:color="auto" w:sz="4" w:space="0"/>
              <w:right w:val="single" w:color="auto" w:sz="4" w:space="0"/>
            </w:tcBorders>
            <w:noWrap/>
            <w:vAlign w:val="center"/>
          </w:tcPr>
          <w:p w14:paraId="534F5B3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Y＜2000</w:t>
            </w:r>
          </w:p>
        </w:tc>
      </w:tr>
      <w:tr w14:paraId="6667AAFC">
        <w:tblPrEx>
          <w:tblCellMar>
            <w:top w:w="0" w:type="dxa"/>
            <w:left w:w="108" w:type="dxa"/>
            <w:bottom w:w="0" w:type="dxa"/>
            <w:right w:w="108" w:type="dxa"/>
          </w:tblCellMar>
        </w:tblPrEx>
        <w:trPr>
          <w:trHeight w:val="225" w:hRule="atLeast"/>
        </w:trPr>
        <w:tc>
          <w:tcPr>
            <w:tcW w:w="1867" w:type="dxa"/>
            <w:vMerge w:val="restart"/>
            <w:tcBorders>
              <w:top w:val="single" w:color="auto" w:sz="4" w:space="0"/>
              <w:left w:val="single" w:color="auto" w:sz="4" w:space="0"/>
              <w:bottom w:val="single" w:color="auto" w:sz="4" w:space="0"/>
              <w:right w:val="single" w:color="auto" w:sz="4" w:space="0"/>
            </w:tcBorders>
            <w:noWrap/>
            <w:vAlign w:val="center"/>
          </w:tcPr>
          <w:p w14:paraId="7E84799A">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物业管理</w:t>
            </w:r>
          </w:p>
        </w:tc>
        <w:tc>
          <w:tcPr>
            <w:tcW w:w="1500" w:type="dxa"/>
            <w:tcBorders>
              <w:top w:val="single" w:color="auto" w:sz="4" w:space="0"/>
              <w:left w:val="nil"/>
              <w:bottom w:val="single" w:color="auto" w:sz="4" w:space="0"/>
              <w:right w:val="single" w:color="auto" w:sz="4" w:space="0"/>
            </w:tcBorders>
            <w:noWrap/>
            <w:vAlign w:val="center"/>
          </w:tcPr>
          <w:p w14:paraId="615B9CA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single" w:color="auto" w:sz="4" w:space="0"/>
              <w:left w:val="nil"/>
              <w:bottom w:val="single" w:color="auto" w:sz="4" w:space="0"/>
              <w:right w:val="single" w:color="auto" w:sz="4" w:space="0"/>
            </w:tcBorders>
            <w:noWrap/>
            <w:vAlign w:val="center"/>
          </w:tcPr>
          <w:p w14:paraId="626436E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single" w:color="auto" w:sz="4" w:space="0"/>
              <w:left w:val="nil"/>
              <w:bottom w:val="single" w:color="auto" w:sz="4" w:space="0"/>
              <w:right w:val="single" w:color="auto" w:sz="4" w:space="0"/>
            </w:tcBorders>
            <w:noWrap/>
            <w:vAlign w:val="center"/>
          </w:tcPr>
          <w:p w14:paraId="19752A3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300≤X＜1000</w:t>
            </w:r>
          </w:p>
        </w:tc>
        <w:tc>
          <w:tcPr>
            <w:tcW w:w="1700" w:type="dxa"/>
            <w:tcBorders>
              <w:top w:val="single" w:color="auto" w:sz="4" w:space="0"/>
              <w:left w:val="nil"/>
              <w:bottom w:val="single" w:color="auto" w:sz="4" w:space="0"/>
              <w:right w:val="single" w:color="auto" w:sz="4" w:space="0"/>
            </w:tcBorders>
            <w:noWrap/>
            <w:vAlign w:val="center"/>
          </w:tcPr>
          <w:p w14:paraId="6B543F8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317" w:type="dxa"/>
            <w:tcBorders>
              <w:top w:val="single" w:color="auto" w:sz="4" w:space="0"/>
              <w:left w:val="nil"/>
              <w:bottom w:val="single" w:color="auto" w:sz="4" w:space="0"/>
              <w:right w:val="single" w:color="auto" w:sz="4" w:space="0"/>
            </w:tcBorders>
            <w:noWrap/>
            <w:vAlign w:val="center"/>
          </w:tcPr>
          <w:p w14:paraId="139E63A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X＜100</w:t>
            </w:r>
          </w:p>
        </w:tc>
      </w:tr>
      <w:tr w14:paraId="2C82D409">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4AD64898">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04115AF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465E3E5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67F4D87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1000≤Y＜5000</w:t>
            </w:r>
          </w:p>
        </w:tc>
        <w:tc>
          <w:tcPr>
            <w:tcW w:w="1700" w:type="dxa"/>
            <w:tcBorders>
              <w:top w:val="nil"/>
              <w:left w:val="nil"/>
              <w:bottom w:val="single" w:color="auto" w:sz="4" w:space="0"/>
              <w:right w:val="single" w:color="auto" w:sz="4" w:space="0"/>
            </w:tcBorders>
            <w:noWrap/>
            <w:vAlign w:val="center"/>
          </w:tcPr>
          <w:p w14:paraId="675FA28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500≤Y＜1000</w:t>
            </w:r>
          </w:p>
        </w:tc>
        <w:tc>
          <w:tcPr>
            <w:tcW w:w="1317" w:type="dxa"/>
            <w:tcBorders>
              <w:top w:val="nil"/>
              <w:left w:val="nil"/>
              <w:bottom w:val="single" w:color="auto" w:sz="4" w:space="0"/>
              <w:right w:val="single" w:color="auto" w:sz="4" w:space="0"/>
            </w:tcBorders>
            <w:noWrap/>
            <w:vAlign w:val="center"/>
          </w:tcPr>
          <w:p w14:paraId="126FA3C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Y＜500</w:t>
            </w:r>
          </w:p>
        </w:tc>
      </w:tr>
      <w:tr w14:paraId="5FBE670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12CC13E2">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租赁和商务服务业</w:t>
            </w:r>
          </w:p>
        </w:tc>
        <w:tc>
          <w:tcPr>
            <w:tcW w:w="1500" w:type="dxa"/>
            <w:tcBorders>
              <w:top w:val="nil"/>
              <w:left w:val="nil"/>
              <w:bottom w:val="single" w:color="auto" w:sz="4" w:space="0"/>
              <w:right w:val="single" w:color="auto" w:sz="4" w:space="0"/>
            </w:tcBorders>
            <w:noWrap/>
            <w:vAlign w:val="center"/>
          </w:tcPr>
          <w:p w14:paraId="60F8BA3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3B60073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715BDB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35F7A87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08B4A9F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7D008480">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1460B472">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6266662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资产总额（Z）</w:t>
            </w:r>
          </w:p>
        </w:tc>
        <w:tc>
          <w:tcPr>
            <w:tcW w:w="1308" w:type="dxa"/>
            <w:tcBorders>
              <w:top w:val="nil"/>
              <w:left w:val="nil"/>
              <w:bottom w:val="single" w:color="auto" w:sz="4" w:space="0"/>
              <w:right w:val="single" w:color="auto" w:sz="4" w:space="0"/>
            </w:tcBorders>
            <w:noWrap/>
            <w:vAlign w:val="center"/>
          </w:tcPr>
          <w:p w14:paraId="57A75EA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0101C41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8000≤Z＜120000</w:t>
            </w:r>
          </w:p>
        </w:tc>
        <w:tc>
          <w:tcPr>
            <w:tcW w:w="1700" w:type="dxa"/>
            <w:tcBorders>
              <w:top w:val="nil"/>
              <w:left w:val="nil"/>
              <w:bottom w:val="single" w:color="auto" w:sz="4" w:space="0"/>
              <w:right w:val="single" w:color="auto" w:sz="4" w:space="0"/>
            </w:tcBorders>
            <w:noWrap/>
            <w:vAlign w:val="center"/>
          </w:tcPr>
          <w:p w14:paraId="093E45B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100≤Z＜8000</w:t>
            </w:r>
          </w:p>
        </w:tc>
        <w:tc>
          <w:tcPr>
            <w:tcW w:w="1317" w:type="dxa"/>
            <w:tcBorders>
              <w:top w:val="nil"/>
              <w:left w:val="nil"/>
              <w:bottom w:val="single" w:color="auto" w:sz="4" w:space="0"/>
              <w:right w:val="single" w:color="auto" w:sz="4" w:space="0"/>
            </w:tcBorders>
            <w:noWrap/>
            <w:vAlign w:val="center"/>
          </w:tcPr>
          <w:p w14:paraId="37AD393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78D3AE86">
        <w:tblPrEx>
          <w:tblCellMar>
            <w:top w:w="0" w:type="dxa"/>
            <w:left w:w="108" w:type="dxa"/>
            <w:bottom w:w="0" w:type="dxa"/>
            <w:right w:w="108" w:type="dxa"/>
          </w:tblCellMar>
        </w:tblPrEx>
        <w:trPr>
          <w:trHeight w:val="225" w:hRule="atLeast"/>
        </w:trPr>
        <w:tc>
          <w:tcPr>
            <w:tcW w:w="1867" w:type="dxa"/>
            <w:tcBorders>
              <w:top w:val="nil"/>
              <w:left w:val="single" w:color="auto" w:sz="4" w:space="0"/>
              <w:bottom w:val="single" w:color="auto" w:sz="4" w:space="0"/>
              <w:right w:val="single" w:color="auto" w:sz="4" w:space="0"/>
            </w:tcBorders>
            <w:noWrap/>
            <w:vAlign w:val="center"/>
          </w:tcPr>
          <w:p w14:paraId="4608E8AE">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其他未列明行业</w:t>
            </w:r>
          </w:p>
        </w:tc>
        <w:tc>
          <w:tcPr>
            <w:tcW w:w="1500" w:type="dxa"/>
            <w:tcBorders>
              <w:top w:val="nil"/>
              <w:left w:val="nil"/>
              <w:bottom w:val="single" w:color="auto" w:sz="4" w:space="0"/>
              <w:right w:val="single" w:color="auto" w:sz="4" w:space="0"/>
            </w:tcBorders>
            <w:noWrap/>
            <w:vAlign w:val="center"/>
          </w:tcPr>
          <w:p w14:paraId="307C308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2FE8A39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F2329F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7E2AF98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57B939E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bl>
    <w:p w14:paraId="110775AD">
      <w:pPr>
        <w:tabs>
          <w:tab w:val="left" w:pos="180"/>
          <w:tab w:val="left" w:pos="1620"/>
        </w:tabs>
        <w:spacing w:line="360" w:lineRule="auto"/>
        <w:ind w:firstLine="420" w:firstLineChars="200"/>
        <w:rPr>
          <w:rFonts w:hint="eastAsia"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95C2A76">
      <w:pPr>
        <w:tabs>
          <w:tab w:val="left" w:pos="180"/>
          <w:tab w:val="left" w:pos="1620"/>
        </w:tabs>
        <w:spacing w:line="360" w:lineRule="auto"/>
        <w:ind w:firstLine="420" w:firstLineChars="200"/>
        <w:rPr>
          <w:rFonts w:hint="eastAsia" w:ascii="仿宋_GB2312" w:hAnsi="仿宋" w:eastAsia="仿宋_GB2312"/>
          <w:szCs w:val="21"/>
          <w:highlight w:val="none"/>
        </w:rPr>
      </w:pPr>
    </w:p>
    <w:p w14:paraId="6DF9E856">
      <w:pPr>
        <w:tabs>
          <w:tab w:val="left" w:pos="180"/>
          <w:tab w:val="left" w:pos="1620"/>
        </w:tabs>
        <w:spacing w:line="360" w:lineRule="auto"/>
        <w:ind w:firstLine="420" w:firstLineChars="200"/>
        <w:rPr>
          <w:rFonts w:hint="eastAsia" w:ascii="仿宋_GB2312" w:hAnsi="仿宋" w:eastAsia="仿宋_GB2312"/>
          <w:szCs w:val="21"/>
          <w:highlight w:val="none"/>
        </w:rPr>
      </w:pPr>
    </w:p>
    <w:p w14:paraId="74C5C8BD">
      <w:pPr>
        <w:tabs>
          <w:tab w:val="left" w:pos="180"/>
          <w:tab w:val="left" w:pos="1620"/>
        </w:tabs>
        <w:spacing w:line="360" w:lineRule="auto"/>
        <w:ind w:firstLine="420" w:firstLineChars="200"/>
        <w:rPr>
          <w:rFonts w:hint="eastAsia" w:ascii="仿宋_GB2312" w:hAnsi="仿宋" w:eastAsia="仿宋_GB2312"/>
          <w:szCs w:val="21"/>
          <w:highlight w:val="none"/>
        </w:rPr>
      </w:pPr>
    </w:p>
    <w:p w14:paraId="1538891A">
      <w:pPr>
        <w:tabs>
          <w:tab w:val="left" w:pos="180"/>
          <w:tab w:val="left" w:pos="1620"/>
        </w:tabs>
        <w:spacing w:line="360" w:lineRule="auto"/>
        <w:ind w:firstLine="420" w:firstLineChars="200"/>
        <w:rPr>
          <w:rFonts w:hint="eastAsia" w:ascii="仿宋_GB2312" w:hAnsi="仿宋" w:eastAsia="仿宋_GB2312"/>
          <w:szCs w:val="21"/>
          <w:highlight w:val="none"/>
        </w:rPr>
      </w:pPr>
    </w:p>
    <w:p w14:paraId="27DA2B6C">
      <w:pPr>
        <w:tabs>
          <w:tab w:val="left" w:pos="180"/>
          <w:tab w:val="left" w:pos="1620"/>
        </w:tabs>
        <w:spacing w:line="360" w:lineRule="auto"/>
        <w:ind w:firstLine="420" w:firstLineChars="200"/>
        <w:rPr>
          <w:rFonts w:hint="eastAsia" w:ascii="仿宋_GB2312" w:hAnsi="仿宋" w:eastAsia="仿宋_GB2312"/>
          <w:szCs w:val="21"/>
          <w:highlight w:val="none"/>
        </w:rPr>
      </w:pPr>
    </w:p>
    <w:p w14:paraId="3924F4C3">
      <w:pPr>
        <w:tabs>
          <w:tab w:val="left" w:pos="180"/>
          <w:tab w:val="left" w:pos="1620"/>
        </w:tabs>
        <w:spacing w:line="360" w:lineRule="auto"/>
        <w:ind w:firstLine="420" w:firstLineChars="200"/>
        <w:rPr>
          <w:rFonts w:hint="eastAsia" w:ascii="仿宋_GB2312" w:hAnsi="仿宋" w:eastAsia="仿宋_GB2312"/>
          <w:szCs w:val="21"/>
          <w:highlight w:val="none"/>
        </w:rPr>
      </w:pPr>
    </w:p>
    <w:p w14:paraId="79D08DD4">
      <w:pPr>
        <w:tabs>
          <w:tab w:val="left" w:pos="180"/>
          <w:tab w:val="left" w:pos="1620"/>
        </w:tabs>
        <w:spacing w:line="360" w:lineRule="auto"/>
        <w:ind w:firstLine="420" w:firstLineChars="200"/>
        <w:rPr>
          <w:rFonts w:hint="eastAsia" w:ascii="仿宋_GB2312" w:hAnsi="仿宋" w:eastAsia="仿宋_GB2312"/>
          <w:szCs w:val="21"/>
          <w:highlight w:val="none"/>
        </w:rPr>
      </w:pPr>
    </w:p>
    <w:p w14:paraId="2B751454">
      <w:pPr>
        <w:tabs>
          <w:tab w:val="left" w:pos="180"/>
          <w:tab w:val="left" w:pos="1620"/>
        </w:tabs>
        <w:spacing w:line="360" w:lineRule="auto"/>
        <w:ind w:firstLine="420" w:firstLineChars="200"/>
        <w:rPr>
          <w:rFonts w:hint="eastAsia" w:ascii="仿宋_GB2312" w:hAnsi="仿宋" w:eastAsia="仿宋_GB2312"/>
          <w:szCs w:val="21"/>
          <w:highlight w:val="none"/>
        </w:rPr>
      </w:pPr>
    </w:p>
    <w:p w14:paraId="4E0EE1E1">
      <w:pPr>
        <w:tabs>
          <w:tab w:val="left" w:pos="180"/>
          <w:tab w:val="left" w:pos="1620"/>
        </w:tabs>
        <w:spacing w:line="360" w:lineRule="auto"/>
        <w:ind w:firstLine="420" w:firstLineChars="200"/>
        <w:rPr>
          <w:rFonts w:hint="eastAsia" w:ascii="仿宋_GB2312" w:hAnsi="仿宋" w:eastAsia="仿宋_GB2312"/>
          <w:szCs w:val="21"/>
          <w:highlight w:val="none"/>
        </w:rPr>
      </w:pPr>
    </w:p>
    <w:p w14:paraId="0CFB38BA">
      <w:pPr>
        <w:tabs>
          <w:tab w:val="left" w:pos="180"/>
          <w:tab w:val="left" w:pos="1620"/>
        </w:tabs>
        <w:spacing w:line="360" w:lineRule="auto"/>
        <w:ind w:firstLine="420" w:firstLineChars="200"/>
        <w:rPr>
          <w:rFonts w:hint="eastAsia" w:ascii="仿宋_GB2312" w:hAnsi="仿宋" w:eastAsia="仿宋_GB2312"/>
          <w:szCs w:val="21"/>
          <w:highlight w:val="none"/>
        </w:rPr>
      </w:pPr>
    </w:p>
    <w:p w14:paraId="55D7D3DB">
      <w:pPr>
        <w:tabs>
          <w:tab w:val="left" w:pos="180"/>
          <w:tab w:val="left" w:pos="1620"/>
        </w:tabs>
        <w:spacing w:line="360" w:lineRule="auto"/>
        <w:ind w:firstLine="420" w:firstLineChars="200"/>
        <w:rPr>
          <w:rFonts w:hint="eastAsia" w:ascii="仿宋_GB2312" w:hAnsi="仿宋" w:eastAsia="仿宋_GB2312"/>
          <w:szCs w:val="21"/>
          <w:highlight w:val="none"/>
        </w:rPr>
      </w:pPr>
    </w:p>
    <w:p w14:paraId="3A7E0F4B">
      <w:pPr>
        <w:tabs>
          <w:tab w:val="left" w:pos="180"/>
          <w:tab w:val="left" w:pos="1620"/>
        </w:tabs>
        <w:spacing w:line="360" w:lineRule="auto"/>
        <w:ind w:firstLine="420" w:firstLineChars="200"/>
        <w:rPr>
          <w:rFonts w:hint="eastAsia" w:ascii="仿宋_GB2312" w:hAnsi="仿宋" w:eastAsia="仿宋_GB2312"/>
          <w:szCs w:val="21"/>
          <w:highlight w:val="none"/>
        </w:rPr>
      </w:pPr>
    </w:p>
    <w:p w14:paraId="3CAC9C18">
      <w:pPr>
        <w:tabs>
          <w:tab w:val="left" w:pos="180"/>
          <w:tab w:val="left" w:pos="1620"/>
        </w:tabs>
        <w:spacing w:line="360" w:lineRule="auto"/>
        <w:ind w:firstLine="420" w:firstLineChars="200"/>
        <w:rPr>
          <w:rFonts w:hint="eastAsia" w:ascii="仿宋_GB2312" w:hAnsi="仿宋" w:eastAsia="仿宋_GB2312"/>
          <w:szCs w:val="21"/>
          <w:highlight w:val="none"/>
        </w:rPr>
      </w:pPr>
    </w:p>
    <w:p w14:paraId="3F4B0469">
      <w:pPr>
        <w:tabs>
          <w:tab w:val="left" w:pos="180"/>
          <w:tab w:val="left" w:pos="1620"/>
        </w:tabs>
        <w:spacing w:line="360" w:lineRule="auto"/>
        <w:ind w:firstLine="420" w:firstLineChars="200"/>
        <w:rPr>
          <w:rFonts w:hint="eastAsia" w:ascii="仿宋_GB2312" w:hAnsi="仿宋" w:eastAsia="仿宋_GB2312"/>
          <w:szCs w:val="21"/>
          <w:highlight w:val="none"/>
        </w:rPr>
      </w:pPr>
    </w:p>
    <w:p w14:paraId="27DD6380">
      <w:pPr>
        <w:tabs>
          <w:tab w:val="left" w:pos="180"/>
          <w:tab w:val="left" w:pos="1620"/>
        </w:tabs>
        <w:spacing w:line="360" w:lineRule="auto"/>
        <w:ind w:firstLine="420" w:firstLineChars="200"/>
        <w:rPr>
          <w:rFonts w:hint="eastAsia" w:ascii="仿宋_GB2312" w:hAnsi="仿宋" w:eastAsia="仿宋_GB2312"/>
          <w:szCs w:val="21"/>
          <w:highlight w:val="none"/>
        </w:rPr>
      </w:pPr>
    </w:p>
    <w:p w14:paraId="249D6C0E">
      <w:pPr>
        <w:tabs>
          <w:tab w:val="left" w:pos="180"/>
          <w:tab w:val="left" w:pos="1620"/>
        </w:tabs>
        <w:spacing w:line="360" w:lineRule="auto"/>
        <w:ind w:firstLine="420" w:firstLineChars="200"/>
        <w:rPr>
          <w:rFonts w:hint="eastAsia" w:ascii="仿宋_GB2312" w:hAnsi="仿宋" w:eastAsia="仿宋_GB2312"/>
          <w:szCs w:val="21"/>
          <w:highlight w:val="none"/>
        </w:rPr>
      </w:pPr>
    </w:p>
    <w:p w14:paraId="7BA83729">
      <w:pPr>
        <w:tabs>
          <w:tab w:val="left" w:pos="180"/>
          <w:tab w:val="left" w:pos="1620"/>
        </w:tabs>
        <w:spacing w:line="360" w:lineRule="auto"/>
        <w:ind w:firstLine="420" w:firstLineChars="200"/>
        <w:rPr>
          <w:rFonts w:hint="eastAsia" w:ascii="仿宋_GB2312" w:hAnsi="仿宋" w:eastAsia="仿宋_GB2312"/>
          <w:szCs w:val="21"/>
          <w:highlight w:val="none"/>
        </w:rPr>
      </w:pPr>
    </w:p>
    <w:p w14:paraId="119D87A6">
      <w:pPr>
        <w:tabs>
          <w:tab w:val="left" w:pos="180"/>
          <w:tab w:val="left" w:pos="1620"/>
        </w:tabs>
        <w:spacing w:line="360" w:lineRule="auto"/>
        <w:ind w:firstLine="420" w:firstLineChars="200"/>
        <w:rPr>
          <w:rFonts w:hint="eastAsia" w:ascii="仿宋_GB2312" w:hAnsi="仿宋" w:eastAsia="仿宋_GB2312"/>
          <w:szCs w:val="21"/>
          <w:highlight w:val="none"/>
        </w:rPr>
      </w:pPr>
    </w:p>
    <w:p w14:paraId="4E3258C0">
      <w:pPr>
        <w:tabs>
          <w:tab w:val="left" w:pos="180"/>
          <w:tab w:val="left" w:pos="1620"/>
        </w:tabs>
        <w:spacing w:line="360" w:lineRule="auto"/>
        <w:ind w:firstLine="420" w:firstLineChars="200"/>
        <w:rPr>
          <w:rFonts w:hint="eastAsia" w:ascii="仿宋_GB2312" w:hAnsi="仿宋" w:eastAsia="仿宋_GB2312"/>
          <w:szCs w:val="21"/>
          <w:highlight w:val="none"/>
        </w:rPr>
      </w:pPr>
    </w:p>
    <w:p w14:paraId="42296A86">
      <w:pPr>
        <w:tabs>
          <w:tab w:val="left" w:pos="180"/>
          <w:tab w:val="left" w:pos="1620"/>
        </w:tabs>
        <w:spacing w:line="360" w:lineRule="auto"/>
        <w:ind w:firstLine="420" w:firstLineChars="200"/>
        <w:rPr>
          <w:rFonts w:hint="eastAsia" w:ascii="仿宋_GB2312" w:hAnsi="仿宋" w:eastAsia="仿宋_GB2312"/>
          <w:szCs w:val="21"/>
          <w:highlight w:val="none"/>
        </w:rPr>
      </w:pPr>
    </w:p>
    <w:p w14:paraId="357A868A">
      <w:pPr>
        <w:tabs>
          <w:tab w:val="left" w:pos="180"/>
          <w:tab w:val="left" w:pos="1620"/>
        </w:tabs>
        <w:spacing w:line="360" w:lineRule="auto"/>
        <w:ind w:firstLine="420" w:firstLineChars="200"/>
        <w:rPr>
          <w:rFonts w:hint="eastAsia" w:ascii="仿宋_GB2312" w:hAnsi="仿宋" w:eastAsia="仿宋_GB2312"/>
          <w:szCs w:val="21"/>
          <w:highlight w:val="none"/>
        </w:rPr>
      </w:pPr>
    </w:p>
    <w:p w14:paraId="7A6EF5F9">
      <w:pPr>
        <w:tabs>
          <w:tab w:val="left" w:pos="180"/>
          <w:tab w:val="left" w:pos="1620"/>
        </w:tabs>
        <w:spacing w:line="360" w:lineRule="auto"/>
        <w:ind w:firstLine="420" w:firstLineChars="200"/>
        <w:rPr>
          <w:rFonts w:hint="eastAsia" w:ascii="仿宋_GB2312" w:hAnsi="仿宋" w:eastAsia="仿宋_GB2312"/>
          <w:szCs w:val="21"/>
          <w:highlight w:val="none"/>
        </w:rPr>
      </w:pPr>
    </w:p>
    <w:p w14:paraId="677928BE">
      <w:pPr>
        <w:tabs>
          <w:tab w:val="left" w:pos="180"/>
          <w:tab w:val="left" w:pos="1620"/>
        </w:tabs>
        <w:spacing w:line="360" w:lineRule="auto"/>
        <w:ind w:firstLine="420" w:firstLineChars="200"/>
        <w:rPr>
          <w:rFonts w:hint="eastAsia" w:ascii="仿宋_GB2312" w:hAnsi="仿宋" w:eastAsia="仿宋_GB2312"/>
          <w:szCs w:val="21"/>
          <w:highlight w:val="none"/>
        </w:rPr>
      </w:pPr>
    </w:p>
    <w:p w14:paraId="773D320A">
      <w:pPr>
        <w:pStyle w:val="2"/>
        <w:spacing w:before="0" w:after="0" w:line="360" w:lineRule="auto"/>
        <w:jc w:val="center"/>
        <w:rPr>
          <w:rFonts w:hint="eastAsia"/>
          <w:highlight w:val="none"/>
        </w:rPr>
      </w:pPr>
      <w:bookmarkStart w:id="104" w:name="_Toc27545"/>
      <w:r>
        <w:rPr>
          <w:rFonts w:hint="eastAsia"/>
          <w:highlight w:val="none"/>
        </w:rPr>
        <w:t>第四章  评审程序、评审方法和评审标准</w:t>
      </w:r>
      <w:bookmarkEnd w:id="104"/>
    </w:p>
    <w:p w14:paraId="4B57D20B">
      <w:pPr>
        <w:spacing w:line="360" w:lineRule="auto"/>
        <w:jc w:val="center"/>
        <w:rPr>
          <w:rFonts w:hint="eastAsia" w:ascii="宋体" w:hAnsi="宋体"/>
          <w:b/>
          <w:sz w:val="32"/>
          <w:szCs w:val="32"/>
          <w:highlight w:val="none"/>
        </w:rPr>
      </w:pPr>
      <w:r>
        <w:rPr>
          <w:rFonts w:hint="eastAsia" w:ascii="宋体" w:hAnsi="宋体"/>
          <w:b/>
          <w:sz w:val="32"/>
          <w:szCs w:val="32"/>
          <w:highlight w:val="none"/>
        </w:rPr>
        <w:t>一、评审程序和评审方法</w:t>
      </w:r>
    </w:p>
    <w:p w14:paraId="344AD934">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1.资格审查</w:t>
      </w:r>
    </w:p>
    <w:p w14:paraId="4409AE62">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1.1响应文件开启后，磋商小组依法对供应商的资格证明文件进行审查。</w:t>
      </w:r>
    </w:p>
    <w:p w14:paraId="2E78A4A7">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注：磋商小组在资格审查结束前，对供应商进行信用查询。</w:t>
      </w:r>
    </w:p>
    <w:p w14:paraId="529E769F">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（1）查询渠道：广西政府采购云平台“信用中国”网站（www.creditchina.gov.cn）、中国政府采购网（www.ccgp.gov.cn）链接入口。</w:t>
      </w:r>
    </w:p>
    <w:p w14:paraId="394CDE3D">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（2）信用查询截止时点：资格审查结束前。</w:t>
      </w:r>
    </w:p>
    <w:p w14:paraId="415BD7FF">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（3）查询记录和证据留存方式：在查询网站中直接查询，截图另存为电子文档作为评审资料保存。</w:t>
      </w:r>
    </w:p>
    <w:p w14:paraId="25190138">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7EABF34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1.2资格审查标准为本磋商文件中载明对供应商资格要求的条件。资格审查采用合格制，凡符合磋商文件规定的供应商资格要求的响应文件均通过资格审查。</w:t>
      </w:r>
    </w:p>
    <w:p w14:paraId="4A680B3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1.3供应商有下列情形之一的，资格审查不通过，其响应文件按无效处理：</w:t>
      </w:r>
    </w:p>
    <w:p w14:paraId="0999818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（1）不具备磋商文件中规定的资格要求的；</w:t>
      </w:r>
    </w:p>
    <w:p w14:paraId="6A8B84A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（2）未按磋商文件规定的方式获取本磋商文件的供应商；</w:t>
      </w:r>
    </w:p>
    <w:p w14:paraId="26A3061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（3）响应文件的资格证明文件缺少任一项“供应商须知前附表”资格证明文件规定的“必须提供”的文件资料的；</w:t>
      </w:r>
    </w:p>
    <w:p w14:paraId="60425D5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（4）响应文件中的资格证明文件出现任一项不符合“供应商须知前附表”资格证明文件规定的“必须提供”的文件资料要求或者无效的；</w:t>
      </w:r>
    </w:p>
    <w:p w14:paraId="4E79210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（5）有第二章“供应商须知”第3.2项规定的任何一种情形的。</w:t>
      </w:r>
    </w:p>
    <w:p w14:paraId="0B02779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1.4通过资格审查的合格供应商不足3家的，不得进入符合性审查环节，应当重新开展采购活动。</w:t>
      </w:r>
    </w:p>
    <w:p w14:paraId="09D6476F">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2.符合性审查</w:t>
      </w:r>
    </w:p>
    <w:p w14:paraId="3FE03169">
      <w:pPr>
        <w:spacing w:line="360" w:lineRule="auto"/>
        <w:ind w:firstLine="420" w:firstLineChars="200"/>
        <w:rPr>
          <w:rFonts w:hint="eastAsia" w:ascii="宋体" w:hAnsi="宋体" w:eastAsia="宋体" w:cs="宋体"/>
          <w:sz w:val="21"/>
          <w:szCs w:val="21"/>
          <w:highlight w:val="none"/>
        </w:rPr>
      </w:pPr>
      <w:bookmarkStart w:id="105" w:name="_Hlk42528882"/>
      <w:r>
        <w:rPr>
          <w:rFonts w:hint="eastAsia" w:ascii="宋体" w:hAnsi="宋体" w:eastAsia="宋体" w:cs="宋体"/>
          <w:sz w:val="21"/>
          <w:szCs w:val="21"/>
          <w:highlight w:val="none"/>
        </w:rPr>
        <w:t>2.1磋商小组对通过资格审查的合格供应商的响应文件的竞标报价、商务、技术等实质性要求进行符合性审查，以确定其是否满足磋商文件的实质性要求。</w:t>
      </w:r>
    </w:p>
    <w:bookmarkEnd w:id="105"/>
    <w:p w14:paraId="658FDA3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98AA30">
      <w:pPr>
        <w:spacing w:line="360" w:lineRule="auto"/>
        <w:ind w:firstLine="420" w:firstLineChars="200"/>
        <w:rPr>
          <w:rFonts w:hint="eastAsia" w:ascii="宋体" w:hAnsi="宋体" w:eastAsia="宋体" w:cs="宋体"/>
          <w:spacing w:val="-6"/>
          <w:sz w:val="21"/>
          <w:szCs w:val="21"/>
          <w:highlight w:val="none"/>
        </w:rPr>
      </w:pPr>
      <w:r>
        <w:rPr>
          <w:rFonts w:hint="eastAsia" w:ascii="宋体" w:hAnsi="宋体" w:eastAsia="宋体" w:cs="宋体"/>
          <w:sz w:val="21"/>
          <w:szCs w:val="21"/>
          <w:highlight w:val="none"/>
        </w:rPr>
        <w:t>2.3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r>
        <w:rPr>
          <w:rFonts w:hint="eastAsia" w:ascii="宋体" w:hAnsi="宋体" w:eastAsia="宋体" w:cs="宋体"/>
          <w:spacing w:val="-6"/>
          <w:sz w:val="21"/>
          <w:szCs w:val="21"/>
          <w:highlight w:val="none"/>
        </w:rPr>
        <w:t>。</w:t>
      </w:r>
    </w:p>
    <w:p w14:paraId="036165EB">
      <w:pPr>
        <w:spacing w:line="360" w:lineRule="auto"/>
        <w:ind w:firstLine="420" w:firstLineChars="200"/>
        <w:rPr>
          <w:rFonts w:hint="eastAsia" w:ascii="宋体" w:hAnsi="宋体" w:eastAsia="宋体" w:cs="宋体"/>
          <w:spacing w:val="-6"/>
          <w:sz w:val="21"/>
          <w:szCs w:val="21"/>
          <w:highlight w:val="none"/>
        </w:rPr>
      </w:pPr>
      <w:r>
        <w:rPr>
          <w:rFonts w:hint="eastAsia" w:ascii="宋体" w:hAnsi="宋体" w:eastAsia="宋体" w:cs="宋体"/>
          <w:sz w:val="21"/>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0F8425D">
      <w:pPr>
        <w:spacing w:line="360" w:lineRule="auto"/>
        <w:ind w:firstLine="396" w:firstLineChars="20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2.4</w:t>
      </w:r>
      <w:r>
        <w:rPr>
          <w:rFonts w:hint="eastAsia" w:ascii="宋体" w:hAnsi="宋体" w:eastAsia="宋体" w:cs="宋体"/>
          <w:sz w:val="21"/>
          <w:szCs w:val="21"/>
          <w:highlight w:val="none"/>
        </w:rPr>
        <w:t xml:space="preserve">首次响应文件报价出现前后不一致的，按照下列规定修正： </w:t>
      </w:r>
    </w:p>
    <w:p w14:paraId="3DFE704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（1）响应文件中报价表内容与响应文件中相应内容不一致的，以报价表为准；</w:t>
      </w:r>
    </w:p>
    <w:p w14:paraId="4E8F87E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（2）大写金额和小写金额不一致的，以大写金额为准；</w:t>
      </w:r>
    </w:p>
    <w:p w14:paraId="23C03AA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（3）单价金额小数点或者百分比有明显错位的，以报价表的总价为准，并修改单价；</w:t>
      </w:r>
    </w:p>
    <w:p w14:paraId="46FC4FC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（4）总价金额与按单价汇总金额不一致的，以单价金额计算结果为准。</w:t>
      </w:r>
    </w:p>
    <w:p w14:paraId="4195E3F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同时出现两种以上不一致的，按照以上（1）-（4）规定的顺序逐条进行修正。修正后的报价经供应商确认后产生约束力，供应商不确认的，其响应文件按无效处理。</w:t>
      </w:r>
    </w:p>
    <w:p w14:paraId="1EA7FF3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2.5商务技术报价评审</w:t>
      </w:r>
    </w:p>
    <w:p w14:paraId="4DCFC91C">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在评审时，如发现下列情形之一的，将被视为响应文件无效处理：</w:t>
      </w:r>
    </w:p>
    <w:p w14:paraId="6838924F">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（1）商务技术评审</w:t>
      </w:r>
    </w:p>
    <w:p w14:paraId="2797E466">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1）响应文件未按磋商文件要求签署、盖章的；</w:t>
      </w:r>
    </w:p>
    <w:p w14:paraId="007C1268">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2）委托代理人未能出具有效身份证或者出具的身份证与授权委托书中的信息不符的； </w:t>
      </w:r>
    </w:p>
    <w:p w14:paraId="4519FAFE">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3）提交的磋商保证金无效的或者未按照磋商文件的规定提交磋商保证金的；</w:t>
      </w:r>
    </w:p>
    <w:p w14:paraId="131E5C2F">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095735D7">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5）未对竞标有效期作出响应或者响应文件承诺的竞标有效期不满足磋商文件要求的；</w:t>
      </w:r>
    </w:p>
    <w:p w14:paraId="32EA0084">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6）响应文件的实质性内容未使用中文表述、使用计量单位不符合磋商文件要求的；</w:t>
      </w:r>
    </w:p>
    <w:p w14:paraId="374A43EC">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7）响应文件中的文件资料因填写不齐全或者内容虚假或者出现其他情形而导致被磋商小组认定无效的；</w:t>
      </w:r>
    </w:p>
    <w:p w14:paraId="375FAC36">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8）响应文件含有采购人不能接受的附加条件的；</w:t>
      </w:r>
    </w:p>
    <w:p w14:paraId="43CCDB2E">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9）属于“供应商须知正文”第7.5条供应商相互串通竞标情形的；</w:t>
      </w:r>
    </w:p>
    <w:p w14:paraId="360294D0">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10）虚假竞标，或者出现其他情形而导致被磋商小组认定无效的；</w:t>
      </w:r>
    </w:p>
    <w:p w14:paraId="1A806922">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11）</w:t>
      </w:r>
      <w:bookmarkStart w:id="106" w:name="_Hlk71704147"/>
      <w:r>
        <w:rPr>
          <w:rFonts w:hint="eastAsia" w:ascii="宋体" w:hAnsi="宋体" w:eastAsia="宋体" w:cs="宋体"/>
          <w:b/>
          <w:sz w:val="21"/>
          <w:szCs w:val="21"/>
          <w:highlight w:val="none"/>
        </w:rPr>
        <w:t>磋商文件未载明允许提供备选（替代）竞标方案或明确不允许提供备选（替代）竞标方案时，供应商提供了备选（替代）竞标方案的；</w:t>
      </w:r>
      <w:bookmarkEnd w:id="106"/>
    </w:p>
    <w:p w14:paraId="75D30C28">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12）响应文件标注的项目名称或者项目编号与磋商文件标注的项目名称或者项目编号不一致的；</w:t>
      </w:r>
    </w:p>
    <w:p w14:paraId="090ACEE4">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13）竞争性磋商文件明确不允许分包，响应文件拟分包的；</w:t>
      </w:r>
    </w:p>
    <w:p w14:paraId="2567459B">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14）未响应磋商文件实质性要求的；</w:t>
      </w:r>
    </w:p>
    <w:p w14:paraId="669C265E">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15）法律、法规和磋商文件规定的其他无效情形。</w:t>
      </w:r>
    </w:p>
    <w:p w14:paraId="672B7FD1">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（2）报价评审</w:t>
      </w:r>
    </w:p>
    <w:p w14:paraId="5ECA0ECB">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 响应文件未提供“供应商须知前附表” 报价文件中规定的“竞标报价表”的；</w:t>
      </w:r>
    </w:p>
    <w:p w14:paraId="72EB3610">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2）未采用人民币报价或者未按照磋商文件标明的币种报价的；</w:t>
      </w:r>
    </w:p>
    <w:p w14:paraId="1DEBB7C2">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3D4AA2C">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4）竞标报价（包含首次报价、最后报价）超过所竞标分标规定的采购预算金额或者最高限价的（如本项目公布了最高限价）；</w:t>
      </w:r>
      <w:bookmarkStart w:id="107" w:name="_Hlk42596405"/>
      <w:r>
        <w:rPr>
          <w:rFonts w:hint="eastAsia" w:ascii="宋体" w:hAnsi="宋体" w:eastAsia="宋体" w:cs="宋体"/>
          <w:b/>
          <w:sz w:val="21"/>
          <w:szCs w:val="21"/>
          <w:highlight w:val="none"/>
        </w:rPr>
        <w:t>竞标报价（包含首次报价、最后报价）</w:t>
      </w:r>
      <w:bookmarkEnd w:id="107"/>
      <w:bookmarkStart w:id="108" w:name="_Hlk42596276"/>
      <w:r>
        <w:rPr>
          <w:rFonts w:hint="eastAsia" w:ascii="宋体" w:hAnsi="宋体" w:eastAsia="宋体" w:cs="宋体"/>
          <w:b/>
          <w:sz w:val="21"/>
          <w:szCs w:val="21"/>
          <w:highlight w:val="none"/>
        </w:rPr>
        <w:t>超过磋商文件分项采购预算金额或者单价最高限价的</w:t>
      </w:r>
      <w:bookmarkEnd w:id="108"/>
      <w:r>
        <w:rPr>
          <w:rFonts w:hint="eastAsia" w:ascii="宋体" w:hAnsi="宋体" w:eastAsia="宋体" w:cs="宋体"/>
          <w:b/>
          <w:sz w:val="21"/>
          <w:szCs w:val="21"/>
          <w:highlight w:val="none"/>
        </w:rPr>
        <w:t>（如项目有要求并公布了分项采购预算金额或者单价最高限价）；</w:t>
      </w:r>
    </w:p>
    <w:p w14:paraId="6D4C75AA">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0E04785C">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6）在单价合同工程中供应商采用总价优惠或以总价百分比优惠的方式进行竞标报价的；</w:t>
      </w:r>
    </w:p>
    <w:p w14:paraId="65D27C65">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7）竞标总报价与已标价工程量清单汇总表不一致的；</w:t>
      </w:r>
    </w:p>
    <w:p w14:paraId="6C226E55">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8）安全文明施工费和规费、增值税不按广西区费用定额及造价管理相关文件规定报价的（园林绿化及仿古建筑工程除外）；</w:t>
      </w:r>
    </w:p>
    <w:p w14:paraId="407B161D">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9）供应商已标价工程量清单的项目编码（12位）、计量单位、工程量任何一处与工程量清单不一致的；</w:t>
      </w:r>
    </w:p>
    <w:p w14:paraId="2B328E73">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10）供应商已标价工程量清单的项目名称或项目特征与工程量清单不一致，磋商小组要求澄清、说明或补正，但供应商拒绝澄清、说明或补正的；</w:t>
      </w:r>
    </w:p>
    <w:p w14:paraId="62F0C9B6">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11）设有暂估价、暂列金额的，竞标时未按工程量清单给出的暂估价总价、暂列金额总价计入竞标总报价中的；</w:t>
      </w:r>
    </w:p>
    <w:p w14:paraId="7ED0C4D9">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12）供应商对工程量清单内容进行增减或对竞标范围进行调整的；</w:t>
      </w:r>
    </w:p>
    <w:p w14:paraId="79A45504">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13）响应文件响应的标的数量及单位与竞争性磋商采购文件要求实质性不一致的；</w:t>
      </w:r>
    </w:p>
    <w:p w14:paraId="48F7E9E7">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14）未响应磋商文件实质性要求的。</w:t>
      </w:r>
    </w:p>
    <w:p w14:paraId="2A00A47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2.6磋商小组对响应文件进行评审，未实质性响应磋商文件的响应文件按无效处理，磋商小组应当将资格和符合性不通过的情况告知有关供应商。</w:t>
      </w:r>
    </w:p>
    <w:p w14:paraId="2CAF7D1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2.7通过符合性审查的合格供应商不足3家的，不得进入磋商环节，应当重新开展采购活动。</w:t>
      </w:r>
    </w:p>
    <w:p w14:paraId="45435164">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3.磋商程序</w:t>
      </w:r>
    </w:p>
    <w:p w14:paraId="0EDEAB14">
      <w:pPr>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3.1磋商小组</w:t>
      </w:r>
      <w:r>
        <w:rPr>
          <w:rFonts w:hint="eastAsia" w:ascii="宋体" w:hAnsi="宋体" w:eastAsia="宋体" w:cs="宋体"/>
          <w:sz w:val="21"/>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65873C2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777DCB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3.3对磋商文件作出的实质性变动是磋商文件的有效组成部分，由磋商小组及时以电子澄清函形式同时通知所有参加磋商的供应商。</w:t>
      </w:r>
    </w:p>
    <w:p w14:paraId="10763E2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6300047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3.5磋商中，磋商的任何一方不得透露与磋商有关的其他供应商的技术资料、价格和其他信息</w:t>
      </w:r>
      <w:r>
        <w:rPr>
          <w:rFonts w:hint="eastAsia" w:ascii="宋体" w:hAnsi="宋体" w:eastAsia="宋体" w:cs="宋体"/>
          <w:spacing w:val="-6"/>
          <w:sz w:val="21"/>
          <w:szCs w:val="21"/>
          <w:highlight w:val="none"/>
        </w:rPr>
        <w:t>。</w:t>
      </w:r>
    </w:p>
    <w:p w14:paraId="2FAD24CD">
      <w:pPr>
        <w:widowControl/>
        <w:tabs>
          <w:tab w:val="left" w:pos="540"/>
        </w:tabs>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3.6采购代理机构对磋商过程和磋商内容进行记录。</w:t>
      </w:r>
    </w:p>
    <w:p w14:paraId="59B83DF7">
      <w:pPr>
        <w:widowControl/>
        <w:tabs>
          <w:tab w:val="left" w:pos="540"/>
        </w:tabs>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E5FFE3A">
      <w:pPr>
        <w:tabs>
          <w:tab w:val="left" w:pos="2835"/>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3.8除本章第3.7条规定的情形外，对磋商过程提交的响应文件进行有效性、完整性和响应程度审查，通过审查的合格供应商不足3家的，应当重新开展采购活动。</w:t>
      </w:r>
    </w:p>
    <w:p w14:paraId="31506E8B">
      <w:pPr>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4. 最后报价</w:t>
      </w:r>
    </w:p>
    <w:p w14:paraId="1B3DA1C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4.1磋商文件能够详细列明采购标的的技术、服务要求的，磋商结束后，磋商小组应当要求所有继续参加磋商的供应商在规定时间内在广西政府采购云平台开标大厅提交加盖供应商电子签章的最后报价，除本章第4.3条规定的情形外，提交最后报价的供应商不得少于3家，否则应当重新开展采购活动。</w:t>
      </w:r>
    </w:p>
    <w:p w14:paraId="1F7AA38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eastAsia="宋体" w:cs="宋体"/>
          <w:b/>
          <w:sz w:val="21"/>
          <w:szCs w:val="21"/>
          <w:highlight w:val="none"/>
        </w:rPr>
        <w:t>如果供应商的最后报价与首次报价不一致的，不能只报竞标总报价，必须同时提供“已标价工程量清单”，否则做无效响应处理。</w:t>
      </w:r>
    </w:p>
    <w:p w14:paraId="7C4E2FF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4.3 最后报价是供应商响应文件的有效组成部分。</w:t>
      </w:r>
    </w:p>
    <w:p w14:paraId="1F87A37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符合《政府采购竞争性磋商采购方式管理暂行办法》（财库〔2014〕214号）第三条第四项“市场竞争不充分的科研项目，以及需要扶持的科技成果转化项目”和本章第3.7条规定情形的，提交最后报价的供应商可以为2家。</w:t>
      </w:r>
    </w:p>
    <w:p w14:paraId="38B1E18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4.4已经提交响应文件的供应商，在提交最后报价之前，可以根据磋商情况退出磋商，退出磋商的供应商的响应文件按无效处理。采购人、采购代理机构将退还退出磋商的供应商的保证金。</w:t>
      </w:r>
    </w:p>
    <w:p w14:paraId="73E7495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4.5供应商未在规定时间内提交最后报价的，视同退出磋商，其响应文件按无效处理。</w:t>
      </w:r>
    </w:p>
    <w:p w14:paraId="2CC98FF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4.6最后报价统一开启后，磋商小组对最后报价进行有效性、完整性和响应程度的审查。</w:t>
      </w:r>
    </w:p>
    <w:p w14:paraId="2E55300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4.7最后报价出现前后不一致的，按照本章第2.4条的规定修正。 </w:t>
      </w:r>
    </w:p>
    <w:p w14:paraId="1C7410D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4.8修正后的报价出现下列情形的，按无效响应处理：</w:t>
      </w:r>
    </w:p>
    <w:p w14:paraId="53A0D2E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（1）供应商不确认的（全流程电子化评标采取在线确认）；</w:t>
      </w:r>
    </w:p>
    <w:p w14:paraId="17C724F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（2）经供应商确认修正后的竞标报价（包含首次报价、最后报价）超过所竞标分标规定的采购预算金额或者最高限价的（如本项目公布了最高限价）；</w:t>
      </w:r>
    </w:p>
    <w:p w14:paraId="3C37FA5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（3）经供应商确认修正后的竞标报价（包含首次报价、最后报价）超过分项采购预算金额或者单价最高限价的（如项目有要求并公布了分项采购预算金额或者单价最高限价）。</w:t>
      </w:r>
    </w:p>
    <w:p w14:paraId="57894C1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4.9经供应商确认修正后的最后报价作为评审及签订合同的依据。</w:t>
      </w:r>
    </w:p>
    <w:p w14:paraId="3EBCA4F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4.10供应商出现最后报价按无效响应处理或者响应文件按无效处理时，磋商小组应当告知有关供应商。</w:t>
      </w:r>
    </w:p>
    <w:p w14:paraId="21AF538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4.11最后报价结束后，磋商小组不得再与供应商进行任何形式的商谈。</w:t>
      </w:r>
    </w:p>
    <w:p w14:paraId="2BBA3F35">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5.比较与评价</w:t>
      </w:r>
    </w:p>
    <w:p w14:paraId="01D6E3A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5.1评审方法：综合评分法。</w:t>
      </w:r>
    </w:p>
    <w:p w14:paraId="4776BB6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5.2经磋商确定最终采购需求和提交最后报价的供应商后，由磋商小组采用综合评分法对提交最后报价的供应商的响应文件和最后报价进行综合评分。</w:t>
      </w:r>
    </w:p>
    <w:p w14:paraId="17B81CA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5.3评审时，磋商小组各成员应当独立对每个有效响应的文件进行评价、打分，然后汇总每个供应商每项评分因素的得分。</w:t>
      </w:r>
    </w:p>
    <w:p w14:paraId="4CD11FF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（1）磋商小组按照磋商文件中规定的评审标准计算各供应商的报价得分。项目评审过程中，不得去掉最后报价中的最高报价和最低报价。</w:t>
      </w:r>
    </w:p>
    <w:p w14:paraId="27592E1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（2）各供应商的得分为磋商小组所有成员的有效评分的算术平均数。</w:t>
      </w:r>
    </w:p>
    <w:p w14:paraId="5F245E3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5.4评审价为供应商的最后报价进行政策性扣除后的价格，评审价只是作为评审时使用。最终成交供应商的成交金额等于最后报价（如有修正，以确认修正后的最后报价为准）。</w:t>
      </w:r>
    </w:p>
    <w:p w14:paraId="6ED90C8F">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 成交供应商荐原则</w:t>
      </w:r>
    </w:p>
    <w:p w14:paraId="00DD1F2D">
      <w:pPr>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sz w:val="21"/>
          <w:szCs w:val="21"/>
          <w:highlight w:val="none"/>
        </w:rPr>
        <w:t>6.1</w:t>
      </w:r>
      <w:r>
        <w:rPr>
          <w:rFonts w:hint="eastAsia" w:ascii="宋体" w:hAnsi="宋体" w:eastAsia="宋体" w:cs="宋体"/>
          <w:bCs/>
          <w:sz w:val="21"/>
          <w:szCs w:val="21"/>
          <w:highlight w:val="none"/>
        </w:rPr>
        <w:t>由磋商小组根据综合评分情况，按照评审得分由高到低顺序推荐3名以上成交候选供应商，并编写评审报告，</w:t>
      </w:r>
      <w:r>
        <w:rPr>
          <w:rFonts w:hint="eastAsia" w:ascii="宋体" w:hAnsi="宋体" w:eastAsia="宋体" w:cs="宋体"/>
          <w:sz w:val="21"/>
          <w:szCs w:val="21"/>
          <w:highlight w:val="none"/>
        </w:rPr>
        <w:t>评审报告通过电子交易平台向采购人、采购代理机构提交。</w:t>
      </w:r>
      <w:r>
        <w:rPr>
          <w:rFonts w:hint="eastAsia" w:ascii="宋体" w:hAnsi="宋体" w:eastAsia="宋体" w:cs="宋体"/>
          <w:bCs/>
          <w:sz w:val="21"/>
          <w:szCs w:val="21"/>
          <w:highlight w:val="none"/>
        </w:rPr>
        <w:t>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eastAsia="宋体" w:cs="宋体"/>
          <w:kern w:val="0"/>
          <w:sz w:val="21"/>
          <w:szCs w:val="21"/>
          <w:highlight w:val="none"/>
        </w:rPr>
        <w:t>。</w:t>
      </w:r>
    </w:p>
    <w:p w14:paraId="1946B43F">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kern w:val="0"/>
          <w:sz w:val="21"/>
          <w:szCs w:val="21"/>
          <w:highlight w:val="none"/>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BEF0F84">
      <w:pPr>
        <w:spacing w:line="360" w:lineRule="auto"/>
        <w:jc w:val="center"/>
        <w:rPr>
          <w:rFonts w:ascii="宋体" w:hAnsi="宋体"/>
          <w:b/>
          <w:sz w:val="32"/>
          <w:szCs w:val="32"/>
          <w:highlight w:val="none"/>
        </w:rPr>
      </w:pPr>
      <w:r>
        <w:rPr>
          <w:rFonts w:hint="eastAsia" w:ascii="宋体" w:hAnsi="宋体"/>
          <w:b/>
          <w:sz w:val="32"/>
          <w:szCs w:val="32"/>
          <w:highlight w:val="none"/>
        </w:rPr>
        <w:br w:type="page"/>
      </w:r>
      <w:r>
        <w:rPr>
          <w:rFonts w:hint="eastAsia" w:ascii="宋体" w:hAnsi="宋体"/>
          <w:b/>
          <w:sz w:val="32"/>
          <w:szCs w:val="32"/>
          <w:highlight w:val="none"/>
        </w:rPr>
        <w:t>二、评审标准</w:t>
      </w:r>
    </w:p>
    <w:p w14:paraId="5F470D50">
      <w:pPr>
        <w:spacing w:line="360" w:lineRule="auto"/>
        <w:ind w:firstLine="420" w:firstLineChars="200"/>
        <w:rPr>
          <w:rFonts w:hint="eastAsia" w:ascii="宋体" w:hAnsi="宋体"/>
          <w:bCs/>
          <w:szCs w:val="21"/>
          <w:highlight w:val="none"/>
        </w:rPr>
      </w:pPr>
      <w:r>
        <w:rPr>
          <w:rFonts w:hint="eastAsia" w:ascii="宋体" w:hAnsi="宋体"/>
          <w:bCs/>
          <w:szCs w:val="21"/>
          <w:highlight w:val="none"/>
        </w:rPr>
        <w:t>7</w:t>
      </w:r>
      <w:r>
        <w:rPr>
          <w:rFonts w:ascii="宋体" w:hAnsi="宋体"/>
          <w:bCs/>
          <w:szCs w:val="21"/>
          <w:highlight w:val="none"/>
        </w:rPr>
        <w:t>.</w:t>
      </w:r>
      <w:r>
        <w:rPr>
          <w:rFonts w:hint="eastAsia" w:ascii="宋体" w:hAnsi="宋体"/>
          <w:bCs/>
          <w:szCs w:val="21"/>
          <w:highlight w:val="none"/>
        </w:rPr>
        <w:t>评审依据：磋商小组以磋商文件为评审依据，对供应商的报价、技术、商务等方面内容按百分制打分。（计分方法按四舍五入取至百分位）</w:t>
      </w:r>
    </w:p>
    <w:p w14:paraId="34AAAC1A">
      <w:pPr>
        <w:pStyle w:val="25"/>
        <w:numPr>
          <w:ilvl w:val="0"/>
          <w:numId w:val="0"/>
        </w:numPr>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
          <w:bCs w:val="0"/>
          <w:kern w:val="2"/>
          <w:sz w:val="21"/>
          <w:szCs w:val="21"/>
          <w:highlight w:val="none"/>
          <w:lang w:val="en-US" w:eastAsia="zh-CN" w:bidi="ar-SA"/>
        </w:rPr>
        <w:t>1、价格分……………………………………………………………………………………20分</w:t>
      </w:r>
    </w:p>
    <w:p w14:paraId="0174ADCA">
      <w:pPr>
        <w:pStyle w:val="215"/>
        <w:rPr>
          <w:rFonts w:hint="eastAsia" w:ascii="宋体" w:hAnsi="宋体" w:eastAsia="宋体" w:cs="Times New Roman"/>
          <w:bCs/>
          <w:kern w:val="2"/>
          <w:sz w:val="21"/>
          <w:szCs w:val="21"/>
          <w:highlight w:val="none"/>
          <w:lang w:val="en-US" w:eastAsia="zh-CN" w:bidi="ar-SA"/>
        </w:rPr>
      </w:pPr>
    </w:p>
    <w:p w14:paraId="1FA8F246">
      <w:pPr>
        <w:pStyle w:val="215"/>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本项目由于属于专门面向中小企业采购，按照《政府采购促进中小企业发展管理办法》（财库〔2020〕46号）规定，不再执行价格评审优惠的扶持政策。</w:t>
      </w:r>
    </w:p>
    <w:p w14:paraId="18B2112B">
      <w:pPr>
        <w:pStyle w:val="21"/>
        <w:rPr>
          <w:rFonts w:hint="eastAsia" w:ascii="宋体" w:hAnsi="宋体" w:eastAsia="宋体" w:cs="Times New Roman"/>
          <w:bCs/>
          <w:kern w:val="2"/>
          <w:sz w:val="21"/>
          <w:szCs w:val="21"/>
          <w:highlight w:val="none"/>
          <w:lang w:val="en-US" w:eastAsia="zh-CN" w:bidi="ar-SA"/>
        </w:rPr>
      </w:pPr>
    </w:p>
    <w:p w14:paraId="17EBA87C">
      <w:pPr>
        <w:spacing w:line="400" w:lineRule="exact"/>
        <w:ind w:left="630" w:hanging="630" w:hangingChars="30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（1）以进入详评的且最后报价最低的供应商的价格为磋商基准价，其价格分为20分。</w:t>
      </w:r>
    </w:p>
    <w:p w14:paraId="75E35C37">
      <w:pPr>
        <w:spacing w:line="400" w:lineRule="exact"/>
        <w:ind w:left="630" w:leftChars="50" w:hanging="525" w:hangingChars="25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价格分计算公式：</w:t>
      </w:r>
    </w:p>
    <w:p w14:paraId="5AF66A51">
      <w:pPr>
        <w:pStyle w:val="25"/>
        <w:spacing w:line="500" w:lineRule="exact"/>
        <w:ind w:firstLine="3150" w:firstLineChars="150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响应供应商最低评标报价金额（元）</w:t>
      </w:r>
    </w:p>
    <w:p w14:paraId="7CA0D0C4">
      <w:pPr>
        <w:pStyle w:val="25"/>
        <w:spacing w:line="500" w:lineRule="exact"/>
        <w:ind w:firstLine="315" w:firstLineChars="15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1962150</wp:posOffset>
                </wp:positionH>
                <wp:positionV relativeFrom="paragraph">
                  <wp:posOffset>175260</wp:posOffset>
                </wp:positionV>
                <wp:extent cx="2222500" cy="0"/>
                <wp:effectExtent l="0" t="4445" r="0" b="5080"/>
                <wp:wrapNone/>
                <wp:docPr id="1" name="直线 141"/>
                <wp:cNvGraphicFramePr/>
                <a:graphic xmlns:a="http://schemas.openxmlformats.org/drawingml/2006/main">
                  <a:graphicData uri="http://schemas.microsoft.com/office/word/2010/wordprocessingShape">
                    <wps:wsp>
                      <wps:cNvCnPr/>
                      <wps:spPr>
                        <a:xfrm>
                          <a:off x="0" y="0"/>
                          <a:ext cx="2222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1" o:spid="_x0000_s1026" o:spt="20" style="position:absolute;left:0pt;margin-left:154.5pt;margin-top:13.8pt;height:0pt;width:175pt;z-index:251659264;mso-width-relative:page;mso-height-relative:page;" filled="f" stroked="t" coordsize="21600,21600" o:gfxdata="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c2Sta1gAA&#10;AAkBAAAPAAAAAAAAAAEAIAAAACIAAABkcnMvZG93bnJldi54bWxQSwECFAAUAAAACACHTuJApVtE&#10;RecBAADdAwAADgAAAAAAAAABACAAAAAlAQAAZHJzL2Uyb0RvYy54bWxQSwUGAAAAAAYABgBZAQAA&#10;fgUAAAAA&#10;">
                <v:fill on="f" focussize="0,0"/>
                <v:stroke color="#000000" joinstyle="round"/>
                <v:imagedata o:title=""/>
                <o:lock v:ext="edit" aspectratio="f"/>
              </v:line>
            </w:pict>
          </mc:Fallback>
        </mc:AlternateContent>
      </w:r>
      <w:r>
        <w:rPr>
          <w:rFonts w:hint="eastAsia" w:ascii="宋体" w:hAnsi="宋体" w:eastAsia="宋体" w:cs="Times New Roman"/>
          <w:bCs/>
          <w:kern w:val="2"/>
          <w:sz w:val="21"/>
          <w:szCs w:val="21"/>
          <w:highlight w:val="none"/>
          <w:lang w:val="en-US" w:eastAsia="zh-CN" w:bidi="ar-SA"/>
        </w:rPr>
        <w:t>(2)某响应供应商价格分 =                                       ×20分</w:t>
      </w:r>
    </w:p>
    <w:p w14:paraId="47BFE5CE">
      <w:pPr>
        <w:spacing w:line="360" w:lineRule="auto"/>
        <w:ind w:firstLine="420" w:firstLineChars="20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 xml:space="preserve">                             某响应供应商评标报价金额（元）</w:t>
      </w:r>
    </w:p>
    <w:p w14:paraId="23CF9FED">
      <w:pPr>
        <w:spacing w:line="360" w:lineRule="auto"/>
        <w:ind w:firstLine="420" w:firstLineChars="200"/>
        <w:rPr>
          <w:rFonts w:hint="eastAsia" w:ascii="宋体" w:hAnsi="宋体" w:eastAsia="宋体" w:cs="Times New Roman"/>
          <w:bCs/>
          <w:kern w:val="2"/>
          <w:sz w:val="21"/>
          <w:szCs w:val="21"/>
          <w:highlight w:val="none"/>
          <w:lang w:val="en-US" w:eastAsia="zh-CN" w:bidi="ar-SA"/>
        </w:rPr>
      </w:pPr>
    </w:p>
    <w:p w14:paraId="7A2DD325">
      <w:pPr>
        <w:numPr>
          <w:ilvl w:val="0"/>
          <w:numId w:val="2"/>
        </w:numPr>
        <w:spacing w:line="440" w:lineRule="exact"/>
        <w:ind w:left="-315" w:leftChars="-15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技术分</w:t>
      </w:r>
      <w:r>
        <w:rPr>
          <w:rFonts w:hint="eastAsia" w:ascii="宋体" w:hAnsi="宋体" w:eastAsia="宋体" w:cs="宋体"/>
          <w:bCs/>
          <w:color w:val="auto"/>
          <w:highlight w:val="none"/>
        </w:rPr>
        <w:t>…………………………………………………………………………………………</w:t>
      </w: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rPr>
        <w:t>0分</w:t>
      </w:r>
    </w:p>
    <w:p w14:paraId="0D3334EC">
      <w:pPr>
        <w:numPr>
          <w:ilvl w:val="0"/>
          <w:numId w:val="0"/>
        </w:numPr>
        <w:spacing w:line="440" w:lineRule="exact"/>
        <w:rPr>
          <w:rFonts w:hint="eastAsia" w:ascii="宋体" w:hAnsi="宋体" w:eastAsia="宋体" w:cs="宋体"/>
          <w:b/>
          <w:bCs/>
          <w:color w:val="auto"/>
          <w:szCs w:val="21"/>
          <w:highlight w:val="none"/>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997"/>
        <w:gridCol w:w="1309"/>
        <w:gridCol w:w="5721"/>
      </w:tblGrid>
      <w:tr w14:paraId="68DD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1324" w:type="dxa"/>
            <w:vMerge w:val="restart"/>
            <w:noWrap w:val="0"/>
            <w:vAlign w:val="center"/>
          </w:tcPr>
          <w:p w14:paraId="336B84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技术标评分标准（满分</w:t>
            </w:r>
            <w:r>
              <w:rPr>
                <w:rFonts w:hint="eastAsia" w:ascii="宋体" w:hAnsi="宋体" w:eastAsia="宋体" w:cs="宋体"/>
                <w:color w:val="auto"/>
                <w:sz w:val="21"/>
                <w:szCs w:val="21"/>
                <w:lang w:val="en-US" w:eastAsia="zh-CN"/>
              </w:rPr>
              <w:t>70</w:t>
            </w:r>
            <w:r>
              <w:rPr>
                <w:rFonts w:hint="eastAsia" w:ascii="宋体" w:hAnsi="宋体" w:eastAsia="宋体" w:cs="宋体"/>
                <w:color w:val="auto"/>
                <w:sz w:val="21"/>
                <w:szCs w:val="21"/>
              </w:rPr>
              <w:t>）</w:t>
            </w:r>
          </w:p>
        </w:tc>
        <w:tc>
          <w:tcPr>
            <w:tcW w:w="997" w:type="dxa"/>
            <w:vMerge w:val="restart"/>
            <w:noWrap w:val="0"/>
            <w:vAlign w:val="center"/>
          </w:tcPr>
          <w:p w14:paraId="47F37B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施工组织设计</w:t>
            </w:r>
          </w:p>
        </w:tc>
        <w:tc>
          <w:tcPr>
            <w:tcW w:w="1309" w:type="dxa"/>
            <w:tcBorders>
              <w:bottom w:val="single" w:color="auto" w:sz="4" w:space="0"/>
            </w:tcBorders>
            <w:noWrap w:val="0"/>
            <w:vAlign w:val="center"/>
          </w:tcPr>
          <w:p w14:paraId="3BA1C9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主要施工方法</w:t>
            </w:r>
          </w:p>
          <w:p w14:paraId="504E8A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p>
        </w:tc>
        <w:tc>
          <w:tcPr>
            <w:tcW w:w="5721" w:type="dxa"/>
            <w:tcBorders>
              <w:bottom w:val="single" w:color="auto" w:sz="4" w:space="0"/>
            </w:tcBorders>
            <w:noWrap w:val="0"/>
            <w:vAlign w:val="center"/>
          </w:tcPr>
          <w:p w14:paraId="2F1916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一档（</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分）：对项目总体有深刻认识，表述清晰、完整，严谨、合理，措施先进、具体、有效、成熟，采用了已论证的新技术、新工艺、新材料、新设备；施工段划分呼应总体表述，划分清晰、合理，符合规范要求。</w:t>
            </w:r>
          </w:p>
          <w:p w14:paraId="783C79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二档（</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分）：对项目总体有一定认识，表述清晰、完整，措施具体有效；施工段划分呼应总体表述，划分清晰，符合规范要求。</w:t>
            </w:r>
          </w:p>
          <w:p w14:paraId="46B9D8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三档（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分）：对项目认识不足，表述不清晰，措施不具体；施工段划分不合理。</w:t>
            </w:r>
          </w:p>
          <w:p w14:paraId="3576E0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未提供不得分</w:t>
            </w:r>
          </w:p>
        </w:tc>
      </w:tr>
      <w:tr w14:paraId="30FC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24" w:type="dxa"/>
            <w:vMerge w:val="continue"/>
            <w:noWrap w:val="0"/>
            <w:vAlign w:val="center"/>
          </w:tcPr>
          <w:p w14:paraId="66FE2E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6D338E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63E875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拟投入的主要物资计划（</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p>
        </w:tc>
        <w:tc>
          <w:tcPr>
            <w:tcW w:w="5721" w:type="dxa"/>
            <w:noWrap w:val="0"/>
            <w:vAlign w:val="center"/>
          </w:tcPr>
          <w:p w14:paraId="515985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一</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 xml:space="preserve">（10 分）:投入的施工材料有详细的组织计划且计划周密，数量、选型配置、进场时间安排合理，满足施工需要。 </w:t>
            </w:r>
          </w:p>
          <w:p w14:paraId="45D000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二</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 xml:space="preserve">（6 分):投入的施工材料有组织计划但不够详细和不周密，数量、选型配置、进场时间安排一般，不够合理，基本能满足施工需要。 </w:t>
            </w:r>
          </w:p>
          <w:p w14:paraId="5EC461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三档</w:t>
            </w:r>
            <w:r>
              <w:rPr>
                <w:rFonts w:hint="eastAsia" w:ascii="宋体" w:hAnsi="宋体" w:eastAsia="宋体" w:cs="宋体"/>
                <w:color w:val="auto"/>
                <w:sz w:val="21"/>
                <w:szCs w:val="21"/>
                <w:lang w:val="en-US" w:eastAsia="zh-CN"/>
              </w:rPr>
              <w:t>（3 分):投入的施工材料的组织计划不合理，数量、选型配置、进场时间安排不合理，不能满足施工需要。</w:t>
            </w:r>
          </w:p>
          <w:p w14:paraId="434068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20DA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1324" w:type="dxa"/>
            <w:vMerge w:val="continue"/>
            <w:noWrap w:val="0"/>
            <w:vAlign w:val="center"/>
          </w:tcPr>
          <w:p w14:paraId="5D4071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20BE88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35F0A7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拟投入的主要施工机械、设备计划（</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p>
        </w:tc>
        <w:tc>
          <w:tcPr>
            <w:tcW w:w="5721" w:type="dxa"/>
            <w:noWrap w:val="0"/>
            <w:vAlign w:val="center"/>
          </w:tcPr>
          <w:p w14:paraId="4BB8B0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一档</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投入的施工机械、设备、机具有详细的组织计划且计划周密，设备数量、选型配置、进场时间安排合理，满足施工需要。</w:t>
            </w:r>
          </w:p>
          <w:p w14:paraId="3B64B5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二</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投入的施工机械、设备、机具有组织计划但不够详细和周密，设备数量、选型配置、进场时间安排一般，不够合理，基本能满足施工需要。</w:t>
            </w:r>
          </w:p>
          <w:p w14:paraId="51E250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三</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投入的施工机械、设备、机具的组织计划不合理，设备数量、选型配置、进场时间安排不合理,不能满足施工需要。</w:t>
            </w:r>
          </w:p>
          <w:p w14:paraId="47EE6E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6CE4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24" w:type="dxa"/>
            <w:vMerge w:val="continue"/>
            <w:noWrap w:val="0"/>
            <w:vAlign w:val="center"/>
          </w:tcPr>
          <w:p w14:paraId="127219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1E7483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2BF567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劳动力安排计划（</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p>
        </w:tc>
        <w:tc>
          <w:tcPr>
            <w:tcW w:w="5721" w:type="dxa"/>
            <w:noWrap w:val="0"/>
            <w:vAlign w:val="center"/>
          </w:tcPr>
          <w:p w14:paraId="329B91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一</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 xml:space="preserve">(10 分):各主要施工工序应有详细周密的劳动力安排计划，有各工种劳动力安排计划，劳动力投入合理，满足施工需要。 </w:t>
            </w:r>
          </w:p>
          <w:p w14:paraId="630E95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二</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 xml:space="preserve">(6 分）:各主要施工工序有劳动力安排计划但不够详细周密，有各工种劳动力安排计划但不全面，劳动力投入安排基本合理，基本能满足施工需要。 </w:t>
            </w:r>
          </w:p>
          <w:p w14:paraId="2C1EDC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三</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（3 分):各主要施工工序的劳动力安排计划不合理,各工种劳动力安排计划不合理，劳动力投入不合理，不能满足施工需要。</w:t>
            </w:r>
          </w:p>
          <w:p w14:paraId="412D4D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2577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324" w:type="dxa"/>
            <w:vMerge w:val="continue"/>
            <w:noWrap w:val="0"/>
            <w:vAlign w:val="center"/>
          </w:tcPr>
          <w:p w14:paraId="276851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4E43CB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454F62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确保工程质量的技术组织措施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666E26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一</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 xml:space="preserve">（5分):有专门的质量技术管理班子和制度，且人员配备合理，制度健全。主要工序质量技术保证措施和手段先进合理，自控体系完整，能有效保证技术质量，达到承诺的质量标准。 </w:t>
            </w:r>
          </w:p>
          <w:p w14:paraId="35EB8A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(3分）:有质量技术管理班子和日常管理制度，人员配备基本合理，约定有一定的管理制度。主要工序质量技术保证措施和手段一般，自控体系一般，基本能保证技术质量，达到承诺的质量标准。 </w:t>
            </w:r>
          </w:p>
          <w:p w14:paraId="70D28F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（1 分）:没有专门的质量技术管理班子和制度，且人员配备不合理,有制度但不健全。主要工序没有有质量技术保证措施和手段,自控体系不完整，不能有效保证技术质量，达到承诺的质量标准。</w:t>
            </w:r>
          </w:p>
          <w:p w14:paraId="0CB04E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2E2C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24" w:type="dxa"/>
            <w:vMerge w:val="continue"/>
            <w:noWrap w:val="0"/>
            <w:vAlign w:val="center"/>
          </w:tcPr>
          <w:p w14:paraId="7F4A39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bookmarkStart w:id="1106" w:name="_GoBack" w:colFirst="3" w:colLast="3"/>
          </w:p>
        </w:tc>
        <w:tc>
          <w:tcPr>
            <w:tcW w:w="997" w:type="dxa"/>
            <w:vMerge w:val="continue"/>
            <w:noWrap w:val="0"/>
            <w:vAlign w:val="center"/>
          </w:tcPr>
          <w:p w14:paraId="4227A58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344530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确保安全生产的技术组织措施（</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13D3C2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（5 分）:有专门的安全管理人员和制度，且人员配备合理，制度健全，各道工序安全技术措施针对性强，符合实际且满足有关安全技术标准要求。现场防火、应急救援、社会治安安全措施得力。 </w:t>
            </w:r>
          </w:p>
          <w:p w14:paraId="3FADE6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（3 分）:有安全管理人员和日常管理制度，人员配备基本合理，有制度但不健全，各道工序安全技术措施针对性不强,基本符合实际且基本满足有关安全技术标准要求。现场防火、应急救援、社会治安安全措施满足要求。 </w:t>
            </w:r>
          </w:p>
          <w:p w14:paraId="670845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（1 分):没有专门的安全管理人员和制度，且人员配备不合理，制度不健全，各道工序安全技术措施针对性差，不符合实际且不满足有关安全技术标准要求。现场防火、应急救援、社会治安安全措施差。</w:t>
            </w:r>
          </w:p>
          <w:p w14:paraId="04496A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bookmarkEnd w:id="1106"/>
      <w:tr w14:paraId="389E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24" w:type="dxa"/>
            <w:vMerge w:val="continue"/>
            <w:noWrap w:val="0"/>
            <w:vAlign w:val="center"/>
          </w:tcPr>
          <w:p w14:paraId="51277D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311C6C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48BC5D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确保工期的技术组织措施（</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1AD7B3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（5 分）:在施工工艺、施工方法、材料选用、劳动力安排、技术等方面有保证工期的具体措施且措施得当。有控制工期的施工进度计划且合理。有施工总进度表或施工网络图，各项计划图表编制完善，安排科学合理，符合本项目施工实际要求。 </w:t>
            </w:r>
          </w:p>
          <w:p w14:paraId="49EA40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（3 分）:在施工工艺、施工方法、材料选用、劳动力安排、技术等方面有保证工期的具体措施但措施一般。有控制工期的施工进度计划但计划一般。有施工总进度表或施工网络图，各项计划图表编制基本满足要求，安排基本合理，基本符合本项目施工实际要求。 </w:t>
            </w:r>
          </w:p>
          <w:p w14:paraId="7729B6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（1 分）:在施工工艺、施工方法、材料选用、劳动力安排、技术等方面有保证工期的具体措施但不合理。有控制工期的施工进度计划但不合理。有施工总进度表或施工网络图，各项计划图表编制不合理，安排不合理，不能符合本项目施工实际要求。</w:t>
            </w:r>
          </w:p>
          <w:p w14:paraId="70567E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494C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324" w:type="dxa"/>
            <w:vMerge w:val="continue"/>
            <w:noWrap w:val="0"/>
            <w:vAlign w:val="center"/>
          </w:tcPr>
          <w:p w14:paraId="5D37BC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5A8444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47C10C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确保文明施工的技术组织措施（</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098FD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 xml:space="preserve">（5 分）:针对本工程项目特点，有现场文明施工、环境保护措施。各项措施周全、具体、有效。有具体实现现场文明施工目标的承诺。 </w:t>
            </w:r>
          </w:p>
          <w:p w14:paraId="5007B5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 xml:space="preserve">（3 分）:针对本工程项目特点，有现场文明施工、环境保护措施但不全面。各项措施不够周全、具体、有效。有实现现场文明施工目标的承诺但承诺内容不具体。 </w:t>
            </w:r>
          </w:p>
          <w:p w14:paraId="7B87DD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（1 分）:针对本工程项目特点，有现场文明施工、环境保护措施但不合理。各项措施不合理。没有有实现现场文明施工目标的承诺。</w:t>
            </w:r>
          </w:p>
          <w:p w14:paraId="6F9093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eastAsia="zh-CN"/>
              </w:rPr>
              <w:t>未提供不得分</w:t>
            </w:r>
          </w:p>
        </w:tc>
      </w:tr>
      <w:tr w14:paraId="62FD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324" w:type="dxa"/>
            <w:vMerge w:val="continue"/>
            <w:noWrap w:val="0"/>
            <w:vAlign w:val="center"/>
          </w:tcPr>
          <w:p w14:paraId="3C1525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3B667E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591135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工程施工的重点和难点及保证措施（</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2EA9F1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 xml:space="preserve">(5 分):针对本工程的特点，阐述本工程的重点和难点，解决重点和难点间题的方法合理。 </w:t>
            </w:r>
          </w:p>
          <w:p w14:paraId="173D6C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 xml:space="preserve">(3 分):针对本工程的特点，阐述本工程的重点和难点，解决重点和难点间题的方法基本合理。 </w:t>
            </w:r>
          </w:p>
          <w:p w14:paraId="053BA1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（1 分):针对本工程的特点，阐述本工程的重点和难点,解决重点和难点问题的方法不合理。</w:t>
            </w:r>
          </w:p>
          <w:p w14:paraId="18CD6A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3AA5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324" w:type="dxa"/>
            <w:vMerge w:val="continue"/>
            <w:noWrap w:val="0"/>
            <w:vAlign w:val="center"/>
          </w:tcPr>
          <w:p w14:paraId="7533E6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64362D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3E35F1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项目管理机构（5分）</w:t>
            </w:r>
          </w:p>
        </w:tc>
        <w:tc>
          <w:tcPr>
            <w:tcW w:w="5721" w:type="dxa"/>
            <w:noWrap w:val="0"/>
            <w:vAlign w:val="center"/>
          </w:tcPr>
          <w:p w14:paraId="65AA13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（1）项目经理职称（满分2分） </w:t>
            </w:r>
          </w:p>
          <w:p w14:paraId="33E32C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项目经理职称:具有工程类中级技术职称（或以上）的得2分。 </w:t>
            </w:r>
          </w:p>
          <w:p w14:paraId="375A09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（2）其他人员（满分3分） </w:t>
            </w:r>
          </w:p>
          <w:p w14:paraId="1CD518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①技术负责人具有中级工程师职称（或以上）的得2分；此项满分2分。 </w:t>
            </w:r>
          </w:p>
          <w:p w14:paraId="430454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②配备的施工员、质量员、材料员、安全员等人员具备相应岗位证书（符合国家有关规定）并任意一人具有初级（或以上）职称的得1分，此项满分1分。 </w:t>
            </w:r>
          </w:p>
          <w:p w14:paraId="72C8CA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注：以上拟投入人员需提供投标截止时间前最近连续三个月社保缴纳证明扫描件，专业以职称证所载的专业为准，提供有效证件的扫描件。</w:t>
            </w:r>
          </w:p>
        </w:tc>
      </w:tr>
    </w:tbl>
    <w:p w14:paraId="662891B2">
      <w:pPr>
        <w:spacing w:line="360" w:lineRule="auto"/>
        <w:rPr>
          <w:rFonts w:hint="eastAsia" w:ascii="宋体" w:hAnsi="宋体" w:cs="宋体"/>
        </w:rPr>
      </w:pPr>
    </w:p>
    <w:p w14:paraId="220DE89E">
      <w:pPr>
        <w:spacing w:line="360" w:lineRule="auto"/>
        <w:rPr>
          <w:rFonts w:hint="eastAsia"/>
        </w:rPr>
      </w:pPr>
      <w:r>
        <w:rPr>
          <w:rFonts w:hint="eastAsia" w:ascii="宋体" w:hAnsi="宋体" w:cs="宋体"/>
          <w:b/>
          <w:bCs/>
        </w:rPr>
        <w:t>3、商务分……………………………………………………………………………………10分</w:t>
      </w:r>
    </w:p>
    <w:tbl>
      <w:tblPr>
        <w:tblStyle w:val="44"/>
        <w:tblW w:w="9330" w:type="dxa"/>
        <w:tblInd w:w="-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7104"/>
      </w:tblGrid>
      <w:tr w14:paraId="3025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226" w:type="dxa"/>
            <w:noWrap w:val="0"/>
            <w:vAlign w:val="center"/>
          </w:tcPr>
          <w:p w14:paraId="28BD9964">
            <w:pPr>
              <w:spacing w:line="360" w:lineRule="auto"/>
              <w:jc w:val="left"/>
              <w:rPr>
                <w:rFonts w:hint="eastAsia" w:ascii="宋体" w:hAnsi="宋体" w:eastAsia="宋体" w:cs="宋体"/>
                <w:color w:val="auto"/>
                <w:sz w:val="24"/>
                <w:szCs w:val="24"/>
              </w:rPr>
            </w:pPr>
            <w:r>
              <w:rPr>
                <w:rFonts w:hint="eastAsia" w:ascii="宋体" w:hAnsi="宋体" w:eastAsia="宋体" w:cs="宋体"/>
                <w:color w:val="auto"/>
              </w:rPr>
              <w:t>业绩分（满分</w:t>
            </w:r>
            <w:r>
              <w:rPr>
                <w:rFonts w:hint="eastAsia" w:ascii="宋体" w:hAnsi="宋体" w:eastAsia="宋体" w:cs="宋体"/>
                <w:color w:val="auto"/>
                <w:lang w:val="en-US" w:eastAsia="zh-CN"/>
              </w:rPr>
              <w:t>10</w:t>
            </w:r>
            <w:r>
              <w:rPr>
                <w:rFonts w:hint="eastAsia" w:ascii="宋体" w:hAnsi="宋体" w:eastAsia="宋体" w:cs="宋体"/>
                <w:color w:val="auto"/>
              </w:rPr>
              <w:t>分）</w:t>
            </w:r>
          </w:p>
        </w:tc>
        <w:tc>
          <w:tcPr>
            <w:tcW w:w="7104" w:type="dxa"/>
            <w:noWrap w:val="0"/>
            <w:vAlign w:val="center"/>
          </w:tcPr>
          <w:p w14:paraId="5F558FEE">
            <w:pPr>
              <w:spacing w:line="360" w:lineRule="auto"/>
              <w:ind w:left="0" w:leftChars="0" w:firstLine="0" w:firstLineChars="0"/>
              <w:jc w:val="left"/>
              <w:rPr>
                <w:rFonts w:hint="eastAsia" w:ascii="宋体" w:hAnsi="宋体" w:eastAsia="宋体" w:cs="宋体"/>
                <w:color w:val="auto"/>
                <w:sz w:val="24"/>
                <w:szCs w:val="24"/>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在</w:t>
            </w:r>
            <w:r>
              <w:rPr>
                <w:rFonts w:hint="eastAsia" w:ascii="宋体" w:hAnsi="宋体" w:eastAsia="宋体" w:cs="宋体"/>
                <w:color w:val="auto"/>
                <w:highlight w:val="none"/>
                <w:lang w:val="en-US" w:eastAsia="zh-CN"/>
              </w:rPr>
              <w:t>2023</w:t>
            </w:r>
            <w:r>
              <w:rPr>
                <w:rFonts w:hint="eastAsia" w:ascii="宋体" w:hAnsi="宋体" w:eastAsia="宋体" w:cs="宋体"/>
                <w:color w:val="auto"/>
                <w:highlight w:val="none"/>
              </w:rPr>
              <w:t>年1月1日至本项目响应文件递交截止时间止承接过相关项目业绩的，每一个业绩得</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分，本项得分最高10分</w:t>
            </w:r>
            <w:r>
              <w:rPr>
                <w:rFonts w:hint="eastAsia" w:ascii="宋体" w:hAnsi="宋体" w:eastAsia="宋体" w:cs="宋体"/>
                <w:color w:val="auto"/>
              </w:rPr>
              <w:t>。[以合同或者中标（成交）通知书复印件为准，并加盖</w:t>
            </w:r>
            <w:r>
              <w:rPr>
                <w:rFonts w:hint="eastAsia" w:ascii="宋体" w:hAnsi="宋体" w:eastAsia="宋体" w:cs="宋体"/>
                <w:color w:val="auto"/>
                <w:sz w:val="21"/>
                <w:szCs w:val="21"/>
                <w:highlight w:val="none"/>
                <w:lang w:eastAsia="zh-CN"/>
              </w:rPr>
              <w:t>电子签章</w:t>
            </w:r>
            <w:r>
              <w:rPr>
                <w:rFonts w:hint="eastAsia" w:ascii="宋体" w:hAnsi="宋体" w:eastAsia="宋体" w:cs="宋体"/>
                <w:color w:val="auto"/>
              </w:rPr>
              <w:t>]</w:t>
            </w:r>
          </w:p>
        </w:tc>
      </w:tr>
    </w:tbl>
    <w:p w14:paraId="775C467A">
      <w:pPr>
        <w:pStyle w:val="25"/>
        <w:spacing w:line="440" w:lineRule="exact"/>
        <w:ind w:left="0" w:leftChars="0" w:firstLine="0" w:firstLineChars="0"/>
        <w:outlineLvl w:val="0"/>
        <w:rPr>
          <w:rFonts w:hint="eastAsia" w:ascii="宋体" w:hAnsi="宋体" w:eastAsia="宋体" w:cs="宋体"/>
          <w:color w:val="auto"/>
          <w:highlight w:val="none"/>
        </w:rPr>
      </w:pPr>
    </w:p>
    <w:p w14:paraId="4EF72CA8">
      <w:pPr>
        <w:pStyle w:val="25"/>
        <w:spacing w:line="440" w:lineRule="exact"/>
        <w:ind w:left="0" w:leftChars="0" w:firstLine="0" w:firstLineChars="0"/>
        <w:outlineLvl w:val="0"/>
        <w:rPr>
          <w:rFonts w:hint="eastAsia" w:ascii="宋体" w:hAnsi="宋体" w:eastAsia="宋体" w:cs="宋体"/>
          <w:b/>
          <w:color w:val="auto"/>
          <w:szCs w:val="21"/>
          <w:highlight w:val="none"/>
        </w:rPr>
      </w:pPr>
      <w:r>
        <w:rPr>
          <w:rFonts w:hint="eastAsia" w:ascii="宋体" w:hAnsi="宋体" w:eastAsia="宋体" w:cs="宋体"/>
          <w:color w:val="auto"/>
          <w:highlight w:val="none"/>
        </w:rPr>
        <w:t>（三）综合得分 =</w:t>
      </w:r>
      <w:r>
        <w:rPr>
          <w:rFonts w:hint="eastAsia" w:ascii="宋体" w:hAnsi="宋体" w:eastAsia="宋体" w:cs="宋体"/>
          <w:b/>
          <w:bCs/>
          <w:color w:val="auto"/>
          <w:highlight w:val="none"/>
        </w:rPr>
        <w:t xml:space="preserve"> </w:t>
      </w:r>
      <w:r>
        <w:rPr>
          <w:rFonts w:hint="eastAsia" w:ascii="宋体" w:hAnsi="宋体" w:eastAsia="宋体" w:cs="宋体"/>
          <w:b w:val="0"/>
          <w:bCs w:val="0"/>
          <w:color w:val="auto"/>
          <w:highlight w:val="none"/>
        </w:rPr>
        <w:t>1＋2</w:t>
      </w:r>
      <w:r>
        <w:rPr>
          <w:rFonts w:hint="eastAsia" w:hAnsi="宋体" w:cs="宋体"/>
          <w:b w:val="0"/>
          <w:bCs w:val="0"/>
          <w:color w:val="auto"/>
          <w:highlight w:val="none"/>
          <w:lang w:val="en-US" w:eastAsia="zh-CN"/>
        </w:rPr>
        <w:t>+3</w:t>
      </w:r>
    </w:p>
    <w:p w14:paraId="52016D2A">
      <w:pPr>
        <w:spacing w:before="120" w:beforeLines="50" w:line="400" w:lineRule="exact"/>
        <w:ind w:left="0" w:leftChars="0"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三、推荐成交候选人</w:t>
      </w:r>
    </w:p>
    <w:p w14:paraId="776DCC8A">
      <w:pPr>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磋商小组应当从通过资格性审查和符合性审查、质量和服务均能满足竞争性磋商文件全部实质性响应要求的</w:t>
      </w:r>
      <w:r>
        <w:rPr>
          <w:rFonts w:hint="eastAsia" w:ascii="宋体" w:hAnsi="宋体" w:cs="宋体"/>
          <w:color w:val="auto"/>
          <w:szCs w:val="21"/>
          <w:highlight w:val="none"/>
          <w:lang w:eastAsia="zh-CN" w:bidi="ar"/>
        </w:rPr>
        <w:t>供应商</w:t>
      </w:r>
      <w:r>
        <w:rPr>
          <w:rFonts w:hint="eastAsia" w:ascii="宋体" w:hAnsi="宋体" w:eastAsia="宋体" w:cs="宋体"/>
          <w:color w:val="auto"/>
          <w:szCs w:val="21"/>
          <w:highlight w:val="none"/>
          <w:lang w:bidi="ar"/>
        </w:rPr>
        <w:t>中。</w:t>
      </w:r>
    </w:p>
    <w:p w14:paraId="479C56B4">
      <w:pPr>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1）磋商小组根据评审结果按评审后得分由高到低顺序排列推荐3名成交候选人。总得分相同的，依次按最终技术分高优先、信誉分高优先、报价低优先、提交服务成果时间短优先的顺序排列。成交候选人并列的，由采购人采取随机抽取的方式确定成交人。</w:t>
      </w:r>
    </w:p>
    <w:p w14:paraId="011E5918">
      <w:pPr>
        <w:spacing w:line="360" w:lineRule="auto"/>
        <w:ind w:firstLine="420" w:firstLineChars="200"/>
        <w:rPr>
          <w:rFonts w:hint="eastAsia" w:ascii="宋体" w:hAnsi="宋体" w:eastAsia="宋体" w:cs="宋体"/>
          <w:color w:val="auto"/>
          <w:szCs w:val="21"/>
          <w:highlight w:val="none"/>
          <w:lang w:bidi="ar"/>
        </w:rPr>
      </w:pPr>
    </w:p>
    <w:p w14:paraId="7F601F82">
      <w:pPr>
        <w:spacing w:line="360" w:lineRule="auto"/>
        <w:ind w:firstLine="420" w:firstLineChars="200"/>
        <w:rPr>
          <w:rFonts w:hint="eastAsia" w:ascii="宋体" w:hAnsi="宋体" w:eastAsia="宋体" w:cs="Times New Roman"/>
          <w:bCs/>
          <w:kern w:val="2"/>
          <w:sz w:val="21"/>
          <w:szCs w:val="21"/>
          <w:highlight w:val="none"/>
          <w:lang w:val="en-US" w:eastAsia="zh-CN" w:bidi="ar-SA"/>
        </w:rPr>
      </w:pPr>
      <w:r>
        <w:rPr>
          <w:rFonts w:hint="eastAsia" w:ascii="宋体" w:hAnsi="宋体" w:eastAsia="宋体" w:cs="宋体"/>
          <w:color w:val="auto"/>
          <w:szCs w:val="21"/>
          <w:highlight w:val="none"/>
          <w:lang w:bidi="ar"/>
        </w:rPr>
        <w:t>（2）</w:t>
      </w:r>
      <w:r>
        <w:rPr>
          <w:rFonts w:hint="eastAsia" w:ascii="宋体" w:hAnsi="宋体" w:eastAsia="宋体" w:cs="宋体"/>
          <w:color w:val="auto"/>
          <w:szCs w:val="21"/>
          <w:highlight w:val="none"/>
        </w:rPr>
        <w:t>采购人应当确定磋商小组推荐排名第一的成交候选人为成交人。排名第一的成交候选人放弃成交、因不可抗力提出不能履行合同，或者</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规定应当提交履约保证金而在规定的期限内未能提交的，采购人可以确定排名第二的成交候选人为成交人。排名第二的成交候选人因前款规定的同样原因不能签订合同的，采购人可以确定排名第三的成交候选人为成交人。</w:t>
      </w:r>
    </w:p>
    <w:p w14:paraId="11DAB9CA">
      <w:pPr>
        <w:rPr>
          <w:rFonts w:hint="eastAsia"/>
          <w:highlight w:val="none"/>
        </w:rPr>
      </w:pPr>
    </w:p>
    <w:p w14:paraId="69C0F126">
      <w:pPr>
        <w:pStyle w:val="2"/>
        <w:jc w:val="center"/>
        <w:rPr>
          <w:rFonts w:hint="eastAsia"/>
          <w:highlight w:val="none"/>
        </w:rPr>
      </w:pPr>
      <w:r>
        <w:rPr>
          <w:rFonts w:hint="eastAsia"/>
          <w:highlight w:val="none"/>
        </w:rPr>
        <w:br w:type="page"/>
      </w:r>
    </w:p>
    <w:p w14:paraId="24A4336F">
      <w:pPr>
        <w:pStyle w:val="2"/>
        <w:jc w:val="center"/>
        <w:rPr>
          <w:rFonts w:hint="eastAsia"/>
          <w:highlight w:val="none"/>
        </w:rPr>
      </w:pPr>
      <w:bookmarkStart w:id="109" w:name="_Toc28684"/>
      <w:r>
        <w:rPr>
          <w:rFonts w:hint="eastAsia"/>
          <w:highlight w:val="none"/>
        </w:rPr>
        <w:t>第五章 工程量清单及图纸</w:t>
      </w:r>
      <w:bookmarkEnd w:id="109"/>
    </w:p>
    <w:p w14:paraId="1AA4C5E3">
      <w:pPr>
        <w:pStyle w:val="2"/>
        <w:jc w:val="center"/>
        <w:rPr>
          <w:rFonts w:hint="eastAsia"/>
          <w:highlight w:val="none"/>
        </w:rPr>
      </w:pPr>
    </w:p>
    <w:p w14:paraId="0CBA05BD">
      <w:pPr>
        <w:pStyle w:val="2"/>
        <w:spacing w:before="0" w:after="0" w:line="360" w:lineRule="auto"/>
        <w:jc w:val="center"/>
        <w:rPr>
          <w:rFonts w:hint="eastAsia"/>
          <w:highlight w:val="none"/>
        </w:rPr>
      </w:pPr>
      <w:r>
        <w:rPr>
          <w:highlight w:val="none"/>
        </w:rPr>
        <w:t>另册</w:t>
      </w:r>
      <w:r>
        <w:rPr>
          <w:highlight w:val="none"/>
        </w:rPr>
        <w:br w:type="page"/>
      </w:r>
    </w:p>
    <w:p w14:paraId="280AE718">
      <w:pPr>
        <w:rPr>
          <w:rFonts w:hint="eastAsia"/>
          <w:highlight w:val="none"/>
        </w:rPr>
      </w:pPr>
    </w:p>
    <w:p w14:paraId="3C2BE50E">
      <w:pPr>
        <w:rPr>
          <w:rFonts w:hint="eastAsia"/>
          <w:highlight w:val="none"/>
        </w:rPr>
      </w:pPr>
    </w:p>
    <w:p w14:paraId="382D8D42">
      <w:pPr>
        <w:rPr>
          <w:rFonts w:hint="eastAsia"/>
          <w:highlight w:val="none"/>
        </w:rPr>
      </w:pPr>
    </w:p>
    <w:p w14:paraId="5CF144A1">
      <w:pPr>
        <w:rPr>
          <w:rFonts w:hint="eastAsia"/>
          <w:highlight w:val="none"/>
        </w:rPr>
      </w:pPr>
    </w:p>
    <w:p w14:paraId="7EC9B5A6">
      <w:pPr>
        <w:rPr>
          <w:rFonts w:hint="eastAsia"/>
          <w:highlight w:val="none"/>
        </w:rPr>
      </w:pPr>
    </w:p>
    <w:p w14:paraId="64790062">
      <w:pPr>
        <w:rPr>
          <w:rFonts w:hint="eastAsia"/>
          <w:highlight w:val="none"/>
        </w:rPr>
      </w:pPr>
    </w:p>
    <w:p w14:paraId="79FFF33B">
      <w:pPr>
        <w:rPr>
          <w:rFonts w:hint="eastAsia"/>
          <w:highlight w:val="none"/>
        </w:rPr>
      </w:pPr>
    </w:p>
    <w:p w14:paraId="32804AFC">
      <w:pPr>
        <w:rPr>
          <w:rFonts w:hint="eastAsia"/>
          <w:highlight w:val="none"/>
        </w:rPr>
      </w:pPr>
    </w:p>
    <w:p w14:paraId="6BB8BB08">
      <w:pPr>
        <w:rPr>
          <w:rFonts w:hint="eastAsia"/>
          <w:highlight w:val="none"/>
        </w:rPr>
      </w:pPr>
    </w:p>
    <w:p w14:paraId="567F52C1">
      <w:pPr>
        <w:rPr>
          <w:rFonts w:hint="eastAsia"/>
          <w:highlight w:val="none"/>
        </w:rPr>
      </w:pPr>
    </w:p>
    <w:p w14:paraId="71693B9B">
      <w:pPr>
        <w:rPr>
          <w:rFonts w:hint="eastAsia"/>
          <w:highlight w:val="none"/>
        </w:rPr>
      </w:pPr>
    </w:p>
    <w:p w14:paraId="1867AE29">
      <w:pPr>
        <w:rPr>
          <w:rFonts w:hint="eastAsia"/>
          <w:highlight w:val="none"/>
        </w:rPr>
      </w:pPr>
    </w:p>
    <w:p w14:paraId="12321676">
      <w:pPr>
        <w:rPr>
          <w:rFonts w:hint="eastAsia"/>
          <w:highlight w:val="none"/>
        </w:rPr>
      </w:pPr>
    </w:p>
    <w:p w14:paraId="0253EEAD">
      <w:pPr>
        <w:rPr>
          <w:rFonts w:hint="eastAsia"/>
          <w:highlight w:val="none"/>
        </w:rPr>
      </w:pPr>
    </w:p>
    <w:p w14:paraId="02D6197A">
      <w:pPr>
        <w:rPr>
          <w:rFonts w:hint="eastAsia"/>
          <w:highlight w:val="none"/>
        </w:rPr>
      </w:pPr>
    </w:p>
    <w:p w14:paraId="3F319A38">
      <w:pPr>
        <w:rPr>
          <w:rFonts w:hint="eastAsia"/>
          <w:highlight w:val="none"/>
        </w:rPr>
      </w:pPr>
    </w:p>
    <w:p w14:paraId="0249464D">
      <w:pPr>
        <w:rPr>
          <w:rFonts w:hint="eastAsia"/>
          <w:highlight w:val="none"/>
        </w:rPr>
      </w:pPr>
    </w:p>
    <w:p w14:paraId="36C7927C">
      <w:pPr>
        <w:pStyle w:val="2"/>
        <w:jc w:val="center"/>
        <w:rPr>
          <w:rFonts w:hint="eastAsia"/>
          <w:highlight w:val="none"/>
        </w:rPr>
      </w:pPr>
      <w:bookmarkStart w:id="110" w:name="_Toc30724"/>
      <w:r>
        <w:rPr>
          <w:rFonts w:hint="eastAsia"/>
          <w:highlight w:val="none"/>
        </w:rPr>
        <w:t>第六章 响应文件格式</w:t>
      </w:r>
      <w:bookmarkEnd w:id="110"/>
    </w:p>
    <w:p w14:paraId="39BB3916">
      <w:pPr>
        <w:spacing w:line="240" w:lineRule="atLeast"/>
        <w:rPr>
          <w:rFonts w:hint="eastAsia" w:ascii="宋体" w:hAnsi="宋体"/>
          <w:b/>
          <w:sz w:val="32"/>
          <w:szCs w:val="32"/>
          <w:highlight w:val="none"/>
        </w:rPr>
      </w:pPr>
    </w:p>
    <w:p w14:paraId="0559C983">
      <w:pPr>
        <w:spacing w:line="240" w:lineRule="atLeast"/>
        <w:rPr>
          <w:rFonts w:hint="eastAsia" w:ascii="宋体" w:hAnsi="宋体"/>
          <w:b/>
          <w:sz w:val="32"/>
          <w:szCs w:val="32"/>
          <w:highlight w:val="none"/>
        </w:rPr>
      </w:pPr>
    </w:p>
    <w:p w14:paraId="23669E65">
      <w:pPr>
        <w:spacing w:line="240" w:lineRule="atLeast"/>
        <w:rPr>
          <w:rFonts w:hint="eastAsia" w:ascii="宋体" w:hAnsi="宋体"/>
          <w:b/>
          <w:sz w:val="32"/>
          <w:szCs w:val="32"/>
          <w:highlight w:val="none"/>
        </w:rPr>
      </w:pPr>
    </w:p>
    <w:p w14:paraId="08E421B5">
      <w:pPr>
        <w:spacing w:line="240" w:lineRule="atLeast"/>
        <w:rPr>
          <w:rFonts w:hint="eastAsia" w:ascii="宋体" w:hAnsi="宋体"/>
          <w:b/>
          <w:sz w:val="32"/>
          <w:szCs w:val="32"/>
          <w:highlight w:val="none"/>
        </w:rPr>
      </w:pPr>
    </w:p>
    <w:p w14:paraId="05EF4539">
      <w:pPr>
        <w:spacing w:line="240" w:lineRule="atLeast"/>
        <w:rPr>
          <w:rFonts w:hint="eastAsia" w:ascii="宋体" w:hAnsi="宋体"/>
          <w:b/>
          <w:sz w:val="32"/>
          <w:szCs w:val="32"/>
          <w:highlight w:val="none"/>
        </w:rPr>
      </w:pPr>
    </w:p>
    <w:p w14:paraId="7A24FFD8">
      <w:pPr>
        <w:spacing w:line="240" w:lineRule="atLeast"/>
        <w:rPr>
          <w:rFonts w:hint="eastAsia" w:ascii="宋体" w:hAnsi="宋体"/>
          <w:b/>
          <w:sz w:val="32"/>
          <w:szCs w:val="32"/>
          <w:highlight w:val="none"/>
        </w:rPr>
      </w:pPr>
    </w:p>
    <w:p w14:paraId="58F94D8A">
      <w:pPr>
        <w:spacing w:line="240" w:lineRule="atLeast"/>
        <w:rPr>
          <w:rFonts w:hint="eastAsia" w:ascii="宋体" w:hAnsi="宋体"/>
          <w:b/>
          <w:sz w:val="32"/>
          <w:szCs w:val="32"/>
          <w:highlight w:val="none"/>
        </w:rPr>
      </w:pPr>
    </w:p>
    <w:p w14:paraId="4C37F6D6">
      <w:pPr>
        <w:spacing w:line="240" w:lineRule="atLeast"/>
        <w:rPr>
          <w:rFonts w:hint="eastAsia" w:ascii="宋体" w:hAnsi="宋体"/>
          <w:b/>
          <w:sz w:val="32"/>
          <w:szCs w:val="32"/>
          <w:highlight w:val="none"/>
        </w:rPr>
      </w:pPr>
    </w:p>
    <w:p w14:paraId="24FFBE54">
      <w:pPr>
        <w:spacing w:line="240" w:lineRule="atLeast"/>
        <w:rPr>
          <w:rFonts w:hint="eastAsia" w:ascii="宋体" w:hAnsi="宋体"/>
          <w:b/>
          <w:sz w:val="32"/>
          <w:szCs w:val="32"/>
          <w:highlight w:val="none"/>
        </w:rPr>
      </w:pPr>
    </w:p>
    <w:p w14:paraId="5380DD12">
      <w:pPr>
        <w:spacing w:line="240" w:lineRule="atLeast"/>
        <w:rPr>
          <w:rFonts w:hint="eastAsia" w:ascii="宋体" w:hAnsi="宋体"/>
          <w:b/>
          <w:sz w:val="32"/>
          <w:szCs w:val="32"/>
          <w:highlight w:val="none"/>
        </w:rPr>
      </w:pPr>
    </w:p>
    <w:p w14:paraId="708E73E9">
      <w:pPr>
        <w:spacing w:line="240" w:lineRule="atLeast"/>
        <w:rPr>
          <w:rFonts w:hint="eastAsia" w:ascii="宋体" w:hAnsi="宋体"/>
          <w:b/>
          <w:sz w:val="32"/>
          <w:szCs w:val="32"/>
          <w:highlight w:val="none"/>
        </w:rPr>
      </w:pPr>
    </w:p>
    <w:p w14:paraId="32A67388">
      <w:pPr>
        <w:snapToGrid w:val="0"/>
        <w:spacing w:before="50" w:after="50"/>
        <w:outlineLvl w:val="1"/>
        <w:rPr>
          <w:rFonts w:hint="eastAsia" w:ascii="宋体" w:hAnsi="宋体"/>
          <w:b/>
          <w:bCs/>
          <w:sz w:val="24"/>
          <w:highlight w:val="none"/>
        </w:rPr>
      </w:pPr>
    </w:p>
    <w:p w14:paraId="21DD28AC">
      <w:pPr>
        <w:snapToGrid w:val="0"/>
        <w:spacing w:before="120" w:beforeLines="50" w:after="50"/>
        <w:jc w:val="center"/>
        <w:rPr>
          <w:rFonts w:hint="eastAsia" w:ascii="仿宋_GB2312" w:hAnsi="仿宋_GB2312" w:eastAsia="仿宋_GB2312" w:cs="仿宋_GB2312"/>
          <w:bCs/>
          <w:sz w:val="32"/>
          <w:szCs w:val="32"/>
          <w:highlight w:val="none"/>
        </w:rPr>
      </w:pPr>
    </w:p>
    <w:p w14:paraId="2B1A1F23">
      <w:pPr>
        <w:rPr>
          <w:rFonts w:hint="eastAsia"/>
          <w:b/>
          <w:sz w:val="32"/>
          <w:szCs w:val="32"/>
          <w:highlight w:val="none"/>
        </w:rPr>
      </w:pPr>
      <w:bookmarkStart w:id="111" w:name="_Toc35611438"/>
      <w:bookmarkStart w:id="112" w:name="_Toc31723070"/>
      <w:bookmarkStart w:id="113" w:name="_Toc71366186"/>
      <w:bookmarkStart w:id="114" w:name="_Toc44229899"/>
      <w:bookmarkStart w:id="115" w:name="_Toc35611516"/>
      <w:bookmarkStart w:id="116" w:name="_Toc31728084"/>
      <w:r>
        <w:rPr>
          <w:b/>
          <w:sz w:val="32"/>
          <w:szCs w:val="32"/>
          <w:highlight w:val="none"/>
        </w:rPr>
        <w:br w:type="page"/>
      </w:r>
      <w:r>
        <w:rPr>
          <w:rFonts w:hint="eastAsia"/>
          <w:b/>
          <w:sz w:val="32"/>
          <w:szCs w:val="32"/>
          <w:highlight w:val="none"/>
        </w:rPr>
        <w:t>一、资格证明文件格式</w:t>
      </w:r>
      <w:bookmarkEnd w:id="111"/>
      <w:bookmarkEnd w:id="112"/>
      <w:bookmarkEnd w:id="113"/>
      <w:bookmarkEnd w:id="114"/>
      <w:bookmarkEnd w:id="115"/>
      <w:bookmarkEnd w:id="116"/>
    </w:p>
    <w:p w14:paraId="53779062">
      <w:pPr>
        <w:snapToGrid w:val="0"/>
        <w:spacing w:before="120" w:beforeLines="50" w:after="50" w:line="360" w:lineRule="auto"/>
        <w:jc w:val="left"/>
        <w:rPr>
          <w:rFonts w:hint="eastAsia" w:ascii="宋体" w:hAnsi="宋体"/>
          <w:b/>
          <w:sz w:val="24"/>
          <w:highlight w:val="none"/>
        </w:rPr>
      </w:pPr>
      <w:r>
        <w:rPr>
          <w:rFonts w:hint="eastAsia" w:ascii="宋体" w:hAnsi="宋体"/>
          <w:b/>
          <w:sz w:val="32"/>
          <w:szCs w:val="32"/>
          <w:highlight w:val="none"/>
        </w:rPr>
        <w:t>1.资格证明文件封面格式：</w:t>
      </w:r>
      <w:r>
        <w:rPr>
          <w:rFonts w:hint="eastAsia" w:ascii="宋体" w:hAnsi="宋体"/>
          <w:b/>
          <w:sz w:val="24"/>
          <w:highlight w:val="none"/>
        </w:rPr>
        <w:t xml:space="preserve"> </w:t>
      </w:r>
    </w:p>
    <w:p w14:paraId="658B973D">
      <w:pPr>
        <w:snapToGrid w:val="0"/>
        <w:spacing w:before="120" w:beforeLines="50" w:after="50"/>
        <w:jc w:val="center"/>
        <w:rPr>
          <w:rFonts w:ascii="宋体" w:hAnsi="宋体"/>
          <w:sz w:val="44"/>
          <w:szCs w:val="44"/>
          <w:highlight w:val="none"/>
        </w:rPr>
      </w:pPr>
    </w:p>
    <w:p w14:paraId="6B91723B">
      <w:pPr>
        <w:snapToGrid w:val="0"/>
        <w:spacing w:before="120" w:beforeLines="50" w:after="50"/>
        <w:jc w:val="center"/>
        <w:rPr>
          <w:rFonts w:ascii="宋体" w:hAnsi="宋体"/>
          <w:sz w:val="44"/>
          <w:szCs w:val="44"/>
          <w:highlight w:val="none"/>
        </w:rPr>
      </w:pPr>
      <w:r>
        <w:rPr>
          <w:rFonts w:hint="eastAsia" w:ascii="宋体" w:hAnsi="宋体"/>
          <w:sz w:val="44"/>
          <w:szCs w:val="44"/>
          <w:highlight w:val="none"/>
        </w:rPr>
        <w:t>电 子 响 应 文 件</w:t>
      </w:r>
    </w:p>
    <w:p w14:paraId="20A2C351">
      <w:pPr>
        <w:snapToGrid w:val="0"/>
        <w:spacing w:before="120" w:beforeLines="50" w:after="50"/>
        <w:rPr>
          <w:rFonts w:hint="eastAsia" w:ascii="宋体" w:hAnsi="宋体"/>
          <w:sz w:val="24"/>
          <w:szCs w:val="20"/>
          <w:highlight w:val="none"/>
        </w:rPr>
      </w:pPr>
    </w:p>
    <w:p w14:paraId="2C51E37A">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资  格  证  明  文  件</w:t>
      </w:r>
    </w:p>
    <w:p w14:paraId="393837AC">
      <w:pPr>
        <w:snapToGrid w:val="0"/>
        <w:spacing w:before="120" w:beforeLines="50" w:after="50"/>
        <w:rPr>
          <w:rFonts w:hint="eastAsia" w:ascii="宋体" w:hAnsi="宋体"/>
          <w:bCs/>
          <w:sz w:val="24"/>
          <w:szCs w:val="20"/>
          <w:highlight w:val="none"/>
        </w:rPr>
      </w:pPr>
    </w:p>
    <w:p w14:paraId="306EB7D5">
      <w:pPr>
        <w:snapToGrid w:val="0"/>
        <w:spacing w:before="120" w:beforeLines="50" w:after="50"/>
        <w:rPr>
          <w:rFonts w:hint="eastAsia" w:ascii="宋体" w:hAnsi="宋体"/>
          <w:bCs/>
          <w:sz w:val="24"/>
          <w:szCs w:val="20"/>
          <w:highlight w:val="none"/>
        </w:rPr>
      </w:pPr>
    </w:p>
    <w:p w14:paraId="1D903226">
      <w:pPr>
        <w:snapToGrid w:val="0"/>
        <w:spacing w:before="120" w:beforeLines="50" w:after="50"/>
        <w:rPr>
          <w:rFonts w:hint="eastAsia" w:ascii="宋体" w:hAnsi="宋体"/>
          <w:bCs/>
          <w:sz w:val="24"/>
          <w:szCs w:val="20"/>
          <w:highlight w:val="none"/>
        </w:rPr>
      </w:pPr>
    </w:p>
    <w:p w14:paraId="6B04EA22">
      <w:pPr>
        <w:snapToGrid w:val="0"/>
        <w:spacing w:before="120" w:beforeLines="50" w:after="50"/>
        <w:rPr>
          <w:rFonts w:hint="eastAsia" w:ascii="宋体" w:hAnsi="宋体"/>
          <w:bCs/>
          <w:sz w:val="24"/>
          <w:szCs w:val="20"/>
          <w:highlight w:val="none"/>
        </w:rPr>
      </w:pPr>
    </w:p>
    <w:p w14:paraId="76996483">
      <w:pPr>
        <w:snapToGrid w:val="0"/>
        <w:spacing w:before="120" w:beforeLines="50" w:after="50"/>
        <w:rPr>
          <w:rFonts w:hint="eastAsia" w:ascii="宋体" w:hAnsi="宋体"/>
          <w:bCs/>
          <w:sz w:val="24"/>
          <w:szCs w:val="20"/>
          <w:highlight w:val="none"/>
        </w:rPr>
      </w:pPr>
    </w:p>
    <w:p w14:paraId="36281E16">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p>
    <w:p w14:paraId="188A949E">
      <w:pPr>
        <w:snapToGrid w:val="0"/>
        <w:spacing w:before="120" w:beforeLines="50" w:after="50"/>
        <w:ind w:firstLine="720" w:firstLineChars="225"/>
        <w:rPr>
          <w:rFonts w:hint="eastAsia" w:ascii="宋体" w:hAnsi="宋体" w:cs="仿宋_GB2312"/>
          <w:bCs/>
          <w:sz w:val="32"/>
          <w:szCs w:val="32"/>
          <w:highlight w:val="none"/>
        </w:rPr>
      </w:pPr>
    </w:p>
    <w:p w14:paraId="791253A9">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项目编号：</w:t>
      </w:r>
    </w:p>
    <w:p w14:paraId="7FD1A755">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 xml:space="preserve"> </w:t>
      </w:r>
    </w:p>
    <w:p w14:paraId="0AB71E16">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08D7DE4C">
      <w:pPr>
        <w:snapToGrid w:val="0"/>
        <w:spacing w:before="120" w:beforeLines="50" w:after="50"/>
        <w:ind w:firstLine="720" w:firstLineChars="225"/>
        <w:rPr>
          <w:rFonts w:hint="eastAsia" w:ascii="宋体" w:hAnsi="宋体" w:cs="仿宋_GB2312"/>
          <w:bCs/>
          <w:sz w:val="32"/>
          <w:szCs w:val="32"/>
          <w:highlight w:val="none"/>
        </w:rPr>
      </w:pPr>
    </w:p>
    <w:p w14:paraId="1CF10D1A">
      <w:pPr>
        <w:pStyle w:val="7"/>
        <w:snapToGrid w:val="0"/>
        <w:spacing w:before="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37E69E0D">
      <w:pPr>
        <w:snapToGrid w:val="0"/>
        <w:spacing w:before="120" w:beforeLines="50" w:after="50"/>
        <w:ind w:firstLine="640" w:firstLineChars="200"/>
        <w:rPr>
          <w:rFonts w:hint="eastAsia" w:ascii="宋体" w:hAnsi="宋体" w:cs="仿宋_GB2312"/>
          <w:bCs/>
          <w:sz w:val="32"/>
          <w:szCs w:val="32"/>
          <w:highlight w:val="none"/>
        </w:rPr>
      </w:pPr>
    </w:p>
    <w:p w14:paraId="60791357">
      <w:pPr>
        <w:pStyle w:val="7"/>
        <w:snapToGrid w:val="0"/>
        <w:spacing w:before="50" w:after="50"/>
        <w:ind w:firstLine="720" w:firstLineChars="225"/>
        <w:rPr>
          <w:rFonts w:hint="eastAsia" w:ascii="宋体" w:hAnsi="宋体" w:cs="仿宋_GB2312"/>
          <w:bCs/>
          <w:sz w:val="32"/>
          <w:szCs w:val="32"/>
          <w:highlight w:val="none"/>
        </w:rPr>
      </w:pPr>
    </w:p>
    <w:p w14:paraId="0C0CF5BD">
      <w:pPr>
        <w:pStyle w:val="7"/>
        <w:snapToGrid w:val="0"/>
        <w:spacing w:before="50" w:after="50"/>
        <w:ind w:firstLine="720" w:firstLineChars="225"/>
        <w:rPr>
          <w:rFonts w:hint="eastAsia" w:ascii="宋体" w:hAnsi="宋体" w:cs="仿宋_GB2312"/>
          <w:bCs/>
          <w:sz w:val="32"/>
          <w:szCs w:val="32"/>
          <w:highlight w:val="none"/>
        </w:rPr>
      </w:pPr>
    </w:p>
    <w:p w14:paraId="5C9B75BB">
      <w:pPr>
        <w:pStyle w:val="7"/>
        <w:snapToGrid w:val="0"/>
        <w:spacing w:before="50" w:after="50"/>
        <w:ind w:firstLine="1280" w:firstLineChars="400"/>
        <w:rPr>
          <w:rFonts w:hint="eastAsia" w:ascii="宋体" w:hAnsi="宋体" w:cs="仿宋_GB2312"/>
          <w:bCs/>
          <w:sz w:val="32"/>
          <w:szCs w:val="32"/>
          <w:highlight w:val="none"/>
        </w:rPr>
      </w:pPr>
    </w:p>
    <w:p w14:paraId="544A27E5">
      <w:pPr>
        <w:snapToGrid w:val="0"/>
        <w:spacing w:before="120"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02DB8802">
      <w:pPr>
        <w:snapToGrid w:val="0"/>
        <w:spacing w:before="120" w:beforeLines="50" w:after="50" w:line="360" w:lineRule="auto"/>
        <w:ind w:left="142"/>
        <w:jc w:val="left"/>
        <w:rPr>
          <w:rFonts w:hint="eastAsia" w:ascii="宋体" w:hAnsi="宋体"/>
          <w:b/>
          <w:bCs/>
          <w:sz w:val="32"/>
          <w:szCs w:val="32"/>
          <w:highlight w:val="none"/>
        </w:rPr>
      </w:pPr>
      <w:r>
        <w:rPr>
          <w:rFonts w:ascii="宋体" w:hAnsi="宋体"/>
          <w:sz w:val="24"/>
          <w:highlight w:val="none"/>
        </w:rPr>
        <w:br w:type="page"/>
      </w:r>
      <w:r>
        <w:rPr>
          <w:rFonts w:hint="eastAsia" w:ascii="宋体" w:hAnsi="宋体"/>
          <w:b/>
          <w:bCs/>
          <w:sz w:val="32"/>
          <w:szCs w:val="32"/>
          <w:highlight w:val="none"/>
        </w:rPr>
        <w:t>2.资格证明文件目录</w:t>
      </w:r>
    </w:p>
    <w:p w14:paraId="3319B410">
      <w:pPr>
        <w:snapToGrid w:val="0"/>
        <w:spacing w:before="120" w:beforeLines="50" w:after="50" w:line="360" w:lineRule="auto"/>
        <w:ind w:firstLine="645"/>
        <w:rPr>
          <w:rFonts w:ascii="宋体" w:hAnsi="宋体"/>
          <w:sz w:val="32"/>
          <w:szCs w:val="32"/>
          <w:highlight w:val="none"/>
        </w:rPr>
      </w:pPr>
      <w:r>
        <w:rPr>
          <w:rFonts w:hint="eastAsia" w:ascii="宋体" w:hAnsi="宋体"/>
          <w:sz w:val="32"/>
          <w:szCs w:val="32"/>
          <w:highlight w:val="none"/>
        </w:rPr>
        <w:t>根据磋商文件规定及供应商提供的材料自行编写目录（部分格式后附）。</w:t>
      </w:r>
    </w:p>
    <w:p w14:paraId="1791EADF">
      <w:pPr>
        <w:snapToGrid w:val="0"/>
        <w:spacing w:before="120" w:beforeLines="50" w:after="50"/>
        <w:rPr>
          <w:rFonts w:ascii="宋体" w:hAnsi="宋体"/>
          <w:sz w:val="24"/>
          <w:szCs w:val="20"/>
          <w:highlight w:val="none"/>
        </w:rPr>
      </w:pPr>
      <w:r>
        <w:rPr>
          <w:rFonts w:ascii="宋体" w:hAnsi="宋体"/>
          <w:sz w:val="24"/>
          <w:szCs w:val="20"/>
          <w:highlight w:val="none"/>
        </w:rPr>
        <w:t xml:space="preserve"> </w:t>
      </w:r>
    </w:p>
    <w:p w14:paraId="212571C1">
      <w:pPr>
        <w:spacing w:line="300" w:lineRule="auto"/>
        <w:rPr>
          <w:rFonts w:hint="eastAsia" w:ascii="宋体" w:hAnsi="宋体"/>
          <w:szCs w:val="21"/>
          <w:highlight w:val="none"/>
        </w:rPr>
      </w:pPr>
    </w:p>
    <w:p w14:paraId="01734964">
      <w:pPr>
        <w:spacing w:line="300" w:lineRule="auto"/>
        <w:rPr>
          <w:rFonts w:hint="eastAsia" w:ascii="宋体" w:hAnsi="宋体"/>
          <w:szCs w:val="21"/>
          <w:highlight w:val="none"/>
        </w:rPr>
      </w:pPr>
    </w:p>
    <w:p w14:paraId="508D243F">
      <w:pPr>
        <w:spacing w:line="300" w:lineRule="auto"/>
        <w:rPr>
          <w:rFonts w:hint="eastAsia" w:ascii="宋体" w:hAnsi="宋体"/>
          <w:szCs w:val="21"/>
          <w:highlight w:val="none"/>
        </w:rPr>
      </w:pPr>
    </w:p>
    <w:p w14:paraId="302F8A23">
      <w:pPr>
        <w:spacing w:line="300" w:lineRule="auto"/>
        <w:rPr>
          <w:rFonts w:hint="eastAsia" w:ascii="宋体" w:hAnsi="宋体"/>
          <w:szCs w:val="21"/>
          <w:highlight w:val="none"/>
        </w:rPr>
      </w:pPr>
    </w:p>
    <w:p w14:paraId="0936A446">
      <w:pPr>
        <w:spacing w:line="300" w:lineRule="auto"/>
        <w:rPr>
          <w:rFonts w:hint="eastAsia" w:ascii="宋体" w:hAnsi="宋体"/>
          <w:szCs w:val="21"/>
          <w:highlight w:val="none"/>
        </w:rPr>
      </w:pPr>
    </w:p>
    <w:p w14:paraId="7F84033B">
      <w:pPr>
        <w:spacing w:line="300" w:lineRule="auto"/>
        <w:rPr>
          <w:rFonts w:hint="eastAsia" w:ascii="宋体" w:hAnsi="宋体"/>
          <w:szCs w:val="21"/>
          <w:highlight w:val="none"/>
        </w:rPr>
      </w:pPr>
    </w:p>
    <w:p w14:paraId="68AA2B5C">
      <w:pPr>
        <w:spacing w:line="300" w:lineRule="auto"/>
        <w:rPr>
          <w:rFonts w:hint="eastAsia" w:ascii="宋体" w:hAnsi="宋体"/>
          <w:szCs w:val="21"/>
          <w:highlight w:val="none"/>
        </w:rPr>
      </w:pPr>
    </w:p>
    <w:p w14:paraId="539C6422">
      <w:pPr>
        <w:spacing w:line="300" w:lineRule="auto"/>
        <w:rPr>
          <w:rFonts w:hint="eastAsia" w:ascii="宋体" w:hAnsi="宋体"/>
          <w:szCs w:val="21"/>
          <w:highlight w:val="none"/>
        </w:rPr>
      </w:pPr>
    </w:p>
    <w:p w14:paraId="1B2B0F8A">
      <w:pPr>
        <w:spacing w:line="300" w:lineRule="auto"/>
        <w:rPr>
          <w:rFonts w:hint="eastAsia" w:ascii="宋体" w:hAnsi="宋体"/>
          <w:szCs w:val="21"/>
          <w:highlight w:val="none"/>
        </w:rPr>
      </w:pPr>
    </w:p>
    <w:p w14:paraId="5C826D5F">
      <w:pPr>
        <w:spacing w:line="300" w:lineRule="auto"/>
        <w:rPr>
          <w:rFonts w:hint="eastAsia" w:ascii="宋体" w:hAnsi="宋体"/>
          <w:szCs w:val="21"/>
          <w:highlight w:val="none"/>
        </w:rPr>
      </w:pPr>
    </w:p>
    <w:p w14:paraId="5C90348D">
      <w:pPr>
        <w:spacing w:line="300" w:lineRule="auto"/>
        <w:rPr>
          <w:rFonts w:hint="eastAsia" w:ascii="宋体" w:hAnsi="宋体"/>
          <w:szCs w:val="21"/>
          <w:highlight w:val="none"/>
        </w:rPr>
      </w:pPr>
    </w:p>
    <w:p w14:paraId="6D81C6B2">
      <w:pPr>
        <w:spacing w:line="300" w:lineRule="auto"/>
        <w:rPr>
          <w:rFonts w:hint="eastAsia" w:ascii="宋体" w:hAnsi="宋体"/>
          <w:szCs w:val="21"/>
          <w:highlight w:val="none"/>
        </w:rPr>
      </w:pPr>
    </w:p>
    <w:p w14:paraId="58EF17CD">
      <w:pPr>
        <w:spacing w:line="300" w:lineRule="auto"/>
        <w:rPr>
          <w:rFonts w:hint="eastAsia" w:ascii="宋体" w:hAnsi="宋体"/>
          <w:szCs w:val="21"/>
          <w:highlight w:val="none"/>
        </w:rPr>
      </w:pPr>
    </w:p>
    <w:p w14:paraId="4E2D10B5">
      <w:pPr>
        <w:spacing w:line="300" w:lineRule="auto"/>
        <w:rPr>
          <w:rFonts w:hint="eastAsia" w:ascii="宋体" w:hAnsi="宋体"/>
          <w:szCs w:val="21"/>
          <w:highlight w:val="none"/>
        </w:rPr>
      </w:pPr>
    </w:p>
    <w:p w14:paraId="7A39F275">
      <w:pPr>
        <w:spacing w:line="300" w:lineRule="auto"/>
        <w:rPr>
          <w:rFonts w:hint="eastAsia" w:ascii="宋体" w:hAnsi="宋体"/>
          <w:szCs w:val="21"/>
          <w:highlight w:val="none"/>
        </w:rPr>
      </w:pPr>
    </w:p>
    <w:p w14:paraId="0FD2BB7A">
      <w:pPr>
        <w:spacing w:line="320" w:lineRule="exact"/>
        <w:jc w:val="left"/>
        <w:rPr>
          <w:rFonts w:hint="eastAsia" w:ascii="宋体" w:hAnsi="宋体"/>
          <w:szCs w:val="21"/>
          <w:highlight w:val="none"/>
        </w:rPr>
      </w:pPr>
      <w:r>
        <w:rPr>
          <w:rFonts w:ascii="宋体" w:hAnsi="宋体"/>
          <w:szCs w:val="21"/>
          <w:highlight w:val="none"/>
        </w:rPr>
        <w:br w:type="page"/>
      </w:r>
      <w:r>
        <w:rPr>
          <w:rFonts w:hint="eastAsia" w:ascii="宋体" w:hAnsi="宋体"/>
          <w:szCs w:val="21"/>
          <w:highlight w:val="none"/>
        </w:rPr>
        <w:t xml:space="preserve"> </w:t>
      </w:r>
    </w:p>
    <w:p w14:paraId="3539D6C8">
      <w:pPr>
        <w:wordWrap w:val="0"/>
        <w:spacing w:before="120" w:beforeLines="50" w:after="50" w:line="320" w:lineRule="exact"/>
        <w:ind w:right="482" w:firstLine="210" w:firstLineChars="100"/>
        <w:contextualSpacing/>
        <w:jc w:val="center"/>
        <w:rPr>
          <w:rFonts w:hint="eastAsia" w:ascii="宋体" w:hAnsi="宋体"/>
          <w:szCs w:val="21"/>
          <w:highlight w:val="none"/>
        </w:rPr>
      </w:pPr>
    </w:p>
    <w:p w14:paraId="140C2EB9">
      <w:pPr>
        <w:spacing w:line="320" w:lineRule="exact"/>
        <w:jc w:val="center"/>
        <w:rPr>
          <w:rFonts w:hint="eastAsia" w:ascii="宋体" w:hAnsi="宋体"/>
          <w:b/>
          <w:sz w:val="32"/>
          <w:szCs w:val="32"/>
          <w:highlight w:val="none"/>
        </w:rPr>
      </w:pPr>
      <w:r>
        <w:rPr>
          <w:rFonts w:hint="eastAsia" w:ascii="宋体" w:hAnsi="宋体"/>
          <w:b/>
          <w:sz w:val="32"/>
          <w:szCs w:val="32"/>
          <w:highlight w:val="none"/>
        </w:rPr>
        <w:t>供应商直接控股、管理关系信息表</w:t>
      </w:r>
    </w:p>
    <w:p w14:paraId="4C5E9F3A">
      <w:pPr>
        <w:snapToGrid w:val="0"/>
        <w:spacing w:before="120" w:beforeLines="50" w:after="50" w:line="360" w:lineRule="auto"/>
        <w:jc w:val="center"/>
        <w:rPr>
          <w:rFonts w:hint="eastAsia" w:ascii="宋体" w:hAnsi="宋体"/>
          <w:b/>
          <w:sz w:val="24"/>
          <w:highlight w:val="none"/>
        </w:rPr>
      </w:pPr>
    </w:p>
    <w:p w14:paraId="0AABC74D">
      <w:pPr>
        <w:spacing w:line="360" w:lineRule="auto"/>
        <w:contextualSpacing/>
        <w:jc w:val="center"/>
        <w:rPr>
          <w:rFonts w:hint="eastAsia" w:ascii="宋体" w:hAnsi="宋体"/>
          <w:b/>
          <w:sz w:val="32"/>
          <w:szCs w:val="32"/>
          <w:highlight w:val="none"/>
        </w:rPr>
      </w:pPr>
      <w:r>
        <w:rPr>
          <w:rFonts w:hint="eastAsia" w:ascii="宋体" w:hAnsi="宋体"/>
          <w:b/>
          <w:sz w:val="32"/>
          <w:szCs w:val="32"/>
          <w:highlight w:val="none"/>
        </w:rPr>
        <w:t>供应商直接控股股东信息表</w:t>
      </w:r>
    </w:p>
    <w:p w14:paraId="6C1E13D1">
      <w:pPr>
        <w:spacing w:line="360" w:lineRule="auto"/>
        <w:contextualSpacing/>
        <w:jc w:val="center"/>
        <w:rPr>
          <w:rFonts w:hint="eastAsia" w:ascii="宋体" w:hAnsi="宋体"/>
          <w:b/>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6AEFB6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58F6DF">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F0BCAC">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6B1530">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9994A4">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87068E">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427E667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389FB1">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8BD840">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529769">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B00F53">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FC97">
            <w:pPr>
              <w:widowControl/>
              <w:spacing w:line="360" w:lineRule="auto"/>
              <w:contextualSpacing/>
              <w:jc w:val="center"/>
              <w:rPr>
                <w:rFonts w:hint="eastAsia" w:ascii="宋体" w:hAnsi="宋体" w:cs="宋体"/>
                <w:kern w:val="0"/>
                <w:sz w:val="24"/>
                <w:highlight w:val="none"/>
              </w:rPr>
            </w:pPr>
          </w:p>
        </w:tc>
      </w:tr>
      <w:tr w14:paraId="1BD73F2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20D6E8">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235C66">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91294D">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29CEFB">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706DB5">
            <w:pPr>
              <w:widowControl/>
              <w:spacing w:line="360" w:lineRule="auto"/>
              <w:contextualSpacing/>
              <w:jc w:val="center"/>
              <w:rPr>
                <w:rFonts w:hint="eastAsia" w:ascii="宋体" w:hAnsi="宋体" w:cs="宋体"/>
                <w:kern w:val="0"/>
                <w:sz w:val="24"/>
                <w:highlight w:val="none"/>
              </w:rPr>
            </w:pPr>
          </w:p>
        </w:tc>
      </w:tr>
      <w:tr w14:paraId="2EDA52B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420521">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81C625">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04D3DD">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633CC5">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8CFCBA">
            <w:pPr>
              <w:widowControl/>
              <w:spacing w:line="360" w:lineRule="auto"/>
              <w:contextualSpacing/>
              <w:jc w:val="center"/>
              <w:rPr>
                <w:rFonts w:hint="eastAsia" w:ascii="宋体" w:hAnsi="宋体" w:cs="宋体"/>
                <w:kern w:val="0"/>
                <w:sz w:val="24"/>
                <w:highlight w:val="none"/>
              </w:rPr>
            </w:pPr>
          </w:p>
        </w:tc>
      </w:tr>
      <w:tr w14:paraId="0CF0971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0B9BF5">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D1F4E1">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655FC2">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EE944F">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1E8572">
            <w:pPr>
              <w:widowControl/>
              <w:spacing w:line="360" w:lineRule="auto"/>
              <w:contextualSpacing/>
              <w:jc w:val="center"/>
              <w:rPr>
                <w:rFonts w:hint="eastAsia" w:ascii="宋体" w:hAnsi="宋体" w:cs="宋体"/>
                <w:kern w:val="0"/>
                <w:sz w:val="24"/>
                <w:highlight w:val="none"/>
              </w:rPr>
            </w:pPr>
          </w:p>
        </w:tc>
      </w:tr>
    </w:tbl>
    <w:p w14:paraId="09DF048B">
      <w:pPr>
        <w:spacing w:line="360" w:lineRule="auto"/>
        <w:contextualSpacing/>
        <w:jc w:val="left"/>
        <w:rPr>
          <w:rFonts w:hint="eastAsia" w:ascii="宋体" w:hAnsi="宋体" w:cs="宋体"/>
          <w:sz w:val="24"/>
          <w:highlight w:val="none"/>
        </w:rPr>
      </w:pPr>
      <w:r>
        <w:rPr>
          <w:rFonts w:hint="eastAsia" w:ascii="宋体" w:hAnsi="宋体" w:cs="宋体"/>
          <w:sz w:val="24"/>
          <w:highlight w:val="none"/>
        </w:rPr>
        <w:t>注：</w:t>
      </w:r>
    </w:p>
    <w:p w14:paraId="5D34AD76">
      <w:pPr>
        <w:spacing w:line="360" w:lineRule="auto"/>
        <w:ind w:firstLine="480" w:firstLineChars="200"/>
        <w:contextualSpacing/>
        <w:jc w:val="left"/>
        <w:rPr>
          <w:rFonts w:hint="eastAsia" w:ascii="宋体" w:hAnsi="宋体" w:cs="宋体"/>
          <w:sz w:val="24"/>
          <w:highlight w:val="none"/>
        </w:rPr>
      </w:pPr>
      <w:r>
        <w:rPr>
          <w:rFonts w:hint="eastAsia" w:ascii="宋体" w:hAnsi="宋体" w:cs="宋体"/>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C550300">
      <w:pPr>
        <w:spacing w:line="360" w:lineRule="auto"/>
        <w:ind w:firstLine="480" w:firstLineChars="200"/>
        <w:contextualSpacing/>
        <w:jc w:val="left"/>
        <w:rPr>
          <w:rFonts w:hint="eastAsia" w:ascii="宋体" w:hAnsi="宋体" w:cs="宋体"/>
          <w:sz w:val="24"/>
          <w:highlight w:val="none"/>
        </w:rPr>
      </w:pPr>
      <w:r>
        <w:rPr>
          <w:rFonts w:hint="eastAsia" w:ascii="宋体" w:hAnsi="宋体" w:cs="宋体"/>
          <w:sz w:val="24"/>
          <w:highlight w:val="none"/>
        </w:rPr>
        <w:t>2.本表所指的控股关系仅限于直接控股关系，不包括间接的控股关系。公司实际控制人与公司之间的关系不属于本表所指的直接控股关系。</w:t>
      </w:r>
    </w:p>
    <w:p w14:paraId="21549F0A">
      <w:pPr>
        <w:spacing w:line="360" w:lineRule="auto"/>
        <w:ind w:firstLine="480" w:firstLineChars="200"/>
        <w:contextualSpacing/>
        <w:jc w:val="left"/>
        <w:rPr>
          <w:rFonts w:ascii="宋体" w:hAnsi="宋体" w:cs="宋体"/>
          <w:sz w:val="24"/>
          <w:highlight w:val="none"/>
        </w:rPr>
      </w:pPr>
      <w:r>
        <w:rPr>
          <w:rFonts w:hint="eastAsia" w:ascii="宋体" w:hAnsi="宋体" w:cs="宋体"/>
          <w:sz w:val="24"/>
          <w:highlight w:val="none"/>
        </w:rPr>
        <w:t>3.供应商不存在直接控股股东的，</w:t>
      </w:r>
      <w:r>
        <w:rPr>
          <w:rFonts w:hint="eastAsia" w:ascii="宋体" w:hAnsi="宋体"/>
          <w:sz w:val="24"/>
          <w:highlight w:val="none"/>
        </w:rPr>
        <w:t>则在“直接控股股东名称”填“无”</w:t>
      </w:r>
      <w:r>
        <w:rPr>
          <w:rFonts w:hint="eastAsia" w:ascii="宋体" w:hAnsi="宋体" w:cs="宋体"/>
          <w:sz w:val="24"/>
          <w:highlight w:val="none"/>
        </w:rPr>
        <w:t>。</w:t>
      </w:r>
    </w:p>
    <w:p w14:paraId="6532B884">
      <w:pPr>
        <w:spacing w:line="360" w:lineRule="auto"/>
        <w:ind w:firstLine="420" w:firstLineChars="200"/>
        <w:contextualSpacing/>
        <w:jc w:val="left"/>
        <w:rPr>
          <w:rFonts w:ascii="宋体" w:hAnsi="宋体" w:cs="宋体"/>
          <w:szCs w:val="21"/>
          <w:highlight w:val="none"/>
        </w:rPr>
      </w:pPr>
    </w:p>
    <w:p w14:paraId="5D018805">
      <w:pPr>
        <w:spacing w:line="360" w:lineRule="auto"/>
        <w:ind w:firstLine="560" w:firstLineChars="200"/>
        <w:contextualSpacing/>
        <w:jc w:val="left"/>
        <w:rPr>
          <w:rFonts w:hint="eastAsia" w:ascii="宋体" w:hAnsi="宋体" w:cs="宋体"/>
          <w:sz w:val="28"/>
          <w:szCs w:val="28"/>
          <w:highlight w:val="none"/>
        </w:rPr>
      </w:pPr>
    </w:p>
    <w:p w14:paraId="70E6E95B">
      <w:pPr>
        <w:spacing w:line="360" w:lineRule="auto"/>
        <w:ind w:right="480"/>
        <w:contextualSpacing/>
        <w:jc w:val="center"/>
        <w:rPr>
          <w:rFonts w:hint="eastAsia" w:ascii="宋体" w:hAnsi="宋体" w:cs="宋体"/>
          <w:sz w:val="24"/>
          <w:highlight w:val="none"/>
          <w:u w:val="single"/>
        </w:rPr>
      </w:pPr>
      <w:r>
        <w:rPr>
          <w:rFonts w:hint="eastAsia" w:ascii="宋体" w:hAnsi="宋体" w:cs="宋体"/>
          <w:sz w:val="24"/>
          <w:highlight w:val="none"/>
        </w:rPr>
        <w:t xml:space="preserve"> </w:t>
      </w:r>
      <w:r>
        <w:rPr>
          <w:rFonts w:ascii="宋体" w:hAnsi="宋体" w:cs="宋体"/>
          <w:sz w:val="24"/>
          <w:highlight w:val="none"/>
        </w:rPr>
        <w:t xml:space="preserve">       </w:t>
      </w:r>
      <w:r>
        <w:rPr>
          <w:rFonts w:hint="eastAsia" w:ascii="宋体" w:hAnsi="宋体" w:cs="宋体"/>
          <w:sz w:val="24"/>
          <w:highlight w:val="none"/>
        </w:rPr>
        <w:t>法定代表人或者委托代理人</w:t>
      </w:r>
      <w:r>
        <w:rPr>
          <w:rFonts w:hint="eastAsia" w:ascii="宋体" w:hAnsi="宋体"/>
          <w:sz w:val="24"/>
          <w:highlight w:val="none"/>
        </w:rPr>
        <w:t>（签字或者电子签名）</w:t>
      </w:r>
      <w:r>
        <w:rPr>
          <w:rFonts w:hint="eastAsia" w:ascii="宋体" w:hAnsi="宋体" w:cs="宋体"/>
          <w:sz w:val="24"/>
          <w:highlight w:val="none"/>
        </w:rPr>
        <w:t>：</w:t>
      </w:r>
      <w:r>
        <w:rPr>
          <w:rFonts w:hint="eastAsia" w:ascii="宋体" w:hAnsi="宋体" w:cs="宋体"/>
          <w:sz w:val="24"/>
          <w:highlight w:val="none"/>
          <w:u w:val="single"/>
        </w:rPr>
        <w:t xml:space="preserve"> </w:t>
      </w:r>
      <w:r>
        <w:rPr>
          <w:rFonts w:ascii="宋体" w:hAnsi="宋体" w:cs="宋体"/>
          <w:sz w:val="24"/>
          <w:highlight w:val="none"/>
          <w:u w:val="single"/>
        </w:rPr>
        <w:t xml:space="preserve">                   </w:t>
      </w:r>
    </w:p>
    <w:p w14:paraId="432E1262">
      <w:pPr>
        <w:spacing w:line="360" w:lineRule="auto"/>
        <w:ind w:right="480" w:firstLine="3000" w:firstLineChars="1250"/>
        <w:contextualSpacing/>
        <w:rPr>
          <w:rFonts w:hint="eastAsia" w:ascii="宋体" w:hAnsi="宋体" w:cs="宋体"/>
          <w:sz w:val="24"/>
          <w:highlight w:val="none"/>
          <w:u w:val="single"/>
        </w:rPr>
      </w:pPr>
      <w:r>
        <w:rPr>
          <w:rFonts w:hint="eastAsia" w:ascii="宋体" w:hAnsi="宋体" w:cs="宋体"/>
          <w:sz w:val="24"/>
          <w:highlight w:val="none"/>
        </w:rPr>
        <w:t>供应商</w:t>
      </w:r>
      <w:r>
        <w:rPr>
          <w:rFonts w:hint="eastAsia" w:ascii="宋体" w:hAnsi="宋体"/>
          <w:sz w:val="24"/>
          <w:highlight w:val="none"/>
        </w:rPr>
        <w:t>（电子签章）</w:t>
      </w:r>
      <w:r>
        <w:rPr>
          <w:rFonts w:hint="eastAsia" w:ascii="宋体" w:hAnsi="宋体" w:cs="宋体"/>
          <w:sz w:val="24"/>
          <w:highlight w:val="none"/>
        </w:rPr>
        <w:t xml:space="preserve">： </w:t>
      </w:r>
      <w:r>
        <w:rPr>
          <w:rFonts w:hint="eastAsia" w:ascii="宋体" w:hAnsi="宋体" w:cs="宋体"/>
          <w:sz w:val="24"/>
          <w:highlight w:val="none"/>
          <w:u w:val="single"/>
        </w:rPr>
        <w:t xml:space="preserve">                              </w:t>
      </w:r>
    </w:p>
    <w:p w14:paraId="6F064196">
      <w:pPr>
        <w:spacing w:line="360" w:lineRule="auto"/>
        <w:ind w:firstLine="480" w:firstLineChars="200"/>
        <w:contextualSpacing/>
        <w:jc w:val="right"/>
        <w:rPr>
          <w:rFonts w:hint="eastAsia" w:ascii="宋体" w:hAnsi="宋体" w:cs="宋体"/>
          <w:sz w:val="28"/>
          <w:szCs w:val="28"/>
          <w:highlight w:val="none"/>
        </w:rPr>
      </w:pPr>
      <w:r>
        <w:rPr>
          <w:rFonts w:hint="eastAsia" w:ascii="宋体" w:hAnsi="宋体" w:cs="宋体"/>
          <w:sz w:val="24"/>
          <w:highlight w:val="none"/>
        </w:rPr>
        <w:t>年    月    日</w:t>
      </w:r>
    </w:p>
    <w:p w14:paraId="4DF525A7">
      <w:pPr>
        <w:snapToGrid w:val="0"/>
        <w:jc w:val="center"/>
        <w:rPr>
          <w:rFonts w:hint="eastAsia" w:ascii="宋体" w:hAnsi="宋体"/>
          <w:b/>
          <w:sz w:val="28"/>
          <w:szCs w:val="28"/>
          <w:highlight w:val="none"/>
        </w:rPr>
      </w:pPr>
      <w:r>
        <w:rPr>
          <w:rFonts w:ascii="宋体" w:hAnsi="宋体"/>
          <w:b/>
          <w:sz w:val="28"/>
          <w:szCs w:val="28"/>
          <w:highlight w:val="none"/>
        </w:rPr>
        <w:br w:type="page"/>
      </w:r>
    </w:p>
    <w:p w14:paraId="6E11587A">
      <w:pPr>
        <w:spacing w:line="320" w:lineRule="exact"/>
        <w:jc w:val="center"/>
        <w:rPr>
          <w:rFonts w:hint="eastAsia" w:ascii="宋体" w:hAnsi="宋体"/>
          <w:b/>
          <w:sz w:val="32"/>
          <w:szCs w:val="32"/>
          <w:highlight w:val="none"/>
        </w:rPr>
      </w:pPr>
      <w:r>
        <w:rPr>
          <w:rFonts w:hint="eastAsia" w:ascii="宋体" w:hAnsi="宋体"/>
          <w:b/>
          <w:sz w:val="32"/>
          <w:szCs w:val="32"/>
          <w:highlight w:val="none"/>
        </w:rPr>
        <w:t>供应商直接管理关系信息表</w:t>
      </w:r>
    </w:p>
    <w:p w14:paraId="51AB29CC">
      <w:pPr>
        <w:snapToGrid w:val="0"/>
        <w:spacing w:line="360" w:lineRule="auto"/>
        <w:jc w:val="center"/>
        <w:rPr>
          <w:rFonts w:hint="eastAsia" w:ascii="宋体" w:hAnsi="宋体"/>
          <w:b/>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C9A0DF3">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175FA7">
            <w:pPr>
              <w:widowControl/>
              <w:spacing w:line="360" w:lineRule="auto"/>
              <w:contextualSpacing/>
              <w:jc w:val="center"/>
              <w:rPr>
                <w:rFonts w:ascii="宋体" w:hAnsi="宋体" w:cs="宋体"/>
                <w:b/>
                <w:bCs/>
                <w:kern w:val="0"/>
                <w:sz w:val="24"/>
                <w:highlight w:val="none"/>
              </w:rPr>
            </w:pPr>
            <w:r>
              <w:rPr>
                <w:rFonts w:hint="eastAsia" w:ascii="宋体" w:hAnsi="宋体" w:cs="宋体"/>
                <w:b/>
                <w:bCs/>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C6BFE5">
            <w:pPr>
              <w:widowControl/>
              <w:spacing w:line="360" w:lineRule="auto"/>
              <w:contextualSpacing/>
              <w:jc w:val="center"/>
              <w:rPr>
                <w:rFonts w:ascii="宋体" w:hAnsi="宋体" w:cs="宋体"/>
                <w:b/>
                <w:bCs/>
                <w:kern w:val="0"/>
                <w:sz w:val="24"/>
                <w:highlight w:val="none"/>
              </w:rPr>
            </w:pPr>
            <w:r>
              <w:rPr>
                <w:rFonts w:hint="eastAsia" w:ascii="宋体" w:hAnsi="宋体" w:cs="宋体"/>
                <w:b/>
                <w:bCs/>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7C3E3B">
            <w:pPr>
              <w:widowControl/>
              <w:spacing w:line="360" w:lineRule="auto"/>
              <w:contextualSpacing/>
              <w:jc w:val="center"/>
              <w:rPr>
                <w:rFonts w:ascii="宋体" w:hAnsi="宋体" w:cs="宋体"/>
                <w:b/>
                <w:bCs/>
                <w:kern w:val="0"/>
                <w:sz w:val="24"/>
                <w:highlight w:val="none"/>
              </w:rPr>
            </w:pPr>
            <w:r>
              <w:rPr>
                <w:rFonts w:hint="eastAsia" w:ascii="宋体" w:hAnsi="宋体" w:cs="宋体"/>
                <w:b/>
                <w:bCs/>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1A9DF0">
            <w:pPr>
              <w:widowControl/>
              <w:spacing w:line="360" w:lineRule="auto"/>
              <w:contextualSpacing/>
              <w:jc w:val="center"/>
              <w:rPr>
                <w:rFonts w:ascii="宋体" w:hAnsi="宋体" w:cs="宋体"/>
                <w:b/>
                <w:bCs/>
                <w:kern w:val="0"/>
                <w:sz w:val="24"/>
                <w:highlight w:val="none"/>
              </w:rPr>
            </w:pPr>
            <w:r>
              <w:rPr>
                <w:rFonts w:hint="eastAsia" w:ascii="宋体" w:hAnsi="宋体" w:cs="宋体"/>
                <w:b/>
                <w:bCs/>
                <w:kern w:val="0"/>
                <w:sz w:val="24"/>
                <w:highlight w:val="none"/>
              </w:rPr>
              <w:t>相互关系</w:t>
            </w:r>
          </w:p>
        </w:tc>
      </w:tr>
      <w:tr w14:paraId="3167AA3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C729FD">
            <w:pPr>
              <w:widowControl/>
              <w:spacing w:line="360" w:lineRule="auto"/>
              <w:contextualSpacing/>
              <w:jc w:val="center"/>
              <w:rPr>
                <w:rFonts w:ascii="宋体" w:hAnsi="宋体" w:cs="宋体"/>
                <w:kern w:val="0"/>
                <w:sz w:val="24"/>
                <w:highlight w:val="none"/>
              </w:rPr>
            </w:pPr>
            <w:r>
              <w:rPr>
                <w:rFonts w:hint="eastAsia" w:ascii="宋体" w:hAnsi="宋体" w:cs="宋体"/>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48B898">
            <w:pPr>
              <w:widowControl/>
              <w:spacing w:line="360" w:lineRule="auto"/>
              <w:contextualSpacing/>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57B931">
            <w:pPr>
              <w:widowControl/>
              <w:spacing w:line="360" w:lineRule="auto"/>
              <w:contextualSpacing/>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7A8FD5">
            <w:pPr>
              <w:widowControl/>
              <w:spacing w:line="360" w:lineRule="auto"/>
              <w:contextualSpacing/>
              <w:jc w:val="center"/>
              <w:rPr>
                <w:rFonts w:ascii="宋体" w:hAnsi="宋体" w:cs="宋体"/>
                <w:kern w:val="0"/>
                <w:sz w:val="24"/>
                <w:highlight w:val="none"/>
              </w:rPr>
            </w:pPr>
          </w:p>
        </w:tc>
      </w:tr>
      <w:tr w14:paraId="1CEA3D8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6E8C00">
            <w:pPr>
              <w:widowControl/>
              <w:spacing w:line="360" w:lineRule="auto"/>
              <w:contextualSpacing/>
              <w:jc w:val="center"/>
              <w:rPr>
                <w:rFonts w:ascii="宋体" w:hAnsi="宋体" w:cs="宋体"/>
                <w:kern w:val="0"/>
                <w:sz w:val="24"/>
                <w:highlight w:val="none"/>
              </w:rPr>
            </w:pPr>
            <w:r>
              <w:rPr>
                <w:rFonts w:hint="eastAsia" w:ascii="宋体" w:hAnsi="宋体" w:cs="宋体"/>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4D6BB2">
            <w:pPr>
              <w:widowControl/>
              <w:spacing w:line="360" w:lineRule="auto"/>
              <w:contextualSpacing/>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1032AF">
            <w:pPr>
              <w:widowControl/>
              <w:spacing w:line="360" w:lineRule="auto"/>
              <w:contextualSpacing/>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D1A325">
            <w:pPr>
              <w:widowControl/>
              <w:spacing w:line="360" w:lineRule="auto"/>
              <w:contextualSpacing/>
              <w:jc w:val="center"/>
              <w:rPr>
                <w:rFonts w:ascii="宋体" w:hAnsi="宋体" w:cs="宋体"/>
                <w:kern w:val="0"/>
                <w:sz w:val="24"/>
                <w:highlight w:val="none"/>
              </w:rPr>
            </w:pPr>
          </w:p>
        </w:tc>
      </w:tr>
      <w:tr w14:paraId="30981C1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D69564">
            <w:pPr>
              <w:widowControl/>
              <w:spacing w:line="360" w:lineRule="auto"/>
              <w:contextualSpacing/>
              <w:jc w:val="center"/>
              <w:rPr>
                <w:rFonts w:ascii="宋体" w:hAnsi="宋体" w:cs="宋体"/>
                <w:kern w:val="0"/>
                <w:sz w:val="24"/>
                <w:highlight w:val="none"/>
              </w:rPr>
            </w:pPr>
            <w:r>
              <w:rPr>
                <w:rFonts w:hint="eastAsia" w:ascii="宋体" w:hAnsi="宋体" w:cs="宋体"/>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C9F40E">
            <w:pPr>
              <w:widowControl/>
              <w:spacing w:line="360" w:lineRule="auto"/>
              <w:contextualSpacing/>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DE4D51">
            <w:pPr>
              <w:widowControl/>
              <w:spacing w:line="360" w:lineRule="auto"/>
              <w:contextualSpacing/>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956FB3">
            <w:pPr>
              <w:widowControl/>
              <w:spacing w:line="360" w:lineRule="auto"/>
              <w:contextualSpacing/>
              <w:jc w:val="center"/>
              <w:rPr>
                <w:rFonts w:ascii="宋体" w:hAnsi="宋体" w:cs="宋体"/>
                <w:kern w:val="0"/>
                <w:sz w:val="24"/>
                <w:highlight w:val="none"/>
              </w:rPr>
            </w:pPr>
          </w:p>
        </w:tc>
      </w:tr>
      <w:tr w14:paraId="2750039F">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6CAAC9">
            <w:pPr>
              <w:widowControl/>
              <w:spacing w:line="360" w:lineRule="auto"/>
              <w:contextualSpacing/>
              <w:jc w:val="center"/>
              <w:rPr>
                <w:rFonts w:ascii="宋体" w:hAnsi="宋体" w:cs="宋体"/>
                <w:kern w:val="0"/>
                <w:sz w:val="24"/>
                <w:highlight w:val="none"/>
              </w:rPr>
            </w:pPr>
            <w:r>
              <w:rPr>
                <w:rFonts w:hint="eastAsia" w:ascii="宋体" w:hAnsi="宋体" w:cs="宋体"/>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486607">
            <w:pPr>
              <w:widowControl/>
              <w:spacing w:line="360" w:lineRule="auto"/>
              <w:contextualSpacing/>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FAB005">
            <w:pPr>
              <w:widowControl/>
              <w:spacing w:line="360" w:lineRule="auto"/>
              <w:contextualSpacing/>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5DF173">
            <w:pPr>
              <w:widowControl/>
              <w:spacing w:line="360" w:lineRule="auto"/>
              <w:contextualSpacing/>
              <w:jc w:val="center"/>
              <w:rPr>
                <w:rFonts w:ascii="宋体" w:hAnsi="宋体" w:cs="宋体"/>
                <w:kern w:val="0"/>
                <w:sz w:val="24"/>
                <w:highlight w:val="none"/>
              </w:rPr>
            </w:pPr>
          </w:p>
        </w:tc>
      </w:tr>
    </w:tbl>
    <w:p w14:paraId="365F7C95">
      <w:pPr>
        <w:spacing w:line="360" w:lineRule="auto"/>
        <w:contextualSpacing/>
        <w:jc w:val="left"/>
        <w:rPr>
          <w:rFonts w:hint="eastAsia" w:ascii="宋体" w:hAnsi="宋体"/>
          <w:sz w:val="24"/>
          <w:highlight w:val="none"/>
        </w:rPr>
      </w:pPr>
      <w:r>
        <w:rPr>
          <w:rFonts w:hint="eastAsia" w:ascii="宋体" w:hAnsi="宋体"/>
          <w:sz w:val="24"/>
          <w:highlight w:val="none"/>
        </w:rPr>
        <w:t>注：</w:t>
      </w:r>
    </w:p>
    <w:p w14:paraId="33E8C9A1">
      <w:pPr>
        <w:spacing w:line="360" w:lineRule="auto"/>
        <w:ind w:firstLine="480" w:firstLineChars="200"/>
        <w:contextualSpacing/>
        <w:jc w:val="left"/>
        <w:rPr>
          <w:rFonts w:hint="eastAsia" w:ascii="宋体" w:hAnsi="宋体"/>
          <w:sz w:val="24"/>
          <w:highlight w:val="none"/>
        </w:rPr>
      </w:pPr>
      <w:r>
        <w:rPr>
          <w:rFonts w:hint="eastAsia" w:ascii="宋体" w:hAnsi="宋体"/>
          <w:sz w:val="24"/>
          <w:highlight w:val="none"/>
        </w:rPr>
        <w:t>1.管理关系：是指不具有出资持股关系的其他单位之间存在的管理与被管理关系，如一些上下级关系的事业单位和团体组织。</w:t>
      </w:r>
    </w:p>
    <w:p w14:paraId="0E0DF021">
      <w:pPr>
        <w:spacing w:line="360" w:lineRule="auto"/>
        <w:ind w:firstLine="480" w:firstLineChars="200"/>
        <w:contextualSpacing/>
        <w:jc w:val="left"/>
        <w:rPr>
          <w:rFonts w:hint="eastAsia" w:ascii="宋体" w:hAnsi="宋体"/>
          <w:sz w:val="24"/>
          <w:highlight w:val="none"/>
        </w:rPr>
      </w:pPr>
      <w:r>
        <w:rPr>
          <w:rFonts w:hint="eastAsia" w:ascii="宋体" w:hAnsi="宋体"/>
          <w:sz w:val="24"/>
          <w:highlight w:val="none"/>
        </w:rPr>
        <w:t>2.</w:t>
      </w:r>
      <w:r>
        <w:rPr>
          <w:rFonts w:hint="eastAsia" w:ascii="宋体" w:hAnsi="宋体"/>
          <w:spacing w:val="-6"/>
          <w:sz w:val="24"/>
          <w:highlight w:val="none"/>
        </w:rPr>
        <w:t>本表所指的管理关系仅限于直接管理关系，不包括间接的管理关系。</w:t>
      </w:r>
    </w:p>
    <w:p w14:paraId="3899F177">
      <w:pPr>
        <w:spacing w:line="360" w:lineRule="auto"/>
        <w:ind w:firstLine="480" w:firstLineChars="200"/>
        <w:contextualSpacing/>
        <w:jc w:val="left"/>
        <w:rPr>
          <w:rFonts w:hint="eastAsia" w:ascii="宋体" w:hAnsi="宋体"/>
          <w:sz w:val="24"/>
          <w:highlight w:val="none"/>
        </w:rPr>
      </w:pPr>
      <w:r>
        <w:rPr>
          <w:rFonts w:hint="eastAsia" w:ascii="宋体" w:hAnsi="宋体"/>
          <w:sz w:val="24"/>
          <w:highlight w:val="none"/>
        </w:rPr>
        <w:t>3.供应商不存在直接管理关系的，则在“直接管理关系单位名称”填“无”。</w:t>
      </w:r>
    </w:p>
    <w:p w14:paraId="6572A0D2">
      <w:pPr>
        <w:spacing w:line="360" w:lineRule="auto"/>
        <w:contextualSpacing/>
        <w:jc w:val="left"/>
        <w:rPr>
          <w:rFonts w:hint="eastAsia" w:ascii="宋体" w:hAnsi="宋体"/>
          <w:sz w:val="28"/>
          <w:szCs w:val="28"/>
          <w:highlight w:val="none"/>
        </w:rPr>
      </w:pPr>
    </w:p>
    <w:p w14:paraId="475A582E">
      <w:pPr>
        <w:spacing w:line="360" w:lineRule="auto"/>
        <w:contextualSpacing/>
        <w:jc w:val="left"/>
        <w:rPr>
          <w:rFonts w:hint="eastAsia" w:ascii="宋体" w:hAnsi="宋体"/>
          <w:sz w:val="28"/>
          <w:szCs w:val="28"/>
          <w:highlight w:val="none"/>
        </w:rPr>
      </w:pPr>
    </w:p>
    <w:p w14:paraId="165AEC3D">
      <w:pPr>
        <w:spacing w:line="360" w:lineRule="auto"/>
        <w:contextualSpacing/>
        <w:jc w:val="left"/>
        <w:rPr>
          <w:rFonts w:hint="eastAsia"/>
          <w:sz w:val="28"/>
          <w:szCs w:val="28"/>
          <w:highlight w:val="none"/>
        </w:rPr>
      </w:pPr>
    </w:p>
    <w:p w14:paraId="7F9F1A3D">
      <w:pPr>
        <w:spacing w:line="360" w:lineRule="auto"/>
        <w:contextualSpacing/>
        <w:jc w:val="left"/>
        <w:rPr>
          <w:rFonts w:hint="eastAsia"/>
          <w:sz w:val="28"/>
          <w:szCs w:val="28"/>
          <w:highlight w:val="none"/>
        </w:rPr>
      </w:pPr>
    </w:p>
    <w:p w14:paraId="57403F42">
      <w:pPr>
        <w:spacing w:line="360" w:lineRule="auto"/>
        <w:contextualSpacing/>
        <w:jc w:val="left"/>
        <w:rPr>
          <w:rFonts w:hint="eastAsia"/>
          <w:sz w:val="28"/>
          <w:szCs w:val="28"/>
          <w:highlight w:val="none"/>
        </w:rPr>
      </w:pPr>
    </w:p>
    <w:p w14:paraId="29973B4D">
      <w:pPr>
        <w:spacing w:line="360" w:lineRule="auto"/>
        <w:contextualSpacing/>
        <w:jc w:val="left"/>
        <w:rPr>
          <w:rFonts w:hint="eastAsia" w:ascii="宋体" w:hAnsi="宋体"/>
          <w:sz w:val="28"/>
          <w:szCs w:val="28"/>
          <w:highlight w:val="none"/>
        </w:rPr>
      </w:pPr>
    </w:p>
    <w:p w14:paraId="0D82605C">
      <w:pPr>
        <w:spacing w:line="360" w:lineRule="auto"/>
        <w:ind w:right="480"/>
        <w:contextualSpacing/>
        <w:jc w:val="center"/>
        <w:rPr>
          <w:rFonts w:hint="eastAsia" w:ascii="宋体" w:hAnsi="宋体"/>
          <w:sz w:val="24"/>
          <w:highlight w:val="none"/>
          <w:u w:val="single"/>
        </w:rPr>
      </w:pP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法定代表人或者委托代理人（签字或者电子签名）：</w:t>
      </w:r>
      <w:r>
        <w:rPr>
          <w:rFonts w:hint="eastAsia" w:ascii="宋体" w:hAnsi="宋体"/>
          <w:sz w:val="24"/>
          <w:highlight w:val="none"/>
          <w:u w:val="single"/>
        </w:rPr>
        <w:t xml:space="preserve"> </w:t>
      </w:r>
      <w:r>
        <w:rPr>
          <w:rFonts w:ascii="宋体" w:hAnsi="宋体"/>
          <w:sz w:val="24"/>
          <w:highlight w:val="none"/>
          <w:u w:val="single"/>
        </w:rPr>
        <w:t xml:space="preserve">                  </w:t>
      </w:r>
    </w:p>
    <w:p w14:paraId="6DE7D3B2">
      <w:pPr>
        <w:spacing w:line="360" w:lineRule="auto"/>
        <w:ind w:right="480" w:firstLine="3360" w:firstLineChars="1400"/>
        <w:contextualSpacing/>
        <w:rPr>
          <w:rFonts w:hint="eastAsia" w:ascii="宋体" w:hAnsi="宋体"/>
          <w:sz w:val="24"/>
          <w:highlight w:val="none"/>
        </w:rPr>
      </w:pPr>
      <w:r>
        <w:rPr>
          <w:rFonts w:hint="eastAsia" w:ascii="宋体" w:hAnsi="宋体"/>
          <w:sz w:val="24"/>
          <w:highlight w:val="none"/>
        </w:rPr>
        <w:t>供应商（电子签章）：</w:t>
      </w:r>
      <w:r>
        <w:rPr>
          <w:rFonts w:hint="eastAsia" w:ascii="宋体" w:hAnsi="宋体"/>
          <w:sz w:val="24"/>
          <w:highlight w:val="none"/>
          <w:u w:val="single"/>
        </w:rPr>
        <w:t xml:space="preserve">                </w:t>
      </w:r>
    </w:p>
    <w:p w14:paraId="3F86D4E9">
      <w:pPr>
        <w:spacing w:line="360" w:lineRule="auto"/>
        <w:ind w:firstLine="480" w:firstLineChars="200"/>
        <w:contextualSpacing/>
        <w:jc w:val="left"/>
        <w:rPr>
          <w:rFonts w:ascii="宋体" w:hAnsi="宋体"/>
          <w:sz w:val="28"/>
          <w:szCs w:val="28"/>
          <w:highlight w:val="none"/>
        </w:rPr>
      </w:pPr>
      <w:r>
        <w:rPr>
          <w:rFonts w:hint="eastAsia" w:ascii="宋体" w:hAnsi="宋体"/>
          <w:sz w:val="24"/>
          <w:highlight w:val="none"/>
        </w:rPr>
        <w:t xml:space="preserve">                                        年    月    日</w:t>
      </w:r>
    </w:p>
    <w:p w14:paraId="7520E47C">
      <w:pPr>
        <w:spacing w:line="320" w:lineRule="exact"/>
        <w:jc w:val="center"/>
        <w:rPr>
          <w:rFonts w:hint="eastAsia" w:ascii="宋体" w:hAnsi="宋体"/>
          <w:b/>
          <w:sz w:val="32"/>
          <w:szCs w:val="32"/>
          <w:highlight w:val="none"/>
        </w:rPr>
      </w:pPr>
      <w:r>
        <w:rPr>
          <w:rFonts w:ascii="宋体" w:hAnsi="宋体"/>
          <w:sz w:val="28"/>
          <w:szCs w:val="28"/>
          <w:highlight w:val="none"/>
        </w:rPr>
        <w:br w:type="page"/>
      </w:r>
      <w:r>
        <w:rPr>
          <w:rFonts w:hint="eastAsia" w:ascii="宋体" w:hAnsi="宋体"/>
          <w:b/>
          <w:sz w:val="32"/>
          <w:szCs w:val="32"/>
          <w:highlight w:val="none"/>
        </w:rPr>
        <w:t>竞标声明</w:t>
      </w:r>
    </w:p>
    <w:p w14:paraId="6715B5DA">
      <w:pPr>
        <w:spacing w:line="320" w:lineRule="exact"/>
        <w:jc w:val="center"/>
        <w:rPr>
          <w:rFonts w:hint="eastAsia" w:ascii="宋体" w:hAnsi="宋体"/>
          <w:sz w:val="24"/>
          <w:szCs w:val="20"/>
          <w:highlight w:val="none"/>
        </w:rPr>
      </w:pPr>
    </w:p>
    <w:p w14:paraId="53DF03BE">
      <w:pPr>
        <w:spacing w:line="360" w:lineRule="auto"/>
        <w:contextualSpacing/>
        <w:rPr>
          <w:rFonts w:hint="eastAsia"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（采购人名称）</w:t>
      </w:r>
      <w:r>
        <w:rPr>
          <w:rFonts w:hint="eastAsia" w:ascii="宋体" w:hAnsi="宋体" w:cs="宋体"/>
          <w:sz w:val="24"/>
          <w:highlight w:val="none"/>
        </w:rPr>
        <w:t>：</w:t>
      </w:r>
    </w:p>
    <w:p w14:paraId="062FEBA4">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w:t>
      </w:r>
      <w:r>
        <w:rPr>
          <w:rFonts w:hint="eastAsia" w:ascii="宋体" w:hAnsi="宋体" w:cs="宋体"/>
          <w:sz w:val="24"/>
          <w:highlight w:val="none"/>
          <w:u w:val="single"/>
        </w:rPr>
        <w:t>（供应商名称）</w:t>
      </w:r>
      <w:r>
        <w:rPr>
          <w:rFonts w:hint="eastAsia" w:ascii="宋体" w:hAnsi="宋体" w:cs="宋体"/>
          <w:sz w:val="24"/>
          <w:highlight w:val="none"/>
        </w:rPr>
        <w:t>系中华人民共和国合法供应商，经营地址</w:t>
      </w:r>
      <w:r>
        <w:rPr>
          <w:rFonts w:hint="eastAsia" w:ascii="宋体" w:hAnsi="宋体" w:cs="宋体"/>
          <w:sz w:val="24"/>
          <w:highlight w:val="none"/>
          <w:u w:val="single"/>
        </w:rPr>
        <w:t xml:space="preserve">                              </w:t>
      </w:r>
      <w:r>
        <w:rPr>
          <w:rFonts w:hint="eastAsia" w:ascii="宋体" w:hAnsi="宋体" w:cs="宋体"/>
          <w:sz w:val="24"/>
          <w:highlight w:val="none"/>
        </w:rPr>
        <w:t>。</w:t>
      </w:r>
    </w:p>
    <w:p w14:paraId="34DC4F85">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我方愿意参加贵方组织的</w:t>
      </w:r>
      <w:r>
        <w:rPr>
          <w:rFonts w:hint="eastAsia" w:ascii="宋体" w:hAnsi="宋体" w:cs="宋体"/>
          <w:sz w:val="24"/>
          <w:highlight w:val="none"/>
          <w:u w:val="single"/>
        </w:rPr>
        <w:t>（项目名称）（项目编号）</w:t>
      </w:r>
      <w:r>
        <w:rPr>
          <w:rFonts w:hint="eastAsia" w:ascii="宋体" w:hAnsi="宋体" w:cs="宋体"/>
          <w:sz w:val="24"/>
          <w:highlight w:val="none"/>
        </w:rPr>
        <w:t>项目的竞标，为便于贵方公正、择优地确定成交供应商及其服务，我方就本次竞标有关事项郑重声明如下：</w:t>
      </w:r>
    </w:p>
    <w:p w14:paraId="27508796">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1.我方向贵方提交的所有响应文件、资料都是准确的和真实的。</w:t>
      </w:r>
    </w:p>
    <w:p w14:paraId="4F06502A">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w:t>
      </w:r>
      <w:r>
        <w:rPr>
          <w:rFonts w:hint="eastAsia" w:ascii="宋体" w:hAnsi="宋体"/>
          <w:sz w:val="24"/>
          <w:highlight w:val="none"/>
        </w:rPr>
        <w:t>我方不是为本次采购项目提供整体设计、规范编制或者项目管理、监理、检测等服务的供应商</w:t>
      </w:r>
      <w:r>
        <w:rPr>
          <w:rFonts w:hint="eastAsia" w:ascii="宋体" w:hAnsi="宋体" w:cs="宋体"/>
          <w:sz w:val="24"/>
          <w:highlight w:val="none"/>
        </w:rPr>
        <w:t>。</w:t>
      </w:r>
    </w:p>
    <w:p w14:paraId="78D13E24">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3.在此，我方宣布同意如下：</w:t>
      </w:r>
    </w:p>
    <w:p w14:paraId="4F85442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（1）将按磋商文件的约定履行合同责任和义务；</w:t>
      </w:r>
    </w:p>
    <w:p w14:paraId="7445361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（2）已详细审查全部磋商文件，包括澄清或者更正公告（如有）；</w:t>
      </w:r>
    </w:p>
    <w:p w14:paraId="2800AF53">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（3）同意提供按照贵方可能要求的与磋商有关的一切数据或者资料；</w:t>
      </w:r>
    </w:p>
    <w:p w14:paraId="44BF1B0E">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（4）响应磋商文件规定的竞标有效期。</w:t>
      </w:r>
    </w:p>
    <w:p w14:paraId="255D7B72">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4.我方承诺符合《中华人民共和国政府采购法》第二十二条规定：</w:t>
      </w:r>
    </w:p>
    <w:p w14:paraId="7424B847">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（1）具有独立承担民事责任的能力；</w:t>
      </w:r>
    </w:p>
    <w:p w14:paraId="270B5736">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（2）具有良好的商业信誉和健全的财务会计制度；</w:t>
      </w:r>
    </w:p>
    <w:p w14:paraId="596B2FF1">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（3）具有履行合同所必需的设备和专业技术能力；</w:t>
      </w:r>
    </w:p>
    <w:p w14:paraId="7A35963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（4）有依法缴纳税收和社会保障资金的良好记录；</w:t>
      </w:r>
    </w:p>
    <w:p w14:paraId="6A1AA8FD">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（5）参加政府采购活动前三年内，在经营活动中没有重大违法记录；</w:t>
      </w:r>
    </w:p>
    <w:p w14:paraId="42661AED">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（6）法律、行政法规规定的其他条件。</w:t>
      </w:r>
    </w:p>
    <w:p w14:paraId="72CEF7AA">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2096A62">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A0508A6">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□我方本次响应文件</w:t>
      </w:r>
      <w:r>
        <w:rPr>
          <w:rFonts w:hint="eastAsia" w:ascii="宋体" w:hAnsi="宋体" w:cs="宋体"/>
          <w:kern w:val="0"/>
          <w:sz w:val="24"/>
          <w:highlight w:val="none"/>
        </w:rPr>
        <w:t>内容中</w:t>
      </w:r>
      <w:r>
        <w:rPr>
          <w:rFonts w:hint="eastAsia" w:ascii="宋体" w:hAnsi="宋体" w:cs="宋体"/>
          <w:sz w:val="24"/>
          <w:highlight w:val="none"/>
        </w:rPr>
        <w:t>未</w:t>
      </w:r>
      <w:r>
        <w:rPr>
          <w:rFonts w:hint="eastAsia" w:ascii="宋体" w:hAnsi="宋体" w:cs="宋体"/>
          <w:kern w:val="0"/>
          <w:sz w:val="24"/>
          <w:highlight w:val="none"/>
        </w:rPr>
        <w:t>涉及商业秘密；</w:t>
      </w:r>
    </w:p>
    <w:p w14:paraId="7C0898E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□我方本次响应文件</w:t>
      </w:r>
      <w:r>
        <w:rPr>
          <w:rFonts w:hint="eastAsia" w:ascii="宋体" w:hAnsi="宋体" w:cs="宋体"/>
          <w:kern w:val="0"/>
          <w:sz w:val="24"/>
          <w:highlight w:val="none"/>
        </w:rPr>
        <w:t>涉及商业秘密的内容有：</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69F2DB82">
      <w:pPr>
        <w:pStyle w:val="25"/>
        <w:spacing w:line="360" w:lineRule="auto"/>
        <w:ind w:firstLine="480" w:firstLineChars="200"/>
        <w:contextualSpacing/>
        <w:rPr>
          <w:rFonts w:hint="eastAsia" w:hAnsi="宋体" w:cs="宋体"/>
          <w:sz w:val="24"/>
          <w:szCs w:val="24"/>
          <w:highlight w:val="none"/>
          <w:u w:val="single"/>
        </w:rPr>
      </w:pPr>
      <w:r>
        <w:rPr>
          <w:rFonts w:hint="eastAsia" w:hAnsi="宋体" w:cs="宋体"/>
          <w:sz w:val="24"/>
          <w:szCs w:val="24"/>
          <w:highlight w:val="none"/>
        </w:rPr>
        <w:t>7.与本磋商有关的一切正式往来信函请寄：</w:t>
      </w:r>
      <w:r>
        <w:rPr>
          <w:rFonts w:hint="eastAsia" w:hAnsi="宋体" w:cs="宋体"/>
          <w:sz w:val="24"/>
          <w:szCs w:val="24"/>
          <w:highlight w:val="none"/>
          <w:u w:val="single"/>
        </w:rPr>
        <w:t xml:space="preserve">                  </w:t>
      </w:r>
      <w:r>
        <w:rPr>
          <w:rFonts w:hint="eastAsia" w:hAnsi="宋体" w:cs="宋体"/>
          <w:sz w:val="24"/>
          <w:szCs w:val="24"/>
          <w:highlight w:val="none"/>
        </w:rPr>
        <w:t>邮政编号：</w:t>
      </w:r>
      <w:r>
        <w:rPr>
          <w:rFonts w:hint="eastAsia" w:hAnsi="宋体" w:cs="宋体"/>
          <w:sz w:val="24"/>
          <w:szCs w:val="24"/>
          <w:highlight w:val="none"/>
          <w:u w:val="single"/>
        </w:rPr>
        <w:t xml:space="preserve">        </w:t>
      </w:r>
    </w:p>
    <w:p w14:paraId="5A6532E5">
      <w:pPr>
        <w:pStyle w:val="25"/>
        <w:spacing w:line="360" w:lineRule="auto"/>
        <w:ind w:firstLine="480" w:firstLineChars="200"/>
        <w:contextualSpacing/>
        <w:rPr>
          <w:rFonts w:hint="eastAsia" w:hAnsi="宋体" w:cs="宋体"/>
          <w:sz w:val="24"/>
          <w:szCs w:val="24"/>
          <w:highlight w:val="none"/>
        </w:rPr>
      </w:pPr>
      <w:r>
        <w:rPr>
          <w:rFonts w:hint="eastAsia" w:hAnsi="宋体" w:cs="宋体"/>
          <w:sz w:val="24"/>
          <w:szCs w:val="24"/>
          <w:highlight w:val="none"/>
        </w:rPr>
        <w:t>电话/传真：</w:t>
      </w:r>
      <w:r>
        <w:rPr>
          <w:rFonts w:hint="eastAsia" w:hAnsi="宋体" w:cs="宋体"/>
          <w:sz w:val="24"/>
          <w:szCs w:val="24"/>
          <w:highlight w:val="none"/>
          <w:u w:val="single"/>
        </w:rPr>
        <w:t xml:space="preserve">                        </w:t>
      </w:r>
      <w:r>
        <w:rPr>
          <w:rFonts w:hint="eastAsia" w:hAnsi="宋体" w:cs="宋体"/>
          <w:sz w:val="24"/>
          <w:szCs w:val="24"/>
          <w:highlight w:val="none"/>
        </w:rPr>
        <w:t xml:space="preserve"> 电子邮箱：</w:t>
      </w:r>
      <w:r>
        <w:rPr>
          <w:rFonts w:hint="eastAsia" w:hAnsi="宋体" w:cs="宋体"/>
          <w:sz w:val="24"/>
          <w:szCs w:val="24"/>
          <w:highlight w:val="none"/>
          <w:u w:val="single"/>
        </w:rPr>
        <w:t xml:space="preserve">                            </w:t>
      </w:r>
      <w:r>
        <w:rPr>
          <w:rFonts w:hint="eastAsia" w:hAnsi="宋体" w:cs="宋体"/>
          <w:sz w:val="24"/>
          <w:szCs w:val="24"/>
          <w:highlight w:val="none"/>
        </w:rPr>
        <w:t xml:space="preserve">    </w:t>
      </w:r>
    </w:p>
    <w:p w14:paraId="49F86CE0">
      <w:pPr>
        <w:pStyle w:val="20"/>
        <w:tabs>
          <w:tab w:val="left" w:pos="939"/>
        </w:tabs>
        <w:spacing w:line="360" w:lineRule="auto"/>
        <w:ind w:left="141" w:leftChars="67" w:firstLine="360" w:firstLineChars="150"/>
        <w:rPr>
          <w:rFonts w:hint="eastAsia" w:ascii="宋体" w:hAnsi="宋体" w:cs="宋体"/>
          <w:sz w:val="24"/>
          <w:highlight w:val="none"/>
        </w:rPr>
      </w:pPr>
      <w:r>
        <w:rPr>
          <w:rFonts w:hint="eastAsia" w:ascii="宋体" w:hAnsi="宋体" w:cs="宋体"/>
          <w:sz w:val="24"/>
          <w:highlight w:val="none"/>
        </w:rPr>
        <w:t>开户银行：</w:t>
      </w:r>
      <w:r>
        <w:rPr>
          <w:rFonts w:hint="eastAsia" w:ascii="宋体" w:hAnsi="宋体" w:cs="宋体"/>
          <w:sz w:val="24"/>
          <w:highlight w:val="none"/>
          <w:u w:val="single"/>
        </w:rPr>
        <w:t xml:space="preserve">                         </w:t>
      </w:r>
      <w:r>
        <w:rPr>
          <w:rFonts w:hint="eastAsia" w:ascii="宋体" w:hAnsi="宋体" w:cs="宋体"/>
          <w:sz w:val="24"/>
          <w:highlight w:val="none"/>
        </w:rPr>
        <w:t xml:space="preserve">  帐号：</w:t>
      </w:r>
      <w:r>
        <w:rPr>
          <w:rFonts w:hint="eastAsia" w:ascii="宋体" w:hAnsi="宋体" w:cs="宋体"/>
          <w:sz w:val="24"/>
          <w:highlight w:val="none"/>
          <w:u w:val="single"/>
        </w:rPr>
        <w:t xml:space="preserve">                               </w:t>
      </w:r>
    </w:p>
    <w:p w14:paraId="5A5E2157">
      <w:pPr>
        <w:pStyle w:val="20"/>
        <w:tabs>
          <w:tab w:val="left" w:pos="939"/>
        </w:tabs>
        <w:spacing w:line="360" w:lineRule="auto"/>
        <w:ind w:left="0" w:leftChars="0" w:firstLine="480" w:firstLineChars="200"/>
        <w:rPr>
          <w:rFonts w:hint="eastAsia" w:ascii="宋体" w:hAnsi="宋体" w:cs="宋体"/>
          <w:sz w:val="24"/>
          <w:highlight w:val="none"/>
        </w:rPr>
      </w:pPr>
      <w:r>
        <w:rPr>
          <w:rFonts w:hint="eastAsia" w:ascii="宋体" w:hAnsi="宋体" w:cs="宋体"/>
          <w:sz w:val="24"/>
          <w:highlight w:val="none"/>
        </w:rPr>
        <w:t>8.以上事项如有虚假或者隐瞒，我方愿意承担一切后果，并不再寻求任何旨在减轻或者免除法律责任的辩解。</w:t>
      </w:r>
    </w:p>
    <w:p w14:paraId="58312F9B">
      <w:pPr>
        <w:pStyle w:val="20"/>
        <w:tabs>
          <w:tab w:val="left" w:pos="939"/>
        </w:tabs>
        <w:spacing w:line="360" w:lineRule="auto"/>
        <w:ind w:left="141" w:leftChars="67" w:firstLine="360" w:firstLineChars="150"/>
        <w:rPr>
          <w:rFonts w:hint="eastAsia" w:ascii="宋体" w:hAnsi="宋体" w:cs="宋体"/>
          <w:sz w:val="24"/>
          <w:highlight w:val="none"/>
        </w:rPr>
      </w:pPr>
      <w:r>
        <w:rPr>
          <w:rFonts w:hint="eastAsia" w:ascii="宋体" w:hAnsi="宋体" w:cs="宋体"/>
          <w:sz w:val="24"/>
          <w:highlight w:val="none"/>
        </w:rPr>
        <w:t>特此承诺。</w:t>
      </w:r>
    </w:p>
    <w:p w14:paraId="1697BAC5">
      <w:pPr>
        <w:spacing w:line="360" w:lineRule="auto"/>
        <w:ind w:firstLine="482" w:firstLineChars="200"/>
        <w:contextualSpacing/>
        <w:jc w:val="left"/>
        <w:rPr>
          <w:rFonts w:hint="eastAsia" w:ascii="宋体" w:hAnsi="宋体"/>
          <w:b/>
          <w:sz w:val="24"/>
          <w:highlight w:val="none"/>
        </w:rPr>
      </w:pPr>
      <w:r>
        <w:rPr>
          <w:rFonts w:hint="eastAsia" w:ascii="宋体" w:hAnsi="宋体" w:cs="宋体"/>
          <w:b/>
          <w:sz w:val="24"/>
          <w:highlight w:val="none"/>
        </w:rPr>
        <w:t>注：</w:t>
      </w:r>
      <w:r>
        <w:rPr>
          <w:rFonts w:hint="eastAsia" w:ascii="宋体" w:hAnsi="宋体"/>
          <w:b/>
          <w:sz w:val="24"/>
          <w:highlight w:val="none"/>
        </w:rPr>
        <w:t>如为联合体竞标，盖章处须加盖联合体牵头人电子签章并由联合体牵头人法定代表人分别签字或者盖章或者电子签名，否则响应文件按无效处理。</w:t>
      </w:r>
    </w:p>
    <w:p w14:paraId="14F71762">
      <w:pPr>
        <w:spacing w:line="360" w:lineRule="auto"/>
        <w:contextualSpacing/>
        <w:jc w:val="left"/>
        <w:rPr>
          <w:rFonts w:hint="eastAsia" w:ascii="宋体" w:hAnsi="宋体" w:cs="宋体"/>
          <w:szCs w:val="21"/>
          <w:highlight w:val="none"/>
        </w:rPr>
      </w:pPr>
    </w:p>
    <w:p w14:paraId="7453159E">
      <w:pPr>
        <w:spacing w:line="360" w:lineRule="auto"/>
        <w:ind w:firstLine="1575" w:firstLineChars="750"/>
        <w:contextualSpacing/>
        <w:rPr>
          <w:rFonts w:hint="eastAsia"/>
          <w:highlight w:val="none"/>
        </w:rPr>
      </w:pPr>
    </w:p>
    <w:p w14:paraId="722442ED">
      <w:pPr>
        <w:spacing w:line="360" w:lineRule="auto"/>
        <w:ind w:firstLine="1575" w:firstLineChars="750"/>
        <w:contextualSpacing/>
        <w:rPr>
          <w:rFonts w:hint="eastAsia"/>
          <w:highlight w:val="none"/>
        </w:rPr>
      </w:pPr>
    </w:p>
    <w:p w14:paraId="20E55C23">
      <w:pPr>
        <w:spacing w:line="360" w:lineRule="auto"/>
        <w:ind w:firstLine="1575" w:firstLineChars="750"/>
        <w:contextualSpacing/>
        <w:rPr>
          <w:rFonts w:hint="eastAsia"/>
          <w:highlight w:val="none"/>
        </w:rPr>
      </w:pPr>
      <w:r>
        <w:rPr>
          <w:rFonts w:hint="eastAsia"/>
          <w:highlight w:val="none"/>
        </w:rPr>
        <w:t>法定代表人（</w:t>
      </w:r>
      <w:r>
        <w:rPr>
          <w:rFonts w:hint="eastAsia" w:ascii="宋体" w:hAnsi="宋体"/>
          <w:sz w:val="24"/>
          <w:highlight w:val="none"/>
        </w:rPr>
        <w:t>签字或者盖章或者电子签名</w:t>
      </w:r>
      <w:r>
        <w:rPr>
          <w:rFonts w:hint="eastAsia"/>
          <w:highlight w:val="none"/>
        </w:rPr>
        <w:t>）：</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 xml:space="preserve">                                     </w:t>
      </w:r>
    </w:p>
    <w:p w14:paraId="16289DC6">
      <w:pPr>
        <w:spacing w:line="360" w:lineRule="auto"/>
        <w:ind w:firstLine="3990" w:firstLineChars="1900"/>
        <w:contextualSpacing/>
        <w:rPr>
          <w:rFonts w:hint="eastAsia" w:ascii="宋体" w:hAnsi="宋体" w:cs="宋体"/>
          <w:szCs w:val="21"/>
          <w:highlight w:val="none"/>
          <w:u w:val="single"/>
        </w:rPr>
      </w:pPr>
      <w:r>
        <w:rPr>
          <w:rFonts w:hint="eastAsia"/>
          <w:highlight w:val="none"/>
        </w:rPr>
        <w:t>供应商（电子签章）：</w:t>
      </w:r>
      <w:r>
        <w:rPr>
          <w:rFonts w:hint="eastAsia"/>
          <w:highlight w:val="none"/>
          <w:u w:val="single"/>
        </w:rPr>
        <w:t xml:space="preserve">                               </w:t>
      </w:r>
      <w:r>
        <w:rPr>
          <w:rFonts w:hint="eastAsia"/>
          <w:highlight w:val="none"/>
        </w:rPr>
        <w:t xml:space="preserve">       </w:t>
      </w:r>
      <w:r>
        <w:rPr>
          <w:rFonts w:hint="eastAsia" w:ascii="宋体" w:hAnsi="宋体" w:cs="宋体"/>
          <w:szCs w:val="21"/>
          <w:highlight w:val="none"/>
        </w:rPr>
        <w:t xml:space="preserve">    </w:t>
      </w:r>
    </w:p>
    <w:p w14:paraId="2B20CFF1">
      <w:pPr>
        <w:pStyle w:val="20"/>
        <w:tabs>
          <w:tab w:val="left" w:pos="939"/>
        </w:tabs>
        <w:spacing w:line="360" w:lineRule="auto"/>
        <w:ind w:left="0" w:leftChars="0" w:firstLine="420" w:firstLineChars="200"/>
        <w:rPr>
          <w:rFonts w:hint="eastAsia"/>
          <w:sz w:val="24"/>
          <w:highlight w:val="none"/>
        </w:rPr>
      </w:pPr>
      <w:r>
        <w:rPr>
          <w:rFonts w:hint="eastAsia" w:ascii="宋体" w:hAnsi="宋体" w:cs="宋体"/>
          <w:szCs w:val="21"/>
          <w:highlight w:val="none"/>
        </w:rPr>
        <w:t xml:space="preserve">                                                        </w:t>
      </w:r>
      <w:r>
        <w:rPr>
          <w:rFonts w:hint="eastAsia"/>
          <w:highlight w:val="none"/>
        </w:rPr>
        <w:t xml:space="preserve"> 年    月    日</w:t>
      </w:r>
    </w:p>
    <w:p w14:paraId="18C1834D">
      <w:pPr>
        <w:spacing w:line="360" w:lineRule="auto"/>
        <w:ind w:right="420"/>
        <w:contextualSpacing/>
        <w:jc w:val="left"/>
        <w:rPr>
          <w:rFonts w:ascii="宋体" w:hAnsi="宋体"/>
          <w:b/>
          <w:sz w:val="32"/>
          <w:szCs w:val="32"/>
          <w:highlight w:val="none"/>
        </w:rPr>
      </w:pPr>
      <w:r>
        <w:rPr>
          <w:rFonts w:hint="eastAsia"/>
          <w:sz w:val="24"/>
          <w:highlight w:val="none"/>
        </w:rPr>
        <w:br w:type="page"/>
      </w:r>
      <w:r>
        <w:rPr>
          <w:rFonts w:hint="eastAsia" w:ascii="宋体" w:hAnsi="宋体"/>
          <w:b/>
          <w:bCs/>
          <w:sz w:val="32"/>
          <w:szCs w:val="32"/>
          <w:highlight w:val="none"/>
        </w:rPr>
        <w:t>二、</w:t>
      </w:r>
      <w:r>
        <w:rPr>
          <w:rFonts w:hint="eastAsia" w:ascii="宋体" w:hAnsi="宋体"/>
          <w:b/>
          <w:sz w:val="32"/>
          <w:szCs w:val="32"/>
          <w:highlight w:val="none"/>
        </w:rPr>
        <w:t xml:space="preserve">报价文件格式 </w:t>
      </w:r>
    </w:p>
    <w:p w14:paraId="02C4478C">
      <w:pPr>
        <w:snapToGrid w:val="0"/>
        <w:spacing w:before="120" w:beforeLines="50" w:after="50" w:line="360" w:lineRule="auto"/>
        <w:jc w:val="left"/>
        <w:rPr>
          <w:rFonts w:hint="eastAsia" w:ascii="宋体" w:hAnsi="宋体"/>
          <w:b/>
          <w:sz w:val="32"/>
          <w:szCs w:val="32"/>
          <w:highlight w:val="none"/>
        </w:rPr>
      </w:pPr>
      <w:r>
        <w:rPr>
          <w:rFonts w:hint="eastAsia" w:ascii="宋体" w:hAnsi="宋体"/>
          <w:b/>
          <w:sz w:val="32"/>
          <w:szCs w:val="32"/>
          <w:highlight w:val="none"/>
        </w:rPr>
        <w:t>1.报价文件封面格式</w:t>
      </w:r>
    </w:p>
    <w:p w14:paraId="7AD8ED78">
      <w:pPr>
        <w:snapToGrid w:val="0"/>
        <w:spacing w:before="120" w:beforeLines="50" w:after="50"/>
        <w:rPr>
          <w:rFonts w:hint="eastAsia" w:ascii="宋体" w:hAnsi="宋体"/>
          <w:bCs/>
          <w:sz w:val="32"/>
          <w:szCs w:val="20"/>
          <w:highlight w:val="none"/>
        </w:rPr>
      </w:pPr>
      <w:r>
        <w:rPr>
          <w:rFonts w:hint="eastAsia" w:ascii="宋体" w:hAnsi="宋体"/>
          <w:sz w:val="24"/>
          <w:highlight w:val="none"/>
        </w:rPr>
        <w:t xml:space="preserve">                                                    </w:t>
      </w:r>
    </w:p>
    <w:p w14:paraId="767D1611">
      <w:pPr>
        <w:snapToGrid w:val="0"/>
        <w:spacing w:before="120" w:beforeLines="50" w:after="50"/>
        <w:jc w:val="center"/>
        <w:rPr>
          <w:rFonts w:hint="eastAsia" w:ascii="宋体" w:hAnsi="宋体"/>
          <w:sz w:val="24"/>
          <w:szCs w:val="20"/>
          <w:highlight w:val="none"/>
        </w:rPr>
      </w:pPr>
      <w:r>
        <w:rPr>
          <w:rFonts w:hint="eastAsia" w:ascii="宋体" w:hAnsi="宋体"/>
          <w:sz w:val="44"/>
          <w:szCs w:val="44"/>
          <w:highlight w:val="none"/>
        </w:rPr>
        <w:t>电 子 响 应 文 件</w:t>
      </w:r>
    </w:p>
    <w:p w14:paraId="6063E3AB">
      <w:pPr>
        <w:snapToGrid w:val="0"/>
        <w:spacing w:before="120" w:beforeLines="50" w:after="50"/>
        <w:rPr>
          <w:rFonts w:hint="eastAsia" w:ascii="宋体" w:hAnsi="宋体"/>
          <w:sz w:val="24"/>
          <w:szCs w:val="20"/>
          <w:highlight w:val="none"/>
        </w:rPr>
      </w:pPr>
    </w:p>
    <w:p w14:paraId="32E82A76">
      <w:pPr>
        <w:snapToGrid w:val="0"/>
        <w:spacing w:before="120" w:beforeLines="50" w:after="50"/>
        <w:rPr>
          <w:rFonts w:hint="eastAsia" w:ascii="宋体" w:hAnsi="宋体"/>
          <w:sz w:val="24"/>
          <w:szCs w:val="20"/>
          <w:highlight w:val="none"/>
        </w:rPr>
      </w:pPr>
    </w:p>
    <w:p w14:paraId="178597EC">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报  价  文  件</w:t>
      </w:r>
    </w:p>
    <w:p w14:paraId="1590C8F7">
      <w:pPr>
        <w:snapToGrid w:val="0"/>
        <w:spacing w:before="120" w:beforeLines="50" w:after="50"/>
        <w:rPr>
          <w:rFonts w:hint="eastAsia" w:ascii="宋体" w:hAnsi="宋体"/>
          <w:bCs/>
          <w:sz w:val="24"/>
          <w:szCs w:val="20"/>
          <w:highlight w:val="none"/>
        </w:rPr>
      </w:pPr>
    </w:p>
    <w:p w14:paraId="32D9BF78">
      <w:pPr>
        <w:snapToGrid w:val="0"/>
        <w:spacing w:before="120" w:beforeLines="50" w:after="50"/>
        <w:rPr>
          <w:rFonts w:hint="eastAsia" w:ascii="宋体" w:hAnsi="宋体"/>
          <w:bCs/>
          <w:sz w:val="24"/>
          <w:szCs w:val="20"/>
          <w:highlight w:val="none"/>
        </w:rPr>
      </w:pPr>
    </w:p>
    <w:p w14:paraId="3E900AA1">
      <w:pPr>
        <w:snapToGrid w:val="0"/>
        <w:spacing w:before="120" w:beforeLines="50" w:after="50"/>
        <w:rPr>
          <w:rFonts w:hint="eastAsia" w:ascii="宋体" w:hAnsi="宋体"/>
          <w:bCs/>
          <w:sz w:val="24"/>
          <w:szCs w:val="20"/>
          <w:highlight w:val="none"/>
        </w:rPr>
      </w:pPr>
    </w:p>
    <w:p w14:paraId="2BAE36BB">
      <w:pPr>
        <w:snapToGrid w:val="0"/>
        <w:spacing w:before="120" w:beforeLines="50" w:after="50"/>
        <w:rPr>
          <w:rFonts w:hint="eastAsia" w:ascii="宋体" w:hAnsi="宋体"/>
          <w:bCs/>
          <w:sz w:val="24"/>
          <w:szCs w:val="20"/>
          <w:highlight w:val="none"/>
        </w:rPr>
      </w:pPr>
    </w:p>
    <w:p w14:paraId="44F9B243">
      <w:pPr>
        <w:snapToGrid w:val="0"/>
        <w:spacing w:before="120" w:beforeLines="50" w:after="50"/>
        <w:rPr>
          <w:rFonts w:hint="eastAsia" w:ascii="宋体" w:hAnsi="宋体"/>
          <w:bCs/>
          <w:sz w:val="24"/>
          <w:szCs w:val="20"/>
          <w:highlight w:val="none"/>
        </w:rPr>
      </w:pPr>
    </w:p>
    <w:p w14:paraId="20029095">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p>
    <w:p w14:paraId="2DD9751A">
      <w:pPr>
        <w:snapToGrid w:val="0"/>
        <w:spacing w:before="120" w:beforeLines="50" w:after="50"/>
        <w:ind w:firstLine="720" w:firstLineChars="225"/>
        <w:rPr>
          <w:rFonts w:hint="eastAsia" w:ascii="宋体" w:hAnsi="宋体" w:cs="仿宋_GB2312"/>
          <w:bCs/>
          <w:sz w:val="32"/>
          <w:szCs w:val="32"/>
          <w:highlight w:val="none"/>
        </w:rPr>
      </w:pPr>
    </w:p>
    <w:p w14:paraId="68EC1651">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p>
    <w:p w14:paraId="5C394B9B">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 xml:space="preserve"> </w:t>
      </w:r>
    </w:p>
    <w:p w14:paraId="04F3534C">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0B9C7D10">
      <w:pPr>
        <w:snapToGrid w:val="0"/>
        <w:spacing w:before="120" w:beforeLines="50" w:after="50"/>
        <w:ind w:firstLine="720" w:firstLineChars="225"/>
        <w:rPr>
          <w:rFonts w:hint="eastAsia" w:ascii="宋体" w:hAnsi="宋体" w:cs="仿宋_GB2312"/>
          <w:bCs/>
          <w:sz w:val="32"/>
          <w:szCs w:val="32"/>
          <w:highlight w:val="none"/>
        </w:rPr>
      </w:pPr>
    </w:p>
    <w:p w14:paraId="08BCBFFE">
      <w:pPr>
        <w:pStyle w:val="7"/>
        <w:snapToGrid w:val="0"/>
        <w:spacing w:before="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65F87052">
      <w:pPr>
        <w:pStyle w:val="7"/>
        <w:snapToGrid w:val="0"/>
        <w:spacing w:before="50" w:after="50"/>
        <w:ind w:firstLine="640" w:firstLineChars="200"/>
        <w:rPr>
          <w:rFonts w:hint="eastAsia" w:ascii="宋体" w:hAnsi="宋体" w:cs="仿宋_GB2312"/>
          <w:bCs/>
          <w:sz w:val="32"/>
          <w:szCs w:val="32"/>
          <w:highlight w:val="none"/>
        </w:rPr>
      </w:pPr>
    </w:p>
    <w:p w14:paraId="432F6EA9">
      <w:pPr>
        <w:pStyle w:val="7"/>
        <w:snapToGrid w:val="0"/>
        <w:spacing w:before="50" w:after="50"/>
        <w:ind w:firstLine="720" w:firstLineChars="225"/>
        <w:rPr>
          <w:rFonts w:hint="eastAsia" w:ascii="宋体" w:hAnsi="宋体" w:cs="仿宋_GB2312"/>
          <w:bCs/>
          <w:sz w:val="32"/>
          <w:szCs w:val="32"/>
          <w:highlight w:val="none"/>
        </w:rPr>
      </w:pPr>
    </w:p>
    <w:p w14:paraId="661D327D">
      <w:pPr>
        <w:pStyle w:val="7"/>
        <w:snapToGrid w:val="0"/>
        <w:spacing w:before="50" w:after="50"/>
        <w:ind w:firstLine="0"/>
        <w:rPr>
          <w:rFonts w:hint="eastAsia" w:ascii="宋体" w:hAnsi="宋体" w:cs="仿宋_GB2312"/>
          <w:bCs/>
          <w:sz w:val="32"/>
          <w:szCs w:val="32"/>
          <w:highlight w:val="none"/>
        </w:rPr>
      </w:pPr>
    </w:p>
    <w:p w14:paraId="7CCE840B">
      <w:pPr>
        <w:pStyle w:val="7"/>
        <w:snapToGrid w:val="0"/>
        <w:spacing w:before="50" w:after="50"/>
        <w:ind w:firstLine="1280" w:firstLineChars="400"/>
        <w:rPr>
          <w:rFonts w:hint="eastAsia" w:ascii="宋体" w:hAnsi="宋体" w:cs="仿宋_GB2312"/>
          <w:bCs/>
          <w:sz w:val="32"/>
          <w:szCs w:val="32"/>
          <w:highlight w:val="none"/>
        </w:rPr>
      </w:pPr>
    </w:p>
    <w:p w14:paraId="531714D3">
      <w:pPr>
        <w:snapToGrid w:val="0"/>
        <w:spacing w:before="120"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4CA403FB">
      <w:pPr>
        <w:snapToGrid w:val="0"/>
        <w:spacing w:before="120" w:beforeLines="50" w:after="50" w:line="360" w:lineRule="auto"/>
        <w:ind w:left="142"/>
        <w:jc w:val="left"/>
        <w:rPr>
          <w:rFonts w:hint="eastAsia" w:ascii="宋体" w:hAnsi="宋体"/>
          <w:b/>
          <w:bCs/>
          <w:sz w:val="24"/>
          <w:highlight w:val="none"/>
        </w:rPr>
      </w:pPr>
      <w:r>
        <w:rPr>
          <w:rFonts w:hint="eastAsia" w:ascii="宋体" w:hAnsi="宋体"/>
          <w:szCs w:val="21"/>
          <w:highlight w:val="none"/>
        </w:rPr>
        <w:br w:type="page"/>
      </w:r>
      <w:r>
        <w:rPr>
          <w:rFonts w:hint="eastAsia" w:ascii="宋体" w:hAnsi="宋体"/>
          <w:b/>
          <w:bCs/>
          <w:sz w:val="32"/>
          <w:szCs w:val="32"/>
          <w:highlight w:val="none"/>
        </w:rPr>
        <w:t>2.报价文件目录</w:t>
      </w:r>
    </w:p>
    <w:p w14:paraId="15F85C26">
      <w:pPr>
        <w:spacing w:line="520" w:lineRule="exact"/>
        <w:jc w:val="left"/>
        <w:rPr>
          <w:rFonts w:hint="eastAsia" w:ascii="宋体" w:hAnsi="宋体"/>
          <w:sz w:val="32"/>
          <w:szCs w:val="32"/>
          <w:highlight w:val="none"/>
        </w:rPr>
      </w:pPr>
      <w:r>
        <w:rPr>
          <w:rFonts w:hint="eastAsia" w:ascii="宋体" w:hAnsi="宋体"/>
          <w:sz w:val="32"/>
          <w:szCs w:val="32"/>
          <w:highlight w:val="none"/>
        </w:rPr>
        <w:t>根据磋商文件规定及供应商提供的材料自行编写目录（部分格式后附）。</w:t>
      </w:r>
    </w:p>
    <w:p w14:paraId="4D55B163">
      <w:pPr>
        <w:spacing w:line="520" w:lineRule="exact"/>
        <w:jc w:val="center"/>
        <w:rPr>
          <w:rFonts w:hint="eastAsia" w:ascii="宋体" w:hAnsi="宋体" w:cs="方正小标宋简体"/>
          <w:b/>
          <w:bCs/>
          <w:sz w:val="32"/>
          <w:szCs w:val="32"/>
          <w:highlight w:val="none"/>
        </w:rPr>
      </w:pPr>
      <w:r>
        <w:rPr>
          <w:rFonts w:ascii="宋体" w:hAnsi="宋体"/>
          <w:b/>
          <w:bCs/>
          <w:sz w:val="32"/>
          <w:szCs w:val="32"/>
          <w:highlight w:val="none"/>
        </w:rPr>
        <w:br w:type="page"/>
      </w:r>
      <w:r>
        <w:rPr>
          <w:rFonts w:hint="eastAsia" w:ascii="宋体" w:hAnsi="宋体" w:cs="方正小标宋简体"/>
          <w:b/>
          <w:bCs/>
          <w:sz w:val="32"/>
          <w:szCs w:val="32"/>
          <w:highlight w:val="none"/>
        </w:rPr>
        <w:t>竞标函及竞标函附录</w:t>
      </w:r>
    </w:p>
    <w:p w14:paraId="536F6AAD">
      <w:pPr>
        <w:spacing w:line="520" w:lineRule="exact"/>
        <w:jc w:val="center"/>
        <w:rPr>
          <w:rFonts w:hint="eastAsia" w:ascii="宋体" w:hAnsi="宋体" w:cs="方正小标宋简体"/>
          <w:b/>
          <w:bCs/>
          <w:sz w:val="32"/>
          <w:szCs w:val="32"/>
          <w:highlight w:val="none"/>
        </w:rPr>
      </w:pPr>
    </w:p>
    <w:p w14:paraId="54A19768">
      <w:pPr>
        <w:spacing w:line="520" w:lineRule="exact"/>
        <w:jc w:val="center"/>
        <w:rPr>
          <w:rFonts w:hint="eastAsia" w:ascii="宋体" w:hAnsi="宋体" w:cs="方正小标宋简体"/>
          <w:b/>
          <w:bCs/>
          <w:sz w:val="32"/>
          <w:szCs w:val="32"/>
          <w:highlight w:val="none"/>
        </w:rPr>
      </w:pPr>
      <w:r>
        <w:rPr>
          <w:rFonts w:hint="eastAsia" w:ascii="宋体" w:hAnsi="宋体" w:cs="方正小标宋简体"/>
          <w:b/>
          <w:bCs/>
          <w:sz w:val="32"/>
          <w:szCs w:val="32"/>
          <w:highlight w:val="none"/>
        </w:rPr>
        <w:t>（一）竞标函</w:t>
      </w:r>
    </w:p>
    <w:p w14:paraId="3AAA1A6A">
      <w:pPr>
        <w:spacing w:line="520" w:lineRule="exact"/>
        <w:jc w:val="center"/>
        <w:rPr>
          <w:rFonts w:hint="eastAsia" w:ascii="宋体" w:hAnsi="宋体" w:cs="方正小标宋简体"/>
          <w:b/>
          <w:bCs/>
          <w:sz w:val="32"/>
          <w:szCs w:val="32"/>
          <w:highlight w:val="none"/>
        </w:rPr>
      </w:pPr>
    </w:p>
    <w:p w14:paraId="51B24E52">
      <w:pPr>
        <w:spacing w:line="360" w:lineRule="auto"/>
        <w:rPr>
          <w:szCs w:val="21"/>
          <w:highlight w:val="none"/>
        </w:rPr>
      </w:pP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w:t>
      </w:r>
      <w:r>
        <w:rPr>
          <w:rFonts w:hint="eastAsia"/>
          <w:szCs w:val="21"/>
          <w:highlight w:val="none"/>
          <w:lang w:val="zh-CN" w:bidi="zh-CN"/>
        </w:rPr>
        <w:t>采购人</w:t>
      </w:r>
      <w:r>
        <w:rPr>
          <w:szCs w:val="21"/>
          <w:highlight w:val="none"/>
          <w:lang w:val="zh-CN" w:bidi="zh-CN"/>
        </w:rPr>
        <w:t>名称</w:t>
      </w:r>
      <w:r>
        <w:rPr>
          <w:szCs w:val="21"/>
          <w:highlight w:val="none"/>
        </w:rPr>
        <w:t>）：</w:t>
      </w:r>
    </w:p>
    <w:p w14:paraId="22DABFD8">
      <w:pPr>
        <w:pStyle w:val="179"/>
        <w:numPr>
          <w:ilvl w:val="0"/>
          <w:numId w:val="3"/>
        </w:numPr>
        <w:tabs>
          <w:tab w:val="left" w:pos="762"/>
          <w:tab w:val="left" w:pos="2074"/>
          <w:tab w:val="left" w:pos="3430"/>
          <w:tab w:val="left" w:pos="4687"/>
          <w:tab w:val="left" w:pos="7898"/>
        </w:tabs>
        <w:ind w:firstLine="440"/>
        <w:rPr>
          <w:rFonts w:ascii="Times New Roman" w:hAnsi="Times New Roman" w:cs="Times New Roman"/>
          <w:szCs w:val="21"/>
          <w:highlight w:val="none"/>
        </w:rPr>
      </w:pPr>
      <w:bookmarkStart w:id="117" w:name="bookmark2065"/>
      <w:bookmarkEnd w:id="117"/>
      <w:r>
        <w:rPr>
          <w:rFonts w:ascii="Times New Roman" w:hAnsi="Times New Roman" w:cs="Times New Roman"/>
          <w:szCs w:val="21"/>
          <w:highlight w:val="none"/>
        </w:rPr>
        <w:t>我方已仔细研究了</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u w:val="single"/>
        </w:rPr>
        <w:t>（项目名称</w:t>
      </w:r>
      <w:r>
        <w:rPr>
          <w:rFonts w:hint="eastAsia" w:ascii="Times New Roman" w:hAnsi="Times New Roman" w:cs="Times New Roman"/>
          <w:szCs w:val="21"/>
          <w:highlight w:val="none"/>
          <w:u w:val="single"/>
        </w:rPr>
        <w:t>、项目编号</w:t>
      </w:r>
      <w:r>
        <w:rPr>
          <w:rFonts w:ascii="Times New Roman" w:hAnsi="Times New Roman" w:cs="Times New Roman"/>
          <w:szCs w:val="21"/>
          <w:highlight w:val="none"/>
          <w:u w:val="single"/>
        </w:rPr>
        <w:t>）</w:t>
      </w:r>
      <w:r>
        <w:rPr>
          <w:rFonts w:hint="eastAsia" w:ascii="Times New Roman" w:hAnsi="Times New Roman" w:cs="Times New Roman"/>
          <w:szCs w:val="21"/>
          <w:highlight w:val="none"/>
          <w:u w:val="single"/>
          <w:lang w:val="en-US"/>
        </w:rPr>
        <w:t xml:space="preserve">          </w:t>
      </w:r>
      <w:r>
        <w:rPr>
          <w:rFonts w:hint="eastAsia" w:ascii="Times New Roman" w:hAnsi="Times New Roman" w:cs="Times New Roman"/>
          <w:szCs w:val="21"/>
          <w:highlight w:val="none"/>
        </w:rPr>
        <w:t>磋商</w:t>
      </w:r>
      <w:r>
        <w:rPr>
          <w:rFonts w:ascii="Times New Roman" w:hAnsi="Times New Roman" w:cs="Times New Roman"/>
          <w:szCs w:val="21"/>
          <w:highlight w:val="none"/>
        </w:rPr>
        <w:t>文件的全部内容，愿意以人民币（大写）</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rPr>
        <w:t>元（¥</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rPr>
        <w:t>）的</w:t>
      </w:r>
      <w:r>
        <w:rPr>
          <w:rFonts w:hint="eastAsia" w:ascii="Times New Roman" w:hAnsi="Times New Roman" w:cs="Times New Roman"/>
          <w:szCs w:val="21"/>
          <w:highlight w:val="none"/>
        </w:rPr>
        <w:t>竞</w:t>
      </w:r>
      <w:r>
        <w:rPr>
          <w:rFonts w:ascii="Times New Roman" w:hAnsi="Times New Roman" w:cs="Times New Roman"/>
          <w:szCs w:val="21"/>
          <w:highlight w:val="none"/>
        </w:rPr>
        <w:t>标总报价，工期</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rPr>
        <w:t>日历天，按合同约定实施和完成承包工程，修补工程中的任何缺陷，工程质量达到</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lang w:val="en-US" w:bidi="en-US"/>
        </w:rPr>
        <w:t>。</w:t>
      </w:r>
    </w:p>
    <w:p w14:paraId="6A0EA06E">
      <w:pPr>
        <w:pStyle w:val="179"/>
        <w:numPr>
          <w:ilvl w:val="0"/>
          <w:numId w:val="3"/>
        </w:numPr>
        <w:tabs>
          <w:tab w:val="left" w:pos="762"/>
        </w:tabs>
        <w:ind w:firstLine="420"/>
        <w:rPr>
          <w:rFonts w:hint="eastAsia" w:ascii="Times New Roman" w:hAnsi="Times New Roman" w:cs="Times New Roman"/>
          <w:szCs w:val="21"/>
          <w:highlight w:val="none"/>
        </w:rPr>
      </w:pPr>
      <w:bookmarkStart w:id="118" w:name="bookmark2066"/>
      <w:bookmarkEnd w:id="118"/>
      <w:bookmarkStart w:id="119" w:name="bookmark2068"/>
      <w:bookmarkEnd w:id="119"/>
      <w:bookmarkStart w:id="120" w:name="bookmark2067"/>
      <w:bookmarkEnd w:id="120"/>
      <w:r>
        <w:rPr>
          <w:rFonts w:hint="eastAsia"/>
          <w:highlight w:val="none"/>
        </w:rPr>
        <w:t>我方承认竞标函附录是我方竞标函的组成部分。</w:t>
      </w:r>
    </w:p>
    <w:p w14:paraId="5D6F2EB2">
      <w:pPr>
        <w:pStyle w:val="179"/>
        <w:numPr>
          <w:ilvl w:val="0"/>
          <w:numId w:val="3"/>
        </w:numPr>
        <w:tabs>
          <w:tab w:val="left" w:pos="762"/>
        </w:tabs>
        <w:ind w:firstLine="420"/>
        <w:rPr>
          <w:rFonts w:ascii="Times New Roman" w:hAnsi="Times New Roman" w:cs="Times New Roman"/>
          <w:szCs w:val="21"/>
          <w:highlight w:val="none"/>
        </w:rPr>
      </w:pPr>
      <w:r>
        <w:rPr>
          <w:rFonts w:ascii="Times New Roman" w:hAnsi="Times New Roman" w:cs="Times New Roman"/>
          <w:szCs w:val="21"/>
          <w:highlight w:val="none"/>
        </w:rPr>
        <w:t>如我方</w:t>
      </w:r>
      <w:r>
        <w:rPr>
          <w:rFonts w:hint="eastAsia" w:ascii="Times New Roman" w:hAnsi="Times New Roman" w:cs="Times New Roman"/>
          <w:szCs w:val="21"/>
          <w:highlight w:val="none"/>
        </w:rPr>
        <w:t>成交</w:t>
      </w:r>
      <w:r>
        <w:rPr>
          <w:rFonts w:ascii="Times New Roman" w:hAnsi="Times New Roman" w:cs="Times New Roman"/>
          <w:szCs w:val="21"/>
          <w:highlight w:val="none"/>
        </w:rPr>
        <w:t>：</w:t>
      </w:r>
    </w:p>
    <w:p w14:paraId="1A776172">
      <w:pPr>
        <w:pStyle w:val="179"/>
        <w:tabs>
          <w:tab w:val="left" w:pos="903"/>
        </w:tabs>
        <w:ind w:firstLine="420"/>
        <w:rPr>
          <w:rFonts w:ascii="Times New Roman" w:hAnsi="Times New Roman" w:cs="Times New Roman"/>
          <w:szCs w:val="21"/>
          <w:highlight w:val="none"/>
        </w:rPr>
      </w:pPr>
      <w:bookmarkStart w:id="121" w:name="bookmark2069"/>
      <w:r>
        <w:rPr>
          <w:rFonts w:ascii="Times New Roman" w:hAnsi="Times New Roman" w:cs="Times New Roman"/>
          <w:szCs w:val="21"/>
          <w:highlight w:val="none"/>
        </w:rPr>
        <w:t>（</w:t>
      </w:r>
      <w:bookmarkEnd w:id="121"/>
      <w:r>
        <w:rPr>
          <w:rFonts w:ascii="Times New Roman" w:hAnsi="Times New Roman" w:cs="Times New Roman"/>
          <w:szCs w:val="21"/>
          <w:highlight w:val="none"/>
        </w:rPr>
        <w:t>1）我方承诺在收到</w:t>
      </w:r>
      <w:r>
        <w:rPr>
          <w:rFonts w:hint="eastAsia" w:ascii="Times New Roman" w:hAnsi="Times New Roman" w:cs="Times New Roman"/>
          <w:szCs w:val="21"/>
          <w:highlight w:val="none"/>
        </w:rPr>
        <w:t>成交</w:t>
      </w:r>
      <w:r>
        <w:rPr>
          <w:rFonts w:ascii="Times New Roman" w:hAnsi="Times New Roman" w:cs="Times New Roman"/>
          <w:szCs w:val="21"/>
          <w:highlight w:val="none"/>
        </w:rPr>
        <w:t>通知书后，在</w:t>
      </w:r>
      <w:r>
        <w:rPr>
          <w:rFonts w:hint="eastAsia" w:ascii="Times New Roman" w:hAnsi="Times New Roman" w:cs="Times New Roman"/>
          <w:szCs w:val="21"/>
          <w:highlight w:val="none"/>
        </w:rPr>
        <w:t>成交</w:t>
      </w:r>
      <w:r>
        <w:rPr>
          <w:rFonts w:ascii="Times New Roman" w:hAnsi="Times New Roman" w:cs="Times New Roman"/>
          <w:szCs w:val="21"/>
          <w:highlight w:val="none"/>
        </w:rPr>
        <w:t>通知书规定的期限内与你方签订合同。</w:t>
      </w:r>
    </w:p>
    <w:p w14:paraId="69B6692A">
      <w:pPr>
        <w:pStyle w:val="179"/>
        <w:tabs>
          <w:tab w:val="left" w:pos="903"/>
        </w:tabs>
        <w:ind w:firstLine="420"/>
        <w:rPr>
          <w:rFonts w:ascii="Times New Roman" w:hAnsi="Times New Roman" w:cs="Times New Roman"/>
          <w:szCs w:val="21"/>
          <w:highlight w:val="none"/>
        </w:rPr>
      </w:pPr>
      <w:bookmarkStart w:id="122" w:name="bookmark2070"/>
      <w:r>
        <w:rPr>
          <w:rFonts w:ascii="Times New Roman" w:hAnsi="Times New Roman" w:cs="Times New Roman"/>
          <w:szCs w:val="21"/>
          <w:highlight w:val="none"/>
        </w:rPr>
        <w:t>（</w:t>
      </w:r>
      <w:bookmarkEnd w:id="122"/>
      <w:r>
        <w:rPr>
          <w:rFonts w:ascii="Times New Roman" w:hAnsi="Times New Roman" w:cs="Times New Roman"/>
          <w:szCs w:val="21"/>
          <w:highlight w:val="none"/>
        </w:rPr>
        <w:t>2）</w:t>
      </w:r>
      <w:r>
        <w:rPr>
          <w:highlight w:val="none"/>
        </w:rPr>
        <w:t>在签订合同时不向你方提出附加条件</w:t>
      </w:r>
      <w:r>
        <w:rPr>
          <w:rFonts w:ascii="Times New Roman" w:hAnsi="Times New Roman" w:cs="Times New Roman"/>
          <w:szCs w:val="21"/>
          <w:highlight w:val="none"/>
        </w:rPr>
        <w:t>。</w:t>
      </w:r>
    </w:p>
    <w:p w14:paraId="181B17DF">
      <w:pPr>
        <w:pStyle w:val="179"/>
        <w:tabs>
          <w:tab w:val="left" w:pos="903"/>
        </w:tabs>
        <w:ind w:firstLine="420"/>
        <w:rPr>
          <w:rFonts w:ascii="Times New Roman" w:hAnsi="Times New Roman" w:cs="Times New Roman"/>
          <w:szCs w:val="21"/>
          <w:highlight w:val="none"/>
        </w:rPr>
      </w:pPr>
      <w:bookmarkStart w:id="123" w:name="bookmark2071"/>
      <w:r>
        <w:rPr>
          <w:rFonts w:ascii="Times New Roman" w:hAnsi="Times New Roman" w:cs="Times New Roman"/>
          <w:szCs w:val="21"/>
          <w:highlight w:val="none"/>
        </w:rPr>
        <w:t>（</w:t>
      </w:r>
      <w:bookmarkEnd w:id="123"/>
      <w:r>
        <w:rPr>
          <w:rFonts w:ascii="Times New Roman" w:hAnsi="Times New Roman" w:cs="Times New Roman"/>
          <w:szCs w:val="21"/>
          <w:highlight w:val="none"/>
        </w:rPr>
        <w:t>3）我方承诺按照</w:t>
      </w:r>
      <w:r>
        <w:rPr>
          <w:rFonts w:hint="eastAsia" w:ascii="Times New Roman" w:hAnsi="Times New Roman" w:cs="Times New Roman"/>
          <w:szCs w:val="21"/>
          <w:highlight w:val="none"/>
        </w:rPr>
        <w:t>磋商</w:t>
      </w:r>
      <w:r>
        <w:rPr>
          <w:rFonts w:ascii="Times New Roman" w:hAnsi="Times New Roman" w:cs="Times New Roman"/>
          <w:szCs w:val="21"/>
          <w:highlight w:val="none"/>
        </w:rPr>
        <w:t>文件规定向你方递交履约担保。</w:t>
      </w:r>
    </w:p>
    <w:p w14:paraId="02B47681">
      <w:pPr>
        <w:pStyle w:val="179"/>
        <w:tabs>
          <w:tab w:val="left" w:pos="903"/>
        </w:tabs>
        <w:ind w:firstLine="420"/>
        <w:rPr>
          <w:rFonts w:hint="eastAsia" w:ascii="Times New Roman" w:hAnsi="Times New Roman" w:cs="Times New Roman"/>
          <w:szCs w:val="21"/>
          <w:highlight w:val="none"/>
        </w:rPr>
      </w:pPr>
      <w:bookmarkStart w:id="124" w:name="bookmark2072"/>
      <w:r>
        <w:rPr>
          <w:rFonts w:ascii="Times New Roman" w:hAnsi="Times New Roman" w:cs="Times New Roman"/>
          <w:szCs w:val="21"/>
          <w:highlight w:val="none"/>
        </w:rPr>
        <w:t>（</w:t>
      </w:r>
      <w:bookmarkEnd w:id="124"/>
      <w:r>
        <w:rPr>
          <w:rFonts w:ascii="Times New Roman" w:hAnsi="Times New Roman" w:cs="Times New Roman"/>
          <w:szCs w:val="21"/>
          <w:highlight w:val="none"/>
        </w:rPr>
        <w:t>4）我方承诺在合同约定的期限内完成并移交全部合同工程。</w:t>
      </w:r>
    </w:p>
    <w:p w14:paraId="4D81D2D7">
      <w:pPr>
        <w:pStyle w:val="179"/>
        <w:numPr>
          <w:ilvl w:val="0"/>
          <w:numId w:val="3"/>
        </w:numPr>
        <w:tabs>
          <w:tab w:val="left" w:pos="762"/>
        </w:tabs>
        <w:ind w:firstLine="440"/>
        <w:rPr>
          <w:rFonts w:ascii="Times New Roman" w:hAnsi="Times New Roman" w:cs="Times New Roman"/>
          <w:szCs w:val="21"/>
          <w:highlight w:val="none"/>
        </w:rPr>
      </w:pPr>
      <w:bookmarkStart w:id="125" w:name="bookmark2073"/>
      <w:bookmarkEnd w:id="125"/>
      <w:r>
        <w:rPr>
          <w:highlight w:val="none"/>
        </w:rPr>
        <w:t>在合同协议书正式签署生效之前，本</w:t>
      </w:r>
      <w:r>
        <w:rPr>
          <w:rFonts w:hint="eastAsia" w:ascii="Times New Roman" w:hAnsi="Times New Roman" w:cs="Times New Roman"/>
          <w:szCs w:val="21"/>
          <w:highlight w:val="none"/>
        </w:rPr>
        <w:t>竞</w:t>
      </w:r>
      <w:r>
        <w:rPr>
          <w:rFonts w:ascii="Times New Roman" w:hAnsi="Times New Roman" w:cs="Times New Roman"/>
          <w:szCs w:val="21"/>
          <w:highlight w:val="none"/>
        </w:rPr>
        <w:t>标</w:t>
      </w:r>
      <w:r>
        <w:rPr>
          <w:highlight w:val="none"/>
        </w:rPr>
        <w:t>函连同你方的</w:t>
      </w:r>
      <w:r>
        <w:rPr>
          <w:rFonts w:hint="eastAsia"/>
          <w:highlight w:val="none"/>
        </w:rPr>
        <w:t>成交</w:t>
      </w:r>
      <w:r>
        <w:rPr>
          <w:highlight w:val="none"/>
        </w:rPr>
        <w:t>通知书将构成我们双方之间共同遵守的文件，对双方具有约束力</w:t>
      </w:r>
      <w:r>
        <w:rPr>
          <w:rFonts w:ascii="Times New Roman" w:hAnsi="Times New Roman" w:cs="Times New Roman"/>
          <w:szCs w:val="21"/>
          <w:highlight w:val="none"/>
        </w:rPr>
        <w:t>。</w:t>
      </w:r>
    </w:p>
    <w:p w14:paraId="797E39C9">
      <w:pPr>
        <w:spacing w:line="360" w:lineRule="auto"/>
        <w:ind w:firstLine="420" w:firstLineChars="200"/>
        <w:rPr>
          <w:rFonts w:hint="eastAsia"/>
          <w:szCs w:val="21"/>
          <w:highlight w:val="none"/>
        </w:rPr>
      </w:pPr>
      <w:bookmarkStart w:id="126" w:name="bookmark2074"/>
      <w:bookmarkEnd w:id="126"/>
      <w:r>
        <w:rPr>
          <w:rFonts w:hint="eastAsia"/>
          <w:szCs w:val="21"/>
          <w:highlight w:val="none"/>
        </w:rPr>
        <w:t>5.</w:t>
      </w:r>
      <w:r>
        <w:rPr>
          <w:rFonts w:hint="eastAsia"/>
          <w:szCs w:val="21"/>
          <w:highlight w:val="none"/>
          <w:u w:val="single"/>
        </w:rPr>
        <w:t xml:space="preserve">                                                   </w:t>
      </w:r>
      <w:r>
        <w:rPr>
          <w:szCs w:val="21"/>
          <w:highlight w:val="none"/>
        </w:rPr>
        <w:t>（其他补充说明）。</w:t>
      </w:r>
    </w:p>
    <w:p w14:paraId="1FF7AF40">
      <w:pPr>
        <w:spacing w:line="360" w:lineRule="auto"/>
        <w:jc w:val="center"/>
        <w:rPr>
          <w:rFonts w:hint="eastAsia" w:ascii="宋体" w:hAnsi="宋体" w:cs="方正小标宋简体"/>
          <w:b/>
          <w:bCs/>
          <w:sz w:val="32"/>
          <w:szCs w:val="32"/>
          <w:highlight w:val="none"/>
        </w:rPr>
      </w:pPr>
    </w:p>
    <w:p w14:paraId="13A95994">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法定代表人或者委托代理人（签字或者电子签名）：                    </w:t>
      </w:r>
    </w:p>
    <w:p w14:paraId="01283337">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供应商（电子签章）：      </w:t>
      </w:r>
    </w:p>
    <w:p w14:paraId="7C9D2FC4">
      <w:pPr>
        <w:spacing w:line="360" w:lineRule="auto"/>
        <w:jc w:val="center"/>
        <w:rPr>
          <w:rFonts w:hint="eastAsia" w:ascii="宋体" w:hAnsi="宋体" w:cs="方正小标宋简体"/>
          <w:b/>
          <w:bCs/>
          <w:sz w:val="32"/>
          <w:szCs w:val="32"/>
          <w:highlight w:val="none"/>
        </w:rPr>
      </w:pPr>
      <w:r>
        <w:rPr>
          <w:rFonts w:hint="eastAsia" w:ascii="宋体" w:hAnsi="宋体" w:cs="仿宋_GB2312"/>
          <w:sz w:val="24"/>
          <w:highlight w:val="none"/>
        </w:rPr>
        <w:t>日期：   年   月   日</w:t>
      </w:r>
      <w:r>
        <w:rPr>
          <w:rFonts w:ascii="宋体" w:hAnsi="宋体" w:cs="方正小标宋简体"/>
          <w:b/>
          <w:bCs/>
          <w:sz w:val="32"/>
          <w:szCs w:val="32"/>
          <w:highlight w:val="none"/>
        </w:rPr>
        <w:br w:type="page"/>
      </w:r>
      <w:r>
        <w:rPr>
          <w:rFonts w:hint="eastAsia" w:ascii="宋体" w:hAnsi="宋体" w:cs="方正小标宋简体"/>
          <w:b/>
          <w:bCs/>
          <w:sz w:val="32"/>
          <w:szCs w:val="32"/>
          <w:highlight w:val="none"/>
        </w:rPr>
        <w:t>（二）竞标函附录</w:t>
      </w:r>
    </w:p>
    <w:tbl>
      <w:tblPr>
        <w:tblStyle w:val="44"/>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1355"/>
        <w:gridCol w:w="3250"/>
        <w:gridCol w:w="1348"/>
      </w:tblGrid>
      <w:tr w14:paraId="3C21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41F6338">
            <w:pPr>
              <w:jc w:val="center"/>
              <w:rPr>
                <w:highlight w:val="none"/>
              </w:rPr>
            </w:pPr>
            <w:r>
              <w:rPr>
                <w:rFonts w:hint="eastAsia" w:cs="宋体"/>
                <w:highlight w:val="none"/>
              </w:rPr>
              <w:t>序</w:t>
            </w:r>
            <w:r>
              <w:rPr>
                <w:highlight w:val="none"/>
              </w:rPr>
              <w:t xml:space="preserve"> </w:t>
            </w:r>
            <w:r>
              <w:rPr>
                <w:rFonts w:hint="eastAsia" w:cs="宋体"/>
                <w:highlight w:val="none"/>
              </w:rPr>
              <w:t>号</w:t>
            </w:r>
          </w:p>
        </w:tc>
        <w:tc>
          <w:tcPr>
            <w:tcW w:w="1985" w:type="dxa"/>
            <w:noWrap w:val="0"/>
            <w:vAlign w:val="center"/>
          </w:tcPr>
          <w:p w14:paraId="7270F308">
            <w:pPr>
              <w:jc w:val="center"/>
              <w:rPr>
                <w:highlight w:val="none"/>
              </w:rPr>
            </w:pPr>
            <w:r>
              <w:rPr>
                <w:rFonts w:hint="eastAsia" w:cs="宋体"/>
                <w:highlight w:val="none"/>
              </w:rPr>
              <w:t>条款内容</w:t>
            </w:r>
          </w:p>
        </w:tc>
        <w:tc>
          <w:tcPr>
            <w:tcW w:w="1355" w:type="dxa"/>
            <w:noWrap w:val="0"/>
            <w:vAlign w:val="center"/>
          </w:tcPr>
          <w:p w14:paraId="3FD05283">
            <w:pPr>
              <w:jc w:val="center"/>
              <w:rPr>
                <w:highlight w:val="none"/>
              </w:rPr>
            </w:pPr>
            <w:r>
              <w:rPr>
                <w:rFonts w:hint="eastAsia" w:cs="宋体"/>
                <w:highlight w:val="none"/>
              </w:rPr>
              <w:t>合同条款号</w:t>
            </w:r>
          </w:p>
        </w:tc>
        <w:tc>
          <w:tcPr>
            <w:tcW w:w="3250" w:type="dxa"/>
            <w:noWrap w:val="0"/>
            <w:vAlign w:val="center"/>
          </w:tcPr>
          <w:p w14:paraId="51659081">
            <w:pPr>
              <w:jc w:val="center"/>
              <w:rPr>
                <w:highlight w:val="none"/>
              </w:rPr>
            </w:pPr>
            <w:r>
              <w:rPr>
                <w:rFonts w:hint="eastAsia" w:cs="宋体"/>
                <w:highlight w:val="none"/>
              </w:rPr>
              <w:t>约定内容</w:t>
            </w:r>
          </w:p>
        </w:tc>
        <w:tc>
          <w:tcPr>
            <w:tcW w:w="1348" w:type="dxa"/>
            <w:noWrap w:val="0"/>
            <w:vAlign w:val="center"/>
          </w:tcPr>
          <w:p w14:paraId="2BFFED31">
            <w:pPr>
              <w:jc w:val="center"/>
              <w:rPr>
                <w:highlight w:val="none"/>
              </w:rPr>
            </w:pPr>
            <w:r>
              <w:rPr>
                <w:rFonts w:hint="eastAsia" w:cs="宋体"/>
                <w:highlight w:val="none"/>
              </w:rPr>
              <w:t>供应商响应情况</w:t>
            </w:r>
          </w:p>
        </w:tc>
      </w:tr>
      <w:tr w14:paraId="407C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22F424">
            <w:pPr>
              <w:jc w:val="center"/>
              <w:rPr>
                <w:highlight w:val="none"/>
              </w:rPr>
            </w:pPr>
            <w:r>
              <w:rPr>
                <w:highlight w:val="none"/>
              </w:rPr>
              <w:t>1</w:t>
            </w:r>
          </w:p>
        </w:tc>
        <w:tc>
          <w:tcPr>
            <w:tcW w:w="1985" w:type="dxa"/>
            <w:noWrap w:val="0"/>
            <w:vAlign w:val="center"/>
          </w:tcPr>
          <w:p w14:paraId="594670BC">
            <w:pPr>
              <w:rPr>
                <w:highlight w:val="none"/>
              </w:rPr>
            </w:pPr>
            <w:r>
              <w:rPr>
                <w:rFonts w:hint="eastAsia" w:cs="宋体"/>
                <w:highlight w:val="none"/>
              </w:rPr>
              <w:t>项目经理</w:t>
            </w:r>
          </w:p>
        </w:tc>
        <w:tc>
          <w:tcPr>
            <w:tcW w:w="1355" w:type="dxa"/>
            <w:noWrap w:val="0"/>
            <w:tcMar>
              <w:left w:w="170" w:type="dxa"/>
            </w:tcMar>
            <w:vAlign w:val="center"/>
          </w:tcPr>
          <w:p w14:paraId="7638BB7C">
            <w:pPr>
              <w:jc w:val="center"/>
              <w:rPr>
                <w:highlight w:val="none"/>
              </w:rPr>
            </w:pPr>
            <w:r>
              <w:rPr>
                <w:rFonts w:hint="eastAsia" w:cs="宋体"/>
                <w:highlight w:val="none"/>
              </w:rPr>
              <w:t>专用条款</w:t>
            </w:r>
          </w:p>
        </w:tc>
        <w:tc>
          <w:tcPr>
            <w:tcW w:w="3250" w:type="dxa"/>
            <w:noWrap w:val="0"/>
            <w:vAlign w:val="center"/>
          </w:tcPr>
          <w:p w14:paraId="23DC23A1">
            <w:pPr>
              <w:rPr>
                <w:highlight w:val="none"/>
              </w:rPr>
            </w:pPr>
            <w:r>
              <w:rPr>
                <w:rFonts w:hint="eastAsia" w:cs="宋体"/>
                <w:highlight w:val="none"/>
              </w:rPr>
              <w:t>姓名：</w:t>
            </w:r>
            <w:r>
              <w:rPr>
                <w:highlight w:val="none"/>
                <w:u w:val="single"/>
              </w:rPr>
              <w:t xml:space="preserve">          </w:t>
            </w:r>
          </w:p>
        </w:tc>
        <w:tc>
          <w:tcPr>
            <w:tcW w:w="1348" w:type="dxa"/>
            <w:noWrap w:val="0"/>
            <w:vAlign w:val="center"/>
          </w:tcPr>
          <w:p w14:paraId="0D41125C">
            <w:pPr>
              <w:jc w:val="center"/>
              <w:rPr>
                <w:highlight w:val="none"/>
              </w:rPr>
            </w:pPr>
          </w:p>
        </w:tc>
      </w:tr>
      <w:tr w14:paraId="38FC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BF46B4E">
            <w:pPr>
              <w:jc w:val="center"/>
              <w:rPr>
                <w:highlight w:val="none"/>
              </w:rPr>
            </w:pPr>
            <w:r>
              <w:rPr>
                <w:highlight w:val="none"/>
              </w:rPr>
              <w:t>2</w:t>
            </w:r>
          </w:p>
        </w:tc>
        <w:tc>
          <w:tcPr>
            <w:tcW w:w="1985" w:type="dxa"/>
            <w:noWrap w:val="0"/>
            <w:vAlign w:val="center"/>
          </w:tcPr>
          <w:p w14:paraId="3D1CB552">
            <w:pPr>
              <w:rPr>
                <w:highlight w:val="none"/>
              </w:rPr>
            </w:pPr>
            <w:r>
              <w:rPr>
                <w:rFonts w:hint="eastAsia" w:cs="宋体"/>
                <w:highlight w:val="none"/>
              </w:rPr>
              <w:t>竞标有效期</w:t>
            </w:r>
          </w:p>
        </w:tc>
        <w:tc>
          <w:tcPr>
            <w:tcW w:w="1355" w:type="dxa"/>
            <w:noWrap w:val="0"/>
            <w:tcMar>
              <w:left w:w="170" w:type="dxa"/>
            </w:tcMar>
            <w:vAlign w:val="center"/>
          </w:tcPr>
          <w:p w14:paraId="6B2F84A7">
            <w:pPr>
              <w:rPr>
                <w:highlight w:val="none"/>
              </w:rPr>
            </w:pPr>
          </w:p>
        </w:tc>
        <w:tc>
          <w:tcPr>
            <w:tcW w:w="3250" w:type="dxa"/>
            <w:noWrap w:val="0"/>
            <w:vAlign w:val="center"/>
          </w:tcPr>
          <w:p w14:paraId="1B7D74B2">
            <w:pPr>
              <w:jc w:val="center"/>
              <w:rPr>
                <w:highlight w:val="none"/>
                <w:u w:val="single"/>
              </w:rPr>
            </w:pPr>
          </w:p>
        </w:tc>
        <w:tc>
          <w:tcPr>
            <w:tcW w:w="1348" w:type="dxa"/>
            <w:noWrap w:val="0"/>
            <w:vAlign w:val="center"/>
          </w:tcPr>
          <w:p w14:paraId="371BD5AB">
            <w:pPr>
              <w:jc w:val="center"/>
              <w:rPr>
                <w:highlight w:val="none"/>
              </w:rPr>
            </w:pPr>
          </w:p>
        </w:tc>
      </w:tr>
      <w:tr w14:paraId="541B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6A5E461">
            <w:pPr>
              <w:jc w:val="center"/>
              <w:rPr>
                <w:highlight w:val="none"/>
              </w:rPr>
            </w:pPr>
            <w:r>
              <w:rPr>
                <w:highlight w:val="none"/>
              </w:rPr>
              <w:t>3</w:t>
            </w:r>
          </w:p>
        </w:tc>
        <w:tc>
          <w:tcPr>
            <w:tcW w:w="1985" w:type="dxa"/>
            <w:noWrap w:val="0"/>
            <w:vAlign w:val="center"/>
          </w:tcPr>
          <w:p w14:paraId="5D84FACB">
            <w:pPr>
              <w:rPr>
                <w:highlight w:val="none"/>
              </w:rPr>
            </w:pPr>
            <w:r>
              <w:rPr>
                <w:rFonts w:hint="eastAsia" w:cs="宋体"/>
                <w:highlight w:val="none"/>
              </w:rPr>
              <w:t>工期</w:t>
            </w:r>
          </w:p>
        </w:tc>
        <w:tc>
          <w:tcPr>
            <w:tcW w:w="1355" w:type="dxa"/>
            <w:noWrap w:val="0"/>
            <w:tcMar>
              <w:left w:w="170" w:type="dxa"/>
            </w:tcMar>
            <w:vAlign w:val="center"/>
          </w:tcPr>
          <w:p w14:paraId="79343E59">
            <w:pPr>
              <w:jc w:val="center"/>
              <w:rPr>
                <w:highlight w:val="none"/>
              </w:rPr>
            </w:pPr>
            <w:r>
              <w:rPr>
                <w:rFonts w:hint="eastAsia" w:cs="宋体"/>
                <w:highlight w:val="none"/>
              </w:rPr>
              <w:t>专用条款</w:t>
            </w:r>
          </w:p>
        </w:tc>
        <w:tc>
          <w:tcPr>
            <w:tcW w:w="3250" w:type="dxa"/>
            <w:noWrap w:val="0"/>
            <w:vAlign w:val="center"/>
          </w:tcPr>
          <w:p w14:paraId="00B91847">
            <w:pPr>
              <w:jc w:val="center"/>
              <w:rPr>
                <w:highlight w:val="none"/>
              </w:rPr>
            </w:pPr>
            <w:r>
              <w:rPr>
                <w:highlight w:val="none"/>
                <w:u w:val="single"/>
              </w:rPr>
              <w:t xml:space="preserve">          </w:t>
            </w:r>
            <w:r>
              <w:rPr>
                <w:rFonts w:hint="eastAsia" w:cs="宋体"/>
                <w:highlight w:val="none"/>
              </w:rPr>
              <w:t>日历天</w:t>
            </w:r>
          </w:p>
        </w:tc>
        <w:tc>
          <w:tcPr>
            <w:tcW w:w="1348" w:type="dxa"/>
            <w:noWrap w:val="0"/>
            <w:vAlign w:val="center"/>
          </w:tcPr>
          <w:p w14:paraId="003CAC06">
            <w:pPr>
              <w:jc w:val="center"/>
              <w:rPr>
                <w:highlight w:val="none"/>
              </w:rPr>
            </w:pPr>
          </w:p>
        </w:tc>
      </w:tr>
      <w:tr w14:paraId="375C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6E3D801">
            <w:pPr>
              <w:jc w:val="center"/>
              <w:rPr>
                <w:highlight w:val="none"/>
              </w:rPr>
            </w:pPr>
            <w:r>
              <w:rPr>
                <w:highlight w:val="none"/>
              </w:rPr>
              <w:t>4</w:t>
            </w:r>
          </w:p>
        </w:tc>
        <w:tc>
          <w:tcPr>
            <w:tcW w:w="1985" w:type="dxa"/>
            <w:noWrap w:val="0"/>
            <w:vAlign w:val="center"/>
          </w:tcPr>
          <w:p w14:paraId="5D8ED86F">
            <w:pPr>
              <w:rPr>
                <w:highlight w:val="none"/>
              </w:rPr>
            </w:pPr>
            <w:r>
              <w:rPr>
                <w:rFonts w:hint="eastAsia" w:cs="宋体"/>
                <w:highlight w:val="none"/>
              </w:rPr>
              <w:t>缺陷责任期</w:t>
            </w:r>
          </w:p>
        </w:tc>
        <w:tc>
          <w:tcPr>
            <w:tcW w:w="1355" w:type="dxa"/>
            <w:noWrap w:val="0"/>
            <w:tcMar>
              <w:left w:w="170" w:type="dxa"/>
            </w:tcMar>
            <w:vAlign w:val="center"/>
          </w:tcPr>
          <w:p w14:paraId="450BEA98">
            <w:pPr>
              <w:jc w:val="center"/>
              <w:rPr>
                <w:highlight w:val="none"/>
              </w:rPr>
            </w:pPr>
            <w:r>
              <w:rPr>
                <w:rFonts w:hint="eastAsia" w:cs="宋体"/>
                <w:highlight w:val="none"/>
              </w:rPr>
              <w:t>专用条款</w:t>
            </w:r>
          </w:p>
        </w:tc>
        <w:tc>
          <w:tcPr>
            <w:tcW w:w="3250" w:type="dxa"/>
            <w:noWrap w:val="0"/>
            <w:vAlign w:val="center"/>
          </w:tcPr>
          <w:p w14:paraId="48D63E09">
            <w:pPr>
              <w:jc w:val="center"/>
              <w:rPr>
                <w:highlight w:val="none"/>
              </w:rPr>
            </w:pPr>
          </w:p>
        </w:tc>
        <w:tc>
          <w:tcPr>
            <w:tcW w:w="1348" w:type="dxa"/>
            <w:noWrap w:val="0"/>
            <w:vAlign w:val="center"/>
          </w:tcPr>
          <w:p w14:paraId="21E3C464">
            <w:pPr>
              <w:jc w:val="center"/>
              <w:rPr>
                <w:highlight w:val="none"/>
              </w:rPr>
            </w:pPr>
          </w:p>
        </w:tc>
      </w:tr>
      <w:tr w14:paraId="6534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2A992B1">
            <w:pPr>
              <w:jc w:val="center"/>
              <w:rPr>
                <w:highlight w:val="none"/>
              </w:rPr>
            </w:pPr>
            <w:r>
              <w:rPr>
                <w:highlight w:val="none"/>
              </w:rPr>
              <w:t>5</w:t>
            </w:r>
          </w:p>
        </w:tc>
        <w:tc>
          <w:tcPr>
            <w:tcW w:w="1985" w:type="dxa"/>
            <w:noWrap w:val="0"/>
            <w:vAlign w:val="center"/>
          </w:tcPr>
          <w:p w14:paraId="2B6DB0A9">
            <w:pPr>
              <w:rPr>
                <w:highlight w:val="none"/>
              </w:rPr>
            </w:pPr>
            <w:r>
              <w:rPr>
                <w:rFonts w:hint="eastAsia" w:cs="宋体"/>
                <w:highlight w:val="none"/>
              </w:rPr>
              <w:t>发包人支付担保</w:t>
            </w:r>
          </w:p>
        </w:tc>
        <w:tc>
          <w:tcPr>
            <w:tcW w:w="1355" w:type="dxa"/>
            <w:noWrap w:val="0"/>
            <w:tcMar>
              <w:left w:w="170" w:type="dxa"/>
            </w:tcMar>
            <w:vAlign w:val="center"/>
          </w:tcPr>
          <w:p w14:paraId="62EB8C94">
            <w:pPr>
              <w:jc w:val="center"/>
              <w:rPr>
                <w:highlight w:val="none"/>
              </w:rPr>
            </w:pPr>
            <w:r>
              <w:rPr>
                <w:rFonts w:hint="eastAsia" w:cs="宋体"/>
                <w:highlight w:val="none"/>
              </w:rPr>
              <w:t>专用条款</w:t>
            </w:r>
          </w:p>
        </w:tc>
        <w:tc>
          <w:tcPr>
            <w:tcW w:w="3250" w:type="dxa"/>
            <w:noWrap w:val="0"/>
            <w:vAlign w:val="center"/>
          </w:tcPr>
          <w:p w14:paraId="4B6DC5D4">
            <w:pPr>
              <w:jc w:val="center"/>
              <w:rPr>
                <w:highlight w:val="none"/>
              </w:rPr>
            </w:pPr>
          </w:p>
        </w:tc>
        <w:tc>
          <w:tcPr>
            <w:tcW w:w="1348" w:type="dxa"/>
            <w:noWrap w:val="0"/>
            <w:vAlign w:val="center"/>
          </w:tcPr>
          <w:p w14:paraId="6F4EDAE2">
            <w:pPr>
              <w:jc w:val="center"/>
              <w:rPr>
                <w:highlight w:val="none"/>
              </w:rPr>
            </w:pPr>
          </w:p>
        </w:tc>
      </w:tr>
      <w:tr w14:paraId="4A00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4615FB3">
            <w:pPr>
              <w:jc w:val="center"/>
              <w:rPr>
                <w:highlight w:val="none"/>
              </w:rPr>
            </w:pPr>
            <w:r>
              <w:rPr>
                <w:highlight w:val="none"/>
              </w:rPr>
              <w:t>6</w:t>
            </w:r>
          </w:p>
        </w:tc>
        <w:tc>
          <w:tcPr>
            <w:tcW w:w="1985" w:type="dxa"/>
            <w:noWrap w:val="0"/>
            <w:vAlign w:val="center"/>
          </w:tcPr>
          <w:p w14:paraId="1136D0A0">
            <w:pPr>
              <w:rPr>
                <w:highlight w:val="none"/>
              </w:rPr>
            </w:pPr>
            <w:r>
              <w:rPr>
                <w:rFonts w:hint="eastAsia" w:cs="宋体"/>
                <w:highlight w:val="none"/>
              </w:rPr>
              <w:t>承包人履约担保金额</w:t>
            </w:r>
          </w:p>
        </w:tc>
        <w:tc>
          <w:tcPr>
            <w:tcW w:w="1355" w:type="dxa"/>
            <w:noWrap w:val="0"/>
            <w:tcMar>
              <w:left w:w="170" w:type="dxa"/>
            </w:tcMar>
            <w:vAlign w:val="center"/>
          </w:tcPr>
          <w:p w14:paraId="5471954A">
            <w:pPr>
              <w:jc w:val="center"/>
              <w:rPr>
                <w:highlight w:val="none"/>
              </w:rPr>
            </w:pPr>
            <w:r>
              <w:rPr>
                <w:rFonts w:hint="eastAsia" w:cs="宋体"/>
                <w:highlight w:val="none"/>
              </w:rPr>
              <w:t>专用条款</w:t>
            </w:r>
          </w:p>
        </w:tc>
        <w:tc>
          <w:tcPr>
            <w:tcW w:w="3250" w:type="dxa"/>
            <w:noWrap w:val="0"/>
            <w:vAlign w:val="center"/>
          </w:tcPr>
          <w:p w14:paraId="112EE1FE">
            <w:pPr>
              <w:jc w:val="center"/>
              <w:rPr>
                <w:highlight w:val="none"/>
              </w:rPr>
            </w:pPr>
          </w:p>
        </w:tc>
        <w:tc>
          <w:tcPr>
            <w:tcW w:w="1348" w:type="dxa"/>
            <w:noWrap w:val="0"/>
            <w:vAlign w:val="center"/>
          </w:tcPr>
          <w:p w14:paraId="2477CEF5">
            <w:pPr>
              <w:jc w:val="center"/>
              <w:rPr>
                <w:highlight w:val="none"/>
              </w:rPr>
            </w:pPr>
          </w:p>
        </w:tc>
      </w:tr>
      <w:tr w14:paraId="4614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5714D4D">
            <w:pPr>
              <w:jc w:val="center"/>
              <w:rPr>
                <w:highlight w:val="none"/>
              </w:rPr>
            </w:pPr>
            <w:r>
              <w:rPr>
                <w:highlight w:val="none"/>
              </w:rPr>
              <w:t>7</w:t>
            </w:r>
          </w:p>
        </w:tc>
        <w:tc>
          <w:tcPr>
            <w:tcW w:w="1985" w:type="dxa"/>
            <w:noWrap w:val="0"/>
            <w:vAlign w:val="center"/>
          </w:tcPr>
          <w:p w14:paraId="198588A5">
            <w:pPr>
              <w:rPr>
                <w:highlight w:val="none"/>
              </w:rPr>
            </w:pPr>
            <w:r>
              <w:rPr>
                <w:rFonts w:hint="eastAsia" w:cs="宋体"/>
                <w:highlight w:val="none"/>
              </w:rPr>
              <w:t>分包</w:t>
            </w:r>
          </w:p>
        </w:tc>
        <w:tc>
          <w:tcPr>
            <w:tcW w:w="1355" w:type="dxa"/>
            <w:noWrap w:val="0"/>
            <w:tcMar>
              <w:left w:w="170" w:type="dxa"/>
            </w:tcMar>
            <w:vAlign w:val="center"/>
          </w:tcPr>
          <w:p w14:paraId="713C12A6">
            <w:pPr>
              <w:jc w:val="center"/>
              <w:rPr>
                <w:highlight w:val="none"/>
              </w:rPr>
            </w:pPr>
            <w:r>
              <w:rPr>
                <w:rFonts w:hint="eastAsia" w:cs="宋体"/>
                <w:highlight w:val="none"/>
              </w:rPr>
              <w:t>专用条款</w:t>
            </w:r>
          </w:p>
        </w:tc>
        <w:tc>
          <w:tcPr>
            <w:tcW w:w="3250" w:type="dxa"/>
            <w:noWrap w:val="0"/>
            <w:vAlign w:val="center"/>
          </w:tcPr>
          <w:p w14:paraId="725ECEAA">
            <w:pPr>
              <w:jc w:val="center"/>
              <w:rPr>
                <w:rFonts w:hint="eastAsia"/>
                <w:highlight w:val="none"/>
              </w:rPr>
            </w:pPr>
          </w:p>
        </w:tc>
        <w:tc>
          <w:tcPr>
            <w:tcW w:w="1348" w:type="dxa"/>
            <w:noWrap w:val="0"/>
            <w:vAlign w:val="center"/>
          </w:tcPr>
          <w:p w14:paraId="709C5D7A">
            <w:pPr>
              <w:jc w:val="center"/>
              <w:rPr>
                <w:highlight w:val="none"/>
              </w:rPr>
            </w:pPr>
          </w:p>
        </w:tc>
      </w:tr>
      <w:tr w14:paraId="4883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2657107">
            <w:pPr>
              <w:jc w:val="center"/>
              <w:rPr>
                <w:highlight w:val="none"/>
              </w:rPr>
            </w:pPr>
            <w:r>
              <w:rPr>
                <w:highlight w:val="none"/>
              </w:rPr>
              <w:t>8</w:t>
            </w:r>
          </w:p>
        </w:tc>
        <w:tc>
          <w:tcPr>
            <w:tcW w:w="1985" w:type="dxa"/>
            <w:noWrap w:val="0"/>
            <w:vAlign w:val="center"/>
          </w:tcPr>
          <w:p w14:paraId="0645FA19">
            <w:pPr>
              <w:rPr>
                <w:highlight w:val="none"/>
              </w:rPr>
            </w:pPr>
            <w:r>
              <w:rPr>
                <w:rFonts w:hint="eastAsia" w:cs="宋体"/>
                <w:highlight w:val="none"/>
              </w:rPr>
              <w:t>逾期竣工违约金</w:t>
            </w:r>
          </w:p>
        </w:tc>
        <w:tc>
          <w:tcPr>
            <w:tcW w:w="1355" w:type="dxa"/>
            <w:noWrap w:val="0"/>
            <w:tcMar>
              <w:left w:w="170" w:type="dxa"/>
            </w:tcMar>
            <w:vAlign w:val="center"/>
          </w:tcPr>
          <w:p w14:paraId="18D061AF">
            <w:pPr>
              <w:jc w:val="center"/>
              <w:rPr>
                <w:highlight w:val="none"/>
              </w:rPr>
            </w:pPr>
            <w:r>
              <w:rPr>
                <w:rFonts w:hint="eastAsia" w:cs="宋体"/>
                <w:highlight w:val="none"/>
              </w:rPr>
              <w:t>专用条款</w:t>
            </w:r>
          </w:p>
        </w:tc>
        <w:tc>
          <w:tcPr>
            <w:tcW w:w="3250" w:type="dxa"/>
            <w:noWrap w:val="0"/>
            <w:vAlign w:val="center"/>
          </w:tcPr>
          <w:p w14:paraId="144B883E">
            <w:pPr>
              <w:rPr>
                <w:highlight w:val="none"/>
              </w:rPr>
            </w:pPr>
          </w:p>
        </w:tc>
        <w:tc>
          <w:tcPr>
            <w:tcW w:w="1348" w:type="dxa"/>
            <w:noWrap w:val="0"/>
            <w:vAlign w:val="center"/>
          </w:tcPr>
          <w:p w14:paraId="7CCE2767">
            <w:pPr>
              <w:jc w:val="center"/>
              <w:rPr>
                <w:highlight w:val="none"/>
              </w:rPr>
            </w:pPr>
          </w:p>
        </w:tc>
      </w:tr>
      <w:tr w14:paraId="4C6E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5D637CC">
            <w:pPr>
              <w:jc w:val="center"/>
              <w:rPr>
                <w:highlight w:val="none"/>
              </w:rPr>
            </w:pPr>
            <w:r>
              <w:rPr>
                <w:highlight w:val="none"/>
              </w:rPr>
              <w:t>9</w:t>
            </w:r>
          </w:p>
        </w:tc>
        <w:tc>
          <w:tcPr>
            <w:tcW w:w="1985" w:type="dxa"/>
            <w:noWrap w:val="0"/>
            <w:vAlign w:val="center"/>
          </w:tcPr>
          <w:p w14:paraId="6BE08BC0">
            <w:pPr>
              <w:rPr>
                <w:highlight w:val="none"/>
              </w:rPr>
            </w:pPr>
            <w:r>
              <w:rPr>
                <w:rFonts w:hint="eastAsia" w:cs="宋体"/>
                <w:highlight w:val="none"/>
              </w:rPr>
              <w:t>逾期竣工违约金最高限额</w:t>
            </w:r>
          </w:p>
        </w:tc>
        <w:tc>
          <w:tcPr>
            <w:tcW w:w="1355" w:type="dxa"/>
            <w:noWrap w:val="0"/>
            <w:tcMar>
              <w:left w:w="170" w:type="dxa"/>
            </w:tcMar>
            <w:vAlign w:val="center"/>
          </w:tcPr>
          <w:p w14:paraId="38F6F36A">
            <w:pPr>
              <w:jc w:val="center"/>
              <w:rPr>
                <w:highlight w:val="none"/>
              </w:rPr>
            </w:pPr>
            <w:r>
              <w:rPr>
                <w:rFonts w:hint="eastAsia" w:cs="宋体"/>
                <w:highlight w:val="none"/>
              </w:rPr>
              <w:t>专用条款</w:t>
            </w:r>
          </w:p>
        </w:tc>
        <w:tc>
          <w:tcPr>
            <w:tcW w:w="3250" w:type="dxa"/>
            <w:noWrap w:val="0"/>
            <w:vAlign w:val="center"/>
          </w:tcPr>
          <w:p w14:paraId="374D2C34">
            <w:pPr>
              <w:rPr>
                <w:highlight w:val="none"/>
              </w:rPr>
            </w:pPr>
          </w:p>
        </w:tc>
        <w:tc>
          <w:tcPr>
            <w:tcW w:w="1348" w:type="dxa"/>
            <w:noWrap w:val="0"/>
            <w:vAlign w:val="center"/>
          </w:tcPr>
          <w:p w14:paraId="4E84810D">
            <w:pPr>
              <w:jc w:val="center"/>
              <w:rPr>
                <w:highlight w:val="none"/>
              </w:rPr>
            </w:pPr>
          </w:p>
        </w:tc>
      </w:tr>
      <w:tr w14:paraId="2592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FA9B4C">
            <w:pPr>
              <w:jc w:val="center"/>
              <w:rPr>
                <w:highlight w:val="none"/>
              </w:rPr>
            </w:pPr>
            <w:r>
              <w:rPr>
                <w:highlight w:val="none"/>
              </w:rPr>
              <w:t>10</w:t>
            </w:r>
          </w:p>
        </w:tc>
        <w:tc>
          <w:tcPr>
            <w:tcW w:w="1985" w:type="dxa"/>
            <w:noWrap w:val="0"/>
            <w:vAlign w:val="center"/>
          </w:tcPr>
          <w:p w14:paraId="3F2B5D5E">
            <w:pPr>
              <w:rPr>
                <w:highlight w:val="none"/>
              </w:rPr>
            </w:pPr>
            <w:r>
              <w:rPr>
                <w:rFonts w:hint="eastAsia" w:cs="宋体"/>
                <w:highlight w:val="none"/>
              </w:rPr>
              <w:t>质量标准</w:t>
            </w:r>
          </w:p>
        </w:tc>
        <w:tc>
          <w:tcPr>
            <w:tcW w:w="1355" w:type="dxa"/>
            <w:noWrap w:val="0"/>
            <w:tcMar>
              <w:left w:w="170" w:type="dxa"/>
            </w:tcMar>
            <w:vAlign w:val="center"/>
          </w:tcPr>
          <w:p w14:paraId="5317F911">
            <w:pPr>
              <w:jc w:val="center"/>
              <w:rPr>
                <w:highlight w:val="none"/>
              </w:rPr>
            </w:pPr>
            <w:r>
              <w:rPr>
                <w:rFonts w:hint="eastAsia" w:cs="宋体"/>
                <w:highlight w:val="none"/>
              </w:rPr>
              <w:t>专用条款</w:t>
            </w:r>
          </w:p>
        </w:tc>
        <w:tc>
          <w:tcPr>
            <w:tcW w:w="3250" w:type="dxa"/>
            <w:noWrap w:val="0"/>
            <w:vAlign w:val="center"/>
          </w:tcPr>
          <w:p w14:paraId="78009E29">
            <w:pPr>
              <w:jc w:val="center"/>
              <w:rPr>
                <w:highlight w:val="none"/>
              </w:rPr>
            </w:pPr>
          </w:p>
        </w:tc>
        <w:tc>
          <w:tcPr>
            <w:tcW w:w="1348" w:type="dxa"/>
            <w:noWrap w:val="0"/>
            <w:vAlign w:val="center"/>
          </w:tcPr>
          <w:p w14:paraId="40821D9F">
            <w:pPr>
              <w:jc w:val="center"/>
              <w:rPr>
                <w:highlight w:val="none"/>
              </w:rPr>
            </w:pPr>
          </w:p>
        </w:tc>
      </w:tr>
      <w:tr w14:paraId="4E05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88B6515">
            <w:pPr>
              <w:jc w:val="center"/>
              <w:rPr>
                <w:highlight w:val="none"/>
              </w:rPr>
            </w:pPr>
            <w:r>
              <w:rPr>
                <w:highlight w:val="none"/>
              </w:rPr>
              <w:t>11</w:t>
            </w:r>
          </w:p>
        </w:tc>
        <w:tc>
          <w:tcPr>
            <w:tcW w:w="1985" w:type="dxa"/>
            <w:noWrap w:val="0"/>
            <w:vAlign w:val="center"/>
          </w:tcPr>
          <w:p w14:paraId="07D262F1">
            <w:pPr>
              <w:rPr>
                <w:highlight w:val="none"/>
              </w:rPr>
            </w:pPr>
            <w:r>
              <w:rPr>
                <w:rFonts w:hint="eastAsia" w:cs="宋体"/>
                <w:highlight w:val="none"/>
              </w:rPr>
              <w:t>预付款额度</w:t>
            </w:r>
          </w:p>
        </w:tc>
        <w:tc>
          <w:tcPr>
            <w:tcW w:w="1355" w:type="dxa"/>
            <w:noWrap w:val="0"/>
            <w:tcMar>
              <w:left w:w="170" w:type="dxa"/>
            </w:tcMar>
            <w:vAlign w:val="center"/>
          </w:tcPr>
          <w:p w14:paraId="78AE0D01">
            <w:pPr>
              <w:jc w:val="center"/>
              <w:rPr>
                <w:highlight w:val="none"/>
              </w:rPr>
            </w:pPr>
            <w:r>
              <w:rPr>
                <w:rFonts w:hint="eastAsia" w:cs="宋体"/>
                <w:highlight w:val="none"/>
              </w:rPr>
              <w:t>专用条款</w:t>
            </w:r>
          </w:p>
        </w:tc>
        <w:tc>
          <w:tcPr>
            <w:tcW w:w="3250" w:type="dxa"/>
            <w:noWrap w:val="0"/>
            <w:vAlign w:val="center"/>
          </w:tcPr>
          <w:p w14:paraId="3441A436">
            <w:pPr>
              <w:jc w:val="center"/>
              <w:rPr>
                <w:rFonts w:hint="eastAsia"/>
                <w:highlight w:val="none"/>
              </w:rPr>
            </w:pPr>
          </w:p>
        </w:tc>
        <w:tc>
          <w:tcPr>
            <w:tcW w:w="1348" w:type="dxa"/>
            <w:noWrap w:val="0"/>
            <w:vAlign w:val="center"/>
          </w:tcPr>
          <w:p w14:paraId="64595A8B">
            <w:pPr>
              <w:jc w:val="center"/>
              <w:rPr>
                <w:highlight w:val="none"/>
              </w:rPr>
            </w:pPr>
          </w:p>
        </w:tc>
      </w:tr>
      <w:tr w14:paraId="15CF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B8D478F">
            <w:pPr>
              <w:jc w:val="center"/>
              <w:rPr>
                <w:highlight w:val="none"/>
              </w:rPr>
            </w:pPr>
            <w:r>
              <w:rPr>
                <w:highlight w:val="none"/>
              </w:rPr>
              <w:t>12</w:t>
            </w:r>
          </w:p>
        </w:tc>
        <w:tc>
          <w:tcPr>
            <w:tcW w:w="1985" w:type="dxa"/>
            <w:noWrap w:val="0"/>
            <w:vAlign w:val="center"/>
          </w:tcPr>
          <w:p w14:paraId="69324520">
            <w:pPr>
              <w:rPr>
                <w:highlight w:val="none"/>
              </w:rPr>
            </w:pPr>
            <w:r>
              <w:rPr>
                <w:rFonts w:hint="eastAsia" w:cs="宋体"/>
                <w:highlight w:val="none"/>
              </w:rPr>
              <w:t>预付款保函金额</w:t>
            </w:r>
          </w:p>
        </w:tc>
        <w:tc>
          <w:tcPr>
            <w:tcW w:w="1355" w:type="dxa"/>
            <w:noWrap w:val="0"/>
            <w:tcMar>
              <w:left w:w="170" w:type="dxa"/>
            </w:tcMar>
            <w:vAlign w:val="center"/>
          </w:tcPr>
          <w:p w14:paraId="7BAD1862">
            <w:pPr>
              <w:jc w:val="center"/>
              <w:rPr>
                <w:highlight w:val="none"/>
              </w:rPr>
            </w:pPr>
            <w:r>
              <w:rPr>
                <w:rFonts w:hint="eastAsia" w:cs="宋体"/>
                <w:highlight w:val="none"/>
              </w:rPr>
              <w:t>专用条款</w:t>
            </w:r>
          </w:p>
        </w:tc>
        <w:tc>
          <w:tcPr>
            <w:tcW w:w="3250" w:type="dxa"/>
            <w:noWrap w:val="0"/>
            <w:vAlign w:val="center"/>
          </w:tcPr>
          <w:p w14:paraId="4319D336">
            <w:pPr>
              <w:jc w:val="center"/>
              <w:rPr>
                <w:highlight w:val="none"/>
              </w:rPr>
            </w:pPr>
          </w:p>
        </w:tc>
        <w:tc>
          <w:tcPr>
            <w:tcW w:w="1348" w:type="dxa"/>
            <w:noWrap w:val="0"/>
            <w:vAlign w:val="center"/>
          </w:tcPr>
          <w:p w14:paraId="72D3AE6B">
            <w:pPr>
              <w:jc w:val="center"/>
              <w:rPr>
                <w:highlight w:val="none"/>
              </w:rPr>
            </w:pPr>
          </w:p>
        </w:tc>
      </w:tr>
      <w:tr w14:paraId="246D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40092E5">
            <w:pPr>
              <w:jc w:val="center"/>
              <w:rPr>
                <w:highlight w:val="none"/>
              </w:rPr>
            </w:pPr>
            <w:r>
              <w:rPr>
                <w:highlight w:val="none"/>
              </w:rPr>
              <w:t>13</w:t>
            </w:r>
          </w:p>
        </w:tc>
        <w:tc>
          <w:tcPr>
            <w:tcW w:w="1985" w:type="dxa"/>
            <w:noWrap w:val="0"/>
            <w:vAlign w:val="center"/>
          </w:tcPr>
          <w:p w14:paraId="4C4FA76C">
            <w:pPr>
              <w:rPr>
                <w:highlight w:val="none"/>
              </w:rPr>
            </w:pPr>
            <w:r>
              <w:rPr>
                <w:rFonts w:hint="eastAsia" w:cs="宋体"/>
                <w:highlight w:val="none"/>
              </w:rPr>
              <w:t>质量保证金额度</w:t>
            </w:r>
          </w:p>
        </w:tc>
        <w:tc>
          <w:tcPr>
            <w:tcW w:w="1355" w:type="dxa"/>
            <w:noWrap w:val="0"/>
            <w:tcMar>
              <w:left w:w="170" w:type="dxa"/>
            </w:tcMar>
            <w:vAlign w:val="center"/>
          </w:tcPr>
          <w:p w14:paraId="5A21238C">
            <w:pPr>
              <w:jc w:val="center"/>
              <w:rPr>
                <w:highlight w:val="none"/>
              </w:rPr>
            </w:pPr>
            <w:r>
              <w:rPr>
                <w:rFonts w:hint="eastAsia" w:cs="宋体"/>
                <w:highlight w:val="none"/>
              </w:rPr>
              <w:t>专用条款</w:t>
            </w:r>
          </w:p>
        </w:tc>
        <w:tc>
          <w:tcPr>
            <w:tcW w:w="3250" w:type="dxa"/>
            <w:noWrap w:val="0"/>
            <w:vAlign w:val="center"/>
          </w:tcPr>
          <w:p w14:paraId="000AF104">
            <w:pPr>
              <w:jc w:val="center"/>
              <w:rPr>
                <w:highlight w:val="none"/>
              </w:rPr>
            </w:pPr>
            <w:r>
              <w:rPr>
                <w:rFonts w:hint="eastAsia" w:cs="宋体"/>
                <w:highlight w:val="none"/>
              </w:rPr>
              <w:t xml:space="preserve"> </w:t>
            </w:r>
          </w:p>
        </w:tc>
        <w:tc>
          <w:tcPr>
            <w:tcW w:w="1348" w:type="dxa"/>
            <w:noWrap w:val="0"/>
            <w:vAlign w:val="center"/>
          </w:tcPr>
          <w:p w14:paraId="7F5C1673">
            <w:pPr>
              <w:jc w:val="center"/>
              <w:rPr>
                <w:highlight w:val="none"/>
              </w:rPr>
            </w:pPr>
          </w:p>
        </w:tc>
      </w:tr>
      <w:tr w14:paraId="1670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2C0621BA">
            <w:pPr>
              <w:spacing w:line="360" w:lineRule="auto"/>
              <w:rPr>
                <w:highlight w:val="none"/>
              </w:rPr>
            </w:pPr>
            <w:r>
              <w:rPr>
                <w:rFonts w:hint="eastAsia" w:cs="宋体"/>
                <w:highlight w:val="none"/>
              </w:rPr>
              <w:t>说明：供应商在响应磋商文件中规定的实质性要求和条件的基础上，可做出其他有利于采购人的承诺。此类承诺可在本表中予以补充填写。</w:t>
            </w:r>
          </w:p>
        </w:tc>
      </w:tr>
    </w:tbl>
    <w:p w14:paraId="455268BD">
      <w:pPr>
        <w:spacing w:line="360" w:lineRule="auto"/>
        <w:ind w:right="-817" w:rightChars="-389" w:firstLine="2640" w:firstLineChars="1100"/>
        <w:contextualSpacing/>
        <w:rPr>
          <w:rFonts w:hint="eastAsia" w:ascii="宋体" w:hAnsi="宋体" w:cs="仿宋_GB2312"/>
          <w:sz w:val="24"/>
          <w:highlight w:val="none"/>
        </w:rPr>
      </w:pPr>
    </w:p>
    <w:p w14:paraId="45A53F85">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法定代表人或者委托代理人（签字或者电子签名）：                    </w:t>
      </w:r>
    </w:p>
    <w:p w14:paraId="30E9FFA6">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供应商（电子签章）：      </w:t>
      </w:r>
    </w:p>
    <w:p w14:paraId="0A6C47C6">
      <w:pPr>
        <w:spacing w:line="360" w:lineRule="auto"/>
        <w:jc w:val="center"/>
        <w:rPr>
          <w:rFonts w:hint="eastAsia" w:ascii="宋体" w:hAnsi="宋体" w:cs="仿宋_GB2312"/>
          <w:sz w:val="24"/>
          <w:highlight w:val="none"/>
        </w:rPr>
      </w:pPr>
      <w:r>
        <w:rPr>
          <w:rFonts w:hint="eastAsia" w:ascii="宋体" w:hAnsi="宋体" w:cs="仿宋_GB2312"/>
          <w:sz w:val="24"/>
          <w:highlight w:val="none"/>
        </w:rPr>
        <w:t>日期：   年   月   日</w:t>
      </w:r>
    </w:p>
    <w:p w14:paraId="5CD7F0E6">
      <w:pPr>
        <w:spacing w:line="360" w:lineRule="auto"/>
        <w:jc w:val="center"/>
        <w:rPr>
          <w:rFonts w:hint="eastAsia" w:ascii="方正小标宋简体" w:hAnsi="方正小标宋简体" w:eastAsia="方正小标宋简体" w:cs="方正小标宋简体"/>
          <w:bCs/>
          <w:sz w:val="32"/>
          <w:szCs w:val="32"/>
          <w:highlight w:val="none"/>
        </w:rPr>
      </w:pPr>
      <w:r>
        <w:rPr>
          <w:rFonts w:ascii="宋体" w:hAnsi="宋体" w:cs="仿宋_GB2312"/>
          <w:sz w:val="24"/>
          <w:highlight w:val="none"/>
        </w:rPr>
        <w:br w:type="page"/>
      </w:r>
      <w:r>
        <w:rPr>
          <w:rFonts w:hint="eastAsia" w:ascii="宋体" w:hAnsi="宋体" w:cs="方正小标宋简体"/>
          <w:b/>
          <w:bCs/>
          <w:sz w:val="32"/>
          <w:szCs w:val="32"/>
          <w:highlight w:val="none"/>
        </w:rPr>
        <w:t>竞标报价表</w:t>
      </w:r>
    </w:p>
    <w:p w14:paraId="0B210135">
      <w:pPr>
        <w:spacing w:line="440" w:lineRule="exact"/>
        <w:jc w:val="center"/>
        <w:rPr>
          <w:rFonts w:hint="eastAsia" w:ascii="方正小标宋简体" w:hAnsi="方正小标宋简体" w:eastAsia="方正小标宋简体" w:cs="方正小标宋简体"/>
          <w:bCs/>
          <w:sz w:val="32"/>
          <w:szCs w:val="32"/>
          <w:highlight w:val="none"/>
        </w:rPr>
      </w:pPr>
    </w:p>
    <w:p w14:paraId="4D8637CE">
      <w:pPr>
        <w:spacing w:line="360" w:lineRule="auto"/>
        <w:contextualSpacing/>
        <w:rPr>
          <w:rFonts w:hint="eastAsia" w:ascii="宋体" w:hAnsi="宋体" w:cs="仿宋_GB2312"/>
          <w:sz w:val="24"/>
          <w:highlight w:val="none"/>
        </w:rPr>
      </w:pPr>
      <w:r>
        <w:rPr>
          <w:rFonts w:hint="eastAsia" w:ascii="宋体" w:hAnsi="宋体" w:cs="仿宋_GB2312"/>
          <w:sz w:val="24"/>
          <w:highlight w:val="none"/>
        </w:rPr>
        <w:t>项目名称：</w:t>
      </w:r>
      <w:r>
        <w:rPr>
          <w:rFonts w:hint="eastAsia" w:ascii="宋体" w:hAnsi="宋体" w:cs="仿宋_GB2312"/>
          <w:sz w:val="24"/>
          <w:highlight w:val="none"/>
          <w:u w:val="single"/>
        </w:rPr>
        <w:t xml:space="preserve">                </w:t>
      </w:r>
      <w:r>
        <w:rPr>
          <w:rFonts w:hint="eastAsia" w:ascii="宋体" w:hAnsi="宋体" w:cs="仿宋_GB2312"/>
          <w:sz w:val="24"/>
          <w:highlight w:val="none"/>
        </w:rPr>
        <w:t>项目编号：</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p>
    <w:p w14:paraId="3DD6ED58">
      <w:pPr>
        <w:spacing w:line="360" w:lineRule="auto"/>
        <w:contextualSpacing/>
        <w:rPr>
          <w:rFonts w:hint="eastAsia" w:ascii="宋体" w:hAnsi="宋体" w:cs="仿宋_GB2312"/>
          <w:sz w:val="24"/>
          <w:highlight w:val="none"/>
          <w:u w:val="single"/>
        </w:rPr>
      </w:pPr>
      <w:r>
        <w:rPr>
          <w:rFonts w:hint="eastAsia" w:ascii="宋体" w:hAnsi="宋体" w:cs="仿宋_GB2312"/>
          <w:sz w:val="24"/>
          <w:highlight w:val="none"/>
        </w:rPr>
        <w:t>分标（如有）：</w:t>
      </w:r>
      <w:r>
        <w:rPr>
          <w:rFonts w:hint="eastAsia" w:ascii="宋体" w:hAnsi="宋体" w:cs="仿宋_GB2312"/>
          <w:sz w:val="24"/>
          <w:highlight w:val="none"/>
          <w:u w:val="single"/>
        </w:rPr>
        <w:t xml:space="preserve">            </w:t>
      </w:r>
    </w:p>
    <w:p w14:paraId="23BB944D">
      <w:pPr>
        <w:spacing w:line="360" w:lineRule="auto"/>
        <w:contextualSpacing/>
        <w:rPr>
          <w:rFonts w:ascii="宋体" w:hAnsi="宋体" w:cs="仿宋_GB2312"/>
          <w:sz w:val="24"/>
          <w:highlight w:val="none"/>
        </w:rPr>
      </w:pPr>
      <w:r>
        <w:rPr>
          <w:rFonts w:hint="eastAsia" w:ascii="宋体" w:hAnsi="宋体" w:cs="仿宋_GB2312"/>
          <w:sz w:val="24"/>
          <w:highlight w:val="none"/>
        </w:rPr>
        <w:t>供应商名称：</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p>
    <w:p w14:paraId="154DC62A">
      <w:pPr>
        <w:spacing w:line="360" w:lineRule="auto"/>
        <w:contextualSpacing/>
        <w:jc w:val="left"/>
        <w:rPr>
          <w:rFonts w:hint="eastAsia" w:ascii="宋体" w:hAnsi="宋体" w:cs="仿宋_GB2312"/>
          <w:sz w:val="24"/>
          <w:highlight w:val="none"/>
        </w:rPr>
      </w:pPr>
      <w:r>
        <w:rPr>
          <w:rFonts w:hint="eastAsia" w:ascii="宋体" w:hAnsi="宋体" w:cs="仿宋_GB2312"/>
          <w:sz w:val="24"/>
          <w:highlight w:val="none"/>
        </w:rPr>
        <w:t xml:space="preserve">                                             </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0F0D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100" w:type="dxa"/>
            <w:gridSpan w:val="2"/>
            <w:noWrap w:val="0"/>
            <w:vAlign w:val="center"/>
          </w:tcPr>
          <w:p w14:paraId="0302EDED">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报价</w:t>
            </w:r>
          </w:p>
        </w:tc>
        <w:tc>
          <w:tcPr>
            <w:tcW w:w="1987" w:type="dxa"/>
            <w:noWrap w:val="0"/>
            <w:vAlign w:val="center"/>
          </w:tcPr>
          <w:p w14:paraId="26ABC962">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center"/>
          </w:tcPr>
          <w:p w14:paraId="77021A61">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4D0E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restart"/>
            <w:noWrap w:val="0"/>
            <w:vAlign w:val="center"/>
          </w:tcPr>
          <w:p w14:paraId="38EB48D5">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其中</w:t>
            </w:r>
          </w:p>
        </w:tc>
        <w:tc>
          <w:tcPr>
            <w:tcW w:w="3116" w:type="dxa"/>
            <w:noWrap w:val="0"/>
            <w:vAlign w:val="center"/>
          </w:tcPr>
          <w:p w14:paraId="7ACED79F">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安全文明施工费</w:t>
            </w:r>
          </w:p>
        </w:tc>
        <w:tc>
          <w:tcPr>
            <w:tcW w:w="1987" w:type="dxa"/>
            <w:noWrap w:val="0"/>
            <w:vAlign w:val="center"/>
          </w:tcPr>
          <w:p w14:paraId="3CC27050">
            <w:pPr>
              <w:keepNext w:val="0"/>
              <w:keepLines w:val="0"/>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center"/>
          </w:tcPr>
          <w:p w14:paraId="2970E785">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p>
        </w:tc>
      </w:tr>
      <w:tr w14:paraId="4EDD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3AF94432">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4C307BBB">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发包人提供材料（如有）</w:t>
            </w:r>
          </w:p>
        </w:tc>
        <w:tc>
          <w:tcPr>
            <w:tcW w:w="1987" w:type="dxa"/>
            <w:noWrap w:val="0"/>
            <w:vAlign w:val="center"/>
          </w:tcPr>
          <w:p w14:paraId="1315D20E">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top"/>
          </w:tcPr>
          <w:p w14:paraId="4C914F10">
            <w:pPr>
              <w:keepNext w:val="0"/>
              <w:keepLines w:val="0"/>
              <w:widowControl/>
              <w:suppressLineNumbers w:val="0"/>
              <w:spacing w:before="0" w:beforeAutospacing="0" w:after="0" w:afterAutospacing="0"/>
              <w:ind w:left="0" w:right="480"/>
              <w:rPr>
                <w:rFonts w:hint="eastAsia" w:ascii="宋体" w:hAnsi="宋体" w:eastAsia="宋体" w:cs="宋体"/>
                <w:color w:val="auto"/>
                <w:highlight w:val="none"/>
              </w:rPr>
            </w:pPr>
          </w:p>
        </w:tc>
      </w:tr>
      <w:tr w14:paraId="4140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27DAF4E4">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534E780E">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承包人提供材料（设备）暂估价（如有）</w:t>
            </w:r>
          </w:p>
        </w:tc>
        <w:tc>
          <w:tcPr>
            <w:tcW w:w="1987" w:type="dxa"/>
            <w:noWrap w:val="0"/>
            <w:vAlign w:val="center"/>
          </w:tcPr>
          <w:p w14:paraId="66B7BDCA">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top"/>
          </w:tcPr>
          <w:p w14:paraId="736F5FAA">
            <w:pPr>
              <w:keepNext w:val="0"/>
              <w:keepLines w:val="0"/>
              <w:widowControl/>
              <w:suppressLineNumbers w:val="0"/>
              <w:spacing w:before="0" w:beforeAutospacing="0" w:after="0" w:afterAutospacing="0"/>
              <w:ind w:left="0" w:right="480"/>
              <w:rPr>
                <w:rFonts w:hint="eastAsia" w:ascii="宋体" w:hAnsi="宋体" w:eastAsia="宋体" w:cs="宋体"/>
                <w:color w:val="auto"/>
                <w:highlight w:val="none"/>
              </w:rPr>
            </w:pPr>
          </w:p>
        </w:tc>
      </w:tr>
      <w:tr w14:paraId="0F21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61B0ED91">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625959DC">
            <w:pPr>
              <w:keepNext w:val="0"/>
              <w:keepLines w:val="0"/>
              <w:widowControl/>
              <w:suppressLineNumbers w:val="0"/>
              <w:spacing w:before="0" w:beforeAutospacing="0" w:after="0" w:afterAutospacing="0"/>
              <w:ind w:left="0" w:right="0"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暂估专业工程（如有）</w:t>
            </w:r>
          </w:p>
        </w:tc>
        <w:tc>
          <w:tcPr>
            <w:tcW w:w="1987" w:type="dxa"/>
            <w:noWrap w:val="0"/>
            <w:vAlign w:val="center"/>
          </w:tcPr>
          <w:p w14:paraId="617E2751">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top"/>
          </w:tcPr>
          <w:p w14:paraId="0BF435AB">
            <w:pPr>
              <w:keepNext w:val="0"/>
              <w:keepLines w:val="0"/>
              <w:widowControl/>
              <w:suppressLineNumbers w:val="0"/>
              <w:spacing w:before="0" w:beforeAutospacing="0" w:after="0" w:afterAutospacing="0"/>
              <w:ind w:left="0" w:right="480"/>
              <w:rPr>
                <w:rFonts w:hint="eastAsia" w:ascii="宋体" w:hAnsi="宋体" w:eastAsia="宋体" w:cs="宋体"/>
                <w:color w:val="auto"/>
                <w:highlight w:val="none"/>
              </w:rPr>
            </w:pPr>
          </w:p>
        </w:tc>
      </w:tr>
      <w:tr w14:paraId="0105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6ED05126">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432B0029">
            <w:pPr>
              <w:keepNext w:val="0"/>
              <w:keepLines w:val="0"/>
              <w:widowControl/>
              <w:suppressLineNumbers w:val="0"/>
              <w:spacing w:before="0" w:beforeAutospacing="0" w:after="0" w:afterAutospacing="0"/>
              <w:ind w:left="0" w:right="0"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暂列金额（如有）</w:t>
            </w:r>
          </w:p>
        </w:tc>
        <w:tc>
          <w:tcPr>
            <w:tcW w:w="1987" w:type="dxa"/>
            <w:noWrap w:val="0"/>
            <w:vAlign w:val="center"/>
          </w:tcPr>
          <w:p w14:paraId="65B10421">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top"/>
          </w:tcPr>
          <w:p w14:paraId="59E2D650">
            <w:pPr>
              <w:keepNext w:val="0"/>
              <w:keepLines w:val="0"/>
              <w:widowControl/>
              <w:suppressLineNumbers w:val="0"/>
              <w:spacing w:before="0" w:beforeAutospacing="0" w:after="0" w:afterAutospacing="0"/>
              <w:ind w:left="0" w:right="480"/>
              <w:rPr>
                <w:rFonts w:hint="eastAsia" w:ascii="宋体" w:hAnsi="宋体" w:eastAsia="宋体" w:cs="宋体"/>
                <w:color w:val="auto"/>
                <w:highlight w:val="none"/>
              </w:rPr>
            </w:pPr>
          </w:p>
        </w:tc>
      </w:tr>
      <w:tr w14:paraId="110D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984" w:type="dxa"/>
            <w:vMerge w:val="restart"/>
            <w:noWrap w:val="0"/>
            <w:vAlign w:val="center"/>
          </w:tcPr>
          <w:p w14:paraId="5642625C">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主要材料</w:t>
            </w:r>
          </w:p>
        </w:tc>
        <w:tc>
          <w:tcPr>
            <w:tcW w:w="3116" w:type="dxa"/>
            <w:noWrap w:val="0"/>
            <w:vAlign w:val="center"/>
          </w:tcPr>
          <w:p w14:paraId="258F873E">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钢筋</w:t>
            </w:r>
          </w:p>
        </w:tc>
        <w:tc>
          <w:tcPr>
            <w:tcW w:w="1987" w:type="dxa"/>
            <w:noWrap w:val="0"/>
            <w:vAlign w:val="center"/>
          </w:tcPr>
          <w:p w14:paraId="1A013427">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吨</w:t>
            </w:r>
          </w:p>
        </w:tc>
        <w:tc>
          <w:tcPr>
            <w:tcW w:w="1702" w:type="dxa"/>
            <w:noWrap w:val="0"/>
            <w:vAlign w:val="top"/>
          </w:tcPr>
          <w:p w14:paraId="396E60AD">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p>
        </w:tc>
      </w:tr>
      <w:tr w14:paraId="0781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4" w:type="dxa"/>
            <w:vMerge w:val="continue"/>
            <w:noWrap w:val="0"/>
            <w:vAlign w:val="center"/>
          </w:tcPr>
          <w:p w14:paraId="58F457FF">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7B7D5496">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水泥（不含商品混凝土用量）</w:t>
            </w:r>
          </w:p>
        </w:tc>
        <w:tc>
          <w:tcPr>
            <w:tcW w:w="1987" w:type="dxa"/>
            <w:noWrap w:val="0"/>
            <w:vAlign w:val="center"/>
          </w:tcPr>
          <w:p w14:paraId="640740C8">
            <w:pPr>
              <w:keepNext w:val="0"/>
              <w:keepLines w:val="0"/>
              <w:widowControl/>
              <w:suppressLineNumbers w:val="0"/>
              <w:tabs>
                <w:tab w:val="left" w:pos="2398"/>
              </w:tabs>
              <w:spacing w:before="0" w:beforeAutospacing="0" w:after="0" w:afterAutospacing="0"/>
              <w:ind w:left="0" w:right="18"/>
              <w:jc w:val="right"/>
              <w:rPr>
                <w:rFonts w:hint="eastAsia" w:ascii="宋体" w:hAnsi="宋体" w:eastAsia="宋体" w:cs="宋体"/>
                <w:color w:val="auto"/>
                <w:highlight w:val="none"/>
              </w:rPr>
            </w:pPr>
            <w:r>
              <w:rPr>
                <w:rFonts w:hint="eastAsia" w:ascii="宋体" w:hAnsi="宋体" w:eastAsia="宋体" w:cs="宋体"/>
                <w:color w:val="auto"/>
                <w:highlight w:val="none"/>
              </w:rPr>
              <w:t>吨</w:t>
            </w:r>
          </w:p>
        </w:tc>
        <w:tc>
          <w:tcPr>
            <w:tcW w:w="1702" w:type="dxa"/>
            <w:noWrap w:val="0"/>
            <w:vAlign w:val="top"/>
          </w:tcPr>
          <w:p w14:paraId="632231E1">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p>
        </w:tc>
      </w:tr>
      <w:tr w14:paraId="18D7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84" w:type="dxa"/>
            <w:vMerge w:val="continue"/>
            <w:noWrap w:val="0"/>
            <w:vAlign w:val="center"/>
          </w:tcPr>
          <w:p w14:paraId="007C0094">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2C3A5DB7">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商品混凝土</w:t>
            </w:r>
          </w:p>
        </w:tc>
        <w:tc>
          <w:tcPr>
            <w:tcW w:w="1987" w:type="dxa"/>
            <w:noWrap w:val="0"/>
            <w:vAlign w:val="center"/>
          </w:tcPr>
          <w:p w14:paraId="227EC291">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m</w:t>
            </w:r>
            <w:r>
              <w:rPr>
                <w:rFonts w:hint="eastAsia" w:ascii="宋体" w:hAnsi="宋体" w:eastAsia="宋体" w:cs="宋体"/>
                <w:color w:val="auto"/>
                <w:highlight w:val="none"/>
                <w:vertAlign w:val="superscript"/>
              </w:rPr>
              <w:t>3</w:t>
            </w:r>
          </w:p>
        </w:tc>
        <w:tc>
          <w:tcPr>
            <w:tcW w:w="1702" w:type="dxa"/>
            <w:noWrap w:val="0"/>
            <w:vAlign w:val="top"/>
          </w:tcPr>
          <w:p w14:paraId="7950B00E">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p>
        </w:tc>
      </w:tr>
    </w:tbl>
    <w:p w14:paraId="79039EF7">
      <w:pPr>
        <w:spacing w:line="360" w:lineRule="auto"/>
        <w:ind w:right="-817" w:rightChars="-389"/>
        <w:contextualSpacing/>
        <w:rPr>
          <w:rFonts w:hint="eastAsia" w:ascii="宋体" w:hAnsi="宋体" w:cs="仿宋_GB2312"/>
          <w:sz w:val="24"/>
          <w:highlight w:val="none"/>
        </w:rPr>
      </w:pPr>
    </w:p>
    <w:p w14:paraId="3760D579">
      <w:pPr>
        <w:spacing w:line="360" w:lineRule="auto"/>
        <w:ind w:right="-817" w:rightChars="-389"/>
        <w:contextualSpacing/>
        <w:rPr>
          <w:rFonts w:hint="eastAsia" w:ascii="宋体" w:hAnsi="宋体" w:cs="仿宋_GB2312"/>
          <w:sz w:val="24"/>
          <w:highlight w:val="none"/>
        </w:rPr>
      </w:pPr>
    </w:p>
    <w:p w14:paraId="2A3D9BD7">
      <w:pPr>
        <w:spacing w:line="360" w:lineRule="auto"/>
        <w:ind w:right="-817" w:rightChars="-389"/>
        <w:contextualSpacing/>
        <w:rPr>
          <w:rFonts w:hint="eastAsia" w:ascii="宋体" w:hAnsi="宋体" w:cs="仿宋_GB2312"/>
          <w:sz w:val="24"/>
          <w:highlight w:val="none"/>
        </w:rPr>
      </w:pPr>
    </w:p>
    <w:p w14:paraId="7FFF4447">
      <w:pPr>
        <w:spacing w:line="360" w:lineRule="auto"/>
        <w:ind w:right="-817" w:rightChars="-389"/>
        <w:contextualSpacing/>
        <w:rPr>
          <w:rFonts w:hint="eastAsia" w:ascii="宋体" w:hAnsi="宋体" w:cs="仿宋_GB2312"/>
          <w:sz w:val="24"/>
          <w:highlight w:val="none"/>
        </w:rPr>
      </w:pPr>
    </w:p>
    <w:p w14:paraId="52E4C678">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法定代表人或者委托代理人（签字或者电子签名）：                    </w:t>
      </w:r>
    </w:p>
    <w:p w14:paraId="26B4EEE8">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供应商（电子签章）：      </w:t>
      </w:r>
    </w:p>
    <w:p w14:paraId="10D303D7">
      <w:pPr>
        <w:spacing w:line="360" w:lineRule="auto"/>
        <w:ind w:right="-817" w:rightChars="-389" w:firstLine="4080" w:firstLineChars="1700"/>
        <w:contextualSpacing/>
        <w:rPr>
          <w:rFonts w:hint="eastAsia" w:ascii="宋体" w:hAnsi="宋体" w:cs="仿宋_GB2312"/>
          <w:sz w:val="24"/>
          <w:highlight w:val="none"/>
        </w:rPr>
      </w:pPr>
      <w:r>
        <w:rPr>
          <w:rFonts w:hint="eastAsia" w:ascii="宋体" w:hAnsi="宋体" w:cs="仿宋_GB2312"/>
          <w:sz w:val="24"/>
          <w:highlight w:val="none"/>
        </w:rPr>
        <w:t>日期：   年   月   日</w:t>
      </w:r>
    </w:p>
    <w:p w14:paraId="1C1D2FCA">
      <w:pPr>
        <w:spacing w:line="360" w:lineRule="auto"/>
        <w:contextualSpacing/>
        <w:rPr>
          <w:rFonts w:hint="eastAsia" w:hAnsi="宋体" w:cs="宋体"/>
          <w:kern w:val="0"/>
          <w:highlight w:val="none"/>
          <w:lang w:val="en"/>
        </w:rPr>
      </w:pPr>
      <w:r>
        <w:rPr>
          <w:rFonts w:hint="eastAsia" w:hAnsi="宋体" w:cs="宋体"/>
          <w:kern w:val="0"/>
          <w:highlight w:val="none"/>
          <w:lang w:val="en"/>
        </w:rPr>
        <w:t xml:space="preserve"> </w:t>
      </w:r>
    </w:p>
    <w:p w14:paraId="0F600E31">
      <w:pPr>
        <w:pStyle w:val="179"/>
        <w:spacing w:after="260" w:line="240" w:lineRule="auto"/>
        <w:ind w:firstLine="0"/>
        <w:rPr>
          <w:highlight w:val="none"/>
        </w:rPr>
        <w:sectPr>
          <w:footerReference r:id="rId7" w:type="default"/>
          <w:pgSz w:w="11900" w:h="16832"/>
          <w:pgMar w:top="1440" w:right="1803" w:bottom="1440" w:left="1803" w:header="851" w:footer="851" w:gutter="0"/>
          <w:pgNumType w:start="1"/>
          <w:cols w:space="720" w:num="1"/>
          <w:docGrid w:linePitch="360" w:charSpace="0"/>
        </w:sectPr>
      </w:pPr>
    </w:p>
    <w:p w14:paraId="4F068E10">
      <w:pPr>
        <w:spacing w:line="360" w:lineRule="auto"/>
        <w:ind w:firstLine="643" w:firstLineChars="200"/>
        <w:contextualSpacing/>
        <w:jc w:val="center"/>
        <w:rPr>
          <w:rFonts w:hint="eastAsia" w:ascii="宋体" w:hAnsi="宋体"/>
          <w:b/>
          <w:sz w:val="32"/>
          <w:szCs w:val="32"/>
          <w:highlight w:val="none"/>
        </w:rPr>
      </w:pPr>
      <w:r>
        <w:rPr>
          <w:rFonts w:hint="eastAsia" w:ascii="宋体" w:hAnsi="宋体"/>
          <w:b/>
          <w:bCs/>
          <w:sz w:val="32"/>
          <w:szCs w:val="32"/>
          <w:highlight w:val="none"/>
        </w:rPr>
        <w:t>三、</w:t>
      </w:r>
      <w:r>
        <w:rPr>
          <w:rFonts w:hint="eastAsia" w:ascii="宋体" w:hAnsi="宋体"/>
          <w:b/>
          <w:sz w:val="32"/>
          <w:szCs w:val="32"/>
          <w:highlight w:val="none"/>
        </w:rPr>
        <w:t>商务技术文件格式</w:t>
      </w:r>
    </w:p>
    <w:p w14:paraId="0E8F6943">
      <w:pPr>
        <w:snapToGrid w:val="0"/>
        <w:spacing w:before="156" w:beforeLines="50" w:after="50" w:line="360" w:lineRule="auto"/>
        <w:jc w:val="left"/>
        <w:rPr>
          <w:rFonts w:ascii="宋体" w:hAnsi="宋体"/>
          <w:b/>
          <w:sz w:val="32"/>
          <w:szCs w:val="32"/>
          <w:highlight w:val="none"/>
        </w:rPr>
      </w:pPr>
      <w:r>
        <w:rPr>
          <w:rFonts w:hint="eastAsia" w:ascii="宋体" w:hAnsi="宋体"/>
          <w:b/>
          <w:sz w:val="32"/>
          <w:szCs w:val="32"/>
          <w:highlight w:val="none"/>
        </w:rPr>
        <w:t>1.商务技术文件封面格式</w:t>
      </w:r>
    </w:p>
    <w:p w14:paraId="4B01F81D">
      <w:pPr>
        <w:snapToGrid w:val="0"/>
        <w:spacing w:before="156" w:beforeLines="50" w:after="50"/>
        <w:rPr>
          <w:rFonts w:hint="eastAsia" w:ascii="宋体" w:hAnsi="宋体"/>
          <w:bCs/>
          <w:sz w:val="32"/>
          <w:szCs w:val="20"/>
          <w:highlight w:val="none"/>
        </w:rPr>
      </w:pPr>
      <w:r>
        <w:rPr>
          <w:rFonts w:hint="eastAsia" w:ascii="宋体" w:hAnsi="宋体"/>
          <w:sz w:val="24"/>
          <w:highlight w:val="none"/>
        </w:rPr>
        <w:t xml:space="preserve">                                                    </w:t>
      </w:r>
    </w:p>
    <w:p w14:paraId="70CF56A8">
      <w:pPr>
        <w:snapToGrid w:val="0"/>
        <w:spacing w:before="156" w:beforeLines="50" w:after="50"/>
        <w:jc w:val="center"/>
        <w:rPr>
          <w:rFonts w:hint="eastAsia" w:ascii="宋体" w:hAnsi="宋体"/>
          <w:sz w:val="24"/>
          <w:szCs w:val="20"/>
          <w:highlight w:val="none"/>
        </w:rPr>
      </w:pPr>
      <w:r>
        <w:rPr>
          <w:rFonts w:hint="eastAsia" w:ascii="宋体" w:hAnsi="宋体"/>
          <w:sz w:val="44"/>
          <w:szCs w:val="44"/>
          <w:highlight w:val="none"/>
        </w:rPr>
        <w:t>电 子 响 应 文 件</w:t>
      </w:r>
    </w:p>
    <w:p w14:paraId="763FFCBC">
      <w:pPr>
        <w:snapToGrid w:val="0"/>
        <w:spacing w:before="156" w:beforeLines="50" w:after="50"/>
        <w:rPr>
          <w:rFonts w:hint="eastAsia" w:ascii="宋体" w:hAnsi="宋体"/>
          <w:sz w:val="24"/>
          <w:szCs w:val="20"/>
          <w:highlight w:val="none"/>
        </w:rPr>
      </w:pPr>
    </w:p>
    <w:p w14:paraId="03A789C5">
      <w:pPr>
        <w:snapToGrid w:val="0"/>
        <w:spacing w:before="156" w:beforeLines="50" w:after="50"/>
        <w:rPr>
          <w:rFonts w:hint="eastAsia" w:ascii="宋体" w:hAnsi="宋体"/>
          <w:sz w:val="24"/>
          <w:szCs w:val="20"/>
          <w:highlight w:val="none"/>
        </w:rPr>
      </w:pPr>
    </w:p>
    <w:p w14:paraId="66AE878F">
      <w:pPr>
        <w:snapToGrid w:val="0"/>
        <w:spacing w:before="156"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商  务  技  术  文  件</w:t>
      </w:r>
    </w:p>
    <w:p w14:paraId="4852B2DE">
      <w:pPr>
        <w:snapToGrid w:val="0"/>
        <w:spacing w:before="156" w:beforeLines="50" w:after="50"/>
        <w:rPr>
          <w:rFonts w:hint="eastAsia" w:ascii="宋体" w:hAnsi="宋体"/>
          <w:bCs/>
          <w:sz w:val="24"/>
          <w:szCs w:val="20"/>
          <w:highlight w:val="none"/>
        </w:rPr>
      </w:pPr>
    </w:p>
    <w:p w14:paraId="19552660">
      <w:pPr>
        <w:snapToGrid w:val="0"/>
        <w:spacing w:before="156" w:beforeLines="50" w:after="50"/>
        <w:rPr>
          <w:rFonts w:hint="eastAsia" w:ascii="宋体" w:hAnsi="宋体"/>
          <w:bCs/>
          <w:sz w:val="24"/>
          <w:szCs w:val="20"/>
          <w:highlight w:val="none"/>
        </w:rPr>
      </w:pPr>
    </w:p>
    <w:p w14:paraId="20B3DC16">
      <w:pPr>
        <w:snapToGrid w:val="0"/>
        <w:spacing w:before="156" w:beforeLines="50" w:after="50"/>
        <w:rPr>
          <w:rFonts w:hint="eastAsia" w:ascii="宋体" w:hAnsi="宋体"/>
          <w:bCs/>
          <w:sz w:val="24"/>
          <w:szCs w:val="20"/>
          <w:highlight w:val="none"/>
        </w:rPr>
      </w:pPr>
    </w:p>
    <w:p w14:paraId="1989FA40">
      <w:pPr>
        <w:snapToGrid w:val="0"/>
        <w:spacing w:before="156" w:beforeLines="50" w:after="50"/>
        <w:rPr>
          <w:rFonts w:hint="eastAsia" w:ascii="宋体" w:hAnsi="宋体"/>
          <w:bCs/>
          <w:sz w:val="24"/>
          <w:szCs w:val="20"/>
          <w:highlight w:val="none"/>
        </w:rPr>
      </w:pPr>
    </w:p>
    <w:p w14:paraId="290C3B65">
      <w:pPr>
        <w:snapToGrid w:val="0"/>
        <w:spacing w:before="156" w:beforeLines="50" w:after="50"/>
        <w:rPr>
          <w:rFonts w:hint="eastAsia" w:ascii="宋体" w:hAnsi="宋体"/>
          <w:bCs/>
          <w:sz w:val="24"/>
          <w:szCs w:val="20"/>
          <w:highlight w:val="none"/>
        </w:rPr>
      </w:pPr>
    </w:p>
    <w:p w14:paraId="047FDCE2">
      <w:pPr>
        <w:snapToGrid w:val="0"/>
        <w:spacing w:before="156"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p>
    <w:p w14:paraId="2B4CE51A">
      <w:pPr>
        <w:snapToGrid w:val="0"/>
        <w:spacing w:before="156" w:beforeLines="50" w:after="50"/>
        <w:ind w:firstLine="720" w:firstLineChars="225"/>
        <w:rPr>
          <w:rFonts w:hint="eastAsia" w:ascii="宋体" w:hAnsi="宋体" w:cs="仿宋_GB2312"/>
          <w:bCs/>
          <w:sz w:val="32"/>
          <w:szCs w:val="32"/>
          <w:highlight w:val="none"/>
        </w:rPr>
      </w:pPr>
    </w:p>
    <w:p w14:paraId="3466C34C">
      <w:pPr>
        <w:snapToGrid w:val="0"/>
        <w:spacing w:before="156"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p>
    <w:p w14:paraId="5810D79C">
      <w:pPr>
        <w:snapToGrid w:val="0"/>
        <w:spacing w:before="156"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 xml:space="preserve"> </w:t>
      </w:r>
    </w:p>
    <w:p w14:paraId="76328B02">
      <w:pPr>
        <w:snapToGrid w:val="0"/>
        <w:spacing w:before="156"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311844BD">
      <w:pPr>
        <w:snapToGrid w:val="0"/>
        <w:spacing w:before="156" w:beforeLines="50" w:after="50"/>
        <w:ind w:firstLine="720" w:firstLineChars="225"/>
        <w:rPr>
          <w:rFonts w:hint="eastAsia" w:ascii="宋体" w:hAnsi="宋体" w:cs="仿宋_GB2312"/>
          <w:bCs/>
          <w:sz w:val="32"/>
          <w:szCs w:val="32"/>
          <w:highlight w:val="none"/>
        </w:rPr>
      </w:pPr>
    </w:p>
    <w:p w14:paraId="61DF0E57">
      <w:pPr>
        <w:pStyle w:val="7"/>
        <w:snapToGrid w:val="0"/>
        <w:spacing w:before="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7C6DC313">
      <w:pPr>
        <w:pStyle w:val="7"/>
        <w:snapToGrid w:val="0"/>
        <w:spacing w:before="50" w:after="50"/>
        <w:ind w:firstLine="640" w:firstLineChars="200"/>
        <w:rPr>
          <w:rFonts w:hint="eastAsia" w:ascii="宋体" w:hAnsi="宋体" w:cs="仿宋_GB2312"/>
          <w:bCs/>
          <w:sz w:val="32"/>
          <w:szCs w:val="32"/>
          <w:highlight w:val="none"/>
        </w:rPr>
      </w:pPr>
    </w:p>
    <w:p w14:paraId="2908C997">
      <w:pPr>
        <w:pStyle w:val="7"/>
        <w:snapToGrid w:val="0"/>
        <w:spacing w:before="50" w:after="50"/>
        <w:ind w:firstLine="720" w:firstLineChars="225"/>
        <w:rPr>
          <w:rFonts w:hint="eastAsia" w:ascii="宋体" w:hAnsi="宋体" w:cs="仿宋_GB2312"/>
          <w:bCs/>
          <w:sz w:val="32"/>
          <w:szCs w:val="32"/>
          <w:highlight w:val="none"/>
        </w:rPr>
      </w:pPr>
    </w:p>
    <w:p w14:paraId="6395B37E">
      <w:pPr>
        <w:pStyle w:val="7"/>
        <w:snapToGrid w:val="0"/>
        <w:spacing w:before="50" w:after="50"/>
        <w:ind w:firstLine="0"/>
        <w:rPr>
          <w:rFonts w:hint="eastAsia" w:ascii="宋体" w:hAnsi="宋体" w:cs="仿宋_GB2312"/>
          <w:bCs/>
          <w:sz w:val="32"/>
          <w:szCs w:val="32"/>
          <w:highlight w:val="none"/>
        </w:rPr>
      </w:pPr>
    </w:p>
    <w:p w14:paraId="0241E3F8">
      <w:pPr>
        <w:pStyle w:val="7"/>
        <w:snapToGrid w:val="0"/>
        <w:spacing w:before="50" w:after="50"/>
        <w:ind w:firstLine="1280" w:firstLineChars="400"/>
        <w:rPr>
          <w:rFonts w:hint="eastAsia" w:ascii="宋体" w:hAnsi="宋体" w:cs="仿宋_GB2312"/>
          <w:bCs/>
          <w:sz w:val="32"/>
          <w:szCs w:val="32"/>
          <w:highlight w:val="none"/>
        </w:rPr>
      </w:pPr>
    </w:p>
    <w:p w14:paraId="6E6A30A9">
      <w:pPr>
        <w:snapToGrid w:val="0"/>
        <w:spacing w:before="156"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658E41BF">
      <w:pPr>
        <w:snapToGrid w:val="0"/>
        <w:spacing w:before="156" w:beforeLines="50" w:after="50" w:line="360" w:lineRule="auto"/>
        <w:ind w:right="480" w:firstLine="321" w:firstLineChars="100"/>
        <w:jc w:val="left"/>
        <w:rPr>
          <w:rFonts w:hint="eastAsia" w:ascii="宋体" w:hAnsi="宋体"/>
          <w:b/>
          <w:bCs/>
          <w:sz w:val="32"/>
          <w:szCs w:val="32"/>
          <w:highlight w:val="none"/>
        </w:rPr>
        <w:sectPr>
          <w:footerReference r:id="rId9" w:type="first"/>
          <w:footerReference r:id="rId8" w:type="default"/>
          <w:pgSz w:w="11906" w:h="16838"/>
          <w:pgMar w:top="1418" w:right="1555" w:bottom="1418" w:left="1531" w:header="851" w:footer="992" w:gutter="0"/>
          <w:cols w:space="720" w:num="1"/>
          <w:titlePg/>
          <w:docGrid w:type="lines" w:linePitch="312" w:charSpace="0"/>
        </w:sectPr>
      </w:pPr>
    </w:p>
    <w:p w14:paraId="3C4EDADE">
      <w:pPr>
        <w:snapToGrid w:val="0"/>
        <w:spacing w:before="156" w:beforeLines="50" w:after="50" w:line="360" w:lineRule="auto"/>
        <w:ind w:right="480" w:firstLine="321" w:firstLineChars="100"/>
        <w:jc w:val="left"/>
        <w:rPr>
          <w:rFonts w:hint="eastAsia" w:ascii="宋体" w:hAnsi="宋体"/>
          <w:b/>
          <w:bCs/>
          <w:sz w:val="24"/>
          <w:highlight w:val="none"/>
        </w:rPr>
      </w:pPr>
      <w:r>
        <w:rPr>
          <w:rFonts w:hint="eastAsia" w:ascii="宋体" w:hAnsi="宋体"/>
          <w:b/>
          <w:bCs/>
          <w:sz w:val="32"/>
          <w:szCs w:val="32"/>
          <w:highlight w:val="none"/>
        </w:rPr>
        <w:t>2.商务技术文件目录</w:t>
      </w:r>
    </w:p>
    <w:p w14:paraId="1C53BA1C">
      <w:pPr>
        <w:snapToGrid w:val="0"/>
        <w:spacing w:before="156" w:beforeLines="50" w:after="50" w:line="360" w:lineRule="auto"/>
        <w:ind w:firstLine="640" w:firstLineChars="200"/>
        <w:rPr>
          <w:rFonts w:ascii="宋体" w:hAnsi="宋体"/>
          <w:sz w:val="32"/>
          <w:szCs w:val="32"/>
          <w:highlight w:val="none"/>
        </w:rPr>
      </w:pPr>
      <w:r>
        <w:rPr>
          <w:rFonts w:hint="eastAsia" w:ascii="宋体" w:hAnsi="宋体"/>
          <w:sz w:val="32"/>
          <w:szCs w:val="32"/>
          <w:highlight w:val="none"/>
        </w:rPr>
        <w:t>根据磋商文件规定及供应商提供的材料自行编写目录（部分格式后附）。</w:t>
      </w:r>
    </w:p>
    <w:p w14:paraId="55314138">
      <w:pPr>
        <w:spacing w:line="400" w:lineRule="exact"/>
        <w:rPr>
          <w:rFonts w:hint="eastAsia" w:ascii="仿宋_GB2312" w:hAnsi="仿宋_GB2312" w:eastAsia="仿宋_GB2312" w:cs="仿宋_GB2312"/>
          <w:sz w:val="32"/>
          <w:szCs w:val="32"/>
          <w:highlight w:val="none"/>
        </w:rPr>
      </w:pPr>
    </w:p>
    <w:p w14:paraId="267476BE">
      <w:pPr>
        <w:spacing w:line="520" w:lineRule="exact"/>
        <w:jc w:val="center"/>
        <w:rPr>
          <w:rFonts w:hint="eastAsia" w:ascii="宋体" w:hAnsi="宋体" w:cs="方正小标宋简体"/>
          <w:b/>
          <w:sz w:val="32"/>
          <w:szCs w:val="32"/>
          <w:highlight w:val="none"/>
        </w:rPr>
        <w:sectPr>
          <w:footerReference r:id="rId11" w:type="first"/>
          <w:footerReference r:id="rId10" w:type="default"/>
          <w:pgSz w:w="11906" w:h="16838"/>
          <w:pgMar w:top="1418" w:right="1555" w:bottom="1418" w:left="1531" w:header="851" w:footer="992" w:gutter="0"/>
          <w:cols w:space="720" w:num="1"/>
          <w:titlePg/>
          <w:docGrid w:type="lines" w:linePitch="312" w:charSpace="0"/>
        </w:sectPr>
      </w:pPr>
    </w:p>
    <w:p w14:paraId="65ABD9AA">
      <w:pPr>
        <w:spacing w:line="520" w:lineRule="exact"/>
        <w:jc w:val="center"/>
        <w:rPr>
          <w:rFonts w:hint="eastAsia" w:ascii="宋体" w:hAnsi="宋体" w:cs="仿宋_GB2312"/>
          <w:b/>
          <w:sz w:val="32"/>
          <w:szCs w:val="32"/>
          <w:highlight w:val="none"/>
        </w:rPr>
      </w:pPr>
      <w:r>
        <w:rPr>
          <w:rFonts w:hint="eastAsia" w:ascii="宋体" w:hAnsi="宋体" w:cs="方正小标宋简体"/>
          <w:b/>
          <w:sz w:val="32"/>
          <w:szCs w:val="32"/>
          <w:highlight w:val="none"/>
        </w:rPr>
        <w:t>无串通竞标行为的承诺函</w:t>
      </w:r>
    </w:p>
    <w:p w14:paraId="19F1B1F6">
      <w:pPr>
        <w:spacing w:line="360" w:lineRule="auto"/>
        <w:ind w:firstLine="640" w:firstLineChars="200"/>
        <w:contextualSpacing/>
        <w:rPr>
          <w:rFonts w:hint="eastAsia" w:ascii="仿宋_GB2312" w:hAnsi="仿宋_GB2312" w:eastAsia="仿宋_GB2312" w:cs="仿宋_GB2312"/>
          <w:sz w:val="32"/>
          <w:szCs w:val="32"/>
          <w:highlight w:val="none"/>
        </w:rPr>
      </w:pPr>
    </w:p>
    <w:p w14:paraId="5133BD85">
      <w:pPr>
        <w:spacing w:line="360" w:lineRule="auto"/>
        <w:ind w:firstLine="482" w:firstLineChars="200"/>
        <w:contextualSpacing/>
        <w:rPr>
          <w:rFonts w:hint="eastAsia" w:ascii="宋体" w:hAnsi="宋体" w:cs="仿宋_GB2312"/>
          <w:b/>
          <w:bCs/>
          <w:sz w:val="24"/>
          <w:highlight w:val="none"/>
        </w:rPr>
      </w:pPr>
      <w:r>
        <w:rPr>
          <w:rFonts w:hint="eastAsia" w:ascii="宋体" w:hAnsi="宋体" w:cs="仿宋_GB2312"/>
          <w:b/>
          <w:bCs/>
          <w:sz w:val="24"/>
          <w:highlight w:val="none"/>
        </w:rPr>
        <w:t>一、我方承诺无下列相互串通竞标的情形：</w:t>
      </w:r>
    </w:p>
    <w:p w14:paraId="34C55CA3">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 xml:space="preserve">1.不同供应商的响应文件由同一单位或者个人编制； </w:t>
      </w:r>
    </w:p>
    <w:p w14:paraId="19E1D3D3">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2.不同供应商委托同一单位或者个人办理竞标事宜；</w:t>
      </w:r>
    </w:p>
    <w:p w14:paraId="038D77D9">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3.不同供应商的响应文件载明的项目管理员为同一个人；</w:t>
      </w:r>
    </w:p>
    <w:p w14:paraId="0F44CB63">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4.不</w:t>
      </w:r>
      <w:r>
        <w:rPr>
          <w:rFonts w:hint="eastAsia" w:ascii="宋体" w:hAnsi="宋体" w:cs="仿宋_GB2312"/>
          <w:spacing w:val="-6"/>
          <w:sz w:val="24"/>
          <w:highlight w:val="none"/>
        </w:rPr>
        <w:t>同供应商的响应文件异常一致或者竞标报价呈规律性差异；</w:t>
      </w:r>
    </w:p>
    <w:p w14:paraId="61DE4110">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5.不同供应商的响应文件相互混装；</w:t>
      </w:r>
    </w:p>
    <w:p w14:paraId="755B2C14">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6.不同供应商的磋商保证金从同一单位或者个人账户转出。</w:t>
      </w:r>
    </w:p>
    <w:p w14:paraId="59A19F0E">
      <w:pPr>
        <w:spacing w:line="360" w:lineRule="auto"/>
        <w:ind w:firstLine="482" w:firstLineChars="200"/>
        <w:contextualSpacing/>
        <w:rPr>
          <w:rFonts w:hint="eastAsia" w:ascii="宋体" w:hAnsi="宋体" w:cs="仿宋_GB2312"/>
          <w:b/>
          <w:bCs/>
          <w:sz w:val="24"/>
          <w:highlight w:val="none"/>
        </w:rPr>
      </w:pPr>
      <w:r>
        <w:rPr>
          <w:rFonts w:hint="eastAsia" w:ascii="宋体" w:hAnsi="宋体" w:cs="仿宋_GB2312"/>
          <w:b/>
          <w:bCs/>
          <w:sz w:val="24"/>
          <w:highlight w:val="none"/>
        </w:rPr>
        <w:t>二、我方承诺无下列恶意串通的情形：</w:t>
      </w:r>
    </w:p>
    <w:p w14:paraId="7DBD1015">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1.供应商直接或者间接从采购人或者采购代理机构处获得其他供应商的相关信息并修改其响应文件；</w:t>
      </w:r>
    </w:p>
    <w:p w14:paraId="596E859E">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2.供应商按照采购人或者采购代理机构的授意撤换、修改响应文件；</w:t>
      </w:r>
    </w:p>
    <w:p w14:paraId="18359C33">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3.供</w:t>
      </w:r>
      <w:r>
        <w:rPr>
          <w:rFonts w:hint="eastAsia" w:ascii="宋体" w:hAnsi="宋体" w:cs="仿宋_GB2312"/>
          <w:spacing w:val="-6"/>
          <w:sz w:val="24"/>
          <w:highlight w:val="none"/>
        </w:rPr>
        <w:t>应商之间协商报价、技术方案等响应文件的实质性内容；</w:t>
      </w:r>
    </w:p>
    <w:p w14:paraId="45C6E0CB">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4.属于同一集团、协会、商会等组织成员的供应商按照该组织要求协同参加政府采购活动；</w:t>
      </w:r>
    </w:p>
    <w:p w14:paraId="5B0F4DF0">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5.供应商之间事先约定一致抬高或者压低竞标报价，或者在竞争性磋商项目中事先约定轮流以高价位或者低价位成交，或者事先约定由某一特定供应商成交，然后再参加竞标；</w:t>
      </w:r>
    </w:p>
    <w:p w14:paraId="5F202911">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6.供应商之间商定部分供应商放弃参加政府采购活动或者放弃成交；</w:t>
      </w:r>
    </w:p>
    <w:p w14:paraId="1344A815">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7.供应商与采购人或者采购代理机构之间、供应商相互之间，为</w:t>
      </w:r>
      <w:r>
        <w:rPr>
          <w:rFonts w:hint="eastAsia" w:ascii="宋体" w:hAnsi="宋体" w:cs="仿宋_GB2312"/>
          <w:spacing w:val="-6"/>
          <w:sz w:val="24"/>
          <w:highlight w:val="none"/>
        </w:rPr>
        <w:t>谋求特定供应商成交或者排斥其他供应商的其他串通行为。</w:t>
      </w:r>
    </w:p>
    <w:p w14:paraId="6AE62B97">
      <w:pPr>
        <w:spacing w:line="360" w:lineRule="auto"/>
        <w:ind w:firstLine="480" w:firstLineChars="200"/>
        <w:contextualSpacing/>
        <w:rPr>
          <w:rFonts w:hint="eastAsia" w:ascii="宋体" w:hAnsi="宋体" w:cs="仿宋_GB2312"/>
          <w:sz w:val="24"/>
          <w:highlight w:val="none"/>
        </w:rPr>
      </w:pPr>
    </w:p>
    <w:p w14:paraId="539D0E24">
      <w:pPr>
        <w:spacing w:line="360" w:lineRule="auto"/>
        <w:ind w:firstLine="482" w:firstLineChars="200"/>
        <w:contextualSpacing/>
        <w:rPr>
          <w:rFonts w:hint="eastAsia" w:ascii="宋体" w:hAnsi="宋体" w:cs="仿宋_GB2312"/>
          <w:b/>
          <w:bCs/>
          <w:sz w:val="24"/>
          <w:highlight w:val="none"/>
        </w:rPr>
      </w:pPr>
      <w:r>
        <w:rPr>
          <w:rFonts w:hint="eastAsia" w:ascii="宋体" w:hAnsi="宋体" w:cs="仿宋_GB2312"/>
          <w:b/>
          <w:bCs/>
          <w:sz w:val="24"/>
          <w:highlight w:val="none"/>
        </w:rPr>
        <w:t>以上情形一经核查属实，我方愿意承担一切后果，并不再寻求任何旨在减轻或者免除法律责任的辩解。</w:t>
      </w:r>
    </w:p>
    <w:p w14:paraId="65D75FA9">
      <w:pPr>
        <w:spacing w:line="360" w:lineRule="auto"/>
        <w:contextualSpacing/>
        <w:rPr>
          <w:rFonts w:hint="eastAsia" w:ascii="宋体" w:hAnsi="宋体" w:cs="仿宋_GB2312"/>
          <w:sz w:val="24"/>
          <w:highlight w:val="none"/>
        </w:rPr>
      </w:pPr>
    </w:p>
    <w:p w14:paraId="30B759B0">
      <w:pPr>
        <w:spacing w:line="360" w:lineRule="auto"/>
        <w:ind w:firstLine="3600" w:firstLineChars="1500"/>
        <w:contextualSpacing/>
        <w:rPr>
          <w:rFonts w:hint="eastAsia" w:ascii="宋体" w:hAnsi="宋体" w:cs="仿宋_GB2312"/>
          <w:sz w:val="24"/>
          <w:highlight w:val="none"/>
        </w:rPr>
      </w:pPr>
      <w:r>
        <w:rPr>
          <w:rFonts w:hint="eastAsia" w:ascii="宋体" w:hAnsi="宋体" w:cs="仿宋_GB2312"/>
          <w:sz w:val="24"/>
          <w:highlight w:val="none"/>
        </w:rPr>
        <w:t>供应商（电子签章）：</w:t>
      </w:r>
    </w:p>
    <w:p w14:paraId="02F4F191">
      <w:pPr>
        <w:spacing w:line="360" w:lineRule="auto"/>
        <w:ind w:firstLine="480" w:firstLineChars="200"/>
        <w:contextualSpacing/>
        <w:jc w:val="center"/>
        <w:rPr>
          <w:rFonts w:hint="eastAsia" w:ascii="仿宋_GB2312" w:hAnsi="仿宋_GB2312" w:eastAsia="仿宋_GB2312" w:cs="仿宋_GB2312"/>
          <w:sz w:val="32"/>
          <w:szCs w:val="32"/>
          <w:highlight w:val="none"/>
        </w:rPr>
      </w:pPr>
      <w:r>
        <w:rPr>
          <w:rFonts w:hint="eastAsia" w:ascii="宋体" w:hAnsi="宋体" w:cs="仿宋_GB2312"/>
          <w:sz w:val="24"/>
          <w:highlight w:val="none"/>
        </w:rPr>
        <w:t xml:space="preserve">                               年   月   日</w:t>
      </w:r>
    </w:p>
    <w:p w14:paraId="511A2C50">
      <w:pPr>
        <w:spacing w:line="520" w:lineRule="exact"/>
        <w:jc w:val="center"/>
        <w:rPr>
          <w:rFonts w:hint="eastAsia" w:ascii="宋体" w:hAnsi="宋体" w:cs="方正小标宋简体"/>
          <w:b/>
          <w:bCs/>
          <w:sz w:val="32"/>
          <w:szCs w:val="32"/>
          <w:highlight w:val="none"/>
        </w:rPr>
        <w:sectPr>
          <w:footerReference r:id="rId13" w:type="first"/>
          <w:footerReference r:id="rId12" w:type="default"/>
          <w:pgSz w:w="11906" w:h="16838"/>
          <w:pgMar w:top="1418" w:right="1555" w:bottom="1418" w:left="1531" w:header="851" w:footer="992" w:gutter="0"/>
          <w:cols w:space="720" w:num="1"/>
          <w:docGrid w:type="lines" w:linePitch="312" w:charSpace="0"/>
        </w:sectPr>
      </w:pPr>
    </w:p>
    <w:p w14:paraId="38A0F2C0">
      <w:pPr>
        <w:spacing w:line="520" w:lineRule="exact"/>
        <w:jc w:val="center"/>
        <w:rPr>
          <w:rFonts w:hint="eastAsia" w:ascii="宋体" w:hAnsi="宋体" w:cs="仿宋_GB2312"/>
          <w:b/>
          <w:sz w:val="32"/>
          <w:szCs w:val="32"/>
          <w:highlight w:val="none"/>
        </w:rPr>
      </w:pPr>
      <w:r>
        <w:rPr>
          <w:rFonts w:hint="eastAsia" w:ascii="宋体" w:hAnsi="宋体" w:cs="方正小标宋简体"/>
          <w:b/>
          <w:bCs/>
          <w:sz w:val="32"/>
          <w:szCs w:val="32"/>
          <w:highlight w:val="none"/>
        </w:rPr>
        <w:t>法定代表人</w:t>
      </w:r>
      <w:r>
        <w:rPr>
          <w:rFonts w:hint="eastAsia" w:ascii="宋体" w:hAnsi="宋体" w:cs="方正小标宋简体"/>
          <w:b/>
          <w:bCs/>
          <w:sz w:val="32"/>
          <w:szCs w:val="32"/>
          <w:highlight w:val="none"/>
          <w:lang w:val="en-US" w:eastAsia="zh-CN"/>
        </w:rPr>
        <w:t>身份</w:t>
      </w:r>
      <w:r>
        <w:rPr>
          <w:rFonts w:hint="eastAsia" w:ascii="宋体" w:hAnsi="宋体" w:cs="方正小标宋简体"/>
          <w:b/>
          <w:bCs/>
          <w:sz w:val="32"/>
          <w:szCs w:val="32"/>
          <w:highlight w:val="none"/>
        </w:rPr>
        <w:t>证明书</w:t>
      </w:r>
    </w:p>
    <w:p w14:paraId="74F4976C">
      <w:pPr>
        <w:spacing w:line="360" w:lineRule="auto"/>
        <w:ind w:left="540"/>
        <w:contextualSpacing/>
        <w:rPr>
          <w:rFonts w:hint="eastAsia" w:ascii="仿宋_GB2312" w:hAnsi="仿宋_GB2312" w:eastAsia="仿宋_GB2312" w:cs="仿宋_GB2312"/>
          <w:sz w:val="32"/>
          <w:szCs w:val="32"/>
          <w:highlight w:val="none"/>
        </w:rPr>
      </w:pPr>
    </w:p>
    <w:p w14:paraId="768D5530">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供应商名称：</w:t>
      </w:r>
      <w:r>
        <w:rPr>
          <w:rFonts w:hint="eastAsia" w:ascii="宋体" w:hAnsi="宋体" w:cs="仿宋_GB2312"/>
          <w:sz w:val="24"/>
          <w:highlight w:val="none"/>
          <w:u w:val="single"/>
        </w:rPr>
        <w:t xml:space="preserve">                                         </w:t>
      </w:r>
    </w:p>
    <w:p w14:paraId="5C94A33A">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地    址：</w:t>
      </w:r>
      <w:r>
        <w:rPr>
          <w:rFonts w:hint="eastAsia" w:ascii="宋体" w:hAnsi="宋体" w:cs="仿宋_GB2312"/>
          <w:sz w:val="24"/>
          <w:highlight w:val="none"/>
          <w:u w:val="single"/>
        </w:rPr>
        <w:t xml:space="preserve">                                           </w:t>
      </w:r>
    </w:p>
    <w:p w14:paraId="055BAD93">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姓    名：</w:t>
      </w:r>
      <w:r>
        <w:rPr>
          <w:rFonts w:hint="eastAsia" w:ascii="宋体" w:hAnsi="宋体" w:cs="仿宋_GB2312"/>
          <w:sz w:val="24"/>
          <w:highlight w:val="none"/>
          <w:u w:val="single"/>
        </w:rPr>
        <w:t xml:space="preserve">                </w:t>
      </w:r>
      <w:r>
        <w:rPr>
          <w:rFonts w:hint="eastAsia" w:ascii="宋体" w:hAnsi="宋体" w:cs="仿宋_GB2312"/>
          <w:sz w:val="24"/>
          <w:highlight w:val="none"/>
        </w:rPr>
        <w:t>性     别：</w:t>
      </w:r>
      <w:r>
        <w:rPr>
          <w:rFonts w:hint="eastAsia" w:ascii="宋体" w:hAnsi="宋体" w:cs="仿宋_GB2312"/>
          <w:sz w:val="24"/>
          <w:highlight w:val="none"/>
          <w:u w:val="single"/>
        </w:rPr>
        <w:t xml:space="preserve">                </w:t>
      </w:r>
    </w:p>
    <w:p w14:paraId="7C2C283C">
      <w:pPr>
        <w:spacing w:line="360" w:lineRule="auto"/>
        <w:ind w:left="540"/>
        <w:contextualSpacing/>
        <w:rPr>
          <w:rFonts w:hint="eastAsia" w:ascii="宋体" w:hAnsi="宋体" w:cs="仿宋_GB2312"/>
          <w:sz w:val="24"/>
          <w:highlight w:val="none"/>
          <w:u w:val="single"/>
        </w:rPr>
      </w:pPr>
      <w:r>
        <w:rPr>
          <w:rFonts w:hint="eastAsia" w:ascii="宋体" w:hAnsi="宋体" w:cs="仿宋_GB2312"/>
          <w:sz w:val="24"/>
          <w:highlight w:val="none"/>
        </w:rPr>
        <w:t>年    龄：</w:t>
      </w:r>
      <w:r>
        <w:rPr>
          <w:rFonts w:hint="eastAsia" w:ascii="宋体" w:hAnsi="宋体" w:cs="仿宋_GB2312"/>
          <w:sz w:val="24"/>
          <w:highlight w:val="none"/>
          <w:u w:val="single"/>
        </w:rPr>
        <w:t xml:space="preserve">                </w:t>
      </w:r>
      <w:r>
        <w:rPr>
          <w:rFonts w:hint="eastAsia" w:ascii="宋体" w:hAnsi="宋体" w:cs="仿宋_GB2312"/>
          <w:sz w:val="24"/>
          <w:highlight w:val="none"/>
        </w:rPr>
        <w:t>职     务：</w:t>
      </w:r>
      <w:r>
        <w:rPr>
          <w:rFonts w:hint="eastAsia" w:ascii="宋体" w:hAnsi="宋体" w:cs="仿宋_GB2312"/>
          <w:sz w:val="24"/>
          <w:highlight w:val="none"/>
          <w:u w:val="single"/>
        </w:rPr>
        <w:t xml:space="preserve">                </w:t>
      </w:r>
    </w:p>
    <w:p w14:paraId="5BB8A77F">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身份证号码：</w:t>
      </w:r>
      <w:r>
        <w:rPr>
          <w:rFonts w:hint="eastAsia" w:ascii="宋体" w:hAnsi="宋体" w:cs="仿宋_GB2312"/>
          <w:sz w:val="24"/>
          <w:highlight w:val="none"/>
          <w:u w:val="single"/>
        </w:rPr>
        <w:t xml:space="preserve">                                        </w:t>
      </w:r>
    </w:p>
    <w:p w14:paraId="549125D8">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系</w:t>
      </w:r>
      <w:r>
        <w:rPr>
          <w:rFonts w:hint="eastAsia" w:ascii="宋体" w:hAnsi="宋体" w:cs="仿宋_GB2312"/>
          <w:sz w:val="24"/>
          <w:highlight w:val="none"/>
          <w:u w:val="single"/>
        </w:rPr>
        <w:t>（供应商名称）</w:t>
      </w:r>
      <w:r>
        <w:rPr>
          <w:rFonts w:hint="eastAsia" w:ascii="宋体" w:hAnsi="宋体" w:cs="仿宋_GB2312"/>
          <w:sz w:val="24"/>
          <w:highlight w:val="none"/>
        </w:rPr>
        <w:t>的法定代表人。</w:t>
      </w:r>
    </w:p>
    <w:p w14:paraId="002EC32D">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特此证明。</w:t>
      </w:r>
    </w:p>
    <w:p w14:paraId="48C5B9D4">
      <w:pPr>
        <w:spacing w:line="360" w:lineRule="auto"/>
        <w:ind w:left="540"/>
        <w:contextualSpacing/>
        <w:rPr>
          <w:rFonts w:hint="eastAsia" w:ascii="宋体" w:hAnsi="宋体" w:cs="仿宋_GB2312"/>
          <w:sz w:val="24"/>
          <w:highlight w:val="none"/>
        </w:rPr>
      </w:pPr>
    </w:p>
    <w:p w14:paraId="1089CF8C">
      <w:pPr>
        <w:spacing w:line="360" w:lineRule="auto"/>
        <w:ind w:left="540"/>
        <w:contextualSpacing/>
        <w:rPr>
          <w:rFonts w:hint="eastAsia" w:ascii="宋体" w:hAnsi="宋体" w:cs="仿宋_GB2312"/>
          <w:sz w:val="24"/>
          <w:highlight w:val="none"/>
        </w:rPr>
      </w:pPr>
    </w:p>
    <w:p w14:paraId="40EB8EEC">
      <w:pPr>
        <w:spacing w:line="360" w:lineRule="auto"/>
        <w:ind w:left="540"/>
        <w:contextualSpacing/>
        <w:rPr>
          <w:rFonts w:hint="eastAsia" w:ascii="宋体" w:hAnsi="宋体" w:cs="仿宋_GB2312"/>
          <w:sz w:val="24"/>
          <w:highlight w:val="none"/>
        </w:rPr>
      </w:pPr>
    </w:p>
    <w:p w14:paraId="3562DD7A">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附件：法定代表人有效身份证正反面</w:t>
      </w:r>
    </w:p>
    <w:p w14:paraId="281AE651">
      <w:pPr>
        <w:spacing w:line="360" w:lineRule="auto"/>
        <w:ind w:left="540"/>
        <w:contextualSpacing/>
        <w:rPr>
          <w:rFonts w:hint="eastAsia" w:ascii="宋体" w:hAnsi="宋体" w:cs="仿宋_GB2312"/>
          <w:sz w:val="24"/>
          <w:highlight w:val="none"/>
        </w:rPr>
      </w:pPr>
    </w:p>
    <w:p w14:paraId="3AE13AD6">
      <w:pPr>
        <w:spacing w:line="360" w:lineRule="auto"/>
        <w:ind w:left="540" w:firstLine="3000" w:firstLineChars="1250"/>
        <w:contextualSpacing/>
        <w:jc w:val="left"/>
        <w:rPr>
          <w:rFonts w:hint="eastAsia" w:ascii="宋体" w:hAnsi="宋体" w:cs="仿宋_GB2312"/>
          <w:sz w:val="24"/>
          <w:highlight w:val="none"/>
        </w:rPr>
      </w:pPr>
      <w:r>
        <w:rPr>
          <w:rFonts w:hint="eastAsia" w:ascii="宋体" w:hAnsi="宋体" w:cs="仿宋_GB2312"/>
          <w:sz w:val="24"/>
          <w:highlight w:val="none"/>
        </w:rPr>
        <w:t>供应商（电子签章）：</w:t>
      </w:r>
      <w:r>
        <w:rPr>
          <w:rFonts w:hint="eastAsia" w:ascii="宋体" w:hAnsi="宋体" w:cs="仿宋_GB2312"/>
          <w:sz w:val="24"/>
          <w:highlight w:val="none"/>
          <w:u w:val="single"/>
        </w:rPr>
        <w:t xml:space="preserve">               </w:t>
      </w:r>
    </w:p>
    <w:p w14:paraId="50A683FD">
      <w:pPr>
        <w:spacing w:line="360" w:lineRule="auto"/>
        <w:ind w:firstLine="4080" w:firstLineChars="1700"/>
        <w:contextualSpacing/>
        <w:rPr>
          <w:rFonts w:hint="eastAsia" w:ascii="宋体" w:hAnsi="宋体" w:cs="仿宋_GB2312"/>
          <w:sz w:val="24"/>
          <w:highlight w:val="none"/>
        </w:rPr>
      </w:pPr>
      <w:r>
        <w:rPr>
          <w:rFonts w:hint="eastAsia" w:ascii="宋体" w:hAnsi="宋体" w:cs="仿宋_GB2312"/>
          <w:sz w:val="24"/>
          <w:highlight w:val="none"/>
          <w:u w:val="single"/>
        </w:rPr>
        <w:t xml:space="preserve">     </w:t>
      </w:r>
      <w:r>
        <w:rPr>
          <w:rFonts w:hint="eastAsia" w:ascii="宋体" w:hAnsi="宋体" w:cs="仿宋_GB2312"/>
          <w:sz w:val="24"/>
          <w:highlight w:val="none"/>
        </w:rPr>
        <w:t>年</w:t>
      </w:r>
      <w:r>
        <w:rPr>
          <w:rFonts w:hint="eastAsia" w:ascii="宋体" w:hAnsi="宋体" w:cs="仿宋_GB2312"/>
          <w:sz w:val="24"/>
          <w:highlight w:val="none"/>
          <w:u w:val="single"/>
        </w:rPr>
        <w:t xml:space="preserve">     </w:t>
      </w:r>
      <w:r>
        <w:rPr>
          <w:rFonts w:hint="eastAsia" w:ascii="宋体" w:hAnsi="宋体" w:cs="仿宋_GB2312"/>
          <w:sz w:val="24"/>
          <w:highlight w:val="none"/>
        </w:rPr>
        <w:t>月</w:t>
      </w:r>
      <w:r>
        <w:rPr>
          <w:rFonts w:hint="eastAsia" w:ascii="宋体" w:hAnsi="宋体" w:cs="仿宋_GB2312"/>
          <w:sz w:val="24"/>
          <w:highlight w:val="none"/>
          <w:u w:val="single"/>
        </w:rPr>
        <w:t xml:space="preserve">     </w:t>
      </w:r>
      <w:r>
        <w:rPr>
          <w:rFonts w:hint="eastAsia" w:ascii="宋体" w:hAnsi="宋体" w:cs="仿宋_GB2312"/>
          <w:sz w:val="24"/>
          <w:highlight w:val="none"/>
        </w:rPr>
        <w:t>日</w:t>
      </w:r>
    </w:p>
    <w:p w14:paraId="31284D5B">
      <w:pPr>
        <w:spacing w:line="360" w:lineRule="auto"/>
        <w:contextualSpacing/>
        <w:jc w:val="center"/>
        <w:rPr>
          <w:rFonts w:hint="eastAsia" w:ascii="宋体" w:hAnsi="宋体" w:cs="仿宋_GB2312"/>
          <w:b/>
          <w:sz w:val="24"/>
          <w:highlight w:val="none"/>
        </w:rPr>
      </w:pPr>
    </w:p>
    <w:p w14:paraId="5BB0397F">
      <w:pPr>
        <w:spacing w:line="360" w:lineRule="auto"/>
        <w:contextualSpacing/>
        <w:jc w:val="left"/>
        <w:rPr>
          <w:rFonts w:hint="eastAsia" w:ascii="宋体" w:hAnsi="宋体" w:cs="仿宋_GB2312"/>
          <w:sz w:val="24"/>
          <w:highlight w:val="none"/>
        </w:rPr>
      </w:pPr>
    </w:p>
    <w:p w14:paraId="03EA2BAD">
      <w:pPr>
        <w:spacing w:line="360" w:lineRule="auto"/>
        <w:contextualSpacing/>
        <w:jc w:val="left"/>
        <w:rPr>
          <w:rFonts w:ascii="宋体" w:hAnsi="宋体" w:cs="仿宋_GB2312"/>
          <w:sz w:val="24"/>
          <w:highlight w:val="none"/>
        </w:rPr>
      </w:pPr>
      <w:r>
        <w:rPr>
          <w:rFonts w:hint="eastAsia" w:ascii="宋体" w:hAnsi="宋体" w:cs="仿宋_GB2312"/>
          <w:sz w:val="24"/>
          <w:highlight w:val="none"/>
        </w:rPr>
        <w:t>注：联合体竞标的只需牵头人出具。</w:t>
      </w:r>
    </w:p>
    <w:p w14:paraId="31829E16">
      <w:pPr>
        <w:adjustRightInd w:val="0"/>
        <w:snapToGrid w:val="0"/>
        <w:spacing w:line="300" w:lineRule="auto"/>
        <w:jc w:val="left"/>
        <w:rPr>
          <w:rFonts w:hint="eastAsia" w:ascii="宋体" w:hAnsi="宋体"/>
          <w:b/>
          <w:szCs w:val="21"/>
          <w:highlight w:val="none"/>
        </w:rPr>
      </w:pPr>
    </w:p>
    <w:p w14:paraId="6297DAD1">
      <w:pPr>
        <w:spacing w:line="500" w:lineRule="exact"/>
        <w:rPr>
          <w:rFonts w:hint="eastAsia" w:ascii="方正小标宋简体" w:hAnsi="方正小标宋简体" w:eastAsia="方正小标宋简体" w:cs="方正小标宋简体"/>
          <w:sz w:val="44"/>
          <w:szCs w:val="44"/>
          <w:highlight w:val="none"/>
        </w:rPr>
      </w:pPr>
    </w:p>
    <w:p w14:paraId="19415DD3">
      <w:pPr>
        <w:spacing w:line="500" w:lineRule="exact"/>
        <w:rPr>
          <w:rFonts w:hint="eastAsia" w:ascii="方正小标宋简体" w:hAnsi="方正小标宋简体" w:eastAsia="方正小标宋简体" w:cs="方正小标宋简体"/>
          <w:sz w:val="44"/>
          <w:szCs w:val="44"/>
          <w:highlight w:val="none"/>
        </w:rPr>
      </w:pPr>
    </w:p>
    <w:p w14:paraId="5CCEC559">
      <w:pPr>
        <w:spacing w:line="500" w:lineRule="exact"/>
        <w:rPr>
          <w:rFonts w:hint="eastAsia" w:ascii="方正小标宋简体" w:hAnsi="方正小标宋简体" w:eastAsia="方正小标宋简体" w:cs="方正小标宋简体"/>
          <w:sz w:val="44"/>
          <w:szCs w:val="44"/>
          <w:highlight w:val="none"/>
        </w:rPr>
      </w:pPr>
    </w:p>
    <w:p w14:paraId="782621F7">
      <w:pPr>
        <w:spacing w:line="500" w:lineRule="exact"/>
        <w:rPr>
          <w:rFonts w:hint="eastAsia" w:ascii="方正小标宋简体" w:hAnsi="方正小标宋简体" w:eastAsia="方正小标宋简体" w:cs="方正小标宋简体"/>
          <w:sz w:val="44"/>
          <w:szCs w:val="44"/>
          <w:highlight w:val="none"/>
        </w:rPr>
      </w:pPr>
    </w:p>
    <w:p w14:paraId="1683CF86">
      <w:pPr>
        <w:spacing w:line="500" w:lineRule="exact"/>
        <w:rPr>
          <w:rFonts w:hint="eastAsia" w:ascii="方正小标宋简体" w:hAnsi="方正小标宋简体" w:eastAsia="方正小标宋简体" w:cs="方正小标宋简体"/>
          <w:sz w:val="44"/>
          <w:szCs w:val="44"/>
          <w:highlight w:val="none"/>
        </w:rPr>
      </w:pPr>
    </w:p>
    <w:p w14:paraId="2538D03C">
      <w:pPr>
        <w:spacing w:line="500" w:lineRule="exact"/>
        <w:rPr>
          <w:rFonts w:hint="eastAsia" w:ascii="方正小标宋简体" w:hAnsi="方正小标宋简体" w:eastAsia="方正小标宋简体" w:cs="方正小标宋简体"/>
          <w:sz w:val="44"/>
          <w:szCs w:val="44"/>
          <w:highlight w:val="none"/>
        </w:rPr>
      </w:pPr>
    </w:p>
    <w:p w14:paraId="03453110">
      <w:pPr>
        <w:spacing w:line="500" w:lineRule="exact"/>
        <w:rPr>
          <w:rFonts w:hint="eastAsia" w:ascii="方正小标宋简体" w:hAnsi="方正小标宋简体" w:eastAsia="方正小标宋简体" w:cs="方正小标宋简体"/>
          <w:sz w:val="44"/>
          <w:szCs w:val="44"/>
          <w:highlight w:val="none"/>
        </w:rPr>
      </w:pPr>
    </w:p>
    <w:p w14:paraId="38D9483B">
      <w:pPr>
        <w:spacing w:line="500" w:lineRule="exact"/>
        <w:rPr>
          <w:rFonts w:hint="eastAsia" w:ascii="方正小标宋简体" w:hAnsi="方正小标宋简体" w:eastAsia="方正小标宋简体" w:cs="方正小标宋简体"/>
          <w:sz w:val="44"/>
          <w:szCs w:val="44"/>
          <w:highlight w:val="none"/>
        </w:rPr>
      </w:pPr>
    </w:p>
    <w:p w14:paraId="180735C6">
      <w:pPr>
        <w:spacing w:line="520" w:lineRule="exact"/>
        <w:jc w:val="center"/>
        <w:rPr>
          <w:rFonts w:hint="eastAsia" w:ascii="宋体" w:hAnsi="宋体" w:cs="方正小标宋简体"/>
          <w:b/>
          <w:sz w:val="32"/>
          <w:szCs w:val="32"/>
          <w:highlight w:val="none"/>
        </w:rPr>
      </w:pPr>
      <w:bookmarkStart w:id="127" w:name="_Hlk65853643"/>
      <w:r>
        <w:rPr>
          <w:rFonts w:hint="eastAsia" w:ascii="宋体" w:hAnsi="宋体" w:cs="方正小标宋简体"/>
          <w:b/>
          <w:sz w:val="32"/>
          <w:szCs w:val="32"/>
          <w:highlight w:val="none"/>
        </w:rPr>
        <w:br w:type="page"/>
      </w:r>
      <w:r>
        <w:rPr>
          <w:rFonts w:hint="eastAsia" w:ascii="宋体" w:hAnsi="宋体" w:cs="方正小标宋简体"/>
          <w:b/>
          <w:sz w:val="32"/>
          <w:szCs w:val="32"/>
          <w:highlight w:val="none"/>
        </w:rPr>
        <w:t>授权委托书</w:t>
      </w:r>
    </w:p>
    <w:p w14:paraId="5F73C65A">
      <w:pPr>
        <w:spacing w:line="520" w:lineRule="exact"/>
        <w:jc w:val="center"/>
        <w:rPr>
          <w:rFonts w:hint="eastAsia" w:ascii="宋体" w:hAnsi="宋体" w:cs="方正小标宋简体"/>
          <w:b/>
          <w:sz w:val="24"/>
          <w:highlight w:val="none"/>
        </w:rPr>
      </w:pPr>
      <w:r>
        <w:rPr>
          <w:rFonts w:hint="eastAsia" w:ascii="宋体" w:hAnsi="宋体" w:cs="方正小标宋简体"/>
          <w:b/>
          <w:sz w:val="24"/>
          <w:highlight w:val="none"/>
        </w:rPr>
        <w:t>（如有委托时）</w:t>
      </w:r>
    </w:p>
    <w:p w14:paraId="46751014">
      <w:pPr>
        <w:spacing w:line="520" w:lineRule="exact"/>
        <w:rPr>
          <w:rFonts w:hint="eastAsia" w:ascii="仿宋_GB2312" w:hAnsi="仿宋_GB2312" w:eastAsia="仿宋_GB2312" w:cs="仿宋_GB2312"/>
          <w:sz w:val="32"/>
          <w:szCs w:val="32"/>
          <w:highlight w:val="none"/>
        </w:rPr>
      </w:pPr>
    </w:p>
    <w:p w14:paraId="4B2B45C4">
      <w:pPr>
        <w:spacing w:line="360" w:lineRule="auto"/>
        <w:rPr>
          <w:rFonts w:hint="eastAsia" w:ascii="宋体" w:hAnsi="宋体" w:cs="仿宋_GB2312"/>
          <w:sz w:val="24"/>
          <w:highlight w:val="none"/>
        </w:rPr>
      </w:pPr>
      <w:r>
        <w:rPr>
          <w:rFonts w:hint="eastAsia" w:ascii="宋体" w:hAnsi="宋体" w:cs="仿宋_GB2312"/>
          <w:sz w:val="24"/>
          <w:highlight w:val="none"/>
        </w:rPr>
        <w:t>致：</w:t>
      </w:r>
      <w:r>
        <w:rPr>
          <w:rFonts w:hint="eastAsia" w:ascii="宋体" w:hAnsi="宋体" w:cs="仿宋_GB2312"/>
          <w:sz w:val="24"/>
          <w:highlight w:val="none"/>
          <w:u w:val="single"/>
        </w:rPr>
        <w:t>（采购人名称）</w:t>
      </w:r>
      <w:r>
        <w:rPr>
          <w:rFonts w:hint="eastAsia" w:ascii="宋体" w:hAnsi="宋体" w:cs="仿宋_GB2312"/>
          <w:sz w:val="24"/>
          <w:highlight w:val="none"/>
        </w:rPr>
        <w:t>：</w:t>
      </w:r>
    </w:p>
    <w:p w14:paraId="4849EFCF">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我</w:t>
      </w:r>
      <w:r>
        <w:rPr>
          <w:rFonts w:hint="eastAsia" w:ascii="宋体" w:hAnsi="宋体" w:cs="仿宋_GB2312"/>
          <w:sz w:val="24"/>
          <w:highlight w:val="none"/>
          <w:u w:val="single"/>
        </w:rPr>
        <w:t xml:space="preserve">  （姓名）  </w:t>
      </w:r>
      <w:r>
        <w:rPr>
          <w:rFonts w:hint="eastAsia" w:ascii="宋体" w:hAnsi="宋体" w:cs="仿宋_GB2312"/>
          <w:sz w:val="24"/>
          <w:highlight w:val="none"/>
        </w:rPr>
        <w:t>系</w:t>
      </w:r>
      <w:r>
        <w:rPr>
          <w:rFonts w:hint="eastAsia" w:ascii="宋体" w:hAnsi="宋体" w:cs="仿宋_GB2312"/>
          <w:sz w:val="24"/>
          <w:highlight w:val="none"/>
          <w:u w:val="single"/>
        </w:rPr>
        <w:t xml:space="preserve">  （供应商名称）  </w:t>
      </w:r>
      <w:r>
        <w:rPr>
          <w:rFonts w:hint="eastAsia" w:ascii="宋体" w:hAnsi="宋体" w:cs="仿宋_GB2312"/>
          <w:sz w:val="24"/>
          <w:highlight w:val="none"/>
        </w:rPr>
        <w:t>的（</w:t>
      </w:r>
      <w:r>
        <w:rPr>
          <w:rFonts w:hint="eastAsia" w:ascii="宋体" w:hAnsi="宋体" w:cs="仿宋_GB2312"/>
          <w:sz w:val="24"/>
          <w:highlight w:val="none"/>
          <w:u w:val="single"/>
        </w:rPr>
        <w:t>□法定代表人/□负责人</w:t>
      </w:r>
      <w:r>
        <w:rPr>
          <w:rFonts w:hint="eastAsia" w:ascii="宋体" w:hAnsi="宋体" w:cs="仿宋_GB2312"/>
          <w:sz w:val="24"/>
          <w:highlight w:val="none"/>
        </w:rPr>
        <w:t>），现授权</w:t>
      </w:r>
      <w:r>
        <w:rPr>
          <w:rFonts w:hint="eastAsia" w:ascii="宋体" w:hAnsi="宋体" w:cs="仿宋_GB2312"/>
          <w:sz w:val="24"/>
          <w:highlight w:val="none"/>
          <w:u w:val="single"/>
        </w:rPr>
        <w:t xml:space="preserve"> （姓名） </w:t>
      </w:r>
      <w:r>
        <w:rPr>
          <w:rFonts w:hint="eastAsia" w:ascii="宋体" w:hAnsi="宋体" w:cs="仿宋_GB2312"/>
          <w:sz w:val="24"/>
          <w:highlight w:val="none"/>
        </w:rPr>
        <w:t>以我方的名义参加</w:t>
      </w:r>
      <w:r>
        <w:rPr>
          <w:rFonts w:hint="eastAsia" w:ascii="宋体" w:hAnsi="宋体" w:cs="仿宋_GB2312"/>
          <w:sz w:val="24"/>
          <w:highlight w:val="none"/>
          <w:u w:val="single"/>
        </w:rPr>
        <w:t xml:space="preserve">              </w:t>
      </w:r>
      <w:r>
        <w:rPr>
          <w:rFonts w:hint="eastAsia" w:ascii="宋体" w:hAnsi="宋体" w:cs="仿宋_GB2312"/>
          <w:sz w:val="24"/>
          <w:highlight w:val="none"/>
        </w:rPr>
        <w:t>项目的竞标活动，并代表我方全权办理针对上述项目的所有采购程序和环节的具体事务和签署相关文件。</w:t>
      </w:r>
    </w:p>
    <w:p w14:paraId="030D2176">
      <w:pPr>
        <w:spacing w:line="360" w:lineRule="auto"/>
        <w:rPr>
          <w:rFonts w:hint="eastAsia" w:ascii="宋体" w:hAnsi="宋体" w:cs="仿宋_GB2312"/>
          <w:sz w:val="24"/>
          <w:highlight w:val="none"/>
        </w:rPr>
      </w:pPr>
      <w:r>
        <w:rPr>
          <w:rFonts w:hint="eastAsia" w:ascii="宋体" w:hAnsi="宋体" w:cs="仿宋_GB2312"/>
          <w:sz w:val="24"/>
          <w:highlight w:val="none"/>
        </w:rPr>
        <w:t xml:space="preserve">    我方对委托代理人的签字</w:t>
      </w:r>
      <w:r>
        <w:rPr>
          <w:rFonts w:hint="eastAsia" w:ascii="宋体" w:hAnsi="宋体"/>
          <w:sz w:val="24"/>
          <w:highlight w:val="none"/>
        </w:rPr>
        <w:t>或者电子签名</w:t>
      </w:r>
      <w:r>
        <w:rPr>
          <w:rFonts w:hint="eastAsia" w:ascii="宋体" w:hAnsi="宋体" w:cs="仿宋_GB2312"/>
          <w:sz w:val="24"/>
          <w:highlight w:val="none"/>
        </w:rPr>
        <w:t>事项负全部责任。</w:t>
      </w:r>
    </w:p>
    <w:p w14:paraId="0EE595C7">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本授权书自签署之日起生效，在撤销授权的书面通知以前，本授权书一直有效。委托代理人在授权书有效期内签署的所有文件不因授权的撤销而失效。</w:t>
      </w:r>
    </w:p>
    <w:p w14:paraId="7A1E2719">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委托代理人无转委托权，特此委托。</w:t>
      </w:r>
    </w:p>
    <w:p w14:paraId="64098792">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附：法定代表人身份证明书及委托代理人有效身份证正反面</w:t>
      </w:r>
    </w:p>
    <w:p w14:paraId="389D1E4A">
      <w:pPr>
        <w:spacing w:line="360" w:lineRule="auto"/>
        <w:rPr>
          <w:rFonts w:hint="eastAsia" w:ascii="宋体" w:hAnsi="宋体" w:cs="仿宋_GB2312"/>
          <w:sz w:val="24"/>
          <w:highlight w:val="none"/>
        </w:rPr>
      </w:pPr>
    </w:p>
    <w:p w14:paraId="5294205F">
      <w:pPr>
        <w:spacing w:line="360" w:lineRule="auto"/>
        <w:contextualSpacing/>
        <w:rPr>
          <w:rFonts w:hint="eastAsia" w:ascii="宋体" w:hAnsi="宋体" w:cs="仿宋_GB2312"/>
          <w:sz w:val="24"/>
          <w:highlight w:val="none"/>
        </w:rPr>
      </w:pPr>
      <w:r>
        <w:rPr>
          <w:rFonts w:hint="eastAsia" w:ascii="宋体" w:hAnsi="宋体" w:cs="仿宋_GB2312"/>
          <w:sz w:val="24"/>
          <w:highlight w:val="none"/>
        </w:rPr>
        <w:t>委托代理人（</w:t>
      </w:r>
      <w:r>
        <w:rPr>
          <w:rFonts w:hint="eastAsia" w:ascii="宋体" w:hAnsi="宋体"/>
          <w:sz w:val="24"/>
          <w:highlight w:val="none"/>
        </w:rPr>
        <w:t>签字或者电子签名</w:t>
      </w:r>
      <w:r>
        <w:rPr>
          <w:rFonts w:hint="eastAsia" w:ascii="宋体" w:hAnsi="宋体" w:cs="仿宋_GB2312"/>
          <w:sz w:val="24"/>
          <w:highlight w:val="none"/>
        </w:rPr>
        <w:t xml:space="preserve">）：     法定代表人（签字或者盖章或者电子签名）：                    </w:t>
      </w:r>
    </w:p>
    <w:p w14:paraId="28C539AF">
      <w:pPr>
        <w:spacing w:line="360" w:lineRule="auto"/>
        <w:contextualSpacing/>
        <w:rPr>
          <w:rFonts w:hint="eastAsia" w:ascii="宋体" w:hAnsi="宋体" w:cs="仿宋_GB2312"/>
          <w:sz w:val="24"/>
          <w:highlight w:val="none"/>
        </w:rPr>
      </w:pPr>
      <w:r>
        <w:rPr>
          <w:rFonts w:hint="eastAsia" w:ascii="宋体" w:hAnsi="宋体" w:cs="仿宋_GB2312"/>
          <w:sz w:val="24"/>
          <w:highlight w:val="none"/>
        </w:rPr>
        <w:t xml:space="preserve">委托代理人身份证号码：                              </w:t>
      </w:r>
    </w:p>
    <w:p w14:paraId="5A70E686">
      <w:pPr>
        <w:spacing w:line="360" w:lineRule="auto"/>
        <w:contextualSpacing/>
        <w:rPr>
          <w:rFonts w:hint="eastAsia" w:ascii="宋体" w:hAnsi="宋体" w:cs="仿宋_GB2312"/>
          <w:sz w:val="24"/>
          <w:highlight w:val="none"/>
        </w:rPr>
      </w:pPr>
      <w:r>
        <w:rPr>
          <w:rFonts w:hint="eastAsia" w:ascii="宋体" w:hAnsi="宋体" w:cs="仿宋_GB2312"/>
          <w:sz w:val="24"/>
          <w:highlight w:val="none"/>
        </w:rPr>
        <w:t xml:space="preserve">                                </w:t>
      </w:r>
    </w:p>
    <w:p w14:paraId="1117E881">
      <w:pPr>
        <w:spacing w:line="360" w:lineRule="auto"/>
        <w:rPr>
          <w:rFonts w:hint="eastAsia" w:ascii="宋体" w:hAnsi="宋体" w:cs="仿宋_GB2312"/>
          <w:sz w:val="24"/>
          <w:highlight w:val="none"/>
        </w:rPr>
      </w:pPr>
      <w:r>
        <w:rPr>
          <w:rFonts w:hint="eastAsia" w:ascii="宋体" w:hAnsi="宋体" w:cs="仿宋_GB2312"/>
          <w:sz w:val="24"/>
          <w:highlight w:val="none"/>
        </w:rPr>
        <w:t xml:space="preserve">                         供应商（电子签章）：                      </w:t>
      </w:r>
    </w:p>
    <w:p w14:paraId="5735C779">
      <w:pPr>
        <w:spacing w:line="360" w:lineRule="auto"/>
        <w:rPr>
          <w:rFonts w:hint="eastAsia" w:ascii="宋体" w:hAnsi="宋体" w:cs="仿宋_GB2312"/>
          <w:sz w:val="24"/>
          <w:highlight w:val="none"/>
        </w:rPr>
      </w:pPr>
      <w:r>
        <w:rPr>
          <w:rFonts w:hint="eastAsia" w:ascii="宋体" w:hAnsi="宋体" w:cs="仿宋_GB2312"/>
          <w:sz w:val="24"/>
          <w:highlight w:val="none"/>
        </w:rPr>
        <w:t xml:space="preserve">                                         年    月    日</w:t>
      </w:r>
    </w:p>
    <w:p w14:paraId="447FE6AE">
      <w:pPr>
        <w:spacing w:line="360" w:lineRule="auto"/>
        <w:rPr>
          <w:rFonts w:hint="eastAsia" w:ascii="宋体" w:hAnsi="宋体" w:cs="仿宋_GB2312"/>
          <w:sz w:val="24"/>
          <w:highlight w:val="none"/>
        </w:rPr>
      </w:pPr>
    </w:p>
    <w:p w14:paraId="0589F03D">
      <w:pPr>
        <w:spacing w:line="360" w:lineRule="auto"/>
        <w:rPr>
          <w:rFonts w:ascii="宋体" w:hAnsi="宋体" w:cs="仿宋_GB2312"/>
          <w:sz w:val="24"/>
          <w:highlight w:val="none"/>
        </w:rPr>
      </w:pPr>
      <w:r>
        <w:rPr>
          <w:rFonts w:hint="eastAsia" w:ascii="宋体" w:hAnsi="宋体" w:cs="仿宋_GB2312"/>
          <w:sz w:val="24"/>
          <w:highlight w:val="none"/>
        </w:rPr>
        <w:t>注：法定代表人必须在授权委托书上签字或者盖章</w:t>
      </w:r>
      <w:r>
        <w:rPr>
          <w:rFonts w:hint="eastAsia" w:ascii="宋体" w:hAnsi="宋体"/>
          <w:sz w:val="24"/>
          <w:highlight w:val="none"/>
        </w:rPr>
        <w:t>或者电子签名</w:t>
      </w:r>
      <w:r>
        <w:rPr>
          <w:rFonts w:hint="eastAsia" w:ascii="宋体" w:hAnsi="宋体" w:cs="仿宋_GB2312"/>
          <w:sz w:val="24"/>
          <w:highlight w:val="none"/>
        </w:rPr>
        <w:t>，委托代理人必须在授权委托书上签字或者电子签名，</w:t>
      </w:r>
      <w:r>
        <w:rPr>
          <w:rFonts w:hint="eastAsia" w:ascii="宋体" w:hAnsi="宋体" w:cs="仿宋_GB2312"/>
          <w:b/>
          <w:sz w:val="24"/>
          <w:highlight w:val="none"/>
        </w:rPr>
        <w:t>否则其响应文件按无效处理。</w:t>
      </w:r>
    </w:p>
    <w:p w14:paraId="5283C1D5">
      <w:pPr>
        <w:spacing w:line="360" w:lineRule="auto"/>
        <w:ind w:firstLine="420" w:firstLineChars="200"/>
        <w:jc w:val="left"/>
        <w:rPr>
          <w:rFonts w:hint="eastAsia" w:ascii="仿宋_GB2312" w:hAnsi="仿宋_GB2312" w:eastAsia="仿宋_GB2312" w:cs="仿宋_GB2312"/>
          <w:szCs w:val="21"/>
          <w:highlight w:val="none"/>
        </w:rPr>
      </w:pPr>
    </w:p>
    <w:p w14:paraId="5069899C">
      <w:pPr>
        <w:spacing w:line="360" w:lineRule="auto"/>
        <w:jc w:val="center"/>
        <w:rPr>
          <w:rFonts w:hint="eastAsia" w:ascii="宋体" w:hAnsi="宋体" w:cs="方正小标宋简体"/>
          <w:b/>
          <w:sz w:val="32"/>
          <w:szCs w:val="32"/>
          <w:highlight w:val="none"/>
        </w:rPr>
      </w:pPr>
      <w:r>
        <w:rPr>
          <w:rFonts w:ascii="仿宋_GB2312" w:hAnsi="仿宋_GB2312" w:eastAsia="仿宋_GB2312" w:cs="仿宋_GB2312"/>
          <w:szCs w:val="21"/>
          <w:highlight w:val="none"/>
        </w:rPr>
        <w:br w:type="page"/>
      </w:r>
      <w:bookmarkEnd w:id="127"/>
      <w:r>
        <w:rPr>
          <w:rFonts w:hint="eastAsia" w:ascii="宋体" w:hAnsi="宋体" w:cs="方正小标宋简体"/>
          <w:b/>
          <w:sz w:val="32"/>
          <w:szCs w:val="32"/>
          <w:highlight w:val="none"/>
        </w:rPr>
        <w:t>建筑材料和设备节能环保要求承诺书</w:t>
      </w:r>
    </w:p>
    <w:p w14:paraId="4445A84C">
      <w:pPr>
        <w:spacing w:line="360" w:lineRule="auto"/>
        <w:jc w:val="center"/>
        <w:rPr>
          <w:rFonts w:hint="eastAsia" w:ascii="宋体" w:hAnsi="宋体" w:cs="宋体"/>
          <w:szCs w:val="21"/>
          <w:highlight w:val="none"/>
        </w:rPr>
      </w:pPr>
    </w:p>
    <w:p w14:paraId="19FCAD13">
      <w:pPr>
        <w:spacing w:line="360" w:lineRule="auto"/>
        <w:ind w:firstLine="480" w:firstLineChars="200"/>
        <w:jc w:val="left"/>
        <w:rPr>
          <w:rFonts w:hint="eastAsia"/>
          <w:sz w:val="24"/>
          <w:highlight w:val="none"/>
        </w:rPr>
      </w:pPr>
      <w:r>
        <w:rPr>
          <w:rFonts w:hint="eastAsia"/>
          <w:sz w:val="24"/>
          <w:highlight w:val="none"/>
        </w:rPr>
        <w:t>我方承诺，一旦成交，我方保证严格执行</w:t>
      </w:r>
      <w:r>
        <w:rPr>
          <w:rFonts w:hint="eastAsia" w:cs="宋体"/>
          <w:sz w:val="24"/>
          <w:highlight w:val="none"/>
        </w:rPr>
        <w:t>《</w:t>
      </w:r>
      <w:r>
        <w:rPr>
          <w:rFonts w:hint="eastAsia" w:ascii="宋体" w:hAnsi="宋体"/>
          <w:sz w:val="24"/>
          <w:highlight w:val="none"/>
        </w:rPr>
        <w:t>财政部 国家发展改革委关于印发《节能产品政府采购实施意见》的通知</w:t>
      </w:r>
      <w:r>
        <w:rPr>
          <w:rFonts w:hint="eastAsia" w:cs="宋体"/>
          <w:sz w:val="24"/>
          <w:highlight w:val="none"/>
        </w:rPr>
        <w:t>》</w:t>
      </w:r>
      <w:r>
        <w:rPr>
          <w:rFonts w:hint="eastAsia" w:ascii="宋体" w:hAnsi="宋体"/>
          <w:sz w:val="24"/>
          <w:highlight w:val="none"/>
        </w:rPr>
        <w:t>（财库〔2004〕185号）、</w:t>
      </w:r>
      <w:r>
        <w:rPr>
          <w:rFonts w:hint="eastAsia" w:cs="宋体"/>
          <w:sz w:val="24"/>
          <w:highlight w:val="none"/>
        </w:rPr>
        <w:t>《财政部</w:t>
      </w:r>
      <w:r>
        <w:rPr>
          <w:rFonts w:cs="宋体"/>
          <w:sz w:val="24"/>
          <w:highlight w:val="none"/>
        </w:rPr>
        <w:t xml:space="preserve"> </w:t>
      </w:r>
      <w:r>
        <w:rPr>
          <w:rFonts w:hint="eastAsia" w:cs="宋体"/>
          <w:sz w:val="24"/>
          <w:highlight w:val="none"/>
        </w:rPr>
        <w:t>发展改革委</w:t>
      </w:r>
      <w:r>
        <w:rPr>
          <w:rFonts w:cs="宋体"/>
          <w:sz w:val="24"/>
          <w:highlight w:val="none"/>
        </w:rPr>
        <w:t xml:space="preserve"> </w:t>
      </w:r>
      <w:r>
        <w:rPr>
          <w:rFonts w:hint="eastAsia" w:cs="宋体"/>
          <w:sz w:val="24"/>
          <w:highlight w:val="none"/>
        </w:rPr>
        <w:t>生态环境部</w:t>
      </w:r>
      <w:r>
        <w:rPr>
          <w:rFonts w:cs="宋体"/>
          <w:sz w:val="24"/>
          <w:highlight w:val="none"/>
        </w:rPr>
        <w:t xml:space="preserve"> </w:t>
      </w:r>
      <w:r>
        <w:rPr>
          <w:rFonts w:hint="eastAsia" w:cs="宋体"/>
          <w:sz w:val="24"/>
          <w:highlight w:val="none"/>
        </w:rPr>
        <w:t>市场监管总局关于调整优化节能产品、环境标志产品政府采购执行机制的通知》（财库〔</w:t>
      </w:r>
      <w:r>
        <w:rPr>
          <w:rFonts w:cs="宋体"/>
          <w:sz w:val="24"/>
          <w:highlight w:val="none"/>
        </w:rPr>
        <w:t>2019</w:t>
      </w:r>
      <w:r>
        <w:rPr>
          <w:rFonts w:hint="eastAsia" w:cs="宋体"/>
          <w:sz w:val="24"/>
          <w:highlight w:val="none"/>
        </w:rPr>
        <w:t>〕</w:t>
      </w:r>
      <w:r>
        <w:rPr>
          <w:rFonts w:cs="宋体"/>
          <w:sz w:val="24"/>
          <w:highlight w:val="none"/>
        </w:rPr>
        <w:t>9</w:t>
      </w:r>
      <w:r>
        <w:rPr>
          <w:rFonts w:hint="eastAsia" w:cs="宋体"/>
          <w:sz w:val="24"/>
          <w:highlight w:val="none"/>
        </w:rPr>
        <w:t>号）和《关于印发节能产品政府采购品目清单的通知》（财库〔</w:t>
      </w:r>
      <w:r>
        <w:rPr>
          <w:rFonts w:cs="宋体"/>
          <w:sz w:val="24"/>
          <w:highlight w:val="none"/>
        </w:rPr>
        <w:t>2019</w:t>
      </w:r>
      <w:r>
        <w:rPr>
          <w:rFonts w:hint="eastAsia" w:cs="宋体"/>
          <w:sz w:val="24"/>
          <w:highlight w:val="none"/>
        </w:rPr>
        <w:t>〕</w:t>
      </w:r>
      <w:r>
        <w:rPr>
          <w:rFonts w:cs="宋体"/>
          <w:sz w:val="24"/>
          <w:highlight w:val="none"/>
        </w:rPr>
        <w:t>19</w:t>
      </w:r>
      <w:r>
        <w:rPr>
          <w:rFonts w:hint="eastAsia" w:cs="宋体"/>
          <w:sz w:val="24"/>
          <w:highlight w:val="none"/>
        </w:rPr>
        <w:t>号）的规定，所有工程中涉及的建筑材料和设备如属于财库〔</w:t>
      </w:r>
      <w:r>
        <w:rPr>
          <w:rFonts w:cs="宋体"/>
          <w:sz w:val="24"/>
          <w:highlight w:val="none"/>
        </w:rPr>
        <w:t>2019</w:t>
      </w:r>
      <w:r>
        <w:rPr>
          <w:rFonts w:hint="eastAsia" w:cs="宋体"/>
          <w:sz w:val="24"/>
          <w:highlight w:val="none"/>
        </w:rPr>
        <w:t>〕</w:t>
      </w:r>
      <w:r>
        <w:rPr>
          <w:rFonts w:cs="宋体"/>
          <w:sz w:val="24"/>
          <w:highlight w:val="none"/>
        </w:rPr>
        <w:t>19</w:t>
      </w:r>
      <w:r>
        <w:rPr>
          <w:rFonts w:hint="eastAsia" w:cs="宋体"/>
          <w:sz w:val="24"/>
          <w:highlight w:val="none"/>
        </w:rPr>
        <w:t>号文中《节能产品政府采购品目清单》内标注“★”的产品，都使用政府强制采购的节能产品。</w:t>
      </w:r>
      <w:r>
        <w:rPr>
          <w:rFonts w:hint="eastAsia"/>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78418886">
      <w:pPr>
        <w:spacing w:line="360" w:lineRule="auto"/>
        <w:ind w:firstLine="480" w:firstLineChars="200"/>
        <w:jc w:val="center"/>
        <w:rPr>
          <w:rFonts w:hint="eastAsia"/>
          <w:sz w:val="24"/>
          <w:highlight w:val="none"/>
        </w:rPr>
      </w:pPr>
    </w:p>
    <w:p w14:paraId="631AA138">
      <w:pPr>
        <w:spacing w:line="360" w:lineRule="auto"/>
        <w:contextualSpacing/>
        <w:rPr>
          <w:rFonts w:hint="eastAsia" w:ascii="宋体" w:hAnsi="宋体" w:cs="仿宋_GB2312"/>
          <w:sz w:val="24"/>
          <w:highlight w:val="none"/>
        </w:rPr>
      </w:pPr>
    </w:p>
    <w:p w14:paraId="5BD3985E">
      <w:pPr>
        <w:spacing w:line="360" w:lineRule="auto"/>
        <w:ind w:firstLine="3600" w:firstLineChars="1500"/>
        <w:contextualSpacing/>
        <w:rPr>
          <w:rFonts w:hint="eastAsia" w:ascii="宋体" w:hAnsi="宋体" w:cs="仿宋_GB2312"/>
          <w:sz w:val="24"/>
          <w:highlight w:val="none"/>
        </w:rPr>
      </w:pPr>
      <w:r>
        <w:rPr>
          <w:rFonts w:hint="eastAsia" w:ascii="宋体" w:hAnsi="宋体" w:cs="仿宋_GB2312"/>
          <w:sz w:val="24"/>
          <w:highlight w:val="none"/>
        </w:rPr>
        <w:t>供应商（电子签章）：</w:t>
      </w:r>
    </w:p>
    <w:p w14:paraId="3CE7FC71">
      <w:pPr>
        <w:spacing w:line="360" w:lineRule="auto"/>
        <w:ind w:firstLine="480" w:firstLineChars="200"/>
        <w:jc w:val="center"/>
        <w:rPr>
          <w:rFonts w:hint="eastAsia" w:ascii="宋体" w:hAnsi="宋体" w:cs="方正小标宋简体"/>
          <w:b/>
          <w:bCs/>
          <w:sz w:val="32"/>
          <w:szCs w:val="32"/>
          <w:highlight w:val="none"/>
        </w:rPr>
      </w:pPr>
      <w:r>
        <w:rPr>
          <w:rFonts w:hint="eastAsia" w:ascii="宋体" w:hAnsi="宋体" w:cs="仿宋_GB2312"/>
          <w:sz w:val="24"/>
          <w:highlight w:val="none"/>
        </w:rPr>
        <w:t xml:space="preserve">                               年   月   日</w:t>
      </w:r>
      <w:r>
        <w:rPr>
          <w:rFonts w:hint="eastAsia" w:ascii="仿宋_GB2312" w:hAnsi="仿宋_GB2312" w:eastAsia="仿宋_GB2312" w:cs="仿宋_GB2312"/>
          <w:sz w:val="32"/>
          <w:szCs w:val="32"/>
          <w:highlight w:val="none"/>
        </w:rPr>
        <w:br w:type="page"/>
      </w:r>
      <w:r>
        <w:rPr>
          <w:rFonts w:hint="eastAsia" w:ascii="宋体" w:hAnsi="宋体" w:cs="方正小标宋简体"/>
          <w:b/>
          <w:bCs/>
          <w:sz w:val="32"/>
          <w:szCs w:val="32"/>
          <w:highlight w:val="none"/>
        </w:rPr>
        <w:t>施工组织设计</w:t>
      </w:r>
    </w:p>
    <w:p w14:paraId="601B9EC5">
      <w:pPr>
        <w:spacing w:line="360" w:lineRule="auto"/>
        <w:ind w:firstLine="420" w:firstLineChars="200"/>
        <w:rPr>
          <w:rFonts w:cs="宋体"/>
          <w:highlight w:val="none"/>
        </w:rPr>
      </w:pPr>
      <w:r>
        <w:rPr>
          <w:rFonts w:hint="eastAsia"/>
          <w:highlight w:val="none"/>
        </w:rPr>
        <w:t>1.</w:t>
      </w:r>
      <w:r>
        <w:rPr>
          <w:highlight w:val="none"/>
        </w:rPr>
        <w:t xml:space="preserve"> 施工组织</w:t>
      </w:r>
      <w:r>
        <w:rPr>
          <w:rFonts w:hint="eastAsia"/>
          <w:highlight w:val="none"/>
        </w:rPr>
        <w:t>设计</w:t>
      </w:r>
      <w:r>
        <w:rPr>
          <w:rFonts w:hint="eastAsia" w:ascii="宋体" w:hAnsi="宋体"/>
          <w:highlight w:val="none"/>
        </w:rPr>
        <w:t>可按以</w:t>
      </w:r>
      <w:r>
        <w:rPr>
          <w:rFonts w:hint="eastAsia"/>
          <w:highlight w:val="none"/>
        </w:rPr>
        <w:t>下内容顺序编制，可</w:t>
      </w:r>
      <w:r>
        <w:rPr>
          <w:rFonts w:hint="eastAsia" w:ascii="宋体" w:hAnsi="宋体"/>
          <w:highlight w:val="none"/>
        </w:rPr>
        <w:t>采用文字并结合图表形式说明施工方法，</w:t>
      </w:r>
      <w:r>
        <w:rPr>
          <w:highlight w:val="none"/>
        </w:rPr>
        <w:t>施工组织</w:t>
      </w:r>
      <w:r>
        <w:rPr>
          <w:rFonts w:hint="eastAsia"/>
          <w:highlight w:val="none"/>
        </w:rPr>
        <w:t>设计</w:t>
      </w:r>
      <w:r>
        <w:rPr>
          <w:highlight w:val="none"/>
        </w:rPr>
        <w:t>内容</w:t>
      </w:r>
      <w:r>
        <w:rPr>
          <w:rFonts w:hint="eastAsia" w:cs="宋体"/>
          <w:highlight w:val="none"/>
        </w:rPr>
        <w:t>如下（具体内容可根据</w:t>
      </w:r>
      <w:r>
        <w:rPr>
          <w:rFonts w:hint="eastAsia"/>
          <w:highlight w:val="none"/>
        </w:rPr>
        <w:t>第四章“评审程序、评审方法和评审标准”自行调整</w:t>
      </w:r>
      <w:r>
        <w:rPr>
          <w:rFonts w:hint="eastAsia" w:cs="宋体"/>
          <w:highlight w:val="none"/>
        </w:rPr>
        <w:t>）：</w:t>
      </w:r>
    </w:p>
    <w:p w14:paraId="24EBA656">
      <w:pPr>
        <w:spacing w:line="360" w:lineRule="auto"/>
        <w:ind w:firstLine="420" w:firstLineChars="200"/>
        <w:rPr>
          <w:rFonts w:hint="eastAsia"/>
          <w:highlight w:val="none"/>
        </w:rPr>
      </w:pPr>
      <w:r>
        <w:rPr>
          <w:rFonts w:hint="eastAsia"/>
          <w:highlight w:val="none"/>
        </w:rPr>
        <w:t>（1）概述</w:t>
      </w:r>
    </w:p>
    <w:p w14:paraId="40935989">
      <w:pPr>
        <w:spacing w:line="360" w:lineRule="auto"/>
        <w:ind w:firstLine="420" w:firstLineChars="200"/>
        <w:rPr>
          <w:rFonts w:hint="eastAsia"/>
          <w:highlight w:val="none"/>
        </w:rPr>
      </w:pPr>
      <w:r>
        <w:rPr>
          <w:rFonts w:hint="eastAsia"/>
          <w:highlight w:val="none"/>
        </w:rPr>
        <w:t>（2）主要施工方法；</w:t>
      </w:r>
    </w:p>
    <w:p w14:paraId="315E1895">
      <w:pPr>
        <w:spacing w:line="360" w:lineRule="auto"/>
        <w:ind w:firstLine="420" w:firstLineChars="200"/>
        <w:rPr>
          <w:highlight w:val="none"/>
        </w:rPr>
      </w:pPr>
      <w:r>
        <w:rPr>
          <w:rFonts w:hint="eastAsia"/>
          <w:highlight w:val="none"/>
        </w:rPr>
        <w:t>（3）拟投入的主要物资计划</w:t>
      </w:r>
    </w:p>
    <w:p w14:paraId="61559F31">
      <w:pPr>
        <w:spacing w:line="360" w:lineRule="auto"/>
        <w:ind w:firstLine="420" w:firstLineChars="200"/>
        <w:rPr>
          <w:rFonts w:hint="eastAsia"/>
          <w:highlight w:val="none"/>
        </w:rPr>
      </w:pPr>
      <w:r>
        <w:rPr>
          <w:rFonts w:hint="eastAsia"/>
          <w:highlight w:val="none"/>
        </w:rPr>
        <w:t>（</w:t>
      </w:r>
      <w:r>
        <w:rPr>
          <w:highlight w:val="none"/>
        </w:rPr>
        <w:t>4</w:t>
      </w:r>
      <w:r>
        <w:rPr>
          <w:rFonts w:hint="eastAsia"/>
          <w:highlight w:val="none"/>
        </w:rPr>
        <w:t>）劳动力安排计划；</w:t>
      </w:r>
    </w:p>
    <w:p w14:paraId="633CB376">
      <w:pPr>
        <w:spacing w:line="360" w:lineRule="auto"/>
        <w:ind w:firstLine="420" w:firstLineChars="200"/>
        <w:rPr>
          <w:rFonts w:hint="eastAsia"/>
          <w:highlight w:val="none"/>
        </w:rPr>
      </w:pPr>
      <w:r>
        <w:rPr>
          <w:rFonts w:hint="eastAsia"/>
          <w:highlight w:val="none"/>
        </w:rPr>
        <w:t>（</w:t>
      </w:r>
      <w:r>
        <w:rPr>
          <w:highlight w:val="none"/>
        </w:rPr>
        <w:t>5</w:t>
      </w:r>
      <w:r>
        <w:rPr>
          <w:rFonts w:hint="eastAsia"/>
          <w:highlight w:val="none"/>
        </w:rPr>
        <w:t>）确保工程质量的技术组织措施；</w:t>
      </w:r>
    </w:p>
    <w:p w14:paraId="0183643B">
      <w:pPr>
        <w:spacing w:line="360" w:lineRule="auto"/>
        <w:ind w:firstLine="420" w:firstLineChars="200"/>
        <w:rPr>
          <w:rFonts w:hint="eastAsia"/>
          <w:highlight w:val="none"/>
        </w:rPr>
      </w:pPr>
      <w:r>
        <w:rPr>
          <w:rFonts w:hint="eastAsia"/>
          <w:highlight w:val="none"/>
        </w:rPr>
        <w:t>（</w:t>
      </w:r>
      <w:r>
        <w:rPr>
          <w:highlight w:val="none"/>
        </w:rPr>
        <w:t>6</w:t>
      </w:r>
      <w:r>
        <w:rPr>
          <w:rFonts w:hint="eastAsia"/>
          <w:highlight w:val="none"/>
        </w:rPr>
        <w:t>）确保安全生产的技术组织措施；</w:t>
      </w:r>
    </w:p>
    <w:p w14:paraId="4B1B13F8">
      <w:pPr>
        <w:spacing w:line="360" w:lineRule="auto"/>
        <w:ind w:firstLine="420" w:firstLineChars="200"/>
        <w:rPr>
          <w:rFonts w:hint="eastAsia"/>
          <w:highlight w:val="none"/>
        </w:rPr>
      </w:pPr>
      <w:r>
        <w:rPr>
          <w:rFonts w:hint="eastAsia"/>
          <w:highlight w:val="none"/>
        </w:rPr>
        <w:t>（</w:t>
      </w:r>
      <w:r>
        <w:rPr>
          <w:highlight w:val="none"/>
        </w:rPr>
        <w:t>7</w:t>
      </w:r>
      <w:r>
        <w:rPr>
          <w:rFonts w:hint="eastAsia"/>
          <w:highlight w:val="none"/>
        </w:rPr>
        <w:t>）确保工期的技术组织措施；</w:t>
      </w:r>
    </w:p>
    <w:p w14:paraId="000602DB">
      <w:pPr>
        <w:spacing w:line="360" w:lineRule="auto"/>
        <w:ind w:firstLine="420" w:firstLineChars="200"/>
        <w:rPr>
          <w:rFonts w:hint="eastAsia"/>
          <w:highlight w:val="none"/>
        </w:rPr>
      </w:pPr>
      <w:r>
        <w:rPr>
          <w:rFonts w:hint="eastAsia"/>
          <w:highlight w:val="none"/>
        </w:rPr>
        <w:t>（</w:t>
      </w:r>
      <w:r>
        <w:rPr>
          <w:highlight w:val="none"/>
        </w:rPr>
        <w:t>8</w:t>
      </w:r>
      <w:r>
        <w:rPr>
          <w:rFonts w:hint="eastAsia"/>
          <w:highlight w:val="none"/>
        </w:rPr>
        <w:t>）确保文明施工的技术组织措施；</w:t>
      </w:r>
    </w:p>
    <w:p w14:paraId="572B1DC4">
      <w:pPr>
        <w:spacing w:line="360" w:lineRule="auto"/>
        <w:ind w:firstLine="420" w:firstLineChars="200"/>
        <w:rPr>
          <w:rFonts w:hint="eastAsia"/>
          <w:highlight w:val="none"/>
        </w:rPr>
      </w:pPr>
      <w:r>
        <w:rPr>
          <w:rFonts w:hint="eastAsia"/>
          <w:highlight w:val="none"/>
        </w:rPr>
        <w:t>（</w:t>
      </w:r>
      <w:r>
        <w:rPr>
          <w:highlight w:val="none"/>
        </w:rPr>
        <w:t>9</w:t>
      </w:r>
      <w:r>
        <w:rPr>
          <w:rFonts w:hint="eastAsia"/>
          <w:highlight w:val="none"/>
        </w:rPr>
        <w:t>）工程施工的重点和难点及保证措施；</w:t>
      </w:r>
    </w:p>
    <w:p w14:paraId="09A0CCBE">
      <w:pPr>
        <w:spacing w:line="360" w:lineRule="auto"/>
        <w:ind w:firstLine="420" w:firstLineChars="200"/>
        <w:rPr>
          <w:highlight w:val="none"/>
        </w:rPr>
      </w:pPr>
      <w:r>
        <w:rPr>
          <w:rFonts w:hint="eastAsia"/>
          <w:highlight w:val="none"/>
        </w:rPr>
        <w:t>（1</w:t>
      </w:r>
      <w:r>
        <w:rPr>
          <w:highlight w:val="none"/>
        </w:rPr>
        <w:t>0</w:t>
      </w:r>
      <w:r>
        <w:rPr>
          <w:rFonts w:hint="eastAsia"/>
          <w:highlight w:val="none"/>
        </w:rPr>
        <w:t>）施工总平面布置图；</w:t>
      </w:r>
    </w:p>
    <w:p w14:paraId="7550901F">
      <w:pPr>
        <w:spacing w:line="360" w:lineRule="auto"/>
        <w:ind w:firstLine="420" w:firstLineChars="200"/>
        <w:rPr>
          <w:rFonts w:hint="eastAsia"/>
          <w:highlight w:val="none"/>
        </w:rPr>
      </w:pPr>
      <w:r>
        <w:rPr>
          <w:rFonts w:hint="eastAsia"/>
          <w:highlight w:val="none"/>
        </w:rPr>
        <w:t>（1</w:t>
      </w:r>
      <w:r>
        <w:rPr>
          <w:highlight w:val="none"/>
        </w:rPr>
        <w:t>1</w:t>
      </w:r>
      <w:r>
        <w:rPr>
          <w:rFonts w:hint="eastAsia"/>
          <w:highlight w:val="none"/>
        </w:rPr>
        <w:t>）其他（</w:t>
      </w:r>
      <w:r>
        <w:rPr>
          <w:highlight w:val="none"/>
        </w:rPr>
        <w:t>如有）</w:t>
      </w:r>
      <w:r>
        <w:rPr>
          <w:rFonts w:hint="eastAsia"/>
          <w:highlight w:val="none"/>
        </w:rPr>
        <w:t>（与第四章“评审程序、评审方法和评审标准”中的评审</w:t>
      </w:r>
      <w:r>
        <w:rPr>
          <w:highlight w:val="none"/>
        </w:rPr>
        <w:t>标准一致</w:t>
      </w:r>
      <w:r>
        <w:rPr>
          <w:rFonts w:hint="eastAsia"/>
          <w:highlight w:val="none"/>
        </w:rPr>
        <w:t>）</w:t>
      </w:r>
    </w:p>
    <w:p w14:paraId="2EE4AB6A">
      <w:pPr>
        <w:spacing w:line="360" w:lineRule="auto"/>
        <w:ind w:firstLine="420" w:firstLineChars="200"/>
        <w:rPr>
          <w:highlight w:val="none"/>
        </w:rPr>
      </w:pPr>
      <w:r>
        <w:rPr>
          <w:rFonts w:hint="eastAsia"/>
          <w:highlight w:val="none"/>
        </w:rPr>
        <w:t>2. 技术标</w:t>
      </w:r>
      <w:r>
        <w:rPr>
          <w:highlight w:val="none"/>
        </w:rPr>
        <w:t>施工组织</w:t>
      </w:r>
      <w:r>
        <w:rPr>
          <w:rFonts w:hint="eastAsia"/>
          <w:highlight w:val="none"/>
        </w:rPr>
        <w:t>设计除采用文字表述外可附下列图表，图表及格式要求附后</w:t>
      </w:r>
      <w:r>
        <w:rPr>
          <w:rFonts w:hint="eastAsia" w:cs="宋体"/>
          <w:highlight w:val="none"/>
        </w:rPr>
        <w:t>（具体内容可根据</w:t>
      </w:r>
      <w:r>
        <w:rPr>
          <w:rFonts w:hint="eastAsia"/>
          <w:highlight w:val="none"/>
        </w:rPr>
        <w:t>第四章“评审程序、评审方法和评审标准”自行调整</w:t>
      </w:r>
      <w:r>
        <w:rPr>
          <w:rFonts w:hint="eastAsia" w:cs="宋体"/>
          <w:highlight w:val="none"/>
        </w:rPr>
        <w:t>）</w:t>
      </w:r>
      <w:r>
        <w:rPr>
          <w:rFonts w:hint="eastAsia"/>
          <w:highlight w:val="none"/>
        </w:rPr>
        <w:t>。</w:t>
      </w:r>
    </w:p>
    <w:p w14:paraId="5C8A0BD0">
      <w:pPr>
        <w:spacing w:line="360" w:lineRule="auto"/>
        <w:ind w:firstLine="420" w:firstLineChars="200"/>
        <w:rPr>
          <w:highlight w:val="none"/>
        </w:rPr>
      </w:pPr>
      <w:r>
        <w:rPr>
          <w:rFonts w:hint="eastAsia"/>
          <w:highlight w:val="none"/>
        </w:rPr>
        <w:t>附表一</w:t>
      </w:r>
      <w:r>
        <w:rPr>
          <w:highlight w:val="none"/>
        </w:rPr>
        <w:t xml:space="preserve">  </w:t>
      </w:r>
      <w:r>
        <w:rPr>
          <w:rFonts w:hint="eastAsia"/>
          <w:highlight w:val="none"/>
        </w:rPr>
        <w:t>劳动力计划表</w:t>
      </w:r>
    </w:p>
    <w:p w14:paraId="52881F13">
      <w:pPr>
        <w:spacing w:line="360" w:lineRule="auto"/>
        <w:ind w:firstLine="420" w:firstLineChars="200"/>
        <w:rPr>
          <w:highlight w:val="none"/>
        </w:rPr>
      </w:pPr>
      <w:r>
        <w:rPr>
          <w:rFonts w:hint="eastAsia"/>
          <w:highlight w:val="none"/>
        </w:rPr>
        <w:t>附表二</w:t>
      </w:r>
      <w:r>
        <w:rPr>
          <w:highlight w:val="none"/>
        </w:rPr>
        <w:t xml:space="preserve">  </w:t>
      </w:r>
      <w:r>
        <w:rPr>
          <w:rFonts w:hint="eastAsia"/>
          <w:highlight w:val="none"/>
        </w:rPr>
        <w:t>计划开、竣工日期和施工进度计划（网络图或横道图）</w:t>
      </w:r>
    </w:p>
    <w:p w14:paraId="0CB7D0D5">
      <w:pPr>
        <w:spacing w:line="360" w:lineRule="auto"/>
        <w:ind w:firstLine="420" w:firstLineChars="200"/>
        <w:rPr>
          <w:highlight w:val="none"/>
        </w:rPr>
      </w:pPr>
      <w:r>
        <w:rPr>
          <w:rFonts w:hint="eastAsia"/>
          <w:highlight w:val="none"/>
        </w:rPr>
        <w:t>附表三</w:t>
      </w:r>
      <w:r>
        <w:rPr>
          <w:highlight w:val="none"/>
        </w:rPr>
        <w:t xml:space="preserve">  </w:t>
      </w:r>
      <w:r>
        <w:rPr>
          <w:rFonts w:hint="eastAsia"/>
          <w:highlight w:val="none"/>
        </w:rPr>
        <w:t>施工总平面图</w:t>
      </w:r>
    </w:p>
    <w:p w14:paraId="370EBA6D">
      <w:pPr>
        <w:spacing w:line="360" w:lineRule="auto"/>
        <w:ind w:firstLine="420" w:firstLineChars="200"/>
        <w:rPr>
          <w:rFonts w:hint="eastAsia"/>
          <w:highlight w:val="none"/>
        </w:rPr>
      </w:pPr>
      <w:r>
        <w:rPr>
          <w:rFonts w:hint="eastAsia"/>
          <w:highlight w:val="none"/>
        </w:rPr>
        <w:t>附表四</w:t>
      </w:r>
      <w:r>
        <w:rPr>
          <w:highlight w:val="none"/>
        </w:rPr>
        <w:t xml:space="preserve">  </w:t>
      </w:r>
      <w:r>
        <w:rPr>
          <w:rFonts w:hint="eastAsia"/>
          <w:highlight w:val="none"/>
        </w:rPr>
        <w:t>临时用地表</w:t>
      </w:r>
    </w:p>
    <w:p w14:paraId="583C4A1A">
      <w:pPr>
        <w:spacing w:line="360" w:lineRule="auto"/>
        <w:ind w:firstLine="420" w:firstLineChars="200"/>
        <w:rPr>
          <w:rFonts w:hint="eastAsia"/>
          <w:highlight w:val="none"/>
        </w:rPr>
      </w:pPr>
    </w:p>
    <w:p w14:paraId="7AAF881C">
      <w:pPr>
        <w:rPr>
          <w:highlight w:val="none"/>
        </w:rPr>
      </w:pPr>
      <w:r>
        <w:rPr>
          <w:rFonts w:hint="eastAsia" w:cs="宋体"/>
          <w:highlight w:val="none"/>
        </w:rPr>
        <w:t>附表一：劳动力计划表</w:t>
      </w:r>
    </w:p>
    <w:p w14:paraId="2E3AC620">
      <w:pPr>
        <w:ind w:firstLine="7245" w:firstLineChars="3450"/>
        <w:rPr>
          <w:highlight w:val="none"/>
        </w:rPr>
      </w:pPr>
      <w:r>
        <w:rPr>
          <w:highlight w:val="none"/>
        </w:rPr>
        <w:t xml:space="preserve">    </w:t>
      </w:r>
      <w:r>
        <w:rPr>
          <w:rFonts w:hint="eastAsia" w:cs="宋体"/>
          <w:highlight w:val="none"/>
        </w:rPr>
        <w:t>单位：人</w:t>
      </w:r>
    </w:p>
    <w:tbl>
      <w:tblPr>
        <w:tblStyle w:val="44"/>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512E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259A8F79">
            <w:pPr>
              <w:spacing w:line="360" w:lineRule="auto"/>
              <w:jc w:val="center"/>
              <w:rPr>
                <w:highlight w:val="none"/>
              </w:rPr>
            </w:pPr>
            <w:r>
              <w:rPr>
                <w:rFonts w:hint="eastAsia" w:cs="宋体"/>
                <w:highlight w:val="none"/>
              </w:rPr>
              <w:t>工种</w:t>
            </w:r>
          </w:p>
        </w:tc>
        <w:tc>
          <w:tcPr>
            <w:tcW w:w="7248" w:type="dxa"/>
            <w:gridSpan w:val="6"/>
            <w:noWrap w:val="0"/>
            <w:vAlign w:val="center"/>
          </w:tcPr>
          <w:p w14:paraId="36847D71">
            <w:pPr>
              <w:spacing w:line="360" w:lineRule="auto"/>
              <w:jc w:val="center"/>
              <w:rPr>
                <w:highlight w:val="none"/>
              </w:rPr>
            </w:pPr>
            <w:r>
              <w:rPr>
                <w:rFonts w:hint="eastAsia" w:cs="宋体"/>
                <w:highlight w:val="none"/>
              </w:rPr>
              <w:t>按工程施工阶段投入劳动力情况</w:t>
            </w:r>
          </w:p>
        </w:tc>
      </w:tr>
      <w:tr w14:paraId="5CF8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3F783A60">
            <w:pPr>
              <w:spacing w:line="360" w:lineRule="auto"/>
              <w:jc w:val="center"/>
              <w:rPr>
                <w:highlight w:val="none"/>
              </w:rPr>
            </w:pPr>
          </w:p>
        </w:tc>
        <w:tc>
          <w:tcPr>
            <w:tcW w:w="961" w:type="dxa"/>
            <w:noWrap w:val="0"/>
            <w:vAlign w:val="center"/>
          </w:tcPr>
          <w:p w14:paraId="49F8EFE1">
            <w:pPr>
              <w:spacing w:line="360" w:lineRule="auto"/>
              <w:jc w:val="center"/>
              <w:rPr>
                <w:highlight w:val="none"/>
              </w:rPr>
            </w:pPr>
          </w:p>
        </w:tc>
        <w:tc>
          <w:tcPr>
            <w:tcW w:w="1257" w:type="dxa"/>
            <w:noWrap w:val="0"/>
            <w:vAlign w:val="center"/>
          </w:tcPr>
          <w:p w14:paraId="7CA1BB2B">
            <w:pPr>
              <w:spacing w:line="360" w:lineRule="auto"/>
              <w:jc w:val="center"/>
              <w:rPr>
                <w:highlight w:val="none"/>
              </w:rPr>
            </w:pPr>
          </w:p>
        </w:tc>
        <w:tc>
          <w:tcPr>
            <w:tcW w:w="1257" w:type="dxa"/>
            <w:noWrap w:val="0"/>
            <w:vAlign w:val="center"/>
          </w:tcPr>
          <w:p w14:paraId="52BA349B">
            <w:pPr>
              <w:spacing w:line="360" w:lineRule="auto"/>
              <w:jc w:val="center"/>
              <w:rPr>
                <w:highlight w:val="none"/>
              </w:rPr>
            </w:pPr>
          </w:p>
        </w:tc>
        <w:tc>
          <w:tcPr>
            <w:tcW w:w="1258" w:type="dxa"/>
            <w:noWrap w:val="0"/>
            <w:vAlign w:val="center"/>
          </w:tcPr>
          <w:p w14:paraId="53A87599">
            <w:pPr>
              <w:spacing w:line="360" w:lineRule="auto"/>
              <w:jc w:val="center"/>
              <w:rPr>
                <w:highlight w:val="none"/>
              </w:rPr>
            </w:pPr>
          </w:p>
        </w:tc>
        <w:tc>
          <w:tcPr>
            <w:tcW w:w="1257" w:type="dxa"/>
            <w:noWrap w:val="0"/>
            <w:vAlign w:val="center"/>
          </w:tcPr>
          <w:p w14:paraId="63454C14">
            <w:pPr>
              <w:spacing w:line="360" w:lineRule="auto"/>
              <w:jc w:val="center"/>
              <w:rPr>
                <w:highlight w:val="none"/>
              </w:rPr>
            </w:pPr>
          </w:p>
        </w:tc>
        <w:tc>
          <w:tcPr>
            <w:tcW w:w="1258" w:type="dxa"/>
            <w:noWrap w:val="0"/>
            <w:vAlign w:val="center"/>
          </w:tcPr>
          <w:p w14:paraId="6FDB194E">
            <w:pPr>
              <w:spacing w:line="360" w:lineRule="auto"/>
              <w:jc w:val="center"/>
              <w:rPr>
                <w:highlight w:val="none"/>
              </w:rPr>
            </w:pPr>
          </w:p>
        </w:tc>
      </w:tr>
      <w:tr w14:paraId="01D7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37356819">
            <w:pPr>
              <w:spacing w:line="360" w:lineRule="auto"/>
              <w:jc w:val="center"/>
              <w:rPr>
                <w:highlight w:val="none"/>
              </w:rPr>
            </w:pPr>
          </w:p>
        </w:tc>
        <w:tc>
          <w:tcPr>
            <w:tcW w:w="961" w:type="dxa"/>
            <w:noWrap w:val="0"/>
            <w:vAlign w:val="center"/>
          </w:tcPr>
          <w:p w14:paraId="11300ADD">
            <w:pPr>
              <w:spacing w:line="360" w:lineRule="auto"/>
              <w:jc w:val="center"/>
              <w:rPr>
                <w:highlight w:val="none"/>
              </w:rPr>
            </w:pPr>
          </w:p>
        </w:tc>
        <w:tc>
          <w:tcPr>
            <w:tcW w:w="1257" w:type="dxa"/>
            <w:noWrap w:val="0"/>
            <w:vAlign w:val="center"/>
          </w:tcPr>
          <w:p w14:paraId="6E435AB3">
            <w:pPr>
              <w:spacing w:line="360" w:lineRule="auto"/>
              <w:jc w:val="center"/>
              <w:rPr>
                <w:highlight w:val="none"/>
              </w:rPr>
            </w:pPr>
          </w:p>
        </w:tc>
        <w:tc>
          <w:tcPr>
            <w:tcW w:w="1257" w:type="dxa"/>
            <w:noWrap w:val="0"/>
            <w:vAlign w:val="center"/>
          </w:tcPr>
          <w:p w14:paraId="05A6CB2B">
            <w:pPr>
              <w:spacing w:line="360" w:lineRule="auto"/>
              <w:jc w:val="center"/>
              <w:rPr>
                <w:highlight w:val="none"/>
              </w:rPr>
            </w:pPr>
          </w:p>
        </w:tc>
        <w:tc>
          <w:tcPr>
            <w:tcW w:w="1258" w:type="dxa"/>
            <w:noWrap w:val="0"/>
            <w:vAlign w:val="center"/>
          </w:tcPr>
          <w:p w14:paraId="5923C93E">
            <w:pPr>
              <w:spacing w:line="360" w:lineRule="auto"/>
              <w:jc w:val="center"/>
              <w:rPr>
                <w:highlight w:val="none"/>
              </w:rPr>
            </w:pPr>
          </w:p>
        </w:tc>
        <w:tc>
          <w:tcPr>
            <w:tcW w:w="1257" w:type="dxa"/>
            <w:noWrap w:val="0"/>
            <w:vAlign w:val="center"/>
          </w:tcPr>
          <w:p w14:paraId="56CA2BC6">
            <w:pPr>
              <w:spacing w:line="360" w:lineRule="auto"/>
              <w:jc w:val="center"/>
              <w:rPr>
                <w:highlight w:val="none"/>
              </w:rPr>
            </w:pPr>
          </w:p>
        </w:tc>
        <w:tc>
          <w:tcPr>
            <w:tcW w:w="1258" w:type="dxa"/>
            <w:noWrap w:val="0"/>
            <w:vAlign w:val="center"/>
          </w:tcPr>
          <w:p w14:paraId="6EE83D7C">
            <w:pPr>
              <w:spacing w:line="360" w:lineRule="auto"/>
              <w:jc w:val="center"/>
              <w:rPr>
                <w:highlight w:val="none"/>
              </w:rPr>
            </w:pPr>
          </w:p>
        </w:tc>
      </w:tr>
      <w:tr w14:paraId="4E2C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3084349A">
            <w:pPr>
              <w:spacing w:line="360" w:lineRule="auto"/>
              <w:jc w:val="center"/>
              <w:rPr>
                <w:highlight w:val="none"/>
              </w:rPr>
            </w:pPr>
          </w:p>
        </w:tc>
        <w:tc>
          <w:tcPr>
            <w:tcW w:w="961" w:type="dxa"/>
            <w:noWrap w:val="0"/>
            <w:vAlign w:val="center"/>
          </w:tcPr>
          <w:p w14:paraId="2B66B53D">
            <w:pPr>
              <w:spacing w:line="360" w:lineRule="auto"/>
              <w:jc w:val="center"/>
              <w:rPr>
                <w:highlight w:val="none"/>
              </w:rPr>
            </w:pPr>
          </w:p>
        </w:tc>
        <w:tc>
          <w:tcPr>
            <w:tcW w:w="1257" w:type="dxa"/>
            <w:noWrap w:val="0"/>
            <w:vAlign w:val="center"/>
          </w:tcPr>
          <w:p w14:paraId="587D3D33">
            <w:pPr>
              <w:spacing w:line="360" w:lineRule="auto"/>
              <w:jc w:val="center"/>
              <w:rPr>
                <w:highlight w:val="none"/>
              </w:rPr>
            </w:pPr>
          </w:p>
        </w:tc>
        <w:tc>
          <w:tcPr>
            <w:tcW w:w="1257" w:type="dxa"/>
            <w:noWrap w:val="0"/>
            <w:vAlign w:val="center"/>
          </w:tcPr>
          <w:p w14:paraId="3C9D6490">
            <w:pPr>
              <w:spacing w:line="360" w:lineRule="auto"/>
              <w:jc w:val="center"/>
              <w:rPr>
                <w:highlight w:val="none"/>
              </w:rPr>
            </w:pPr>
          </w:p>
        </w:tc>
        <w:tc>
          <w:tcPr>
            <w:tcW w:w="1258" w:type="dxa"/>
            <w:noWrap w:val="0"/>
            <w:vAlign w:val="center"/>
          </w:tcPr>
          <w:p w14:paraId="3EF9E361">
            <w:pPr>
              <w:spacing w:line="360" w:lineRule="auto"/>
              <w:jc w:val="center"/>
              <w:rPr>
                <w:highlight w:val="none"/>
              </w:rPr>
            </w:pPr>
          </w:p>
        </w:tc>
        <w:tc>
          <w:tcPr>
            <w:tcW w:w="1257" w:type="dxa"/>
            <w:noWrap w:val="0"/>
            <w:vAlign w:val="center"/>
          </w:tcPr>
          <w:p w14:paraId="273C2C71">
            <w:pPr>
              <w:spacing w:line="360" w:lineRule="auto"/>
              <w:jc w:val="center"/>
              <w:rPr>
                <w:highlight w:val="none"/>
              </w:rPr>
            </w:pPr>
          </w:p>
        </w:tc>
        <w:tc>
          <w:tcPr>
            <w:tcW w:w="1258" w:type="dxa"/>
            <w:noWrap w:val="0"/>
            <w:vAlign w:val="center"/>
          </w:tcPr>
          <w:p w14:paraId="153BCA3A">
            <w:pPr>
              <w:spacing w:line="360" w:lineRule="auto"/>
              <w:jc w:val="center"/>
              <w:rPr>
                <w:highlight w:val="none"/>
              </w:rPr>
            </w:pPr>
          </w:p>
        </w:tc>
      </w:tr>
      <w:tr w14:paraId="1041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3AFD5A87">
            <w:pPr>
              <w:spacing w:line="360" w:lineRule="auto"/>
              <w:jc w:val="center"/>
              <w:rPr>
                <w:highlight w:val="none"/>
              </w:rPr>
            </w:pPr>
          </w:p>
        </w:tc>
        <w:tc>
          <w:tcPr>
            <w:tcW w:w="961" w:type="dxa"/>
            <w:noWrap w:val="0"/>
            <w:vAlign w:val="center"/>
          </w:tcPr>
          <w:p w14:paraId="20CBD565">
            <w:pPr>
              <w:spacing w:line="360" w:lineRule="auto"/>
              <w:jc w:val="center"/>
              <w:rPr>
                <w:highlight w:val="none"/>
              </w:rPr>
            </w:pPr>
          </w:p>
        </w:tc>
        <w:tc>
          <w:tcPr>
            <w:tcW w:w="1257" w:type="dxa"/>
            <w:noWrap w:val="0"/>
            <w:vAlign w:val="center"/>
          </w:tcPr>
          <w:p w14:paraId="2A0E7CD5">
            <w:pPr>
              <w:spacing w:line="360" w:lineRule="auto"/>
              <w:jc w:val="center"/>
              <w:rPr>
                <w:highlight w:val="none"/>
              </w:rPr>
            </w:pPr>
          </w:p>
        </w:tc>
        <w:tc>
          <w:tcPr>
            <w:tcW w:w="1257" w:type="dxa"/>
            <w:noWrap w:val="0"/>
            <w:vAlign w:val="center"/>
          </w:tcPr>
          <w:p w14:paraId="78B1DE94">
            <w:pPr>
              <w:spacing w:line="360" w:lineRule="auto"/>
              <w:jc w:val="center"/>
              <w:rPr>
                <w:highlight w:val="none"/>
              </w:rPr>
            </w:pPr>
          </w:p>
        </w:tc>
        <w:tc>
          <w:tcPr>
            <w:tcW w:w="1258" w:type="dxa"/>
            <w:noWrap w:val="0"/>
            <w:vAlign w:val="center"/>
          </w:tcPr>
          <w:p w14:paraId="798FA180">
            <w:pPr>
              <w:spacing w:line="360" w:lineRule="auto"/>
              <w:jc w:val="center"/>
              <w:rPr>
                <w:highlight w:val="none"/>
              </w:rPr>
            </w:pPr>
          </w:p>
        </w:tc>
        <w:tc>
          <w:tcPr>
            <w:tcW w:w="1257" w:type="dxa"/>
            <w:noWrap w:val="0"/>
            <w:vAlign w:val="center"/>
          </w:tcPr>
          <w:p w14:paraId="085E1F7B">
            <w:pPr>
              <w:spacing w:line="360" w:lineRule="auto"/>
              <w:jc w:val="center"/>
              <w:rPr>
                <w:highlight w:val="none"/>
              </w:rPr>
            </w:pPr>
          </w:p>
        </w:tc>
        <w:tc>
          <w:tcPr>
            <w:tcW w:w="1258" w:type="dxa"/>
            <w:noWrap w:val="0"/>
            <w:vAlign w:val="center"/>
          </w:tcPr>
          <w:p w14:paraId="3570D378">
            <w:pPr>
              <w:spacing w:line="360" w:lineRule="auto"/>
              <w:jc w:val="center"/>
              <w:rPr>
                <w:highlight w:val="none"/>
              </w:rPr>
            </w:pPr>
          </w:p>
        </w:tc>
      </w:tr>
      <w:tr w14:paraId="28A6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27AEDD44">
            <w:pPr>
              <w:spacing w:line="360" w:lineRule="auto"/>
              <w:jc w:val="center"/>
              <w:rPr>
                <w:highlight w:val="none"/>
              </w:rPr>
            </w:pPr>
          </w:p>
        </w:tc>
        <w:tc>
          <w:tcPr>
            <w:tcW w:w="961" w:type="dxa"/>
            <w:noWrap w:val="0"/>
            <w:vAlign w:val="center"/>
          </w:tcPr>
          <w:p w14:paraId="071B8CA8">
            <w:pPr>
              <w:spacing w:line="360" w:lineRule="auto"/>
              <w:jc w:val="center"/>
              <w:rPr>
                <w:highlight w:val="none"/>
              </w:rPr>
            </w:pPr>
          </w:p>
        </w:tc>
        <w:tc>
          <w:tcPr>
            <w:tcW w:w="1257" w:type="dxa"/>
            <w:noWrap w:val="0"/>
            <w:vAlign w:val="center"/>
          </w:tcPr>
          <w:p w14:paraId="0122974B">
            <w:pPr>
              <w:spacing w:line="360" w:lineRule="auto"/>
              <w:jc w:val="center"/>
              <w:rPr>
                <w:highlight w:val="none"/>
              </w:rPr>
            </w:pPr>
          </w:p>
        </w:tc>
        <w:tc>
          <w:tcPr>
            <w:tcW w:w="1257" w:type="dxa"/>
            <w:noWrap w:val="0"/>
            <w:vAlign w:val="center"/>
          </w:tcPr>
          <w:p w14:paraId="04E843D5">
            <w:pPr>
              <w:spacing w:line="360" w:lineRule="auto"/>
              <w:jc w:val="center"/>
              <w:rPr>
                <w:highlight w:val="none"/>
              </w:rPr>
            </w:pPr>
          </w:p>
        </w:tc>
        <w:tc>
          <w:tcPr>
            <w:tcW w:w="1258" w:type="dxa"/>
            <w:noWrap w:val="0"/>
            <w:vAlign w:val="center"/>
          </w:tcPr>
          <w:p w14:paraId="0B26121D">
            <w:pPr>
              <w:spacing w:line="360" w:lineRule="auto"/>
              <w:jc w:val="center"/>
              <w:rPr>
                <w:highlight w:val="none"/>
              </w:rPr>
            </w:pPr>
          </w:p>
        </w:tc>
        <w:tc>
          <w:tcPr>
            <w:tcW w:w="1257" w:type="dxa"/>
            <w:noWrap w:val="0"/>
            <w:vAlign w:val="center"/>
          </w:tcPr>
          <w:p w14:paraId="61749434">
            <w:pPr>
              <w:spacing w:line="360" w:lineRule="auto"/>
              <w:jc w:val="center"/>
              <w:rPr>
                <w:highlight w:val="none"/>
              </w:rPr>
            </w:pPr>
          </w:p>
        </w:tc>
        <w:tc>
          <w:tcPr>
            <w:tcW w:w="1258" w:type="dxa"/>
            <w:noWrap w:val="0"/>
            <w:vAlign w:val="center"/>
          </w:tcPr>
          <w:p w14:paraId="67048A57">
            <w:pPr>
              <w:spacing w:line="360" w:lineRule="auto"/>
              <w:jc w:val="center"/>
              <w:rPr>
                <w:highlight w:val="none"/>
              </w:rPr>
            </w:pPr>
          </w:p>
        </w:tc>
      </w:tr>
    </w:tbl>
    <w:p w14:paraId="779F0D09">
      <w:pPr>
        <w:rPr>
          <w:highlight w:val="none"/>
        </w:rPr>
      </w:pPr>
    </w:p>
    <w:p w14:paraId="10203B21">
      <w:pPr>
        <w:rPr>
          <w:b/>
          <w:bCs/>
          <w:highlight w:val="none"/>
        </w:rPr>
      </w:pPr>
    </w:p>
    <w:p w14:paraId="38B5E58C">
      <w:pPr>
        <w:rPr>
          <w:highlight w:val="none"/>
        </w:rPr>
      </w:pPr>
      <w:r>
        <w:rPr>
          <w:rFonts w:hint="eastAsia" w:cs="宋体"/>
          <w:highlight w:val="none"/>
        </w:rPr>
        <w:t>附表二：计划开、竣工日期和施工进度计划（网络图或横道图）</w:t>
      </w:r>
    </w:p>
    <w:p w14:paraId="52DC5BF4">
      <w:pPr>
        <w:spacing w:line="460" w:lineRule="exact"/>
        <w:ind w:left="-6" w:firstLine="420"/>
        <w:rPr>
          <w:highlight w:val="none"/>
        </w:rPr>
      </w:pPr>
      <w:r>
        <w:rPr>
          <w:highlight w:val="none"/>
        </w:rPr>
        <w:t xml:space="preserve">1. </w:t>
      </w:r>
      <w:r>
        <w:rPr>
          <w:rFonts w:hint="eastAsia" w:cs="宋体"/>
          <w:highlight w:val="none"/>
        </w:rPr>
        <w:t>供应商应提交施工进度计划，说明按磋商文件要求的工期进行施工的各个关键日期。成交的供应商还应按合同条件有关条款的要求提交详细的施工进度计划。</w:t>
      </w:r>
    </w:p>
    <w:p w14:paraId="6A5C92A4">
      <w:pPr>
        <w:spacing w:line="460" w:lineRule="exact"/>
        <w:ind w:left="-6" w:firstLine="420"/>
        <w:rPr>
          <w:highlight w:val="none"/>
        </w:rPr>
      </w:pPr>
      <w:r>
        <w:rPr>
          <w:highlight w:val="none"/>
        </w:rPr>
        <w:t xml:space="preserve">2. </w:t>
      </w:r>
      <w:r>
        <w:rPr>
          <w:rFonts w:hint="eastAsia" w:cs="宋体"/>
          <w:highlight w:val="none"/>
        </w:rPr>
        <w:t>施工进度计划可采用网络图（或横道图）表示，说明计划开工日期和各分项工程各阶段的完工日期和分包合同签订的日期。</w:t>
      </w:r>
    </w:p>
    <w:p w14:paraId="70E9FD50">
      <w:pPr>
        <w:spacing w:line="460" w:lineRule="exact"/>
        <w:ind w:left="-6" w:firstLine="420"/>
        <w:rPr>
          <w:highlight w:val="none"/>
        </w:rPr>
      </w:pPr>
      <w:r>
        <w:rPr>
          <w:highlight w:val="none"/>
        </w:rPr>
        <w:t xml:space="preserve">3. </w:t>
      </w:r>
      <w:r>
        <w:rPr>
          <w:rFonts w:hint="eastAsia" w:cs="宋体"/>
          <w:highlight w:val="none"/>
        </w:rPr>
        <w:t>施工进度计划应与施工组织设计相适应。</w:t>
      </w:r>
    </w:p>
    <w:p w14:paraId="289AA180">
      <w:pPr>
        <w:spacing w:line="360" w:lineRule="auto"/>
        <w:ind w:left="-6" w:firstLine="420"/>
        <w:rPr>
          <w:highlight w:val="none"/>
        </w:rPr>
      </w:pPr>
    </w:p>
    <w:p w14:paraId="68ED9B5C">
      <w:pPr>
        <w:rPr>
          <w:highlight w:val="none"/>
        </w:rPr>
      </w:pPr>
    </w:p>
    <w:p w14:paraId="493AB6F5">
      <w:pPr>
        <w:rPr>
          <w:highlight w:val="none"/>
        </w:rPr>
      </w:pPr>
      <w:r>
        <w:rPr>
          <w:rFonts w:hint="eastAsia" w:cs="宋体"/>
          <w:highlight w:val="none"/>
        </w:rPr>
        <w:t>附表三：施工总平面图</w:t>
      </w:r>
    </w:p>
    <w:p w14:paraId="26612629">
      <w:pPr>
        <w:spacing w:line="460" w:lineRule="exact"/>
        <w:ind w:firstLine="420" w:firstLineChars="200"/>
        <w:rPr>
          <w:highlight w:val="none"/>
        </w:rPr>
      </w:pPr>
      <w:r>
        <w:rPr>
          <w:rFonts w:hint="eastAsia" w:cs="宋体"/>
          <w:highlight w:val="none"/>
        </w:rPr>
        <w:t>供应商应递交一份施工总平面图，绘出现场临时设施布置图表并附文字说明，说明临时设施、加工车间、现场办公、设备及仓储、供电、供水、卫生、生活、道路、消防等设施的情况和布置。</w:t>
      </w:r>
    </w:p>
    <w:p w14:paraId="367A41CA">
      <w:pPr>
        <w:rPr>
          <w:highlight w:val="none"/>
        </w:rPr>
      </w:pPr>
    </w:p>
    <w:p w14:paraId="192D911F">
      <w:pPr>
        <w:rPr>
          <w:highlight w:val="none"/>
        </w:rPr>
      </w:pPr>
    </w:p>
    <w:p w14:paraId="6695AC20">
      <w:pPr>
        <w:rPr>
          <w:highlight w:val="none"/>
        </w:rPr>
      </w:pPr>
      <w:r>
        <w:rPr>
          <w:rFonts w:hint="eastAsia" w:cs="宋体"/>
          <w:highlight w:val="none"/>
        </w:rPr>
        <w:t>附表四：临时用地表</w:t>
      </w:r>
    </w:p>
    <w:tbl>
      <w:tblPr>
        <w:tblStyle w:val="44"/>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05AE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54E23C9F">
            <w:pPr>
              <w:jc w:val="center"/>
              <w:rPr>
                <w:highlight w:val="none"/>
              </w:rPr>
            </w:pPr>
            <w:r>
              <w:rPr>
                <w:rFonts w:hint="eastAsia" w:cs="宋体"/>
                <w:highlight w:val="none"/>
              </w:rPr>
              <w:t>用途</w:t>
            </w:r>
          </w:p>
        </w:tc>
        <w:tc>
          <w:tcPr>
            <w:tcW w:w="2357" w:type="dxa"/>
            <w:noWrap w:val="0"/>
            <w:vAlign w:val="center"/>
          </w:tcPr>
          <w:p w14:paraId="4E6987F9">
            <w:pPr>
              <w:jc w:val="center"/>
              <w:rPr>
                <w:highlight w:val="none"/>
              </w:rPr>
            </w:pPr>
            <w:r>
              <w:rPr>
                <w:rFonts w:hint="eastAsia" w:cs="宋体"/>
                <w:highlight w:val="none"/>
              </w:rPr>
              <w:t>面积（平方米）</w:t>
            </w:r>
          </w:p>
        </w:tc>
        <w:tc>
          <w:tcPr>
            <w:tcW w:w="2356" w:type="dxa"/>
            <w:noWrap w:val="0"/>
            <w:vAlign w:val="center"/>
          </w:tcPr>
          <w:p w14:paraId="00736CAF">
            <w:pPr>
              <w:jc w:val="center"/>
              <w:rPr>
                <w:highlight w:val="none"/>
              </w:rPr>
            </w:pPr>
            <w:r>
              <w:rPr>
                <w:rFonts w:hint="eastAsia" w:cs="宋体"/>
                <w:highlight w:val="none"/>
              </w:rPr>
              <w:t>位置</w:t>
            </w:r>
          </w:p>
        </w:tc>
        <w:tc>
          <w:tcPr>
            <w:tcW w:w="2136" w:type="dxa"/>
            <w:noWrap w:val="0"/>
            <w:vAlign w:val="center"/>
          </w:tcPr>
          <w:p w14:paraId="76FE32A1">
            <w:pPr>
              <w:jc w:val="center"/>
              <w:rPr>
                <w:highlight w:val="none"/>
              </w:rPr>
            </w:pPr>
            <w:r>
              <w:rPr>
                <w:rFonts w:hint="eastAsia" w:cs="宋体"/>
                <w:highlight w:val="none"/>
              </w:rPr>
              <w:t>需用时间</w:t>
            </w:r>
          </w:p>
        </w:tc>
      </w:tr>
      <w:tr w14:paraId="226A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40B118B4">
            <w:pPr>
              <w:rPr>
                <w:highlight w:val="none"/>
              </w:rPr>
            </w:pPr>
          </w:p>
        </w:tc>
        <w:tc>
          <w:tcPr>
            <w:tcW w:w="2357" w:type="dxa"/>
            <w:noWrap w:val="0"/>
            <w:vAlign w:val="top"/>
          </w:tcPr>
          <w:p w14:paraId="1C8897A5">
            <w:pPr>
              <w:rPr>
                <w:highlight w:val="none"/>
              </w:rPr>
            </w:pPr>
          </w:p>
        </w:tc>
        <w:tc>
          <w:tcPr>
            <w:tcW w:w="2356" w:type="dxa"/>
            <w:noWrap w:val="0"/>
            <w:vAlign w:val="top"/>
          </w:tcPr>
          <w:p w14:paraId="0157B25C">
            <w:pPr>
              <w:rPr>
                <w:highlight w:val="none"/>
              </w:rPr>
            </w:pPr>
          </w:p>
        </w:tc>
        <w:tc>
          <w:tcPr>
            <w:tcW w:w="2136" w:type="dxa"/>
            <w:noWrap w:val="0"/>
            <w:vAlign w:val="top"/>
          </w:tcPr>
          <w:p w14:paraId="6EB3886D">
            <w:pPr>
              <w:rPr>
                <w:highlight w:val="none"/>
              </w:rPr>
            </w:pPr>
          </w:p>
        </w:tc>
      </w:tr>
      <w:tr w14:paraId="2FAB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5FC8EBA7">
            <w:pPr>
              <w:rPr>
                <w:highlight w:val="none"/>
              </w:rPr>
            </w:pPr>
          </w:p>
        </w:tc>
        <w:tc>
          <w:tcPr>
            <w:tcW w:w="2357" w:type="dxa"/>
            <w:noWrap w:val="0"/>
            <w:vAlign w:val="top"/>
          </w:tcPr>
          <w:p w14:paraId="5BEEF4B1">
            <w:pPr>
              <w:rPr>
                <w:highlight w:val="none"/>
              </w:rPr>
            </w:pPr>
          </w:p>
        </w:tc>
        <w:tc>
          <w:tcPr>
            <w:tcW w:w="2356" w:type="dxa"/>
            <w:noWrap w:val="0"/>
            <w:vAlign w:val="top"/>
          </w:tcPr>
          <w:p w14:paraId="4CE4BE36">
            <w:pPr>
              <w:rPr>
                <w:highlight w:val="none"/>
              </w:rPr>
            </w:pPr>
          </w:p>
        </w:tc>
        <w:tc>
          <w:tcPr>
            <w:tcW w:w="2136" w:type="dxa"/>
            <w:noWrap w:val="0"/>
            <w:vAlign w:val="top"/>
          </w:tcPr>
          <w:p w14:paraId="0A18D563">
            <w:pPr>
              <w:rPr>
                <w:highlight w:val="none"/>
              </w:rPr>
            </w:pPr>
          </w:p>
        </w:tc>
      </w:tr>
      <w:tr w14:paraId="6CEC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53BC1CA6">
            <w:pPr>
              <w:rPr>
                <w:highlight w:val="none"/>
              </w:rPr>
            </w:pPr>
          </w:p>
        </w:tc>
        <w:tc>
          <w:tcPr>
            <w:tcW w:w="2357" w:type="dxa"/>
            <w:noWrap w:val="0"/>
            <w:vAlign w:val="top"/>
          </w:tcPr>
          <w:p w14:paraId="4950A95F">
            <w:pPr>
              <w:rPr>
                <w:highlight w:val="none"/>
              </w:rPr>
            </w:pPr>
          </w:p>
        </w:tc>
        <w:tc>
          <w:tcPr>
            <w:tcW w:w="2356" w:type="dxa"/>
            <w:noWrap w:val="0"/>
            <w:vAlign w:val="top"/>
          </w:tcPr>
          <w:p w14:paraId="70984584">
            <w:pPr>
              <w:rPr>
                <w:highlight w:val="none"/>
              </w:rPr>
            </w:pPr>
          </w:p>
        </w:tc>
        <w:tc>
          <w:tcPr>
            <w:tcW w:w="2136" w:type="dxa"/>
            <w:noWrap w:val="0"/>
            <w:vAlign w:val="top"/>
          </w:tcPr>
          <w:p w14:paraId="0CCEF301">
            <w:pPr>
              <w:rPr>
                <w:highlight w:val="none"/>
              </w:rPr>
            </w:pPr>
          </w:p>
        </w:tc>
      </w:tr>
      <w:tr w14:paraId="7289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6CC9DA78">
            <w:pPr>
              <w:rPr>
                <w:highlight w:val="none"/>
              </w:rPr>
            </w:pPr>
          </w:p>
        </w:tc>
        <w:tc>
          <w:tcPr>
            <w:tcW w:w="2357" w:type="dxa"/>
            <w:noWrap w:val="0"/>
            <w:vAlign w:val="top"/>
          </w:tcPr>
          <w:p w14:paraId="5559F31E">
            <w:pPr>
              <w:rPr>
                <w:highlight w:val="none"/>
              </w:rPr>
            </w:pPr>
          </w:p>
        </w:tc>
        <w:tc>
          <w:tcPr>
            <w:tcW w:w="2356" w:type="dxa"/>
            <w:noWrap w:val="0"/>
            <w:vAlign w:val="top"/>
          </w:tcPr>
          <w:p w14:paraId="35B3BB50">
            <w:pPr>
              <w:rPr>
                <w:highlight w:val="none"/>
              </w:rPr>
            </w:pPr>
          </w:p>
        </w:tc>
        <w:tc>
          <w:tcPr>
            <w:tcW w:w="2136" w:type="dxa"/>
            <w:noWrap w:val="0"/>
            <w:vAlign w:val="top"/>
          </w:tcPr>
          <w:p w14:paraId="5DA68AFA">
            <w:pPr>
              <w:rPr>
                <w:highlight w:val="none"/>
              </w:rPr>
            </w:pPr>
          </w:p>
        </w:tc>
      </w:tr>
    </w:tbl>
    <w:p w14:paraId="48D70D37">
      <w:pPr>
        <w:spacing w:line="360" w:lineRule="auto"/>
        <w:ind w:firstLine="880" w:firstLineChars="200"/>
        <w:rPr>
          <w:rFonts w:ascii="方正小标宋简体" w:hAnsi="方正小标宋简体" w:eastAsia="方正小标宋简体" w:cs="方正小标宋简体"/>
          <w:bCs/>
          <w:sz w:val="44"/>
          <w:szCs w:val="44"/>
          <w:highlight w:val="none"/>
        </w:rPr>
      </w:pPr>
    </w:p>
    <w:p w14:paraId="6A4B8CA0">
      <w:pPr>
        <w:spacing w:line="360" w:lineRule="auto"/>
        <w:rPr>
          <w:rFonts w:hint="eastAsia" w:ascii="宋体" w:hAnsi="宋体"/>
          <w:szCs w:val="21"/>
          <w:highlight w:val="none"/>
        </w:rPr>
      </w:pPr>
    </w:p>
    <w:p w14:paraId="489D67E0">
      <w:pPr>
        <w:spacing w:line="360" w:lineRule="auto"/>
        <w:rPr>
          <w:rFonts w:hint="eastAsia" w:ascii="宋体" w:hAnsi="宋体"/>
          <w:b/>
          <w:bCs/>
          <w:sz w:val="24"/>
          <w:highlight w:val="none"/>
        </w:rPr>
      </w:pPr>
      <w:r>
        <w:rPr>
          <w:rFonts w:ascii="宋体" w:hAnsi="宋体"/>
          <w:b/>
          <w:bCs/>
          <w:sz w:val="24"/>
          <w:highlight w:val="none"/>
        </w:rPr>
        <w:br w:type="page"/>
      </w:r>
      <w:r>
        <w:rPr>
          <w:rFonts w:hint="eastAsia" w:ascii="宋体" w:hAnsi="宋体"/>
          <w:b/>
          <w:bCs/>
          <w:sz w:val="24"/>
          <w:highlight w:val="none"/>
        </w:rPr>
        <w:t>其他文书、文件格式</w:t>
      </w:r>
    </w:p>
    <w:p w14:paraId="514FAA47">
      <w:pPr>
        <w:spacing w:line="360" w:lineRule="auto"/>
        <w:rPr>
          <w:rFonts w:hint="eastAsia" w:ascii="宋体" w:hAnsi="宋体"/>
          <w:szCs w:val="21"/>
          <w:highlight w:val="none"/>
        </w:rPr>
      </w:pPr>
    </w:p>
    <w:p w14:paraId="731DA959">
      <w:pPr>
        <w:jc w:val="center"/>
        <w:rPr>
          <w:rFonts w:hint="eastAsia" w:ascii="宋体" w:hAnsi="宋体" w:cs="方正小标宋简体"/>
          <w:b/>
          <w:sz w:val="32"/>
          <w:szCs w:val="32"/>
          <w:highlight w:val="none"/>
        </w:rPr>
      </w:pPr>
      <w:bookmarkStart w:id="128" w:name="_Toc71365926"/>
      <w:r>
        <w:rPr>
          <w:rFonts w:hint="eastAsia" w:ascii="宋体" w:hAnsi="宋体" w:cs="方正小标宋简体"/>
          <w:b/>
          <w:sz w:val="32"/>
          <w:szCs w:val="32"/>
          <w:highlight w:val="none"/>
        </w:rPr>
        <w:t>中小企业声明函（工程）</w:t>
      </w:r>
      <w:bookmarkEnd w:id="128"/>
    </w:p>
    <w:p w14:paraId="2736F3DF">
      <w:pPr>
        <w:pStyle w:val="18"/>
        <w:spacing w:line="500" w:lineRule="exact"/>
        <w:ind w:right="142" w:firstLine="705" w:firstLineChars="294"/>
        <w:rPr>
          <w:rFonts w:ascii="宋体" w:hAnsi="宋体"/>
          <w:sz w:val="24"/>
          <w:highlight w:val="none"/>
        </w:rPr>
      </w:pPr>
      <w:r>
        <w:rPr>
          <w:rFonts w:ascii="宋体" w:hAnsi="宋体"/>
          <w:sz w:val="24"/>
          <w:highlight w:val="none"/>
        </w:rPr>
        <w:t>本公司（联合体）郑重声明，根据《政府采购促进中小企业发展管理办法》（财库﹝2020﹞46号）的规定，本公司（联合体）参加</w:t>
      </w:r>
      <w:r>
        <w:rPr>
          <w:rFonts w:hint="eastAsia" w:ascii="宋体" w:hAnsi="宋体"/>
          <w:sz w:val="24"/>
          <w:highlight w:val="none"/>
          <w:u w:val="single"/>
        </w:rPr>
        <w:t xml:space="preserve">（单位名称） </w:t>
      </w:r>
      <w:r>
        <w:rPr>
          <w:rFonts w:ascii="宋体" w:hAnsi="宋体"/>
          <w:sz w:val="24"/>
          <w:highlight w:val="none"/>
        </w:rPr>
        <w:t>的</w:t>
      </w:r>
      <w:r>
        <w:rPr>
          <w:rFonts w:hint="eastAsia" w:ascii="宋体" w:hAnsi="宋体"/>
          <w:sz w:val="24"/>
          <w:highlight w:val="none"/>
          <w:u w:val="single"/>
        </w:rPr>
        <w:t>（项目名称）</w:t>
      </w:r>
      <w:r>
        <w:rPr>
          <w:rFonts w:ascii="宋体" w:hAnsi="宋体"/>
          <w:sz w:val="24"/>
          <w:highlight w:val="none"/>
        </w:rPr>
        <w:t>采购活动，</w:t>
      </w:r>
      <w:r>
        <w:rPr>
          <w:rFonts w:hint="eastAsia" w:ascii="宋体" w:hAnsi="宋体"/>
          <w:sz w:val="24"/>
          <w:highlight w:val="none"/>
        </w:rPr>
        <w:t>工程的施工单位全部为符合政策要求的中小企业。相关企业（含联合体中的中小企业、签订分包意向协议的中小企业）的具体情况如下：</w:t>
      </w:r>
    </w:p>
    <w:p w14:paraId="22733D0C">
      <w:pPr>
        <w:tabs>
          <w:tab w:val="left" w:pos="1384"/>
          <w:tab w:val="left" w:pos="4562"/>
          <w:tab w:val="left" w:pos="6803"/>
        </w:tabs>
        <w:spacing w:before="13" w:line="500" w:lineRule="exact"/>
        <w:ind w:right="142" w:firstLine="772" w:firstLineChars="322"/>
        <w:rPr>
          <w:rFonts w:ascii="宋体" w:hAnsi="宋体"/>
          <w:sz w:val="24"/>
          <w:highlight w:val="none"/>
        </w:rPr>
      </w:pPr>
      <w:r>
        <w:rPr>
          <w:rFonts w:ascii="宋体" w:hAnsi="宋体"/>
          <w:sz w:val="24"/>
          <w:highlight w:val="none"/>
        </w:rPr>
        <w:t>1</w:t>
      </w:r>
      <w:r>
        <w:rPr>
          <w:rFonts w:hint="eastAsia" w:ascii="宋体" w:hAnsi="宋体"/>
          <w:sz w:val="24"/>
          <w:highlight w:val="none"/>
          <w:u w:val="single"/>
        </w:rPr>
        <w:t>（标的名称）</w:t>
      </w:r>
      <w:r>
        <w:rPr>
          <w:rFonts w:ascii="宋体" w:hAnsi="宋体"/>
          <w:sz w:val="24"/>
          <w:highlight w:val="none"/>
        </w:rPr>
        <w:t>，属于</w:t>
      </w:r>
      <w:r>
        <w:rPr>
          <w:rFonts w:hint="eastAsia" w:ascii="宋体" w:hAnsi="宋体"/>
          <w:sz w:val="24"/>
          <w:highlight w:val="none"/>
          <w:u w:val="single"/>
        </w:rPr>
        <w:t>（采购文件中明确的所属行业）</w:t>
      </w:r>
      <w:r>
        <w:rPr>
          <w:rFonts w:ascii="宋体" w:hAnsi="宋体"/>
          <w:sz w:val="24"/>
          <w:highlight w:val="none"/>
        </w:rPr>
        <w:t>；</w:t>
      </w:r>
      <w:r>
        <w:rPr>
          <w:rFonts w:hint="eastAsia" w:ascii="宋体" w:hAnsi="宋体"/>
          <w:sz w:val="24"/>
          <w:highlight w:val="none"/>
        </w:rPr>
        <w:t>承建企业为</w:t>
      </w:r>
      <w:r>
        <w:rPr>
          <w:rFonts w:hint="eastAsia" w:ascii="宋体" w:hAnsi="宋体"/>
          <w:sz w:val="24"/>
          <w:highlight w:val="none"/>
          <w:u w:val="single"/>
        </w:rPr>
        <w:t>（企业名称）</w:t>
      </w:r>
      <w:r>
        <w:rPr>
          <w:rFonts w:hint="eastAsia" w:ascii="宋体" w:hAnsi="宋体"/>
          <w:sz w:val="24"/>
          <w:highlight w:val="none"/>
        </w:rPr>
        <w:t>，从业人员</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万元</w:t>
      </w:r>
      <w:r>
        <w:rPr>
          <w:rFonts w:ascii="宋体" w:hAnsi="宋体"/>
          <w:sz w:val="24"/>
          <w:highlight w:val="none"/>
        </w:rPr>
        <w:t>，属于</w:t>
      </w:r>
      <w:r>
        <w:rPr>
          <w:rFonts w:ascii="宋体" w:hAnsi="宋体"/>
          <w:sz w:val="24"/>
          <w:highlight w:val="none"/>
          <w:u w:val="single"/>
        </w:rPr>
        <w:t>（中型企业、</w:t>
      </w:r>
      <w:r>
        <w:rPr>
          <w:rFonts w:hint="eastAsia" w:ascii="宋体" w:hAnsi="宋体"/>
          <w:sz w:val="24"/>
          <w:highlight w:val="none"/>
          <w:u w:val="single"/>
        </w:rPr>
        <w:t>小型企业、微型企业）</w:t>
      </w:r>
      <w:r>
        <w:rPr>
          <w:rFonts w:hint="eastAsia" w:ascii="宋体" w:hAnsi="宋体"/>
          <w:sz w:val="24"/>
          <w:highlight w:val="none"/>
        </w:rPr>
        <w:t>；</w:t>
      </w:r>
    </w:p>
    <w:p w14:paraId="6E5BAA54">
      <w:pPr>
        <w:pStyle w:val="18"/>
        <w:spacing w:before="34" w:line="500" w:lineRule="exact"/>
        <w:ind w:right="142" w:firstLine="705" w:firstLineChars="294"/>
        <w:rPr>
          <w:rFonts w:ascii="宋体" w:hAnsi="宋体"/>
          <w:sz w:val="24"/>
          <w:highlight w:val="none"/>
        </w:rPr>
      </w:pPr>
      <w:r>
        <w:rPr>
          <w:rFonts w:ascii="宋体" w:hAnsi="宋体"/>
          <w:sz w:val="24"/>
          <w:highlight w:val="none"/>
        </w:rPr>
        <w:t>以上企业，不属于大企业的分支机构，不存在控股股东为大企业的情形，也不存在与大企业的负责人为同一人的情形。</w:t>
      </w:r>
    </w:p>
    <w:p w14:paraId="34D6F314">
      <w:pPr>
        <w:pStyle w:val="18"/>
        <w:spacing w:before="25" w:line="500" w:lineRule="exact"/>
        <w:ind w:right="142" w:firstLine="705" w:firstLineChars="294"/>
        <w:rPr>
          <w:rFonts w:ascii="宋体" w:hAnsi="宋体"/>
          <w:sz w:val="24"/>
          <w:highlight w:val="none"/>
        </w:rPr>
      </w:pPr>
      <w:r>
        <w:rPr>
          <w:rFonts w:ascii="宋体" w:hAnsi="宋体"/>
          <w:sz w:val="24"/>
          <w:highlight w:val="none"/>
        </w:rPr>
        <w:t>本企业对上述声明内容的真实性负责。如有虚假，将依法承担相应责任。</w:t>
      </w:r>
    </w:p>
    <w:p w14:paraId="42EF7B22">
      <w:pPr>
        <w:pStyle w:val="18"/>
        <w:spacing w:before="56" w:line="500" w:lineRule="exact"/>
        <w:ind w:right="650" w:firstLine="5625" w:firstLineChars="2344"/>
        <w:rPr>
          <w:rFonts w:ascii="宋体" w:hAnsi="宋体"/>
          <w:sz w:val="24"/>
          <w:highlight w:val="none"/>
        </w:rPr>
      </w:pPr>
      <w:r>
        <w:rPr>
          <w:rFonts w:ascii="宋体" w:hAnsi="宋体"/>
          <w:sz w:val="24"/>
          <w:highlight w:val="none"/>
        </w:rPr>
        <w:t xml:space="preserve">企业名称（章）： </w:t>
      </w:r>
    </w:p>
    <w:p w14:paraId="3FC2E901">
      <w:pPr>
        <w:pStyle w:val="18"/>
        <w:spacing w:before="56" w:line="500" w:lineRule="exact"/>
        <w:ind w:right="1808" w:firstLine="5625" w:firstLineChars="2344"/>
        <w:rPr>
          <w:rFonts w:ascii="宋体" w:hAnsi="宋体"/>
          <w:sz w:val="24"/>
          <w:highlight w:val="none"/>
        </w:rPr>
      </w:pPr>
      <w:r>
        <w:rPr>
          <w:rFonts w:ascii="宋体" w:hAnsi="宋体"/>
          <w:sz w:val="24"/>
          <w:highlight w:val="none"/>
        </w:rPr>
        <w:t>日 期：</w:t>
      </w:r>
    </w:p>
    <w:p w14:paraId="0A859912">
      <w:pPr>
        <w:spacing w:line="520" w:lineRule="exact"/>
        <w:ind w:firstLine="420" w:firstLineChars="200"/>
        <w:jc w:val="left"/>
        <w:rPr>
          <w:rFonts w:hint="eastAsia" w:ascii="宋体" w:hAnsi="宋体" w:cs="仿宋_GB2312"/>
          <w:szCs w:val="21"/>
          <w:highlight w:val="none"/>
        </w:rPr>
      </w:pPr>
      <w:r>
        <w:rPr>
          <w:rFonts w:hint="eastAsia" w:ascii="宋体" w:hAnsi="宋体" w:cs="仿宋_GB2312"/>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2CEC1291">
      <w:pPr>
        <w:spacing w:line="520" w:lineRule="exact"/>
        <w:ind w:firstLine="420" w:firstLineChars="200"/>
        <w:jc w:val="left"/>
        <w:rPr>
          <w:rFonts w:hint="eastAsia" w:ascii="宋体" w:hAnsi="宋体" w:cs="仿宋_GB2312"/>
          <w:szCs w:val="21"/>
          <w:highlight w:val="none"/>
        </w:rPr>
      </w:pPr>
      <w:r>
        <w:rPr>
          <w:rFonts w:hint="eastAsia" w:ascii="宋体" w:hAnsi="宋体" w:cs="仿宋_GB2312"/>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78EB266">
      <w:pPr>
        <w:spacing w:line="520" w:lineRule="exact"/>
        <w:jc w:val="center"/>
        <w:rPr>
          <w:rFonts w:hint="eastAsia" w:ascii="宋体" w:hAnsi="宋体" w:cs="仿宋_GB2312"/>
          <w:b/>
          <w:sz w:val="32"/>
          <w:szCs w:val="32"/>
          <w:highlight w:val="none"/>
        </w:rPr>
      </w:pPr>
      <w:r>
        <w:rPr>
          <w:rFonts w:ascii="宋体" w:hAnsi="宋体"/>
          <w:sz w:val="24"/>
          <w:highlight w:val="none"/>
        </w:rPr>
        <w:br w:type="page"/>
      </w:r>
      <w:r>
        <w:rPr>
          <w:rFonts w:hint="eastAsia" w:ascii="宋体" w:hAnsi="宋体" w:cs="方正小标宋简体"/>
          <w:b/>
          <w:sz w:val="32"/>
          <w:szCs w:val="32"/>
          <w:highlight w:val="none"/>
        </w:rPr>
        <w:t>残疾人福利性单位声明函</w:t>
      </w:r>
    </w:p>
    <w:p w14:paraId="6C4FF9B4">
      <w:pPr>
        <w:spacing w:line="360" w:lineRule="auto"/>
        <w:contextualSpacing/>
        <w:rPr>
          <w:rFonts w:hint="eastAsia" w:ascii="仿宋_GB2312" w:hAnsi="仿宋_GB2312" w:eastAsia="仿宋_GB2312" w:cs="仿宋_GB2312"/>
          <w:sz w:val="32"/>
          <w:szCs w:val="32"/>
          <w:highlight w:val="none"/>
        </w:rPr>
      </w:pPr>
    </w:p>
    <w:p w14:paraId="2A14A977">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highlight w:val="none"/>
          <w:u w:val="single"/>
        </w:rPr>
        <w:t xml:space="preserve">       </w:t>
      </w:r>
      <w:r>
        <w:rPr>
          <w:rFonts w:hint="eastAsia" w:ascii="宋体" w:hAnsi="宋体" w:cs="仿宋_GB2312"/>
          <w:sz w:val="24"/>
          <w:highlight w:val="none"/>
        </w:rPr>
        <w:t>单位的</w:t>
      </w:r>
      <w:r>
        <w:rPr>
          <w:rFonts w:hint="eastAsia" w:ascii="宋体" w:hAnsi="宋体" w:cs="仿宋_GB2312"/>
          <w:sz w:val="24"/>
          <w:highlight w:val="none"/>
          <w:u w:val="single"/>
        </w:rPr>
        <w:t xml:space="preserve">        </w:t>
      </w:r>
      <w:r>
        <w:rPr>
          <w:rFonts w:hint="eastAsia" w:ascii="宋体" w:hAnsi="宋体" w:cs="仿宋_GB2312"/>
          <w:sz w:val="24"/>
          <w:highlight w:val="none"/>
        </w:rPr>
        <w:t>项目采购活动提供本单位制造的货物（由本单位承担工程/提供服务），或者提供其他残疾人福利性单位制造的货物（不包括使用非残疾人福利性单位注册商标的货物）。</w:t>
      </w:r>
    </w:p>
    <w:p w14:paraId="29F4541B">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本单位对上述声明的真实性负责。如有虚假，将依法承担相应责任。</w:t>
      </w:r>
    </w:p>
    <w:p w14:paraId="7AFA6E27">
      <w:pPr>
        <w:spacing w:line="360" w:lineRule="auto"/>
        <w:contextualSpacing/>
        <w:rPr>
          <w:rFonts w:hint="eastAsia" w:ascii="宋体" w:hAnsi="宋体" w:cs="仿宋_GB2312"/>
          <w:sz w:val="24"/>
          <w:highlight w:val="none"/>
        </w:rPr>
      </w:pPr>
    </w:p>
    <w:p w14:paraId="593FAA4E">
      <w:pPr>
        <w:spacing w:line="360" w:lineRule="auto"/>
        <w:contextualSpacing/>
        <w:rPr>
          <w:rFonts w:hint="eastAsia" w:ascii="宋体" w:hAnsi="宋体" w:cs="仿宋_GB2312"/>
          <w:sz w:val="24"/>
          <w:highlight w:val="none"/>
        </w:rPr>
      </w:pPr>
    </w:p>
    <w:p w14:paraId="63CE2EFE">
      <w:pPr>
        <w:spacing w:line="360" w:lineRule="auto"/>
        <w:contextualSpacing/>
        <w:rPr>
          <w:rFonts w:hint="eastAsia" w:ascii="宋体" w:hAnsi="宋体" w:cs="仿宋_GB2312"/>
          <w:sz w:val="24"/>
          <w:highlight w:val="none"/>
        </w:rPr>
      </w:pPr>
    </w:p>
    <w:p w14:paraId="1D92E4CC">
      <w:pPr>
        <w:spacing w:line="360" w:lineRule="auto"/>
        <w:ind w:firstLine="2400" w:firstLineChars="1000"/>
        <w:contextualSpacing/>
        <w:rPr>
          <w:rFonts w:hint="eastAsia" w:ascii="宋体" w:hAnsi="宋体" w:cs="仿宋_GB2312"/>
          <w:sz w:val="24"/>
          <w:highlight w:val="none"/>
        </w:rPr>
      </w:pPr>
      <w:r>
        <w:rPr>
          <w:rFonts w:hint="eastAsia" w:ascii="宋体" w:hAnsi="宋体" w:cs="仿宋_GB2312"/>
          <w:sz w:val="24"/>
          <w:highlight w:val="none"/>
        </w:rPr>
        <w:t>单位名称（盖章）：</w:t>
      </w:r>
    </w:p>
    <w:p w14:paraId="34A4ADE5">
      <w:pPr>
        <w:spacing w:line="360" w:lineRule="auto"/>
        <w:ind w:firstLine="3600" w:firstLineChars="1500"/>
        <w:contextualSpacing/>
        <w:rPr>
          <w:rFonts w:hint="eastAsia" w:ascii="宋体" w:hAnsi="宋体" w:cs="仿宋_GB2312"/>
          <w:sz w:val="24"/>
          <w:highlight w:val="none"/>
        </w:rPr>
      </w:pPr>
      <w:r>
        <w:rPr>
          <w:rFonts w:hint="eastAsia" w:ascii="宋体" w:hAnsi="宋体" w:cs="仿宋_GB2312"/>
          <w:sz w:val="24"/>
          <w:highlight w:val="none"/>
        </w:rPr>
        <w:t>日  期：</w:t>
      </w:r>
    </w:p>
    <w:p w14:paraId="01E19172">
      <w:pPr>
        <w:spacing w:line="360" w:lineRule="auto"/>
        <w:contextualSpacing/>
        <w:rPr>
          <w:rFonts w:hint="eastAsia" w:ascii="宋体" w:hAnsi="宋体" w:cs="仿宋_GB2312"/>
          <w:sz w:val="24"/>
          <w:highlight w:val="none"/>
        </w:rPr>
      </w:pPr>
    </w:p>
    <w:p w14:paraId="7E1675CA">
      <w:pPr>
        <w:spacing w:line="360" w:lineRule="auto"/>
        <w:contextualSpacing/>
        <w:rPr>
          <w:rFonts w:hint="eastAsia" w:ascii="宋体" w:hAnsi="宋体" w:cs="仿宋_GB2312"/>
          <w:sz w:val="24"/>
          <w:highlight w:val="none"/>
        </w:rPr>
      </w:pPr>
    </w:p>
    <w:p w14:paraId="541C741C">
      <w:pPr>
        <w:spacing w:line="360" w:lineRule="auto"/>
        <w:contextualSpacing/>
        <w:rPr>
          <w:rFonts w:hint="eastAsia" w:ascii="宋体" w:hAnsi="宋体" w:cs="仿宋_GB2312"/>
          <w:sz w:val="24"/>
          <w:highlight w:val="none"/>
        </w:rPr>
      </w:pPr>
    </w:p>
    <w:p w14:paraId="4B0197BB">
      <w:pPr>
        <w:spacing w:line="360" w:lineRule="auto"/>
        <w:ind w:firstLine="420" w:firstLineChars="200"/>
        <w:contextualSpacing/>
        <w:rPr>
          <w:rFonts w:ascii="宋体" w:hAnsi="宋体" w:cs="仿宋_GB2312"/>
          <w:szCs w:val="21"/>
          <w:highlight w:val="none"/>
        </w:rPr>
      </w:pPr>
      <w:r>
        <w:rPr>
          <w:rFonts w:hint="eastAsia" w:ascii="宋体" w:hAnsi="宋体" w:cs="仿宋_GB2312"/>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B47705F">
      <w:pPr>
        <w:spacing w:line="360" w:lineRule="auto"/>
        <w:jc w:val="center"/>
        <w:rPr>
          <w:rFonts w:hint="eastAsia" w:ascii="宋体" w:hAnsi="宋体"/>
          <w:b/>
          <w:bCs/>
          <w:sz w:val="32"/>
          <w:szCs w:val="32"/>
          <w:highlight w:val="none"/>
        </w:rPr>
      </w:pPr>
      <w:r>
        <w:rPr>
          <w:rFonts w:ascii="宋体" w:hAnsi="宋体" w:cs="仿宋_GB2312"/>
          <w:sz w:val="24"/>
          <w:highlight w:val="none"/>
        </w:rPr>
        <w:br w:type="page"/>
      </w:r>
      <w:r>
        <w:rPr>
          <w:rFonts w:hint="eastAsia" w:ascii="方正小标宋简体" w:hAnsi="方正小标宋简体" w:eastAsia="方正小标宋简体" w:cs="方正小标宋简体"/>
          <w:sz w:val="44"/>
          <w:szCs w:val="44"/>
          <w:highlight w:val="none"/>
        </w:rPr>
        <w:t>质疑函（格式）</w:t>
      </w:r>
    </w:p>
    <w:p w14:paraId="690A3394">
      <w:pPr>
        <w:pStyle w:val="25"/>
        <w:spacing w:line="360" w:lineRule="exact"/>
        <w:ind w:firstLine="482" w:firstLineChars="200"/>
        <w:contextualSpacing/>
        <w:rPr>
          <w:rFonts w:hAnsi="宋体"/>
          <w:b/>
          <w:bCs/>
          <w:sz w:val="24"/>
          <w:szCs w:val="24"/>
          <w:highlight w:val="none"/>
        </w:rPr>
      </w:pPr>
      <w:r>
        <w:rPr>
          <w:rFonts w:hint="eastAsia" w:hAnsi="宋体"/>
          <w:b/>
          <w:bCs/>
          <w:sz w:val="24"/>
          <w:szCs w:val="24"/>
          <w:highlight w:val="none"/>
        </w:rPr>
        <w:t>一、质疑供应商基本信息：</w:t>
      </w:r>
    </w:p>
    <w:p w14:paraId="692BB775">
      <w:pPr>
        <w:pStyle w:val="25"/>
        <w:spacing w:line="360" w:lineRule="exact"/>
        <w:ind w:firstLine="480" w:firstLineChars="200"/>
        <w:contextualSpacing/>
        <w:rPr>
          <w:rFonts w:hint="eastAsia" w:hAnsi="宋体"/>
          <w:bCs/>
          <w:sz w:val="24"/>
          <w:szCs w:val="24"/>
          <w:highlight w:val="none"/>
          <w:u w:val="single"/>
        </w:rPr>
      </w:pPr>
      <w:r>
        <w:rPr>
          <w:rFonts w:hint="eastAsia" w:hAnsi="宋体"/>
          <w:bCs/>
          <w:sz w:val="24"/>
          <w:szCs w:val="24"/>
          <w:highlight w:val="none"/>
        </w:rPr>
        <w:t>质疑供应商：</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2A999C2C">
      <w:pPr>
        <w:pStyle w:val="25"/>
        <w:spacing w:line="360" w:lineRule="exact"/>
        <w:ind w:firstLine="480" w:firstLineChars="200"/>
        <w:contextualSpacing/>
        <w:rPr>
          <w:rFonts w:hint="eastAsia" w:hAnsi="宋体"/>
          <w:bCs/>
          <w:sz w:val="24"/>
          <w:szCs w:val="24"/>
          <w:highlight w:val="non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01BE73A6">
      <w:pPr>
        <w:pStyle w:val="25"/>
        <w:spacing w:line="360" w:lineRule="exact"/>
        <w:ind w:firstLine="480" w:firstLineChars="200"/>
        <w:contextualSpacing/>
        <w:rPr>
          <w:rFonts w:hint="eastAsia" w:hAnsi="宋体"/>
          <w:bCs/>
          <w:sz w:val="24"/>
          <w:szCs w:val="24"/>
          <w:highlight w:val="none"/>
        </w:rPr>
      </w:pPr>
      <w:r>
        <w:rPr>
          <w:rFonts w:hAnsi="宋体"/>
          <w:bCs/>
          <w:sz w:val="24"/>
          <w:szCs w:val="24"/>
          <w:highlight w:val="none"/>
        </w:rPr>
        <w:t>联系人</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联系电话</w:t>
      </w:r>
      <w:r>
        <w:rPr>
          <w:rFonts w:hint="eastAsia" w:hAnsi="宋体"/>
          <w:bCs/>
          <w:sz w:val="24"/>
          <w:szCs w:val="24"/>
          <w:highlight w:val="none"/>
        </w:rPr>
        <w:t>：</w:t>
      </w:r>
      <w:r>
        <w:rPr>
          <w:rFonts w:hint="eastAsia" w:hAnsi="宋体"/>
          <w:bCs/>
          <w:sz w:val="24"/>
          <w:szCs w:val="24"/>
          <w:highlight w:val="none"/>
          <w:u w:val="single"/>
        </w:rPr>
        <w:t xml:space="preserve">                 </w:t>
      </w:r>
    </w:p>
    <w:p w14:paraId="6F52FEAA">
      <w:pPr>
        <w:pStyle w:val="25"/>
        <w:spacing w:line="360" w:lineRule="exact"/>
        <w:ind w:firstLine="480" w:firstLineChars="200"/>
        <w:contextualSpacing/>
        <w:rPr>
          <w:rFonts w:hint="eastAsia" w:hAnsi="宋体"/>
          <w:bCs/>
          <w:sz w:val="24"/>
          <w:szCs w:val="24"/>
          <w:highlight w:val="none"/>
        </w:rPr>
      </w:pPr>
      <w:r>
        <w:rPr>
          <w:rFonts w:hint="eastAsia" w:hAnsi="宋体"/>
          <w:bCs/>
          <w:sz w:val="24"/>
          <w:szCs w:val="24"/>
          <w:highlight w:val="none"/>
        </w:rPr>
        <w:t>授权代表：</w:t>
      </w:r>
      <w:r>
        <w:rPr>
          <w:rFonts w:hint="eastAsia" w:hAnsi="宋体"/>
          <w:bCs/>
          <w:sz w:val="24"/>
          <w:szCs w:val="24"/>
          <w:highlight w:val="none"/>
          <w:u w:val="single"/>
        </w:rPr>
        <w:t xml:space="preserve">                      </w:t>
      </w:r>
    </w:p>
    <w:p w14:paraId="4E224B68">
      <w:pPr>
        <w:pStyle w:val="25"/>
        <w:spacing w:line="360" w:lineRule="exact"/>
        <w:ind w:firstLine="480" w:firstLineChars="200"/>
        <w:contextualSpacing/>
        <w:rPr>
          <w:rFonts w:hint="eastAsia" w:hAnsi="宋体"/>
          <w:bCs/>
          <w:sz w:val="24"/>
          <w:szCs w:val="24"/>
          <w:highlight w:val="none"/>
          <w:u w:val="single"/>
        </w:rPr>
      </w:pPr>
      <w:r>
        <w:rPr>
          <w:rFonts w:hAnsi="宋体"/>
          <w:bCs/>
          <w:sz w:val="24"/>
          <w:szCs w:val="24"/>
          <w:highlight w:val="none"/>
        </w:rPr>
        <w:t>联系</w:t>
      </w:r>
      <w:r>
        <w:rPr>
          <w:rFonts w:hint="eastAsia" w:hAnsi="宋体"/>
          <w:bCs/>
          <w:sz w:val="24"/>
          <w:szCs w:val="24"/>
          <w:highlight w:val="none"/>
        </w:rPr>
        <w:t>电话：</w:t>
      </w:r>
      <w:r>
        <w:rPr>
          <w:rFonts w:hint="eastAsia" w:hAnsi="宋体"/>
          <w:bCs/>
          <w:sz w:val="24"/>
          <w:szCs w:val="24"/>
          <w:highlight w:val="none"/>
          <w:u w:val="single"/>
        </w:rPr>
        <w:t xml:space="preserve">                      </w:t>
      </w:r>
    </w:p>
    <w:p w14:paraId="05261D44">
      <w:pPr>
        <w:pStyle w:val="25"/>
        <w:spacing w:line="360" w:lineRule="exact"/>
        <w:ind w:firstLine="480" w:firstLineChars="200"/>
        <w:contextualSpacing/>
        <w:rPr>
          <w:rFonts w:hint="eastAsia" w:hAnsi="宋体"/>
          <w:bCs/>
          <w:sz w:val="24"/>
          <w:szCs w:val="24"/>
          <w:highlight w:val="non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36007523">
      <w:pPr>
        <w:pStyle w:val="25"/>
        <w:spacing w:line="360" w:lineRule="exact"/>
        <w:ind w:firstLine="482" w:firstLineChars="200"/>
        <w:contextualSpacing/>
        <w:rPr>
          <w:rFonts w:hint="eastAsia" w:hAnsi="宋体"/>
          <w:b/>
          <w:bCs/>
          <w:sz w:val="24"/>
          <w:szCs w:val="24"/>
          <w:highlight w:val="none"/>
        </w:rPr>
      </w:pPr>
      <w:r>
        <w:rPr>
          <w:rFonts w:hint="eastAsia" w:hAnsi="宋体"/>
          <w:b/>
          <w:bCs/>
          <w:sz w:val="24"/>
          <w:szCs w:val="24"/>
          <w:highlight w:val="none"/>
        </w:rPr>
        <w:t>二、质疑项目基本情况：</w:t>
      </w:r>
    </w:p>
    <w:p w14:paraId="3A2306AE">
      <w:pPr>
        <w:pStyle w:val="25"/>
        <w:spacing w:line="360" w:lineRule="exact"/>
        <w:ind w:left="25" w:leftChars="12" w:firstLine="472" w:firstLineChars="197"/>
        <w:contextualSpacing/>
        <w:rPr>
          <w:rFonts w:hint="eastAsia"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项目的名称：</w:t>
      </w:r>
      <w:r>
        <w:rPr>
          <w:rFonts w:hint="eastAsia" w:hAnsi="宋体"/>
          <w:bCs/>
          <w:sz w:val="24"/>
          <w:szCs w:val="24"/>
          <w:highlight w:val="none"/>
          <w:u w:val="single"/>
        </w:rPr>
        <w:t xml:space="preserve">                                     </w:t>
      </w:r>
    </w:p>
    <w:p w14:paraId="7498136A">
      <w:pPr>
        <w:pStyle w:val="25"/>
        <w:spacing w:line="360" w:lineRule="exact"/>
        <w:ind w:left="25" w:leftChars="12" w:firstLine="472" w:firstLineChars="197"/>
        <w:contextualSpacing/>
        <w:rPr>
          <w:rFonts w:hint="eastAsia"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项目的编号：</w:t>
      </w:r>
      <w:r>
        <w:rPr>
          <w:rFonts w:hint="eastAsia" w:hAnsi="宋体"/>
          <w:bCs/>
          <w:sz w:val="24"/>
          <w:szCs w:val="24"/>
          <w:highlight w:val="none"/>
          <w:u w:val="single"/>
        </w:rPr>
        <w:t xml:space="preserve">                                     </w:t>
      </w:r>
    </w:p>
    <w:p w14:paraId="6FFEA39D">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采购人名称：</w:t>
      </w:r>
      <w:r>
        <w:rPr>
          <w:rFonts w:hint="eastAsia" w:hAnsi="宋体"/>
          <w:bCs/>
          <w:sz w:val="24"/>
          <w:szCs w:val="24"/>
          <w:highlight w:val="none"/>
          <w:u w:val="single"/>
        </w:rPr>
        <w:t xml:space="preserve">                                         </w:t>
      </w:r>
    </w:p>
    <w:p w14:paraId="13023B86">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质疑事项：</w:t>
      </w:r>
    </w:p>
    <w:p w14:paraId="1C16AAE5">
      <w:pPr>
        <w:pStyle w:val="25"/>
        <w:spacing w:line="360" w:lineRule="exact"/>
        <w:ind w:left="25" w:leftChars="12" w:firstLine="352" w:firstLineChars="147"/>
        <w:contextualSpacing/>
        <w:rPr>
          <w:rFonts w:hint="eastAsia" w:hAnsi="宋体"/>
          <w:sz w:val="24"/>
          <w:szCs w:val="24"/>
          <w:highlight w:val="none"/>
        </w:rPr>
      </w:pPr>
      <w:r>
        <w:rPr>
          <w:rFonts w:hint="eastAsia" w:hAnsi="宋体"/>
          <w:sz w:val="24"/>
          <w:szCs w:val="24"/>
          <w:highlight w:val="none"/>
        </w:rPr>
        <w:t>□采购文件   采购文件获取日期：</w:t>
      </w:r>
      <w:r>
        <w:rPr>
          <w:rFonts w:hint="eastAsia" w:hAnsi="宋体"/>
          <w:bCs/>
          <w:sz w:val="24"/>
          <w:szCs w:val="24"/>
          <w:highlight w:val="none"/>
          <w:u w:val="single"/>
        </w:rPr>
        <w:t xml:space="preserve">                                   </w:t>
      </w:r>
    </w:p>
    <w:p w14:paraId="3CFCFEFE">
      <w:pPr>
        <w:pStyle w:val="25"/>
        <w:spacing w:line="360" w:lineRule="exact"/>
        <w:ind w:left="25" w:leftChars="12" w:firstLine="352" w:firstLineChars="147"/>
        <w:contextualSpacing/>
        <w:rPr>
          <w:rFonts w:hint="eastAsia" w:hAnsi="宋体"/>
          <w:sz w:val="24"/>
          <w:szCs w:val="24"/>
          <w:highlight w:val="none"/>
        </w:rPr>
      </w:pPr>
      <w:r>
        <w:rPr>
          <w:rFonts w:hint="eastAsia" w:hAnsi="宋体"/>
          <w:sz w:val="24"/>
          <w:szCs w:val="24"/>
          <w:highlight w:val="none"/>
        </w:rPr>
        <w:t xml:space="preserve">□采购过程   </w:t>
      </w:r>
    </w:p>
    <w:p w14:paraId="788F37C3">
      <w:pPr>
        <w:pStyle w:val="25"/>
        <w:spacing w:line="360" w:lineRule="exact"/>
        <w:ind w:left="25" w:leftChars="12" w:firstLine="352" w:firstLineChars="147"/>
        <w:contextualSpacing/>
        <w:rPr>
          <w:rFonts w:hint="eastAsia" w:hAnsi="宋体"/>
          <w:bCs/>
          <w:sz w:val="24"/>
          <w:szCs w:val="24"/>
          <w:highlight w:val="none"/>
          <w:u w:val="single"/>
        </w:rPr>
      </w:pPr>
      <w:r>
        <w:rPr>
          <w:rFonts w:hint="eastAsia" w:hAnsi="宋体"/>
          <w:sz w:val="24"/>
          <w:szCs w:val="24"/>
          <w:highlight w:val="none"/>
        </w:rPr>
        <w:t xml:space="preserve">□成交结果   </w:t>
      </w:r>
    </w:p>
    <w:p w14:paraId="79F0DE7F">
      <w:pPr>
        <w:pStyle w:val="25"/>
        <w:spacing w:line="360" w:lineRule="exact"/>
        <w:ind w:left="25" w:leftChars="12" w:firstLine="472" w:firstLineChars="196"/>
        <w:contextualSpacing/>
        <w:rPr>
          <w:rFonts w:hint="eastAsia" w:hAnsi="宋体"/>
          <w:b/>
          <w:sz w:val="24"/>
          <w:szCs w:val="24"/>
          <w:highlight w:val="none"/>
        </w:rPr>
      </w:pPr>
      <w:r>
        <w:rPr>
          <w:rFonts w:hint="eastAsia" w:hAnsi="宋体"/>
          <w:b/>
          <w:sz w:val="24"/>
          <w:szCs w:val="24"/>
          <w:highlight w:val="none"/>
        </w:rPr>
        <w:t>三、质疑事项具体内容</w:t>
      </w:r>
    </w:p>
    <w:p w14:paraId="13CB3DD9">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质疑事项1：</w:t>
      </w:r>
      <w:r>
        <w:rPr>
          <w:rFonts w:hint="eastAsia" w:hAnsi="宋体"/>
          <w:bCs/>
          <w:sz w:val="24"/>
          <w:szCs w:val="24"/>
          <w:highlight w:val="none"/>
          <w:u w:val="single"/>
        </w:rPr>
        <w:t xml:space="preserve">                                                                    </w:t>
      </w:r>
    </w:p>
    <w:p w14:paraId="19C9BD6F">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事实依据：</w:t>
      </w:r>
      <w:r>
        <w:rPr>
          <w:rFonts w:hint="eastAsia" w:hAnsi="宋体"/>
          <w:bCs/>
          <w:sz w:val="24"/>
          <w:szCs w:val="24"/>
          <w:highlight w:val="none"/>
          <w:u w:val="single"/>
        </w:rPr>
        <w:t xml:space="preserve">                                                                      </w:t>
      </w:r>
    </w:p>
    <w:p w14:paraId="42729E27">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法律依据：</w:t>
      </w:r>
      <w:r>
        <w:rPr>
          <w:rFonts w:hint="eastAsia" w:hAnsi="宋体"/>
          <w:sz w:val="24"/>
          <w:szCs w:val="24"/>
          <w:highlight w:val="none"/>
          <w:u w:val="single"/>
        </w:rPr>
        <w:t xml:space="preserve">                                                        </w:t>
      </w:r>
      <w:r>
        <w:rPr>
          <w:rFonts w:hint="eastAsia" w:hAnsi="宋体"/>
          <w:bCs/>
          <w:sz w:val="24"/>
          <w:szCs w:val="24"/>
          <w:highlight w:val="none"/>
          <w:u w:val="single"/>
        </w:rPr>
        <w:t xml:space="preserve">               </w:t>
      </w:r>
    </w:p>
    <w:p w14:paraId="451511C0">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质疑事项2</w:t>
      </w:r>
    </w:p>
    <w:p w14:paraId="3AF89464">
      <w:pPr>
        <w:pStyle w:val="25"/>
        <w:spacing w:line="360" w:lineRule="exact"/>
        <w:ind w:left="25" w:leftChars="12" w:firstLine="472" w:firstLineChars="197"/>
        <w:contextualSpacing/>
        <w:rPr>
          <w:rFonts w:hint="eastAsia" w:hAnsi="宋体"/>
          <w:sz w:val="24"/>
          <w:szCs w:val="24"/>
          <w:highlight w:val="none"/>
        </w:rPr>
      </w:pPr>
      <w:r>
        <w:rPr>
          <w:rFonts w:hAnsi="宋体"/>
          <w:sz w:val="24"/>
          <w:szCs w:val="24"/>
          <w:highlight w:val="none"/>
        </w:rPr>
        <w:t>……</w:t>
      </w:r>
    </w:p>
    <w:p w14:paraId="086920FD">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四、与质疑事项相关的质疑请求：</w:t>
      </w:r>
    </w:p>
    <w:p w14:paraId="71E756EB">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请求：</w:t>
      </w:r>
      <w:r>
        <w:rPr>
          <w:rFonts w:hint="eastAsia" w:hAnsi="宋体"/>
          <w:bCs/>
          <w:sz w:val="24"/>
          <w:szCs w:val="24"/>
          <w:highlight w:val="none"/>
          <w:u w:val="single"/>
        </w:rPr>
        <w:t xml:space="preserve">                                                                </w:t>
      </w:r>
    </w:p>
    <w:p w14:paraId="4A1944CE">
      <w:pPr>
        <w:pStyle w:val="25"/>
        <w:spacing w:line="360" w:lineRule="exact"/>
        <w:ind w:left="25" w:leftChars="12" w:firstLine="352" w:firstLineChars="147"/>
        <w:contextualSpacing/>
        <w:rPr>
          <w:rFonts w:hint="eastAsia" w:hAnsi="宋体"/>
          <w:sz w:val="24"/>
          <w:szCs w:val="24"/>
          <w:highlight w:val="none"/>
        </w:rPr>
      </w:pPr>
    </w:p>
    <w:p w14:paraId="3D185B2F">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签字（签章）：                                       公章：</w:t>
      </w:r>
    </w:p>
    <w:p w14:paraId="61F731A7">
      <w:pPr>
        <w:pStyle w:val="25"/>
        <w:spacing w:line="360" w:lineRule="exact"/>
        <w:ind w:firstLine="480" w:firstLineChars="200"/>
        <w:contextualSpacing/>
        <w:rPr>
          <w:rFonts w:hint="eastAsia" w:hAnsi="宋体"/>
          <w:b/>
          <w:sz w:val="24"/>
          <w:szCs w:val="24"/>
          <w:highlight w:val="none"/>
        </w:rPr>
      </w:pPr>
      <w:r>
        <w:rPr>
          <w:rFonts w:hint="eastAsia" w:hAnsi="宋体"/>
          <w:sz w:val="24"/>
          <w:szCs w:val="24"/>
          <w:highlight w:val="none"/>
        </w:rPr>
        <w:t>日期：</w:t>
      </w:r>
    </w:p>
    <w:p w14:paraId="346DDC66">
      <w:pPr>
        <w:pStyle w:val="25"/>
        <w:spacing w:line="360" w:lineRule="exact"/>
        <w:contextualSpacing/>
        <w:rPr>
          <w:rFonts w:hint="eastAsia" w:hAnsi="宋体"/>
          <w:b/>
          <w:sz w:val="24"/>
          <w:szCs w:val="24"/>
          <w:highlight w:val="none"/>
        </w:rPr>
      </w:pPr>
      <w:r>
        <w:rPr>
          <w:rFonts w:hint="eastAsia" w:hAnsi="宋体"/>
          <w:b/>
          <w:sz w:val="24"/>
          <w:szCs w:val="24"/>
          <w:highlight w:val="none"/>
        </w:rPr>
        <w:t>说明：</w:t>
      </w:r>
    </w:p>
    <w:p w14:paraId="29071763">
      <w:pPr>
        <w:pStyle w:val="25"/>
        <w:spacing w:line="360" w:lineRule="exact"/>
        <w:ind w:left="25" w:leftChars="12" w:firstLine="354" w:firstLineChars="147"/>
        <w:contextualSpacing/>
        <w:rPr>
          <w:rFonts w:hint="eastAsia" w:hAnsi="宋体"/>
          <w:b/>
          <w:bCs/>
          <w:sz w:val="24"/>
          <w:szCs w:val="24"/>
          <w:highlight w:val="none"/>
        </w:rPr>
      </w:pPr>
      <w:r>
        <w:rPr>
          <w:rFonts w:hint="eastAsia" w:hAnsi="宋体"/>
          <w:b/>
          <w:sz w:val="24"/>
          <w:szCs w:val="24"/>
          <w:highlight w:val="none"/>
        </w:rPr>
        <w:t>1.供应商提出质疑时，应提交质疑函和必要的证明材料</w:t>
      </w:r>
      <w:r>
        <w:rPr>
          <w:rFonts w:hint="eastAsia" w:hAnsi="宋体"/>
          <w:b/>
          <w:bCs/>
          <w:sz w:val="24"/>
          <w:szCs w:val="24"/>
          <w:highlight w:val="none"/>
        </w:rPr>
        <w:t>。</w:t>
      </w:r>
    </w:p>
    <w:p w14:paraId="66B47A36">
      <w:pPr>
        <w:pStyle w:val="25"/>
        <w:spacing w:line="360" w:lineRule="exact"/>
        <w:ind w:left="25" w:leftChars="12" w:firstLine="354" w:firstLineChars="147"/>
        <w:contextualSpacing/>
        <w:rPr>
          <w:rFonts w:hint="eastAsia" w:hAnsi="宋体"/>
          <w:b/>
          <w:sz w:val="24"/>
          <w:szCs w:val="24"/>
          <w:highlight w:val="none"/>
        </w:rPr>
      </w:pPr>
      <w:r>
        <w:rPr>
          <w:rFonts w:hint="eastAsia" w:hAnsi="宋体"/>
          <w:b/>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42A5B7E">
      <w:pPr>
        <w:pStyle w:val="25"/>
        <w:spacing w:line="360" w:lineRule="exact"/>
        <w:ind w:left="25" w:leftChars="12" w:firstLine="354" w:firstLineChars="147"/>
        <w:contextualSpacing/>
        <w:rPr>
          <w:rFonts w:hint="eastAsia" w:hAnsi="宋体"/>
          <w:b/>
          <w:sz w:val="24"/>
          <w:szCs w:val="24"/>
          <w:highlight w:val="none"/>
        </w:rPr>
      </w:pPr>
      <w:r>
        <w:rPr>
          <w:rFonts w:hint="eastAsia" w:hAnsi="宋体"/>
          <w:b/>
          <w:sz w:val="24"/>
          <w:szCs w:val="24"/>
          <w:highlight w:val="none"/>
        </w:rPr>
        <w:t>3.质疑函的质疑事项应具体、明确，并有必要的事实依据和法律依据。</w:t>
      </w:r>
    </w:p>
    <w:p w14:paraId="27C41E51">
      <w:pPr>
        <w:pStyle w:val="25"/>
        <w:spacing w:line="360" w:lineRule="exact"/>
        <w:ind w:left="25" w:leftChars="12" w:firstLine="354" w:firstLineChars="147"/>
        <w:contextualSpacing/>
        <w:rPr>
          <w:rFonts w:hint="eastAsia" w:hAnsi="宋体"/>
          <w:b/>
          <w:sz w:val="24"/>
          <w:szCs w:val="24"/>
          <w:highlight w:val="none"/>
        </w:rPr>
      </w:pPr>
      <w:r>
        <w:rPr>
          <w:rFonts w:hint="eastAsia" w:hAnsi="宋体"/>
          <w:b/>
          <w:sz w:val="24"/>
          <w:szCs w:val="24"/>
          <w:highlight w:val="none"/>
        </w:rPr>
        <w:t>4.质疑函的质疑请求应与质疑事项相关。</w:t>
      </w:r>
    </w:p>
    <w:p w14:paraId="5CF1E999">
      <w:pPr>
        <w:pStyle w:val="25"/>
        <w:spacing w:line="360" w:lineRule="exact"/>
        <w:ind w:left="25" w:leftChars="12" w:firstLine="354" w:firstLineChars="147"/>
        <w:contextualSpacing/>
        <w:rPr>
          <w:rFonts w:hint="eastAsia" w:ascii="方正小标宋简体" w:hAnsi="方正小标宋简体" w:eastAsia="方正小标宋简体" w:cs="方正小标宋简体"/>
          <w:sz w:val="44"/>
          <w:szCs w:val="44"/>
          <w:highlight w:val="none"/>
        </w:rPr>
      </w:pPr>
      <w:r>
        <w:rPr>
          <w:rFonts w:hint="eastAsia" w:hAnsi="宋体"/>
          <w:b/>
          <w:sz w:val="24"/>
          <w:szCs w:val="24"/>
          <w:highlight w:val="none"/>
        </w:rPr>
        <w:t>5.质疑供应商为法人或者其他组织的，质疑函应由法定代表人、主要负责人，或者其授权代表签字或者盖章，并加盖公章。</w:t>
      </w:r>
    </w:p>
    <w:p w14:paraId="181B4619">
      <w:pPr>
        <w:spacing w:line="360" w:lineRule="auto"/>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投诉书（格式）</w:t>
      </w:r>
    </w:p>
    <w:p w14:paraId="26329B90">
      <w:pPr>
        <w:pStyle w:val="25"/>
        <w:snapToGrid w:val="0"/>
        <w:spacing w:line="360" w:lineRule="auto"/>
        <w:ind w:firstLine="482" w:firstLineChars="200"/>
        <w:rPr>
          <w:rFonts w:hAnsi="宋体"/>
          <w:b/>
          <w:bCs/>
          <w:sz w:val="24"/>
          <w:szCs w:val="24"/>
          <w:highlight w:val="none"/>
        </w:rPr>
      </w:pPr>
      <w:r>
        <w:rPr>
          <w:rFonts w:hint="eastAsia" w:hAnsi="宋体"/>
          <w:b/>
          <w:bCs/>
          <w:sz w:val="24"/>
          <w:szCs w:val="24"/>
          <w:highlight w:val="none"/>
        </w:rPr>
        <w:t>一、投诉相关主体基本情况：</w:t>
      </w:r>
    </w:p>
    <w:p w14:paraId="1F529D50">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供应商：</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1AB14AD2">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46283B68">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法定代表人/主要负责人：</w:t>
      </w:r>
      <w:r>
        <w:rPr>
          <w:rFonts w:hint="eastAsia" w:hAnsi="宋体"/>
          <w:bCs/>
          <w:sz w:val="24"/>
          <w:szCs w:val="24"/>
          <w:highlight w:val="none"/>
          <w:u w:val="single"/>
        </w:rPr>
        <w:t xml:space="preserve">                                                         </w:t>
      </w:r>
    </w:p>
    <w:p w14:paraId="5589E6E9">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联系电话</w:t>
      </w:r>
      <w:r>
        <w:rPr>
          <w:rFonts w:hint="eastAsia" w:hAnsi="宋体"/>
          <w:bCs/>
          <w:sz w:val="24"/>
          <w:szCs w:val="24"/>
          <w:highlight w:val="none"/>
        </w:rPr>
        <w:t>：</w:t>
      </w:r>
      <w:r>
        <w:rPr>
          <w:rFonts w:hint="eastAsia" w:hAnsi="宋体"/>
          <w:bCs/>
          <w:sz w:val="24"/>
          <w:szCs w:val="24"/>
          <w:highlight w:val="none"/>
          <w:u w:val="single"/>
        </w:rPr>
        <w:t xml:space="preserve">                                         </w:t>
      </w:r>
    </w:p>
    <w:p w14:paraId="4966C642">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授权代表：</w:t>
      </w:r>
      <w:r>
        <w:rPr>
          <w:rFonts w:hint="eastAsia" w:hAnsi="宋体"/>
          <w:bCs/>
          <w:sz w:val="24"/>
          <w:szCs w:val="24"/>
          <w:highlight w:val="none"/>
          <w:u w:val="single"/>
        </w:rPr>
        <w:t xml:space="preserve">                                         </w:t>
      </w:r>
      <w:r>
        <w:rPr>
          <w:rFonts w:hAnsi="宋体"/>
          <w:bCs/>
          <w:sz w:val="24"/>
          <w:szCs w:val="24"/>
          <w:highlight w:val="none"/>
        </w:rPr>
        <w:t>联系</w:t>
      </w:r>
      <w:r>
        <w:rPr>
          <w:rFonts w:hint="eastAsia" w:hAnsi="宋体"/>
          <w:bCs/>
          <w:sz w:val="24"/>
          <w:szCs w:val="24"/>
          <w:highlight w:val="none"/>
        </w:rPr>
        <w:t>电话：</w:t>
      </w:r>
      <w:r>
        <w:rPr>
          <w:rFonts w:hint="eastAsia" w:hAnsi="宋体"/>
          <w:bCs/>
          <w:sz w:val="24"/>
          <w:szCs w:val="24"/>
          <w:highlight w:val="none"/>
          <w:u w:val="single"/>
        </w:rPr>
        <w:t xml:space="preserve">                   </w:t>
      </w:r>
    </w:p>
    <w:p w14:paraId="2A78B78C">
      <w:pPr>
        <w:pStyle w:val="25"/>
        <w:snapToGrid w:val="0"/>
        <w:spacing w:line="360" w:lineRule="auto"/>
        <w:ind w:firstLine="480" w:firstLineChars="200"/>
        <w:rPr>
          <w:rFonts w:hint="eastAsia" w:hAnsi="宋体"/>
          <w:bCs/>
          <w:sz w:val="24"/>
          <w:szCs w:val="24"/>
          <w:highlight w:val="none"/>
          <w:u w:val="singl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p>
    <w:p w14:paraId="23BE7E69">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64ED5C8C">
      <w:pPr>
        <w:pStyle w:val="25"/>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被投诉人1：</w:t>
      </w:r>
    </w:p>
    <w:p w14:paraId="596986A8">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地址：</w:t>
      </w:r>
      <w:r>
        <w:rPr>
          <w:rFonts w:hint="eastAsia" w:hAnsi="宋体"/>
          <w:bCs/>
          <w:sz w:val="24"/>
          <w:szCs w:val="24"/>
          <w:highlight w:val="none"/>
          <w:u w:val="single"/>
        </w:rPr>
        <w:t xml:space="preserve">                                                            </w:t>
      </w:r>
    </w:p>
    <w:p w14:paraId="0D1457F6">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47835477">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Ansi="宋体"/>
          <w:bCs/>
          <w:sz w:val="24"/>
          <w:szCs w:val="24"/>
          <w:highlight w:val="none"/>
        </w:rPr>
        <w:t>联系</w:t>
      </w:r>
      <w:r>
        <w:rPr>
          <w:rFonts w:hint="eastAsia" w:hAnsi="宋体"/>
          <w:bCs/>
          <w:sz w:val="24"/>
          <w:szCs w:val="24"/>
          <w:highlight w:val="none"/>
        </w:rPr>
        <w:t>电话：</w:t>
      </w:r>
      <w:r>
        <w:rPr>
          <w:rFonts w:hint="eastAsia" w:hAnsi="宋体"/>
          <w:bCs/>
          <w:sz w:val="24"/>
          <w:szCs w:val="24"/>
          <w:highlight w:val="none"/>
          <w:u w:val="single"/>
        </w:rPr>
        <w:t xml:space="preserve">                </w:t>
      </w:r>
    </w:p>
    <w:p w14:paraId="7B90A791">
      <w:pPr>
        <w:pStyle w:val="25"/>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被投诉人2：</w:t>
      </w:r>
    </w:p>
    <w:p w14:paraId="12C9BB75">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w:t>
      </w:r>
    </w:p>
    <w:p w14:paraId="5A7573CA">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相关供应商：</w:t>
      </w:r>
      <w:r>
        <w:rPr>
          <w:rFonts w:hint="eastAsia" w:hAnsi="宋体"/>
          <w:bCs/>
          <w:sz w:val="24"/>
          <w:szCs w:val="24"/>
          <w:highlight w:val="none"/>
          <w:u w:val="single"/>
        </w:rPr>
        <w:t xml:space="preserve">                                                                       </w:t>
      </w:r>
    </w:p>
    <w:p w14:paraId="21A3D6A1">
      <w:pPr>
        <w:pStyle w:val="25"/>
        <w:snapToGrid w:val="0"/>
        <w:spacing w:line="360" w:lineRule="auto"/>
        <w:ind w:firstLine="480" w:firstLineChars="200"/>
        <w:rPr>
          <w:rFonts w:hint="eastAsia" w:hAnsi="宋体"/>
          <w:bCs/>
          <w:sz w:val="24"/>
          <w:szCs w:val="24"/>
          <w:highlight w:val="none"/>
          <w:u w:val="singl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p>
    <w:p w14:paraId="0E5A0C19">
      <w:pPr>
        <w:pStyle w:val="25"/>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Ansi="宋体"/>
          <w:bCs/>
          <w:sz w:val="24"/>
          <w:szCs w:val="24"/>
          <w:highlight w:val="none"/>
        </w:rPr>
        <w:t>联系</w:t>
      </w:r>
      <w:r>
        <w:rPr>
          <w:rFonts w:hint="eastAsia" w:hAnsi="宋体"/>
          <w:bCs/>
          <w:sz w:val="24"/>
          <w:szCs w:val="24"/>
          <w:highlight w:val="none"/>
        </w:rPr>
        <w:t>电话：</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21BEEC2C">
      <w:pPr>
        <w:pStyle w:val="25"/>
        <w:snapToGrid w:val="0"/>
        <w:spacing w:line="360" w:lineRule="auto"/>
        <w:ind w:firstLine="482" w:firstLineChars="200"/>
        <w:rPr>
          <w:rFonts w:hint="eastAsia" w:hAnsi="宋体"/>
          <w:b/>
          <w:bCs/>
          <w:sz w:val="24"/>
          <w:szCs w:val="24"/>
          <w:highlight w:val="none"/>
        </w:rPr>
      </w:pPr>
      <w:r>
        <w:rPr>
          <w:rFonts w:hint="eastAsia" w:hAnsi="宋体"/>
          <w:b/>
          <w:bCs/>
          <w:sz w:val="24"/>
          <w:szCs w:val="24"/>
          <w:highlight w:val="none"/>
        </w:rPr>
        <w:t>二、投诉项目基本情况：</w:t>
      </w:r>
    </w:p>
    <w:p w14:paraId="73C22D1E">
      <w:pPr>
        <w:pStyle w:val="25"/>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项目的名称：</w:t>
      </w:r>
      <w:r>
        <w:rPr>
          <w:rFonts w:hint="eastAsia" w:hAnsi="宋体"/>
          <w:bCs/>
          <w:sz w:val="24"/>
          <w:szCs w:val="24"/>
          <w:highlight w:val="none"/>
          <w:u w:val="single"/>
        </w:rPr>
        <w:t xml:space="preserve">                                                                   </w:t>
      </w:r>
    </w:p>
    <w:p w14:paraId="12DB1B6E">
      <w:pPr>
        <w:pStyle w:val="25"/>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项目的编号：</w:t>
      </w:r>
      <w:r>
        <w:rPr>
          <w:rFonts w:hint="eastAsia" w:hAnsi="宋体"/>
          <w:bCs/>
          <w:sz w:val="24"/>
          <w:szCs w:val="24"/>
          <w:highlight w:val="none"/>
          <w:u w:val="single"/>
        </w:rPr>
        <w:t xml:space="preserve">                                          </w:t>
      </w:r>
    </w:p>
    <w:p w14:paraId="5B00F38E">
      <w:pPr>
        <w:pStyle w:val="25"/>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采购人名称：</w:t>
      </w:r>
      <w:r>
        <w:rPr>
          <w:rFonts w:hint="eastAsia" w:hAnsi="宋体"/>
          <w:bCs/>
          <w:sz w:val="24"/>
          <w:szCs w:val="24"/>
          <w:highlight w:val="none"/>
          <w:u w:val="single"/>
        </w:rPr>
        <w:t xml:space="preserve">                                                                        </w:t>
      </w:r>
    </w:p>
    <w:p w14:paraId="360B8257">
      <w:pPr>
        <w:pStyle w:val="25"/>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代理机构名称：</w:t>
      </w:r>
      <w:r>
        <w:rPr>
          <w:rFonts w:hint="eastAsia" w:hAnsi="宋体"/>
          <w:bCs/>
          <w:sz w:val="24"/>
          <w:szCs w:val="24"/>
          <w:highlight w:val="none"/>
          <w:u w:val="single"/>
        </w:rPr>
        <w:t xml:space="preserve">                                                                      </w:t>
      </w:r>
    </w:p>
    <w:p w14:paraId="24572BE9">
      <w:pPr>
        <w:pStyle w:val="25"/>
        <w:spacing w:line="360" w:lineRule="auto"/>
        <w:ind w:left="25" w:leftChars="12" w:firstLine="472" w:firstLineChars="197"/>
        <w:rPr>
          <w:rFonts w:hint="eastAsia" w:hAnsi="宋体"/>
          <w:bCs/>
          <w:sz w:val="24"/>
          <w:szCs w:val="24"/>
          <w:highlight w:val="none"/>
          <w:u w:val="single"/>
        </w:rPr>
      </w:pPr>
      <w:r>
        <w:rPr>
          <w:rFonts w:hint="eastAsia" w:hAnsi="宋体"/>
          <w:bCs/>
          <w:sz w:val="24"/>
          <w:szCs w:val="24"/>
          <w:highlight w:val="none"/>
        </w:rPr>
        <w:t>采购文件公告：</w:t>
      </w:r>
      <w:r>
        <w:rPr>
          <w:rFonts w:hint="eastAsia" w:hAnsi="宋体"/>
          <w:bCs/>
          <w:sz w:val="24"/>
          <w:szCs w:val="24"/>
          <w:highlight w:val="none"/>
          <w:u w:val="single"/>
        </w:rPr>
        <w:t>是/否</w:t>
      </w:r>
      <w:r>
        <w:rPr>
          <w:rFonts w:hint="eastAsia" w:hAnsi="宋体"/>
          <w:bCs/>
          <w:sz w:val="24"/>
          <w:szCs w:val="24"/>
          <w:highlight w:val="none"/>
        </w:rPr>
        <w:t>公告期限：</w:t>
      </w:r>
      <w:r>
        <w:rPr>
          <w:rFonts w:hint="eastAsia" w:hAnsi="宋体"/>
          <w:bCs/>
          <w:sz w:val="24"/>
          <w:szCs w:val="24"/>
          <w:highlight w:val="none"/>
          <w:u w:val="single"/>
        </w:rPr>
        <w:t xml:space="preserve">                                                       </w:t>
      </w:r>
    </w:p>
    <w:p w14:paraId="2441A024">
      <w:pPr>
        <w:pStyle w:val="25"/>
        <w:spacing w:line="360" w:lineRule="auto"/>
        <w:ind w:left="25" w:leftChars="12" w:firstLine="472" w:firstLineChars="197"/>
        <w:rPr>
          <w:rFonts w:hint="eastAsia" w:hAnsi="宋体"/>
          <w:b/>
          <w:sz w:val="24"/>
          <w:szCs w:val="24"/>
          <w:highlight w:val="none"/>
        </w:rPr>
      </w:pPr>
      <w:r>
        <w:rPr>
          <w:rFonts w:hint="eastAsia" w:hAnsi="宋体"/>
          <w:bCs/>
          <w:sz w:val="24"/>
          <w:szCs w:val="24"/>
          <w:highlight w:val="none"/>
        </w:rPr>
        <w:t>采购结果公告：</w:t>
      </w:r>
      <w:r>
        <w:rPr>
          <w:rFonts w:hint="eastAsia" w:hAnsi="宋体"/>
          <w:bCs/>
          <w:sz w:val="24"/>
          <w:szCs w:val="24"/>
          <w:highlight w:val="none"/>
          <w:u w:val="single"/>
        </w:rPr>
        <w:t>是/否</w:t>
      </w:r>
      <w:r>
        <w:rPr>
          <w:rFonts w:hint="eastAsia" w:hAnsi="宋体"/>
          <w:bCs/>
          <w:sz w:val="24"/>
          <w:szCs w:val="24"/>
          <w:highlight w:val="none"/>
        </w:rPr>
        <w:t>公告期限：</w:t>
      </w:r>
      <w:r>
        <w:rPr>
          <w:rFonts w:hint="eastAsia" w:hAnsi="宋体"/>
          <w:bCs/>
          <w:sz w:val="24"/>
          <w:szCs w:val="24"/>
          <w:highlight w:val="none"/>
          <w:u w:val="single"/>
        </w:rPr>
        <w:t xml:space="preserve">                                                       </w:t>
      </w:r>
    </w:p>
    <w:p w14:paraId="2748E8EC">
      <w:pPr>
        <w:pStyle w:val="25"/>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三、质疑基本情况</w:t>
      </w:r>
    </w:p>
    <w:p w14:paraId="3D9305BA">
      <w:pPr>
        <w:pStyle w:val="25"/>
        <w:spacing w:line="360" w:lineRule="auto"/>
        <w:ind w:firstLine="480" w:firstLineChars="200"/>
        <w:rPr>
          <w:rFonts w:hint="eastAsia" w:hAnsi="宋体"/>
          <w:sz w:val="24"/>
          <w:szCs w:val="24"/>
          <w:highlight w:val="none"/>
        </w:rPr>
      </w:pPr>
      <w:r>
        <w:rPr>
          <w:rFonts w:hint="eastAsia" w:hAnsi="宋体"/>
          <w:sz w:val="24"/>
          <w:szCs w:val="24"/>
          <w:highlight w:val="none"/>
        </w:rPr>
        <w:t>投诉人于</w:t>
      </w: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日，向</w:t>
      </w:r>
      <w:r>
        <w:rPr>
          <w:rFonts w:hint="eastAsia" w:hAnsi="宋体"/>
          <w:sz w:val="24"/>
          <w:szCs w:val="24"/>
          <w:highlight w:val="none"/>
          <w:u w:val="single"/>
        </w:rPr>
        <w:t xml:space="preserve">                                </w:t>
      </w:r>
      <w:r>
        <w:rPr>
          <w:rFonts w:hint="eastAsia" w:hAnsi="宋体"/>
          <w:sz w:val="24"/>
          <w:szCs w:val="24"/>
          <w:highlight w:val="none"/>
        </w:rPr>
        <w:t>提出质疑，质疑事项为：</w:t>
      </w:r>
    </w:p>
    <w:p w14:paraId="217CCCD9">
      <w:pPr>
        <w:pStyle w:val="25"/>
        <w:spacing w:line="360" w:lineRule="auto"/>
        <w:ind w:firstLine="241"/>
        <w:rPr>
          <w:rFonts w:hint="eastAsia" w:hAnsi="宋体"/>
          <w:bCs/>
          <w:sz w:val="24"/>
          <w:szCs w:val="24"/>
          <w:highlight w:val="none"/>
          <w:u w:val="single"/>
        </w:rPr>
      </w:pPr>
      <w:r>
        <w:rPr>
          <w:rFonts w:hint="eastAsia" w:hAnsi="宋体"/>
          <w:sz w:val="24"/>
          <w:szCs w:val="24"/>
          <w:highlight w:val="none"/>
        </w:rPr>
        <w:t xml:space="preserve">    </w:t>
      </w:r>
      <w:r>
        <w:rPr>
          <w:rFonts w:hint="eastAsia" w:hAnsi="宋体"/>
          <w:bCs/>
          <w:sz w:val="24"/>
          <w:szCs w:val="24"/>
          <w:highlight w:val="none"/>
          <w:u w:val="single"/>
        </w:rPr>
        <w:t xml:space="preserve">                                                                                      </w:t>
      </w:r>
    </w:p>
    <w:p w14:paraId="3919C2F8">
      <w:pPr>
        <w:pStyle w:val="25"/>
        <w:spacing w:line="360" w:lineRule="auto"/>
        <w:ind w:firstLine="241"/>
        <w:rPr>
          <w:rFonts w:hint="eastAsia" w:hAnsi="宋体"/>
          <w:bCs/>
          <w:sz w:val="24"/>
          <w:szCs w:val="24"/>
          <w:highlight w:val="none"/>
          <w:u w:val="single"/>
        </w:rPr>
      </w:pPr>
      <w:r>
        <w:rPr>
          <w:rFonts w:hint="eastAsia" w:hAnsi="宋体"/>
          <w:bCs/>
          <w:sz w:val="24"/>
          <w:szCs w:val="24"/>
          <w:highlight w:val="none"/>
        </w:rPr>
        <w:t xml:space="preserve">    </w:t>
      </w:r>
      <w:r>
        <w:rPr>
          <w:rFonts w:hint="eastAsia" w:hAnsi="宋体"/>
          <w:bCs/>
          <w:sz w:val="24"/>
          <w:szCs w:val="24"/>
          <w:highlight w:val="none"/>
          <w:u w:val="single"/>
        </w:rPr>
        <w:t xml:space="preserve">                                                                                      </w:t>
      </w:r>
    </w:p>
    <w:p w14:paraId="11737B67">
      <w:pPr>
        <w:pStyle w:val="25"/>
        <w:spacing w:line="360" w:lineRule="auto"/>
        <w:ind w:firstLine="480" w:firstLineChars="200"/>
        <w:rPr>
          <w:rFonts w:hint="eastAsia" w:hAnsi="宋体"/>
          <w:sz w:val="24"/>
          <w:szCs w:val="24"/>
          <w:highlight w:val="none"/>
        </w:rPr>
      </w:pPr>
      <w:r>
        <w:rPr>
          <w:rFonts w:hint="eastAsia" w:hAnsi="宋体"/>
          <w:bCs/>
          <w:sz w:val="24"/>
          <w:szCs w:val="24"/>
          <w:highlight w:val="none"/>
          <w:u w:val="single"/>
        </w:rPr>
        <w:t>采购人/代理机构</w:t>
      </w:r>
      <w:r>
        <w:rPr>
          <w:rFonts w:hint="eastAsia" w:hAnsi="宋体"/>
          <w:bCs/>
          <w:sz w:val="24"/>
          <w:szCs w:val="24"/>
          <w:highlight w:val="none"/>
        </w:rPr>
        <w:t>于</w:t>
      </w: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r>
        <w:rPr>
          <w:rFonts w:hint="eastAsia" w:hAnsi="宋体"/>
          <w:bCs/>
          <w:sz w:val="24"/>
          <w:szCs w:val="24"/>
          <w:highlight w:val="none"/>
        </w:rPr>
        <w:t xml:space="preserve">就质疑事项作出了答复/没有在法定期限内作出答复。                                                                                             </w:t>
      </w:r>
    </w:p>
    <w:p w14:paraId="7F6B3478">
      <w:pPr>
        <w:pStyle w:val="25"/>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四、投诉事项具体内容</w:t>
      </w:r>
    </w:p>
    <w:p w14:paraId="436386EA">
      <w:pPr>
        <w:pStyle w:val="25"/>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投诉事项1：</w:t>
      </w:r>
      <w:r>
        <w:rPr>
          <w:rFonts w:hint="eastAsia" w:hAnsi="宋体"/>
          <w:bCs/>
          <w:sz w:val="24"/>
          <w:szCs w:val="24"/>
          <w:highlight w:val="none"/>
          <w:u w:val="single"/>
        </w:rPr>
        <w:t xml:space="preserve">                                                                           </w:t>
      </w:r>
    </w:p>
    <w:p w14:paraId="18E3363E">
      <w:pPr>
        <w:pStyle w:val="25"/>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事实依据：</w:t>
      </w:r>
      <w:r>
        <w:rPr>
          <w:rFonts w:hint="eastAsia" w:hAnsi="宋体"/>
          <w:sz w:val="24"/>
          <w:szCs w:val="24"/>
          <w:highlight w:val="none"/>
        </w:rPr>
        <w:t xml:space="preserve"> </w:t>
      </w:r>
      <w:r>
        <w:rPr>
          <w:rFonts w:hint="eastAsia" w:hAnsi="宋体"/>
          <w:bCs/>
          <w:sz w:val="24"/>
          <w:szCs w:val="24"/>
          <w:highlight w:val="none"/>
          <w:u w:val="single"/>
        </w:rPr>
        <w:t xml:space="preserve">                                                                                      </w:t>
      </w:r>
    </w:p>
    <w:p w14:paraId="12DFB63C">
      <w:pPr>
        <w:pStyle w:val="25"/>
        <w:spacing w:line="360" w:lineRule="auto"/>
        <w:ind w:left="25" w:leftChars="12" w:firstLine="472" w:firstLineChars="197"/>
        <w:rPr>
          <w:rFonts w:hint="eastAsia" w:hAnsi="宋体"/>
          <w:sz w:val="24"/>
          <w:szCs w:val="24"/>
          <w:highlight w:val="none"/>
        </w:rPr>
      </w:pPr>
      <w:r>
        <w:rPr>
          <w:rFonts w:hint="eastAsia" w:hAnsi="宋体"/>
          <w:bCs/>
          <w:sz w:val="24"/>
          <w:szCs w:val="24"/>
          <w:highlight w:val="none"/>
          <w:u w:val="single"/>
        </w:rPr>
        <w:t xml:space="preserve">                                                                                        </w:t>
      </w:r>
    </w:p>
    <w:p w14:paraId="0D614561">
      <w:pPr>
        <w:pStyle w:val="25"/>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法律依据：</w:t>
      </w:r>
      <w:r>
        <w:rPr>
          <w:rFonts w:hint="eastAsia" w:hAnsi="宋体"/>
          <w:sz w:val="24"/>
          <w:szCs w:val="24"/>
          <w:highlight w:val="none"/>
        </w:rPr>
        <w:t xml:space="preserve"> </w:t>
      </w:r>
      <w:r>
        <w:rPr>
          <w:rFonts w:hint="eastAsia" w:hAnsi="宋体"/>
          <w:bCs/>
          <w:sz w:val="24"/>
          <w:szCs w:val="24"/>
          <w:highlight w:val="none"/>
          <w:u w:val="single"/>
        </w:rPr>
        <w:t xml:space="preserve">                                                                                      </w:t>
      </w:r>
    </w:p>
    <w:p w14:paraId="3B0DE5EC">
      <w:pPr>
        <w:pStyle w:val="25"/>
        <w:spacing w:line="360" w:lineRule="auto"/>
        <w:ind w:left="25" w:leftChars="12" w:firstLine="352" w:firstLineChars="147"/>
        <w:rPr>
          <w:rFonts w:hint="eastAsia" w:hAnsi="宋体"/>
          <w:bCs/>
          <w:sz w:val="24"/>
          <w:szCs w:val="24"/>
          <w:highlight w:val="none"/>
          <w:u w:val="single"/>
        </w:rPr>
      </w:pPr>
      <w:r>
        <w:rPr>
          <w:rFonts w:hint="eastAsia" w:hAnsi="宋体"/>
          <w:bCs/>
          <w:sz w:val="24"/>
          <w:szCs w:val="24"/>
          <w:highlight w:val="none"/>
        </w:rPr>
        <w:t xml:space="preserve"> </w:t>
      </w:r>
      <w:r>
        <w:rPr>
          <w:rFonts w:hint="eastAsia" w:hAnsi="宋体"/>
          <w:bCs/>
          <w:sz w:val="24"/>
          <w:szCs w:val="24"/>
          <w:highlight w:val="none"/>
          <w:u w:val="single"/>
        </w:rPr>
        <w:t xml:space="preserve">                                                                                        </w:t>
      </w:r>
    </w:p>
    <w:p w14:paraId="320F3BEB">
      <w:pPr>
        <w:pStyle w:val="25"/>
        <w:spacing w:line="360" w:lineRule="auto"/>
        <w:ind w:left="25" w:leftChars="12" w:firstLine="472" w:firstLineChars="197"/>
        <w:rPr>
          <w:rFonts w:hint="eastAsia" w:hAnsi="宋体"/>
          <w:bCs/>
          <w:sz w:val="24"/>
          <w:szCs w:val="24"/>
          <w:highlight w:val="none"/>
        </w:rPr>
      </w:pPr>
      <w:r>
        <w:rPr>
          <w:rFonts w:hint="eastAsia" w:hAnsi="宋体"/>
          <w:sz w:val="24"/>
          <w:szCs w:val="24"/>
          <w:highlight w:val="none"/>
        </w:rPr>
        <w:t xml:space="preserve">投诉事项2  </w:t>
      </w:r>
      <w:r>
        <w:rPr>
          <w:rFonts w:hint="eastAsia" w:hAnsi="宋体"/>
          <w:bCs/>
          <w:sz w:val="24"/>
          <w:szCs w:val="24"/>
          <w:highlight w:val="none"/>
        </w:rPr>
        <w:t xml:space="preserve">   </w:t>
      </w:r>
    </w:p>
    <w:p w14:paraId="7005822E">
      <w:pPr>
        <w:pStyle w:val="25"/>
        <w:spacing w:line="360" w:lineRule="auto"/>
        <w:ind w:left="25" w:leftChars="12" w:firstLine="472" w:firstLineChars="197"/>
        <w:rPr>
          <w:rFonts w:hint="eastAsia" w:hAnsi="宋体"/>
          <w:bCs/>
          <w:sz w:val="24"/>
          <w:szCs w:val="24"/>
          <w:highlight w:val="none"/>
        </w:rPr>
      </w:pPr>
      <w:r>
        <w:rPr>
          <w:rFonts w:hAnsi="宋体"/>
          <w:bCs/>
          <w:sz w:val="24"/>
          <w:szCs w:val="24"/>
          <w:highlight w:val="none"/>
        </w:rPr>
        <w:t>……</w:t>
      </w:r>
    </w:p>
    <w:p w14:paraId="6BC36E36">
      <w:pPr>
        <w:pStyle w:val="25"/>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五、与投诉事项相关的投诉请求：</w:t>
      </w:r>
    </w:p>
    <w:p w14:paraId="6A66DB06">
      <w:pPr>
        <w:pStyle w:val="25"/>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请求：</w:t>
      </w:r>
      <w:r>
        <w:rPr>
          <w:rFonts w:hint="eastAsia" w:hAnsi="宋体"/>
          <w:bCs/>
          <w:sz w:val="24"/>
          <w:szCs w:val="24"/>
          <w:highlight w:val="none"/>
          <w:u w:val="single"/>
        </w:rPr>
        <w:t xml:space="preserve">                                                                                 </w:t>
      </w:r>
    </w:p>
    <w:p w14:paraId="159CC4C9">
      <w:pPr>
        <w:pStyle w:val="25"/>
        <w:spacing w:line="360" w:lineRule="auto"/>
        <w:ind w:left="25" w:leftChars="12" w:firstLine="352" w:firstLineChars="147"/>
        <w:rPr>
          <w:rFonts w:hint="eastAsia" w:hAnsi="宋体"/>
          <w:sz w:val="24"/>
          <w:szCs w:val="24"/>
          <w:highlight w:val="none"/>
        </w:rPr>
      </w:pPr>
    </w:p>
    <w:p w14:paraId="0AD21D49">
      <w:pPr>
        <w:pStyle w:val="25"/>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签字（签章）：                                       公章：</w:t>
      </w:r>
    </w:p>
    <w:p w14:paraId="27241E85">
      <w:pPr>
        <w:pStyle w:val="25"/>
        <w:spacing w:line="360" w:lineRule="auto"/>
        <w:ind w:left="25" w:leftChars="12" w:firstLine="352" w:firstLineChars="147"/>
        <w:rPr>
          <w:rFonts w:hint="eastAsia" w:hAnsi="宋体"/>
          <w:sz w:val="24"/>
          <w:szCs w:val="24"/>
          <w:highlight w:val="none"/>
        </w:rPr>
      </w:pPr>
    </w:p>
    <w:p w14:paraId="4A027351">
      <w:pPr>
        <w:pStyle w:val="25"/>
        <w:spacing w:line="360" w:lineRule="auto"/>
        <w:ind w:left="25" w:leftChars="12" w:firstLine="472" w:firstLineChars="197"/>
        <w:rPr>
          <w:rFonts w:hint="eastAsia" w:hAnsi="宋体"/>
          <w:b/>
          <w:sz w:val="24"/>
          <w:szCs w:val="24"/>
          <w:highlight w:val="none"/>
        </w:rPr>
      </w:pPr>
      <w:r>
        <w:rPr>
          <w:rFonts w:hint="eastAsia" w:hAnsi="宋体"/>
          <w:sz w:val="24"/>
          <w:szCs w:val="24"/>
          <w:highlight w:val="none"/>
        </w:rPr>
        <w:t>日期：</w:t>
      </w:r>
      <w:r>
        <w:rPr>
          <w:rFonts w:hint="eastAsia" w:hAnsi="宋体"/>
          <w:bCs/>
          <w:sz w:val="24"/>
          <w:szCs w:val="24"/>
          <w:highlight w:val="none"/>
        </w:rPr>
        <w:t xml:space="preserve">                                                                                 </w:t>
      </w:r>
    </w:p>
    <w:p w14:paraId="2ED635EB">
      <w:pPr>
        <w:pStyle w:val="25"/>
        <w:snapToGrid w:val="0"/>
        <w:spacing w:line="360" w:lineRule="auto"/>
        <w:rPr>
          <w:rFonts w:hint="eastAsia" w:hAnsi="宋体"/>
          <w:b/>
          <w:sz w:val="24"/>
          <w:szCs w:val="24"/>
          <w:highlight w:val="none"/>
        </w:rPr>
      </w:pPr>
      <w:r>
        <w:rPr>
          <w:rFonts w:hint="eastAsia" w:hAnsi="宋体"/>
          <w:b/>
          <w:sz w:val="24"/>
          <w:szCs w:val="24"/>
          <w:highlight w:val="none"/>
        </w:rPr>
        <w:t>说明：</w:t>
      </w:r>
    </w:p>
    <w:p w14:paraId="5BBA56E2">
      <w:pPr>
        <w:pStyle w:val="25"/>
        <w:spacing w:line="360" w:lineRule="auto"/>
        <w:ind w:left="25" w:leftChars="12" w:firstLine="354" w:firstLineChars="147"/>
        <w:rPr>
          <w:rFonts w:hint="eastAsia" w:hAnsi="宋体"/>
          <w:b/>
          <w:bCs/>
          <w:sz w:val="24"/>
          <w:szCs w:val="24"/>
          <w:highlight w:val="none"/>
        </w:rPr>
      </w:pPr>
      <w:r>
        <w:rPr>
          <w:rFonts w:hint="eastAsia" w:hAnsi="宋体"/>
          <w:b/>
          <w:sz w:val="24"/>
          <w:szCs w:val="24"/>
          <w:highlight w:val="none"/>
        </w:rPr>
        <w:t>1.投诉人提起投诉时，应当提交投诉书和必要的证明材料，并按照被投诉人和与投诉事项有关的供应商数量提供投诉书副本</w:t>
      </w:r>
      <w:r>
        <w:rPr>
          <w:rFonts w:hint="eastAsia" w:hAnsi="宋体"/>
          <w:b/>
          <w:bCs/>
          <w:sz w:val="24"/>
          <w:szCs w:val="24"/>
          <w:highlight w:val="none"/>
        </w:rPr>
        <w:t>。</w:t>
      </w:r>
    </w:p>
    <w:p w14:paraId="5C155711">
      <w:pPr>
        <w:pStyle w:val="25"/>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09976DD">
      <w:pPr>
        <w:pStyle w:val="25"/>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3.投诉书应简要列明质疑事项，质疑函、质疑答复等作为附件材料提供。</w:t>
      </w:r>
    </w:p>
    <w:p w14:paraId="140BD99F">
      <w:pPr>
        <w:pStyle w:val="25"/>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4.投诉书的投诉事项应具体、明确，并有必要的事实依据和法律依据。</w:t>
      </w:r>
    </w:p>
    <w:p w14:paraId="239E0E0A">
      <w:pPr>
        <w:pStyle w:val="25"/>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5.投诉书的投诉请求应与投诉事项相关。</w:t>
      </w:r>
    </w:p>
    <w:p w14:paraId="4CB14915">
      <w:pPr>
        <w:pStyle w:val="25"/>
        <w:spacing w:line="360" w:lineRule="auto"/>
        <w:ind w:left="25" w:leftChars="12" w:firstLine="354" w:firstLineChars="147"/>
        <w:rPr>
          <w:rFonts w:hint="eastAsia" w:hAnsi="宋体"/>
          <w:b/>
          <w:highlight w:val="none"/>
        </w:rPr>
      </w:pPr>
      <w:r>
        <w:rPr>
          <w:rFonts w:hint="eastAsia" w:hAnsi="宋体"/>
          <w:b/>
          <w:sz w:val="24"/>
          <w:szCs w:val="24"/>
          <w:highlight w:val="none"/>
        </w:rPr>
        <w:t>6.投诉人为法人或者其他组织的，投诉书应由法定代表人、主要负责人，或者其授权代表签字或者盖章，并加盖公章。</w:t>
      </w:r>
    </w:p>
    <w:p w14:paraId="6709463C">
      <w:pPr>
        <w:pStyle w:val="2"/>
        <w:jc w:val="center"/>
        <w:rPr>
          <w:rFonts w:hint="eastAsia"/>
          <w:highlight w:val="none"/>
        </w:rPr>
      </w:pPr>
    </w:p>
    <w:p w14:paraId="093A4A7D">
      <w:pPr>
        <w:pStyle w:val="2"/>
        <w:jc w:val="center"/>
        <w:rPr>
          <w:rFonts w:hint="eastAsia"/>
          <w:highlight w:val="none"/>
        </w:rPr>
      </w:pPr>
    </w:p>
    <w:p w14:paraId="5D92E960">
      <w:pPr>
        <w:pStyle w:val="2"/>
        <w:jc w:val="center"/>
        <w:rPr>
          <w:rFonts w:hint="eastAsia"/>
          <w:highlight w:val="none"/>
        </w:rPr>
      </w:pPr>
    </w:p>
    <w:p w14:paraId="581BB330">
      <w:pPr>
        <w:pStyle w:val="2"/>
        <w:jc w:val="center"/>
        <w:rPr>
          <w:rFonts w:hint="eastAsia"/>
          <w:highlight w:val="none"/>
        </w:rPr>
      </w:pPr>
    </w:p>
    <w:p w14:paraId="01E80FD9">
      <w:pPr>
        <w:pStyle w:val="2"/>
        <w:jc w:val="center"/>
        <w:rPr>
          <w:rFonts w:hint="eastAsia"/>
          <w:highlight w:val="none"/>
        </w:rPr>
      </w:pPr>
    </w:p>
    <w:p w14:paraId="0A5B4A68">
      <w:pPr>
        <w:pStyle w:val="2"/>
        <w:jc w:val="center"/>
        <w:rPr>
          <w:rFonts w:hint="eastAsia"/>
          <w:highlight w:val="none"/>
        </w:rPr>
      </w:pPr>
      <w:bookmarkStart w:id="129" w:name="_Toc28864"/>
      <w:r>
        <w:rPr>
          <w:rFonts w:hint="eastAsia"/>
          <w:highlight w:val="none"/>
        </w:rPr>
        <w:t>第七章 合同文本</w:t>
      </w:r>
      <w:bookmarkEnd w:id="129"/>
    </w:p>
    <w:p w14:paraId="3018D39A">
      <w:pPr>
        <w:spacing w:line="520" w:lineRule="exact"/>
        <w:rPr>
          <w:rFonts w:hint="eastAsia" w:ascii="宋体" w:hAnsi="宋体" w:cs="Courier New"/>
          <w:b/>
          <w:sz w:val="32"/>
          <w:szCs w:val="32"/>
          <w:highlight w:val="none"/>
        </w:rPr>
      </w:pPr>
    </w:p>
    <w:p w14:paraId="3F2DDC85">
      <w:pPr>
        <w:jc w:val="center"/>
        <w:rPr>
          <w:rFonts w:hint="eastAsia" w:ascii="宋体" w:hAnsi="宋体" w:eastAsia="宋体" w:cs="宋体"/>
          <w:bCs/>
          <w:color w:val="auto"/>
          <w:sz w:val="30"/>
          <w:szCs w:val="30"/>
          <w:highlight w:val="none"/>
        </w:rPr>
      </w:pPr>
      <w:r>
        <w:rPr>
          <w:rFonts w:hint="eastAsia" w:ascii="宋体" w:hAnsi="宋体" w:cs="宋体"/>
          <w:szCs w:val="21"/>
          <w:highlight w:val="none"/>
        </w:rPr>
        <w:br w:type="page"/>
      </w:r>
    </w:p>
    <w:p w14:paraId="0A34851F">
      <w:pPr>
        <w:jc w:val="center"/>
        <w:rPr>
          <w:rFonts w:hint="eastAsia" w:ascii="宋体" w:hAnsi="宋体" w:eastAsia="宋体" w:cs="宋体"/>
          <w:bCs/>
          <w:color w:val="auto"/>
          <w:sz w:val="30"/>
          <w:szCs w:val="30"/>
          <w:highlight w:val="none"/>
        </w:rPr>
      </w:pPr>
    </w:p>
    <w:p w14:paraId="6D4E25D3">
      <w:pPr>
        <w:jc w:val="center"/>
        <w:rPr>
          <w:rFonts w:hint="eastAsia" w:ascii="宋体" w:hAnsi="宋体" w:eastAsia="宋体" w:cs="宋体"/>
          <w:bCs/>
          <w:color w:val="auto"/>
          <w:sz w:val="30"/>
          <w:szCs w:val="30"/>
          <w:highlight w:val="none"/>
        </w:rPr>
      </w:pPr>
    </w:p>
    <w:p w14:paraId="7DCF81E9">
      <w:pPr>
        <w:jc w:val="center"/>
        <w:rPr>
          <w:rFonts w:hint="eastAsia" w:ascii="宋体" w:hAnsi="宋体" w:eastAsia="宋体" w:cs="宋体"/>
          <w:bCs/>
          <w:color w:val="auto"/>
          <w:sz w:val="30"/>
          <w:szCs w:val="30"/>
          <w:highlight w:val="none"/>
        </w:rPr>
      </w:pPr>
    </w:p>
    <w:p w14:paraId="18EF63B2">
      <w:pPr>
        <w:jc w:val="center"/>
        <w:rPr>
          <w:rFonts w:hint="eastAsia" w:ascii="宋体" w:hAnsi="宋体" w:eastAsia="宋体" w:cs="宋体"/>
          <w:bCs/>
          <w:color w:val="auto"/>
          <w:sz w:val="30"/>
          <w:szCs w:val="30"/>
          <w:highlight w:val="none"/>
        </w:rPr>
      </w:pPr>
    </w:p>
    <w:p w14:paraId="2E4E212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建设工程施工合同</w:t>
      </w:r>
    </w:p>
    <w:p w14:paraId="05FEC99F">
      <w:pPr>
        <w:rPr>
          <w:rFonts w:hint="eastAsia" w:ascii="宋体" w:hAnsi="宋体" w:eastAsia="宋体" w:cs="宋体"/>
          <w:bCs/>
          <w:color w:val="auto"/>
          <w:sz w:val="30"/>
          <w:szCs w:val="30"/>
          <w:highlight w:val="none"/>
        </w:rPr>
      </w:pPr>
    </w:p>
    <w:p w14:paraId="63CAD0C7">
      <w:pPr>
        <w:pStyle w:val="43"/>
        <w:rPr>
          <w:rFonts w:hint="eastAsia" w:ascii="宋体" w:hAnsi="宋体" w:eastAsia="宋体" w:cs="宋体"/>
          <w:bCs/>
          <w:color w:val="auto"/>
          <w:sz w:val="30"/>
          <w:szCs w:val="30"/>
          <w:highlight w:val="none"/>
        </w:rPr>
      </w:pPr>
    </w:p>
    <w:p w14:paraId="5E3145DC">
      <w:pPr>
        <w:pStyle w:val="43"/>
        <w:rPr>
          <w:rFonts w:hint="eastAsia" w:ascii="宋体" w:hAnsi="宋体" w:eastAsia="宋体" w:cs="宋体"/>
          <w:bCs/>
          <w:color w:val="auto"/>
          <w:sz w:val="30"/>
          <w:szCs w:val="30"/>
          <w:highlight w:val="none"/>
        </w:rPr>
      </w:pPr>
    </w:p>
    <w:p w14:paraId="73DDD1EE">
      <w:pPr>
        <w:pStyle w:val="43"/>
        <w:rPr>
          <w:rFonts w:hint="eastAsia" w:ascii="宋体" w:hAnsi="宋体" w:eastAsia="宋体" w:cs="宋体"/>
          <w:bCs/>
          <w:color w:val="auto"/>
          <w:sz w:val="30"/>
          <w:szCs w:val="30"/>
          <w:highlight w:val="none"/>
        </w:rPr>
      </w:pPr>
    </w:p>
    <w:p w14:paraId="5E068674">
      <w:pPr>
        <w:pStyle w:val="43"/>
        <w:rPr>
          <w:rFonts w:hint="eastAsia" w:ascii="宋体" w:hAnsi="宋体" w:eastAsia="宋体" w:cs="宋体"/>
          <w:bCs/>
          <w:color w:val="auto"/>
          <w:sz w:val="22"/>
          <w:szCs w:val="22"/>
          <w:highlight w:val="none"/>
        </w:rPr>
      </w:pPr>
    </w:p>
    <w:p w14:paraId="673F329D">
      <w:pPr>
        <w:ind w:left="0" w:leftChars="0" w:firstLine="2939" w:firstLineChars="1336"/>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项目名称：</w:t>
      </w:r>
      <w:r>
        <w:rPr>
          <w:rFonts w:hint="eastAsia" w:ascii="宋体" w:hAnsi="宋体" w:eastAsia="宋体" w:cs="宋体"/>
          <w:bCs/>
          <w:color w:val="auto"/>
          <w:sz w:val="22"/>
          <w:szCs w:val="22"/>
          <w:highlight w:val="none"/>
          <w:u w:val="single"/>
        </w:rPr>
        <w:t xml:space="preserve">                  </w:t>
      </w:r>
    </w:p>
    <w:p w14:paraId="43DC5556">
      <w:pPr>
        <w:ind w:left="0" w:leftChars="0" w:firstLine="2939" w:firstLineChars="1336"/>
        <w:rPr>
          <w:rFonts w:hint="eastAsia" w:ascii="宋体" w:hAnsi="宋体" w:eastAsia="宋体" w:cs="宋体"/>
          <w:color w:val="auto"/>
          <w:sz w:val="22"/>
          <w:szCs w:val="22"/>
          <w:highlight w:val="none"/>
        </w:rPr>
      </w:pPr>
    </w:p>
    <w:p w14:paraId="4AF2C747">
      <w:pPr>
        <w:ind w:left="0" w:leftChars="0" w:firstLine="2939" w:firstLineChars="1336"/>
        <w:rPr>
          <w:rFonts w:hint="eastAsia" w:ascii="宋体" w:hAnsi="宋体" w:eastAsia="宋体" w:cs="宋体"/>
          <w:bCs/>
          <w:color w:val="auto"/>
          <w:sz w:val="22"/>
          <w:szCs w:val="22"/>
          <w:highlight w:val="none"/>
          <w:u w:val="single"/>
        </w:rPr>
      </w:pPr>
      <w:r>
        <w:rPr>
          <w:rFonts w:hint="eastAsia" w:ascii="宋体" w:hAnsi="宋体" w:eastAsia="宋体" w:cs="宋体"/>
          <w:bCs/>
          <w:color w:val="auto"/>
          <w:sz w:val="22"/>
          <w:szCs w:val="22"/>
          <w:highlight w:val="none"/>
        </w:rPr>
        <w:t>项目编号：</w:t>
      </w:r>
      <w:r>
        <w:rPr>
          <w:rFonts w:hint="eastAsia" w:ascii="宋体" w:hAnsi="宋体" w:eastAsia="宋体" w:cs="宋体"/>
          <w:bCs/>
          <w:color w:val="auto"/>
          <w:sz w:val="22"/>
          <w:szCs w:val="22"/>
          <w:highlight w:val="none"/>
          <w:u w:val="single"/>
        </w:rPr>
        <w:t xml:space="preserve">                  </w:t>
      </w:r>
    </w:p>
    <w:p w14:paraId="28BBEF71">
      <w:pPr>
        <w:ind w:left="0" w:leftChars="0" w:firstLine="2939" w:firstLineChars="1336"/>
        <w:rPr>
          <w:rFonts w:hint="eastAsia" w:ascii="宋体" w:hAnsi="宋体" w:eastAsia="宋体" w:cs="宋体"/>
          <w:bCs/>
          <w:color w:val="auto"/>
          <w:sz w:val="22"/>
          <w:szCs w:val="22"/>
          <w:highlight w:val="none"/>
        </w:rPr>
      </w:pPr>
    </w:p>
    <w:p w14:paraId="12B2FF36">
      <w:pPr>
        <w:ind w:left="0" w:leftChars="0" w:firstLine="2939" w:firstLineChars="1336"/>
        <w:rPr>
          <w:rFonts w:hint="eastAsia" w:ascii="宋体" w:hAnsi="宋体" w:eastAsia="宋体" w:cs="宋体"/>
          <w:bCs/>
          <w:color w:val="auto"/>
          <w:sz w:val="22"/>
          <w:szCs w:val="22"/>
          <w:highlight w:val="none"/>
        </w:rPr>
      </w:pPr>
    </w:p>
    <w:p w14:paraId="634A95D1">
      <w:pPr>
        <w:ind w:left="0" w:leftChars="0" w:firstLine="2939" w:firstLineChars="1336"/>
        <w:rPr>
          <w:rFonts w:hint="eastAsia" w:ascii="宋体" w:hAnsi="宋体" w:eastAsia="宋体" w:cs="宋体"/>
          <w:bCs/>
          <w:color w:val="auto"/>
          <w:sz w:val="22"/>
          <w:szCs w:val="22"/>
          <w:highlight w:val="none"/>
        </w:rPr>
      </w:pPr>
    </w:p>
    <w:p w14:paraId="6DBF1E9C">
      <w:pPr>
        <w:ind w:left="0" w:leftChars="0" w:firstLine="2939" w:firstLineChars="1336"/>
        <w:rPr>
          <w:rFonts w:hint="eastAsia" w:ascii="宋体" w:hAnsi="宋体" w:eastAsia="宋体" w:cs="宋体"/>
          <w:bCs/>
          <w:color w:val="auto"/>
          <w:sz w:val="22"/>
          <w:szCs w:val="22"/>
          <w:highlight w:val="none"/>
        </w:rPr>
      </w:pPr>
    </w:p>
    <w:p w14:paraId="5156CFB8">
      <w:pPr>
        <w:ind w:left="0" w:leftChars="0" w:firstLine="2939" w:firstLineChars="1336"/>
        <w:rPr>
          <w:rFonts w:hint="eastAsia" w:ascii="宋体" w:hAnsi="宋体" w:eastAsia="宋体" w:cs="宋体"/>
          <w:bCs/>
          <w:color w:val="auto"/>
          <w:sz w:val="22"/>
          <w:szCs w:val="22"/>
          <w:highlight w:val="none"/>
        </w:rPr>
      </w:pPr>
    </w:p>
    <w:p w14:paraId="7A1775C5">
      <w:pPr>
        <w:ind w:left="0" w:leftChars="0" w:firstLine="2939" w:firstLineChars="1336"/>
        <w:rPr>
          <w:rFonts w:hint="eastAsia" w:ascii="宋体" w:hAnsi="宋体" w:eastAsia="宋体" w:cs="宋体"/>
          <w:bCs/>
          <w:color w:val="auto"/>
          <w:sz w:val="22"/>
          <w:szCs w:val="22"/>
          <w:highlight w:val="none"/>
        </w:rPr>
      </w:pPr>
    </w:p>
    <w:p w14:paraId="755ED48B">
      <w:pPr>
        <w:ind w:left="0" w:leftChars="0" w:firstLine="2939" w:firstLineChars="1336"/>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发包人：</w:t>
      </w:r>
      <w:r>
        <w:rPr>
          <w:rFonts w:hint="eastAsia" w:ascii="宋体" w:hAnsi="宋体" w:eastAsia="宋体" w:cs="宋体"/>
          <w:bCs/>
          <w:color w:val="auto"/>
          <w:sz w:val="22"/>
          <w:szCs w:val="22"/>
          <w:highlight w:val="none"/>
          <w:u w:val="single"/>
        </w:rPr>
        <w:t xml:space="preserve">               </w:t>
      </w:r>
    </w:p>
    <w:p w14:paraId="2E147AF7">
      <w:pPr>
        <w:ind w:left="0" w:leftChars="0" w:firstLine="2939" w:firstLineChars="1336"/>
        <w:rPr>
          <w:rFonts w:hint="eastAsia" w:ascii="宋体" w:hAnsi="宋体" w:eastAsia="宋体" w:cs="宋体"/>
          <w:bCs/>
          <w:color w:val="auto"/>
          <w:sz w:val="22"/>
          <w:szCs w:val="22"/>
          <w:highlight w:val="none"/>
        </w:rPr>
      </w:pPr>
    </w:p>
    <w:p w14:paraId="08BFB2B8">
      <w:pPr>
        <w:ind w:left="0" w:leftChars="0" w:firstLine="2939" w:firstLineChars="1336"/>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承包人：</w:t>
      </w:r>
      <w:r>
        <w:rPr>
          <w:rFonts w:hint="eastAsia" w:ascii="宋体" w:hAnsi="宋体" w:eastAsia="宋体" w:cs="宋体"/>
          <w:bCs/>
          <w:color w:val="auto"/>
          <w:sz w:val="22"/>
          <w:szCs w:val="22"/>
          <w:highlight w:val="none"/>
          <w:u w:val="single"/>
        </w:rPr>
        <w:t xml:space="preserve">                  </w:t>
      </w:r>
    </w:p>
    <w:p w14:paraId="2849E50A">
      <w:pPr>
        <w:tabs>
          <w:tab w:val="left" w:pos="7380"/>
        </w:tabs>
        <w:spacing w:line="400" w:lineRule="exact"/>
        <w:ind w:firstLine="835" w:firstLineChars="398"/>
        <w:rPr>
          <w:rFonts w:hint="eastAsia" w:ascii="宋体" w:hAnsi="宋体" w:eastAsia="宋体" w:cs="宋体"/>
          <w:bCs/>
          <w:color w:val="auto"/>
          <w:szCs w:val="21"/>
          <w:highlight w:val="none"/>
        </w:rPr>
      </w:pPr>
    </w:p>
    <w:p w14:paraId="67C369E4">
      <w:pPr>
        <w:tabs>
          <w:tab w:val="left" w:pos="7380"/>
        </w:tabs>
        <w:spacing w:line="400" w:lineRule="exact"/>
        <w:ind w:firstLine="835" w:firstLineChars="398"/>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br w:type="page"/>
      </w:r>
    </w:p>
    <w:p w14:paraId="6D16CF65">
      <w:pPr>
        <w:snapToGrid w:val="0"/>
        <w:spacing w:line="40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广西壮族自治区梧州市建设工程施工合同</w:t>
      </w:r>
    </w:p>
    <w:p w14:paraId="168718E7">
      <w:pPr>
        <w:snapToGrid w:val="0"/>
        <w:spacing w:line="400" w:lineRule="exact"/>
        <w:jc w:val="center"/>
        <w:rPr>
          <w:rFonts w:hint="eastAsia" w:ascii="宋体" w:hAnsi="宋体" w:eastAsia="宋体" w:cs="宋体"/>
          <w:b/>
          <w:bCs/>
          <w:color w:val="auto"/>
          <w:sz w:val="24"/>
          <w:highlight w:val="none"/>
        </w:rPr>
      </w:pPr>
    </w:p>
    <w:p w14:paraId="6A32681B">
      <w:pPr>
        <w:snapToGrid w:val="0"/>
        <w:spacing w:line="400" w:lineRule="exact"/>
        <w:ind w:right="480" w:firstLine="7140" w:firstLineChars="34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合同编号：</w:t>
      </w:r>
    </w:p>
    <w:p w14:paraId="526403D9">
      <w:pPr>
        <w:snapToGrid w:val="0"/>
        <w:spacing w:line="400" w:lineRule="exact"/>
        <w:rPr>
          <w:rFonts w:hint="eastAsia" w:ascii="宋体" w:hAnsi="宋体" w:eastAsia="宋体" w:cs="宋体"/>
          <w:color w:val="auto"/>
          <w:szCs w:val="21"/>
          <w:highlight w:val="none"/>
        </w:rPr>
      </w:pPr>
    </w:p>
    <w:p w14:paraId="7EF76E7A">
      <w:pPr>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发包人（全称）：</w:t>
      </w:r>
      <w:r>
        <w:rPr>
          <w:rFonts w:hint="eastAsia" w:ascii="宋体" w:hAnsi="宋体" w:eastAsia="宋体" w:cs="宋体"/>
          <w:color w:val="auto"/>
          <w:highlight w:val="none"/>
          <w:u w:val="single"/>
        </w:rPr>
        <w:t xml:space="preserve">                              </w:t>
      </w:r>
    </w:p>
    <w:p w14:paraId="33CD5207">
      <w:pPr>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承包人（全称）：</w:t>
      </w:r>
      <w:r>
        <w:rPr>
          <w:rFonts w:hint="eastAsia" w:ascii="宋体" w:hAnsi="宋体" w:eastAsia="宋体" w:cs="宋体"/>
          <w:color w:val="auto"/>
          <w:highlight w:val="none"/>
          <w:u w:val="single"/>
        </w:rPr>
        <w:t xml:space="preserve">                              </w:t>
      </w:r>
    </w:p>
    <w:p w14:paraId="5B285F7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根据《中华人民共和国</w:t>
      </w:r>
      <w:r>
        <w:rPr>
          <w:rFonts w:hint="eastAsia" w:ascii="宋体" w:hAnsi="宋体" w:cs="宋体"/>
          <w:color w:val="auto"/>
          <w:highlight w:val="none"/>
          <w:lang w:eastAsia="zh-CN"/>
        </w:rPr>
        <w:t>民法典</w:t>
      </w:r>
      <w:r>
        <w:rPr>
          <w:rFonts w:hint="eastAsia" w:ascii="宋体" w:hAnsi="宋体" w:eastAsia="宋体" w:cs="宋体"/>
          <w:color w:val="auto"/>
          <w:highlight w:val="none"/>
        </w:rPr>
        <w:t>》、《中华人民共和国建筑法》及有关法律规定，遵循平等、自愿、公平和诚实信用的原则，双方就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工程施工及有关事项协商一致，共同达成如下协议：</w:t>
      </w:r>
      <w:bookmarkStart w:id="130" w:name="_Toc351203481"/>
    </w:p>
    <w:p w14:paraId="10ECB88A">
      <w:pPr>
        <w:spacing w:line="360" w:lineRule="auto"/>
        <w:ind w:firstLine="422" w:firstLineChars="200"/>
        <w:outlineLvl w:val="0"/>
        <w:rPr>
          <w:rFonts w:hint="eastAsia" w:ascii="宋体" w:hAnsi="宋体" w:eastAsia="宋体" w:cs="宋体"/>
          <w:b/>
          <w:bCs/>
          <w:color w:val="auto"/>
          <w:highlight w:val="none"/>
        </w:rPr>
      </w:pPr>
      <w:r>
        <w:rPr>
          <w:rFonts w:hint="eastAsia" w:ascii="宋体" w:hAnsi="宋体" w:eastAsia="宋体" w:cs="宋体"/>
          <w:b/>
          <w:bCs/>
          <w:color w:val="auto"/>
          <w:highlight w:val="none"/>
        </w:rPr>
        <w:t>一、工程概况</w:t>
      </w:r>
      <w:bookmarkEnd w:id="130"/>
    </w:p>
    <w:p w14:paraId="19D5E6C5">
      <w:pPr>
        <w:spacing w:line="360" w:lineRule="auto"/>
        <w:ind w:firstLine="411" w:firstLineChars="196"/>
        <w:rPr>
          <w:rFonts w:hint="eastAsia" w:ascii="宋体" w:hAnsi="宋体" w:eastAsia="宋体" w:cs="宋体"/>
          <w:color w:val="auto"/>
          <w:highlight w:val="none"/>
          <w:u w:val="single"/>
        </w:rPr>
      </w:pPr>
      <w:r>
        <w:rPr>
          <w:rFonts w:hint="eastAsia" w:ascii="宋体" w:hAnsi="宋体" w:eastAsia="宋体" w:cs="宋体"/>
          <w:color w:val="auto"/>
          <w:highlight w:val="none"/>
        </w:rPr>
        <w:t>1. 工程名称：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C421533">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 工程地点：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6E5F43C">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3. 工程立项批准文号：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EE195C5">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4. 资金来源：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6EEE176">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5. 工程内容：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B436CE2">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群体工程应附《承包人承揽工程项目一览表》（附件1）。</w:t>
      </w:r>
    </w:p>
    <w:p w14:paraId="51E968DB">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6. 工程承包范围：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D70AB50">
      <w:pPr>
        <w:spacing w:line="360" w:lineRule="auto"/>
        <w:ind w:firstLine="407" w:firstLineChars="193"/>
        <w:outlineLvl w:val="0"/>
        <w:rPr>
          <w:rFonts w:hint="eastAsia" w:ascii="宋体" w:hAnsi="宋体" w:eastAsia="宋体" w:cs="宋体"/>
          <w:b/>
          <w:bCs/>
          <w:color w:val="auto"/>
          <w:highlight w:val="none"/>
        </w:rPr>
      </w:pPr>
      <w:bookmarkStart w:id="131" w:name="_Toc351203482"/>
      <w:r>
        <w:rPr>
          <w:rFonts w:hint="eastAsia" w:ascii="宋体" w:hAnsi="宋体" w:eastAsia="宋体" w:cs="宋体"/>
          <w:b/>
          <w:bCs/>
          <w:color w:val="auto"/>
          <w:highlight w:val="none"/>
        </w:rPr>
        <w:t>二、合同工期</w:t>
      </w:r>
      <w:bookmarkEnd w:id="131"/>
    </w:p>
    <w:p w14:paraId="13907857">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计划开工日期：</w:t>
      </w:r>
      <w:r>
        <w:rPr>
          <w:rFonts w:hint="eastAsia" w:ascii="宋体" w:hAnsi="宋体" w:eastAsia="宋体" w:cs="宋体"/>
          <w:color w:val="auto"/>
          <w:highlight w:val="none"/>
          <w:u w:val="single"/>
        </w:rPr>
        <w:t></w:t>
      </w:r>
      <w:r>
        <w:rPr>
          <w:rFonts w:hint="eastAsia" w:ascii="宋体" w:hAnsi="宋体" w:eastAsia="宋体" w:cs="宋体"/>
          <w:color w:val="auto"/>
          <w:highlight w:val="none"/>
        </w:rPr>
        <w:t>年</w:t>
      </w:r>
      <w:r>
        <w:rPr>
          <w:rFonts w:hint="eastAsia" w:ascii="宋体" w:hAnsi="宋体" w:eastAsia="宋体" w:cs="宋体"/>
          <w:color w:val="auto"/>
          <w:highlight w:val="none"/>
          <w:u w:val="single"/>
        </w:rPr>
        <w:t></w:t>
      </w:r>
      <w:r>
        <w:rPr>
          <w:rFonts w:hint="eastAsia" w:ascii="宋体" w:hAnsi="宋体" w:eastAsia="宋体" w:cs="宋体"/>
          <w:color w:val="auto"/>
          <w:highlight w:val="none"/>
        </w:rPr>
        <w:t>月</w:t>
      </w:r>
      <w:r>
        <w:rPr>
          <w:rFonts w:hint="eastAsia" w:ascii="宋体" w:hAnsi="宋体" w:eastAsia="宋体" w:cs="宋体"/>
          <w:color w:val="auto"/>
          <w:highlight w:val="none"/>
          <w:u w:val="single"/>
        </w:rPr>
        <w:t></w:t>
      </w:r>
      <w:r>
        <w:rPr>
          <w:rFonts w:hint="eastAsia" w:ascii="宋体" w:hAnsi="宋体" w:eastAsia="宋体" w:cs="宋体"/>
          <w:color w:val="auto"/>
          <w:highlight w:val="none"/>
        </w:rPr>
        <w:t>日。（具体以发包人书面通知为准）</w:t>
      </w:r>
    </w:p>
    <w:p w14:paraId="2351191E">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计划竣工日期：</w:t>
      </w:r>
      <w:r>
        <w:rPr>
          <w:rFonts w:hint="eastAsia" w:ascii="宋体" w:hAnsi="宋体" w:eastAsia="宋体" w:cs="宋体"/>
          <w:color w:val="auto"/>
          <w:highlight w:val="none"/>
          <w:u w:val="single"/>
        </w:rPr>
        <w:t></w:t>
      </w:r>
      <w:r>
        <w:rPr>
          <w:rFonts w:hint="eastAsia" w:ascii="宋体" w:hAnsi="宋体" w:eastAsia="宋体" w:cs="宋体"/>
          <w:color w:val="auto"/>
          <w:highlight w:val="none"/>
        </w:rPr>
        <w:t>年</w:t>
      </w:r>
      <w:r>
        <w:rPr>
          <w:rFonts w:hint="eastAsia" w:ascii="宋体" w:hAnsi="宋体" w:eastAsia="宋体" w:cs="宋体"/>
          <w:color w:val="auto"/>
          <w:highlight w:val="none"/>
          <w:u w:val="single"/>
        </w:rPr>
        <w:t></w:t>
      </w:r>
      <w:r>
        <w:rPr>
          <w:rFonts w:hint="eastAsia" w:ascii="宋体" w:hAnsi="宋体" w:eastAsia="宋体" w:cs="宋体"/>
          <w:color w:val="auto"/>
          <w:highlight w:val="none"/>
        </w:rPr>
        <w:t>月</w:t>
      </w:r>
      <w:r>
        <w:rPr>
          <w:rFonts w:hint="eastAsia" w:ascii="宋体" w:hAnsi="宋体" w:eastAsia="宋体" w:cs="宋体"/>
          <w:color w:val="auto"/>
          <w:highlight w:val="none"/>
          <w:u w:val="single"/>
        </w:rPr>
        <w:t></w:t>
      </w:r>
      <w:r>
        <w:rPr>
          <w:rFonts w:hint="eastAsia" w:ascii="宋体" w:hAnsi="宋体" w:eastAsia="宋体" w:cs="宋体"/>
          <w:color w:val="auto"/>
          <w:highlight w:val="none"/>
        </w:rPr>
        <w:t>日。</w:t>
      </w:r>
    </w:p>
    <w:p w14:paraId="2DC34CF2">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工期总日历天数：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天。工期总日历天数与根据前述计划开竣工日期计算的工期天数不一致的，以工期总日历天数为准。</w:t>
      </w:r>
    </w:p>
    <w:p w14:paraId="0E823CE6">
      <w:pPr>
        <w:spacing w:line="360" w:lineRule="auto"/>
        <w:ind w:firstLine="459"/>
        <w:outlineLvl w:val="0"/>
        <w:rPr>
          <w:rFonts w:hint="eastAsia" w:ascii="宋体" w:hAnsi="宋体" w:eastAsia="宋体" w:cs="宋体"/>
          <w:b/>
          <w:bCs/>
          <w:color w:val="auto"/>
          <w:highlight w:val="none"/>
        </w:rPr>
      </w:pPr>
      <w:bookmarkStart w:id="132" w:name="_Toc351203483"/>
      <w:r>
        <w:rPr>
          <w:rFonts w:hint="eastAsia" w:ascii="宋体" w:hAnsi="宋体" w:eastAsia="宋体" w:cs="宋体"/>
          <w:b/>
          <w:bCs/>
          <w:color w:val="auto"/>
          <w:highlight w:val="none"/>
        </w:rPr>
        <w:t>三、质量标准</w:t>
      </w:r>
      <w:bookmarkEnd w:id="132"/>
    </w:p>
    <w:p w14:paraId="37B927DC">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工程质量符合标准。</w:t>
      </w:r>
    </w:p>
    <w:p w14:paraId="17AEB82E">
      <w:pPr>
        <w:spacing w:line="360" w:lineRule="auto"/>
        <w:ind w:firstLine="459"/>
        <w:outlineLvl w:val="0"/>
        <w:rPr>
          <w:rFonts w:hint="eastAsia" w:ascii="宋体" w:hAnsi="宋体" w:eastAsia="宋体" w:cs="宋体"/>
          <w:b/>
          <w:bCs/>
          <w:color w:val="auto"/>
          <w:highlight w:val="none"/>
        </w:rPr>
      </w:pPr>
      <w:bookmarkStart w:id="133" w:name="_Toc351203484"/>
      <w:r>
        <w:rPr>
          <w:rFonts w:hint="eastAsia" w:ascii="宋体" w:hAnsi="宋体" w:eastAsia="宋体" w:cs="宋体"/>
          <w:b/>
          <w:bCs/>
          <w:color w:val="auto"/>
          <w:highlight w:val="none"/>
        </w:rPr>
        <w:t>四、签约合同价与合同价格形式</w:t>
      </w:r>
      <w:bookmarkEnd w:id="133"/>
    </w:p>
    <w:p w14:paraId="44146BFE">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1. 签约合同价为：</w:t>
      </w:r>
    </w:p>
    <w:p w14:paraId="5547D729">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4D7E5F8C">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其中：</w:t>
      </w:r>
    </w:p>
    <w:p w14:paraId="7D68242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（1）安全文明施工费：</w:t>
      </w:r>
    </w:p>
    <w:p w14:paraId="76F947DC">
      <w:pPr>
        <w:spacing w:line="360" w:lineRule="auto"/>
        <w:ind w:left="420" w:leftChars="200"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440584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2</w:t>
      </w:r>
      <w:r>
        <w:rPr>
          <w:rFonts w:hint="eastAsia" w:ascii="宋体" w:hAnsi="宋体" w:eastAsia="宋体" w:cs="宋体"/>
          <w:color w:val="auto"/>
          <w:highlight w:val="none"/>
        </w:rPr>
        <w:t>）材料和工程设备暂估价金额：</w:t>
      </w:r>
    </w:p>
    <w:p w14:paraId="48112E60">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4DD93E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）专业工程暂估价金额：</w:t>
      </w:r>
    </w:p>
    <w:p w14:paraId="6EB295C7">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68E989B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4</w:t>
      </w:r>
      <w:r>
        <w:rPr>
          <w:rFonts w:hint="eastAsia" w:ascii="宋体" w:hAnsi="宋体" w:eastAsia="宋体" w:cs="宋体"/>
          <w:color w:val="auto"/>
          <w:highlight w:val="none"/>
        </w:rPr>
        <w:t>）暂列金额：</w:t>
      </w:r>
    </w:p>
    <w:p w14:paraId="0A44841E">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68094C7D">
      <w:pPr>
        <w:spacing w:line="360" w:lineRule="auto"/>
        <w:ind w:firstLine="359" w:firstLineChars="171"/>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5</w:t>
      </w:r>
      <w:r>
        <w:rPr>
          <w:rFonts w:hint="eastAsia" w:ascii="宋体" w:hAnsi="宋体" w:eastAsia="宋体" w:cs="宋体"/>
          <w:color w:val="auto"/>
          <w:highlight w:val="none"/>
        </w:rPr>
        <w:t>）增值税额：</w:t>
      </w:r>
    </w:p>
    <w:p w14:paraId="1E8D1606">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673209B2">
      <w:pPr>
        <w:spacing w:line="360" w:lineRule="auto"/>
        <w:ind w:firstLine="987" w:firstLineChars="470"/>
        <w:rPr>
          <w:rFonts w:hint="eastAsia" w:ascii="宋体" w:hAnsi="宋体" w:eastAsia="宋体" w:cs="宋体"/>
          <w:color w:val="auto"/>
          <w:highlight w:val="none"/>
        </w:rPr>
      </w:pPr>
      <w:r>
        <w:rPr>
          <w:rFonts w:hint="eastAsia" w:ascii="宋体" w:hAnsi="宋体" w:eastAsia="宋体" w:cs="宋体"/>
          <w:color w:val="auto"/>
          <w:highlight w:val="none"/>
        </w:rPr>
        <w:t>增值税率：</w:t>
      </w:r>
      <w:r>
        <w:rPr>
          <w:rFonts w:hint="eastAsia" w:ascii="宋体" w:hAnsi="宋体" w:eastAsia="宋体" w:cs="宋体"/>
          <w:color w:val="auto"/>
          <w:highlight w:val="none"/>
          <w:u w:val="single"/>
        </w:rPr>
        <w:t xml:space="preserve">  　　　　　　  </w:t>
      </w:r>
    </w:p>
    <w:p w14:paraId="55B2840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2. 合同价格形式：   </w:t>
      </w:r>
      <w:r>
        <w:rPr>
          <w:rFonts w:hint="eastAsia" w:ascii="宋体" w:hAnsi="宋体" w:eastAsia="宋体" w:cs="宋体"/>
          <w:color w:val="auto"/>
          <w:highlight w:val="none"/>
          <w:u w:val="single"/>
        </w:rPr>
        <w:t xml:space="preserve">  综合单价固定  </w:t>
      </w:r>
      <w:r>
        <w:rPr>
          <w:rFonts w:hint="eastAsia" w:ascii="宋体" w:hAnsi="宋体" w:eastAsia="宋体" w:cs="宋体"/>
          <w:color w:val="auto"/>
          <w:highlight w:val="none"/>
        </w:rPr>
        <w:t>。</w:t>
      </w:r>
    </w:p>
    <w:p w14:paraId="25705866">
      <w:pPr>
        <w:spacing w:line="360" w:lineRule="auto"/>
        <w:ind w:firstLine="422" w:firstLineChars="200"/>
        <w:outlineLvl w:val="0"/>
        <w:rPr>
          <w:rFonts w:hint="eastAsia" w:ascii="宋体" w:hAnsi="宋体" w:eastAsia="宋体" w:cs="宋体"/>
          <w:b/>
          <w:bCs/>
          <w:color w:val="auto"/>
          <w:highlight w:val="none"/>
        </w:rPr>
      </w:pPr>
      <w:bookmarkStart w:id="134" w:name="_Toc351203485"/>
      <w:r>
        <w:rPr>
          <w:rFonts w:hint="eastAsia" w:ascii="宋体" w:hAnsi="宋体" w:eastAsia="宋体" w:cs="宋体"/>
          <w:b/>
          <w:bCs/>
          <w:color w:val="auto"/>
          <w:highlight w:val="none"/>
        </w:rPr>
        <w:t>五、</w:t>
      </w:r>
      <w:bookmarkEnd w:id="134"/>
      <w:r>
        <w:rPr>
          <w:rFonts w:hint="eastAsia" w:ascii="宋体" w:hAnsi="宋体" w:eastAsia="宋体" w:cs="宋体"/>
          <w:b/>
          <w:bCs/>
          <w:color w:val="auto"/>
          <w:highlight w:val="none"/>
        </w:rPr>
        <w:t>项目经理</w:t>
      </w:r>
    </w:p>
    <w:p w14:paraId="0D5105A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承包人项目经理：</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AB50A91">
      <w:pPr>
        <w:spacing w:line="360" w:lineRule="auto"/>
        <w:ind w:firstLine="422" w:firstLineChars="200"/>
        <w:outlineLvl w:val="0"/>
        <w:rPr>
          <w:rFonts w:hint="eastAsia" w:ascii="宋体" w:hAnsi="宋体" w:eastAsia="宋体" w:cs="宋体"/>
          <w:b/>
          <w:bCs/>
          <w:color w:val="auto"/>
          <w:highlight w:val="none"/>
        </w:rPr>
      </w:pPr>
      <w:bookmarkStart w:id="135" w:name="_Toc351203486"/>
      <w:r>
        <w:rPr>
          <w:rFonts w:hint="eastAsia" w:ascii="宋体" w:hAnsi="宋体" w:eastAsia="宋体" w:cs="宋体"/>
          <w:b/>
          <w:bCs/>
          <w:color w:val="auto"/>
          <w:highlight w:val="none"/>
        </w:rPr>
        <w:t>六、合同文件构成</w:t>
      </w:r>
      <w:bookmarkEnd w:id="135"/>
    </w:p>
    <w:p w14:paraId="45B983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本协议书与下列文件一起构成合同文件：</w:t>
      </w:r>
    </w:p>
    <w:p w14:paraId="26AF5050">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（1）中标通知书（如有）；</w:t>
      </w:r>
    </w:p>
    <w:p w14:paraId="526D3461">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（2）投标函及其附录（如有）； </w:t>
      </w:r>
    </w:p>
    <w:p w14:paraId="213B4EF5">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（3）专用合同条款及其附件；</w:t>
      </w:r>
    </w:p>
    <w:p w14:paraId="2211F772">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（4）通用合同条款；</w:t>
      </w:r>
    </w:p>
    <w:p w14:paraId="7EAEE390">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（5）技术标准和要求；</w:t>
      </w:r>
    </w:p>
    <w:p w14:paraId="743BC718">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（6）已标价工程量清单或预算书； </w:t>
      </w:r>
    </w:p>
    <w:p w14:paraId="7AA0EABF">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7</w:t>
      </w:r>
      <w:r>
        <w:rPr>
          <w:rFonts w:hint="eastAsia" w:ascii="宋体" w:hAnsi="宋体" w:eastAsia="宋体" w:cs="宋体"/>
          <w:color w:val="auto"/>
          <w:highlight w:val="none"/>
        </w:rPr>
        <w:t>）其他合同文件：</w:t>
      </w:r>
    </w:p>
    <w:p w14:paraId="0C727006">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竞争性磋商文件</w:t>
      </w:r>
      <w:r>
        <w:rPr>
          <w:rFonts w:hint="eastAsia" w:ascii="宋体" w:hAnsi="宋体" w:eastAsia="宋体" w:cs="宋体"/>
          <w:color w:val="auto"/>
          <w:highlight w:val="none"/>
        </w:rPr>
        <w:t>及附件（含所有补充通知）；</w:t>
      </w:r>
    </w:p>
    <w:p w14:paraId="05D884F3">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在合同订立及履行过程中形成的与合同有关的文件均构成合同文件组成部分。</w:t>
      </w:r>
    </w:p>
    <w:p w14:paraId="54DE060A">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上述各项合同文件包括合同当事人就该项合同文件所作出的补充和修改，属于同一类内容的文件，应以最新签署的为准。专用合同条款及其附件须经合同当事人签字或盖章。</w:t>
      </w:r>
    </w:p>
    <w:p w14:paraId="04023704">
      <w:pPr>
        <w:autoSpaceDE w:val="0"/>
        <w:autoSpaceDN w:val="0"/>
        <w:adjustRightInd w:val="0"/>
        <w:spacing w:line="360" w:lineRule="auto"/>
        <w:ind w:firstLine="422" w:firstLineChars="200"/>
        <w:jc w:val="left"/>
        <w:outlineLvl w:val="0"/>
        <w:rPr>
          <w:rFonts w:hint="eastAsia" w:ascii="宋体" w:hAnsi="宋体" w:eastAsia="宋体" w:cs="宋体"/>
          <w:b/>
          <w:bCs/>
          <w:color w:val="auto"/>
          <w:highlight w:val="none"/>
        </w:rPr>
      </w:pPr>
      <w:bookmarkStart w:id="136" w:name="_Toc351203487"/>
      <w:r>
        <w:rPr>
          <w:rFonts w:hint="eastAsia" w:ascii="宋体" w:hAnsi="宋体" w:eastAsia="宋体" w:cs="宋体"/>
          <w:b/>
          <w:bCs/>
          <w:color w:val="auto"/>
          <w:highlight w:val="none"/>
        </w:rPr>
        <w:t>七、承诺</w:t>
      </w:r>
      <w:bookmarkEnd w:id="136"/>
    </w:p>
    <w:p w14:paraId="7064CA1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发包人承诺按照法律规定履行项目审批手续、筹集工程建设资金并按照合同约定的期限和方式支付合同价款。</w:t>
      </w:r>
    </w:p>
    <w:p w14:paraId="392D5B5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承包人承诺按照法律规定及合同约定组织完成工程施工，确保工程质量和安全，不进行转包及违法分包，并在缺陷责任期及保修期内承担相应的工程维修责任。</w:t>
      </w:r>
    </w:p>
    <w:p w14:paraId="7DAEFF0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 发包人和承包人通过招投标形式签订合同的，双方理解并承诺不再就同一工程另行签订与合同实质性内容相背离的协议。</w:t>
      </w:r>
      <w:bookmarkStart w:id="137" w:name="_Toc351203488"/>
    </w:p>
    <w:p w14:paraId="13D2351A">
      <w:pPr>
        <w:spacing w:line="360" w:lineRule="auto"/>
        <w:ind w:firstLine="422" w:firstLineChars="200"/>
        <w:outlineLvl w:val="0"/>
        <w:rPr>
          <w:rFonts w:hint="eastAsia" w:ascii="宋体" w:hAnsi="宋体" w:eastAsia="宋体" w:cs="宋体"/>
          <w:b/>
          <w:bCs/>
          <w:color w:val="auto"/>
          <w:highlight w:val="none"/>
        </w:rPr>
      </w:pPr>
      <w:r>
        <w:rPr>
          <w:rFonts w:hint="eastAsia" w:ascii="宋体" w:hAnsi="宋体" w:eastAsia="宋体" w:cs="宋体"/>
          <w:b/>
          <w:bCs/>
          <w:color w:val="auto"/>
          <w:highlight w:val="none"/>
        </w:rPr>
        <w:t>八、词语含义</w:t>
      </w:r>
      <w:bookmarkEnd w:id="137"/>
    </w:p>
    <w:p w14:paraId="706804F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本协议书中词语含义与第二部分通用合同条款中赋予的含义相同。</w:t>
      </w:r>
    </w:p>
    <w:p w14:paraId="623FC2C1">
      <w:pPr>
        <w:spacing w:line="360" w:lineRule="auto"/>
        <w:ind w:firstLine="422" w:firstLineChars="200"/>
        <w:outlineLvl w:val="0"/>
        <w:rPr>
          <w:rFonts w:hint="eastAsia" w:ascii="宋体" w:hAnsi="宋体" w:eastAsia="宋体" w:cs="宋体"/>
          <w:b/>
          <w:bCs/>
          <w:color w:val="auto"/>
          <w:highlight w:val="none"/>
        </w:rPr>
      </w:pPr>
      <w:bookmarkStart w:id="138" w:name="_Toc351203489"/>
      <w:r>
        <w:rPr>
          <w:rFonts w:hint="eastAsia" w:ascii="宋体" w:hAnsi="宋体" w:eastAsia="宋体" w:cs="宋体"/>
          <w:b/>
          <w:bCs/>
          <w:color w:val="auto"/>
          <w:highlight w:val="none"/>
        </w:rPr>
        <w:t>九、签订时间</w:t>
      </w:r>
      <w:bookmarkEnd w:id="138"/>
    </w:p>
    <w:p w14:paraId="37F10EA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日签订。</w:t>
      </w:r>
    </w:p>
    <w:p w14:paraId="0BCA0DC1">
      <w:pPr>
        <w:spacing w:line="360" w:lineRule="auto"/>
        <w:ind w:firstLine="422" w:firstLineChars="200"/>
        <w:outlineLvl w:val="0"/>
        <w:rPr>
          <w:rFonts w:hint="eastAsia" w:ascii="宋体" w:hAnsi="宋体" w:eastAsia="宋体" w:cs="宋体"/>
          <w:b/>
          <w:bCs/>
          <w:color w:val="auto"/>
          <w:highlight w:val="none"/>
        </w:rPr>
      </w:pPr>
      <w:bookmarkStart w:id="139" w:name="_Toc351203490"/>
      <w:r>
        <w:rPr>
          <w:rFonts w:hint="eastAsia" w:ascii="宋体" w:hAnsi="宋体" w:eastAsia="宋体" w:cs="宋体"/>
          <w:b/>
          <w:bCs/>
          <w:color w:val="auto"/>
          <w:highlight w:val="none"/>
        </w:rPr>
        <w:t>十、签订地点</w:t>
      </w:r>
      <w:bookmarkEnd w:id="139"/>
    </w:p>
    <w:p w14:paraId="7A7A7FB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签订。</w:t>
      </w:r>
    </w:p>
    <w:p w14:paraId="31DB6E2C">
      <w:pPr>
        <w:spacing w:line="360" w:lineRule="auto"/>
        <w:ind w:firstLine="422" w:firstLineChars="200"/>
        <w:outlineLvl w:val="0"/>
        <w:rPr>
          <w:rFonts w:hint="eastAsia" w:ascii="宋体" w:hAnsi="宋体" w:eastAsia="宋体" w:cs="宋体"/>
          <w:b/>
          <w:bCs/>
          <w:color w:val="auto"/>
          <w:highlight w:val="none"/>
        </w:rPr>
      </w:pPr>
      <w:bookmarkStart w:id="140" w:name="_Toc351203491"/>
      <w:r>
        <w:rPr>
          <w:rFonts w:hint="eastAsia" w:ascii="宋体" w:hAnsi="宋体" w:eastAsia="宋体" w:cs="宋体"/>
          <w:b/>
          <w:bCs/>
          <w:color w:val="auto"/>
          <w:highlight w:val="none"/>
        </w:rPr>
        <w:t>十一、补充协议</w:t>
      </w:r>
      <w:bookmarkEnd w:id="140"/>
    </w:p>
    <w:p w14:paraId="32C43A4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合同未尽事宜，合同当事人另行签订补充协议，补充协议是合同的组成部分。</w:t>
      </w:r>
    </w:p>
    <w:p w14:paraId="1023ADF5">
      <w:pPr>
        <w:spacing w:line="360" w:lineRule="auto"/>
        <w:ind w:firstLine="422" w:firstLineChars="200"/>
        <w:outlineLvl w:val="0"/>
        <w:rPr>
          <w:rFonts w:hint="eastAsia" w:ascii="宋体" w:hAnsi="宋体" w:eastAsia="宋体" w:cs="宋体"/>
          <w:b/>
          <w:bCs/>
          <w:color w:val="auto"/>
          <w:highlight w:val="none"/>
        </w:rPr>
      </w:pPr>
      <w:bookmarkStart w:id="141" w:name="_Toc351203492"/>
      <w:r>
        <w:rPr>
          <w:rFonts w:hint="eastAsia" w:ascii="宋体" w:hAnsi="宋体" w:eastAsia="宋体" w:cs="宋体"/>
          <w:b/>
          <w:bCs/>
          <w:color w:val="auto"/>
          <w:highlight w:val="none"/>
        </w:rPr>
        <w:t>十二、合同生效</w:t>
      </w:r>
      <w:bookmarkEnd w:id="141"/>
    </w:p>
    <w:p w14:paraId="127A4FC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本合同自</w:t>
      </w:r>
      <w:r>
        <w:rPr>
          <w:rFonts w:hint="eastAsia" w:ascii="宋体" w:hAnsi="宋体" w:eastAsia="宋体" w:cs="宋体"/>
          <w:color w:val="auto"/>
          <w:highlight w:val="none"/>
          <w:u w:val="single"/>
        </w:rPr>
        <w:t xml:space="preserve">  双方法定代表人或其委托代理人签字并盖公章之日  </w:t>
      </w:r>
      <w:r>
        <w:rPr>
          <w:rFonts w:hint="eastAsia" w:ascii="宋体" w:hAnsi="宋体" w:eastAsia="宋体" w:cs="宋体"/>
          <w:color w:val="auto"/>
          <w:highlight w:val="none"/>
        </w:rPr>
        <w:t>生效。</w:t>
      </w:r>
    </w:p>
    <w:p w14:paraId="27937511">
      <w:pPr>
        <w:spacing w:line="360" w:lineRule="auto"/>
        <w:ind w:firstLine="422" w:firstLineChars="200"/>
        <w:outlineLvl w:val="0"/>
        <w:rPr>
          <w:rFonts w:hint="eastAsia" w:ascii="宋体" w:hAnsi="宋体" w:eastAsia="宋体" w:cs="宋体"/>
          <w:b/>
          <w:bCs/>
          <w:color w:val="auto"/>
          <w:highlight w:val="none"/>
        </w:rPr>
      </w:pPr>
      <w:bookmarkStart w:id="142" w:name="_Toc351203493"/>
      <w:r>
        <w:rPr>
          <w:rFonts w:hint="eastAsia" w:ascii="宋体" w:hAnsi="宋体" w:eastAsia="宋体" w:cs="宋体"/>
          <w:b/>
          <w:bCs/>
          <w:color w:val="auto"/>
          <w:highlight w:val="none"/>
        </w:rPr>
        <w:t>十三、合同份数</w:t>
      </w:r>
      <w:bookmarkEnd w:id="142"/>
    </w:p>
    <w:p w14:paraId="2772078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份，均具有同等法律效力，发包人执</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份，承包人执</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w:t>
      </w:r>
    </w:p>
    <w:p w14:paraId="252E6531">
      <w:pPr>
        <w:spacing w:line="360" w:lineRule="auto"/>
        <w:rPr>
          <w:rFonts w:hint="eastAsia" w:ascii="宋体" w:hAnsi="宋体" w:eastAsia="宋体" w:cs="宋体"/>
          <w:color w:val="auto"/>
          <w:highlight w:val="none"/>
        </w:rPr>
      </w:pPr>
    </w:p>
    <w:p w14:paraId="3A38A283">
      <w:pPr>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发包人：  （公章）                              承包人：  （公章）                                 </w:t>
      </w:r>
    </w:p>
    <w:p w14:paraId="3963F31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                    法定代表人或其委托代理人：</w:t>
      </w:r>
    </w:p>
    <w:p w14:paraId="35BD6EB3">
      <w:pPr>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（签字）                                     （签字）</w:t>
      </w:r>
    </w:p>
    <w:p w14:paraId="2F31BA65">
      <w:pPr>
        <w:tabs>
          <w:tab w:val="left" w:pos="4410"/>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统一社会信用代码：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统一社会信用代码：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0C01A76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地  址：</w:t>
      </w:r>
      <w:r>
        <w:rPr>
          <w:rFonts w:hint="eastAsia" w:ascii="宋体" w:hAnsi="宋体" w:eastAsia="宋体" w:cs="宋体"/>
          <w:color w:val="auto"/>
          <w:highlight w:val="none"/>
          <w:u w:val="single"/>
        </w:rPr>
        <w:t xml:space="preserve">                            </w:t>
      </w:r>
    </w:p>
    <w:p w14:paraId="0D17EAE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邮政编码：</w:t>
      </w:r>
      <w:r>
        <w:rPr>
          <w:rFonts w:hint="eastAsia" w:ascii="宋体" w:hAnsi="宋体" w:eastAsia="宋体" w:cs="宋体"/>
          <w:color w:val="auto"/>
          <w:highlight w:val="none"/>
          <w:u w:val="single"/>
        </w:rPr>
        <w:t xml:space="preserve">                          </w:t>
      </w:r>
    </w:p>
    <w:p w14:paraId="7B31D8C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法定代表人：</w:t>
      </w:r>
      <w:r>
        <w:rPr>
          <w:rFonts w:hint="eastAsia" w:ascii="宋体" w:hAnsi="宋体" w:eastAsia="宋体" w:cs="宋体"/>
          <w:color w:val="auto"/>
          <w:highlight w:val="none"/>
          <w:u w:val="single"/>
        </w:rPr>
        <w:t xml:space="preserve">                        </w:t>
      </w:r>
    </w:p>
    <w:p w14:paraId="7E59299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委托代理人：</w:t>
      </w:r>
      <w:r>
        <w:rPr>
          <w:rFonts w:hint="eastAsia" w:ascii="宋体" w:hAnsi="宋体" w:eastAsia="宋体" w:cs="宋体"/>
          <w:color w:val="auto"/>
          <w:highlight w:val="none"/>
          <w:u w:val="single"/>
        </w:rPr>
        <w:t xml:space="preserve">                         </w:t>
      </w:r>
    </w:p>
    <w:p w14:paraId="6C5D534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  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  话：</w:t>
      </w:r>
      <w:r>
        <w:rPr>
          <w:rFonts w:hint="eastAsia" w:ascii="宋体" w:hAnsi="宋体" w:eastAsia="宋体" w:cs="宋体"/>
          <w:color w:val="auto"/>
          <w:highlight w:val="none"/>
          <w:u w:val="single"/>
        </w:rPr>
        <w:t xml:space="preserve">                            </w:t>
      </w:r>
    </w:p>
    <w:p w14:paraId="14C7AEF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传  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传  真：</w:t>
      </w:r>
      <w:r>
        <w:rPr>
          <w:rFonts w:hint="eastAsia" w:ascii="宋体" w:hAnsi="宋体" w:eastAsia="宋体" w:cs="宋体"/>
          <w:color w:val="auto"/>
          <w:highlight w:val="none"/>
          <w:u w:val="single"/>
        </w:rPr>
        <w:t xml:space="preserve">                             </w:t>
      </w:r>
    </w:p>
    <w:p w14:paraId="42F8B2D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电子信箱：</w:t>
      </w:r>
      <w:r>
        <w:rPr>
          <w:rFonts w:hint="eastAsia" w:ascii="宋体" w:hAnsi="宋体" w:eastAsia="宋体" w:cs="宋体"/>
          <w:color w:val="auto"/>
          <w:highlight w:val="none"/>
          <w:u w:val="single"/>
        </w:rPr>
        <w:t xml:space="preserve">                         </w:t>
      </w:r>
    </w:p>
    <w:p w14:paraId="53CFC1F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开户银行：</w:t>
      </w:r>
      <w:r>
        <w:rPr>
          <w:rFonts w:hint="eastAsia" w:ascii="宋体" w:hAnsi="宋体" w:eastAsia="宋体" w:cs="宋体"/>
          <w:color w:val="auto"/>
          <w:highlight w:val="none"/>
          <w:u w:val="single"/>
        </w:rPr>
        <w:t xml:space="preserve">                         </w:t>
      </w:r>
    </w:p>
    <w:p w14:paraId="1D564900">
      <w:pPr>
        <w:rPr>
          <w:rFonts w:hint="eastAsia" w:ascii="宋体" w:hAnsi="宋体" w:eastAsia="宋体" w:cs="宋体"/>
          <w:color w:val="auto"/>
          <w:highlight w:val="none"/>
          <w:u w:val="single"/>
        </w:rPr>
      </w:pPr>
      <w:r>
        <w:rPr>
          <w:rFonts w:hint="eastAsia" w:ascii="宋体" w:hAnsi="宋体" w:eastAsia="宋体" w:cs="宋体"/>
          <w:color w:val="auto"/>
          <w:highlight w:val="none"/>
        </w:rPr>
        <w:t>账  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账  号：</w:t>
      </w:r>
      <w:r>
        <w:rPr>
          <w:rFonts w:hint="eastAsia" w:ascii="宋体" w:hAnsi="宋体" w:eastAsia="宋体" w:cs="宋体"/>
          <w:color w:val="auto"/>
          <w:highlight w:val="none"/>
          <w:u w:val="single"/>
        </w:rPr>
        <w:t xml:space="preserve">                           </w:t>
      </w:r>
    </w:p>
    <w:p w14:paraId="3C1DD9AD">
      <w:pPr>
        <w:widowControl/>
        <w:jc w:val="left"/>
        <w:rPr>
          <w:rFonts w:hint="eastAsia" w:ascii="宋体" w:hAnsi="宋体" w:eastAsia="宋体" w:cs="宋体"/>
          <w:color w:val="auto"/>
          <w:highlight w:val="none"/>
          <w:u w:val="single"/>
        </w:rPr>
      </w:pPr>
      <w:r>
        <w:rPr>
          <w:rFonts w:hint="eastAsia" w:ascii="宋体" w:hAnsi="宋体" w:eastAsia="宋体" w:cs="宋体"/>
          <w:color w:val="auto"/>
          <w:highlight w:val="none"/>
        </w:rPr>
        <w:br w:type="page"/>
      </w:r>
    </w:p>
    <w:p w14:paraId="79B0F85B">
      <w:pPr>
        <w:pStyle w:val="2"/>
        <w:keepNext w:val="0"/>
        <w:jc w:val="center"/>
        <w:rPr>
          <w:rFonts w:hint="eastAsia" w:ascii="宋体" w:hAnsi="宋体" w:eastAsia="宋体" w:cs="宋体"/>
          <w:color w:val="auto"/>
          <w:sz w:val="30"/>
          <w:szCs w:val="30"/>
          <w:highlight w:val="none"/>
        </w:rPr>
      </w:pPr>
      <w:bookmarkStart w:id="143" w:name="_Toc407135192"/>
      <w:bookmarkStart w:id="144" w:name="_Toc487632689"/>
      <w:bookmarkStart w:id="145" w:name="_Toc389065256"/>
      <w:bookmarkStart w:id="146" w:name="_Toc373478338"/>
      <w:bookmarkStart w:id="147" w:name="_Toc351203632"/>
      <w:bookmarkStart w:id="148" w:name="_Toc373227691"/>
      <w:r>
        <w:rPr>
          <w:rFonts w:hint="eastAsia" w:ascii="宋体" w:hAnsi="宋体" w:eastAsia="宋体" w:cs="宋体"/>
          <w:color w:val="auto"/>
          <w:sz w:val="30"/>
          <w:szCs w:val="30"/>
          <w:highlight w:val="none"/>
        </w:rPr>
        <w:t>第二部分 通用合同条款</w:t>
      </w:r>
      <w:bookmarkEnd w:id="143"/>
      <w:bookmarkEnd w:id="144"/>
      <w:bookmarkEnd w:id="145"/>
    </w:p>
    <w:p w14:paraId="06659700">
      <w:pPr>
        <w:spacing w:line="360" w:lineRule="auto"/>
        <w:ind w:firstLine="420" w:firstLineChars="200"/>
        <w:rPr>
          <w:rFonts w:hint="eastAsia" w:ascii="宋体" w:hAnsi="宋体" w:eastAsia="宋体" w:cs="宋体"/>
          <w:color w:val="auto"/>
          <w:kern w:val="0"/>
          <w:highlight w:val="none"/>
        </w:rPr>
      </w:pPr>
    </w:p>
    <w:p w14:paraId="206D4546">
      <w:pPr>
        <w:spacing w:line="360" w:lineRule="auto"/>
        <w:ind w:firstLine="422" w:firstLineChars="200"/>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采用《建设工程施工合同（示范文本）》（GF—201</w:t>
      </w:r>
      <w:r>
        <w:rPr>
          <w:rFonts w:hint="eastAsia" w:ascii="宋体" w:hAnsi="宋体" w:cs="宋体"/>
          <w:b/>
          <w:bCs/>
          <w:color w:val="auto"/>
          <w:kern w:val="0"/>
          <w:highlight w:val="none"/>
          <w:lang w:val="en-US" w:eastAsia="zh-CN"/>
        </w:rPr>
        <w:t>7</w:t>
      </w:r>
      <w:r>
        <w:rPr>
          <w:rFonts w:hint="eastAsia" w:ascii="宋体" w:hAnsi="宋体" w:eastAsia="宋体" w:cs="宋体"/>
          <w:b/>
          <w:bCs/>
          <w:color w:val="auto"/>
          <w:kern w:val="0"/>
          <w:highlight w:val="none"/>
        </w:rPr>
        <w:t>—0201）。</w:t>
      </w:r>
    </w:p>
    <w:p w14:paraId="447327F7">
      <w:pPr>
        <w:pStyle w:val="2"/>
        <w:keepNext w:val="0"/>
        <w:jc w:val="center"/>
        <w:rPr>
          <w:rFonts w:hint="eastAsia" w:ascii="宋体" w:hAnsi="宋体" w:eastAsia="宋体" w:cs="宋体"/>
          <w:color w:val="auto"/>
          <w:sz w:val="30"/>
          <w:szCs w:val="30"/>
          <w:highlight w:val="none"/>
        </w:rPr>
      </w:pPr>
    </w:p>
    <w:p w14:paraId="747B95AA">
      <w:pPr>
        <w:pStyle w:val="2"/>
        <w:keepNext w:val="0"/>
        <w:jc w:val="center"/>
        <w:rPr>
          <w:rFonts w:hint="eastAsia" w:ascii="宋体" w:hAnsi="宋体" w:eastAsia="宋体" w:cs="宋体"/>
          <w:color w:val="auto"/>
          <w:sz w:val="30"/>
          <w:szCs w:val="30"/>
          <w:highlight w:val="none"/>
        </w:rPr>
      </w:pPr>
      <w:bookmarkStart w:id="149" w:name="_Toc389065257"/>
      <w:bookmarkStart w:id="150" w:name="_Toc407135193"/>
      <w:bookmarkStart w:id="151" w:name="_Toc487632690"/>
      <w:r>
        <w:rPr>
          <w:rFonts w:hint="eastAsia" w:ascii="宋体" w:hAnsi="宋体" w:eastAsia="宋体" w:cs="宋体"/>
          <w:color w:val="auto"/>
          <w:sz w:val="30"/>
          <w:szCs w:val="30"/>
          <w:highlight w:val="none"/>
        </w:rPr>
        <w:t>第三部分 专用合同条款</w:t>
      </w:r>
      <w:bookmarkEnd w:id="146"/>
      <w:bookmarkEnd w:id="147"/>
      <w:bookmarkEnd w:id="148"/>
      <w:bookmarkEnd w:id="149"/>
      <w:bookmarkEnd w:id="150"/>
      <w:bookmarkEnd w:id="151"/>
    </w:p>
    <w:p w14:paraId="7C8D76E8">
      <w:pPr>
        <w:spacing w:line="360" w:lineRule="auto"/>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（注：专用合同条款每一条均应填写完整！）</w:t>
      </w:r>
    </w:p>
    <w:p w14:paraId="1C826B86">
      <w:pPr>
        <w:pStyle w:val="3"/>
        <w:rPr>
          <w:rFonts w:hint="eastAsia" w:ascii="宋体" w:hAnsi="宋体" w:eastAsia="宋体" w:cs="宋体"/>
          <w:color w:val="auto"/>
          <w:highlight w:val="none"/>
        </w:rPr>
      </w:pPr>
      <w:bookmarkStart w:id="152" w:name="_Toc389065258"/>
      <w:bookmarkStart w:id="153" w:name="_Toc407135194"/>
      <w:bookmarkStart w:id="154" w:name="_Toc487632691"/>
      <w:bookmarkStart w:id="155" w:name="_Toc351203633"/>
      <w:bookmarkStart w:id="156" w:name="_Toc373478339"/>
      <w:bookmarkStart w:id="157" w:name="_Toc373227692"/>
      <w:r>
        <w:rPr>
          <w:rFonts w:hint="eastAsia" w:ascii="宋体" w:hAnsi="宋体" w:eastAsia="宋体" w:cs="宋体"/>
          <w:color w:val="auto"/>
          <w:highlight w:val="none"/>
        </w:rPr>
        <w:t>1</w:t>
      </w:r>
      <w:bookmarkStart w:id="158" w:name="_Toc296503156"/>
      <w:bookmarkStart w:id="159" w:name="_Toc297048342"/>
      <w:bookmarkStart w:id="160" w:name="_Toc292559361"/>
      <w:bookmarkStart w:id="161" w:name="_Toc296347155"/>
      <w:bookmarkStart w:id="162" w:name="_Toc297120456"/>
      <w:bookmarkStart w:id="163" w:name="_Toc296346657"/>
      <w:bookmarkStart w:id="164" w:name="_Toc296944495"/>
      <w:bookmarkStart w:id="165" w:name="_Toc292559866"/>
      <w:bookmarkStart w:id="166" w:name="_Toc296890984"/>
      <w:bookmarkStart w:id="167" w:name="_Toc296891196"/>
      <w:r>
        <w:rPr>
          <w:rFonts w:hint="eastAsia" w:ascii="宋体" w:hAnsi="宋体" w:eastAsia="宋体" w:cs="宋体"/>
          <w:color w:val="auto"/>
          <w:highlight w:val="none"/>
        </w:rPr>
        <w:t>. 一般约定</w:t>
      </w:r>
      <w:bookmarkEnd w:id="152"/>
      <w:bookmarkEnd w:id="153"/>
      <w:bookmarkEnd w:id="154"/>
      <w:bookmarkEnd w:id="155"/>
      <w:bookmarkEnd w:id="156"/>
      <w:bookmarkEnd w:id="157"/>
    </w:p>
    <w:bookmarkEnd w:id="158"/>
    <w:bookmarkEnd w:id="159"/>
    <w:bookmarkEnd w:id="160"/>
    <w:bookmarkEnd w:id="161"/>
    <w:bookmarkEnd w:id="162"/>
    <w:bookmarkEnd w:id="163"/>
    <w:bookmarkEnd w:id="164"/>
    <w:bookmarkEnd w:id="165"/>
    <w:bookmarkEnd w:id="166"/>
    <w:bookmarkEnd w:id="167"/>
    <w:p w14:paraId="607728D8">
      <w:pPr>
        <w:pStyle w:val="4"/>
        <w:rPr>
          <w:rFonts w:hint="eastAsia" w:ascii="宋体" w:hAnsi="宋体" w:eastAsia="宋体" w:cs="宋体"/>
          <w:color w:val="auto"/>
          <w:highlight w:val="none"/>
        </w:rPr>
      </w:pPr>
      <w:bookmarkStart w:id="168" w:name="_Toc373478340"/>
      <w:bookmarkStart w:id="169" w:name="_Toc407135195"/>
      <w:bookmarkStart w:id="170" w:name="_Toc373227693"/>
      <w:bookmarkStart w:id="171" w:name="_Toc389065259"/>
      <w:bookmarkStart w:id="172" w:name="_Toc487632692"/>
      <w:r>
        <w:rPr>
          <w:rFonts w:hint="eastAsia" w:ascii="宋体" w:hAnsi="宋体" w:eastAsia="宋体" w:cs="宋体"/>
          <w:color w:val="auto"/>
          <w:highlight w:val="none"/>
        </w:rPr>
        <w:t>1.1 词语定义</w:t>
      </w:r>
      <w:bookmarkEnd w:id="168"/>
      <w:bookmarkEnd w:id="169"/>
      <w:bookmarkEnd w:id="170"/>
      <w:bookmarkEnd w:id="171"/>
      <w:bookmarkEnd w:id="172"/>
    </w:p>
    <w:p w14:paraId="6F46BC04">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1.1.1 合同</w:t>
      </w:r>
    </w:p>
    <w:p w14:paraId="4C2E566D">
      <w:pPr>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1.1.1.1 其他合同文件包括：</w:t>
      </w:r>
      <w:r>
        <w:rPr>
          <w:rFonts w:hint="eastAsia" w:ascii="宋体" w:hAnsi="宋体" w:eastAsia="宋体" w:cs="宋体"/>
          <w:color w:val="auto"/>
          <w:highlight w:val="none"/>
          <w:u w:val="single"/>
        </w:rPr>
        <w:t xml:space="preserve">  </w:t>
      </w:r>
      <w:r>
        <w:rPr>
          <w:rFonts w:hint="eastAsia" w:ascii="宋体" w:hAnsi="宋体" w:eastAsia="宋体" w:cs="宋体"/>
          <w:color w:val="auto"/>
          <w:szCs w:val="21"/>
          <w:highlight w:val="none"/>
          <w:u w:val="single"/>
        </w:rPr>
        <w:t>合同协议书；中标通知书；</w:t>
      </w:r>
      <w:r>
        <w:rPr>
          <w:rFonts w:hint="eastAsia" w:ascii="宋体" w:hAnsi="宋体" w:eastAsia="宋体" w:cs="宋体"/>
          <w:color w:val="auto"/>
          <w:kern w:val="0"/>
          <w:szCs w:val="21"/>
          <w:highlight w:val="none"/>
          <w:u w:val="single"/>
        </w:rPr>
        <w:t>投标函及其附录；</w:t>
      </w:r>
      <w:r>
        <w:rPr>
          <w:rFonts w:hint="eastAsia" w:ascii="宋体" w:hAnsi="宋体" w:eastAsia="宋体" w:cs="宋体"/>
          <w:color w:val="auto"/>
          <w:szCs w:val="21"/>
          <w:highlight w:val="none"/>
          <w:u w:val="single"/>
        </w:rPr>
        <w:t>专用合同条款及其附件；通用合同条款；技术标准和要求；招标工程量清单；</w:t>
      </w:r>
      <w:r>
        <w:rPr>
          <w:rFonts w:hint="eastAsia" w:ascii="宋体" w:hAnsi="宋体" w:eastAsia="宋体" w:cs="宋体"/>
          <w:color w:val="auto"/>
          <w:szCs w:val="21"/>
          <w:highlight w:val="none"/>
          <w:u w:val="single"/>
          <w:lang w:eastAsia="zh-CN"/>
        </w:rPr>
        <w:t>竞争性磋商文件</w:t>
      </w:r>
      <w:r>
        <w:rPr>
          <w:rFonts w:hint="eastAsia" w:ascii="宋体" w:hAnsi="宋体" w:eastAsia="宋体" w:cs="宋体"/>
          <w:color w:val="auto"/>
          <w:szCs w:val="21"/>
          <w:highlight w:val="none"/>
          <w:u w:val="single"/>
        </w:rPr>
        <w:t>；投标文件；其他合同文件；补充协议；工程洽商；经发包人同意监理人发布的变更指示和工程签证；工程会议纪要；备忘录</w:t>
      </w:r>
      <w:r>
        <w:rPr>
          <w:rFonts w:hint="eastAsia" w:ascii="宋体" w:hAnsi="宋体" w:cs="宋体"/>
          <w:color w:val="auto"/>
          <w:szCs w:val="21"/>
          <w:highlight w:val="none"/>
          <w:u w:val="single"/>
          <w:lang w:eastAsia="zh-CN"/>
        </w:rPr>
        <w:t xml:space="preserve">等，双方当事人确认构成合同文件的其他文件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9BE655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合同当事人及其他相关方</w:t>
      </w:r>
    </w:p>
    <w:p w14:paraId="55338A40">
      <w:pPr>
        <w:spacing w:line="360" w:lineRule="auto"/>
        <w:ind w:firstLine="420" w:firstLineChars="200"/>
        <w:outlineLvl w:val="0"/>
        <w:rPr>
          <w:rFonts w:hint="eastAsia" w:ascii="宋体" w:hAnsi="宋体" w:eastAsia="宋体" w:cs="宋体"/>
          <w:color w:val="auto"/>
          <w:highlight w:val="none"/>
        </w:rPr>
      </w:pPr>
      <w:r>
        <w:rPr>
          <w:rFonts w:hint="eastAsia" w:ascii="宋体" w:hAnsi="宋体" w:eastAsia="宋体" w:cs="宋体"/>
          <w:color w:val="auto"/>
          <w:highlight w:val="none"/>
        </w:rPr>
        <w:t>1.1.2.1 监理人：</w:t>
      </w:r>
    </w:p>
    <w:p w14:paraId="1D0BB34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7315CF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B3698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39F4EE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5B35E0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547EF77">
      <w:pPr>
        <w:spacing w:line="360" w:lineRule="auto"/>
        <w:ind w:firstLine="420" w:firstLineChars="200"/>
        <w:outlineLvl w:val="0"/>
        <w:rPr>
          <w:rFonts w:hint="eastAsia" w:ascii="宋体" w:hAnsi="宋体" w:eastAsia="宋体" w:cs="宋体"/>
          <w:color w:val="auto"/>
          <w:highlight w:val="none"/>
        </w:rPr>
      </w:pPr>
      <w:r>
        <w:rPr>
          <w:rFonts w:hint="eastAsia" w:ascii="宋体" w:hAnsi="宋体" w:eastAsia="宋体" w:cs="宋体"/>
          <w:color w:val="auto"/>
          <w:highlight w:val="none"/>
        </w:rPr>
        <w:t>1.1.2.2设计人：</w:t>
      </w:r>
    </w:p>
    <w:p w14:paraId="530ABD0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47FE4C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BE237F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E10AA9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8493BE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D4F68F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工程和设备</w:t>
      </w:r>
    </w:p>
    <w:p w14:paraId="21CE59D5">
      <w:pPr>
        <w:spacing w:line="360" w:lineRule="auto"/>
        <w:ind w:firstLine="420" w:firstLineChars="200"/>
        <w:rPr>
          <w:rFonts w:hint="eastAsia" w:ascii="宋体" w:hAnsi="宋体" w:eastAsia="宋体" w:cs="宋体"/>
          <w:color w:val="auto"/>
          <w:highlight w:val="none"/>
        </w:rPr>
      </w:pPr>
      <w:bookmarkStart w:id="173" w:name="_Toc487632693"/>
      <w:bookmarkStart w:id="174" w:name="_Toc373227694"/>
      <w:bookmarkStart w:id="175" w:name="_Toc373478341"/>
      <w:bookmarkStart w:id="176" w:name="_Toc407135196"/>
      <w:bookmarkStart w:id="177" w:name="_Toc389065260"/>
      <w:r>
        <w:rPr>
          <w:rFonts w:hint="eastAsia" w:ascii="宋体" w:hAnsi="宋体" w:eastAsia="宋体" w:cs="宋体"/>
          <w:color w:val="auto"/>
          <w:highlight w:val="none"/>
        </w:rPr>
        <w:t>1.1.3.1 作为施工现场组成部分的其他场所包括：</w:t>
      </w:r>
      <w:r>
        <w:rPr>
          <w:rFonts w:hint="eastAsia" w:ascii="宋体" w:hAnsi="宋体" w:eastAsia="宋体" w:cs="宋体"/>
          <w:color w:val="auto"/>
          <w:highlight w:val="none"/>
          <w:u w:val="single"/>
        </w:rPr>
        <w:t>包括永久占地、临时占地。</w:t>
      </w:r>
    </w:p>
    <w:p w14:paraId="1A05F9FF">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1.1.3.2 永久占地包括：</w:t>
      </w:r>
      <w:r>
        <w:rPr>
          <w:rFonts w:hint="eastAsia" w:ascii="宋体" w:hAnsi="宋体" w:eastAsia="宋体" w:cs="宋体"/>
          <w:color w:val="auto"/>
          <w:highlight w:val="none"/>
          <w:u w:val="single"/>
        </w:rPr>
        <w:t>为实施合同工程需永久占用的土地。</w:t>
      </w:r>
    </w:p>
    <w:p w14:paraId="7AAB612E">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1.1.3.3 临时占地包括：</w:t>
      </w:r>
      <w:r>
        <w:rPr>
          <w:rFonts w:hint="eastAsia" w:ascii="宋体" w:hAnsi="宋体" w:eastAsia="宋体" w:cs="宋体"/>
          <w:color w:val="auto"/>
          <w:highlight w:val="none"/>
          <w:u w:val="single"/>
        </w:rPr>
        <w:t>为实施合同工程需永久占用的土地。</w:t>
      </w:r>
    </w:p>
    <w:p w14:paraId="757D7436">
      <w:pPr>
        <w:pStyle w:val="4"/>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法律</w:t>
      </w:r>
      <w:bookmarkEnd w:id="173"/>
      <w:bookmarkEnd w:id="174"/>
      <w:bookmarkEnd w:id="175"/>
      <w:bookmarkEnd w:id="176"/>
      <w:bookmarkEnd w:id="177"/>
    </w:p>
    <w:p w14:paraId="2057BFCC">
      <w:pPr>
        <w:autoSpaceDE w:val="0"/>
        <w:autoSpaceDN w:val="0"/>
        <w:adjustRightIn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适用于合同的其他规范性文件：</w:t>
      </w:r>
      <w:r>
        <w:rPr>
          <w:rFonts w:hint="eastAsia" w:ascii="宋体" w:hAnsi="宋体" w:cs="宋体"/>
          <w:color w:val="auto"/>
          <w:highlight w:val="none"/>
          <w:u w:val="single"/>
          <w:lang w:val="en-US" w:eastAsia="zh-CN"/>
        </w:rPr>
        <w:t>《中华人民共和国民法典》、《中华人民共和国建筑法》、《中华人民共和国安全生产法》、《建筑工程质量管理条例》、桂政发【2012】42号《广西壮族自治区人民政府关于印发广西壮族自治区建筑安装工程劳动保险费管理办法的通知》、梧政办发[2014]2号《梧州市人民政府办公室转发市住建委关于我市建设工程安全防护文明施工措施费管理规定的通知》，《梧州市人民政府办公室关于印发我市国有投资项目建设工程招投标监管若干规定的通知》梧政办发【2018】203号文、《梧州市关于全面治理拖欠农民工工资问题的实施方案及配套办法》梧政办发【2017】201号文以及其他有关法律、法规和工程所在地的政府及相关主管部门制定的规范性文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D4DA44D">
      <w:pPr>
        <w:pStyle w:val="4"/>
        <w:rPr>
          <w:rFonts w:hint="eastAsia" w:ascii="宋体" w:hAnsi="宋体" w:eastAsia="宋体" w:cs="宋体"/>
          <w:color w:val="auto"/>
          <w:highlight w:val="none"/>
        </w:rPr>
      </w:pPr>
      <w:bookmarkStart w:id="178" w:name="_Toc487632694"/>
      <w:bookmarkStart w:id="179" w:name="_Toc373227695"/>
      <w:bookmarkStart w:id="180" w:name="_Toc373478342"/>
      <w:bookmarkStart w:id="181" w:name="_Toc407135197"/>
      <w:bookmarkStart w:id="182" w:name="_Toc389065261"/>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标准和规范</w:t>
      </w:r>
      <w:bookmarkEnd w:id="178"/>
      <w:bookmarkEnd w:id="179"/>
      <w:bookmarkEnd w:id="180"/>
      <w:bookmarkEnd w:id="181"/>
      <w:bookmarkEnd w:id="182"/>
    </w:p>
    <w:p w14:paraId="4DFEF76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1.3.1 适用于工程的标准规范包括：</w:t>
      </w:r>
      <w:r>
        <w:rPr>
          <w:rFonts w:hint="eastAsia" w:ascii="宋体" w:hAnsi="宋体" w:eastAsia="宋体" w:cs="宋体"/>
          <w:color w:val="auto"/>
          <w:highlight w:val="none"/>
          <w:u w:val="single"/>
        </w:rPr>
        <w:t xml:space="preserve">  现行的国家标准、行业标准、地方规范性文件    </w:t>
      </w:r>
      <w:r>
        <w:rPr>
          <w:rFonts w:hint="eastAsia" w:ascii="宋体" w:hAnsi="宋体" w:eastAsia="宋体" w:cs="宋体"/>
          <w:color w:val="auto"/>
          <w:highlight w:val="none"/>
        </w:rPr>
        <w:t>。</w:t>
      </w:r>
    </w:p>
    <w:p w14:paraId="61A24741">
      <w:pPr>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1.3.2 发包人提供国外标准、规范的名称：</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27CBAC2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发包人提供国外标准、规范的份数：</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无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61239E9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发包人提供国外标准、规范的名称：</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无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0E4912F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1.3.3 发包人对工程的技术标准和功能要求的特殊要求：</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7F5D113D">
      <w:pPr>
        <w:pStyle w:val="4"/>
        <w:rPr>
          <w:rFonts w:hint="eastAsia" w:ascii="宋体" w:hAnsi="宋体" w:eastAsia="宋体" w:cs="宋体"/>
          <w:color w:val="auto"/>
          <w:highlight w:val="none"/>
        </w:rPr>
      </w:pPr>
      <w:bookmarkStart w:id="183" w:name="_Toc373227696"/>
      <w:bookmarkStart w:id="184" w:name="_Toc389065262"/>
      <w:bookmarkStart w:id="185" w:name="_Toc407135198"/>
      <w:bookmarkStart w:id="186" w:name="_Toc487632695"/>
      <w:bookmarkStart w:id="187" w:name="_Toc373478343"/>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xml:space="preserve"> 合同文件的优先顺序</w:t>
      </w:r>
      <w:bookmarkEnd w:id="183"/>
      <w:bookmarkEnd w:id="184"/>
      <w:bookmarkEnd w:id="185"/>
      <w:bookmarkEnd w:id="186"/>
      <w:bookmarkEnd w:id="187"/>
    </w:p>
    <w:p w14:paraId="333CF6A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合同文件组成及优先顺序为：</w:t>
      </w:r>
    </w:p>
    <w:p w14:paraId="53DED97C">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（1）合同协议书；</w:t>
      </w:r>
    </w:p>
    <w:p w14:paraId="051A8300">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（2）中标通知书；</w:t>
      </w:r>
    </w:p>
    <w:p w14:paraId="3B9A5DAD">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（3）磋商函及其附录；</w:t>
      </w:r>
    </w:p>
    <w:p w14:paraId="3892794D">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（4）专用合同条款及其附件；</w:t>
      </w:r>
    </w:p>
    <w:p w14:paraId="1BB390D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（5）通用合同条款；</w:t>
      </w:r>
    </w:p>
    <w:p w14:paraId="2F93A209">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（6）</w:t>
      </w:r>
      <w:r>
        <w:rPr>
          <w:rFonts w:hint="eastAsia" w:ascii="宋体" w:hAnsi="宋体" w:eastAsia="宋体" w:cs="宋体"/>
          <w:color w:val="auto"/>
          <w:kern w:val="0"/>
          <w:highlight w:val="none"/>
          <w:u w:val="single"/>
        </w:rPr>
        <w:t xml:space="preserve">  技术标准和要求      </w:t>
      </w:r>
      <w:r>
        <w:rPr>
          <w:rFonts w:hint="eastAsia" w:ascii="宋体" w:hAnsi="宋体" w:eastAsia="宋体" w:cs="宋体"/>
          <w:color w:val="auto"/>
          <w:kern w:val="0"/>
          <w:highlight w:val="none"/>
        </w:rPr>
        <w:t>；</w:t>
      </w:r>
    </w:p>
    <w:p w14:paraId="1F0B141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（7）</w:t>
      </w:r>
      <w:r>
        <w:rPr>
          <w:rFonts w:hint="eastAsia" w:ascii="宋体" w:hAnsi="宋体" w:eastAsia="宋体" w:cs="宋体"/>
          <w:color w:val="auto"/>
          <w:kern w:val="0"/>
          <w:highlight w:val="none"/>
          <w:u w:val="single"/>
        </w:rPr>
        <w:t xml:space="preserve">  已标价工程量清单或预算书      </w:t>
      </w:r>
      <w:r>
        <w:rPr>
          <w:rFonts w:hint="eastAsia" w:ascii="宋体" w:hAnsi="宋体" w:eastAsia="宋体" w:cs="宋体"/>
          <w:color w:val="auto"/>
          <w:kern w:val="0"/>
          <w:highlight w:val="none"/>
        </w:rPr>
        <w:t>；</w:t>
      </w:r>
    </w:p>
    <w:p w14:paraId="512A7FF8">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cs="宋体"/>
          <w:color w:val="auto"/>
          <w:kern w:val="0"/>
          <w:highlight w:val="none"/>
          <w:lang w:val="en-US" w:eastAsia="zh-CN"/>
        </w:rPr>
        <w:t>8</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u w:val="single"/>
        </w:rPr>
        <w:t xml:space="preserve">  其他合同文件    </w:t>
      </w:r>
      <w:r>
        <w:rPr>
          <w:rFonts w:hint="eastAsia" w:ascii="宋体" w:hAnsi="宋体" w:eastAsia="宋体" w:cs="宋体"/>
          <w:color w:val="auto"/>
          <w:kern w:val="0"/>
          <w:highlight w:val="none"/>
        </w:rPr>
        <w:t>。</w:t>
      </w:r>
    </w:p>
    <w:p w14:paraId="0EAB913B">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cs="宋体"/>
          <w:color w:val="auto"/>
          <w:kern w:val="0"/>
          <w:highlight w:val="none"/>
          <w:lang w:val="en-US" w:eastAsia="zh-CN"/>
        </w:rPr>
        <w:t>9</w:t>
      </w:r>
      <w:r>
        <w:rPr>
          <w:rFonts w:hint="eastAsia" w:ascii="宋体" w:hAnsi="宋体" w:eastAsia="宋体" w:cs="宋体"/>
          <w:color w:val="auto"/>
          <w:kern w:val="0"/>
          <w:highlight w:val="none"/>
        </w:rPr>
        <w:t>）《建设工程工程量清单计价规范（GB5050-2013）》及其广西实施细则及《关于建筑业实施营业税改征增值税后广西壮族自治区建设工程计价依据调整的通知》（桂建标〔2016〕17号）、《建设工程工程量清单计算规范（GB5854~50862-2013）》及其广西实施细则（修订本）。</w:t>
      </w:r>
    </w:p>
    <w:p w14:paraId="0E49D86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说明：（6）、（7）、（8）填空内容分别限于技术标准和要求、已标价工程量清单或预算书、其他合同文件四者之一，其优先顺序可根据采取的不同合同方式由双方约定。</w:t>
      </w:r>
    </w:p>
    <w:p w14:paraId="0BB80699">
      <w:pPr>
        <w:pStyle w:val="4"/>
        <w:rPr>
          <w:rFonts w:hint="eastAsia" w:ascii="宋体" w:hAnsi="宋体" w:eastAsia="宋体" w:cs="宋体"/>
          <w:color w:val="auto"/>
          <w:highlight w:val="none"/>
        </w:rPr>
      </w:pPr>
      <w:bookmarkStart w:id="188" w:name="_Toc373227697"/>
      <w:bookmarkStart w:id="189" w:name="_Toc389065263"/>
      <w:bookmarkStart w:id="190" w:name="_Toc407135199"/>
      <w:bookmarkStart w:id="191" w:name="_Toc373478344"/>
      <w:bookmarkStart w:id="192" w:name="_Toc487632696"/>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 xml:space="preserve"> 图纸和承包人文件</w:t>
      </w:r>
      <w:bookmarkEnd w:id="188"/>
      <w:bookmarkEnd w:id="189"/>
      <w:bookmarkEnd w:id="190"/>
      <w:bookmarkEnd w:id="191"/>
      <w:bookmarkEnd w:id="192"/>
      <w:r>
        <w:rPr>
          <w:rFonts w:hint="eastAsia" w:ascii="宋体" w:hAnsi="宋体" w:eastAsia="宋体" w:cs="宋体"/>
          <w:color w:val="auto"/>
          <w:highlight w:val="none"/>
        </w:rPr>
        <w:tab/>
      </w:r>
    </w:p>
    <w:p w14:paraId="75DCC44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1.5.1 图纸的提供</w:t>
      </w:r>
    </w:p>
    <w:p w14:paraId="7382EE8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发包人向承包人提供图纸的期限：</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D9EE00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发包人向承包人提供图纸的数量：</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套（承包人需要增加图纸套数的，发包人应代为复制，复制费用由承包人承担）；</w:t>
      </w:r>
    </w:p>
    <w:p w14:paraId="3DA247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发包人向承包人提供图纸的内容：</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eastAsia="zh-CN"/>
        </w:rPr>
        <w:t>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DD2434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1.5.2承包人文件</w:t>
      </w:r>
    </w:p>
    <w:p w14:paraId="03BA0F3C">
      <w:pPr>
        <w:spacing w:line="360" w:lineRule="auto"/>
        <w:ind w:firstLine="420" w:firstLineChars="200"/>
        <w:jc w:val="left"/>
        <w:rPr>
          <w:rFonts w:hint="eastAsia" w:ascii="宋体" w:hAnsi="宋体" w:eastAsia="宋体" w:cs="宋体"/>
          <w:color w:val="auto"/>
          <w:highlight w:val="none"/>
          <w:u w:val="single"/>
        </w:rPr>
      </w:pPr>
      <w:bookmarkStart w:id="193" w:name="_Toc389065264"/>
      <w:bookmarkStart w:id="194" w:name="_Toc373227698"/>
      <w:bookmarkStart w:id="195" w:name="_Toc373478345"/>
      <w:bookmarkStart w:id="196" w:name="_Toc487632697"/>
      <w:bookmarkStart w:id="197" w:name="_Toc407135200"/>
      <w:r>
        <w:rPr>
          <w:rFonts w:hint="eastAsia" w:ascii="宋体" w:hAnsi="宋体" w:eastAsia="宋体" w:cs="宋体"/>
          <w:color w:val="auto"/>
          <w:highlight w:val="none"/>
        </w:rPr>
        <w:t>需要由承包人提供的文件，包括：</w:t>
      </w:r>
      <w:r>
        <w:rPr>
          <w:rFonts w:hint="eastAsia" w:ascii="宋体" w:hAnsi="宋体" w:eastAsia="宋体" w:cs="宋体"/>
          <w:color w:val="auto"/>
          <w:highlight w:val="none"/>
          <w:u w:val="single"/>
        </w:rPr>
        <w:t xml:space="preserve">因承包人原因提出的设计变更方案、质量处理整改方案 </w:t>
      </w:r>
      <w:r>
        <w:rPr>
          <w:rFonts w:hint="eastAsia" w:ascii="宋体" w:hAnsi="宋体" w:eastAsia="宋体" w:cs="宋体"/>
          <w:color w:val="auto"/>
          <w:highlight w:val="none"/>
        </w:rPr>
        <w:t>；</w:t>
      </w:r>
    </w:p>
    <w:p w14:paraId="62454AE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承包人提供的文件的期限为：</w:t>
      </w:r>
      <w:r>
        <w:rPr>
          <w:rFonts w:hint="eastAsia" w:ascii="宋体" w:hAnsi="宋体" w:eastAsia="宋体" w:cs="宋体"/>
          <w:color w:val="auto"/>
          <w:highlight w:val="none"/>
          <w:u w:val="single"/>
        </w:rPr>
        <w:t xml:space="preserve">    文件实施前3天      </w:t>
      </w:r>
      <w:r>
        <w:rPr>
          <w:rFonts w:hint="eastAsia" w:ascii="宋体" w:hAnsi="宋体" w:eastAsia="宋体" w:cs="宋体"/>
          <w:color w:val="auto"/>
          <w:highlight w:val="none"/>
        </w:rPr>
        <w:t>；</w:t>
      </w:r>
    </w:p>
    <w:p w14:paraId="1302904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承包人提供的文件的数量为：</w:t>
      </w:r>
      <w:r>
        <w:rPr>
          <w:rFonts w:hint="eastAsia" w:ascii="宋体" w:hAnsi="宋体" w:eastAsia="宋体" w:cs="宋体"/>
          <w:color w:val="auto"/>
          <w:highlight w:val="none"/>
          <w:u w:val="single"/>
        </w:rPr>
        <w:t xml:space="preserve">  按发包人要求提供      </w:t>
      </w:r>
      <w:r>
        <w:rPr>
          <w:rFonts w:hint="eastAsia" w:ascii="宋体" w:hAnsi="宋体" w:eastAsia="宋体" w:cs="宋体"/>
          <w:color w:val="auto"/>
          <w:highlight w:val="none"/>
        </w:rPr>
        <w:t>；</w:t>
      </w:r>
    </w:p>
    <w:p w14:paraId="696499F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承包人提供的文件的形式为：</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eastAsia="zh-CN"/>
        </w:rPr>
        <w:t>电子签章</w:t>
      </w:r>
      <w:r>
        <w:rPr>
          <w:rFonts w:hint="eastAsia" w:ascii="宋体" w:hAnsi="宋体" w:eastAsia="宋体" w:cs="宋体"/>
          <w:color w:val="auto"/>
          <w:highlight w:val="none"/>
          <w:u w:val="single"/>
        </w:rPr>
        <w:t xml:space="preserve">的纸质文件  </w:t>
      </w:r>
      <w:r>
        <w:rPr>
          <w:rFonts w:hint="eastAsia" w:ascii="宋体" w:hAnsi="宋体" w:eastAsia="宋体" w:cs="宋体"/>
          <w:color w:val="auto"/>
          <w:highlight w:val="none"/>
        </w:rPr>
        <w:t>；</w:t>
      </w:r>
    </w:p>
    <w:p w14:paraId="697358F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发包人审批承包人文件的期限：</w:t>
      </w:r>
      <w:r>
        <w:rPr>
          <w:rFonts w:hint="eastAsia" w:ascii="宋体" w:hAnsi="宋体" w:eastAsia="宋体" w:cs="宋体"/>
          <w:color w:val="auto"/>
          <w:highlight w:val="none"/>
          <w:u w:val="single"/>
        </w:rPr>
        <w:t xml:space="preserve">    收到文件后7天内   </w:t>
      </w:r>
      <w:r>
        <w:rPr>
          <w:rFonts w:hint="eastAsia" w:ascii="宋体" w:hAnsi="宋体" w:eastAsia="宋体" w:cs="宋体"/>
          <w:color w:val="auto"/>
          <w:highlight w:val="none"/>
        </w:rPr>
        <w:t>。</w:t>
      </w:r>
    </w:p>
    <w:p w14:paraId="42B2149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1.5.3 现场图纸准备</w:t>
      </w:r>
    </w:p>
    <w:p w14:paraId="517E708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关于现场图纸准备的约定：</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highlight w:val="none"/>
        </w:rPr>
        <w:t>。</w:t>
      </w:r>
    </w:p>
    <w:p w14:paraId="59D6E3BE">
      <w:pPr>
        <w:pStyle w:val="4"/>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联络</w:t>
      </w:r>
      <w:bookmarkEnd w:id="193"/>
      <w:bookmarkEnd w:id="194"/>
      <w:bookmarkEnd w:id="195"/>
      <w:bookmarkEnd w:id="196"/>
      <w:bookmarkEnd w:id="197"/>
    </w:p>
    <w:p w14:paraId="08AC27DE">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1.6.1发包人和承包人应当在</w:t>
      </w:r>
      <w:r>
        <w:rPr>
          <w:rFonts w:hint="eastAsia" w:ascii="宋体" w:hAnsi="宋体" w:eastAsia="宋体" w:cs="宋体"/>
          <w:color w:val="auto"/>
          <w:highlight w:val="none"/>
          <w:u w:val="single"/>
        </w:rPr>
        <w:t xml:space="preserve"> 3 </w:t>
      </w:r>
      <w:r>
        <w:rPr>
          <w:rFonts w:hint="eastAsia" w:ascii="宋体" w:hAnsi="宋体" w:eastAsia="宋体" w:cs="宋体"/>
          <w:color w:val="auto"/>
          <w:kern w:val="0"/>
          <w:highlight w:val="none"/>
        </w:rPr>
        <w:t>天内将与合同有关的通知、批准、证明、证书、指示、指令、要求、请求、同意、意见、确定和决定等书面函件送达对方当事人。</w:t>
      </w:r>
    </w:p>
    <w:p w14:paraId="23A7C49D">
      <w:pPr>
        <w:spacing w:line="360" w:lineRule="auto"/>
        <w:ind w:firstLine="420" w:firstLineChars="200"/>
        <w:rPr>
          <w:rFonts w:hint="eastAsia" w:ascii="宋体" w:hAnsi="宋体" w:eastAsia="宋体" w:cs="宋体"/>
          <w:color w:val="auto"/>
          <w:kern w:val="0"/>
          <w:highlight w:val="none"/>
        </w:rPr>
      </w:pPr>
      <w:bookmarkStart w:id="198" w:name="_Toc487632698"/>
      <w:bookmarkStart w:id="199" w:name="_Toc373478346"/>
      <w:bookmarkStart w:id="200" w:name="_Toc373227699"/>
      <w:bookmarkStart w:id="201" w:name="_Toc389065265"/>
      <w:bookmarkStart w:id="202" w:name="_Toc407135201"/>
      <w:r>
        <w:rPr>
          <w:rFonts w:hint="eastAsia" w:ascii="宋体" w:hAnsi="宋体" w:eastAsia="宋体" w:cs="宋体"/>
          <w:color w:val="auto"/>
          <w:kern w:val="0"/>
          <w:highlight w:val="none"/>
        </w:rPr>
        <w:t>1.6.2 发包人接收文件的地点：</w:t>
      </w:r>
      <w:r>
        <w:rPr>
          <w:rFonts w:hint="eastAsia" w:ascii="宋体" w:hAnsi="宋体" w:eastAsia="宋体" w:cs="宋体"/>
          <w:color w:val="auto"/>
          <w:highlight w:val="none"/>
          <w:u w:val="single"/>
        </w:rPr>
        <w:t xml:space="preserve">       发包人办公室      </w:t>
      </w:r>
      <w:r>
        <w:rPr>
          <w:rFonts w:hint="eastAsia" w:ascii="宋体" w:hAnsi="宋体" w:eastAsia="宋体" w:cs="宋体"/>
          <w:color w:val="auto"/>
          <w:kern w:val="0"/>
          <w:highlight w:val="none"/>
        </w:rPr>
        <w:t>；</w:t>
      </w:r>
    </w:p>
    <w:p w14:paraId="296AC7EC">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发包人指定的接收人为：</w:t>
      </w:r>
      <w:r>
        <w:rPr>
          <w:rFonts w:hint="eastAsia" w:ascii="宋体" w:hAnsi="宋体" w:eastAsia="宋体" w:cs="宋体"/>
          <w:color w:val="auto"/>
          <w:highlight w:val="none"/>
          <w:u w:val="single"/>
        </w:rPr>
        <w:t xml:space="preserve">      工地代表（可委托）       </w:t>
      </w:r>
      <w:r>
        <w:rPr>
          <w:rFonts w:hint="eastAsia" w:ascii="宋体" w:hAnsi="宋体" w:eastAsia="宋体" w:cs="宋体"/>
          <w:color w:val="auto"/>
          <w:kern w:val="0"/>
          <w:highlight w:val="none"/>
        </w:rPr>
        <w:t>。</w:t>
      </w:r>
    </w:p>
    <w:p w14:paraId="2C59BD56">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承包人接收文件的地点：</w:t>
      </w:r>
      <w:r>
        <w:rPr>
          <w:rFonts w:hint="eastAsia" w:ascii="宋体" w:hAnsi="宋体" w:eastAsia="宋体" w:cs="宋体"/>
          <w:color w:val="auto"/>
          <w:highlight w:val="none"/>
          <w:u w:val="single"/>
        </w:rPr>
        <w:t xml:space="preserve">      承包人项目部办公室       </w:t>
      </w:r>
      <w:r>
        <w:rPr>
          <w:rFonts w:hint="eastAsia" w:ascii="宋体" w:hAnsi="宋体" w:eastAsia="宋体" w:cs="宋体"/>
          <w:color w:val="auto"/>
          <w:kern w:val="0"/>
          <w:highlight w:val="none"/>
        </w:rPr>
        <w:t>；</w:t>
      </w:r>
    </w:p>
    <w:p w14:paraId="4AC278B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承包人指定的接收人为：</w:t>
      </w:r>
      <w:r>
        <w:rPr>
          <w:rFonts w:hint="eastAsia" w:ascii="宋体" w:hAnsi="宋体" w:eastAsia="宋体" w:cs="宋体"/>
          <w:color w:val="auto"/>
          <w:highlight w:val="none"/>
          <w:u w:val="single"/>
        </w:rPr>
        <w:t xml:space="preserve">        项目经理               </w:t>
      </w:r>
      <w:r>
        <w:rPr>
          <w:rFonts w:hint="eastAsia" w:ascii="宋体" w:hAnsi="宋体" w:eastAsia="宋体" w:cs="宋体"/>
          <w:color w:val="auto"/>
          <w:kern w:val="0"/>
          <w:highlight w:val="none"/>
        </w:rPr>
        <w:t>。</w:t>
      </w:r>
    </w:p>
    <w:p w14:paraId="41562F3C">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监理人接收文件的地点：</w:t>
      </w:r>
      <w:r>
        <w:rPr>
          <w:rFonts w:hint="eastAsia" w:ascii="宋体" w:hAnsi="宋体" w:eastAsia="宋体" w:cs="宋体"/>
          <w:color w:val="auto"/>
          <w:highlight w:val="none"/>
          <w:u w:val="single"/>
        </w:rPr>
        <w:t xml:space="preserve">       项目监理部              </w:t>
      </w:r>
      <w:r>
        <w:rPr>
          <w:rFonts w:hint="eastAsia" w:ascii="宋体" w:hAnsi="宋体" w:eastAsia="宋体" w:cs="宋体"/>
          <w:color w:val="auto"/>
          <w:kern w:val="0"/>
          <w:highlight w:val="none"/>
        </w:rPr>
        <w:t>；</w:t>
      </w:r>
    </w:p>
    <w:p w14:paraId="0CB824C4">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监理人指定的接收人为：</w:t>
      </w:r>
      <w:r>
        <w:rPr>
          <w:rFonts w:hint="eastAsia" w:ascii="宋体" w:hAnsi="宋体" w:eastAsia="宋体" w:cs="宋体"/>
          <w:color w:val="auto"/>
          <w:highlight w:val="none"/>
          <w:u w:val="single"/>
        </w:rPr>
        <w:t xml:space="preserve">       总监理工程师（可委托）  </w:t>
      </w:r>
      <w:r>
        <w:rPr>
          <w:rFonts w:hint="eastAsia" w:ascii="宋体" w:hAnsi="宋体" w:eastAsia="宋体" w:cs="宋体"/>
          <w:color w:val="auto"/>
          <w:kern w:val="0"/>
          <w:highlight w:val="none"/>
        </w:rPr>
        <w:t>。</w:t>
      </w:r>
    </w:p>
    <w:p w14:paraId="34DBE112">
      <w:pPr>
        <w:pStyle w:val="4"/>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交通运输</w:t>
      </w:r>
      <w:bookmarkEnd w:id="198"/>
      <w:bookmarkEnd w:id="199"/>
      <w:bookmarkEnd w:id="200"/>
      <w:bookmarkEnd w:id="201"/>
      <w:bookmarkEnd w:id="202"/>
    </w:p>
    <w:p w14:paraId="20DB279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bookmarkStart w:id="203" w:name="_Toc303539100"/>
      <w:bookmarkStart w:id="204" w:name="_Toc312677986"/>
      <w:bookmarkStart w:id="205" w:name="_Toc304295521"/>
      <w:bookmarkStart w:id="206" w:name="_Toc318581155"/>
      <w:bookmarkStart w:id="207" w:name="_Toc300934943"/>
      <w:r>
        <w:rPr>
          <w:rFonts w:hint="eastAsia" w:ascii="宋体" w:hAnsi="宋体" w:eastAsia="宋体" w:cs="宋体"/>
          <w:color w:val="auto"/>
          <w:highlight w:val="none"/>
        </w:rPr>
        <w:t>.7.1 出入现场的权利</w:t>
      </w:r>
    </w:p>
    <w:p w14:paraId="18B3383D">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关于出入现场的权利的约定：</w:t>
      </w:r>
      <w:r>
        <w:rPr>
          <w:rFonts w:hint="eastAsia" w:ascii="宋体" w:hAnsi="宋体" w:eastAsia="宋体" w:cs="宋体"/>
          <w:color w:val="auto"/>
          <w:highlight w:val="none"/>
          <w:u w:val="single"/>
        </w:rPr>
        <w:t xml:space="preserve">  按现有出入现场的道路现状交付承包人，由承包人自行解决取得出入现场的道路通行的权利 ，发包人应协助办理有关手续  </w:t>
      </w:r>
      <w:r>
        <w:rPr>
          <w:rFonts w:hint="eastAsia" w:ascii="宋体" w:hAnsi="宋体" w:eastAsia="宋体" w:cs="宋体"/>
          <w:color w:val="auto"/>
          <w:highlight w:val="none"/>
        </w:rPr>
        <w:t>。</w:t>
      </w:r>
    </w:p>
    <w:bookmarkEnd w:id="203"/>
    <w:bookmarkEnd w:id="204"/>
    <w:bookmarkEnd w:id="205"/>
    <w:bookmarkEnd w:id="206"/>
    <w:bookmarkEnd w:id="207"/>
    <w:p w14:paraId="18C6A93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Start w:id="208" w:name="_Toc318581156"/>
      <w:bookmarkStart w:id="209" w:name="_Toc300934944"/>
      <w:bookmarkStart w:id="210" w:name="_Toc304295522"/>
      <w:bookmarkStart w:id="211" w:name="_Toc303539101"/>
      <w:bookmarkStart w:id="212" w:name="_Toc312677987"/>
      <w:r>
        <w:rPr>
          <w:rFonts w:hint="eastAsia" w:ascii="宋体" w:hAnsi="宋体" w:eastAsia="宋体" w:cs="宋体"/>
          <w:color w:val="auto"/>
          <w:highlight w:val="none"/>
        </w:rPr>
        <w:t>.7.2场内交通</w:t>
      </w:r>
    </w:p>
    <w:p w14:paraId="54402DF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关于场外交通和场内交通的边界的约定：</w:t>
      </w:r>
      <w:r>
        <w:rPr>
          <w:rFonts w:hint="eastAsia" w:ascii="宋体" w:hAnsi="宋体" w:eastAsia="宋体" w:cs="宋体"/>
          <w:color w:val="auto"/>
          <w:highlight w:val="none"/>
          <w:u w:val="single"/>
        </w:rPr>
        <w:t xml:space="preserve"> 由承包方按照规划红线进行封闭围</w:t>
      </w:r>
      <w:r>
        <w:rPr>
          <w:rFonts w:hint="eastAsia" w:ascii="宋体" w:hAnsi="宋体" w:cs="宋体"/>
          <w:color w:val="auto"/>
          <w:highlight w:val="none"/>
          <w:u w:val="single"/>
          <w:lang w:eastAsia="zh-CN"/>
        </w:rPr>
        <w:t>档</w:t>
      </w:r>
      <w:r>
        <w:rPr>
          <w:rFonts w:hint="eastAsia" w:ascii="宋体" w:hAnsi="宋体" w:eastAsia="宋体" w:cs="宋体"/>
          <w:color w:val="auto"/>
          <w:highlight w:val="none"/>
          <w:u w:val="single"/>
        </w:rPr>
        <w:t>，施工现场封闭围</w:t>
      </w:r>
      <w:r>
        <w:rPr>
          <w:rFonts w:hint="eastAsia" w:ascii="宋体" w:hAnsi="宋体" w:cs="宋体"/>
          <w:color w:val="auto"/>
          <w:highlight w:val="none"/>
          <w:u w:val="single"/>
          <w:lang w:eastAsia="zh-CN"/>
        </w:rPr>
        <w:t>档</w:t>
      </w:r>
      <w:r>
        <w:rPr>
          <w:rFonts w:hint="eastAsia" w:ascii="宋体" w:hAnsi="宋体" w:eastAsia="宋体" w:cs="宋体"/>
          <w:color w:val="auto"/>
          <w:highlight w:val="none"/>
          <w:u w:val="single"/>
        </w:rPr>
        <w:t xml:space="preserve">范围以内为场内交通；范围以外为场外交通   </w:t>
      </w:r>
      <w:r>
        <w:rPr>
          <w:rFonts w:hint="eastAsia" w:ascii="宋体" w:hAnsi="宋体" w:eastAsia="宋体" w:cs="宋体"/>
          <w:color w:val="auto"/>
          <w:highlight w:val="none"/>
        </w:rPr>
        <w:t>。</w:t>
      </w:r>
    </w:p>
    <w:p w14:paraId="0CC5A51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关于发包人向承包人免费提供满足工程施工需要的场内道路和交通设施的约定：</w:t>
      </w:r>
      <w:r>
        <w:rPr>
          <w:rFonts w:hint="eastAsia" w:ascii="宋体" w:hAnsi="宋体" w:eastAsia="宋体" w:cs="宋体"/>
          <w:color w:val="auto"/>
          <w:highlight w:val="none"/>
          <w:u w:val="single"/>
        </w:rPr>
        <w:t xml:space="preserve">发包人按照施工现场现状提供施工需要的场内道路和交通设施，承包人负责修建、维修、养护和管理施工所需的其他场内临时道路和交通设施，并承担相应的费用 </w:t>
      </w:r>
      <w:r>
        <w:rPr>
          <w:rFonts w:hint="eastAsia" w:ascii="宋体" w:hAnsi="宋体" w:eastAsia="宋体" w:cs="宋体"/>
          <w:color w:val="auto"/>
          <w:highlight w:val="none"/>
        </w:rPr>
        <w:t>。</w:t>
      </w:r>
      <w:bookmarkEnd w:id="208"/>
      <w:bookmarkEnd w:id="209"/>
      <w:bookmarkEnd w:id="210"/>
      <w:bookmarkEnd w:id="211"/>
      <w:bookmarkEnd w:id="212"/>
      <w:bookmarkStart w:id="213" w:name="_Toc318581157"/>
    </w:p>
    <w:p w14:paraId="5C015FD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1.7.3 超大件和超重件的运输</w:t>
      </w:r>
    </w:p>
    <w:p w14:paraId="7CF5FA1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运输超大件或超重件所需的道路和桥梁临时加固改造费用和其他有关费用由</w:t>
      </w:r>
      <w:r>
        <w:rPr>
          <w:rFonts w:hint="eastAsia" w:ascii="宋体" w:hAnsi="宋体" w:eastAsia="宋体" w:cs="宋体"/>
          <w:color w:val="auto"/>
          <w:highlight w:val="none"/>
          <w:u w:val="single"/>
        </w:rPr>
        <w:t xml:space="preserve">  承包方  </w:t>
      </w:r>
      <w:r>
        <w:rPr>
          <w:rFonts w:hint="eastAsia" w:ascii="宋体" w:hAnsi="宋体" w:eastAsia="宋体" w:cs="宋体"/>
          <w:color w:val="auto"/>
          <w:highlight w:val="none"/>
        </w:rPr>
        <w:t>承担。</w:t>
      </w:r>
    </w:p>
    <w:bookmarkEnd w:id="213"/>
    <w:p w14:paraId="44D5C1A3">
      <w:pPr>
        <w:pStyle w:val="4"/>
        <w:rPr>
          <w:rFonts w:hint="eastAsia" w:ascii="宋体" w:hAnsi="宋体" w:eastAsia="宋体" w:cs="宋体"/>
          <w:color w:val="auto"/>
          <w:highlight w:val="none"/>
        </w:rPr>
      </w:pPr>
      <w:bookmarkStart w:id="214" w:name="_Toc373478347"/>
      <w:bookmarkStart w:id="215" w:name="_Toc389065266"/>
      <w:bookmarkStart w:id="216" w:name="_Toc487632699"/>
      <w:bookmarkStart w:id="217" w:name="_Toc373227700"/>
      <w:bookmarkStart w:id="218" w:name="_Toc407135202"/>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知识产权</w:t>
      </w:r>
      <w:bookmarkEnd w:id="214"/>
      <w:bookmarkEnd w:id="215"/>
      <w:bookmarkEnd w:id="216"/>
      <w:bookmarkEnd w:id="217"/>
      <w:bookmarkEnd w:id="218"/>
    </w:p>
    <w:p w14:paraId="3168516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1.8.1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highlight w:val="none"/>
          <w:u w:val="single"/>
        </w:rPr>
        <w:t xml:space="preserve">   归发包人  </w:t>
      </w:r>
      <w:r>
        <w:rPr>
          <w:rFonts w:hint="eastAsia" w:ascii="宋体" w:hAnsi="宋体" w:eastAsia="宋体" w:cs="宋体"/>
          <w:color w:val="auto"/>
          <w:highlight w:val="none"/>
        </w:rPr>
        <w:t>。</w:t>
      </w:r>
    </w:p>
    <w:p w14:paraId="2B9209C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关于发包人提供的上述文件的使用限制的要求：</w:t>
      </w:r>
      <w:r>
        <w:rPr>
          <w:rFonts w:hint="eastAsia" w:ascii="宋体" w:hAnsi="宋体" w:eastAsia="宋体" w:cs="宋体"/>
          <w:color w:val="auto"/>
          <w:highlight w:val="none"/>
          <w:u w:val="single"/>
        </w:rPr>
        <w:t xml:space="preserve">   未经发包人书面同意，承包人不得为了合同以外的目的而复制、使用上述文件或将之提供给任何第三方    </w:t>
      </w:r>
      <w:r>
        <w:rPr>
          <w:rFonts w:hint="eastAsia" w:ascii="宋体" w:hAnsi="宋体" w:eastAsia="宋体" w:cs="宋体"/>
          <w:color w:val="auto"/>
          <w:highlight w:val="none"/>
        </w:rPr>
        <w:t>。</w:t>
      </w:r>
    </w:p>
    <w:p w14:paraId="281019B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1.8.2 关于承包人为实施工程所编制文件的著作权的归属：</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highlight w:val="none"/>
        </w:rPr>
        <w:t>。</w:t>
      </w:r>
    </w:p>
    <w:p w14:paraId="07A735F4">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1.8.3关于承包人提供的上述文件的使用限制的要求：</w:t>
      </w:r>
      <w:r>
        <w:rPr>
          <w:rFonts w:hint="eastAsia" w:ascii="宋体" w:hAnsi="宋体" w:eastAsia="宋体" w:cs="宋体"/>
          <w:color w:val="auto"/>
          <w:highlight w:val="none"/>
          <w:u w:val="single"/>
        </w:rPr>
        <w:t xml:space="preserve"> 未经发包人书面同意，承包人不得为了合同以外的目的而复制、使用上述文件或将之提供给任何第三方   </w:t>
      </w:r>
      <w:r>
        <w:rPr>
          <w:rFonts w:hint="eastAsia" w:ascii="宋体" w:hAnsi="宋体" w:eastAsia="宋体" w:cs="宋体"/>
          <w:color w:val="auto"/>
          <w:highlight w:val="none"/>
        </w:rPr>
        <w:t>。</w:t>
      </w:r>
    </w:p>
    <w:p w14:paraId="775A989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1.8.4 承包人在施工过程中所采用的专利、专有技术、技术秘密的使用费的承担方式：</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kern w:val="0"/>
          <w:highlight w:val="none"/>
        </w:rPr>
        <w:t>。</w:t>
      </w:r>
    </w:p>
    <w:p w14:paraId="01D7BFEB">
      <w:pPr>
        <w:pStyle w:val="4"/>
        <w:rPr>
          <w:rFonts w:hint="eastAsia" w:ascii="宋体" w:hAnsi="宋体" w:eastAsia="宋体" w:cs="宋体"/>
          <w:color w:val="auto"/>
          <w:highlight w:val="none"/>
        </w:rPr>
      </w:pPr>
      <w:bookmarkStart w:id="219" w:name="_Toc407135203"/>
      <w:bookmarkStart w:id="220" w:name="_Toc373478348"/>
      <w:bookmarkStart w:id="221" w:name="_Toc373227701"/>
      <w:bookmarkStart w:id="222" w:name="_Toc487632700"/>
      <w:bookmarkStart w:id="223" w:name="_Toc389065267"/>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工程量清单错误的修正</w:t>
      </w:r>
      <w:bookmarkEnd w:id="219"/>
      <w:bookmarkEnd w:id="220"/>
      <w:bookmarkEnd w:id="221"/>
      <w:bookmarkEnd w:id="222"/>
      <w:bookmarkEnd w:id="223"/>
    </w:p>
    <w:p w14:paraId="2B222EA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出现工程量清单工程量偏差时，是否调整合同价格：</w:t>
      </w:r>
      <w:r>
        <w:rPr>
          <w:rFonts w:hint="eastAsia" w:ascii="宋体" w:hAnsi="宋体" w:eastAsia="宋体" w:cs="宋体"/>
          <w:color w:val="auto"/>
          <w:highlight w:val="none"/>
          <w:u w:val="single"/>
        </w:rPr>
        <w:t xml:space="preserve">  除设计变更以外，不调整合同价    </w:t>
      </w:r>
      <w:r>
        <w:rPr>
          <w:rFonts w:hint="eastAsia" w:ascii="宋体" w:hAnsi="宋体" w:eastAsia="宋体" w:cs="宋体"/>
          <w:color w:val="auto"/>
          <w:kern w:val="0"/>
          <w:highlight w:val="none"/>
        </w:rPr>
        <w:t>。</w:t>
      </w:r>
    </w:p>
    <w:p w14:paraId="208C365A">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允许调整合同价格的工程量偏差范围及其调整办法：</w:t>
      </w:r>
      <w:r>
        <w:rPr>
          <w:rFonts w:hint="eastAsia" w:ascii="宋体" w:hAnsi="宋体" w:eastAsia="宋体" w:cs="宋体"/>
          <w:color w:val="auto"/>
          <w:highlight w:val="none"/>
          <w:u w:val="single"/>
        </w:rPr>
        <w:t xml:space="preserve">按10.4.1 变更估价原则           </w:t>
      </w:r>
      <w:r>
        <w:rPr>
          <w:rFonts w:hint="eastAsia" w:ascii="宋体" w:hAnsi="宋体" w:eastAsia="宋体" w:cs="宋体"/>
          <w:color w:val="auto"/>
          <w:kern w:val="0"/>
          <w:highlight w:val="none"/>
        </w:rPr>
        <w:t>。</w:t>
      </w:r>
    </w:p>
    <w:p w14:paraId="42F6BF76">
      <w:pPr>
        <w:pStyle w:val="3"/>
        <w:rPr>
          <w:rFonts w:hint="eastAsia" w:ascii="宋体" w:hAnsi="宋体" w:eastAsia="宋体" w:cs="宋体"/>
          <w:color w:val="auto"/>
          <w:highlight w:val="none"/>
        </w:rPr>
      </w:pPr>
      <w:bookmarkStart w:id="224" w:name="_Toc389065268"/>
      <w:bookmarkStart w:id="225" w:name="_Toc351203634"/>
      <w:bookmarkStart w:id="226" w:name="_Toc407135204"/>
      <w:bookmarkStart w:id="227" w:name="_Toc373227702"/>
      <w:bookmarkStart w:id="228" w:name="_Toc373478349"/>
      <w:bookmarkStart w:id="229" w:name="_Toc487632701"/>
      <w:r>
        <w:rPr>
          <w:rFonts w:hint="eastAsia" w:ascii="宋体" w:hAnsi="宋体" w:eastAsia="宋体" w:cs="宋体"/>
          <w:color w:val="auto"/>
          <w:highlight w:val="none"/>
        </w:rPr>
        <w:t>2</w:t>
      </w:r>
      <w:bookmarkStart w:id="230" w:name="_Toc297120457"/>
      <w:bookmarkStart w:id="231" w:name="_Toc296944496"/>
      <w:bookmarkStart w:id="232" w:name="_Toc296346658"/>
      <w:bookmarkStart w:id="233" w:name="_Toc296891197"/>
      <w:bookmarkStart w:id="234" w:name="_Toc296503157"/>
      <w:bookmarkStart w:id="235" w:name="_Toc292559362"/>
      <w:bookmarkStart w:id="236" w:name="_Toc292559867"/>
      <w:bookmarkStart w:id="237" w:name="_Toc297048343"/>
      <w:bookmarkStart w:id="238" w:name="_Toc296347156"/>
      <w:bookmarkStart w:id="239" w:name="_Toc296890985"/>
      <w:r>
        <w:rPr>
          <w:rFonts w:hint="eastAsia" w:ascii="宋体" w:hAnsi="宋体" w:eastAsia="宋体" w:cs="宋体"/>
          <w:color w:val="auto"/>
          <w:highlight w:val="none"/>
        </w:rPr>
        <w:t>. 发包人</w:t>
      </w:r>
      <w:bookmarkEnd w:id="224"/>
      <w:bookmarkEnd w:id="225"/>
      <w:bookmarkEnd w:id="226"/>
      <w:bookmarkEnd w:id="227"/>
      <w:bookmarkEnd w:id="228"/>
      <w:bookmarkEnd w:id="229"/>
    </w:p>
    <w:bookmarkEnd w:id="230"/>
    <w:bookmarkEnd w:id="231"/>
    <w:bookmarkEnd w:id="232"/>
    <w:bookmarkEnd w:id="233"/>
    <w:bookmarkEnd w:id="234"/>
    <w:bookmarkEnd w:id="235"/>
    <w:bookmarkEnd w:id="236"/>
    <w:bookmarkEnd w:id="237"/>
    <w:bookmarkEnd w:id="238"/>
    <w:bookmarkEnd w:id="239"/>
    <w:p w14:paraId="30910CF7">
      <w:pPr>
        <w:pStyle w:val="4"/>
        <w:rPr>
          <w:rFonts w:hint="eastAsia" w:ascii="宋体" w:hAnsi="宋体" w:eastAsia="宋体" w:cs="宋体"/>
          <w:color w:val="auto"/>
          <w:highlight w:val="none"/>
        </w:rPr>
      </w:pPr>
      <w:bookmarkStart w:id="240" w:name="_Toc487632702"/>
      <w:bookmarkStart w:id="241" w:name="_Toc373227703"/>
      <w:bookmarkStart w:id="242" w:name="_Toc389065269"/>
      <w:bookmarkStart w:id="243" w:name="_Toc373478350"/>
      <w:bookmarkStart w:id="244" w:name="_Toc407135205"/>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发包人代表</w:t>
      </w:r>
      <w:bookmarkEnd w:id="240"/>
      <w:bookmarkEnd w:id="241"/>
      <w:bookmarkEnd w:id="242"/>
      <w:bookmarkEnd w:id="243"/>
      <w:bookmarkEnd w:id="244"/>
    </w:p>
    <w:p w14:paraId="362C280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发包人代表：</w:t>
      </w:r>
    </w:p>
    <w:p w14:paraId="5C84892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6AE73A7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0906FFE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05D77B1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   </w:t>
      </w:r>
      <w:r>
        <w:rPr>
          <w:rFonts w:hint="eastAsia" w:ascii="宋体" w:hAnsi="宋体" w:eastAsia="宋体" w:cs="宋体"/>
          <w:color w:val="auto"/>
          <w:highlight w:val="none"/>
        </w:rPr>
        <w:t>；</w:t>
      </w:r>
    </w:p>
    <w:p w14:paraId="3957A16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   </w:t>
      </w:r>
      <w:r>
        <w:rPr>
          <w:rFonts w:hint="eastAsia" w:ascii="宋体" w:hAnsi="宋体" w:eastAsia="宋体" w:cs="宋体"/>
          <w:color w:val="auto"/>
          <w:highlight w:val="none"/>
        </w:rPr>
        <w:t>；</w:t>
      </w:r>
    </w:p>
    <w:p w14:paraId="51C5454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110D1631">
      <w:pPr>
        <w:pStyle w:val="159"/>
        <w:spacing w:line="360" w:lineRule="auto"/>
        <w:ind w:firstLine="420" w:firstLineChars="200"/>
        <w:rPr>
          <w:rFonts w:hint="eastAsia" w:ascii="宋体" w:hAnsi="宋体" w:eastAsia="宋体" w:cs="宋体"/>
          <w:color w:val="auto"/>
          <w:highlight w:val="none"/>
          <w:u w:val="single"/>
        </w:rPr>
      </w:pPr>
      <w:bookmarkStart w:id="245" w:name="_Toc373478351"/>
      <w:bookmarkStart w:id="246" w:name="_Toc407135206"/>
      <w:bookmarkStart w:id="247" w:name="_Toc373227704"/>
      <w:bookmarkStart w:id="248" w:name="_Toc389065270"/>
      <w:bookmarkStart w:id="249" w:name="_Toc487632703"/>
      <w:r>
        <w:rPr>
          <w:rFonts w:hint="eastAsia" w:ascii="宋体" w:hAnsi="宋体" w:eastAsia="宋体" w:cs="宋体"/>
          <w:color w:val="auto"/>
          <w:highlight w:val="none"/>
        </w:rPr>
        <w:t>发包人对发包人代表的授权范围如下：</w:t>
      </w:r>
      <w:r>
        <w:rPr>
          <w:rFonts w:hint="eastAsia" w:ascii="宋体" w:hAnsi="宋体" w:eastAsia="宋体" w:cs="宋体"/>
          <w:color w:val="auto"/>
          <w:highlight w:val="none"/>
          <w:u w:val="single"/>
        </w:rPr>
        <w:t>除以下事项以外，发包人代表有权处理合同履行过程中与发包人有关的事宜：</w:t>
      </w:r>
    </w:p>
    <w:p w14:paraId="30279207">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（1）发布暂停施工命令</w:t>
      </w:r>
    </w:p>
    <w:p w14:paraId="5B93A7F2">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（2）同意组织竣工验收</w:t>
      </w:r>
    </w:p>
    <w:p w14:paraId="052584EE">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（3）签认竣工付款证书</w:t>
      </w:r>
    </w:p>
    <w:p w14:paraId="1619E447">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（4）签发工程接收证书</w:t>
      </w:r>
    </w:p>
    <w:p w14:paraId="49547DE5">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（5）签发缺陷责任终止证书</w:t>
      </w:r>
    </w:p>
    <w:p w14:paraId="0458AC82">
      <w:pPr>
        <w:pStyle w:val="159"/>
        <w:spacing w:line="360" w:lineRule="auto"/>
        <w:ind w:firstLine="420" w:firstLineChars="200"/>
        <w:rPr>
          <w:rFonts w:hint="eastAsia" w:ascii="宋体" w:hAnsi="宋体" w:eastAsia="宋体" w:cs="宋体"/>
          <w:color w:val="auto"/>
          <w:sz w:val="24"/>
          <w:highlight w:val="none"/>
          <w:u w:val="single"/>
        </w:rPr>
      </w:pPr>
      <w:r>
        <w:rPr>
          <w:rFonts w:hint="eastAsia" w:ascii="宋体" w:hAnsi="宋体" w:eastAsia="宋体" w:cs="宋体"/>
          <w:color w:val="auto"/>
          <w:highlight w:val="none"/>
        </w:rPr>
        <w:t>（6）签发最终结清证书。</w:t>
      </w:r>
    </w:p>
    <w:p w14:paraId="3E8B4EDA">
      <w:pPr>
        <w:pStyle w:val="4"/>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施工现场、施工条件和基础资料的提供</w:t>
      </w:r>
      <w:bookmarkEnd w:id="245"/>
      <w:bookmarkEnd w:id="246"/>
      <w:bookmarkEnd w:id="247"/>
      <w:bookmarkEnd w:id="248"/>
      <w:bookmarkEnd w:id="249"/>
    </w:p>
    <w:p w14:paraId="4D877BF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2.2.1 提供施工现场</w:t>
      </w:r>
    </w:p>
    <w:p w14:paraId="127A6D3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关于发包人移交施工现场的期限要求：</w:t>
      </w:r>
      <w:r>
        <w:rPr>
          <w:rFonts w:hint="eastAsia" w:ascii="宋体" w:hAnsi="宋体" w:eastAsia="宋体" w:cs="宋体"/>
          <w:color w:val="auto"/>
          <w:highlight w:val="none"/>
          <w:u w:val="single"/>
        </w:rPr>
        <w:t xml:space="preserve">   开工日期7天前   </w:t>
      </w:r>
      <w:r>
        <w:rPr>
          <w:rFonts w:hint="eastAsia" w:ascii="宋体" w:hAnsi="宋体" w:eastAsia="宋体" w:cs="宋体"/>
          <w:color w:val="auto"/>
          <w:highlight w:val="none"/>
        </w:rPr>
        <w:t>。</w:t>
      </w:r>
    </w:p>
    <w:p w14:paraId="536DBF5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2.2.2 提供施工条件</w:t>
      </w:r>
    </w:p>
    <w:p w14:paraId="565FA937">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关于发包人应负责提供施工所需要的条件，包括：</w:t>
      </w:r>
      <w:r>
        <w:rPr>
          <w:rFonts w:hint="eastAsia" w:ascii="宋体" w:hAnsi="宋体" w:eastAsia="宋体" w:cs="宋体"/>
          <w:color w:val="auto"/>
          <w:highlight w:val="none"/>
          <w:u w:val="single"/>
        </w:rPr>
        <w:t xml:space="preserve">   发包人在开工前协调施工所需的水、电等。承包人负责其所需的水、电等施工管线的铺设，费用由承包人承担，施工用水、电费由承包人按规定向供水、电部门交纳。发包人提供的临时施工用的总水表及总电表箱在交给承包人正常使用后，由承包人负责对总水表及总电表箱进行维护及保管，如由于总水表及总电表箱属正常损耗或施工不当造成需要更换或维修的由承包人负责；如由于临时施工用水总水管及临时施工用电变压器的容量不能满足施工要求的，承包人应及时通知发包人提出进行增容安装，发包人负责增容安装；但临时施工用水供到各幢楼后的水压力不能满足施工要求的，经供水部门确认需要二次加压后才能使用的，由承包人自行负责解决   </w:t>
      </w:r>
      <w:r>
        <w:rPr>
          <w:rFonts w:hint="eastAsia" w:ascii="宋体" w:hAnsi="宋体" w:eastAsia="宋体" w:cs="宋体"/>
          <w:color w:val="auto"/>
          <w:highlight w:val="none"/>
        </w:rPr>
        <w:t>。</w:t>
      </w:r>
    </w:p>
    <w:p w14:paraId="42176176">
      <w:pPr>
        <w:pStyle w:val="4"/>
        <w:rPr>
          <w:rFonts w:hint="eastAsia" w:ascii="宋体" w:hAnsi="宋体" w:eastAsia="宋体" w:cs="宋体"/>
          <w:color w:val="auto"/>
          <w:highlight w:val="none"/>
        </w:rPr>
      </w:pPr>
      <w:bookmarkStart w:id="250" w:name="_Toc373478352"/>
      <w:bookmarkStart w:id="251" w:name="_Toc407135207"/>
      <w:bookmarkStart w:id="252" w:name="_Toc389065271"/>
      <w:bookmarkStart w:id="253" w:name="_Toc373227705"/>
      <w:bookmarkStart w:id="254" w:name="_Toc487632704"/>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资金来源证明及支付担保</w:t>
      </w:r>
      <w:bookmarkEnd w:id="250"/>
      <w:bookmarkEnd w:id="251"/>
      <w:bookmarkEnd w:id="252"/>
      <w:bookmarkEnd w:id="253"/>
      <w:bookmarkEnd w:id="254"/>
    </w:p>
    <w:p w14:paraId="01CBD78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发包人提供资金来源证明的期限要求：</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71AC73A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发包人是否提供支付担保：</w:t>
      </w:r>
      <w:r>
        <w:rPr>
          <w:rFonts w:hint="eastAsia" w:ascii="宋体" w:hAnsi="宋体" w:eastAsia="宋体" w:cs="宋体"/>
          <w:color w:val="auto"/>
          <w:highlight w:val="none"/>
          <w:u w:val="single"/>
        </w:rPr>
        <w:t xml:space="preserve">     否          </w:t>
      </w:r>
      <w:r>
        <w:rPr>
          <w:rFonts w:hint="eastAsia" w:ascii="宋体" w:hAnsi="宋体" w:eastAsia="宋体" w:cs="宋体"/>
          <w:color w:val="auto"/>
          <w:highlight w:val="none"/>
        </w:rPr>
        <w:t>。</w:t>
      </w:r>
    </w:p>
    <w:p w14:paraId="24E82A9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发包人提供支付担保的形式：</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59541C69">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发包人提供的支付担保格式见合同附件2。</w:t>
      </w:r>
    </w:p>
    <w:p w14:paraId="73F59681">
      <w:pPr>
        <w:pStyle w:val="3"/>
        <w:rPr>
          <w:rFonts w:hint="eastAsia" w:ascii="宋体" w:hAnsi="宋体" w:eastAsia="宋体" w:cs="宋体"/>
          <w:color w:val="auto"/>
          <w:highlight w:val="none"/>
        </w:rPr>
      </w:pPr>
      <w:bookmarkStart w:id="255" w:name="_Toc373478353"/>
      <w:bookmarkStart w:id="256" w:name="_Toc373227706"/>
      <w:bookmarkStart w:id="257" w:name="_Toc389065272"/>
      <w:bookmarkStart w:id="258" w:name="_Toc351203635"/>
      <w:bookmarkStart w:id="259" w:name="_Toc407135208"/>
      <w:bookmarkStart w:id="260" w:name="_Toc487632705"/>
      <w:r>
        <w:rPr>
          <w:rFonts w:hint="eastAsia" w:ascii="宋体" w:hAnsi="宋体" w:eastAsia="宋体" w:cs="宋体"/>
          <w:color w:val="auto"/>
          <w:highlight w:val="none"/>
        </w:rPr>
        <w:t>3</w:t>
      </w:r>
      <w:bookmarkStart w:id="261" w:name="_Toc296347157"/>
      <w:bookmarkStart w:id="262" w:name="_Toc292559868"/>
      <w:bookmarkStart w:id="263" w:name="_Toc297048344"/>
      <w:bookmarkStart w:id="264" w:name="_Toc296503158"/>
      <w:bookmarkStart w:id="265" w:name="_Toc296346659"/>
      <w:bookmarkStart w:id="266" w:name="_Toc297120458"/>
      <w:bookmarkStart w:id="267" w:name="_Toc296944497"/>
      <w:bookmarkStart w:id="268" w:name="_Toc292559363"/>
      <w:bookmarkStart w:id="269" w:name="_Toc296891198"/>
      <w:bookmarkStart w:id="270" w:name="_Toc296890986"/>
      <w:r>
        <w:rPr>
          <w:rFonts w:hint="eastAsia" w:ascii="宋体" w:hAnsi="宋体" w:eastAsia="宋体" w:cs="宋体"/>
          <w:color w:val="auto"/>
          <w:highlight w:val="none"/>
        </w:rPr>
        <w:t>. 承包人</w:t>
      </w:r>
      <w:bookmarkEnd w:id="255"/>
      <w:bookmarkEnd w:id="256"/>
      <w:bookmarkEnd w:id="257"/>
      <w:bookmarkEnd w:id="258"/>
      <w:bookmarkEnd w:id="259"/>
      <w:bookmarkEnd w:id="260"/>
    </w:p>
    <w:bookmarkEnd w:id="261"/>
    <w:bookmarkEnd w:id="262"/>
    <w:bookmarkEnd w:id="263"/>
    <w:bookmarkEnd w:id="264"/>
    <w:bookmarkEnd w:id="265"/>
    <w:bookmarkEnd w:id="266"/>
    <w:bookmarkEnd w:id="267"/>
    <w:bookmarkEnd w:id="268"/>
    <w:bookmarkEnd w:id="269"/>
    <w:bookmarkEnd w:id="270"/>
    <w:p w14:paraId="30129C83">
      <w:pPr>
        <w:pStyle w:val="4"/>
        <w:rPr>
          <w:rFonts w:hint="eastAsia" w:ascii="宋体" w:hAnsi="宋体" w:eastAsia="宋体" w:cs="宋体"/>
          <w:color w:val="auto"/>
          <w:highlight w:val="none"/>
        </w:rPr>
      </w:pPr>
      <w:bookmarkStart w:id="271" w:name="_Toc407135209"/>
      <w:bookmarkStart w:id="272" w:name="_Toc373227707"/>
      <w:bookmarkStart w:id="273" w:name="_Toc389065273"/>
      <w:bookmarkStart w:id="274" w:name="_Toc487632706"/>
      <w:bookmarkStart w:id="275" w:name="_Toc373478354"/>
      <w:r>
        <w:rPr>
          <w:rFonts w:hint="eastAsia" w:ascii="宋体" w:hAnsi="宋体" w:eastAsia="宋体" w:cs="宋体"/>
          <w:color w:val="auto"/>
          <w:highlight w:val="none"/>
        </w:rPr>
        <w:t>3.1 承包人的一般义务</w:t>
      </w:r>
      <w:bookmarkEnd w:id="271"/>
      <w:bookmarkEnd w:id="272"/>
      <w:bookmarkEnd w:id="273"/>
      <w:bookmarkEnd w:id="274"/>
      <w:bookmarkEnd w:id="275"/>
    </w:p>
    <w:p w14:paraId="799D96E6">
      <w:pPr>
        <w:spacing w:line="360" w:lineRule="auto"/>
        <w:ind w:firstLine="420" w:firstLineChars="200"/>
        <w:jc w:val="left"/>
        <w:rPr>
          <w:rFonts w:hint="eastAsia" w:ascii="宋体" w:hAnsi="宋体" w:eastAsia="宋体" w:cs="宋体"/>
          <w:color w:val="auto"/>
          <w:highlight w:val="none"/>
          <w:u w:val="single"/>
        </w:rPr>
      </w:pPr>
      <w:bookmarkStart w:id="276" w:name="_Toc373478355"/>
      <w:bookmarkStart w:id="277" w:name="_Toc407135210"/>
      <w:bookmarkStart w:id="278" w:name="_Toc389065274"/>
      <w:bookmarkStart w:id="279" w:name="_Toc373227708"/>
      <w:bookmarkStart w:id="280" w:name="_Toc487632707"/>
      <w:r>
        <w:rPr>
          <w:rFonts w:hint="eastAsia" w:ascii="宋体" w:hAnsi="宋体" w:eastAsia="宋体" w:cs="宋体"/>
          <w:color w:val="auto"/>
          <w:highlight w:val="none"/>
          <w:u w:val="single"/>
        </w:rPr>
        <w:t xml:space="preserve">按照现行的建设工程文件归档规范，符合竣工验收要求的竣工图、施工管理资料、施工技术资料、检验（测）资料、评定（价）资料及国家、地方规定的其他资料  </w:t>
      </w:r>
      <w:r>
        <w:rPr>
          <w:rFonts w:hint="eastAsia" w:ascii="宋体" w:hAnsi="宋体" w:eastAsia="宋体" w:cs="宋体"/>
          <w:color w:val="auto"/>
          <w:highlight w:val="none"/>
        </w:rPr>
        <w:t>。</w:t>
      </w:r>
    </w:p>
    <w:p w14:paraId="2406E01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承包人需要提交的竣工资料套数：</w:t>
      </w:r>
      <w:r>
        <w:rPr>
          <w:rFonts w:hint="eastAsia" w:ascii="宋体" w:hAnsi="宋体" w:eastAsia="宋体" w:cs="宋体"/>
          <w:color w:val="auto"/>
          <w:highlight w:val="none"/>
          <w:u w:val="single"/>
        </w:rPr>
        <w:t xml:space="preserve">     5套       </w:t>
      </w:r>
      <w:r>
        <w:rPr>
          <w:rFonts w:hint="eastAsia" w:ascii="宋体" w:hAnsi="宋体" w:eastAsia="宋体" w:cs="宋体"/>
          <w:color w:val="auto"/>
          <w:highlight w:val="none"/>
        </w:rPr>
        <w:t>。</w:t>
      </w:r>
    </w:p>
    <w:p w14:paraId="20AD9983">
      <w:pPr>
        <w:spacing w:line="360" w:lineRule="auto"/>
        <w:ind w:left="424" w:leftChars="202"/>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承包人提交的竣工资料的费用承担：</w:t>
      </w:r>
      <w:r>
        <w:rPr>
          <w:rFonts w:hint="eastAsia" w:ascii="宋体" w:hAnsi="宋体" w:eastAsia="宋体" w:cs="宋体"/>
          <w:color w:val="auto"/>
          <w:highlight w:val="none"/>
          <w:u w:val="single"/>
        </w:rPr>
        <w:t xml:space="preserve">   承包人承担  </w:t>
      </w:r>
      <w:r>
        <w:rPr>
          <w:rFonts w:hint="eastAsia" w:ascii="宋体" w:hAnsi="宋体" w:eastAsia="宋体" w:cs="宋体"/>
          <w:color w:val="auto"/>
          <w:highlight w:val="none"/>
        </w:rPr>
        <w:t>。</w:t>
      </w:r>
    </w:p>
    <w:p w14:paraId="79FF9E4C">
      <w:pPr>
        <w:spacing w:line="360" w:lineRule="auto"/>
        <w:ind w:left="424" w:leftChars="202"/>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承包人提交的竣工资料移交时间：</w:t>
      </w:r>
      <w:r>
        <w:rPr>
          <w:rFonts w:hint="eastAsia" w:ascii="宋体" w:hAnsi="宋体" w:eastAsia="宋体" w:cs="宋体"/>
          <w:color w:val="auto"/>
          <w:highlight w:val="none"/>
          <w:u w:val="single"/>
        </w:rPr>
        <w:t xml:space="preserve">   工程竣工验收合格后7日内  </w:t>
      </w:r>
      <w:r>
        <w:rPr>
          <w:rFonts w:hint="eastAsia" w:ascii="宋体" w:hAnsi="宋体" w:eastAsia="宋体" w:cs="宋体"/>
          <w:color w:val="auto"/>
          <w:highlight w:val="none"/>
        </w:rPr>
        <w:t>。</w:t>
      </w:r>
    </w:p>
    <w:p w14:paraId="553782D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承包人提交的竣工资料形式要求：</w:t>
      </w:r>
      <w:r>
        <w:rPr>
          <w:rFonts w:hint="eastAsia" w:ascii="宋体" w:hAnsi="宋体" w:eastAsia="宋体" w:cs="宋体"/>
          <w:color w:val="auto"/>
          <w:highlight w:val="none"/>
          <w:u w:val="single"/>
        </w:rPr>
        <w:t xml:space="preserve">   纸质4套，电子扫描件文档1套  </w:t>
      </w:r>
      <w:r>
        <w:rPr>
          <w:rFonts w:hint="eastAsia" w:ascii="宋体" w:hAnsi="宋体" w:eastAsia="宋体" w:cs="宋体"/>
          <w:color w:val="auto"/>
          <w:highlight w:val="none"/>
        </w:rPr>
        <w:t>。</w:t>
      </w:r>
    </w:p>
    <w:p w14:paraId="3412F8D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（10）承包人应履行的其他义务：</w:t>
      </w:r>
      <w:r>
        <w:rPr>
          <w:rFonts w:hint="eastAsia" w:ascii="宋体" w:hAnsi="宋体" w:eastAsia="宋体" w:cs="宋体"/>
          <w:color w:val="auto"/>
          <w:kern w:val="0"/>
          <w:highlight w:val="none"/>
          <w:u w:val="single"/>
        </w:rPr>
        <w:t xml:space="preserve">   严格执行建筑节能相关法律法规，在施工过程中节约资源，杜绝浪费     </w:t>
      </w:r>
      <w:r>
        <w:rPr>
          <w:rFonts w:hint="eastAsia" w:ascii="宋体" w:hAnsi="宋体" w:eastAsia="宋体" w:cs="宋体"/>
          <w:color w:val="auto"/>
          <w:kern w:val="0"/>
          <w:highlight w:val="none"/>
        </w:rPr>
        <w:t>。</w:t>
      </w:r>
    </w:p>
    <w:p w14:paraId="50055553">
      <w:pPr>
        <w:pStyle w:val="4"/>
        <w:rPr>
          <w:rFonts w:hint="eastAsia" w:ascii="宋体" w:hAnsi="宋体" w:eastAsia="宋体" w:cs="宋体"/>
          <w:color w:val="auto"/>
          <w:highlight w:val="none"/>
        </w:rPr>
      </w:pPr>
      <w:r>
        <w:rPr>
          <w:rFonts w:hint="eastAsia" w:ascii="宋体" w:hAnsi="宋体" w:eastAsia="宋体" w:cs="宋体"/>
          <w:color w:val="auto"/>
          <w:highlight w:val="none"/>
        </w:rPr>
        <w:t>3.2 项目经理</w:t>
      </w:r>
      <w:bookmarkEnd w:id="276"/>
      <w:bookmarkEnd w:id="277"/>
      <w:bookmarkEnd w:id="278"/>
      <w:bookmarkEnd w:id="279"/>
      <w:bookmarkEnd w:id="280"/>
    </w:p>
    <w:p w14:paraId="036EA3D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 xml:space="preserve">3.2.1 </w:t>
      </w:r>
      <w:r>
        <w:rPr>
          <w:rFonts w:hint="eastAsia" w:ascii="宋体" w:hAnsi="宋体" w:eastAsia="宋体" w:cs="宋体"/>
          <w:color w:val="auto"/>
          <w:highlight w:val="none"/>
        </w:rPr>
        <w:t>项目经理：</w:t>
      </w:r>
    </w:p>
    <w:p w14:paraId="146B7A4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36E255C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1D51CFB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建造师执业资格等级：</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5160E4B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建造师注册证书号：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121AEE5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建造师执业印章号：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7761200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安全生产考核合格证书号：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06AB479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56F7F50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445DA2D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099F95C4">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承包人对项目经理的授权范围如下：  </w:t>
      </w:r>
      <w:r>
        <w:rPr>
          <w:rFonts w:hint="eastAsia" w:ascii="宋体" w:hAnsi="宋体" w:eastAsia="宋体" w:cs="宋体"/>
          <w:color w:val="auto"/>
          <w:highlight w:val="none"/>
          <w:u w:val="single"/>
        </w:rPr>
        <w:t>项目经理经承包人授权后代表承包人负责履行合同，但是下列事项必须经承包人同意，并加盖承包人单位公章方为有效：</w:t>
      </w:r>
    </w:p>
    <w:p w14:paraId="4BE98EEC">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1）与本工程相关的任何补充协议的签订；</w:t>
      </w:r>
    </w:p>
    <w:p w14:paraId="76F09469">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2）与本工程相关的任何分包合同、采购合同、聘任合同的签订：</w:t>
      </w:r>
    </w:p>
    <w:p w14:paraId="11A0F564">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3）同意涉及合同价款变化超过1万元或合同工期变化超过3天的变更指示；</w:t>
      </w:r>
    </w:p>
    <w:p w14:paraId="31D11E79">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4）进度款支付申请；</w:t>
      </w:r>
    </w:p>
    <w:p w14:paraId="0C2A035E">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5）竣工验收申请；</w:t>
      </w:r>
    </w:p>
    <w:p w14:paraId="0E2CE02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6）最终结清申请单 </w:t>
      </w:r>
      <w:r>
        <w:rPr>
          <w:rFonts w:hint="eastAsia" w:ascii="宋体" w:hAnsi="宋体" w:eastAsia="宋体" w:cs="宋体"/>
          <w:color w:val="auto"/>
          <w:highlight w:val="none"/>
        </w:rPr>
        <w:t>。</w:t>
      </w:r>
    </w:p>
    <w:p w14:paraId="180851F3">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关于项目经理在施工现场的时间要求：</w:t>
      </w:r>
      <w:r>
        <w:rPr>
          <w:rFonts w:hint="eastAsia" w:ascii="宋体" w:hAnsi="宋体" w:eastAsia="宋体" w:cs="宋体"/>
          <w:color w:val="auto"/>
          <w:highlight w:val="none"/>
          <w:u w:val="single"/>
        </w:rPr>
        <w:t xml:space="preserve"> 22天  </w:t>
      </w:r>
      <w:r>
        <w:rPr>
          <w:rFonts w:hint="eastAsia" w:ascii="宋体" w:hAnsi="宋体" w:eastAsia="宋体" w:cs="宋体"/>
          <w:color w:val="auto"/>
          <w:highlight w:val="none"/>
        </w:rPr>
        <w:t>。</w:t>
      </w:r>
    </w:p>
    <w:p w14:paraId="5A1A09F0">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3.2.2 </w:t>
      </w:r>
      <w:r>
        <w:rPr>
          <w:rFonts w:hint="eastAsia" w:ascii="宋体" w:hAnsi="宋体" w:eastAsia="宋体" w:cs="宋体"/>
          <w:color w:val="auto"/>
          <w:kern w:val="0"/>
          <w:highlight w:val="none"/>
        </w:rPr>
        <w:t>承包人未提交劳动合同，以及没有为项目经理缴纳社会保险证明的违约责任：</w:t>
      </w:r>
      <w:r>
        <w:rPr>
          <w:rFonts w:hint="eastAsia" w:ascii="宋体" w:hAnsi="宋体" w:eastAsia="宋体" w:cs="宋体"/>
          <w:color w:val="auto"/>
          <w:highlight w:val="none"/>
          <w:u w:val="single"/>
        </w:rPr>
        <w:t xml:space="preserve"> 监理人限期承包人在收到提交要求后3日内补交，并承担违约金1000元；3日内不能补交的，发包人有权要求承包人更换项目经理，并承担违约金10000元。由此增加的费用和（或）延误的工期由承包人承担   </w:t>
      </w:r>
      <w:r>
        <w:rPr>
          <w:rFonts w:hint="eastAsia" w:ascii="宋体" w:hAnsi="宋体" w:eastAsia="宋体" w:cs="宋体"/>
          <w:color w:val="auto"/>
          <w:highlight w:val="none"/>
        </w:rPr>
        <w:t>。</w:t>
      </w:r>
    </w:p>
    <w:p w14:paraId="5D31CCE5">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kern w:val="0"/>
          <w:highlight w:val="none"/>
        </w:rPr>
        <w:t>项目经理未经批准，擅自离开施工现场的违约责任：</w:t>
      </w:r>
      <w:r>
        <w:rPr>
          <w:rFonts w:hint="eastAsia" w:ascii="宋体" w:hAnsi="宋体" w:eastAsia="宋体" w:cs="宋体"/>
          <w:color w:val="auto"/>
          <w:highlight w:val="none"/>
          <w:u w:val="single"/>
        </w:rPr>
        <w:t xml:space="preserve">项目经理每月在岗带班时间不得少于当月施工时间的80%。未经发包人同意或正当理由，项目经理每月在岗带班时间少于当月施工时间80%的，少在岗带班一天，发包人有权处违约金1000元/日（人民币）  </w:t>
      </w:r>
      <w:r>
        <w:rPr>
          <w:rFonts w:hint="eastAsia" w:ascii="宋体" w:hAnsi="宋体" w:eastAsia="宋体" w:cs="宋体"/>
          <w:color w:val="auto"/>
          <w:highlight w:val="none"/>
        </w:rPr>
        <w:t>。</w:t>
      </w:r>
    </w:p>
    <w:p w14:paraId="26229A2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3.2.3 承包人擅自更换项目经理的违约责任：</w:t>
      </w:r>
      <w:r>
        <w:rPr>
          <w:rFonts w:hint="eastAsia" w:ascii="宋体" w:hAnsi="宋体" w:eastAsia="宋体" w:cs="宋体"/>
          <w:color w:val="auto"/>
          <w:highlight w:val="none"/>
          <w:u w:val="single"/>
        </w:rPr>
        <w:t>承包人项目经理必须与承包人投标时所承诺的人员一致，并在  （开工日期）  前到任。在监理人向承包人颁发    （竣工证明材料名称）    前，项目经理不得同时兼任其他任何项目的项目经理</w:t>
      </w:r>
      <w:r>
        <w:rPr>
          <w:rFonts w:hint="eastAsia" w:ascii="宋体" w:hAnsi="宋体" w:eastAsia="宋体" w:cs="宋体"/>
          <w:color w:val="auto"/>
          <w:kern w:val="0"/>
          <w:highlight w:val="none"/>
          <w:u w:val="single"/>
        </w:rPr>
        <w:t>（符合桂建管</w:t>
      </w:r>
      <w:r>
        <w:rPr>
          <w:rFonts w:hint="eastAsia" w:ascii="宋体" w:hAnsi="宋体" w:eastAsia="宋体" w:cs="宋体"/>
          <w:color w:val="auto"/>
          <w:highlight w:val="none"/>
          <w:u w:val="single"/>
        </w:rPr>
        <w:t>﹝2013﹞</w:t>
      </w:r>
      <w:r>
        <w:rPr>
          <w:rFonts w:hint="eastAsia" w:ascii="宋体" w:hAnsi="宋体" w:eastAsia="宋体" w:cs="宋体"/>
          <w:color w:val="auto"/>
          <w:kern w:val="0"/>
          <w:highlight w:val="none"/>
          <w:u w:val="single"/>
        </w:rPr>
        <w:t>17号和</w:t>
      </w:r>
      <w:r>
        <w:rPr>
          <w:rFonts w:hint="eastAsia" w:ascii="宋体" w:hAnsi="宋体" w:eastAsia="宋体" w:cs="宋体"/>
          <w:color w:val="auto"/>
          <w:highlight w:val="none"/>
          <w:u w:val="single"/>
        </w:rPr>
        <w:t>桂建管﹝2014﹞25号</w:t>
      </w:r>
      <w:r>
        <w:rPr>
          <w:rFonts w:hint="eastAsia" w:ascii="宋体" w:hAnsi="宋体" w:eastAsia="宋体" w:cs="宋体"/>
          <w:color w:val="auto"/>
          <w:kern w:val="0"/>
          <w:highlight w:val="none"/>
          <w:u w:val="single"/>
        </w:rPr>
        <w:t>文除外）</w:t>
      </w:r>
      <w:r>
        <w:rPr>
          <w:rFonts w:hint="eastAsia" w:ascii="宋体" w:hAnsi="宋体" w:eastAsia="宋体" w:cs="宋体"/>
          <w:color w:val="auto"/>
          <w:highlight w:val="none"/>
          <w:u w:val="single"/>
        </w:rPr>
        <w:t>。未经发包人书面同意，承包人擅自更换项目经理的视为违约，违约金处 3000元/人•次（人民币）</w:t>
      </w:r>
      <w:r>
        <w:rPr>
          <w:rFonts w:hint="eastAsia" w:ascii="宋体" w:hAnsi="宋体" w:eastAsia="宋体" w:cs="宋体"/>
          <w:color w:val="auto"/>
          <w:highlight w:val="none"/>
        </w:rPr>
        <w:t>。</w:t>
      </w:r>
    </w:p>
    <w:p w14:paraId="224D8EB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3.2.4 承包人无正当理由拒绝更换项目经理的违约责任：</w:t>
      </w:r>
      <w:r>
        <w:rPr>
          <w:rFonts w:hint="eastAsia" w:ascii="宋体" w:hAnsi="宋体" w:eastAsia="宋体" w:cs="宋体"/>
          <w:color w:val="auto"/>
          <w:highlight w:val="none"/>
          <w:u w:val="single"/>
        </w:rPr>
        <w:t>因承包人项目经理不称职，发包人要求调换而未及时调换的，视为承包人违约，必须向发包人交纳处罚金 3000元/人•次（人民币）</w:t>
      </w:r>
      <w:r>
        <w:rPr>
          <w:rFonts w:hint="eastAsia" w:ascii="宋体" w:hAnsi="宋体" w:eastAsia="宋体" w:cs="宋体"/>
          <w:color w:val="auto"/>
          <w:highlight w:val="none"/>
        </w:rPr>
        <w:t>。</w:t>
      </w:r>
    </w:p>
    <w:p w14:paraId="0B563B03">
      <w:pPr>
        <w:pStyle w:val="4"/>
        <w:rPr>
          <w:rFonts w:hint="eastAsia" w:ascii="宋体" w:hAnsi="宋体" w:eastAsia="宋体" w:cs="宋体"/>
          <w:color w:val="auto"/>
          <w:highlight w:val="none"/>
        </w:rPr>
      </w:pPr>
      <w:bookmarkStart w:id="281" w:name="_Toc487632708"/>
      <w:bookmarkStart w:id="282" w:name="_Toc407135211"/>
      <w:bookmarkStart w:id="283" w:name="_Toc373478356"/>
      <w:bookmarkStart w:id="284" w:name="_Toc373227709"/>
      <w:bookmarkStart w:id="285" w:name="_Toc389065275"/>
      <w:r>
        <w:rPr>
          <w:rFonts w:hint="eastAsia" w:ascii="宋体" w:hAnsi="宋体" w:eastAsia="宋体" w:cs="宋体"/>
          <w:color w:val="auto"/>
          <w:highlight w:val="none"/>
        </w:rPr>
        <w:t>3.3 承包人人员</w:t>
      </w:r>
      <w:bookmarkEnd w:id="281"/>
      <w:bookmarkEnd w:id="282"/>
      <w:bookmarkEnd w:id="283"/>
      <w:bookmarkEnd w:id="284"/>
      <w:bookmarkEnd w:id="285"/>
    </w:p>
    <w:p w14:paraId="5EFB194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3.3.1 承包人提交项目管理机构及施工现场管理人员安排报告（格式见合同附件3）的期限：</w:t>
      </w:r>
    </w:p>
    <w:p w14:paraId="62ACAD5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接到开工通知后7天内    </w:t>
      </w:r>
      <w:r>
        <w:rPr>
          <w:rFonts w:hint="eastAsia" w:ascii="宋体" w:hAnsi="宋体" w:eastAsia="宋体" w:cs="宋体"/>
          <w:color w:val="auto"/>
          <w:highlight w:val="none"/>
        </w:rPr>
        <w:t>。</w:t>
      </w:r>
    </w:p>
    <w:p w14:paraId="26D3649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3.3.2 承包人无正当理由拒绝撤换主要施工管理人员的违约责任：</w:t>
      </w:r>
      <w:r>
        <w:rPr>
          <w:rFonts w:hint="eastAsia" w:ascii="宋体" w:hAnsi="宋体" w:eastAsia="宋体" w:cs="宋体"/>
          <w:color w:val="auto"/>
          <w:highlight w:val="none"/>
          <w:u w:val="single"/>
        </w:rPr>
        <w:t>因承包人主要施工管理人员不称职，发包人要求调换而无正当理由拒绝撤换或未及时调换的，视为承包人违约，必须向发包人交纳处罚金，处罚标准：技术负责人 1000  元/人•次（人民币）；专业工程师500元/人•次（人民币）</w:t>
      </w:r>
      <w:r>
        <w:rPr>
          <w:rFonts w:hint="eastAsia" w:ascii="宋体" w:hAnsi="宋体" w:eastAsia="宋体" w:cs="宋体"/>
          <w:color w:val="auto"/>
          <w:highlight w:val="none"/>
        </w:rPr>
        <w:t>。</w:t>
      </w:r>
    </w:p>
    <w:p w14:paraId="50C4FBE2">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3.3.3 承包人主要施工管理人员离开施工现场的批准要求：</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highlight w:val="none"/>
        </w:rPr>
        <w:t>。</w:t>
      </w:r>
    </w:p>
    <w:p w14:paraId="639E6B4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3.3.4 承包人擅自更换主要施工管理人员的违约责任：</w:t>
      </w:r>
      <w:r>
        <w:rPr>
          <w:rFonts w:hint="eastAsia" w:ascii="宋体" w:hAnsi="宋体" w:eastAsia="宋体" w:cs="宋体"/>
          <w:color w:val="auto"/>
          <w:highlight w:val="none"/>
          <w:u w:val="single"/>
        </w:rPr>
        <w:t>项目技术负责人、专职安全员及其承诺的其它在场管理人员未经发包人书面同意不准擅自更换，擅自更换项目技术负责人处 1000 元/人•次（人民币）违约金；擅自更换专职安全员处500元/人•次（人民币）违约金；擅自更换其它在场管理人员处500元/人•次（人民币）违约金</w:t>
      </w:r>
      <w:r>
        <w:rPr>
          <w:rFonts w:hint="eastAsia" w:ascii="宋体" w:hAnsi="宋体" w:eastAsia="宋体" w:cs="宋体"/>
          <w:color w:val="auto"/>
          <w:highlight w:val="none"/>
        </w:rPr>
        <w:t>。</w:t>
      </w:r>
    </w:p>
    <w:p w14:paraId="71F2F89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承包人主要施工管理人员擅自离开施工现场的违约责任：</w:t>
      </w:r>
      <w:r>
        <w:rPr>
          <w:rFonts w:hint="eastAsia" w:ascii="宋体" w:hAnsi="宋体" w:eastAsia="宋体" w:cs="宋体"/>
          <w:color w:val="auto"/>
          <w:highlight w:val="none"/>
          <w:u w:val="single"/>
        </w:rPr>
        <w:t>未经发包人同意，项目技术负责人擅自离岗的，视为承包人违约，发包人有权处违约金  3000  元/人•次（人民币）；未经发包人同意，专职安全员擅自离岗的，视为承包人违约，发包人有权处违约金1000元/人•次（人民币）；其它在场管理人员擅自离岗的，视为承包人违约，发包人有权处违约金1000元/人•次（人民币）</w:t>
      </w:r>
      <w:r>
        <w:rPr>
          <w:rFonts w:hint="eastAsia" w:ascii="宋体" w:hAnsi="宋体" w:eastAsia="宋体" w:cs="宋体"/>
          <w:color w:val="auto"/>
          <w:highlight w:val="none"/>
        </w:rPr>
        <w:t>。</w:t>
      </w:r>
    </w:p>
    <w:p w14:paraId="534DDB92">
      <w:pPr>
        <w:pStyle w:val="4"/>
        <w:rPr>
          <w:rFonts w:hint="eastAsia" w:ascii="宋体" w:hAnsi="宋体" w:eastAsia="宋体" w:cs="宋体"/>
          <w:color w:val="auto"/>
          <w:highlight w:val="none"/>
        </w:rPr>
      </w:pPr>
      <w:bookmarkStart w:id="286" w:name="_Toc407135212"/>
      <w:bookmarkStart w:id="287" w:name="_Toc373227710"/>
      <w:bookmarkStart w:id="288" w:name="_Toc389065276"/>
      <w:bookmarkStart w:id="289" w:name="_Toc373478357"/>
      <w:bookmarkStart w:id="290" w:name="_Toc487632709"/>
      <w:r>
        <w:rPr>
          <w:rFonts w:hint="eastAsia" w:ascii="宋体" w:hAnsi="宋体" w:eastAsia="宋体" w:cs="宋体"/>
          <w:color w:val="auto"/>
          <w:highlight w:val="none"/>
        </w:rPr>
        <w:t>3</w:t>
      </w:r>
      <w:bookmarkStart w:id="291" w:name="_Toc312677988"/>
      <w:bookmarkStart w:id="292" w:name="_Toc297120459"/>
      <w:bookmarkStart w:id="293" w:name="_Toc296891199"/>
      <w:bookmarkStart w:id="294" w:name="_Toc297048345"/>
      <w:bookmarkStart w:id="295" w:name="_Toc297123492"/>
      <w:bookmarkStart w:id="296" w:name="_Toc304295523"/>
      <w:bookmarkStart w:id="297" w:name="_Toc296944498"/>
      <w:bookmarkStart w:id="298" w:name="_Toc296890987"/>
      <w:bookmarkStart w:id="299" w:name="_Toc296346660"/>
      <w:bookmarkStart w:id="300" w:name="_Toc292559364"/>
      <w:bookmarkStart w:id="301" w:name="_Toc303539102"/>
      <w:bookmarkStart w:id="302" w:name="_Toc297216151"/>
      <w:bookmarkStart w:id="303" w:name="_Toc296503159"/>
      <w:bookmarkStart w:id="304" w:name="_Toc300934945"/>
      <w:bookmarkStart w:id="305" w:name="_Toc296347158"/>
      <w:bookmarkStart w:id="306" w:name="_Toc292559869"/>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xml:space="preserve"> 分包</w:t>
      </w:r>
      <w:bookmarkEnd w:id="286"/>
      <w:bookmarkEnd w:id="287"/>
      <w:bookmarkEnd w:id="288"/>
      <w:bookmarkEnd w:id="289"/>
      <w:bookmarkEnd w:id="290"/>
    </w:p>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14:paraId="3B4AA44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bookmarkStart w:id="307" w:name="_Toc292559365"/>
      <w:bookmarkStart w:id="308" w:name="_Toc296891200"/>
      <w:bookmarkStart w:id="309" w:name="_Toc312677989"/>
      <w:bookmarkStart w:id="310" w:name="_Toc296347159"/>
      <w:bookmarkStart w:id="311" w:name="_Toc296890988"/>
      <w:bookmarkStart w:id="312" w:name="_Toc296503160"/>
      <w:bookmarkStart w:id="313" w:name="_Toc297216152"/>
      <w:bookmarkStart w:id="314" w:name="_Toc296346661"/>
      <w:bookmarkStart w:id="315" w:name="_Toc300934946"/>
      <w:bookmarkStart w:id="316" w:name="_Toc292559870"/>
      <w:bookmarkStart w:id="317" w:name="_Toc297120460"/>
      <w:bookmarkStart w:id="318" w:name="_Toc296944499"/>
      <w:bookmarkStart w:id="319" w:name="_Toc303539103"/>
      <w:bookmarkStart w:id="320" w:name="_Toc297048346"/>
      <w:bookmarkStart w:id="321" w:name="_Toc318581158"/>
      <w:bookmarkStart w:id="322" w:name="_Toc297123493"/>
      <w:bookmarkStart w:id="323" w:name="_Toc304295524"/>
      <w:r>
        <w:rPr>
          <w:rFonts w:hint="eastAsia" w:ascii="宋体" w:hAnsi="宋体" w:eastAsia="宋体" w:cs="宋体"/>
          <w:color w:val="auto"/>
          <w:highlight w:val="none"/>
        </w:rPr>
        <w:t>.4.1 分包的一般约定</w:t>
      </w:r>
    </w:p>
    <w:p w14:paraId="4FE3FD0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禁止分包的工程包括：</w:t>
      </w:r>
      <w:r>
        <w:rPr>
          <w:rFonts w:hint="eastAsia" w:ascii="宋体" w:hAnsi="宋体" w:eastAsia="宋体" w:cs="宋体"/>
          <w:color w:val="auto"/>
          <w:highlight w:val="none"/>
          <w:u w:val="single"/>
        </w:rPr>
        <w:t xml:space="preserve">   本工程不允许分包、转包     </w:t>
      </w:r>
      <w:r>
        <w:rPr>
          <w:rFonts w:hint="eastAsia" w:ascii="宋体" w:hAnsi="宋体" w:eastAsia="宋体" w:cs="宋体"/>
          <w:color w:val="auto"/>
          <w:highlight w:val="none"/>
        </w:rPr>
        <w:t>。</w:t>
      </w:r>
    </w:p>
    <w:p w14:paraId="080CEF9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主体结构、关键性工作的范围：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57A7DD7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bookmarkStart w:id="324" w:name="_Toc318581159"/>
      <w:bookmarkStart w:id="325" w:name="_Toc312677990"/>
      <w:r>
        <w:rPr>
          <w:rFonts w:hint="eastAsia" w:ascii="宋体" w:hAnsi="宋体" w:eastAsia="宋体" w:cs="宋体"/>
          <w:color w:val="auto"/>
          <w:highlight w:val="none"/>
        </w:rPr>
        <w:t>.4.2 分包的确定</w:t>
      </w:r>
    </w:p>
    <w:p w14:paraId="2124B3CB">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允许分包的专业工程包括：</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622C1FE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其他关于分包的约定：</w:t>
      </w:r>
    </w:p>
    <w:p w14:paraId="4EB2E89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4。</w:t>
      </w:r>
    </w:p>
    <w:p w14:paraId="3EC53A0D">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（2）在相关分包合同签订并报送有关建设行政主管部门备案后7天内，承包人应当将一份副本提交给监理人，承包人应保障分包工作不得再次分包。</w:t>
      </w:r>
    </w:p>
    <w:p w14:paraId="4AF626A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（3）未经承包人和监理人审批同意的分包工程和分包人，承包人有权拒绝验收分包工程和支付相应款项，由此引起的发包人费用增加和(或)延误的工期由发包人承担。</w:t>
      </w:r>
    </w:p>
    <w:p w14:paraId="0997C12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（4）承包人有以下情况之一者，发包人有权解除合同，并视情况扣除其履约保证金：</w:t>
      </w:r>
    </w:p>
    <w:p w14:paraId="53C171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①个人承包工程，包括本人单位及外单位人员承包，发包人不承认其个人拥有任何资质等级及营业许可资格。没收全部履约保证金。</w:t>
      </w:r>
    </w:p>
    <w:p w14:paraId="0C7DAD1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②几个人联合承包工程，就地组织暗分包队伍，不具备完成本工程的技术、机械能力，被发包人判定为没有能力履行的承包人。没收全部履约保证金。</w:t>
      </w:r>
    </w:p>
    <w:p w14:paraId="4B5ABE2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③就地转包全部的工程，以谋取高额转让费、管理费的承包人。没收全部履约保证金。</w:t>
      </w:r>
    </w:p>
    <w:p w14:paraId="201A0266">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311FBD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3.4.3 分包合同价款</w:t>
      </w:r>
    </w:p>
    <w:bookmarkEnd w:id="324"/>
    <w:bookmarkEnd w:id="325"/>
    <w:p w14:paraId="762AE97A">
      <w:pPr>
        <w:spacing w:line="360" w:lineRule="auto"/>
        <w:ind w:firstLine="420" w:firstLineChars="200"/>
        <w:rPr>
          <w:rFonts w:hint="eastAsia" w:ascii="宋体" w:hAnsi="宋体" w:eastAsia="宋体" w:cs="宋体"/>
          <w:color w:val="auto"/>
          <w:highlight w:val="none"/>
        </w:rPr>
      </w:pPr>
      <w:bookmarkStart w:id="326" w:name="_Toc373227711"/>
      <w:bookmarkStart w:id="327" w:name="_Toc389065277"/>
      <w:bookmarkStart w:id="328" w:name="_Toc373478358"/>
      <w:r>
        <w:rPr>
          <w:rFonts w:hint="eastAsia" w:ascii="宋体" w:hAnsi="宋体" w:eastAsia="宋体" w:cs="宋体"/>
          <w:color w:val="auto"/>
          <w:highlight w:val="none"/>
        </w:rPr>
        <w:t>关于分包合同价款支付的约定：</w:t>
      </w:r>
      <w:r>
        <w:rPr>
          <w:rFonts w:hint="eastAsia" w:ascii="宋体" w:hAnsi="宋体" w:eastAsia="宋体" w:cs="宋体"/>
          <w:color w:val="auto"/>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71F93183">
      <w:pPr>
        <w:pStyle w:val="4"/>
        <w:rPr>
          <w:rFonts w:hint="eastAsia" w:ascii="宋体" w:hAnsi="宋体" w:eastAsia="宋体" w:cs="宋体"/>
          <w:color w:val="auto"/>
          <w:highlight w:val="none"/>
        </w:rPr>
      </w:pPr>
      <w:bookmarkStart w:id="329" w:name="_Toc487632710"/>
      <w:bookmarkStart w:id="330" w:name="_Toc407135213"/>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 xml:space="preserve">5 </w:t>
      </w:r>
      <w:r>
        <w:rPr>
          <w:rFonts w:hint="eastAsia" w:ascii="宋体" w:hAnsi="宋体" w:eastAsia="宋体" w:cs="宋体"/>
          <w:color w:val="auto"/>
          <w:highlight w:val="none"/>
        </w:rPr>
        <w:t>工程照管与成品、半成品保护</w:t>
      </w:r>
      <w:bookmarkEnd w:id="326"/>
      <w:bookmarkEnd w:id="327"/>
      <w:bookmarkEnd w:id="328"/>
      <w:bookmarkEnd w:id="329"/>
      <w:bookmarkEnd w:id="330"/>
    </w:p>
    <w:p w14:paraId="2A49F8C1">
      <w:pPr>
        <w:spacing w:line="360" w:lineRule="auto"/>
        <w:ind w:firstLine="420" w:firstLineChars="200"/>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承包人负责照管工程及工程相关的材料、工程设备的起始时间：</w:t>
      </w:r>
      <w:r>
        <w:rPr>
          <w:rFonts w:hint="eastAsia" w:ascii="宋体" w:hAnsi="宋体" w:eastAsia="宋体" w:cs="宋体"/>
          <w:color w:val="auto"/>
          <w:kern w:val="0"/>
          <w:highlight w:val="none"/>
          <w:u w:val="single"/>
        </w:rPr>
        <w:t xml:space="preserve">  从合同签订之日起至竣工验收合格并移交使用方接管之日止，期间所发生的半成品、成品损坏一切责任由承包人负责修复至设计要求    </w:t>
      </w:r>
      <w:r>
        <w:rPr>
          <w:rFonts w:hint="eastAsia" w:ascii="宋体" w:hAnsi="宋体" w:eastAsia="宋体" w:cs="宋体"/>
          <w:color w:val="auto"/>
          <w:kern w:val="0"/>
          <w:highlight w:val="none"/>
        </w:rPr>
        <w:t>。</w:t>
      </w:r>
    </w:p>
    <w:p w14:paraId="3111DF38">
      <w:pPr>
        <w:pStyle w:val="4"/>
        <w:rPr>
          <w:rFonts w:hint="eastAsia" w:ascii="宋体" w:hAnsi="宋体" w:eastAsia="宋体" w:cs="宋体"/>
          <w:color w:val="auto"/>
          <w:highlight w:val="none"/>
          <w:lang w:eastAsia="zh-CN"/>
        </w:rPr>
      </w:pPr>
      <w:bookmarkStart w:id="331" w:name="_Toc373227712"/>
      <w:bookmarkStart w:id="332" w:name="_Toc389065278"/>
      <w:bookmarkStart w:id="333" w:name="_Toc373478359"/>
      <w:bookmarkStart w:id="334" w:name="_Toc407135214"/>
      <w:bookmarkStart w:id="335" w:name="_Toc487632711"/>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 xml:space="preserve">6 </w:t>
      </w:r>
      <w:r>
        <w:rPr>
          <w:rFonts w:hint="eastAsia" w:ascii="宋体" w:hAnsi="宋体" w:eastAsia="宋体" w:cs="宋体"/>
          <w:color w:val="auto"/>
          <w:highlight w:val="none"/>
        </w:rPr>
        <w:t>履约</w:t>
      </w:r>
      <w:bookmarkEnd w:id="331"/>
      <w:bookmarkEnd w:id="332"/>
      <w:bookmarkEnd w:id="333"/>
      <w:r>
        <w:rPr>
          <w:rFonts w:hint="eastAsia" w:ascii="宋体" w:hAnsi="宋体" w:eastAsia="宋体" w:cs="宋体"/>
          <w:color w:val="auto"/>
          <w:highlight w:val="none"/>
        </w:rPr>
        <w:t>保证金</w:t>
      </w:r>
      <w:bookmarkEnd w:id="334"/>
      <w:bookmarkEnd w:id="335"/>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如需要</w:t>
      </w:r>
      <w:r>
        <w:rPr>
          <w:rFonts w:hint="eastAsia" w:ascii="宋体" w:hAnsi="宋体" w:cs="宋体"/>
          <w:color w:val="auto"/>
          <w:highlight w:val="none"/>
          <w:lang w:eastAsia="zh-CN"/>
        </w:rPr>
        <w:t>）</w:t>
      </w:r>
    </w:p>
    <w:p w14:paraId="6DFAB35E">
      <w:pPr>
        <w:spacing w:line="360" w:lineRule="auto"/>
        <w:ind w:firstLine="420" w:firstLineChars="200"/>
        <w:jc w:val="left"/>
        <w:rPr>
          <w:rFonts w:hint="eastAsia" w:ascii="宋体" w:hAnsi="宋体" w:eastAsia="宋体" w:cs="宋体"/>
          <w:color w:val="auto"/>
          <w:highlight w:val="none"/>
        </w:rPr>
      </w:pPr>
      <w:bookmarkStart w:id="336" w:name="_Toc351203636"/>
      <w:bookmarkStart w:id="337" w:name="_Toc373478360"/>
      <w:bookmarkStart w:id="338" w:name="_Toc389065279"/>
      <w:bookmarkStart w:id="339" w:name="_Toc373227713"/>
      <w:r>
        <w:rPr>
          <w:rFonts w:hint="eastAsia" w:ascii="宋体" w:hAnsi="宋体" w:eastAsia="宋体" w:cs="宋体"/>
          <w:color w:val="auto"/>
          <w:highlight w:val="none"/>
        </w:rPr>
        <w:t>承包人提供履约担保的形式、金额及期限的：</w:t>
      </w:r>
      <w:r>
        <w:rPr>
          <w:rFonts w:hint="eastAsia" w:ascii="宋体" w:hAnsi="宋体" w:eastAsia="宋体" w:cs="宋体"/>
          <w:color w:val="auto"/>
          <w:highlight w:val="none"/>
          <w:u w:val="single"/>
        </w:rPr>
        <w:t>履约保证金由</w:t>
      </w:r>
      <w:r>
        <w:rPr>
          <w:rFonts w:hint="eastAsia" w:ascii="宋体" w:hAnsi="宋体" w:cs="宋体"/>
          <w:color w:val="auto"/>
          <w:highlight w:val="none"/>
          <w:u w:val="single"/>
          <w:lang w:val="en-US" w:eastAsia="zh-CN"/>
        </w:rPr>
        <w:t>承包人与采购单位签订合同时约定</w:t>
      </w:r>
      <w:r>
        <w:rPr>
          <w:rFonts w:hint="eastAsia" w:ascii="宋体" w:hAnsi="宋体" w:eastAsia="宋体" w:cs="宋体"/>
          <w:color w:val="auto"/>
          <w:highlight w:val="none"/>
          <w:u w:val="single"/>
        </w:rPr>
        <w:t>。履约担保的有效期应当自本合同生效之日起至发包人签认并由监理人向承包人出具 竣工验收意见书之日止。</w:t>
      </w:r>
    </w:p>
    <w:p w14:paraId="5D7A82F0">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工程竣工验收合格并对验收发现的问题完成整改后的7个日历天内，发包人同意退付履约保证金的，承包人凭《履约保证金退付确认函》到</w:t>
      </w:r>
      <w:r>
        <w:rPr>
          <w:rFonts w:hint="eastAsia" w:ascii="宋体" w:hAnsi="宋体" w:cs="宋体"/>
          <w:color w:val="auto"/>
          <w:highlight w:val="none"/>
          <w:u w:val="single"/>
          <w:lang w:val="en-US" w:eastAsia="zh-CN"/>
        </w:rPr>
        <w:t>采购单位</w:t>
      </w:r>
      <w:r>
        <w:rPr>
          <w:rFonts w:hint="eastAsia" w:ascii="宋体" w:hAnsi="宋体" w:eastAsia="宋体" w:cs="宋体"/>
          <w:color w:val="auto"/>
          <w:highlight w:val="none"/>
          <w:u w:val="single"/>
        </w:rPr>
        <w:t>退还履约金。</w:t>
      </w:r>
    </w:p>
    <w:p w14:paraId="3A9E55CD">
      <w:pPr>
        <w:pStyle w:val="3"/>
        <w:rPr>
          <w:rFonts w:hint="eastAsia" w:ascii="宋体" w:hAnsi="宋体" w:eastAsia="宋体" w:cs="宋体"/>
          <w:color w:val="auto"/>
          <w:highlight w:val="none"/>
        </w:rPr>
      </w:pPr>
      <w:bookmarkStart w:id="340" w:name="_Toc487632712"/>
      <w:bookmarkStart w:id="341" w:name="_Toc407135215"/>
      <w:r>
        <w:rPr>
          <w:rFonts w:hint="eastAsia" w:ascii="宋体" w:hAnsi="宋体" w:eastAsia="宋体" w:cs="宋体"/>
          <w:color w:val="auto"/>
          <w:highlight w:val="none"/>
        </w:rPr>
        <w:t>4</w:t>
      </w:r>
      <w:bookmarkStart w:id="342" w:name="_Toc296346663"/>
      <w:bookmarkStart w:id="343" w:name="_Toc296891202"/>
      <w:bookmarkStart w:id="344" w:name="_Toc296503162"/>
      <w:bookmarkStart w:id="345" w:name="_Toc292559366"/>
      <w:bookmarkStart w:id="346" w:name="_Toc292559871"/>
      <w:bookmarkStart w:id="347" w:name="_Toc297048348"/>
      <w:bookmarkStart w:id="348" w:name="_Toc297120462"/>
      <w:bookmarkStart w:id="349" w:name="_Toc267251413"/>
      <w:bookmarkStart w:id="350" w:name="_Toc296890990"/>
      <w:bookmarkStart w:id="351" w:name="_Toc296347161"/>
      <w:bookmarkStart w:id="352" w:name="_Toc296944501"/>
      <w:r>
        <w:rPr>
          <w:rFonts w:hint="eastAsia" w:ascii="宋体" w:hAnsi="宋体" w:eastAsia="宋体" w:cs="宋体"/>
          <w:color w:val="auto"/>
          <w:highlight w:val="none"/>
        </w:rPr>
        <w:t>. 监</w:t>
      </w:r>
      <w:bookmarkEnd w:id="342"/>
      <w:bookmarkEnd w:id="343"/>
      <w:bookmarkEnd w:id="344"/>
      <w:bookmarkEnd w:id="345"/>
      <w:bookmarkEnd w:id="346"/>
      <w:bookmarkEnd w:id="347"/>
      <w:bookmarkEnd w:id="348"/>
      <w:bookmarkEnd w:id="349"/>
      <w:bookmarkEnd w:id="350"/>
      <w:bookmarkEnd w:id="351"/>
      <w:bookmarkEnd w:id="352"/>
      <w:r>
        <w:rPr>
          <w:rFonts w:hint="eastAsia" w:ascii="宋体" w:hAnsi="宋体" w:eastAsia="宋体" w:cs="宋体"/>
          <w:color w:val="auto"/>
          <w:highlight w:val="none"/>
        </w:rPr>
        <w:t>理人</w:t>
      </w:r>
      <w:bookmarkEnd w:id="336"/>
      <w:bookmarkEnd w:id="337"/>
      <w:bookmarkEnd w:id="338"/>
      <w:bookmarkEnd w:id="339"/>
      <w:bookmarkEnd w:id="340"/>
      <w:bookmarkEnd w:id="341"/>
    </w:p>
    <w:p w14:paraId="220D7C73">
      <w:pPr>
        <w:pStyle w:val="4"/>
        <w:rPr>
          <w:rFonts w:hint="eastAsia" w:ascii="宋体" w:hAnsi="宋体" w:eastAsia="宋体" w:cs="宋体"/>
          <w:color w:val="auto"/>
          <w:highlight w:val="none"/>
        </w:rPr>
      </w:pPr>
      <w:bookmarkStart w:id="353" w:name="_Toc373227714"/>
      <w:bookmarkStart w:id="354" w:name="_Toc389065280"/>
      <w:bookmarkStart w:id="355" w:name="_Toc487632713"/>
      <w:bookmarkStart w:id="356" w:name="_Toc373478361"/>
      <w:bookmarkStart w:id="357" w:name="_Toc407135216"/>
      <w:r>
        <w:rPr>
          <w:rFonts w:hint="eastAsia" w:ascii="宋体" w:hAnsi="宋体" w:eastAsia="宋体" w:cs="宋体"/>
          <w:color w:val="auto"/>
          <w:highlight w:val="none"/>
        </w:rPr>
        <w:t>4.1 监理人的一般规定</w:t>
      </w:r>
      <w:bookmarkEnd w:id="353"/>
      <w:bookmarkEnd w:id="354"/>
      <w:bookmarkEnd w:id="355"/>
      <w:bookmarkEnd w:id="356"/>
      <w:bookmarkEnd w:id="357"/>
    </w:p>
    <w:p w14:paraId="215E4E78">
      <w:pPr>
        <w:spacing w:line="360" w:lineRule="auto"/>
        <w:ind w:firstLine="420" w:firstLineChars="200"/>
        <w:jc w:val="left"/>
        <w:rPr>
          <w:rFonts w:hint="eastAsia" w:ascii="宋体" w:hAnsi="宋体" w:eastAsia="宋体" w:cs="宋体"/>
          <w:color w:val="auto"/>
          <w:highlight w:val="none"/>
        </w:rPr>
      </w:pPr>
      <w:bookmarkStart w:id="358" w:name="_Toc373227715"/>
      <w:bookmarkStart w:id="359" w:name="_Toc373478362"/>
      <w:bookmarkStart w:id="360" w:name="_Toc487632714"/>
      <w:bookmarkStart w:id="361" w:name="_Toc389065281"/>
      <w:bookmarkStart w:id="362" w:name="_Toc407135217"/>
      <w:r>
        <w:rPr>
          <w:rFonts w:hint="eastAsia" w:ascii="宋体" w:hAnsi="宋体" w:eastAsia="宋体" w:cs="宋体"/>
          <w:color w:val="auto"/>
          <w:highlight w:val="none"/>
        </w:rPr>
        <w:t>关于监理人的监理内容：</w:t>
      </w:r>
      <w:r>
        <w:rPr>
          <w:rFonts w:hint="eastAsia" w:ascii="宋体" w:hAnsi="宋体" w:eastAsia="宋体" w:cs="宋体"/>
          <w:color w:val="auto"/>
          <w:highlight w:val="none"/>
          <w:u w:val="single"/>
        </w:rPr>
        <w:t xml:space="preserve">图纸或工程量清单范围内的全部内容（包括设计变更）  </w:t>
      </w:r>
      <w:r>
        <w:rPr>
          <w:rFonts w:hint="eastAsia" w:ascii="宋体" w:hAnsi="宋体" w:eastAsia="宋体" w:cs="宋体"/>
          <w:color w:val="auto"/>
          <w:highlight w:val="none"/>
        </w:rPr>
        <w:t>。</w:t>
      </w:r>
    </w:p>
    <w:p w14:paraId="02E7B3C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关于监理人的监理权限：</w:t>
      </w:r>
      <w:r>
        <w:rPr>
          <w:rFonts w:hint="eastAsia" w:ascii="宋体" w:hAnsi="宋体" w:eastAsia="宋体" w:cs="宋体"/>
          <w:color w:val="auto"/>
          <w:highlight w:val="none"/>
          <w:u w:val="single"/>
        </w:rPr>
        <w:t xml:space="preserve">  按监理合同约定    </w:t>
      </w:r>
      <w:r>
        <w:rPr>
          <w:rFonts w:hint="eastAsia" w:ascii="宋体" w:hAnsi="宋体" w:eastAsia="宋体" w:cs="宋体"/>
          <w:color w:val="auto"/>
          <w:highlight w:val="none"/>
        </w:rPr>
        <w:t xml:space="preserve">。 </w:t>
      </w:r>
    </w:p>
    <w:p w14:paraId="4A7FBAF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关于监理人在施工现场的办公场所、生活场所的提供和费用承担的约定：</w:t>
      </w:r>
      <w:r>
        <w:rPr>
          <w:rFonts w:hint="eastAsia" w:ascii="宋体" w:hAnsi="宋体" w:eastAsia="宋体" w:cs="宋体"/>
          <w:color w:val="auto"/>
          <w:highlight w:val="none"/>
          <w:u w:val="single"/>
        </w:rPr>
        <w:t xml:space="preserve">由承包人承担，承包人投标报价时综合考虑此项费用  </w:t>
      </w:r>
      <w:r>
        <w:rPr>
          <w:rFonts w:hint="eastAsia" w:ascii="宋体" w:hAnsi="宋体" w:eastAsia="宋体" w:cs="宋体"/>
          <w:color w:val="auto"/>
          <w:highlight w:val="none"/>
        </w:rPr>
        <w:t>。</w:t>
      </w:r>
    </w:p>
    <w:p w14:paraId="76214347">
      <w:pPr>
        <w:pStyle w:val="4"/>
        <w:rPr>
          <w:rFonts w:hint="eastAsia" w:ascii="宋体" w:hAnsi="宋体" w:eastAsia="宋体" w:cs="宋体"/>
          <w:color w:val="auto"/>
          <w:highlight w:val="none"/>
        </w:rPr>
      </w:pPr>
      <w:r>
        <w:rPr>
          <w:rFonts w:hint="eastAsia" w:ascii="宋体" w:hAnsi="宋体" w:eastAsia="宋体" w:cs="宋体"/>
          <w:color w:val="auto"/>
          <w:highlight w:val="none"/>
        </w:rPr>
        <w:t>4.2 监理人员</w:t>
      </w:r>
      <w:bookmarkEnd w:id="358"/>
      <w:bookmarkEnd w:id="359"/>
      <w:bookmarkEnd w:id="360"/>
      <w:bookmarkEnd w:id="361"/>
      <w:bookmarkEnd w:id="362"/>
    </w:p>
    <w:p w14:paraId="7593BFF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总监理工程师：</w:t>
      </w:r>
    </w:p>
    <w:p w14:paraId="26EC4D4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38EBE6D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1C0685E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监理工程师执业资格证书号：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7D99D2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63748EC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4394A7B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7FF9490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关于监理人的其他约定：</w:t>
      </w:r>
      <w:r>
        <w:rPr>
          <w:rFonts w:hint="eastAsia" w:ascii="宋体" w:hAnsi="宋体" w:eastAsia="宋体" w:cs="宋体"/>
          <w:color w:val="auto"/>
          <w:highlight w:val="none"/>
          <w:u w:val="single"/>
        </w:rPr>
        <w:t>协助发包人做好施工现场的协调工作</w:t>
      </w:r>
      <w:r>
        <w:rPr>
          <w:rFonts w:hint="eastAsia" w:ascii="宋体" w:hAnsi="宋体" w:eastAsia="宋体" w:cs="宋体"/>
          <w:color w:val="auto"/>
          <w:highlight w:val="none"/>
        </w:rPr>
        <w:t>。</w:t>
      </w:r>
    </w:p>
    <w:p w14:paraId="45471926">
      <w:pPr>
        <w:pStyle w:val="4"/>
        <w:rPr>
          <w:rFonts w:hint="eastAsia" w:ascii="宋体" w:hAnsi="宋体" w:eastAsia="宋体" w:cs="宋体"/>
          <w:color w:val="auto"/>
          <w:highlight w:val="none"/>
        </w:rPr>
      </w:pPr>
      <w:bookmarkStart w:id="363" w:name="_Toc389065282"/>
      <w:bookmarkStart w:id="364" w:name="_Toc373227716"/>
      <w:bookmarkStart w:id="365" w:name="_Toc373478363"/>
      <w:bookmarkStart w:id="366" w:name="_Toc407135218"/>
      <w:bookmarkStart w:id="367" w:name="_Toc487632715"/>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 xml:space="preserve">3 </w:t>
      </w:r>
      <w:r>
        <w:rPr>
          <w:rFonts w:hint="eastAsia" w:ascii="宋体" w:hAnsi="宋体" w:eastAsia="宋体" w:cs="宋体"/>
          <w:color w:val="auto"/>
          <w:highlight w:val="none"/>
        </w:rPr>
        <w:t>商定或确定</w:t>
      </w:r>
      <w:bookmarkEnd w:id="363"/>
      <w:bookmarkEnd w:id="364"/>
      <w:bookmarkEnd w:id="365"/>
      <w:bookmarkEnd w:id="366"/>
      <w:bookmarkEnd w:id="367"/>
    </w:p>
    <w:p w14:paraId="627F5176">
      <w:pPr>
        <w:spacing w:line="360" w:lineRule="auto"/>
        <w:ind w:firstLine="420" w:firstLineChars="200"/>
        <w:rPr>
          <w:rFonts w:hint="eastAsia" w:ascii="宋体" w:hAnsi="宋体" w:eastAsia="宋体" w:cs="宋体"/>
          <w:color w:val="auto"/>
          <w:highlight w:val="none"/>
        </w:rPr>
      </w:pPr>
      <w:bookmarkStart w:id="368" w:name="_Toc267251418"/>
      <w:r>
        <w:rPr>
          <w:rFonts w:hint="eastAsia" w:ascii="宋体" w:hAnsi="宋体" w:eastAsia="宋体" w:cs="宋体"/>
          <w:color w:val="auto"/>
          <w:highlight w:val="none"/>
        </w:rPr>
        <w:t>在发包人和承包人不能通过协商达成一致意见时，发包人授权监理人对以下事项进行确定：</w:t>
      </w:r>
    </w:p>
    <w:p w14:paraId="272DB25B">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53A6411">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C19490C">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3DECD7C">
      <w:pPr>
        <w:pStyle w:val="3"/>
        <w:rPr>
          <w:rFonts w:hint="eastAsia" w:ascii="宋体" w:hAnsi="宋体" w:eastAsia="宋体" w:cs="宋体"/>
          <w:color w:val="auto"/>
          <w:highlight w:val="none"/>
        </w:rPr>
      </w:pPr>
      <w:bookmarkStart w:id="369" w:name="_Toc351203637"/>
      <w:bookmarkStart w:id="370" w:name="_Toc389065283"/>
      <w:bookmarkStart w:id="371" w:name="_Toc373227717"/>
      <w:bookmarkStart w:id="372" w:name="_Toc373478364"/>
      <w:bookmarkStart w:id="373" w:name="_Toc487632716"/>
      <w:bookmarkStart w:id="374" w:name="_Toc407135219"/>
      <w:r>
        <w:rPr>
          <w:rFonts w:hint="eastAsia" w:ascii="宋体" w:hAnsi="宋体" w:eastAsia="宋体" w:cs="宋体"/>
          <w:color w:val="auto"/>
          <w:highlight w:val="none"/>
        </w:rPr>
        <w:t>5</w:t>
      </w:r>
      <w:bookmarkEnd w:id="368"/>
      <w:bookmarkStart w:id="375" w:name="_Toc297120463"/>
      <w:bookmarkStart w:id="376" w:name="_Toc296890991"/>
      <w:bookmarkStart w:id="377" w:name="_Toc292559367"/>
      <w:bookmarkStart w:id="378" w:name="_Toc296347162"/>
      <w:bookmarkStart w:id="379" w:name="_Toc296891203"/>
      <w:bookmarkStart w:id="380" w:name="_Toc297048349"/>
      <w:bookmarkStart w:id="381" w:name="_Toc292559872"/>
      <w:bookmarkStart w:id="382" w:name="_Toc296346664"/>
      <w:bookmarkStart w:id="383" w:name="_Toc296944502"/>
      <w:bookmarkStart w:id="384" w:name="_Toc296503163"/>
      <w:r>
        <w:rPr>
          <w:rFonts w:hint="eastAsia" w:ascii="宋体" w:hAnsi="宋体" w:eastAsia="宋体" w:cs="宋体"/>
          <w:color w:val="auto"/>
          <w:highlight w:val="none"/>
        </w:rPr>
        <w:t>. 工程质量</w:t>
      </w:r>
      <w:bookmarkEnd w:id="369"/>
      <w:bookmarkEnd w:id="370"/>
      <w:bookmarkEnd w:id="371"/>
      <w:bookmarkEnd w:id="372"/>
      <w:bookmarkEnd w:id="373"/>
      <w:bookmarkEnd w:id="374"/>
    </w:p>
    <w:p w14:paraId="4B4ED034">
      <w:pPr>
        <w:pStyle w:val="4"/>
        <w:rPr>
          <w:rFonts w:hint="eastAsia" w:ascii="宋体" w:hAnsi="宋体" w:eastAsia="宋体" w:cs="宋体"/>
          <w:color w:val="auto"/>
          <w:highlight w:val="none"/>
        </w:rPr>
      </w:pPr>
      <w:bookmarkStart w:id="385" w:name="_Toc389065284"/>
      <w:bookmarkStart w:id="386" w:name="_Toc487632717"/>
      <w:bookmarkStart w:id="387" w:name="_Toc407135220"/>
      <w:bookmarkStart w:id="388" w:name="_Toc373478365"/>
      <w:bookmarkStart w:id="389" w:name="_Toc373227718"/>
      <w:r>
        <w:rPr>
          <w:rFonts w:hint="eastAsia" w:ascii="宋体" w:hAnsi="宋体" w:eastAsia="宋体" w:cs="宋体"/>
          <w:color w:val="auto"/>
          <w:highlight w:val="none"/>
        </w:rPr>
        <w:t>5.1 质量要求</w:t>
      </w:r>
      <w:bookmarkEnd w:id="385"/>
      <w:bookmarkEnd w:id="386"/>
      <w:bookmarkEnd w:id="387"/>
      <w:bookmarkEnd w:id="388"/>
      <w:bookmarkEnd w:id="389"/>
    </w:p>
    <w:p w14:paraId="2DF129BA">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5</w:t>
      </w:r>
      <w:bookmarkStart w:id="390" w:name="_Toc312677997"/>
      <w:bookmarkStart w:id="391" w:name="_Toc318581164"/>
      <w:bookmarkStart w:id="392" w:name="_Toc300934949"/>
      <w:bookmarkStart w:id="393" w:name="_Toc297123496"/>
      <w:bookmarkStart w:id="394" w:name="_Toc304295527"/>
      <w:bookmarkStart w:id="395" w:name="_Toc303539106"/>
      <w:bookmarkStart w:id="396" w:name="_Toc297216155"/>
      <w:r>
        <w:rPr>
          <w:rFonts w:hint="eastAsia" w:ascii="宋体" w:hAnsi="宋体" w:eastAsia="宋体" w:cs="宋体"/>
          <w:color w:val="auto"/>
          <w:highlight w:val="none"/>
        </w:rPr>
        <w:t>.1.1 特殊质量标准和要求：</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3E888E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关于工程奖项的约定：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16D9F8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5.3 隐蔽工程检查</w:t>
      </w:r>
    </w:p>
    <w:p w14:paraId="148CD41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79D33B3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监理人不能按时进行检查时，应提前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12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小时提交书面延期要求。</w:t>
      </w:r>
    </w:p>
    <w:p w14:paraId="7FA92FC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24</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w:t>
      </w:r>
    </w:p>
    <w:p w14:paraId="731C9729">
      <w:pPr>
        <w:pStyle w:val="3"/>
        <w:rPr>
          <w:rFonts w:hint="eastAsia" w:ascii="宋体" w:hAnsi="宋体" w:eastAsia="宋体" w:cs="宋体"/>
          <w:color w:val="auto"/>
          <w:highlight w:val="none"/>
        </w:rPr>
      </w:pPr>
      <w:bookmarkStart w:id="397" w:name="_Toc389065285"/>
      <w:bookmarkStart w:id="398" w:name="_Toc373227719"/>
      <w:bookmarkStart w:id="399" w:name="_Toc407135221"/>
      <w:bookmarkStart w:id="400" w:name="_Toc373478366"/>
      <w:bookmarkStart w:id="401" w:name="_Toc487632718"/>
      <w:bookmarkStart w:id="402" w:name="_Toc351203638"/>
      <w:r>
        <w:rPr>
          <w:rFonts w:hint="eastAsia" w:ascii="宋体" w:hAnsi="宋体" w:eastAsia="宋体" w:cs="宋体"/>
          <w:color w:val="auto"/>
          <w:highlight w:val="none"/>
        </w:rPr>
        <w:t>6. 安全文明施工与环境保护</w:t>
      </w:r>
      <w:bookmarkEnd w:id="397"/>
      <w:bookmarkEnd w:id="398"/>
      <w:bookmarkEnd w:id="399"/>
      <w:bookmarkEnd w:id="400"/>
      <w:bookmarkEnd w:id="401"/>
      <w:bookmarkEnd w:id="402"/>
    </w:p>
    <w:p w14:paraId="26693B5B">
      <w:pPr>
        <w:pStyle w:val="4"/>
        <w:rPr>
          <w:rFonts w:hint="eastAsia" w:ascii="宋体" w:hAnsi="宋体" w:eastAsia="宋体" w:cs="宋体"/>
          <w:color w:val="auto"/>
          <w:highlight w:val="none"/>
        </w:rPr>
      </w:pPr>
      <w:bookmarkStart w:id="403" w:name="_Toc389065286"/>
      <w:bookmarkStart w:id="404" w:name="_Toc373227720"/>
      <w:bookmarkStart w:id="405" w:name="_Toc487632719"/>
      <w:bookmarkStart w:id="406" w:name="_Toc407135222"/>
      <w:bookmarkStart w:id="407" w:name="_Toc373478367"/>
      <w:r>
        <w:rPr>
          <w:rFonts w:hint="eastAsia" w:ascii="宋体" w:hAnsi="宋体" w:eastAsia="宋体" w:cs="宋体"/>
          <w:color w:val="auto"/>
          <w:highlight w:val="none"/>
        </w:rPr>
        <w:t>6.1 安全文明施工</w:t>
      </w:r>
      <w:bookmarkEnd w:id="403"/>
      <w:bookmarkEnd w:id="404"/>
      <w:bookmarkEnd w:id="405"/>
      <w:bookmarkEnd w:id="406"/>
      <w:bookmarkEnd w:id="407"/>
    </w:p>
    <w:p w14:paraId="60C9321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6.1.1 项目安全生产的达标目标及相应事项的约定：</w:t>
      </w:r>
      <w:r>
        <w:rPr>
          <w:rFonts w:hint="eastAsia" w:ascii="宋体" w:hAnsi="宋体" w:eastAsia="宋体" w:cs="宋体"/>
          <w:color w:val="auto"/>
          <w:highlight w:val="none"/>
          <w:u w:val="single"/>
        </w:rPr>
        <w:t>符合安全文明施工工地标准，配备消防设备（符合消防安全规定），防止火灾发生，费用由承包人承担。承包人承担一切由于自身安全措施不力而造成的安全事故责任及因此而发生的费用</w:t>
      </w:r>
      <w:r>
        <w:rPr>
          <w:rFonts w:hint="eastAsia" w:ascii="宋体" w:hAnsi="宋体" w:eastAsia="宋体" w:cs="宋体"/>
          <w:color w:val="auto"/>
          <w:highlight w:val="none"/>
        </w:rPr>
        <w:t>。</w:t>
      </w:r>
    </w:p>
    <w:p w14:paraId="382FA81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关于安全文明施工奖项的约定：</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646F7D7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6.1.2 关于治安保卫的特别约定：</w:t>
      </w:r>
      <w:r>
        <w:rPr>
          <w:rFonts w:hint="eastAsia" w:ascii="宋体" w:hAnsi="宋体" w:eastAsia="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752B346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关于编制施工场地治安管理计划的约定：</w:t>
      </w:r>
      <w:r>
        <w:rPr>
          <w:rFonts w:hint="eastAsia" w:ascii="宋体" w:hAnsi="宋体" w:eastAsia="宋体" w:cs="宋体"/>
          <w:color w:val="auto"/>
          <w:highlight w:val="none"/>
          <w:u w:val="single"/>
        </w:rPr>
        <w:t xml:space="preserve">   由承包人负责编制和办理报批手续    </w:t>
      </w:r>
      <w:r>
        <w:rPr>
          <w:rFonts w:hint="eastAsia" w:ascii="宋体" w:hAnsi="宋体" w:eastAsia="宋体" w:cs="宋体"/>
          <w:color w:val="auto"/>
          <w:highlight w:val="none"/>
        </w:rPr>
        <w:t>。</w:t>
      </w:r>
    </w:p>
    <w:p w14:paraId="03FFD93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6.1.3 文明施工</w:t>
      </w:r>
    </w:p>
    <w:p w14:paraId="6530DDEC">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合同当事人对文明施工的要求：</w:t>
      </w:r>
      <w:r>
        <w:rPr>
          <w:rFonts w:hint="eastAsia" w:ascii="宋体" w:hAnsi="宋体" w:eastAsia="宋体" w:cs="宋体"/>
          <w:color w:val="auto"/>
          <w:highlight w:val="none"/>
          <w:u w:val="single"/>
        </w:rPr>
        <w:t>1、承包人在施工过程中，应遵守有关环境保护的法律，履行合同约定的环境保护义务，并对违反法律和合同约定义务所造成的环境破坏、人身伤害和财产损失负责。</w:t>
      </w:r>
    </w:p>
    <w:p w14:paraId="55BCF1C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2、承包人应编制施工环保措施计划，报送监理人审批，其中所编制施工环保措施的实施标准不得低于承包人投标文件中相应措施的计划标准。</w:t>
      </w:r>
    </w:p>
    <w:p w14:paraId="3A8AE5CC">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5EEB135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4、承包人应加强对噪声、粉尘、废气、废水和废油的控制，努力降低噪声，控制粉尘和废气浓度，做好废水和废油的治理和排放。因承包人原因造成的处罚由承包人负责   </w:t>
      </w:r>
      <w:r>
        <w:rPr>
          <w:rFonts w:hint="eastAsia" w:ascii="宋体" w:hAnsi="宋体" w:eastAsia="宋体" w:cs="宋体"/>
          <w:color w:val="auto"/>
          <w:highlight w:val="none"/>
        </w:rPr>
        <w:t>。</w:t>
      </w:r>
    </w:p>
    <w:p w14:paraId="6444956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6.1.4 关于安全文明施工费支付比例和支付期限的约定：</w:t>
      </w:r>
    </w:p>
    <w:p w14:paraId="4D65C188">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（1）本合同价款已包含安全文明施工费</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元。</w:t>
      </w:r>
    </w:p>
    <w:p w14:paraId="09DD89BD">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（2）使用要求：专款专用。具体按</w:t>
      </w:r>
      <w:r>
        <w:rPr>
          <w:rFonts w:hint="eastAsia" w:ascii="宋体" w:hAnsi="宋体" w:eastAsia="宋体" w:cs="宋体"/>
          <w:color w:val="auto"/>
          <w:kern w:val="0"/>
          <w:highlight w:val="none"/>
          <w:u w:val="single"/>
        </w:rPr>
        <w:t>《广西壮族自治区建设工程安全文明施工费使用管理细则》（桂建质〔2015〕16号）</w:t>
      </w:r>
      <w:r>
        <w:rPr>
          <w:rFonts w:hint="eastAsia" w:ascii="宋体" w:hAnsi="宋体" w:eastAsia="宋体" w:cs="宋体"/>
          <w:color w:val="auto"/>
          <w:kern w:val="0"/>
          <w:highlight w:val="none"/>
        </w:rPr>
        <w:t>和</w:t>
      </w:r>
      <w:r>
        <w:rPr>
          <w:rFonts w:hint="eastAsia" w:ascii="宋体" w:hAnsi="宋体" w:eastAsia="宋体" w:cs="宋体"/>
          <w:color w:val="auto"/>
          <w:kern w:val="0"/>
          <w:highlight w:val="none"/>
          <w:u w:val="single"/>
        </w:rPr>
        <w:t xml:space="preserve">    梧州   </w:t>
      </w:r>
      <w:r>
        <w:rPr>
          <w:rFonts w:hint="eastAsia" w:ascii="宋体" w:hAnsi="宋体" w:eastAsia="宋体" w:cs="宋体"/>
          <w:color w:val="auto"/>
          <w:kern w:val="0"/>
          <w:highlight w:val="none"/>
        </w:rPr>
        <w:t>市相关规定执行。</w:t>
      </w:r>
    </w:p>
    <w:p w14:paraId="58B7D5DA">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（3）支付约定：在本合同签订后7个工作日内，预付安全文明施工费总额的30 %，其余部分与进度款同期支付。</w:t>
      </w:r>
    </w:p>
    <w:p w14:paraId="39B1158D">
      <w:pPr>
        <w:pStyle w:val="3"/>
        <w:rPr>
          <w:rFonts w:hint="eastAsia" w:ascii="宋体" w:hAnsi="宋体" w:eastAsia="宋体" w:cs="宋体"/>
          <w:color w:val="auto"/>
          <w:highlight w:val="none"/>
        </w:rPr>
      </w:pPr>
      <w:bookmarkStart w:id="408" w:name="_Toc373478368"/>
      <w:bookmarkStart w:id="409" w:name="_Toc407135223"/>
      <w:bookmarkStart w:id="410" w:name="_Toc487632720"/>
      <w:bookmarkStart w:id="411" w:name="_Toc389065287"/>
      <w:bookmarkStart w:id="412" w:name="_Toc373227721"/>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环境保护</w:t>
      </w:r>
      <w:bookmarkEnd w:id="408"/>
      <w:bookmarkEnd w:id="409"/>
      <w:bookmarkEnd w:id="410"/>
      <w:bookmarkEnd w:id="411"/>
      <w:bookmarkEnd w:id="412"/>
    </w:p>
    <w:p w14:paraId="015D2BC3">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因施工需要，经发包人批准，由承包人办理有关施工场地交通、环卫和施工噪音管理等手续，费用由承包人负责。</w:t>
      </w:r>
    </w:p>
    <w:p w14:paraId="6438573C">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经过城市道路的施工车辆，必须按交警、城管、运输等部门相关规定执行。由于施工车辆造成的道路、环境等污染，其责任和费用均由承包人承担。</w:t>
      </w:r>
    </w:p>
    <w:bookmarkEnd w:id="390"/>
    <w:bookmarkEnd w:id="391"/>
    <w:bookmarkEnd w:id="392"/>
    <w:bookmarkEnd w:id="393"/>
    <w:bookmarkEnd w:id="394"/>
    <w:bookmarkEnd w:id="395"/>
    <w:bookmarkEnd w:id="396"/>
    <w:p w14:paraId="00F2475F">
      <w:pPr>
        <w:pStyle w:val="3"/>
        <w:rPr>
          <w:rFonts w:hint="eastAsia" w:ascii="宋体" w:hAnsi="宋体" w:eastAsia="宋体" w:cs="宋体"/>
          <w:color w:val="auto"/>
          <w:highlight w:val="none"/>
        </w:rPr>
      </w:pPr>
      <w:bookmarkStart w:id="413" w:name="_Toc487632721"/>
      <w:bookmarkStart w:id="414" w:name="_Toc373227722"/>
      <w:bookmarkStart w:id="415" w:name="_Toc389065288"/>
      <w:bookmarkStart w:id="416" w:name="_Toc373478369"/>
      <w:bookmarkStart w:id="417" w:name="_Toc407135224"/>
      <w:bookmarkStart w:id="418" w:name="_Toc351203639"/>
      <w:r>
        <w:rPr>
          <w:rFonts w:hint="eastAsia" w:ascii="宋体" w:hAnsi="宋体" w:eastAsia="宋体" w:cs="宋体"/>
          <w:color w:val="auto"/>
          <w:highlight w:val="none"/>
        </w:rPr>
        <w:t>7. 工期和进度</w:t>
      </w:r>
      <w:bookmarkEnd w:id="413"/>
      <w:bookmarkEnd w:id="414"/>
      <w:bookmarkEnd w:id="415"/>
      <w:bookmarkEnd w:id="416"/>
      <w:bookmarkEnd w:id="417"/>
      <w:bookmarkEnd w:id="418"/>
    </w:p>
    <w:p w14:paraId="293C76C7">
      <w:pPr>
        <w:pStyle w:val="4"/>
        <w:rPr>
          <w:rFonts w:hint="eastAsia" w:ascii="宋体" w:hAnsi="宋体" w:eastAsia="宋体" w:cs="宋体"/>
          <w:color w:val="auto"/>
          <w:highlight w:val="none"/>
        </w:rPr>
      </w:pPr>
      <w:bookmarkStart w:id="419" w:name="_Toc389065289"/>
      <w:bookmarkStart w:id="420" w:name="_Toc407135225"/>
      <w:bookmarkStart w:id="421" w:name="_Toc373478370"/>
      <w:bookmarkStart w:id="422" w:name="_Toc373227723"/>
      <w:bookmarkStart w:id="423" w:name="_Toc487632722"/>
      <w:r>
        <w:rPr>
          <w:rFonts w:hint="eastAsia" w:ascii="宋体" w:hAnsi="宋体" w:eastAsia="宋体" w:cs="宋体"/>
          <w:color w:val="auto"/>
          <w:highlight w:val="none"/>
        </w:rPr>
        <w:t>7.1 施工组织设计</w:t>
      </w:r>
      <w:bookmarkEnd w:id="419"/>
      <w:bookmarkEnd w:id="420"/>
      <w:bookmarkEnd w:id="421"/>
      <w:bookmarkEnd w:id="422"/>
      <w:bookmarkEnd w:id="423"/>
    </w:p>
    <w:p w14:paraId="2F8579B9">
      <w:pPr>
        <w:rPr>
          <w:rFonts w:hint="eastAsia"/>
          <w:lang w:val="en-US" w:eastAsia="zh-CN"/>
        </w:rPr>
      </w:pPr>
      <w:r>
        <w:rPr>
          <w:rFonts w:hint="eastAsia"/>
          <w:lang w:val="en-US" w:eastAsia="zh-CN"/>
        </w:rPr>
        <w:t>7.1.1 合同当事人约定的施工组织设计应包括的其他内容：  按照工程特点和行业有关规定编制。</w:t>
      </w:r>
    </w:p>
    <w:p w14:paraId="332ED85E">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7.1.2 </w:t>
      </w:r>
      <w:r>
        <w:rPr>
          <w:rFonts w:hint="eastAsia" w:ascii="宋体" w:hAnsi="宋体" w:eastAsia="宋体" w:cs="宋体"/>
          <w:color w:val="auto"/>
          <w:kern w:val="0"/>
          <w:highlight w:val="none"/>
        </w:rPr>
        <w:t>施工组织设计的提交和修改</w:t>
      </w:r>
    </w:p>
    <w:p w14:paraId="4773715D">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bookmarkStart w:id="424" w:name="_Toc373227724"/>
      <w:bookmarkStart w:id="425" w:name="_Toc487632723"/>
      <w:bookmarkStart w:id="426" w:name="_Toc373478371"/>
      <w:bookmarkStart w:id="427" w:name="_Toc389065290"/>
      <w:bookmarkStart w:id="428" w:name="_Toc407135226"/>
      <w:r>
        <w:rPr>
          <w:rFonts w:hint="eastAsia" w:ascii="宋体" w:hAnsi="宋体" w:eastAsia="宋体" w:cs="宋体"/>
          <w:color w:val="auto"/>
          <w:kern w:val="0"/>
          <w:highlight w:val="none"/>
        </w:rPr>
        <w:t>承包人提交详细施工组织设计的期限的约定：</w:t>
      </w:r>
      <w:r>
        <w:rPr>
          <w:rFonts w:hint="eastAsia" w:ascii="宋体" w:hAnsi="宋体" w:eastAsia="宋体" w:cs="宋体"/>
          <w:color w:val="auto"/>
          <w:highlight w:val="none"/>
          <w:u w:val="single"/>
        </w:rPr>
        <w:t xml:space="preserve">承包人应在投标文件施工组织设计的基础上，编制工程详细施工组织设计，要求后者的各项实施标准不得降低前者对应项目所计划的标准。承包人应在合同签订后14天内，但最迟不得晚于开工通知载明的开工日期前7天，向监理人提交详细的的施工组织设计，并由监理人报送发包人  </w:t>
      </w:r>
      <w:r>
        <w:rPr>
          <w:rFonts w:hint="eastAsia" w:ascii="宋体" w:hAnsi="宋体" w:eastAsia="宋体" w:cs="宋体"/>
          <w:color w:val="auto"/>
          <w:highlight w:val="none"/>
        </w:rPr>
        <w:t>。</w:t>
      </w:r>
    </w:p>
    <w:p w14:paraId="43FBD69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发包人和监理人在收到详细的施工组织设计后确认或提出修改意见的期限：</w:t>
      </w:r>
      <w:r>
        <w:rPr>
          <w:rFonts w:hint="eastAsia" w:ascii="宋体" w:hAnsi="宋体" w:eastAsia="宋体" w:cs="宋体"/>
          <w:color w:val="auto"/>
          <w:highlight w:val="none"/>
          <w:u w:val="single"/>
          <w:lang w:val="en-US" w:eastAsia="zh-CN"/>
        </w:rPr>
        <w:t>收到施工组织设计后7天内确认或提出修改意见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6872868">
      <w:pPr>
        <w:pStyle w:val="4"/>
        <w:rPr>
          <w:rFonts w:hint="eastAsia" w:ascii="宋体" w:hAnsi="宋体" w:eastAsia="宋体" w:cs="宋体"/>
          <w:color w:val="auto"/>
          <w:highlight w:val="none"/>
        </w:rPr>
      </w:pPr>
      <w:r>
        <w:rPr>
          <w:rFonts w:hint="eastAsia" w:ascii="宋体" w:hAnsi="宋体" w:eastAsia="宋体" w:cs="宋体"/>
          <w:color w:val="auto"/>
          <w:highlight w:val="none"/>
        </w:rPr>
        <w:t>7</w:t>
      </w:r>
      <w:bookmarkStart w:id="429" w:name="_Toc312677479"/>
      <w:bookmarkStart w:id="430" w:name="_Toc297216173"/>
      <w:bookmarkStart w:id="431" w:name="_Toc312678005"/>
      <w:bookmarkStart w:id="432" w:name="_Toc297123514"/>
      <w:bookmarkStart w:id="433" w:name="_Toc303539123"/>
      <w:bookmarkStart w:id="434" w:name="_Toc300934966"/>
      <w:bookmarkStart w:id="435" w:name="_Toc304295541"/>
      <w:r>
        <w:rPr>
          <w:rFonts w:hint="eastAsia" w:ascii="宋体" w:hAnsi="宋体" w:eastAsia="宋体" w:cs="宋体"/>
          <w:color w:val="auto"/>
          <w:highlight w:val="none"/>
        </w:rPr>
        <w:t>.2 施工进度计划</w:t>
      </w:r>
      <w:bookmarkEnd w:id="424"/>
      <w:bookmarkEnd w:id="425"/>
      <w:bookmarkEnd w:id="426"/>
      <w:bookmarkEnd w:id="427"/>
      <w:bookmarkEnd w:id="428"/>
    </w:p>
    <w:p w14:paraId="6617DEE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施工进度计划的修订</w:t>
      </w:r>
    </w:p>
    <w:p w14:paraId="5D52B3F5">
      <w:pPr>
        <w:spacing w:line="360" w:lineRule="auto"/>
        <w:ind w:firstLine="210" w:firstLineChars="1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发包人和监理人在收到修订的施工进度计划后确认或提出修改意见的期限：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收到修订的施工进度计划后 7 天内确认或提出修改意见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FF6B7C8">
      <w:pPr>
        <w:pStyle w:val="4"/>
        <w:rPr>
          <w:rFonts w:hint="eastAsia" w:ascii="宋体" w:hAnsi="宋体" w:eastAsia="宋体" w:cs="宋体"/>
          <w:color w:val="auto"/>
          <w:highlight w:val="none"/>
        </w:rPr>
      </w:pPr>
      <w:bookmarkStart w:id="436" w:name="_Toc389065291"/>
      <w:bookmarkStart w:id="437" w:name="_Toc407135227"/>
      <w:bookmarkStart w:id="438" w:name="_Toc373478372"/>
      <w:bookmarkStart w:id="439" w:name="_Toc373227725"/>
      <w:bookmarkStart w:id="440" w:name="_Toc487632724"/>
      <w:r>
        <w:rPr>
          <w:rFonts w:hint="eastAsia" w:ascii="宋体" w:hAnsi="宋体" w:eastAsia="宋体" w:cs="宋体"/>
          <w:color w:val="auto"/>
          <w:highlight w:val="none"/>
        </w:rPr>
        <w:t>7.3 开工</w:t>
      </w:r>
      <w:bookmarkEnd w:id="436"/>
      <w:bookmarkEnd w:id="437"/>
      <w:bookmarkEnd w:id="438"/>
      <w:bookmarkEnd w:id="439"/>
      <w:bookmarkEnd w:id="440"/>
    </w:p>
    <w:p w14:paraId="3A3F4C7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7.3.1 开工准备</w:t>
      </w:r>
    </w:p>
    <w:p w14:paraId="7D6AEE64">
      <w:pPr>
        <w:spacing w:line="360" w:lineRule="auto"/>
        <w:ind w:firstLine="426"/>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关于承包人提交</w:t>
      </w:r>
      <w:r>
        <w:rPr>
          <w:rFonts w:hint="eastAsia" w:ascii="宋体" w:hAnsi="宋体" w:eastAsia="宋体" w:cs="宋体"/>
          <w:color w:val="auto"/>
          <w:kern w:val="0"/>
          <w:highlight w:val="none"/>
        </w:rPr>
        <w:t>工程开工报审表的期限：</w:t>
      </w:r>
      <w:r>
        <w:rPr>
          <w:rFonts w:hint="eastAsia" w:ascii="宋体" w:hAnsi="宋体" w:eastAsia="宋体" w:cs="宋体"/>
          <w:color w:val="auto"/>
          <w:highlight w:val="none"/>
          <w:u w:val="single"/>
        </w:rPr>
        <w:t xml:space="preserve">  开工前3天</w:t>
      </w:r>
      <w:r>
        <w:rPr>
          <w:rFonts w:hint="eastAsia" w:ascii="宋体" w:hAnsi="宋体" w:eastAsia="宋体" w:cs="宋体"/>
          <w:color w:val="auto"/>
          <w:highlight w:val="none"/>
        </w:rPr>
        <w:t>。</w:t>
      </w:r>
    </w:p>
    <w:p w14:paraId="397BDDFF">
      <w:pPr>
        <w:spacing w:line="360" w:lineRule="auto"/>
        <w:ind w:firstLine="426"/>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关于发包人应完成的其他开工准备工作及期限：</w:t>
      </w:r>
      <w:r>
        <w:rPr>
          <w:rFonts w:hint="eastAsia" w:ascii="宋体" w:hAnsi="宋体" w:eastAsia="宋体" w:cs="宋体"/>
          <w:color w:val="auto"/>
          <w:highlight w:val="none"/>
          <w:u w:val="single"/>
        </w:rPr>
        <w:t>开工前7天</w:t>
      </w:r>
      <w:r>
        <w:rPr>
          <w:rFonts w:hint="eastAsia" w:ascii="宋体" w:hAnsi="宋体" w:eastAsia="宋体" w:cs="宋体"/>
          <w:color w:val="auto"/>
          <w:highlight w:val="none"/>
        </w:rPr>
        <w:t>。</w:t>
      </w:r>
    </w:p>
    <w:p w14:paraId="35421A3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关于承包人应完成的其他开工准备工作及期限：</w:t>
      </w:r>
      <w:r>
        <w:rPr>
          <w:rFonts w:hint="eastAsia" w:ascii="宋体" w:hAnsi="宋体" w:eastAsia="宋体" w:cs="宋体"/>
          <w:color w:val="auto"/>
          <w:highlight w:val="none"/>
          <w:u w:val="single"/>
        </w:rPr>
        <w:t xml:space="preserve">  开工前7天</w:t>
      </w:r>
      <w:r>
        <w:rPr>
          <w:rFonts w:hint="eastAsia" w:ascii="宋体" w:hAnsi="宋体" w:eastAsia="宋体" w:cs="宋体"/>
          <w:color w:val="auto"/>
          <w:highlight w:val="none"/>
        </w:rPr>
        <w:t>。</w:t>
      </w:r>
    </w:p>
    <w:p w14:paraId="610B07C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7.3.2 开工通知</w:t>
      </w:r>
    </w:p>
    <w:p w14:paraId="217F9A1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因发包人原因造成监理人未能在计划开工日期之日起</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天内发出开工通知的，承包人有权提出价格调整要求，或者解除合同。</w:t>
      </w:r>
    </w:p>
    <w:bookmarkEnd w:id="429"/>
    <w:bookmarkEnd w:id="430"/>
    <w:bookmarkEnd w:id="431"/>
    <w:bookmarkEnd w:id="432"/>
    <w:bookmarkEnd w:id="433"/>
    <w:bookmarkEnd w:id="434"/>
    <w:bookmarkEnd w:id="435"/>
    <w:p w14:paraId="2BBFE20D">
      <w:pPr>
        <w:pStyle w:val="4"/>
        <w:rPr>
          <w:rFonts w:hint="eastAsia" w:ascii="宋体" w:hAnsi="宋体" w:eastAsia="宋体" w:cs="宋体"/>
          <w:color w:val="auto"/>
          <w:highlight w:val="none"/>
        </w:rPr>
      </w:pPr>
      <w:bookmarkStart w:id="441" w:name="_Toc373478373"/>
      <w:bookmarkStart w:id="442" w:name="_Toc487632725"/>
      <w:bookmarkStart w:id="443" w:name="_Toc407135228"/>
      <w:bookmarkStart w:id="444" w:name="_Toc373227726"/>
      <w:bookmarkStart w:id="445" w:name="_Toc389065292"/>
      <w:r>
        <w:rPr>
          <w:rFonts w:hint="eastAsia" w:ascii="宋体" w:hAnsi="宋体" w:eastAsia="宋体" w:cs="宋体"/>
          <w:color w:val="auto"/>
          <w:highlight w:val="none"/>
        </w:rPr>
        <w:t>7.4 测量放线</w:t>
      </w:r>
      <w:bookmarkEnd w:id="441"/>
      <w:bookmarkEnd w:id="442"/>
      <w:bookmarkEnd w:id="443"/>
      <w:bookmarkEnd w:id="444"/>
      <w:bookmarkEnd w:id="445"/>
    </w:p>
    <w:p w14:paraId="74555C95">
      <w:pPr>
        <w:spacing w:line="360" w:lineRule="auto"/>
        <w:ind w:firstLine="630" w:firstLineChars="300"/>
        <w:jc w:val="left"/>
        <w:rPr>
          <w:rFonts w:hint="eastAsia" w:ascii="宋体" w:hAnsi="宋体" w:eastAsia="宋体" w:cs="宋体"/>
          <w:color w:val="auto"/>
          <w:highlight w:val="none"/>
        </w:rPr>
      </w:pPr>
      <w:r>
        <w:rPr>
          <w:rFonts w:hint="eastAsia" w:ascii="宋体" w:hAnsi="宋体" w:eastAsia="宋体" w:cs="宋体"/>
          <w:color w:val="auto"/>
          <w:highlight w:val="none"/>
        </w:rPr>
        <w:t>发包人通过监理人向承包人提供测量基准点、基准线和水准点及其书面资料的期限：</w:t>
      </w:r>
    </w:p>
    <w:p w14:paraId="71B8550C">
      <w:pPr>
        <w:spacing w:line="360" w:lineRule="auto"/>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开工通知载明的开工日期前7天     </w:t>
      </w:r>
      <w:r>
        <w:rPr>
          <w:rFonts w:hint="eastAsia" w:ascii="宋体" w:hAnsi="宋体" w:eastAsia="宋体" w:cs="宋体"/>
          <w:color w:val="auto"/>
          <w:highlight w:val="none"/>
        </w:rPr>
        <w:t>。</w:t>
      </w:r>
    </w:p>
    <w:p w14:paraId="49AF1AC7">
      <w:pPr>
        <w:pStyle w:val="4"/>
        <w:rPr>
          <w:rFonts w:hint="eastAsia" w:ascii="宋体" w:hAnsi="宋体" w:eastAsia="宋体" w:cs="宋体"/>
          <w:color w:val="auto"/>
          <w:highlight w:val="none"/>
        </w:rPr>
      </w:pPr>
      <w:bookmarkStart w:id="446" w:name="_Toc373478374"/>
      <w:bookmarkStart w:id="447" w:name="_Toc407135229"/>
      <w:bookmarkStart w:id="448" w:name="_Toc373227727"/>
      <w:bookmarkStart w:id="449" w:name="_Toc389065293"/>
      <w:bookmarkStart w:id="450" w:name="_Toc487632726"/>
      <w:r>
        <w:rPr>
          <w:rFonts w:hint="eastAsia" w:ascii="宋体" w:hAnsi="宋体" w:eastAsia="宋体" w:cs="宋体"/>
          <w:color w:val="auto"/>
          <w:highlight w:val="none"/>
        </w:rPr>
        <w:t>7</w:t>
      </w:r>
      <w:bookmarkStart w:id="451" w:name="_Toc312678010"/>
      <w:bookmarkStart w:id="452" w:name="_Toc300934968"/>
      <w:bookmarkStart w:id="453" w:name="_Toc297123516"/>
      <w:bookmarkStart w:id="454" w:name="_Toc312677484"/>
      <w:bookmarkStart w:id="455" w:name="_Toc304295546"/>
      <w:bookmarkStart w:id="456" w:name="_Toc303539125"/>
      <w:bookmarkStart w:id="457" w:name="_Toc297216175"/>
      <w:r>
        <w:rPr>
          <w:rFonts w:hint="eastAsia" w:ascii="宋体" w:hAnsi="宋体" w:eastAsia="宋体" w:cs="宋体"/>
          <w:color w:val="auto"/>
          <w:highlight w:val="none"/>
        </w:rPr>
        <w:t>.5 工期延误</w:t>
      </w:r>
      <w:bookmarkEnd w:id="446"/>
      <w:bookmarkEnd w:id="447"/>
      <w:bookmarkEnd w:id="448"/>
      <w:bookmarkEnd w:id="449"/>
      <w:bookmarkEnd w:id="450"/>
    </w:p>
    <w:bookmarkEnd w:id="451"/>
    <w:bookmarkEnd w:id="452"/>
    <w:bookmarkEnd w:id="453"/>
    <w:bookmarkEnd w:id="454"/>
    <w:bookmarkEnd w:id="455"/>
    <w:bookmarkEnd w:id="456"/>
    <w:bookmarkEnd w:id="457"/>
    <w:p w14:paraId="0DD4027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7.5.1 因发包人原因导致工期延误</w:t>
      </w:r>
    </w:p>
    <w:p w14:paraId="64F54A18">
      <w:pPr>
        <w:spacing w:line="360" w:lineRule="auto"/>
        <w:ind w:firstLine="840" w:firstLineChars="4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因发包人原因导致工期延误的其他情形：</w:t>
      </w:r>
      <w:r>
        <w:rPr>
          <w:rFonts w:hint="eastAsia" w:ascii="宋体" w:hAnsi="宋体" w:eastAsia="宋体" w:cs="宋体"/>
          <w:color w:val="auto"/>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highlight w:val="none"/>
        </w:rPr>
        <w:t xml:space="preserve"> 。</w:t>
      </w:r>
    </w:p>
    <w:p w14:paraId="0731960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w:t>
      </w:r>
      <w:bookmarkStart w:id="458" w:name="_Toc312677486"/>
      <w:bookmarkStart w:id="459" w:name="_Toc318581169"/>
      <w:bookmarkStart w:id="460" w:name="_Toc312678012"/>
      <w:bookmarkStart w:id="461" w:name="_Toc303539127"/>
      <w:bookmarkStart w:id="462" w:name="_Toc300934970"/>
      <w:bookmarkStart w:id="463" w:name="_Toc297123518"/>
      <w:bookmarkStart w:id="464" w:name="_Toc304295548"/>
      <w:bookmarkStart w:id="465" w:name="_Toc297216177"/>
      <w:r>
        <w:rPr>
          <w:rFonts w:hint="eastAsia" w:ascii="宋体" w:hAnsi="宋体" w:eastAsia="宋体" w:cs="宋体"/>
          <w:color w:val="auto"/>
          <w:highlight w:val="none"/>
        </w:rPr>
        <w:t>.5.2 因承包人原因导致工期延误</w:t>
      </w:r>
    </w:p>
    <w:bookmarkEnd w:id="458"/>
    <w:bookmarkEnd w:id="459"/>
    <w:bookmarkEnd w:id="460"/>
    <w:p w14:paraId="191161A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双方约定经监理工程师确认，工期相应顺延的情况：</w:t>
      </w:r>
      <w:r>
        <w:rPr>
          <w:rFonts w:hint="eastAsia" w:ascii="宋体" w:hAnsi="宋体" w:eastAsia="宋体" w:cs="宋体"/>
          <w:color w:val="auto"/>
          <w:highlight w:val="none"/>
          <w:u w:val="single"/>
        </w:rPr>
        <w:t xml:space="preserve">   按通用条款执行    </w:t>
      </w:r>
      <w:r>
        <w:rPr>
          <w:rFonts w:hint="eastAsia" w:ascii="宋体" w:hAnsi="宋体" w:eastAsia="宋体" w:cs="宋体"/>
          <w:color w:val="auto"/>
          <w:highlight w:val="none"/>
        </w:rPr>
        <w:t>。</w:t>
      </w:r>
    </w:p>
    <w:p w14:paraId="789DE583">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因</w:t>
      </w:r>
      <w:bookmarkStart w:id="466" w:name="_Toc312678013"/>
      <w:bookmarkStart w:id="467" w:name="_Toc312677487"/>
      <w:bookmarkStart w:id="468" w:name="_Toc318581170"/>
      <w:r>
        <w:rPr>
          <w:rFonts w:hint="eastAsia" w:ascii="宋体" w:hAnsi="宋体" w:eastAsia="宋体" w:cs="宋体"/>
          <w:color w:val="auto"/>
          <w:highlight w:val="none"/>
        </w:rPr>
        <w:t>承包人原因造成工期延误，逾期竣工违约金的计算方法为：</w:t>
      </w:r>
      <w:r>
        <w:rPr>
          <w:rFonts w:hint="eastAsia" w:ascii="宋体" w:hAnsi="宋体" w:eastAsia="宋体" w:cs="宋体"/>
          <w:color w:val="auto"/>
          <w:highlight w:val="none"/>
          <w:u w:val="single"/>
        </w:rPr>
        <w:t xml:space="preserve">非上述原因，承包人不能按合同约定的时间竣工，承包人应承担违约责任。应向发包人支付误期赔偿费（赔偿费按逾期竣工的单栋工程罚款，每延误一天,按该栋工程结算造价扣除建安劳保费、发包人材料设备价款、暂估专业工程、暂列金额后的万分之 五 处罚,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p>
    <w:bookmarkEnd w:id="461"/>
    <w:bookmarkEnd w:id="462"/>
    <w:bookmarkEnd w:id="463"/>
    <w:bookmarkEnd w:id="464"/>
    <w:bookmarkEnd w:id="465"/>
    <w:bookmarkEnd w:id="466"/>
    <w:bookmarkEnd w:id="467"/>
    <w:bookmarkEnd w:id="468"/>
    <w:p w14:paraId="6968BAD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因承包人原因造成工期延误，逾</w:t>
      </w:r>
      <w:bookmarkStart w:id="469" w:name="_Toc318581171"/>
      <w:bookmarkStart w:id="470" w:name="_Toc312678014"/>
      <w:r>
        <w:rPr>
          <w:rFonts w:hint="eastAsia" w:ascii="宋体" w:hAnsi="宋体" w:eastAsia="宋体" w:cs="宋体"/>
          <w:color w:val="auto"/>
          <w:highlight w:val="none"/>
        </w:rPr>
        <w:t>期竣工违约金的上限：</w:t>
      </w:r>
      <w:r>
        <w:rPr>
          <w:rFonts w:hint="eastAsia" w:ascii="宋体" w:hAnsi="宋体" w:eastAsia="宋体" w:cs="宋体"/>
          <w:color w:val="auto"/>
          <w:highlight w:val="none"/>
          <w:u w:val="single"/>
        </w:rPr>
        <w:t>逾期竣工的单位工程结算造价扣除建安劳保费、发包人材料价款、暂估专业工程、暂列金额后的 10 %</w:t>
      </w:r>
      <w:r>
        <w:rPr>
          <w:rFonts w:hint="eastAsia" w:ascii="宋体" w:hAnsi="宋体" w:eastAsia="宋体" w:cs="宋体"/>
          <w:color w:val="auto"/>
          <w:highlight w:val="none"/>
        </w:rPr>
        <w:t>。</w:t>
      </w:r>
    </w:p>
    <w:bookmarkEnd w:id="469"/>
    <w:bookmarkEnd w:id="470"/>
    <w:p w14:paraId="0DFAF52D">
      <w:pPr>
        <w:pStyle w:val="4"/>
        <w:rPr>
          <w:rFonts w:hint="eastAsia" w:ascii="宋体" w:hAnsi="宋体" w:eastAsia="宋体" w:cs="宋体"/>
          <w:color w:val="auto"/>
          <w:highlight w:val="none"/>
        </w:rPr>
      </w:pPr>
      <w:bookmarkStart w:id="471" w:name="_Toc407135230"/>
      <w:bookmarkStart w:id="472" w:name="_Toc373227728"/>
      <w:bookmarkStart w:id="473" w:name="_Toc487632727"/>
      <w:bookmarkStart w:id="474" w:name="_Toc373478375"/>
      <w:bookmarkStart w:id="475" w:name="_Toc389065294"/>
      <w:r>
        <w:rPr>
          <w:rFonts w:hint="eastAsia" w:ascii="宋体" w:hAnsi="宋体" w:eastAsia="宋体" w:cs="宋体"/>
          <w:color w:val="auto"/>
          <w:highlight w:val="none"/>
        </w:rPr>
        <w:t>7</w:t>
      </w:r>
      <w:bookmarkStart w:id="476" w:name="_Toc297216178"/>
      <w:bookmarkStart w:id="477" w:name="_Toc312678015"/>
      <w:bookmarkStart w:id="478" w:name="_Toc303539128"/>
      <w:bookmarkStart w:id="479" w:name="_Toc304295549"/>
      <w:bookmarkStart w:id="480" w:name="_Toc297123519"/>
      <w:bookmarkStart w:id="481" w:name="_Toc300934971"/>
      <w:r>
        <w:rPr>
          <w:rFonts w:hint="eastAsia" w:ascii="宋体" w:hAnsi="宋体" w:eastAsia="宋体" w:cs="宋体"/>
          <w:color w:val="auto"/>
          <w:highlight w:val="none"/>
        </w:rPr>
        <w:t>.6 不</w:t>
      </w:r>
      <w:bookmarkEnd w:id="476"/>
      <w:bookmarkEnd w:id="477"/>
      <w:bookmarkEnd w:id="478"/>
      <w:bookmarkEnd w:id="479"/>
      <w:bookmarkEnd w:id="480"/>
      <w:bookmarkEnd w:id="481"/>
      <w:r>
        <w:rPr>
          <w:rFonts w:hint="eastAsia" w:ascii="宋体" w:hAnsi="宋体" w:eastAsia="宋体" w:cs="宋体"/>
          <w:color w:val="auto"/>
          <w:highlight w:val="none"/>
        </w:rPr>
        <w:t>利物质条件</w:t>
      </w:r>
      <w:bookmarkEnd w:id="471"/>
      <w:bookmarkEnd w:id="472"/>
      <w:bookmarkEnd w:id="473"/>
      <w:bookmarkEnd w:id="474"/>
      <w:bookmarkEnd w:id="475"/>
    </w:p>
    <w:p w14:paraId="333CB32C">
      <w:pPr>
        <w:spacing w:line="360" w:lineRule="auto"/>
        <w:ind w:firstLine="420" w:firstLineChars="200"/>
        <w:jc w:val="left"/>
        <w:rPr>
          <w:rFonts w:hint="eastAsia" w:ascii="宋体" w:hAnsi="宋体" w:eastAsia="宋体" w:cs="宋体"/>
          <w:color w:val="auto"/>
          <w:highlight w:val="none"/>
          <w:u w:val="single"/>
        </w:rPr>
      </w:pPr>
      <w:bookmarkStart w:id="482" w:name="_Toc300934972"/>
      <w:bookmarkStart w:id="483" w:name="_Toc312678016"/>
      <w:bookmarkStart w:id="484" w:name="_Toc303539129"/>
      <w:bookmarkStart w:id="485" w:name="_Toc304295550"/>
      <w:bookmarkStart w:id="486" w:name="_Toc318581172"/>
      <w:bookmarkStart w:id="487" w:name="_Toc297123520"/>
      <w:bookmarkStart w:id="488" w:name="_Toc297216179"/>
      <w:r>
        <w:rPr>
          <w:rFonts w:hint="eastAsia" w:ascii="宋体" w:hAnsi="宋体" w:eastAsia="宋体" w:cs="宋体"/>
          <w:color w:val="auto"/>
          <w:highlight w:val="none"/>
        </w:rPr>
        <w:t>不利物质条件的其他情形和有关约定：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482"/>
    <w:bookmarkEnd w:id="483"/>
    <w:bookmarkEnd w:id="484"/>
    <w:bookmarkEnd w:id="485"/>
    <w:bookmarkEnd w:id="486"/>
    <w:bookmarkEnd w:id="487"/>
    <w:bookmarkEnd w:id="488"/>
    <w:p w14:paraId="29C5B5E5">
      <w:pPr>
        <w:pStyle w:val="4"/>
        <w:rPr>
          <w:rFonts w:hint="eastAsia" w:ascii="宋体" w:hAnsi="宋体" w:eastAsia="宋体" w:cs="宋体"/>
          <w:color w:val="auto"/>
          <w:highlight w:val="none"/>
        </w:rPr>
      </w:pPr>
      <w:bookmarkStart w:id="489" w:name="_Toc407135231"/>
      <w:bookmarkStart w:id="490" w:name="_Toc373478376"/>
      <w:bookmarkStart w:id="491" w:name="_Toc487632728"/>
      <w:bookmarkStart w:id="492" w:name="_Toc389065295"/>
      <w:bookmarkStart w:id="493" w:name="_Toc373227729"/>
      <w:r>
        <w:rPr>
          <w:rFonts w:hint="eastAsia" w:ascii="宋体" w:hAnsi="宋体" w:eastAsia="宋体" w:cs="宋体"/>
          <w:color w:val="auto"/>
          <w:highlight w:val="none"/>
        </w:rPr>
        <w:t>7</w:t>
      </w:r>
      <w:bookmarkStart w:id="494" w:name="_Toc312678017"/>
      <w:bookmarkStart w:id="495" w:name="_Toc297216180"/>
      <w:bookmarkStart w:id="496" w:name="_Toc297123521"/>
      <w:bookmarkStart w:id="497" w:name="_Toc300934973"/>
      <w:bookmarkStart w:id="498" w:name="_Toc303539130"/>
      <w:bookmarkStart w:id="499" w:name="_Toc304295551"/>
      <w:r>
        <w:rPr>
          <w:rFonts w:hint="eastAsia" w:ascii="宋体" w:hAnsi="宋体" w:eastAsia="宋体" w:cs="宋体"/>
          <w:color w:val="auto"/>
          <w:highlight w:val="none"/>
        </w:rPr>
        <w:t>.7 异常恶劣的气候条件</w:t>
      </w:r>
      <w:bookmarkEnd w:id="489"/>
      <w:bookmarkEnd w:id="490"/>
      <w:bookmarkEnd w:id="491"/>
      <w:bookmarkEnd w:id="492"/>
      <w:bookmarkEnd w:id="493"/>
    </w:p>
    <w:bookmarkEnd w:id="494"/>
    <w:bookmarkEnd w:id="495"/>
    <w:bookmarkEnd w:id="496"/>
    <w:bookmarkEnd w:id="497"/>
    <w:bookmarkEnd w:id="498"/>
    <w:bookmarkEnd w:id="499"/>
    <w:p w14:paraId="40EA86B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发包人和承包人同意以下情形视为异常恶劣的气候条件：</w:t>
      </w:r>
    </w:p>
    <w:p w14:paraId="413EB8C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u w:val="single"/>
        </w:rPr>
        <w:t xml:space="preserve">   八级以上台风 （以气象部门鉴定为准）     </w:t>
      </w:r>
      <w:r>
        <w:rPr>
          <w:rFonts w:hint="eastAsia" w:ascii="宋体" w:hAnsi="宋体" w:eastAsia="宋体" w:cs="宋体"/>
          <w:color w:val="auto"/>
          <w:highlight w:val="none"/>
        </w:rPr>
        <w:t>；</w:t>
      </w:r>
    </w:p>
    <w:p w14:paraId="0C98598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rPr>
        <w:t xml:space="preserve">   六级以上地震 （以相关部门鉴定为准）     </w:t>
      </w:r>
      <w:r>
        <w:rPr>
          <w:rFonts w:hint="eastAsia" w:ascii="宋体" w:hAnsi="宋体" w:eastAsia="宋体" w:cs="宋体"/>
          <w:color w:val="auto"/>
          <w:highlight w:val="none"/>
        </w:rPr>
        <w:t>；</w:t>
      </w:r>
    </w:p>
    <w:p w14:paraId="1E32E79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u w:val="single"/>
        </w:rPr>
        <w:t xml:space="preserve">        暴雨及以上级别                     </w:t>
      </w:r>
      <w:r>
        <w:rPr>
          <w:rFonts w:hint="eastAsia" w:ascii="宋体" w:hAnsi="宋体" w:eastAsia="宋体" w:cs="宋体"/>
          <w:color w:val="auto"/>
          <w:highlight w:val="none"/>
        </w:rPr>
        <w:t>。</w:t>
      </w:r>
    </w:p>
    <w:p w14:paraId="59474E20">
      <w:pPr>
        <w:pStyle w:val="4"/>
        <w:rPr>
          <w:rFonts w:hint="eastAsia" w:ascii="宋体" w:hAnsi="宋体" w:eastAsia="宋体" w:cs="宋体"/>
          <w:color w:val="auto"/>
          <w:highlight w:val="none"/>
        </w:rPr>
      </w:pPr>
      <w:bookmarkStart w:id="500" w:name="_Toc373227730"/>
      <w:bookmarkStart w:id="501" w:name="_Toc487632729"/>
      <w:bookmarkStart w:id="502" w:name="_Toc373478377"/>
      <w:bookmarkStart w:id="503" w:name="_Toc407135232"/>
      <w:bookmarkStart w:id="504" w:name="_Toc389065296"/>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 xml:space="preserve"> 提前竣工</w:t>
      </w:r>
      <w:bookmarkEnd w:id="500"/>
      <w:bookmarkEnd w:id="501"/>
      <w:bookmarkEnd w:id="502"/>
      <w:bookmarkEnd w:id="503"/>
      <w:bookmarkEnd w:id="504"/>
    </w:p>
    <w:p w14:paraId="6F82DAF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7.8.1提前竣工（赶工）增加费的计算方法：</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0CE6DD16">
      <w:pPr>
        <w:pStyle w:val="3"/>
        <w:rPr>
          <w:rFonts w:hint="eastAsia" w:ascii="宋体" w:hAnsi="宋体" w:eastAsia="宋体" w:cs="宋体"/>
          <w:color w:val="auto"/>
          <w:highlight w:val="none"/>
        </w:rPr>
      </w:pPr>
      <w:bookmarkStart w:id="505" w:name="_Toc373478378"/>
      <w:bookmarkStart w:id="506" w:name="_Toc487632730"/>
      <w:bookmarkStart w:id="507" w:name="_Toc407135233"/>
      <w:bookmarkStart w:id="508" w:name="_Toc389065297"/>
      <w:bookmarkStart w:id="509" w:name="_Toc373227731"/>
      <w:bookmarkStart w:id="510" w:name="_Toc351203640"/>
      <w:r>
        <w:rPr>
          <w:rFonts w:hint="eastAsia" w:ascii="宋体" w:hAnsi="宋体" w:eastAsia="宋体" w:cs="宋体"/>
          <w:color w:val="auto"/>
          <w:highlight w:val="none"/>
        </w:rPr>
        <w:t>8. 材料与设备</w:t>
      </w:r>
      <w:bookmarkEnd w:id="505"/>
      <w:bookmarkEnd w:id="506"/>
      <w:bookmarkEnd w:id="507"/>
      <w:bookmarkEnd w:id="508"/>
      <w:bookmarkEnd w:id="509"/>
      <w:bookmarkEnd w:id="510"/>
    </w:p>
    <w:bookmarkEnd w:id="375"/>
    <w:bookmarkEnd w:id="376"/>
    <w:bookmarkEnd w:id="377"/>
    <w:bookmarkEnd w:id="378"/>
    <w:bookmarkEnd w:id="379"/>
    <w:bookmarkEnd w:id="380"/>
    <w:bookmarkEnd w:id="381"/>
    <w:bookmarkEnd w:id="382"/>
    <w:bookmarkEnd w:id="383"/>
    <w:bookmarkEnd w:id="384"/>
    <w:p w14:paraId="73CA54FD">
      <w:pPr>
        <w:pStyle w:val="4"/>
        <w:rPr>
          <w:rFonts w:hint="eastAsia" w:ascii="宋体" w:hAnsi="宋体" w:eastAsia="宋体" w:cs="宋体"/>
          <w:color w:val="auto"/>
          <w:highlight w:val="none"/>
        </w:rPr>
      </w:pPr>
      <w:bookmarkStart w:id="511" w:name="_Toc487632731"/>
      <w:bookmarkStart w:id="512" w:name="_Toc389065298"/>
      <w:bookmarkStart w:id="513" w:name="_Toc407135234"/>
      <w:bookmarkStart w:id="514" w:name="_Toc373227732"/>
      <w:bookmarkStart w:id="515" w:name="_Toc373478379"/>
      <w:r>
        <w:rPr>
          <w:rFonts w:hint="eastAsia" w:ascii="宋体" w:hAnsi="宋体" w:eastAsia="宋体" w:cs="宋体"/>
          <w:color w:val="auto"/>
          <w:highlight w:val="none"/>
        </w:rPr>
        <w:t>8.</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 xml:space="preserve"> 承包人采购材料与工程设备</w:t>
      </w:r>
      <w:bookmarkEnd w:id="511"/>
      <w:bookmarkEnd w:id="512"/>
      <w:bookmarkEnd w:id="513"/>
      <w:bookmarkEnd w:id="514"/>
      <w:bookmarkEnd w:id="515"/>
    </w:p>
    <w:p w14:paraId="74B42956">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除已标价工程量清单《发包人提供主要材料和工程设备一览表》（表-21）中明确的材料、工程设备外，由承包人负责材料和工程设备的采购、运输和保管。《</w:t>
      </w:r>
      <w:r>
        <w:rPr>
          <w:rFonts w:hint="eastAsia" w:ascii="宋体" w:hAnsi="宋体" w:eastAsia="宋体" w:cs="宋体"/>
          <w:color w:val="auto"/>
          <w:highlight w:val="none"/>
        </w:rPr>
        <w:t>承包人提供主要材料和工程设备一览表》</w:t>
      </w:r>
      <w:r>
        <w:rPr>
          <w:rFonts w:hint="eastAsia" w:ascii="宋体" w:hAnsi="宋体" w:eastAsia="宋体" w:cs="宋体"/>
          <w:color w:val="auto"/>
          <w:kern w:val="0"/>
          <w:highlight w:val="none"/>
        </w:rPr>
        <w:t>（表-22）见已标价工程量清单。</w:t>
      </w:r>
    </w:p>
    <w:p w14:paraId="64980A82">
      <w:pPr>
        <w:autoSpaceDE w:val="0"/>
        <w:autoSpaceDN w:val="0"/>
        <w:adjustRightInd w:val="0"/>
        <w:spacing w:line="360" w:lineRule="auto"/>
        <w:ind w:firstLine="420" w:firstLineChars="200"/>
        <w:jc w:val="left"/>
        <w:rPr>
          <w:rFonts w:hint="eastAsia" w:ascii="宋体" w:hAnsi="宋体" w:eastAsia="宋体" w:cs="宋体"/>
          <w:color w:val="auto"/>
          <w:highlight w:val="none"/>
        </w:rPr>
      </w:pPr>
      <w:bookmarkStart w:id="516" w:name="_Toc373478380"/>
      <w:bookmarkStart w:id="517" w:name="_Toc389065299"/>
      <w:bookmarkStart w:id="518" w:name="_Toc373227733"/>
      <w:r>
        <w:rPr>
          <w:rFonts w:hint="eastAsia" w:ascii="宋体" w:hAnsi="宋体" w:eastAsia="宋体" w:cs="宋体"/>
          <w:color w:val="auto"/>
          <w:highlight w:val="none"/>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399D2B2">
      <w:pPr>
        <w:pStyle w:val="4"/>
        <w:rPr>
          <w:rFonts w:hint="eastAsia" w:ascii="宋体" w:hAnsi="宋体" w:eastAsia="宋体" w:cs="宋体"/>
          <w:color w:val="auto"/>
          <w:highlight w:val="none"/>
        </w:rPr>
      </w:pPr>
      <w:bookmarkStart w:id="519" w:name="_Toc407135235"/>
      <w:bookmarkStart w:id="520" w:name="_Toc487632732"/>
      <w:r>
        <w:rPr>
          <w:rFonts w:hint="eastAsia" w:ascii="宋体" w:hAnsi="宋体" w:eastAsia="宋体" w:cs="宋体"/>
          <w:color w:val="auto"/>
          <w:highlight w:val="none"/>
        </w:rPr>
        <w:t>8</w:t>
      </w:r>
      <w:bookmarkStart w:id="521" w:name="_Toc297120467"/>
      <w:bookmarkStart w:id="522" w:name="_Toc296890995"/>
      <w:bookmarkStart w:id="523" w:name="_Toc303539136"/>
      <w:bookmarkStart w:id="524" w:name="_Toc296503167"/>
      <w:bookmarkStart w:id="525" w:name="_Toc292559877"/>
      <w:bookmarkStart w:id="526" w:name="_Toc304295556"/>
      <w:bookmarkStart w:id="527" w:name="_Toc297123527"/>
      <w:bookmarkStart w:id="528" w:name="_Toc296346668"/>
      <w:bookmarkStart w:id="529" w:name="_Toc292559372"/>
      <w:bookmarkStart w:id="530" w:name="_Toc296347166"/>
      <w:bookmarkStart w:id="531" w:name="_Toc312677493"/>
      <w:bookmarkStart w:id="532" w:name="_Toc296891207"/>
      <w:bookmarkStart w:id="533" w:name="_Toc300934979"/>
      <w:bookmarkStart w:id="534" w:name="_Toc280868654"/>
      <w:bookmarkStart w:id="535" w:name="_Toc312678019"/>
      <w:bookmarkStart w:id="536" w:name="_Toc297048353"/>
      <w:bookmarkStart w:id="537" w:name="_Toc297216186"/>
      <w:bookmarkStart w:id="538" w:name="_Toc296944506"/>
      <w:bookmarkStart w:id="539" w:name="_Toc267251424"/>
      <w:bookmarkStart w:id="540" w:name="_Toc280868656"/>
      <w:bookmarkStart w:id="541" w:name="_Toc280868655"/>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材料与工程设备的保管与使用</w:t>
      </w:r>
      <w:bookmarkEnd w:id="516"/>
      <w:bookmarkEnd w:id="517"/>
      <w:bookmarkEnd w:id="518"/>
      <w:bookmarkEnd w:id="519"/>
      <w:bookmarkEnd w:id="520"/>
    </w:p>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14:paraId="4ECC904E">
      <w:pPr>
        <w:spacing w:line="360" w:lineRule="auto"/>
        <w:ind w:firstLine="420" w:firstLineChars="200"/>
        <w:jc w:val="left"/>
        <w:rPr>
          <w:rFonts w:hint="eastAsia" w:ascii="宋体" w:hAnsi="宋体" w:eastAsia="宋体" w:cs="宋体"/>
          <w:color w:val="auto"/>
          <w:highlight w:val="none"/>
          <w:u w:val="single"/>
        </w:rPr>
      </w:pPr>
      <w:bookmarkStart w:id="542" w:name="_Toc292559373"/>
      <w:bookmarkStart w:id="543" w:name="_Toc292559878"/>
      <w:bookmarkStart w:id="544" w:name="_Toc304295557"/>
      <w:bookmarkStart w:id="545" w:name="_Toc297120468"/>
      <w:bookmarkStart w:id="546" w:name="_Toc296503168"/>
      <w:bookmarkStart w:id="547" w:name="_Toc312678020"/>
      <w:bookmarkStart w:id="548" w:name="_Toc312677494"/>
      <w:bookmarkStart w:id="549" w:name="_Toc296944507"/>
      <w:bookmarkStart w:id="550" w:name="_Toc296891208"/>
      <w:bookmarkStart w:id="551" w:name="_Toc297216187"/>
      <w:bookmarkStart w:id="552" w:name="_Toc318581173"/>
      <w:bookmarkStart w:id="553" w:name="_Toc300934980"/>
      <w:bookmarkStart w:id="554" w:name="_Toc296347167"/>
      <w:bookmarkStart w:id="555" w:name="_Toc297048354"/>
      <w:bookmarkStart w:id="556" w:name="_Toc297123528"/>
      <w:bookmarkStart w:id="557" w:name="_Toc303539137"/>
      <w:bookmarkStart w:id="558" w:name="_Toc296346669"/>
      <w:bookmarkStart w:id="559" w:name="_Toc296890996"/>
      <w:r>
        <w:rPr>
          <w:rFonts w:hint="eastAsia" w:ascii="宋体" w:hAnsi="宋体" w:eastAsia="宋体" w:cs="宋体"/>
          <w:color w:val="auto"/>
          <w:highlight w:val="none"/>
        </w:rPr>
        <w:t>发包人供应的材料设备的保管费用的承担：</w:t>
      </w:r>
      <w:r>
        <w:rPr>
          <w:rFonts w:hint="eastAsia" w:ascii="宋体" w:hAnsi="宋体" w:eastAsia="宋体" w:cs="宋体"/>
          <w:color w:val="auto"/>
          <w:highlight w:val="none"/>
          <w:u w:val="single"/>
        </w:rPr>
        <w:t xml:space="preserve">  由承包人承担  </w:t>
      </w:r>
      <w:r>
        <w:rPr>
          <w:rFonts w:hint="eastAsia" w:ascii="宋体" w:hAnsi="宋体" w:eastAsia="宋体" w:cs="宋体"/>
          <w:color w:val="auto"/>
          <w:highlight w:val="none"/>
        </w:rPr>
        <w:t>。</w:t>
      </w:r>
    </w:p>
    <w:bookmarkEnd w:id="542"/>
    <w:bookmarkEnd w:id="543"/>
    <w:p w14:paraId="0C7D5978">
      <w:pPr>
        <w:pStyle w:val="4"/>
        <w:rPr>
          <w:rFonts w:hint="eastAsia" w:ascii="宋体" w:hAnsi="宋体" w:eastAsia="宋体" w:cs="宋体"/>
          <w:color w:val="auto"/>
          <w:highlight w:val="none"/>
        </w:rPr>
      </w:pPr>
      <w:bookmarkStart w:id="560" w:name="_Toc389065300"/>
      <w:bookmarkStart w:id="561" w:name="_Toc373227734"/>
      <w:bookmarkStart w:id="562" w:name="_Toc487632733"/>
      <w:bookmarkStart w:id="563" w:name="_Toc407135236"/>
      <w:bookmarkStart w:id="564" w:name="_Toc373478381"/>
      <w:r>
        <w:rPr>
          <w:rFonts w:hint="eastAsia" w:ascii="宋体" w:hAnsi="宋体" w:eastAsia="宋体" w:cs="宋体"/>
          <w:color w:val="auto"/>
          <w:highlight w:val="none"/>
        </w:rPr>
        <w:t>8.</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样品</w:t>
      </w:r>
      <w:bookmarkEnd w:id="560"/>
      <w:bookmarkEnd w:id="561"/>
      <w:bookmarkEnd w:id="562"/>
      <w:bookmarkEnd w:id="563"/>
      <w:bookmarkEnd w:id="564"/>
    </w:p>
    <w:p w14:paraId="31AC5770">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样品的报送与封存</w:t>
      </w:r>
    </w:p>
    <w:p w14:paraId="0647182F">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需要承包人报送样品的材料或工程设备，样品的种类、名称、规格、数量要求：</w:t>
      </w:r>
      <w:r>
        <w:rPr>
          <w:rFonts w:hint="eastAsia" w:ascii="宋体" w:hAnsi="宋体" w:eastAsia="宋体" w:cs="宋体"/>
          <w:color w:val="auto"/>
          <w:highlight w:val="none"/>
          <w:u w:val="single"/>
        </w:rPr>
        <w:t>主要材料涉及品种、款式、颜色等方面内容的，承包人应提交准备合格的材料样品送发包人选定。</w:t>
      </w:r>
    </w:p>
    <w:p w14:paraId="132D96DF">
      <w:pPr>
        <w:pStyle w:val="4"/>
        <w:rPr>
          <w:rFonts w:hint="eastAsia" w:ascii="宋体" w:hAnsi="宋体" w:eastAsia="宋体" w:cs="宋体"/>
          <w:color w:val="auto"/>
          <w:highlight w:val="none"/>
        </w:rPr>
      </w:pPr>
      <w:bookmarkStart w:id="565" w:name="_Toc373478382"/>
      <w:bookmarkStart w:id="566" w:name="_Toc487632734"/>
      <w:bookmarkStart w:id="567" w:name="_Toc389065301"/>
      <w:bookmarkStart w:id="568" w:name="_Toc407135237"/>
      <w:bookmarkStart w:id="569" w:name="_Toc373227735"/>
      <w:r>
        <w:rPr>
          <w:rFonts w:hint="eastAsia" w:ascii="宋体" w:hAnsi="宋体" w:eastAsia="宋体" w:cs="宋体"/>
          <w:color w:val="auto"/>
          <w:highlight w:val="none"/>
        </w:rPr>
        <w:t>8.</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xml:space="preserve"> 施工设备和临时设施</w:t>
      </w:r>
      <w:bookmarkEnd w:id="565"/>
      <w:bookmarkEnd w:id="566"/>
      <w:bookmarkEnd w:id="567"/>
      <w:bookmarkEnd w:id="568"/>
      <w:bookmarkEnd w:id="569"/>
    </w:p>
    <w:p w14:paraId="2BA21B60">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1E5271B5">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②承包人负责合同实施期间其合同段内临时交通道路（含场内外连接公共交通道路）和交通设施的修建、维修、养护和交通管理工作，并承担一切费用。</w:t>
      </w:r>
    </w:p>
    <w:p w14:paraId="30D83A8C">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7CB79C3">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w:t>
      </w:r>
      <w:r>
        <w:rPr>
          <w:rFonts w:hint="eastAsia" w:ascii="宋体" w:hAnsi="宋体" w:eastAsia="宋体" w:cs="宋体"/>
          <w:color w:val="auto"/>
          <w:highlight w:val="none"/>
          <w:u w:val="single"/>
        </w:rPr>
        <w:t>发包人不提供任何施工设备和临时设施，临时设施的修建及施工所需的水、电管线的铺设等均由承包人自行解决，发包人予以协助</w:t>
      </w:r>
      <w:r>
        <w:rPr>
          <w:rFonts w:hint="eastAsia" w:ascii="宋体" w:hAnsi="宋体" w:eastAsia="宋体" w:cs="宋体"/>
          <w:color w:val="auto"/>
          <w:highlight w:val="none"/>
        </w:rPr>
        <w:t>。</w:t>
      </w:r>
    </w:p>
    <w:p w14:paraId="7158102F">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发包人提供的施工设备和临时设施的运行、维护、拆除、清运费用的承担人：</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14:paraId="02630B52">
      <w:pPr>
        <w:pStyle w:val="3"/>
        <w:rPr>
          <w:rFonts w:hint="eastAsia" w:ascii="宋体" w:hAnsi="宋体" w:eastAsia="宋体" w:cs="宋体"/>
          <w:color w:val="auto"/>
          <w:highlight w:val="none"/>
        </w:rPr>
      </w:pPr>
      <w:bookmarkStart w:id="570" w:name="_Toc351203641"/>
      <w:bookmarkStart w:id="571" w:name="_Toc407135238"/>
      <w:bookmarkStart w:id="572" w:name="_Toc373227736"/>
      <w:bookmarkStart w:id="573" w:name="_Toc389065302"/>
      <w:bookmarkStart w:id="574" w:name="_Toc487632735"/>
      <w:bookmarkStart w:id="575" w:name="_Toc373478383"/>
      <w:r>
        <w:rPr>
          <w:rFonts w:hint="eastAsia" w:ascii="宋体" w:hAnsi="宋体" w:eastAsia="宋体" w:cs="宋体"/>
          <w:color w:val="auto"/>
          <w:highlight w:val="none"/>
        </w:rPr>
        <w:t>9</w:t>
      </w:r>
      <w:bookmarkEnd w:id="539"/>
      <w:bookmarkEnd w:id="540"/>
      <w:bookmarkEnd w:id="541"/>
      <w:bookmarkStart w:id="576" w:name="_Toc300934982"/>
      <w:bookmarkStart w:id="577" w:name="_Toc297123533"/>
      <w:bookmarkStart w:id="578" w:name="_Toc304295559"/>
      <w:bookmarkStart w:id="579" w:name="_Toc312678021"/>
      <w:bookmarkStart w:id="580" w:name="_Toc312677495"/>
      <w:bookmarkStart w:id="581" w:name="_Toc297216192"/>
      <w:bookmarkStart w:id="582" w:name="_Toc303539139"/>
      <w:bookmarkStart w:id="583" w:name="_Toc267251427"/>
      <w:bookmarkStart w:id="584" w:name="_Toc296891001"/>
      <w:bookmarkStart w:id="585" w:name="_Toc267251428"/>
      <w:bookmarkStart w:id="586" w:name="_Toc296503173"/>
      <w:bookmarkStart w:id="587" w:name="_Toc296346674"/>
      <w:bookmarkStart w:id="588" w:name="_Toc296347172"/>
      <w:bookmarkStart w:id="589" w:name="_Toc292559883"/>
      <w:bookmarkStart w:id="590" w:name="_Toc297120473"/>
      <w:bookmarkStart w:id="591" w:name="_Toc296944512"/>
      <w:bookmarkStart w:id="592" w:name="_Toc292559378"/>
      <w:bookmarkStart w:id="593" w:name="_Toc296891213"/>
      <w:bookmarkStart w:id="594" w:name="_Toc297048359"/>
      <w:r>
        <w:rPr>
          <w:rFonts w:hint="eastAsia" w:ascii="宋体" w:hAnsi="宋体" w:eastAsia="宋体" w:cs="宋体"/>
          <w:color w:val="auto"/>
          <w:highlight w:val="none"/>
        </w:rPr>
        <w:t>. 试验与检验</w:t>
      </w:r>
      <w:bookmarkEnd w:id="570"/>
      <w:bookmarkEnd w:id="571"/>
      <w:bookmarkEnd w:id="572"/>
      <w:bookmarkEnd w:id="573"/>
      <w:bookmarkEnd w:id="574"/>
      <w:bookmarkEnd w:id="575"/>
    </w:p>
    <w:bookmarkEnd w:id="576"/>
    <w:bookmarkEnd w:id="577"/>
    <w:bookmarkEnd w:id="578"/>
    <w:bookmarkEnd w:id="579"/>
    <w:bookmarkEnd w:id="580"/>
    <w:bookmarkEnd w:id="581"/>
    <w:bookmarkEnd w:id="582"/>
    <w:p w14:paraId="3AFD85BD">
      <w:pPr>
        <w:pStyle w:val="4"/>
        <w:rPr>
          <w:rFonts w:hint="eastAsia" w:ascii="宋体" w:hAnsi="宋体" w:eastAsia="宋体" w:cs="宋体"/>
          <w:color w:val="auto"/>
          <w:highlight w:val="none"/>
        </w:rPr>
      </w:pPr>
      <w:bookmarkStart w:id="595" w:name="_Toc373227737"/>
      <w:bookmarkStart w:id="596" w:name="_Toc389065303"/>
      <w:bookmarkStart w:id="597" w:name="_Toc373478384"/>
      <w:bookmarkStart w:id="598" w:name="_Toc487632736"/>
      <w:bookmarkStart w:id="599" w:name="_Toc407135239"/>
      <w:r>
        <w:rPr>
          <w:rFonts w:hint="eastAsia" w:ascii="宋体" w:hAnsi="宋体" w:eastAsia="宋体" w:cs="宋体"/>
          <w:color w:val="auto"/>
          <w:highlight w:val="none"/>
        </w:rPr>
        <w:t>9</w:t>
      </w:r>
      <w:bookmarkStart w:id="600" w:name="_Toc297216193"/>
      <w:bookmarkStart w:id="601" w:name="_Toc312677496"/>
      <w:bookmarkStart w:id="602" w:name="_Toc303539140"/>
      <w:bookmarkStart w:id="603" w:name="_Toc300934983"/>
      <w:bookmarkStart w:id="604" w:name="_Toc304295560"/>
      <w:bookmarkStart w:id="605" w:name="_Toc312678022"/>
      <w:bookmarkStart w:id="606" w:name="_Toc297123534"/>
      <w:r>
        <w:rPr>
          <w:rFonts w:hint="eastAsia" w:ascii="宋体" w:hAnsi="宋体" w:eastAsia="宋体" w:cs="宋体"/>
          <w:color w:val="auto"/>
          <w:highlight w:val="none"/>
        </w:rPr>
        <w:t>.1 试验设备</w:t>
      </w:r>
      <w:bookmarkEnd w:id="595"/>
      <w:bookmarkEnd w:id="596"/>
      <w:bookmarkEnd w:id="597"/>
      <w:bookmarkEnd w:id="598"/>
      <w:bookmarkEnd w:id="599"/>
    </w:p>
    <w:bookmarkEnd w:id="600"/>
    <w:bookmarkEnd w:id="601"/>
    <w:bookmarkEnd w:id="602"/>
    <w:bookmarkEnd w:id="603"/>
    <w:bookmarkEnd w:id="604"/>
    <w:bookmarkEnd w:id="605"/>
    <w:bookmarkEnd w:id="606"/>
    <w:p w14:paraId="33B986BE">
      <w:pPr>
        <w:spacing w:line="360" w:lineRule="auto"/>
        <w:ind w:firstLine="420" w:firstLineChars="200"/>
        <w:jc w:val="left"/>
        <w:rPr>
          <w:rFonts w:hint="eastAsia" w:ascii="宋体" w:hAnsi="宋体" w:eastAsia="宋体" w:cs="宋体"/>
          <w:color w:val="auto"/>
          <w:highlight w:val="none"/>
          <w:u w:val="single"/>
        </w:rPr>
      </w:pPr>
      <w:bookmarkStart w:id="607" w:name="_Toc407135240"/>
      <w:bookmarkStart w:id="608" w:name="_Toc487632737"/>
      <w:bookmarkStart w:id="609" w:name="_Toc373227738"/>
      <w:bookmarkStart w:id="610" w:name="_Toc373478385"/>
      <w:bookmarkStart w:id="611" w:name="_Toc389065304"/>
      <w:bookmarkStart w:id="612" w:name="_Toc312678024"/>
      <w:bookmarkStart w:id="613" w:name="_Toc300934985"/>
      <w:bookmarkStart w:id="614" w:name="_Toc297216195"/>
      <w:bookmarkStart w:id="615" w:name="_Toc312677498"/>
      <w:bookmarkStart w:id="616" w:name="_Toc304295562"/>
      <w:bookmarkStart w:id="617" w:name="_Toc297123536"/>
      <w:bookmarkStart w:id="618" w:name="_Toc303539142"/>
      <w:bookmarkStart w:id="619" w:name="_Toc318581174"/>
      <w:r>
        <w:rPr>
          <w:rFonts w:hint="eastAsia" w:ascii="宋体" w:hAnsi="宋体" w:eastAsia="宋体" w:cs="宋体"/>
          <w:color w:val="auto"/>
          <w:highlight w:val="none"/>
        </w:rPr>
        <w:t>施工现场需要配置的试验场所：</w:t>
      </w:r>
      <w:r>
        <w:rPr>
          <w:rFonts w:hint="eastAsia" w:ascii="宋体" w:hAnsi="宋体" w:eastAsia="宋体" w:cs="宋体"/>
          <w:color w:val="auto"/>
          <w:highlight w:val="none"/>
          <w:u w:val="single"/>
        </w:rPr>
        <w:t xml:space="preserve">   按有关规定和监理人要求执行      </w:t>
      </w:r>
      <w:r>
        <w:rPr>
          <w:rFonts w:hint="eastAsia" w:ascii="宋体" w:hAnsi="宋体" w:eastAsia="宋体" w:cs="宋体"/>
          <w:color w:val="auto"/>
          <w:highlight w:val="none"/>
        </w:rPr>
        <w:t>。</w:t>
      </w:r>
    </w:p>
    <w:p w14:paraId="112CB10F">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施工现场需要配备的试验设备：</w:t>
      </w:r>
      <w:r>
        <w:rPr>
          <w:rFonts w:hint="eastAsia" w:ascii="宋体" w:hAnsi="宋体" w:eastAsia="宋体" w:cs="宋体"/>
          <w:color w:val="auto"/>
          <w:highlight w:val="none"/>
          <w:u w:val="single"/>
        </w:rPr>
        <w:t xml:space="preserve">   按有关规定和监理人要求执行      </w:t>
      </w:r>
      <w:r>
        <w:rPr>
          <w:rFonts w:hint="eastAsia" w:ascii="宋体" w:hAnsi="宋体" w:eastAsia="宋体" w:cs="宋体"/>
          <w:color w:val="auto"/>
          <w:highlight w:val="none"/>
        </w:rPr>
        <w:t>。</w:t>
      </w:r>
    </w:p>
    <w:p w14:paraId="427C89C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施工现场需要具备的其他试验条件：</w:t>
      </w:r>
      <w:r>
        <w:rPr>
          <w:rFonts w:hint="eastAsia" w:ascii="宋体" w:hAnsi="宋体" w:eastAsia="宋体" w:cs="宋体"/>
          <w:color w:val="auto"/>
          <w:highlight w:val="none"/>
          <w:u w:val="single"/>
        </w:rPr>
        <w:t xml:space="preserve">   按有关规定和监理人要求执行      </w:t>
      </w:r>
      <w:r>
        <w:rPr>
          <w:rFonts w:hint="eastAsia" w:ascii="宋体" w:hAnsi="宋体" w:eastAsia="宋体" w:cs="宋体"/>
          <w:color w:val="auto"/>
          <w:highlight w:val="none"/>
        </w:rPr>
        <w:t>。</w:t>
      </w:r>
    </w:p>
    <w:p w14:paraId="5EC3BB60">
      <w:pPr>
        <w:pStyle w:val="4"/>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现场工艺试验</w:t>
      </w:r>
      <w:bookmarkEnd w:id="607"/>
      <w:bookmarkEnd w:id="608"/>
      <w:bookmarkEnd w:id="609"/>
      <w:bookmarkEnd w:id="610"/>
      <w:bookmarkEnd w:id="611"/>
      <w:r>
        <w:rPr>
          <w:rFonts w:hint="eastAsia" w:ascii="宋体" w:hAnsi="宋体" w:eastAsia="宋体" w:cs="宋体"/>
          <w:color w:val="auto"/>
          <w:highlight w:val="none"/>
        </w:rPr>
        <w:t xml:space="preserve"> </w:t>
      </w:r>
    </w:p>
    <w:p w14:paraId="1796657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现场工艺试验的有关约定：</w:t>
      </w:r>
      <w:r>
        <w:rPr>
          <w:rFonts w:hint="eastAsia" w:ascii="宋体" w:hAnsi="宋体" w:eastAsia="宋体" w:cs="宋体"/>
          <w:color w:val="auto"/>
          <w:highlight w:val="none"/>
          <w:u w:val="single"/>
        </w:rPr>
        <w:t xml:space="preserve">   按规范要求执行      </w:t>
      </w:r>
      <w:r>
        <w:rPr>
          <w:rFonts w:hint="eastAsia" w:ascii="宋体" w:hAnsi="宋体" w:eastAsia="宋体" w:cs="宋体"/>
          <w:color w:val="auto"/>
          <w:highlight w:val="none"/>
        </w:rPr>
        <w:t>。</w:t>
      </w:r>
    </w:p>
    <w:p w14:paraId="23B1BEE5">
      <w:pPr>
        <w:pStyle w:val="4"/>
        <w:rPr>
          <w:rFonts w:hint="eastAsia" w:ascii="宋体" w:hAnsi="宋体" w:eastAsia="宋体" w:cs="宋体"/>
          <w:color w:val="auto"/>
          <w:highlight w:val="none"/>
        </w:rPr>
      </w:pPr>
      <w:bookmarkStart w:id="620" w:name="_Toc487632738"/>
      <w:bookmarkStart w:id="621" w:name="_Toc407135241"/>
      <w:r>
        <w:rPr>
          <w:rFonts w:hint="eastAsia" w:ascii="宋体" w:hAnsi="宋体" w:eastAsia="宋体" w:cs="宋体"/>
          <w:color w:val="auto"/>
          <w:highlight w:val="none"/>
        </w:rPr>
        <w:t>9.</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检验费用</w:t>
      </w:r>
      <w:bookmarkEnd w:id="620"/>
      <w:bookmarkEnd w:id="621"/>
    </w:p>
    <w:p w14:paraId="64A3804C">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612"/>
    <w:bookmarkEnd w:id="613"/>
    <w:bookmarkEnd w:id="614"/>
    <w:bookmarkEnd w:id="615"/>
    <w:bookmarkEnd w:id="616"/>
    <w:bookmarkEnd w:id="617"/>
    <w:bookmarkEnd w:id="618"/>
    <w:bookmarkEnd w:id="619"/>
    <w:p w14:paraId="004E08D4">
      <w:pPr>
        <w:pStyle w:val="3"/>
        <w:rPr>
          <w:rFonts w:hint="eastAsia" w:ascii="宋体" w:hAnsi="宋体" w:eastAsia="宋体" w:cs="宋体"/>
          <w:color w:val="auto"/>
          <w:highlight w:val="none"/>
        </w:rPr>
      </w:pPr>
      <w:bookmarkStart w:id="622" w:name="_Toc351203642"/>
      <w:bookmarkStart w:id="623" w:name="_Toc373227739"/>
      <w:bookmarkStart w:id="624" w:name="_Toc407135242"/>
      <w:bookmarkStart w:id="625" w:name="_Toc389065305"/>
      <w:bookmarkStart w:id="626" w:name="_Toc373478386"/>
      <w:bookmarkStart w:id="627" w:name="_Toc487632739"/>
      <w:r>
        <w:rPr>
          <w:rFonts w:hint="eastAsia" w:ascii="宋体" w:hAnsi="宋体" w:eastAsia="宋体" w:cs="宋体"/>
          <w:color w:val="auto"/>
          <w:highlight w:val="none"/>
        </w:rPr>
        <w:t>1</w:t>
      </w:r>
      <w:bookmarkEnd w:id="583"/>
      <w:bookmarkEnd w:id="584"/>
      <w:bookmarkEnd w:id="585"/>
      <w:bookmarkEnd w:id="586"/>
      <w:bookmarkEnd w:id="587"/>
      <w:bookmarkEnd w:id="588"/>
      <w:bookmarkEnd w:id="589"/>
      <w:bookmarkEnd w:id="590"/>
      <w:bookmarkEnd w:id="591"/>
      <w:bookmarkEnd w:id="592"/>
      <w:bookmarkEnd w:id="593"/>
      <w:bookmarkEnd w:id="594"/>
      <w:bookmarkStart w:id="628" w:name="_Toc297048379"/>
      <w:bookmarkStart w:id="629" w:name="_Toc297123540"/>
      <w:bookmarkStart w:id="630" w:name="_Toc297216199"/>
      <w:bookmarkStart w:id="631" w:name="_Toc296891233"/>
      <w:bookmarkStart w:id="632" w:name="_Toc296891021"/>
      <w:bookmarkStart w:id="633" w:name="_Toc304295566"/>
      <w:bookmarkStart w:id="634" w:name="_Toc296503193"/>
      <w:bookmarkStart w:id="635" w:name="_Toc292559903"/>
      <w:bookmarkStart w:id="636" w:name="_Toc296347192"/>
      <w:bookmarkStart w:id="637" w:name="_Toc296944532"/>
      <w:bookmarkStart w:id="638" w:name="_Toc292559398"/>
      <w:bookmarkStart w:id="639" w:name="_Toc303539146"/>
      <w:bookmarkStart w:id="640" w:name="_Toc297120493"/>
      <w:bookmarkStart w:id="641" w:name="_Toc296346694"/>
      <w:bookmarkStart w:id="642" w:name="_Toc300934989"/>
      <w:bookmarkStart w:id="643" w:name="_Toc312677499"/>
      <w:bookmarkStart w:id="644" w:name="_Toc312678025"/>
      <w:bookmarkStart w:id="645" w:name="_Toc267251435"/>
      <w:bookmarkStart w:id="646" w:name="_Toc267251441"/>
      <w:bookmarkStart w:id="647" w:name="_Toc267251439"/>
      <w:bookmarkStart w:id="648" w:name="_Toc267251440"/>
      <w:bookmarkStart w:id="649" w:name="_Toc267251433"/>
      <w:bookmarkStart w:id="650" w:name="_Toc267251437"/>
      <w:bookmarkStart w:id="651" w:name="_Toc267251442"/>
      <w:r>
        <w:rPr>
          <w:rFonts w:hint="eastAsia" w:ascii="宋体" w:hAnsi="宋体" w:eastAsia="宋体" w:cs="宋体"/>
          <w:color w:val="auto"/>
          <w:highlight w:val="none"/>
        </w:rPr>
        <w:t>0. 变更</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bookmarkEnd w:id="643"/>
    <w:bookmarkEnd w:id="644"/>
    <w:p w14:paraId="710B02A9">
      <w:pPr>
        <w:pStyle w:val="4"/>
        <w:rPr>
          <w:rFonts w:hint="eastAsia" w:ascii="宋体" w:hAnsi="宋体" w:eastAsia="宋体" w:cs="宋体"/>
          <w:color w:val="auto"/>
          <w:highlight w:val="none"/>
        </w:rPr>
      </w:pPr>
      <w:bookmarkStart w:id="652" w:name="_Toc407135243"/>
      <w:bookmarkStart w:id="653" w:name="_Toc389065306"/>
      <w:bookmarkStart w:id="654" w:name="_Toc487632740"/>
      <w:bookmarkStart w:id="655" w:name="_Toc373227740"/>
      <w:bookmarkStart w:id="656" w:name="_Toc373478387"/>
      <w:r>
        <w:rPr>
          <w:rFonts w:hint="eastAsia" w:ascii="宋体" w:hAnsi="宋体" w:eastAsia="宋体" w:cs="宋体"/>
          <w:color w:val="auto"/>
          <w:highlight w:val="none"/>
        </w:rPr>
        <w:t>1</w:t>
      </w:r>
      <w:bookmarkStart w:id="657" w:name="_Toc296503194"/>
      <w:bookmarkStart w:id="658" w:name="_Toc297120494"/>
      <w:bookmarkStart w:id="659" w:name="_Toc300934990"/>
      <w:bookmarkStart w:id="660" w:name="_Toc297123541"/>
      <w:bookmarkStart w:id="661" w:name="_Toc297048380"/>
      <w:bookmarkStart w:id="662" w:name="_Toc292559904"/>
      <w:bookmarkStart w:id="663" w:name="_Toc312677500"/>
      <w:bookmarkStart w:id="664" w:name="_Toc296891022"/>
      <w:bookmarkStart w:id="665" w:name="_Toc296944533"/>
      <w:bookmarkStart w:id="666" w:name="_Toc296891234"/>
      <w:bookmarkStart w:id="667" w:name="_Toc297216200"/>
      <w:bookmarkStart w:id="668" w:name="_Toc303539147"/>
      <w:bookmarkStart w:id="669" w:name="_Toc312678026"/>
      <w:bookmarkStart w:id="670" w:name="_Toc304295567"/>
      <w:bookmarkStart w:id="671" w:name="_Toc296346695"/>
      <w:bookmarkStart w:id="672" w:name="_Toc292559399"/>
      <w:bookmarkStart w:id="673" w:name="_Toc296347193"/>
      <w:r>
        <w:rPr>
          <w:rFonts w:hint="eastAsia" w:ascii="宋体" w:hAnsi="宋体" w:eastAsia="宋体" w:cs="宋体"/>
          <w:color w:val="auto"/>
          <w:highlight w:val="none"/>
        </w:rPr>
        <w:t>0.1 变更的范围</w:t>
      </w:r>
      <w:bookmarkEnd w:id="652"/>
      <w:bookmarkEnd w:id="653"/>
      <w:bookmarkEnd w:id="654"/>
      <w:bookmarkEnd w:id="655"/>
      <w:bookmarkEnd w:id="656"/>
    </w:p>
    <w:p w14:paraId="1996EABC">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关于变更的范围的约定：</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highlight w:val="none"/>
        </w:rPr>
        <w:t>。</w:t>
      </w:r>
    </w:p>
    <w:p w14:paraId="58526DD4">
      <w:pPr>
        <w:pStyle w:val="4"/>
        <w:rPr>
          <w:rFonts w:hint="eastAsia" w:ascii="宋体" w:hAnsi="宋体" w:eastAsia="宋体" w:cs="宋体"/>
          <w:color w:val="auto"/>
          <w:highlight w:val="none"/>
        </w:rPr>
      </w:pPr>
      <w:bookmarkStart w:id="674" w:name="_Toc373478388"/>
      <w:bookmarkStart w:id="675" w:name="_Toc407135244"/>
      <w:bookmarkStart w:id="676" w:name="_Toc389065307"/>
      <w:bookmarkStart w:id="677" w:name="_Toc373227741"/>
      <w:bookmarkStart w:id="678" w:name="_Toc487632741"/>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变更程序</w:t>
      </w:r>
      <w:bookmarkEnd w:id="674"/>
      <w:bookmarkEnd w:id="675"/>
      <w:bookmarkEnd w:id="676"/>
      <w:bookmarkEnd w:id="677"/>
      <w:bookmarkEnd w:id="678"/>
    </w:p>
    <w:p w14:paraId="51E11A7A">
      <w:pPr>
        <w:pStyle w:val="25"/>
        <w:spacing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.1国有投资项目：</w:t>
      </w:r>
    </w:p>
    <w:p w14:paraId="672EF3E8">
      <w:pPr>
        <w:pStyle w:val="25"/>
        <w:spacing w:line="360" w:lineRule="auto"/>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⑴设计变更和工程签证，按各市政府或相关部门的规定办理。属不可抗力（自然灾害、突发事件等）造成变更的，按特事特办原则予以办理。</w:t>
      </w:r>
    </w:p>
    <w:p w14:paraId="2F37C8FE">
      <w:pPr>
        <w:pStyle w:val="25"/>
        <w:spacing w:line="360" w:lineRule="auto"/>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⑵建设单位在实施项目过程中，若发生单价变动，由建设单位、监理单位、施工单位及其他相关单位共同商定并签字确认。</w:t>
      </w:r>
    </w:p>
    <w:p w14:paraId="4124B7E5">
      <w:pPr>
        <w:pStyle w:val="25"/>
        <w:spacing w:line="360" w:lineRule="auto"/>
        <w:ind w:firstLine="441" w:firstLineChars="210"/>
        <w:rPr>
          <w:rFonts w:hint="eastAsia" w:ascii="宋体" w:hAnsi="宋体" w:eastAsia="宋体" w:cs="宋体"/>
          <w:bCs/>
          <w:color w:val="auto"/>
          <w:highlight w:val="none"/>
        </w:rPr>
      </w:pPr>
      <w:r>
        <w:rPr>
          <w:rFonts w:hint="eastAsia" w:ascii="宋体" w:hAnsi="宋体" w:eastAsia="宋体" w:cs="宋体"/>
          <w:bCs/>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2DAB4D3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10.2.2 非国有投资项目：</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401C3DE">
      <w:pPr>
        <w:pStyle w:val="4"/>
        <w:rPr>
          <w:rFonts w:hint="eastAsia" w:ascii="宋体" w:hAnsi="宋体" w:eastAsia="宋体" w:cs="宋体"/>
          <w:color w:val="auto"/>
          <w:highlight w:val="none"/>
        </w:rPr>
      </w:pPr>
      <w:bookmarkStart w:id="679" w:name="_Toc487632742"/>
      <w:bookmarkStart w:id="680" w:name="_Toc373227742"/>
      <w:bookmarkStart w:id="681" w:name="_Toc373478389"/>
      <w:bookmarkStart w:id="682" w:name="_Toc407135245"/>
      <w:bookmarkStart w:id="683" w:name="_Toc389065308"/>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变更估价</w:t>
      </w:r>
      <w:bookmarkEnd w:id="679"/>
      <w:bookmarkEnd w:id="680"/>
      <w:bookmarkEnd w:id="681"/>
      <w:bookmarkEnd w:id="682"/>
      <w:bookmarkEnd w:id="683"/>
    </w:p>
    <w:p w14:paraId="4E17DB0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10.3.1 变更估价原则</w:t>
      </w:r>
    </w:p>
    <w:p w14:paraId="3D723CD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关于变更估价的约定: </w:t>
      </w:r>
      <w:bookmarkStart w:id="684" w:name="_Toc251051742"/>
      <w:r>
        <w:rPr>
          <w:rFonts w:hint="eastAsia" w:hAnsi="宋体" w:cs="宋体"/>
          <w:color w:val="auto"/>
          <w:highlight w:val="none"/>
          <w:u w:val="single"/>
        </w:rPr>
        <w:t>工程变更合同价款按下列方法进行：（</w:t>
      </w:r>
      <w:r>
        <w:rPr>
          <w:color w:val="auto"/>
          <w:highlight w:val="none"/>
          <w:u w:val="single"/>
        </w:rPr>
        <w:t>1</w:t>
      </w:r>
      <w:r>
        <w:rPr>
          <w:rFonts w:hint="eastAsia" w:hAnsi="宋体" w:cs="宋体"/>
          <w:color w:val="auto"/>
          <w:highlight w:val="none"/>
          <w:u w:val="single"/>
        </w:rPr>
        <w:t>）合同中已有相同清单项目的，按合同该清单项目价格进行计算；（</w:t>
      </w:r>
      <w:r>
        <w:rPr>
          <w:color w:val="auto"/>
          <w:highlight w:val="none"/>
          <w:u w:val="single"/>
        </w:rPr>
        <w:t>2</w:t>
      </w:r>
      <w:r>
        <w:rPr>
          <w:rFonts w:hint="eastAsia" w:hAnsi="宋体" w:cs="宋体"/>
          <w:color w:val="auto"/>
          <w:highlight w:val="none"/>
          <w:u w:val="single"/>
        </w:rPr>
        <w:t>）合同中只有类似清单项目的，参照该类似清单项目价格进行计算；（</w:t>
      </w:r>
      <w:r>
        <w:rPr>
          <w:color w:val="auto"/>
          <w:highlight w:val="none"/>
          <w:u w:val="single"/>
        </w:rPr>
        <w:t>3</w:t>
      </w:r>
      <w:r>
        <w:rPr>
          <w:rFonts w:hint="eastAsia" w:hAnsi="宋体" w:cs="宋体"/>
          <w:color w:val="auto"/>
          <w:highlight w:val="none"/>
          <w:u w:val="single"/>
        </w:rPr>
        <w:t>）合同中没有适用或类似清单项目的价格计算方法：有定额的套定额，并（</w:t>
      </w:r>
      <w:r>
        <w:rPr>
          <w:rFonts w:hint="eastAsia" w:cs="宋体"/>
          <w:b/>
          <w:bCs/>
          <w:color w:val="auto"/>
          <w:highlight w:val="none"/>
        </w:rPr>
        <w:t>□</w:t>
      </w:r>
      <w:r>
        <w:rPr>
          <w:rFonts w:hint="eastAsia" w:hAnsi="宋体" w:cs="宋体"/>
          <w:color w:val="auto"/>
          <w:highlight w:val="none"/>
          <w:u w:val="single"/>
        </w:rPr>
        <w:t>乘以下浮系数</w:t>
      </w:r>
      <w:r>
        <w:rPr>
          <w:color w:val="auto"/>
          <w:highlight w:val="none"/>
          <w:u w:val="single"/>
        </w:rPr>
        <w:t xml:space="preserve">      %</w:t>
      </w:r>
      <w:r>
        <w:rPr>
          <w:rFonts w:hint="eastAsia" w:cs="宋体"/>
          <w:color w:val="auto"/>
          <w:highlight w:val="none"/>
          <w:u w:val="single"/>
        </w:rPr>
        <w:t>，</w:t>
      </w:r>
      <w:r>
        <w:rPr>
          <w:rFonts w:hint="eastAsia" w:cs="宋体"/>
          <w:b/>
          <w:bCs/>
          <w:color w:val="auto"/>
          <w:highlight w:val="none"/>
        </w:rPr>
        <w:t>□</w:t>
      </w:r>
      <w:r>
        <w:rPr>
          <w:rFonts w:hint="eastAsia" w:hAnsi="宋体" w:cs="宋体"/>
          <w:color w:val="auto"/>
          <w:highlight w:val="none"/>
          <w:u w:val="single"/>
        </w:rPr>
        <w:t>不乘下浮系数）计算，其中：材料设备价格按施工期间的《</w:t>
      </w:r>
      <w:r>
        <w:rPr>
          <w:color w:val="auto"/>
          <w:highlight w:val="none"/>
          <w:u w:val="single"/>
        </w:rPr>
        <w:t xml:space="preserve">    </w:t>
      </w:r>
      <w:r>
        <w:rPr>
          <w:rFonts w:hint="eastAsia" w:hAnsi="宋体" w:cs="宋体"/>
          <w:color w:val="auto"/>
          <w:highlight w:val="none"/>
          <w:u w:val="single"/>
        </w:rPr>
        <w:t>市建设工程造价信息》相应信息价的加权平均值计算，《</w:t>
      </w:r>
      <w:r>
        <w:rPr>
          <w:color w:val="auto"/>
          <w:highlight w:val="none"/>
          <w:u w:val="single"/>
        </w:rPr>
        <w:t xml:space="preserve">    </w:t>
      </w:r>
      <w:r>
        <w:rPr>
          <w:rFonts w:hint="eastAsia" w:hAnsi="宋体" w:cs="宋体"/>
          <w:color w:val="auto"/>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684"/>
      <w:r>
        <w:rPr>
          <w:rFonts w:hint="eastAsia" w:hAnsi="宋体" w:cs="宋体"/>
          <w:color w:val="auto"/>
          <w:highlight w:val="none"/>
        </w:rPr>
        <w:t>。以上约定同时适用于招标工程量清单缺项以及工程量清单项目特征与图纸不符时的价款确定。</w:t>
      </w:r>
    </w:p>
    <w:p w14:paraId="14FEEC23">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工程变更导致实际完成的变更工程量与已标价清单或预算书中列明的该项目工程量有偏差时，其综合单价的确定按专用条款“1.13工程量清单错误的修正”执行。</w:t>
      </w:r>
    </w:p>
    <w:p w14:paraId="6AE722EF">
      <w:pPr>
        <w:pStyle w:val="4"/>
        <w:rPr>
          <w:rFonts w:hint="eastAsia" w:ascii="宋体" w:hAnsi="宋体" w:eastAsia="宋体" w:cs="宋体"/>
          <w:color w:val="auto"/>
          <w:highlight w:val="none"/>
        </w:rPr>
      </w:pPr>
      <w:bookmarkStart w:id="685" w:name="_Toc487632743"/>
      <w:bookmarkStart w:id="686" w:name="_Toc373478390"/>
      <w:bookmarkStart w:id="687" w:name="_Toc373227743"/>
      <w:bookmarkStart w:id="688" w:name="_Toc407135246"/>
      <w:bookmarkStart w:id="689" w:name="_Toc389065309"/>
      <w:r>
        <w:rPr>
          <w:rFonts w:hint="eastAsia" w:ascii="宋体" w:hAnsi="宋体" w:eastAsia="宋体" w:cs="宋体"/>
          <w:color w:val="auto"/>
          <w:highlight w:val="none"/>
        </w:rPr>
        <w:t>1</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Start w:id="690" w:name="_Toc297120497"/>
      <w:bookmarkStart w:id="691" w:name="_Toc300934993"/>
      <w:bookmarkStart w:id="692" w:name="_Toc297123544"/>
      <w:bookmarkStart w:id="693" w:name="_Toc297048383"/>
      <w:bookmarkStart w:id="694" w:name="_Toc303539150"/>
      <w:bookmarkStart w:id="695" w:name="_Toc292559402"/>
      <w:bookmarkStart w:id="696" w:name="_Toc296891025"/>
      <w:bookmarkStart w:id="697" w:name="_Toc292559907"/>
      <w:bookmarkStart w:id="698" w:name="_Toc296503197"/>
      <w:bookmarkStart w:id="699" w:name="_Toc296944536"/>
      <w:bookmarkStart w:id="700" w:name="_Toc297216203"/>
      <w:bookmarkStart w:id="701" w:name="_Toc296891237"/>
      <w:bookmarkStart w:id="702" w:name="_Toc296346698"/>
      <w:bookmarkStart w:id="703" w:name="_Toc296347196"/>
      <w:bookmarkStart w:id="704" w:name="_Toc312677503"/>
      <w:bookmarkStart w:id="705" w:name="_Toc312678029"/>
      <w:bookmarkStart w:id="706" w:name="_Toc304295570"/>
      <w:r>
        <w:rPr>
          <w:rFonts w:hint="eastAsia" w:ascii="宋体" w:hAnsi="宋体" w:eastAsia="宋体" w:cs="宋体"/>
          <w:color w:val="auto"/>
          <w:highlight w:val="none"/>
        </w:rPr>
        <w:t>0.</w:t>
      </w:r>
      <w:r>
        <w:rPr>
          <w:rFonts w:hint="eastAsia" w:ascii="宋体" w:hAnsi="宋体" w:eastAsia="宋体" w:cs="宋体"/>
          <w:color w:val="auto"/>
          <w:highlight w:val="none"/>
          <w:lang w:val="en-US" w:eastAsia="zh-CN"/>
        </w:rPr>
        <w:t xml:space="preserve">4 </w:t>
      </w:r>
      <w:r>
        <w:rPr>
          <w:rFonts w:hint="eastAsia" w:ascii="宋体" w:hAnsi="宋体" w:eastAsia="宋体" w:cs="宋体"/>
          <w:color w:val="auto"/>
          <w:highlight w:val="none"/>
        </w:rPr>
        <w:t>承</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Start w:id="707" w:name="_Toc296503203"/>
      <w:bookmarkStart w:id="708" w:name="_Toc296944542"/>
      <w:bookmarkStart w:id="709" w:name="_Toc303539151"/>
      <w:bookmarkStart w:id="710" w:name="_Toc297048389"/>
      <w:bookmarkStart w:id="711" w:name="_Toc292559913"/>
      <w:bookmarkStart w:id="712" w:name="_Toc297120503"/>
      <w:bookmarkStart w:id="713" w:name="_Toc296346704"/>
      <w:bookmarkStart w:id="714" w:name="_Toc292559408"/>
      <w:bookmarkStart w:id="715" w:name="_Toc297216204"/>
      <w:bookmarkStart w:id="716" w:name="_Toc297123545"/>
      <w:bookmarkStart w:id="717" w:name="_Toc300934994"/>
      <w:bookmarkStart w:id="718" w:name="_Toc296891031"/>
      <w:bookmarkStart w:id="719" w:name="_Toc296891243"/>
      <w:bookmarkStart w:id="720" w:name="_Toc296347202"/>
      <w:r>
        <w:rPr>
          <w:rFonts w:hint="eastAsia" w:ascii="宋体" w:hAnsi="宋体" w:eastAsia="宋体" w:cs="宋体"/>
          <w:color w:val="auto"/>
          <w:highlight w:val="none"/>
        </w:rPr>
        <w:t>包人的合理化建议</w:t>
      </w:r>
      <w:bookmarkEnd w:id="685"/>
      <w:bookmarkEnd w:id="686"/>
      <w:bookmarkEnd w:id="687"/>
      <w:bookmarkEnd w:id="688"/>
      <w:bookmarkEnd w:id="689"/>
    </w:p>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14:paraId="0BC19B86">
      <w:pPr>
        <w:spacing w:line="360" w:lineRule="auto"/>
        <w:ind w:firstLine="420" w:firstLineChars="200"/>
        <w:jc w:val="left"/>
        <w:rPr>
          <w:rFonts w:hint="eastAsia" w:ascii="宋体" w:hAnsi="宋体" w:eastAsia="宋体" w:cs="宋体"/>
          <w:color w:val="auto"/>
          <w:highlight w:val="none"/>
        </w:rPr>
      </w:pPr>
      <w:bookmarkStart w:id="721" w:name="_Toc373227744"/>
      <w:bookmarkStart w:id="722" w:name="_Toc407135247"/>
      <w:bookmarkStart w:id="723" w:name="_Toc487632744"/>
      <w:bookmarkStart w:id="724" w:name="_Toc373478391"/>
      <w:bookmarkStart w:id="725" w:name="_Toc389065310"/>
      <w:r>
        <w:rPr>
          <w:rFonts w:hint="eastAsia" w:ascii="宋体" w:hAnsi="宋体" w:eastAsia="宋体" w:cs="宋体"/>
          <w:color w:val="auto"/>
          <w:highlight w:val="none"/>
        </w:rPr>
        <w:t>监理人审查承包人合理化建议的期限：</w:t>
      </w:r>
      <w:r>
        <w:rPr>
          <w:rFonts w:hint="eastAsia" w:ascii="宋体" w:hAnsi="宋体" w:eastAsia="宋体" w:cs="宋体"/>
          <w:color w:val="auto"/>
          <w:highlight w:val="none"/>
          <w:u w:val="single"/>
        </w:rPr>
        <w:t xml:space="preserve">     按通用条款执行      </w:t>
      </w:r>
      <w:r>
        <w:rPr>
          <w:rFonts w:hint="eastAsia" w:ascii="宋体" w:hAnsi="宋体" w:eastAsia="宋体" w:cs="宋体"/>
          <w:color w:val="auto"/>
          <w:highlight w:val="none"/>
        </w:rPr>
        <w:t>。</w:t>
      </w:r>
    </w:p>
    <w:p w14:paraId="26F9BCD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发包人审批承包人合理化建议的期限：</w:t>
      </w:r>
      <w:r>
        <w:rPr>
          <w:rFonts w:hint="eastAsia" w:ascii="宋体" w:hAnsi="宋体" w:eastAsia="宋体" w:cs="宋体"/>
          <w:color w:val="auto"/>
          <w:highlight w:val="none"/>
          <w:u w:val="single"/>
        </w:rPr>
        <w:t xml:space="preserve">  按通用条款执行     </w:t>
      </w:r>
      <w:r>
        <w:rPr>
          <w:rFonts w:hint="eastAsia" w:ascii="宋体" w:hAnsi="宋体" w:eastAsia="宋体" w:cs="宋体"/>
          <w:color w:val="auto"/>
          <w:highlight w:val="none"/>
        </w:rPr>
        <w:t>。</w:t>
      </w:r>
    </w:p>
    <w:p w14:paraId="4B6625A2">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w:t>
      </w:r>
      <w:bookmarkStart w:id="726" w:name="_Toc296944543"/>
      <w:bookmarkStart w:id="727" w:name="_Toc296347203"/>
      <w:bookmarkStart w:id="728" w:name="_Toc296346705"/>
      <w:bookmarkStart w:id="729" w:name="_Toc297216205"/>
      <w:bookmarkStart w:id="730" w:name="_Toc296503204"/>
      <w:bookmarkStart w:id="731" w:name="_Toc300934995"/>
      <w:bookmarkStart w:id="732" w:name="_Toc312677504"/>
      <w:bookmarkStart w:id="733" w:name="_Toc297123546"/>
      <w:bookmarkStart w:id="734" w:name="_Toc297048390"/>
      <w:bookmarkStart w:id="735" w:name="_Toc292559914"/>
      <w:bookmarkStart w:id="736" w:name="_Toc296891032"/>
      <w:bookmarkStart w:id="737" w:name="_Toc292559409"/>
      <w:bookmarkStart w:id="738" w:name="_Toc304295571"/>
      <w:bookmarkStart w:id="739" w:name="_Toc297120504"/>
      <w:bookmarkStart w:id="740" w:name="_Toc318581175"/>
      <w:bookmarkStart w:id="741" w:name="_Toc296891244"/>
      <w:bookmarkStart w:id="742" w:name="_Toc312678030"/>
      <w:bookmarkStart w:id="743" w:name="_Toc303539152"/>
      <w:r>
        <w:rPr>
          <w:rFonts w:hint="eastAsia" w:ascii="宋体" w:hAnsi="宋体" w:eastAsia="宋体" w:cs="宋体"/>
          <w:color w:val="auto"/>
          <w:highlight w:val="none"/>
        </w:rPr>
        <w:t>包人提出的合理化建议降低了合同价格或者提高了工程经济效益的奖励的方法和金额为：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14:paraId="1CE47766">
      <w:pPr>
        <w:pStyle w:val="4"/>
        <w:rPr>
          <w:rFonts w:hint="eastAsia" w:ascii="宋体" w:hAnsi="宋体" w:eastAsia="宋体" w:cs="宋体"/>
          <w:color w:val="auto"/>
          <w:highlight w:val="none"/>
        </w:rPr>
      </w:pPr>
      <w:r>
        <w:rPr>
          <w:rFonts w:hint="eastAsia" w:ascii="宋体" w:hAnsi="宋体" w:eastAsia="宋体" w:cs="宋体"/>
          <w:color w:val="auto"/>
          <w:highlight w:val="none"/>
        </w:rPr>
        <w:t>1</w:t>
      </w:r>
      <w:bookmarkStart w:id="744" w:name="_Toc296346700"/>
      <w:bookmarkStart w:id="745" w:name="_Toc296891239"/>
      <w:bookmarkStart w:id="746" w:name="_Toc297120499"/>
      <w:bookmarkStart w:id="747" w:name="_Toc297216207"/>
      <w:bookmarkStart w:id="748" w:name="_Toc292559404"/>
      <w:bookmarkStart w:id="749" w:name="_Toc296503199"/>
      <w:bookmarkStart w:id="750" w:name="_Toc312678033"/>
      <w:bookmarkStart w:id="751" w:name="_Toc297123548"/>
      <w:bookmarkStart w:id="752" w:name="_Toc303539154"/>
      <w:bookmarkStart w:id="753" w:name="_Toc297048385"/>
      <w:bookmarkStart w:id="754" w:name="_Toc304295574"/>
      <w:bookmarkStart w:id="755" w:name="_Toc300934997"/>
      <w:bookmarkStart w:id="756" w:name="_Toc296347198"/>
      <w:bookmarkStart w:id="757" w:name="_Toc292559909"/>
      <w:bookmarkStart w:id="758" w:name="_Toc296944538"/>
      <w:bookmarkStart w:id="759" w:name="_Toc296891027"/>
      <w:bookmarkStart w:id="760" w:name="_Toc312677507"/>
      <w:r>
        <w:rPr>
          <w:rFonts w:hint="eastAsia" w:ascii="宋体" w:hAnsi="宋体" w:eastAsia="宋体" w:cs="宋体"/>
          <w:color w:val="auto"/>
          <w:highlight w:val="none"/>
        </w:rPr>
        <w:t>0.</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 xml:space="preserve"> 暂估价</w:t>
      </w:r>
      <w:bookmarkEnd w:id="721"/>
      <w:bookmarkEnd w:id="722"/>
      <w:bookmarkEnd w:id="723"/>
      <w:bookmarkEnd w:id="724"/>
      <w:bookmarkEnd w:id="725"/>
    </w:p>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14:paraId="59E2FD8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暂</w:t>
      </w:r>
      <w:bookmarkStart w:id="761" w:name="_Toc318581176"/>
      <w:bookmarkStart w:id="762" w:name="_Toc312677508"/>
      <w:bookmarkStart w:id="763" w:name="_Toc312678034"/>
      <w:r>
        <w:rPr>
          <w:rFonts w:hint="eastAsia" w:ascii="宋体" w:hAnsi="宋体" w:eastAsia="宋体" w:cs="宋体"/>
          <w:color w:val="auto"/>
          <w:kern w:val="0"/>
          <w:highlight w:val="none"/>
        </w:rPr>
        <w:t>估价材料和工程设备的明细详见已标价工程量清单《</w:t>
      </w:r>
      <w:r>
        <w:rPr>
          <w:rFonts w:hint="eastAsia" w:ascii="宋体" w:hAnsi="宋体" w:eastAsia="宋体" w:cs="宋体"/>
          <w:color w:val="auto"/>
          <w:highlight w:val="none"/>
        </w:rPr>
        <w:t>材料（工程设备）暂估价格及调整表》</w:t>
      </w:r>
      <w:r>
        <w:rPr>
          <w:rFonts w:hint="eastAsia" w:ascii="宋体" w:hAnsi="宋体" w:eastAsia="宋体" w:cs="宋体"/>
          <w:color w:val="auto"/>
          <w:kern w:val="0"/>
          <w:highlight w:val="none"/>
        </w:rPr>
        <w:t>（表12-2）和《</w:t>
      </w:r>
      <w:r>
        <w:rPr>
          <w:rFonts w:hint="eastAsia" w:ascii="宋体" w:hAnsi="宋体" w:eastAsia="宋体" w:cs="宋体"/>
          <w:color w:val="auto"/>
          <w:highlight w:val="none"/>
        </w:rPr>
        <w:t>专业工程暂估价表》（</w:t>
      </w:r>
      <w:r>
        <w:rPr>
          <w:rFonts w:hint="eastAsia" w:ascii="宋体" w:hAnsi="宋体" w:eastAsia="宋体" w:cs="宋体"/>
          <w:color w:val="auto"/>
          <w:kern w:val="0"/>
          <w:highlight w:val="none"/>
        </w:rPr>
        <w:t>表12-3）。</w:t>
      </w:r>
    </w:p>
    <w:bookmarkEnd w:id="761"/>
    <w:bookmarkEnd w:id="762"/>
    <w:bookmarkEnd w:id="763"/>
    <w:p w14:paraId="5485326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Start w:id="764" w:name="_Toc312677509"/>
      <w:bookmarkStart w:id="765" w:name="_Toc318581177"/>
      <w:bookmarkStart w:id="766" w:name="_Toc312678035"/>
      <w:r>
        <w:rPr>
          <w:rFonts w:hint="eastAsia" w:ascii="宋体" w:hAnsi="宋体" w:eastAsia="宋体" w:cs="宋体"/>
          <w:color w:val="auto"/>
          <w:highlight w:val="none"/>
        </w:rPr>
        <w:t>0.6.1 依法必须招标的暂估价项目</w:t>
      </w:r>
    </w:p>
    <w:bookmarkEnd w:id="764"/>
    <w:bookmarkEnd w:id="765"/>
    <w:bookmarkEnd w:id="766"/>
    <w:p w14:paraId="59D441F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对于依法必须招标的暂估价项目的确认和批准采取第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种方式确定。</w:t>
      </w:r>
    </w:p>
    <w:p w14:paraId="4B54039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10.6.2 不属于依法必须招标的暂估价项目</w:t>
      </w:r>
    </w:p>
    <w:p w14:paraId="715829A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对于不属于依法必须招标的暂估价项目的确认和批准采取第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种方式确定。</w:t>
      </w:r>
    </w:p>
    <w:p w14:paraId="368DBFFA">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第3种方式：</w:t>
      </w:r>
      <w:r>
        <w:rPr>
          <w:rFonts w:hint="eastAsia" w:ascii="宋体" w:hAnsi="宋体" w:eastAsia="宋体" w:cs="宋体"/>
          <w:color w:val="auto"/>
          <w:kern w:val="0"/>
          <w:highlight w:val="none"/>
        </w:rPr>
        <w:t>承包人直接实施的暂估价项目</w:t>
      </w:r>
    </w:p>
    <w:p w14:paraId="40D8DC3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承包人直接实施的暂估价项目的约定：</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6A3F04EC">
      <w:pPr>
        <w:pStyle w:val="4"/>
        <w:rPr>
          <w:rFonts w:hint="eastAsia" w:ascii="宋体" w:hAnsi="宋体" w:eastAsia="宋体" w:cs="宋体"/>
          <w:color w:val="auto"/>
          <w:highlight w:val="none"/>
        </w:rPr>
      </w:pPr>
      <w:bookmarkStart w:id="767" w:name="_Toc389065311"/>
      <w:bookmarkStart w:id="768" w:name="_Toc487632745"/>
      <w:bookmarkStart w:id="769" w:name="_Toc407135248"/>
      <w:bookmarkStart w:id="770" w:name="_Toc373478392"/>
      <w:bookmarkStart w:id="771" w:name="_Toc373227745"/>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 xml:space="preserve"> 暂列金额</w:t>
      </w:r>
      <w:bookmarkEnd w:id="767"/>
      <w:bookmarkEnd w:id="768"/>
      <w:bookmarkEnd w:id="769"/>
      <w:bookmarkEnd w:id="770"/>
      <w:bookmarkEnd w:id="771"/>
    </w:p>
    <w:p w14:paraId="145A430E">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合同当事人关于暂列金额使用的约定：</w:t>
      </w:r>
      <w:r>
        <w:rPr>
          <w:rFonts w:hint="eastAsia" w:ascii="宋体" w:hAnsi="宋体" w:eastAsia="宋体" w:cs="宋体"/>
          <w:color w:val="auto"/>
          <w:highlight w:val="none"/>
          <w:u w:val="single"/>
        </w:rPr>
        <w:t xml:space="preserve">     无            </w:t>
      </w:r>
      <w:r>
        <w:rPr>
          <w:rFonts w:hint="eastAsia" w:ascii="宋体" w:hAnsi="宋体" w:eastAsia="宋体" w:cs="宋体"/>
          <w:color w:val="auto"/>
          <w:kern w:val="0"/>
          <w:highlight w:val="none"/>
        </w:rPr>
        <w:t>。</w:t>
      </w:r>
    </w:p>
    <w:p w14:paraId="695B4D20">
      <w:pPr>
        <w:pStyle w:val="3"/>
        <w:numPr>
          <w:ilvl w:val="0"/>
          <w:numId w:val="4"/>
          <w:numberingChange w:id="0" w:author="微软用户" w:date="2017-09-15T15:53:00Z" w:original="%1:11:0:."/>
        </w:numPr>
        <w:rPr>
          <w:rFonts w:hint="eastAsia" w:ascii="宋体" w:hAnsi="宋体" w:eastAsia="宋体" w:cs="宋体"/>
          <w:color w:val="auto"/>
          <w:highlight w:val="none"/>
        </w:rPr>
      </w:pPr>
      <w:bookmarkStart w:id="772" w:name="_Toc487632746"/>
      <w:bookmarkStart w:id="773" w:name="_Toc373478393"/>
      <w:bookmarkStart w:id="774" w:name="_Toc373227746"/>
      <w:bookmarkStart w:id="775" w:name="_Toc389065312"/>
      <w:bookmarkStart w:id="776" w:name="_Toc351203643"/>
      <w:bookmarkStart w:id="777" w:name="_Toc407135249"/>
      <w:r>
        <w:rPr>
          <w:rFonts w:hint="eastAsia" w:ascii="宋体" w:hAnsi="宋体" w:eastAsia="宋体" w:cs="宋体"/>
          <w:color w:val="auto"/>
          <w:highlight w:val="none"/>
        </w:rPr>
        <w:t>价格调整</w:t>
      </w:r>
      <w:bookmarkEnd w:id="772"/>
      <w:bookmarkEnd w:id="773"/>
      <w:bookmarkEnd w:id="774"/>
      <w:bookmarkEnd w:id="775"/>
      <w:bookmarkEnd w:id="776"/>
      <w:bookmarkEnd w:id="777"/>
    </w:p>
    <w:p w14:paraId="4E223D1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①法律变化引起的调整；</w:t>
      </w:r>
    </w:p>
    <w:p w14:paraId="75910F0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②工程变更、项目特征不符、工程量清单缺项、工程量偏差引起的调整；</w:t>
      </w:r>
    </w:p>
    <w:p w14:paraId="0B0CD3E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③计日工引起的调整。</w:t>
      </w:r>
    </w:p>
    <w:p w14:paraId="069CCAE0">
      <w:pPr>
        <w:pStyle w:val="4"/>
        <w:rPr>
          <w:rFonts w:hint="eastAsia" w:ascii="宋体" w:hAnsi="宋体" w:eastAsia="宋体" w:cs="宋体"/>
          <w:color w:val="auto"/>
          <w:highlight w:val="none"/>
        </w:rPr>
      </w:pPr>
      <w:bookmarkStart w:id="778" w:name="_Toc373227747"/>
      <w:bookmarkStart w:id="779" w:name="_Toc373478394"/>
      <w:bookmarkStart w:id="780" w:name="_Toc487632747"/>
      <w:bookmarkStart w:id="781" w:name="_Toc389065313"/>
      <w:bookmarkStart w:id="782" w:name="_Toc407135250"/>
      <w:bookmarkStart w:id="783" w:name="_Toc297216209"/>
      <w:bookmarkStart w:id="784" w:name="_Toc296346702"/>
      <w:bookmarkStart w:id="785" w:name="_Toc297048387"/>
      <w:bookmarkStart w:id="786" w:name="_Toc303539157"/>
      <w:bookmarkStart w:id="787" w:name="_Toc296891029"/>
      <w:bookmarkStart w:id="788" w:name="_Toc300935000"/>
      <w:bookmarkStart w:id="789" w:name="_Toc296503201"/>
      <w:bookmarkStart w:id="790" w:name="_Toc304295577"/>
      <w:bookmarkStart w:id="791" w:name="_Toc312678039"/>
      <w:bookmarkStart w:id="792" w:name="_Toc292559406"/>
      <w:bookmarkStart w:id="793" w:name="_Toc296347200"/>
      <w:bookmarkStart w:id="794" w:name="_Toc296944540"/>
      <w:bookmarkStart w:id="795" w:name="_Toc297120501"/>
      <w:bookmarkStart w:id="796" w:name="_Toc292559911"/>
      <w:bookmarkStart w:id="797" w:name="_Toc296891241"/>
      <w:bookmarkStart w:id="798" w:name="_Toc297123550"/>
      <w:r>
        <w:rPr>
          <w:rFonts w:hint="eastAsia" w:ascii="宋体" w:hAnsi="宋体" w:eastAsia="宋体" w:cs="宋体"/>
          <w:color w:val="auto"/>
          <w:highlight w:val="none"/>
        </w:rPr>
        <w:t>11.1 市场价格波动引起的调整</w:t>
      </w:r>
      <w:bookmarkEnd w:id="778"/>
      <w:bookmarkEnd w:id="779"/>
      <w:bookmarkEnd w:id="780"/>
      <w:bookmarkEnd w:id="781"/>
      <w:bookmarkEnd w:id="782"/>
    </w:p>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14:paraId="5046944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市场价格波动是否调整合同价格的约定：</w:t>
      </w:r>
      <w:r>
        <w:rPr>
          <w:rFonts w:hint="eastAsia" w:ascii="宋体" w:hAnsi="宋体" w:eastAsia="宋体" w:cs="宋体"/>
          <w:color w:val="auto"/>
          <w:highlight w:val="none"/>
          <w:u w:val="single"/>
        </w:rPr>
        <w:t xml:space="preserve">   不作调整     </w:t>
      </w:r>
      <w:r>
        <w:rPr>
          <w:rFonts w:hint="eastAsia" w:ascii="宋体" w:hAnsi="宋体" w:eastAsia="宋体" w:cs="宋体"/>
          <w:color w:val="auto"/>
          <w:highlight w:val="none"/>
        </w:rPr>
        <w:t>。</w:t>
      </w:r>
    </w:p>
    <w:p w14:paraId="4E0319C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因市场价格波动调整合同价格，采用以下第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种方式对合同价格进行调整：</w:t>
      </w:r>
    </w:p>
    <w:p w14:paraId="0947F0D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第1种方式：采用价格指数进行价格调整。</w:t>
      </w:r>
    </w:p>
    <w:p w14:paraId="5388982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关于各可调因子、定值和变值权重，以及基本价格指数及其来源的约定：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21C85F4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第2种方式：采用造价信息进行价格调整。</w:t>
      </w:r>
    </w:p>
    <w:p w14:paraId="7AAB9E4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（1）允许调整的主要材料和设备、基期价格、风险系数、投标报价：详见《承包人提供主要材料和设备一览表》。</w:t>
      </w:r>
    </w:p>
    <w:p w14:paraId="724790E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（2）主要材料和设备确认价：</w:t>
      </w:r>
    </w:p>
    <w:p w14:paraId="67DB1E8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按施工期间《</w:t>
      </w:r>
      <w:r>
        <w:rPr>
          <w:rFonts w:hint="eastAsia" w:ascii="宋体" w:hAnsi="宋体" w:eastAsia="宋体" w:cs="宋体"/>
          <w:color w:val="auto"/>
          <w:highlight w:val="none"/>
          <w:u w:val="single"/>
        </w:rPr>
        <w:t xml:space="preserve"> 梧州市 </w:t>
      </w:r>
      <w:r>
        <w:rPr>
          <w:rFonts w:hint="eastAsia" w:ascii="宋体" w:hAnsi="宋体" w:eastAsia="宋体" w:cs="宋体"/>
          <w:color w:val="auto"/>
          <w:highlight w:val="none"/>
        </w:rPr>
        <w:t>市建设工程造价信息》加权平均计算，信息价没有的按通用条款规定确定。</w:t>
      </w:r>
    </w:p>
    <w:p w14:paraId="03221D7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（3）价差计算方法：</w:t>
      </w:r>
    </w:p>
    <w:p w14:paraId="3A11882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其超过部分据实调整。</w:t>
      </w:r>
    </w:p>
    <w:p w14:paraId="3462D69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②承包人在《承包人提供主要材料和设备一览表》中载明的材料和设备投标报价高于基准价格的：专用合同条款合同履行期间材料和设备单价跌幅以基准价格为基础超过约定的风险范围时，材料和设备单价涨幅以投标报价为基础超过约定的风险范围时，其超过部分据实调整。</w:t>
      </w:r>
    </w:p>
    <w:p w14:paraId="78E1BA7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③承包人在《承包人提供主要材料和设备一览表》中载明的材料和设备单价等于基准单价的：合同履行期间材料和设备单价涨跌幅以基准单价为基础超过约定的风险范围时，其超过部分据实调整。</w:t>
      </w:r>
    </w:p>
    <w:p w14:paraId="0794BFFB">
      <w:pPr>
        <w:spacing w:line="360" w:lineRule="auto"/>
        <w:ind w:firstLine="645"/>
        <w:jc w:val="left"/>
        <w:rPr>
          <w:rFonts w:hint="eastAsia" w:ascii="宋体" w:hAnsi="宋体" w:eastAsia="宋体" w:cs="宋体"/>
          <w:color w:val="auto"/>
          <w:highlight w:val="none"/>
        </w:rPr>
      </w:pPr>
      <w:r>
        <w:rPr>
          <w:rFonts w:hint="eastAsia" w:ascii="宋体" w:hAnsi="宋体" w:eastAsia="宋体" w:cs="宋体"/>
          <w:color w:val="auto"/>
          <w:highlight w:val="none"/>
        </w:rPr>
        <w:t>第3种方式：</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bookmarkEnd w:id="645"/>
    <w:bookmarkEnd w:id="646"/>
    <w:bookmarkEnd w:id="647"/>
    <w:bookmarkEnd w:id="648"/>
    <w:bookmarkEnd w:id="649"/>
    <w:bookmarkEnd w:id="650"/>
    <w:p w14:paraId="73E28CE1">
      <w:pPr>
        <w:pStyle w:val="3"/>
        <w:rPr>
          <w:rFonts w:hint="eastAsia" w:ascii="宋体" w:hAnsi="宋体" w:eastAsia="宋体" w:cs="宋体"/>
          <w:color w:val="auto"/>
          <w:highlight w:val="none"/>
        </w:rPr>
      </w:pPr>
      <w:bookmarkStart w:id="799" w:name="_Toc296944544"/>
      <w:bookmarkStart w:id="800" w:name="_Toc297120505"/>
      <w:bookmarkStart w:id="801" w:name="_Toc296346706"/>
      <w:bookmarkStart w:id="802" w:name="_Toc296503205"/>
      <w:bookmarkStart w:id="803" w:name="_Toc296347204"/>
      <w:bookmarkStart w:id="804" w:name="_Toc292559915"/>
      <w:bookmarkStart w:id="805" w:name="_Toc297048391"/>
      <w:bookmarkStart w:id="806" w:name="_Toc296891033"/>
      <w:bookmarkStart w:id="807" w:name="_Toc296891245"/>
      <w:bookmarkStart w:id="808" w:name="_Toc292559410"/>
      <w:bookmarkStart w:id="809" w:name="_Toc351203644"/>
      <w:bookmarkStart w:id="810" w:name="_Toc373478395"/>
      <w:bookmarkStart w:id="811" w:name="_Toc407135251"/>
      <w:bookmarkStart w:id="812" w:name="_Toc487632748"/>
      <w:bookmarkStart w:id="813" w:name="_Toc373227748"/>
      <w:bookmarkStart w:id="814" w:name="_Toc312678040"/>
      <w:bookmarkStart w:id="815" w:name="_Toc300935002"/>
      <w:bookmarkStart w:id="816" w:name="_Toc297123552"/>
      <w:bookmarkStart w:id="817" w:name="_Toc297216211"/>
      <w:bookmarkStart w:id="818" w:name="_Toc303539159"/>
      <w:bookmarkStart w:id="819" w:name="_Toc304295579"/>
      <w:r>
        <w:rPr>
          <w:rFonts w:hint="eastAsia" w:ascii="宋体" w:hAnsi="宋体" w:eastAsia="宋体" w:cs="宋体"/>
          <w:color w:val="auto"/>
          <w:highlight w:val="none"/>
        </w:rPr>
        <w:t xml:space="preserve">12. </w:t>
      </w:r>
      <w:bookmarkEnd w:id="799"/>
      <w:bookmarkEnd w:id="800"/>
      <w:bookmarkEnd w:id="801"/>
      <w:bookmarkEnd w:id="802"/>
      <w:bookmarkEnd w:id="803"/>
      <w:bookmarkEnd w:id="804"/>
      <w:bookmarkEnd w:id="805"/>
      <w:bookmarkEnd w:id="806"/>
      <w:bookmarkEnd w:id="807"/>
      <w:bookmarkEnd w:id="808"/>
      <w:r>
        <w:rPr>
          <w:rFonts w:hint="eastAsia" w:ascii="宋体" w:hAnsi="宋体" w:eastAsia="宋体" w:cs="宋体"/>
          <w:color w:val="auto"/>
          <w:highlight w:val="none"/>
        </w:rPr>
        <w:t>合同价格、计量与支付</w:t>
      </w:r>
      <w:bookmarkEnd w:id="809"/>
      <w:bookmarkEnd w:id="810"/>
      <w:bookmarkEnd w:id="811"/>
      <w:bookmarkEnd w:id="812"/>
      <w:bookmarkEnd w:id="813"/>
    </w:p>
    <w:bookmarkEnd w:id="814"/>
    <w:bookmarkEnd w:id="815"/>
    <w:bookmarkEnd w:id="816"/>
    <w:bookmarkEnd w:id="817"/>
    <w:bookmarkEnd w:id="818"/>
    <w:bookmarkEnd w:id="819"/>
    <w:p w14:paraId="5C205F1A">
      <w:pPr>
        <w:pStyle w:val="4"/>
        <w:rPr>
          <w:rFonts w:hint="eastAsia" w:ascii="宋体" w:hAnsi="宋体" w:eastAsia="宋体" w:cs="宋体"/>
          <w:color w:val="auto"/>
          <w:highlight w:val="none"/>
        </w:rPr>
      </w:pPr>
      <w:bookmarkStart w:id="820" w:name="_Toc267251461"/>
      <w:bookmarkStart w:id="821" w:name="_Toc292559916"/>
      <w:bookmarkStart w:id="822" w:name="_Toc292559411"/>
      <w:bookmarkStart w:id="823" w:name="_Toc297120506"/>
      <w:bookmarkStart w:id="824" w:name="_Toc296891034"/>
      <w:bookmarkStart w:id="825" w:name="_Toc296891246"/>
      <w:bookmarkStart w:id="826" w:name="_Toc296347205"/>
      <w:bookmarkStart w:id="827" w:name="_Toc296944545"/>
      <w:bookmarkStart w:id="828" w:name="_Toc297048392"/>
      <w:bookmarkStart w:id="829" w:name="_Toc296503206"/>
      <w:bookmarkStart w:id="830" w:name="_Toc296346707"/>
      <w:bookmarkStart w:id="831" w:name="_Toc373478396"/>
      <w:bookmarkStart w:id="832" w:name="_Toc389065314"/>
      <w:bookmarkStart w:id="833" w:name="_Toc487632749"/>
      <w:bookmarkStart w:id="834" w:name="_Toc373227749"/>
      <w:bookmarkStart w:id="835" w:name="_Toc407135252"/>
      <w:bookmarkStart w:id="836" w:name="_Toc300935003"/>
      <w:bookmarkStart w:id="837" w:name="_Toc297216212"/>
      <w:bookmarkStart w:id="838" w:name="_Toc297123553"/>
      <w:bookmarkStart w:id="839" w:name="_Toc304295580"/>
      <w:bookmarkStart w:id="840" w:name="_Toc312678041"/>
      <w:bookmarkStart w:id="841" w:name="_Toc303539160"/>
      <w:r>
        <w:rPr>
          <w:rFonts w:hint="eastAsia" w:ascii="宋体" w:hAnsi="宋体" w:eastAsia="宋体" w:cs="宋体"/>
          <w:color w:val="auto"/>
          <w:highlight w:val="none"/>
        </w:rPr>
        <w:t>12.1 合</w:t>
      </w:r>
      <w:bookmarkEnd w:id="820"/>
      <w:bookmarkEnd w:id="821"/>
      <w:bookmarkEnd w:id="822"/>
      <w:r>
        <w:rPr>
          <w:rFonts w:hint="eastAsia" w:ascii="宋体" w:hAnsi="宋体" w:eastAsia="宋体" w:cs="宋体"/>
          <w:color w:val="auto"/>
          <w:highlight w:val="none"/>
        </w:rPr>
        <w:t>同价</w:t>
      </w:r>
      <w:bookmarkEnd w:id="823"/>
      <w:bookmarkEnd w:id="824"/>
      <w:bookmarkEnd w:id="825"/>
      <w:bookmarkEnd w:id="826"/>
      <w:bookmarkEnd w:id="827"/>
      <w:bookmarkEnd w:id="828"/>
      <w:bookmarkEnd w:id="829"/>
      <w:bookmarkEnd w:id="830"/>
      <w:r>
        <w:rPr>
          <w:rFonts w:hint="eastAsia" w:ascii="宋体" w:hAnsi="宋体" w:eastAsia="宋体" w:cs="宋体"/>
          <w:color w:val="auto"/>
          <w:highlight w:val="none"/>
        </w:rPr>
        <w:t>格形式</w:t>
      </w:r>
      <w:bookmarkEnd w:id="831"/>
      <w:bookmarkEnd w:id="832"/>
      <w:bookmarkEnd w:id="833"/>
      <w:bookmarkEnd w:id="834"/>
      <w:bookmarkEnd w:id="835"/>
    </w:p>
    <w:bookmarkEnd w:id="836"/>
    <w:bookmarkEnd w:id="837"/>
    <w:bookmarkEnd w:id="838"/>
    <w:bookmarkEnd w:id="839"/>
    <w:bookmarkEnd w:id="840"/>
    <w:bookmarkEnd w:id="841"/>
    <w:p w14:paraId="4196FFA5">
      <w:pPr>
        <w:spacing w:line="360" w:lineRule="auto"/>
        <w:ind w:firstLine="420" w:firstLineChars="200"/>
        <w:jc w:val="left"/>
        <w:rPr>
          <w:rFonts w:hint="eastAsia" w:ascii="宋体" w:hAnsi="宋体" w:eastAsia="宋体" w:cs="宋体"/>
          <w:color w:val="auto"/>
          <w:highlight w:val="none"/>
        </w:rPr>
      </w:pPr>
      <w:bookmarkStart w:id="842" w:name="_Toc373478397"/>
      <w:bookmarkStart w:id="843" w:name="_Toc389065315"/>
      <w:bookmarkStart w:id="844" w:name="_Toc373227750"/>
      <w:bookmarkStart w:id="845" w:name="_Toc303539161"/>
      <w:bookmarkStart w:id="846" w:name="_Toc297123554"/>
      <w:bookmarkStart w:id="847" w:name="_Toc304295581"/>
      <w:bookmarkStart w:id="848" w:name="_Toc300935004"/>
      <w:bookmarkStart w:id="849" w:name="_Toc297216213"/>
      <w:bookmarkStart w:id="850" w:name="_Toc312678042"/>
      <w:bookmarkStart w:id="851" w:name="_Toc296347206"/>
      <w:bookmarkStart w:id="852" w:name="_Toc297048393"/>
      <w:bookmarkStart w:id="853" w:name="_Toc297120507"/>
      <w:bookmarkStart w:id="854" w:name="_Toc292559917"/>
      <w:bookmarkStart w:id="855" w:name="_Toc296503207"/>
      <w:bookmarkStart w:id="856" w:name="_Toc296346708"/>
      <w:bookmarkStart w:id="857" w:name="_Toc296944546"/>
      <w:bookmarkStart w:id="858" w:name="_Toc296891247"/>
      <w:bookmarkStart w:id="859" w:name="_Toc296891035"/>
      <w:bookmarkStart w:id="860" w:name="_Toc292559412"/>
      <w:r>
        <w:rPr>
          <w:rFonts w:hint="eastAsia" w:ascii="宋体" w:hAnsi="宋体" w:eastAsia="宋体" w:cs="宋体"/>
          <w:color w:val="auto"/>
          <w:highlight w:val="none"/>
        </w:rPr>
        <w:t>本工程采用</w:t>
      </w:r>
      <w:r>
        <w:rPr>
          <w:rFonts w:hint="eastAsia" w:ascii="宋体" w:hAnsi="宋体" w:eastAsia="宋体" w:cs="宋体"/>
          <w:color w:val="auto"/>
          <w:highlight w:val="none"/>
          <w:u w:val="single"/>
        </w:rPr>
        <w:t xml:space="preserve">  综合单价固定 </w:t>
      </w:r>
      <w:r>
        <w:rPr>
          <w:rFonts w:hint="eastAsia" w:ascii="宋体" w:hAnsi="宋体" w:eastAsia="宋体" w:cs="宋体"/>
          <w:color w:val="auto"/>
          <w:highlight w:val="none"/>
        </w:rPr>
        <w:t>合同价格形式。</w:t>
      </w:r>
    </w:p>
    <w:p w14:paraId="1D7D562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（1）单价合同。</w:t>
      </w:r>
    </w:p>
    <w:p w14:paraId="13A201C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本合同价款采用固定综合单价方式确定，工程量按实际结算。</w:t>
      </w:r>
    </w:p>
    <w:p w14:paraId="680FC98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综合单价包含的风险范围：</w:t>
      </w:r>
      <w:r>
        <w:rPr>
          <w:rFonts w:hint="eastAsia" w:ascii="宋体" w:hAnsi="宋体" w:eastAsia="宋体" w:cs="宋体"/>
          <w:color w:val="auto"/>
          <w:highlight w:val="none"/>
          <w:u w:val="single"/>
        </w:rPr>
        <w:t>除工程变更、项目特征不符、工程量清单缺项、工程量偏差、政策性调整、本工程《承包人提供主要材料和设备一览表》中约定的材料和设备价格变动风险以外的其他风险因素。</w:t>
      </w:r>
    </w:p>
    <w:p w14:paraId="4C0D408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p>
    <w:p w14:paraId="6E2DF75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①工程变更：按10.4.1变更估价原则的约定调整。</w:t>
      </w:r>
    </w:p>
    <w:p w14:paraId="3B6844A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②政策性调整：按自治区住房城乡建设行政主管部门颁布的文件执行。</w:t>
      </w:r>
    </w:p>
    <w:p w14:paraId="175B3F4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③材料价格风险：按11.1的约定调整。</w:t>
      </w:r>
    </w:p>
    <w:p w14:paraId="121ADD2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④其它：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4D943E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w:t>
      </w:r>
    </w:p>
    <w:p w14:paraId="6554E17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总价包含的风险范围：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BC4AA5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7CCD89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（3）其他价格方式：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7691AF7">
      <w:pPr>
        <w:pStyle w:val="4"/>
        <w:rPr>
          <w:rFonts w:hint="eastAsia" w:ascii="宋体" w:hAnsi="宋体" w:eastAsia="宋体" w:cs="宋体"/>
          <w:color w:val="auto"/>
          <w:highlight w:val="none"/>
        </w:rPr>
      </w:pPr>
      <w:bookmarkStart w:id="861" w:name="_Toc407135253"/>
      <w:bookmarkStart w:id="862" w:name="_Toc487632750"/>
      <w:r>
        <w:rPr>
          <w:rFonts w:hint="eastAsia" w:ascii="宋体" w:hAnsi="宋体" w:eastAsia="宋体" w:cs="宋体"/>
          <w:color w:val="auto"/>
          <w:highlight w:val="none"/>
        </w:rPr>
        <w:t>12.2 预付款</w:t>
      </w:r>
      <w:bookmarkEnd w:id="842"/>
      <w:bookmarkEnd w:id="843"/>
      <w:bookmarkEnd w:id="844"/>
      <w:bookmarkEnd w:id="861"/>
      <w:bookmarkEnd w:id="862"/>
    </w:p>
    <w:bookmarkEnd w:id="845"/>
    <w:bookmarkEnd w:id="846"/>
    <w:bookmarkEnd w:id="847"/>
    <w:bookmarkEnd w:id="848"/>
    <w:bookmarkEnd w:id="849"/>
    <w:bookmarkEnd w:id="850"/>
    <w:p w14:paraId="1D3D405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12.2.1 预付款的支付</w:t>
      </w:r>
    </w:p>
    <w:p w14:paraId="310F591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预付款支付比例或金额：</w:t>
      </w:r>
      <w:r>
        <w:rPr>
          <w:rFonts w:hint="eastAsia" w:ascii="宋体" w:hAnsi="宋体" w:eastAsia="宋体" w:cs="宋体"/>
          <w:color w:val="auto"/>
          <w:highlight w:val="none"/>
          <w:u w:val="single"/>
        </w:rPr>
        <w:t xml:space="preserve">  </w:t>
      </w:r>
      <w:r>
        <w:rPr>
          <w:rFonts w:hint="eastAsia" w:ascii="宋体" w:hAnsi="宋体" w:cs="宋体"/>
          <w:color w:val="auto"/>
          <w:szCs w:val="21"/>
          <w:highlight w:val="none"/>
          <w:u w:val="single"/>
          <w:lang w:val="en-US" w:eastAsia="zh-CN"/>
        </w:rPr>
        <w:t>无预</w:t>
      </w:r>
      <w:r>
        <w:rPr>
          <w:rFonts w:hint="eastAsia" w:ascii="宋体" w:hAnsi="宋体" w:eastAsia="宋体" w:cs="宋体"/>
          <w:color w:val="auto"/>
          <w:szCs w:val="21"/>
          <w:highlight w:val="none"/>
          <w:u w:val="single"/>
        </w:rPr>
        <w:t>付款</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42E958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EED1CE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预付款扣回的方式：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8F78CB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12.2.2 预付款担保</w:t>
      </w:r>
    </w:p>
    <w:p w14:paraId="39010AA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承包人提交预付款担保的期限：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3BDAE6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预付款担保的形式为：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5449A2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预付款担保格式见合同附件7。</w:t>
      </w:r>
    </w:p>
    <w:bookmarkEnd w:id="851"/>
    <w:bookmarkEnd w:id="852"/>
    <w:bookmarkEnd w:id="853"/>
    <w:bookmarkEnd w:id="854"/>
    <w:bookmarkEnd w:id="855"/>
    <w:bookmarkEnd w:id="856"/>
    <w:bookmarkEnd w:id="857"/>
    <w:bookmarkEnd w:id="858"/>
    <w:bookmarkEnd w:id="859"/>
    <w:bookmarkEnd w:id="860"/>
    <w:p w14:paraId="18662770">
      <w:pPr>
        <w:pStyle w:val="4"/>
        <w:rPr>
          <w:rFonts w:hint="eastAsia" w:ascii="宋体" w:hAnsi="宋体" w:eastAsia="宋体" w:cs="宋体"/>
          <w:color w:val="auto"/>
          <w:highlight w:val="none"/>
        </w:rPr>
      </w:pPr>
      <w:bookmarkStart w:id="863" w:name="_Toc373227751"/>
      <w:bookmarkStart w:id="864" w:name="_Toc373478398"/>
      <w:bookmarkStart w:id="865" w:name="_Toc407135254"/>
      <w:bookmarkStart w:id="866" w:name="_Toc487632751"/>
      <w:bookmarkStart w:id="867" w:name="_Toc389065316"/>
      <w:r>
        <w:rPr>
          <w:rFonts w:hint="eastAsia" w:ascii="宋体" w:hAnsi="宋体" w:eastAsia="宋体" w:cs="宋体"/>
          <w:color w:val="auto"/>
          <w:highlight w:val="none"/>
        </w:rPr>
        <w:t>12.3 计量</w:t>
      </w:r>
      <w:bookmarkEnd w:id="863"/>
      <w:bookmarkEnd w:id="864"/>
      <w:bookmarkEnd w:id="865"/>
      <w:bookmarkEnd w:id="866"/>
      <w:bookmarkEnd w:id="867"/>
    </w:p>
    <w:p w14:paraId="761BE80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12.3.1 计量原则</w:t>
      </w:r>
    </w:p>
    <w:p w14:paraId="042D1B7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工程量计算规则：</w:t>
      </w:r>
      <w:r>
        <w:rPr>
          <w:rFonts w:hint="eastAsia" w:ascii="宋体" w:hAnsi="宋体" w:eastAsia="宋体" w:cs="宋体"/>
          <w:color w:val="auto"/>
          <w:highlight w:val="none"/>
          <w:u w:val="single"/>
        </w:rPr>
        <w:t>工程的计量均以《建设工程工程量清单计价规范》（GB50500－2013）和及其广西壮族自治区实施细则、《建设工程工程量清单计算规范》（GB50854~50862－2013）及其广西实施细则、</w:t>
      </w:r>
      <w:r>
        <w:rPr>
          <w:rFonts w:hint="eastAsia" w:ascii="宋体" w:hAnsi="宋体" w:cs="宋体"/>
          <w:color w:val="auto"/>
          <w:highlight w:val="none"/>
          <w:u w:val="single"/>
          <w:lang w:eastAsia="zh-CN"/>
        </w:rPr>
        <w:t>以及涉及到</w:t>
      </w:r>
      <w:r>
        <w:rPr>
          <w:rFonts w:hint="eastAsia" w:ascii="宋体" w:hAnsi="宋体" w:eastAsia="宋体" w:cs="宋体"/>
          <w:color w:val="auto"/>
          <w:highlight w:val="none"/>
          <w:u w:val="single"/>
        </w:rPr>
        <w:t>本工程补充项目清单为准。</w:t>
      </w:r>
    </w:p>
    <w:p w14:paraId="64E179E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12.3.2 计量周期</w:t>
      </w:r>
    </w:p>
    <w:p w14:paraId="08BBE94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关于计量周期的约定：</w:t>
      </w:r>
      <w:r>
        <w:rPr>
          <w:rFonts w:hint="eastAsia" w:ascii="宋体" w:hAnsi="宋体" w:eastAsia="宋体" w:cs="宋体"/>
          <w:color w:val="auto"/>
          <w:highlight w:val="none"/>
          <w:u w:val="single"/>
        </w:rPr>
        <w:t>每月25日前</w:t>
      </w:r>
      <w:r>
        <w:rPr>
          <w:rFonts w:hint="eastAsia" w:ascii="宋体" w:hAnsi="宋体" w:eastAsia="宋体" w:cs="宋体"/>
          <w:color w:val="auto"/>
          <w:highlight w:val="none"/>
        </w:rPr>
        <w:t>。</w:t>
      </w:r>
    </w:p>
    <w:p w14:paraId="453FB9A7">
      <w:pPr>
        <w:spacing w:line="360" w:lineRule="auto"/>
        <w:ind w:firstLine="420" w:firstLineChars="200"/>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12.3.3 单价合同的计量</w:t>
      </w:r>
    </w:p>
    <w:p w14:paraId="45693FE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关于单价合同计量的约定：</w:t>
      </w:r>
    </w:p>
    <w:p w14:paraId="0A565D33">
      <w:pPr>
        <w:spacing w:line="360" w:lineRule="auto"/>
        <w:ind w:firstLine="441" w:firstLineChars="210"/>
        <w:rPr>
          <w:rFonts w:hint="eastAsia" w:ascii="宋体" w:hAnsi="宋体" w:eastAsia="宋体" w:cs="宋体"/>
          <w:color w:val="auto"/>
          <w:highlight w:val="none"/>
        </w:rPr>
      </w:pPr>
      <w:r>
        <w:rPr>
          <w:rFonts w:hint="eastAsia" w:ascii="宋体" w:hAnsi="宋体" w:eastAsia="宋体" w:cs="宋体"/>
          <w:color w:val="auto"/>
          <w:highlight w:val="none"/>
        </w:rPr>
        <w:t>(1) 工程量清单所列的工程量，不能作为承包人按合同履行其责任依据，实际施工中发生的工程量增加或减少并不影响承包人履行合同的责任，工程结算以完成的实际工程量为准。</w:t>
      </w:r>
    </w:p>
    <w:p w14:paraId="692D2DF4">
      <w:pPr>
        <w:spacing w:line="360" w:lineRule="auto"/>
        <w:ind w:firstLine="441" w:firstLineChars="210"/>
        <w:rPr>
          <w:rFonts w:hint="eastAsia" w:ascii="宋体" w:hAnsi="宋体" w:eastAsia="宋体" w:cs="宋体"/>
          <w:color w:val="auto"/>
          <w:highlight w:val="none"/>
        </w:rPr>
      </w:pPr>
      <w:r>
        <w:rPr>
          <w:rFonts w:hint="eastAsia" w:ascii="宋体" w:hAnsi="宋体" w:eastAsia="宋体" w:cs="宋体"/>
          <w:color w:val="auto"/>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7F06090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12.3.4 总价合同的计量</w:t>
      </w:r>
    </w:p>
    <w:p w14:paraId="4FC43BA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关于总价合同计量的约定：除工程变更外，原图纸范围内的工程量不得按实计量。进度款按支付分解表支付，按通用条款第</w:t>
      </w:r>
      <w:r>
        <w:rPr>
          <w:rFonts w:hint="eastAsia" w:ascii="宋体" w:hAnsi="宋体" w:eastAsia="宋体" w:cs="宋体"/>
          <w:color w:val="auto"/>
          <w:kern w:val="0"/>
          <w:highlight w:val="none"/>
        </w:rPr>
        <w:t>12.3.4</w:t>
      </w:r>
      <w:r>
        <w:rPr>
          <w:rFonts w:hint="eastAsia" w:ascii="宋体" w:hAnsi="宋体" w:eastAsia="宋体" w:cs="宋体"/>
          <w:color w:val="auto"/>
          <w:highlight w:val="none"/>
        </w:rPr>
        <w:t>项</w:t>
      </w:r>
      <w:r>
        <w:rPr>
          <w:rFonts w:hint="eastAsia" w:ascii="宋体" w:hAnsi="宋体" w:eastAsia="宋体" w:cs="宋体"/>
          <w:color w:val="auto"/>
          <w:kern w:val="0"/>
          <w:highlight w:val="none"/>
        </w:rPr>
        <w:t>〔总价合同的计量〕</w:t>
      </w:r>
      <w:r>
        <w:rPr>
          <w:rFonts w:hint="eastAsia" w:ascii="宋体" w:hAnsi="宋体" w:eastAsia="宋体" w:cs="宋体"/>
          <w:color w:val="auto"/>
          <w:highlight w:val="none"/>
        </w:rPr>
        <w:t>约定进行计量，但</w:t>
      </w:r>
      <w:r>
        <w:rPr>
          <w:rFonts w:hint="eastAsia" w:ascii="宋体" w:hAnsi="宋体" w:eastAsia="宋体" w:cs="宋体"/>
          <w:color w:val="auto"/>
          <w:kern w:val="0"/>
          <w:highlight w:val="none"/>
        </w:rPr>
        <w:t>合同价款按照支付分解表进行支付。</w:t>
      </w:r>
    </w:p>
    <w:p w14:paraId="4B5C4BB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12.3.5 其他价格形式合同的计量</w:t>
      </w:r>
    </w:p>
    <w:p w14:paraId="0FC0FB0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其他价格形式的计量方式和程序：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8659639">
      <w:pPr>
        <w:pStyle w:val="4"/>
        <w:rPr>
          <w:rFonts w:hint="eastAsia" w:ascii="宋体" w:hAnsi="宋体" w:eastAsia="宋体" w:cs="宋体"/>
          <w:color w:val="auto"/>
          <w:highlight w:val="none"/>
        </w:rPr>
      </w:pPr>
      <w:bookmarkStart w:id="868" w:name="_Toc373478399"/>
      <w:bookmarkStart w:id="869" w:name="_Toc389065317"/>
      <w:bookmarkStart w:id="870" w:name="_Toc487632752"/>
      <w:bookmarkStart w:id="871" w:name="_Toc373227752"/>
      <w:bookmarkStart w:id="872" w:name="_Toc407135255"/>
      <w:r>
        <w:rPr>
          <w:rFonts w:hint="eastAsia" w:ascii="宋体" w:hAnsi="宋体" w:eastAsia="宋体" w:cs="宋体"/>
          <w:color w:val="auto"/>
          <w:highlight w:val="none"/>
        </w:rPr>
        <w:t>12.4 工程进度款支付</w:t>
      </w:r>
      <w:bookmarkEnd w:id="868"/>
      <w:bookmarkEnd w:id="869"/>
      <w:bookmarkEnd w:id="870"/>
      <w:bookmarkEnd w:id="871"/>
      <w:bookmarkEnd w:id="872"/>
    </w:p>
    <w:p w14:paraId="7926BE3F">
      <w:pPr>
        <w:spacing w:line="360" w:lineRule="auto"/>
        <w:ind w:firstLine="420" w:firstLineChars="200"/>
        <w:jc w:val="left"/>
        <w:rPr>
          <w:rFonts w:hint="eastAsia" w:ascii="宋体" w:hAnsi="宋体" w:eastAsia="宋体" w:cs="宋体"/>
          <w:color w:val="auto"/>
          <w:highlight w:val="none"/>
        </w:rPr>
      </w:pPr>
      <w:bookmarkStart w:id="873" w:name="_Toc296891039"/>
      <w:bookmarkStart w:id="874" w:name="_Toc300935006"/>
      <w:bookmarkStart w:id="875" w:name="_Toc296891251"/>
      <w:bookmarkStart w:id="876" w:name="_Toc297048397"/>
      <w:bookmarkStart w:id="877" w:name="_Toc296347210"/>
      <w:bookmarkStart w:id="878" w:name="_Toc292559921"/>
      <w:bookmarkStart w:id="879" w:name="_Toc297216215"/>
      <w:bookmarkStart w:id="880" w:name="_Toc296503211"/>
      <w:bookmarkStart w:id="881" w:name="_Toc296944550"/>
      <w:bookmarkStart w:id="882" w:name="_Toc297120511"/>
      <w:bookmarkStart w:id="883" w:name="_Toc296346712"/>
      <w:bookmarkStart w:id="884" w:name="_Toc297123556"/>
      <w:bookmarkStart w:id="885" w:name="_Toc303539163"/>
      <w:bookmarkStart w:id="886" w:name="_Toc292559416"/>
      <w:r>
        <w:rPr>
          <w:rFonts w:hint="eastAsia" w:ascii="宋体" w:hAnsi="宋体" w:eastAsia="宋体" w:cs="宋体"/>
          <w:color w:val="auto"/>
          <w:highlight w:val="none"/>
        </w:rPr>
        <w:t>12.4.1 付款周期</w:t>
      </w:r>
    </w:p>
    <w:p w14:paraId="00730A9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关于付款周期的约定：</w:t>
      </w:r>
      <w:r>
        <w:rPr>
          <w:rFonts w:hint="eastAsia" w:ascii="宋体" w:hAnsi="宋体" w:eastAsia="宋体" w:cs="宋体"/>
          <w:color w:val="auto"/>
          <w:highlight w:val="none"/>
          <w:u w:val="single"/>
          <w:lang w:val="en-US" w:eastAsia="zh-CN"/>
        </w:rPr>
        <w:t>工程款原则上按月支付，完成合同约定所有工程量后支付至合同总价的80%工程款；工程竣工验收合格后，支付至合同总价的90%工程款，工程变更部分进度款支付限额为已完成工程量的（80%）；工程完工验收达到质量要求，结算经相关审计部门审定后，工程款支付至结算总价的97%（不得低于97%）；发包人按工程价款结算总额的3%（最高不超过3%）预留工程质量保修金（可由承包人以银行保函替代预留保证金），待工程质量缺陷责任期满后返还</w:t>
      </w:r>
      <w:r>
        <w:rPr>
          <w:rFonts w:hint="eastAsia" w:ascii="宋体" w:hAnsi="宋体" w:eastAsia="宋体" w:cs="宋体"/>
          <w:color w:val="auto"/>
          <w:highlight w:val="none"/>
          <w:u w:val="single"/>
        </w:rPr>
        <w:t>。</w:t>
      </w:r>
    </w:p>
    <w:bookmarkEnd w:id="651"/>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6FCC8535">
      <w:pPr>
        <w:spacing w:line="360" w:lineRule="auto"/>
        <w:ind w:firstLine="420" w:firstLineChars="200"/>
        <w:jc w:val="left"/>
        <w:rPr>
          <w:rFonts w:hint="eastAsia" w:ascii="宋体" w:hAnsi="宋体" w:eastAsia="宋体" w:cs="宋体"/>
          <w:color w:val="auto"/>
          <w:highlight w:val="none"/>
        </w:rPr>
      </w:pPr>
      <w:bookmarkStart w:id="887" w:name="_Toc487632753"/>
      <w:bookmarkStart w:id="888" w:name="_Toc373227753"/>
      <w:bookmarkStart w:id="889" w:name="_Toc351203645"/>
      <w:bookmarkStart w:id="890" w:name="_Toc389065318"/>
      <w:bookmarkStart w:id="891" w:name="_Toc373478400"/>
      <w:bookmarkStart w:id="892" w:name="_Toc407135256"/>
      <w:bookmarkStart w:id="893" w:name="_Toc303539172"/>
      <w:bookmarkStart w:id="894" w:name="_Toc296944558"/>
      <w:bookmarkStart w:id="895" w:name="_Toc297123564"/>
      <w:bookmarkStart w:id="896" w:name="_Toc296891259"/>
      <w:bookmarkStart w:id="897" w:name="_Toc292559929"/>
      <w:bookmarkStart w:id="898" w:name="_Toc296346720"/>
      <w:bookmarkStart w:id="899" w:name="_Toc304295593"/>
      <w:bookmarkStart w:id="900" w:name="_Toc312678053"/>
      <w:bookmarkStart w:id="901" w:name="_Toc297216223"/>
      <w:bookmarkStart w:id="902" w:name="_Toc296503219"/>
      <w:bookmarkStart w:id="903" w:name="_Toc296347218"/>
      <w:bookmarkStart w:id="904" w:name="_Toc296891047"/>
      <w:bookmarkStart w:id="905" w:name="_Toc297120519"/>
      <w:bookmarkStart w:id="906" w:name="_Toc297048405"/>
      <w:bookmarkStart w:id="907" w:name="_Toc300935015"/>
      <w:bookmarkStart w:id="908" w:name="_Toc292559424"/>
      <w:r>
        <w:rPr>
          <w:rFonts w:hint="eastAsia" w:ascii="宋体" w:hAnsi="宋体" w:eastAsia="宋体" w:cs="宋体"/>
          <w:color w:val="auto"/>
          <w:highlight w:val="none"/>
        </w:rPr>
        <w:t>12.4.2 进度付款申请单的编制</w:t>
      </w:r>
    </w:p>
    <w:p w14:paraId="2EE73C49">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关于进度付款申请单编制的约定：</w:t>
      </w:r>
      <w:r>
        <w:rPr>
          <w:rFonts w:hint="eastAsia" w:ascii="宋体" w:hAnsi="宋体" w:eastAsia="宋体" w:cs="宋体"/>
          <w:color w:val="auto"/>
          <w:highlight w:val="none"/>
          <w:u w:val="single"/>
        </w:rPr>
        <w:t xml:space="preserve">    按通用条款执行        </w:t>
      </w:r>
      <w:r>
        <w:rPr>
          <w:rFonts w:hint="eastAsia" w:ascii="宋体" w:hAnsi="宋体" w:eastAsia="宋体" w:cs="宋体"/>
          <w:color w:val="auto"/>
          <w:highlight w:val="none"/>
        </w:rPr>
        <w:t>。</w:t>
      </w:r>
    </w:p>
    <w:p w14:paraId="54D88CB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12.4.3 进度付款申请单的提交</w:t>
      </w:r>
    </w:p>
    <w:p w14:paraId="6BAFDB2C">
      <w:pPr>
        <w:spacing w:line="360" w:lineRule="auto"/>
        <w:ind w:firstLine="420" w:firstLineChars="200"/>
        <w:jc w:val="left"/>
        <w:rPr>
          <w:rFonts w:hint="eastAsia" w:ascii="宋体" w:hAnsi="宋体" w:eastAsia="宋体" w:cs="宋体"/>
          <w:b/>
          <w:bCs/>
          <w:color w:val="auto"/>
          <w:highlight w:val="none"/>
          <w:u w:val="single"/>
        </w:rPr>
      </w:pPr>
      <w:r>
        <w:rPr>
          <w:rFonts w:hint="eastAsia" w:ascii="宋体" w:hAnsi="宋体" w:eastAsia="宋体" w:cs="宋体"/>
          <w:color w:val="auto"/>
          <w:highlight w:val="none"/>
        </w:rPr>
        <w:t>（1）单价合同进度付款申请单提交的约定：</w:t>
      </w:r>
      <w:r>
        <w:rPr>
          <w:rFonts w:hint="eastAsia" w:ascii="宋体" w:hAnsi="宋体" w:eastAsia="宋体" w:cs="宋体"/>
          <w:color w:val="auto"/>
          <w:highlight w:val="none"/>
          <w:u w:val="single"/>
        </w:rPr>
        <w:t xml:space="preserve">按通用条款执行  </w:t>
      </w:r>
      <w:r>
        <w:rPr>
          <w:rFonts w:hint="eastAsia" w:ascii="宋体" w:hAnsi="宋体" w:eastAsia="宋体" w:cs="宋体"/>
          <w:color w:val="auto"/>
          <w:highlight w:val="none"/>
        </w:rPr>
        <w:t>。</w:t>
      </w:r>
    </w:p>
    <w:p w14:paraId="647722A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（2）总价合同进度付款申请单提交的约定：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55758D4">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（3）其他价格形式合同进度付款申请单提交的约定：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FB549A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12.4.4 进度款审核和支付</w:t>
      </w:r>
    </w:p>
    <w:p w14:paraId="52B6AAC5">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（1）监理人审查并报送发包人的期限：</w:t>
      </w:r>
      <w:r>
        <w:rPr>
          <w:rFonts w:hint="eastAsia" w:ascii="宋体" w:hAnsi="宋体" w:eastAsia="宋体" w:cs="宋体"/>
          <w:color w:val="auto"/>
          <w:highlight w:val="none"/>
          <w:u w:val="single"/>
        </w:rPr>
        <w:t xml:space="preserve">  收到申请单后7天内</w:t>
      </w:r>
      <w:r>
        <w:rPr>
          <w:rFonts w:hint="eastAsia" w:ascii="宋体" w:hAnsi="宋体" w:eastAsia="宋体" w:cs="宋体"/>
          <w:color w:val="auto"/>
          <w:highlight w:val="none"/>
        </w:rPr>
        <w:t>。</w:t>
      </w:r>
    </w:p>
    <w:p w14:paraId="0EBBC2C1">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发包人完成审批并签发进度款支付证书的期限：</w:t>
      </w:r>
      <w:r>
        <w:rPr>
          <w:rFonts w:hint="eastAsia" w:ascii="宋体" w:hAnsi="宋体" w:eastAsia="宋体" w:cs="宋体"/>
          <w:color w:val="auto"/>
          <w:highlight w:val="none"/>
          <w:u w:val="single"/>
        </w:rPr>
        <w:t xml:space="preserve">收到监理人的审核单后10天内审批完毕呈职能部门审定。收到部门的审定意见书后10天内签发进度款支付证书  </w:t>
      </w:r>
      <w:r>
        <w:rPr>
          <w:rFonts w:hint="eastAsia" w:ascii="宋体" w:hAnsi="宋体" w:eastAsia="宋体" w:cs="宋体"/>
          <w:color w:val="auto"/>
          <w:highlight w:val="none"/>
        </w:rPr>
        <w:t>。</w:t>
      </w:r>
    </w:p>
    <w:p w14:paraId="61E936A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（2）发包人支付进度款的期限：</w:t>
      </w:r>
      <w:r>
        <w:rPr>
          <w:rFonts w:hint="eastAsia" w:ascii="宋体" w:hAnsi="宋体" w:eastAsia="宋体" w:cs="宋体"/>
          <w:color w:val="auto"/>
          <w:highlight w:val="none"/>
          <w:u w:val="single"/>
        </w:rPr>
        <w:t xml:space="preserve">承包人提交发票后7天内   </w:t>
      </w:r>
      <w:r>
        <w:rPr>
          <w:rFonts w:hint="eastAsia" w:ascii="宋体" w:hAnsi="宋体" w:eastAsia="宋体" w:cs="宋体"/>
          <w:color w:val="auto"/>
          <w:highlight w:val="none"/>
        </w:rPr>
        <w:t>。</w:t>
      </w:r>
    </w:p>
    <w:p w14:paraId="528034D0">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发包人逾期支付进度款的违约金的计算方式：</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04881A10">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进度款支付方式：</w:t>
      </w:r>
      <w:r>
        <w:rPr>
          <w:rFonts w:hint="eastAsia" w:ascii="宋体" w:hAnsi="宋体" w:eastAsia="宋体" w:cs="宋体"/>
          <w:color w:val="auto"/>
          <w:highlight w:val="none"/>
          <w:u w:val="single"/>
        </w:rPr>
        <w:t>银行转账</w:t>
      </w:r>
      <w:r>
        <w:rPr>
          <w:rFonts w:hint="eastAsia" w:ascii="宋体" w:hAnsi="宋体" w:eastAsia="宋体" w:cs="宋体"/>
          <w:color w:val="auto"/>
          <w:highlight w:val="none"/>
        </w:rPr>
        <w:t>。</w:t>
      </w:r>
    </w:p>
    <w:p w14:paraId="5F7314D4">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12.4.5 支付分解表的编制</w:t>
      </w:r>
    </w:p>
    <w:p w14:paraId="37B319B3">
      <w:pPr>
        <w:spacing w:line="360" w:lineRule="auto"/>
        <w:ind w:firstLine="525" w:firstLineChars="250"/>
        <w:jc w:val="left"/>
        <w:rPr>
          <w:rFonts w:hint="eastAsia" w:ascii="宋体" w:hAnsi="宋体" w:eastAsia="宋体" w:cs="宋体"/>
          <w:color w:val="auto"/>
          <w:highlight w:val="none"/>
          <w:u w:val="single"/>
        </w:rPr>
      </w:pPr>
      <w:r>
        <w:rPr>
          <w:rFonts w:hint="eastAsia" w:ascii="宋体" w:hAnsi="宋体" w:eastAsia="宋体" w:cs="宋体"/>
          <w:color w:val="auto"/>
          <w:highlight w:val="none"/>
        </w:rPr>
        <w:t>1. 总价合同支付分解表的编制与审批：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489C6F6">
      <w:pPr>
        <w:spacing w:line="360" w:lineRule="auto"/>
        <w:ind w:firstLine="525" w:firstLineChars="250"/>
        <w:jc w:val="left"/>
        <w:rPr>
          <w:rFonts w:hint="eastAsia" w:ascii="宋体" w:hAnsi="宋体" w:eastAsia="宋体" w:cs="宋体"/>
          <w:color w:val="auto"/>
          <w:highlight w:val="none"/>
          <w:u w:val="single"/>
        </w:rPr>
      </w:pPr>
      <w:r>
        <w:rPr>
          <w:rFonts w:hint="eastAsia" w:ascii="宋体" w:hAnsi="宋体" w:eastAsia="宋体" w:cs="宋体"/>
          <w:color w:val="auto"/>
          <w:highlight w:val="none"/>
        </w:rPr>
        <w:t>2. 单价合同的总价项目支付分解表的编制与审批：总价项目不采用支付分解表的方式计算，而按《建设工程工程量清单计价规范（GB50500-2013）广西壮族自治区实施细则》的规定执行。</w:t>
      </w:r>
    </w:p>
    <w:p w14:paraId="71F8AF63">
      <w:pPr>
        <w:pStyle w:val="3"/>
        <w:rPr>
          <w:rFonts w:hint="eastAsia" w:ascii="宋体" w:hAnsi="宋体" w:eastAsia="宋体" w:cs="宋体"/>
          <w:color w:val="auto"/>
          <w:highlight w:val="none"/>
        </w:rPr>
      </w:pPr>
      <w:r>
        <w:rPr>
          <w:rFonts w:hint="eastAsia" w:ascii="宋体" w:hAnsi="宋体" w:eastAsia="宋体" w:cs="宋体"/>
          <w:color w:val="auto"/>
          <w:highlight w:val="none"/>
        </w:rPr>
        <w:t>13. 验收和工程试车</w:t>
      </w:r>
      <w:bookmarkEnd w:id="887"/>
      <w:bookmarkEnd w:id="888"/>
      <w:bookmarkEnd w:id="889"/>
      <w:bookmarkEnd w:id="890"/>
      <w:bookmarkEnd w:id="891"/>
      <w:bookmarkEnd w:id="892"/>
    </w:p>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14:paraId="6EE180A1">
      <w:pPr>
        <w:pStyle w:val="4"/>
        <w:rPr>
          <w:rFonts w:hint="eastAsia" w:ascii="宋体" w:hAnsi="宋体" w:eastAsia="宋体" w:cs="宋体"/>
          <w:color w:val="auto"/>
          <w:highlight w:val="none"/>
        </w:rPr>
      </w:pPr>
      <w:bookmarkStart w:id="909" w:name="_Toc389065319"/>
      <w:bookmarkStart w:id="910" w:name="_Toc373478401"/>
      <w:bookmarkStart w:id="911" w:name="_Toc407135257"/>
      <w:bookmarkStart w:id="912" w:name="_Toc487632754"/>
      <w:bookmarkStart w:id="913" w:name="_Toc373227754"/>
      <w:r>
        <w:rPr>
          <w:rFonts w:hint="eastAsia" w:ascii="宋体" w:hAnsi="宋体" w:eastAsia="宋体" w:cs="宋体"/>
          <w:color w:val="auto"/>
          <w:highlight w:val="none"/>
        </w:rPr>
        <w:t>13.1 分部分项工程验收</w:t>
      </w:r>
      <w:bookmarkEnd w:id="909"/>
      <w:bookmarkEnd w:id="910"/>
      <w:bookmarkEnd w:id="911"/>
      <w:bookmarkEnd w:id="912"/>
      <w:bookmarkEnd w:id="913"/>
    </w:p>
    <w:p w14:paraId="5E446A7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13.1.1监理人不能按时进行验收时，应提前</w:t>
      </w:r>
      <w:r>
        <w:rPr>
          <w:rFonts w:hint="eastAsia" w:ascii="宋体" w:hAnsi="宋体" w:eastAsia="宋体" w:cs="宋体"/>
          <w:color w:val="auto"/>
          <w:highlight w:val="none"/>
          <w:u w:val="single"/>
        </w:rPr>
        <w:t xml:space="preserve">  48   </w:t>
      </w:r>
      <w:r>
        <w:rPr>
          <w:rFonts w:hint="eastAsia" w:ascii="宋体" w:hAnsi="宋体" w:eastAsia="宋体" w:cs="宋体"/>
          <w:color w:val="auto"/>
          <w:highlight w:val="none"/>
        </w:rPr>
        <w:t>小时提交书面延期要求。</w:t>
      </w:r>
    </w:p>
    <w:p w14:paraId="7FFC8C6F">
      <w:pPr>
        <w:spacing w:line="360" w:lineRule="auto"/>
        <w:ind w:firstLine="420" w:firstLineChars="200"/>
        <w:jc w:val="left"/>
        <w:rPr>
          <w:rFonts w:hint="eastAsia" w:ascii="宋体" w:hAnsi="宋体" w:eastAsia="宋体" w:cs="宋体"/>
          <w:b/>
          <w:bCs/>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48   </w:t>
      </w:r>
      <w:r>
        <w:rPr>
          <w:rFonts w:hint="eastAsia" w:ascii="宋体" w:hAnsi="宋体" w:eastAsia="宋体" w:cs="宋体"/>
          <w:color w:val="auto"/>
          <w:highlight w:val="none"/>
        </w:rPr>
        <w:t>小时。</w:t>
      </w:r>
    </w:p>
    <w:p w14:paraId="0C531B25">
      <w:pPr>
        <w:pStyle w:val="4"/>
        <w:rPr>
          <w:rFonts w:hint="eastAsia" w:ascii="宋体" w:hAnsi="宋体" w:eastAsia="宋体" w:cs="宋体"/>
          <w:color w:val="auto"/>
          <w:highlight w:val="none"/>
        </w:rPr>
      </w:pPr>
      <w:bookmarkStart w:id="914" w:name="_Toc487632755"/>
      <w:bookmarkStart w:id="915" w:name="_Toc373227755"/>
      <w:bookmarkStart w:id="916" w:name="_Toc407135258"/>
      <w:bookmarkStart w:id="917" w:name="_Toc389065320"/>
      <w:bookmarkStart w:id="918" w:name="_Toc373478402"/>
      <w:bookmarkStart w:id="919" w:name="_Toc297216224"/>
      <w:bookmarkStart w:id="920" w:name="_Toc297120523"/>
      <w:bookmarkStart w:id="921" w:name="_Toc296503223"/>
      <w:bookmarkStart w:id="922" w:name="_Toc300935016"/>
      <w:bookmarkStart w:id="923" w:name="_Toc296891051"/>
      <w:bookmarkStart w:id="924" w:name="_Toc304295596"/>
      <w:bookmarkStart w:id="925" w:name="_Toc312678056"/>
      <w:bookmarkStart w:id="926" w:name="_Toc303539173"/>
      <w:bookmarkStart w:id="927" w:name="_Toc292559933"/>
      <w:bookmarkStart w:id="928" w:name="_Toc296347222"/>
      <w:bookmarkStart w:id="929" w:name="_Toc297048409"/>
      <w:bookmarkStart w:id="930" w:name="_Toc297123565"/>
      <w:bookmarkStart w:id="931" w:name="_Toc296944562"/>
      <w:bookmarkStart w:id="932" w:name="_Toc296346724"/>
      <w:bookmarkStart w:id="933" w:name="_Toc296891263"/>
      <w:bookmarkStart w:id="934" w:name="_Toc292559428"/>
      <w:bookmarkStart w:id="935" w:name="_Toc267251473"/>
      <w:bookmarkStart w:id="936" w:name="_Toc267251472"/>
      <w:bookmarkStart w:id="937" w:name="_Toc267251474"/>
      <w:bookmarkStart w:id="938" w:name="_Toc267251471"/>
      <w:bookmarkStart w:id="939" w:name="_Toc267251470"/>
      <w:bookmarkStart w:id="940" w:name="_Toc267251476"/>
      <w:bookmarkStart w:id="941" w:name="_Toc267251475"/>
      <w:r>
        <w:rPr>
          <w:rFonts w:hint="eastAsia" w:ascii="宋体" w:hAnsi="宋体" w:eastAsia="宋体" w:cs="宋体"/>
          <w:color w:val="auto"/>
          <w:highlight w:val="none"/>
        </w:rPr>
        <w:t>13.2 竣工验收</w:t>
      </w:r>
      <w:bookmarkEnd w:id="914"/>
      <w:bookmarkEnd w:id="915"/>
      <w:bookmarkEnd w:id="916"/>
      <w:bookmarkEnd w:id="917"/>
      <w:bookmarkEnd w:id="918"/>
    </w:p>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14:paraId="2B50A78F">
      <w:pPr>
        <w:spacing w:line="360" w:lineRule="auto"/>
        <w:ind w:firstLine="420" w:firstLineChars="200"/>
        <w:jc w:val="left"/>
        <w:rPr>
          <w:rFonts w:hint="eastAsia" w:ascii="宋体" w:hAnsi="宋体" w:eastAsia="宋体" w:cs="宋体"/>
          <w:color w:val="auto"/>
          <w:highlight w:val="none"/>
        </w:rPr>
      </w:pPr>
      <w:bookmarkStart w:id="942" w:name="_Toc280868704"/>
      <w:bookmarkStart w:id="943" w:name="_Toc280868705"/>
      <w:bookmarkStart w:id="944" w:name="_Toc280868706"/>
      <w:bookmarkStart w:id="945" w:name="_Toc280868707"/>
      <w:bookmarkStart w:id="946" w:name="_Toc280868708"/>
      <w:bookmarkStart w:id="947" w:name="_Toc280868709"/>
      <w:r>
        <w:rPr>
          <w:rFonts w:hint="eastAsia" w:ascii="宋体" w:hAnsi="宋体" w:eastAsia="宋体" w:cs="宋体"/>
          <w:color w:val="auto"/>
          <w:highlight w:val="none"/>
        </w:rPr>
        <w:t>13.2.1竣工验收条件</w:t>
      </w:r>
    </w:p>
    <w:p w14:paraId="1A5C938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highlight w:val="none"/>
          <w:u w:val="single"/>
        </w:rPr>
        <w:t xml:space="preserve">    按规定      </w:t>
      </w:r>
      <w:r>
        <w:rPr>
          <w:rFonts w:hint="eastAsia" w:ascii="宋体" w:hAnsi="宋体" w:eastAsia="宋体" w:cs="宋体"/>
          <w:color w:val="auto"/>
          <w:highlight w:val="none"/>
        </w:rPr>
        <w:t>。</w:t>
      </w:r>
    </w:p>
    <w:p w14:paraId="1C3310B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竣工验收资料的份数：</w:t>
      </w:r>
      <w:r>
        <w:rPr>
          <w:rFonts w:hint="eastAsia" w:ascii="宋体" w:hAnsi="宋体" w:eastAsia="宋体" w:cs="宋体"/>
          <w:color w:val="auto"/>
          <w:highlight w:val="none"/>
          <w:u w:val="single"/>
        </w:rPr>
        <w:t xml:space="preserve">    伍份     </w:t>
      </w:r>
      <w:r>
        <w:rPr>
          <w:rFonts w:hint="eastAsia" w:ascii="宋体" w:hAnsi="宋体" w:eastAsia="宋体" w:cs="宋体"/>
          <w:color w:val="auto"/>
          <w:highlight w:val="none"/>
        </w:rPr>
        <w:t>。</w:t>
      </w:r>
    </w:p>
    <w:p w14:paraId="0983413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承包人提供竣工图的约定：</w:t>
      </w:r>
      <w:r>
        <w:rPr>
          <w:rFonts w:hint="eastAsia" w:ascii="宋体" w:hAnsi="宋体" w:eastAsia="宋体" w:cs="宋体"/>
          <w:color w:val="auto"/>
          <w:highlight w:val="none"/>
          <w:u w:val="single"/>
        </w:rPr>
        <w:t>竣工验收正式通过后5天（工程造价在500万元以下含500万元）、10天（工程造价在500万元至1000万元之间含1000万元）、15天（工程造价在1000万元以上），提供竣工图的数量分别为2套、4套、6套。</w:t>
      </w:r>
    </w:p>
    <w:p w14:paraId="519345D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13.2.2竣工验收程序</w:t>
      </w:r>
    </w:p>
    <w:bookmarkEnd w:id="942"/>
    <w:p w14:paraId="06EA534F">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关于竣工验收程序的约定：</w:t>
      </w:r>
      <w:r>
        <w:rPr>
          <w:rFonts w:hint="eastAsia" w:ascii="宋体" w:hAnsi="宋体" w:eastAsia="宋体" w:cs="宋体"/>
          <w:color w:val="auto"/>
          <w:highlight w:val="none"/>
          <w:u w:val="single"/>
        </w:rPr>
        <w:t xml:space="preserve">   承包人准备的竣工验收资料齐全，并编制了竣工图（附电子文档）后向监理人提出预验收申请，预验收合格监理人签署同意验收后发包人在30天内组织有关部门竣工验收         </w:t>
      </w:r>
      <w:r>
        <w:rPr>
          <w:rFonts w:hint="eastAsia" w:ascii="宋体" w:hAnsi="宋体" w:eastAsia="宋体" w:cs="宋体"/>
          <w:color w:val="auto"/>
          <w:highlight w:val="none"/>
        </w:rPr>
        <w:t>。</w:t>
      </w:r>
    </w:p>
    <w:p w14:paraId="29716EBE">
      <w:pPr>
        <w:spacing w:line="360" w:lineRule="auto"/>
        <w:jc w:val="left"/>
        <w:rPr>
          <w:rFonts w:hint="eastAsia" w:ascii="宋体" w:hAnsi="宋体" w:eastAsia="宋体" w:cs="宋体"/>
          <w:color w:val="auto"/>
          <w:highlight w:val="none"/>
        </w:rPr>
      </w:pPr>
      <w:r>
        <w:rPr>
          <w:rFonts w:hint="eastAsia" w:ascii="宋体" w:hAnsi="宋体" w:eastAsia="宋体" w:cs="宋体"/>
          <w:color w:val="auto"/>
          <w:kern w:val="0"/>
          <w:highlight w:val="none"/>
        </w:rPr>
        <w:t>发包人不按照本项约定组织竣工验收、颁发工程接收证书的违约金的计算方法：</w:t>
      </w:r>
      <w:r>
        <w:rPr>
          <w:rFonts w:hint="eastAsia" w:ascii="宋体" w:hAnsi="宋体" w:eastAsia="宋体" w:cs="宋体"/>
          <w:color w:val="auto"/>
          <w:highlight w:val="none"/>
          <w:u w:val="single"/>
        </w:rPr>
        <w:t xml:space="preserve">按通用条款执行       </w:t>
      </w:r>
      <w:r>
        <w:rPr>
          <w:rFonts w:hint="eastAsia" w:ascii="宋体" w:hAnsi="宋体" w:eastAsia="宋体" w:cs="宋体"/>
          <w:color w:val="auto"/>
          <w:highlight w:val="none"/>
        </w:rPr>
        <w:t>。</w:t>
      </w:r>
    </w:p>
    <w:bookmarkEnd w:id="943"/>
    <w:p w14:paraId="6D9E44B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13.2.3移交、接收全部与部分工程</w:t>
      </w:r>
    </w:p>
    <w:bookmarkEnd w:id="944"/>
    <w:p w14:paraId="05048B94">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承包人向发包人移交工程的期限：</w:t>
      </w:r>
      <w:r>
        <w:rPr>
          <w:rFonts w:hint="eastAsia" w:ascii="宋体" w:hAnsi="宋体" w:eastAsia="宋体" w:cs="宋体"/>
          <w:color w:val="auto"/>
          <w:highlight w:val="none"/>
          <w:u w:val="single"/>
        </w:rPr>
        <w:t xml:space="preserve">      竣工验收合格后10天内（指全部工程）     </w:t>
      </w:r>
      <w:r>
        <w:rPr>
          <w:rFonts w:hint="eastAsia" w:ascii="宋体" w:hAnsi="宋体" w:eastAsia="宋体" w:cs="宋体"/>
          <w:color w:val="auto"/>
          <w:highlight w:val="none"/>
        </w:rPr>
        <w:t>。</w:t>
      </w:r>
    </w:p>
    <w:p w14:paraId="73D95380">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发包人未按本合同约定接收全部或部分工程的，违约金的计算方法为：</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bookmarkEnd w:id="945"/>
    <w:p w14:paraId="03315565">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承包人未按时移交工程的，违约金的计算方法为：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94C75BD">
      <w:pPr>
        <w:pStyle w:val="4"/>
        <w:rPr>
          <w:rFonts w:hint="eastAsia" w:ascii="宋体" w:hAnsi="宋体" w:eastAsia="宋体" w:cs="宋体"/>
          <w:color w:val="auto"/>
          <w:highlight w:val="none"/>
        </w:rPr>
      </w:pPr>
      <w:bookmarkStart w:id="948" w:name="_Toc407135259"/>
      <w:bookmarkStart w:id="949" w:name="_Toc373478403"/>
      <w:bookmarkStart w:id="950" w:name="_Toc487632756"/>
      <w:bookmarkStart w:id="951" w:name="_Toc389065321"/>
      <w:bookmarkStart w:id="952" w:name="_Toc373227756"/>
      <w:r>
        <w:rPr>
          <w:rFonts w:hint="eastAsia" w:ascii="宋体" w:hAnsi="宋体" w:eastAsia="宋体" w:cs="宋体"/>
          <w:color w:val="auto"/>
          <w:highlight w:val="none"/>
        </w:rPr>
        <w:t>13.3 工程试车</w:t>
      </w:r>
      <w:bookmarkEnd w:id="948"/>
      <w:bookmarkEnd w:id="949"/>
      <w:bookmarkEnd w:id="950"/>
      <w:bookmarkEnd w:id="951"/>
      <w:bookmarkEnd w:id="952"/>
    </w:p>
    <w:bookmarkEnd w:id="946"/>
    <w:p w14:paraId="331E6139">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13.3.1 试车程序</w:t>
      </w:r>
    </w:p>
    <w:p w14:paraId="46FA37CE">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工程试车内容：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0EDE4B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（1）单机无负荷试车费用由</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承担；</w:t>
      </w:r>
    </w:p>
    <w:p w14:paraId="38AB0B1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（2）无负荷联动试车费用由</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承担。</w:t>
      </w:r>
    </w:p>
    <w:p w14:paraId="3B1DBAB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13.3.2 投料试车</w:t>
      </w:r>
    </w:p>
    <w:p w14:paraId="7ED904B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关于投料试车相关事项的约定：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00A937F">
      <w:pPr>
        <w:pStyle w:val="4"/>
        <w:rPr>
          <w:rFonts w:hint="eastAsia" w:ascii="宋体" w:hAnsi="宋体" w:eastAsia="宋体" w:cs="宋体"/>
          <w:color w:val="auto"/>
          <w:highlight w:val="none"/>
        </w:rPr>
      </w:pPr>
      <w:bookmarkStart w:id="953" w:name="_Toc389065322"/>
      <w:bookmarkStart w:id="954" w:name="_Toc487632757"/>
      <w:bookmarkStart w:id="955" w:name="_Toc373227757"/>
      <w:bookmarkStart w:id="956" w:name="_Toc407135260"/>
      <w:bookmarkStart w:id="957" w:name="_Toc373478404"/>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 xml:space="preserve"> 竣工退场</w:t>
      </w:r>
      <w:bookmarkEnd w:id="953"/>
      <w:bookmarkEnd w:id="954"/>
      <w:bookmarkEnd w:id="955"/>
      <w:bookmarkEnd w:id="956"/>
      <w:bookmarkEnd w:id="957"/>
    </w:p>
    <w:p w14:paraId="615A4FD0">
      <w:pPr>
        <w:spacing w:line="360" w:lineRule="auto"/>
        <w:ind w:firstLine="420" w:firstLineChars="200"/>
        <w:jc w:val="left"/>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13.5.1 竣工退场</w:t>
      </w:r>
    </w:p>
    <w:p w14:paraId="00DD66F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承包人完成竣工退场的期限：</w:t>
      </w:r>
      <w:r>
        <w:rPr>
          <w:rFonts w:hint="eastAsia" w:ascii="宋体" w:hAnsi="宋体" w:eastAsia="宋体" w:cs="宋体"/>
          <w:color w:val="auto"/>
          <w:highlight w:val="none"/>
          <w:u w:val="single"/>
        </w:rPr>
        <w:t xml:space="preserve"> 竣工验收合格后30天内（但必须保留足够的后续管理人员进行保修期内管理）   </w:t>
      </w:r>
      <w:r>
        <w:rPr>
          <w:rFonts w:hint="eastAsia" w:ascii="宋体" w:hAnsi="宋体" w:eastAsia="宋体" w:cs="宋体"/>
          <w:color w:val="auto"/>
          <w:kern w:val="0"/>
          <w:highlight w:val="none"/>
        </w:rPr>
        <w:t>。</w:t>
      </w:r>
    </w:p>
    <w:p w14:paraId="19674E35">
      <w:pPr>
        <w:pStyle w:val="3"/>
        <w:rPr>
          <w:rFonts w:hint="eastAsia" w:ascii="宋体" w:hAnsi="宋体" w:eastAsia="宋体" w:cs="宋体"/>
          <w:color w:val="auto"/>
          <w:highlight w:val="none"/>
        </w:rPr>
      </w:pPr>
      <w:bookmarkStart w:id="958" w:name="_Toc407135261"/>
      <w:bookmarkStart w:id="959" w:name="_Toc351203646"/>
      <w:bookmarkStart w:id="960" w:name="_Toc373478405"/>
      <w:bookmarkStart w:id="961" w:name="_Toc389065323"/>
      <w:bookmarkStart w:id="962" w:name="_Toc373227758"/>
      <w:bookmarkStart w:id="963" w:name="_Toc487632758"/>
      <w:r>
        <w:rPr>
          <w:rFonts w:hint="eastAsia" w:ascii="宋体" w:hAnsi="宋体" w:eastAsia="宋体" w:cs="宋体"/>
          <w:color w:val="auto"/>
          <w:highlight w:val="none"/>
        </w:rPr>
        <w:t>14. 竣工结算</w:t>
      </w:r>
      <w:bookmarkEnd w:id="958"/>
      <w:bookmarkEnd w:id="959"/>
      <w:bookmarkEnd w:id="960"/>
      <w:bookmarkEnd w:id="961"/>
      <w:bookmarkEnd w:id="962"/>
      <w:bookmarkEnd w:id="963"/>
    </w:p>
    <w:p w14:paraId="5C560F0A">
      <w:pPr>
        <w:pStyle w:val="4"/>
        <w:rPr>
          <w:rFonts w:hint="eastAsia" w:ascii="宋体" w:hAnsi="宋体" w:eastAsia="宋体" w:cs="宋体"/>
          <w:color w:val="auto"/>
          <w:highlight w:val="none"/>
        </w:rPr>
      </w:pPr>
      <w:bookmarkStart w:id="964" w:name="_Toc389065324"/>
      <w:bookmarkStart w:id="965" w:name="_Toc373227759"/>
      <w:bookmarkStart w:id="966" w:name="_Toc487632759"/>
      <w:bookmarkStart w:id="967" w:name="_Toc373478406"/>
      <w:bookmarkStart w:id="968" w:name="_Toc407135262"/>
      <w:r>
        <w:rPr>
          <w:rFonts w:hint="eastAsia" w:ascii="宋体" w:hAnsi="宋体" w:eastAsia="宋体" w:cs="宋体"/>
          <w:color w:val="auto"/>
          <w:highlight w:val="none"/>
        </w:rPr>
        <w:t>14.1 竣工付款申请</w:t>
      </w:r>
      <w:bookmarkEnd w:id="964"/>
      <w:bookmarkEnd w:id="965"/>
      <w:bookmarkEnd w:id="966"/>
      <w:bookmarkEnd w:id="967"/>
      <w:bookmarkEnd w:id="968"/>
    </w:p>
    <w:p w14:paraId="02AB159C">
      <w:pPr>
        <w:spacing w:line="360" w:lineRule="auto"/>
        <w:ind w:firstLine="420" w:firstLineChars="200"/>
        <w:jc w:val="left"/>
        <w:rPr>
          <w:rFonts w:hint="eastAsia" w:ascii="宋体" w:hAnsi="宋体" w:eastAsia="宋体" w:cs="宋体"/>
          <w:color w:val="auto"/>
          <w:highlight w:val="none"/>
        </w:rPr>
      </w:pPr>
      <w:bookmarkStart w:id="969" w:name="_Toc407135263"/>
      <w:bookmarkStart w:id="970" w:name="_Toc389065325"/>
      <w:bookmarkStart w:id="971" w:name="_Toc373478407"/>
      <w:bookmarkStart w:id="972" w:name="_Toc487632760"/>
      <w:bookmarkStart w:id="973" w:name="_Toc373227760"/>
      <w:r>
        <w:rPr>
          <w:rFonts w:hint="eastAsia" w:ascii="宋体" w:hAnsi="宋体" w:eastAsia="宋体" w:cs="宋体"/>
          <w:color w:val="auto"/>
          <w:highlight w:val="none"/>
        </w:rPr>
        <w:t>承包人提交竣工付款申请单的期限：</w:t>
      </w:r>
      <w:r>
        <w:rPr>
          <w:rFonts w:hint="eastAsia" w:ascii="宋体" w:hAnsi="宋体" w:eastAsia="宋体" w:cs="宋体"/>
          <w:color w:val="auto"/>
          <w:highlight w:val="none"/>
          <w:u w:val="single"/>
        </w:rPr>
        <w:t xml:space="preserve">  承包人应在工程竣工验收合格后20天内向发包人和监理人提交竣工结算申请单，并提交完整的结算资料。竣工结算申请单及结算资料提交份数一式五份，其中纸质4份，电子文档1份  </w:t>
      </w:r>
      <w:r>
        <w:rPr>
          <w:rFonts w:hint="eastAsia" w:ascii="宋体" w:hAnsi="宋体" w:eastAsia="宋体" w:cs="宋体"/>
          <w:color w:val="auto"/>
          <w:highlight w:val="none"/>
        </w:rPr>
        <w:t>。</w:t>
      </w:r>
    </w:p>
    <w:p w14:paraId="0B1FA9E6">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竣工付款申请单应包括的内容：</w:t>
      </w:r>
      <w:r>
        <w:rPr>
          <w:rFonts w:hint="eastAsia" w:ascii="宋体" w:hAnsi="宋体" w:eastAsia="宋体" w:cs="宋体"/>
          <w:color w:val="auto"/>
          <w:highlight w:val="none"/>
          <w:u w:val="single"/>
        </w:rPr>
        <w:t xml:space="preserve">  结算书、签证资料、竣工图、会议纪要、施工组织设计、多项施工方案、</w:t>
      </w:r>
      <w:r>
        <w:rPr>
          <w:rFonts w:hint="eastAsia" w:ascii="宋体" w:hAnsi="宋体" w:eastAsia="宋体" w:cs="宋体"/>
          <w:color w:val="auto"/>
          <w:highlight w:val="none"/>
          <w:u w:val="single"/>
          <w:lang w:eastAsia="zh-CN"/>
        </w:rPr>
        <w:t>竞争性磋商文件</w:t>
      </w:r>
      <w:r>
        <w:rPr>
          <w:rFonts w:hint="eastAsia" w:ascii="宋体" w:hAnsi="宋体" w:eastAsia="宋体" w:cs="宋体"/>
          <w:color w:val="auto"/>
          <w:highlight w:val="none"/>
          <w:u w:val="single"/>
        </w:rPr>
        <w:t xml:space="preserve">、投标文件、施工合同、施工日记等，并应符合有关部门的要求  </w:t>
      </w:r>
      <w:r>
        <w:rPr>
          <w:rFonts w:hint="eastAsia" w:ascii="宋体" w:hAnsi="宋体" w:eastAsia="宋体" w:cs="宋体"/>
          <w:color w:val="auto"/>
          <w:highlight w:val="none"/>
        </w:rPr>
        <w:t>。</w:t>
      </w:r>
    </w:p>
    <w:p w14:paraId="71023220">
      <w:pPr>
        <w:pStyle w:val="4"/>
        <w:rPr>
          <w:rFonts w:hint="eastAsia" w:ascii="宋体" w:hAnsi="宋体" w:eastAsia="宋体" w:cs="宋体"/>
          <w:color w:val="auto"/>
          <w:highlight w:val="none"/>
        </w:rPr>
      </w:pPr>
      <w:r>
        <w:rPr>
          <w:rFonts w:hint="eastAsia" w:ascii="宋体" w:hAnsi="宋体" w:eastAsia="宋体" w:cs="宋体"/>
          <w:color w:val="auto"/>
          <w:highlight w:val="none"/>
        </w:rPr>
        <w:t>14.2 竣工结算审核</w:t>
      </w:r>
      <w:bookmarkEnd w:id="969"/>
      <w:bookmarkEnd w:id="970"/>
      <w:bookmarkEnd w:id="971"/>
      <w:bookmarkEnd w:id="972"/>
      <w:bookmarkEnd w:id="973"/>
    </w:p>
    <w:p w14:paraId="3FD1037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发包人审批竣工付款申请单的期限：</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259E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D2299">
            <w:pPr>
              <w:keepNext w:val="0"/>
              <w:keepLines w:val="0"/>
              <w:suppressLineNumbers w:val="0"/>
              <w:spacing w:before="0" w:beforeAutospacing="0" w:after="0" w:afterAutospacing="0" w:line="360" w:lineRule="auto"/>
              <w:ind w:left="0" w:right="0"/>
              <w:rPr>
                <w:rFonts w:hint="eastAsia" w:ascii="宋体" w:hAnsi="宋体" w:eastAsia="宋体" w:cs="宋体"/>
                <w:color w:val="auto"/>
                <w:highlight w:val="none"/>
              </w:rPr>
            </w:pPr>
          </w:p>
        </w:tc>
        <w:tc>
          <w:tcPr>
            <w:tcW w:w="2466" w:type="dxa"/>
            <w:noWrap w:val="0"/>
            <w:vAlign w:val="center"/>
          </w:tcPr>
          <w:p w14:paraId="6556012A">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工程竣工结算报告金额</w:t>
            </w:r>
          </w:p>
        </w:tc>
        <w:tc>
          <w:tcPr>
            <w:tcW w:w="5967" w:type="dxa"/>
            <w:noWrap w:val="0"/>
            <w:vAlign w:val="center"/>
          </w:tcPr>
          <w:p w14:paraId="26CB0C28">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发包人审查时间</w:t>
            </w:r>
          </w:p>
        </w:tc>
      </w:tr>
      <w:tr w14:paraId="133F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83DBFA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466" w:type="dxa"/>
            <w:noWrap w:val="0"/>
            <w:vAlign w:val="center"/>
          </w:tcPr>
          <w:p w14:paraId="59D404B2">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500万元以下</w:t>
            </w:r>
          </w:p>
        </w:tc>
        <w:tc>
          <w:tcPr>
            <w:tcW w:w="5967" w:type="dxa"/>
            <w:noWrap w:val="0"/>
            <w:vAlign w:val="center"/>
          </w:tcPr>
          <w:p w14:paraId="335051F7">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从接到竣工结算报告和完整的竣工结算资料之日起20天</w:t>
            </w:r>
          </w:p>
        </w:tc>
      </w:tr>
      <w:tr w14:paraId="264C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7019D1E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466" w:type="dxa"/>
            <w:noWrap w:val="0"/>
            <w:vAlign w:val="center"/>
          </w:tcPr>
          <w:p w14:paraId="7936BE73">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500万元-2000万元</w:t>
            </w:r>
          </w:p>
        </w:tc>
        <w:tc>
          <w:tcPr>
            <w:tcW w:w="5967" w:type="dxa"/>
            <w:noWrap w:val="0"/>
            <w:vAlign w:val="center"/>
          </w:tcPr>
          <w:p w14:paraId="4D9C8CE2">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从接到竣工结算报告和完整的竣工结算资料之日起30天</w:t>
            </w:r>
          </w:p>
        </w:tc>
      </w:tr>
      <w:tr w14:paraId="627A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EB4F86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466" w:type="dxa"/>
            <w:noWrap w:val="0"/>
            <w:vAlign w:val="center"/>
          </w:tcPr>
          <w:p w14:paraId="788786D2">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2000万元-5000万元</w:t>
            </w:r>
          </w:p>
        </w:tc>
        <w:tc>
          <w:tcPr>
            <w:tcW w:w="5967" w:type="dxa"/>
            <w:noWrap w:val="0"/>
            <w:vAlign w:val="center"/>
          </w:tcPr>
          <w:p w14:paraId="5A5BEEFE">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从接到竣工结算报告和完整的竣工结算资料之日起45天</w:t>
            </w:r>
          </w:p>
        </w:tc>
      </w:tr>
      <w:tr w14:paraId="50CC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7347C9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466" w:type="dxa"/>
            <w:noWrap w:val="0"/>
            <w:vAlign w:val="center"/>
          </w:tcPr>
          <w:p w14:paraId="4DC20A79">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5000万元以上</w:t>
            </w:r>
          </w:p>
        </w:tc>
        <w:tc>
          <w:tcPr>
            <w:tcW w:w="5967" w:type="dxa"/>
            <w:noWrap w:val="0"/>
            <w:vAlign w:val="center"/>
          </w:tcPr>
          <w:p w14:paraId="75A9E156">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从接到竣工结算报告和完整的竣工结算资料之日起60天</w:t>
            </w:r>
          </w:p>
        </w:tc>
      </w:tr>
    </w:tbl>
    <w:p w14:paraId="253ACCB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因承包人提供的结算资料不完整而需要补充或承包人不按时对账耽误时间时，审查时间应相应顺延。</w:t>
      </w:r>
    </w:p>
    <w:p w14:paraId="37826BA8">
      <w:pPr>
        <w:spacing w:line="40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结算审核约定：</w:t>
      </w:r>
    </w:p>
    <w:p w14:paraId="49AD2320">
      <w:pPr>
        <w:spacing w:line="400" w:lineRule="exact"/>
        <w:ind w:firstLine="411" w:firstLineChars="196"/>
        <w:rPr>
          <w:rFonts w:hint="eastAsia" w:ascii="宋体" w:hAnsi="宋体" w:eastAsia="宋体" w:cs="宋体"/>
          <w:color w:val="auto"/>
          <w:highlight w:val="none"/>
          <w:u w:val="single"/>
        </w:rPr>
      </w:pPr>
      <w:r>
        <w:rPr>
          <w:rFonts w:hint="eastAsia" w:ascii="宋体" w:hAnsi="宋体" w:eastAsia="宋体" w:cs="宋体"/>
          <w:color w:val="auto"/>
          <w:highlight w:val="none"/>
        </w:rPr>
        <w:t>非国有投资项目：</w:t>
      </w:r>
      <w:r>
        <w:rPr>
          <w:rFonts w:hint="eastAsia" w:ascii="宋体" w:hAnsi="宋体" w:eastAsia="宋体" w:cs="宋体"/>
          <w:color w:val="auto"/>
          <w:highlight w:val="none"/>
          <w:u w:val="single"/>
        </w:rPr>
        <w:t>1、工程竣工验收报告经发包人认可后   天内，承包人向发包人递交竣工验收合格资料及完整的结算资料和报告，双方按照协议书约定的合同价款及专用条款约定的合同价调整内容，进行工程竣工结算。2、发包人收到承包人递交的竣工结算报告及结算资料之日起   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天内，按审定后的结算价款，通知经办银行向承包人支付工程竣工结算价款。承包人应根据发包人的需要随时将竣工工程交付发包人。</w:t>
      </w:r>
    </w:p>
    <w:p w14:paraId="6F1CDA8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国有投资项目：（双方结合各地有关部门出台的管理规定进行约定）              </w:t>
      </w:r>
    </w:p>
    <w:p w14:paraId="3F8FE0D5">
      <w:pPr>
        <w:spacing w:line="360" w:lineRule="auto"/>
        <w:ind w:firstLine="420" w:firstLineChars="200"/>
        <w:jc w:val="left"/>
        <w:rPr>
          <w:rFonts w:hint="eastAsia" w:ascii="宋体" w:hAnsi="宋体" w:eastAsia="宋体" w:cs="宋体"/>
          <w:color w:val="auto"/>
          <w:highlight w:val="none"/>
        </w:rPr>
      </w:pPr>
      <w:bookmarkStart w:id="974" w:name="_Toc389065326"/>
      <w:bookmarkStart w:id="975" w:name="_Toc373478408"/>
      <w:bookmarkStart w:id="976" w:name="_Toc373227761"/>
      <w:bookmarkStart w:id="977" w:name="_Toc487632761"/>
      <w:bookmarkStart w:id="978" w:name="_Toc407135264"/>
      <w:r>
        <w:rPr>
          <w:rFonts w:hint="eastAsia" w:ascii="宋体" w:hAnsi="宋体" w:eastAsia="宋体" w:cs="宋体"/>
          <w:color w:val="auto"/>
          <w:highlight w:val="none"/>
        </w:rPr>
        <w:t>发包人完成竣工付款的期限：</w:t>
      </w:r>
      <w:r>
        <w:rPr>
          <w:rFonts w:hint="eastAsia" w:ascii="宋体" w:hAnsi="宋体" w:cs="宋体"/>
          <w:color w:val="auto"/>
          <w:highlight w:val="none"/>
          <w:u w:val="single"/>
          <w:lang w:eastAsia="zh-CN"/>
        </w:rPr>
        <w:t>审计部门</w:t>
      </w:r>
      <w:r>
        <w:rPr>
          <w:rFonts w:hint="eastAsia" w:ascii="宋体" w:hAnsi="宋体" w:eastAsia="宋体" w:cs="宋体"/>
          <w:color w:val="auto"/>
          <w:highlight w:val="none"/>
          <w:u w:val="single"/>
        </w:rPr>
        <w:t xml:space="preserve">审定出具审计结论及收到财政结算确认通知之日  </w:t>
      </w:r>
      <w:r>
        <w:rPr>
          <w:rFonts w:hint="eastAsia" w:ascii="宋体" w:hAnsi="宋体" w:eastAsia="宋体" w:cs="宋体"/>
          <w:color w:val="auto"/>
          <w:highlight w:val="none"/>
        </w:rPr>
        <w:t>。</w:t>
      </w:r>
    </w:p>
    <w:p w14:paraId="64AC41C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关于竣工付款证书异议部分复核的方式和程序：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6021F4A">
      <w:pPr>
        <w:pStyle w:val="4"/>
        <w:rPr>
          <w:rFonts w:hint="eastAsia" w:ascii="宋体" w:hAnsi="宋体" w:eastAsia="宋体" w:cs="宋体"/>
          <w:color w:val="auto"/>
          <w:highlight w:val="none"/>
        </w:rPr>
      </w:pPr>
      <w:r>
        <w:rPr>
          <w:rFonts w:hint="eastAsia" w:ascii="宋体" w:hAnsi="宋体" w:eastAsia="宋体" w:cs="宋体"/>
          <w:color w:val="auto"/>
          <w:highlight w:val="none"/>
        </w:rPr>
        <w:t>14.</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最终结清</w:t>
      </w:r>
      <w:bookmarkEnd w:id="974"/>
      <w:bookmarkEnd w:id="975"/>
      <w:bookmarkEnd w:id="976"/>
      <w:bookmarkEnd w:id="977"/>
      <w:bookmarkEnd w:id="978"/>
    </w:p>
    <w:p w14:paraId="0B5DFC8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14.3.1 最终结清申请单</w:t>
      </w:r>
    </w:p>
    <w:p w14:paraId="7CB7605D">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承包人提交最终结清申请单的份数：</w:t>
      </w:r>
      <w:r>
        <w:rPr>
          <w:rFonts w:hint="eastAsia" w:ascii="宋体" w:hAnsi="宋体" w:eastAsia="宋体" w:cs="宋体"/>
          <w:color w:val="auto"/>
          <w:highlight w:val="none"/>
          <w:u w:val="single"/>
        </w:rPr>
        <w:t xml:space="preserve">  一式肆份  </w:t>
      </w:r>
      <w:r>
        <w:rPr>
          <w:rFonts w:hint="eastAsia" w:ascii="宋体" w:hAnsi="宋体" w:eastAsia="宋体" w:cs="宋体"/>
          <w:color w:val="auto"/>
          <w:highlight w:val="none"/>
        </w:rPr>
        <w:t>。</w:t>
      </w:r>
    </w:p>
    <w:p w14:paraId="4D77974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承包人提交最终结算申请单的期限：</w:t>
      </w:r>
      <w:r>
        <w:rPr>
          <w:rFonts w:hint="eastAsia" w:ascii="宋体" w:hAnsi="宋体" w:eastAsia="宋体" w:cs="宋体"/>
          <w:color w:val="auto"/>
          <w:highlight w:val="none"/>
          <w:u w:val="single"/>
        </w:rPr>
        <w:t xml:space="preserve">审计确认结算价款且保修期满并签发终止保修书后  </w:t>
      </w:r>
      <w:r>
        <w:rPr>
          <w:rFonts w:hint="eastAsia" w:ascii="宋体" w:hAnsi="宋体" w:eastAsia="宋体" w:cs="宋体"/>
          <w:color w:val="auto"/>
          <w:highlight w:val="none"/>
        </w:rPr>
        <w:t xml:space="preserve">。 </w:t>
      </w:r>
    </w:p>
    <w:p w14:paraId="18C8C31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14.3.2 最终结清证书和支付</w:t>
      </w:r>
    </w:p>
    <w:p w14:paraId="4F1086C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（1）发包人完成最终结清申请单的审批并颁发最终结清证书的期限：</w:t>
      </w:r>
      <w:r>
        <w:rPr>
          <w:rFonts w:hint="eastAsia" w:ascii="宋体" w:hAnsi="宋体" w:eastAsia="宋体" w:cs="宋体"/>
          <w:color w:val="auto"/>
          <w:highlight w:val="none"/>
          <w:u w:val="single"/>
        </w:rPr>
        <w:t>应在收到承包人提交的最终结清申请单后14天内</w:t>
      </w:r>
      <w:r>
        <w:rPr>
          <w:rFonts w:hint="eastAsia" w:ascii="宋体" w:hAnsi="宋体" w:eastAsia="宋体" w:cs="宋体"/>
          <w:color w:val="auto"/>
          <w:highlight w:val="none"/>
        </w:rPr>
        <w:t>。</w:t>
      </w:r>
    </w:p>
    <w:p w14:paraId="67E4FA6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（2）发包人完成支付的期限：</w:t>
      </w:r>
      <w:r>
        <w:rPr>
          <w:rFonts w:hint="eastAsia" w:ascii="宋体" w:hAnsi="宋体" w:eastAsia="宋体" w:cs="宋体"/>
          <w:color w:val="auto"/>
          <w:highlight w:val="none"/>
          <w:u w:val="single"/>
        </w:rPr>
        <w:t>应在颁发最终结清证书后14天内</w:t>
      </w:r>
      <w:r>
        <w:rPr>
          <w:rFonts w:hint="eastAsia" w:ascii="宋体" w:hAnsi="宋体" w:eastAsia="宋体" w:cs="宋体"/>
          <w:color w:val="auto"/>
          <w:highlight w:val="none"/>
        </w:rPr>
        <w:t>。</w:t>
      </w:r>
    </w:p>
    <w:bookmarkEnd w:id="935"/>
    <w:bookmarkEnd w:id="936"/>
    <w:bookmarkEnd w:id="937"/>
    <w:bookmarkEnd w:id="938"/>
    <w:bookmarkEnd w:id="939"/>
    <w:bookmarkEnd w:id="940"/>
    <w:bookmarkEnd w:id="941"/>
    <w:bookmarkEnd w:id="947"/>
    <w:p w14:paraId="4B5E2CD4">
      <w:pPr>
        <w:pStyle w:val="3"/>
        <w:rPr>
          <w:rFonts w:hint="eastAsia" w:ascii="宋体" w:hAnsi="宋体" w:eastAsia="宋体" w:cs="宋体"/>
          <w:color w:val="auto"/>
          <w:highlight w:val="none"/>
        </w:rPr>
      </w:pPr>
      <w:bookmarkStart w:id="979" w:name="_Toc389065327"/>
      <w:bookmarkStart w:id="980" w:name="_Toc407135265"/>
      <w:bookmarkStart w:id="981" w:name="_Toc373478409"/>
      <w:bookmarkStart w:id="982" w:name="_Toc351203647"/>
      <w:bookmarkStart w:id="983" w:name="_Toc487632762"/>
      <w:bookmarkStart w:id="984" w:name="_Toc373227762"/>
      <w:bookmarkStart w:id="985" w:name="_Toc267251483"/>
      <w:bookmarkStart w:id="986" w:name="_Toc267251482"/>
      <w:bookmarkStart w:id="987" w:name="_Toc267251484"/>
      <w:bookmarkStart w:id="988" w:name="_Toc267251485"/>
      <w:bookmarkStart w:id="989" w:name="_Toc267251490"/>
      <w:bookmarkStart w:id="990" w:name="_Toc267251486"/>
      <w:bookmarkStart w:id="991" w:name="_Toc267251488"/>
      <w:bookmarkStart w:id="992" w:name="_Toc267251489"/>
      <w:bookmarkStart w:id="993" w:name="_Toc267251494"/>
      <w:bookmarkStart w:id="994" w:name="_Toc267251503"/>
      <w:bookmarkStart w:id="995" w:name="_Toc267251502"/>
      <w:bookmarkStart w:id="996" w:name="_Toc267251492"/>
      <w:bookmarkStart w:id="997" w:name="_Toc267251498"/>
      <w:bookmarkStart w:id="998" w:name="_Toc267251501"/>
      <w:bookmarkStart w:id="999" w:name="_Toc267251496"/>
      <w:bookmarkStart w:id="1000" w:name="_Toc267251497"/>
      <w:bookmarkStart w:id="1001" w:name="_Toc267251499"/>
      <w:bookmarkStart w:id="1002" w:name="_Toc267251493"/>
      <w:bookmarkStart w:id="1003" w:name="_Toc267251495"/>
      <w:bookmarkStart w:id="1004" w:name="_Toc267251491"/>
      <w:bookmarkStart w:id="1005" w:name="_Toc267251504"/>
      <w:bookmarkStart w:id="1006" w:name="_Toc267251506"/>
      <w:bookmarkStart w:id="1007" w:name="_Toc267251507"/>
      <w:bookmarkStart w:id="1008" w:name="_Toc267251508"/>
      <w:bookmarkStart w:id="1009" w:name="_Toc267251509"/>
      <w:bookmarkStart w:id="1010" w:name="_Toc267251510"/>
      <w:bookmarkStart w:id="1011" w:name="_Toc267251514"/>
      <w:bookmarkStart w:id="1012" w:name="_Toc267251513"/>
      <w:bookmarkStart w:id="1013" w:name="_Toc267251511"/>
      <w:bookmarkStart w:id="1014" w:name="_Toc267251515"/>
      <w:r>
        <w:rPr>
          <w:rFonts w:hint="eastAsia" w:ascii="宋体" w:hAnsi="宋体" w:eastAsia="宋体" w:cs="宋体"/>
          <w:color w:val="auto"/>
          <w:highlight w:val="none"/>
        </w:rPr>
        <w:t>15. 缺陷责任期与保修</w:t>
      </w:r>
      <w:bookmarkEnd w:id="979"/>
      <w:bookmarkEnd w:id="980"/>
      <w:bookmarkEnd w:id="981"/>
      <w:bookmarkEnd w:id="982"/>
      <w:bookmarkEnd w:id="983"/>
      <w:bookmarkEnd w:id="984"/>
    </w:p>
    <w:p w14:paraId="39DC864E">
      <w:pPr>
        <w:pStyle w:val="4"/>
        <w:rPr>
          <w:rFonts w:hint="eastAsia" w:ascii="宋体" w:hAnsi="宋体" w:eastAsia="宋体" w:cs="宋体"/>
          <w:color w:val="auto"/>
          <w:highlight w:val="none"/>
        </w:rPr>
      </w:pPr>
      <w:bookmarkStart w:id="1015" w:name="_Toc373227763"/>
      <w:bookmarkStart w:id="1016" w:name="_Toc487632763"/>
      <w:bookmarkStart w:id="1017" w:name="_Toc407135266"/>
      <w:bookmarkStart w:id="1018" w:name="_Toc373478410"/>
      <w:bookmarkStart w:id="1019" w:name="_Toc389065328"/>
      <w:r>
        <w:rPr>
          <w:rFonts w:hint="eastAsia" w:ascii="宋体" w:hAnsi="宋体" w:eastAsia="宋体" w:cs="宋体"/>
          <w:color w:val="auto"/>
          <w:highlight w:val="none"/>
        </w:rPr>
        <w:t>15.</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 xml:space="preserve"> 缺陷责任期</w:t>
      </w:r>
      <w:bookmarkEnd w:id="985"/>
      <w:bookmarkEnd w:id="1015"/>
      <w:bookmarkEnd w:id="1016"/>
      <w:bookmarkEnd w:id="1017"/>
      <w:bookmarkEnd w:id="1018"/>
      <w:bookmarkEnd w:id="1019"/>
    </w:p>
    <w:p w14:paraId="207B4B41">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缺陷责任期的具体期限：</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12</w:t>
      </w:r>
      <w:r>
        <w:rPr>
          <w:rFonts w:hint="eastAsia" w:ascii="宋体" w:hAnsi="宋体" w:eastAsia="宋体" w:cs="宋体"/>
          <w:color w:val="auto"/>
          <w:highlight w:val="none"/>
          <w:u w:val="single"/>
        </w:rPr>
        <w:t xml:space="preserve">个月    </w:t>
      </w:r>
      <w:r>
        <w:rPr>
          <w:rFonts w:hint="eastAsia" w:ascii="宋体" w:hAnsi="宋体" w:eastAsia="宋体" w:cs="宋体"/>
          <w:color w:val="auto"/>
          <w:highlight w:val="none"/>
        </w:rPr>
        <w:t>。</w:t>
      </w:r>
    </w:p>
    <w:p w14:paraId="74A8AD50">
      <w:pPr>
        <w:pStyle w:val="4"/>
        <w:rPr>
          <w:rFonts w:hint="eastAsia" w:ascii="宋体" w:hAnsi="宋体" w:eastAsia="宋体" w:cs="宋体"/>
          <w:color w:val="auto"/>
          <w:highlight w:val="none"/>
        </w:rPr>
      </w:pPr>
      <w:bookmarkStart w:id="1020" w:name="_Toc389065329"/>
      <w:bookmarkStart w:id="1021" w:name="_Toc487632764"/>
      <w:bookmarkStart w:id="1022" w:name="_Toc373227764"/>
      <w:bookmarkStart w:id="1023" w:name="_Toc407135267"/>
      <w:bookmarkStart w:id="1024" w:name="_Toc373478411"/>
      <w:r>
        <w:rPr>
          <w:rFonts w:hint="eastAsia" w:ascii="宋体" w:hAnsi="宋体" w:eastAsia="宋体" w:cs="宋体"/>
          <w:color w:val="auto"/>
          <w:highlight w:val="none"/>
        </w:rPr>
        <w:t>15.</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质量保证金</w:t>
      </w:r>
      <w:bookmarkEnd w:id="1020"/>
      <w:bookmarkEnd w:id="1021"/>
      <w:bookmarkEnd w:id="1022"/>
      <w:bookmarkEnd w:id="1023"/>
      <w:bookmarkEnd w:id="1024"/>
    </w:p>
    <w:p w14:paraId="7944AB2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关于是否扣留质量保证金的约定：</w:t>
      </w:r>
      <w:r>
        <w:rPr>
          <w:rFonts w:hint="eastAsia" w:ascii="宋体" w:hAnsi="宋体" w:eastAsia="宋体" w:cs="宋体"/>
          <w:color w:val="auto"/>
          <w:highlight w:val="none"/>
          <w:u w:val="single"/>
        </w:rPr>
        <w:t xml:space="preserve">    按照竣工结算价格的3%比例预留   </w:t>
      </w:r>
      <w:r>
        <w:rPr>
          <w:rFonts w:hint="eastAsia" w:ascii="宋体" w:hAnsi="宋体" w:eastAsia="宋体" w:cs="宋体"/>
          <w:color w:val="auto"/>
          <w:highlight w:val="none"/>
        </w:rPr>
        <w:t>。</w:t>
      </w:r>
    </w:p>
    <w:p w14:paraId="000BF31A">
      <w:pPr>
        <w:spacing w:line="360" w:lineRule="auto"/>
        <w:ind w:firstLine="420" w:firstLineChars="200"/>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15.2.1 承包人提供质量保证金的方式</w:t>
      </w:r>
    </w:p>
    <w:p w14:paraId="54D1D5E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质量保证金采用以下第</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种方式：</w:t>
      </w:r>
    </w:p>
    <w:p w14:paraId="7C091184">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（1）质量保证金保函，保证金额为：</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3B2B25A0">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r>
        <w:rPr>
          <w:rFonts w:hint="eastAsia" w:ascii="宋体" w:hAnsi="宋体" w:eastAsia="宋体" w:cs="宋体"/>
          <w:color w:val="auto"/>
          <w:highlight w:val="none"/>
        </w:rPr>
        <w:t>发包人按工程价款结算总额的</w:t>
      </w:r>
      <w:r>
        <w:rPr>
          <w:rFonts w:hint="eastAsia" w:ascii="宋体" w:hAnsi="宋体" w:eastAsia="宋体" w:cs="宋体"/>
          <w:color w:val="auto"/>
          <w:highlight w:val="none"/>
          <w:u w:val="single"/>
        </w:rPr>
        <w:t xml:space="preserve">  3 </w:t>
      </w:r>
      <w:r>
        <w:rPr>
          <w:rFonts w:hint="eastAsia" w:ascii="宋体" w:hAnsi="宋体" w:eastAsia="宋体" w:cs="宋体"/>
          <w:color w:val="auto"/>
          <w:highlight w:val="none"/>
        </w:rPr>
        <w:t>%（不得超过3%）预留工程质量保修金，待缺陷责任期满后返还，是否付息及利息计算方式为：</w:t>
      </w:r>
      <w:r>
        <w:rPr>
          <w:rFonts w:hint="eastAsia" w:ascii="宋体" w:hAnsi="宋体" w:eastAsia="宋体" w:cs="宋体"/>
          <w:color w:val="auto"/>
          <w:highlight w:val="none"/>
          <w:u w:val="single"/>
        </w:rPr>
        <w:t xml:space="preserve">      无                                   </w:t>
      </w:r>
      <w:r>
        <w:rPr>
          <w:rFonts w:hint="eastAsia" w:ascii="宋体" w:hAnsi="宋体" w:eastAsia="宋体" w:cs="宋体"/>
          <w:color w:val="auto"/>
          <w:kern w:val="0"/>
          <w:highlight w:val="none"/>
        </w:rPr>
        <w:t>；</w:t>
      </w:r>
    </w:p>
    <w:p w14:paraId="18DD0725">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（3）其他方式：</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6652912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15.2.2 质量保证金的扣留</w:t>
      </w:r>
    </w:p>
    <w:p w14:paraId="7D3EB3E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质量保证金的扣留采取以下第</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种方式：</w:t>
      </w:r>
    </w:p>
    <w:p w14:paraId="23677497">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（1）在支付工程进度款时逐次扣留，在此情形下，质量保证金的计算基数不包括预付款的支付、扣回以及价格调整的金额；</w:t>
      </w:r>
    </w:p>
    <w:p w14:paraId="0BC91731">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（2）工程竣工结算时一次性扣留质量保证金；</w:t>
      </w:r>
    </w:p>
    <w:p w14:paraId="7D6AF0BD">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（3）其他扣留方式:</w:t>
      </w:r>
      <w:r>
        <w:rPr>
          <w:rFonts w:hint="eastAsia" w:ascii="宋体" w:hAnsi="宋体" w:eastAsia="宋体" w:cs="宋体"/>
          <w:color w:val="auto"/>
          <w:kern w:val="0"/>
          <w:highlight w:val="none"/>
          <w:u w:val="single"/>
        </w:rPr>
        <w:t xml:space="preserve">     无                            </w:t>
      </w:r>
      <w:r>
        <w:rPr>
          <w:rFonts w:hint="eastAsia" w:ascii="宋体" w:hAnsi="宋体" w:eastAsia="宋体" w:cs="宋体"/>
          <w:color w:val="auto"/>
          <w:kern w:val="0"/>
          <w:highlight w:val="none"/>
        </w:rPr>
        <w:t>。</w:t>
      </w:r>
    </w:p>
    <w:p w14:paraId="60F978F7">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关于质量保证金的补充约定：</w:t>
      </w:r>
      <w:r>
        <w:rPr>
          <w:rFonts w:hint="eastAsia" w:ascii="宋体" w:hAnsi="宋体" w:eastAsia="宋体" w:cs="宋体"/>
          <w:color w:val="auto"/>
          <w:kern w:val="0"/>
          <w:highlight w:val="none"/>
          <w:u w:val="single"/>
        </w:rPr>
        <w:t xml:space="preserve">     无                     </w:t>
      </w:r>
      <w:r>
        <w:rPr>
          <w:rFonts w:hint="eastAsia" w:ascii="宋体" w:hAnsi="宋体" w:eastAsia="宋体" w:cs="宋体"/>
          <w:color w:val="auto"/>
          <w:kern w:val="0"/>
          <w:highlight w:val="none"/>
        </w:rPr>
        <w:t>。</w:t>
      </w:r>
    </w:p>
    <w:bookmarkEnd w:id="986"/>
    <w:bookmarkEnd w:id="987"/>
    <w:p w14:paraId="539B98EF">
      <w:pPr>
        <w:pStyle w:val="4"/>
        <w:rPr>
          <w:rFonts w:hint="eastAsia" w:ascii="宋体" w:hAnsi="宋体" w:eastAsia="宋体" w:cs="宋体"/>
          <w:color w:val="auto"/>
          <w:highlight w:val="none"/>
        </w:rPr>
      </w:pPr>
      <w:bookmarkStart w:id="1025" w:name="_Toc373227765"/>
      <w:bookmarkStart w:id="1026" w:name="_Toc487632765"/>
      <w:bookmarkStart w:id="1027" w:name="_Toc373478412"/>
      <w:bookmarkStart w:id="1028" w:name="_Toc407135268"/>
      <w:bookmarkStart w:id="1029" w:name="_Toc389065330"/>
      <w:r>
        <w:rPr>
          <w:rFonts w:hint="eastAsia" w:ascii="宋体" w:hAnsi="宋体" w:eastAsia="宋体" w:cs="宋体"/>
          <w:color w:val="auto"/>
          <w:highlight w:val="none"/>
        </w:rPr>
        <w:t>15.</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保修</w:t>
      </w:r>
      <w:bookmarkEnd w:id="1025"/>
      <w:bookmarkEnd w:id="1026"/>
      <w:bookmarkEnd w:id="1027"/>
      <w:bookmarkEnd w:id="1028"/>
      <w:bookmarkEnd w:id="1029"/>
    </w:p>
    <w:bookmarkEnd w:id="988"/>
    <w:p w14:paraId="4DEEB32E">
      <w:pPr>
        <w:spacing w:line="360" w:lineRule="auto"/>
        <w:ind w:firstLine="409" w:firstLineChars="195"/>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15.3.1 保修责任</w:t>
      </w:r>
    </w:p>
    <w:bookmarkEnd w:id="989"/>
    <w:bookmarkEnd w:id="990"/>
    <w:bookmarkEnd w:id="991"/>
    <w:bookmarkEnd w:id="992"/>
    <w:p w14:paraId="15866816">
      <w:pPr>
        <w:spacing w:line="360" w:lineRule="auto"/>
        <w:ind w:firstLine="409" w:firstLineChars="195"/>
        <w:jc w:val="left"/>
        <w:rPr>
          <w:rFonts w:hint="eastAsia" w:ascii="宋体" w:hAnsi="宋体" w:eastAsia="宋体" w:cs="宋体"/>
          <w:color w:val="auto"/>
          <w:kern w:val="0"/>
          <w:highlight w:val="none"/>
        </w:rPr>
      </w:pPr>
      <w:bookmarkStart w:id="1030" w:name="_Toc487632766"/>
      <w:bookmarkStart w:id="1031" w:name="_Toc407135269"/>
      <w:bookmarkStart w:id="1032" w:name="_Toc351203648"/>
      <w:bookmarkStart w:id="1033" w:name="_Toc373227766"/>
      <w:bookmarkStart w:id="1034" w:name="_Toc389065331"/>
      <w:bookmarkStart w:id="1035" w:name="_Toc373478413"/>
      <w:bookmarkStart w:id="1036" w:name="_Toc280868717"/>
      <w:bookmarkStart w:id="1037" w:name="_Toc280868718"/>
      <w:r>
        <w:rPr>
          <w:rFonts w:hint="eastAsia" w:ascii="宋体" w:hAnsi="宋体" w:eastAsia="宋体" w:cs="宋体"/>
          <w:color w:val="auto"/>
          <w:highlight w:val="none"/>
        </w:rPr>
        <w:t>工程保修期为：</w:t>
      </w:r>
      <w:r>
        <w:rPr>
          <w:rFonts w:hint="eastAsia" w:ascii="宋体" w:hAnsi="宋体" w:eastAsia="宋体" w:cs="宋体"/>
          <w:color w:val="auto"/>
          <w:kern w:val="0"/>
          <w:highlight w:val="none"/>
          <w:u w:val="single"/>
        </w:rPr>
        <w:t xml:space="preserve">   执行《建设工程质量管理条例》规定     </w:t>
      </w:r>
      <w:r>
        <w:rPr>
          <w:rFonts w:hint="eastAsia" w:ascii="宋体" w:hAnsi="宋体" w:eastAsia="宋体" w:cs="宋体"/>
          <w:color w:val="auto"/>
          <w:kern w:val="0"/>
          <w:highlight w:val="none"/>
        </w:rPr>
        <w:t>。</w:t>
      </w:r>
    </w:p>
    <w:p w14:paraId="7C58A4DC">
      <w:pPr>
        <w:spacing w:line="360" w:lineRule="auto"/>
        <w:ind w:firstLine="409" w:firstLineChars="195"/>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工程保修书具体内容见合同附件8。</w:t>
      </w:r>
    </w:p>
    <w:p w14:paraId="6BFFAF39">
      <w:pPr>
        <w:spacing w:line="360" w:lineRule="auto"/>
        <w:ind w:firstLine="409" w:firstLineChars="195"/>
        <w:jc w:val="left"/>
        <w:rPr>
          <w:rFonts w:hint="eastAsia" w:ascii="宋体" w:hAnsi="宋体" w:eastAsia="宋体" w:cs="宋体"/>
          <w:color w:val="auto"/>
          <w:highlight w:val="none"/>
        </w:rPr>
      </w:pPr>
      <w:r>
        <w:rPr>
          <w:rFonts w:hint="eastAsia" w:ascii="宋体" w:hAnsi="宋体" w:eastAsia="宋体" w:cs="宋体"/>
          <w:color w:val="auto"/>
          <w:highlight w:val="none"/>
        </w:rPr>
        <w:t>15.3.2 修复通知</w:t>
      </w:r>
    </w:p>
    <w:p w14:paraId="290DA72A">
      <w:pPr>
        <w:spacing w:line="360" w:lineRule="auto"/>
        <w:ind w:firstLine="409" w:firstLineChars="195"/>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承包人收到保修通知并到达工程现场的合理时间：</w:t>
      </w:r>
      <w:r>
        <w:rPr>
          <w:rFonts w:hint="eastAsia" w:ascii="宋体" w:hAnsi="宋体" w:eastAsia="宋体" w:cs="宋体"/>
          <w:color w:val="auto"/>
          <w:kern w:val="0"/>
          <w:highlight w:val="none"/>
          <w:u w:val="single"/>
        </w:rPr>
        <w:t xml:space="preserve">   3天内  </w:t>
      </w:r>
      <w:r>
        <w:rPr>
          <w:rFonts w:hint="eastAsia" w:ascii="宋体" w:hAnsi="宋体" w:eastAsia="宋体" w:cs="宋体"/>
          <w:color w:val="auto"/>
          <w:kern w:val="0"/>
          <w:highlight w:val="none"/>
        </w:rPr>
        <w:t>。</w:t>
      </w:r>
    </w:p>
    <w:p w14:paraId="7E19EF72">
      <w:pPr>
        <w:pStyle w:val="3"/>
        <w:rPr>
          <w:rFonts w:hint="eastAsia" w:ascii="宋体" w:hAnsi="宋体" w:eastAsia="宋体" w:cs="宋体"/>
          <w:color w:val="auto"/>
          <w:highlight w:val="none"/>
        </w:rPr>
      </w:pPr>
      <w:r>
        <w:rPr>
          <w:rFonts w:hint="eastAsia" w:ascii="宋体" w:hAnsi="宋体" w:eastAsia="宋体" w:cs="宋体"/>
          <w:color w:val="auto"/>
          <w:highlight w:val="none"/>
        </w:rPr>
        <w:t>16. 违约</w:t>
      </w:r>
      <w:bookmarkEnd w:id="1030"/>
      <w:bookmarkEnd w:id="1031"/>
      <w:bookmarkEnd w:id="1032"/>
      <w:bookmarkEnd w:id="1033"/>
      <w:bookmarkEnd w:id="1034"/>
      <w:bookmarkEnd w:id="1035"/>
    </w:p>
    <w:p w14:paraId="2C71EA28">
      <w:pPr>
        <w:pStyle w:val="4"/>
        <w:rPr>
          <w:rFonts w:hint="eastAsia" w:ascii="宋体" w:hAnsi="宋体" w:eastAsia="宋体" w:cs="宋体"/>
          <w:color w:val="auto"/>
          <w:highlight w:val="none"/>
        </w:rPr>
      </w:pPr>
      <w:bookmarkStart w:id="1038" w:name="_Toc373478414"/>
      <w:bookmarkStart w:id="1039" w:name="_Toc487632767"/>
      <w:bookmarkStart w:id="1040" w:name="_Toc407135270"/>
      <w:bookmarkStart w:id="1041" w:name="_Toc373227767"/>
      <w:bookmarkStart w:id="1042" w:name="_Toc389065332"/>
      <w:r>
        <w:rPr>
          <w:rFonts w:hint="eastAsia" w:ascii="宋体" w:hAnsi="宋体" w:eastAsia="宋体" w:cs="宋体"/>
          <w:color w:val="auto"/>
          <w:highlight w:val="none"/>
        </w:rPr>
        <w:t>16.1 发包人违约</w:t>
      </w:r>
      <w:bookmarkEnd w:id="1038"/>
      <w:bookmarkEnd w:id="1039"/>
      <w:bookmarkEnd w:id="1040"/>
      <w:bookmarkEnd w:id="1041"/>
      <w:bookmarkEnd w:id="1042"/>
    </w:p>
    <w:p w14:paraId="5659B07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16.1.1发包人违约的情形</w:t>
      </w:r>
    </w:p>
    <w:p w14:paraId="157BFA4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发包人违约的其他情形：</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按通用条款执行</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275D50C9">
      <w:pPr>
        <w:spacing w:line="360" w:lineRule="auto"/>
        <w:ind w:firstLine="420" w:firstLineChars="200"/>
        <w:jc w:val="left"/>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16.1.2 发包人违约的责任</w:t>
      </w:r>
    </w:p>
    <w:p w14:paraId="4B38C5F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发包人违约责任的承担方式和计算方法：</w:t>
      </w:r>
    </w:p>
    <w:p w14:paraId="5F27565D">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（1）因发包人原因未能在计划开工日期前7天内下达开工通知的违约责任：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2346AA8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（2）因发包人原因未能按合同约定支付合同价款的违约责任：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201F76B7">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（3）发包人违反第10.1款〔变更的范围〕第（2）项约定，自行实施被取消的工作或转由他人实施的违约责任：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37A61A34">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49F79037">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（5）因发包人违反合同约定造成暂停施工的违约责任：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5299DB6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（6）发包人无正当理由没有在约定期限内发出复工指示，导致承包人无法复工的违约责任：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2AB5636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（7）其他：</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17248F6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16.1.3 因发包人违约解除合同</w:t>
      </w:r>
    </w:p>
    <w:p w14:paraId="2046BCC6">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承包人按16.1.1项〔发包人违约的情形〕约定暂停施工满</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天后发包人仍不纠正其违约行为并致使合同目的不能实现的，承包人有权解除合同。</w:t>
      </w:r>
    </w:p>
    <w:p w14:paraId="27D58DEC">
      <w:pPr>
        <w:pStyle w:val="4"/>
        <w:rPr>
          <w:rFonts w:hint="eastAsia" w:ascii="宋体" w:hAnsi="宋体" w:eastAsia="宋体" w:cs="宋体"/>
          <w:color w:val="auto"/>
          <w:highlight w:val="none"/>
        </w:rPr>
      </w:pPr>
      <w:bookmarkStart w:id="1043" w:name="_Toc373478415"/>
      <w:bookmarkStart w:id="1044" w:name="_Toc389065333"/>
      <w:bookmarkStart w:id="1045" w:name="_Toc487632768"/>
      <w:bookmarkStart w:id="1046" w:name="_Toc373227768"/>
      <w:bookmarkStart w:id="1047" w:name="_Toc407135271"/>
      <w:r>
        <w:rPr>
          <w:rFonts w:hint="eastAsia" w:ascii="宋体" w:hAnsi="宋体" w:eastAsia="宋体" w:cs="宋体"/>
          <w:color w:val="auto"/>
          <w:highlight w:val="none"/>
        </w:rPr>
        <w:t>16.2 承包人违约</w:t>
      </w:r>
      <w:bookmarkEnd w:id="1043"/>
      <w:bookmarkEnd w:id="1044"/>
      <w:bookmarkEnd w:id="1045"/>
      <w:bookmarkEnd w:id="1046"/>
      <w:bookmarkEnd w:id="1047"/>
    </w:p>
    <w:p w14:paraId="0C11E7E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16.2.1 承包人违约的情形</w:t>
      </w:r>
    </w:p>
    <w:p w14:paraId="34C54134">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承包人违约的其他情形：</w:t>
      </w:r>
      <w:r>
        <w:rPr>
          <w:rFonts w:hint="eastAsia" w:ascii="宋体" w:hAnsi="宋体" w:eastAsia="宋体" w:cs="宋体"/>
          <w:color w:val="auto"/>
          <w:kern w:val="0"/>
          <w:highlight w:val="none"/>
          <w:u w:val="single"/>
        </w:rPr>
        <w:t xml:space="preserve">   非承包人原因发生的工程事故，承包人不积极采取措施，导致经济损失扩大  </w:t>
      </w:r>
      <w:r>
        <w:rPr>
          <w:rFonts w:hint="eastAsia" w:ascii="宋体" w:hAnsi="宋体" w:eastAsia="宋体" w:cs="宋体"/>
          <w:color w:val="auto"/>
          <w:kern w:val="0"/>
          <w:highlight w:val="none"/>
        </w:rPr>
        <w:t>。</w:t>
      </w:r>
    </w:p>
    <w:p w14:paraId="71B746AE">
      <w:pPr>
        <w:spacing w:line="360" w:lineRule="auto"/>
        <w:ind w:firstLine="420" w:firstLineChars="200"/>
        <w:jc w:val="left"/>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16.2.2承包人违约的责任</w:t>
      </w:r>
    </w:p>
    <w:p w14:paraId="5990C463">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承包人违约责任的承担方式和计算方法：</w:t>
      </w:r>
    </w:p>
    <w:p w14:paraId="29F0DBB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0D9A1E47">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（2）承包人有本合同通用条款第16.2.1（6）条情形的，或经监理人检验认为修复质量不合格而承包人拒绝再进行修补的，发包人将扣除承包人全部质量保修金。</w:t>
      </w:r>
    </w:p>
    <w:p w14:paraId="29DD004A">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326B203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16.2.3 因承包人违约解除合同</w:t>
      </w:r>
    </w:p>
    <w:p w14:paraId="5EE43EB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关于承包人违约解除合同的特别约定：</w:t>
      </w:r>
      <w:r>
        <w:rPr>
          <w:rFonts w:hint="eastAsia" w:ascii="宋体" w:hAnsi="宋体" w:eastAsia="宋体" w:cs="宋体"/>
          <w:color w:val="auto"/>
          <w:kern w:val="0"/>
          <w:highlight w:val="none"/>
          <w:u w:val="single"/>
        </w:rPr>
        <w:t>承包人有违反以下情况之一的，发包人有权解除合同，并没收其全部履约保证金</w:t>
      </w:r>
      <w:r>
        <w:rPr>
          <w:rFonts w:hint="eastAsia" w:ascii="宋体" w:hAnsi="宋体" w:eastAsia="宋体" w:cs="宋体"/>
          <w:color w:val="auto"/>
          <w:kern w:val="0"/>
          <w:highlight w:val="none"/>
        </w:rPr>
        <w:t>。</w:t>
      </w:r>
    </w:p>
    <w:p w14:paraId="090FEEF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(1)承包人无正当理由不按开工通知的要求及时进场组织施工和不按签订协议书时商定的进度计划有效地开展施工准备，造成工期延误的；</w:t>
      </w:r>
    </w:p>
    <w:p w14:paraId="34CB1B2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(2)承包人违反本合同通用条款第3.5条规定私自将合同或合同的任何部分或任何权利转让给其他人，或私自将工程或工程的一部分分包出去的；</w:t>
      </w:r>
    </w:p>
    <w:p w14:paraId="52C92C7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(3)未经监理人批准，承包人私自将已按投标文件承诺进入工地的工程设备、施工设备、临时工程或材料撤离工地的；</w:t>
      </w:r>
    </w:p>
    <w:p w14:paraId="3CDFD30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(4)由于承包人原因拒绝按合同进度计划及时完成合同规定的工程，而又未采取有效措施赶上进度，造成工期严重延误的；</w:t>
      </w:r>
    </w:p>
    <w:p w14:paraId="7980B1B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(5)承包人否认合同有效或拒绝履行合同规定的承包人义务，或由于法律、财务等原因导致承包人无法继续履行或实质上已停止履行合同的义务的；</w:t>
      </w:r>
    </w:p>
    <w:p w14:paraId="6DAD7D47">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(6)合同签订之日起十五日内，承包人无法按合同规定及投标文件的承诺进场经监理工程师认可的全部人员和机械的。</w:t>
      </w:r>
    </w:p>
    <w:p w14:paraId="73D648B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highlight w:val="none"/>
          <w:u w:val="single"/>
        </w:rPr>
        <w:t xml:space="preserve">      费用另行约定，由发包人承担        </w:t>
      </w:r>
      <w:r>
        <w:rPr>
          <w:rFonts w:hint="eastAsia" w:ascii="宋体" w:hAnsi="宋体" w:eastAsia="宋体" w:cs="宋体"/>
          <w:color w:val="auto"/>
          <w:kern w:val="0"/>
          <w:highlight w:val="none"/>
        </w:rPr>
        <w:t>。</w:t>
      </w:r>
    </w:p>
    <w:p w14:paraId="4DD9B4F8">
      <w:pPr>
        <w:pStyle w:val="3"/>
        <w:rPr>
          <w:rFonts w:hint="eastAsia" w:ascii="宋体" w:hAnsi="宋体" w:eastAsia="宋体" w:cs="宋体"/>
          <w:color w:val="auto"/>
          <w:highlight w:val="none"/>
        </w:rPr>
      </w:pPr>
      <w:bookmarkStart w:id="1048" w:name="_Toc487632769"/>
      <w:bookmarkStart w:id="1049" w:name="_Toc373478416"/>
      <w:bookmarkStart w:id="1050" w:name="_Toc407135272"/>
      <w:bookmarkStart w:id="1051" w:name="_Toc351203649"/>
      <w:bookmarkStart w:id="1052" w:name="_Toc389065334"/>
      <w:bookmarkStart w:id="1053" w:name="_Toc373227769"/>
      <w:r>
        <w:rPr>
          <w:rFonts w:hint="eastAsia" w:ascii="宋体" w:hAnsi="宋体" w:eastAsia="宋体" w:cs="宋体"/>
          <w:color w:val="auto"/>
          <w:highlight w:val="none"/>
        </w:rPr>
        <w:t>17. 不可抗力</w:t>
      </w:r>
      <w:bookmarkEnd w:id="1048"/>
      <w:bookmarkEnd w:id="1049"/>
      <w:bookmarkEnd w:id="1050"/>
      <w:bookmarkEnd w:id="1051"/>
      <w:bookmarkEnd w:id="1052"/>
      <w:bookmarkEnd w:id="1053"/>
      <w:r>
        <w:rPr>
          <w:rFonts w:hint="eastAsia" w:ascii="宋体" w:hAnsi="宋体" w:eastAsia="宋体" w:cs="宋体"/>
          <w:color w:val="auto"/>
          <w:highlight w:val="none"/>
        </w:rPr>
        <w:t xml:space="preserve"> </w:t>
      </w:r>
      <w:bookmarkEnd w:id="1036"/>
    </w:p>
    <w:p w14:paraId="0C9DBADA">
      <w:pPr>
        <w:pStyle w:val="4"/>
        <w:rPr>
          <w:rFonts w:hint="eastAsia" w:ascii="宋体" w:hAnsi="宋体" w:eastAsia="宋体" w:cs="宋体"/>
          <w:color w:val="auto"/>
          <w:highlight w:val="none"/>
        </w:rPr>
      </w:pPr>
      <w:bookmarkStart w:id="1054" w:name="_Toc373227770"/>
      <w:bookmarkStart w:id="1055" w:name="_Toc487632770"/>
      <w:bookmarkStart w:id="1056" w:name="_Toc389065335"/>
      <w:bookmarkStart w:id="1057" w:name="_Toc407135273"/>
      <w:bookmarkStart w:id="1058" w:name="_Toc373478417"/>
      <w:r>
        <w:rPr>
          <w:rFonts w:hint="eastAsia" w:ascii="宋体" w:hAnsi="宋体" w:eastAsia="宋体" w:cs="宋体"/>
          <w:color w:val="auto"/>
          <w:highlight w:val="none"/>
        </w:rPr>
        <w:t>17.1 不可抗力的确认</w:t>
      </w:r>
      <w:bookmarkEnd w:id="1054"/>
      <w:bookmarkEnd w:id="1055"/>
      <w:bookmarkEnd w:id="1056"/>
      <w:bookmarkEnd w:id="1057"/>
      <w:bookmarkEnd w:id="1058"/>
    </w:p>
    <w:p w14:paraId="1CB85382">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除通用合同条款约定的不可抗力事件之外，视为不可抗力的其他情形：</w:t>
      </w:r>
      <w:r>
        <w:rPr>
          <w:rFonts w:hint="eastAsia" w:ascii="宋体" w:hAnsi="宋体" w:eastAsia="宋体" w:cs="宋体"/>
          <w:color w:val="auto"/>
          <w:kern w:val="0"/>
          <w:highlight w:val="none"/>
          <w:u w:val="single"/>
        </w:rPr>
        <w:t xml:space="preserve">   无        </w:t>
      </w:r>
      <w:r>
        <w:rPr>
          <w:rFonts w:hint="eastAsia" w:ascii="宋体" w:hAnsi="宋体" w:eastAsia="宋体" w:cs="宋体"/>
          <w:color w:val="auto"/>
          <w:kern w:val="0"/>
          <w:highlight w:val="none"/>
        </w:rPr>
        <w:t>。</w:t>
      </w:r>
    </w:p>
    <w:p w14:paraId="7A477C10">
      <w:pPr>
        <w:pStyle w:val="4"/>
        <w:rPr>
          <w:rFonts w:hint="eastAsia" w:ascii="宋体" w:hAnsi="宋体" w:eastAsia="宋体" w:cs="宋体"/>
          <w:color w:val="auto"/>
          <w:highlight w:val="none"/>
        </w:rPr>
      </w:pPr>
      <w:bookmarkStart w:id="1059" w:name="_Toc389065336"/>
      <w:bookmarkStart w:id="1060" w:name="_Toc373478418"/>
      <w:bookmarkStart w:id="1061" w:name="_Toc373227771"/>
      <w:bookmarkStart w:id="1062" w:name="_Toc487632771"/>
      <w:bookmarkStart w:id="1063" w:name="_Toc407135274"/>
      <w:r>
        <w:rPr>
          <w:rFonts w:hint="eastAsia" w:ascii="宋体" w:hAnsi="宋体" w:eastAsia="宋体" w:cs="宋体"/>
          <w:color w:val="auto"/>
          <w:highlight w:val="none"/>
        </w:rPr>
        <w:t>17.</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因不可抗力解除合同</w:t>
      </w:r>
      <w:bookmarkEnd w:id="1059"/>
      <w:bookmarkEnd w:id="1060"/>
      <w:bookmarkEnd w:id="1061"/>
      <w:bookmarkEnd w:id="1062"/>
      <w:bookmarkEnd w:id="1063"/>
    </w:p>
    <w:p w14:paraId="7E946CD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合同解除后，发包人应在商定或确定发包人应支付款项后</w:t>
      </w:r>
      <w:r>
        <w:rPr>
          <w:rFonts w:hint="eastAsia" w:ascii="宋体" w:hAnsi="宋体" w:eastAsia="宋体" w:cs="宋体"/>
          <w:color w:val="auto"/>
          <w:highlight w:val="none"/>
          <w:u w:val="single"/>
        </w:rPr>
        <w:t xml:space="preserve">  15  </w:t>
      </w:r>
      <w:r>
        <w:rPr>
          <w:rFonts w:hint="eastAsia" w:ascii="宋体" w:hAnsi="宋体" w:eastAsia="宋体" w:cs="宋体"/>
          <w:color w:val="auto"/>
          <w:highlight w:val="none"/>
        </w:rPr>
        <w:t>天内完成款项的支付。</w:t>
      </w:r>
    </w:p>
    <w:p w14:paraId="0F2B412C">
      <w:pPr>
        <w:pStyle w:val="3"/>
        <w:rPr>
          <w:rFonts w:hint="eastAsia" w:ascii="宋体" w:hAnsi="宋体" w:eastAsia="宋体" w:cs="宋体"/>
          <w:color w:val="auto"/>
          <w:highlight w:val="none"/>
        </w:rPr>
      </w:pPr>
      <w:bookmarkStart w:id="1064" w:name="_Toc407135275"/>
      <w:bookmarkStart w:id="1065" w:name="_Toc389065337"/>
      <w:bookmarkStart w:id="1066" w:name="_Toc373227772"/>
      <w:bookmarkStart w:id="1067" w:name="_Toc487632772"/>
      <w:bookmarkStart w:id="1068" w:name="_Toc351203650"/>
      <w:bookmarkStart w:id="1069" w:name="_Toc373478419"/>
      <w:r>
        <w:rPr>
          <w:rFonts w:hint="eastAsia" w:ascii="宋体" w:hAnsi="宋体" w:eastAsia="宋体" w:cs="宋体"/>
          <w:color w:val="auto"/>
          <w:highlight w:val="none"/>
        </w:rPr>
        <w:t>18. 保险</w:t>
      </w:r>
      <w:bookmarkEnd w:id="1064"/>
      <w:bookmarkEnd w:id="1065"/>
      <w:bookmarkEnd w:id="1066"/>
      <w:bookmarkEnd w:id="1067"/>
      <w:bookmarkEnd w:id="1068"/>
      <w:bookmarkEnd w:id="1069"/>
    </w:p>
    <w:bookmarkEnd w:id="1037"/>
    <w:p w14:paraId="3E26A4DA">
      <w:pPr>
        <w:pStyle w:val="4"/>
        <w:rPr>
          <w:rFonts w:hint="eastAsia" w:ascii="宋体" w:hAnsi="宋体" w:eastAsia="宋体" w:cs="宋体"/>
          <w:color w:val="auto"/>
          <w:highlight w:val="none"/>
        </w:rPr>
      </w:pPr>
      <w:bookmarkStart w:id="1070" w:name="_Toc389065338"/>
      <w:bookmarkStart w:id="1071" w:name="_Toc373227773"/>
      <w:bookmarkStart w:id="1072" w:name="_Toc487632773"/>
      <w:bookmarkStart w:id="1073" w:name="_Toc407135276"/>
      <w:bookmarkStart w:id="1074" w:name="_Toc373478420"/>
      <w:r>
        <w:rPr>
          <w:rFonts w:hint="eastAsia" w:ascii="宋体" w:hAnsi="宋体" w:eastAsia="宋体" w:cs="宋体"/>
          <w:color w:val="auto"/>
          <w:highlight w:val="none"/>
        </w:rPr>
        <w:t>18.1 工程保险</w:t>
      </w:r>
      <w:bookmarkEnd w:id="1070"/>
      <w:bookmarkEnd w:id="1071"/>
      <w:bookmarkEnd w:id="1072"/>
      <w:bookmarkEnd w:id="1073"/>
      <w:bookmarkEnd w:id="1074"/>
    </w:p>
    <w:p w14:paraId="1A41CF3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关于工程保险的特别约定：</w:t>
      </w:r>
      <w:r>
        <w:rPr>
          <w:rFonts w:hint="eastAsia" w:ascii="宋体" w:hAnsi="宋体" w:eastAsia="宋体" w:cs="宋体"/>
          <w:color w:val="auto"/>
          <w:kern w:val="0"/>
          <w:highlight w:val="none"/>
          <w:u w:val="single"/>
        </w:rPr>
        <w:t xml:space="preserve">    由承包人负责并承担费用    </w:t>
      </w:r>
      <w:r>
        <w:rPr>
          <w:rFonts w:hint="eastAsia" w:ascii="宋体" w:hAnsi="宋体" w:eastAsia="宋体" w:cs="宋体"/>
          <w:color w:val="auto"/>
          <w:kern w:val="0"/>
          <w:highlight w:val="none"/>
        </w:rPr>
        <w:t>。</w:t>
      </w:r>
    </w:p>
    <w:p w14:paraId="3896236D">
      <w:pPr>
        <w:pStyle w:val="4"/>
        <w:rPr>
          <w:rFonts w:hint="eastAsia" w:ascii="宋体" w:hAnsi="宋体" w:eastAsia="宋体" w:cs="宋体"/>
          <w:color w:val="auto"/>
          <w:highlight w:val="none"/>
        </w:rPr>
      </w:pPr>
      <w:bookmarkStart w:id="1075" w:name="_Toc373478421"/>
      <w:bookmarkStart w:id="1076" w:name="_Toc389065339"/>
      <w:bookmarkStart w:id="1077" w:name="_Toc407135277"/>
      <w:bookmarkStart w:id="1078" w:name="_Toc373227774"/>
      <w:bookmarkStart w:id="1079" w:name="_Toc487632774"/>
      <w:r>
        <w:rPr>
          <w:rFonts w:hint="eastAsia" w:ascii="宋体" w:hAnsi="宋体" w:eastAsia="宋体" w:cs="宋体"/>
          <w:color w:val="auto"/>
          <w:highlight w:val="none"/>
        </w:rPr>
        <w:t>18.</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其他保险</w:t>
      </w:r>
      <w:bookmarkEnd w:id="1075"/>
      <w:bookmarkEnd w:id="1076"/>
      <w:bookmarkEnd w:id="1077"/>
      <w:bookmarkEnd w:id="1078"/>
      <w:bookmarkEnd w:id="1079"/>
    </w:p>
    <w:p w14:paraId="29046A5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关于其他保险的约定：</w:t>
      </w:r>
      <w:r>
        <w:rPr>
          <w:rFonts w:hint="eastAsia" w:ascii="宋体" w:hAnsi="宋体" w:eastAsia="宋体" w:cs="宋体"/>
          <w:color w:val="auto"/>
          <w:highlight w:val="none"/>
          <w:u w:val="single"/>
        </w:rPr>
        <w:t xml:space="preserve">       由承包人考虑并承担费用         </w:t>
      </w:r>
      <w:r>
        <w:rPr>
          <w:rFonts w:hint="eastAsia" w:ascii="宋体" w:hAnsi="宋体" w:eastAsia="宋体" w:cs="宋体"/>
          <w:color w:val="auto"/>
          <w:highlight w:val="none"/>
        </w:rPr>
        <w:t>。</w:t>
      </w:r>
    </w:p>
    <w:p w14:paraId="0C006C5A">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承包人是否应为其施工设备等办理财产保险：</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9BEB61B">
      <w:pPr>
        <w:pStyle w:val="4"/>
        <w:rPr>
          <w:rFonts w:hint="eastAsia" w:ascii="宋体" w:hAnsi="宋体" w:eastAsia="宋体" w:cs="宋体"/>
          <w:color w:val="auto"/>
          <w:highlight w:val="none"/>
        </w:rPr>
      </w:pPr>
      <w:bookmarkStart w:id="1080" w:name="_Toc389065340"/>
      <w:bookmarkStart w:id="1081" w:name="_Toc407135278"/>
      <w:bookmarkStart w:id="1082" w:name="_Toc373478422"/>
      <w:bookmarkStart w:id="1083" w:name="_Toc487632775"/>
      <w:bookmarkStart w:id="1084" w:name="_Toc373227775"/>
      <w:r>
        <w:rPr>
          <w:rFonts w:hint="eastAsia" w:ascii="宋体" w:hAnsi="宋体" w:eastAsia="宋体" w:cs="宋体"/>
          <w:color w:val="auto"/>
          <w:highlight w:val="none"/>
        </w:rPr>
        <w:t>18.</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通知义务</w:t>
      </w:r>
      <w:bookmarkEnd w:id="1080"/>
      <w:bookmarkEnd w:id="1081"/>
      <w:bookmarkEnd w:id="1082"/>
      <w:bookmarkEnd w:id="1083"/>
      <w:bookmarkEnd w:id="1084"/>
    </w:p>
    <w:p w14:paraId="786F398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关于变更保险合同时的通知义务的约定：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993"/>
    <w:bookmarkEnd w:id="994"/>
    <w:bookmarkEnd w:id="995"/>
    <w:bookmarkEnd w:id="996"/>
    <w:bookmarkEnd w:id="997"/>
    <w:bookmarkEnd w:id="998"/>
    <w:bookmarkEnd w:id="999"/>
    <w:bookmarkEnd w:id="1000"/>
    <w:bookmarkEnd w:id="1001"/>
    <w:bookmarkEnd w:id="1002"/>
    <w:bookmarkEnd w:id="1003"/>
    <w:bookmarkEnd w:id="1004"/>
    <w:p w14:paraId="78B92217">
      <w:pPr>
        <w:pStyle w:val="3"/>
        <w:rPr>
          <w:rFonts w:hint="eastAsia" w:ascii="宋体" w:hAnsi="宋体" w:eastAsia="宋体" w:cs="宋体"/>
          <w:color w:val="auto"/>
          <w:highlight w:val="none"/>
        </w:rPr>
      </w:pPr>
      <w:bookmarkStart w:id="1085" w:name="_Toc487632776"/>
      <w:bookmarkStart w:id="1086" w:name="_Toc407135279"/>
      <w:bookmarkStart w:id="1087" w:name="_Toc389065341"/>
      <w:bookmarkStart w:id="1088" w:name="_Toc351203651"/>
      <w:bookmarkStart w:id="1089" w:name="_Toc373227776"/>
      <w:bookmarkStart w:id="1090" w:name="_Toc373478423"/>
      <w:r>
        <w:rPr>
          <w:rFonts w:hint="eastAsia" w:ascii="宋体" w:hAnsi="宋体" w:eastAsia="宋体" w:cs="宋体"/>
          <w:color w:val="auto"/>
          <w:highlight w:val="none"/>
        </w:rPr>
        <w:t>20. 争议解决</w:t>
      </w:r>
      <w:bookmarkEnd w:id="1085"/>
      <w:bookmarkEnd w:id="1086"/>
      <w:bookmarkEnd w:id="1087"/>
      <w:bookmarkEnd w:id="1088"/>
      <w:bookmarkEnd w:id="1089"/>
      <w:bookmarkEnd w:id="1090"/>
    </w:p>
    <w:bookmarkEnd w:id="1005"/>
    <w:bookmarkEnd w:id="1006"/>
    <w:p w14:paraId="41CA2FF3">
      <w:pPr>
        <w:pStyle w:val="4"/>
        <w:rPr>
          <w:rFonts w:hint="eastAsia" w:ascii="宋体" w:hAnsi="宋体" w:eastAsia="宋体" w:cs="宋体"/>
          <w:color w:val="auto"/>
          <w:highlight w:val="none"/>
        </w:rPr>
      </w:pPr>
      <w:bookmarkStart w:id="1091" w:name="_Toc407135280"/>
      <w:bookmarkStart w:id="1092" w:name="_Toc373478424"/>
      <w:bookmarkStart w:id="1093" w:name="_Toc487632777"/>
      <w:bookmarkStart w:id="1094" w:name="_Toc389065342"/>
      <w:bookmarkStart w:id="1095" w:name="_Toc373227777"/>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 xml:space="preserve"> 争</w:t>
      </w:r>
      <w:bookmarkEnd w:id="1007"/>
      <w:r>
        <w:rPr>
          <w:rFonts w:hint="eastAsia" w:ascii="宋体" w:hAnsi="宋体" w:eastAsia="宋体" w:cs="宋体"/>
          <w:color w:val="auto"/>
          <w:highlight w:val="none"/>
        </w:rPr>
        <w:t>议评审</w:t>
      </w:r>
      <w:bookmarkEnd w:id="1091"/>
      <w:bookmarkEnd w:id="1092"/>
      <w:bookmarkEnd w:id="1093"/>
      <w:bookmarkEnd w:id="1094"/>
      <w:bookmarkEnd w:id="1095"/>
    </w:p>
    <w:p w14:paraId="293EE9ED">
      <w:pPr>
        <w:spacing w:line="360" w:lineRule="auto"/>
        <w:ind w:left="149" w:leftChars="71" w:firstLine="315" w:firstLineChars="15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合同当事人是否同意将工程争议提交争议评审小组决定：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2839365">
      <w:pPr>
        <w:spacing w:line="360" w:lineRule="auto"/>
        <w:ind w:firstLine="420" w:firstLineChars="200"/>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20.1.1 争议评审小组的确定</w:t>
      </w:r>
    </w:p>
    <w:p w14:paraId="2CD50959">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争议评审小组成员的确定：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33D948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选定争议评审员的期限：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3C42BA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争议评审小组成员的报酬承担方式：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ECA088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其他事项的约定：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75CFBB2">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20.1.2 争议评审小组的决定</w:t>
      </w:r>
    </w:p>
    <w:p w14:paraId="61871A3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合同当事人关于本项的约定：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3FF85F4">
      <w:pPr>
        <w:pStyle w:val="4"/>
        <w:rPr>
          <w:rFonts w:hint="eastAsia" w:ascii="宋体" w:hAnsi="宋体" w:eastAsia="宋体" w:cs="宋体"/>
          <w:color w:val="auto"/>
          <w:highlight w:val="none"/>
        </w:rPr>
      </w:pPr>
      <w:bookmarkStart w:id="1096" w:name="_Toc407135281"/>
      <w:bookmarkStart w:id="1097" w:name="_Toc373478425"/>
      <w:bookmarkStart w:id="1098" w:name="_Toc373227778"/>
      <w:bookmarkStart w:id="1099" w:name="_Toc389065343"/>
      <w:bookmarkStart w:id="1100" w:name="_Toc487632778"/>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仲裁或诉讼</w:t>
      </w:r>
      <w:bookmarkEnd w:id="1008"/>
      <w:bookmarkEnd w:id="1096"/>
      <w:bookmarkEnd w:id="1097"/>
      <w:bookmarkEnd w:id="1098"/>
      <w:bookmarkEnd w:id="1099"/>
      <w:bookmarkEnd w:id="1100"/>
    </w:p>
    <w:p w14:paraId="7EEA71B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因合同及合同有关事项发生的争议，按下列第</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种方式解决：</w:t>
      </w:r>
    </w:p>
    <w:p w14:paraId="7FCE758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（1）提请</w:t>
      </w:r>
      <w:r>
        <w:rPr>
          <w:rFonts w:hint="eastAsia" w:ascii="宋体" w:hAnsi="宋体" w:eastAsia="宋体" w:cs="宋体"/>
          <w:color w:val="auto"/>
          <w:highlight w:val="none"/>
          <w:u w:val="single"/>
        </w:rPr>
        <w:t xml:space="preserve">  梧州市   </w:t>
      </w:r>
      <w:r>
        <w:rPr>
          <w:rFonts w:hint="eastAsia" w:ascii="宋体" w:hAnsi="宋体" w:eastAsia="宋体" w:cs="宋体"/>
          <w:color w:val="auto"/>
          <w:highlight w:val="none"/>
        </w:rPr>
        <w:t>仲裁委员会按照该会仲裁规则进行仲裁，仲裁裁决是终局的，对合同双方均有约束力。</w:t>
      </w:r>
    </w:p>
    <w:p w14:paraId="4A58D7B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（2）向</w:t>
      </w:r>
      <w:r>
        <w:rPr>
          <w:rFonts w:hint="eastAsia" w:ascii="宋体" w:hAnsi="宋体" w:eastAsia="宋体" w:cs="宋体"/>
          <w:color w:val="auto"/>
          <w:highlight w:val="none"/>
          <w:u w:val="single"/>
        </w:rPr>
        <w:t xml:space="preserve">    工程所在地  </w:t>
      </w:r>
      <w:r>
        <w:rPr>
          <w:rFonts w:hint="eastAsia" w:ascii="宋体" w:hAnsi="宋体" w:eastAsia="宋体" w:cs="宋体"/>
          <w:color w:val="auto"/>
          <w:highlight w:val="none"/>
        </w:rPr>
        <w:t>人民法院起诉。</w:t>
      </w:r>
      <w:bookmarkEnd w:id="1009"/>
      <w:bookmarkEnd w:id="1010"/>
      <w:bookmarkEnd w:id="1011"/>
      <w:bookmarkEnd w:id="1012"/>
      <w:bookmarkEnd w:id="1013"/>
      <w:bookmarkEnd w:id="1014"/>
    </w:p>
    <w:p w14:paraId="30053C78">
      <w:pPr>
        <w:pStyle w:val="3"/>
        <w:rPr>
          <w:rFonts w:hint="eastAsia" w:ascii="宋体" w:hAnsi="宋体" w:eastAsia="宋体" w:cs="宋体"/>
          <w:color w:val="auto"/>
          <w:highlight w:val="none"/>
        </w:rPr>
      </w:pPr>
      <w:bookmarkStart w:id="1101" w:name="_Toc373227779"/>
      <w:bookmarkStart w:id="1102" w:name="_Toc373478426"/>
      <w:bookmarkStart w:id="1103" w:name="_Toc389065344"/>
      <w:bookmarkStart w:id="1104" w:name="_Toc487632779"/>
      <w:bookmarkStart w:id="1105" w:name="_Toc407135282"/>
      <w:r>
        <w:rPr>
          <w:rFonts w:hint="eastAsia" w:ascii="宋体" w:hAnsi="宋体" w:eastAsia="宋体" w:cs="宋体"/>
          <w:color w:val="auto"/>
          <w:highlight w:val="none"/>
        </w:rPr>
        <w:t>21. 补充条款</w:t>
      </w:r>
      <w:bookmarkEnd w:id="1101"/>
      <w:bookmarkEnd w:id="1102"/>
      <w:bookmarkEnd w:id="1103"/>
      <w:bookmarkEnd w:id="1104"/>
      <w:bookmarkEnd w:id="1105"/>
    </w:p>
    <w:p w14:paraId="0A97555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21.1 凡进入本工程工作的妇女应持有计生证、否则不准安排工作，禁止使用童工。</w:t>
      </w:r>
    </w:p>
    <w:p w14:paraId="2480E0DE">
      <w:pPr>
        <w:widowControl/>
        <w:autoSpaceDE/>
        <w:autoSpaceDN/>
        <w:snapToGrid/>
        <w:spacing w:before="0" w:after="0" w:line="480" w:lineRule="exact"/>
        <w:jc w:val="center"/>
        <w:rPr>
          <w:rFonts w:hint="eastAsia" w:ascii="宋体" w:hAnsi="宋体" w:eastAsia="宋体" w:cs="宋体"/>
          <w:b w:val="0"/>
          <w:color w:val="auto"/>
          <w:w w:val="100"/>
          <w:sz w:val="18"/>
          <w:szCs w:val="22"/>
          <w:highlight w:val="none"/>
        </w:rPr>
      </w:pPr>
      <w:r>
        <w:rPr>
          <w:rFonts w:hint="eastAsia" w:ascii="宋体" w:hAnsi="宋体" w:cs="宋体"/>
          <w:szCs w:val="21"/>
          <w:highlight w:val="none"/>
        </w:rPr>
        <w:br w:type="page"/>
      </w:r>
      <w:r>
        <w:rPr>
          <w:rFonts w:hint="eastAsia" w:ascii="宋体" w:hAnsi="宋体" w:eastAsia="宋体" w:cs="宋体"/>
          <w:b/>
          <w:color w:val="auto"/>
          <w:w w:val="100"/>
          <w:sz w:val="28"/>
          <w:szCs w:val="21"/>
          <w:highlight w:val="none"/>
        </w:rPr>
        <w:t>廉洁协议书（范本）</w:t>
      </w:r>
    </w:p>
    <w:p w14:paraId="2B162EA4">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为了增强甲乙双方依法经营、廉洁从业意识，完善自我约束、自我监督机制，营造守法诚信、廉洁高效的工作环境，防止发生违法违纪行为，保护国家、集体和当事人的合法权益，根据国家有关法律法规和廉洁自律规定，特订立本廉洁协议书：</w:t>
      </w:r>
    </w:p>
    <w:p w14:paraId="7B7982B2">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第一条 甲、乙双方的共同责任</w:t>
      </w:r>
    </w:p>
    <w:p w14:paraId="4B67D642">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（一）严格遵守国家关于市场准入、招标投标、工程建设、物资采购等市场经济活动的法律法规、政策以及廉洁建设规定。</w:t>
      </w:r>
    </w:p>
    <w:p w14:paraId="39B18B37">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（二）严格履行合同约定，自觉承担合同义务。</w:t>
      </w:r>
    </w:p>
    <w:p w14:paraId="6294FB31">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（三）业务活动必须坚持公平、公正、公开和诚实守信的原则（除法律法规另有规定者外），不得为获取不正当利益，损害国家、集体和对方利益，不违反招标投标、工程建设管理、物资采购等方面的规章制度。</w:t>
      </w:r>
    </w:p>
    <w:p w14:paraId="4B536C70">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（四）建立健全自我制约制度，开展廉洁教育，公布举报电话，监督并认真查处违法违纪行为。</w:t>
      </w:r>
    </w:p>
    <w:p w14:paraId="66A8A35A">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val="0"/>
          <w:color w:val="auto"/>
          <w:w w:val="100"/>
          <w:sz w:val="21"/>
          <w:szCs w:val="21"/>
          <w:highlight w:val="none"/>
        </w:rPr>
        <w:t>（五）发现对方在业务活动中有违规、违纪、违法行为的，应及时提醒对方，情节严重的，应向有关纪检监察部门举报。</w:t>
      </w:r>
    </w:p>
    <w:p w14:paraId="40379AFE">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color w:val="auto"/>
          <w:w w:val="100"/>
          <w:sz w:val="21"/>
          <w:szCs w:val="21"/>
          <w:highlight w:val="none"/>
        </w:rPr>
        <w:t>第二条  甲方的责任</w:t>
      </w:r>
      <w:r>
        <w:rPr>
          <w:rFonts w:hint="eastAsia" w:ascii="宋体" w:hAnsi="宋体" w:eastAsia="宋体" w:cs="宋体"/>
          <w:b w:val="0"/>
          <w:color w:val="auto"/>
          <w:w w:val="100"/>
          <w:sz w:val="21"/>
          <w:szCs w:val="21"/>
          <w:highlight w:val="none"/>
        </w:rPr>
        <w:t>：</w:t>
      </w:r>
    </w:p>
    <w:p w14:paraId="39D723F4">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甲方相关工作人员，在业务活动的事前、事中、事后，应遵守以下规定：</w:t>
      </w:r>
    </w:p>
    <w:p w14:paraId="393B7D8F">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（一）贯彻落实</w:t>
      </w:r>
      <w:r>
        <w:rPr>
          <w:rFonts w:hint="eastAsia" w:ascii="宋体" w:hAnsi="宋体" w:eastAsia="宋体" w:cs="宋体"/>
          <w:b w:val="0"/>
          <w:color w:val="auto"/>
          <w:w w:val="100"/>
          <w:sz w:val="21"/>
          <w:szCs w:val="21"/>
          <w:highlight w:val="none"/>
          <w:lang w:eastAsia="zh-CN"/>
        </w:rPr>
        <w:t>采购人</w:t>
      </w:r>
      <w:r>
        <w:rPr>
          <w:rFonts w:hint="eastAsia" w:ascii="宋体" w:hAnsi="宋体" w:eastAsia="宋体" w:cs="宋体"/>
          <w:b w:val="0"/>
          <w:color w:val="auto"/>
          <w:w w:val="100"/>
          <w:sz w:val="21"/>
          <w:szCs w:val="21"/>
          <w:highlight w:val="none"/>
        </w:rPr>
        <w:t xml:space="preserve">有关党风廉政建设责任制及廉洁从业的规定，建立企业诚信档案； </w:t>
      </w:r>
    </w:p>
    <w:p w14:paraId="3679E28A">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 xml:space="preserve">（二）按照公平、公正、公开和诚实守信的原则开展各项业务活动，为乙方提供公平的竞争环境与平台； </w:t>
      </w:r>
    </w:p>
    <w:p w14:paraId="104C2BE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（三）不准向乙方泄漏涉及有关业务活动的秘密；</w:t>
      </w:r>
    </w:p>
    <w:p w14:paraId="40F4ABCA">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 xml:space="preserve">（四）不准向乙方和相关单位索要或接受回扣、红包、礼金、购物卡、有价证券、贵重物品和好处费、感谢费等； </w:t>
      </w:r>
    </w:p>
    <w:p w14:paraId="2C2B2FFC">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（五）不准在乙方和相关单位报销任何应由甲方或个人支付的费用；</w:t>
      </w:r>
    </w:p>
    <w:p w14:paraId="28766EAE">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（六）不准要求、暗示或接受乙方和相关单位为个人装修住房、婚丧嫁娶、配偶子女的工作安排以及境内外旅游等提供方便；</w:t>
      </w:r>
    </w:p>
    <w:p w14:paraId="294F0ADD">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（七）不准向乙方介绍配偶、子女、亲属参与与甲方有关的经济活动，不得以任何理由向乙方和相关单位推荐第三方单位；</w:t>
      </w:r>
    </w:p>
    <w:p w14:paraId="587D0EA6">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（八）不准参与影响相关工作正常和公正开展的其他活动；</w:t>
      </w:r>
    </w:p>
    <w:p w14:paraId="6C37CCC4">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（九）不准违反《中共中央纪委关于严格禁止利用职务上的便利谋取不正当利益的若干规定》的内容。</w:t>
      </w:r>
    </w:p>
    <w:p w14:paraId="26859C7C">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第三条  乙方的责任：</w:t>
      </w:r>
    </w:p>
    <w:p w14:paraId="5B3C5EB6">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在与甲方业务交往过程中，按照有关法律法规和程序开展工作，严格执行国家的有关方针、政策，并遵守以下规定：</w:t>
      </w:r>
    </w:p>
    <w:p w14:paraId="5FCDC8E7">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（一）不准以任何理由为甲方和相关单位报销应由对方或个人支付的费用；</w:t>
      </w:r>
    </w:p>
    <w:p w14:paraId="0BB8D54C">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（二）不准以任何理由向甲方负责人及其工作人员赠送回扣、红包、礼金、购物卡、有价证券、贵重物品和好处费、感谢费等；</w:t>
      </w:r>
    </w:p>
    <w:p w14:paraId="4D7448E7">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（三）不准以任何理由为甲方、与甲方相关的单位或个人提供高消费宴请及娱乐活动；</w:t>
      </w:r>
    </w:p>
    <w:p w14:paraId="57DF8FB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（四）不准以任何理由为甲方、与甲方相关的单位或个人购置或提供通讯工具、交通工具和高档办公用品；</w:t>
      </w:r>
    </w:p>
    <w:p w14:paraId="27B259E2">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（五）不准接受或暗示为甲方、与甲方相关的单位或个人装修住房、婚丧嫁取、配偶子女的工作安排以及境内外旅游等提供方便；</w:t>
      </w:r>
    </w:p>
    <w:p w14:paraId="5F2C00C6">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（六）不准以谋取非正当利益为目的，擅自与甲方工作人员就业务问题进行私下商谈或者达成利益默契；</w:t>
      </w:r>
    </w:p>
    <w:p w14:paraId="2425598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（七）发现甲方工作人员有违反本廉洁协议书规定的，应向甲方单位举报。</w:t>
      </w:r>
    </w:p>
    <w:p w14:paraId="3E0B356F">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第四条  相关责任</w:t>
      </w:r>
    </w:p>
    <w:p w14:paraId="745EDF08">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甲方有违反本廉洁协议书第一、二条规定的，严格按照管理权限，依据有关法律法规和规章制度给予纪律处分或组织处理；涉嫌犯罪的，移送司法机关依法追究刑事责任；给乙方单位造成经济损失的，应依法予以赔偿。</w:t>
      </w:r>
    </w:p>
    <w:p w14:paraId="0E81258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（二）乙方违反本廉洁协议书第一、三条规定的，根据国家有关规定，对乙方进行处理。涉嫌犯罪的，移送司法机关依法追究刑事责任；给甲方单位造成经济损失的，应依法予以赔偿。</w:t>
      </w:r>
    </w:p>
    <w:p w14:paraId="168FF6A5">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val="0"/>
          <w:color w:val="auto"/>
          <w:w w:val="100"/>
          <w:sz w:val="21"/>
          <w:szCs w:val="21"/>
          <w:highlight w:val="none"/>
        </w:rPr>
        <w:t>（三）乙方违反本廉洁协议书第一、三条规定，发生行贿行为，经政府有关执纪执法部门或甲方纪检监察机构查证属实，甲方根据有关规定，视情节轻重对乙方实施一定期限的市场禁入。</w:t>
      </w:r>
    </w:p>
    <w:p w14:paraId="50A560C8">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第五条  协议书生效及法律效力</w:t>
      </w:r>
    </w:p>
    <w:p w14:paraId="6C3707CB">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（一）本廉洁协议书作为合同的附件，与合同具有同等法律效力，经双方签字盖章后立即生效。</w:t>
      </w:r>
    </w:p>
    <w:p w14:paraId="072235F8">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（二）除非甲乙双方另行签订新的廉洁协议书，否则本廉洁协议书在甲方与乙方存在业务关系期间均对双方产生约束力。</w:t>
      </w:r>
    </w:p>
    <w:p w14:paraId="0987A413">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甲乙双方确认在签订本廉洁协议书前已仔细阅读条款内容，甲乙双方对本廉洁协议书所产生的法律责任已清楚知悉并承诺遵守。</w:t>
      </w:r>
    </w:p>
    <w:p w14:paraId="48D69803">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第六条  其他</w:t>
      </w:r>
    </w:p>
    <w:p w14:paraId="55228721">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（一）在履行本合同过程中发生纠纷时，双方应及时协商解决，协商未果，由上级主管部门调解。</w:t>
      </w:r>
    </w:p>
    <w:p w14:paraId="6810636C">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（二）本合同一式</w:t>
      </w:r>
      <w:r>
        <w:rPr>
          <w:rFonts w:hint="eastAsia" w:ascii="宋体" w:hAnsi="宋体" w:eastAsia="宋体" w:cs="宋体"/>
          <w:b w:val="0"/>
          <w:color w:val="auto"/>
          <w:w w:val="100"/>
          <w:sz w:val="21"/>
          <w:szCs w:val="21"/>
          <w:highlight w:val="none"/>
          <w:u w:val="single"/>
        </w:rPr>
        <w:t xml:space="preserve">      </w:t>
      </w:r>
      <w:r>
        <w:rPr>
          <w:rFonts w:hint="eastAsia" w:ascii="宋体" w:hAnsi="宋体" w:eastAsia="宋体" w:cs="宋体"/>
          <w:b w:val="0"/>
          <w:color w:val="auto"/>
          <w:w w:val="100"/>
          <w:sz w:val="21"/>
          <w:szCs w:val="21"/>
          <w:highlight w:val="none"/>
        </w:rPr>
        <w:t>份，甲乙双方各执</w:t>
      </w:r>
      <w:r>
        <w:rPr>
          <w:rFonts w:hint="eastAsia" w:ascii="宋体" w:hAnsi="宋体" w:eastAsia="宋体" w:cs="宋体"/>
          <w:b w:val="0"/>
          <w:color w:val="auto"/>
          <w:w w:val="100"/>
          <w:sz w:val="21"/>
          <w:szCs w:val="21"/>
          <w:highlight w:val="none"/>
          <w:u w:val="single"/>
        </w:rPr>
        <w:t xml:space="preserve">     </w:t>
      </w:r>
      <w:r>
        <w:rPr>
          <w:rFonts w:hint="eastAsia" w:ascii="宋体" w:hAnsi="宋体" w:eastAsia="宋体" w:cs="宋体"/>
          <w:b w:val="0"/>
          <w:color w:val="auto"/>
          <w:w w:val="100"/>
          <w:sz w:val="21"/>
          <w:szCs w:val="21"/>
          <w:highlight w:val="none"/>
        </w:rPr>
        <w:t>份，采购代理机构执一份。</w:t>
      </w:r>
    </w:p>
    <w:p w14:paraId="4E39CB36">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（三）本合同自签章之日起生效。双方履行完合同规定的条款后，本合同即行终止。</w:t>
      </w:r>
    </w:p>
    <w:p w14:paraId="5E3B98AF">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（四）本合同未尽事宜，双方可签订补充协议，有关协议及双方认可的来往电报、传真、会议纪要等，均为本合同组成部分，与本合同具有同等法律效力。</w:t>
      </w:r>
    </w:p>
    <w:p w14:paraId="7D3DA29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（五）其它约定事项：</w:t>
      </w:r>
    </w:p>
    <w:tbl>
      <w:tblPr>
        <w:tblStyle w:val="44"/>
        <w:tblW w:w="0" w:type="auto"/>
        <w:jc w:val="center"/>
        <w:tblLayout w:type="fixed"/>
        <w:tblCellMar>
          <w:top w:w="0" w:type="dxa"/>
          <w:left w:w="0" w:type="dxa"/>
          <w:bottom w:w="0" w:type="dxa"/>
          <w:right w:w="0" w:type="dxa"/>
        </w:tblCellMar>
      </w:tblPr>
      <w:tblGrid>
        <w:gridCol w:w="4589"/>
        <w:gridCol w:w="4476"/>
      </w:tblGrid>
      <w:tr w14:paraId="511E9E71">
        <w:tblPrEx>
          <w:tblCellMar>
            <w:top w:w="0" w:type="dxa"/>
            <w:left w:w="0" w:type="dxa"/>
            <w:bottom w:w="0" w:type="dxa"/>
            <w:right w:w="0" w:type="dxa"/>
          </w:tblCellMar>
        </w:tblPrEx>
        <w:trPr>
          <w:trHeight w:val="700"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07A3EE">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lang w:eastAsia="zh-CN"/>
              </w:rPr>
            </w:pPr>
            <w:r>
              <w:rPr>
                <w:rFonts w:hint="eastAsia" w:ascii="宋体" w:hAnsi="宋体" w:eastAsia="宋体" w:cs="宋体"/>
                <w:b w:val="0"/>
                <w:color w:val="auto"/>
                <w:w w:val="100"/>
                <w:sz w:val="21"/>
                <w:szCs w:val="21"/>
                <w:highlight w:val="none"/>
              </w:rPr>
              <w:t>甲方单位名称：（盖章）</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6D65D95">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乙方单位名称：（盖章）</w:t>
            </w:r>
          </w:p>
          <w:p w14:paraId="7AFC5DE4">
            <w:pPr>
              <w:keepNext w:val="0"/>
              <w:keepLines w:val="0"/>
              <w:widowControl/>
              <w:suppressLineNumbers w:val="0"/>
              <w:autoSpaceDE/>
              <w:autoSpaceDN/>
              <w:snapToGrid/>
              <w:spacing w:before="0" w:beforeAutospacing="0" w:after="0" w:afterAutospacing="0" w:line="440" w:lineRule="exact"/>
              <w:ind w:left="0" w:right="0" w:firstLine="480"/>
              <w:jc w:val="left"/>
              <w:rPr>
                <w:rFonts w:hint="eastAsia" w:ascii="宋体" w:hAnsi="宋体" w:eastAsia="宋体" w:cs="宋体"/>
                <w:b w:val="0"/>
                <w:color w:val="auto"/>
                <w:w w:val="100"/>
                <w:sz w:val="21"/>
                <w:szCs w:val="21"/>
                <w:highlight w:val="none"/>
              </w:rPr>
            </w:pPr>
          </w:p>
        </w:tc>
      </w:tr>
      <w:tr w14:paraId="6474C51F">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E21D5A">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cs="Times New Roman"/>
                <w:color w:val="auto"/>
                <w:szCs w:val="21"/>
                <w:highlight w:val="none"/>
                <w:lang w:eastAsia="zh-CN"/>
              </w:rPr>
              <w:t>社会代码：</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70256B">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cs="Times New Roman"/>
                <w:color w:val="auto"/>
                <w:szCs w:val="21"/>
                <w:highlight w:val="none"/>
                <w:lang w:eastAsia="zh-CN"/>
              </w:rPr>
              <w:t>社会代码：</w:t>
            </w:r>
          </w:p>
        </w:tc>
      </w:tr>
      <w:tr w14:paraId="2703026C">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16A6FB">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法定代表人：</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24092A">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法定代表人：</w:t>
            </w:r>
          </w:p>
        </w:tc>
      </w:tr>
      <w:tr w14:paraId="749DEACB">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921110">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单位地址：</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F1DE1B">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单位地址：</w:t>
            </w:r>
          </w:p>
        </w:tc>
      </w:tr>
      <w:tr w14:paraId="772AF082">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8923A5">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电   话：</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064A7F">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电   话：</w:t>
            </w:r>
          </w:p>
        </w:tc>
      </w:tr>
      <w:tr w14:paraId="35F82D2C">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780509">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开户银行：</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26192E">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开户银行：</w:t>
            </w:r>
          </w:p>
        </w:tc>
      </w:tr>
      <w:tr w14:paraId="4CC25FB2">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7087CC">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银行账号：</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744901">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银行账号：</w:t>
            </w:r>
          </w:p>
        </w:tc>
      </w:tr>
      <w:tr w14:paraId="2EF1EA00">
        <w:tblPrEx>
          <w:tblCellMar>
            <w:top w:w="0" w:type="dxa"/>
            <w:left w:w="0" w:type="dxa"/>
            <w:bottom w:w="0" w:type="dxa"/>
            <w:right w:w="0" w:type="dxa"/>
          </w:tblCellMar>
        </w:tblPrEx>
        <w:trPr>
          <w:trHeight w:val="676"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9F3595">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签订合同代表（签字）：</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599E869">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签订合同代表（签字）：</w:t>
            </w:r>
          </w:p>
        </w:tc>
      </w:tr>
      <w:tr w14:paraId="17D43F6D">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1CE9C3">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日 期：    年    月    日</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A65260">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日 期：   年    月    日</w:t>
            </w:r>
          </w:p>
        </w:tc>
      </w:tr>
    </w:tbl>
    <w:p w14:paraId="3418E2F9">
      <w:pPr>
        <w:spacing w:line="360" w:lineRule="auto"/>
        <w:ind w:left="2940" w:leftChars="1400"/>
        <w:rPr>
          <w:rFonts w:hint="eastAsia" w:ascii="宋体" w:hAnsi="宋体" w:cs="宋体"/>
          <w:szCs w:val="21"/>
          <w:highlight w:val="none"/>
        </w:rPr>
      </w:pPr>
    </w:p>
    <w:sectPr>
      <w:headerReference r:id="rId15" w:type="first"/>
      <w:footerReference r:id="rId17" w:type="first"/>
      <w:headerReference r:id="rId14" w:type="default"/>
      <w:footerReference r:id="rId16"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3A8DE5B-D379-4457-AB2F-6ACCB22C3835}"/>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D972DC4-B571-43C1-B03B-F4E93740BC59}"/>
  </w:font>
  <w:font w:name="Courier New">
    <w:panose1 w:val="02070309020205020404"/>
    <w:charset w:val="01"/>
    <w:family w:val="modern"/>
    <w:pitch w:val="default"/>
    <w:sig w:usb0="E0002EFF" w:usb1="C0007843" w:usb2="00000009" w:usb3="00000000" w:csb0="400001FF" w:csb1="FFFF0000"/>
    <w:embedRegular r:id="rId3" w:fontKey="{E29F1B87-B601-463C-825A-005EBD131FB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4" w:fontKey="{0DE49C5B-8EB3-441D-8CBA-4D158358E319}"/>
  </w:font>
  <w:font w:name="仿宋">
    <w:panose1 w:val="02010609060101010101"/>
    <w:charset w:val="86"/>
    <w:family w:val="modern"/>
    <w:pitch w:val="default"/>
    <w:sig w:usb0="800002BF" w:usb1="38CF7CFA" w:usb2="00000016" w:usb3="00000000" w:csb0="00040001" w:csb1="00000000"/>
    <w:embedRegular r:id="rId5" w:fontKey="{CB8FE852-2453-4C38-ACDF-D75BEE2AD1F7}"/>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embedRegular r:id="rId6" w:fontKey="{A094BBA4-5671-44EE-A97C-B02B9287C9AB}"/>
  </w:font>
  <w:font w:name="华文新魏">
    <w:panose1 w:val="02010800040101010101"/>
    <w:charset w:val="86"/>
    <w:family w:val="auto"/>
    <w:pitch w:val="default"/>
    <w:sig w:usb0="00000001" w:usb1="080F0000" w:usb2="00000000" w:usb3="00000000" w:csb0="00040000" w:csb1="00000000"/>
    <w:embedRegular r:id="rId7" w:fontKey="{31AE18C3-D9B7-4E3A-8998-3401AC818BD3}"/>
  </w:font>
  <w:font w:name="WPSEMBED1">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B901A">
    <w:pPr>
      <w:pStyle w:val="30"/>
      <w:tabs>
        <w:tab w:val="center" w:pos="4439"/>
        <w:tab w:val="clear" w:pos="4153"/>
      </w:tabs>
      <w:jc w:val="both"/>
    </w:pPr>
  </w:p>
  <w:p w14:paraId="23A77BDF">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CBCB9">
    <w:pPr>
      <w:pStyle w:val="30"/>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F232FB">
                          <w:pPr>
                            <w:pStyle w:val="30"/>
                          </w:pPr>
                          <w:r>
                            <w:fldChar w:fldCharType="begin"/>
                          </w:r>
                          <w:r>
                            <w:instrText xml:space="preserve"> PAGE  \* MERGEFORMAT </w:instrText>
                          </w:r>
                          <w:r>
                            <w:fldChar w:fldCharType="separate"/>
                          </w:r>
                          <w:r>
                            <w:t>158</w:t>
                          </w:r>
                          <w:r>
                            <w:fldChar w:fldCharType="end"/>
                          </w:r>
                        </w:p>
                      </w:txbxContent>
                    </wps:txbx>
                    <wps:bodyPr wrap="none" lIns="0" tIns="0" rIns="0" bIns="0" upright="0">
                      <a:spAutoFit/>
                    </wps:bodyPr>
                  </wps:wsp>
                </a:graphicData>
              </a:graphic>
            </wp:anchor>
          </w:drawing>
        </mc:Choice>
        <mc:Fallback>
          <w:pict>
            <v:shape id="文本框 517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oUOY8oBAACdAwAADgAAAGRycy9lMm9Eb2MueG1srVPNjtMwEL4j8Q6W&#10;79RpJ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lvcBJTEcYsTv3z/dvnx6/LzK3m5&#10;fHWTJeoD1Jh5HzA3DW/8gOmzH9CZmQ8q2vxFTgTjiHa+CiyHRER+tF6t1xWGBMbmC+Kzh+chQnor&#10;vSXZaGjECRZh+ek9pDF1TsnVnL/TxpQpGveXAzGzh+Xexx6zlYb9MBHa+/aMfHocfkMd7jol5p1D&#10;bbG/NBtxNvazcQxRH7qySLkehNfHhE2U3nKFEXYqjFMr7KYNy2vx571kPfxV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7oUOY8oBAACdAwAADgAAAAAAAAABACAAAAAeAQAAZHJzL2Uyb0Rv&#10;Yy54bWxQSwUGAAAAAAYABgBZAQAAWgUAAAAA&#10;">
              <v:fill on="f" focussize="0,0"/>
              <v:stroke on="f"/>
              <v:imagedata o:title=""/>
              <o:lock v:ext="edit" aspectratio="f"/>
              <v:textbox inset="0mm,0mm,0mm,0mm" style="mso-fit-shape-to-text:t;">
                <w:txbxContent>
                  <w:p w14:paraId="13F232FB">
                    <w:pPr>
                      <w:pStyle w:val="30"/>
                    </w:pPr>
                    <w:r>
                      <w:fldChar w:fldCharType="begin"/>
                    </w:r>
                    <w:r>
                      <w:instrText xml:space="preserve"> PAGE  \* MERGEFORMAT </w:instrText>
                    </w:r>
                    <w:r>
                      <w:fldChar w:fldCharType="separate"/>
                    </w:r>
                    <w:r>
                      <w:t>158</w:t>
                    </w:r>
                    <w:r>
                      <w:fldChar w:fldCharType="end"/>
                    </w:r>
                  </w:p>
                </w:txbxContent>
              </v:textbox>
            </v:shape>
          </w:pict>
        </mc:Fallback>
      </mc:AlternateContent>
    </w:r>
  </w:p>
  <w:p w14:paraId="57B42791">
    <w:pPr>
      <w:pStyle w:val="3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5C790">
    <w:pPr>
      <w:pStyle w:val="30"/>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FB0D06">
                          <w:pPr>
                            <w:pStyle w:val="30"/>
                          </w:pPr>
                          <w:r>
                            <w:fldChar w:fldCharType="begin"/>
                          </w:r>
                          <w:r>
                            <w:instrText xml:space="preserve"> PAGE  \* MERGEFORMAT </w:instrText>
                          </w:r>
                          <w:r>
                            <w:fldChar w:fldCharType="separate"/>
                          </w:r>
                          <w:r>
                            <w:t>138</w:t>
                          </w:r>
                          <w:r>
                            <w:fldChar w:fldCharType="end"/>
                          </w:r>
                        </w:p>
                      </w:txbxContent>
                    </wps:txbx>
                    <wps:bodyPr wrap="none" lIns="0" tIns="0" rIns="0" bIns="0" upright="0">
                      <a:spAutoFit/>
                    </wps:bodyPr>
                  </wps:wsp>
                </a:graphicData>
              </a:graphic>
            </wp:anchor>
          </w:drawing>
        </mc:Choice>
        <mc:Fallback>
          <w:pict>
            <v:shape id="文本框 5177"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iV1csBAACdAwAADgAAAGRycy9lMm9Eb2MueG1srVPNjtMwEL4j8Q6W&#10;79RpJdg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e4CUtKHLc48cv3b5cfvy4/v5KX&#10;y5ubLFEfoMbM+4C5aXjjB0yf/YDOzHxQ0eYvciIYR4HPV4HlkIjIj9ar9brCkMDYfEF89vA8REhv&#10;pbckGw2NOMEiLD+9hzSmzim5mvN32pgyReP+ciBm9rDc+9hjttKwHyZCe9+ekU+Pw2+ow12nxLxz&#10;qG3ek9mIs7GfjWOI+tCVRcr1ILw+Jmyi9JYrjLBTYZxaYTdtWF6LP+8l6+Gv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SIldXLAQAAnQMAAA4AAAAAAAAAAQAgAAAAHgEAAGRycy9lMm9E&#10;b2MueG1sUEsFBgAAAAAGAAYAWQEAAFsFAAAAAA==&#10;">
              <v:fill on="f" focussize="0,0"/>
              <v:stroke on="f"/>
              <v:imagedata o:title=""/>
              <o:lock v:ext="edit" aspectratio="f"/>
              <v:textbox inset="0mm,0mm,0mm,0mm" style="mso-fit-shape-to-text:t;">
                <w:txbxContent>
                  <w:p w14:paraId="1EFB0D06">
                    <w:pPr>
                      <w:pStyle w:val="30"/>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82A7A">
    <w:pPr>
      <w:pStyle w:val="30"/>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957D99"/>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9A/+8wBAACcAwAADgAAAGRycy9lMm9Eb2MueG1srVPNjtMwEL4j7TtY&#10;vm+dRgu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WlJieUGB37+/u3849f551fy&#10;elneJIV6DxUmPnhMjcM7N+DezH5AZyI+tMGkL1IiGEd9Txd95RCJSI9W5WpV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0D/7zAEAAJwDAAAOAAAAAAAAAAEAIAAAAB4BAABkcnMvZTJv&#10;RG9jLnhtbFBLBQYAAAAABgAGAFkBAABcBQAAAAA=&#10;">
              <v:fill on="f" focussize="0,0"/>
              <v:stroke on="f"/>
              <v:imagedata o:title=""/>
              <o:lock v:ext="edit" aspectratio="f"/>
              <v:textbox inset="0mm,0mm,0mm,0mm" style="mso-fit-shape-to-text:t;">
                <w:txbxContent>
                  <w:p w14:paraId="0C957D9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80B2F">
    <w:pPr>
      <w:pStyle w:val="30"/>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F951DD">
                          <w:pPr>
                            <w:pStyle w:val="30"/>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文本框 516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rnugKzAEAAJwDAAAOAAAAAAAAAAEAIAAAAB4BAABkcnMvZTJv&#10;RG9jLnhtbFBLBQYAAAAABgAGAFkBAABcBQAAAAA=&#10;">
              <v:fill on="f" focussize="0,0"/>
              <v:stroke on="f"/>
              <v:imagedata o:title=""/>
              <o:lock v:ext="edit" aspectratio="f"/>
              <v:textbox inset="0mm,0mm,0mm,0mm" style="mso-fit-shape-to-text:t;">
                <w:txbxContent>
                  <w:p w14:paraId="57F951DD">
                    <w:pPr>
                      <w:pStyle w:val="30"/>
                    </w:pPr>
                    <w:r>
                      <w:fldChar w:fldCharType="begin"/>
                    </w:r>
                    <w:r>
                      <w:instrText xml:space="preserve"> PAGE  \* MERGEFORMAT </w:instrText>
                    </w:r>
                    <w:r>
                      <w:fldChar w:fldCharType="separate"/>
                    </w:r>
                    <w:r>
                      <w:t>24</w:t>
                    </w:r>
                    <w:r>
                      <w:fldChar w:fldCharType="end"/>
                    </w:r>
                  </w:p>
                </w:txbxContent>
              </v:textbox>
            </v:shape>
          </w:pict>
        </mc:Fallback>
      </mc:AlternateContent>
    </w:r>
  </w:p>
  <w:p w14:paraId="3B0F9CBF">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2A47">
    <w:pPr>
      <w:pStyle w:val="30"/>
      <w:jc w:val="center"/>
      <w:rPr>
        <w:rFonts w:eastAsia="仿宋_GB2312"/>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0083F5">
                          <w:pPr>
                            <w:pStyle w:val="3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517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Y9RHLAQAAnAMAAA4AAAAAAAAAAQAgAAAAHgEAAGRycy9lMm9E&#10;b2MueG1sUEsFBgAAAAAGAAYAWQEAAFsFAAAAAA==&#10;">
              <v:fill on="f" focussize="0,0"/>
              <v:stroke on="f"/>
              <v:imagedata o:title=""/>
              <o:lock v:ext="edit" aspectratio="f"/>
              <v:textbox inset="0mm,0mm,0mm,0mm" style="mso-fit-shape-to-text:t;">
                <w:txbxContent>
                  <w:p w14:paraId="670083F5">
                    <w:pPr>
                      <w:pStyle w:val="3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B1160">
    <w:pPr>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2E0D89">
                          <w:pPr>
                            <w:pStyle w:val="30"/>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文本框 517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0KPJ8sBAACcAwAADgAAAGRycy9lMm9Eb2MueG1srVPNjtMwEL4j8Q6W&#10;79RpJ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3lDiuMWBX75/u/z4dfn5lbxc&#10;vlpm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dCjyfLAQAAnAMAAA4AAAAAAAAAAQAgAAAAHgEAAGRycy9lMm9E&#10;b2MueG1sUEsFBgAAAAAGAAYAWQEAAFsFAAAAAA==&#10;">
              <v:fill on="f" focussize="0,0"/>
              <v:stroke on="f"/>
              <v:imagedata o:title=""/>
              <o:lock v:ext="edit" aspectratio="f"/>
              <v:textbox inset="0mm,0mm,0mm,0mm" style="mso-fit-shape-to-text:t;">
                <w:txbxContent>
                  <w:p w14:paraId="3F2E0D89">
                    <w:pPr>
                      <w:pStyle w:val="3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AC8F">
    <w:pPr>
      <w:pStyle w:val="30"/>
      <w:jc w:val="center"/>
      <w:rPr>
        <w:rFonts w:eastAsia="仿宋_GB2312"/>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97973">
                          <w:pPr>
                            <w:pStyle w:val="3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517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Wyp8sBAACcAwAADgAAAGRycy9lMm9Eb2MueG1srVPNjtMwEL4j8Q6W&#10;79RpJdg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3m5&#10;vFll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FsqfLAQAAnAMAAA4AAAAAAAAAAQAgAAAAHgEAAGRycy9lMm9E&#10;b2MueG1sUEsFBgAAAAAGAAYAWQEAAFsFAAAAAA==&#10;">
              <v:fill on="f" focussize="0,0"/>
              <v:stroke on="f"/>
              <v:imagedata o:title=""/>
              <o:lock v:ext="edit" aspectratio="f"/>
              <v:textbox inset="0mm,0mm,0mm,0mm" style="mso-fit-shape-to-text:t;">
                <w:txbxContent>
                  <w:p w14:paraId="6DD97973">
                    <w:pPr>
                      <w:pStyle w:val="3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F61B2">
    <w:pPr>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577ADC">
                          <w:pPr>
                            <w:pStyle w:val="30"/>
                          </w:pPr>
                          <w:r>
                            <w:fldChar w:fldCharType="begin"/>
                          </w:r>
                          <w:r>
                            <w:instrText xml:space="preserve"> PAGE  \* MERGEFORMAT </w:instrText>
                          </w:r>
                          <w:r>
                            <w:fldChar w:fldCharType="separate"/>
                          </w:r>
                          <w:r>
                            <w:t>49</w:t>
                          </w:r>
                          <w:r>
                            <w:fldChar w:fldCharType="end"/>
                          </w:r>
                        </w:p>
                      </w:txbxContent>
                    </wps:txbx>
                    <wps:bodyPr wrap="none" lIns="0" tIns="0" rIns="0" bIns="0" upright="0">
                      <a:spAutoFit/>
                    </wps:bodyPr>
                  </wps:wsp>
                </a:graphicData>
              </a:graphic>
            </wp:anchor>
          </w:drawing>
        </mc:Choice>
        <mc:Fallback>
          <w:pict>
            <v:shape id="文本框 517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NvJcoBAACcAwAADgAAAGRycy9lMm9Eb2MueG1srVNNrtMwEN4jcQfL&#10;e+q0CKi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LahOHbHLQ788v3b5cevy8+v5MXy&#10;1fOsUB+gxsS7gKlpeOMH3JvZD+jMxAcVbf4iJYJx1Pd81VcOiYj8aL1arysMCYzNF8Rn989DhPRW&#10;ekuy0dCIAyy68tN7SGPqnJKrOX+rjSlDNO4vB2JmD8u9jz1mKw37YSK09+0Z+fQ4+4Y6XHVKzDuH&#10;0uY1mY04G/vZOIaoD13Zo1wPwutjwiZKb7nCCDsVxqEVdtOC5a34816y7n+q7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AiNvJcoBAACcAwAADgAAAAAAAAABACAAAAAeAQAAZHJzL2Uyb0Rv&#10;Yy54bWxQSwUGAAAAAAYABgBZAQAAWgUAAAAA&#10;">
              <v:fill on="f" focussize="0,0"/>
              <v:stroke on="f"/>
              <v:imagedata o:title=""/>
              <o:lock v:ext="edit" aspectratio="f"/>
              <v:textbox inset="0mm,0mm,0mm,0mm" style="mso-fit-shape-to-text:t;">
                <w:txbxContent>
                  <w:p w14:paraId="5F577ADC">
                    <w:pPr>
                      <w:pStyle w:val="3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20E25">
    <w:pPr>
      <w:pStyle w:val="30"/>
      <w:jc w:val="center"/>
      <w:rPr>
        <w:rFonts w:eastAsia="仿宋_GB2312"/>
        <w:sz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1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ADA20">
                          <w:pPr>
                            <w:pStyle w:val="30"/>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文本框 517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zrAfyM0BAACcAwAADgAAAAAAAAABACAAAAAeAQAAZHJzL2Uy&#10;b0RvYy54bWxQSwUGAAAAAAYABgBZAQAAXQUAAAAA&#10;">
              <v:fill on="f" focussize="0,0"/>
              <v:stroke on="f"/>
              <v:imagedata o:title=""/>
              <o:lock v:ext="edit" aspectratio="f"/>
              <v:textbox inset="0mm,0mm,0mm,0mm" style="mso-fit-shape-to-text:t;">
                <w:txbxContent>
                  <w:p w14:paraId="6DDADA20">
                    <w:pPr>
                      <w:pStyle w:val="3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25AB1">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A632E8">
                          <w:pPr>
                            <w:jc w:val="center"/>
                          </w:pPr>
                          <w:r>
                            <w:rPr>
                              <w:rFonts w:hint="eastAsia"/>
                            </w:rPr>
                            <w:fldChar w:fldCharType="begin"/>
                          </w:r>
                          <w:r>
                            <w:rPr>
                              <w:rFonts w:hint="eastAsia"/>
                            </w:rPr>
                            <w:instrText xml:space="preserve"> PAGE  \* MERGEFORMAT </w:instrText>
                          </w:r>
                          <w:r>
                            <w:rPr>
                              <w:rFonts w:hint="eastAsia"/>
                            </w:rPr>
                            <w:fldChar w:fldCharType="separate"/>
                          </w:r>
                          <w:r>
                            <w:t>137</w:t>
                          </w:r>
                          <w:r>
                            <w:rPr>
                              <w:rFonts w:hint="eastAsia"/>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rDu8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FKsO7yQEAAJkDAAAOAAAAAAAAAAEAIAAAAB4BAABkcnMvZTJvRG9j&#10;LnhtbFBLBQYAAAAABgAGAFkBAABZBQAAAAA=&#10;">
              <v:fill on="f" focussize="0,0"/>
              <v:stroke on="f"/>
              <v:imagedata o:title=""/>
              <o:lock v:ext="edit" aspectratio="f"/>
              <v:textbox inset="0mm,0mm,0mm,0mm" style="mso-fit-shape-to-text:t;">
                <w:txbxContent>
                  <w:p w14:paraId="3FA632E8">
                    <w:pPr>
                      <w:jc w:val="center"/>
                    </w:pPr>
                    <w:r>
                      <w:rPr>
                        <w:rFonts w:hint="eastAsia"/>
                      </w:rPr>
                      <w:fldChar w:fldCharType="begin"/>
                    </w:r>
                    <w:r>
                      <w:rPr>
                        <w:rFonts w:hint="eastAsia"/>
                      </w:rPr>
                      <w:instrText xml:space="preserve"> PAGE  \* MERGEFORMAT </w:instrText>
                    </w:r>
                    <w:r>
                      <w:rPr>
                        <w:rFonts w:hint="eastAsia"/>
                      </w:rPr>
                      <w:fldChar w:fldCharType="separate"/>
                    </w:r>
                    <w:r>
                      <w:t>137</w:t>
                    </w:r>
                    <w:r>
                      <w:rPr>
                        <w:rFonts w:hint="eastAsia"/>
                      </w:rPr>
                      <w:fldChar w:fldCharType="end"/>
                    </w:r>
                  </w:p>
                </w:txbxContent>
              </v:textbox>
            </v:shape>
          </w:pict>
        </mc:Fallback>
      </mc:AlternateContent>
    </w:r>
    <w:r>
      <w:rPr>
        <w:rFonts w:hint="eastAsia"/>
      </w:rPr>
      <w:t>57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0EECB">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BC439">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1042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9DE9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C19D9"/>
    <w:multiLevelType w:val="singleLevel"/>
    <w:tmpl w:val="B9DC19D9"/>
    <w:lvl w:ilvl="0" w:tentative="0">
      <w:start w:val="2"/>
      <w:numFmt w:val="decimal"/>
      <w:lvlText w:val="%1."/>
      <w:lvlJc w:val="left"/>
      <w:pPr>
        <w:tabs>
          <w:tab w:val="left" w:pos="312"/>
        </w:tabs>
      </w:pPr>
    </w:lvl>
  </w:abstractNum>
  <w:abstractNum w:abstractNumId="1">
    <w:nsid w:val="341F95F2"/>
    <w:multiLevelType w:val="singleLevel"/>
    <w:tmpl w:val="341F95F2"/>
    <w:lvl w:ilvl="0" w:tentative="0">
      <w:start w:val="2"/>
      <w:numFmt w:val="decimal"/>
      <w:suff w:val="nothing"/>
      <w:lvlText w:val="%1、"/>
      <w:lvlJc w:val="left"/>
    </w:lvl>
  </w:abstractNum>
  <w:abstractNum w:abstractNumId="2">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3">
    <w:nsid w:val="5498E193"/>
    <w:multiLevelType w:val="singleLevel"/>
    <w:tmpl w:val="5498E193"/>
    <w:lvl w:ilvl="0" w:tentative="0">
      <w:start w:val="11"/>
      <w:numFmt w:val="decimal"/>
      <w:suff w:val="space"/>
      <w:lvlText w:val="%1."/>
      <w:lvlJc w:val="left"/>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MDdkNzQwOGE0MTEzNjZiNjllMTJhODVjZGVhOGIifQ=="/>
  </w:docVars>
  <w:rsids>
    <w:rsidRoot w:val="00F34B14"/>
    <w:rsid w:val="000002E0"/>
    <w:rsid w:val="00000672"/>
    <w:rsid w:val="00000C53"/>
    <w:rsid w:val="00000E69"/>
    <w:rsid w:val="00000FD7"/>
    <w:rsid w:val="00001013"/>
    <w:rsid w:val="00001245"/>
    <w:rsid w:val="00001799"/>
    <w:rsid w:val="000018D3"/>
    <w:rsid w:val="00001AF2"/>
    <w:rsid w:val="00001ECA"/>
    <w:rsid w:val="0000212B"/>
    <w:rsid w:val="00002480"/>
    <w:rsid w:val="00002D29"/>
    <w:rsid w:val="00003B93"/>
    <w:rsid w:val="0000474D"/>
    <w:rsid w:val="0000529E"/>
    <w:rsid w:val="000057F8"/>
    <w:rsid w:val="00005CC0"/>
    <w:rsid w:val="00005FDF"/>
    <w:rsid w:val="0000644A"/>
    <w:rsid w:val="00006D8A"/>
    <w:rsid w:val="00007081"/>
    <w:rsid w:val="000070B3"/>
    <w:rsid w:val="000076B8"/>
    <w:rsid w:val="000109DC"/>
    <w:rsid w:val="00010D39"/>
    <w:rsid w:val="0001172C"/>
    <w:rsid w:val="00011BC9"/>
    <w:rsid w:val="00012854"/>
    <w:rsid w:val="00012D72"/>
    <w:rsid w:val="00012EA6"/>
    <w:rsid w:val="000132B2"/>
    <w:rsid w:val="00013359"/>
    <w:rsid w:val="000139CF"/>
    <w:rsid w:val="00013AA4"/>
    <w:rsid w:val="00013DFE"/>
    <w:rsid w:val="000141EA"/>
    <w:rsid w:val="00015111"/>
    <w:rsid w:val="0001657F"/>
    <w:rsid w:val="00016ABC"/>
    <w:rsid w:val="000177DB"/>
    <w:rsid w:val="000179C9"/>
    <w:rsid w:val="00017CCC"/>
    <w:rsid w:val="00020227"/>
    <w:rsid w:val="00020263"/>
    <w:rsid w:val="00020455"/>
    <w:rsid w:val="00020813"/>
    <w:rsid w:val="000215D0"/>
    <w:rsid w:val="00021F52"/>
    <w:rsid w:val="00021FCF"/>
    <w:rsid w:val="000220B2"/>
    <w:rsid w:val="0002264C"/>
    <w:rsid w:val="00022731"/>
    <w:rsid w:val="00022792"/>
    <w:rsid w:val="00023287"/>
    <w:rsid w:val="00024061"/>
    <w:rsid w:val="00024463"/>
    <w:rsid w:val="00025461"/>
    <w:rsid w:val="00025636"/>
    <w:rsid w:val="00025E36"/>
    <w:rsid w:val="00025F36"/>
    <w:rsid w:val="000260F7"/>
    <w:rsid w:val="00026855"/>
    <w:rsid w:val="00026886"/>
    <w:rsid w:val="0002754F"/>
    <w:rsid w:val="0002785D"/>
    <w:rsid w:val="00030234"/>
    <w:rsid w:val="000307BE"/>
    <w:rsid w:val="00031DD0"/>
    <w:rsid w:val="00032633"/>
    <w:rsid w:val="000326A2"/>
    <w:rsid w:val="000329E0"/>
    <w:rsid w:val="000336D0"/>
    <w:rsid w:val="000352E9"/>
    <w:rsid w:val="00035494"/>
    <w:rsid w:val="00035ECF"/>
    <w:rsid w:val="00036125"/>
    <w:rsid w:val="00036A07"/>
    <w:rsid w:val="0003780B"/>
    <w:rsid w:val="00037C41"/>
    <w:rsid w:val="00040571"/>
    <w:rsid w:val="00040973"/>
    <w:rsid w:val="00040F63"/>
    <w:rsid w:val="0004156E"/>
    <w:rsid w:val="00041713"/>
    <w:rsid w:val="0004212E"/>
    <w:rsid w:val="00042B32"/>
    <w:rsid w:val="00042EE8"/>
    <w:rsid w:val="000439AA"/>
    <w:rsid w:val="0004440C"/>
    <w:rsid w:val="00046B5E"/>
    <w:rsid w:val="000470CB"/>
    <w:rsid w:val="000506DE"/>
    <w:rsid w:val="000509D9"/>
    <w:rsid w:val="00051006"/>
    <w:rsid w:val="00051165"/>
    <w:rsid w:val="000512AF"/>
    <w:rsid w:val="00051ACB"/>
    <w:rsid w:val="000533E7"/>
    <w:rsid w:val="00053B29"/>
    <w:rsid w:val="00054B4B"/>
    <w:rsid w:val="000550E8"/>
    <w:rsid w:val="00055519"/>
    <w:rsid w:val="00055D41"/>
    <w:rsid w:val="00056EF6"/>
    <w:rsid w:val="000575CF"/>
    <w:rsid w:val="00057CD6"/>
    <w:rsid w:val="000603D5"/>
    <w:rsid w:val="00060D7F"/>
    <w:rsid w:val="00060DCE"/>
    <w:rsid w:val="000610E3"/>
    <w:rsid w:val="000614F3"/>
    <w:rsid w:val="00061A1B"/>
    <w:rsid w:val="000623B4"/>
    <w:rsid w:val="00062405"/>
    <w:rsid w:val="0006246B"/>
    <w:rsid w:val="00062EC2"/>
    <w:rsid w:val="000634A7"/>
    <w:rsid w:val="00063B0B"/>
    <w:rsid w:val="00063F81"/>
    <w:rsid w:val="00064847"/>
    <w:rsid w:val="00065E08"/>
    <w:rsid w:val="00065E2D"/>
    <w:rsid w:val="00066AD9"/>
    <w:rsid w:val="00066D2E"/>
    <w:rsid w:val="000673E2"/>
    <w:rsid w:val="00067EF1"/>
    <w:rsid w:val="00070378"/>
    <w:rsid w:val="0007037E"/>
    <w:rsid w:val="0007063F"/>
    <w:rsid w:val="000707FD"/>
    <w:rsid w:val="00070949"/>
    <w:rsid w:val="00070D1D"/>
    <w:rsid w:val="000711E4"/>
    <w:rsid w:val="00071E9B"/>
    <w:rsid w:val="000720A1"/>
    <w:rsid w:val="000724D9"/>
    <w:rsid w:val="00072AED"/>
    <w:rsid w:val="00073EE0"/>
    <w:rsid w:val="00073F47"/>
    <w:rsid w:val="0007492F"/>
    <w:rsid w:val="00074BC7"/>
    <w:rsid w:val="00074ED8"/>
    <w:rsid w:val="00075B7E"/>
    <w:rsid w:val="00076097"/>
    <w:rsid w:val="00076D70"/>
    <w:rsid w:val="00077ACA"/>
    <w:rsid w:val="00077C70"/>
    <w:rsid w:val="000813B5"/>
    <w:rsid w:val="0008191E"/>
    <w:rsid w:val="00081BA3"/>
    <w:rsid w:val="00081D2E"/>
    <w:rsid w:val="00081F89"/>
    <w:rsid w:val="00082619"/>
    <w:rsid w:val="00082D02"/>
    <w:rsid w:val="0008381A"/>
    <w:rsid w:val="00083871"/>
    <w:rsid w:val="00083B91"/>
    <w:rsid w:val="0008416F"/>
    <w:rsid w:val="0008473C"/>
    <w:rsid w:val="0008520B"/>
    <w:rsid w:val="000857DE"/>
    <w:rsid w:val="000860BD"/>
    <w:rsid w:val="000871B8"/>
    <w:rsid w:val="00087B0A"/>
    <w:rsid w:val="000916DA"/>
    <w:rsid w:val="00091AAB"/>
    <w:rsid w:val="00092442"/>
    <w:rsid w:val="000929EF"/>
    <w:rsid w:val="00092C26"/>
    <w:rsid w:val="000933BE"/>
    <w:rsid w:val="00094428"/>
    <w:rsid w:val="000944FC"/>
    <w:rsid w:val="0009560F"/>
    <w:rsid w:val="0009588E"/>
    <w:rsid w:val="000959EE"/>
    <w:rsid w:val="00096C2E"/>
    <w:rsid w:val="00096DB9"/>
    <w:rsid w:val="00097183"/>
    <w:rsid w:val="000972CB"/>
    <w:rsid w:val="00097608"/>
    <w:rsid w:val="000A0F35"/>
    <w:rsid w:val="000A1175"/>
    <w:rsid w:val="000A13F3"/>
    <w:rsid w:val="000A165B"/>
    <w:rsid w:val="000A1963"/>
    <w:rsid w:val="000A1C18"/>
    <w:rsid w:val="000A1EBE"/>
    <w:rsid w:val="000A23B1"/>
    <w:rsid w:val="000A2818"/>
    <w:rsid w:val="000A2B0E"/>
    <w:rsid w:val="000A3095"/>
    <w:rsid w:val="000A398F"/>
    <w:rsid w:val="000A448C"/>
    <w:rsid w:val="000A4E26"/>
    <w:rsid w:val="000A509C"/>
    <w:rsid w:val="000A54A7"/>
    <w:rsid w:val="000A5A17"/>
    <w:rsid w:val="000A6007"/>
    <w:rsid w:val="000A6564"/>
    <w:rsid w:val="000A65A6"/>
    <w:rsid w:val="000A70E3"/>
    <w:rsid w:val="000A7275"/>
    <w:rsid w:val="000A7408"/>
    <w:rsid w:val="000A7A12"/>
    <w:rsid w:val="000A7A72"/>
    <w:rsid w:val="000B0FE0"/>
    <w:rsid w:val="000B1202"/>
    <w:rsid w:val="000B12FF"/>
    <w:rsid w:val="000B1801"/>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09A4"/>
    <w:rsid w:val="000C144E"/>
    <w:rsid w:val="000C1679"/>
    <w:rsid w:val="000C190E"/>
    <w:rsid w:val="000C1953"/>
    <w:rsid w:val="000C1B40"/>
    <w:rsid w:val="000C1BFE"/>
    <w:rsid w:val="000C1EE3"/>
    <w:rsid w:val="000C3AE7"/>
    <w:rsid w:val="000C3CC9"/>
    <w:rsid w:val="000C3DBC"/>
    <w:rsid w:val="000C5823"/>
    <w:rsid w:val="000C59C6"/>
    <w:rsid w:val="000C621F"/>
    <w:rsid w:val="000C6DE4"/>
    <w:rsid w:val="000C7202"/>
    <w:rsid w:val="000C7432"/>
    <w:rsid w:val="000C7926"/>
    <w:rsid w:val="000D0A89"/>
    <w:rsid w:val="000D10F1"/>
    <w:rsid w:val="000D1389"/>
    <w:rsid w:val="000D1798"/>
    <w:rsid w:val="000D2626"/>
    <w:rsid w:val="000D264F"/>
    <w:rsid w:val="000D2BEF"/>
    <w:rsid w:val="000D2C4D"/>
    <w:rsid w:val="000D2CD3"/>
    <w:rsid w:val="000D4016"/>
    <w:rsid w:val="000D411D"/>
    <w:rsid w:val="000D4589"/>
    <w:rsid w:val="000D4809"/>
    <w:rsid w:val="000D4FB6"/>
    <w:rsid w:val="000D5C29"/>
    <w:rsid w:val="000D6F6B"/>
    <w:rsid w:val="000D73DD"/>
    <w:rsid w:val="000E02E8"/>
    <w:rsid w:val="000E1C38"/>
    <w:rsid w:val="000E1C51"/>
    <w:rsid w:val="000E1D3E"/>
    <w:rsid w:val="000E28AB"/>
    <w:rsid w:val="000E2E3E"/>
    <w:rsid w:val="000E3583"/>
    <w:rsid w:val="000E3AF0"/>
    <w:rsid w:val="000E43EC"/>
    <w:rsid w:val="000E49C1"/>
    <w:rsid w:val="000E4DC7"/>
    <w:rsid w:val="000E4E04"/>
    <w:rsid w:val="000E592E"/>
    <w:rsid w:val="000E693B"/>
    <w:rsid w:val="000E6D5C"/>
    <w:rsid w:val="000E6EC9"/>
    <w:rsid w:val="000E6FB6"/>
    <w:rsid w:val="000E70B4"/>
    <w:rsid w:val="000E7B62"/>
    <w:rsid w:val="000E7EDC"/>
    <w:rsid w:val="000F085D"/>
    <w:rsid w:val="000F0E1E"/>
    <w:rsid w:val="000F1129"/>
    <w:rsid w:val="000F1A1B"/>
    <w:rsid w:val="000F2A95"/>
    <w:rsid w:val="000F2BB7"/>
    <w:rsid w:val="000F3281"/>
    <w:rsid w:val="000F32FD"/>
    <w:rsid w:val="000F3733"/>
    <w:rsid w:val="000F5B2B"/>
    <w:rsid w:val="000F5F8B"/>
    <w:rsid w:val="000F6153"/>
    <w:rsid w:val="000F64AA"/>
    <w:rsid w:val="000F68F8"/>
    <w:rsid w:val="000F6C7B"/>
    <w:rsid w:val="000F73AD"/>
    <w:rsid w:val="000F7AF4"/>
    <w:rsid w:val="000F7C33"/>
    <w:rsid w:val="000F7F0C"/>
    <w:rsid w:val="000F7F30"/>
    <w:rsid w:val="001004D6"/>
    <w:rsid w:val="001005E8"/>
    <w:rsid w:val="00101D1B"/>
    <w:rsid w:val="00101E8E"/>
    <w:rsid w:val="00102676"/>
    <w:rsid w:val="00103646"/>
    <w:rsid w:val="00103918"/>
    <w:rsid w:val="00103E0F"/>
    <w:rsid w:val="00104897"/>
    <w:rsid w:val="00104EDE"/>
    <w:rsid w:val="00104F54"/>
    <w:rsid w:val="00105992"/>
    <w:rsid w:val="00105CDA"/>
    <w:rsid w:val="00105F97"/>
    <w:rsid w:val="00106BEE"/>
    <w:rsid w:val="0010711C"/>
    <w:rsid w:val="00107368"/>
    <w:rsid w:val="001078E7"/>
    <w:rsid w:val="00107BDF"/>
    <w:rsid w:val="00107C74"/>
    <w:rsid w:val="0011091C"/>
    <w:rsid w:val="001109B4"/>
    <w:rsid w:val="00111266"/>
    <w:rsid w:val="001112EB"/>
    <w:rsid w:val="00111FD1"/>
    <w:rsid w:val="00112275"/>
    <w:rsid w:val="0011247D"/>
    <w:rsid w:val="0011351F"/>
    <w:rsid w:val="00113678"/>
    <w:rsid w:val="00113A7D"/>
    <w:rsid w:val="00113C3E"/>
    <w:rsid w:val="00113DFD"/>
    <w:rsid w:val="00113E8E"/>
    <w:rsid w:val="00115375"/>
    <w:rsid w:val="001157F8"/>
    <w:rsid w:val="00115E11"/>
    <w:rsid w:val="00115EEE"/>
    <w:rsid w:val="00115F56"/>
    <w:rsid w:val="001164ED"/>
    <w:rsid w:val="00116CA9"/>
    <w:rsid w:val="00116F38"/>
    <w:rsid w:val="001170A4"/>
    <w:rsid w:val="00117AE7"/>
    <w:rsid w:val="00117B85"/>
    <w:rsid w:val="00117CBD"/>
    <w:rsid w:val="0012006A"/>
    <w:rsid w:val="001217F3"/>
    <w:rsid w:val="00121979"/>
    <w:rsid w:val="00122064"/>
    <w:rsid w:val="0012301B"/>
    <w:rsid w:val="00123428"/>
    <w:rsid w:val="00124341"/>
    <w:rsid w:val="00124492"/>
    <w:rsid w:val="00124B12"/>
    <w:rsid w:val="001250A0"/>
    <w:rsid w:val="00126106"/>
    <w:rsid w:val="001263B8"/>
    <w:rsid w:val="00126D1A"/>
    <w:rsid w:val="00130217"/>
    <w:rsid w:val="00130641"/>
    <w:rsid w:val="00130783"/>
    <w:rsid w:val="00130A47"/>
    <w:rsid w:val="00130FB0"/>
    <w:rsid w:val="00131AFC"/>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B9B"/>
    <w:rsid w:val="00141C9C"/>
    <w:rsid w:val="001422CA"/>
    <w:rsid w:val="0014277F"/>
    <w:rsid w:val="00142AD2"/>
    <w:rsid w:val="001434BE"/>
    <w:rsid w:val="00143AAD"/>
    <w:rsid w:val="00144050"/>
    <w:rsid w:val="00144369"/>
    <w:rsid w:val="00144398"/>
    <w:rsid w:val="0014479F"/>
    <w:rsid w:val="001452B4"/>
    <w:rsid w:val="00145320"/>
    <w:rsid w:val="00145B3E"/>
    <w:rsid w:val="001476D3"/>
    <w:rsid w:val="00147DEB"/>
    <w:rsid w:val="001503AB"/>
    <w:rsid w:val="001509CF"/>
    <w:rsid w:val="00150D1D"/>
    <w:rsid w:val="00151407"/>
    <w:rsid w:val="001525AA"/>
    <w:rsid w:val="00152A87"/>
    <w:rsid w:val="00152AC1"/>
    <w:rsid w:val="00153A84"/>
    <w:rsid w:val="00153BB5"/>
    <w:rsid w:val="00154518"/>
    <w:rsid w:val="00154D26"/>
    <w:rsid w:val="001556B8"/>
    <w:rsid w:val="00155ED4"/>
    <w:rsid w:val="00156359"/>
    <w:rsid w:val="00156DD6"/>
    <w:rsid w:val="00156E10"/>
    <w:rsid w:val="00160238"/>
    <w:rsid w:val="0016086E"/>
    <w:rsid w:val="001609B9"/>
    <w:rsid w:val="00160D0C"/>
    <w:rsid w:val="00160DD1"/>
    <w:rsid w:val="00161172"/>
    <w:rsid w:val="00161998"/>
    <w:rsid w:val="00161E65"/>
    <w:rsid w:val="00161F0E"/>
    <w:rsid w:val="00162597"/>
    <w:rsid w:val="001629AF"/>
    <w:rsid w:val="001629FD"/>
    <w:rsid w:val="00163F56"/>
    <w:rsid w:val="0016428A"/>
    <w:rsid w:val="001646D5"/>
    <w:rsid w:val="001647C9"/>
    <w:rsid w:val="00165627"/>
    <w:rsid w:val="001661A3"/>
    <w:rsid w:val="00166726"/>
    <w:rsid w:val="00166E81"/>
    <w:rsid w:val="00167226"/>
    <w:rsid w:val="0016739E"/>
    <w:rsid w:val="00167802"/>
    <w:rsid w:val="0016782B"/>
    <w:rsid w:val="0016784D"/>
    <w:rsid w:val="00167853"/>
    <w:rsid w:val="00167887"/>
    <w:rsid w:val="00170613"/>
    <w:rsid w:val="00170F0C"/>
    <w:rsid w:val="00171319"/>
    <w:rsid w:val="001725AC"/>
    <w:rsid w:val="0017267A"/>
    <w:rsid w:val="00172CA8"/>
    <w:rsid w:val="00173256"/>
    <w:rsid w:val="00173B0E"/>
    <w:rsid w:val="00173E03"/>
    <w:rsid w:val="0017405A"/>
    <w:rsid w:val="0017461E"/>
    <w:rsid w:val="00174704"/>
    <w:rsid w:val="00174C4F"/>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4E2"/>
    <w:rsid w:val="00181813"/>
    <w:rsid w:val="00181EAD"/>
    <w:rsid w:val="00182862"/>
    <w:rsid w:val="00182FBD"/>
    <w:rsid w:val="00184F57"/>
    <w:rsid w:val="00185091"/>
    <w:rsid w:val="00185544"/>
    <w:rsid w:val="00185617"/>
    <w:rsid w:val="00186FE1"/>
    <w:rsid w:val="00187A14"/>
    <w:rsid w:val="00190D50"/>
    <w:rsid w:val="00191177"/>
    <w:rsid w:val="0019171E"/>
    <w:rsid w:val="00192368"/>
    <w:rsid w:val="001923A0"/>
    <w:rsid w:val="0019270F"/>
    <w:rsid w:val="001928B1"/>
    <w:rsid w:val="00192C38"/>
    <w:rsid w:val="00192CA1"/>
    <w:rsid w:val="00193537"/>
    <w:rsid w:val="00193808"/>
    <w:rsid w:val="00193846"/>
    <w:rsid w:val="00195424"/>
    <w:rsid w:val="001955FF"/>
    <w:rsid w:val="001972F8"/>
    <w:rsid w:val="00197EDD"/>
    <w:rsid w:val="001A02B3"/>
    <w:rsid w:val="001A04BB"/>
    <w:rsid w:val="001A06CC"/>
    <w:rsid w:val="001A0889"/>
    <w:rsid w:val="001A08D0"/>
    <w:rsid w:val="001A0F2B"/>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A79D6"/>
    <w:rsid w:val="001B0464"/>
    <w:rsid w:val="001B125A"/>
    <w:rsid w:val="001B1EBA"/>
    <w:rsid w:val="001B2142"/>
    <w:rsid w:val="001B2F2B"/>
    <w:rsid w:val="001B327A"/>
    <w:rsid w:val="001B35DE"/>
    <w:rsid w:val="001B3A13"/>
    <w:rsid w:val="001B3F5C"/>
    <w:rsid w:val="001B57C9"/>
    <w:rsid w:val="001B59FF"/>
    <w:rsid w:val="001B5D13"/>
    <w:rsid w:val="001B6512"/>
    <w:rsid w:val="001B65D7"/>
    <w:rsid w:val="001B6752"/>
    <w:rsid w:val="001B6768"/>
    <w:rsid w:val="001B6BA8"/>
    <w:rsid w:val="001B6F1F"/>
    <w:rsid w:val="001B6F35"/>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6081"/>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253F"/>
    <w:rsid w:val="001E308A"/>
    <w:rsid w:val="001E38EC"/>
    <w:rsid w:val="001E3B63"/>
    <w:rsid w:val="001E57B2"/>
    <w:rsid w:val="001E5A94"/>
    <w:rsid w:val="001E5CBB"/>
    <w:rsid w:val="001E5CDC"/>
    <w:rsid w:val="001E6CE9"/>
    <w:rsid w:val="001E7416"/>
    <w:rsid w:val="001F13FD"/>
    <w:rsid w:val="001F27A5"/>
    <w:rsid w:val="001F2A2E"/>
    <w:rsid w:val="001F3180"/>
    <w:rsid w:val="001F3356"/>
    <w:rsid w:val="001F3A99"/>
    <w:rsid w:val="001F3C63"/>
    <w:rsid w:val="001F4141"/>
    <w:rsid w:val="001F4460"/>
    <w:rsid w:val="001F4833"/>
    <w:rsid w:val="001F6C96"/>
    <w:rsid w:val="001F711A"/>
    <w:rsid w:val="001F75B0"/>
    <w:rsid w:val="001F7CBE"/>
    <w:rsid w:val="0020057C"/>
    <w:rsid w:val="0020083C"/>
    <w:rsid w:val="00200CE5"/>
    <w:rsid w:val="00200F7C"/>
    <w:rsid w:val="002014DB"/>
    <w:rsid w:val="0020150B"/>
    <w:rsid w:val="00201E12"/>
    <w:rsid w:val="00202295"/>
    <w:rsid w:val="002033B5"/>
    <w:rsid w:val="0020382C"/>
    <w:rsid w:val="002042E9"/>
    <w:rsid w:val="0020437A"/>
    <w:rsid w:val="0020454C"/>
    <w:rsid w:val="00204740"/>
    <w:rsid w:val="00205129"/>
    <w:rsid w:val="0020521F"/>
    <w:rsid w:val="0020532C"/>
    <w:rsid w:val="00205862"/>
    <w:rsid w:val="00206AE8"/>
    <w:rsid w:val="002114C7"/>
    <w:rsid w:val="00211A7B"/>
    <w:rsid w:val="0021302C"/>
    <w:rsid w:val="002139F1"/>
    <w:rsid w:val="00213B1C"/>
    <w:rsid w:val="00213F1E"/>
    <w:rsid w:val="00214202"/>
    <w:rsid w:val="002148E3"/>
    <w:rsid w:val="00214C1A"/>
    <w:rsid w:val="00214F51"/>
    <w:rsid w:val="0021552D"/>
    <w:rsid w:val="002156AE"/>
    <w:rsid w:val="0021577B"/>
    <w:rsid w:val="00215DC7"/>
    <w:rsid w:val="00215E99"/>
    <w:rsid w:val="00217B07"/>
    <w:rsid w:val="00217C26"/>
    <w:rsid w:val="00220043"/>
    <w:rsid w:val="0022054D"/>
    <w:rsid w:val="0022107B"/>
    <w:rsid w:val="00221805"/>
    <w:rsid w:val="002223EB"/>
    <w:rsid w:val="00223DDB"/>
    <w:rsid w:val="00223FA4"/>
    <w:rsid w:val="00223FB0"/>
    <w:rsid w:val="0022405A"/>
    <w:rsid w:val="00224067"/>
    <w:rsid w:val="0022421C"/>
    <w:rsid w:val="0022454F"/>
    <w:rsid w:val="00224C4A"/>
    <w:rsid w:val="00224E83"/>
    <w:rsid w:val="00225664"/>
    <w:rsid w:val="00225E63"/>
    <w:rsid w:val="00225F84"/>
    <w:rsid w:val="00226446"/>
    <w:rsid w:val="0022663D"/>
    <w:rsid w:val="00226995"/>
    <w:rsid w:val="0022755B"/>
    <w:rsid w:val="0022774B"/>
    <w:rsid w:val="00227C56"/>
    <w:rsid w:val="00227F2D"/>
    <w:rsid w:val="00227F52"/>
    <w:rsid w:val="00231851"/>
    <w:rsid w:val="002319FB"/>
    <w:rsid w:val="00231B89"/>
    <w:rsid w:val="00231F11"/>
    <w:rsid w:val="00231F5E"/>
    <w:rsid w:val="00233395"/>
    <w:rsid w:val="002341AB"/>
    <w:rsid w:val="002346B4"/>
    <w:rsid w:val="00234F6E"/>
    <w:rsid w:val="002351FA"/>
    <w:rsid w:val="002355BE"/>
    <w:rsid w:val="002358EA"/>
    <w:rsid w:val="0023609B"/>
    <w:rsid w:val="00236578"/>
    <w:rsid w:val="00236A10"/>
    <w:rsid w:val="00236DE9"/>
    <w:rsid w:val="00237342"/>
    <w:rsid w:val="00237D5A"/>
    <w:rsid w:val="002407BA"/>
    <w:rsid w:val="00240922"/>
    <w:rsid w:val="00240D75"/>
    <w:rsid w:val="00240F92"/>
    <w:rsid w:val="00241288"/>
    <w:rsid w:val="002412E4"/>
    <w:rsid w:val="002415AE"/>
    <w:rsid w:val="00241B38"/>
    <w:rsid w:val="00241BC7"/>
    <w:rsid w:val="00241D3C"/>
    <w:rsid w:val="00242109"/>
    <w:rsid w:val="00242B6B"/>
    <w:rsid w:val="00243189"/>
    <w:rsid w:val="002439AB"/>
    <w:rsid w:val="00243C19"/>
    <w:rsid w:val="00244308"/>
    <w:rsid w:val="002448E7"/>
    <w:rsid w:val="00244AE8"/>
    <w:rsid w:val="00244DC9"/>
    <w:rsid w:val="00244EF3"/>
    <w:rsid w:val="0024531F"/>
    <w:rsid w:val="00245587"/>
    <w:rsid w:val="00245F2B"/>
    <w:rsid w:val="002460E2"/>
    <w:rsid w:val="002466CD"/>
    <w:rsid w:val="0024729B"/>
    <w:rsid w:val="00247D6E"/>
    <w:rsid w:val="00247F3A"/>
    <w:rsid w:val="00250122"/>
    <w:rsid w:val="0025024D"/>
    <w:rsid w:val="00250755"/>
    <w:rsid w:val="00251043"/>
    <w:rsid w:val="0025116E"/>
    <w:rsid w:val="002518A8"/>
    <w:rsid w:val="00251C4A"/>
    <w:rsid w:val="0025271C"/>
    <w:rsid w:val="0025277A"/>
    <w:rsid w:val="002533CD"/>
    <w:rsid w:val="002535EA"/>
    <w:rsid w:val="00253A8A"/>
    <w:rsid w:val="00254EAB"/>
    <w:rsid w:val="00255469"/>
    <w:rsid w:val="002557AF"/>
    <w:rsid w:val="0025589C"/>
    <w:rsid w:val="00255B62"/>
    <w:rsid w:val="002566B1"/>
    <w:rsid w:val="002575E3"/>
    <w:rsid w:val="00257A74"/>
    <w:rsid w:val="00257B46"/>
    <w:rsid w:val="00257C5D"/>
    <w:rsid w:val="002603C1"/>
    <w:rsid w:val="002609A1"/>
    <w:rsid w:val="002612B1"/>
    <w:rsid w:val="00261997"/>
    <w:rsid w:val="00262B14"/>
    <w:rsid w:val="002651EB"/>
    <w:rsid w:val="00265A12"/>
    <w:rsid w:val="00266165"/>
    <w:rsid w:val="00266F2C"/>
    <w:rsid w:val="00267DAF"/>
    <w:rsid w:val="00270122"/>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A52"/>
    <w:rsid w:val="00283C74"/>
    <w:rsid w:val="0028407E"/>
    <w:rsid w:val="0028410F"/>
    <w:rsid w:val="00284572"/>
    <w:rsid w:val="002850AA"/>
    <w:rsid w:val="00285221"/>
    <w:rsid w:val="00285D97"/>
    <w:rsid w:val="002865F4"/>
    <w:rsid w:val="00286FB5"/>
    <w:rsid w:val="00287543"/>
    <w:rsid w:val="00287763"/>
    <w:rsid w:val="00290606"/>
    <w:rsid w:val="002908D0"/>
    <w:rsid w:val="002909B2"/>
    <w:rsid w:val="00291D6D"/>
    <w:rsid w:val="00291FF1"/>
    <w:rsid w:val="0029238B"/>
    <w:rsid w:val="00292AA2"/>
    <w:rsid w:val="00293361"/>
    <w:rsid w:val="00293B47"/>
    <w:rsid w:val="00294D8C"/>
    <w:rsid w:val="00294F10"/>
    <w:rsid w:val="002952B1"/>
    <w:rsid w:val="002956E5"/>
    <w:rsid w:val="00295D11"/>
    <w:rsid w:val="00296FB6"/>
    <w:rsid w:val="0029724C"/>
    <w:rsid w:val="002A0001"/>
    <w:rsid w:val="002A0BD9"/>
    <w:rsid w:val="002A0BDB"/>
    <w:rsid w:val="002A0C3A"/>
    <w:rsid w:val="002A0DF8"/>
    <w:rsid w:val="002A0F1C"/>
    <w:rsid w:val="002A1130"/>
    <w:rsid w:val="002A1880"/>
    <w:rsid w:val="002A23B7"/>
    <w:rsid w:val="002A3950"/>
    <w:rsid w:val="002A3A57"/>
    <w:rsid w:val="002A4320"/>
    <w:rsid w:val="002A4B4F"/>
    <w:rsid w:val="002A57A8"/>
    <w:rsid w:val="002A5D75"/>
    <w:rsid w:val="002A6DEF"/>
    <w:rsid w:val="002A739E"/>
    <w:rsid w:val="002A770B"/>
    <w:rsid w:val="002B013E"/>
    <w:rsid w:val="002B058D"/>
    <w:rsid w:val="002B0C16"/>
    <w:rsid w:val="002B1BA5"/>
    <w:rsid w:val="002B1E01"/>
    <w:rsid w:val="002B2456"/>
    <w:rsid w:val="002B2AC5"/>
    <w:rsid w:val="002B3299"/>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E81"/>
    <w:rsid w:val="002D25FC"/>
    <w:rsid w:val="002D3C62"/>
    <w:rsid w:val="002D46AB"/>
    <w:rsid w:val="002D4AC6"/>
    <w:rsid w:val="002D59BF"/>
    <w:rsid w:val="002D5BF5"/>
    <w:rsid w:val="002D5EE8"/>
    <w:rsid w:val="002D63F6"/>
    <w:rsid w:val="002D7360"/>
    <w:rsid w:val="002D750C"/>
    <w:rsid w:val="002D7648"/>
    <w:rsid w:val="002D7C80"/>
    <w:rsid w:val="002E0602"/>
    <w:rsid w:val="002E109C"/>
    <w:rsid w:val="002E193E"/>
    <w:rsid w:val="002E1A94"/>
    <w:rsid w:val="002E1D55"/>
    <w:rsid w:val="002E26C4"/>
    <w:rsid w:val="002E2734"/>
    <w:rsid w:val="002E2AA6"/>
    <w:rsid w:val="002E30A5"/>
    <w:rsid w:val="002E47E4"/>
    <w:rsid w:val="002E4B87"/>
    <w:rsid w:val="002E4BF9"/>
    <w:rsid w:val="002E4D61"/>
    <w:rsid w:val="002E68A7"/>
    <w:rsid w:val="002E6E6C"/>
    <w:rsid w:val="002F016E"/>
    <w:rsid w:val="002F020D"/>
    <w:rsid w:val="002F03FD"/>
    <w:rsid w:val="002F0522"/>
    <w:rsid w:val="002F16DD"/>
    <w:rsid w:val="002F180F"/>
    <w:rsid w:val="002F199D"/>
    <w:rsid w:val="002F1BA7"/>
    <w:rsid w:val="002F213C"/>
    <w:rsid w:val="002F2453"/>
    <w:rsid w:val="002F2607"/>
    <w:rsid w:val="002F30BD"/>
    <w:rsid w:val="002F352D"/>
    <w:rsid w:val="002F381E"/>
    <w:rsid w:val="002F39FF"/>
    <w:rsid w:val="002F3C58"/>
    <w:rsid w:val="002F4084"/>
    <w:rsid w:val="002F4A08"/>
    <w:rsid w:val="002F4ADB"/>
    <w:rsid w:val="002F531E"/>
    <w:rsid w:val="002F548D"/>
    <w:rsid w:val="002F54FB"/>
    <w:rsid w:val="002F5ACC"/>
    <w:rsid w:val="002F704B"/>
    <w:rsid w:val="002F72C3"/>
    <w:rsid w:val="002F768C"/>
    <w:rsid w:val="002F7D1E"/>
    <w:rsid w:val="002F7E89"/>
    <w:rsid w:val="00300201"/>
    <w:rsid w:val="0030025A"/>
    <w:rsid w:val="0030052F"/>
    <w:rsid w:val="00302EFC"/>
    <w:rsid w:val="00303243"/>
    <w:rsid w:val="00303BCC"/>
    <w:rsid w:val="00303F2B"/>
    <w:rsid w:val="00303F8D"/>
    <w:rsid w:val="0030448A"/>
    <w:rsid w:val="0030572D"/>
    <w:rsid w:val="0030586A"/>
    <w:rsid w:val="0030594B"/>
    <w:rsid w:val="00305A5E"/>
    <w:rsid w:val="0030622D"/>
    <w:rsid w:val="00306811"/>
    <w:rsid w:val="00306F32"/>
    <w:rsid w:val="003074C5"/>
    <w:rsid w:val="00307A3C"/>
    <w:rsid w:val="00307FA4"/>
    <w:rsid w:val="0031023E"/>
    <w:rsid w:val="00310290"/>
    <w:rsid w:val="003103B1"/>
    <w:rsid w:val="00310CC1"/>
    <w:rsid w:val="003118A8"/>
    <w:rsid w:val="00312504"/>
    <w:rsid w:val="00312B89"/>
    <w:rsid w:val="00313026"/>
    <w:rsid w:val="00313913"/>
    <w:rsid w:val="00313DAA"/>
    <w:rsid w:val="0031421F"/>
    <w:rsid w:val="0031466A"/>
    <w:rsid w:val="00314B31"/>
    <w:rsid w:val="003151F4"/>
    <w:rsid w:val="00315569"/>
    <w:rsid w:val="00315A65"/>
    <w:rsid w:val="003165D7"/>
    <w:rsid w:val="0031666B"/>
    <w:rsid w:val="00316ABE"/>
    <w:rsid w:val="00317601"/>
    <w:rsid w:val="00317BA7"/>
    <w:rsid w:val="00317EB1"/>
    <w:rsid w:val="00320BE2"/>
    <w:rsid w:val="00321886"/>
    <w:rsid w:val="00321EDC"/>
    <w:rsid w:val="003226AC"/>
    <w:rsid w:val="00322FD4"/>
    <w:rsid w:val="00323694"/>
    <w:rsid w:val="003237A9"/>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42D"/>
    <w:rsid w:val="0033364C"/>
    <w:rsid w:val="00334415"/>
    <w:rsid w:val="0033481F"/>
    <w:rsid w:val="00334EAC"/>
    <w:rsid w:val="00335EA1"/>
    <w:rsid w:val="003365CF"/>
    <w:rsid w:val="0033691E"/>
    <w:rsid w:val="00336A6A"/>
    <w:rsid w:val="00336CCB"/>
    <w:rsid w:val="003411D1"/>
    <w:rsid w:val="003416BA"/>
    <w:rsid w:val="00342148"/>
    <w:rsid w:val="00342658"/>
    <w:rsid w:val="003427BE"/>
    <w:rsid w:val="00342F99"/>
    <w:rsid w:val="00343AEA"/>
    <w:rsid w:val="00344D99"/>
    <w:rsid w:val="0034575A"/>
    <w:rsid w:val="00345F1D"/>
    <w:rsid w:val="00345F57"/>
    <w:rsid w:val="0034698A"/>
    <w:rsid w:val="00350458"/>
    <w:rsid w:val="00350E6C"/>
    <w:rsid w:val="0035153C"/>
    <w:rsid w:val="003518A6"/>
    <w:rsid w:val="00351E7F"/>
    <w:rsid w:val="00352953"/>
    <w:rsid w:val="00353D91"/>
    <w:rsid w:val="00354062"/>
    <w:rsid w:val="0035459E"/>
    <w:rsid w:val="00354AE9"/>
    <w:rsid w:val="0035540D"/>
    <w:rsid w:val="00355527"/>
    <w:rsid w:val="00355C0D"/>
    <w:rsid w:val="00355FD4"/>
    <w:rsid w:val="003560A6"/>
    <w:rsid w:val="003566A9"/>
    <w:rsid w:val="00356988"/>
    <w:rsid w:val="003569D3"/>
    <w:rsid w:val="00356CE9"/>
    <w:rsid w:val="00356D0B"/>
    <w:rsid w:val="00356D82"/>
    <w:rsid w:val="003570BB"/>
    <w:rsid w:val="00357128"/>
    <w:rsid w:val="0035755E"/>
    <w:rsid w:val="00357A80"/>
    <w:rsid w:val="00360116"/>
    <w:rsid w:val="00361441"/>
    <w:rsid w:val="00361B8B"/>
    <w:rsid w:val="00363F39"/>
    <w:rsid w:val="003640FC"/>
    <w:rsid w:val="0036445C"/>
    <w:rsid w:val="00364627"/>
    <w:rsid w:val="00364AB0"/>
    <w:rsid w:val="00364D71"/>
    <w:rsid w:val="003667B0"/>
    <w:rsid w:val="003667DD"/>
    <w:rsid w:val="00366B48"/>
    <w:rsid w:val="00366D71"/>
    <w:rsid w:val="003674FB"/>
    <w:rsid w:val="00367721"/>
    <w:rsid w:val="00367764"/>
    <w:rsid w:val="0036789C"/>
    <w:rsid w:val="00370316"/>
    <w:rsid w:val="00370571"/>
    <w:rsid w:val="00370DC7"/>
    <w:rsid w:val="003713D7"/>
    <w:rsid w:val="003714AC"/>
    <w:rsid w:val="00371CBD"/>
    <w:rsid w:val="00371F20"/>
    <w:rsid w:val="003721E3"/>
    <w:rsid w:val="00372B98"/>
    <w:rsid w:val="00373190"/>
    <w:rsid w:val="003737B7"/>
    <w:rsid w:val="003740CC"/>
    <w:rsid w:val="003745F4"/>
    <w:rsid w:val="0037491A"/>
    <w:rsid w:val="00374E79"/>
    <w:rsid w:val="0037529A"/>
    <w:rsid w:val="00375388"/>
    <w:rsid w:val="00375559"/>
    <w:rsid w:val="00375B73"/>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3429"/>
    <w:rsid w:val="0038444F"/>
    <w:rsid w:val="00384BB9"/>
    <w:rsid w:val="003861F0"/>
    <w:rsid w:val="00387051"/>
    <w:rsid w:val="003876F0"/>
    <w:rsid w:val="00387ECF"/>
    <w:rsid w:val="003901EA"/>
    <w:rsid w:val="0039021B"/>
    <w:rsid w:val="00390353"/>
    <w:rsid w:val="00390429"/>
    <w:rsid w:val="003906A0"/>
    <w:rsid w:val="00391413"/>
    <w:rsid w:val="003923D5"/>
    <w:rsid w:val="003931AF"/>
    <w:rsid w:val="0039338D"/>
    <w:rsid w:val="0039366C"/>
    <w:rsid w:val="00393EC8"/>
    <w:rsid w:val="00395E42"/>
    <w:rsid w:val="00396409"/>
    <w:rsid w:val="00396A2D"/>
    <w:rsid w:val="00396FC3"/>
    <w:rsid w:val="0039779B"/>
    <w:rsid w:val="003A13E2"/>
    <w:rsid w:val="003A1431"/>
    <w:rsid w:val="003A1936"/>
    <w:rsid w:val="003A1A94"/>
    <w:rsid w:val="003A1FF5"/>
    <w:rsid w:val="003A204E"/>
    <w:rsid w:val="003A2597"/>
    <w:rsid w:val="003A2B19"/>
    <w:rsid w:val="003A2D25"/>
    <w:rsid w:val="003A2DB1"/>
    <w:rsid w:val="003A3FF6"/>
    <w:rsid w:val="003A5101"/>
    <w:rsid w:val="003A51BE"/>
    <w:rsid w:val="003A5728"/>
    <w:rsid w:val="003A60E7"/>
    <w:rsid w:val="003A6AE2"/>
    <w:rsid w:val="003A7092"/>
    <w:rsid w:val="003A72A1"/>
    <w:rsid w:val="003A7302"/>
    <w:rsid w:val="003A7611"/>
    <w:rsid w:val="003A7A46"/>
    <w:rsid w:val="003A7D1F"/>
    <w:rsid w:val="003B0725"/>
    <w:rsid w:val="003B0B6A"/>
    <w:rsid w:val="003B0C41"/>
    <w:rsid w:val="003B22F7"/>
    <w:rsid w:val="003B2518"/>
    <w:rsid w:val="003B29CF"/>
    <w:rsid w:val="003B2A86"/>
    <w:rsid w:val="003B2D65"/>
    <w:rsid w:val="003B3A90"/>
    <w:rsid w:val="003B3D01"/>
    <w:rsid w:val="003B534F"/>
    <w:rsid w:val="003B6B8D"/>
    <w:rsid w:val="003B7A79"/>
    <w:rsid w:val="003C0FE1"/>
    <w:rsid w:val="003C151A"/>
    <w:rsid w:val="003C19F1"/>
    <w:rsid w:val="003C1D27"/>
    <w:rsid w:val="003C2B17"/>
    <w:rsid w:val="003C33A0"/>
    <w:rsid w:val="003C350C"/>
    <w:rsid w:val="003C3733"/>
    <w:rsid w:val="003C3903"/>
    <w:rsid w:val="003C3BA0"/>
    <w:rsid w:val="003C4580"/>
    <w:rsid w:val="003C4A8C"/>
    <w:rsid w:val="003C51C0"/>
    <w:rsid w:val="003C5C5E"/>
    <w:rsid w:val="003C65D3"/>
    <w:rsid w:val="003C6692"/>
    <w:rsid w:val="003C6746"/>
    <w:rsid w:val="003C7555"/>
    <w:rsid w:val="003C7898"/>
    <w:rsid w:val="003D0FF5"/>
    <w:rsid w:val="003D11A3"/>
    <w:rsid w:val="003D1537"/>
    <w:rsid w:val="003D183C"/>
    <w:rsid w:val="003D214B"/>
    <w:rsid w:val="003D2D1B"/>
    <w:rsid w:val="003D3558"/>
    <w:rsid w:val="003D36C0"/>
    <w:rsid w:val="003D40E5"/>
    <w:rsid w:val="003D48C7"/>
    <w:rsid w:val="003D4C27"/>
    <w:rsid w:val="003D5E5D"/>
    <w:rsid w:val="003D7109"/>
    <w:rsid w:val="003D7CE8"/>
    <w:rsid w:val="003E0514"/>
    <w:rsid w:val="003E0BAA"/>
    <w:rsid w:val="003E1032"/>
    <w:rsid w:val="003E1904"/>
    <w:rsid w:val="003E285E"/>
    <w:rsid w:val="003E2BD8"/>
    <w:rsid w:val="003E3124"/>
    <w:rsid w:val="003E3300"/>
    <w:rsid w:val="003E3BC7"/>
    <w:rsid w:val="003E43D3"/>
    <w:rsid w:val="003E48E1"/>
    <w:rsid w:val="003E50F4"/>
    <w:rsid w:val="003E59BB"/>
    <w:rsid w:val="003E6225"/>
    <w:rsid w:val="003E65AC"/>
    <w:rsid w:val="003E65D1"/>
    <w:rsid w:val="003E66AE"/>
    <w:rsid w:val="003E6CFE"/>
    <w:rsid w:val="003E72B9"/>
    <w:rsid w:val="003E7612"/>
    <w:rsid w:val="003E7ED4"/>
    <w:rsid w:val="003F0187"/>
    <w:rsid w:val="003F023E"/>
    <w:rsid w:val="003F0CAA"/>
    <w:rsid w:val="003F0E52"/>
    <w:rsid w:val="003F0F6B"/>
    <w:rsid w:val="003F1FC6"/>
    <w:rsid w:val="003F1FE3"/>
    <w:rsid w:val="003F2112"/>
    <w:rsid w:val="003F2359"/>
    <w:rsid w:val="003F2457"/>
    <w:rsid w:val="003F3232"/>
    <w:rsid w:val="003F359A"/>
    <w:rsid w:val="003F3865"/>
    <w:rsid w:val="003F38AC"/>
    <w:rsid w:val="003F3D55"/>
    <w:rsid w:val="003F44E2"/>
    <w:rsid w:val="003F4632"/>
    <w:rsid w:val="003F47BA"/>
    <w:rsid w:val="003F49F3"/>
    <w:rsid w:val="003F4FE6"/>
    <w:rsid w:val="003F5638"/>
    <w:rsid w:val="003F6617"/>
    <w:rsid w:val="003F7F36"/>
    <w:rsid w:val="00400A58"/>
    <w:rsid w:val="00402332"/>
    <w:rsid w:val="004025C2"/>
    <w:rsid w:val="004027A4"/>
    <w:rsid w:val="00403195"/>
    <w:rsid w:val="004033A9"/>
    <w:rsid w:val="00403E55"/>
    <w:rsid w:val="0040407C"/>
    <w:rsid w:val="0040416C"/>
    <w:rsid w:val="004041CA"/>
    <w:rsid w:val="004044B4"/>
    <w:rsid w:val="00404681"/>
    <w:rsid w:val="004048F9"/>
    <w:rsid w:val="00404A80"/>
    <w:rsid w:val="00405445"/>
    <w:rsid w:val="00405AC1"/>
    <w:rsid w:val="00406923"/>
    <w:rsid w:val="0040763D"/>
    <w:rsid w:val="0041038E"/>
    <w:rsid w:val="0041070E"/>
    <w:rsid w:val="00410D17"/>
    <w:rsid w:val="0041183A"/>
    <w:rsid w:val="004125EF"/>
    <w:rsid w:val="00412656"/>
    <w:rsid w:val="00412AA9"/>
    <w:rsid w:val="004133C8"/>
    <w:rsid w:val="00413442"/>
    <w:rsid w:val="00413821"/>
    <w:rsid w:val="00413BA5"/>
    <w:rsid w:val="004141A3"/>
    <w:rsid w:val="00414909"/>
    <w:rsid w:val="0041582F"/>
    <w:rsid w:val="00415AC9"/>
    <w:rsid w:val="00415CF3"/>
    <w:rsid w:val="00415F5B"/>
    <w:rsid w:val="00416112"/>
    <w:rsid w:val="004167AD"/>
    <w:rsid w:val="0041716A"/>
    <w:rsid w:val="00417A18"/>
    <w:rsid w:val="00417AE0"/>
    <w:rsid w:val="00417BAA"/>
    <w:rsid w:val="0042042B"/>
    <w:rsid w:val="00420B45"/>
    <w:rsid w:val="00420D7A"/>
    <w:rsid w:val="00420DC4"/>
    <w:rsid w:val="00421257"/>
    <w:rsid w:val="00422193"/>
    <w:rsid w:val="004223DE"/>
    <w:rsid w:val="00422645"/>
    <w:rsid w:val="00422A10"/>
    <w:rsid w:val="00424D17"/>
    <w:rsid w:val="004259FC"/>
    <w:rsid w:val="00425DFD"/>
    <w:rsid w:val="00425EA9"/>
    <w:rsid w:val="004263A3"/>
    <w:rsid w:val="0042711B"/>
    <w:rsid w:val="00427713"/>
    <w:rsid w:val="00427C77"/>
    <w:rsid w:val="00427CCC"/>
    <w:rsid w:val="0043013A"/>
    <w:rsid w:val="004302BE"/>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68C9"/>
    <w:rsid w:val="004371D5"/>
    <w:rsid w:val="0043773F"/>
    <w:rsid w:val="00437FBF"/>
    <w:rsid w:val="0044006B"/>
    <w:rsid w:val="0044033F"/>
    <w:rsid w:val="00440576"/>
    <w:rsid w:val="00440630"/>
    <w:rsid w:val="00440E07"/>
    <w:rsid w:val="0044142F"/>
    <w:rsid w:val="00441F0F"/>
    <w:rsid w:val="00442965"/>
    <w:rsid w:val="004432B6"/>
    <w:rsid w:val="00444157"/>
    <w:rsid w:val="0044417C"/>
    <w:rsid w:val="00444DB3"/>
    <w:rsid w:val="00445617"/>
    <w:rsid w:val="00445A2F"/>
    <w:rsid w:val="0044680A"/>
    <w:rsid w:val="0044684E"/>
    <w:rsid w:val="00446F22"/>
    <w:rsid w:val="0045019F"/>
    <w:rsid w:val="004503A4"/>
    <w:rsid w:val="00450555"/>
    <w:rsid w:val="004506FA"/>
    <w:rsid w:val="00450DC6"/>
    <w:rsid w:val="004516A5"/>
    <w:rsid w:val="00451E9C"/>
    <w:rsid w:val="004520F3"/>
    <w:rsid w:val="00452145"/>
    <w:rsid w:val="004522D0"/>
    <w:rsid w:val="0045280F"/>
    <w:rsid w:val="00452E73"/>
    <w:rsid w:val="004535AE"/>
    <w:rsid w:val="00453C53"/>
    <w:rsid w:val="0045444D"/>
    <w:rsid w:val="0045463A"/>
    <w:rsid w:val="00454AC9"/>
    <w:rsid w:val="00454AFD"/>
    <w:rsid w:val="00455050"/>
    <w:rsid w:val="004554A3"/>
    <w:rsid w:val="00455626"/>
    <w:rsid w:val="00455A6E"/>
    <w:rsid w:val="00455EAD"/>
    <w:rsid w:val="004578EB"/>
    <w:rsid w:val="00457F74"/>
    <w:rsid w:val="004604D5"/>
    <w:rsid w:val="004605C6"/>
    <w:rsid w:val="00460697"/>
    <w:rsid w:val="0046117B"/>
    <w:rsid w:val="00461735"/>
    <w:rsid w:val="00461FC2"/>
    <w:rsid w:val="004632B9"/>
    <w:rsid w:val="00464AB7"/>
    <w:rsid w:val="00465DE5"/>
    <w:rsid w:val="00466103"/>
    <w:rsid w:val="00467A83"/>
    <w:rsid w:val="00467EF8"/>
    <w:rsid w:val="00470006"/>
    <w:rsid w:val="00470611"/>
    <w:rsid w:val="00470848"/>
    <w:rsid w:val="00471AC3"/>
    <w:rsid w:val="00472429"/>
    <w:rsid w:val="004725E5"/>
    <w:rsid w:val="00472751"/>
    <w:rsid w:val="00473128"/>
    <w:rsid w:val="004748A5"/>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4D4"/>
    <w:rsid w:val="00486D60"/>
    <w:rsid w:val="00486DBC"/>
    <w:rsid w:val="00490A45"/>
    <w:rsid w:val="00491FA1"/>
    <w:rsid w:val="00492A25"/>
    <w:rsid w:val="004938A3"/>
    <w:rsid w:val="00493D2C"/>
    <w:rsid w:val="004950A6"/>
    <w:rsid w:val="0049558B"/>
    <w:rsid w:val="00496254"/>
    <w:rsid w:val="00496350"/>
    <w:rsid w:val="00496514"/>
    <w:rsid w:val="004974A4"/>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2A44"/>
    <w:rsid w:val="004B35DF"/>
    <w:rsid w:val="004B3627"/>
    <w:rsid w:val="004B3837"/>
    <w:rsid w:val="004B4922"/>
    <w:rsid w:val="004B57DF"/>
    <w:rsid w:val="004B5976"/>
    <w:rsid w:val="004B6E54"/>
    <w:rsid w:val="004B722E"/>
    <w:rsid w:val="004B72E8"/>
    <w:rsid w:val="004B771A"/>
    <w:rsid w:val="004C01A5"/>
    <w:rsid w:val="004C0412"/>
    <w:rsid w:val="004C044B"/>
    <w:rsid w:val="004C0882"/>
    <w:rsid w:val="004C0D7C"/>
    <w:rsid w:val="004C2138"/>
    <w:rsid w:val="004C2B69"/>
    <w:rsid w:val="004C302E"/>
    <w:rsid w:val="004C3940"/>
    <w:rsid w:val="004C51FD"/>
    <w:rsid w:val="004C5ED7"/>
    <w:rsid w:val="004C65A8"/>
    <w:rsid w:val="004C6689"/>
    <w:rsid w:val="004C6BF3"/>
    <w:rsid w:val="004C7408"/>
    <w:rsid w:val="004C7850"/>
    <w:rsid w:val="004D139A"/>
    <w:rsid w:val="004D14DC"/>
    <w:rsid w:val="004D17C6"/>
    <w:rsid w:val="004D233F"/>
    <w:rsid w:val="004D2858"/>
    <w:rsid w:val="004D2E49"/>
    <w:rsid w:val="004D35BA"/>
    <w:rsid w:val="004D38E5"/>
    <w:rsid w:val="004D3A48"/>
    <w:rsid w:val="004D3B3C"/>
    <w:rsid w:val="004D3C5A"/>
    <w:rsid w:val="004D449A"/>
    <w:rsid w:val="004D4701"/>
    <w:rsid w:val="004D47C7"/>
    <w:rsid w:val="004D4B2B"/>
    <w:rsid w:val="004D4F35"/>
    <w:rsid w:val="004D51EE"/>
    <w:rsid w:val="004D5B54"/>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308"/>
    <w:rsid w:val="004F4516"/>
    <w:rsid w:val="004F4892"/>
    <w:rsid w:val="004F4D2C"/>
    <w:rsid w:val="004F56EE"/>
    <w:rsid w:val="004F5C3B"/>
    <w:rsid w:val="004F5DA0"/>
    <w:rsid w:val="004F7160"/>
    <w:rsid w:val="00500258"/>
    <w:rsid w:val="00500B2D"/>
    <w:rsid w:val="0050130B"/>
    <w:rsid w:val="00501A99"/>
    <w:rsid w:val="00502456"/>
    <w:rsid w:val="00503180"/>
    <w:rsid w:val="005038A4"/>
    <w:rsid w:val="00504C56"/>
    <w:rsid w:val="00504CD4"/>
    <w:rsid w:val="0050524B"/>
    <w:rsid w:val="00505450"/>
    <w:rsid w:val="00505FC6"/>
    <w:rsid w:val="00506DA6"/>
    <w:rsid w:val="00507170"/>
    <w:rsid w:val="005100B7"/>
    <w:rsid w:val="005105DE"/>
    <w:rsid w:val="005113B6"/>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E0F"/>
    <w:rsid w:val="00522FFE"/>
    <w:rsid w:val="0052363A"/>
    <w:rsid w:val="005237FE"/>
    <w:rsid w:val="00523BB1"/>
    <w:rsid w:val="005241A0"/>
    <w:rsid w:val="00524B23"/>
    <w:rsid w:val="0052511C"/>
    <w:rsid w:val="00525235"/>
    <w:rsid w:val="0052570E"/>
    <w:rsid w:val="005260CD"/>
    <w:rsid w:val="00526265"/>
    <w:rsid w:val="00526332"/>
    <w:rsid w:val="00526338"/>
    <w:rsid w:val="0052655D"/>
    <w:rsid w:val="005265E0"/>
    <w:rsid w:val="00526BC3"/>
    <w:rsid w:val="00530064"/>
    <w:rsid w:val="00530440"/>
    <w:rsid w:val="00530FF0"/>
    <w:rsid w:val="005313CA"/>
    <w:rsid w:val="00531761"/>
    <w:rsid w:val="0053248F"/>
    <w:rsid w:val="005327AB"/>
    <w:rsid w:val="00532F9C"/>
    <w:rsid w:val="00533055"/>
    <w:rsid w:val="0053332A"/>
    <w:rsid w:val="0053358A"/>
    <w:rsid w:val="005338AB"/>
    <w:rsid w:val="00534668"/>
    <w:rsid w:val="005348CA"/>
    <w:rsid w:val="00534DDD"/>
    <w:rsid w:val="00535291"/>
    <w:rsid w:val="00535A94"/>
    <w:rsid w:val="0053686A"/>
    <w:rsid w:val="00537874"/>
    <w:rsid w:val="0053795F"/>
    <w:rsid w:val="00537D3D"/>
    <w:rsid w:val="00540511"/>
    <w:rsid w:val="00540578"/>
    <w:rsid w:val="00540808"/>
    <w:rsid w:val="0054080E"/>
    <w:rsid w:val="00540D1A"/>
    <w:rsid w:val="00540DE5"/>
    <w:rsid w:val="00540EA1"/>
    <w:rsid w:val="00540EB6"/>
    <w:rsid w:val="00541E5A"/>
    <w:rsid w:val="00542769"/>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F7"/>
    <w:rsid w:val="00547EFB"/>
    <w:rsid w:val="00550186"/>
    <w:rsid w:val="00550192"/>
    <w:rsid w:val="00550BD9"/>
    <w:rsid w:val="005522F2"/>
    <w:rsid w:val="005531DF"/>
    <w:rsid w:val="00553874"/>
    <w:rsid w:val="00553DCE"/>
    <w:rsid w:val="005541E0"/>
    <w:rsid w:val="005543B3"/>
    <w:rsid w:val="00554577"/>
    <w:rsid w:val="005545A1"/>
    <w:rsid w:val="0055497F"/>
    <w:rsid w:val="00554AD8"/>
    <w:rsid w:val="00554F78"/>
    <w:rsid w:val="00555C46"/>
    <w:rsid w:val="00555DA1"/>
    <w:rsid w:val="005562FB"/>
    <w:rsid w:val="00556731"/>
    <w:rsid w:val="00556BF7"/>
    <w:rsid w:val="00556E53"/>
    <w:rsid w:val="00557F60"/>
    <w:rsid w:val="00560D81"/>
    <w:rsid w:val="00561730"/>
    <w:rsid w:val="00561B97"/>
    <w:rsid w:val="00562149"/>
    <w:rsid w:val="0056248C"/>
    <w:rsid w:val="0056362D"/>
    <w:rsid w:val="005640EB"/>
    <w:rsid w:val="00565559"/>
    <w:rsid w:val="005666A4"/>
    <w:rsid w:val="00566D81"/>
    <w:rsid w:val="00567B5D"/>
    <w:rsid w:val="00570593"/>
    <w:rsid w:val="00570757"/>
    <w:rsid w:val="0057257D"/>
    <w:rsid w:val="00573293"/>
    <w:rsid w:val="00573733"/>
    <w:rsid w:val="00573E08"/>
    <w:rsid w:val="00573F8B"/>
    <w:rsid w:val="005743E0"/>
    <w:rsid w:val="00574554"/>
    <w:rsid w:val="00574E06"/>
    <w:rsid w:val="005751BB"/>
    <w:rsid w:val="00575713"/>
    <w:rsid w:val="00576089"/>
    <w:rsid w:val="005764B1"/>
    <w:rsid w:val="00576852"/>
    <w:rsid w:val="0057692E"/>
    <w:rsid w:val="00576D06"/>
    <w:rsid w:val="0057739B"/>
    <w:rsid w:val="005779E4"/>
    <w:rsid w:val="00580B89"/>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22A"/>
    <w:rsid w:val="00592C40"/>
    <w:rsid w:val="00593B28"/>
    <w:rsid w:val="005940D4"/>
    <w:rsid w:val="00594A7B"/>
    <w:rsid w:val="0059580E"/>
    <w:rsid w:val="00595D90"/>
    <w:rsid w:val="0059640E"/>
    <w:rsid w:val="00596A6F"/>
    <w:rsid w:val="00596D11"/>
    <w:rsid w:val="00596FCE"/>
    <w:rsid w:val="005A0300"/>
    <w:rsid w:val="005A11BC"/>
    <w:rsid w:val="005A1525"/>
    <w:rsid w:val="005A188D"/>
    <w:rsid w:val="005A1E17"/>
    <w:rsid w:val="005A1E4C"/>
    <w:rsid w:val="005A252B"/>
    <w:rsid w:val="005A2A8F"/>
    <w:rsid w:val="005A3008"/>
    <w:rsid w:val="005A3204"/>
    <w:rsid w:val="005A3341"/>
    <w:rsid w:val="005A3347"/>
    <w:rsid w:val="005A3C3D"/>
    <w:rsid w:val="005A46EC"/>
    <w:rsid w:val="005A532C"/>
    <w:rsid w:val="005A5EAE"/>
    <w:rsid w:val="005A5EB8"/>
    <w:rsid w:val="005A6407"/>
    <w:rsid w:val="005A726C"/>
    <w:rsid w:val="005A7920"/>
    <w:rsid w:val="005A79CF"/>
    <w:rsid w:val="005A7DDF"/>
    <w:rsid w:val="005B05D8"/>
    <w:rsid w:val="005B07EC"/>
    <w:rsid w:val="005B0DBF"/>
    <w:rsid w:val="005B21B0"/>
    <w:rsid w:val="005B2B11"/>
    <w:rsid w:val="005B32A4"/>
    <w:rsid w:val="005B3371"/>
    <w:rsid w:val="005B338D"/>
    <w:rsid w:val="005B33A1"/>
    <w:rsid w:val="005B3852"/>
    <w:rsid w:val="005B3BAF"/>
    <w:rsid w:val="005B43D5"/>
    <w:rsid w:val="005B4470"/>
    <w:rsid w:val="005B4DA3"/>
    <w:rsid w:val="005B5BEE"/>
    <w:rsid w:val="005B6AA9"/>
    <w:rsid w:val="005B71BE"/>
    <w:rsid w:val="005B77D2"/>
    <w:rsid w:val="005B7BDA"/>
    <w:rsid w:val="005C0195"/>
    <w:rsid w:val="005C019B"/>
    <w:rsid w:val="005C08D0"/>
    <w:rsid w:val="005C15A1"/>
    <w:rsid w:val="005C1AED"/>
    <w:rsid w:val="005C1FCB"/>
    <w:rsid w:val="005C2136"/>
    <w:rsid w:val="005C2331"/>
    <w:rsid w:val="005C30F5"/>
    <w:rsid w:val="005C3571"/>
    <w:rsid w:val="005C3840"/>
    <w:rsid w:val="005C51A5"/>
    <w:rsid w:val="005C557A"/>
    <w:rsid w:val="005C566F"/>
    <w:rsid w:val="005C5966"/>
    <w:rsid w:val="005C5B5C"/>
    <w:rsid w:val="005C5BF5"/>
    <w:rsid w:val="005C5C47"/>
    <w:rsid w:val="005C5D2D"/>
    <w:rsid w:val="005C61DD"/>
    <w:rsid w:val="005C6438"/>
    <w:rsid w:val="005C64C7"/>
    <w:rsid w:val="005C6B8B"/>
    <w:rsid w:val="005C727F"/>
    <w:rsid w:val="005D02E3"/>
    <w:rsid w:val="005D087F"/>
    <w:rsid w:val="005D1F34"/>
    <w:rsid w:val="005D2C1F"/>
    <w:rsid w:val="005D34B2"/>
    <w:rsid w:val="005D3884"/>
    <w:rsid w:val="005D3B54"/>
    <w:rsid w:val="005D3E28"/>
    <w:rsid w:val="005D40CD"/>
    <w:rsid w:val="005D49A3"/>
    <w:rsid w:val="005D4C6F"/>
    <w:rsid w:val="005D6B59"/>
    <w:rsid w:val="005D71C3"/>
    <w:rsid w:val="005D74D2"/>
    <w:rsid w:val="005D784B"/>
    <w:rsid w:val="005D7B90"/>
    <w:rsid w:val="005E00AF"/>
    <w:rsid w:val="005E03E4"/>
    <w:rsid w:val="005E0454"/>
    <w:rsid w:val="005E05F6"/>
    <w:rsid w:val="005E19CF"/>
    <w:rsid w:val="005E1B9D"/>
    <w:rsid w:val="005E1BDA"/>
    <w:rsid w:val="005E1FE5"/>
    <w:rsid w:val="005E2442"/>
    <w:rsid w:val="005E2768"/>
    <w:rsid w:val="005E2C81"/>
    <w:rsid w:val="005E3111"/>
    <w:rsid w:val="005E3CA0"/>
    <w:rsid w:val="005E3D25"/>
    <w:rsid w:val="005E3EAA"/>
    <w:rsid w:val="005E3F85"/>
    <w:rsid w:val="005E464B"/>
    <w:rsid w:val="005E4A5F"/>
    <w:rsid w:val="005E4D86"/>
    <w:rsid w:val="005E516A"/>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2AD"/>
    <w:rsid w:val="005F3822"/>
    <w:rsid w:val="005F4635"/>
    <w:rsid w:val="005F4900"/>
    <w:rsid w:val="005F4E52"/>
    <w:rsid w:val="005F5466"/>
    <w:rsid w:val="005F69D0"/>
    <w:rsid w:val="005F6D58"/>
    <w:rsid w:val="005F7060"/>
    <w:rsid w:val="005F7383"/>
    <w:rsid w:val="006003CB"/>
    <w:rsid w:val="0060058E"/>
    <w:rsid w:val="006005C4"/>
    <w:rsid w:val="00601F58"/>
    <w:rsid w:val="00602A3C"/>
    <w:rsid w:val="00602A60"/>
    <w:rsid w:val="00603EFD"/>
    <w:rsid w:val="0060475B"/>
    <w:rsid w:val="00604BED"/>
    <w:rsid w:val="00604FB6"/>
    <w:rsid w:val="00605387"/>
    <w:rsid w:val="00606302"/>
    <w:rsid w:val="006070EC"/>
    <w:rsid w:val="006076FD"/>
    <w:rsid w:val="006100B0"/>
    <w:rsid w:val="006107B1"/>
    <w:rsid w:val="00610811"/>
    <w:rsid w:val="0061143F"/>
    <w:rsid w:val="006114D8"/>
    <w:rsid w:val="00611800"/>
    <w:rsid w:val="00612550"/>
    <w:rsid w:val="00612C4D"/>
    <w:rsid w:val="00613553"/>
    <w:rsid w:val="00613601"/>
    <w:rsid w:val="00613791"/>
    <w:rsid w:val="006143F9"/>
    <w:rsid w:val="00614CD4"/>
    <w:rsid w:val="006150D6"/>
    <w:rsid w:val="00615245"/>
    <w:rsid w:val="0061526D"/>
    <w:rsid w:val="0061590D"/>
    <w:rsid w:val="00615C84"/>
    <w:rsid w:val="00617EEE"/>
    <w:rsid w:val="00620A12"/>
    <w:rsid w:val="00620A1F"/>
    <w:rsid w:val="0062169D"/>
    <w:rsid w:val="00621737"/>
    <w:rsid w:val="0062181E"/>
    <w:rsid w:val="0062197C"/>
    <w:rsid w:val="0062211B"/>
    <w:rsid w:val="0062227E"/>
    <w:rsid w:val="00622B9A"/>
    <w:rsid w:val="00622BB7"/>
    <w:rsid w:val="00622C1E"/>
    <w:rsid w:val="00623389"/>
    <w:rsid w:val="00623DAA"/>
    <w:rsid w:val="00623FAF"/>
    <w:rsid w:val="00624B3E"/>
    <w:rsid w:val="0062578C"/>
    <w:rsid w:val="00625A24"/>
    <w:rsid w:val="006265C4"/>
    <w:rsid w:val="0062678A"/>
    <w:rsid w:val="00626AF1"/>
    <w:rsid w:val="00626FCA"/>
    <w:rsid w:val="006270AF"/>
    <w:rsid w:val="006275C2"/>
    <w:rsid w:val="006302A5"/>
    <w:rsid w:val="00632F83"/>
    <w:rsid w:val="00634367"/>
    <w:rsid w:val="00635E8A"/>
    <w:rsid w:val="006364D7"/>
    <w:rsid w:val="00636554"/>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46"/>
    <w:rsid w:val="006478E4"/>
    <w:rsid w:val="00647FD1"/>
    <w:rsid w:val="006509EA"/>
    <w:rsid w:val="0065121C"/>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57E71"/>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11C4"/>
    <w:rsid w:val="006713AB"/>
    <w:rsid w:val="00672680"/>
    <w:rsid w:val="006727A8"/>
    <w:rsid w:val="00672CA5"/>
    <w:rsid w:val="006735A2"/>
    <w:rsid w:val="00673711"/>
    <w:rsid w:val="00673CDA"/>
    <w:rsid w:val="00673F82"/>
    <w:rsid w:val="00674F74"/>
    <w:rsid w:val="0067508F"/>
    <w:rsid w:val="00676B25"/>
    <w:rsid w:val="00677576"/>
    <w:rsid w:val="0068051E"/>
    <w:rsid w:val="00680B9D"/>
    <w:rsid w:val="00680DF1"/>
    <w:rsid w:val="0068120A"/>
    <w:rsid w:val="00681F13"/>
    <w:rsid w:val="0068231C"/>
    <w:rsid w:val="00682344"/>
    <w:rsid w:val="00682772"/>
    <w:rsid w:val="00682C87"/>
    <w:rsid w:val="00682F28"/>
    <w:rsid w:val="00683515"/>
    <w:rsid w:val="00683CA4"/>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E6"/>
    <w:rsid w:val="00693186"/>
    <w:rsid w:val="00693381"/>
    <w:rsid w:val="00693B6C"/>
    <w:rsid w:val="006942AE"/>
    <w:rsid w:val="0069464B"/>
    <w:rsid w:val="006947A1"/>
    <w:rsid w:val="00695421"/>
    <w:rsid w:val="00696A99"/>
    <w:rsid w:val="00696A9C"/>
    <w:rsid w:val="00697BD3"/>
    <w:rsid w:val="00697DFA"/>
    <w:rsid w:val="006A16D5"/>
    <w:rsid w:val="006A1772"/>
    <w:rsid w:val="006A1780"/>
    <w:rsid w:val="006A21DD"/>
    <w:rsid w:val="006A26C6"/>
    <w:rsid w:val="006A3302"/>
    <w:rsid w:val="006A34AF"/>
    <w:rsid w:val="006A38DA"/>
    <w:rsid w:val="006A3B28"/>
    <w:rsid w:val="006A4796"/>
    <w:rsid w:val="006A47DC"/>
    <w:rsid w:val="006A4A4B"/>
    <w:rsid w:val="006A4FEE"/>
    <w:rsid w:val="006A5522"/>
    <w:rsid w:val="006A5549"/>
    <w:rsid w:val="006A5DC3"/>
    <w:rsid w:val="006A625A"/>
    <w:rsid w:val="006A6574"/>
    <w:rsid w:val="006A703E"/>
    <w:rsid w:val="006A7A57"/>
    <w:rsid w:val="006A7BE3"/>
    <w:rsid w:val="006A7D32"/>
    <w:rsid w:val="006A7E1A"/>
    <w:rsid w:val="006B01D1"/>
    <w:rsid w:val="006B0DF4"/>
    <w:rsid w:val="006B16EA"/>
    <w:rsid w:val="006B1780"/>
    <w:rsid w:val="006B1B60"/>
    <w:rsid w:val="006B21DC"/>
    <w:rsid w:val="006B224E"/>
    <w:rsid w:val="006B25FA"/>
    <w:rsid w:val="006B376E"/>
    <w:rsid w:val="006B4161"/>
    <w:rsid w:val="006B44F0"/>
    <w:rsid w:val="006B4589"/>
    <w:rsid w:val="006B5157"/>
    <w:rsid w:val="006B544B"/>
    <w:rsid w:val="006B610E"/>
    <w:rsid w:val="006B6805"/>
    <w:rsid w:val="006B6C07"/>
    <w:rsid w:val="006B6DE0"/>
    <w:rsid w:val="006B723D"/>
    <w:rsid w:val="006C1337"/>
    <w:rsid w:val="006C16C3"/>
    <w:rsid w:val="006C1FA6"/>
    <w:rsid w:val="006C2187"/>
    <w:rsid w:val="006C2699"/>
    <w:rsid w:val="006C27D9"/>
    <w:rsid w:val="006C32F4"/>
    <w:rsid w:val="006C3C54"/>
    <w:rsid w:val="006C3CA5"/>
    <w:rsid w:val="006C3CAA"/>
    <w:rsid w:val="006C4B6B"/>
    <w:rsid w:val="006C4CE1"/>
    <w:rsid w:val="006C4F9F"/>
    <w:rsid w:val="006C54B1"/>
    <w:rsid w:val="006C71A2"/>
    <w:rsid w:val="006C73EC"/>
    <w:rsid w:val="006D0997"/>
    <w:rsid w:val="006D0C1D"/>
    <w:rsid w:val="006D1BB1"/>
    <w:rsid w:val="006D28F3"/>
    <w:rsid w:val="006D2E9D"/>
    <w:rsid w:val="006D2FA9"/>
    <w:rsid w:val="006D3B48"/>
    <w:rsid w:val="006D4305"/>
    <w:rsid w:val="006D4A4E"/>
    <w:rsid w:val="006D4C42"/>
    <w:rsid w:val="006D5067"/>
    <w:rsid w:val="006D5389"/>
    <w:rsid w:val="006D53A2"/>
    <w:rsid w:val="006D5809"/>
    <w:rsid w:val="006D607E"/>
    <w:rsid w:val="006D6E12"/>
    <w:rsid w:val="006D70CB"/>
    <w:rsid w:val="006D715C"/>
    <w:rsid w:val="006D7363"/>
    <w:rsid w:val="006D774E"/>
    <w:rsid w:val="006D7F08"/>
    <w:rsid w:val="006E0754"/>
    <w:rsid w:val="006E1481"/>
    <w:rsid w:val="006E2668"/>
    <w:rsid w:val="006E2B0A"/>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F018A"/>
    <w:rsid w:val="006F0760"/>
    <w:rsid w:val="006F0D30"/>
    <w:rsid w:val="006F11E2"/>
    <w:rsid w:val="006F1A50"/>
    <w:rsid w:val="006F1A67"/>
    <w:rsid w:val="006F1DC8"/>
    <w:rsid w:val="006F2574"/>
    <w:rsid w:val="006F3231"/>
    <w:rsid w:val="006F3BEF"/>
    <w:rsid w:val="006F3DE3"/>
    <w:rsid w:val="006F4787"/>
    <w:rsid w:val="006F57E6"/>
    <w:rsid w:val="006F61D8"/>
    <w:rsid w:val="006F62B7"/>
    <w:rsid w:val="006F63E7"/>
    <w:rsid w:val="006F70BC"/>
    <w:rsid w:val="006F726C"/>
    <w:rsid w:val="006F7A22"/>
    <w:rsid w:val="006F7E7C"/>
    <w:rsid w:val="0070174E"/>
    <w:rsid w:val="007018DB"/>
    <w:rsid w:val="00701DE6"/>
    <w:rsid w:val="00702740"/>
    <w:rsid w:val="007028E3"/>
    <w:rsid w:val="00703407"/>
    <w:rsid w:val="0070381B"/>
    <w:rsid w:val="00706759"/>
    <w:rsid w:val="0070796C"/>
    <w:rsid w:val="007109BB"/>
    <w:rsid w:val="00710D50"/>
    <w:rsid w:val="00710EBF"/>
    <w:rsid w:val="007110B8"/>
    <w:rsid w:val="0071209F"/>
    <w:rsid w:val="007123F0"/>
    <w:rsid w:val="007125A2"/>
    <w:rsid w:val="00712A68"/>
    <w:rsid w:val="00712D93"/>
    <w:rsid w:val="007136BC"/>
    <w:rsid w:val="00713DD9"/>
    <w:rsid w:val="00713F79"/>
    <w:rsid w:val="007148A8"/>
    <w:rsid w:val="00714A29"/>
    <w:rsid w:val="00715C70"/>
    <w:rsid w:val="00715E44"/>
    <w:rsid w:val="007164B0"/>
    <w:rsid w:val="00716AC8"/>
    <w:rsid w:val="00716E54"/>
    <w:rsid w:val="00717280"/>
    <w:rsid w:val="0072033C"/>
    <w:rsid w:val="00720B1B"/>
    <w:rsid w:val="00721062"/>
    <w:rsid w:val="00721D3D"/>
    <w:rsid w:val="00721E5D"/>
    <w:rsid w:val="007229D4"/>
    <w:rsid w:val="00722E35"/>
    <w:rsid w:val="007230F8"/>
    <w:rsid w:val="007233F4"/>
    <w:rsid w:val="007235E3"/>
    <w:rsid w:val="0072381D"/>
    <w:rsid w:val="00723A10"/>
    <w:rsid w:val="00724044"/>
    <w:rsid w:val="00724120"/>
    <w:rsid w:val="0072431A"/>
    <w:rsid w:val="007243F2"/>
    <w:rsid w:val="007248D3"/>
    <w:rsid w:val="00724DF8"/>
    <w:rsid w:val="00725137"/>
    <w:rsid w:val="00725378"/>
    <w:rsid w:val="00725C31"/>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5DC1"/>
    <w:rsid w:val="007362CC"/>
    <w:rsid w:val="0073792F"/>
    <w:rsid w:val="00740C81"/>
    <w:rsid w:val="00740DA6"/>
    <w:rsid w:val="0074197B"/>
    <w:rsid w:val="00741B4B"/>
    <w:rsid w:val="00741D1E"/>
    <w:rsid w:val="00741DD6"/>
    <w:rsid w:val="00741EE2"/>
    <w:rsid w:val="0074207F"/>
    <w:rsid w:val="00742118"/>
    <w:rsid w:val="00742367"/>
    <w:rsid w:val="00742EAA"/>
    <w:rsid w:val="00742F80"/>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1A56"/>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106D"/>
    <w:rsid w:val="007623FB"/>
    <w:rsid w:val="00762517"/>
    <w:rsid w:val="00763240"/>
    <w:rsid w:val="0076376A"/>
    <w:rsid w:val="007643A1"/>
    <w:rsid w:val="007648AD"/>
    <w:rsid w:val="0076504E"/>
    <w:rsid w:val="0076721D"/>
    <w:rsid w:val="0076767E"/>
    <w:rsid w:val="00767BFD"/>
    <w:rsid w:val="00767EA0"/>
    <w:rsid w:val="0077068F"/>
    <w:rsid w:val="00771EDF"/>
    <w:rsid w:val="00772530"/>
    <w:rsid w:val="007725D3"/>
    <w:rsid w:val="00772A90"/>
    <w:rsid w:val="00772F8D"/>
    <w:rsid w:val="0077301A"/>
    <w:rsid w:val="0077408D"/>
    <w:rsid w:val="00774270"/>
    <w:rsid w:val="007743F6"/>
    <w:rsid w:val="00775679"/>
    <w:rsid w:val="0077574F"/>
    <w:rsid w:val="00775823"/>
    <w:rsid w:val="00776206"/>
    <w:rsid w:val="00777153"/>
    <w:rsid w:val="007777CC"/>
    <w:rsid w:val="00777B32"/>
    <w:rsid w:val="0078051E"/>
    <w:rsid w:val="00780A3E"/>
    <w:rsid w:val="00781089"/>
    <w:rsid w:val="00781447"/>
    <w:rsid w:val="00781AE0"/>
    <w:rsid w:val="00781CB6"/>
    <w:rsid w:val="00782811"/>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343F"/>
    <w:rsid w:val="00793696"/>
    <w:rsid w:val="00793F13"/>
    <w:rsid w:val="007955DA"/>
    <w:rsid w:val="0079565D"/>
    <w:rsid w:val="00796C05"/>
    <w:rsid w:val="00796F65"/>
    <w:rsid w:val="007A11C2"/>
    <w:rsid w:val="007A1781"/>
    <w:rsid w:val="007A18BB"/>
    <w:rsid w:val="007A2489"/>
    <w:rsid w:val="007A27DD"/>
    <w:rsid w:val="007A41BF"/>
    <w:rsid w:val="007A490A"/>
    <w:rsid w:val="007A7289"/>
    <w:rsid w:val="007A7B95"/>
    <w:rsid w:val="007B0297"/>
    <w:rsid w:val="007B02FA"/>
    <w:rsid w:val="007B0F53"/>
    <w:rsid w:val="007B110A"/>
    <w:rsid w:val="007B1A4D"/>
    <w:rsid w:val="007B2027"/>
    <w:rsid w:val="007B21AE"/>
    <w:rsid w:val="007B2570"/>
    <w:rsid w:val="007B3113"/>
    <w:rsid w:val="007B3304"/>
    <w:rsid w:val="007B34A8"/>
    <w:rsid w:val="007B3BF0"/>
    <w:rsid w:val="007B6927"/>
    <w:rsid w:val="007B6B18"/>
    <w:rsid w:val="007B7490"/>
    <w:rsid w:val="007B7C61"/>
    <w:rsid w:val="007C00B9"/>
    <w:rsid w:val="007C0525"/>
    <w:rsid w:val="007C06B1"/>
    <w:rsid w:val="007C06DB"/>
    <w:rsid w:val="007C0D29"/>
    <w:rsid w:val="007C13F7"/>
    <w:rsid w:val="007C1D77"/>
    <w:rsid w:val="007C218D"/>
    <w:rsid w:val="007C2590"/>
    <w:rsid w:val="007C2D28"/>
    <w:rsid w:val="007C3E22"/>
    <w:rsid w:val="007C58C1"/>
    <w:rsid w:val="007C5B39"/>
    <w:rsid w:val="007C5DB8"/>
    <w:rsid w:val="007C6218"/>
    <w:rsid w:val="007C6484"/>
    <w:rsid w:val="007C67C6"/>
    <w:rsid w:val="007C6C30"/>
    <w:rsid w:val="007C78BE"/>
    <w:rsid w:val="007C79A5"/>
    <w:rsid w:val="007C7A5D"/>
    <w:rsid w:val="007C7E59"/>
    <w:rsid w:val="007D0476"/>
    <w:rsid w:val="007D0B91"/>
    <w:rsid w:val="007D0FE7"/>
    <w:rsid w:val="007D1197"/>
    <w:rsid w:val="007D1452"/>
    <w:rsid w:val="007D1563"/>
    <w:rsid w:val="007D26DC"/>
    <w:rsid w:val="007D2D99"/>
    <w:rsid w:val="007D3DCB"/>
    <w:rsid w:val="007D4601"/>
    <w:rsid w:val="007D460C"/>
    <w:rsid w:val="007D4996"/>
    <w:rsid w:val="007D4AD3"/>
    <w:rsid w:val="007D4E63"/>
    <w:rsid w:val="007D5C58"/>
    <w:rsid w:val="007D5D19"/>
    <w:rsid w:val="007D5FDC"/>
    <w:rsid w:val="007D6176"/>
    <w:rsid w:val="007D641C"/>
    <w:rsid w:val="007D69CD"/>
    <w:rsid w:val="007D6D68"/>
    <w:rsid w:val="007D6FAD"/>
    <w:rsid w:val="007D7A0D"/>
    <w:rsid w:val="007D7C2F"/>
    <w:rsid w:val="007E066C"/>
    <w:rsid w:val="007E14DB"/>
    <w:rsid w:val="007E194F"/>
    <w:rsid w:val="007E201B"/>
    <w:rsid w:val="007E250B"/>
    <w:rsid w:val="007E2EE9"/>
    <w:rsid w:val="007E32A3"/>
    <w:rsid w:val="007E32DA"/>
    <w:rsid w:val="007E4998"/>
    <w:rsid w:val="007E4A9C"/>
    <w:rsid w:val="007E5248"/>
    <w:rsid w:val="007E5C4F"/>
    <w:rsid w:val="007E6914"/>
    <w:rsid w:val="007E7662"/>
    <w:rsid w:val="007E7F78"/>
    <w:rsid w:val="007F0179"/>
    <w:rsid w:val="007F0FF8"/>
    <w:rsid w:val="007F148A"/>
    <w:rsid w:val="007F2640"/>
    <w:rsid w:val="007F2C13"/>
    <w:rsid w:val="007F2CEC"/>
    <w:rsid w:val="007F2ED1"/>
    <w:rsid w:val="007F3435"/>
    <w:rsid w:val="007F505D"/>
    <w:rsid w:val="007F531B"/>
    <w:rsid w:val="007F54CF"/>
    <w:rsid w:val="007F55DE"/>
    <w:rsid w:val="007F5BAC"/>
    <w:rsid w:val="007F6153"/>
    <w:rsid w:val="007F718F"/>
    <w:rsid w:val="007F762D"/>
    <w:rsid w:val="007F78F0"/>
    <w:rsid w:val="007F78FF"/>
    <w:rsid w:val="008001C5"/>
    <w:rsid w:val="00800F6C"/>
    <w:rsid w:val="00801065"/>
    <w:rsid w:val="00802C0B"/>
    <w:rsid w:val="008039E3"/>
    <w:rsid w:val="00804206"/>
    <w:rsid w:val="00805040"/>
    <w:rsid w:val="008051FC"/>
    <w:rsid w:val="008055A9"/>
    <w:rsid w:val="008056C4"/>
    <w:rsid w:val="008057FD"/>
    <w:rsid w:val="00805D8B"/>
    <w:rsid w:val="00806C33"/>
    <w:rsid w:val="0081010F"/>
    <w:rsid w:val="00810BB6"/>
    <w:rsid w:val="00810E8E"/>
    <w:rsid w:val="00811B9A"/>
    <w:rsid w:val="00812C44"/>
    <w:rsid w:val="008135E1"/>
    <w:rsid w:val="00813779"/>
    <w:rsid w:val="00813792"/>
    <w:rsid w:val="00813AA2"/>
    <w:rsid w:val="00813E26"/>
    <w:rsid w:val="00814321"/>
    <w:rsid w:val="00814496"/>
    <w:rsid w:val="0081481D"/>
    <w:rsid w:val="00814BE8"/>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F10"/>
    <w:rsid w:val="00826AB9"/>
    <w:rsid w:val="00826E0E"/>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906"/>
    <w:rsid w:val="00836075"/>
    <w:rsid w:val="00836417"/>
    <w:rsid w:val="0083698A"/>
    <w:rsid w:val="00836BC6"/>
    <w:rsid w:val="00836D47"/>
    <w:rsid w:val="00837526"/>
    <w:rsid w:val="008407A7"/>
    <w:rsid w:val="00842275"/>
    <w:rsid w:val="0084322B"/>
    <w:rsid w:val="008433A0"/>
    <w:rsid w:val="00843A08"/>
    <w:rsid w:val="00843F81"/>
    <w:rsid w:val="00844087"/>
    <w:rsid w:val="008448F1"/>
    <w:rsid w:val="0084519E"/>
    <w:rsid w:val="00845CAE"/>
    <w:rsid w:val="008462C5"/>
    <w:rsid w:val="008462FA"/>
    <w:rsid w:val="00846370"/>
    <w:rsid w:val="0084647A"/>
    <w:rsid w:val="00846873"/>
    <w:rsid w:val="00846D33"/>
    <w:rsid w:val="00847366"/>
    <w:rsid w:val="00847544"/>
    <w:rsid w:val="008477E7"/>
    <w:rsid w:val="00847C2B"/>
    <w:rsid w:val="00850272"/>
    <w:rsid w:val="008506B9"/>
    <w:rsid w:val="0085086F"/>
    <w:rsid w:val="00850B42"/>
    <w:rsid w:val="00851822"/>
    <w:rsid w:val="00851C16"/>
    <w:rsid w:val="008532BF"/>
    <w:rsid w:val="008539B2"/>
    <w:rsid w:val="00853BF4"/>
    <w:rsid w:val="00854294"/>
    <w:rsid w:val="00854295"/>
    <w:rsid w:val="008545CE"/>
    <w:rsid w:val="00854B46"/>
    <w:rsid w:val="0085572E"/>
    <w:rsid w:val="00857295"/>
    <w:rsid w:val="0085788B"/>
    <w:rsid w:val="00857A9E"/>
    <w:rsid w:val="00857D1F"/>
    <w:rsid w:val="00857DE2"/>
    <w:rsid w:val="0086003D"/>
    <w:rsid w:val="00860987"/>
    <w:rsid w:val="00860F07"/>
    <w:rsid w:val="00860F11"/>
    <w:rsid w:val="00861D63"/>
    <w:rsid w:val="0086358C"/>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678E3"/>
    <w:rsid w:val="0087110C"/>
    <w:rsid w:val="0087121C"/>
    <w:rsid w:val="00871FD2"/>
    <w:rsid w:val="00872084"/>
    <w:rsid w:val="00872827"/>
    <w:rsid w:val="00872A32"/>
    <w:rsid w:val="0087318E"/>
    <w:rsid w:val="00873653"/>
    <w:rsid w:val="00874911"/>
    <w:rsid w:val="008754E4"/>
    <w:rsid w:val="00876EAE"/>
    <w:rsid w:val="00877305"/>
    <w:rsid w:val="00877983"/>
    <w:rsid w:val="00880106"/>
    <w:rsid w:val="00880F95"/>
    <w:rsid w:val="00881EE2"/>
    <w:rsid w:val="00882910"/>
    <w:rsid w:val="00882B44"/>
    <w:rsid w:val="008838AD"/>
    <w:rsid w:val="0088422E"/>
    <w:rsid w:val="008846F4"/>
    <w:rsid w:val="00885381"/>
    <w:rsid w:val="0088572B"/>
    <w:rsid w:val="00885BC9"/>
    <w:rsid w:val="008864B3"/>
    <w:rsid w:val="008865E5"/>
    <w:rsid w:val="0088682F"/>
    <w:rsid w:val="00886900"/>
    <w:rsid w:val="008871B0"/>
    <w:rsid w:val="008905A6"/>
    <w:rsid w:val="00890B57"/>
    <w:rsid w:val="008916BA"/>
    <w:rsid w:val="0089217C"/>
    <w:rsid w:val="00892476"/>
    <w:rsid w:val="00892790"/>
    <w:rsid w:val="00893671"/>
    <w:rsid w:val="0089445B"/>
    <w:rsid w:val="00894979"/>
    <w:rsid w:val="00895838"/>
    <w:rsid w:val="00895A1E"/>
    <w:rsid w:val="00895A72"/>
    <w:rsid w:val="00895CDF"/>
    <w:rsid w:val="00895EE3"/>
    <w:rsid w:val="00896046"/>
    <w:rsid w:val="00896679"/>
    <w:rsid w:val="00896D8C"/>
    <w:rsid w:val="00897184"/>
    <w:rsid w:val="008A0717"/>
    <w:rsid w:val="008A0FAC"/>
    <w:rsid w:val="008A0FC9"/>
    <w:rsid w:val="008A12CB"/>
    <w:rsid w:val="008A14C8"/>
    <w:rsid w:val="008A1956"/>
    <w:rsid w:val="008A1A7C"/>
    <w:rsid w:val="008A2CE2"/>
    <w:rsid w:val="008A40D3"/>
    <w:rsid w:val="008A413F"/>
    <w:rsid w:val="008A451F"/>
    <w:rsid w:val="008A469C"/>
    <w:rsid w:val="008A50FB"/>
    <w:rsid w:val="008A51D1"/>
    <w:rsid w:val="008A5C90"/>
    <w:rsid w:val="008A5DCE"/>
    <w:rsid w:val="008A6484"/>
    <w:rsid w:val="008A75D3"/>
    <w:rsid w:val="008A7F09"/>
    <w:rsid w:val="008B05DD"/>
    <w:rsid w:val="008B07B8"/>
    <w:rsid w:val="008B17E8"/>
    <w:rsid w:val="008B2C45"/>
    <w:rsid w:val="008B2E7C"/>
    <w:rsid w:val="008B3316"/>
    <w:rsid w:val="008B399A"/>
    <w:rsid w:val="008B45F0"/>
    <w:rsid w:val="008B4A70"/>
    <w:rsid w:val="008B4AF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4974"/>
    <w:rsid w:val="008D58D9"/>
    <w:rsid w:val="008D5AD4"/>
    <w:rsid w:val="008D5E4E"/>
    <w:rsid w:val="008D5E9D"/>
    <w:rsid w:val="008D5F65"/>
    <w:rsid w:val="008D695E"/>
    <w:rsid w:val="008D6DD5"/>
    <w:rsid w:val="008D6E59"/>
    <w:rsid w:val="008D7155"/>
    <w:rsid w:val="008D76E0"/>
    <w:rsid w:val="008D7BCC"/>
    <w:rsid w:val="008E079C"/>
    <w:rsid w:val="008E0B29"/>
    <w:rsid w:val="008E141A"/>
    <w:rsid w:val="008E1A44"/>
    <w:rsid w:val="008E2859"/>
    <w:rsid w:val="008E28E6"/>
    <w:rsid w:val="008E2C57"/>
    <w:rsid w:val="008E3232"/>
    <w:rsid w:val="008E3674"/>
    <w:rsid w:val="008E3B6C"/>
    <w:rsid w:val="008E3DE7"/>
    <w:rsid w:val="008E5227"/>
    <w:rsid w:val="008E5282"/>
    <w:rsid w:val="008E562C"/>
    <w:rsid w:val="008E57C8"/>
    <w:rsid w:val="008E5FB9"/>
    <w:rsid w:val="008E6540"/>
    <w:rsid w:val="008E6A1C"/>
    <w:rsid w:val="008E6FBE"/>
    <w:rsid w:val="008E77D4"/>
    <w:rsid w:val="008E7ADD"/>
    <w:rsid w:val="008F091F"/>
    <w:rsid w:val="008F1548"/>
    <w:rsid w:val="008F17B2"/>
    <w:rsid w:val="008F22B3"/>
    <w:rsid w:val="008F357B"/>
    <w:rsid w:val="008F366E"/>
    <w:rsid w:val="008F3B56"/>
    <w:rsid w:val="008F44CA"/>
    <w:rsid w:val="008F49D3"/>
    <w:rsid w:val="008F527D"/>
    <w:rsid w:val="008F5B69"/>
    <w:rsid w:val="008F6519"/>
    <w:rsid w:val="008F6F4C"/>
    <w:rsid w:val="008F7012"/>
    <w:rsid w:val="008F7ADA"/>
    <w:rsid w:val="008F7B17"/>
    <w:rsid w:val="00900042"/>
    <w:rsid w:val="0090034B"/>
    <w:rsid w:val="0090087C"/>
    <w:rsid w:val="00900D2F"/>
    <w:rsid w:val="00901121"/>
    <w:rsid w:val="00901B50"/>
    <w:rsid w:val="00902623"/>
    <w:rsid w:val="00902A67"/>
    <w:rsid w:val="00902C5E"/>
    <w:rsid w:val="0090303D"/>
    <w:rsid w:val="00904BE4"/>
    <w:rsid w:val="0090504A"/>
    <w:rsid w:val="009051F5"/>
    <w:rsid w:val="00905221"/>
    <w:rsid w:val="0090530B"/>
    <w:rsid w:val="00905664"/>
    <w:rsid w:val="00905A7C"/>
    <w:rsid w:val="00905D7E"/>
    <w:rsid w:val="00906177"/>
    <w:rsid w:val="00907037"/>
    <w:rsid w:val="00907259"/>
    <w:rsid w:val="00907929"/>
    <w:rsid w:val="00910577"/>
    <w:rsid w:val="00910C5D"/>
    <w:rsid w:val="0091112C"/>
    <w:rsid w:val="009113F2"/>
    <w:rsid w:val="0091160A"/>
    <w:rsid w:val="00911945"/>
    <w:rsid w:val="009128A9"/>
    <w:rsid w:val="00912A06"/>
    <w:rsid w:val="00912E04"/>
    <w:rsid w:val="00913258"/>
    <w:rsid w:val="00913851"/>
    <w:rsid w:val="00913BB0"/>
    <w:rsid w:val="0091456C"/>
    <w:rsid w:val="00914C58"/>
    <w:rsid w:val="00914D78"/>
    <w:rsid w:val="009151FC"/>
    <w:rsid w:val="009153D3"/>
    <w:rsid w:val="0091564D"/>
    <w:rsid w:val="009156DA"/>
    <w:rsid w:val="00915774"/>
    <w:rsid w:val="00916BC5"/>
    <w:rsid w:val="0091726A"/>
    <w:rsid w:val="00917C01"/>
    <w:rsid w:val="00917F6B"/>
    <w:rsid w:val="00920184"/>
    <w:rsid w:val="00920421"/>
    <w:rsid w:val="00920EA4"/>
    <w:rsid w:val="00921792"/>
    <w:rsid w:val="00921BEA"/>
    <w:rsid w:val="009223F9"/>
    <w:rsid w:val="009227BE"/>
    <w:rsid w:val="009238FD"/>
    <w:rsid w:val="00923998"/>
    <w:rsid w:val="00923DB4"/>
    <w:rsid w:val="0092420B"/>
    <w:rsid w:val="0092430E"/>
    <w:rsid w:val="00924451"/>
    <w:rsid w:val="00926112"/>
    <w:rsid w:val="0092625F"/>
    <w:rsid w:val="00926B28"/>
    <w:rsid w:val="00926D9C"/>
    <w:rsid w:val="00927028"/>
    <w:rsid w:val="0092734A"/>
    <w:rsid w:val="00927763"/>
    <w:rsid w:val="00927A2D"/>
    <w:rsid w:val="00927B37"/>
    <w:rsid w:val="00930501"/>
    <w:rsid w:val="009314B1"/>
    <w:rsid w:val="009319F9"/>
    <w:rsid w:val="009321B1"/>
    <w:rsid w:val="009327F0"/>
    <w:rsid w:val="00932A42"/>
    <w:rsid w:val="00932ED7"/>
    <w:rsid w:val="0093422D"/>
    <w:rsid w:val="0093483B"/>
    <w:rsid w:val="00934CF9"/>
    <w:rsid w:val="00934DD7"/>
    <w:rsid w:val="00934F9C"/>
    <w:rsid w:val="00934FEB"/>
    <w:rsid w:val="00935CB2"/>
    <w:rsid w:val="00935EBD"/>
    <w:rsid w:val="009369A9"/>
    <w:rsid w:val="00936CF7"/>
    <w:rsid w:val="00937783"/>
    <w:rsid w:val="00937EAD"/>
    <w:rsid w:val="00937F28"/>
    <w:rsid w:val="0094046E"/>
    <w:rsid w:val="00940FE1"/>
    <w:rsid w:val="0094117A"/>
    <w:rsid w:val="00941474"/>
    <w:rsid w:val="00942306"/>
    <w:rsid w:val="009424B8"/>
    <w:rsid w:val="009426BA"/>
    <w:rsid w:val="0094286B"/>
    <w:rsid w:val="009432E2"/>
    <w:rsid w:val="00944668"/>
    <w:rsid w:val="00944DC6"/>
    <w:rsid w:val="00945829"/>
    <w:rsid w:val="009458B0"/>
    <w:rsid w:val="00945B52"/>
    <w:rsid w:val="00945B7A"/>
    <w:rsid w:val="00945F05"/>
    <w:rsid w:val="00945FE0"/>
    <w:rsid w:val="00946348"/>
    <w:rsid w:val="00946B10"/>
    <w:rsid w:val="00947070"/>
    <w:rsid w:val="00947224"/>
    <w:rsid w:val="00947797"/>
    <w:rsid w:val="009478A2"/>
    <w:rsid w:val="00947942"/>
    <w:rsid w:val="00950181"/>
    <w:rsid w:val="00950865"/>
    <w:rsid w:val="009533BD"/>
    <w:rsid w:val="009536FB"/>
    <w:rsid w:val="00953808"/>
    <w:rsid w:val="009538ED"/>
    <w:rsid w:val="009539A6"/>
    <w:rsid w:val="00954032"/>
    <w:rsid w:val="00954537"/>
    <w:rsid w:val="0095472D"/>
    <w:rsid w:val="00954F0F"/>
    <w:rsid w:val="00955342"/>
    <w:rsid w:val="00955D57"/>
    <w:rsid w:val="00955FBB"/>
    <w:rsid w:val="0095694B"/>
    <w:rsid w:val="00956BD5"/>
    <w:rsid w:val="00956D84"/>
    <w:rsid w:val="009577B5"/>
    <w:rsid w:val="00957D66"/>
    <w:rsid w:val="00960293"/>
    <w:rsid w:val="009608E6"/>
    <w:rsid w:val="00960F57"/>
    <w:rsid w:val="00961669"/>
    <w:rsid w:val="00961C90"/>
    <w:rsid w:val="00962A26"/>
    <w:rsid w:val="00965443"/>
    <w:rsid w:val="00965954"/>
    <w:rsid w:val="00965A21"/>
    <w:rsid w:val="00965E55"/>
    <w:rsid w:val="0096608E"/>
    <w:rsid w:val="00966522"/>
    <w:rsid w:val="00966926"/>
    <w:rsid w:val="00966C33"/>
    <w:rsid w:val="009678D3"/>
    <w:rsid w:val="00970F18"/>
    <w:rsid w:val="00971CF1"/>
    <w:rsid w:val="00971F5D"/>
    <w:rsid w:val="009721E9"/>
    <w:rsid w:val="009722B5"/>
    <w:rsid w:val="00973772"/>
    <w:rsid w:val="0097560A"/>
    <w:rsid w:val="009759A3"/>
    <w:rsid w:val="00975E1E"/>
    <w:rsid w:val="00975E70"/>
    <w:rsid w:val="009761DE"/>
    <w:rsid w:val="009766FA"/>
    <w:rsid w:val="00977944"/>
    <w:rsid w:val="00977CD6"/>
    <w:rsid w:val="009801B8"/>
    <w:rsid w:val="0098048B"/>
    <w:rsid w:val="00980908"/>
    <w:rsid w:val="00980DF9"/>
    <w:rsid w:val="00981CD8"/>
    <w:rsid w:val="0098243D"/>
    <w:rsid w:val="00982C19"/>
    <w:rsid w:val="00982D26"/>
    <w:rsid w:val="00983B6E"/>
    <w:rsid w:val="00983FE5"/>
    <w:rsid w:val="00984544"/>
    <w:rsid w:val="009849E9"/>
    <w:rsid w:val="009849F2"/>
    <w:rsid w:val="00984AFF"/>
    <w:rsid w:val="00985048"/>
    <w:rsid w:val="009855AC"/>
    <w:rsid w:val="009859E4"/>
    <w:rsid w:val="00985D7F"/>
    <w:rsid w:val="00987812"/>
    <w:rsid w:val="00990225"/>
    <w:rsid w:val="00991307"/>
    <w:rsid w:val="0099147C"/>
    <w:rsid w:val="00991FAA"/>
    <w:rsid w:val="00992A13"/>
    <w:rsid w:val="00993DB1"/>
    <w:rsid w:val="00994AAD"/>
    <w:rsid w:val="00995150"/>
    <w:rsid w:val="00995D67"/>
    <w:rsid w:val="00997613"/>
    <w:rsid w:val="009A013B"/>
    <w:rsid w:val="009A02F4"/>
    <w:rsid w:val="009A06BF"/>
    <w:rsid w:val="009A0D17"/>
    <w:rsid w:val="009A15AE"/>
    <w:rsid w:val="009A2494"/>
    <w:rsid w:val="009A32B1"/>
    <w:rsid w:val="009A33A3"/>
    <w:rsid w:val="009A36F2"/>
    <w:rsid w:val="009A3942"/>
    <w:rsid w:val="009A4073"/>
    <w:rsid w:val="009A40C3"/>
    <w:rsid w:val="009A40D5"/>
    <w:rsid w:val="009A5268"/>
    <w:rsid w:val="009A5621"/>
    <w:rsid w:val="009A57D0"/>
    <w:rsid w:val="009A6559"/>
    <w:rsid w:val="009A68FC"/>
    <w:rsid w:val="009A6CE4"/>
    <w:rsid w:val="009A7514"/>
    <w:rsid w:val="009A7665"/>
    <w:rsid w:val="009A7E7A"/>
    <w:rsid w:val="009B0925"/>
    <w:rsid w:val="009B1584"/>
    <w:rsid w:val="009B18F0"/>
    <w:rsid w:val="009B1F4C"/>
    <w:rsid w:val="009B2203"/>
    <w:rsid w:val="009B2471"/>
    <w:rsid w:val="009B314F"/>
    <w:rsid w:val="009B38D7"/>
    <w:rsid w:val="009B439C"/>
    <w:rsid w:val="009B49A1"/>
    <w:rsid w:val="009B4A6C"/>
    <w:rsid w:val="009B4DA8"/>
    <w:rsid w:val="009B4FA6"/>
    <w:rsid w:val="009B519A"/>
    <w:rsid w:val="009B620C"/>
    <w:rsid w:val="009B6454"/>
    <w:rsid w:val="009B6753"/>
    <w:rsid w:val="009B676C"/>
    <w:rsid w:val="009B6A26"/>
    <w:rsid w:val="009B6FB8"/>
    <w:rsid w:val="009B7AAB"/>
    <w:rsid w:val="009C079D"/>
    <w:rsid w:val="009C0C12"/>
    <w:rsid w:val="009C0D70"/>
    <w:rsid w:val="009C1282"/>
    <w:rsid w:val="009C13D1"/>
    <w:rsid w:val="009C2913"/>
    <w:rsid w:val="009C2BD4"/>
    <w:rsid w:val="009C334C"/>
    <w:rsid w:val="009C3EE6"/>
    <w:rsid w:val="009C5314"/>
    <w:rsid w:val="009C5AFE"/>
    <w:rsid w:val="009C64E9"/>
    <w:rsid w:val="009C6606"/>
    <w:rsid w:val="009C6CE5"/>
    <w:rsid w:val="009C6D50"/>
    <w:rsid w:val="009C72B2"/>
    <w:rsid w:val="009C7547"/>
    <w:rsid w:val="009C7A20"/>
    <w:rsid w:val="009D05EC"/>
    <w:rsid w:val="009D18D4"/>
    <w:rsid w:val="009D1FCF"/>
    <w:rsid w:val="009D2F60"/>
    <w:rsid w:val="009D3A2E"/>
    <w:rsid w:val="009D4C2E"/>
    <w:rsid w:val="009D5ADE"/>
    <w:rsid w:val="009D5BAC"/>
    <w:rsid w:val="009D5C56"/>
    <w:rsid w:val="009D6265"/>
    <w:rsid w:val="009D64BD"/>
    <w:rsid w:val="009D6B1E"/>
    <w:rsid w:val="009D6CB1"/>
    <w:rsid w:val="009E0286"/>
    <w:rsid w:val="009E153F"/>
    <w:rsid w:val="009E18C5"/>
    <w:rsid w:val="009E2B98"/>
    <w:rsid w:val="009E3228"/>
    <w:rsid w:val="009E322A"/>
    <w:rsid w:val="009E3483"/>
    <w:rsid w:val="009E393E"/>
    <w:rsid w:val="009E444E"/>
    <w:rsid w:val="009E454D"/>
    <w:rsid w:val="009E4968"/>
    <w:rsid w:val="009E64B4"/>
    <w:rsid w:val="009E663C"/>
    <w:rsid w:val="009E684A"/>
    <w:rsid w:val="009E6BB1"/>
    <w:rsid w:val="009E6E14"/>
    <w:rsid w:val="009E794A"/>
    <w:rsid w:val="009E7C14"/>
    <w:rsid w:val="009F0494"/>
    <w:rsid w:val="009F0CD9"/>
    <w:rsid w:val="009F1A79"/>
    <w:rsid w:val="009F1F57"/>
    <w:rsid w:val="009F2DDD"/>
    <w:rsid w:val="009F3447"/>
    <w:rsid w:val="009F4714"/>
    <w:rsid w:val="009F65F4"/>
    <w:rsid w:val="009F6763"/>
    <w:rsid w:val="009F676B"/>
    <w:rsid w:val="009F6D2D"/>
    <w:rsid w:val="009F6D54"/>
    <w:rsid w:val="00A004DF"/>
    <w:rsid w:val="00A00FD5"/>
    <w:rsid w:val="00A012C0"/>
    <w:rsid w:val="00A019A8"/>
    <w:rsid w:val="00A01B03"/>
    <w:rsid w:val="00A01B89"/>
    <w:rsid w:val="00A02C66"/>
    <w:rsid w:val="00A02C84"/>
    <w:rsid w:val="00A03223"/>
    <w:rsid w:val="00A03842"/>
    <w:rsid w:val="00A04394"/>
    <w:rsid w:val="00A0464C"/>
    <w:rsid w:val="00A050BB"/>
    <w:rsid w:val="00A05128"/>
    <w:rsid w:val="00A0521B"/>
    <w:rsid w:val="00A054E0"/>
    <w:rsid w:val="00A05D91"/>
    <w:rsid w:val="00A0740B"/>
    <w:rsid w:val="00A07ED3"/>
    <w:rsid w:val="00A10162"/>
    <w:rsid w:val="00A10A81"/>
    <w:rsid w:val="00A10CA8"/>
    <w:rsid w:val="00A10D5A"/>
    <w:rsid w:val="00A11042"/>
    <w:rsid w:val="00A12579"/>
    <w:rsid w:val="00A12CDC"/>
    <w:rsid w:val="00A12E1D"/>
    <w:rsid w:val="00A133D8"/>
    <w:rsid w:val="00A13553"/>
    <w:rsid w:val="00A13F58"/>
    <w:rsid w:val="00A14382"/>
    <w:rsid w:val="00A14618"/>
    <w:rsid w:val="00A15480"/>
    <w:rsid w:val="00A15655"/>
    <w:rsid w:val="00A160B0"/>
    <w:rsid w:val="00A1740C"/>
    <w:rsid w:val="00A17904"/>
    <w:rsid w:val="00A20069"/>
    <w:rsid w:val="00A21CBC"/>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7D"/>
    <w:rsid w:val="00A33B74"/>
    <w:rsid w:val="00A3467F"/>
    <w:rsid w:val="00A34B4C"/>
    <w:rsid w:val="00A35030"/>
    <w:rsid w:val="00A35209"/>
    <w:rsid w:val="00A3551A"/>
    <w:rsid w:val="00A36015"/>
    <w:rsid w:val="00A366A0"/>
    <w:rsid w:val="00A366B5"/>
    <w:rsid w:val="00A36952"/>
    <w:rsid w:val="00A36BAD"/>
    <w:rsid w:val="00A37209"/>
    <w:rsid w:val="00A37381"/>
    <w:rsid w:val="00A37584"/>
    <w:rsid w:val="00A376E8"/>
    <w:rsid w:val="00A37F8E"/>
    <w:rsid w:val="00A4103C"/>
    <w:rsid w:val="00A411DA"/>
    <w:rsid w:val="00A41537"/>
    <w:rsid w:val="00A41678"/>
    <w:rsid w:val="00A41737"/>
    <w:rsid w:val="00A41DF3"/>
    <w:rsid w:val="00A42B8F"/>
    <w:rsid w:val="00A42D8E"/>
    <w:rsid w:val="00A43254"/>
    <w:rsid w:val="00A43896"/>
    <w:rsid w:val="00A43951"/>
    <w:rsid w:val="00A43A26"/>
    <w:rsid w:val="00A4433B"/>
    <w:rsid w:val="00A447A0"/>
    <w:rsid w:val="00A4505E"/>
    <w:rsid w:val="00A459F5"/>
    <w:rsid w:val="00A45FC0"/>
    <w:rsid w:val="00A468C7"/>
    <w:rsid w:val="00A46B7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9D8"/>
    <w:rsid w:val="00A575B8"/>
    <w:rsid w:val="00A6020A"/>
    <w:rsid w:val="00A60CE7"/>
    <w:rsid w:val="00A60CF8"/>
    <w:rsid w:val="00A619BB"/>
    <w:rsid w:val="00A61C60"/>
    <w:rsid w:val="00A61ECB"/>
    <w:rsid w:val="00A6228F"/>
    <w:rsid w:val="00A63F0F"/>
    <w:rsid w:val="00A63FE9"/>
    <w:rsid w:val="00A6410C"/>
    <w:rsid w:val="00A647B1"/>
    <w:rsid w:val="00A64DEF"/>
    <w:rsid w:val="00A65311"/>
    <w:rsid w:val="00A654D2"/>
    <w:rsid w:val="00A665DF"/>
    <w:rsid w:val="00A6676A"/>
    <w:rsid w:val="00A671B4"/>
    <w:rsid w:val="00A673F1"/>
    <w:rsid w:val="00A674DB"/>
    <w:rsid w:val="00A67625"/>
    <w:rsid w:val="00A67FCC"/>
    <w:rsid w:val="00A70AA5"/>
    <w:rsid w:val="00A70C03"/>
    <w:rsid w:val="00A71256"/>
    <w:rsid w:val="00A7147C"/>
    <w:rsid w:val="00A71CB8"/>
    <w:rsid w:val="00A7217B"/>
    <w:rsid w:val="00A722D7"/>
    <w:rsid w:val="00A723A3"/>
    <w:rsid w:val="00A72DD3"/>
    <w:rsid w:val="00A73861"/>
    <w:rsid w:val="00A739A6"/>
    <w:rsid w:val="00A73C97"/>
    <w:rsid w:val="00A740ED"/>
    <w:rsid w:val="00A74421"/>
    <w:rsid w:val="00A74C29"/>
    <w:rsid w:val="00A74C62"/>
    <w:rsid w:val="00A75A70"/>
    <w:rsid w:val="00A75EF9"/>
    <w:rsid w:val="00A7642C"/>
    <w:rsid w:val="00A7657C"/>
    <w:rsid w:val="00A76B5E"/>
    <w:rsid w:val="00A76E4E"/>
    <w:rsid w:val="00A80A5D"/>
    <w:rsid w:val="00A81ECA"/>
    <w:rsid w:val="00A82764"/>
    <w:rsid w:val="00A8311C"/>
    <w:rsid w:val="00A835D0"/>
    <w:rsid w:val="00A83821"/>
    <w:rsid w:val="00A84150"/>
    <w:rsid w:val="00A84761"/>
    <w:rsid w:val="00A84BF5"/>
    <w:rsid w:val="00A84C5F"/>
    <w:rsid w:val="00A850E7"/>
    <w:rsid w:val="00A85240"/>
    <w:rsid w:val="00A85930"/>
    <w:rsid w:val="00A863F7"/>
    <w:rsid w:val="00A86604"/>
    <w:rsid w:val="00A86ACC"/>
    <w:rsid w:val="00A870E9"/>
    <w:rsid w:val="00A87519"/>
    <w:rsid w:val="00A90213"/>
    <w:rsid w:val="00A905A5"/>
    <w:rsid w:val="00A90870"/>
    <w:rsid w:val="00A90C6D"/>
    <w:rsid w:val="00A9246D"/>
    <w:rsid w:val="00A92CCA"/>
    <w:rsid w:val="00A93BD0"/>
    <w:rsid w:val="00A93CC2"/>
    <w:rsid w:val="00A94D4B"/>
    <w:rsid w:val="00A956AC"/>
    <w:rsid w:val="00A95A90"/>
    <w:rsid w:val="00A974CC"/>
    <w:rsid w:val="00A975E1"/>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99F"/>
    <w:rsid w:val="00AB1C13"/>
    <w:rsid w:val="00AB1C40"/>
    <w:rsid w:val="00AB2000"/>
    <w:rsid w:val="00AB2154"/>
    <w:rsid w:val="00AB21CC"/>
    <w:rsid w:val="00AB2C06"/>
    <w:rsid w:val="00AB2E60"/>
    <w:rsid w:val="00AB38CB"/>
    <w:rsid w:val="00AB3BEC"/>
    <w:rsid w:val="00AB4080"/>
    <w:rsid w:val="00AB44E4"/>
    <w:rsid w:val="00AB4AEB"/>
    <w:rsid w:val="00AB4E5F"/>
    <w:rsid w:val="00AB5352"/>
    <w:rsid w:val="00AB56AE"/>
    <w:rsid w:val="00AB62D5"/>
    <w:rsid w:val="00AB65B5"/>
    <w:rsid w:val="00AB6DCD"/>
    <w:rsid w:val="00AB6EE0"/>
    <w:rsid w:val="00AB71D6"/>
    <w:rsid w:val="00AB7D43"/>
    <w:rsid w:val="00AB7F2C"/>
    <w:rsid w:val="00AC022E"/>
    <w:rsid w:val="00AC17A2"/>
    <w:rsid w:val="00AC18C7"/>
    <w:rsid w:val="00AC1A3C"/>
    <w:rsid w:val="00AC1BA7"/>
    <w:rsid w:val="00AC2973"/>
    <w:rsid w:val="00AC3096"/>
    <w:rsid w:val="00AC33F3"/>
    <w:rsid w:val="00AC3454"/>
    <w:rsid w:val="00AC40B7"/>
    <w:rsid w:val="00AC531F"/>
    <w:rsid w:val="00AC5B36"/>
    <w:rsid w:val="00AC6377"/>
    <w:rsid w:val="00AC651A"/>
    <w:rsid w:val="00AC66A4"/>
    <w:rsid w:val="00AC6CB1"/>
    <w:rsid w:val="00AC75E9"/>
    <w:rsid w:val="00AC7D6D"/>
    <w:rsid w:val="00AC7D76"/>
    <w:rsid w:val="00AD0091"/>
    <w:rsid w:val="00AD04C1"/>
    <w:rsid w:val="00AD0D57"/>
    <w:rsid w:val="00AD1119"/>
    <w:rsid w:val="00AD1315"/>
    <w:rsid w:val="00AD23EF"/>
    <w:rsid w:val="00AD2662"/>
    <w:rsid w:val="00AD307B"/>
    <w:rsid w:val="00AD36D2"/>
    <w:rsid w:val="00AD3992"/>
    <w:rsid w:val="00AD4014"/>
    <w:rsid w:val="00AD41B3"/>
    <w:rsid w:val="00AD5721"/>
    <w:rsid w:val="00AD60C7"/>
    <w:rsid w:val="00AD69F0"/>
    <w:rsid w:val="00AD7127"/>
    <w:rsid w:val="00AD730C"/>
    <w:rsid w:val="00AE0F90"/>
    <w:rsid w:val="00AE123A"/>
    <w:rsid w:val="00AE1539"/>
    <w:rsid w:val="00AE28A7"/>
    <w:rsid w:val="00AE2A98"/>
    <w:rsid w:val="00AE2CF2"/>
    <w:rsid w:val="00AE2F19"/>
    <w:rsid w:val="00AE3012"/>
    <w:rsid w:val="00AE3297"/>
    <w:rsid w:val="00AE33A6"/>
    <w:rsid w:val="00AE3513"/>
    <w:rsid w:val="00AE3729"/>
    <w:rsid w:val="00AE3C81"/>
    <w:rsid w:val="00AE49C1"/>
    <w:rsid w:val="00AE4A3E"/>
    <w:rsid w:val="00AE4CCE"/>
    <w:rsid w:val="00AE5C6A"/>
    <w:rsid w:val="00AE7058"/>
    <w:rsid w:val="00AE7280"/>
    <w:rsid w:val="00AE7B5F"/>
    <w:rsid w:val="00AF01FA"/>
    <w:rsid w:val="00AF033A"/>
    <w:rsid w:val="00AF118E"/>
    <w:rsid w:val="00AF1658"/>
    <w:rsid w:val="00AF1699"/>
    <w:rsid w:val="00AF18D1"/>
    <w:rsid w:val="00AF1BA4"/>
    <w:rsid w:val="00AF1FD3"/>
    <w:rsid w:val="00AF2775"/>
    <w:rsid w:val="00AF2910"/>
    <w:rsid w:val="00AF34B8"/>
    <w:rsid w:val="00AF3896"/>
    <w:rsid w:val="00AF39C9"/>
    <w:rsid w:val="00AF3BCF"/>
    <w:rsid w:val="00AF3F97"/>
    <w:rsid w:val="00AF3FC2"/>
    <w:rsid w:val="00AF4DEC"/>
    <w:rsid w:val="00AF6B57"/>
    <w:rsid w:val="00B003FF"/>
    <w:rsid w:val="00B0098A"/>
    <w:rsid w:val="00B00A5F"/>
    <w:rsid w:val="00B00F37"/>
    <w:rsid w:val="00B029B8"/>
    <w:rsid w:val="00B02F60"/>
    <w:rsid w:val="00B02F94"/>
    <w:rsid w:val="00B032B8"/>
    <w:rsid w:val="00B03318"/>
    <w:rsid w:val="00B03751"/>
    <w:rsid w:val="00B0396A"/>
    <w:rsid w:val="00B04721"/>
    <w:rsid w:val="00B04B15"/>
    <w:rsid w:val="00B04B46"/>
    <w:rsid w:val="00B0534D"/>
    <w:rsid w:val="00B05685"/>
    <w:rsid w:val="00B05725"/>
    <w:rsid w:val="00B05F9F"/>
    <w:rsid w:val="00B06070"/>
    <w:rsid w:val="00B06368"/>
    <w:rsid w:val="00B068DA"/>
    <w:rsid w:val="00B06A00"/>
    <w:rsid w:val="00B06FC6"/>
    <w:rsid w:val="00B0710D"/>
    <w:rsid w:val="00B074C9"/>
    <w:rsid w:val="00B07A70"/>
    <w:rsid w:val="00B07D9D"/>
    <w:rsid w:val="00B11AE5"/>
    <w:rsid w:val="00B120F3"/>
    <w:rsid w:val="00B12263"/>
    <w:rsid w:val="00B12FE6"/>
    <w:rsid w:val="00B1303F"/>
    <w:rsid w:val="00B13565"/>
    <w:rsid w:val="00B1364A"/>
    <w:rsid w:val="00B13859"/>
    <w:rsid w:val="00B13EC9"/>
    <w:rsid w:val="00B14319"/>
    <w:rsid w:val="00B14A06"/>
    <w:rsid w:val="00B158E1"/>
    <w:rsid w:val="00B15ED7"/>
    <w:rsid w:val="00B16715"/>
    <w:rsid w:val="00B16FFA"/>
    <w:rsid w:val="00B1768E"/>
    <w:rsid w:val="00B17910"/>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5E"/>
    <w:rsid w:val="00B36165"/>
    <w:rsid w:val="00B36A99"/>
    <w:rsid w:val="00B372D7"/>
    <w:rsid w:val="00B37395"/>
    <w:rsid w:val="00B40C29"/>
    <w:rsid w:val="00B41531"/>
    <w:rsid w:val="00B419EA"/>
    <w:rsid w:val="00B42264"/>
    <w:rsid w:val="00B4287F"/>
    <w:rsid w:val="00B434B2"/>
    <w:rsid w:val="00B43B9E"/>
    <w:rsid w:val="00B43D45"/>
    <w:rsid w:val="00B45743"/>
    <w:rsid w:val="00B459AF"/>
    <w:rsid w:val="00B468F2"/>
    <w:rsid w:val="00B469DE"/>
    <w:rsid w:val="00B47286"/>
    <w:rsid w:val="00B47EB4"/>
    <w:rsid w:val="00B50234"/>
    <w:rsid w:val="00B5052F"/>
    <w:rsid w:val="00B50BAC"/>
    <w:rsid w:val="00B51641"/>
    <w:rsid w:val="00B51BF4"/>
    <w:rsid w:val="00B52279"/>
    <w:rsid w:val="00B522D7"/>
    <w:rsid w:val="00B527AD"/>
    <w:rsid w:val="00B52C68"/>
    <w:rsid w:val="00B5372B"/>
    <w:rsid w:val="00B542FE"/>
    <w:rsid w:val="00B54360"/>
    <w:rsid w:val="00B55A1B"/>
    <w:rsid w:val="00B561DB"/>
    <w:rsid w:val="00B5645C"/>
    <w:rsid w:val="00B56DF9"/>
    <w:rsid w:val="00B56E80"/>
    <w:rsid w:val="00B571F1"/>
    <w:rsid w:val="00B600BD"/>
    <w:rsid w:val="00B60E4E"/>
    <w:rsid w:val="00B60F5A"/>
    <w:rsid w:val="00B61274"/>
    <w:rsid w:val="00B61528"/>
    <w:rsid w:val="00B61DCE"/>
    <w:rsid w:val="00B62188"/>
    <w:rsid w:val="00B621D6"/>
    <w:rsid w:val="00B622E3"/>
    <w:rsid w:val="00B62F79"/>
    <w:rsid w:val="00B62F82"/>
    <w:rsid w:val="00B63028"/>
    <w:rsid w:val="00B6306A"/>
    <w:rsid w:val="00B635E3"/>
    <w:rsid w:val="00B64B9A"/>
    <w:rsid w:val="00B65646"/>
    <w:rsid w:val="00B662FF"/>
    <w:rsid w:val="00B665B8"/>
    <w:rsid w:val="00B665F6"/>
    <w:rsid w:val="00B66679"/>
    <w:rsid w:val="00B675F1"/>
    <w:rsid w:val="00B70145"/>
    <w:rsid w:val="00B701C9"/>
    <w:rsid w:val="00B710AD"/>
    <w:rsid w:val="00B71288"/>
    <w:rsid w:val="00B71A92"/>
    <w:rsid w:val="00B721D8"/>
    <w:rsid w:val="00B730CA"/>
    <w:rsid w:val="00B732EA"/>
    <w:rsid w:val="00B73747"/>
    <w:rsid w:val="00B74653"/>
    <w:rsid w:val="00B747C5"/>
    <w:rsid w:val="00B74D6D"/>
    <w:rsid w:val="00B74F2F"/>
    <w:rsid w:val="00B753ED"/>
    <w:rsid w:val="00B7665F"/>
    <w:rsid w:val="00B769BC"/>
    <w:rsid w:val="00B770F7"/>
    <w:rsid w:val="00B77349"/>
    <w:rsid w:val="00B77373"/>
    <w:rsid w:val="00B7761E"/>
    <w:rsid w:val="00B80A3D"/>
    <w:rsid w:val="00B80B04"/>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FEC"/>
    <w:rsid w:val="00B86416"/>
    <w:rsid w:val="00B864A3"/>
    <w:rsid w:val="00B86C2A"/>
    <w:rsid w:val="00B87575"/>
    <w:rsid w:val="00B87F01"/>
    <w:rsid w:val="00B902A5"/>
    <w:rsid w:val="00B90420"/>
    <w:rsid w:val="00B90848"/>
    <w:rsid w:val="00B91146"/>
    <w:rsid w:val="00B913E4"/>
    <w:rsid w:val="00B91DB9"/>
    <w:rsid w:val="00B91E53"/>
    <w:rsid w:val="00B91FF3"/>
    <w:rsid w:val="00B925F8"/>
    <w:rsid w:val="00B9330A"/>
    <w:rsid w:val="00B93EFE"/>
    <w:rsid w:val="00B944B9"/>
    <w:rsid w:val="00B94956"/>
    <w:rsid w:val="00B94C7F"/>
    <w:rsid w:val="00B94E93"/>
    <w:rsid w:val="00B951CE"/>
    <w:rsid w:val="00B956B5"/>
    <w:rsid w:val="00B95956"/>
    <w:rsid w:val="00B95ABC"/>
    <w:rsid w:val="00B96DF2"/>
    <w:rsid w:val="00B96E18"/>
    <w:rsid w:val="00B96F5A"/>
    <w:rsid w:val="00B97AF7"/>
    <w:rsid w:val="00BA02CF"/>
    <w:rsid w:val="00BA0A69"/>
    <w:rsid w:val="00BA0B39"/>
    <w:rsid w:val="00BA0CB2"/>
    <w:rsid w:val="00BA0E26"/>
    <w:rsid w:val="00BA138B"/>
    <w:rsid w:val="00BA2471"/>
    <w:rsid w:val="00BA305B"/>
    <w:rsid w:val="00BA31BF"/>
    <w:rsid w:val="00BA31C8"/>
    <w:rsid w:val="00BA3C0F"/>
    <w:rsid w:val="00BA3FC7"/>
    <w:rsid w:val="00BA478B"/>
    <w:rsid w:val="00BA5224"/>
    <w:rsid w:val="00BA575E"/>
    <w:rsid w:val="00BA67B1"/>
    <w:rsid w:val="00BA756D"/>
    <w:rsid w:val="00BA76B7"/>
    <w:rsid w:val="00BA7E3B"/>
    <w:rsid w:val="00BB078D"/>
    <w:rsid w:val="00BB079C"/>
    <w:rsid w:val="00BB0D7A"/>
    <w:rsid w:val="00BB0ED6"/>
    <w:rsid w:val="00BB10E1"/>
    <w:rsid w:val="00BB2471"/>
    <w:rsid w:val="00BB3035"/>
    <w:rsid w:val="00BB39C1"/>
    <w:rsid w:val="00BB3DF5"/>
    <w:rsid w:val="00BB3EA7"/>
    <w:rsid w:val="00BB45BC"/>
    <w:rsid w:val="00BB54D9"/>
    <w:rsid w:val="00BB5D16"/>
    <w:rsid w:val="00BB6180"/>
    <w:rsid w:val="00BB69DC"/>
    <w:rsid w:val="00BB69E6"/>
    <w:rsid w:val="00BB7323"/>
    <w:rsid w:val="00BB73CA"/>
    <w:rsid w:val="00BB7BE5"/>
    <w:rsid w:val="00BB7C6D"/>
    <w:rsid w:val="00BC08BD"/>
    <w:rsid w:val="00BC0A9A"/>
    <w:rsid w:val="00BC1002"/>
    <w:rsid w:val="00BC11E8"/>
    <w:rsid w:val="00BC1418"/>
    <w:rsid w:val="00BC1B7A"/>
    <w:rsid w:val="00BC2C17"/>
    <w:rsid w:val="00BC3149"/>
    <w:rsid w:val="00BC31FE"/>
    <w:rsid w:val="00BC3ACD"/>
    <w:rsid w:val="00BC3B20"/>
    <w:rsid w:val="00BC3EE4"/>
    <w:rsid w:val="00BC577D"/>
    <w:rsid w:val="00BC588C"/>
    <w:rsid w:val="00BC6E73"/>
    <w:rsid w:val="00BC74D3"/>
    <w:rsid w:val="00BC7AC5"/>
    <w:rsid w:val="00BD0014"/>
    <w:rsid w:val="00BD01D8"/>
    <w:rsid w:val="00BD255F"/>
    <w:rsid w:val="00BD2895"/>
    <w:rsid w:val="00BD3194"/>
    <w:rsid w:val="00BD4236"/>
    <w:rsid w:val="00BD4400"/>
    <w:rsid w:val="00BD483B"/>
    <w:rsid w:val="00BD4FBA"/>
    <w:rsid w:val="00BD51F9"/>
    <w:rsid w:val="00BD5BD8"/>
    <w:rsid w:val="00BD5CD4"/>
    <w:rsid w:val="00BD65D9"/>
    <w:rsid w:val="00BD6922"/>
    <w:rsid w:val="00BD6DF3"/>
    <w:rsid w:val="00BD6E09"/>
    <w:rsid w:val="00BD6E92"/>
    <w:rsid w:val="00BD6EF9"/>
    <w:rsid w:val="00BE045C"/>
    <w:rsid w:val="00BE0ACB"/>
    <w:rsid w:val="00BE11F3"/>
    <w:rsid w:val="00BE2260"/>
    <w:rsid w:val="00BE2826"/>
    <w:rsid w:val="00BE2F75"/>
    <w:rsid w:val="00BE3917"/>
    <w:rsid w:val="00BE3D7E"/>
    <w:rsid w:val="00BE4860"/>
    <w:rsid w:val="00BE4A76"/>
    <w:rsid w:val="00BE4E87"/>
    <w:rsid w:val="00BE50FD"/>
    <w:rsid w:val="00BE51CA"/>
    <w:rsid w:val="00BE537F"/>
    <w:rsid w:val="00BE5D77"/>
    <w:rsid w:val="00BE6106"/>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6A9E"/>
    <w:rsid w:val="00BF7695"/>
    <w:rsid w:val="00BF775D"/>
    <w:rsid w:val="00BF79B4"/>
    <w:rsid w:val="00BF7C61"/>
    <w:rsid w:val="00BF7F8A"/>
    <w:rsid w:val="00C00366"/>
    <w:rsid w:val="00C01427"/>
    <w:rsid w:val="00C014C7"/>
    <w:rsid w:val="00C0196C"/>
    <w:rsid w:val="00C02F88"/>
    <w:rsid w:val="00C031CF"/>
    <w:rsid w:val="00C047AB"/>
    <w:rsid w:val="00C058AF"/>
    <w:rsid w:val="00C075B6"/>
    <w:rsid w:val="00C10027"/>
    <w:rsid w:val="00C124C1"/>
    <w:rsid w:val="00C1271E"/>
    <w:rsid w:val="00C128AE"/>
    <w:rsid w:val="00C12BA8"/>
    <w:rsid w:val="00C13094"/>
    <w:rsid w:val="00C136D6"/>
    <w:rsid w:val="00C13D5B"/>
    <w:rsid w:val="00C141D7"/>
    <w:rsid w:val="00C1711B"/>
    <w:rsid w:val="00C17AE2"/>
    <w:rsid w:val="00C20140"/>
    <w:rsid w:val="00C20CD6"/>
    <w:rsid w:val="00C20F27"/>
    <w:rsid w:val="00C213E0"/>
    <w:rsid w:val="00C215CF"/>
    <w:rsid w:val="00C219C3"/>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2565"/>
    <w:rsid w:val="00C33201"/>
    <w:rsid w:val="00C3328B"/>
    <w:rsid w:val="00C33A39"/>
    <w:rsid w:val="00C33F55"/>
    <w:rsid w:val="00C34619"/>
    <w:rsid w:val="00C348D9"/>
    <w:rsid w:val="00C35D01"/>
    <w:rsid w:val="00C360B3"/>
    <w:rsid w:val="00C36451"/>
    <w:rsid w:val="00C365EA"/>
    <w:rsid w:val="00C367F0"/>
    <w:rsid w:val="00C37027"/>
    <w:rsid w:val="00C373BF"/>
    <w:rsid w:val="00C37B15"/>
    <w:rsid w:val="00C37B19"/>
    <w:rsid w:val="00C41349"/>
    <w:rsid w:val="00C413CB"/>
    <w:rsid w:val="00C41558"/>
    <w:rsid w:val="00C41A13"/>
    <w:rsid w:val="00C42752"/>
    <w:rsid w:val="00C42973"/>
    <w:rsid w:val="00C43426"/>
    <w:rsid w:val="00C4443A"/>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E1C"/>
    <w:rsid w:val="00C56076"/>
    <w:rsid w:val="00C56384"/>
    <w:rsid w:val="00C567E9"/>
    <w:rsid w:val="00C60F8C"/>
    <w:rsid w:val="00C61424"/>
    <w:rsid w:val="00C61794"/>
    <w:rsid w:val="00C617AE"/>
    <w:rsid w:val="00C623E3"/>
    <w:rsid w:val="00C62A48"/>
    <w:rsid w:val="00C62AC4"/>
    <w:rsid w:val="00C62B59"/>
    <w:rsid w:val="00C62F96"/>
    <w:rsid w:val="00C631E1"/>
    <w:rsid w:val="00C634BC"/>
    <w:rsid w:val="00C638D8"/>
    <w:rsid w:val="00C63A43"/>
    <w:rsid w:val="00C63AE7"/>
    <w:rsid w:val="00C63D26"/>
    <w:rsid w:val="00C64127"/>
    <w:rsid w:val="00C6540A"/>
    <w:rsid w:val="00C668A1"/>
    <w:rsid w:val="00C670C3"/>
    <w:rsid w:val="00C67223"/>
    <w:rsid w:val="00C707B8"/>
    <w:rsid w:val="00C712AC"/>
    <w:rsid w:val="00C7158C"/>
    <w:rsid w:val="00C717A3"/>
    <w:rsid w:val="00C71C15"/>
    <w:rsid w:val="00C71F3D"/>
    <w:rsid w:val="00C72F53"/>
    <w:rsid w:val="00C72FF7"/>
    <w:rsid w:val="00C74035"/>
    <w:rsid w:val="00C748EA"/>
    <w:rsid w:val="00C76FB0"/>
    <w:rsid w:val="00C77818"/>
    <w:rsid w:val="00C8063F"/>
    <w:rsid w:val="00C81282"/>
    <w:rsid w:val="00C8155F"/>
    <w:rsid w:val="00C8198D"/>
    <w:rsid w:val="00C82167"/>
    <w:rsid w:val="00C827B4"/>
    <w:rsid w:val="00C831FE"/>
    <w:rsid w:val="00C83214"/>
    <w:rsid w:val="00C8329F"/>
    <w:rsid w:val="00C84E65"/>
    <w:rsid w:val="00C84F8A"/>
    <w:rsid w:val="00C85BA4"/>
    <w:rsid w:val="00C8618F"/>
    <w:rsid w:val="00C8625D"/>
    <w:rsid w:val="00C865AD"/>
    <w:rsid w:val="00C86612"/>
    <w:rsid w:val="00C867F0"/>
    <w:rsid w:val="00C87402"/>
    <w:rsid w:val="00C90372"/>
    <w:rsid w:val="00C9041F"/>
    <w:rsid w:val="00C915CA"/>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0D43"/>
    <w:rsid w:val="00CA10A2"/>
    <w:rsid w:val="00CA1D83"/>
    <w:rsid w:val="00CA1FEB"/>
    <w:rsid w:val="00CA25C0"/>
    <w:rsid w:val="00CA2828"/>
    <w:rsid w:val="00CA2BFB"/>
    <w:rsid w:val="00CA3451"/>
    <w:rsid w:val="00CA35C6"/>
    <w:rsid w:val="00CA4948"/>
    <w:rsid w:val="00CA52F9"/>
    <w:rsid w:val="00CA5368"/>
    <w:rsid w:val="00CA547B"/>
    <w:rsid w:val="00CA5670"/>
    <w:rsid w:val="00CA568B"/>
    <w:rsid w:val="00CA573A"/>
    <w:rsid w:val="00CA5C58"/>
    <w:rsid w:val="00CA7656"/>
    <w:rsid w:val="00CA78F9"/>
    <w:rsid w:val="00CA7CA7"/>
    <w:rsid w:val="00CA7FB0"/>
    <w:rsid w:val="00CB0CC1"/>
    <w:rsid w:val="00CB1159"/>
    <w:rsid w:val="00CB160B"/>
    <w:rsid w:val="00CB19D7"/>
    <w:rsid w:val="00CB19FE"/>
    <w:rsid w:val="00CB1C3F"/>
    <w:rsid w:val="00CB1ED7"/>
    <w:rsid w:val="00CB2364"/>
    <w:rsid w:val="00CB2FEE"/>
    <w:rsid w:val="00CB304C"/>
    <w:rsid w:val="00CB3933"/>
    <w:rsid w:val="00CB3947"/>
    <w:rsid w:val="00CB5010"/>
    <w:rsid w:val="00CB53E8"/>
    <w:rsid w:val="00CB594A"/>
    <w:rsid w:val="00CB5CB2"/>
    <w:rsid w:val="00CB6979"/>
    <w:rsid w:val="00CB7A04"/>
    <w:rsid w:val="00CB7DDE"/>
    <w:rsid w:val="00CC0A3D"/>
    <w:rsid w:val="00CC2FF0"/>
    <w:rsid w:val="00CC313F"/>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3E8"/>
    <w:rsid w:val="00CD05A2"/>
    <w:rsid w:val="00CD1049"/>
    <w:rsid w:val="00CD29D4"/>
    <w:rsid w:val="00CD2B5C"/>
    <w:rsid w:val="00CD2FF3"/>
    <w:rsid w:val="00CD3115"/>
    <w:rsid w:val="00CD3323"/>
    <w:rsid w:val="00CD3324"/>
    <w:rsid w:val="00CD356A"/>
    <w:rsid w:val="00CD37AE"/>
    <w:rsid w:val="00CD38F5"/>
    <w:rsid w:val="00CD3BF2"/>
    <w:rsid w:val="00CD437E"/>
    <w:rsid w:val="00CD4AAF"/>
    <w:rsid w:val="00CD5DAD"/>
    <w:rsid w:val="00CD5FFB"/>
    <w:rsid w:val="00CD6666"/>
    <w:rsid w:val="00CD72C5"/>
    <w:rsid w:val="00CD79A7"/>
    <w:rsid w:val="00CD7FAD"/>
    <w:rsid w:val="00CE0789"/>
    <w:rsid w:val="00CE0E8D"/>
    <w:rsid w:val="00CE1A03"/>
    <w:rsid w:val="00CE2346"/>
    <w:rsid w:val="00CE25B2"/>
    <w:rsid w:val="00CE3529"/>
    <w:rsid w:val="00CE35C8"/>
    <w:rsid w:val="00CE3807"/>
    <w:rsid w:val="00CE3962"/>
    <w:rsid w:val="00CE43FA"/>
    <w:rsid w:val="00CE4D0A"/>
    <w:rsid w:val="00CE4D1A"/>
    <w:rsid w:val="00CE4E8A"/>
    <w:rsid w:val="00CE5105"/>
    <w:rsid w:val="00CE5525"/>
    <w:rsid w:val="00CE56BD"/>
    <w:rsid w:val="00CE5EC0"/>
    <w:rsid w:val="00CE68AD"/>
    <w:rsid w:val="00CE6BA5"/>
    <w:rsid w:val="00CE6F15"/>
    <w:rsid w:val="00CE6F9F"/>
    <w:rsid w:val="00CE781A"/>
    <w:rsid w:val="00CE7B08"/>
    <w:rsid w:val="00CE7B7A"/>
    <w:rsid w:val="00CE7D52"/>
    <w:rsid w:val="00CF0AAA"/>
    <w:rsid w:val="00CF0AB7"/>
    <w:rsid w:val="00CF1D74"/>
    <w:rsid w:val="00CF2BE2"/>
    <w:rsid w:val="00CF371A"/>
    <w:rsid w:val="00CF3791"/>
    <w:rsid w:val="00CF37C2"/>
    <w:rsid w:val="00CF3DE4"/>
    <w:rsid w:val="00CF3DEB"/>
    <w:rsid w:val="00CF55F9"/>
    <w:rsid w:val="00CF578D"/>
    <w:rsid w:val="00CF7074"/>
    <w:rsid w:val="00CF7495"/>
    <w:rsid w:val="00CF76D6"/>
    <w:rsid w:val="00CF78D6"/>
    <w:rsid w:val="00D015D0"/>
    <w:rsid w:val="00D01CF9"/>
    <w:rsid w:val="00D021E8"/>
    <w:rsid w:val="00D024B0"/>
    <w:rsid w:val="00D0334D"/>
    <w:rsid w:val="00D0374D"/>
    <w:rsid w:val="00D047E1"/>
    <w:rsid w:val="00D06312"/>
    <w:rsid w:val="00D064EB"/>
    <w:rsid w:val="00D06D7B"/>
    <w:rsid w:val="00D06DA5"/>
    <w:rsid w:val="00D07191"/>
    <w:rsid w:val="00D07319"/>
    <w:rsid w:val="00D07F1D"/>
    <w:rsid w:val="00D10558"/>
    <w:rsid w:val="00D10EE8"/>
    <w:rsid w:val="00D11140"/>
    <w:rsid w:val="00D11739"/>
    <w:rsid w:val="00D119A6"/>
    <w:rsid w:val="00D11D4D"/>
    <w:rsid w:val="00D11DB1"/>
    <w:rsid w:val="00D126DC"/>
    <w:rsid w:val="00D12B03"/>
    <w:rsid w:val="00D12F88"/>
    <w:rsid w:val="00D13E70"/>
    <w:rsid w:val="00D13EE7"/>
    <w:rsid w:val="00D147BE"/>
    <w:rsid w:val="00D148A0"/>
    <w:rsid w:val="00D15ECD"/>
    <w:rsid w:val="00D15FCD"/>
    <w:rsid w:val="00D16C58"/>
    <w:rsid w:val="00D17019"/>
    <w:rsid w:val="00D1705A"/>
    <w:rsid w:val="00D17ABA"/>
    <w:rsid w:val="00D17FC8"/>
    <w:rsid w:val="00D2008F"/>
    <w:rsid w:val="00D2015B"/>
    <w:rsid w:val="00D207E7"/>
    <w:rsid w:val="00D20B44"/>
    <w:rsid w:val="00D21168"/>
    <w:rsid w:val="00D21C3A"/>
    <w:rsid w:val="00D2224A"/>
    <w:rsid w:val="00D234EB"/>
    <w:rsid w:val="00D2385D"/>
    <w:rsid w:val="00D23FF4"/>
    <w:rsid w:val="00D2438C"/>
    <w:rsid w:val="00D24434"/>
    <w:rsid w:val="00D2585A"/>
    <w:rsid w:val="00D25920"/>
    <w:rsid w:val="00D259B0"/>
    <w:rsid w:val="00D259C2"/>
    <w:rsid w:val="00D26C3F"/>
    <w:rsid w:val="00D27185"/>
    <w:rsid w:val="00D3028A"/>
    <w:rsid w:val="00D30E98"/>
    <w:rsid w:val="00D3125C"/>
    <w:rsid w:val="00D31ACD"/>
    <w:rsid w:val="00D32436"/>
    <w:rsid w:val="00D33488"/>
    <w:rsid w:val="00D33AB3"/>
    <w:rsid w:val="00D33F24"/>
    <w:rsid w:val="00D34160"/>
    <w:rsid w:val="00D346B8"/>
    <w:rsid w:val="00D34DCA"/>
    <w:rsid w:val="00D35AC8"/>
    <w:rsid w:val="00D360A7"/>
    <w:rsid w:val="00D36F87"/>
    <w:rsid w:val="00D37DF9"/>
    <w:rsid w:val="00D37E4E"/>
    <w:rsid w:val="00D40275"/>
    <w:rsid w:val="00D417D8"/>
    <w:rsid w:val="00D41F78"/>
    <w:rsid w:val="00D42ABC"/>
    <w:rsid w:val="00D42E6C"/>
    <w:rsid w:val="00D4351C"/>
    <w:rsid w:val="00D43B80"/>
    <w:rsid w:val="00D44988"/>
    <w:rsid w:val="00D45B4C"/>
    <w:rsid w:val="00D45BA4"/>
    <w:rsid w:val="00D471AF"/>
    <w:rsid w:val="00D471E2"/>
    <w:rsid w:val="00D4724F"/>
    <w:rsid w:val="00D50252"/>
    <w:rsid w:val="00D50519"/>
    <w:rsid w:val="00D50702"/>
    <w:rsid w:val="00D50779"/>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2C71"/>
    <w:rsid w:val="00D63B22"/>
    <w:rsid w:val="00D66009"/>
    <w:rsid w:val="00D66D8B"/>
    <w:rsid w:val="00D671B2"/>
    <w:rsid w:val="00D70849"/>
    <w:rsid w:val="00D70DFA"/>
    <w:rsid w:val="00D72297"/>
    <w:rsid w:val="00D72A1C"/>
    <w:rsid w:val="00D7308F"/>
    <w:rsid w:val="00D7313E"/>
    <w:rsid w:val="00D73396"/>
    <w:rsid w:val="00D73580"/>
    <w:rsid w:val="00D73802"/>
    <w:rsid w:val="00D73883"/>
    <w:rsid w:val="00D73C2C"/>
    <w:rsid w:val="00D73D52"/>
    <w:rsid w:val="00D73E70"/>
    <w:rsid w:val="00D745E7"/>
    <w:rsid w:val="00D75FDA"/>
    <w:rsid w:val="00D768F1"/>
    <w:rsid w:val="00D770A7"/>
    <w:rsid w:val="00D774ED"/>
    <w:rsid w:val="00D776AD"/>
    <w:rsid w:val="00D777C3"/>
    <w:rsid w:val="00D7797C"/>
    <w:rsid w:val="00D77C44"/>
    <w:rsid w:val="00D77F88"/>
    <w:rsid w:val="00D8151B"/>
    <w:rsid w:val="00D81AFA"/>
    <w:rsid w:val="00D81EAA"/>
    <w:rsid w:val="00D81FE2"/>
    <w:rsid w:val="00D8259F"/>
    <w:rsid w:val="00D825F2"/>
    <w:rsid w:val="00D8285C"/>
    <w:rsid w:val="00D828B1"/>
    <w:rsid w:val="00D82A55"/>
    <w:rsid w:val="00D8305B"/>
    <w:rsid w:val="00D830F8"/>
    <w:rsid w:val="00D83D49"/>
    <w:rsid w:val="00D84181"/>
    <w:rsid w:val="00D846AD"/>
    <w:rsid w:val="00D84754"/>
    <w:rsid w:val="00D84F27"/>
    <w:rsid w:val="00D853F0"/>
    <w:rsid w:val="00D85862"/>
    <w:rsid w:val="00D85892"/>
    <w:rsid w:val="00D86D47"/>
    <w:rsid w:val="00D8710C"/>
    <w:rsid w:val="00D873C6"/>
    <w:rsid w:val="00D87819"/>
    <w:rsid w:val="00D878A3"/>
    <w:rsid w:val="00D9074A"/>
    <w:rsid w:val="00D9099E"/>
    <w:rsid w:val="00D9193A"/>
    <w:rsid w:val="00D91D05"/>
    <w:rsid w:val="00D92156"/>
    <w:rsid w:val="00D923B2"/>
    <w:rsid w:val="00D92463"/>
    <w:rsid w:val="00D927B5"/>
    <w:rsid w:val="00D92981"/>
    <w:rsid w:val="00D92C81"/>
    <w:rsid w:val="00D93E64"/>
    <w:rsid w:val="00D93F64"/>
    <w:rsid w:val="00D94CA4"/>
    <w:rsid w:val="00D95E99"/>
    <w:rsid w:val="00D965D5"/>
    <w:rsid w:val="00D96F7C"/>
    <w:rsid w:val="00D9714B"/>
    <w:rsid w:val="00D97DA2"/>
    <w:rsid w:val="00DA0485"/>
    <w:rsid w:val="00DA19AA"/>
    <w:rsid w:val="00DA1A3A"/>
    <w:rsid w:val="00DA1FC3"/>
    <w:rsid w:val="00DA2351"/>
    <w:rsid w:val="00DA249E"/>
    <w:rsid w:val="00DA2D3D"/>
    <w:rsid w:val="00DA35AF"/>
    <w:rsid w:val="00DA35D9"/>
    <w:rsid w:val="00DA3855"/>
    <w:rsid w:val="00DA39BA"/>
    <w:rsid w:val="00DA4C30"/>
    <w:rsid w:val="00DA538E"/>
    <w:rsid w:val="00DA5FB3"/>
    <w:rsid w:val="00DA6980"/>
    <w:rsid w:val="00DA6A44"/>
    <w:rsid w:val="00DA7A3C"/>
    <w:rsid w:val="00DB145E"/>
    <w:rsid w:val="00DB1A94"/>
    <w:rsid w:val="00DB1D52"/>
    <w:rsid w:val="00DB1E2B"/>
    <w:rsid w:val="00DB1F62"/>
    <w:rsid w:val="00DB21E7"/>
    <w:rsid w:val="00DB2E03"/>
    <w:rsid w:val="00DB32A0"/>
    <w:rsid w:val="00DB3742"/>
    <w:rsid w:val="00DB3C5A"/>
    <w:rsid w:val="00DB3E9B"/>
    <w:rsid w:val="00DB3F4B"/>
    <w:rsid w:val="00DB5375"/>
    <w:rsid w:val="00DB56D8"/>
    <w:rsid w:val="00DB6003"/>
    <w:rsid w:val="00DB6769"/>
    <w:rsid w:val="00DB67C1"/>
    <w:rsid w:val="00DB6C0B"/>
    <w:rsid w:val="00DB70F4"/>
    <w:rsid w:val="00DB748A"/>
    <w:rsid w:val="00DB7CB7"/>
    <w:rsid w:val="00DC1056"/>
    <w:rsid w:val="00DC1442"/>
    <w:rsid w:val="00DC1781"/>
    <w:rsid w:val="00DC21D8"/>
    <w:rsid w:val="00DC282A"/>
    <w:rsid w:val="00DC2DE8"/>
    <w:rsid w:val="00DC34DC"/>
    <w:rsid w:val="00DC3780"/>
    <w:rsid w:val="00DC3ADA"/>
    <w:rsid w:val="00DC3CC6"/>
    <w:rsid w:val="00DC3F55"/>
    <w:rsid w:val="00DC418D"/>
    <w:rsid w:val="00DC4782"/>
    <w:rsid w:val="00DC4B02"/>
    <w:rsid w:val="00DC514A"/>
    <w:rsid w:val="00DC67B1"/>
    <w:rsid w:val="00DC7A00"/>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D7F43"/>
    <w:rsid w:val="00DE0784"/>
    <w:rsid w:val="00DE0A1D"/>
    <w:rsid w:val="00DE15B2"/>
    <w:rsid w:val="00DE1A9A"/>
    <w:rsid w:val="00DE3D2C"/>
    <w:rsid w:val="00DE57D0"/>
    <w:rsid w:val="00DE5E82"/>
    <w:rsid w:val="00DE5EC5"/>
    <w:rsid w:val="00DE5FA6"/>
    <w:rsid w:val="00DE6792"/>
    <w:rsid w:val="00DE6AA1"/>
    <w:rsid w:val="00DE77A3"/>
    <w:rsid w:val="00DE7857"/>
    <w:rsid w:val="00DE7EF7"/>
    <w:rsid w:val="00DF015B"/>
    <w:rsid w:val="00DF02EC"/>
    <w:rsid w:val="00DF10FC"/>
    <w:rsid w:val="00DF1185"/>
    <w:rsid w:val="00DF1299"/>
    <w:rsid w:val="00DF1620"/>
    <w:rsid w:val="00DF1A70"/>
    <w:rsid w:val="00DF1E5F"/>
    <w:rsid w:val="00DF23A8"/>
    <w:rsid w:val="00DF2EE1"/>
    <w:rsid w:val="00DF2F27"/>
    <w:rsid w:val="00DF36B6"/>
    <w:rsid w:val="00DF4296"/>
    <w:rsid w:val="00DF4582"/>
    <w:rsid w:val="00DF5267"/>
    <w:rsid w:val="00DF53F0"/>
    <w:rsid w:val="00DF5700"/>
    <w:rsid w:val="00DF5F38"/>
    <w:rsid w:val="00DF604C"/>
    <w:rsid w:val="00DF6608"/>
    <w:rsid w:val="00DF6CCC"/>
    <w:rsid w:val="00DF6D0C"/>
    <w:rsid w:val="00DF6F64"/>
    <w:rsid w:val="00DF721E"/>
    <w:rsid w:val="00DF72F3"/>
    <w:rsid w:val="00DF7549"/>
    <w:rsid w:val="00DF78D0"/>
    <w:rsid w:val="00DF7B8A"/>
    <w:rsid w:val="00DF7B8B"/>
    <w:rsid w:val="00DF7C87"/>
    <w:rsid w:val="00E009B0"/>
    <w:rsid w:val="00E00A12"/>
    <w:rsid w:val="00E00B39"/>
    <w:rsid w:val="00E00C49"/>
    <w:rsid w:val="00E01C9C"/>
    <w:rsid w:val="00E01FF4"/>
    <w:rsid w:val="00E0219D"/>
    <w:rsid w:val="00E032D9"/>
    <w:rsid w:val="00E04482"/>
    <w:rsid w:val="00E04C0F"/>
    <w:rsid w:val="00E05510"/>
    <w:rsid w:val="00E0570B"/>
    <w:rsid w:val="00E05B1D"/>
    <w:rsid w:val="00E05B91"/>
    <w:rsid w:val="00E069C5"/>
    <w:rsid w:val="00E07A05"/>
    <w:rsid w:val="00E1065D"/>
    <w:rsid w:val="00E10913"/>
    <w:rsid w:val="00E10B87"/>
    <w:rsid w:val="00E121CE"/>
    <w:rsid w:val="00E12209"/>
    <w:rsid w:val="00E144C4"/>
    <w:rsid w:val="00E14585"/>
    <w:rsid w:val="00E1478B"/>
    <w:rsid w:val="00E14FAC"/>
    <w:rsid w:val="00E14FCD"/>
    <w:rsid w:val="00E15007"/>
    <w:rsid w:val="00E15DC6"/>
    <w:rsid w:val="00E1604B"/>
    <w:rsid w:val="00E16277"/>
    <w:rsid w:val="00E16EC7"/>
    <w:rsid w:val="00E17DCC"/>
    <w:rsid w:val="00E219CE"/>
    <w:rsid w:val="00E21D93"/>
    <w:rsid w:val="00E2226B"/>
    <w:rsid w:val="00E22A86"/>
    <w:rsid w:val="00E22D2A"/>
    <w:rsid w:val="00E22F39"/>
    <w:rsid w:val="00E24071"/>
    <w:rsid w:val="00E24142"/>
    <w:rsid w:val="00E24DCA"/>
    <w:rsid w:val="00E24EBC"/>
    <w:rsid w:val="00E2522C"/>
    <w:rsid w:val="00E2552F"/>
    <w:rsid w:val="00E2599B"/>
    <w:rsid w:val="00E2710C"/>
    <w:rsid w:val="00E272BD"/>
    <w:rsid w:val="00E27428"/>
    <w:rsid w:val="00E27E58"/>
    <w:rsid w:val="00E305B4"/>
    <w:rsid w:val="00E314CB"/>
    <w:rsid w:val="00E31AFA"/>
    <w:rsid w:val="00E31CB7"/>
    <w:rsid w:val="00E32477"/>
    <w:rsid w:val="00E324EE"/>
    <w:rsid w:val="00E3367B"/>
    <w:rsid w:val="00E34DB1"/>
    <w:rsid w:val="00E35339"/>
    <w:rsid w:val="00E35931"/>
    <w:rsid w:val="00E359FF"/>
    <w:rsid w:val="00E36337"/>
    <w:rsid w:val="00E3699A"/>
    <w:rsid w:val="00E371E1"/>
    <w:rsid w:val="00E376B6"/>
    <w:rsid w:val="00E402C5"/>
    <w:rsid w:val="00E402F4"/>
    <w:rsid w:val="00E405F1"/>
    <w:rsid w:val="00E417DB"/>
    <w:rsid w:val="00E43054"/>
    <w:rsid w:val="00E432D1"/>
    <w:rsid w:val="00E43655"/>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B5A"/>
    <w:rsid w:val="00E54E50"/>
    <w:rsid w:val="00E55288"/>
    <w:rsid w:val="00E5650C"/>
    <w:rsid w:val="00E57577"/>
    <w:rsid w:val="00E57CDA"/>
    <w:rsid w:val="00E57EDB"/>
    <w:rsid w:val="00E62043"/>
    <w:rsid w:val="00E626B9"/>
    <w:rsid w:val="00E627C9"/>
    <w:rsid w:val="00E630F3"/>
    <w:rsid w:val="00E6332F"/>
    <w:rsid w:val="00E637C9"/>
    <w:rsid w:val="00E6402D"/>
    <w:rsid w:val="00E6680A"/>
    <w:rsid w:val="00E669E3"/>
    <w:rsid w:val="00E66F0D"/>
    <w:rsid w:val="00E66F5F"/>
    <w:rsid w:val="00E670A2"/>
    <w:rsid w:val="00E67BFA"/>
    <w:rsid w:val="00E7004F"/>
    <w:rsid w:val="00E700F3"/>
    <w:rsid w:val="00E70615"/>
    <w:rsid w:val="00E70971"/>
    <w:rsid w:val="00E7159E"/>
    <w:rsid w:val="00E7161E"/>
    <w:rsid w:val="00E71BE3"/>
    <w:rsid w:val="00E72004"/>
    <w:rsid w:val="00E7207B"/>
    <w:rsid w:val="00E722CF"/>
    <w:rsid w:val="00E72880"/>
    <w:rsid w:val="00E7347A"/>
    <w:rsid w:val="00E75A47"/>
    <w:rsid w:val="00E75BB6"/>
    <w:rsid w:val="00E75D8C"/>
    <w:rsid w:val="00E76B5A"/>
    <w:rsid w:val="00E76E93"/>
    <w:rsid w:val="00E7719C"/>
    <w:rsid w:val="00E7757E"/>
    <w:rsid w:val="00E777F2"/>
    <w:rsid w:val="00E802C9"/>
    <w:rsid w:val="00E80BFB"/>
    <w:rsid w:val="00E80EC2"/>
    <w:rsid w:val="00E80F0A"/>
    <w:rsid w:val="00E81291"/>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900DA"/>
    <w:rsid w:val="00E90496"/>
    <w:rsid w:val="00E91044"/>
    <w:rsid w:val="00E910D3"/>
    <w:rsid w:val="00E91CBA"/>
    <w:rsid w:val="00E92097"/>
    <w:rsid w:val="00E92154"/>
    <w:rsid w:val="00E923CF"/>
    <w:rsid w:val="00E92435"/>
    <w:rsid w:val="00E93685"/>
    <w:rsid w:val="00E93B65"/>
    <w:rsid w:val="00E93C8C"/>
    <w:rsid w:val="00E95111"/>
    <w:rsid w:val="00E95FDF"/>
    <w:rsid w:val="00E960AD"/>
    <w:rsid w:val="00E9677F"/>
    <w:rsid w:val="00E96898"/>
    <w:rsid w:val="00E97043"/>
    <w:rsid w:val="00EA0185"/>
    <w:rsid w:val="00EA05B6"/>
    <w:rsid w:val="00EA14C8"/>
    <w:rsid w:val="00EA2110"/>
    <w:rsid w:val="00EA24AF"/>
    <w:rsid w:val="00EA283A"/>
    <w:rsid w:val="00EA2C90"/>
    <w:rsid w:val="00EA2E07"/>
    <w:rsid w:val="00EA383B"/>
    <w:rsid w:val="00EA44ED"/>
    <w:rsid w:val="00EA48F3"/>
    <w:rsid w:val="00EA4D46"/>
    <w:rsid w:val="00EA60BF"/>
    <w:rsid w:val="00EA7365"/>
    <w:rsid w:val="00EA763F"/>
    <w:rsid w:val="00EA77E9"/>
    <w:rsid w:val="00EB05D0"/>
    <w:rsid w:val="00EB1151"/>
    <w:rsid w:val="00EB1D49"/>
    <w:rsid w:val="00EB23D9"/>
    <w:rsid w:val="00EB39A0"/>
    <w:rsid w:val="00EB430A"/>
    <w:rsid w:val="00EB559F"/>
    <w:rsid w:val="00EB566C"/>
    <w:rsid w:val="00EB5758"/>
    <w:rsid w:val="00EB5A18"/>
    <w:rsid w:val="00EB5F3D"/>
    <w:rsid w:val="00EB6C97"/>
    <w:rsid w:val="00EB747E"/>
    <w:rsid w:val="00EC0317"/>
    <w:rsid w:val="00EC1CEB"/>
    <w:rsid w:val="00EC1DC0"/>
    <w:rsid w:val="00EC1DC2"/>
    <w:rsid w:val="00EC1E09"/>
    <w:rsid w:val="00EC210E"/>
    <w:rsid w:val="00EC21EC"/>
    <w:rsid w:val="00EC24B8"/>
    <w:rsid w:val="00EC268C"/>
    <w:rsid w:val="00EC3753"/>
    <w:rsid w:val="00EC3FB6"/>
    <w:rsid w:val="00EC4E71"/>
    <w:rsid w:val="00EC5F1C"/>
    <w:rsid w:val="00EC6659"/>
    <w:rsid w:val="00EC7AEB"/>
    <w:rsid w:val="00ED0365"/>
    <w:rsid w:val="00ED0512"/>
    <w:rsid w:val="00ED0711"/>
    <w:rsid w:val="00ED0865"/>
    <w:rsid w:val="00ED0C1C"/>
    <w:rsid w:val="00ED186C"/>
    <w:rsid w:val="00ED1C60"/>
    <w:rsid w:val="00ED2EB9"/>
    <w:rsid w:val="00ED3646"/>
    <w:rsid w:val="00ED3722"/>
    <w:rsid w:val="00ED3A31"/>
    <w:rsid w:val="00ED3AEF"/>
    <w:rsid w:val="00ED4469"/>
    <w:rsid w:val="00ED4829"/>
    <w:rsid w:val="00ED5424"/>
    <w:rsid w:val="00ED5F23"/>
    <w:rsid w:val="00ED6DC0"/>
    <w:rsid w:val="00ED7272"/>
    <w:rsid w:val="00ED7696"/>
    <w:rsid w:val="00ED7A7A"/>
    <w:rsid w:val="00EE0327"/>
    <w:rsid w:val="00EE038C"/>
    <w:rsid w:val="00EE064D"/>
    <w:rsid w:val="00EE105A"/>
    <w:rsid w:val="00EE1D00"/>
    <w:rsid w:val="00EE21FA"/>
    <w:rsid w:val="00EE259E"/>
    <w:rsid w:val="00EE25C8"/>
    <w:rsid w:val="00EE28C5"/>
    <w:rsid w:val="00EE2F09"/>
    <w:rsid w:val="00EE47C5"/>
    <w:rsid w:val="00EE490C"/>
    <w:rsid w:val="00EE4C17"/>
    <w:rsid w:val="00EE4E57"/>
    <w:rsid w:val="00EE5738"/>
    <w:rsid w:val="00EE58BD"/>
    <w:rsid w:val="00EE5DDB"/>
    <w:rsid w:val="00EE5E59"/>
    <w:rsid w:val="00EE5FA9"/>
    <w:rsid w:val="00EE73D0"/>
    <w:rsid w:val="00EE7CB0"/>
    <w:rsid w:val="00EE7CD1"/>
    <w:rsid w:val="00EE7F25"/>
    <w:rsid w:val="00EF08A8"/>
    <w:rsid w:val="00EF11D0"/>
    <w:rsid w:val="00EF164E"/>
    <w:rsid w:val="00EF167B"/>
    <w:rsid w:val="00EF1C90"/>
    <w:rsid w:val="00EF2496"/>
    <w:rsid w:val="00EF2D2D"/>
    <w:rsid w:val="00EF41A8"/>
    <w:rsid w:val="00EF44FB"/>
    <w:rsid w:val="00EF5122"/>
    <w:rsid w:val="00EF5554"/>
    <w:rsid w:val="00EF5AD8"/>
    <w:rsid w:val="00EF6B90"/>
    <w:rsid w:val="00EF70C9"/>
    <w:rsid w:val="00EF741E"/>
    <w:rsid w:val="00EF7807"/>
    <w:rsid w:val="00EF79F7"/>
    <w:rsid w:val="00F006C0"/>
    <w:rsid w:val="00F0125F"/>
    <w:rsid w:val="00F0176A"/>
    <w:rsid w:val="00F019AA"/>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675"/>
    <w:rsid w:val="00F123DA"/>
    <w:rsid w:val="00F12557"/>
    <w:rsid w:val="00F127C8"/>
    <w:rsid w:val="00F12881"/>
    <w:rsid w:val="00F12C62"/>
    <w:rsid w:val="00F134BA"/>
    <w:rsid w:val="00F13599"/>
    <w:rsid w:val="00F13A71"/>
    <w:rsid w:val="00F13B28"/>
    <w:rsid w:val="00F14DCD"/>
    <w:rsid w:val="00F15408"/>
    <w:rsid w:val="00F156A0"/>
    <w:rsid w:val="00F15730"/>
    <w:rsid w:val="00F15A16"/>
    <w:rsid w:val="00F176A6"/>
    <w:rsid w:val="00F17A24"/>
    <w:rsid w:val="00F202C2"/>
    <w:rsid w:val="00F204B3"/>
    <w:rsid w:val="00F212F6"/>
    <w:rsid w:val="00F2190F"/>
    <w:rsid w:val="00F22756"/>
    <w:rsid w:val="00F23248"/>
    <w:rsid w:val="00F23890"/>
    <w:rsid w:val="00F2504D"/>
    <w:rsid w:val="00F2595D"/>
    <w:rsid w:val="00F25B26"/>
    <w:rsid w:val="00F2637F"/>
    <w:rsid w:val="00F268F7"/>
    <w:rsid w:val="00F30B83"/>
    <w:rsid w:val="00F30BDB"/>
    <w:rsid w:val="00F30CF8"/>
    <w:rsid w:val="00F31402"/>
    <w:rsid w:val="00F318EB"/>
    <w:rsid w:val="00F31EDF"/>
    <w:rsid w:val="00F32507"/>
    <w:rsid w:val="00F3282D"/>
    <w:rsid w:val="00F32CDE"/>
    <w:rsid w:val="00F32D4C"/>
    <w:rsid w:val="00F3327E"/>
    <w:rsid w:val="00F338C3"/>
    <w:rsid w:val="00F340ED"/>
    <w:rsid w:val="00F34B14"/>
    <w:rsid w:val="00F34CF1"/>
    <w:rsid w:val="00F34E35"/>
    <w:rsid w:val="00F34F58"/>
    <w:rsid w:val="00F3572F"/>
    <w:rsid w:val="00F35DA7"/>
    <w:rsid w:val="00F36A6A"/>
    <w:rsid w:val="00F40101"/>
    <w:rsid w:val="00F404F7"/>
    <w:rsid w:val="00F40CCA"/>
    <w:rsid w:val="00F40DA1"/>
    <w:rsid w:val="00F41E02"/>
    <w:rsid w:val="00F42AA4"/>
    <w:rsid w:val="00F42D97"/>
    <w:rsid w:val="00F42F0E"/>
    <w:rsid w:val="00F42FCF"/>
    <w:rsid w:val="00F436B2"/>
    <w:rsid w:val="00F43813"/>
    <w:rsid w:val="00F43FEE"/>
    <w:rsid w:val="00F440B0"/>
    <w:rsid w:val="00F44114"/>
    <w:rsid w:val="00F4492F"/>
    <w:rsid w:val="00F45030"/>
    <w:rsid w:val="00F45A72"/>
    <w:rsid w:val="00F46723"/>
    <w:rsid w:val="00F4706D"/>
    <w:rsid w:val="00F47309"/>
    <w:rsid w:val="00F476E1"/>
    <w:rsid w:val="00F47855"/>
    <w:rsid w:val="00F47D1D"/>
    <w:rsid w:val="00F47F29"/>
    <w:rsid w:val="00F50016"/>
    <w:rsid w:val="00F5118A"/>
    <w:rsid w:val="00F514C0"/>
    <w:rsid w:val="00F51A21"/>
    <w:rsid w:val="00F51A35"/>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59A"/>
    <w:rsid w:val="00F71936"/>
    <w:rsid w:val="00F71F81"/>
    <w:rsid w:val="00F724FB"/>
    <w:rsid w:val="00F726B8"/>
    <w:rsid w:val="00F72A26"/>
    <w:rsid w:val="00F733C3"/>
    <w:rsid w:val="00F73E15"/>
    <w:rsid w:val="00F746A1"/>
    <w:rsid w:val="00F74820"/>
    <w:rsid w:val="00F7506D"/>
    <w:rsid w:val="00F755DD"/>
    <w:rsid w:val="00F756DD"/>
    <w:rsid w:val="00F77DCA"/>
    <w:rsid w:val="00F77F4E"/>
    <w:rsid w:val="00F80047"/>
    <w:rsid w:val="00F800C7"/>
    <w:rsid w:val="00F80361"/>
    <w:rsid w:val="00F8104D"/>
    <w:rsid w:val="00F8153F"/>
    <w:rsid w:val="00F81587"/>
    <w:rsid w:val="00F819DE"/>
    <w:rsid w:val="00F81B2A"/>
    <w:rsid w:val="00F81C12"/>
    <w:rsid w:val="00F82053"/>
    <w:rsid w:val="00F825C4"/>
    <w:rsid w:val="00F8263C"/>
    <w:rsid w:val="00F8288F"/>
    <w:rsid w:val="00F82CD2"/>
    <w:rsid w:val="00F83671"/>
    <w:rsid w:val="00F8376E"/>
    <w:rsid w:val="00F83C52"/>
    <w:rsid w:val="00F840EC"/>
    <w:rsid w:val="00F84802"/>
    <w:rsid w:val="00F84B25"/>
    <w:rsid w:val="00F85B72"/>
    <w:rsid w:val="00F86540"/>
    <w:rsid w:val="00F865CE"/>
    <w:rsid w:val="00F8766F"/>
    <w:rsid w:val="00F876E3"/>
    <w:rsid w:val="00F87784"/>
    <w:rsid w:val="00F901B3"/>
    <w:rsid w:val="00F90282"/>
    <w:rsid w:val="00F90BC8"/>
    <w:rsid w:val="00F91082"/>
    <w:rsid w:val="00F9116D"/>
    <w:rsid w:val="00F91171"/>
    <w:rsid w:val="00F91342"/>
    <w:rsid w:val="00F917F3"/>
    <w:rsid w:val="00F91A9A"/>
    <w:rsid w:val="00F923AF"/>
    <w:rsid w:val="00F92634"/>
    <w:rsid w:val="00F933F3"/>
    <w:rsid w:val="00F93ABB"/>
    <w:rsid w:val="00F94D79"/>
    <w:rsid w:val="00F9658C"/>
    <w:rsid w:val="00F96EEB"/>
    <w:rsid w:val="00F9778C"/>
    <w:rsid w:val="00F97A7F"/>
    <w:rsid w:val="00F97CD0"/>
    <w:rsid w:val="00F97D7A"/>
    <w:rsid w:val="00FA0889"/>
    <w:rsid w:val="00FA16E7"/>
    <w:rsid w:val="00FA1CC9"/>
    <w:rsid w:val="00FA31C7"/>
    <w:rsid w:val="00FA472D"/>
    <w:rsid w:val="00FA4E96"/>
    <w:rsid w:val="00FA5A2A"/>
    <w:rsid w:val="00FA5A92"/>
    <w:rsid w:val="00FA681F"/>
    <w:rsid w:val="00FA7C2D"/>
    <w:rsid w:val="00FB0261"/>
    <w:rsid w:val="00FB0CBF"/>
    <w:rsid w:val="00FB18F6"/>
    <w:rsid w:val="00FB2A52"/>
    <w:rsid w:val="00FB3961"/>
    <w:rsid w:val="00FB39E0"/>
    <w:rsid w:val="00FB3F92"/>
    <w:rsid w:val="00FB52C7"/>
    <w:rsid w:val="00FB57DC"/>
    <w:rsid w:val="00FB5915"/>
    <w:rsid w:val="00FB6E19"/>
    <w:rsid w:val="00FB71F6"/>
    <w:rsid w:val="00FB74F1"/>
    <w:rsid w:val="00FC056A"/>
    <w:rsid w:val="00FC0670"/>
    <w:rsid w:val="00FC07AF"/>
    <w:rsid w:val="00FC0AF8"/>
    <w:rsid w:val="00FC0B69"/>
    <w:rsid w:val="00FC1055"/>
    <w:rsid w:val="00FC1238"/>
    <w:rsid w:val="00FC1483"/>
    <w:rsid w:val="00FC1BEF"/>
    <w:rsid w:val="00FC1C47"/>
    <w:rsid w:val="00FC2869"/>
    <w:rsid w:val="00FC2F9E"/>
    <w:rsid w:val="00FC3102"/>
    <w:rsid w:val="00FC3848"/>
    <w:rsid w:val="00FC39ED"/>
    <w:rsid w:val="00FC3BF4"/>
    <w:rsid w:val="00FC3D40"/>
    <w:rsid w:val="00FC3DC1"/>
    <w:rsid w:val="00FC4419"/>
    <w:rsid w:val="00FC47E2"/>
    <w:rsid w:val="00FC4AA5"/>
    <w:rsid w:val="00FC4B88"/>
    <w:rsid w:val="00FC4BB8"/>
    <w:rsid w:val="00FC5148"/>
    <w:rsid w:val="00FC6524"/>
    <w:rsid w:val="00FC6B58"/>
    <w:rsid w:val="00FC711D"/>
    <w:rsid w:val="00FC75AC"/>
    <w:rsid w:val="00FC7984"/>
    <w:rsid w:val="00FD01BF"/>
    <w:rsid w:val="00FD0525"/>
    <w:rsid w:val="00FD0AB7"/>
    <w:rsid w:val="00FD1836"/>
    <w:rsid w:val="00FD297D"/>
    <w:rsid w:val="00FD2D13"/>
    <w:rsid w:val="00FD374D"/>
    <w:rsid w:val="00FD4D2A"/>
    <w:rsid w:val="00FD6071"/>
    <w:rsid w:val="00FD633B"/>
    <w:rsid w:val="00FD66ED"/>
    <w:rsid w:val="00FD6ABA"/>
    <w:rsid w:val="00FE0794"/>
    <w:rsid w:val="00FE1041"/>
    <w:rsid w:val="00FE1614"/>
    <w:rsid w:val="00FE24CB"/>
    <w:rsid w:val="00FE323F"/>
    <w:rsid w:val="00FE3473"/>
    <w:rsid w:val="00FE4049"/>
    <w:rsid w:val="00FE4794"/>
    <w:rsid w:val="00FE480F"/>
    <w:rsid w:val="00FE4998"/>
    <w:rsid w:val="00FE5382"/>
    <w:rsid w:val="00FE57DE"/>
    <w:rsid w:val="00FE719F"/>
    <w:rsid w:val="00FE7A68"/>
    <w:rsid w:val="00FF0231"/>
    <w:rsid w:val="00FF056D"/>
    <w:rsid w:val="00FF1C9B"/>
    <w:rsid w:val="00FF1D49"/>
    <w:rsid w:val="00FF203B"/>
    <w:rsid w:val="00FF2562"/>
    <w:rsid w:val="00FF3A41"/>
    <w:rsid w:val="00FF3E5B"/>
    <w:rsid w:val="00FF3FD9"/>
    <w:rsid w:val="00FF4106"/>
    <w:rsid w:val="00FF5183"/>
    <w:rsid w:val="00FF57E4"/>
    <w:rsid w:val="00FF5E26"/>
    <w:rsid w:val="00FF5ECD"/>
    <w:rsid w:val="00FF6149"/>
    <w:rsid w:val="00FF78E5"/>
    <w:rsid w:val="012C5FAF"/>
    <w:rsid w:val="012F63DC"/>
    <w:rsid w:val="01AF3D99"/>
    <w:rsid w:val="01B365F7"/>
    <w:rsid w:val="01CE5560"/>
    <w:rsid w:val="01FD42EF"/>
    <w:rsid w:val="020952A3"/>
    <w:rsid w:val="02511F9D"/>
    <w:rsid w:val="02F554CF"/>
    <w:rsid w:val="033D608E"/>
    <w:rsid w:val="03A314B8"/>
    <w:rsid w:val="03AC1B29"/>
    <w:rsid w:val="03D82B98"/>
    <w:rsid w:val="03E75363"/>
    <w:rsid w:val="03F83E8B"/>
    <w:rsid w:val="04911CE4"/>
    <w:rsid w:val="04AD7C70"/>
    <w:rsid w:val="04FF212C"/>
    <w:rsid w:val="050708DE"/>
    <w:rsid w:val="052F3277"/>
    <w:rsid w:val="05357679"/>
    <w:rsid w:val="054364BD"/>
    <w:rsid w:val="0564024E"/>
    <w:rsid w:val="05C56868"/>
    <w:rsid w:val="062A07F8"/>
    <w:rsid w:val="063E027E"/>
    <w:rsid w:val="06BE3943"/>
    <w:rsid w:val="06CF730C"/>
    <w:rsid w:val="06EE76F2"/>
    <w:rsid w:val="070E5601"/>
    <w:rsid w:val="07A539BD"/>
    <w:rsid w:val="07B72767"/>
    <w:rsid w:val="08077E72"/>
    <w:rsid w:val="083D71F3"/>
    <w:rsid w:val="08882DD0"/>
    <w:rsid w:val="08940DDD"/>
    <w:rsid w:val="08C75F6D"/>
    <w:rsid w:val="08CE5FED"/>
    <w:rsid w:val="08D874A2"/>
    <w:rsid w:val="090202B1"/>
    <w:rsid w:val="0915272C"/>
    <w:rsid w:val="094001B5"/>
    <w:rsid w:val="09CC2AAC"/>
    <w:rsid w:val="09FD4C20"/>
    <w:rsid w:val="09FD52EB"/>
    <w:rsid w:val="0A075BF1"/>
    <w:rsid w:val="0A2076B1"/>
    <w:rsid w:val="0A493836"/>
    <w:rsid w:val="0A5D08A7"/>
    <w:rsid w:val="0A652D3E"/>
    <w:rsid w:val="0B326F2A"/>
    <w:rsid w:val="0C1E2888"/>
    <w:rsid w:val="0C215260"/>
    <w:rsid w:val="0C322DE7"/>
    <w:rsid w:val="0C92213C"/>
    <w:rsid w:val="0C955807"/>
    <w:rsid w:val="0CC2027E"/>
    <w:rsid w:val="0CC971D6"/>
    <w:rsid w:val="0CED3576"/>
    <w:rsid w:val="0D135892"/>
    <w:rsid w:val="0D84032B"/>
    <w:rsid w:val="0DD60293"/>
    <w:rsid w:val="0DDA3736"/>
    <w:rsid w:val="0DFC01D5"/>
    <w:rsid w:val="0E030FE4"/>
    <w:rsid w:val="0E090A68"/>
    <w:rsid w:val="0EAA7549"/>
    <w:rsid w:val="0EDC30DA"/>
    <w:rsid w:val="0EF32A51"/>
    <w:rsid w:val="0F2A74C4"/>
    <w:rsid w:val="0F6A0FB2"/>
    <w:rsid w:val="0FF31B7D"/>
    <w:rsid w:val="102D5D9F"/>
    <w:rsid w:val="105E6B9C"/>
    <w:rsid w:val="108D765F"/>
    <w:rsid w:val="10A27F31"/>
    <w:rsid w:val="10BA7EC1"/>
    <w:rsid w:val="11927058"/>
    <w:rsid w:val="11D64215"/>
    <w:rsid w:val="120E171E"/>
    <w:rsid w:val="12230DCC"/>
    <w:rsid w:val="126D6C2C"/>
    <w:rsid w:val="131E2CF4"/>
    <w:rsid w:val="1385367E"/>
    <w:rsid w:val="13952632"/>
    <w:rsid w:val="13A22FA9"/>
    <w:rsid w:val="13AF4F03"/>
    <w:rsid w:val="14736E66"/>
    <w:rsid w:val="147F458F"/>
    <w:rsid w:val="150C1BA5"/>
    <w:rsid w:val="1534169A"/>
    <w:rsid w:val="15B5246F"/>
    <w:rsid w:val="15C03E03"/>
    <w:rsid w:val="162A25EB"/>
    <w:rsid w:val="1663076D"/>
    <w:rsid w:val="166317B1"/>
    <w:rsid w:val="16735895"/>
    <w:rsid w:val="16AD25AD"/>
    <w:rsid w:val="16FD2A55"/>
    <w:rsid w:val="17067C1A"/>
    <w:rsid w:val="170A5057"/>
    <w:rsid w:val="17366761"/>
    <w:rsid w:val="177C01F0"/>
    <w:rsid w:val="179E3EFA"/>
    <w:rsid w:val="17BB0135"/>
    <w:rsid w:val="17C76AD9"/>
    <w:rsid w:val="17CE6630"/>
    <w:rsid w:val="18354B5D"/>
    <w:rsid w:val="1843711F"/>
    <w:rsid w:val="184B2DD7"/>
    <w:rsid w:val="18D4459B"/>
    <w:rsid w:val="199F208A"/>
    <w:rsid w:val="1A9903E7"/>
    <w:rsid w:val="1AE300CE"/>
    <w:rsid w:val="1AFF0AFE"/>
    <w:rsid w:val="1B0911B7"/>
    <w:rsid w:val="1B4F19F8"/>
    <w:rsid w:val="1BCC4A05"/>
    <w:rsid w:val="1BE17598"/>
    <w:rsid w:val="1C693132"/>
    <w:rsid w:val="1DFB7611"/>
    <w:rsid w:val="1E9F255E"/>
    <w:rsid w:val="1EAC6A29"/>
    <w:rsid w:val="1ECC44FA"/>
    <w:rsid w:val="1F063325"/>
    <w:rsid w:val="1F2743A7"/>
    <w:rsid w:val="1FB8468E"/>
    <w:rsid w:val="1FBC5DF5"/>
    <w:rsid w:val="1FEC0799"/>
    <w:rsid w:val="1FF90588"/>
    <w:rsid w:val="20266765"/>
    <w:rsid w:val="20C3623F"/>
    <w:rsid w:val="20F052F3"/>
    <w:rsid w:val="20F3339F"/>
    <w:rsid w:val="20F44CDE"/>
    <w:rsid w:val="20F85F56"/>
    <w:rsid w:val="216D6944"/>
    <w:rsid w:val="21781212"/>
    <w:rsid w:val="21B83F86"/>
    <w:rsid w:val="221178A8"/>
    <w:rsid w:val="221213CF"/>
    <w:rsid w:val="22327A92"/>
    <w:rsid w:val="223B334D"/>
    <w:rsid w:val="226D04F3"/>
    <w:rsid w:val="226F7886"/>
    <w:rsid w:val="22BA5F45"/>
    <w:rsid w:val="22D726E3"/>
    <w:rsid w:val="22E940C1"/>
    <w:rsid w:val="231D53A2"/>
    <w:rsid w:val="236D5383"/>
    <w:rsid w:val="23B7504C"/>
    <w:rsid w:val="23BD17E3"/>
    <w:rsid w:val="23D17ABE"/>
    <w:rsid w:val="23D867FD"/>
    <w:rsid w:val="24571307"/>
    <w:rsid w:val="2461453D"/>
    <w:rsid w:val="24C85B57"/>
    <w:rsid w:val="24D3278C"/>
    <w:rsid w:val="25110A2A"/>
    <w:rsid w:val="25130FDA"/>
    <w:rsid w:val="256C0944"/>
    <w:rsid w:val="25F472E6"/>
    <w:rsid w:val="26446DE3"/>
    <w:rsid w:val="26877DFE"/>
    <w:rsid w:val="269669E7"/>
    <w:rsid w:val="26A270C1"/>
    <w:rsid w:val="26B11081"/>
    <w:rsid w:val="26D7699F"/>
    <w:rsid w:val="27A2056E"/>
    <w:rsid w:val="27C546B8"/>
    <w:rsid w:val="281573ED"/>
    <w:rsid w:val="28292190"/>
    <w:rsid w:val="28924C1A"/>
    <w:rsid w:val="28CC4FBB"/>
    <w:rsid w:val="28D64960"/>
    <w:rsid w:val="296E50BF"/>
    <w:rsid w:val="29D75F7F"/>
    <w:rsid w:val="29FB2759"/>
    <w:rsid w:val="2A1E68AE"/>
    <w:rsid w:val="2A270E22"/>
    <w:rsid w:val="2A45718B"/>
    <w:rsid w:val="2AAF325F"/>
    <w:rsid w:val="2AC8717F"/>
    <w:rsid w:val="2B095658"/>
    <w:rsid w:val="2B1B697F"/>
    <w:rsid w:val="2B502924"/>
    <w:rsid w:val="2B774624"/>
    <w:rsid w:val="2C576E62"/>
    <w:rsid w:val="2C7A72BE"/>
    <w:rsid w:val="2C7D37B3"/>
    <w:rsid w:val="2C82624F"/>
    <w:rsid w:val="2C9A7D75"/>
    <w:rsid w:val="2CC17412"/>
    <w:rsid w:val="2CF72F53"/>
    <w:rsid w:val="2D514837"/>
    <w:rsid w:val="2D7C1E99"/>
    <w:rsid w:val="2DBF5062"/>
    <w:rsid w:val="2E56075F"/>
    <w:rsid w:val="2E7C3D71"/>
    <w:rsid w:val="2E9976CE"/>
    <w:rsid w:val="2EA50AEA"/>
    <w:rsid w:val="2EED69CE"/>
    <w:rsid w:val="2EF01DEE"/>
    <w:rsid w:val="2EFF5A0E"/>
    <w:rsid w:val="2F401D3C"/>
    <w:rsid w:val="2F5B24E1"/>
    <w:rsid w:val="2F8C4439"/>
    <w:rsid w:val="2FA95C88"/>
    <w:rsid w:val="2FF06CEA"/>
    <w:rsid w:val="3014442E"/>
    <w:rsid w:val="3041370F"/>
    <w:rsid w:val="30B55E45"/>
    <w:rsid w:val="30B87FED"/>
    <w:rsid w:val="312B50A3"/>
    <w:rsid w:val="31491327"/>
    <w:rsid w:val="31521D13"/>
    <w:rsid w:val="31894FD2"/>
    <w:rsid w:val="31B007FC"/>
    <w:rsid w:val="31B1462B"/>
    <w:rsid w:val="32025CA4"/>
    <w:rsid w:val="32453A27"/>
    <w:rsid w:val="3263064A"/>
    <w:rsid w:val="328835BC"/>
    <w:rsid w:val="32A43132"/>
    <w:rsid w:val="32AC0C06"/>
    <w:rsid w:val="33272EB3"/>
    <w:rsid w:val="33344EF5"/>
    <w:rsid w:val="3335354B"/>
    <w:rsid w:val="33B92ADD"/>
    <w:rsid w:val="340C5B48"/>
    <w:rsid w:val="345B4017"/>
    <w:rsid w:val="348E2B99"/>
    <w:rsid w:val="349D232B"/>
    <w:rsid w:val="3537750C"/>
    <w:rsid w:val="3537798C"/>
    <w:rsid w:val="355F439E"/>
    <w:rsid w:val="358A7EE0"/>
    <w:rsid w:val="35C13FC9"/>
    <w:rsid w:val="35E63DEE"/>
    <w:rsid w:val="360A3506"/>
    <w:rsid w:val="36372B05"/>
    <w:rsid w:val="364257B6"/>
    <w:rsid w:val="36E76889"/>
    <w:rsid w:val="37EA5922"/>
    <w:rsid w:val="38276B93"/>
    <w:rsid w:val="38284F1B"/>
    <w:rsid w:val="382E58B8"/>
    <w:rsid w:val="38A6752A"/>
    <w:rsid w:val="38AC3431"/>
    <w:rsid w:val="38D1110E"/>
    <w:rsid w:val="38EE0068"/>
    <w:rsid w:val="392F2E16"/>
    <w:rsid w:val="39484FE9"/>
    <w:rsid w:val="395E5F2F"/>
    <w:rsid w:val="39AA27EB"/>
    <w:rsid w:val="39E00529"/>
    <w:rsid w:val="3A086B1A"/>
    <w:rsid w:val="3A0B64A7"/>
    <w:rsid w:val="3A574DDA"/>
    <w:rsid w:val="3A6F0BDF"/>
    <w:rsid w:val="3AAD277F"/>
    <w:rsid w:val="3AAF51F3"/>
    <w:rsid w:val="3AD3075A"/>
    <w:rsid w:val="3AF74C02"/>
    <w:rsid w:val="3B4A312C"/>
    <w:rsid w:val="3B5B59E3"/>
    <w:rsid w:val="3B65044E"/>
    <w:rsid w:val="3BF12FAD"/>
    <w:rsid w:val="3C0059A5"/>
    <w:rsid w:val="3C134E78"/>
    <w:rsid w:val="3C302C38"/>
    <w:rsid w:val="3C546599"/>
    <w:rsid w:val="3CD236A7"/>
    <w:rsid w:val="3CD72A6B"/>
    <w:rsid w:val="3CE0177E"/>
    <w:rsid w:val="3D687B67"/>
    <w:rsid w:val="3D9A708A"/>
    <w:rsid w:val="3DF6345D"/>
    <w:rsid w:val="3E077380"/>
    <w:rsid w:val="3E0E0F28"/>
    <w:rsid w:val="3E2B5515"/>
    <w:rsid w:val="3E3208A1"/>
    <w:rsid w:val="3E332389"/>
    <w:rsid w:val="3E4D4F28"/>
    <w:rsid w:val="3E746D7E"/>
    <w:rsid w:val="3ED92EC4"/>
    <w:rsid w:val="3EE13701"/>
    <w:rsid w:val="3F0449EC"/>
    <w:rsid w:val="3F1A4BB3"/>
    <w:rsid w:val="3F487C50"/>
    <w:rsid w:val="3F582DB4"/>
    <w:rsid w:val="3F9240AD"/>
    <w:rsid w:val="40192BA6"/>
    <w:rsid w:val="4086666A"/>
    <w:rsid w:val="413B7A6D"/>
    <w:rsid w:val="41766EA9"/>
    <w:rsid w:val="42550A18"/>
    <w:rsid w:val="429D496A"/>
    <w:rsid w:val="42F473A1"/>
    <w:rsid w:val="43204C71"/>
    <w:rsid w:val="437217EA"/>
    <w:rsid w:val="43AB7156"/>
    <w:rsid w:val="43AC6A00"/>
    <w:rsid w:val="441E62C0"/>
    <w:rsid w:val="44405FFD"/>
    <w:rsid w:val="45185FC7"/>
    <w:rsid w:val="451B0D6F"/>
    <w:rsid w:val="45325D14"/>
    <w:rsid w:val="453F180C"/>
    <w:rsid w:val="45811C7C"/>
    <w:rsid w:val="4589340A"/>
    <w:rsid w:val="45906116"/>
    <w:rsid w:val="45931B8C"/>
    <w:rsid w:val="45C67B21"/>
    <w:rsid w:val="45EF2552"/>
    <w:rsid w:val="468B3EFB"/>
    <w:rsid w:val="46E14D87"/>
    <w:rsid w:val="46FD1EFC"/>
    <w:rsid w:val="47027880"/>
    <w:rsid w:val="470A6193"/>
    <w:rsid w:val="47385210"/>
    <w:rsid w:val="475510F8"/>
    <w:rsid w:val="476E7A1F"/>
    <w:rsid w:val="47DC4F5C"/>
    <w:rsid w:val="48B40671"/>
    <w:rsid w:val="49044BE8"/>
    <w:rsid w:val="492322BB"/>
    <w:rsid w:val="494476DB"/>
    <w:rsid w:val="49542533"/>
    <w:rsid w:val="49616DBF"/>
    <w:rsid w:val="497A75A0"/>
    <w:rsid w:val="497F0713"/>
    <w:rsid w:val="499B5738"/>
    <w:rsid w:val="499F244D"/>
    <w:rsid w:val="4A0E3EA2"/>
    <w:rsid w:val="4A973F3F"/>
    <w:rsid w:val="4AF96BC7"/>
    <w:rsid w:val="4B2C1463"/>
    <w:rsid w:val="4B63341F"/>
    <w:rsid w:val="4B862A85"/>
    <w:rsid w:val="4B9F7C4E"/>
    <w:rsid w:val="4BB24DCF"/>
    <w:rsid w:val="4C862B00"/>
    <w:rsid w:val="4CD15729"/>
    <w:rsid w:val="4CEF36E2"/>
    <w:rsid w:val="4CEF4DC5"/>
    <w:rsid w:val="4D351C28"/>
    <w:rsid w:val="4D5F1A4A"/>
    <w:rsid w:val="4D9F646F"/>
    <w:rsid w:val="4E257655"/>
    <w:rsid w:val="4ECD1F20"/>
    <w:rsid w:val="4F372380"/>
    <w:rsid w:val="4F372FFB"/>
    <w:rsid w:val="4F787048"/>
    <w:rsid w:val="4F812199"/>
    <w:rsid w:val="4FD42324"/>
    <w:rsid w:val="5025116D"/>
    <w:rsid w:val="510E0B50"/>
    <w:rsid w:val="51197841"/>
    <w:rsid w:val="511D466D"/>
    <w:rsid w:val="52395ECD"/>
    <w:rsid w:val="52C10D75"/>
    <w:rsid w:val="52D04C9A"/>
    <w:rsid w:val="52E25918"/>
    <w:rsid w:val="534E1A78"/>
    <w:rsid w:val="53C27FF8"/>
    <w:rsid w:val="54100863"/>
    <w:rsid w:val="5412007A"/>
    <w:rsid w:val="54806794"/>
    <w:rsid w:val="549E1A80"/>
    <w:rsid w:val="54AB74FF"/>
    <w:rsid w:val="54C658F4"/>
    <w:rsid w:val="54D00262"/>
    <w:rsid w:val="550C4BD7"/>
    <w:rsid w:val="553B6C49"/>
    <w:rsid w:val="554C1D56"/>
    <w:rsid w:val="55572986"/>
    <w:rsid w:val="55851320"/>
    <w:rsid w:val="55AB3898"/>
    <w:rsid w:val="55D103E1"/>
    <w:rsid w:val="56287E8D"/>
    <w:rsid w:val="565340FA"/>
    <w:rsid w:val="56596B47"/>
    <w:rsid w:val="569577C7"/>
    <w:rsid w:val="56AD5F59"/>
    <w:rsid w:val="56C60774"/>
    <w:rsid w:val="570109B9"/>
    <w:rsid w:val="57620669"/>
    <w:rsid w:val="57A46AA6"/>
    <w:rsid w:val="57B12A52"/>
    <w:rsid w:val="57B24299"/>
    <w:rsid w:val="583F718E"/>
    <w:rsid w:val="598E7DB0"/>
    <w:rsid w:val="5A2F2CC8"/>
    <w:rsid w:val="5A5B2064"/>
    <w:rsid w:val="5A902334"/>
    <w:rsid w:val="5AEE394A"/>
    <w:rsid w:val="5C10702D"/>
    <w:rsid w:val="5C152601"/>
    <w:rsid w:val="5C407C3C"/>
    <w:rsid w:val="5C591F03"/>
    <w:rsid w:val="5C8A1B2F"/>
    <w:rsid w:val="5CED6F9A"/>
    <w:rsid w:val="5F351B48"/>
    <w:rsid w:val="5F361139"/>
    <w:rsid w:val="5F3D538D"/>
    <w:rsid w:val="5F561B72"/>
    <w:rsid w:val="5FAF7FAE"/>
    <w:rsid w:val="6003515D"/>
    <w:rsid w:val="606007BB"/>
    <w:rsid w:val="60AC7F66"/>
    <w:rsid w:val="60B82A30"/>
    <w:rsid w:val="60C413D5"/>
    <w:rsid w:val="60D2161D"/>
    <w:rsid w:val="61273712"/>
    <w:rsid w:val="613439BC"/>
    <w:rsid w:val="613A7876"/>
    <w:rsid w:val="613D2F35"/>
    <w:rsid w:val="614A6AAC"/>
    <w:rsid w:val="6162474A"/>
    <w:rsid w:val="617B708E"/>
    <w:rsid w:val="61AD5EAD"/>
    <w:rsid w:val="61BF10D9"/>
    <w:rsid w:val="61CD56A7"/>
    <w:rsid w:val="621243C2"/>
    <w:rsid w:val="62AC22DC"/>
    <w:rsid w:val="62CD0FA1"/>
    <w:rsid w:val="63584057"/>
    <w:rsid w:val="63A22BFD"/>
    <w:rsid w:val="63A92B04"/>
    <w:rsid w:val="63C91DE2"/>
    <w:rsid w:val="64234664"/>
    <w:rsid w:val="64730B58"/>
    <w:rsid w:val="64BC23C3"/>
    <w:rsid w:val="64E45EF7"/>
    <w:rsid w:val="65E25E59"/>
    <w:rsid w:val="660D2ED6"/>
    <w:rsid w:val="66120B08"/>
    <w:rsid w:val="66182A71"/>
    <w:rsid w:val="66486604"/>
    <w:rsid w:val="6691014E"/>
    <w:rsid w:val="66C800E0"/>
    <w:rsid w:val="66C87CCE"/>
    <w:rsid w:val="675F4D67"/>
    <w:rsid w:val="677435B2"/>
    <w:rsid w:val="67A857DA"/>
    <w:rsid w:val="67EF75F1"/>
    <w:rsid w:val="67F56318"/>
    <w:rsid w:val="681A3FD0"/>
    <w:rsid w:val="681F5143"/>
    <w:rsid w:val="684B74B0"/>
    <w:rsid w:val="684F4F11"/>
    <w:rsid w:val="69124F16"/>
    <w:rsid w:val="69191363"/>
    <w:rsid w:val="69BA756B"/>
    <w:rsid w:val="69CD5C14"/>
    <w:rsid w:val="69CF0D33"/>
    <w:rsid w:val="69F35F61"/>
    <w:rsid w:val="6A4110C0"/>
    <w:rsid w:val="6A7E7A8A"/>
    <w:rsid w:val="6A890F99"/>
    <w:rsid w:val="6A9C0CCD"/>
    <w:rsid w:val="6AEB193F"/>
    <w:rsid w:val="6B0C1DE2"/>
    <w:rsid w:val="6B911929"/>
    <w:rsid w:val="6B9946B3"/>
    <w:rsid w:val="6BD777E5"/>
    <w:rsid w:val="6BE518DA"/>
    <w:rsid w:val="6C276F3A"/>
    <w:rsid w:val="6C4C19D9"/>
    <w:rsid w:val="6C7007C7"/>
    <w:rsid w:val="6CF24FC4"/>
    <w:rsid w:val="6D2E3DC1"/>
    <w:rsid w:val="6D4859AA"/>
    <w:rsid w:val="6D5C47BE"/>
    <w:rsid w:val="6D8C0941"/>
    <w:rsid w:val="6D904A8F"/>
    <w:rsid w:val="6DA305C4"/>
    <w:rsid w:val="6DAC7970"/>
    <w:rsid w:val="6DCF22DA"/>
    <w:rsid w:val="6DE76850"/>
    <w:rsid w:val="6E9F10CE"/>
    <w:rsid w:val="6EC75FBA"/>
    <w:rsid w:val="6F271DAB"/>
    <w:rsid w:val="6F5B311C"/>
    <w:rsid w:val="6F777C4A"/>
    <w:rsid w:val="6FB20BD4"/>
    <w:rsid w:val="6FBA59BE"/>
    <w:rsid w:val="70296B3E"/>
    <w:rsid w:val="703A3B85"/>
    <w:rsid w:val="70611204"/>
    <w:rsid w:val="70840A07"/>
    <w:rsid w:val="714D09F8"/>
    <w:rsid w:val="7165620F"/>
    <w:rsid w:val="717039F8"/>
    <w:rsid w:val="71FA6504"/>
    <w:rsid w:val="72353302"/>
    <w:rsid w:val="72925A2B"/>
    <w:rsid w:val="72F671AF"/>
    <w:rsid w:val="72FC67AC"/>
    <w:rsid w:val="73217FC1"/>
    <w:rsid w:val="73A40BF2"/>
    <w:rsid w:val="73EA0EDA"/>
    <w:rsid w:val="7428537F"/>
    <w:rsid w:val="744A12E0"/>
    <w:rsid w:val="746F7E38"/>
    <w:rsid w:val="74D13AD5"/>
    <w:rsid w:val="74FA2C30"/>
    <w:rsid w:val="754D5C4B"/>
    <w:rsid w:val="75577314"/>
    <w:rsid w:val="755F57B2"/>
    <w:rsid w:val="759C49D8"/>
    <w:rsid w:val="75BB1D8B"/>
    <w:rsid w:val="75F80645"/>
    <w:rsid w:val="76544B51"/>
    <w:rsid w:val="76C240A7"/>
    <w:rsid w:val="76DA416A"/>
    <w:rsid w:val="77274014"/>
    <w:rsid w:val="775246B7"/>
    <w:rsid w:val="77FE4A83"/>
    <w:rsid w:val="781E69D1"/>
    <w:rsid w:val="7901747F"/>
    <w:rsid w:val="796B468F"/>
    <w:rsid w:val="79B0209F"/>
    <w:rsid w:val="7A0215BE"/>
    <w:rsid w:val="7A263B6B"/>
    <w:rsid w:val="7A850425"/>
    <w:rsid w:val="7AAD1562"/>
    <w:rsid w:val="7AF46346"/>
    <w:rsid w:val="7B05466C"/>
    <w:rsid w:val="7B0F5EBF"/>
    <w:rsid w:val="7B130FB9"/>
    <w:rsid w:val="7BD71E38"/>
    <w:rsid w:val="7BF64EDE"/>
    <w:rsid w:val="7C2B0102"/>
    <w:rsid w:val="7C400C1E"/>
    <w:rsid w:val="7C9D4F13"/>
    <w:rsid w:val="7CE0564F"/>
    <w:rsid w:val="7DC66308"/>
    <w:rsid w:val="7DD11708"/>
    <w:rsid w:val="7DE7278F"/>
    <w:rsid w:val="7DEE4A4F"/>
    <w:rsid w:val="7E13245C"/>
    <w:rsid w:val="7EAD4DFF"/>
    <w:rsid w:val="7EAE6230"/>
    <w:rsid w:val="7EBD579E"/>
    <w:rsid w:val="7EC167BD"/>
    <w:rsid w:val="7F272D9E"/>
    <w:rsid w:val="7F370E72"/>
    <w:rsid w:val="7F732785"/>
    <w:rsid w:val="7FA46638"/>
    <w:rsid w:val="7FE43B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qFormat="1" w:uiPriority="99"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57"/>
    <w:qFormat/>
    <w:uiPriority w:val="0"/>
    <w:pPr>
      <w:keepNext/>
      <w:keepLines/>
      <w:spacing w:before="260" w:after="260" w:line="416" w:lineRule="auto"/>
      <w:outlineLvl w:val="2"/>
    </w:pPr>
    <w:rPr>
      <w:b/>
      <w:bCs/>
      <w:sz w:val="32"/>
      <w:szCs w:val="32"/>
    </w:rPr>
  </w:style>
  <w:style w:type="paragraph" w:styleId="5">
    <w:name w:val="heading 4"/>
    <w:basedOn w:val="1"/>
    <w:next w:val="1"/>
    <w:link w:val="58"/>
    <w:qFormat/>
    <w:uiPriority w:val="9"/>
    <w:pPr>
      <w:keepNext/>
      <w:keepLines/>
      <w:spacing w:line="360" w:lineRule="auto"/>
      <w:outlineLvl w:val="3"/>
    </w:pPr>
    <w:rPr>
      <w:rFonts w:ascii="Arial" w:hAnsi="Arial"/>
      <w:b/>
      <w:bCs/>
      <w:sz w:val="28"/>
      <w:szCs w:val="28"/>
    </w:rPr>
  </w:style>
  <w:style w:type="paragraph" w:styleId="6">
    <w:name w:val="heading 5"/>
    <w:basedOn w:val="1"/>
    <w:next w:val="7"/>
    <w:link w:val="59"/>
    <w:qFormat/>
    <w:uiPriority w:val="99"/>
    <w:pPr>
      <w:keepNext/>
      <w:keepLines/>
      <w:spacing w:before="280" w:after="290" w:line="376" w:lineRule="auto"/>
      <w:outlineLvl w:val="4"/>
    </w:pPr>
    <w:rPr>
      <w:b/>
      <w:bCs/>
      <w:sz w:val="28"/>
      <w:szCs w:val="28"/>
    </w:rPr>
  </w:style>
  <w:style w:type="paragraph" w:styleId="8">
    <w:name w:val="heading 6"/>
    <w:basedOn w:val="1"/>
    <w:next w:val="1"/>
    <w:link w:val="61"/>
    <w:qFormat/>
    <w:uiPriority w:val="9"/>
    <w:pPr>
      <w:keepNext/>
      <w:keepLines/>
      <w:spacing w:before="240" w:after="64" w:line="317" w:lineRule="auto"/>
      <w:outlineLvl w:val="5"/>
    </w:pPr>
    <w:rPr>
      <w:rFonts w:ascii="Cambria" w:hAnsi="Cambria"/>
      <w:b/>
      <w:bCs/>
      <w:kern w:val="0"/>
      <w:sz w:val="24"/>
    </w:rPr>
  </w:style>
  <w:style w:type="paragraph" w:styleId="9">
    <w:name w:val="heading 7"/>
    <w:basedOn w:val="1"/>
    <w:next w:val="1"/>
    <w:link w:val="62"/>
    <w:qFormat/>
    <w:uiPriority w:val="0"/>
    <w:pPr>
      <w:keepNext/>
      <w:keepLines/>
      <w:spacing w:before="240" w:after="64" w:line="317" w:lineRule="auto"/>
      <w:outlineLvl w:val="6"/>
    </w:pPr>
    <w:rPr>
      <w:b/>
      <w:bCs/>
      <w:kern w:val="0"/>
      <w:sz w:val="24"/>
    </w:rPr>
  </w:style>
  <w:style w:type="paragraph" w:styleId="10">
    <w:name w:val="heading 8"/>
    <w:basedOn w:val="1"/>
    <w:next w:val="1"/>
    <w:link w:val="63"/>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64"/>
    <w:qFormat/>
    <w:uiPriority w:val="0"/>
    <w:pPr>
      <w:keepNext/>
      <w:keepLines/>
      <w:spacing w:before="240" w:after="64" w:line="317" w:lineRule="auto"/>
      <w:outlineLvl w:val="8"/>
    </w:pPr>
    <w:rPr>
      <w:rFonts w:ascii="Cambria" w:hAnsi="Cambria"/>
      <w:kern w:val="0"/>
      <w:sz w:val="20"/>
      <w:szCs w:val="21"/>
    </w:rPr>
  </w:style>
  <w:style w:type="character" w:default="1" w:styleId="46">
    <w:name w:val="Default Paragraph Font"/>
    <w:unhideWhenUsed/>
    <w:qFormat/>
    <w:uiPriority w:val="1"/>
  </w:style>
  <w:style w:type="table" w:default="1" w:styleId="44">
    <w:name w:val="Normal Table"/>
    <w:unhideWhenUsed/>
    <w:qFormat/>
    <w:uiPriority w:val="99"/>
    <w:tblPr>
      <w:tblCellMar>
        <w:top w:w="0" w:type="dxa"/>
        <w:left w:w="108" w:type="dxa"/>
        <w:bottom w:w="0" w:type="dxa"/>
        <w:right w:w="108" w:type="dxa"/>
      </w:tblCellMar>
    </w:tblPr>
  </w:style>
  <w:style w:type="paragraph" w:styleId="7">
    <w:name w:val="Normal Indent"/>
    <w:basedOn w:val="1"/>
    <w:link w:val="60"/>
    <w:qFormat/>
    <w:uiPriority w:val="99"/>
    <w:pPr>
      <w:ind w:firstLine="420"/>
    </w:pPr>
    <w:rPr>
      <w:szCs w:val="20"/>
    </w:rPr>
  </w:style>
  <w:style w:type="paragraph" w:styleId="12">
    <w:name w:val="toc 7"/>
    <w:basedOn w:val="1"/>
    <w:next w:val="1"/>
    <w:qFormat/>
    <w:uiPriority w:val="39"/>
    <w:pPr>
      <w:ind w:left="2520" w:leftChars="1200"/>
    </w:pPr>
    <w:rPr>
      <w:rFonts w:ascii="Calibri" w:hAnsi="Calibri" w:cs="Calibri"/>
      <w:szCs w:val="21"/>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65"/>
    <w:qFormat/>
    <w:uiPriority w:val="0"/>
    <w:pPr>
      <w:shd w:val="clear" w:color="auto" w:fill="000080"/>
    </w:pPr>
    <w:rPr>
      <w:sz w:val="24"/>
      <w:shd w:val="clear" w:color="auto" w:fill="000080"/>
    </w:rPr>
  </w:style>
  <w:style w:type="paragraph" w:styleId="16">
    <w:name w:val="annotation text"/>
    <w:basedOn w:val="1"/>
    <w:link w:val="66"/>
    <w:qFormat/>
    <w:uiPriority w:val="99"/>
    <w:pPr>
      <w:jc w:val="left"/>
    </w:pPr>
  </w:style>
  <w:style w:type="paragraph" w:styleId="17">
    <w:name w:val="Body Text 3"/>
    <w:basedOn w:val="1"/>
    <w:link w:val="67"/>
    <w:unhideWhenUsed/>
    <w:qFormat/>
    <w:uiPriority w:val="99"/>
    <w:pPr>
      <w:spacing w:after="120"/>
    </w:pPr>
    <w:rPr>
      <w:sz w:val="16"/>
      <w:szCs w:val="16"/>
    </w:rPr>
  </w:style>
  <w:style w:type="paragraph" w:styleId="18">
    <w:name w:val="Body Text"/>
    <w:basedOn w:val="1"/>
    <w:link w:val="68"/>
    <w:unhideWhenUsed/>
    <w:qFormat/>
    <w:uiPriority w:val="99"/>
    <w:pPr>
      <w:spacing w:after="120"/>
    </w:pPr>
  </w:style>
  <w:style w:type="paragraph" w:styleId="19">
    <w:name w:val="Body Text Indent"/>
    <w:basedOn w:val="1"/>
    <w:link w:val="69"/>
    <w:qFormat/>
    <w:uiPriority w:val="99"/>
    <w:pPr>
      <w:ind w:firstLine="830" w:firstLineChars="352"/>
    </w:pPr>
    <w:rPr>
      <w:rFonts w:ascii="仿宋_GB2312" w:eastAsia="仿宋_GB2312"/>
      <w:kern w:val="0"/>
      <w:sz w:val="32"/>
      <w:szCs w:val="20"/>
    </w:rPr>
  </w:style>
  <w:style w:type="paragraph" w:styleId="20">
    <w:name w:val="List 2"/>
    <w:basedOn w:val="1"/>
    <w:unhideWhenUsed/>
    <w:qFormat/>
    <w:uiPriority w:val="99"/>
    <w:pPr>
      <w:ind w:left="100" w:leftChars="200" w:hanging="200" w:hangingChars="200"/>
      <w:contextualSpacing/>
    </w:pPr>
  </w:style>
  <w:style w:type="paragraph" w:styleId="21">
    <w:name w:val="Block Text"/>
    <w:basedOn w:val="1"/>
    <w:unhideWhenUsed/>
    <w:qFormat/>
    <w:uiPriority w:val="99"/>
    <w:pPr>
      <w:spacing w:after="120" w:afterLines="0" w:afterAutospacing="0"/>
      <w:ind w:left="1440" w:leftChars="700" w:rightChars="700"/>
    </w:pPr>
  </w:style>
  <w:style w:type="paragraph" w:styleId="22">
    <w:name w:val="index 4"/>
    <w:basedOn w:val="1"/>
    <w:next w:val="1"/>
    <w:semiHidden/>
    <w:qFormat/>
    <w:uiPriority w:val="99"/>
    <w:pPr>
      <w:ind w:left="600" w:leftChars="600"/>
    </w:pPr>
    <w:rPr>
      <w:szCs w:val="21"/>
    </w:rPr>
  </w:style>
  <w:style w:type="paragraph" w:styleId="23">
    <w:name w:val="toc 5"/>
    <w:basedOn w:val="1"/>
    <w:next w:val="1"/>
    <w:qFormat/>
    <w:uiPriority w:val="39"/>
    <w:pPr>
      <w:ind w:left="1680" w:leftChars="800"/>
    </w:pPr>
    <w:rPr>
      <w:rFonts w:ascii="Calibri" w:hAnsi="Calibri" w:cs="Calibri"/>
      <w:szCs w:val="21"/>
    </w:rPr>
  </w:style>
  <w:style w:type="paragraph" w:styleId="24">
    <w:name w:val="toc 3"/>
    <w:basedOn w:val="1"/>
    <w:next w:val="1"/>
    <w:qFormat/>
    <w:uiPriority w:val="39"/>
    <w:pPr>
      <w:ind w:left="840" w:leftChars="400"/>
    </w:pPr>
    <w:rPr>
      <w:szCs w:val="21"/>
    </w:rPr>
  </w:style>
  <w:style w:type="paragraph" w:styleId="25">
    <w:name w:val="Plain Text"/>
    <w:basedOn w:val="1"/>
    <w:next w:val="1"/>
    <w:link w:val="70"/>
    <w:qFormat/>
    <w:uiPriority w:val="0"/>
    <w:rPr>
      <w:rFonts w:ascii="宋体" w:hAnsi="Courier New"/>
      <w:kern w:val="0"/>
      <w:sz w:val="20"/>
      <w:szCs w:val="21"/>
    </w:rPr>
  </w:style>
  <w:style w:type="paragraph" w:styleId="26">
    <w:name w:val="toc 8"/>
    <w:basedOn w:val="1"/>
    <w:next w:val="1"/>
    <w:qFormat/>
    <w:uiPriority w:val="39"/>
    <w:pPr>
      <w:ind w:left="2940" w:leftChars="1400"/>
    </w:pPr>
    <w:rPr>
      <w:rFonts w:ascii="Calibri" w:hAnsi="Calibri" w:cs="Calibri"/>
      <w:szCs w:val="21"/>
    </w:rPr>
  </w:style>
  <w:style w:type="paragraph" w:styleId="27">
    <w:name w:val="Date"/>
    <w:basedOn w:val="1"/>
    <w:next w:val="1"/>
    <w:link w:val="71"/>
    <w:unhideWhenUsed/>
    <w:qFormat/>
    <w:uiPriority w:val="99"/>
    <w:pPr>
      <w:ind w:left="100" w:leftChars="2500"/>
    </w:pPr>
  </w:style>
  <w:style w:type="paragraph" w:styleId="28">
    <w:name w:val="Body Text Indent 2"/>
    <w:basedOn w:val="1"/>
    <w:link w:val="72"/>
    <w:qFormat/>
    <w:uiPriority w:val="99"/>
    <w:pPr>
      <w:spacing w:after="120" w:line="480" w:lineRule="auto"/>
      <w:ind w:left="420" w:leftChars="200"/>
    </w:pPr>
    <w:rPr>
      <w:sz w:val="24"/>
    </w:rPr>
  </w:style>
  <w:style w:type="paragraph" w:styleId="29">
    <w:name w:val="Balloon Text"/>
    <w:basedOn w:val="1"/>
    <w:link w:val="73"/>
    <w:qFormat/>
    <w:uiPriority w:val="0"/>
    <w:rPr>
      <w:sz w:val="18"/>
      <w:szCs w:val="18"/>
    </w:rPr>
  </w:style>
  <w:style w:type="paragraph" w:styleId="30">
    <w:name w:val="footer"/>
    <w:basedOn w:val="1"/>
    <w:link w:val="74"/>
    <w:unhideWhenUsed/>
    <w:qFormat/>
    <w:uiPriority w:val="99"/>
    <w:pPr>
      <w:tabs>
        <w:tab w:val="center" w:pos="4153"/>
        <w:tab w:val="right" w:pos="8306"/>
      </w:tabs>
      <w:snapToGrid w:val="0"/>
      <w:jc w:val="left"/>
    </w:pPr>
    <w:rPr>
      <w:kern w:val="0"/>
      <w:sz w:val="18"/>
      <w:szCs w:val="18"/>
    </w:rPr>
  </w:style>
  <w:style w:type="paragraph" w:styleId="31">
    <w:name w:val="header"/>
    <w:basedOn w:val="1"/>
    <w:link w:val="75"/>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39"/>
    <w:pPr>
      <w:ind w:left="1260" w:leftChars="600"/>
    </w:pPr>
    <w:rPr>
      <w:rFonts w:ascii="Calibri" w:hAnsi="Calibri" w:cs="Calibri"/>
      <w:szCs w:val="21"/>
    </w:rPr>
  </w:style>
  <w:style w:type="paragraph" w:styleId="34">
    <w:name w:val="Subtitle"/>
    <w:basedOn w:val="1"/>
    <w:next w:val="1"/>
    <w:link w:val="76"/>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77"/>
    <w:qFormat/>
    <w:uiPriority w:val="0"/>
    <w:pPr>
      <w:adjustRightInd w:val="0"/>
      <w:spacing w:line="312" w:lineRule="atLeast"/>
      <w:jc w:val="left"/>
      <w:textAlignment w:val="baseline"/>
    </w:pPr>
    <w:rPr>
      <w:kern w:val="0"/>
      <w:sz w:val="18"/>
      <w:szCs w:val="18"/>
    </w:rPr>
  </w:style>
  <w:style w:type="paragraph" w:styleId="36">
    <w:name w:val="toc 6"/>
    <w:basedOn w:val="1"/>
    <w:next w:val="1"/>
    <w:qFormat/>
    <w:uiPriority w:val="39"/>
    <w:pPr>
      <w:ind w:left="2100" w:leftChars="1000"/>
    </w:pPr>
    <w:rPr>
      <w:rFonts w:ascii="Calibri" w:hAnsi="Calibri" w:cs="Calibri"/>
      <w:szCs w:val="21"/>
    </w:rPr>
  </w:style>
  <w:style w:type="paragraph" w:styleId="37">
    <w:name w:val="toc 2"/>
    <w:basedOn w:val="1"/>
    <w:next w:val="1"/>
    <w:unhideWhenUsed/>
    <w:qFormat/>
    <w:uiPriority w:val="39"/>
    <w:pPr>
      <w:tabs>
        <w:tab w:val="right" w:leader="dot" w:pos="8296"/>
      </w:tabs>
      <w:ind w:left="420" w:leftChars="200"/>
    </w:pPr>
  </w:style>
  <w:style w:type="paragraph" w:styleId="38">
    <w:name w:val="toc 9"/>
    <w:basedOn w:val="1"/>
    <w:next w:val="1"/>
    <w:qFormat/>
    <w:uiPriority w:val="39"/>
    <w:pPr>
      <w:ind w:left="3360" w:leftChars="1600"/>
    </w:pPr>
    <w:rPr>
      <w:rFonts w:ascii="Calibri" w:hAnsi="Calibri" w:cs="Calibri"/>
      <w:szCs w:val="21"/>
    </w:rPr>
  </w:style>
  <w:style w:type="paragraph" w:styleId="39">
    <w:name w:val="HTML Preformatted"/>
    <w:basedOn w:val="1"/>
    <w:link w:val="7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40">
    <w:name w:val="Normal (Web)"/>
    <w:basedOn w:val="1"/>
    <w:unhideWhenUsed/>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41">
    <w:name w:val="Title"/>
    <w:basedOn w:val="1"/>
    <w:next w:val="1"/>
    <w:link w:val="79"/>
    <w:qFormat/>
    <w:uiPriority w:val="0"/>
    <w:pPr>
      <w:spacing w:before="240" w:after="60"/>
      <w:jc w:val="center"/>
      <w:outlineLvl w:val="0"/>
    </w:pPr>
    <w:rPr>
      <w:rFonts w:ascii="Cambria" w:hAnsi="Cambria"/>
      <w:b/>
      <w:bCs/>
      <w:sz w:val="32"/>
      <w:szCs w:val="32"/>
    </w:rPr>
  </w:style>
  <w:style w:type="paragraph" w:styleId="42">
    <w:name w:val="annotation subject"/>
    <w:basedOn w:val="16"/>
    <w:next w:val="16"/>
    <w:link w:val="80"/>
    <w:qFormat/>
    <w:uiPriority w:val="0"/>
    <w:rPr>
      <w:b/>
      <w:bCs/>
    </w:rPr>
  </w:style>
  <w:style w:type="paragraph" w:styleId="43">
    <w:name w:val="Body Text First Indent"/>
    <w:basedOn w:val="18"/>
    <w:unhideWhenUsed/>
    <w:qFormat/>
    <w:uiPriority w:val="99"/>
    <w:pPr>
      <w:ind w:firstLine="420" w:firstLineChars="100"/>
    </w:p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qFormat/>
    <w:uiPriority w:val="22"/>
    <w:rPr>
      <w:b/>
      <w:bCs/>
    </w:rPr>
  </w:style>
  <w:style w:type="character" w:styleId="48">
    <w:name w:val="endnote reference"/>
    <w:unhideWhenUsed/>
    <w:qFormat/>
    <w:uiPriority w:val="99"/>
    <w:rPr>
      <w:vertAlign w:val="superscript"/>
    </w:rPr>
  </w:style>
  <w:style w:type="character" w:styleId="49">
    <w:name w:val="page number"/>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yperlink"/>
    <w:unhideWhenUsed/>
    <w:qFormat/>
    <w:uiPriority w:val="99"/>
    <w:rPr>
      <w:color w:val="0000FF"/>
      <w:u w:val="single"/>
    </w:rPr>
  </w:style>
  <w:style w:type="character" w:styleId="53">
    <w:name w:val="annotation reference"/>
    <w:qFormat/>
    <w:uiPriority w:val="0"/>
    <w:rPr>
      <w:sz w:val="21"/>
      <w:szCs w:val="21"/>
    </w:rPr>
  </w:style>
  <w:style w:type="character" w:styleId="54">
    <w:name w:val="footnote reference"/>
    <w:unhideWhenUsed/>
    <w:qFormat/>
    <w:uiPriority w:val="0"/>
    <w:rPr>
      <w:vertAlign w:val="superscript"/>
    </w:rPr>
  </w:style>
  <w:style w:type="character" w:customStyle="1" w:styleId="55">
    <w:name w:val="标题 1 Char"/>
    <w:link w:val="2"/>
    <w:qFormat/>
    <w:uiPriority w:val="0"/>
    <w:rPr>
      <w:b/>
      <w:bCs/>
      <w:kern w:val="44"/>
      <w:sz w:val="44"/>
      <w:szCs w:val="44"/>
    </w:rPr>
  </w:style>
  <w:style w:type="character" w:customStyle="1" w:styleId="56">
    <w:name w:val="标题 2 Char1"/>
    <w:link w:val="3"/>
    <w:qFormat/>
    <w:uiPriority w:val="9"/>
    <w:rPr>
      <w:rFonts w:ascii="Cambria" w:hAnsi="Cambria" w:eastAsia="宋体" w:cs="Times New Roman"/>
      <w:b/>
      <w:bCs/>
      <w:kern w:val="2"/>
      <w:sz w:val="32"/>
      <w:szCs w:val="32"/>
    </w:rPr>
  </w:style>
  <w:style w:type="character" w:customStyle="1" w:styleId="57">
    <w:name w:val="标题 3 Char"/>
    <w:link w:val="4"/>
    <w:qFormat/>
    <w:uiPriority w:val="0"/>
    <w:rPr>
      <w:b/>
      <w:bCs/>
      <w:kern w:val="2"/>
      <w:sz w:val="32"/>
      <w:szCs w:val="32"/>
    </w:rPr>
  </w:style>
  <w:style w:type="character" w:customStyle="1" w:styleId="58">
    <w:name w:val="标题 4 Char"/>
    <w:link w:val="5"/>
    <w:qFormat/>
    <w:uiPriority w:val="9"/>
    <w:rPr>
      <w:rFonts w:ascii="Arial" w:hAnsi="Arial"/>
      <w:b/>
      <w:bCs/>
      <w:kern w:val="2"/>
      <w:sz w:val="28"/>
      <w:szCs w:val="28"/>
    </w:rPr>
  </w:style>
  <w:style w:type="character" w:customStyle="1" w:styleId="59">
    <w:name w:val="标题 5 Char"/>
    <w:link w:val="6"/>
    <w:qFormat/>
    <w:uiPriority w:val="99"/>
    <w:rPr>
      <w:rFonts w:ascii="Times New Roman" w:hAnsi="Times New Roman"/>
      <w:b/>
      <w:bCs/>
      <w:kern w:val="2"/>
      <w:sz w:val="28"/>
      <w:szCs w:val="28"/>
    </w:rPr>
  </w:style>
  <w:style w:type="character" w:customStyle="1" w:styleId="60">
    <w:name w:val="正文缩进 Char"/>
    <w:link w:val="7"/>
    <w:qFormat/>
    <w:uiPriority w:val="99"/>
    <w:rPr>
      <w:kern w:val="2"/>
      <w:sz w:val="21"/>
    </w:rPr>
  </w:style>
  <w:style w:type="character" w:customStyle="1" w:styleId="61">
    <w:name w:val="标题 6 Char"/>
    <w:link w:val="8"/>
    <w:qFormat/>
    <w:uiPriority w:val="9"/>
    <w:rPr>
      <w:rFonts w:ascii="Cambria" w:hAnsi="Cambria"/>
      <w:b/>
      <w:bCs/>
      <w:sz w:val="24"/>
      <w:szCs w:val="24"/>
    </w:rPr>
  </w:style>
  <w:style w:type="character" w:customStyle="1" w:styleId="62">
    <w:name w:val="标题 7 Char"/>
    <w:link w:val="9"/>
    <w:qFormat/>
    <w:uiPriority w:val="0"/>
    <w:rPr>
      <w:b/>
      <w:bCs/>
      <w:sz w:val="24"/>
      <w:szCs w:val="24"/>
    </w:rPr>
  </w:style>
  <w:style w:type="character" w:customStyle="1" w:styleId="63">
    <w:name w:val="标题 8 Char1"/>
    <w:link w:val="10"/>
    <w:semiHidden/>
    <w:qFormat/>
    <w:uiPriority w:val="9"/>
    <w:rPr>
      <w:rFonts w:ascii="等线 Light" w:hAnsi="等线 Light" w:eastAsia="等线 Light" w:cs="Times New Roman"/>
      <w:kern w:val="2"/>
      <w:sz w:val="24"/>
      <w:szCs w:val="24"/>
    </w:rPr>
  </w:style>
  <w:style w:type="character" w:customStyle="1" w:styleId="64">
    <w:name w:val="标题 9 Char"/>
    <w:link w:val="11"/>
    <w:qFormat/>
    <w:uiPriority w:val="0"/>
    <w:rPr>
      <w:rFonts w:ascii="Cambria" w:hAnsi="Cambria"/>
      <w:szCs w:val="21"/>
    </w:rPr>
  </w:style>
  <w:style w:type="character" w:customStyle="1" w:styleId="65">
    <w:name w:val="文档结构图 Char"/>
    <w:link w:val="15"/>
    <w:qFormat/>
    <w:uiPriority w:val="0"/>
    <w:rPr>
      <w:kern w:val="2"/>
      <w:sz w:val="24"/>
      <w:szCs w:val="24"/>
      <w:shd w:val="clear" w:color="auto" w:fill="000080"/>
    </w:rPr>
  </w:style>
  <w:style w:type="character" w:customStyle="1" w:styleId="66">
    <w:name w:val="批注文字 Char1"/>
    <w:link w:val="16"/>
    <w:qFormat/>
    <w:uiPriority w:val="99"/>
    <w:rPr>
      <w:rFonts w:ascii="Times New Roman" w:hAnsi="Times New Roman"/>
      <w:kern w:val="2"/>
      <w:sz w:val="21"/>
      <w:szCs w:val="24"/>
    </w:rPr>
  </w:style>
  <w:style w:type="character" w:customStyle="1" w:styleId="67">
    <w:name w:val="正文文本 3 Char"/>
    <w:link w:val="17"/>
    <w:semiHidden/>
    <w:qFormat/>
    <w:uiPriority w:val="99"/>
    <w:rPr>
      <w:kern w:val="2"/>
      <w:sz w:val="16"/>
      <w:szCs w:val="16"/>
    </w:rPr>
  </w:style>
  <w:style w:type="character" w:customStyle="1" w:styleId="68">
    <w:name w:val="正文文本 Char1"/>
    <w:link w:val="18"/>
    <w:qFormat/>
    <w:uiPriority w:val="99"/>
    <w:rPr>
      <w:rFonts w:ascii="Times New Roman" w:hAnsi="Times New Roman"/>
      <w:kern w:val="2"/>
      <w:sz w:val="21"/>
      <w:szCs w:val="24"/>
    </w:rPr>
  </w:style>
  <w:style w:type="character" w:customStyle="1" w:styleId="69">
    <w:name w:val="正文文本缩进 Char"/>
    <w:link w:val="19"/>
    <w:qFormat/>
    <w:uiPriority w:val="99"/>
    <w:rPr>
      <w:rFonts w:ascii="仿宋_GB2312" w:hAnsi="Times New Roman" w:eastAsia="仿宋_GB2312" w:cs="Times New Roman"/>
      <w:sz w:val="32"/>
      <w:szCs w:val="20"/>
    </w:rPr>
  </w:style>
  <w:style w:type="character" w:customStyle="1" w:styleId="70">
    <w:name w:val="纯文本 Char1"/>
    <w:link w:val="25"/>
    <w:qFormat/>
    <w:uiPriority w:val="0"/>
    <w:rPr>
      <w:rFonts w:ascii="宋体" w:hAnsi="Courier New" w:eastAsia="宋体" w:cs="Courier New"/>
      <w:szCs w:val="21"/>
    </w:rPr>
  </w:style>
  <w:style w:type="character" w:customStyle="1" w:styleId="71">
    <w:name w:val="日期 Char"/>
    <w:link w:val="27"/>
    <w:qFormat/>
    <w:uiPriority w:val="99"/>
    <w:rPr>
      <w:rFonts w:ascii="Times New Roman" w:hAnsi="Times New Roman"/>
      <w:kern w:val="2"/>
      <w:sz w:val="21"/>
      <w:szCs w:val="24"/>
    </w:rPr>
  </w:style>
  <w:style w:type="character" w:customStyle="1" w:styleId="72">
    <w:name w:val="正文文本缩进 2 Char"/>
    <w:link w:val="28"/>
    <w:qFormat/>
    <w:uiPriority w:val="99"/>
    <w:rPr>
      <w:kern w:val="2"/>
      <w:sz w:val="24"/>
      <w:szCs w:val="24"/>
    </w:rPr>
  </w:style>
  <w:style w:type="character" w:customStyle="1" w:styleId="73">
    <w:name w:val="批注框文本 Char"/>
    <w:link w:val="29"/>
    <w:qFormat/>
    <w:locked/>
    <w:uiPriority w:val="0"/>
    <w:rPr>
      <w:kern w:val="2"/>
      <w:sz w:val="18"/>
      <w:szCs w:val="18"/>
    </w:rPr>
  </w:style>
  <w:style w:type="character" w:customStyle="1" w:styleId="74">
    <w:name w:val="页脚 Char"/>
    <w:link w:val="30"/>
    <w:qFormat/>
    <w:uiPriority w:val="99"/>
    <w:rPr>
      <w:sz w:val="18"/>
      <w:szCs w:val="18"/>
    </w:rPr>
  </w:style>
  <w:style w:type="character" w:customStyle="1" w:styleId="75">
    <w:name w:val="页眉 Char"/>
    <w:link w:val="31"/>
    <w:qFormat/>
    <w:uiPriority w:val="0"/>
    <w:rPr>
      <w:sz w:val="18"/>
      <w:szCs w:val="18"/>
    </w:rPr>
  </w:style>
  <w:style w:type="character" w:customStyle="1" w:styleId="76">
    <w:name w:val="副标题 Char"/>
    <w:link w:val="34"/>
    <w:qFormat/>
    <w:uiPriority w:val="11"/>
    <w:rPr>
      <w:rFonts w:ascii="Cambria" w:hAnsi="Cambria"/>
      <w:b/>
      <w:bCs/>
      <w:kern w:val="28"/>
      <w:sz w:val="32"/>
      <w:szCs w:val="32"/>
    </w:rPr>
  </w:style>
  <w:style w:type="character" w:customStyle="1" w:styleId="77">
    <w:name w:val="脚注文本 Char"/>
    <w:link w:val="35"/>
    <w:semiHidden/>
    <w:qFormat/>
    <w:uiPriority w:val="0"/>
    <w:rPr>
      <w:sz w:val="18"/>
      <w:szCs w:val="18"/>
    </w:rPr>
  </w:style>
  <w:style w:type="character" w:customStyle="1" w:styleId="78">
    <w:name w:val="HTML 预设格式 Char"/>
    <w:link w:val="39"/>
    <w:qFormat/>
    <w:uiPriority w:val="99"/>
    <w:rPr>
      <w:rFonts w:ascii="宋体" w:hAnsi="宋体"/>
      <w:sz w:val="24"/>
      <w:szCs w:val="24"/>
    </w:rPr>
  </w:style>
  <w:style w:type="character" w:customStyle="1" w:styleId="79">
    <w:name w:val="标题 Char"/>
    <w:link w:val="41"/>
    <w:qFormat/>
    <w:uiPriority w:val="0"/>
    <w:rPr>
      <w:rFonts w:ascii="Cambria" w:hAnsi="Cambria"/>
      <w:b/>
      <w:bCs/>
      <w:kern w:val="2"/>
      <w:sz w:val="32"/>
      <w:szCs w:val="32"/>
    </w:rPr>
  </w:style>
  <w:style w:type="character" w:customStyle="1" w:styleId="80">
    <w:name w:val="批注主题 Char"/>
    <w:link w:val="42"/>
    <w:qFormat/>
    <w:uiPriority w:val="0"/>
    <w:rPr>
      <w:rFonts w:ascii="Times New Roman" w:hAnsi="Times New Roman"/>
      <w:b/>
      <w:bCs/>
      <w:kern w:val="2"/>
      <w:sz w:val="21"/>
      <w:szCs w:val="24"/>
    </w:rPr>
  </w:style>
  <w:style w:type="character" w:customStyle="1" w:styleId="81">
    <w:name w:val="标题 1 字符1"/>
    <w:qFormat/>
    <w:uiPriority w:val="0"/>
    <w:rPr>
      <w:b/>
      <w:bCs/>
      <w:kern w:val="44"/>
      <w:sz w:val="44"/>
      <w:szCs w:val="44"/>
    </w:rPr>
  </w:style>
  <w:style w:type="character" w:customStyle="1" w:styleId="82">
    <w:name w:val="textcontents"/>
    <w:qFormat/>
    <w:uiPriority w:val="99"/>
  </w:style>
  <w:style w:type="character" w:customStyle="1" w:styleId="83">
    <w:name w:val="批注文字 Char"/>
    <w:qFormat/>
    <w:uiPriority w:val="0"/>
    <w:rPr>
      <w:rFonts w:ascii="Times New Roman" w:hAnsi="Times New Roman"/>
      <w:kern w:val="2"/>
      <w:sz w:val="21"/>
      <w:szCs w:val="24"/>
    </w:rPr>
  </w:style>
  <w:style w:type="character" w:customStyle="1" w:styleId="84">
    <w:name w:val="纯文本 字符"/>
    <w:qFormat/>
    <w:uiPriority w:val="0"/>
    <w:rPr>
      <w:rFonts w:ascii="宋体" w:hAnsi="Courier New" w:eastAsia="宋体" w:cs="Courier New"/>
      <w:szCs w:val="21"/>
    </w:rPr>
  </w:style>
  <w:style w:type="character" w:customStyle="1" w:styleId="85">
    <w:name w:val="纯文本 Char"/>
    <w:qFormat/>
    <w:uiPriority w:val="0"/>
    <w:rPr>
      <w:rFonts w:ascii="宋体" w:hAnsi="Courier New" w:eastAsia="宋体" w:cs="Courier New"/>
      <w:szCs w:val="21"/>
    </w:rPr>
  </w:style>
  <w:style w:type="character" w:customStyle="1" w:styleId="86">
    <w:name w:val="纯文本 字符2"/>
    <w:qFormat/>
    <w:uiPriority w:val="0"/>
    <w:rPr>
      <w:rFonts w:ascii="宋体" w:hAnsi="Courier New" w:eastAsia="宋体" w:cs="Courier New"/>
      <w:szCs w:val="21"/>
    </w:rPr>
  </w:style>
  <w:style w:type="character" w:customStyle="1" w:styleId="87">
    <w:name w:val="批注文字 字符1"/>
    <w:qFormat/>
    <w:uiPriority w:val="0"/>
    <w:rPr>
      <w:rFonts w:ascii="Times New Roman" w:hAnsi="Times New Roman"/>
      <w:kern w:val="2"/>
      <w:sz w:val="21"/>
      <w:szCs w:val="24"/>
    </w:rPr>
  </w:style>
  <w:style w:type="character" w:customStyle="1" w:styleId="8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9">
    <w:name w:val="纯文本 字符1"/>
    <w:qFormat/>
    <w:uiPriority w:val="0"/>
    <w:rPr>
      <w:rFonts w:ascii="宋体" w:hAnsi="Courier New"/>
    </w:rPr>
  </w:style>
  <w:style w:type="character" w:customStyle="1" w:styleId="90">
    <w:name w:val="正文文本 Char"/>
    <w:qFormat/>
    <w:uiPriority w:val="0"/>
    <w:rPr>
      <w:rFonts w:ascii="Times New Roman" w:hAnsi="Times New Roman"/>
      <w:kern w:val="2"/>
      <w:sz w:val="21"/>
      <w:szCs w:val="24"/>
    </w:rPr>
  </w:style>
  <w:style w:type="character" w:customStyle="1" w:styleId="91">
    <w:name w:val="批注文字 字符"/>
    <w:qFormat/>
    <w:uiPriority w:val="0"/>
    <w:rPr>
      <w:rFonts w:ascii="Times New Roman" w:hAnsi="Times New Roman"/>
      <w:kern w:val="2"/>
      <w:sz w:val="21"/>
      <w:szCs w:val="24"/>
    </w:rPr>
  </w:style>
  <w:style w:type="character" w:customStyle="1" w:styleId="92">
    <w:name w:val="标题 2 Char"/>
    <w:qFormat/>
    <w:uiPriority w:val="0"/>
    <w:rPr>
      <w:rFonts w:ascii="Cambria" w:hAnsi="Cambria" w:eastAsia="宋体" w:cs="Times New Roman"/>
      <w:b/>
      <w:bCs/>
      <w:kern w:val="2"/>
      <w:sz w:val="32"/>
      <w:szCs w:val="32"/>
    </w:rPr>
  </w:style>
  <w:style w:type="character" w:customStyle="1" w:styleId="93">
    <w:name w:val="标题 8 Char"/>
    <w:qFormat/>
    <w:uiPriority w:val="9"/>
    <w:rPr>
      <w:rFonts w:ascii="Arial" w:hAnsi="Arial" w:eastAsia="黑体"/>
      <w:kern w:val="2"/>
      <w:sz w:val="24"/>
      <w:szCs w:val="24"/>
    </w:rPr>
  </w:style>
  <w:style w:type="character" w:customStyle="1" w:styleId="94">
    <w:name w:val="apple-style-span"/>
    <w:qFormat/>
    <w:uiPriority w:val="0"/>
  </w:style>
  <w:style w:type="paragraph" w:customStyle="1" w:styleId="95">
    <w:name w:val="默认段落字体 Para Char Char Char Char Char Char Char Char Char1 Char Char Char Char"/>
    <w:basedOn w:val="1"/>
    <w:qFormat/>
    <w:uiPriority w:val="0"/>
    <w:rPr>
      <w:rFonts w:ascii="Tahoma" w:hAnsi="Tahoma"/>
      <w:sz w:val="24"/>
      <w:szCs w:val="20"/>
    </w:rPr>
  </w:style>
  <w:style w:type="paragraph" w:customStyle="1" w:styleId="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97">
    <w:name w:val="List Paragraph"/>
    <w:basedOn w:val="1"/>
    <w:qFormat/>
    <w:uiPriority w:val="99"/>
    <w:pPr>
      <w:ind w:firstLine="420" w:firstLineChars="200"/>
    </w:pPr>
  </w:style>
  <w:style w:type="paragraph" w:customStyle="1" w:styleId="98">
    <w:name w:val="Table Paragraph"/>
    <w:basedOn w:val="1"/>
    <w:qFormat/>
    <w:uiPriority w:val="1"/>
    <w:pPr>
      <w:jc w:val="left"/>
    </w:pPr>
    <w:rPr>
      <w:rFonts w:ascii="Calibri" w:hAnsi="Calibri"/>
      <w:kern w:val="0"/>
      <w:sz w:val="22"/>
      <w:szCs w:val="22"/>
      <w:lang w:eastAsia="en-US"/>
    </w:rPr>
  </w:style>
  <w:style w:type="character" w:customStyle="1" w:styleId="99">
    <w:name w:val="正文文本 字符"/>
    <w:qFormat/>
    <w:uiPriority w:val="0"/>
    <w:rPr>
      <w:rFonts w:ascii="Times New Roman" w:hAnsi="Times New Roman"/>
      <w:kern w:val="2"/>
      <w:sz w:val="21"/>
      <w:szCs w:val="24"/>
    </w:rPr>
  </w:style>
  <w:style w:type="character" w:customStyle="1" w:styleId="100">
    <w:name w:val="批注文字 Char2"/>
    <w:qFormat/>
    <w:uiPriority w:val="0"/>
    <w:rPr>
      <w:rFonts w:ascii="Times New Roman" w:hAnsi="Times New Roman"/>
      <w:kern w:val="2"/>
      <w:sz w:val="21"/>
      <w:szCs w:val="24"/>
    </w:rPr>
  </w:style>
  <w:style w:type="character" w:customStyle="1" w:styleId="101">
    <w:name w:val="正文2 Char Char"/>
    <w:link w:val="102"/>
    <w:qFormat/>
    <w:uiPriority w:val="0"/>
    <w:rPr>
      <w:kern w:val="2"/>
      <w:sz w:val="24"/>
    </w:rPr>
  </w:style>
  <w:style w:type="paragraph" w:customStyle="1" w:styleId="102">
    <w:name w:val="正文2"/>
    <w:basedOn w:val="1"/>
    <w:link w:val="101"/>
    <w:qFormat/>
    <w:uiPriority w:val="0"/>
    <w:pPr>
      <w:adjustRightInd w:val="0"/>
      <w:spacing w:before="156" w:line="360" w:lineRule="auto"/>
      <w:ind w:firstLine="510" w:firstLineChars="200"/>
    </w:pPr>
    <w:rPr>
      <w:sz w:val="24"/>
      <w:szCs w:val="20"/>
    </w:rPr>
  </w:style>
  <w:style w:type="character" w:customStyle="1" w:styleId="103">
    <w:name w:val="批注文字 Char Char"/>
    <w:qFormat/>
    <w:uiPriority w:val="99"/>
    <w:rPr>
      <w:rFonts w:ascii="宋体" w:hAnsi="Times New Roman" w:eastAsia="宋体" w:cs="宋体"/>
      <w:sz w:val="20"/>
      <w:szCs w:val="20"/>
    </w:rPr>
  </w:style>
  <w:style w:type="character" w:customStyle="1" w:styleId="104">
    <w:name w:val="Heading 3 Char"/>
    <w:qFormat/>
    <w:uiPriority w:val="99"/>
    <w:rPr>
      <w:b/>
      <w:bCs/>
      <w:kern w:val="2"/>
      <w:sz w:val="32"/>
      <w:szCs w:val="32"/>
    </w:rPr>
  </w:style>
  <w:style w:type="character" w:customStyle="1" w:styleId="105">
    <w:name w:val="Heading 2 Char"/>
    <w:qFormat/>
    <w:uiPriority w:val="99"/>
    <w:rPr>
      <w:rFonts w:ascii="Arial" w:hAnsi="Arial" w:eastAsia="黑体" w:cs="Arial"/>
      <w:b/>
      <w:bCs/>
      <w:kern w:val="2"/>
      <w:sz w:val="32"/>
      <w:szCs w:val="32"/>
      <w:lang w:val="en-US" w:eastAsia="zh-CN"/>
    </w:rPr>
  </w:style>
  <w:style w:type="character" w:customStyle="1" w:styleId="106">
    <w:name w:val="Balloon Text Char"/>
    <w:qFormat/>
    <w:uiPriority w:val="99"/>
    <w:rPr>
      <w:sz w:val="18"/>
      <w:szCs w:val="18"/>
    </w:rPr>
  </w:style>
  <w:style w:type="character" w:customStyle="1" w:styleId="107">
    <w:name w:val="文档结构图 Char1"/>
    <w:qFormat/>
    <w:uiPriority w:val="99"/>
    <w:rPr>
      <w:rFonts w:ascii="宋体" w:hAnsi="Times New Roman" w:eastAsia="宋体" w:cs="宋体"/>
      <w:sz w:val="18"/>
      <w:szCs w:val="18"/>
    </w:rPr>
  </w:style>
  <w:style w:type="character" w:customStyle="1" w:styleId="108">
    <w:name w:val="Footnote Text Char"/>
    <w:qFormat/>
    <w:uiPriority w:val="99"/>
    <w:rPr>
      <w:rFonts w:eastAsia="宋体"/>
      <w:sz w:val="18"/>
      <w:szCs w:val="18"/>
      <w:lang w:val="en-US" w:eastAsia="zh-CN"/>
    </w:rPr>
  </w:style>
  <w:style w:type="character" w:customStyle="1" w:styleId="109">
    <w:name w:val="Char Char21"/>
    <w:qFormat/>
    <w:uiPriority w:val="99"/>
    <w:rPr>
      <w:rFonts w:ascii="Arial" w:hAnsi="Arial" w:eastAsia="黑体" w:cs="Arial"/>
      <w:b/>
      <w:bCs/>
      <w:sz w:val="32"/>
      <w:szCs w:val="32"/>
    </w:rPr>
  </w:style>
  <w:style w:type="character" w:customStyle="1" w:styleId="110">
    <w:name w:val="Body Text Indent Char"/>
    <w:qFormat/>
    <w:uiPriority w:val="99"/>
    <w:rPr>
      <w:rFonts w:ascii="宋体" w:hAnsi="宋体" w:eastAsia="宋体" w:cs="宋体"/>
      <w:kern w:val="2"/>
      <w:sz w:val="21"/>
      <w:szCs w:val="21"/>
      <w:lang w:val="en-US" w:eastAsia="zh-CN"/>
    </w:rPr>
  </w:style>
  <w:style w:type="character" w:customStyle="1" w:styleId="111">
    <w:name w:val="不明显参考1"/>
    <w:qFormat/>
    <w:uiPriority w:val="99"/>
    <w:rPr>
      <w:smallCaps/>
      <w:color w:val="auto"/>
      <w:u w:val="single"/>
    </w:rPr>
  </w:style>
  <w:style w:type="character" w:customStyle="1" w:styleId="112">
    <w:name w:val="Heading 4 Char"/>
    <w:qFormat/>
    <w:uiPriority w:val="99"/>
    <w:rPr>
      <w:rFonts w:ascii="Arial" w:hAnsi="Arial" w:eastAsia="宋体" w:cs="Arial"/>
      <w:b/>
      <w:bCs/>
      <w:kern w:val="2"/>
      <w:sz w:val="28"/>
      <w:szCs w:val="28"/>
      <w:lang w:val="en-US" w:eastAsia="zh-CN"/>
    </w:rPr>
  </w:style>
  <w:style w:type="character" w:customStyle="1" w:styleId="113">
    <w:name w:val="Char Char20"/>
    <w:qFormat/>
    <w:uiPriority w:val="99"/>
    <w:rPr>
      <w:rFonts w:ascii="Times New Roman" w:hAnsi="Times New Roman" w:eastAsia="宋体" w:cs="Times New Roman"/>
      <w:b/>
      <w:bCs/>
      <w:sz w:val="32"/>
      <w:szCs w:val="32"/>
    </w:rPr>
  </w:style>
  <w:style w:type="character" w:customStyle="1" w:styleId="114">
    <w:name w:val="Comment Subject Char"/>
    <w:qFormat/>
    <w:uiPriority w:val="99"/>
    <w:rPr>
      <w:b/>
      <w:bCs/>
      <w:sz w:val="24"/>
      <w:szCs w:val="24"/>
    </w:rPr>
  </w:style>
  <w:style w:type="character" w:customStyle="1" w:styleId="115">
    <w:name w:val="Heading 1 Char"/>
    <w:qFormat/>
    <w:uiPriority w:val="99"/>
    <w:rPr>
      <w:rFonts w:eastAsia="宋体"/>
      <w:b/>
      <w:bCs/>
      <w:kern w:val="44"/>
      <w:sz w:val="44"/>
      <w:szCs w:val="44"/>
      <w:lang w:val="en-US" w:eastAsia="zh-CN"/>
    </w:rPr>
  </w:style>
  <w:style w:type="character" w:customStyle="1" w:styleId="116">
    <w:name w:val="批注框文本 Char1"/>
    <w:qFormat/>
    <w:uiPriority w:val="99"/>
    <w:rPr>
      <w:rFonts w:ascii="Times New Roman" w:hAnsi="Times New Roman" w:eastAsia="宋体" w:cs="Times New Roman"/>
      <w:sz w:val="18"/>
      <w:szCs w:val="18"/>
    </w:rPr>
  </w:style>
  <w:style w:type="character" w:customStyle="1" w:styleId="117">
    <w:name w:val="Char Char6"/>
    <w:qFormat/>
    <w:uiPriority w:val="99"/>
    <w:rPr>
      <w:rFonts w:eastAsia="宋体"/>
      <w:b/>
      <w:bCs/>
      <w:kern w:val="44"/>
      <w:sz w:val="44"/>
      <w:szCs w:val="44"/>
      <w:lang w:val="en-US" w:eastAsia="zh-CN"/>
    </w:rPr>
  </w:style>
  <w:style w:type="character" w:customStyle="1" w:styleId="118">
    <w:name w:val="Char Char18"/>
    <w:qFormat/>
    <w:uiPriority w:val="99"/>
    <w:rPr>
      <w:rFonts w:ascii="Times New Roman" w:hAnsi="Times New Roman" w:eastAsia="宋体" w:cs="Times New Roman"/>
      <w:b/>
      <w:bCs/>
      <w:sz w:val="28"/>
      <w:szCs w:val="28"/>
    </w:rPr>
  </w:style>
  <w:style w:type="character" w:customStyle="1" w:styleId="119">
    <w:name w:val="Body Text Indent 2 Char"/>
    <w:qFormat/>
    <w:uiPriority w:val="99"/>
    <w:rPr>
      <w:rFonts w:eastAsia="宋体"/>
      <w:kern w:val="2"/>
      <w:sz w:val="24"/>
      <w:szCs w:val="24"/>
      <w:lang w:val="en-US" w:eastAsia="zh-CN"/>
    </w:rPr>
  </w:style>
  <w:style w:type="character" w:customStyle="1" w:styleId="120">
    <w:name w:val="Comment Text Char1"/>
    <w:qFormat/>
    <w:uiPriority w:val="99"/>
    <w:rPr>
      <w:sz w:val="24"/>
      <w:szCs w:val="24"/>
    </w:rPr>
  </w:style>
  <w:style w:type="character" w:customStyle="1" w:styleId="121">
    <w:name w:val="标题5 Char Char"/>
    <w:link w:val="122"/>
    <w:qFormat/>
    <w:locked/>
    <w:uiPriority w:val="99"/>
    <w:rPr>
      <w:rFonts w:ascii="Arial" w:hAnsi="Arial" w:cs="Arial"/>
      <w:b/>
      <w:bCs/>
      <w:sz w:val="32"/>
      <w:szCs w:val="32"/>
    </w:rPr>
  </w:style>
  <w:style w:type="paragraph" w:customStyle="1" w:styleId="122">
    <w:name w:val="标题5"/>
    <w:basedOn w:val="4"/>
    <w:link w:val="121"/>
    <w:qFormat/>
    <w:uiPriority w:val="99"/>
    <w:pPr>
      <w:spacing w:line="413" w:lineRule="auto"/>
    </w:pPr>
    <w:rPr>
      <w:rFonts w:ascii="Arial" w:hAnsi="Arial"/>
      <w:kern w:val="0"/>
    </w:rPr>
  </w:style>
  <w:style w:type="character" w:customStyle="1" w:styleId="123">
    <w:name w:val="批注主题 Char1"/>
    <w:qFormat/>
    <w:uiPriority w:val="99"/>
    <w:rPr>
      <w:rFonts w:ascii="Times New Roman" w:hAnsi="Times New Roman" w:eastAsia="宋体" w:cs="Times New Roman"/>
      <w:b/>
      <w:bCs/>
      <w:sz w:val="24"/>
      <w:szCs w:val="24"/>
    </w:rPr>
  </w:style>
  <w:style w:type="character" w:customStyle="1" w:styleId="124">
    <w:name w:val="Char Char24"/>
    <w:qFormat/>
    <w:uiPriority w:val="99"/>
    <w:rPr>
      <w:rFonts w:eastAsia="宋体"/>
      <w:b/>
      <w:bCs/>
      <w:kern w:val="44"/>
      <w:sz w:val="44"/>
      <w:szCs w:val="44"/>
      <w:lang w:val="en-US" w:eastAsia="zh-CN"/>
    </w:rPr>
  </w:style>
  <w:style w:type="character" w:customStyle="1" w:styleId="125">
    <w:name w:val="Footer Char"/>
    <w:qFormat/>
    <w:uiPriority w:val="99"/>
    <w:rPr>
      <w:rFonts w:eastAsia="宋体"/>
      <w:kern w:val="2"/>
      <w:sz w:val="18"/>
      <w:szCs w:val="18"/>
      <w:lang w:val="en-US" w:eastAsia="zh-CN"/>
    </w:rPr>
  </w:style>
  <w:style w:type="character" w:customStyle="1" w:styleId="126">
    <w:name w:val="Char Char9"/>
    <w:qFormat/>
    <w:uiPriority w:val="99"/>
    <w:rPr>
      <w:rFonts w:eastAsia="宋体"/>
      <w:b/>
      <w:bCs/>
      <w:kern w:val="44"/>
      <w:sz w:val="44"/>
      <w:szCs w:val="44"/>
      <w:lang w:val="en-US" w:eastAsia="zh-CN"/>
    </w:rPr>
  </w:style>
  <w:style w:type="character" w:customStyle="1" w:styleId="127">
    <w:name w:val="Heading 3 Char1"/>
    <w:qFormat/>
    <w:uiPriority w:val="99"/>
    <w:rPr>
      <w:rFonts w:eastAsia="宋体"/>
      <w:b/>
      <w:bCs/>
      <w:kern w:val="2"/>
      <w:sz w:val="32"/>
      <w:szCs w:val="32"/>
      <w:lang w:val="en-US" w:eastAsia="zh-CN"/>
    </w:rPr>
  </w:style>
  <w:style w:type="character" w:customStyle="1" w:styleId="128">
    <w:name w:val="Document Map Char"/>
    <w:qFormat/>
    <w:uiPriority w:val="99"/>
    <w:rPr>
      <w:rFonts w:eastAsia="宋体"/>
      <w:kern w:val="2"/>
      <w:sz w:val="24"/>
      <w:szCs w:val="24"/>
      <w:lang w:val="en-US" w:eastAsia="zh-CN"/>
    </w:rPr>
  </w:style>
  <w:style w:type="character" w:customStyle="1" w:styleId="129">
    <w:name w:val="标题 Char1"/>
    <w:qFormat/>
    <w:uiPriority w:val="99"/>
    <w:rPr>
      <w:rFonts w:ascii="Cambria" w:hAnsi="Cambria" w:eastAsia="宋体" w:cs="Cambria"/>
      <w:b/>
      <w:bCs/>
      <w:sz w:val="32"/>
      <w:szCs w:val="32"/>
    </w:rPr>
  </w:style>
  <w:style w:type="character" w:customStyle="1" w:styleId="130">
    <w:name w:val="Char Char22"/>
    <w:qFormat/>
    <w:uiPriority w:val="99"/>
    <w:rPr>
      <w:rFonts w:ascii="Times New Roman" w:hAnsi="Times New Roman" w:eastAsia="宋体" w:cs="Times New Roman"/>
      <w:b/>
      <w:bCs/>
      <w:kern w:val="44"/>
      <w:sz w:val="44"/>
      <w:szCs w:val="44"/>
    </w:rPr>
  </w:style>
  <w:style w:type="character" w:customStyle="1" w:styleId="131">
    <w:name w:val="明显引用 Char"/>
    <w:link w:val="132"/>
    <w:qFormat/>
    <w:locked/>
    <w:uiPriority w:val="99"/>
    <w:rPr>
      <w:b/>
      <w:bCs/>
      <w:i/>
      <w:iCs/>
      <w:color w:val="4F81BD"/>
    </w:rPr>
  </w:style>
  <w:style w:type="paragraph" w:customStyle="1" w:styleId="132">
    <w:name w:val="明显引用1"/>
    <w:basedOn w:val="1"/>
    <w:next w:val="1"/>
    <w:link w:val="13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3">
    <w:name w:val="标题4 Char Char"/>
    <w:link w:val="134"/>
    <w:qFormat/>
    <w:locked/>
    <w:uiPriority w:val="99"/>
    <w:rPr>
      <w:rFonts w:ascii="Arial" w:hAnsi="Arial" w:cs="Arial"/>
      <w:b/>
      <w:bCs/>
      <w:sz w:val="32"/>
      <w:szCs w:val="32"/>
    </w:rPr>
  </w:style>
  <w:style w:type="paragraph" w:customStyle="1" w:styleId="134">
    <w:name w:val="标题4"/>
    <w:basedOn w:val="3"/>
    <w:next w:val="22"/>
    <w:link w:val="133"/>
    <w:qFormat/>
    <w:uiPriority w:val="99"/>
    <w:pPr>
      <w:spacing w:before="60" w:after="60" w:line="413" w:lineRule="auto"/>
    </w:pPr>
    <w:rPr>
      <w:rFonts w:ascii="Arial" w:hAnsi="Arial"/>
      <w:kern w:val="0"/>
    </w:rPr>
  </w:style>
  <w:style w:type="character" w:customStyle="1" w:styleId="135">
    <w:name w:val="Header Char"/>
    <w:qFormat/>
    <w:uiPriority w:val="99"/>
    <w:rPr>
      <w:rFonts w:eastAsia="宋体"/>
      <w:kern w:val="2"/>
      <w:sz w:val="18"/>
      <w:szCs w:val="18"/>
      <w:lang w:val="en-US" w:eastAsia="zh-CN"/>
    </w:rPr>
  </w:style>
  <w:style w:type="character" w:customStyle="1" w:styleId="136">
    <w:name w:val="明显引用 Char1"/>
    <w:qFormat/>
    <w:uiPriority w:val="99"/>
    <w:rPr>
      <w:rFonts w:ascii="Times New Roman" w:hAnsi="Times New Roman" w:eastAsia="宋体" w:cs="Times New Roman"/>
      <w:b/>
      <w:bCs/>
      <w:i/>
      <w:iCs/>
      <w:color w:val="4F81BD"/>
      <w:sz w:val="24"/>
      <w:szCs w:val="24"/>
    </w:rPr>
  </w:style>
  <w:style w:type="character" w:customStyle="1" w:styleId="137">
    <w:name w:val="Comment Text Char"/>
    <w:qFormat/>
    <w:uiPriority w:val="99"/>
    <w:rPr>
      <w:sz w:val="24"/>
      <w:szCs w:val="24"/>
    </w:rPr>
  </w:style>
  <w:style w:type="character" w:customStyle="1" w:styleId="138">
    <w:name w:val="明显参考1"/>
    <w:qFormat/>
    <w:uiPriority w:val="99"/>
    <w:rPr>
      <w:b/>
      <w:bCs/>
      <w:smallCaps/>
      <w:color w:val="auto"/>
      <w:spacing w:val="5"/>
      <w:u w:val="single"/>
    </w:rPr>
  </w:style>
  <w:style w:type="character" w:customStyle="1" w:styleId="139">
    <w:name w:val="明显强调1"/>
    <w:qFormat/>
    <w:uiPriority w:val="99"/>
    <w:rPr>
      <w:b/>
      <w:bCs/>
      <w:i/>
      <w:iCs/>
      <w:color w:val="4F81BD"/>
    </w:rPr>
  </w:style>
  <w:style w:type="character" w:customStyle="1" w:styleId="140">
    <w:name w:val="引用 Char1"/>
    <w:qFormat/>
    <w:uiPriority w:val="99"/>
    <w:rPr>
      <w:rFonts w:ascii="Times New Roman" w:hAnsi="Times New Roman" w:eastAsia="宋体" w:cs="Times New Roman"/>
      <w:i/>
      <w:iCs/>
      <w:color w:val="000000"/>
      <w:sz w:val="24"/>
      <w:szCs w:val="24"/>
    </w:rPr>
  </w:style>
  <w:style w:type="character" w:customStyle="1" w:styleId="141">
    <w:name w:val="引用 Char"/>
    <w:link w:val="142"/>
    <w:qFormat/>
    <w:locked/>
    <w:uiPriority w:val="99"/>
    <w:rPr>
      <w:i/>
      <w:iCs/>
      <w:color w:val="000000"/>
    </w:rPr>
  </w:style>
  <w:style w:type="paragraph" w:customStyle="1" w:styleId="142">
    <w:name w:val="引用1"/>
    <w:basedOn w:val="1"/>
    <w:next w:val="1"/>
    <w:link w:val="141"/>
    <w:qFormat/>
    <w:uiPriority w:val="99"/>
    <w:rPr>
      <w:i/>
      <w:iCs/>
      <w:color w:val="000000"/>
      <w:kern w:val="0"/>
      <w:sz w:val="20"/>
      <w:szCs w:val="20"/>
    </w:rPr>
  </w:style>
  <w:style w:type="character" w:customStyle="1" w:styleId="143">
    <w:name w:val="标题 Char2"/>
    <w:qFormat/>
    <w:uiPriority w:val="99"/>
    <w:rPr>
      <w:rFonts w:ascii="Cambria" w:hAnsi="Cambria" w:eastAsia="宋体" w:cs="Cambria"/>
      <w:b/>
      <w:bCs/>
      <w:sz w:val="32"/>
      <w:szCs w:val="32"/>
    </w:rPr>
  </w:style>
  <w:style w:type="character" w:customStyle="1" w:styleId="144">
    <w:name w:val="Char Char23"/>
    <w:qFormat/>
    <w:uiPriority w:val="99"/>
    <w:rPr>
      <w:rFonts w:eastAsia="宋体"/>
      <w:b/>
      <w:bCs/>
      <w:kern w:val="44"/>
      <w:sz w:val="44"/>
      <w:szCs w:val="44"/>
      <w:lang w:val="en-US" w:eastAsia="zh-CN"/>
    </w:rPr>
  </w:style>
  <w:style w:type="character" w:customStyle="1" w:styleId="145">
    <w:name w:val="Plain Text Char"/>
    <w:qFormat/>
    <w:uiPriority w:val="99"/>
    <w:rPr>
      <w:rFonts w:ascii="宋体" w:hAnsi="Courier New" w:eastAsia="宋体" w:cs="宋体"/>
      <w:sz w:val="24"/>
      <w:szCs w:val="24"/>
    </w:rPr>
  </w:style>
  <w:style w:type="character" w:customStyle="1" w:styleId="146">
    <w:name w:val="Char Char91"/>
    <w:qFormat/>
    <w:uiPriority w:val="99"/>
    <w:rPr>
      <w:rFonts w:eastAsia="宋体"/>
      <w:b/>
      <w:bCs/>
      <w:kern w:val="44"/>
      <w:sz w:val="44"/>
      <w:szCs w:val="44"/>
      <w:lang w:val="en-US" w:eastAsia="zh-CN"/>
    </w:rPr>
  </w:style>
  <w:style w:type="character" w:customStyle="1" w:styleId="147">
    <w:name w:val="Char Char181"/>
    <w:qFormat/>
    <w:uiPriority w:val="99"/>
    <w:rPr>
      <w:b/>
      <w:bCs/>
      <w:kern w:val="44"/>
      <w:sz w:val="44"/>
      <w:szCs w:val="44"/>
    </w:rPr>
  </w:style>
  <w:style w:type="character" w:customStyle="1" w:styleId="148">
    <w:name w:val="Heading 5 Char"/>
    <w:qFormat/>
    <w:uiPriority w:val="99"/>
    <w:rPr>
      <w:rFonts w:eastAsia="宋体"/>
      <w:b/>
      <w:bCs/>
      <w:kern w:val="2"/>
      <w:sz w:val="28"/>
      <w:szCs w:val="28"/>
      <w:lang w:val="en-US" w:eastAsia="zh-CN"/>
    </w:rPr>
  </w:style>
  <w:style w:type="character" w:customStyle="1" w:styleId="149">
    <w:name w:val="Char Char19"/>
    <w:qFormat/>
    <w:uiPriority w:val="99"/>
    <w:rPr>
      <w:rFonts w:ascii="Arial" w:hAnsi="Arial" w:eastAsia="宋体" w:cs="Arial"/>
      <w:b/>
      <w:bCs/>
      <w:sz w:val="28"/>
      <w:szCs w:val="28"/>
    </w:rPr>
  </w:style>
  <w:style w:type="character" w:customStyle="1" w:styleId="150">
    <w:name w:val="日期 Char1"/>
    <w:qFormat/>
    <w:uiPriority w:val="99"/>
    <w:rPr>
      <w:rFonts w:ascii="Times New Roman" w:hAnsi="Times New Roman" w:eastAsia="宋体" w:cs="Times New Roman"/>
      <w:sz w:val="24"/>
      <w:szCs w:val="24"/>
    </w:rPr>
  </w:style>
  <w:style w:type="character" w:customStyle="1" w:styleId="151">
    <w:name w:val="Date Char"/>
    <w:qFormat/>
    <w:uiPriority w:val="99"/>
    <w:rPr>
      <w:rFonts w:eastAsia="宋体"/>
      <w:kern w:val="2"/>
      <w:sz w:val="24"/>
      <w:szCs w:val="24"/>
      <w:lang w:val="en-US" w:eastAsia="zh-CN"/>
    </w:rPr>
  </w:style>
  <w:style w:type="character" w:customStyle="1" w:styleId="152">
    <w:name w:val="Title Char"/>
    <w:qFormat/>
    <w:uiPriority w:val="99"/>
    <w:rPr>
      <w:rFonts w:ascii="Cambria" w:hAnsi="Cambria" w:cs="Cambria"/>
      <w:b/>
      <w:bCs/>
      <w:sz w:val="32"/>
      <w:szCs w:val="32"/>
    </w:rPr>
  </w:style>
  <w:style w:type="character" w:customStyle="1" w:styleId="153">
    <w:name w:val="书籍标题1"/>
    <w:qFormat/>
    <w:uiPriority w:val="99"/>
    <w:rPr>
      <w:b/>
      <w:bCs/>
      <w:smallCaps/>
      <w:spacing w:val="5"/>
    </w:rPr>
  </w:style>
  <w:style w:type="character" w:customStyle="1" w:styleId="154">
    <w:name w:val="不明显强调1"/>
    <w:qFormat/>
    <w:uiPriority w:val="99"/>
    <w:rPr>
      <w:i/>
      <w:iCs/>
      <w:color w:val="808080"/>
    </w:rPr>
  </w:style>
  <w:style w:type="paragraph" w:customStyle="1" w:styleId="155">
    <w:name w:val="样式1"/>
    <w:basedOn w:val="1"/>
    <w:next w:val="5"/>
    <w:qFormat/>
    <w:uiPriority w:val="99"/>
    <w:pPr>
      <w:spacing w:line="360" w:lineRule="auto"/>
      <w:ind w:firstLine="420" w:firstLineChars="200"/>
    </w:pPr>
    <w:rPr>
      <w:rFonts w:ascii="宋体" w:hAnsi="宋体" w:cs="宋体"/>
      <w:szCs w:val="21"/>
    </w:rPr>
  </w:style>
  <w:style w:type="paragraph" w:customStyle="1" w:styleId="156">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157">
    <w:name w:val="Char Char Char Char Char Char Char"/>
    <w:basedOn w:val="1"/>
    <w:qFormat/>
    <w:uiPriority w:val="99"/>
    <w:pPr>
      <w:widowControl/>
      <w:spacing w:after="160" w:line="240" w:lineRule="exact"/>
      <w:jc w:val="left"/>
    </w:pPr>
    <w:rPr>
      <w:szCs w:val="21"/>
    </w:rPr>
  </w:style>
  <w:style w:type="paragraph" w:customStyle="1" w:styleId="15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59">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0">
    <w:name w:val="TOC 标题1"/>
    <w:basedOn w:val="2"/>
    <w:next w:val="1"/>
    <w:qFormat/>
    <w:uiPriority w:val="99"/>
    <w:pPr>
      <w:spacing w:line="576" w:lineRule="auto"/>
      <w:outlineLvl w:val="9"/>
    </w:pPr>
    <w:rPr>
      <w:rFonts w:ascii="Calibri" w:hAnsi="Calibri" w:eastAsia="黑体" w:cs="Calibri"/>
      <w:lang w:val="zh-CN" w:eastAsia="zh-CN"/>
    </w:rPr>
  </w:style>
  <w:style w:type="paragraph" w:customStyle="1" w:styleId="161">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62">
    <w:name w:val="p0"/>
    <w:basedOn w:val="1"/>
    <w:qFormat/>
    <w:uiPriority w:val="0"/>
    <w:pPr>
      <w:widowControl/>
    </w:pPr>
    <w:rPr>
      <w:rFonts w:ascii="Calibri" w:hAnsi="Calibri" w:cs="Calibri"/>
      <w:kern w:val="0"/>
      <w:szCs w:val="21"/>
    </w:rPr>
  </w:style>
  <w:style w:type="paragraph" w:customStyle="1" w:styleId="163">
    <w:name w:val="Char"/>
    <w:basedOn w:val="1"/>
    <w:qFormat/>
    <w:uiPriority w:val="99"/>
    <w:pPr>
      <w:widowControl/>
      <w:spacing w:after="160" w:line="240" w:lineRule="exact"/>
      <w:jc w:val="left"/>
    </w:pPr>
    <w:rPr>
      <w:szCs w:val="21"/>
    </w:rPr>
  </w:style>
  <w:style w:type="paragraph" w:customStyle="1" w:styleId="164">
    <w:name w:val="1"/>
    <w:basedOn w:val="1"/>
    <w:next w:val="1"/>
    <w:qFormat/>
    <w:uiPriority w:val="99"/>
    <w:rPr>
      <w:szCs w:val="21"/>
    </w:rPr>
  </w:style>
  <w:style w:type="paragraph" w:customStyle="1" w:styleId="165">
    <w:name w:val="列出段落2"/>
    <w:basedOn w:val="1"/>
    <w:qFormat/>
    <w:uiPriority w:val="99"/>
    <w:pPr>
      <w:ind w:firstLine="420" w:firstLineChars="200"/>
    </w:pPr>
    <w:rPr>
      <w:rFonts w:ascii="Calibri" w:hAnsi="Calibri" w:cs="Calibri"/>
      <w:szCs w:val="21"/>
    </w:rPr>
  </w:style>
  <w:style w:type="paragraph" w:customStyle="1" w:styleId="166">
    <w:name w:val="_Style 165"/>
    <w:qFormat/>
    <w:uiPriority w:val="99"/>
    <w:rPr>
      <w:rFonts w:ascii="Times New Roman" w:hAnsi="Times New Roman" w:eastAsia="宋体" w:cs="Times New Roman"/>
      <w:kern w:val="2"/>
      <w:sz w:val="21"/>
      <w:szCs w:val="21"/>
      <w:lang w:val="en-US" w:eastAsia="zh-CN" w:bidi="ar-SA"/>
    </w:rPr>
  </w:style>
  <w:style w:type="paragraph" w:customStyle="1" w:styleId="167">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8">
    <w:name w:val="修订1"/>
    <w:qFormat/>
    <w:uiPriority w:val="99"/>
    <w:rPr>
      <w:rFonts w:ascii="Times New Roman" w:hAnsi="Times New Roman" w:eastAsia="宋体" w:cs="Times New Roman"/>
      <w:kern w:val="2"/>
      <w:sz w:val="21"/>
      <w:szCs w:val="21"/>
      <w:lang w:val="en-US" w:eastAsia="zh-CN" w:bidi="ar-SA"/>
    </w:rPr>
  </w:style>
  <w:style w:type="paragraph" w:customStyle="1" w:styleId="169">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bCs w:val="0"/>
      <w:kern w:val="0"/>
      <w:sz w:val="28"/>
      <w:szCs w:val="28"/>
      <w:lang w:val="zh-CN" w:eastAsia="zh-CN"/>
    </w:rPr>
  </w:style>
  <w:style w:type="paragraph" w:customStyle="1" w:styleId="170">
    <w:name w:val="2-2ji"/>
    <w:basedOn w:val="3"/>
    <w:qFormat/>
    <w:uiPriority w:val="99"/>
    <w:pPr>
      <w:spacing w:before="0" w:after="0" w:line="360" w:lineRule="auto"/>
      <w:jc w:val="center"/>
    </w:pPr>
    <w:rPr>
      <w:rFonts w:ascii="宋体" w:hAnsi="宋体" w:cs="宋体"/>
      <w:sz w:val="36"/>
      <w:szCs w:val="36"/>
      <w:lang w:val="zh-CN" w:eastAsia="zh-CN"/>
    </w:rPr>
  </w:style>
  <w:style w:type="paragraph" w:customStyle="1" w:styleId="171">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2">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73">
    <w:name w:val="列出段落1"/>
    <w:basedOn w:val="1"/>
    <w:qFormat/>
    <w:uiPriority w:val="99"/>
    <w:pPr>
      <w:ind w:firstLine="420" w:firstLineChars="200"/>
    </w:pPr>
    <w:rPr>
      <w:rFonts w:ascii="Calibri" w:hAnsi="Calibri" w:cs="Calibri"/>
      <w:szCs w:val="21"/>
    </w:rPr>
  </w:style>
  <w:style w:type="paragraph" w:customStyle="1" w:styleId="174">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75">
    <w:name w:val="Char1"/>
    <w:basedOn w:val="1"/>
    <w:qFormat/>
    <w:uiPriority w:val="99"/>
    <w:pPr>
      <w:widowControl/>
      <w:spacing w:after="160" w:line="240" w:lineRule="exact"/>
      <w:jc w:val="left"/>
    </w:pPr>
    <w:rPr>
      <w:szCs w:val="21"/>
    </w:rPr>
  </w:style>
  <w:style w:type="paragraph" w:customStyle="1" w:styleId="176">
    <w:name w:val="_Style 37"/>
    <w:basedOn w:val="1"/>
    <w:next w:val="1"/>
    <w:qFormat/>
    <w:uiPriority w:val="99"/>
    <w:rPr>
      <w:szCs w:val="21"/>
    </w:rPr>
  </w:style>
  <w:style w:type="paragraph" w:customStyle="1" w:styleId="177">
    <w:name w:val="样式 标题 3 + (中文) 黑体 小四 非加粗 段前: 7.8 磅 段后: 0 磅 行距: 固定值 20 磅"/>
    <w:basedOn w:val="4"/>
    <w:qFormat/>
    <w:uiPriority w:val="99"/>
    <w:pPr>
      <w:spacing w:before="0" w:after="0" w:line="400" w:lineRule="exact"/>
    </w:pPr>
    <w:rPr>
      <w:rFonts w:eastAsia="黑体"/>
      <w:b w:val="0"/>
      <w:bCs w:val="0"/>
      <w:lang w:val="zh-CN"/>
    </w:rPr>
  </w:style>
  <w:style w:type="paragraph" w:styleId="17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Body text|1"/>
    <w:basedOn w:val="1"/>
    <w:link w:val="180"/>
    <w:qFormat/>
    <w:uiPriority w:val="0"/>
    <w:pPr>
      <w:spacing w:line="360" w:lineRule="auto"/>
      <w:ind w:firstLine="400"/>
    </w:pPr>
    <w:rPr>
      <w:rFonts w:ascii="宋体" w:hAnsi="宋体" w:cs="宋体"/>
      <w:szCs w:val="20"/>
      <w:lang w:val="zh-CN" w:bidi="zh-CN"/>
    </w:rPr>
  </w:style>
  <w:style w:type="character" w:customStyle="1" w:styleId="180">
    <w:name w:val="Body text|1_"/>
    <w:link w:val="179"/>
    <w:qFormat/>
    <w:uiPriority w:val="0"/>
    <w:rPr>
      <w:rFonts w:ascii="宋体" w:hAnsi="宋体" w:cs="宋体"/>
      <w:kern w:val="2"/>
      <w:sz w:val="21"/>
      <w:lang w:val="zh-CN" w:bidi="zh-CN"/>
    </w:rPr>
  </w:style>
  <w:style w:type="character" w:customStyle="1" w:styleId="181">
    <w:name w:val="Body text|3_"/>
    <w:link w:val="182"/>
    <w:qFormat/>
    <w:uiPriority w:val="0"/>
    <w:rPr>
      <w:rFonts w:ascii="宋体" w:hAnsi="宋体" w:cs="宋体"/>
      <w:lang w:val="zh-CN" w:bidi="zh-CN"/>
    </w:rPr>
  </w:style>
  <w:style w:type="paragraph" w:customStyle="1" w:styleId="182">
    <w:name w:val="Body text|3"/>
    <w:basedOn w:val="1"/>
    <w:link w:val="181"/>
    <w:qFormat/>
    <w:uiPriority w:val="0"/>
    <w:pPr>
      <w:spacing w:after="340"/>
      <w:jc w:val="left"/>
    </w:pPr>
    <w:rPr>
      <w:rFonts w:ascii="宋体" w:hAnsi="宋体" w:cs="宋体"/>
      <w:kern w:val="0"/>
      <w:sz w:val="20"/>
      <w:szCs w:val="20"/>
      <w:lang w:val="zh-CN" w:bidi="zh-CN"/>
    </w:rPr>
  </w:style>
  <w:style w:type="character" w:customStyle="1" w:styleId="183">
    <w:name w:val="Other|1_"/>
    <w:link w:val="184"/>
    <w:qFormat/>
    <w:uiPriority w:val="0"/>
    <w:rPr>
      <w:rFonts w:ascii="宋体" w:hAnsi="宋体" w:cs="宋体"/>
      <w:lang w:val="zh-CN" w:bidi="zh-CN"/>
    </w:rPr>
  </w:style>
  <w:style w:type="paragraph" w:customStyle="1" w:styleId="184">
    <w:name w:val="Other|1"/>
    <w:basedOn w:val="1"/>
    <w:link w:val="183"/>
    <w:qFormat/>
    <w:uiPriority w:val="0"/>
    <w:pPr>
      <w:spacing w:line="360" w:lineRule="auto"/>
      <w:ind w:firstLine="400"/>
      <w:jc w:val="left"/>
    </w:pPr>
    <w:rPr>
      <w:rFonts w:ascii="宋体" w:hAnsi="宋体" w:cs="宋体"/>
      <w:kern w:val="0"/>
      <w:sz w:val="20"/>
      <w:szCs w:val="20"/>
      <w:lang w:val="zh-CN" w:bidi="zh-CN"/>
    </w:rPr>
  </w:style>
  <w:style w:type="character" w:customStyle="1" w:styleId="185">
    <w:name w:val="Table of contents|1_"/>
    <w:link w:val="186"/>
    <w:qFormat/>
    <w:uiPriority w:val="0"/>
    <w:rPr>
      <w:rFonts w:ascii="宋体" w:hAnsi="宋体" w:cs="宋体"/>
      <w:lang w:val="zh-CN" w:bidi="zh-CN"/>
    </w:rPr>
  </w:style>
  <w:style w:type="paragraph" w:customStyle="1" w:styleId="186">
    <w:name w:val="Table of contents|1"/>
    <w:basedOn w:val="1"/>
    <w:link w:val="185"/>
    <w:qFormat/>
    <w:uiPriority w:val="0"/>
    <w:pPr>
      <w:spacing w:after="100"/>
      <w:ind w:firstLine="600"/>
      <w:jc w:val="left"/>
    </w:pPr>
    <w:rPr>
      <w:rFonts w:ascii="宋体" w:hAnsi="宋体" w:cs="宋体"/>
      <w:kern w:val="0"/>
      <w:sz w:val="20"/>
      <w:szCs w:val="20"/>
      <w:lang w:val="zh-CN" w:bidi="zh-CN"/>
    </w:rPr>
  </w:style>
  <w:style w:type="character" w:customStyle="1" w:styleId="187">
    <w:name w:val="Header or footer|1_"/>
    <w:link w:val="188"/>
    <w:qFormat/>
    <w:uiPriority w:val="0"/>
    <w:rPr>
      <w:sz w:val="17"/>
      <w:szCs w:val="17"/>
      <w:lang w:val="zh-CN" w:bidi="zh-CN"/>
    </w:rPr>
  </w:style>
  <w:style w:type="paragraph" w:customStyle="1" w:styleId="188">
    <w:name w:val="Header or footer|1"/>
    <w:basedOn w:val="1"/>
    <w:link w:val="187"/>
    <w:qFormat/>
    <w:uiPriority w:val="0"/>
    <w:pPr>
      <w:jc w:val="center"/>
    </w:pPr>
    <w:rPr>
      <w:kern w:val="0"/>
      <w:sz w:val="17"/>
      <w:szCs w:val="17"/>
      <w:lang w:val="zh-CN" w:bidi="zh-CN"/>
    </w:rPr>
  </w:style>
  <w:style w:type="character" w:customStyle="1" w:styleId="189">
    <w:name w:val="Heading #3|1_"/>
    <w:link w:val="190"/>
    <w:qFormat/>
    <w:uiPriority w:val="0"/>
    <w:rPr>
      <w:rFonts w:ascii="宋体" w:hAnsi="宋体" w:cs="宋体"/>
      <w:sz w:val="28"/>
      <w:szCs w:val="28"/>
      <w:lang w:val="zh-CN" w:bidi="zh-CN"/>
    </w:rPr>
  </w:style>
  <w:style w:type="paragraph" w:customStyle="1" w:styleId="190">
    <w:name w:val="Heading #3|1"/>
    <w:basedOn w:val="1"/>
    <w:link w:val="189"/>
    <w:qFormat/>
    <w:uiPriority w:val="0"/>
    <w:pPr>
      <w:spacing w:after="570"/>
      <w:jc w:val="center"/>
      <w:outlineLvl w:val="2"/>
    </w:pPr>
    <w:rPr>
      <w:rFonts w:ascii="宋体" w:hAnsi="宋体" w:cs="宋体"/>
      <w:kern w:val="0"/>
      <w:sz w:val="28"/>
      <w:szCs w:val="28"/>
      <w:lang w:val="zh-CN" w:bidi="zh-CN"/>
    </w:rPr>
  </w:style>
  <w:style w:type="character" w:customStyle="1" w:styleId="191">
    <w:name w:val="Body text|7_"/>
    <w:link w:val="192"/>
    <w:qFormat/>
    <w:uiPriority w:val="0"/>
    <w:rPr>
      <w:rFonts w:ascii="Courier New" w:hAnsi="Courier New" w:eastAsia="Courier New" w:cs="Courier New"/>
      <w:b/>
      <w:bCs/>
      <w:sz w:val="8"/>
      <w:szCs w:val="8"/>
      <w:lang w:val="zh-CN"/>
    </w:rPr>
  </w:style>
  <w:style w:type="paragraph" w:customStyle="1" w:styleId="192">
    <w:name w:val="Body text|7"/>
    <w:basedOn w:val="1"/>
    <w:link w:val="191"/>
    <w:qFormat/>
    <w:uiPriority w:val="0"/>
    <w:pPr>
      <w:ind w:hanging="1760"/>
      <w:jc w:val="left"/>
    </w:pPr>
    <w:rPr>
      <w:rFonts w:ascii="Courier New" w:hAnsi="Courier New" w:eastAsia="Courier New"/>
      <w:b/>
      <w:bCs/>
      <w:kern w:val="0"/>
      <w:sz w:val="8"/>
      <w:szCs w:val="8"/>
      <w:lang w:val="zh-CN"/>
    </w:rPr>
  </w:style>
  <w:style w:type="character" w:customStyle="1" w:styleId="193">
    <w:name w:val="Body text|4_"/>
    <w:link w:val="194"/>
    <w:qFormat/>
    <w:uiPriority w:val="0"/>
    <w:rPr>
      <w:rFonts w:ascii="宋体" w:hAnsi="宋体" w:cs="宋体"/>
      <w:b/>
      <w:bCs/>
      <w:sz w:val="17"/>
      <w:szCs w:val="17"/>
      <w:lang w:val="zh-CN" w:bidi="zh-CN"/>
    </w:rPr>
  </w:style>
  <w:style w:type="paragraph" w:customStyle="1" w:styleId="194">
    <w:name w:val="Body text|4"/>
    <w:basedOn w:val="1"/>
    <w:link w:val="193"/>
    <w:qFormat/>
    <w:uiPriority w:val="0"/>
    <w:pPr>
      <w:spacing w:line="281" w:lineRule="exact"/>
      <w:jc w:val="center"/>
    </w:pPr>
    <w:rPr>
      <w:rFonts w:ascii="宋体" w:hAnsi="宋体" w:cs="宋体"/>
      <w:b/>
      <w:bCs/>
      <w:kern w:val="0"/>
      <w:sz w:val="17"/>
      <w:szCs w:val="17"/>
      <w:lang w:val="zh-CN" w:bidi="zh-CN"/>
    </w:rPr>
  </w:style>
  <w:style w:type="character" w:customStyle="1" w:styleId="195">
    <w:name w:val="Heading #4|1_"/>
    <w:link w:val="196"/>
    <w:qFormat/>
    <w:uiPriority w:val="0"/>
    <w:rPr>
      <w:rFonts w:ascii="宋体" w:hAnsi="宋体" w:cs="宋体"/>
      <w:lang w:val="zh-CN" w:bidi="zh-CN"/>
    </w:rPr>
  </w:style>
  <w:style w:type="paragraph" w:customStyle="1" w:styleId="196">
    <w:name w:val="Heading #4|1"/>
    <w:basedOn w:val="1"/>
    <w:link w:val="195"/>
    <w:qFormat/>
    <w:uiPriority w:val="0"/>
    <w:pPr>
      <w:spacing w:after="120"/>
      <w:jc w:val="left"/>
      <w:outlineLvl w:val="3"/>
    </w:pPr>
    <w:rPr>
      <w:rFonts w:ascii="宋体" w:hAnsi="宋体" w:cs="宋体"/>
      <w:kern w:val="0"/>
      <w:sz w:val="20"/>
      <w:szCs w:val="20"/>
      <w:lang w:val="zh-CN" w:bidi="zh-CN"/>
    </w:rPr>
  </w:style>
  <w:style w:type="character" w:customStyle="1" w:styleId="197">
    <w:name w:val="Body text|5_"/>
    <w:link w:val="198"/>
    <w:qFormat/>
    <w:uiPriority w:val="0"/>
    <w:rPr>
      <w:rFonts w:ascii="宋体" w:hAnsi="宋体" w:cs="宋体"/>
      <w:sz w:val="52"/>
      <w:szCs w:val="52"/>
      <w:lang w:val="zh-CN" w:bidi="zh-CN"/>
    </w:rPr>
  </w:style>
  <w:style w:type="paragraph" w:customStyle="1" w:styleId="198">
    <w:name w:val="Body text|5"/>
    <w:basedOn w:val="1"/>
    <w:link w:val="197"/>
    <w:qFormat/>
    <w:uiPriority w:val="0"/>
    <w:pPr>
      <w:jc w:val="center"/>
    </w:pPr>
    <w:rPr>
      <w:rFonts w:ascii="宋体" w:hAnsi="宋体" w:cs="宋体"/>
      <w:kern w:val="0"/>
      <w:sz w:val="52"/>
      <w:szCs w:val="52"/>
      <w:lang w:val="zh-CN" w:bidi="zh-CN"/>
    </w:rPr>
  </w:style>
  <w:style w:type="character" w:customStyle="1" w:styleId="199">
    <w:name w:val="Header or footer|2_"/>
    <w:link w:val="200"/>
    <w:qFormat/>
    <w:uiPriority w:val="0"/>
    <w:rPr>
      <w:lang w:val="zh-CN" w:bidi="zh-CN"/>
    </w:rPr>
  </w:style>
  <w:style w:type="paragraph" w:customStyle="1" w:styleId="200">
    <w:name w:val="Header or footer|2"/>
    <w:basedOn w:val="1"/>
    <w:link w:val="199"/>
    <w:qFormat/>
    <w:uiPriority w:val="0"/>
    <w:pPr>
      <w:jc w:val="left"/>
    </w:pPr>
    <w:rPr>
      <w:kern w:val="0"/>
      <w:sz w:val="20"/>
      <w:szCs w:val="20"/>
      <w:lang w:val="zh-CN" w:bidi="zh-CN"/>
    </w:rPr>
  </w:style>
  <w:style w:type="character" w:customStyle="1" w:styleId="201">
    <w:name w:val="Heading #2|1_"/>
    <w:link w:val="202"/>
    <w:qFormat/>
    <w:uiPriority w:val="0"/>
    <w:rPr>
      <w:rFonts w:ascii="宋体" w:hAnsi="宋体" w:cs="宋体"/>
      <w:sz w:val="34"/>
      <w:szCs w:val="34"/>
      <w:lang w:val="zh-CN" w:bidi="zh-CN"/>
    </w:rPr>
  </w:style>
  <w:style w:type="paragraph" w:customStyle="1" w:styleId="202">
    <w:name w:val="Heading #2|1"/>
    <w:basedOn w:val="1"/>
    <w:link w:val="201"/>
    <w:qFormat/>
    <w:uiPriority w:val="0"/>
    <w:pPr>
      <w:spacing w:after="900"/>
      <w:jc w:val="center"/>
      <w:outlineLvl w:val="1"/>
    </w:pPr>
    <w:rPr>
      <w:rFonts w:ascii="宋体" w:hAnsi="宋体" w:cs="宋体"/>
      <w:kern w:val="0"/>
      <w:sz w:val="34"/>
      <w:szCs w:val="34"/>
      <w:lang w:val="zh-CN" w:bidi="zh-CN"/>
    </w:rPr>
  </w:style>
  <w:style w:type="character" w:customStyle="1" w:styleId="203">
    <w:name w:val="Table caption|1_"/>
    <w:link w:val="204"/>
    <w:qFormat/>
    <w:uiPriority w:val="0"/>
    <w:rPr>
      <w:rFonts w:ascii="宋体" w:hAnsi="宋体" w:cs="宋体"/>
      <w:lang w:val="zh-CN" w:bidi="zh-CN"/>
    </w:rPr>
  </w:style>
  <w:style w:type="paragraph" w:customStyle="1" w:styleId="204">
    <w:name w:val="Table caption|1"/>
    <w:basedOn w:val="1"/>
    <w:link w:val="203"/>
    <w:qFormat/>
    <w:uiPriority w:val="0"/>
    <w:pPr>
      <w:jc w:val="left"/>
    </w:pPr>
    <w:rPr>
      <w:rFonts w:ascii="宋体" w:hAnsi="宋体" w:cs="宋体"/>
      <w:kern w:val="0"/>
      <w:sz w:val="20"/>
      <w:szCs w:val="20"/>
      <w:lang w:val="zh-CN" w:bidi="zh-CN"/>
    </w:rPr>
  </w:style>
  <w:style w:type="character" w:customStyle="1" w:styleId="205">
    <w:name w:val="Body text|6_"/>
    <w:link w:val="206"/>
    <w:qFormat/>
    <w:uiPriority w:val="0"/>
    <w:rPr>
      <w:rFonts w:ascii="Arial" w:hAnsi="Arial" w:eastAsia="Arial" w:cs="Arial"/>
      <w:lang w:val="zh-CN"/>
    </w:rPr>
  </w:style>
  <w:style w:type="paragraph" w:customStyle="1" w:styleId="206">
    <w:name w:val="Body text|6"/>
    <w:basedOn w:val="1"/>
    <w:link w:val="205"/>
    <w:qFormat/>
    <w:uiPriority w:val="0"/>
    <w:pPr>
      <w:ind w:hanging="2220"/>
      <w:jc w:val="left"/>
    </w:pPr>
    <w:rPr>
      <w:rFonts w:ascii="Arial" w:hAnsi="Arial" w:eastAsia="Arial"/>
      <w:kern w:val="0"/>
      <w:sz w:val="20"/>
      <w:szCs w:val="20"/>
      <w:lang w:val="zh-CN"/>
    </w:rPr>
  </w:style>
  <w:style w:type="character" w:customStyle="1" w:styleId="207">
    <w:name w:val="Heading #1|1_"/>
    <w:link w:val="208"/>
    <w:qFormat/>
    <w:uiPriority w:val="0"/>
    <w:rPr>
      <w:rFonts w:ascii="宋体" w:hAnsi="宋体" w:cs="宋体"/>
      <w:sz w:val="38"/>
      <w:szCs w:val="38"/>
      <w:lang w:val="zh-CN" w:bidi="zh-CN"/>
    </w:rPr>
  </w:style>
  <w:style w:type="paragraph" w:customStyle="1" w:styleId="208">
    <w:name w:val="Heading #1|1"/>
    <w:basedOn w:val="1"/>
    <w:link w:val="207"/>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209">
    <w:name w:val="Body text|2_"/>
    <w:link w:val="210"/>
    <w:qFormat/>
    <w:uiPriority w:val="0"/>
    <w:rPr>
      <w:sz w:val="21"/>
    </w:rPr>
  </w:style>
  <w:style w:type="paragraph" w:customStyle="1" w:styleId="210">
    <w:name w:val="Body text|2"/>
    <w:basedOn w:val="1"/>
    <w:link w:val="209"/>
    <w:qFormat/>
    <w:uiPriority w:val="0"/>
    <w:pPr>
      <w:spacing w:after="30"/>
      <w:ind w:firstLine="420"/>
      <w:jc w:val="left"/>
    </w:pPr>
    <w:rPr>
      <w:kern w:val="0"/>
      <w:szCs w:val="20"/>
    </w:rPr>
  </w:style>
  <w:style w:type="character" w:styleId="211">
    <w:name w:val="Placeholder Text"/>
    <w:unhideWhenUsed/>
    <w:qFormat/>
    <w:uiPriority w:val="99"/>
    <w:rPr>
      <w:color w:val="808080"/>
    </w:rPr>
  </w:style>
  <w:style w:type="paragraph" w:customStyle="1" w:styleId="212">
    <w:name w:val="正正正正"/>
    <w:basedOn w:val="18"/>
    <w:qFormat/>
    <w:uiPriority w:val="1"/>
    <w:pPr>
      <w:tabs>
        <w:tab w:val="left" w:pos="2812"/>
        <w:tab w:val="left" w:pos="3986"/>
      </w:tabs>
      <w:spacing w:after="0" w:line="360" w:lineRule="exact"/>
      <w:ind w:firstLine="200" w:firstLineChars="200"/>
    </w:pPr>
    <w:rPr>
      <w:rFonts w:ascii="Calibri" w:hAnsi="Calibri"/>
      <w:sz w:val="20"/>
      <w:szCs w:val="21"/>
      <w:lang w:val="en-US" w:eastAsia="en-US"/>
    </w:rPr>
  </w:style>
  <w:style w:type="paragraph" w:customStyle="1" w:styleId="213">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14">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215">
    <w:name w:val="表格文字"/>
    <w:basedOn w:val="19"/>
    <w:qFormat/>
    <w:uiPriority w:val="0"/>
    <w:pPr>
      <w:spacing w:before="25" w:after="25"/>
      <w:jc w:val="left"/>
    </w:pPr>
    <w:rPr>
      <w:bCs/>
      <w:spacing w:val="10"/>
      <w:kern w:val="0"/>
      <w:sz w:val="24"/>
      <w:szCs w:val="20"/>
    </w:rPr>
  </w:style>
  <w:style w:type="paragraph" w:customStyle="1" w:styleId="216">
    <w:name w:val="2"/>
    <w:basedOn w:val="1"/>
    <w:next w:val="25"/>
    <w:qFormat/>
    <w:uiPriority w:val="99"/>
    <w:rPr>
      <w:rFonts w:ascii="宋体" w:hAnsi="Courier New"/>
      <w:szCs w:val="20"/>
    </w:rPr>
  </w:style>
  <w:style w:type="paragraph" w:customStyle="1" w:styleId="217">
    <w:name w:val="BodyText"/>
    <w:basedOn w:val="1"/>
    <w:qFormat/>
    <w:uiPriority w:val="0"/>
    <w:pPr>
      <w:spacing w:line="380" w:lineRule="exact"/>
      <w:jc w:val="both"/>
      <w:textAlignment w:val="baseline"/>
    </w:pPr>
    <w:rPr>
      <w:rFonts w:ascii="Times New Roman" w:hAnsi="Times New Roman" w:eastAsia="宋体"/>
      <w:kern w:val="2"/>
      <w:sz w:val="24"/>
      <w:szCs w:val="24"/>
      <w:lang w:val="en-US" w:eastAsia="zh-CN" w:bidi="ar-SA"/>
    </w:rPr>
  </w:style>
  <w:style w:type="paragraph" w:customStyle="1" w:styleId="218">
    <w:name w:val="Normal_0"/>
    <w:qFormat/>
    <w:uiPriority w:val="0"/>
    <w:rPr>
      <w:rFonts w:ascii="Times New Roman" w:hAnsi="Times New Roman" w:eastAsia="Times New Roman" w:cs="Times New Roman"/>
      <w:sz w:val="24"/>
      <w:szCs w:val="24"/>
      <w:lang w:val="en-US" w:eastAsia="zh-CN" w:bidi="ar-SA"/>
    </w:rPr>
  </w:style>
  <w:style w:type="paragraph" w:customStyle="1" w:styleId="21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0">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1">
    <w:name w:val="标题 3_0"/>
    <w:basedOn w:val="222"/>
    <w:next w:val="222"/>
    <w:qFormat/>
    <w:uiPriority w:val="0"/>
    <w:pPr>
      <w:keepNext/>
      <w:keepLines/>
      <w:spacing w:before="260" w:after="260" w:line="410" w:lineRule="auto"/>
      <w:ind w:firstLine="49" w:firstLineChars="49"/>
      <w:outlineLvl w:val="2"/>
    </w:pPr>
    <w:rPr>
      <w:rFonts w:ascii="黑体" w:hAnsi="Calibri" w:eastAsia="黑体"/>
      <w:sz w:val="28"/>
      <w:szCs w:val="20"/>
    </w:rPr>
  </w:style>
  <w:style w:type="paragraph" w:customStyle="1" w:styleId="222">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3">
    <w:name w:val="普通(网站)_0"/>
    <w:basedOn w:val="219"/>
    <w:qFormat/>
    <w:uiPriority w:val="0"/>
    <w:pPr>
      <w:widowControl/>
      <w:spacing w:before="100" w:beforeAutospacing="1" w:after="100" w:afterAutospacing="1"/>
      <w:jc w:val="left"/>
    </w:pPr>
    <w:rPr>
      <w:rFonts w:ascii="宋体" w:hAnsi="宋体"/>
      <w:kern w:val="0"/>
      <w:sz w:val="24"/>
      <w:szCs w:val="24"/>
    </w:rPr>
  </w:style>
  <w:style w:type="paragraph" w:customStyle="1" w:styleId="224">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5">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8">
    <w:name w:val="正文文本_0"/>
    <w:basedOn w:val="226"/>
    <w:qFormat/>
    <w:uiPriority w:val="99"/>
    <w:pPr>
      <w:spacing w:after="120"/>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102</Pages>
  <Words>27054</Words>
  <Characters>28882</Characters>
  <Lines>932</Lines>
  <Paragraphs>262</Paragraphs>
  <TotalTime>335</TotalTime>
  <ScaleCrop>false</ScaleCrop>
  <LinksUpToDate>false</LinksUpToDate>
  <CharactersWithSpaces>29298</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2024-11-25T02:12:00Z</dcterms:created>
  <dc:creator>唐冰</dc:creator>
  <cp:lastModifiedBy>鱼春</cp:lastModifiedBy>
  <cp:lastPrinted>2024-02-07T00:41:00Z</cp:lastPrinted>
  <dcterms:modified xsi:type="dcterms:W3CDTF">2026-06-30T08:51:17Z</dcterms:modified>
  <dc:title>竞争性谈判文件规范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0286149D9D284FC4844E8A597CE9843E_13</vt:lpwstr>
  </property>
  <property fmtid="{D5CDD505-2E9C-101B-9397-08002B2CF9AE}" pid="4" name="KSOTemplateDocerSaveRecord">
    <vt:lpwstr>eyJoZGlkIjoiNjA3OWYwYTVjNjQ1MTA1ZDdkZmYwZjdiZTU3N2FkMmUiLCJ1c2VySWQiOiI5Mjg5MzEzMjAifQ==</vt:lpwstr>
  </property>
</Properties>
</file>