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62D58">
      <w:pPr>
        <w:spacing w:before="120" w:beforeLines="50" w:line="360" w:lineRule="auto"/>
        <w:jc w:val="center"/>
        <w:rPr>
          <w:rFonts w:ascii="宋体" w:hAnsi="宋体"/>
          <w:sz w:val="52"/>
          <w:szCs w:val="52"/>
        </w:rPr>
      </w:pPr>
    </w:p>
    <w:p w14:paraId="1DC97C8E">
      <w:pPr>
        <w:spacing w:before="120" w:beforeLines="50" w:line="360" w:lineRule="auto"/>
        <w:jc w:val="center"/>
        <w:rPr>
          <w:rFonts w:ascii="宋体" w:hAnsi="宋体" w:cs="宋体"/>
          <w:sz w:val="72"/>
          <w:szCs w:val="72"/>
        </w:rPr>
      </w:pPr>
      <w:r>
        <w:rPr>
          <w:rFonts w:hint="eastAsia" w:ascii="宋体" w:hAnsi="宋体" w:cs="宋体"/>
          <w:sz w:val="72"/>
          <w:szCs w:val="72"/>
        </w:rPr>
        <w:t>广西科联招标中心有限公司</w:t>
      </w:r>
    </w:p>
    <w:p w14:paraId="014CFAD4">
      <w:pPr>
        <w:spacing w:before="120" w:beforeLines="50" w:line="360" w:lineRule="auto"/>
        <w:jc w:val="center"/>
        <w:rPr>
          <w:rFonts w:ascii="仿宋_GB2312" w:hAnsi="宋体" w:eastAsia="仿宋_GB2312"/>
          <w:b/>
          <w:sz w:val="48"/>
          <w:szCs w:val="48"/>
        </w:rPr>
      </w:pPr>
    </w:p>
    <w:p w14:paraId="67AB48AE">
      <w:pPr>
        <w:spacing w:before="120" w:beforeLines="50" w:line="360" w:lineRule="auto"/>
        <w:jc w:val="center"/>
        <w:rPr>
          <w:rFonts w:ascii="仿宋_GB2312" w:hAnsi="宋体" w:eastAsia="仿宋_GB2312"/>
          <w:b/>
          <w:sz w:val="48"/>
          <w:szCs w:val="48"/>
        </w:rPr>
      </w:pPr>
    </w:p>
    <w:p w14:paraId="63555784">
      <w:pPr>
        <w:snapToGrid w:val="0"/>
        <w:spacing w:before="120" w:beforeLines="50" w:line="360" w:lineRule="auto"/>
        <w:jc w:val="center"/>
        <w:rPr>
          <w:rFonts w:ascii="宋体" w:hAnsi="宋体" w:cs="宋体"/>
          <w:sz w:val="72"/>
          <w:szCs w:val="72"/>
        </w:rPr>
      </w:pPr>
      <w:r>
        <w:rPr>
          <w:rFonts w:hint="eastAsia" w:ascii="宋体" w:hAnsi="宋体" w:cs="宋体"/>
          <w:sz w:val="72"/>
          <w:szCs w:val="72"/>
        </w:rPr>
        <w:t>招 标 文 件</w:t>
      </w:r>
    </w:p>
    <w:p w14:paraId="0E335D0B">
      <w:pPr>
        <w:snapToGrid w:val="0"/>
        <w:spacing w:before="120" w:beforeLines="50" w:line="360" w:lineRule="auto"/>
        <w:jc w:val="center"/>
        <w:rPr>
          <w:rFonts w:ascii="仿宋_GB2312" w:hAnsi="宋体" w:eastAsia="仿宋_GB2312"/>
          <w:sz w:val="30"/>
          <w:szCs w:val="72"/>
        </w:rPr>
      </w:pPr>
      <w:r>
        <w:rPr>
          <w:rFonts w:hint="eastAsia" w:ascii="仿宋_GB2312" w:hAnsi="宋体" w:eastAsia="仿宋_GB2312"/>
          <w:sz w:val="30"/>
          <w:szCs w:val="72"/>
        </w:rPr>
        <w:t>（全流程电子化评标）</w:t>
      </w:r>
    </w:p>
    <w:p w14:paraId="362D2554">
      <w:pPr>
        <w:snapToGrid w:val="0"/>
        <w:spacing w:before="120" w:beforeLines="50" w:line="360" w:lineRule="auto"/>
        <w:rPr>
          <w:rFonts w:ascii="仿宋_GB2312" w:hAnsi="宋体" w:eastAsia="仿宋_GB2312"/>
          <w:sz w:val="30"/>
          <w:szCs w:val="72"/>
        </w:rPr>
      </w:pPr>
    </w:p>
    <w:p w14:paraId="00161DED">
      <w:pPr>
        <w:pStyle w:val="13"/>
        <w:snapToGrid w:val="0"/>
        <w:spacing w:before="50" w:after="120" w:line="360" w:lineRule="auto"/>
        <w:ind w:firstLine="2711" w:firstLineChars="900"/>
        <w:rPr>
          <w:rFonts w:hAnsi="宋体" w:cs="宋体"/>
          <w:b/>
          <w:bCs/>
          <w:sz w:val="30"/>
          <w:szCs w:val="30"/>
        </w:rPr>
      </w:pPr>
    </w:p>
    <w:p w14:paraId="206B0DBE">
      <w:pPr>
        <w:pStyle w:val="13"/>
        <w:snapToGrid w:val="0"/>
        <w:spacing w:before="50" w:after="120" w:line="360" w:lineRule="auto"/>
        <w:ind w:firstLine="904" w:firstLineChars="300"/>
        <w:rPr>
          <w:rFonts w:hint="eastAsia" w:hAnsi="宋体" w:eastAsia="宋体" w:cs="宋体"/>
          <w:sz w:val="30"/>
          <w:szCs w:val="30"/>
          <w:lang w:eastAsia="zh-CN"/>
        </w:rPr>
      </w:pPr>
      <w:r>
        <w:rPr>
          <w:rFonts w:hint="eastAsia" w:hAnsi="宋体" w:cs="宋体"/>
          <w:b/>
          <w:bCs/>
          <w:sz w:val="30"/>
          <w:szCs w:val="30"/>
        </w:rPr>
        <w:t>项目</w:t>
      </w:r>
      <w:r>
        <w:rPr>
          <w:rFonts w:hint="eastAsia" w:hAnsi="宋体" w:cs="宋体"/>
          <w:b/>
          <w:bCs/>
          <w:w w:val="95"/>
          <w:sz w:val="30"/>
          <w:szCs w:val="30"/>
        </w:rPr>
        <w:t>名称</w:t>
      </w:r>
      <w:r>
        <w:rPr>
          <w:rFonts w:hint="eastAsia" w:hAnsi="宋体" w:cs="宋体"/>
          <w:b/>
          <w:bCs/>
          <w:sz w:val="30"/>
          <w:szCs w:val="30"/>
        </w:rPr>
        <w:t>：</w:t>
      </w:r>
      <w:r>
        <w:rPr>
          <w:rFonts w:hint="eastAsia" w:hAnsi="宋体" w:cs="宋体"/>
          <w:b/>
          <w:bCs/>
          <w:sz w:val="30"/>
          <w:szCs w:val="30"/>
          <w:lang w:eastAsia="zh-CN"/>
        </w:rPr>
        <w:t>桂林市中西医结合医院安保服务采购项目</w:t>
      </w:r>
    </w:p>
    <w:p w14:paraId="24465B6A">
      <w:pPr>
        <w:pStyle w:val="13"/>
        <w:snapToGrid w:val="0"/>
        <w:spacing w:before="50" w:after="120" w:line="360" w:lineRule="auto"/>
        <w:ind w:firstLine="904" w:firstLineChars="300"/>
        <w:rPr>
          <w:rFonts w:hint="eastAsia" w:hAnsi="宋体" w:eastAsia="宋体" w:cs="宋体"/>
          <w:b/>
          <w:bCs/>
          <w:w w:val="95"/>
          <w:sz w:val="30"/>
          <w:szCs w:val="30"/>
          <w:lang w:eastAsia="zh-CN"/>
        </w:rPr>
      </w:pPr>
      <w:r>
        <w:rPr>
          <w:rFonts w:hint="eastAsia" w:hAnsi="宋体" w:cs="宋体"/>
          <w:b/>
          <w:bCs/>
          <w:sz w:val="30"/>
          <w:szCs w:val="30"/>
        </w:rPr>
        <w:t>项目编号：</w:t>
      </w:r>
      <w:r>
        <w:rPr>
          <w:rFonts w:hint="eastAsia" w:hAnsi="宋体" w:cs="宋体"/>
          <w:b/>
          <w:bCs/>
          <w:sz w:val="30"/>
          <w:szCs w:val="30"/>
          <w:lang w:eastAsia="zh-CN"/>
        </w:rPr>
        <w:t>GLZC2026-G3-990135-GXKL</w:t>
      </w:r>
    </w:p>
    <w:p w14:paraId="465C49E5">
      <w:pPr>
        <w:snapToGrid w:val="0"/>
        <w:spacing w:before="50" w:after="120" w:line="360" w:lineRule="auto"/>
        <w:ind w:firstLine="2576" w:firstLineChars="900"/>
        <w:rPr>
          <w:rFonts w:ascii="宋体" w:hAnsi="宋体" w:cs="宋体"/>
          <w:b/>
          <w:bCs/>
          <w:w w:val="95"/>
          <w:sz w:val="30"/>
          <w:szCs w:val="30"/>
        </w:rPr>
      </w:pPr>
    </w:p>
    <w:p w14:paraId="4879732F">
      <w:pPr>
        <w:snapToGrid w:val="0"/>
        <w:spacing w:before="50" w:after="120" w:line="360" w:lineRule="auto"/>
        <w:ind w:firstLine="2576" w:firstLineChars="900"/>
        <w:rPr>
          <w:rFonts w:hint="eastAsia" w:ascii="宋体" w:hAnsi="宋体" w:eastAsia="宋体" w:cs="宋体"/>
          <w:b/>
          <w:bCs/>
          <w:w w:val="95"/>
          <w:sz w:val="30"/>
          <w:szCs w:val="30"/>
          <w:lang w:eastAsia="zh-CN"/>
        </w:rPr>
      </w:pPr>
      <w:r>
        <w:rPr>
          <w:rFonts w:hint="eastAsia" w:ascii="宋体" w:hAnsi="宋体" w:cs="宋体"/>
          <w:b/>
          <w:bCs/>
          <w:w w:val="95"/>
          <w:sz w:val="30"/>
          <w:szCs w:val="30"/>
        </w:rPr>
        <w:t>采购人：</w:t>
      </w:r>
      <w:r>
        <w:rPr>
          <w:rFonts w:hint="eastAsia" w:ascii="宋体" w:hAnsi="宋体" w:cs="宋体"/>
          <w:b/>
          <w:bCs/>
          <w:w w:val="95"/>
          <w:sz w:val="30"/>
          <w:szCs w:val="30"/>
          <w:lang w:eastAsia="zh-CN"/>
        </w:rPr>
        <w:t>桂林市中西医结合医院</w:t>
      </w:r>
    </w:p>
    <w:p w14:paraId="1F46CF66">
      <w:pPr>
        <w:snapToGrid w:val="0"/>
        <w:spacing w:before="50" w:after="120" w:line="360" w:lineRule="auto"/>
        <w:ind w:firstLine="2576" w:firstLineChars="900"/>
        <w:rPr>
          <w:rFonts w:ascii="宋体" w:hAnsi="宋体" w:cs="宋体"/>
          <w:b/>
          <w:bCs/>
          <w:w w:val="95"/>
          <w:sz w:val="30"/>
          <w:szCs w:val="30"/>
        </w:rPr>
      </w:pPr>
      <w:r>
        <w:rPr>
          <w:rFonts w:hint="eastAsia" w:ascii="宋体" w:hAnsi="宋体" w:cs="宋体"/>
          <w:b/>
          <w:bCs/>
          <w:w w:val="95"/>
          <w:sz w:val="30"/>
          <w:szCs w:val="30"/>
        </w:rPr>
        <w:t>采购代理机构：</w:t>
      </w:r>
      <w:bookmarkStart w:id="0" w:name="PO_3000001866_PM031"/>
      <w:r>
        <w:rPr>
          <w:rFonts w:hint="eastAsia" w:ascii="宋体" w:hAnsi="宋体" w:cs="宋体"/>
          <w:b/>
          <w:bCs/>
          <w:w w:val="95"/>
          <w:sz w:val="30"/>
          <w:szCs w:val="30"/>
        </w:rPr>
        <w:t>广西科联招标中心有限公司</w:t>
      </w:r>
      <w:bookmarkEnd w:id="0"/>
    </w:p>
    <w:p w14:paraId="294174DF">
      <w:pPr>
        <w:pStyle w:val="13"/>
        <w:snapToGrid w:val="0"/>
        <w:spacing w:before="50" w:after="120" w:line="360" w:lineRule="auto"/>
        <w:ind w:firstLine="4006" w:firstLineChars="1400"/>
        <w:rPr>
          <w:rFonts w:hAnsi="宋体" w:cs="宋体"/>
          <w:b/>
          <w:bCs/>
          <w:w w:val="95"/>
          <w:sz w:val="30"/>
          <w:szCs w:val="30"/>
        </w:rPr>
      </w:pPr>
      <w:r>
        <w:rPr>
          <w:rFonts w:hint="eastAsia" w:hAnsi="宋体" w:cs="宋体"/>
          <w:b/>
          <w:bCs/>
          <w:w w:val="95"/>
          <w:sz w:val="30"/>
          <w:szCs w:val="30"/>
        </w:rPr>
        <w:t xml:space="preserve"> 2026年</w:t>
      </w:r>
      <w:r>
        <w:rPr>
          <w:rFonts w:hint="eastAsia" w:hAnsi="宋体" w:cs="宋体"/>
          <w:b/>
          <w:bCs/>
          <w:w w:val="95"/>
          <w:sz w:val="30"/>
          <w:szCs w:val="30"/>
          <w:lang w:val="en-US" w:eastAsia="zh-CN"/>
        </w:rPr>
        <w:t>4</w:t>
      </w:r>
      <w:r>
        <w:rPr>
          <w:rFonts w:hint="eastAsia" w:hAnsi="宋体" w:cs="宋体"/>
          <w:b/>
          <w:bCs/>
          <w:w w:val="95"/>
          <w:sz w:val="30"/>
          <w:szCs w:val="30"/>
        </w:rPr>
        <w:t>月</w:t>
      </w:r>
      <w:r>
        <w:rPr>
          <w:rFonts w:hint="eastAsia" w:hAnsi="宋体" w:cs="宋体"/>
          <w:b/>
          <w:bCs/>
          <w:w w:val="95"/>
          <w:sz w:val="30"/>
          <w:szCs w:val="30"/>
          <w:lang w:val="en-US" w:eastAsia="zh-CN"/>
        </w:rPr>
        <w:t>27</w:t>
      </w:r>
      <w:r>
        <w:rPr>
          <w:rFonts w:hint="eastAsia" w:hAnsi="宋体" w:cs="宋体"/>
          <w:b/>
          <w:bCs/>
          <w:w w:val="95"/>
          <w:sz w:val="30"/>
          <w:szCs w:val="30"/>
        </w:rPr>
        <w:t>日</w:t>
      </w:r>
    </w:p>
    <w:p w14:paraId="43E7C286">
      <w:pPr>
        <w:widowControl/>
        <w:spacing w:line="360" w:lineRule="auto"/>
        <w:rPr>
          <w:rFonts w:ascii="宋体" w:hAnsi="宋体" w:cs="宋体"/>
          <w:b/>
          <w:bCs/>
          <w:w w:val="95"/>
          <w:sz w:val="30"/>
          <w:szCs w:val="30"/>
        </w:rPr>
        <w:sectPr>
          <w:headerReference r:id="rId3" w:type="default"/>
          <w:pgSz w:w="11905" w:h="16838"/>
          <w:pgMar w:top="1134" w:right="1134" w:bottom="1134" w:left="1134" w:header="850" w:footer="850" w:gutter="0"/>
          <w:pgNumType w:start="1"/>
          <w:cols w:space="0" w:num="1"/>
          <w:titlePg/>
          <w:docGrid w:linePitch="331" w:charSpace="0"/>
        </w:sectPr>
      </w:pPr>
    </w:p>
    <w:p w14:paraId="743E083B">
      <w:pPr>
        <w:pStyle w:val="13"/>
        <w:jc w:val="center"/>
        <w:rPr>
          <w:rFonts w:ascii="Times New Roman" w:hAnsi="Times New Roman"/>
          <w:b/>
          <w:sz w:val="48"/>
          <w:szCs w:val="48"/>
        </w:rPr>
      </w:pPr>
      <w:r>
        <w:rPr>
          <w:rFonts w:hint="eastAsia" w:ascii="Times New Roman" w:hAnsi="Times New Roman"/>
          <w:b/>
          <w:sz w:val="48"/>
          <w:szCs w:val="48"/>
        </w:rPr>
        <w:t>目</w:t>
      </w:r>
      <w:r>
        <w:rPr>
          <w:rFonts w:ascii="Times New Roman" w:hAnsi="Times New Roman"/>
          <w:b/>
          <w:sz w:val="48"/>
          <w:szCs w:val="48"/>
        </w:rPr>
        <w:t xml:space="preserve">     </w:t>
      </w:r>
      <w:r>
        <w:rPr>
          <w:rFonts w:hint="eastAsia" w:ascii="Times New Roman" w:hAnsi="Times New Roman"/>
          <w:b/>
          <w:sz w:val="48"/>
          <w:szCs w:val="48"/>
        </w:rPr>
        <w:t>录</w:t>
      </w:r>
    </w:p>
    <w:p w14:paraId="3570C64B">
      <w:pPr>
        <w:pStyle w:val="16"/>
        <w:tabs>
          <w:tab w:val="right" w:leader="dot" w:pos="9637"/>
        </w:tabs>
      </w:pPr>
    </w:p>
    <w:p w14:paraId="25D47C72">
      <w:pPr>
        <w:pStyle w:val="16"/>
        <w:tabs>
          <w:tab w:val="right" w:leader="dot" w:pos="9637"/>
        </w:tabs>
        <w:rPr>
          <w:rFonts w:ascii="宋体" w:hAnsi="宋体" w:cs="宋体"/>
          <w:sz w:val="24"/>
          <w:szCs w:val="24"/>
        </w:rPr>
      </w:pPr>
      <w:r>
        <w:fldChar w:fldCharType="begin"/>
      </w:r>
      <w:r>
        <w:instrText xml:space="preserve">TOC \o "1-1" \h \u </w:instrText>
      </w:r>
      <w:r>
        <w:fldChar w:fldCharType="separate"/>
      </w:r>
      <w:r>
        <w:fldChar w:fldCharType="begin"/>
      </w:r>
      <w:r>
        <w:instrText xml:space="preserve"> HYPERLINK \l "_Toc16222"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_Toc16222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7649C5AF">
      <w:pPr>
        <w:pStyle w:val="16"/>
        <w:tabs>
          <w:tab w:val="right" w:leader="dot" w:pos="9637"/>
        </w:tabs>
        <w:rPr>
          <w:rFonts w:ascii="宋体" w:hAnsi="宋体" w:cs="宋体"/>
          <w:sz w:val="24"/>
          <w:szCs w:val="24"/>
        </w:rPr>
      </w:pPr>
      <w:r>
        <w:fldChar w:fldCharType="begin"/>
      </w:r>
      <w:r>
        <w:instrText xml:space="preserve"> HYPERLINK \l "_Toc8382" </w:instrText>
      </w:r>
      <w:r>
        <w:fldChar w:fldCharType="separate"/>
      </w:r>
      <w:r>
        <w:rPr>
          <w:rFonts w:hint="eastAsia" w:ascii="宋体" w:hAnsi="宋体" w:cs="宋体"/>
          <w:sz w:val="24"/>
          <w:szCs w:val="24"/>
        </w:rPr>
        <w:t>第二章  采购需求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_Toc8382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720C0F47">
      <w:pPr>
        <w:pStyle w:val="16"/>
        <w:tabs>
          <w:tab w:val="right" w:leader="dot" w:pos="9637"/>
        </w:tabs>
        <w:rPr>
          <w:rFonts w:ascii="宋体" w:hAnsi="宋体" w:cs="宋体"/>
          <w:sz w:val="24"/>
          <w:szCs w:val="24"/>
        </w:rPr>
      </w:pPr>
      <w:r>
        <w:fldChar w:fldCharType="begin"/>
      </w:r>
      <w:r>
        <w:instrText xml:space="preserve"> HYPERLINK \l "_Toc15364" </w:instrText>
      </w:r>
      <w:r>
        <w:fldChar w:fldCharType="separate"/>
      </w:r>
      <w:r>
        <w:rPr>
          <w:rFonts w:hint="eastAsia" w:ascii="宋体" w:hAnsi="宋体" w:cs="宋体"/>
          <w:sz w:val="24"/>
          <w:szCs w:val="24"/>
        </w:rPr>
        <w:t>第三章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_Toc15364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14:paraId="42467CC2">
      <w:pPr>
        <w:pStyle w:val="16"/>
        <w:tabs>
          <w:tab w:val="right" w:leader="dot" w:pos="9637"/>
        </w:tabs>
        <w:rPr>
          <w:rFonts w:ascii="宋体" w:hAnsi="宋体" w:cs="宋体"/>
          <w:sz w:val="24"/>
          <w:szCs w:val="24"/>
        </w:rPr>
      </w:pPr>
      <w:r>
        <w:fldChar w:fldCharType="begin"/>
      </w:r>
      <w:r>
        <w:instrText xml:space="preserve"> HYPERLINK \l "_Toc10034" </w:instrText>
      </w:r>
      <w:r>
        <w:fldChar w:fldCharType="separate"/>
      </w:r>
      <w:r>
        <w:rPr>
          <w:rFonts w:hint="eastAsia" w:ascii="宋体" w:hAnsi="宋体" w:cs="宋体"/>
          <w:sz w:val="24"/>
          <w:szCs w:val="24"/>
        </w:rPr>
        <w:t>第四章  评标方法和评标标准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_Toc10034 </w:instrText>
      </w:r>
      <w:r>
        <w:rPr>
          <w:rFonts w:hint="eastAsia" w:ascii="宋体" w:hAnsi="宋体" w:cs="宋体"/>
          <w:sz w:val="24"/>
          <w:szCs w:val="24"/>
        </w:rPr>
        <w:fldChar w:fldCharType="separate"/>
      </w:r>
      <w:r>
        <w:rPr>
          <w:rFonts w:hint="eastAsia" w:ascii="宋体" w:hAnsi="宋体" w:cs="宋体"/>
          <w:sz w:val="24"/>
          <w:szCs w:val="24"/>
        </w:rPr>
        <w:t>36</w:t>
      </w:r>
      <w:r>
        <w:rPr>
          <w:rFonts w:hint="eastAsia" w:ascii="宋体" w:hAnsi="宋体" w:cs="宋体"/>
          <w:sz w:val="24"/>
          <w:szCs w:val="24"/>
        </w:rPr>
        <w:fldChar w:fldCharType="end"/>
      </w:r>
      <w:r>
        <w:rPr>
          <w:rFonts w:hint="eastAsia" w:ascii="宋体" w:hAnsi="宋体" w:cs="宋体"/>
          <w:sz w:val="24"/>
          <w:szCs w:val="24"/>
        </w:rPr>
        <w:fldChar w:fldCharType="end"/>
      </w:r>
    </w:p>
    <w:p w14:paraId="040F24D2">
      <w:pPr>
        <w:pStyle w:val="16"/>
        <w:tabs>
          <w:tab w:val="right" w:leader="dot" w:pos="9637"/>
        </w:tabs>
        <w:rPr>
          <w:rFonts w:ascii="宋体" w:hAnsi="宋体" w:cs="宋体"/>
          <w:sz w:val="24"/>
          <w:szCs w:val="24"/>
        </w:rPr>
      </w:pPr>
      <w:r>
        <w:fldChar w:fldCharType="begin"/>
      </w:r>
      <w:r>
        <w:instrText xml:space="preserve"> HYPERLINK \l "_Toc32021"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_Toc32021 </w:instrText>
      </w:r>
      <w:r>
        <w:rPr>
          <w:rFonts w:hint="eastAsia" w:ascii="宋体" w:hAnsi="宋体" w:cs="宋体"/>
          <w:sz w:val="24"/>
          <w:szCs w:val="24"/>
        </w:rPr>
        <w:fldChar w:fldCharType="separate"/>
      </w:r>
      <w:r>
        <w:rPr>
          <w:rFonts w:hint="eastAsia" w:ascii="宋体" w:hAnsi="宋体" w:cs="宋体"/>
          <w:sz w:val="24"/>
          <w:szCs w:val="24"/>
        </w:rPr>
        <w:t>44</w:t>
      </w:r>
      <w:r>
        <w:rPr>
          <w:rFonts w:hint="eastAsia" w:ascii="宋体" w:hAnsi="宋体" w:cs="宋体"/>
          <w:sz w:val="24"/>
          <w:szCs w:val="24"/>
        </w:rPr>
        <w:fldChar w:fldCharType="end"/>
      </w:r>
      <w:r>
        <w:rPr>
          <w:rFonts w:hint="eastAsia" w:ascii="宋体" w:hAnsi="宋体" w:cs="宋体"/>
          <w:sz w:val="24"/>
          <w:szCs w:val="24"/>
        </w:rPr>
        <w:fldChar w:fldCharType="end"/>
      </w:r>
    </w:p>
    <w:p w14:paraId="49E16B79">
      <w:pPr>
        <w:pStyle w:val="16"/>
        <w:tabs>
          <w:tab w:val="right" w:leader="dot" w:pos="9637"/>
        </w:tabs>
        <w:rPr>
          <w:rFonts w:ascii="宋体" w:hAnsi="宋体" w:cs="宋体"/>
          <w:sz w:val="24"/>
          <w:szCs w:val="24"/>
        </w:rPr>
      </w:pPr>
      <w:r>
        <w:fldChar w:fldCharType="begin"/>
      </w:r>
      <w:r>
        <w:instrText xml:space="preserve"> HYPERLINK \l "_Toc2517" </w:instrText>
      </w:r>
      <w:r>
        <w:fldChar w:fldCharType="separate"/>
      </w:r>
      <w:r>
        <w:rPr>
          <w:rFonts w:hint="eastAsia" w:ascii="宋体" w:hAnsi="宋体" w:cs="宋体"/>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_Toc2517 </w:instrText>
      </w:r>
      <w:r>
        <w:rPr>
          <w:rFonts w:hint="eastAsia" w:ascii="宋体" w:hAnsi="宋体" w:cs="宋体"/>
          <w:sz w:val="24"/>
          <w:szCs w:val="24"/>
        </w:rPr>
        <w:fldChar w:fldCharType="separate"/>
      </w:r>
      <w:r>
        <w:rPr>
          <w:rFonts w:hint="eastAsia" w:ascii="宋体" w:hAnsi="宋体" w:cs="宋体"/>
          <w:sz w:val="24"/>
          <w:szCs w:val="24"/>
        </w:rPr>
        <w:t>55</w:t>
      </w:r>
      <w:r>
        <w:rPr>
          <w:rFonts w:hint="eastAsia" w:ascii="宋体" w:hAnsi="宋体" w:cs="宋体"/>
          <w:sz w:val="24"/>
          <w:szCs w:val="24"/>
        </w:rPr>
        <w:fldChar w:fldCharType="end"/>
      </w:r>
      <w:r>
        <w:rPr>
          <w:rFonts w:hint="eastAsia" w:ascii="宋体" w:hAnsi="宋体" w:cs="宋体"/>
          <w:sz w:val="24"/>
          <w:szCs w:val="24"/>
        </w:rPr>
        <w:fldChar w:fldCharType="end"/>
      </w:r>
    </w:p>
    <w:p w14:paraId="5C29852F">
      <w:pPr>
        <w:pStyle w:val="16"/>
        <w:tabs>
          <w:tab w:val="right" w:leader="dot" w:pos="9637"/>
        </w:tabs>
      </w:pPr>
      <w:r>
        <w:fldChar w:fldCharType="begin"/>
      </w:r>
      <w:r>
        <w:instrText xml:space="preserve"> HYPERLINK \l "_Toc31310" </w:instrText>
      </w:r>
      <w:r>
        <w:fldChar w:fldCharType="separate"/>
      </w:r>
      <w:r>
        <w:rPr>
          <w:rFonts w:hint="eastAsia" w:ascii="宋体" w:hAnsi="宋体" w:cs="宋体"/>
          <w:sz w:val="24"/>
          <w:szCs w:val="24"/>
        </w:rPr>
        <w:t>第七章 质疑、投诉材料格式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_Toc31310 </w:instrText>
      </w:r>
      <w:r>
        <w:rPr>
          <w:rFonts w:hint="eastAsia" w:ascii="宋体" w:hAnsi="宋体" w:cs="宋体"/>
          <w:sz w:val="24"/>
          <w:szCs w:val="24"/>
        </w:rPr>
        <w:fldChar w:fldCharType="separate"/>
      </w:r>
      <w:r>
        <w:rPr>
          <w:rFonts w:hint="eastAsia" w:ascii="宋体" w:hAnsi="宋体" w:cs="宋体"/>
          <w:sz w:val="24"/>
          <w:szCs w:val="24"/>
        </w:rPr>
        <w:t>82</w:t>
      </w:r>
      <w:r>
        <w:rPr>
          <w:rFonts w:hint="eastAsia" w:ascii="宋体" w:hAnsi="宋体" w:cs="宋体"/>
          <w:sz w:val="24"/>
          <w:szCs w:val="24"/>
        </w:rPr>
        <w:fldChar w:fldCharType="end"/>
      </w:r>
      <w:r>
        <w:rPr>
          <w:rFonts w:hint="eastAsia" w:ascii="宋体" w:hAnsi="宋体" w:cs="宋体"/>
          <w:sz w:val="24"/>
          <w:szCs w:val="24"/>
        </w:rPr>
        <w:fldChar w:fldCharType="end"/>
      </w:r>
    </w:p>
    <w:p w14:paraId="447636ED">
      <w:pPr>
        <w:pStyle w:val="13"/>
        <w:jc w:val="center"/>
      </w:pPr>
      <w:r>
        <w:fldChar w:fldCharType="end"/>
      </w:r>
      <w:r>
        <w:rPr>
          <w:rFonts w:hint="eastAsia"/>
        </w:rPr>
        <w:tab/>
      </w:r>
      <w:bookmarkStart w:id="1" w:name="_Toc532545041"/>
    </w:p>
    <w:p w14:paraId="6E88F474">
      <w:r>
        <w:rPr>
          <w:rFonts w:hint="eastAsia"/>
        </w:rPr>
        <w:br w:type="page"/>
      </w:r>
    </w:p>
    <w:p w14:paraId="78F082F2">
      <w:pPr>
        <w:pStyle w:val="13"/>
        <w:jc w:val="center"/>
        <w:outlineLvl w:val="0"/>
        <w:rPr>
          <w:rFonts w:ascii="Times New Roman" w:hAnsi="Times New Roman"/>
          <w:b/>
          <w:sz w:val="36"/>
        </w:rPr>
      </w:pPr>
      <w:bookmarkStart w:id="2" w:name="_Toc11500"/>
      <w:bookmarkStart w:id="3" w:name="_Toc18459"/>
      <w:bookmarkStart w:id="4" w:name="_Toc12228"/>
      <w:bookmarkStart w:id="5" w:name="_Toc8345"/>
      <w:bookmarkStart w:id="6" w:name="_Toc184"/>
      <w:bookmarkStart w:id="7" w:name="_Toc9949"/>
      <w:bookmarkStart w:id="8" w:name="_Toc19537"/>
      <w:bookmarkStart w:id="9" w:name="_Toc18707"/>
      <w:bookmarkStart w:id="10" w:name="_Toc16222"/>
      <w:bookmarkStart w:id="11" w:name="_Toc16576"/>
      <w:bookmarkStart w:id="12" w:name="_Toc20258"/>
      <w:r>
        <w:rPr>
          <w:rFonts w:hint="eastAsia" w:ascii="Times New Roman" w:hAnsi="Times New Roman"/>
          <w:b/>
          <w:sz w:val="36"/>
        </w:rPr>
        <w:t>第一章</w:t>
      </w:r>
      <w:r>
        <w:rPr>
          <w:rFonts w:ascii="Times New Roman" w:hAnsi="Times New Roman"/>
          <w:b/>
          <w:sz w:val="36"/>
        </w:rPr>
        <w:t xml:space="preserve">  </w:t>
      </w:r>
      <w:r>
        <w:rPr>
          <w:rFonts w:hint="eastAsia" w:ascii="Times New Roman" w:hAnsi="Times New Roman"/>
          <w:b/>
          <w:sz w:val="36"/>
        </w:rPr>
        <w:t>招标公告</w:t>
      </w:r>
      <w:bookmarkEnd w:id="1"/>
      <w:bookmarkEnd w:id="2"/>
      <w:bookmarkEnd w:id="3"/>
      <w:bookmarkEnd w:id="4"/>
      <w:bookmarkEnd w:id="5"/>
      <w:bookmarkEnd w:id="6"/>
      <w:bookmarkEnd w:id="7"/>
      <w:bookmarkEnd w:id="8"/>
      <w:bookmarkEnd w:id="9"/>
      <w:bookmarkEnd w:id="10"/>
      <w:bookmarkEnd w:id="11"/>
      <w:bookmarkEnd w:id="12"/>
    </w:p>
    <w:p w14:paraId="78DD20AE">
      <w:pPr>
        <w:pStyle w:val="13"/>
        <w:jc w:val="center"/>
        <w:rPr>
          <w:rFonts w:ascii="Times New Roman" w:hAnsi="Times New Roman"/>
          <w:b/>
          <w:sz w:val="30"/>
          <w:szCs w:val="30"/>
        </w:rPr>
      </w:pPr>
    </w:p>
    <w:p w14:paraId="7A0BB89E">
      <w:pPr>
        <w:pStyle w:val="13"/>
        <w:jc w:val="center"/>
        <w:rPr>
          <w:rFonts w:ascii="Times New Roman" w:hAnsi="Times New Roman"/>
          <w:b/>
          <w:sz w:val="30"/>
          <w:szCs w:val="30"/>
        </w:rPr>
      </w:pPr>
      <w:r>
        <w:rPr>
          <w:rFonts w:hint="eastAsia" w:ascii="Times New Roman" w:hAnsi="Times New Roman"/>
          <w:b/>
          <w:sz w:val="30"/>
          <w:szCs w:val="30"/>
        </w:rPr>
        <w:t>招标公告</w:t>
      </w:r>
    </w:p>
    <w:p w14:paraId="6DE954D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rPr>
        <w:t>项目概况</w:t>
      </w:r>
    </w:p>
    <w:p w14:paraId="7E3CE50B">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szCs w:val="21"/>
          <w:u w:val="single"/>
        </w:rPr>
      </w:pPr>
      <w:r>
        <w:rPr>
          <w:rFonts w:hint="eastAsia" w:ascii="宋体" w:hAnsi="宋体" w:cs="宋体"/>
          <w:szCs w:val="21"/>
        </w:rPr>
        <w:t> 桂林市中西医结合医院安保服务采购项目招标项目的潜在投标人应在广西政府采购云平台（https://www.gcy.zfcg.gxzf.gov.cn/）获取招标文件，并于2026年05月18日 09:30（北京时间）前递交投标文件。</w:t>
      </w:r>
    </w:p>
    <w:p w14:paraId="0AE81A66">
      <w:pPr>
        <w:spacing w:line="360" w:lineRule="auto"/>
        <w:rPr>
          <w:rFonts w:ascii="黑体" w:hAnsi="黑体" w:eastAsia="黑体"/>
          <w:b/>
          <w:bCs/>
          <w:color w:val="000000"/>
          <w:sz w:val="24"/>
        </w:rPr>
      </w:pPr>
      <w:bookmarkStart w:id="13" w:name="_Toc28359079"/>
      <w:bookmarkStart w:id="14" w:name="_Toc35393621"/>
      <w:bookmarkStart w:id="15" w:name="_Toc35393790"/>
      <w:bookmarkStart w:id="16" w:name="_Toc28359002"/>
      <w:bookmarkStart w:id="17" w:name="_Hlk24379207"/>
      <w:r>
        <w:rPr>
          <w:rFonts w:hint="eastAsia" w:ascii="黑体" w:hAnsi="黑体" w:eastAsia="黑体"/>
          <w:b/>
          <w:bCs/>
          <w:color w:val="000000"/>
          <w:sz w:val="24"/>
        </w:rPr>
        <w:t>一、项目基本情况</w:t>
      </w:r>
      <w:bookmarkEnd w:id="13"/>
      <w:bookmarkEnd w:id="14"/>
      <w:bookmarkEnd w:id="15"/>
      <w:bookmarkEnd w:id="16"/>
    </w:p>
    <w:p w14:paraId="237853DE">
      <w:pPr>
        <w:spacing w:line="360" w:lineRule="auto"/>
        <w:ind w:firstLine="420" w:firstLineChars="200"/>
        <w:rPr>
          <w:rFonts w:ascii="宋体" w:hAnsi="宋体"/>
          <w:color w:val="000000"/>
          <w:szCs w:val="21"/>
        </w:rPr>
      </w:pPr>
      <w:r>
        <w:rPr>
          <w:rFonts w:hint="eastAsia" w:ascii="宋体" w:hAnsi="宋体"/>
          <w:color w:val="000000"/>
          <w:szCs w:val="21"/>
        </w:rPr>
        <w:t>项目编号：</w:t>
      </w:r>
      <w:r>
        <w:rPr>
          <w:rFonts w:hint="eastAsia" w:ascii="宋体" w:hAnsi="宋体"/>
          <w:color w:val="000000"/>
          <w:szCs w:val="21"/>
          <w:lang w:eastAsia="zh-CN"/>
        </w:rPr>
        <w:t>GLZC2026-G3-990135-GXKL</w:t>
      </w:r>
      <w:r>
        <w:rPr>
          <w:rFonts w:hint="eastAsia" w:ascii="宋体" w:hAnsi="宋体"/>
          <w:color w:val="000000"/>
          <w:szCs w:val="21"/>
        </w:rPr>
        <w:t xml:space="preserve"> </w:t>
      </w:r>
    </w:p>
    <w:p w14:paraId="0191541A">
      <w:pPr>
        <w:spacing w:line="360" w:lineRule="auto"/>
        <w:ind w:firstLine="420" w:firstLineChars="200"/>
        <w:rPr>
          <w:rFonts w:ascii="宋体" w:hAnsi="宋体"/>
          <w:color w:val="000000"/>
          <w:szCs w:val="21"/>
        </w:rPr>
      </w:pPr>
      <w:r>
        <w:rPr>
          <w:rFonts w:hint="eastAsia" w:ascii="宋体" w:hAnsi="宋体"/>
          <w:color w:val="000000"/>
          <w:szCs w:val="21"/>
        </w:rPr>
        <w:t>项目名称：</w:t>
      </w:r>
      <w:bookmarkEnd w:id="17"/>
      <w:r>
        <w:rPr>
          <w:rFonts w:hint="eastAsia" w:ascii="宋体" w:hAnsi="宋体"/>
          <w:color w:val="000000"/>
          <w:szCs w:val="21"/>
          <w:lang w:eastAsia="zh-CN"/>
        </w:rPr>
        <w:t>桂林市中西医结合医院安保服务采购项目</w:t>
      </w:r>
      <w:r>
        <w:rPr>
          <w:rFonts w:hint="eastAsia" w:ascii="宋体" w:hAnsi="宋体"/>
          <w:color w:val="000000"/>
          <w:szCs w:val="21"/>
        </w:rPr>
        <w:t xml:space="preserve"> </w:t>
      </w:r>
    </w:p>
    <w:p w14:paraId="4AFFC05C">
      <w:pPr>
        <w:ind w:firstLine="420" w:firstLineChars="200"/>
        <w:rPr>
          <w:rFonts w:hint="eastAsia" w:ascii="宋体" w:hAnsi="宋体" w:eastAsia="宋体" w:cs="宋体"/>
          <w:szCs w:val="21"/>
          <w:lang w:eastAsia="zh-CN"/>
        </w:rPr>
      </w:pPr>
      <w:r>
        <w:rPr>
          <w:rFonts w:hint="eastAsia" w:ascii="宋体" w:hAnsi="宋体" w:cs="宋体"/>
          <w:szCs w:val="21"/>
        </w:rPr>
        <w:t>预算总金额（元）：</w:t>
      </w:r>
      <w:r>
        <w:rPr>
          <w:rFonts w:hint="eastAsia" w:ascii="宋体" w:hAnsi="宋体" w:cs="宋体"/>
          <w:lang w:eastAsia="zh-CN"/>
        </w:rPr>
        <w:t>881400.00</w:t>
      </w:r>
    </w:p>
    <w:p w14:paraId="41C0D05F">
      <w:pPr>
        <w:ind w:left="420" w:leftChars="200"/>
        <w:rPr>
          <w:rFonts w:ascii="宋体" w:hAnsi="宋体" w:cs="宋体"/>
          <w:i/>
          <w:iCs/>
          <w:highlight w:val="yellow"/>
        </w:rPr>
      </w:pPr>
    </w:p>
    <w:p w14:paraId="3883F849">
      <w:pPr>
        <w:ind w:left="420" w:leftChars="200"/>
        <w:rPr>
          <w:rFonts w:ascii="宋体" w:hAnsi="宋体" w:cs="宋体"/>
          <w:b/>
          <w:bCs/>
        </w:rPr>
      </w:pPr>
      <w:r>
        <w:rPr>
          <w:rFonts w:hint="eastAsia" w:ascii="宋体" w:hAnsi="宋体" w:cs="宋体"/>
          <w:b/>
          <w:bCs/>
        </w:rPr>
        <w:t>采购需求：</w:t>
      </w:r>
    </w:p>
    <w:p w14:paraId="238E83D8">
      <w:pPr>
        <w:ind w:left="420" w:leftChars="200"/>
        <w:rPr>
          <w:rFonts w:ascii="宋体" w:hAnsi="宋体" w:cs="宋体"/>
        </w:rPr>
      </w:pPr>
    </w:p>
    <w:p w14:paraId="658885F5">
      <w:pPr>
        <w:ind w:left="420" w:leftChars="200"/>
        <w:rPr>
          <w:rFonts w:hint="eastAsia" w:ascii="宋体" w:hAnsi="宋体" w:eastAsia="宋体" w:cs="宋体"/>
          <w:lang w:eastAsia="zh-CN"/>
        </w:rPr>
      </w:pPr>
      <w:r>
        <w:rPr>
          <w:rFonts w:hint="eastAsia" w:ascii="宋体" w:hAnsi="宋体" w:cs="宋体"/>
        </w:rPr>
        <w:t>标项名称:</w:t>
      </w:r>
      <w:r>
        <w:rPr>
          <w:rFonts w:hint="eastAsia" w:ascii="宋体" w:hAnsi="宋体"/>
          <w:color w:val="000000"/>
          <w:szCs w:val="21"/>
          <w:lang w:eastAsia="zh-CN"/>
        </w:rPr>
        <w:t>桂林市中西医结合医院安保服务采购项目</w:t>
      </w:r>
    </w:p>
    <w:p w14:paraId="5C71E7D7">
      <w:pPr>
        <w:ind w:left="420" w:leftChars="200"/>
        <w:rPr>
          <w:rFonts w:ascii="宋体" w:hAnsi="宋体" w:cs="宋体"/>
        </w:rPr>
      </w:pPr>
      <w:r>
        <w:rPr>
          <w:rFonts w:hint="eastAsia" w:ascii="宋体" w:hAnsi="宋体" w:cs="宋体"/>
        </w:rPr>
        <w:t>数量:1项</w:t>
      </w:r>
    </w:p>
    <w:p w14:paraId="50BDD815">
      <w:pPr>
        <w:ind w:left="420" w:leftChars="200"/>
        <w:rPr>
          <w:rFonts w:hint="eastAsia" w:ascii="宋体" w:hAnsi="宋体" w:eastAsia="宋体" w:cs="宋体"/>
          <w:lang w:eastAsia="zh-CN"/>
        </w:rPr>
      </w:pPr>
      <w:r>
        <w:rPr>
          <w:rFonts w:hint="eastAsia" w:ascii="宋体" w:hAnsi="宋体" w:cs="宋体"/>
        </w:rPr>
        <w:t>预算金额（元）:</w:t>
      </w:r>
      <w:r>
        <w:rPr>
          <w:rFonts w:hint="eastAsia" w:ascii="宋体" w:hAnsi="宋体" w:cs="宋体"/>
          <w:lang w:eastAsia="zh-CN"/>
        </w:rPr>
        <w:t>881400.00</w:t>
      </w:r>
    </w:p>
    <w:p w14:paraId="3A9499D1">
      <w:pPr>
        <w:ind w:left="420" w:leftChars="200"/>
        <w:rPr>
          <w:rFonts w:ascii="宋体" w:hAnsi="宋体" w:cs="宋体"/>
        </w:rPr>
      </w:pPr>
      <w:r>
        <w:rPr>
          <w:rFonts w:hint="eastAsia" w:ascii="宋体" w:hAnsi="宋体" w:cs="宋体"/>
        </w:rPr>
        <w:t>简要规格描述或项目基本概况介绍、用途：</w:t>
      </w:r>
      <w:r>
        <w:rPr>
          <w:rFonts w:hint="eastAsia" w:ascii="宋体" w:hAnsi="宋体"/>
          <w:color w:val="000000"/>
          <w:szCs w:val="21"/>
          <w:lang w:eastAsia="zh-CN"/>
        </w:rPr>
        <w:t>桂林市中西医结合医院安保服务采购项目</w:t>
      </w:r>
      <w:r>
        <w:rPr>
          <w:rFonts w:hint="eastAsia" w:ascii="宋体" w:hAnsi="宋体"/>
          <w:color w:val="000000"/>
          <w:szCs w:val="21"/>
        </w:rPr>
        <w:t>1项，</w:t>
      </w:r>
      <w:r>
        <w:rPr>
          <w:color w:val="000000" w:themeColor="text1"/>
          <w:szCs w:val="21"/>
          <w14:textFill>
            <w14:solidFill>
              <w14:schemeClr w14:val="tx1"/>
            </w14:solidFill>
          </w14:textFill>
        </w:rPr>
        <w:t>具体内容详见</w:t>
      </w:r>
      <w:r>
        <w:rPr>
          <w:rFonts w:hint="eastAsia"/>
          <w:color w:val="000000" w:themeColor="text1"/>
          <w14:textFill>
            <w14:solidFill>
              <w14:schemeClr w14:val="tx1"/>
            </w14:solidFill>
          </w14:textFill>
        </w:rPr>
        <w:t>本招标公告的附件</w:t>
      </w:r>
      <w:r>
        <w:rPr>
          <w:color w:val="000000" w:themeColor="text1"/>
          <w:szCs w:val="21"/>
          <w14:textFill>
            <w14:solidFill>
              <w14:schemeClr w14:val="tx1"/>
            </w14:solidFill>
          </w14:textFill>
        </w:rPr>
        <w:t>。</w:t>
      </w:r>
    </w:p>
    <w:p w14:paraId="3E138B19">
      <w:pPr>
        <w:ind w:left="420" w:leftChars="200"/>
        <w:rPr>
          <w:rFonts w:ascii="宋体" w:hAnsi="宋体" w:cs="宋体"/>
        </w:rPr>
      </w:pPr>
      <w:r>
        <w:rPr>
          <w:rFonts w:hint="eastAsia" w:ascii="宋体" w:hAnsi="宋体" w:cs="宋体"/>
        </w:rPr>
        <w:t>最高限价（如有）：</w:t>
      </w:r>
      <w:r>
        <w:rPr>
          <w:rFonts w:hint="eastAsia" w:ascii="宋体" w:hAnsi="宋体" w:cs="宋体"/>
          <w:lang w:eastAsia="zh-CN"/>
        </w:rPr>
        <w:t>881400.00</w:t>
      </w:r>
      <w:r>
        <w:rPr>
          <w:rFonts w:hint="eastAsia" w:ascii="宋体" w:hAnsi="宋体" w:cs="宋体"/>
        </w:rPr>
        <w:t>元</w:t>
      </w:r>
    </w:p>
    <w:p w14:paraId="17F792DF">
      <w:pPr>
        <w:ind w:left="420" w:leftChars="200"/>
        <w:rPr>
          <w:rFonts w:ascii="宋体" w:hAnsi="宋体" w:cs="宋体"/>
        </w:rPr>
      </w:pPr>
      <w:r>
        <w:rPr>
          <w:rFonts w:hint="eastAsia" w:ascii="宋体" w:hAnsi="宋体" w:cs="宋体"/>
        </w:rPr>
        <w:t>合同履行期限：</w:t>
      </w:r>
      <w:r>
        <w:rPr>
          <w:rFonts w:hint="eastAsia" w:ascii="宋体" w:hAnsi="宋体" w:cs="宋体"/>
          <w:lang w:val="en-US" w:eastAsia="zh-CN"/>
        </w:rPr>
        <w:t>自签订合同之日起</w:t>
      </w:r>
      <w:r>
        <w:rPr>
          <w:rFonts w:hint="eastAsia" w:ascii="宋体" w:hAnsi="宋体" w:cs="宋体"/>
          <w:lang w:eastAsia="zh-CN"/>
        </w:rPr>
        <w:t>1年</w:t>
      </w:r>
      <w:r>
        <w:rPr>
          <w:rFonts w:hint="eastAsia" w:ascii="宋体" w:hAnsi="宋体"/>
          <w:szCs w:val="21"/>
        </w:rPr>
        <w:t>。</w:t>
      </w:r>
    </w:p>
    <w:p w14:paraId="1F4E704E">
      <w:pPr>
        <w:ind w:left="420" w:leftChars="200"/>
        <w:rPr>
          <w:rFonts w:ascii="宋体" w:hAnsi="宋体" w:cs="宋体"/>
        </w:rPr>
      </w:pPr>
      <w:r>
        <w:rPr>
          <w:rFonts w:hint="eastAsia" w:ascii="宋体" w:hAnsi="宋体" w:cs="宋体"/>
        </w:rPr>
        <w:t>本标项（否）接受联合体投标</w:t>
      </w:r>
    </w:p>
    <w:p w14:paraId="00427D7E">
      <w:pPr>
        <w:ind w:left="420" w:leftChars="200"/>
        <w:rPr>
          <w:rFonts w:ascii="宋体" w:hAnsi="宋体" w:cs="宋体"/>
        </w:rPr>
      </w:pPr>
      <w:r>
        <w:rPr>
          <w:rFonts w:hint="eastAsia" w:ascii="宋体" w:hAnsi="宋体" w:cs="宋体"/>
        </w:rPr>
        <w:t>备注：</w:t>
      </w:r>
      <w:r>
        <w:rPr>
          <w:rFonts w:hint="eastAsia" w:ascii="宋体" w:hAnsi="宋体"/>
        </w:rPr>
        <w:t>/</w:t>
      </w:r>
      <w:bookmarkStart w:id="426" w:name="_GoBack"/>
      <w:bookmarkEnd w:id="426"/>
    </w:p>
    <w:p w14:paraId="6C7C3780">
      <w:pPr>
        <w:ind w:left="420" w:leftChars="200"/>
        <w:rPr>
          <w:rFonts w:ascii="宋体" w:hAnsi="宋体" w:cs="宋体"/>
          <w:i/>
          <w:iCs/>
          <w:highlight w:val="yellow"/>
        </w:rPr>
      </w:pPr>
      <w:bookmarkStart w:id="18" w:name="OLE_LINK49"/>
    </w:p>
    <w:bookmarkEnd w:id="18"/>
    <w:p w14:paraId="27C350EE">
      <w:pPr>
        <w:spacing w:line="360" w:lineRule="auto"/>
        <w:rPr>
          <w:rFonts w:ascii="黑体" w:hAnsi="黑体" w:eastAsia="黑体"/>
          <w:b/>
          <w:bCs/>
          <w:color w:val="000000"/>
          <w:sz w:val="24"/>
        </w:rPr>
      </w:pPr>
      <w:bookmarkStart w:id="19" w:name="_Toc35393622"/>
      <w:bookmarkStart w:id="20" w:name="_Toc28359080"/>
      <w:bookmarkStart w:id="21" w:name="_Toc28359003"/>
      <w:bookmarkStart w:id="22" w:name="_Toc35393791"/>
      <w:r>
        <w:rPr>
          <w:rFonts w:hint="eastAsia" w:ascii="黑体" w:hAnsi="黑体" w:eastAsia="黑体"/>
          <w:b/>
          <w:bCs/>
          <w:color w:val="000000"/>
          <w:sz w:val="24"/>
        </w:rPr>
        <w:t>二、申请人的资格要求：</w:t>
      </w:r>
      <w:bookmarkEnd w:id="19"/>
      <w:bookmarkEnd w:id="20"/>
      <w:bookmarkEnd w:id="21"/>
      <w:bookmarkEnd w:id="22"/>
    </w:p>
    <w:p w14:paraId="2AA7B6C4">
      <w:pPr>
        <w:spacing w:line="360" w:lineRule="auto"/>
        <w:ind w:firstLine="420" w:firstLineChars="200"/>
        <w:rPr>
          <w:rFonts w:ascii="宋体" w:hAnsi="宋体"/>
          <w:color w:val="000000"/>
          <w:szCs w:val="21"/>
        </w:rPr>
      </w:pPr>
      <w:bookmarkStart w:id="23" w:name="_Toc28359004"/>
      <w:bookmarkStart w:id="24" w:name="_Toc28359081"/>
      <w:r>
        <w:rPr>
          <w:rFonts w:hint="eastAsia" w:ascii="宋体" w:hAnsi="宋体"/>
          <w:color w:val="000000"/>
          <w:szCs w:val="21"/>
        </w:rPr>
        <w:t>1.满足《中华人民共和国政府采购法》第二十二条规定；</w:t>
      </w:r>
    </w:p>
    <w:p w14:paraId="410FE533">
      <w:pPr>
        <w:spacing w:line="360" w:lineRule="auto"/>
        <w:ind w:firstLine="420" w:firstLineChars="200"/>
        <w:rPr>
          <w:rFonts w:ascii="宋体" w:hAnsi="宋体" w:cs="宋体"/>
          <w:szCs w:val="21"/>
          <w:highlight w:val="yellow"/>
          <w:u w:val="single"/>
        </w:rPr>
      </w:pPr>
      <w:r>
        <w:rPr>
          <w:rFonts w:hint="eastAsia" w:ascii="宋体" w:hAnsi="宋体"/>
          <w:color w:val="000000"/>
          <w:szCs w:val="21"/>
        </w:rPr>
        <w:t>2.落实政府采购政策需满足的资格要求：</w:t>
      </w:r>
      <w:r>
        <w:rPr>
          <w:rFonts w:hint="eastAsia" w:ascii="宋体" w:hAnsi="宋体" w:cs="Times New Roman"/>
          <w:i w:val="0"/>
          <w:iCs w:val="0"/>
          <w:color w:val="000000"/>
          <w:szCs w:val="21"/>
          <w:highlight w:val="none"/>
          <w:u w:val="none"/>
          <w:lang w:val="en-US" w:eastAsia="zh-CN"/>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rPr>
        <w:t>；</w:t>
      </w:r>
    </w:p>
    <w:p w14:paraId="7B9D602A">
      <w:pPr>
        <w:spacing w:line="360" w:lineRule="auto"/>
        <w:ind w:firstLine="420" w:firstLineChars="200"/>
        <w:rPr>
          <w:rFonts w:ascii="宋体" w:hAnsi="宋体"/>
          <w:color w:val="000000"/>
          <w:szCs w:val="21"/>
        </w:rPr>
      </w:pPr>
      <w:r>
        <w:rPr>
          <w:rFonts w:hint="eastAsia" w:ascii="宋体" w:hAnsi="宋体"/>
          <w:color w:val="000000"/>
          <w:szCs w:val="21"/>
        </w:rPr>
        <w:t>3.本项目的特定资格要求：投标人须具有有效的保安服务许可证，提供有效的保安服务许可证复印件</w:t>
      </w:r>
      <w:r>
        <w:rPr>
          <w:rFonts w:hint="eastAsia" w:ascii="宋体" w:hAnsi="宋体"/>
          <w:color w:val="000000"/>
          <w:szCs w:val="21"/>
          <w:highlight w:val="none"/>
          <w:u w:val="none"/>
          <w:shd w:val="clear"/>
        </w:rPr>
        <w:t>。</w:t>
      </w:r>
    </w:p>
    <w:p w14:paraId="5721F66A">
      <w:pPr>
        <w:spacing w:line="360" w:lineRule="auto"/>
        <w:rPr>
          <w:rFonts w:ascii="黑体" w:hAnsi="黑体" w:eastAsia="黑体"/>
          <w:b/>
          <w:bCs/>
          <w:color w:val="000000"/>
          <w:sz w:val="24"/>
        </w:rPr>
      </w:pPr>
      <w:bookmarkStart w:id="25" w:name="_Toc35393792"/>
      <w:bookmarkStart w:id="26" w:name="_Toc35393623"/>
      <w:r>
        <w:rPr>
          <w:rFonts w:hint="eastAsia" w:ascii="黑体" w:hAnsi="黑体" w:eastAsia="黑体"/>
          <w:b/>
          <w:bCs/>
          <w:color w:val="000000"/>
          <w:sz w:val="24"/>
        </w:rPr>
        <w:t>三、获取招标文件</w:t>
      </w:r>
      <w:bookmarkEnd w:id="23"/>
      <w:bookmarkEnd w:id="24"/>
      <w:bookmarkEnd w:id="25"/>
      <w:bookmarkEnd w:id="26"/>
    </w:p>
    <w:p w14:paraId="5EE5DC55">
      <w:pPr>
        <w:snapToGrid w:val="0"/>
        <w:spacing w:line="360" w:lineRule="auto"/>
        <w:ind w:firstLine="472" w:firstLineChars="225"/>
        <w:rPr>
          <w:rFonts w:ascii="宋体" w:hAnsi="宋体"/>
          <w:color w:val="000000"/>
          <w:szCs w:val="21"/>
        </w:rPr>
      </w:pPr>
      <w:bookmarkStart w:id="27" w:name="_Toc28359082"/>
      <w:bookmarkStart w:id="28" w:name="_Toc28359005"/>
      <w:bookmarkStart w:id="29" w:name="_Toc35393793"/>
      <w:bookmarkStart w:id="30" w:name="_Toc35393624"/>
      <w:r>
        <w:rPr>
          <w:rFonts w:hint="eastAsia" w:ascii="宋体" w:hAnsi="宋体"/>
          <w:color w:val="000000"/>
          <w:szCs w:val="21"/>
        </w:rPr>
        <w:t>时间：</w:t>
      </w:r>
      <w:r>
        <w:rPr>
          <w:rFonts w:hint="eastAsia" w:ascii="宋体" w:hAnsi="宋体" w:cs="宋体"/>
          <w:bCs/>
          <w:kern w:val="0"/>
          <w:szCs w:val="21"/>
          <w:u w:val="single"/>
        </w:rPr>
        <w:t>2026年</w:t>
      </w:r>
      <w:r>
        <w:rPr>
          <w:rFonts w:hint="eastAsia" w:ascii="宋体" w:hAnsi="宋体" w:cs="宋体"/>
          <w:bCs/>
          <w:kern w:val="0"/>
          <w:szCs w:val="21"/>
          <w:u w:val="single"/>
          <w:lang w:val="en-US" w:eastAsia="zh-CN"/>
        </w:rPr>
        <w:t>4</w:t>
      </w:r>
      <w:r>
        <w:rPr>
          <w:rFonts w:hint="eastAsia" w:ascii="宋体" w:hAnsi="宋体" w:cs="宋体"/>
          <w:bCs/>
          <w:kern w:val="0"/>
          <w:szCs w:val="21"/>
          <w:u w:val="single"/>
        </w:rPr>
        <w:t>月</w:t>
      </w:r>
      <w:r>
        <w:rPr>
          <w:rFonts w:hint="eastAsia" w:ascii="宋体" w:hAnsi="宋体" w:cs="宋体"/>
          <w:bCs/>
          <w:kern w:val="0"/>
          <w:szCs w:val="21"/>
          <w:u w:val="single"/>
          <w:lang w:val="en-US" w:eastAsia="zh-CN"/>
        </w:rPr>
        <w:t>27</w:t>
      </w:r>
      <w:r>
        <w:rPr>
          <w:rFonts w:hint="eastAsia" w:ascii="宋体" w:hAnsi="宋体" w:cs="宋体"/>
          <w:bCs/>
          <w:kern w:val="0"/>
          <w:szCs w:val="21"/>
          <w:u w:val="single"/>
        </w:rPr>
        <w:t>日</w:t>
      </w:r>
      <w:r>
        <w:rPr>
          <w:rFonts w:hint="eastAsia" w:ascii="宋体" w:hAnsi="宋体" w:cs="宋体"/>
          <w:bCs/>
          <w:kern w:val="0"/>
          <w:szCs w:val="21"/>
        </w:rPr>
        <w:t>至</w:t>
      </w:r>
      <w:r>
        <w:rPr>
          <w:rFonts w:hint="eastAsia" w:ascii="宋体" w:hAnsi="宋体" w:cs="宋体"/>
          <w:bCs/>
          <w:kern w:val="0"/>
          <w:szCs w:val="21"/>
          <w:u w:val="single"/>
        </w:rPr>
        <w:t>2026年</w:t>
      </w:r>
      <w:r>
        <w:rPr>
          <w:rFonts w:hint="eastAsia" w:ascii="宋体" w:hAnsi="宋体" w:cs="宋体"/>
          <w:bCs/>
          <w:kern w:val="0"/>
          <w:szCs w:val="21"/>
          <w:u w:val="single"/>
          <w:lang w:val="en-US" w:eastAsia="zh-CN"/>
        </w:rPr>
        <w:t>5</w:t>
      </w:r>
      <w:r>
        <w:rPr>
          <w:rFonts w:hint="eastAsia" w:ascii="宋体" w:hAnsi="宋体" w:cs="宋体"/>
          <w:bCs/>
          <w:kern w:val="0"/>
          <w:szCs w:val="21"/>
          <w:u w:val="single"/>
        </w:rPr>
        <w:t>月</w:t>
      </w:r>
      <w:r>
        <w:rPr>
          <w:rFonts w:hint="eastAsia" w:ascii="宋体" w:hAnsi="宋体" w:cs="宋体"/>
          <w:bCs/>
          <w:kern w:val="0"/>
          <w:szCs w:val="21"/>
          <w:u w:val="single"/>
          <w:lang w:val="en-US" w:eastAsia="zh-CN"/>
        </w:rPr>
        <w:t>18</w:t>
      </w:r>
      <w:r>
        <w:rPr>
          <w:rFonts w:hint="eastAsia" w:ascii="宋体" w:hAnsi="宋体" w:cs="宋体"/>
          <w:bCs/>
          <w:kern w:val="0"/>
          <w:szCs w:val="21"/>
          <w:u w:val="single"/>
        </w:rPr>
        <w:t>日</w:t>
      </w:r>
      <w:r>
        <w:rPr>
          <w:rFonts w:hint="eastAsia" w:ascii="宋体" w:hAnsi="宋体" w:cs="宋体"/>
          <w:bCs/>
          <w:kern w:val="0"/>
          <w:szCs w:val="21"/>
        </w:rPr>
        <w:t>，每天上午00:00至12:00，下午12:00至23:59</w:t>
      </w:r>
      <w:r>
        <w:rPr>
          <w:rFonts w:hint="eastAsia" w:ascii="宋体" w:hAnsi="宋体"/>
          <w:color w:val="000000"/>
          <w:szCs w:val="21"/>
        </w:rPr>
        <w:t>（北京时间，法定节假日除外）。</w:t>
      </w:r>
    </w:p>
    <w:p w14:paraId="05B0DEEB">
      <w:pPr>
        <w:snapToGrid w:val="0"/>
        <w:spacing w:line="360" w:lineRule="auto"/>
        <w:ind w:firstLine="472" w:firstLineChars="225"/>
        <w:rPr>
          <w:rFonts w:ascii="宋体" w:hAnsi="宋体"/>
          <w:color w:val="000000"/>
          <w:szCs w:val="21"/>
        </w:rPr>
      </w:pPr>
      <w:r>
        <w:rPr>
          <w:rFonts w:hint="eastAsia" w:ascii="宋体" w:hAnsi="宋体"/>
          <w:color w:val="000000"/>
          <w:szCs w:val="21"/>
        </w:rPr>
        <w:t>地点：</w:t>
      </w:r>
      <w:r>
        <w:rPr>
          <w:rFonts w:hint="eastAsia" w:ascii="宋体" w:hAnsi="宋体" w:cs="宋体"/>
          <w:szCs w:val="21"/>
        </w:rPr>
        <w:t>广西政府采购云平台（</w:t>
      </w:r>
      <w:r>
        <w:rPr>
          <w:rStyle w:val="26"/>
          <w:rFonts w:hint="eastAsia" w:ascii="宋体" w:hAnsi="宋体" w:cs="宋体"/>
          <w:b w:val="0"/>
          <w:bCs/>
          <w:color w:val="000000"/>
          <w:szCs w:val="21"/>
        </w:rPr>
        <w:t>https://www.gcy.zfcg.gxzf.gov.cn/</w:t>
      </w:r>
      <w:r>
        <w:rPr>
          <w:rFonts w:hint="eastAsia" w:ascii="宋体" w:hAnsi="宋体" w:cs="宋体"/>
          <w:szCs w:val="21"/>
        </w:rPr>
        <w:t>）</w:t>
      </w:r>
    </w:p>
    <w:p w14:paraId="0A2EB2F2">
      <w:pPr>
        <w:snapToGrid w:val="0"/>
        <w:spacing w:line="360" w:lineRule="auto"/>
        <w:ind w:firstLine="472" w:firstLineChars="225"/>
        <w:rPr>
          <w:rFonts w:ascii="宋体" w:hAnsi="宋体"/>
          <w:color w:val="000000"/>
          <w:szCs w:val="21"/>
        </w:rPr>
      </w:pPr>
      <w:r>
        <w:rPr>
          <w:rFonts w:hint="eastAsia" w:ascii="宋体" w:hAnsi="宋体"/>
          <w:color w:val="000000"/>
          <w:szCs w:val="21"/>
        </w:rPr>
        <w:t>方式:网上下载。本项目不发放纸质文件，</w:t>
      </w:r>
      <w:r>
        <w:rPr>
          <w:rFonts w:hint="eastAsia" w:ascii="宋体" w:hAnsi="宋体" w:cs="宋体"/>
          <w:szCs w:val="21"/>
        </w:rPr>
        <w:t>潜在投标人</w:t>
      </w:r>
      <w:r>
        <w:rPr>
          <w:rFonts w:hint="eastAsia" w:ascii="宋体" w:hAnsi="宋体"/>
          <w:color w:val="000000"/>
          <w:szCs w:val="21"/>
        </w:rPr>
        <w:t>可自行在</w:t>
      </w:r>
      <w:r>
        <w:rPr>
          <w:rFonts w:hint="eastAsia" w:ascii="宋体" w:hAnsi="宋体" w:cs="宋体"/>
          <w:szCs w:val="21"/>
        </w:rPr>
        <w:t>广西政府采购云平台（</w:t>
      </w:r>
      <w:r>
        <w:rPr>
          <w:rStyle w:val="26"/>
          <w:rFonts w:hint="eastAsia" w:ascii="宋体" w:hAnsi="宋体" w:cs="宋体"/>
          <w:b w:val="0"/>
          <w:bCs/>
          <w:color w:val="000000"/>
          <w:szCs w:val="21"/>
        </w:rPr>
        <w:t>https://www.gcy.zfcg.gxzf.gov.cn/</w:t>
      </w:r>
      <w:r>
        <w:rPr>
          <w:rFonts w:hint="eastAsia" w:ascii="宋体" w:hAnsi="宋体" w:cs="宋体"/>
          <w:szCs w:val="21"/>
        </w:rPr>
        <w:t>）</w:t>
      </w:r>
      <w:r>
        <w:rPr>
          <w:rFonts w:hint="eastAsia" w:ascii="宋体" w:hAnsi="宋体"/>
          <w:color w:val="000000"/>
          <w:szCs w:val="21"/>
        </w:rPr>
        <w:t>下载招标文件（操作路径：登录</w:t>
      </w:r>
      <w:r>
        <w:rPr>
          <w:rFonts w:hint="eastAsia" w:ascii="宋体" w:hAnsi="宋体" w:cs="宋体"/>
          <w:szCs w:val="21"/>
        </w:rPr>
        <w:t>广西政府采购云平台</w:t>
      </w:r>
      <w:r>
        <w:rPr>
          <w:rFonts w:hint="eastAsia" w:ascii="宋体" w:hAnsi="宋体"/>
          <w:color w:val="000000"/>
          <w:szCs w:val="21"/>
        </w:rPr>
        <w:t>-项目采购-获取采购文件-找到本项目-点击“申请获取采购文件”），电子版投标文件制作需要基于</w:t>
      </w:r>
      <w:r>
        <w:rPr>
          <w:rFonts w:hint="eastAsia" w:ascii="宋体" w:hAnsi="宋体" w:cs="宋体"/>
          <w:szCs w:val="21"/>
        </w:rPr>
        <w:t>广西政府采购云平台</w:t>
      </w:r>
      <w:r>
        <w:rPr>
          <w:rFonts w:hint="eastAsia" w:ascii="宋体" w:hAnsi="宋体"/>
          <w:color w:val="000000"/>
          <w:szCs w:val="21"/>
        </w:rPr>
        <w:t>获取的招标文件编制。</w:t>
      </w:r>
    </w:p>
    <w:p w14:paraId="6FB006C9">
      <w:pPr>
        <w:snapToGrid w:val="0"/>
        <w:spacing w:line="360" w:lineRule="auto"/>
        <w:ind w:firstLine="472" w:firstLineChars="225"/>
        <w:rPr>
          <w:rFonts w:ascii="宋体" w:hAnsi="宋体"/>
          <w:color w:val="000000"/>
          <w:szCs w:val="21"/>
        </w:rPr>
      </w:pPr>
      <w:r>
        <w:rPr>
          <w:rFonts w:hint="eastAsia" w:ascii="宋体" w:hAnsi="宋体"/>
          <w:color w:val="000000"/>
          <w:szCs w:val="21"/>
        </w:rPr>
        <w:t>售价：</w:t>
      </w:r>
      <w:r>
        <w:rPr>
          <w:rFonts w:hint="eastAsia" w:ascii="宋体" w:hAnsi="宋体" w:cs="宋体"/>
          <w:szCs w:val="21"/>
        </w:rPr>
        <w:t>人民币0元</w:t>
      </w:r>
    </w:p>
    <w:p w14:paraId="351AE3DB">
      <w:pPr>
        <w:spacing w:line="360" w:lineRule="auto"/>
        <w:rPr>
          <w:rFonts w:ascii="黑体" w:hAnsi="黑体" w:eastAsia="黑体"/>
          <w:b/>
          <w:bCs/>
          <w:color w:val="000000"/>
          <w:sz w:val="24"/>
        </w:rPr>
      </w:pPr>
      <w:r>
        <w:rPr>
          <w:rFonts w:hint="eastAsia" w:ascii="黑体" w:hAnsi="黑体" w:eastAsia="黑体"/>
          <w:b/>
          <w:bCs/>
          <w:color w:val="000000"/>
          <w:sz w:val="24"/>
        </w:rPr>
        <w:t>四、提交投标文件</w:t>
      </w:r>
      <w:bookmarkEnd w:id="27"/>
      <w:bookmarkEnd w:id="28"/>
      <w:r>
        <w:rPr>
          <w:rFonts w:hint="eastAsia" w:ascii="黑体" w:hAnsi="黑体" w:eastAsia="黑体"/>
          <w:b/>
          <w:bCs/>
          <w:color w:val="000000"/>
          <w:sz w:val="24"/>
        </w:rPr>
        <w:t>截止时间、开标时间和地点</w:t>
      </w:r>
      <w:bookmarkEnd w:id="29"/>
      <w:bookmarkEnd w:id="30"/>
    </w:p>
    <w:p w14:paraId="2A043F5D">
      <w:pPr>
        <w:spacing w:line="360" w:lineRule="auto"/>
        <w:ind w:firstLine="420" w:firstLineChars="200"/>
        <w:rPr>
          <w:rFonts w:hint="eastAsia" w:ascii="宋体" w:hAnsi="宋体" w:eastAsia="宋体" w:cs="宋体"/>
          <w:bCs w:val="0"/>
          <w:i w:val="0"/>
          <w:iCs w:val="0"/>
          <w:caps w:val="0"/>
          <w:spacing w:val="0"/>
          <w:kern w:val="2"/>
          <w:sz w:val="21"/>
          <w:szCs w:val="21"/>
          <w:u w:val="none"/>
        </w:rPr>
      </w:pPr>
      <w:r>
        <w:rPr>
          <w:rFonts w:hint="eastAsia" w:ascii="宋体" w:hAnsi="宋体" w:eastAsia="宋体" w:cs="宋体"/>
          <w:bCs w:val="0"/>
          <w:i w:val="0"/>
          <w:iCs w:val="0"/>
          <w:caps w:val="0"/>
          <w:spacing w:val="0"/>
          <w:kern w:val="2"/>
          <w:sz w:val="21"/>
          <w:szCs w:val="21"/>
          <w:u w:val="none"/>
          <w:shd w:val="clear"/>
        </w:rPr>
        <w:t>提交</w:t>
      </w:r>
      <w:r>
        <w:rPr>
          <w:rFonts w:hint="eastAsia" w:ascii="宋体" w:hAnsi="宋体" w:eastAsia="宋体" w:cs="宋体"/>
          <w:bCs w:val="0"/>
          <w:i w:val="0"/>
          <w:iCs w:val="0"/>
          <w:caps w:val="0"/>
          <w:color w:val="000000"/>
          <w:spacing w:val="0"/>
          <w:kern w:val="0"/>
          <w:sz w:val="21"/>
          <w:szCs w:val="21"/>
          <w:u w:val="none"/>
          <w:shd w:val="clear"/>
        </w:rPr>
        <w:t>投标</w:t>
      </w:r>
      <w:r>
        <w:rPr>
          <w:rFonts w:hint="eastAsia" w:ascii="宋体" w:hAnsi="宋体" w:eastAsia="宋体" w:cs="宋体"/>
          <w:bCs w:val="0"/>
          <w:i w:val="0"/>
          <w:iCs w:val="0"/>
          <w:caps w:val="0"/>
          <w:spacing w:val="0"/>
          <w:kern w:val="2"/>
          <w:sz w:val="21"/>
          <w:szCs w:val="21"/>
          <w:u w:val="none"/>
          <w:shd w:val="clear"/>
        </w:rPr>
        <w:t>文件截止时间：2026年05月18日 09:30（北京时间）</w:t>
      </w:r>
    </w:p>
    <w:p w14:paraId="5EF52C67">
      <w:pPr>
        <w:spacing w:line="360" w:lineRule="auto"/>
        <w:ind w:firstLine="420" w:firstLineChars="200"/>
        <w:rPr>
          <w:rFonts w:hint="eastAsia" w:ascii="宋体" w:hAnsi="宋体" w:eastAsia="宋体" w:cs="宋体"/>
          <w:bCs w:val="0"/>
          <w:i w:val="0"/>
          <w:iCs w:val="0"/>
          <w:caps w:val="0"/>
          <w:spacing w:val="0"/>
          <w:kern w:val="2"/>
          <w:sz w:val="21"/>
          <w:szCs w:val="21"/>
          <w:u w:val="none"/>
        </w:rPr>
      </w:pPr>
      <w:r>
        <w:rPr>
          <w:rFonts w:hint="eastAsia" w:ascii="宋体" w:hAnsi="宋体" w:eastAsia="宋体" w:cs="宋体"/>
          <w:bCs w:val="0"/>
          <w:i w:val="0"/>
          <w:iCs w:val="0"/>
          <w:caps w:val="0"/>
          <w:spacing w:val="0"/>
          <w:kern w:val="2"/>
          <w:sz w:val="21"/>
          <w:szCs w:val="21"/>
          <w:u w:val="none"/>
          <w:shd w:val="clear"/>
        </w:rPr>
        <w:t>投标地点（网址）：广西政府采购云平台（https://www.gcy.zfcg.gxzf.gov.cn/） </w:t>
      </w:r>
    </w:p>
    <w:p w14:paraId="3D44D565">
      <w:pPr>
        <w:spacing w:line="360" w:lineRule="auto"/>
        <w:ind w:firstLine="420" w:firstLineChars="200"/>
        <w:rPr>
          <w:rFonts w:hint="eastAsia" w:ascii="宋体" w:hAnsi="宋体" w:eastAsia="宋体" w:cs="宋体"/>
          <w:bCs w:val="0"/>
          <w:i w:val="0"/>
          <w:iCs w:val="0"/>
          <w:caps w:val="0"/>
          <w:spacing w:val="0"/>
          <w:kern w:val="2"/>
          <w:sz w:val="21"/>
          <w:szCs w:val="21"/>
          <w:u w:val="none"/>
        </w:rPr>
      </w:pPr>
      <w:r>
        <w:rPr>
          <w:rFonts w:hint="eastAsia" w:ascii="宋体" w:hAnsi="宋体" w:eastAsia="宋体" w:cs="宋体"/>
          <w:bCs w:val="0"/>
          <w:i w:val="0"/>
          <w:iCs w:val="0"/>
          <w:caps w:val="0"/>
          <w:spacing w:val="0"/>
          <w:kern w:val="2"/>
          <w:sz w:val="21"/>
          <w:szCs w:val="21"/>
          <w:u w:val="none"/>
          <w:shd w:val="clear"/>
        </w:rPr>
        <w:t>开标时间：2026年05月18日 09:30</w:t>
      </w:r>
      <w:r>
        <w:rPr>
          <w:rFonts w:hint="eastAsia" w:ascii="宋体" w:hAnsi="宋体" w:eastAsia="宋体" w:cs="宋体"/>
          <w:bCs w:val="0"/>
          <w:i w:val="0"/>
          <w:iCs w:val="0"/>
          <w:caps w:val="0"/>
          <w:spacing w:val="0"/>
          <w:kern w:val="2"/>
          <w:sz w:val="21"/>
          <w:szCs w:val="21"/>
          <w:u w:val="none"/>
          <w:shd w:val="clear"/>
        </w:rPr>
        <w:t>（北京时间）</w:t>
      </w:r>
    </w:p>
    <w:p w14:paraId="422DF573">
      <w:pPr>
        <w:spacing w:line="360" w:lineRule="auto"/>
        <w:ind w:firstLine="420" w:firstLineChars="200"/>
        <w:rPr>
          <w:rFonts w:hint="eastAsia" w:ascii="宋体" w:hAnsi="宋体" w:cs="宋体"/>
          <w:szCs w:val="21"/>
        </w:rPr>
      </w:pPr>
      <w:r>
        <w:rPr>
          <w:rFonts w:hint="eastAsia" w:ascii="宋体" w:hAnsi="宋体" w:eastAsia="宋体" w:cs="宋体"/>
          <w:bCs w:val="0"/>
          <w:i w:val="0"/>
          <w:iCs w:val="0"/>
          <w:caps w:val="0"/>
          <w:spacing w:val="0"/>
          <w:kern w:val="2"/>
          <w:sz w:val="21"/>
          <w:szCs w:val="21"/>
          <w:u w:val="none"/>
          <w:shd w:val="clear"/>
        </w:rPr>
        <w:t>开标地点：广西政府采购云平台（https://www.gcy.zfcg.gxzf.gov.cn/）</w:t>
      </w:r>
    </w:p>
    <w:p w14:paraId="4FF0BE69">
      <w:pPr>
        <w:spacing w:line="360" w:lineRule="auto"/>
        <w:rPr>
          <w:rFonts w:ascii="黑体" w:hAnsi="黑体" w:eastAsia="黑体"/>
          <w:b/>
          <w:bCs/>
          <w:color w:val="000000"/>
          <w:sz w:val="24"/>
        </w:rPr>
      </w:pPr>
      <w:bookmarkStart w:id="31" w:name="_Toc28359007"/>
      <w:bookmarkStart w:id="32" w:name="_Toc35393794"/>
      <w:bookmarkStart w:id="33" w:name="_Toc28359084"/>
      <w:bookmarkStart w:id="34" w:name="_Toc35393625"/>
      <w:r>
        <w:rPr>
          <w:rFonts w:hint="eastAsia" w:ascii="黑体" w:hAnsi="黑体" w:eastAsia="黑体"/>
          <w:b/>
          <w:bCs/>
          <w:color w:val="000000"/>
          <w:sz w:val="24"/>
        </w:rPr>
        <w:t>五、公告期限</w:t>
      </w:r>
      <w:bookmarkEnd w:id="31"/>
      <w:bookmarkEnd w:id="32"/>
      <w:bookmarkEnd w:id="33"/>
      <w:bookmarkEnd w:id="34"/>
    </w:p>
    <w:p w14:paraId="200250B2">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自本公告发布之日起5个工作日。</w:t>
      </w:r>
    </w:p>
    <w:p w14:paraId="76979B0C">
      <w:pPr>
        <w:spacing w:line="360" w:lineRule="auto"/>
        <w:rPr>
          <w:rFonts w:ascii="黑体" w:hAnsi="黑体" w:eastAsia="黑体"/>
          <w:b/>
          <w:bCs/>
          <w:color w:val="000000"/>
          <w:sz w:val="24"/>
        </w:rPr>
      </w:pPr>
      <w:bookmarkStart w:id="35" w:name="_Toc35393626"/>
      <w:bookmarkStart w:id="36" w:name="_Toc35393795"/>
      <w:r>
        <w:rPr>
          <w:rFonts w:hint="eastAsia" w:ascii="黑体" w:hAnsi="黑体" w:eastAsia="黑体"/>
          <w:b/>
          <w:bCs/>
          <w:color w:val="000000"/>
          <w:sz w:val="24"/>
        </w:rPr>
        <w:t>六、其他补充事宜</w:t>
      </w:r>
      <w:bookmarkEnd w:id="35"/>
      <w:bookmarkEnd w:id="36"/>
    </w:p>
    <w:p w14:paraId="1E204000">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1.投标保证金：</w:t>
      </w:r>
    </w:p>
    <w:p w14:paraId="745FAF58">
      <w:pPr>
        <w:ind w:firstLine="632" w:firstLineChars="300"/>
        <w:rPr>
          <w:rFonts w:ascii="宋体" w:hAnsi="宋体" w:cs="宋体"/>
        </w:rPr>
      </w:pPr>
      <w:r>
        <w:rPr>
          <w:rFonts w:hint="eastAsia" w:ascii="宋体" w:hAnsi="宋体" w:cs="宋体"/>
          <w:b/>
          <w:bCs/>
          <w:szCs w:val="21"/>
        </w:rPr>
        <w:t>本项目不需要缴</w:t>
      </w:r>
      <w:r>
        <w:rPr>
          <w:rFonts w:hint="eastAsia" w:ascii="宋体" w:hAnsi="宋体" w:cs="宋体"/>
          <w:b/>
          <w:bCs/>
          <w:kern w:val="0"/>
          <w:szCs w:val="21"/>
        </w:rPr>
        <w:t>纳</w:t>
      </w:r>
      <w:r>
        <w:rPr>
          <w:rFonts w:hint="eastAsia" w:ascii="宋体" w:hAnsi="宋体" w:cs="宋体"/>
          <w:b/>
          <w:bCs/>
          <w:szCs w:val="21"/>
        </w:rPr>
        <w:t>投标保证金。</w:t>
      </w:r>
    </w:p>
    <w:p w14:paraId="22E5E767">
      <w:pPr>
        <w:spacing w:line="360" w:lineRule="auto"/>
        <w:ind w:firstLine="315" w:firstLineChars="150"/>
        <w:rPr>
          <w:rFonts w:ascii="宋体" w:hAnsi="宋体" w:cs="宋体"/>
          <w:kern w:val="0"/>
          <w:szCs w:val="21"/>
        </w:rPr>
      </w:pPr>
      <w:r>
        <w:rPr>
          <w:rFonts w:hint="eastAsia" w:ascii="宋体" w:hAnsi="宋体" w:cs="宋体"/>
          <w:kern w:val="0"/>
          <w:szCs w:val="21"/>
        </w:rPr>
        <w:t>2.网上查询地址</w:t>
      </w:r>
    </w:p>
    <w:p w14:paraId="2A2479F9">
      <w:pPr>
        <w:spacing w:line="360" w:lineRule="auto"/>
        <w:ind w:firstLine="315" w:firstLineChars="150"/>
        <w:rPr>
          <w:rFonts w:ascii="宋体" w:hAnsi="宋体" w:cs="宋体"/>
          <w:kern w:val="0"/>
          <w:szCs w:val="21"/>
        </w:rPr>
      </w:pPr>
      <w:r>
        <w:rPr>
          <w:rFonts w:hint="eastAsia" w:ascii="宋体" w:hAnsi="宋体" w:cs="宋体"/>
          <w:kern w:val="0"/>
          <w:szCs w:val="21"/>
        </w:rPr>
        <w:t>http://www.ccgp.gov.cn/（中国政府采购网）、</w:t>
      </w:r>
      <w:r>
        <w:rPr>
          <w:rFonts w:hint="eastAsia" w:ascii="宋体" w:hAnsi="宋体" w:cs="宋体"/>
          <w:szCs w:val="21"/>
        </w:rPr>
        <w:t>http://zfcg.gxzf.gov.cn/</w:t>
      </w:r>
      <w:r>
        <w:rPr>
          <w:rFonts w:hint="eastAsia" w:ascii="宋体" w:hAnsi="宋体" w:cs="宋体"/>
          <w:kern w:val="0"/>
          <w:szCs w:val="21"/>
        </w:rPr>
        <w:t>(广西政府采购网)、</w:t>
      </w:r>
      <w:r>
        <w:rPr>
          <w:rFonts w:hint="eastAsia" w:cs="宋体"/>
          <w:kern w:val="0"/>
          <w:szCs w:val="21"/>
        </w:rPr>
        <w:t>桂林市政府采购网（http://zfcg.czj.guilin.gov.cn/）。</w:t>
      </w:r>
    </w:p>
    <w:p w14:paraId="03B2D7B8">
      <w:pPr>
        <w:spacing w:line="360" w:lineRule="auto"/>
        <w:ind w:firstLine="315" w:firstLineChars="150"/>
        <w:rPr>
          <w:rFonts w:ascii="宋体" w:hAnsi="宋体" w:cs="宋体"/>
          <w:kern w:val="0"/>
          <w:szCs w:val="21"/>
        </w:rPr>
      </w:pPr>
      <w:r>
        <w:rPr>
          <w:rFonts w:hint="eastAsia" w:ascii="宋体" w:hAnsi="宋体" w:cs="宋体"/>
          <w:kern w:val="0"/>
          <w:szCs w:val="21"/>
        </w:rPr>
        <w:t>3. 本项目需要落实的政府采购政策：</w:t>
      </w:r>
    </w:p>
    <w:p w14:paraId="44698B18">
      <w:pPr>
        <w:spacing w:line="360" w:lineRule="auto"/>
        <w:ind w:firstLine="315" w:firstLineChars="150"/>
        <w:rPr>
          <w:rFonts w:ascii="宋体" w:hAnsi="宋体" w:cs="宋体"/>
          <w:kern w:val="0"/>
          <w:szCs w:val="21"/>
        </w:rPr>
      </w:pPr>
      <w:r>
        <w:rPr>
          <w:rFonts w:hint="eastAsia" w:ascii="宋体" w:hAnsi="宋体" w:cs="宋体"/>
          <w:kern w:val="0"/>
          <w:szCs w:val="21"/>
        </w:rPr>
        <w:t>（1）政府采购促进中小企业发展。</w:t>
      </w:r>
    </w:p>
    <w:p w14:paraId="6C43C544">
      <w:pPr>
        <w:spacing w:line="360" w:lineRule="auto"/>
        <w:ind w:firstLine="315" w:firstLineChars="15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2</w:t>
      </w:r>
      <w:r>
        <w:rPr>
          <w:rFonts w:hint="eastAsia" w:ascii="宋体" w:hAnsi="宋体" w:cs="宋体"/>
          <w:kern w:val="0"/>
          <w:szCs w:val="21"/>
        </w:rPr>
        <w:t>）政府采购促进残疾人就业政策。</w:t>
      </w:r>
    </w:p>
    <w:p w14:paraId="3F762EC9">
      <w:pPr>
        <w:spacing w:line="360" w:lineRule="auto"/>
        <w:ind w:firstLine="315" w:firstLineChars="15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3</w:t>
      </w:r>
      <w:r>
        <w:rPr>
          <w:rFonts w:hint="eastAsia" w:ascii="宋体" w:hAnsi="宋体" w:cs="宋体"/>
          <w:kern w:val="0"/>
          <w:szCs w:val="21"/>
        </w:rPr>
        <w:t>）政府采购支持监狱企业发展。</w:t>
      </w:r>
    </w:p>
    <w:p w14:paraId="377EC2D3">
      <w:pPr>
        <w:spacing w:line="360" w:lineRule="auto"/>
        <w:ind w:firstLine="315" w:firstLineChars="150"/>
        <w:rPr>
          <w:rFonts w:ascii="宋体" w:hAnsi="宋体" w:cs="宋体"/>
          <w:kern w:val="0"/>
          <w:szCs w:val="21"/>
        </w:rPr>
      </w:pPr>
      <w:r>
        <w:rPr>
          <w:rFonts w:hint="eastAsia" w:ascii="宋体" w:hAnsi="宋体" w:cs="宋体"/>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C86AA42">
      <w:pPr>
        <w:spacing w:line="360" w:lineRule="auto"/>
        <w:ind w:firstLine="315" w:firstLineChars="150"/>
        <w:rPr>
          <w:rFonts w:ascii="宋体" w:hAnsi="宋体" w:cs="宋体"/>
          <w:kern w:val="0"/>
          <w:szCs w:val="21"/>
        </w:rPr>
      </w:pPr>
      <w:r>
        <w:rPr>
          <w:rFonts w:hint="eastAsia" w:ascii="宋体" w:hAnsi="宋体" w:cs="宋体"/>
          <w:kern w:val="0"/>
          <w:szCs w:val="21"/>
        </w:rPr>
        <w:t>5.</w:t>
      </w:r>
      <w:r>
        <w:rPr>
          <w:rFonts w:hint="eastAsia" w:ascii="宋体" w:hAnsi="宋体" w:eastAsia="宋体" w:cs="宋体"/>
          <w:color w:val="000000"/>
          <w:szCs w:val="21"/>
          <w:highlight w:val="none"/>
        </w:rPr>
        <w:t>对在“信用中国”网站(www.creditchina.gov.cn) 、中国政府采购网(www.ccgp.gov.cn)</w:t>
      </w:r>
      <w:r>
        <w:rPr>
          <w:rFonts w:hint="eastAsia" w:ascii="宋体" w:hAnsi="宋体" w:cs="宋体"/>
          <w:bCs/>
          <w:color w:val="auto"/>
          <w:sz w:val="21"/>
          <w:szCs w:val="21"/>
          <w:highlight w:val="none"/>
          <w:lang w:eastAsia="zh-CN"/>
        </w:rPr>
        <w:t>、中国执行信息公开网（https://zxgk.court.gov.cn/）</w:t>
      </w:r>
      <w:r>
        <w:rPr>
          <w:rFonts w:hint="eastAsia" w:ascii="宋体" w:hAnsi="宋体" w:eastAsia="宋体" w:cs="宋体"/>
          <w:color w:val="000000"/>
          <w:szCs w:val="21"/>
          <w:highlight w:val="none"/>
        </w:rPr>
        <w:t>被列入失信被执行人、</w:t>
      </w:r>
      <w:r>
        <w:rPr>
          <w:rFonts w:hint="eastAsia" w:ascii="宋体" w:hAnsi="宋体" w:eastAsia="宋体" w:cs="宋体"/>
          <w:color w:val="000000"/>
          <w:szCs w:val="21"/>
          <w:highlight w:val="none"/>
          <w:lang w:eastAsia="zh-CN"/>
        </w:rPr>
        <w:t>重大税收违法失信主体</w:t>
      </w:r>
      <w:r>
        <w:rPr>
          <w:rFonts w:hint="eastAsia" w:ascii="宋体" w:hAnsi="宋体" w:eastAsia="宋体" w:cs="宋体"/>
          <w:color w:val="000000"/>
          <w:szCs w:val="21"/>
          <w:highlight w:val="none"/>
        </w:rPr>
        <w:t>、政府采购严重违法失信行为记录名单及其他不符合《中华人民共和国政府采购法》第二十二条规定条件的供应商，不得参与政府采购活动</w:t>
      </w:r>
    </w:p>
    <w:p w14:paraId="4BD73C11">
      <w:pPr>
        <w:spacing w:line="360" w:lineRule="auto"/>
        <w:ind w:firstLine="316" w:firstLineChars="150"/>
        <w:rPr>
          <w:rFonts w:ascii="宋体" w:hAnsi="宋体" w:cs="宋体"/>
          <w:kern w:val="0"/>
          <w:szCs w:val="21"/>
        </w:rPr>
      </w:pPr>
      <w:r>
        <w:rPr>
          <w:rFonts w:hint="eastAsia" w:ascii="宋体" w:hAnsi="宋体" w:cs="宋体"/>
          <w:b/>
          <w:bCs/>
          <w:kern w:val="0"/>
          <w:szCs w:val="21"/>
        </w:rPr>
        <w:t>6.</w:t>
      </w:r>
      <w:r>
        <w:rPr>
          <w:rFonts w:hint="eastAsia" w:ascii="宋体" w:hAnsi="宋体" w:cs="宋体"/>
          <w:b/>
          <w:bCs/>
          <w:szCs w:val="21"/>
        </w:rPr>
        <w:t>在线投标的有关说明</w:t>
      </w:r>
      <w:r>
        <w:rPr>
          <w:rFonts w:hint="eastAsia" w:ascii="宋体" w:hAnsi="宋体" w:cs="宋体"/>
          <w:b/>
          <w:bCs/>
          <w:kern w:val="0"/>
          <w:szCs w:val="21"/>
        </w:rPr>
        <w:t>：</w:t>
      </w:r>
    </w:p>
    <w:p w14:paraId="4D6444B5">
      <w:pPr>
        <w:widowControl/>
        <w:spacing w:line="360" w:lineRule="auto"/>
        <w:ind w:firstLine="420" w:firstLineChars="200"/>
        <w:jc w:val="left"/>
        <w:rPr>
          <w:rFonts w:ascii="宋体" w:hAnsi="宋体"/>
          <w:color w:val="000000"/>
          <w:szCs w:val="21"/>
        </w:rPr>
      </w:pPr>
      <w:r>
        <w:rPr>
          <w:rFonts w:hint="eastAsia" w:ascii="宋体" w:hAnsi="宋体"/>
          <w:color w:val="000000"/>
          <w:szCs w:val="21"/>
        </w:rPr>
        <w:t>（1）投标文件提交方式：本项目为全流程电子化项目，通过</w:t>
      </w:r>
      <w:r>
        <w:rPr>
          <w:rFonts w:hint="eastAsia" w:ascii="宋体" w:hAnsi="宋体" w:cs="宋体"/>
          <w:szCs w:val="21"/>
        </w:rPr>
        <w:t>广西政府采购云平台（https://www.gcy.zfcg.gxzf.gov.cn/）</w:t>
      </w:r>
      <w:r>
        <w:rPr>
          <w:rFonts w:hint="eastAsia" w:ascii="宋体" w:hAnsi="宋体"/>
          <w:color w:val="000000"/>
          <w:szCs w:val="21"/>
        </w:rPr>
        <w:t>实行在线电子投标，供应商应先安装</w:t>
      </w:r>
      <w:r>
        <w:rPr>
          <w:rFonts w:hint="eastAsia" w:ascii="宋体" w:hAnsi="宋体" w:cs="宋体"/>
          <w:szCs w:val="21"/>
        </w:rPr>
        <w:t>广西政府采购云平台新版客户端（新版客户端下载路径：广西政府采购网（访问地址http://zfcg.gxzf.gov.cn/）—办事</w:t>
      </w:r>
      <w:r>
        <w:rPr>
          <w:rFonts w:hint="eastAsia"/>
        </w:rPr>
        <w:t>指南</w:t>
      </w:r>
      <w:r>
        <w:rPr>
          <w:rFonts w:hint="eastAsia" w:ascii="宋体" w:hAnsi="宋体" w:cs="宋体"/>
          <w:szCs w:val="21"/>
        </w:rPr>
        <w:t>—下载专区），</w:t>
      </w:r>
      <w:r>
        <w:rPr>
          <w:rFonts w:hint="eastAsia" w:ascii="宋体" w:hAnsi="宋体"/>
          <w:color w:val="000000"/>
          <w:szCs w:val="21"/>
        </w:rPr>
        <w:t>并按照本项目招标文件和</w:t>
      </w:r>
      <w:r>
        <w:rPr>
          <w:rFonts w:hint="eastAsia" w:ascii="宋体" w:hAnsi="宋体" w:cs="宋体"/>
          <w:szCs w:val="21"/>
        </w:rPr>
        <w:t>广西政府采购云平台</w:t>
      </w:r>
      <w:r>
        <w:rPr>
          <w:rFonts w:hint="eastAsia" w:ascii="宋体" w:hAnsi="宋体"/>
          <w:color w:val="000000"/>
          <w:szCs w:val="21"/>
        </w:rPr>
        <w:t>的要求编制、加密后在投标截止时间前通过网络上传至</w:t>
      </w:r>
      <w:r>
        <w:rPr>
          <w:rFonts w:hint="eastAsia" w:ascii="宋体" w:hAnsi="宋体" w:cs="宋体"/>
          <w:szCs w:val="21"/>
        </w:rPr>
        <w:t>广西政府采购云平台</w:t>
      </w:r>
      <w:r>
        <w:rPr>
          <w:rFonts w:hint="eastAsia" w:ascii="宋体" w:hAnsi="宋体"/>
          <w:color w:val="000000"/>
          <w:szCs w:val="21"/>
        </w:rPr>
        <w:t>，</w:t>
      </w:r>
      <w:r>
        <w:rPr>
          <w:rFonts w:hint="eastAsia" w:ascii="宋体" w:hAnsi="宋体"/>
          <w:b/>
          <w:bCs/>
          <w:color w:val="000000"/>
          <w:szCs w:val="21"/>
        </w:rPr>
        <w:t>投标人在</w:t>
      </w:r>
      <w:r>
        <w:rPr>
          <w:rFonts w:hint="eastAsia" w:ascii="宋体" w:hAnsi="宋体" w:cs="宋体"/>
          <w:szCs w:val="21"/>
        </w:rPr>
        <w:t>广西政府采购云平台</w:t>
      </w:r>
      <w:r>
        <w:rPr>
          <w:rFonts w:hint="eastAsia" w:ascii="宋体" w:hAnsi="宋体"/>
          <w:b/>
          <w:bCs/>
          <w:color w:val="000000"/>
          <w:szCs w:val="21"/>
        </w:rPr>
        <w:t>提交电子版投标文件时，请填写参加远程开标活动经办人联系方式</w:t>
      </w:r>
      <w:r>
        <w:rPr>
          <w:rFonts w:hint="eastAsia" w:ascii="宋体" w:hAnsi="宋体"/>
          <w:color w:val="000000"/>
          <w:szCs w:val="21"/>
        </w:rPr>
        <w:t>。</w:t>
      </w:r>
    </w:p>
    <w:p w14:paraId="4E232EAC">
      <w:pPr>
        <w:widowControl/>
        <w:spacing w:line="360" w:lineRule="auto"/>
        <w:ind w:firstLine="420" w:firstLineChars="200"/>
        <w:jc w:val="left"/>
        <w:rPr>
          <w:rFonts w:ascii="宋体" w:hAnsi="宋体"/>
          <w:color w:val="000000"/>
          <w:szCs w:val="21"/>
        </w:rPr>
      </w:pPr>
      <w:r>
        <w:rPr>
          <w:rFonts w:hint="eastAsia" w:ascii="宋体" w:hAnsi="宋体"/>
          <w:color w:val="000000"/>
          <w:szCs w:val="21"/>
        </w:rPr>
        <w:t>（2）未进行网上注册并办理数字证书（CA认证）的供应商将无法参与本项目政府采购活动，潜在投标人应当在投标截止时间前，完成电子交易平台上的CA数字证书办理及投标文件的提交。</w:t>
      </w:r>
    </w:p>
    <w:p w14:paraId="0961931D">
      <w:pPr>
        <w:widowControl/>
        <w:spacing w:line="360" w:lineRule="auto"/>
        <w:ind w:firstLine="420" w:firstLineChars="200"/>
        <w:jc w:val="left"/>
        <w:rPr>
          <w:rFonts w:ascii="宋体" w:hAnsi="宋体"/>
          <w:color w:val="000000"/>
          <w:szCs w:val="21"/>
        </w:rPr>
      </w:pPr>
      <w:r>
        <w:rPr>
          <w:rFonts w:hint="eastAsia" w:ascii="宋体" w:hAnsi="宋体"/>
          <w:color w:val="000000"/>
          <w:szCs w:val="21"/>
        </w:rPr>
        <w:t>（3）为确保网上操作合法、有效和安全，请投标人确保在电子投标过程中能够对相关数据电文进行加密和使用电子签章，妥善保管CA数字证书并使用有效的CA数字证书参与整个招标活动。</w:t>
      </w:r>
    </w:p>
    <w:p w14:paraId="4E2A9728">
      <w:pPr>
        <w:spacing w:line="360" w:lineRule="auto"/>
        <w:ind w:firstLine="422" w:firstLineChars="200"/>
        <w:rPr>
          <w:rFonts w:ascii="宋体" w:hAnsi="宋体"/>
          <w:b/>
          <w:bCs/>
          <w:color w:val="000000"/>
          <w:szCs w:val="21"/>
        </w:rPr>
      </w:pPr>
      <w:r>
        <w:rPr>
          <w:rFonts w:hint="eastAsia" w:ascii="宋体" w:hAnsi="宋体"/>
          <w:b/>
          <w:bCs/>
          <w:color w:val="000000"/>
          <w:szCs w:val="21"/>
        </w:rPr>
        <w:t>注：投标人应当在投标截止时间前完成电子版投标文件的上传、提交，投标截止时间前可以补充、修改或者撤回投标文件。补充或者修改投标文件的，应当先行撤回原文件，补充、修改后重新上传、提交。投标截止时间前未完成上传、提交的，视为撤回投标文件。投标截止时间以后上传提交的投标文件，广西政府采购云平台将予以拒收。</w:t>
      </w:r>
    </w:p>
    <w:p w14:paraId="7A8FBFD0">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（4）CA证书在线解密：投标人投标时，需携带制作投标文件时用来加密的有效数字证书（CA认证）登录</w:t>
      </w:r>
      <w:r>
        <w:rPr>
          <w:rFonts w:hint="eastAsia" w:ascii="宋体" w:hAnsi="宋体" w:cs="宋体"/>
          <w:szCs w:val="21"/>
        </w:rPr>
        <w:t>广西政府采购云平台</w:t>
      </w:r>
      <w:r>
        <w:rPr>
          <w:rFonts w:hint="eastAsia" w:ascii="宋体" w:hAnsi="宋体" w:cs="宋体"/>
          <w:color w:val="000000"/>
          <w:kern w:val="0"/>
          <w:szCs w:val="21"/>
        </w:rPr>
        <w:t>电子开标大厅现场按规定时间对加密的投标文件进行解密。</w:t>
      </w:r>
    </w:p>
    <w:p w14:paraId="36F99681">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（5）若对项目采购电子交易系统操作有疑问，可登录</w:t>
      </w:r>
      <w:r>
        <w:rPr>
          <w:rFonts w:hint="eastAsia" w:ascii="宋体" w:hAnsi="宋体" w:cs="宋体"/>
          <w:szCs w:val="21"/>
        </w:rPr>
        <w:t>广西政府采购云平台（https://www.gcy.zfcg.gxzf.gov.cn/）</w:t>
      </w:r>
      <w:r>
        <w:rPr>
          <w:rFonts w:hint="eastAsia" w:ascii="宋体" w:hAnsi="宋体" w:cs="宋体"/>
          <w:color w:val="000000"/>
          <w:kern w:val="0"/>
          <w:szCs w:val="21"/>
        </w:rPr>
        <w:t>，点击右侧咨询小采，获取采小蜜智能服务管家帮助，或拨打</w:t>
      </w:r>
      <w:r>
        <w:rPr>
          <w:rFonts w:hint="eastAsia" w:ascii="宋体" w:hAnsi="宋体" w:cs="宋体"/>
          <w:szCs w:val="21"/>
        </w:rPr>
        <w:t>广西政府采购云平台</w:t>
      </w:r>
      <w:r>
        <w:rPr>
          <w:rFonts w:hint="eastAsia" w:ascii="宋体" w:hAnsi="宋体" w:cs="宋体"/>
          <w:color w:val="000000"/>
          <w:kern w:val="0"/>
          <w:szCs w:val="21"/>
        </w:rPr>
        <w:t>服务热线</w:t>
      </w:r>
      <w:r>
        <w:rPr>
          <w:rFonts w:hint="eastAsia" w:ascii="宋体" w:hAnsi="宋体" w:cs="宋体"/>
          <w:kern w:val="0"/>
          <w:szCs w:val="21"/>
        </w:rPr>
        <w:t>95763</w:t>
      </w:r>
      <w:r>
        <w:rPr>
          <w:rFonts w:hint="eastAsia" w:ascii="宋体" w:hAnsi="宋体" w:cs="宋体"/>
          <w:color w:val="000000"/>
          <w:kern w:val="0"/>
          <w:szCs w:val="21"/>
        </w:rPr>
        <w:t>获取热线服务帮助。</w:t>
      </w:r>
    </w:p>
    <w:p w14:paraId="1130AACC">
      <w:pPr>
        <w:snapToGrid w:val="0"/>
        <w:spacing w:line="360" w:lineRule="auto"/>
        <w:ind w:firstLine="420" w:firstLineChars="200"/>
        <w:rPr>
          <w:rFonts w:ascii="宋体" w:hAnsi="宋体" w:cs="宋体"/>
          <w:color w:val="000000"/>
          <w:kern w:val="0"/>
          <w:szCs w:val="21"/>
        </w:rPr>
      </w:pPr>
      <w:r>
        <w:rPr>
          <w:rFonts w:hint="eastAsia" w:ascii="宋体" w:hAnsi="宋体" w:cs="宋体"/>
          <w:kern w:val="0"/>
          <w:szCs w:val="21"/>
        </w:rPr>
        <w:t>7.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000000"/>
          <w:szCs w:val="21"/>
        </w:rPr>
        <w:t>授权委托书、法人营业执照及分支机构营业执照的复印件</w:t>
      </w:r>
      <w:r>
        <w:rPr>
          <w:rFonts w:hint="eastAsia" w:ascii="宋体" w:hAnsi="宋体" w:cs="宋体"/>
          <w:kern w:val="0"/>
          <w:szCs w:val="21"/>
        </w:rPr>
        <w:t>。</w:t>
      </w:r>
    </w:p>
    <w:p w14:paraId="4FFC3133">
      <w:pPr>
        <w:spacing w:line="360" w:lineRule="auto"/>
        <w:rPr>
          <w:rFonts w:ascii="黑体" w:hAnsi="黑体" w:eastAsia="黑体"/>
          <w:b/>
          <w:bCs/>
          <w:color w:val="000000"/>
          <w:sz w:val="24"/>
        </w:rPr>
      </w:pPr>
      <w:bookmarkStart w:id="37" w:name="_Toc35393796"/>
      <w:bookmarkStart w:id="38" w:name="_Toc28359085"/>
      <w:bookmarkStart w:id="39" w:name="_Toc35393627"/>
      <w:bookmarkStart w:id="40" w:name="_Toc28359008"/>
      <w:r>
        <w:rPr>
          <w:rFonts w:hint="eastAsia" w:ascii="黑体" w:hAnsi="黑体" w:eastAsia="黑体"/>
          <w:b/>
          <w:bCs/>
          <w:color w:val="000000"/>
          <w:sz w:val="24"/>
        </w:rPr>
        <w:t>七、对本次招标提出询问，请按以下方式联系。</w:t>
      </w:r>
      <w:bookmarkEnd w:id="37"/>
      <w:bookmarkEnd w:id="38"/>
      <w:bookmarkEnd w:id="39"/>
      <w:bookmarkEnd w:id="40"/>
    </w:p>
    <w:p w14:paraId="7E64006D">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1.采购人信息</w:t>
      </w:r>
    </w:p>
    <w:p w14:paraId="56B68656">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名称：</w:t>
      </w:r>
      <w:r>
        <w:rPr>
          <w:rFonts w:hint="eastAsia" w:ascii="宋体" w:hAnsi="宋体" w:cs="宋体"/>
          <w:color w:val="000000"/>
          <w:kern w:val="0"/>
          <w:szCs w:val="21"/>
          <w:lang w:eastAsia="zh-CN"/>
        </w:rPr>
        <w:t>桂林市中西医结合医院</w:t>
      </w:r>
      <w:r>
        <w:rPr>
          <w:rFonts w:hint="eastAsia" w:ascii="宋体" w:hAnsi="宋体" w:cs="宋体"/>
          <w:color w:val="000000"/>
          <w:kern w:val="0"/>
          <w:szCs w:val="21"/>
        </w:rPr>
        <w:t xml:space="preserve">       </w:t>
      </w:r>
    </w:p>
    <w:p w14:paraId="02A119BA">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color w:val="000000"/>
          <w:kern w:val="0"/>
          <w:szCs w:val="21"/>
        </w:rPr>
        <w:t>地址：</w:t>
      </w:r>
      <w:r>
        <w:rPr>
          <w:rFonts w:hint="eastAsia" w:ascii="宋体" w:hAnsi="宋体" w:cs="宋体"/>
          <w:color w:val="000000"/>
          <w:kern w:val="0"/>
          <w:szCs w:val="21"/>
          <w:lang w:eastAsia="zh-CN"/>
        </w:rPr>
        <w:t>桂林市七星区半塘路6号</w:t>
      </w:r>
    </w:p>
    <w:p w14:paraId="2ABBBCBD">
      <w:pPr>
        <w:spacing w:line="360" w:lineRule="auto"/>
        <w:ind w:firstLine="420" w:firstLineChars="200"/>
        <w:rPr>
          <w:rFonts w:ascii="宋体" w:hAnsi="宋体" w:cs="宋体"/>
          <w:kern w:val="0"/>
          <w:szCs w:val="21"/>
        </w:rPr>
      </w:pPr>
      <w:r>
        <w:rPr>
          <w:rFonts w:hint="eastAsia" w:ascii="宋体" w:hAnsi="宋体" w:cs="宋体"/>
          <w:kern w:val="0"/>
          <w:szCs w:val="21"/>
        </w:rPr>
        <w:t>联系方式：</w:t>
      </w:r>
      <w:r>
        <w:rPr>
          <w:rFonts w:hint="eastAsia" w:ascii="宋体" w:hAnsi="宋体" w:cs="宋体"/>
          <w:kern w:val="0"/>
          <w:szCs w:val="21"/>
          <w:lang w:eastAsia="zh-CN"/>
        </w:rPr>
        <w:t>伍平</w:t>
      </w:r>
      <w:r>
        <w:rPr>
          <w:rFonts w:hint="eastAsia" w:ascii="宋体" w:hAnsi="宋体" w:cs="宋体"/>
          <w:kern w:val="0"/>
          <w:szCs w:val="21"/>
        </w:rPr>
        <w:t>，</w:t>
      </w:r>
      <w:r>
        <w:rPr>
          <w:rFonts w:hint="eastAsia" w:ascii="宋体" w:hAnsi="宋体"/>
          <w:color w:val="auto"/>
          <w:sz w:val="21"/>
          <w:szCs w:val="21"/>
          <w:highlight w:val="none"/>
        </w:rPr>
        <w:t>13977321663</w:t>
      </w:r>
      <w:r>
        <w:rPr>
          <w:rFonts w:hint="eastAsia"/>
          <w:lang w:eastAsia="zh-CN"/>
        </w:rPr>
        <w:t>、</w:t>
      </w:r>
      <w:r>
        <w:rPr>
          <w:rFonts w:hint="eastAsia" w:ascii="宋体" w:hAnsi="宋体" w:cs="宋体"/>
          <w:kern w:val="0"/>
          <w:szCs w:val="21"/>
        </w:rPr>
        <w:t>0773-</w:t>
      </w:r>
      <w:r>
        <w:rPr>
          <w:rFonts w:hint="eastAsia" w:ascii="宋体" w:hAnsi="宋体" w:cs="宋体"/>
          <w:kern w:val="0"/>
          <w:szCs w:val="21"/>
          <w:lang w:eastAsia="zh-CN"/>
        </w:rPr>
        <w:t>6790030</w:t>
      </w:r>
      <w:r>
        <w:rPr>
          <w:rFonts w:hint="eastAsia" w:ascii="宋体" w:hAnsi="宋体" w:cs="宋体"/>
          <w:kern w:val="0"/>
          <w:szCs w:val="21"/>
        </w:rPr>
        <w:t xml:space="preserve">  </w:t>
      </w:r>
    </w:p>
    <w:p w14:paraId="6C1CF386">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2.采购代理机构信息</w:t>
      </w:r>
    </w:p>
    <w:p w14:paraId="5D0E8992">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名称：</w:t>
      </w:r>
      <w:bookmarkStart w:id="41" w:name="PO_3000001866_PM031_1"/>
      <w:r>
        <w:rPr>
          <w:rFonts w:hint="eastAsia"/>
          <w:szCs w:val="21"/>
        </w:rPr>
        <w:t>广西科联招标中心有限公司</w:t>
      </w:r>
      <w:bookmarkEnd w:id="41"/>
    </w:p>
    <w:p w14:paraId="4B5A078D">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地址：</w:t>
      </w:r>
      <w:bookmarkStart w:id="42" w:name="PO_3000001866_PM035_1"/>
      <w:r>
        <w:rPr>
          <w:rFonts w:hint="eastAsia"/>
          <w:szCs w:val="21"/>
        </w:rPr>
        <w:t>桂林市七星区东江路28号28-8栋</w:t>
      </w:r>
      <w:bookmarkEnd w:id="42"/>
    </w:p>
    <w:p w14:paraId="43A26FCB">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联系方式:</w:t>
      </w:r>
      <w:r>
        <w:t>0773-</w:t>
      </w:r>
      <w:r>
        <w:rPr>
          <w:rFonts w:hint="eastAsia"/>
        </w:rPr>
        <w:t>5442932</w:t>
      </w:r>
    </w:p>
    <w:p w14:paraId="63A1BDB9">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3.项目联系方式</w:t>
      </w:r>
    </w:p>
    <w:p w14:paraId="33EEF535">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项目联系人：</w:t>
      </w:r>
      <w:r>
        <w:rPr>
          <w:rFonts w:hint="eastAsia"/>
          <w:szCs w:val="21"/>
        </w:rPr>
        <w:t>蒋建英、唐庆荣、李诗茗</w:t>
      </w:r>
    </w:p>
    <w:p w14:paraId="36978EC4">
      <w:pPr>
        <w:spacing w:line="360" w:lineRule="auto"/>
        <w:ind w:firstLine="420" w:firstLineChars="200"/>
        <w:rPr>
          <w:rFonts w:ascii="宋体" w:hAnsi="宋体"/>
          <w:color w:val="000000"/>
          <w:szCs w:val="21"/>
        </w:rPr>
      </w:pPr>
      <w:r>
        <w:rPr>
          <w:rFonts w:hint="eastAsia" w:ascii="宋体" w:hAnsi="宋体" w:cs="宋体"/>
          <w:color w:val="000000"/>
          <w:kern w:val="0"/>
          <w:szCs w:val="21"/>
        </w:rPr>
        <w:t>电  话：</w:t>
      </w:r>
      <w:bookmarkStart w:id="43" w:name="PO_3000001866_PM033"/>
      <w:r>
        <w:t>0773-</w:t>
      </w:r>
      <w:r>
        <w:rPr>
          <w:rFonts w:hint="eastAsia"/>
        </w:rPr>
        <w:t>5442932</w:t>
      </w:r>
      <w:bookmarkEnd w:id="43"/>
    </w:p>
    <w:p w14:paraId="755DE535">
      <w:pPr>
        <w:widowControl/>
        <w:spacing w:line="360" w:lineRule="auto"/>
        <w:jc w:val="left"/>
        <w:rPr>
          <w:rFonts w:ascii="宋体" w:hAnsi="宋体" w:cs="宋体"/>
          <w:sz w:val="24"/>
          <w:lang w:val="zh-CN"/>
        </w:rPr>
        <w:sectPr>
          <w:footerReference r:id="rId5" w:type="first"/>
          <w:footerReference r:id="rId4" w:type="default"/>
          <w:pgSz w:w="11905" w:h="16838"/>
          <w:pgMar w:top="1134" w:right="1134" w:bottom="1134" w:left="1134" w:header="850" w:footer="850" w:gutter="0"/>
          <w:pgNumType w:start="1"/>
          <w:cols w:space="0" w:num="1"/>
          <w:titlePg/>
          <w:docGrid w:linePitch="331" w:charSpace="0"/>
        </w:sectPr>
      </w:pPr>
    </w:p>
    <w:p w14:paraId="4879DA9E">
      <w:pPr>
        <w:pStyle w:val="13"/>
        <w:jc w:val="center"/>
        <w:outlineLvl w:val="0"/>
        <w:rPr>
          <w:rFonts w:ascii="Times New Roman" w:hAnsi="Times New Roman"/>
          <w:b/>
          <w:sz w:val="36"/>
        </w:rPr>
      </w:pPr>
      <w:bookmarkStart w:id="44" w:name="_Toc532545042"/>
      <w:bookmarkStart w:id="45" w:name="_Toc24210"/>
      <w:bookmarkStart w:id="46" w:name="_Toc7686"/>
      <w:bookmarkStart w:id="47" w:name="_Toc937"/>
      <w:bookmarkStart w:id="48" w:name="_Toc2299"/>
      <w:bookmarkStart w:id="49" w:name="_Toc22408"/>
      <w:bookmarkStart w:id="50" w:name="_Toc7337"/>
      <w:bookmarkStart w:id="51" w:name="_Toc17621"/>
      <w:bookmarkStart w:id="52" w:name="_Toc21081"/>
      <w:bookmarkStart w:id="53" w:name="_Toc28689"/>
      <w:bookmarkStart w:id="54" w:name="_Toc4483"/>
      <w:bookmarkStart w:id="55" w:name="_Toc13449"/>
      <w:bookmarkStart w:id="56" w:name="_Toc8382"/>
      <w:bookmarkStart w:id="57" w:name="_Toc32573"/>
      <w:r>
        <w:rPr>
          <w:rFonts w:hint="eastAsia" w:ascii="Times New Roman" w:hAnsi="Times New Roman"/>
          <w:b/>
          <w:sz w:val="36"/>
        </w:rPr>
        <w:t>第二章</w:t>
      </w:r>
      <w:r>
        <w:rPr>
          <w:rFonts w:ascii="Times New Roman" w:hAnsi="Times New Roman"/>
          <w:b/>
          <w:sz w:val="36"/>
        </w:rPr>
        <w:t xml:space="preserve">  </w:t>
      </w:r>
      <w:bookmarkEnd w:id="44"/>
      <w:r>
        <w:rPr>
          <w:rFonts w:hint="eastAsia" w:ascii="Times New Roman" w:hAnsi="Times New Roman"/>
          <w:b/>
          <w:sz w:val="36"/>
        </w:rPr>
        <w:t>采购需求</w:t>
      </w:r>
      <w:bookmarkEnd w:id="45"/>
      <w:bookmarkEnd w:id="46"/>
      <w:bookmarkEnd w:id="47"/>
      <w:bookmarkEnd w:id="48"/>
      <w:bookmarkEnd w:id="49"/>
      <w:bookmarkEnd w:id="50"/>
      <w:bookmarkEnd w:id="51"/>
      <w:bookmarkEnd w:id="52"/>
      <w:bookmarkEnd w:id="53"/>
      <w:bookmarkEnd w:id="54"/>
      <w:bookmarkEnd w:id="55"/>
      <w:bookmarkEnd w:id="56"/>
      <w:bookmarkEnd w:id="57"/>
    </w:p>
    <w:p w14:paraId="2A7CCF52">
      <w:pPr>
        <w:adjustRightInd w:val="0"/>
        <w:spacing w:line="340" w:lineRule="exact"/>
        <w:rPr>
          <w:rFonts w:hAnsi="宋体"/>
          <w:b/>
          <w:szCs w:val="21"/>
        </w:rPr>
      </w:pPr>
    </w:p>
    <w:p w14:paraId="08DC0344">
      <w:pPr>
        <w:adjustRightInd w:val="0"/>
        <w:spacing w:line="340" w:lineRule="exact"/>
        <w:jc w:val="center"/>
        <w:rPr>
          <w:rFonts w:hAnsi="宋体"/>
          <w:b/>
          <w:sz w:val="32"/>
          <w:szCs w:val="32"/>
        </w:rPr>
      </w:pPr>
    </w:p>
    <w:p w14:paraId="1AB04900">
      <w:pPr>
        <w:adjustRightInd w:val="0"/>
        <w:spacing w:line="340" w:lineRule="exact"/>
        <w:rPr>
          <w:rFonts w:hAnsi="宋体"/>
          <w:b/>
          <w:szCs w:val="21"/>
        </w:rPr>
      </w:pPr>
      <w:r>
        <w:rPr>
          <w:rFonts w:hint="eastAsia" w:hAnsi="宋体"/>
          <w:b/>
          <w:szCs w:val="21"/>
        </w:rPr>
        <w:t>说明：</w:t>
      </w:r>
    </w:p>
    <w:p w14:paraId="3DCAB895">
      <w:pPr>
        <w:spacing w:line="360" w:lineRule="auto"/>
        <w:ind w:firstLine="420" w:firstLineChars="200"/>
        <w:jc w:val="left"/>
        <w:rPr>
          <w:rFonts w:ascii="宋体" w:hAnsi="宋体" w:cs="宋体"/>
        </w:rPr>
      </w:pPr>
      <w:r>
        <w:rPr>
          <w:rFonts w:hint="eastAsia" w:ascii="宋体" w:hAnsi="宋体" w:cs="宋体"/>
        </w:rPr>
        <w:t>1. 为落实政府采购政策需满足的要求：</w:t>
      </w:r>
    </w:p>
    <w:p w14:paraId="02DAF58E">
      <w:pPr>
        <w:spacing w:line="360" w:lineRule="auto"/>
        <w:ind w:firstLine="420" w:firstLineChars="200"/>
        <w:jc w:val="left"/>
        <w:rPr>
          <w:rFonts w:ascii="宋体" w:hAnsi="宋体" w:cs="宋体"/>
          <w:szCs w:val="21"/>
        </w:rPr>
      </w:pPr>
      <w:r>
        <w:rPr>
          <w:rFonts w:hint="eastAsia" w:ascii="宋体" w:hAnsi="宋体" w:cs="宋体"/>
          <w:szCs w:val="21"/>
        </w:rPr>
        <w:t>本招标文件所称中小企业必须符合《政府采购促进中小企业发展管理办法》（财库〔2020〕46号）的规定。</w:t>
      </w:r>
    </w:p>
    <w:p w14:paraId="2C256BE8">
      <w:pPr>
        <w:spacing w:line="360" w:lineRule="auto"/>
        <w:ind w:firstLine="426" w:firstLineChars="202"/>
        <w:jc w:val="left"/>
        <w:rPr>
          <w:rFonts w:ascii="宋体" w:hAnsi="宋体" w:cs="宋体"/>
        </w:rPr>
      </w:pPr>
      <w:r>
        <w:rPr>
          <w:rFonts w:hint="eastAsia" w:ascii="宋体" w:hAnsi="宋体" w:cs="宋体"/>
          <w:b/>
          <w:bCs/>
          <w:szCs w:val="21"/>
        </w:rPr>
        <w:t>2.</w:t>
      </w:r>
      <w:r>
        <w:rPr>
          <w:rFonts w:ascii="宋体" w:hAnsi="宋体" w:cs="宋体"/>
          <w:b/>
          <w:bCs/>
          <w:szCs w:val="21"/>
        </w:rPr>
        <w:t>采购需求中</w:t>
      </w:r>
      <w:r>
        <w:rPr>
          <w:rFonts w:hint="eastAsia" w:ascii="宋体" w:hAnsi="宋体" w:cs="宋体"/>
          <w:b/>
          <w:bCs/>
          <w:szCs w:val="21"/>
          <w:lang w:val="en-US" w:eastAsia="zh-CN"/>
        </w:rPr>
        <w:t>所有</w:t>
      </w:r>
      <w:r>
        <w:rPr>
          <w:rFonts w:ascii="宋体" w:hAnsi="宋体" w:cs="宋体"/>
          <w:b/>
          <w:bCs/>
          <w:szCs w:val="21"/>
        </w:rPr>
        <w:t>条款</w:t>
      </w:r>
      <w:r>
        <w:rPr>
          <w:rFonts w:hint="eastAsia" w:ascii="宋体" w:hAnsi="宋体" w:cs="宋体"/>
          <w:b/>
          <w:bCs/>
          <w:szCs w:val="21"/>
        </w:rPr>
        <w:t>为实质性条款，不满足</w:t>
      </w:r>
      <w:r>
        <w:rPr>
          <w:rFonts w:ascii="宋体" w:hAnsi="宋体" w:cs="宋体"/>
          <w:b/>
          <w:bCs/>
          <w:szCs w:val="21"/>
        </w:rPr>
        <w:t>作无效响应处理</w:t>
      </w:r>
      <w:r>
        <w:rPr>
          <w:rFonts w:hint="eastAsia" w:ascii="宋体" w:hAnsi="宋体" w:cs="宋体"/>
          <w:b/>
          <w:bCs/>
          <w:szCs w:val="21"/>
        </w:rPr>
        <w:t>。</w:t>
      </w:r>
    </w:p>
    <w:p w14:paraId="3E09577C">
      <w:pPr>
        <w:spacing w:line="360" w:lineRule="auto"/>
        <w:ind w:firstLine="424" w:firstLineChars="202"/>
        <w:jc w:val="left"/>
        <w:rPr>
          <w:rFonts w:ascii="宋体" w:hAnsi="宋体" w:cs="宋体"/>
        </w:rPr>
      </w:pPr>
      <w:r>
        <w:rPr>
          <w:rFonts w:hint="eastAsia" w:ascii="宋体" w:hAnsi="宋体" w:cs="宋体"/>
          <w:szCs w:val="21"/>
          <w:lang w:val="en-US" w:eastAsia="zh-CN"/>
        </w:rPr>
        <w:t>3</w:t>
      </w:r>
      <w:r>
        <w:rPr>
          <w:rFonts w:hint="eastAsia" w:ascii="宋体" w:hAnsi="宋体" w:cs="宋体"/>
          <w:szCs w:val="21"/>
        </w:rPr>
        <w:t>.投标人必须对投标文件中提供的证明材料和资质文件真实性负责，如出现虚假应标情况，投标人除了应接受有关部门的处罚外，还应依据《中华人民共和国民法典》的相关条款来进行赔偿。</w:t>
      </w:r>
    </w:p>
    <w:p w14:paraId="3BE48DB8">
      <w:pPr>
        <w:spacing w:line="360" w:lineRule="auto"/>
        <w:ind w:firstLine="424" w:firstLineChars="202"/>
        <w:jc w:val="left"/>
        <w:rPr>
          <w:rFonts w:ascii="宋体" w:hAnsi="宋体" w:cs="宋体"/>
        </w:rPr>
      </w:pPr>
      <w:r>
        <w:rPr>
          <w:rFonts w:hint="eastAsia" w:ascii="宋体" w:hAnsi="宋体" w:cs="宋体"/>
          <w:lang w:val="en-US" w:eastAsia="zh-CN"/>
        </w:rPr>
        <w:t>4</w:t>
      </w:r>
      <w:r>
        <w:rPr>
          <w:rFonts w:hint="eastAsia" w:ascii="宋体" w:hAnsi="宋体" w:cs="宋体"/>
        </w:rPr>
        <w:t>.投标人应对投标内容所涉及的专利承担法律责任，并负责保护采购人的利益不受任何损害。一切由于文字、商标、技术和软件专利授权引起的法律裁决、诉讼和赔偿费用均由中标人负责。</w:t>
      </w:r>
    </w:p>
    <w:p w14:paraId="4960411E">
      <w:pPr>
        <w:tabs>
          <w:tab w:val="left" w:pos="180"/>
          <w:tab w:val="left" w:pos="1620"/>
        </w:tabs>
        <w:spacing w:line="420" w:lineRule="exact"/>
        <w:ind w:firstLine="420" w:firstLineChars="200"/>
        <w:jc w:val="left"/>
        <w:rPr>
          <w:rFonts w:ascii="宋体" w:hAnsi="宋体" w:cs="宋体"/>
          <w:i/>
          <w:iCs/>
          <w:highlight w:val="yellow"/>
          <w:u w:val="single"/>
        </w:rPr>
      </w:pPr>
      <w:r>
        <w:rPr>
          <w:rFonts w:hint="eastAsia" w:ascii="宋体" w:hAnsi="宋体" w:cs="宋体"/>
          <w:lang w:val="en-US" w:eastAsia="zh-CN"/>
        </w:rPr>
        <w:t>5</w:t>
      </w:r>
      <w:r>
        <w:rPr>
          <w:rFonts w:hint="eastAsia" w:ascii="宋体" w:hAnsi="宋体" w:cs="宋体"/>
        </w:rPr>
        <w:t>.采购标的对应的中小企业划分标准所属行业名称：租赁和商务服务业。</w:t>
      </w:r>
    </w:p>
    <w:p w14:paraId="221211B7">
      <w:pPr>
        <w:tabs>
          <w:tab w:val="left" w:pos="180"/>
          <w:tab w:val="left" w:pos="1620"/>
        </w:tabs>
        <w:spacing w:line="420" w:lineRule="exact"/>
        <w:ind w:firstLine="420" w:firstLineChars="200"/>
        <w:jc w:val="left"/>
        <w:rPr>
          <w:rFonts w:ascii="宋体" w:hAnsi="宋体" w:cs="宋体"/>
        </w:rPr>
      </w:pPr>
      <w:r>
        <w:rPr>
          <w:rFonts w:hint="eastAsia" w:ascii="宋体" w:hAnsi="宋体" w:cs="宋体"/>
        </w:rPr>
        <w:t>（行业名称及划分见本章附件</w:t>
      </w:r>
      <w:r>
        <w:rPr>
          <w:rFonts w:hint="eastAsia" w:ascii="宋体" w:hAnsi="宋体" w:cs="宋体"/>
          <w:lang w:val="en-US" w:eastAsia="zh-CN"/>
        </w:rPr>
        <w:t>1</w:t>
      </w:r>
      <w:r>
        <w:rPr>
          <w:rFonts w:hint="eastAsia" w:ascii="宋体" w:hAnsi="宋体" w:cs="宋体"/>
        </w:rPr>
        <w:t>）</w:t>
      </w:r>
    </w:p>
    <w:p w14:paraId="66502268">
      <w:pPr>
        <w:tabs>
          <w:tab w:val="left" w:pos="180"/>
          <w:tab w:val="left" w:pos="1620"/>
        </w:tabs>
        <w:spacing w:line="420" w:lineRule="exact"/>
        <w:ind w:firstLine="360" w:firstLineChars="200"/>
        <w:jc w:val="left"/>
        <w:rPr>
          <w:rFonts w:ascii="宋体" w:hAnsi="宋体" w:cs="宋体"/>
          <w:color w:val="000000"/>
          <w:sz w:val="18"/>
          <w:szCs w:val="18"/>
        </w:rPr>
      </w:pPr>
    </w:p>
    <w:tbl>
      <w:tblPr>
        <w:tblStyle w:val="23"/>
        <w:tblW w:w="96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7"/>
        <w:gridCol w:w="321"/>
        <w:gridCol w:w="426"/>
        <w:gridCol w:w="426"/>
        <w:gridCol w:w="8004"/>
      </w:tblGrid>
      <w:tr w14:paraId="4C505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7" w:type="dxa"/>
            <w:vMerge w:val="restart"/>
            <w:tcBorders>
              <w:top w:val="single" w:color="auto" w:sz="4" w:space="0"/>
              <w:left w:val="single" w:color="auto" w:sz="4" w:space="0"/>
              <w:right w:val="single" w:color="auto" w:sz="4" w:space="0"/>
            </w:tcBorders>
            <w:vAlign w:val="center"/>
          </w:tcPr>
          <w:p w14:paraId="2335FB00">
            <w:pPr>
              <w:jc w:val="center"/>
              <w:rPr>
                <w:rFonts w:ascii="宋体" w:hAnsi="宋体" w:cs="宋体"/>
                <w:b/>
                <w:color w:val="000000"/>
                <w:szCs w:val="21"/>
              </w:rPr>
            </w:pPr>
          </w:p>
          <w:p w14:paraId="7217E6CC">
            <w:pPr>
              <w:jc w:val="center"/>
              <w:rPr>
                <w:rFonts w:ascii="宋体" w:hAnsi="宋体" w:cs="宋体"/>
                <w:b/>
                <w:color w:val="000000"/>
                <w:szCs w:val="21"/>
              </w:rPr>
            </w:pPr>
          </w:p>
          <w:p w14:paraId="53843E5C">
            <w:pPr>
              <w:jc w:val="center"/>
              <w:rPr>
                <w:rFonts w:ascii="宋体" w:hAnsi="宋体" w:cs="宋体"/>
                <w:color w:val="000000"/>
                <w:szCs w:val="21"/>
              </w:rPr>
            </w:pPr>
            <w:r>
              <w:rPr>
                <w:rFonts w:hint="eastAsia" w:ascii="宋体" w:hAnsi="宋体" w:cs="宋体"/>
                <w:b/>
                <w:color w:val="000000"/>
                <w:szCs w:val="21"/>
              </w:rPr>
              <w:t>需求一览表</w:t>
            </w:r>
          </w:p>
        </w:tc>
        <w:tc>
          <w:tcPr>
            <w:tcW w:w="32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84B84F1">
            <w:pPr>
              <w:jc w:val="center"/>
              <w:rPr>
                <w:rFonts w:ascii="宋体" w:hAnsi="宋体" w:cs="宋体"/>
                <w:color w:val="000000"/>
                <w:szCs w:val="21"/>
              </w:rPr>
            </w:pPr>
            <w:r>
              <w:rPr>
                <w:rFonts w:hint="eastAsia" w:ascii="宋体" w:hAnsi="宋体" w:cs="宋体"/>
                <w:color w:val="000000"/>
                <w:szCs w:val="21"/>
              </w:rPr>
              <w:t>序号</w:t>
            </w:r>
          </w:p>
        </w:tc>
        <w:tc>
          <w:tcPr>
            <w:tcW w:w="426" w:type="dxa"/>
            <w:tcBorders>
              <w:top w:val="single" w:color="auto" w:sz="4" w:space="0"/>
              <w:left w:val="single" w:color="auto" w:sz="4" w:space="0"/>
              <w:bottom w:val="single" w:color="auto" w:sz="4" w:space="0"/>
              <w:right w:val="single" w:color="auto" w:sz="4" w:space="0"/>
            </w:tcBorders>
            <w:vAlign w:val="center"/>
          </w:tcPr>
          <w:p w14:paraId="57CDD192">
            <w:pPr>
              <w:jc w:val="center"/>
              <w:rPr>
                <w:rFonts w:ascii="宋体" w:hAnsi="宋体" w:cs="宋体"/>
                <w:color w:val="000000"/>
                <w:szCs w:val="21"/>
              </w:rPr>
            </w:pPr>
            <w:r>
              <w:rPr>
                <w:rFonts w:hint="eastAsia" w:ascii="宋体" w:hAnsi="宋体" w:cs="宋体"/>
                <w:color w:val="000000"/>
                <w:szCs w:val="21"/>
              </w:rPr>
              <w:t>标的名称</w:t>
            </w:r>
          </w:p>
        </w:tc>
        <w:tc>
          <w:tcPr>
            <w:tcW w:w="426" w:type="dxa"/>
            <w:tcBorders>
              <w:top w:val="single" w:color="auto" w:sz="4" w:space="0"/>
              <w:left w:val="single" w:color="auto" w:sz="4" w:space="0"/>
              <w:bottom w:val="single" w:color="auto" w:sz="4" w:space="0"/>
              <w:right w:val="single" w:color="auto" w:sz="4" w:space="0"/>
            </w:tcBorders>
            <w:vAlign w:val="center"/>
          </w:tcPr>
          <w:p w14:paraId="27DCE734">
            <w:pPr>
              <w:jc w:val="center"/>
              <w:rPr>
                <w:rFonts w:ascii="宋体" w:hAnsi="宋体" w:cs="宋体"/>
                <w:color w:val="000000"/>
                <w:szCs w:val="21"/>
              </w:rPr>
            </w:pPr>
          </w:p>
          <w:p w14:paraId="1E864945">
            <w:pPr>
              <w:jc w:val="center"/>
              <w:rPr>
                <w:rFonts w:ascii="宋体" w:hAnsi="宋体" w:cs="宋体"/>
                <w:color w:val="000000"/>
                <w:szCs w:val="21"/>
              </w:rPr>
            </w:pPr>
            <w:r>
              <w:rPr>
                <w:rFonts w:hint="eastAsia" w:ascii="宋体" w:hAnsi="宋体" w:cs="宋体"/>
                <w:color w:val="000000"/>
                <w:szCs w:val="21"/>
              </w:rPr>
              <w:t>数量及单位</w:t>
            </w:r>
          </w:p>
          <w:p w14:paraId="017B4FC4">
            <w:pPr>
              <w:jc w:val="center"/>
              <w:rPr>
                <w:rFonts w:ascii="宋体" w:hAnsi="宋体" w:cs="宋体"/>
                <w:color w:val="000000"/>
                <w:szCs w:val="21"/>
              </w:rPr>
            </w:pPr>
          </w:p>
        </w:tc>
        <w:tc>
          <w:tcPr>
            <w:tcW w:w="8004" w:type="dxa"/>
            <w:tcBorders>
              <w:top w:val="single" w:color="auto" w:sz="4" w:space="0"/>
              <w:left w:val="single" w:color="auto" w:sz="4" w:space="0"/>
              <w:bottom w:val="single" w:color="auto" w:sz="4" w:space="0"/>
              <w:right w:val="single" w:color="auto" w:sz="4" w:space="0"/>
            </w:tcBorders>
            <w:vAlign w:val="center"/>
          </w:tcPr>
          <w:p w14:paraId="7D0C32B7">
            <w:pPr>
              <w:jc w:val="cente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服务要求</w:t>
            </w:r>
          </w:p>
          <w:p w14:paraId="0A6A68AE">
            <w:pPr>
              <w:jc w:val="center"/>
              <w:rPr>
                <w:rFonts w:ascii="宋体" w:hAnsi="宋体" w:cs="宋体"/>
                <w:color w:val="000000"/>
                <w:szCs w:val="21"/>
              </w:rPr>
            </w:pPr>
          </w:p>
          <w:p w14:paraId="6F7C7077">
            <w:pPr>
              <w:spacing w:line="240" w:lineRule="exact"/>
              <w:jc w:val="center"/>
              <w:rPr>
                <w:rFonts w:ascii="宋体" w:hAnsi="宋体" w:cs="宋体"/>
                <w:color w:val="000000"/>
                <w:sz w:val="16"/>
                <w:szCs w:val="16"/>
              </w:rPr>
            </w:pPr>
          </w:p>
        </w:tc>
      </w:tr>
      <w:tr w14:paraId="2A0BB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7" w:type="dxa"/>
            <w:vMerge w:val="continue"/>
            <w:tcBorders>
              <w:left w:val="single" w:color="auto" w:sz="4" w:space="0"/>
              <w:right w:val="single" w:color="auto" w:sz="4" w:space="0"/>
            </w:tcBorders>
          </w:tcPr>
          <w:p w14:paraId="28663620">
            <w:pPr>
              <w:spacing w:line="240" w:lineRule="exact"/>
              <w:jc w:val="center"/>
              <w:rPr>
                <w:rFonts w:ascii="宋体" w:hAnsi="宋体" w:cs="宋体"/>
                <w:b/>
                <w:bCs/>
                <w:color w:val="000000"/>
                <w:szCs w:val="21"/>
              </w:rPr>
            </w:pPr>
          </w:p>
        </w:tc>
        <w:tc>
          <w:tcPr>
            <w:tcW w:w="321" w:type="dxa"/>
            <w:tcBorders>
              <w:top w:val="single" w:color="auto" w:sz="4" w:space="0"/>
              <w:left w:val="single" w:color="auto" w:sz="4" w:space="0"/>
              <w:bottom w:val="single" w:color="auto" w:sz="4" w:space="0"/>
              <w:right w:val="single" w:color="auto" w:sz="4" w:space="0"/>
            </w:tcBorders>
            <w:vAlign w:val="center"/>
          </w:tcPr>
          <w:p w14:paraId="5F51562D">
            <w:pPr>
              <w:spacing w:line="300" w:lineRule="auto"/>
              <w:jc w:val="center"/>
              <w:rPr>
                <w:rFonts w:ascii="宋体" w:hAnsi="宋体" w:cs="宋体"/>
                <w:color w:val="000000"/>
                <w:szCs w:val="21"/>
              </w:rPr>
            </w:pPr>
            <w:r>
              <w:rPr>
                <w:rFonts w:hint="eastAsia" w:ascii="宋体" w:hAnsi="宋体" w:cs="宋体"/>
                <w:color w:val="000000"/>
                <w:szCs w:val="21"/>
              </w:rPr>
              <w:t>1</w:t>
            </w:r>
          </w:p>
        </w:tc>
        <w:tc>
          <w:tcPr>
            <w:tcW w:w="426" w:type="dxa"/>
            <w:tcBorders>
              <w:top w:val="single" w:color="auto" w:sz="4" w:space="0"/>
              <w:left w:val="single" w:color="auto" w:sz="4" w:space="0"/>
              <w:bottom w:val="single" w:color="auto" w:sz="4" w:space="0"/>
              <w:right w:val="single" w:color="auto" w:sz="4" w:space="0"/>
            </w:tcBorders>
            <w:vAlign w:val="center"/>
          </w:tcPr>
          <w:p w14:paraId="1A9F2599">
            <w:pPr>
              <w:spacing w:before="120" w:after="120" w:line="400" w:lineRule="exact"/>
              <w:jc w:val="center"/>
              <w:rPr>
                <w:rFonts w:hint="eastAsia" w:ascii="宋体" w:hAnsi="Courier New" w:eastAsia="宋体"/>
                <w:bCs/>
                <w:caps/>
                <w:sz w:val="20"/>
                <w:szCs w:val="20"/>
                <w:lang w:eastAsia="zh-CN"/>
              </w:rPr>
            </w:pPr>
            <w:r>
              <w:rPr>
                <w:rFonts w:hint="eastAsia" w:ascii="宋体" w:hAnsi="Courier New"/>
                <w:bCs/>
                <w:caps/>
                <w:sz w:val="20"/>
                <w:szCs w:val="20"/>
                <w:lang w:eastAsia="zh-CN"/>
              </w:rPr>
              <w:t>桂林市中西医结合医院安保服务</w:t>
            </w:r>
          </w:p>
        </w:tc>
        <w:tc>
          <w:tcPr>
            <w:tcW w:w="426" w:type="dxa"/>
            <w:tcBorders>
              <w:top w:val="single" w:color="auto" w:sz="4" w:space="0"/>
              <w:left w:val="single" w:color="auto" w:sz="4" w:space="0"/>
              <w:bottom w:val="single" w:color="auto" w:sz="4" w:space="0"/>
              <w:right w:val="single" w:color="auto" w:sz="4" w:space="0"/>
            </w:tcBorders>
            <w:vAlign w:val="center"/>
          </w:tcPr>
          <w:p w14:paraId="40AAA373">
            <w:pPr>
              <w:spacing w:line="260" w:lineRule="exact"/>
              <w:jc w:val="center"/>
              <w:rPr>
                <w:rFonts w:ascii="宋体" w:hAnsi="宋体" w:cs="宋体"/>
                <w:color w:val="000000"/>
                <w:szCs w:val="21"/>
              </w:rPr>
            </w:pPr>
            <w:r>
              <w:rPr>
                <w:rFonts w:hint="eastAsia" w:ascii="宋体" w:hAnsi="宋体" w:cs="宋体"/>
                <w:color w:val="000000"/>
                <w:szCs w:val="21"/>
              </w:rPr>
              <w:t>1项</w:t>
            </w:r>
          </w:p>
        </w:tc>
        <w:tc>
          <w:tcPr>
            <w:tcW w:w="8004" w:type="dxa"/>
            <w:tcBorders>
              <w:top w:val="single" w:color="auto" w:sz="4" w:space="0"/>
              <w:left w:val="single" w:color="auto" w:sz="4" w:space="0"/>
              <w:bottom w:val="single" w:color="auto" w:sz="4" w:space="0"/>
              <w:right w:val="single" w:color="auto" w:sz="4" w:space="0"/>
            </w:tcBorders>
            <w:shd w:val="clear" w:color="auto" w:fill="auto"/>
            <w:vAlign w:val="center"/>
          </w:tcPr>
          <w:p w14:paraId="328F377A">
            <w:pPr>
              <w:pStyle w:val="37"/>
              <w:keepNext w:val="0"/>
              <w:keepLines w:val="0"/>
              <w:pageBreakBefore w:val="0"/>
              <w:kinsoku/>
              <w:wordWrap/>
              <w:overflowPunct/>
              <w:topLinePunct w:val="0"/>
              <w:autoSpaceDE/>
              <w:autoSpaceDN/>
              <w:bidi w:val="0"/>
              <w:snapToGrid/>
              <w:spacing w:after="0" w:line="380" w:lineRule="exact"/>
              <w:jc w:val="both"/>
              <w:outlineLvl w:val="9"/>
              <w:rPr>
                <w:rFonts w:hint="eastAsia" w:ascii="宋体" w:hAnsi="宋体" w:eastAsia="宋体" w:cs="宋体"/>
                <w:b/>
                <w:bCs/>
                <w:color w:val="auto"/>
                <w:sz w:val="21"/>
                <w:szCs w:val="21"/>
                <w:highlight w:val="none"/>
                <w:lang w:eastAsia="en-US"/>
              </w:rPr>
            </w:pPr>
            <w:r>
              <w:rPr>
                <w:rFonts w:hint="eastAsia" w:ascii="宋体" w:hAnsi="宋体" w:eastAsia="宋体" w:cs="宋体"/>
                <w:b/>
                <w:bCs/>
                <w:color w:val="auto"/>
                <w:sz w:val="21"/>
                <w:szCs w:val="21"/>
                <w:highlight w:val="none"/>
                <w:lang w:eastAsia="en-US"/>
              </w:rPr>
              <w:t>安保服务管理范围、职责及服务方式</w:t>
            </w:r>
          </w:p>
          <w:p w14:paraId="5F1A7AE1">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en-US"/>
              </w:rPr>
              <w:t>管理范围：</w:t>
            </w:r>
          </w:p>
          <w:p w14:paraId="7FC3E918">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w:t>
            </w:r>
            <w:r>
              <w:rPr>
                <w:rFonts w:hint="eastAsia" w:ascii="宋体" w:hAnsi="宋体" w:cs="宋体"/>
                <w:color w:val="auto"/>
                <w:sz w:val="21"/>
                <w:szCs w:val="21"/>
                <w:highlight w:val="none"/>
                <w:lang w:val="en-US" w:eastAsia="zh-CN"/>
              </w:rPr>
              <w:t>供应商</w:t>
            </w:r>
            <w:r>
              <w:rPr>
                <w:rFonts w:hint="eastAsia"/>
                <w:lang w:val="en-US" w:eastAsia="zh-CN"/>
              </w:rPr>
              <w:t>投入本项目的</w:t>
            </w:r>
            <w:r>
              <w:rPr>
                <w:rFonts w:hint="eastAsia" w:ascii="宋体" w:hAnsi="宋体" w:eastAsia="宋体" w:cs="宋体"/>
                <w:color w:val="auto"/>
                <w:sz w:val="21"/>
                <w:szCs w:val="21"/>
                <w:highlight w:val="none"/>
                <w:lang w:eastAsia="en-US"/>
              </w:rPr>
              <w:t>保安人员上岗必须着装</w:t>
            </w:r>
            <w:r>
              <w:rPr>
                <w:rFonts w:hint="eastAsia" w:ascii="宋体" w:hAnsi="宋体" w:eastAsia="宋体" w:cs="宋体"/>
                <w:color w:val="auto"/>
                <w:sz w:val="21"/>
                <w:szCs w:val="21"/>
                <w:highlight w:val="none"/>
                <w:lang w:eastAsia="zh-CN"/>
              </w:rPr>
              <w:t>（</w:t>
            </w:r>
            <w:r>
              <w:rPr>
                <w:rFonts w:hint="eastAsia" w:ascii="宋体" w:hAnsi="宋体" w:cs="宋体"/>
                <w:color w:val="auto"/>
                <w:highlight w:val="none"/>
                <w:lang w:eastAsia="en-US"/>
              </w:rPr>
              <w:t>着</w:t>
            </w:r>
            <w:r>
              <w:rPr>
                <w:rFonts w:hint="eastAsia" w:ascii="宋体" w:hAnsi="宋体" w:eastAsia="宋体" w:cs="宋体"/>
                <w:color w:val="auto"/>
                <w:sz w:val="21"/>
                <w:szCs w:val="21"/>
                <w:highlight w:val="none"/>
                <w:lang w:eastAsia="en-US"/>
              </w:rPr>
              <w:t>保安服、系武装带、配警棍、配对讲机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en-US"/>
              </w:rPr>
              <w:t>坚守岗位、履行职责、文明执勤、保守机密。　</w:t>
            </w:r>
          </w:p>
          <w:p w14:paraId="596E8219">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（2）1号楼门诊大厅5名，负责新门诊大楼的安全保卫工作，协助有关部门做好门口车辆乱停乱放及医院门前三包等工作，同时协助做好医院新门诊楼各部门工作，工作时间：4人24小时三班倒，1人行政上班时间。</w:t>
            </w:r>
          </w:p>
          <w:p w14:paraId="34A11EBF">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2号楼急诊大厅5名，负责门急诊大楼的安全保卫工作，协助有关部门做好门口车辆乱停乱放及医院门前三包等工作，同时协助做好医院门急诊各部门工作，工作时间：行政上班时间。急诊科岗2名，负责急诊科18点～第二天8点的安保工作，同时协助做好其他工作。工作时间18:00～8:00。</w:t>
            </w:r>
          </w:p>
          <w:p w14:paraId="6A171AE2">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（4）门卫岗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en-US"/>
              </w:rPr>
              <w:t>名，负责医院停车场进出口门卫的安全保卫工作，同时协助医院保卫部门和停车场管理单位做好非机动车棚和停车场的管理工作，医院门前三包工作，工作时间24小时。</w:t>
            </w:r>
          </w:p>
          <w:p w14:paraId="6518A0AA">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（5）消防和视频监控室6名，持有中级</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en-US"/>
              </w:rPr>
              <w:t>以上</w:t>
            </w:r>
            <w:r>
              <w:rPr>
                <w:rFonts w:hint="eastAsia" w:ascii="宋体" w:hAnsi="宋体" w:eastAsia="宋体" w:cs="宋体"/>
                <w:b w:val="0"/>
                <w:bCs w:val="0"/>
                <w:color w:val="auto"/>
                <w:szCs w:val="21"/>
                <w:highlight w:val="none"/>
                <w:lang w:eastAsia="en-US"/>
              </w:rPr>
              <w:t>消防设施操作员证书</w:t>
            </w:r>
            <w:r>
              <w:rPr>
                <w:rFonts w:hint="eastAsia" w:ascii="宋体" w:hAnsi="宋体" w:eastAsia="宋体" w:cs="宋体"/>
                <w:color w:val="auto"/>
                <w:sz w:val="21"/>
                <w:szCs w:val="21"/>
                <w:highlight w:val="none"/>
                <w:lang w:eastAsia="en-US"/>
              </w:rPr>
              <w:t>,负责消防和视频监控室的管理工作，严格按照消防控制室和视频监控室的职责、制度工作，每天交接班时与各相关科室进行对讲机联系，保证其联系畅通正常，保持室内清洁卫生。工作时间24小时。</w:t>
            </w:r>
          </w:p>
          <w:p w14:paraId="35592A4F">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（6）七星社区卫生服务中心1名，负责社区的安保工作，同时协助做好其他工作。工作时间8小时。</w:t>
            </w:r>
          </w:p>
          <w:p w14:paraId="40A2E525">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（7）东江社区卫生服务中心</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en-US"/>
              </w:rPr>
              <w:t>名，负责社区的安保工作，同时协助做好其他工作。工作时间24小时。</w:t>
            </w:r>
          </w:p>
          <w:p w14:paraId="25428B79">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（8）巡逻岗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en-US"/>
              </w:rPr>
              <w:t>名，负责本部院内巡逻，每班不少于两次对全院进行巡查，0:00～第二天8:00每两小时巡视一次，同时协助做好其他工作。工作时间24小时。</w:t>
            </w:r>
          </w:p>
          <w:p w14:paraId="592A6F82">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en-US"/>
              </w:rPr>
              <w:t>维护住院部的正常医疗秩序和医务人员的人身安全，消防和视频监控室值班人员严格按照消防和维稳办的有关要求监视医院各部位情况，发现消防异常情况、可疑人员及发放小广告人员等应及时通知相应值班保安及时到现场查看，各安保岗位，尤其是门急诊岗要严格岗位职责，认真负责查看周围安全情况及急诊科安全情况，积极协助医院做好各项工作，发现可疑人员应及时通知监控室，发现发生影响医院正常秩序和医患纠纷、治安事件时，及时进行</w:t>
            </w:r>
            <w:r>
              <w:rPr>
                <w:rFonts w:hint="eastAsia"/>
                <w:lang w:val="en-US" w:eastAsia="zh-CN"/>
              </w:rPr>
              <w:t>调解</w:t>
            </w:r>
            <w:r>
              <w:rPr>
                <w:rFonts w:hint="eastAsia" w:ascii="宋体" w:hAnsi="宋体" w:eastAsia="宋体" w:cs="宋体"/>
                <w:color w:val="auto"/>
                <w:sz w:val="21"/>
                <w:szCs w:val="21"/>
                <w:highlight w:val="none"/>
                <w:lang w:eastAsia="en-US"/>
              </w:rPr>
              <w:t>和制止，尽量不使事件扩大和升级。发现发生治安及医患纠纷事件时及时报告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eastAsia="en-US"/>
              </w:rPr>
              <w:t>、医院保卫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和公安部门，并协助医院保卫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和公安部门处理好事件。发生群体事件和医患纠纷需增援人员时，</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应按照</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en-US"/>
              </w:rPr>
              <w:t>文件服务方案承诺及时调配增援保安人员到场。</w:t>
            </w:r>
          </w:p>
          <w:p w14:paraId="61B0BA6C">
            <w:pPr>
              <w:keepNext w:val="0"/>
              <w:keepLines w:val="0"/>
              <w:pageBreakBefore w:val="0"/>
              <w:kinsoku/>
              <w:wordWrap/>
              <w:overflowPunct/>
              <w:topLinePunct w:val="0"/>
              <w:autoSpaceDE/>
              <w:autoSpaceDN/>
              <w:bidi w:val="0"/>
              <w:snapToGrid/>
              <w:spacing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en-US"/>
              </w:rPr>
              <w:t>2.工作职责</w:t>
            </w:r>
            <w:r>
              <w:rPr>
                <w:rFonts w:hint="eastAsia" w:ascii="宋体" w:hAnsi="宋体" w:eastAsia="宋体" w:cs="宋体"/>
                <w:b/>
                <w:bCs/>
                <w:color w:val="auto"/>
                <w:sz w:val="21"/>
                <w:szCs w:val="21"/>
                <w:highlight w:val="none"/>
              </w:rPr>
              <w:t>：</w:t>
            </w:r>
          </w:p>
          <w:p w14:paraId="19C52D72">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（1）依照采购人</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规定与管理要求，结合</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安全保卫工作实际情况，要求在中标后向采购人制订切实可行的</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安全保卫工作整体方案，开展专业化安全防范业务，保障</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安全稳定</w:t>
            </w:r>
            <w:r>
              <w:rPr>
                <w:rFonts w:hint="eastAsia" w:ascii="宋体" w:hAnsi="宋体" w:eastAsia="宋体" w:cs="宋体"/>
                <w:color w:val="auto"/>
                <w:sz w:val="21"/>
                <w:szCs w:val="21"/>
                <w:highlight w:val="none"/>
              </w:rPr>
              <w:t>及医院各项工作正常开展</w:t>
            </w:r>
            <w:r>
              <w:rPr>
                <w:rFonts w:hint="eastAsia" w:ascii="宋体" w:hAnsi="宋体" w:eastAsia="宋体" w:cs="宋体"/>
                <w:color w:val="auto"/>
                <w:sz w:val="21"/>
                <w:szCs w:val="21"/>
                <w:highlight w:val="none"/>
                <w:lang w:eastAsia="en-US"/>
              </w:rPr>
              <w:t>。</w:t>
            </w:r>
          </w:p>
          <w:p w14:paraId="03135E22">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安保服务工作主要包括：24 小时值勤、重点场所守护、巡逻及大型活动与会务工作的安全保障，</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临时性的应急处置工作，并做好</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内防火、防盗、防破坏、防事故等安全工作，配合相关部门打击</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内部与周边的违法犯罪活动。</w:t>
            </w:r>
          </w:p>
          <w:p w14:paraId="39EAB827">
            <w:pPr>
              <w:pStyle w:val="37"/>
              <w:keepNext w:val="0"/>
              <w:keepLines w:val="0"/>
              <w:pageBreakBefore w:val="0"/>
              <w:kinsoku/>
              <w:wordWrap/>
              <w:overflowPunct/>
              <w:topLinePunct w:val="0"/>
              <w:autoSpaceDE/>
              <w:autoSpaceDN/>
              <w:bidi w:val="0"/>
              <w:snapToGrid/>
              <w:spacing w:after="0" w:line="380" w:lineRule="exact"/>
              <w:jc w:val="both"/>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（3）服务方式：</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安保服务方式是</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派出主管、工作人员并组织保安人员到采购人指定区域负责安全保卫工作。</w:t>
            </w:r>
          </w:p>
          <w:p w14:paraId="4D724D50">
            <w:pPr>
              <w:pStyle w:val="37"/>
              <w:keepNext w:val="0"/>
              <w:keepLines w:val="0"/>
              <w:pageBreakBefore w:val="0"/>
              <w:kinsoku/>
              <w:wordWrap/>
              <w:overflowPunct/>
              <w:topLinePunct w:val="0"/>
              <w:autoSpaceDE/>
              <w:autoSpaceDN/>
              <w:bidi w:val="0"/>
              <w:snapToGrid/>
              <w:spacing w:after="0" w:line="380" w:lineRule="exact"/>
              <w:jc w:val="both"/>
              <w:outlineLvl w:val="9"/>
              <w:rPr>
                <w:rFonts w:hint="eastAsia" w:ascii="宋体" w:hAnsi="宋体" w:eastAsia="宋体" w:cs="宋体"/>
                <w:b/>
                <w:bCs/>
                <w:color w:val="auto"/>
                <w:sz w:val="21"/>
                <w:szCs w:val="21"/>
                <w:highlight w:val="none"/>
                <w:lang w:eastAsia="en-US"/>
              </w:rPr>
            </w:pPr>
            <w:r>
              <w:rPr>
                <w:rFonts w:hint="eastAsia" w:ascii="宋体" w:hAnsi="宋体" w:eastAsia="宋体" w:cs="宋体"/>
                <w:b/>
                <w:bCs/>
                <w:color w:val="auto"/>
                <w:sz w:val="21"/>
                <w:szCs w:val="21"/>
                <w:highlight w:val="none"/>
                <w:lang w:eastAsia="en-US"/>
              </w:rPr>
              <w:t>各岗位具体职责要求</w:t>
            </w:r>
          </w:p>
          <w:p w14:paraId="4D2E4E4F">
            <w:pPr>
              <w:keepNext w:val="0"/>
              <w:keepLines w:val="0"/>
              <w:pageBreakBefore w:val="0"/>
              <w:kinsoku/>
              <w:wordWrap/>
              <w:overflowPunct/>
              <w:topLinePunct w:val="0"/>
              <w:autoSpaceDE/>
              <w:autoSpaceDN/>
              <w:bidi w:val="0"/>
              <w:snapToGrid/>
              <w:spacing w:line="380" w:lineRule="exact"/>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1.门岗具体岗位职责</w:t>
            </w:r>
          </w:p>
          <w:p w14:paraId="38A12249">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（1）做好来访人员的登记，对外来车辆和人员进行盘问、核对，禁止闲杂人员进入</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w:t>
            </w:r>
          </w:p>
          <w:p w14:paraId="2C7A6624">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（2）未经</w:t>
            </w:r>
            <w:r>
              <w:rPr>
                <w:rFonts w:hint="eastAsia" w:ascii="宋体" w:hAnsi="宋体" w:eastAsia="宋体" w:cs="宋体"/>
                <w:color w:val="auto"/>
                <w:sz w:val="21"/>
                <w:szCs w:val="21"/>
                <w:highlight w:val="none"/>
              </w:rPr>
              <w:t>相关</w:t>
            </w:r>
            <w:r>
              <w:rPr>
                <w:rFonts w:hint="eastAsia" w:ascii="宋体" w:hAnsi="宋体" w:eastAsia="宋体" w:cs="宋体"/>
                <w:color w:val="auto"/>
                <w:sz w:val="21"/>
                <w:szCs w:val="21"/>
                <w:highlight w:val="none"/>
                <w:lang w:eastAsia="en-US"/>
              </w:rPr>
              <w:t>部门许可，严禁外来人员进入</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内进行收购货物、推销产品等活动。</w:t>
            </w:r>
          </w:p>
          <w:p w14:paraId="58C031C4">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（3）时刻提高警惕，对出入</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的可疑人员严格盘问；</w:t>
            </w:r>
            <w:r>
              <w:rPr>
                <w:rFonts w:hint="eastAsia" w:ascii="宋体" w:hAnsi="宋体" w:eastAsia="宋体" w:cs="宋体"/>
                <w:color w:val="auto"/>
                <w:sz w:val="21"/>
                <w:szCs w:val="21"/>
                <w:highlight w:val="none"/>
              </w:rPr>
              <w:t>协助车场管理方做好</w:t>
            </w:r>
            <w:r>
              <w:rPr>
                <w:rFonts w:hint="eastAsia" w:ascii="宋体" w:hAnsi="宋体" w:eastAsia="宋体" w:cs="宋体"/>
                <w:color w:val="auto"/>
                <w:sz w:val="21"/>
                <w:szCs w:val="21"/>
                <w:highlight w:val="none"/>
                <w:lang w:eastAsia="en-US"/>
              </w:rPr>
              <w:t>车辆停放，确保交通畅通。</w:t>
            </w:r>
          </w:p>
          <w:p w14:paraId="671B77D4">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（4）维护</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大门周围的秩序</w:t>
            </w:r>
            <w:r>
              <w:rPr>
                <w:rFonts w:hint="eastAsia" w:ascii="宋体" w:hAnsi="宋体" w:eastAsia="宋体" w:cs="宋体"/>
                <w:color w:val="auto"/>
                <w:sz w:val="21"/>
                <w:szCs w:val="21"/>
                <w:highlight w:val="none"/>
              </w:rPr>
              <w:t>。</w:t>
            </w:r>
          </w:p>
          <w:p w14:paraId="314F48B2">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（5）拦截向外逃窜的违法犯罪分子。</w:t>
            </w:r>
          </w:p>
          <w:p w14:paraId="0BA86CD1">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（6）爱护值班室及周围公物，管理好值班电话，一般情况下不允许外人使用值班电话，不允许用值班电话聊天、联系私事等。</w:t>
            </w:r>
          </w:p>
          <w:p w14:paraId="7AF6982B">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（7）搞好值班室及周围卫生，值班室不允许堆放杂物。</w:t>
            </w:r>
          </w:p>
          <w:p w14:paraId="2A1F5702">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（8）值班室不允许与值班无关的人员进入。</w:t>
            </w:r>
          </w:p>
          <w:p w14:paraId="3C6CE488">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（9）完成</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保卫部门交办的其它相关工作。</w:t>
            </w:r>
          </w:p>
          <w:p w14:paraId="713DC2B0">
            <w:pPr>
              <w:keepNext w:val="0"/>
              <w:keepLines w:val="0"/>
              <w:pageBreakBefore w:val="0"/>
              <w:kinsoku/>
              <w:wordWrap/>
              <w:overflowPunct/>
              <w:topLinePunct w:val="0"/>
              <w:autoSpaceDE/>
              <w:autoSpaceDN/>
              <w:bidi w:val="0"/>
              <w:snapToGrid/>
              <w:spacing w:line="380" w:lineRule="exact"/>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2.执勤岗位职责</w:t>
            </w:r>
          </w:p>
          <w:p w14:paraId="723A2323">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（1）熟悉</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内各楼层的主要设施及消防设备，发现如有漏水、电、门窗异常等问题，要及时报保卫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值班人员进行处理。</w:t>
            </w:r>
          </w:p>
          <w:p w14:paraId="2A647E46">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（2）值班期间，必须按规定着装，坚守岗位，坚持原则，认真负责，文明执勤，不得迟到、早退，不准睡岗、擅自离岗，不做与工作无关的其它事情。</w:t>
            </w:r>
          </w:p>
          <w:p w14:paraId="541CE3D2">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（3）落实防火及消防设施检查制度，发现安全隐患及时报告，并做出妥善处理。</w:t>
            </w:r>
          </w:p>
          <w:p w14:paraId="330F7CE8">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（4）加强执勤点的检查巡逻，对外来人员要主动上前查问，并做好登记，确认无误后方可放行，禁止闲杂人员进入</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场所。</w:t>
            </w:r>
          </w:p>
          <w:p w14:paraId="33326180">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（5）</w:t>
            </w:r>
            <w:r>
              <w:rPr>
                <w:rFonts w:hint="eastAsia" w:ascii="宋体" w:hAnsi="宋体" w:eastAsia="宋体" w:cs="宋体"/>
                <w:color w:val="auto"/>
                <w:sz w:val="21"/>
                <w:szCs w:val="21"/>
                <w:highlight w:val="none"/>
              </w:rPr>
              <w:t>协助车场管理单位做好</w:t>
            </w:r>
            <w:r>
              <w:rPr>
                <w:rFonts w:hint="eastAsia" w:ascii="宋体" w:hAnsi="宋体" w:eastAsia="宋体" w:cs="宋体"/>
                <w:color w:val="auto"/>
                <w:sz w:val="21"/>
                <w:szCs w:val="21"/>
                <w:highlight w:val="none"/>
                <w:lang w:eastAsia="en-US"/>
              </w:rPr>
              <w:t>办公楼周围的交通秩序整治，要求车辆停放有序，严禁消防通道停车。</w:t>
            </w:r>
          </w:p>
          <w:p w14:paraId="472551A3">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（6）严格要求规范自己的行为，严格执行</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的各项规章制度，不得擅自使用</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楼内任何</w:t>
            </w:r>
            <w:r>
              <w:rPr>
                <w:rFonts w:hint="eastAsia" w:ascii="宋体" w:hAnsi="宋体" w:eastAsia="宋体" w:cs="宋体"/>
                <w:color w:val="auto"/>
                <w:sz w:val="21"/>
                <w:szCs w:val="21"/>
                <w:highlight w:val="none"/>
              </w:rPr>
              <w:t>医疗</w:t>
            </w:r>
            <w:r>
              <w:rPr>
                <w:rFonts w:hint="eastAsia" w:ascii="宋体" w:hAnsi="宋体" w:eastAsia="宋体" w:cs="宋体"/>
                <w:color w:val="auto"/>
                <w:sz w:val="21"/>
                <w:szCs w:val="21"/>
                <w:highlight w:val="none"/>
                <w:lang w:eastAsia="en-US"/>
              </w:rPr>
              <w:t>设备。</w:t>
            </w:r>
          </w:p>
          <w:p w14:paraId="2BCD473E">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（7）严密监控执勤区域的情况，加强与</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值班人员的协调与配合，发现可疑情况，及时向</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报告。</w:t>
            </w:r>
          </w:p>
          <w:p w14:paraId="73066D83">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（8）完成保卫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领导交办的其它相关工作。</w:t>
            </w:r>
          </w:p>
          <w:p w14:paraId="42D96B62">
            <w:pPr>
              <w:keepNext w:val="0"/>
              <w:keepLines w:val="0"/>
              <w:pageBreakBefore w:val="0"/>
              <w:kinsoku/>
              <w:wordWrap/>
              <w:overflowPunct/>
              <w:topLinePunct w:val="0"/>
              <w:autoSpaceDE/>
              <w:autoSpaceDN/>
              <w:bidi w:val="0"/>
              <w:snapToGrid/>
              <w:spacing w:line="380" w:lineRule="exact"/>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3.巡逻岗位职责</w:t>
            </w:r>
          </w:p>
          <w:p w14:paraId="2D5310AC">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（1）服从</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及值班人员的督查，按照规范和标准对责任区域进行巡逻检查；</w:t>
            </w:r>
          </w:p>
          <w:p w14:paraId="31F48AB8">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（2）熟悉责任区域内各方面情况，对异常情况能及时发现、判断和相应处理，并及时上报</w:t>
            </w:r>
            <w:r>
              <w:rPr>
                <w:rFonts w:hint="eastAsia" w:ascii="宋体" w:hAnsi="宋体" w:eastAsia="宋体" w:cs="宋体"/>
                <w:color w:val="auto"/>
                <w:sz w:val="21"/>
                <w:szCs w:val="21"/>
                <w:highlight w:val="none"/>
              </w:rPr>
              <w:t>监控室值班人员及医院</w:t>
            </w:r>
            <w:r>
              <w:rPr>
                <w:rFonts w:hint="eastAsia" w:ascii="宋体" w:hAnsi="宋体" w:eastAsia="宋体" w:cs="宋体"/>
                <w:color w:val="auto"/>
                <w:sz w:val="21"/>
                <w:szCs w:val="21"/>
                <w:highlight w:val="none"/>
                <w:lang w:eastAsia="en-US"/>
              </w:rPr>
              <w:t>保卫部门；</w:t>
            </w:r>
          </w:p>
          <w:p w14:paraId="33FB317B">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（3）加强对</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内重要区域及安全监控薄弱部位进行重点巡逻，发现门、窗未关及其他异常情况及时上报</w:t>
            </w:r>
            <w:r>
              <w:rPr>
                <w:rFonts w:hint="eastAsia" w:ascii="宋体" w:hAnsi="宋体" w:eastAsia="宋体" w:cs="宋体"/>
                <w:color w:val="auto"/>
                <w:sz w:val="21"/>
                <w:szCs w:val="21"/>
                <w:highlight w:val="none"/>
              </w:rPr>
              <w:t>保卫部门</w:t>
            </w:r>
            <w:r>
              <w:rPr>
                <w:rFonts w:hint="eastAsia" w:ascii="宋体" w:hAnsi="宋体" w:eastAsia="宋体" w:cs="宋体"/>
                <w:color w:val="auto"/>
                <w:sz w:val="21"/>
                <w:szCs w:val="21"/>
                <w:highlight w:val="none"/>
                <w:lang w:eastAsia="en-US"/>
              </w:rPr>
              <w:t>值班</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eastAsia="en-US"/>
              </w:rPr>
              <w:t>，消除安全隐患；</w:t>
            </w:r>
          </w:p>
          <w:p w14:paraId="7B9AB3BE">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（4）加强对消防安全的巡逻检查，制止违反消防安全管理规定的行为，若有异常立即采取措施并上报</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保卫部门；</w:t>
            </w:r>
          </w:p>
          <w:p w14:paraId="603B75B9">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（5）对</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内可疑对象（如人员、车辆、物品等），必须仔细检查，做好相关记录，必要时报</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保卫部门；</w:t>
            </w:r>
          </w:p>
          <w:p w14:paraId="2769AFFF">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（6）</w:t>
            </w:r>
            <w:r>
              <w:rPr>
                <w:rFonts w:hint="eastAsia" w:ascii="宋体" w:hAnsi="宋体" w:eastAsia="宋体" w:cs="宋体"/>
                <w:color w:val="auto"/>
                <w:sz w:val="21"/>
                <w:szCs w:val="21"/>
                <w:highlight w:val="none"/>
              </w:rPr>
              <w:t>协助车场管理方</w:t>
            </w:r>
            <w:r>
              <w:rPr>
                <w:rFonts w:hint="eastAsia" w:ascii="宋体" w:hAnsi="宋体" w:eastAsia="宋体" w:cs="宋体"/>
                <w:color w:val="auto"/>
                <w:sz w:val="21"/>
                <w:szCs w:val="21"/>
                <w:highlight w:val="none"/>
                <w:lang w:eastAsia="en-US"/>
              </w:rPr>
              <w:t>对责任区内交通秩序的管理，制止超速、乱停等违章行为，严禁外来车辆借道通行；</w:t>
            </w:r>
          </w:p>
          <w:p w14:paraId="780D76D2">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（7）巡逻期间做好巡逻检查记录，遇紧急突发事件立即上报</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保卫部门并按规定采取措施；</w:t>
            </w:r>
          </w:p>
          <w:p w14:paraId="3F4549EC">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（8）发现违法犯罪行为，立即予以制止，控制住犯罪嫌疑人，配合公安机关妥善处理；</w:t>
            </w:r>
          </w:p>
          <w:p w14:paraId="3A2785A0">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（9）严禁</w:t>
            </w:r>
            <w:r>
              <w:rPr>
                <w:rFonts w:hint="eastAsia" w:ascii="宋体" w:hAnsi="宋体" w:eastAsia="宋体" w:cs="宋体"/>
                <w:color w:val="auto"/>
                <w:sz w:val="21"/>
                <w:szCs w:val="21"/>
                <w:highlight w:val="none"/>
              </w:rPr>
              <w:t>外来人员</w:t>
            </w:r>
            <w:r>
              <w:rPr>
                <w:rFonts w:hint="eastAsia" w:ascii="宋体" w:hAnsi="宋体" w:eastAsia="宋体" w:cs="宋体"/>
                <w:color w:val="auto"/>
                <w:sz w:val="21"/>
                <w:szCs w:val="21"/>
                <w:highlight w:val="none"/>
                <w:lang w:eastAsia="en-US"/>
              </w:rPr>
              <w:t>在</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内张贴各种海报、宣传单等粘贴物，如有发现，必须立即制止和摘除，并对行为人进行警告，必要时交由相关部门处理；</w:t>
            </w:r>
          </w:p>
          <w:p w14:paraId="3DDF8410">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（10）完成</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保卫部门交办的其它相关工作。</w:t>
            </w:r>
          </w:p>
          <w:p w14:paraId="0B420486">
            <w:pPr>
              <w:keepNext w:val="0"/>
              <w:keepLines w:val="0"/>
              <w:pageBreakBefore w:val="0"/>
              <w:kinsoku/>
              <w:wordWrap/>
              <w:overflowPunct/>
              <w:topLinePunct w:val="0"/>
              <w:autoSpaceDE/>
              <w:autoSpaceDN/>
              <w:bidi w:val="0"/>
              <w:snapToGrid/>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eastAsia="en-US"/>
              </w:rPr>
              <w:t>消防和视频监控室</w:t>
            </w:r>
            <w:r>
              <w:rPr>
                <w:rFonts w:hint="eastAsia" w:ascii="宋体" w:hAnsi="宋体" w:eastAsia="宋体" w:cs="宋体"/>
                <w:b/>
                <w:color w:val="auto"/>
                <w:sz w:val="21"/>
                <w:szCs w:val="21"/>
                <w:highlight w:val="none"/>
              </w:rPr>
              <w:t>值班人员职责</w:t>
            </w:r>
          </w:p>
          <w:p w14:paraId="4A7493A3">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（1）熟悉</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内各</w:t>
            </w:r>
            <w:r>
              <w:rPr>
                <w:rFonts w:hint="eastAsia" w:ascii="宋体" w:hAnsi="宋体" w:eastAsia="宋体" w:cs="宋体"/>
                <w:color w:val="auto"/>
                <w:sz w:val="21"/>
                <w:szCs w:val="21"/>
                <w:highlight w:val="none"/>
              </w:rPr>
              <w:t>监控点</w:t>
            </w:r>
            <w:r>
              <w:rPr>
                <w:rFonts w:hint="eastAsia" w:ascii="宋体" w:hAnsi="宋体" w:eastAsia="宋体" w:cs="宋体"/>
                <w:color w:val="auto"/>
                <w:sz w:val="21"/>
                <w:szCs w:val="21"/>
                <w:highlight w:val="none"/>
                <w:lang w:eastAsia="en-US"/>
              </w:rPr>
              <w:t>及消防</w:t>
            </w:r>
            <w:r>
              <w:rPr>
                <w:rFonts w:hint="eastAsia" w:ascii="宋体" w:hAnsi="宋体" w:eastAsia="宋体" w:cs="宋体"/>
                <w:color w:val="auto"/>
                <w:sz w:val="21"/>
                <w:szCs w:val="21"/>
                <w:highlight w:val="none"/>
              </w:rPr>
              <w:t>自动报警周边环境，并能熟练操作监控和消防控制</w:t>
            </w:r>
            <w:r>
              <w:rPr>
                <w:rFonts w:hint="eastAsia" w:ascii="宋体" w:hAnsi="宋体" w:eastAsia="宋体" w:cs="宋体"/>
                <w:color w:val="auto"/>
                <w:sz w:val="21"/>
                <w:szCs w:val="21"/>
                <w:highlight w:val="none"/>
                <w:lang w:eastAsia="en-US"/>
              </w:rPr>
              <w:t>设备，发现异常，要及时</w:t>
            </w:r>
            <w:r>
              <w:rPr>
                <w:rFonts w:hint="eastAsia" w:ascii="宋体" w:hAnsi="宋体" w:eastAsia="宋体" w:cs="宋体"/>
                <w:color w:val="auto"/>
                <w:sz w:val="21"/>
                <w:szCs w:val="21"/>
                <w:highlight w:val="none"/>
              </w:rPr>
              <w:t>通知巡逻岗人员现场查看并及时进行处理，根据情况</w:t>
            </w:r>
            <w:r>
              <w:rPr>
                <w:rFonts w:hint="eastAsia" w:ascii="宋体" w:hAnsi="宋体" w:eastAsia="宋体" w:cs="宋体"/>
                <w:color w:val="auto"/>
                <w:sz w:val="21"/>
                <w:szCs w:val="21"/>
                <w:highlight w:val="none"/>
                <w:lang w:eastAsia="en-US"/>
              </w:rPr>
              <w:t>报保卫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值班人员。</w:t>
            </w:r>
          </w:p>
          <w:p w14:paraId="0D6ECA69">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（2）值班期间，必须按规定着装，坚守岗位，坚持原则，认真负责，文明执勤，不得迟到、早退，不准睡岗、擅自离岗，不做与工作无关的其它事情。</w:t>
            </w:r>
          </w:p>
          <w:p w14:paraId="4947CB63">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en-US"/>
              </w:rPr>
              <w:t>）爱护值班室及周围公物，管理好值班电话，一般情况下不允许外人使用值班电话，不允许用值班电话聊天、联系私事等。</w:t>
            </w:r>
          </w:p>
          <w:p w14:paraId="31403FFA">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en-US"/>
              </w:rPr>
              <w:t>）搞好值班室及周围卫生，值班室不允许堆放杂物。</w:t>
            </w:r>
          </w:p>
          <w:p w14:paraId="40FA14D0">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en-US"/>
              </w:rPr>
              <w:t>）值班室不允许与值班无关的人员进入。</w:t>
            </w:r>
          </w:p>
          <w:p w14:paraId="4ED53124">
            <w:pPr>
              <w:pStyle w:val="37"/>
              <w:keepNext w:val="0"/>
              <w:keepLines w:val="0"/>
              <w:pageBreakBefore w:val="0"/>
              <w:kinsoku/>
              <w:wordWrap/>
              <w:overflowPunct/>
              <w:topLinePunct w:val="0"/>
              <w:autoSpaceDE/>
              <w:autoSpaceDN/>
              <w:bidi w:val="0"/>
              <w:snapToGrid/>
              <w:spacing w:after="0" w:line="380" w:lineRule="exact"/>
              <w:jc w:val="both"/>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en-US"/>
              </w:rPr>
              <w:t>）完成</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保卫部门交办的其它相关工作。</w:t>
            </w:r>
          </w:p>
          <w:p w14:paraId="2A74A98E">
            <w:pPr>
              <w:pStyle w:val="37"/>
              <w:keepNext w:val="0"/>
              <w:keepLines w:val="0"/>
              <w:pageBreakBefore w:val="0"/>
              <w:kinsoku/>
              <w:wordWrap/>
              <w:overflowPunct/>
              <w:topLinePunct w:val="0"/>
              <w:autoSpaceDE/>
              <w:autoSpaceDN/>
              <w:bidi w:val="0"/>
              <w:snapToGrid/>
              <w:spacing w:after="0" w:line="380" w:lineRule="exact"/>
              <w:jc w:val="both"/>
              <w:outlineLvl w:val="9"/>
              <w:rPr>
                <w:rFonts w:hint="eastAsia" w:ascii="宋体" w:hAnsi="宋体" w:eastAsia="宋体" w:cs="宋体"/>
                <w:b/>
                <w:bCs/>
                <w:color w:val="auto"/>
                <w:spacing w:val="1"/>
                <w:sz w:val="21"/>
                <w:szCs w:val="21"/>
                <w:highlight w:val="none"/>
                <w:lang w:eastAsia="zh-CN"/>
              </w:rPr>
            </w:pPr>
            <w:r>
              <w:rPr>
                <w:rFonts w:hint="eastAsia" w:ascii="宋体" w:hAnsi="宋体" w:eastAsia="宋体" w:cs="宋体"/>
                <w:b/>
                <w:bCs/>
                <w:color w:val="auto"/>
                <w:spacing w:val="1"/>
                <w:sz w:val="21"/>
                <w:szCs w:val="21"/>
                <w:highlight w:val="none"/>
                <w:lang w:eastAsia="en-US"/>
              </w:rPr>
              <w:t>安保服务范围及要求</w:t>
            </w:r>
            <w:r>
              <w:rPr>
                <w:rFonts w:hint="eastAsia" w:ascii="宋体" w:hAnsi="宋体" w:eastAsia="宋体" w:cs="宋体"/>
                <w:b/>
                <w:bCs/>
                <w:color w:val="auto"/>
                <w:spacing w:val="1"/>
                <w:sz w:val="21"/>
                <w:szCs w:val="21"/>
                <w:highlight w:val="none"/>
                <w:lang w:eastAsia="zh-CN"/>
              </w:rPr>
              <w:t>：</w:t>
            </w:r>
          </w:p>
          <w:tbl>
            <w:tblPr>
              <w:tblStyle w:val="23"/>
              <w:tblW w:w="7783" w:type="dxa"/>
              <w:tblInd w:w="0" w:type="dxa"/>
              <w:tblLayout w:type="autofit"/>
              <w:tblCellMar>
                <w:top w:w="15" w:type="dxa"/>
                <w:left w:w="15" w:type="dxa"/>
                <w:bottom w:w="15" w:type="dxa"/>
                <w:right w:w="15" w:type="dxa"/>
              </w:tblCellMar>
            </w:tblPr>
            <w:tblGrid>
              <w:gridCol w:w="348"/>
              <w:gridCol w:w="1673"/>
              <w:gridCol w:w="889"/>
              <w:gridCol w:w="954"/>
              <w:gridCol w:w="3919"/>
            </w:tblGrid>
            <w:tr w14:paraId="12FF2F3C">
              <w:tblPrEx>
                <w:tblCellMar>
                  <w:top w:w="15" w:type="dxa"/>
                  <w:left w:w="15" w:type="dxa"/>
                  <w:bottom w:w="15" w:type="dxa"/>
                  <w:right w:w="15" w:type="dxa"/>
                </w:tblCellMar>
              </w:tblPrEx>
              <w:trPr>
                <w:trHeight w:val="6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D930CA">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673" w:type="dxa"/>
                  <w:tcBorders>
                    <w:top w:val="single" w:color="000000" w:sz="4" w:space="0"/>
                    <w:left w:val="single" w:color="000000" w:sz="4" w:space="0"/>
                    <w:bottom w:val="single" w:color="000000" w:sz="4" w:space="0"/>
                    <w:right w:val="single" w:color="auto" w:sz="4" w:space="0"/>
                  </w:tcBorders>
                  <w:noWrap w:val="0"/>
                  <w:vAlign w:val="center"/>
                </w:tcPr>
                <w:p w14:paraId="5F7E0012">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服务范围</w:t>
                  </w:r>
                </w:p>
              </w:tc>
              <w:tc>
                <w:tcPr>
                  <w:tcW w:w="889" w:type="dxa"/>
                  <w:tcBorders>
                    <w:top w:val="single" w:color="000000" w:sz="4" w:space="0"/>
                    <w:left w:val="single" w:color="auto" w:sz="4" w:space="0"/>
                    <w:bottom w:val="single" w:color="000000" w:sz="4" w:space="0"/>
                    <w:right w:val="single" w:color="auto" w:sz="4" w:space="0"/>
                  </w:tcBorders>
                  <w:noWrap w:val="0"/>
                  <w:vAlign w:val="center"/>
                </w:tcPr>
                <w:p w14:paraId="7596D5EA">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岗位设置</w:t>
                  </w:r>
                </w:p>
              </w:tc>
              <w:tc>
                <w:tcPr>
                  <w:tcW w:w="954" w:type="dxa"/>
                  <w:tcBorders>
                    <w:top w:val="single" w:color="000000" w:sz="4" w:space="0"/>
                    <w:left w:val="single" w:color="auto" w:sz="4" w:space="0"/>
                    <w:bottom w:val="single" w:color="000000" w:sz="4" w:space="0"/>
                    <w:right w:val="single" w:color="000000" w:sz="4" w:space="0"/>
                  </w:tcBorders>
                  <w:noWrap w:val="0"/>
                  <w:vAlign w:val="center"/>
                </w:tcPr>
                <w:p w14:paraId="055D5B9B">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人数配置</w:t>
                  </w:r>
                </w:p>
              </w:tc>
              <w:tc>
                <w:tcPr>
                  <w:tcW w:w="3919" w:type="dxa"/>
                  <w:tcBorders>
                    <w:top w:val="single" w:color="000000" w:sz="4" w:space="0"/>
                    <w:left w:val="single" w:color="000000" w:sz="4" w:space="0"/>
                    <w:bottom w:val="single" w:color="000000" w:sz="4" w:space="0"/>
                    <w:right w:val="single" w:color="auto" w:sz="4" w:space="0"/>
                  </w:tcBorders>
                  <w:noWrap w:val="0"/>
                  <w:vAlign w:val="center"/>
                </w:tcPr>
                <w:p w14:paraId="7571D42C">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岗位要求</w:t>
                  </w:r>
                </w:p>
              </w:tc>
            </w:tr>
            <w:tr w14:paraId="47AA1A6C">
              <w:tblPrEx>
                <w:tblCellMar>
                  <w:top w:w="15" w:type="dxa"/>
                  <w:left w:w="15" w:type="dxa"/>
                  <w:bottom w:w="15" w:type="dxa"/>
                  <w:right w:w="15" w:type="dxa"/>
                </w:tblCellMar>
              </w:tblPrEx>
              <w:trPr>
                <w:trHeight w:val="6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0CF05C">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1</w:t>
                  </w:r>
                </w:p>
              </w:tc>
              <w:tc>
                <w:tcPr>
                  <w:tcW w:w="1673" w:type="dxa"/>
                  <w:tcBorders>
                    <w:top w:val="single" w:color="000000" w:sz="4" w:space="0"/>
                    <w:left w:val="single" w:color="000000" w:sz="4" w:space="0"/>
                    <w:bottom w:val="single" w:color="000000" w:sz="4" w:space="0"/>
                    <w:right w:val="single" w:color="auto" w:sz="4" w:space="0"/>
                  </w:tcBorders>
                  <w:noWrap w:val="0"/>
                  <w:vAlign w:val="center"/>
                </w:tcPr>
                <w:p w14:paraId="7573FDF5">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1号楼区域</w:t>
                  </w:r>
                </w:p>
              </w:tc>
              <w:tc>
                <w:tcPr>
                  <w:tcW w:w="889" w:type="dxa"/>
                  <w:tcBorders>
                    <w:top w:val="single" w:color="000000" w:sz="4" w:space="0"/>
                    <w:left w:val="single" w:color="auto" w:sz="4" w:space="0"/>
                    <w:bottom w:val="single" w:color="000000" w:sz="4" w:space="0"/>
                    <w:right w:val="single" w:color="auto" w:sz="4" w:space="0"/>
                  </w:tcBorders>
                  <w:noWrap w:val="0"/>
                  <w:vAlign w:val="center"/>
                </w:tcPr>
                <w:p w14:paraId="22B04957">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门诊大厅</w:t>
                  </w:r>
                </w:p>
              </w:tc>
              <w:tc>
                <w:tcPr>
                  <w:tcW w:w="954" w:type="dxa"/>
                  <w:tcBorders>
                    <w:top w:val="single" w:color="000000" w:sz="4" w:space="0"/>
                    <w:left w:val="single" w:color="auto" w:sz="4" w:space="0"/>
                    <w:bottom w:val="single" w:color="000000" w:sz="4" w:space="0"/>
                    <w:right w:val="single" w:color="000000" w:sz="4" w:space="0"/>
                  </w:tcBorders>
                  <w:noWrap w:val="0"/>
                  <w:vAlign w:val="center"/>
                </w:tcPr>
                <w:p w14:paraId="490E982E">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5人</w:t>
                  </w:r>
                </w:p>
              </w:tc>
              <w:tc>
                <w:tcPr>
                  <w:tcW w:w="3919" w:type="dxa"/>
                  <w:tcBorders>
                    <w:top w:val="single" w:color="000000" w:sz="4" w:space="0"/>
                    <w:left w:val="single" w:color="000000" w:sz="4" w:space="0"/>
                    <w:bottom w:val="single" w:color="000000" w:sz="4" w:space="0"/>
                    <w:right w:val="single" w:color="auto" w:sz="4" w:space="0"/>
                  </w:tcBorders>
                  <w:noWrap w:val="0"/>
                  <w:vAlign w:val="center"/>
                </w:tcPr>
                <w:p w14:paraId="2BEB8B73">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4人24小时三班倒，1人行政上班时间</w:t>
                  </w:r>
                </w:p>
              </w:tc>
            </w:tr>
            <w:tr w14:paraId="70EED67B">
              <w:tblPrEx>
                <w:tblCellMar>
                  <w:top w:w="15" w:type="dxa"/>
                  <w:left w:w="15" w:type="dxa"/>
                  <w:bottom w:w="15" w:type="dxa"/>
                  <w:right w:w="15" w:type="dxa"/>
                </w:tblCellMar>
              </w:tblPrEx>
              <w:trPr>
                <w:trHeight w:val="6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A0302F">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2</w:t>
                  </w:r>
                </w:p>
              </w:tc>
              <w:tc>
                <w:tcPr>
                  <w:tcW w:w="1673" w:type="dxa"/>
                  <w:tcBorders>
                    <w:top w:val="single" w:color="000000" w:sz="4" w:space="0"/>
                    <w:left w:val="single" w:color="000000" w:sz="4" w:space="0"/>
                    <w:bottom w:val="single" w:color="000000" w:sz="4" w:space="0"/>
                    <w:right w:val="single" w:color="auto" w:sz="4" w:space="0"/>
                  </w:tcBorders>
                  <w:noWrap w:val="0"/>
                  <w:vAlign w:val="center"/>
                </w:tcPr>
                <w:p w14:paraId="7B5AF4F5">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急诊科区域</w:t>
                  </w:r>
                </w:p>
              </w:tc>
              <w:tc>
                <w:tcPr>
                  <w:tcW w:w="889" w:type="dxa"/>
                  <w:tcBorders>
                    <w:top w:val="single" w:color="000000" w:sz="4" w:space="0"/>
                    <w:left w:val="single" w:color="auto" w:sz="4" w:space="0"/>
                    <w:bottom w:val="single" w:color="000000" w:sz="4" w:space="0"/>
                    <w:right w:val="single" w:color="auto" w:sz="4" w:space="0"/>
                  </w:tcBorders>
                  <w:noWrap w:val="0"/>
                  <w:vAlign w:val="center"/>
                </w:tcPr>
                <w:p w14:paraId="23518671">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rPr>
                    <w:t>急诊科</w:t>
                  </w:r>
                  <w:r>
                    <w:rPr>
                      <w:rFonts w:hint="eastAsia" w:ascii="宋体" w:hAnsi="宋体" w:eastAsia="宋体" w:cs="宋体"/>
                      <w:b w:val="0"/>
                      <w:bCs w:val="0"/>
                      <w:color w:val="auto"/>
                      <w:sz w:val="21"/>
                      <w:szCs w:val="21"/>
                      <w:highlight w:val="none"/>
                      <w:lang w:eastAsia="en-US"/>
                    </w:rPr>
                    <w:t>岗</w:t>
                  </w:r>
                </w:p>
              </w:tc>
              <w:tc>
                <w:tcPr>
                  <w:tcW w:w="954" w:type="dxa"/>
                  <w:tcBorders>
                    <w:top w:val="single" w:color="000000" w:sz="4" w:space="0"/>
                    <w:left w:val="single" w:color="auto" w:sz="4" w:space="0"/>
                    <w:bottom w:val="single" w:color="000000" w:sz="4" w:space="0"/>
                    <w:right w:val="single" w:color="000000" w:sz="4" w:space="0"/>
                  </w:tcBorders>
                  <w:noWrap w:val="0"/>
                  <w:vAlign w:val="center"/>
                </w:tcPr>
                <w:p w14:paraId="72DF5745">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bidi="ar"/>
                    </w:rPr>
                    <w:t>人</w:t>
                  </w:r>
                </w:p>
              </w:tc>
              <w:tc>
                <w:tcPr>
                  <w:tcW w:w="3919" w:type="dxa"/>
                  <w:tcBorders>
                    <w:top w:val="single" w:color="000000" w:sz="4" w:space="0"/>
                    <w:left w:val="single" w:color="000000" w:sz="4" w:space="0"/>
                    <w:bottom w:val="single" w:color="000000" w:sz="4" w:space="0"/>
                    <w:right w:val="single" w:color="auto" w:sz="4" w:space="0"/>
                  </w:tcBorders>
                  <w:noWrap w:val="0"/>
                  <w:vAlign w:val="center"/>
                </w:tcPr>
                <w:p w14:paraId="406CB92D">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sz w:val="21"/>
                      <w:szCs w:val="21"/>
                      <w:highlight w:val="none"/>
                      <w:lang w:val="en-US" w:eastAsia="zh-CN"/>
                    </w:rPr>
                    <w:t>3名行政上班时间安保；2名</w:t>
                  </w:r>
                  <w:r>
                    <w:rPr>
                      <w:rFonts w:hint="eastAsia" w:ascii="宋体" w:hAnsi="宋体" w:eastAsia="宋体" w:cs="宋体"/>
                      <w:b w:val="0"/>
                      <w:bCs w:val="0"/>
                      <w:color w:val="auto"/>
                      <w:sz w:val="21"/>
                      <w:szCs w:val="21"/>
                      <w:highlight w:val="none"/>
                    </w:rPr>
                    <w:t>18点至第二天8点</w:t>
                  </w:r>
                  <w:r>
                    <w:rPr>
                      <w:rFonts w:hint="eastAsia" w:ascii="宋体" w:hAnsi="宋体" w:eastAsia="宋体" w:cs="宋体"/>
                      <w:b w:val="0"/>
                      <w:bCs w:val="0"/>
                      <w:color w:val="auto"/>
                      <w:sz w:val="21"/>
                      <w:szCs w:val="21"/>
                      <w:highlight w:val="none"/>
                      <w:lang w:eastAsia="en-US"/>
                    </w:rPr>
                    <w:t>的</w:t>
                  </w:r>
                  <w:r>
                    <w:rPr>
                      <w:rFonts w:hint="eastAsia" w:ascii="宋体" w:hAnsi="宋体" w:eastAsia="宋体" w:cs="宋体"/>
                      <w:b w:val="0"/>
                      <w:bCs w:val="0"/>
                      <w:color w:val="auto"/>
                      <w:sz w:val="21"/>
                      <w:szCs w:val="21"/>
                      <w:highlight w:val="none"/>
                    </w:rPr>
                    <w:t>安保</w:t>
                  </w:r>
                </w:p>
              </w:tc>
            </w:tr>
            <w:tr w14:paraId="264C1A07">
              <w:tblPrEx>
                <w:tblCellMar>
                  <w:top w:w="15" w:type="dxa"/>
                  <w:left w:w="15" w:type="dxa"/>
                  <w:bottom w:w="15" w:type="dxa"/>
                  <w:right w:w="15" w:type="dxa"/>
                </w:tblCellMar>
              </w:tblPrEx>
              <w:trPr>
                <w:trHeight w:val="6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CB6F1">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w:t>
                  </w:r>
                </w:p>
              </w:tc>
              <w:tc>
                <w:tcPr>
                  <w:tcW w:w="1673" w:type="dxa"/>
                  <w:tcBorders>
                    <w:top w:val="single" w:color="000000" w:sz="4" w:space="0"/>
                    <w:left w:val="single" w:color="000000" w:sz="4" w:space="0"/>
                    <w:bottom w:val="single" w:color="000000" w:sz="4" w:space="0"/>
                    <w:right w:val="single" w:color="auto" w:sz="4" w:space="0"/>
                  </w:tcBorders>
                  <w:noWrap w:val="0"/>
                  <w:vAlign w:val="center"/>
                </w:tcPr>
                <w:p w14:paraId="56D42240">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门卫区域</w:t>
                  </w:r>
                </w:p>
              </w:tc>
              <w:tc>
                <w:tcPr>
                  <w:tcW w:w="889" w:type="dxa"/>
                  <w:tcBorders>
                    <w:top w:val="single" w:color="000000" w:sz="4" w:space="0"/>
                    <w:left w:val="single" w:color="auto" w:sz="4" w:space="0"/>
                    <w:bottom w:val="single" w:color="000000" w:sz="4" w:space="0"/>
                    <w:right w:val="single" w:color="auto" w:sz="4" w:space="0"/>
                  </w:tcBorders>
                  <w:noWrap w:val="0"/>
                  <w:vAlign w:val="center"/>
                </w:tcPr>
                <w:p w14:paraId="1731EBE7">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en-US"/>
                    </w:rPr>
                    <w:t>门卫岗</w:t>
                  </w:r>
                </w:p>
              </w:tc>
              <w:tc>
                <w:tcPr>
                  <w:tcW w:w="954" w:type="dxa"/>
                  <w:tcBorders>
                    <w:top w:val="single" w:color="000000" w:sz="4" w:space="0"/>
                    <w:left w:val="single" w:color="auto" w:sz="4" w:space="0"/>
                    <w:bottom w:val="single" w:color="000000" w:sz="4" w:space="0"/>
                    <w:right w:val="single" w:color="000000" w:sz="4" w:space="0"/>
                  </w:tcBorders>
                  <w:noWrap w:val="0"/>
                  <w:vAlign w:val="center"/>
                </w:tcPr>
                <w:p w14:paraId="5935EB02">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人</w:t>
                  </w:r>
                </w:p>
              </w:tc>
              <w:tc>
                <w:tcPr>
                  <w:tcW w:w="3919" w:type="dxa"/>
                  <w:tcBorders>
                    <w:top w:val="single" w:color="000000" w:sz="4" w:space="0"/>
                    <w:left w:val="single" w:color="000000" w:sz="4" w:space="0"/>
                    <w:bottom w:val="single" w:color="000000" w:sz="4" w:space="0"/>
                    <w:right w:val="single" w:color="auto" w:sz="4" w:space="0"/>
                  </w:tcBorders>
                  <w:noWrap w:val="0"/>
                  <w:vAlign w:val="center"/>
                </w:tcPr>
                <w:p w14:paraId="7FF79100">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24小时出入口安保</w:t>
                  </w:r>
                  <w:r>
                    <w:rPr>
                      <w:rFonts w:hint="eastAsia" w:ascii="宋体" w:hAnsi="宋体" w:cs="宋体"/>
                      <w:b w:val="0"/>
                      <w:bCs w:val="0"/>
                      <w:color w:val="auto"/>
                      <w:sz w:val="21"/>
                      <w:szCs w:val="21"/>
                      <w:highlight w:val="none"/>
                      <w:lang w:val="en-US" w:eastAsia="zh-CN"/>
                    </w:rPr>
                    <w:t>,7号楼旁车辆出入口晚18点后关闭，早7点开启</w:t>
                  </w:r>
                </w:p>
              </w:tc>
            </w:tr>
            <w:tr w14:paraId="07216492">
              <w:tblPrEx>
                <w:tblCellMar>
                  <w:top w:w="15" w:type="dxa"/>
                  <w:left w:w="15" w:type="dxa"/>
                  <w:bottom w:w="15" w:type="dxa"/>
                  <w:right w:w="15" w:type="dxa"/>
                </w:tblCellMar>
              </w:tblPrEx>
              <w:trPr>
                <w:trHeight w:val="6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1C324D">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w:t>
                  </w:r>
                </w:p>
              </w:tc>
              <w:tc>
                <w:tcPr>
                  <w:tcW w:w="1673" w:type="dxa"/>
                  <w:tcBorders>
                    <w:top w:val="single" w:color="000000" w:sz="4" w:space="0"/>
                    <w:left w:val="single" w:color="000000" w:sz="4" w:space="0"/>
                    <w:bottom w:val="single" w:color="000000" w:sz="4" w:space="0"/>
                    <w:right w:val="single" w:color="auto" w:sz="4" w:space="0"/>
                  </w:tcBorders>
                  <w:noWrap w:val="0"/>
                  <w:vAlign w:val="center"/>
                </w:tcPr>
                <w:p w14:paraId="421E0DFE">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lang w:eastAsia="en-US"/>
                    </w:rPr>
                    <w:t>消防和视频监控室</w:t>
                  </w:r>
                </w:p>
              </w:tc>
              <w:tc>
                <w:tcPr>
                  <w:tcW w:w="889" w:type="dxa"/>
                  <w:tcBorders>
                    <w:top w:val="single" w:color="000000" w:sz="4" w:space="0"/>
                    <w:left w:val="single" w:color="auto" w:sz="4" w:space="0"/>
                    <w:bottom w:val="single" w:color="000000" w:sz="4" w:space="0"/>
                    <w:right w:val="single" w:color="auto" w:sz="4" w:space="0"/>
                  </w:tcBorders>
                  <w:noWrap w:val="0"/>
                  <w:vAlign w:val="center"/>
                </w:tcPr>
                <w:p w14:paraId="3286BB56">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sz w:val="21"/>
                      <w:szCs w:val="21"/>
                      <w:highlight w:val="none"/>
                      <w:lang w:eastAsia="zh-CN"/>
                    </w:rPr>
                    <w:t>监控岗</w:t>
                  </w:r>
                </w:p>
              </w:tc>
              <w:tc>
                <w:tcPr>
                  <w:tcW w:w="954" w:type="dxa"/>
                  <w:tcBorders>
                    <w:top w:val="single" w:color="000000" w:sz="4" w:space="0"/>
                    <w:left w:val="single" w:color="auto" w:sz="4" w:space="0"/>
                    <w:bottom w:val="single" w:color="000000" w:sz="4" w:space="0"/>
                    <w:right w:val="single" w:color="000000" w:sz="4" w:space="0"/>
                  </w:tcBorders>
                  <w:noWrap w:val="0"/>
                  <w:vAlign w:val="center"/>
                </w:tcPr>
                <w:p w14:paraId="3EBC1E32">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bidi="ar"/>
                    </w:rPr>
                    <w:t>人</w:t>
                  </w:r>
                </w:p>
              </w:tc>
              <w:tc>
                <w:tcPr>
                  <w:tcW w:w="3919" w:type="dxa"/>
                  <w:tcBorders>
                    <w:top w:val="single" w:color="000000" w:sz="4" w:space="0"/>
                    <w:left w:val="single" w:color="000000" w:sz="4" w:space="0"/>
                    <w:bottom w:val="single" w:color="000000" w:sz="4" w:space="0"/>
                    <w:right w:val="single" w:color="auto" w:sz="4" w:space="0"/>
                  </w:tcBorders>
                  <w:noWrap w:val="0"/>
                  <w:vAlign w:val="center"/>
                </w:tcPr>
                <w:p w14:paraId="3F7750A8">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bidi="ar"/>
                    </w:rPr>
                    <w:t>24小时监控室值班</w:t>
                  </w:r>
                </w:p>
              </w:tc>
            </w:tr>
            <w:tr w14:paraId="484C65B4">
              <w:tblPrEx>
                <w:tblCellMar>
                  <w:top w:w="15" w:type="dxa"/>
                  <w:left w:w="15" w:type="dxa"/>
                  <w:bottom w:w="15" w:type="dxa"/>
                  <w:right w:w="15" w:type="dxa"/>
                </w:tblCellMar>
              </w:tblPrEx>
              <w:trPr>
                <w:trHeight w:val="6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80AC0">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w:t>
                  </w:r>
                </w:p>
              </w:tc>
              <w:tc>
                <w:tcPr>
                  <w:tcW w:w="1673" w:type="dxa"/>
                  <w:tcBorders>
                    <w:top w:val="single" w:color="000000" w:sz="4" w:space="0"/>
                    <w:left w:val="single" w:color="000000" w:sz="4" w:space="0"/>
                    <w:bottom w:val="single" w:color="000000" w:sz="4" w:space="0"/>
                    <w:right w:val="single" w:color="auto" w:sz="4" w:space="0"/>
                  </w:tcBorders>
                  <w:noWrap w:val="0"/>
                  <w:vAlign w:val="center"/>
                </w:tcPr>
                <w:p w14:paraId="1B49D28C">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cs="宋体"/>
                      <w:sz w:val="21"/>
                      <w:szCs w:val="21"/>
                      <w:lang w:val="en-US" w:eastAsia="zh-CN"/>
                    </w:rPr>
                    <w:t>七星社区卫生服务中心</w:t>
                  </w:r>
                </w:p>
              </w:tc>
              <w:tc>
                <w:tcPr>
                  <w:tcW w:w="889" w:type="dxa"/>
                  <w:tcBorders>
                    <w:top w:val="single" w:color="000000" w:sz="4" w:space="0"/>
                    <w:left w:val="single" w:color="auto" w:sz="4" w:space="0"/>
                    <w:bottom w:val="single" w:color="000000" w:sz="4" w:space="0"/>
                    <w:right w:val="single" w:color="auto" w:sz="4" w:space="0"/>
                  </w:tcBorders>
                  <w:noWrap w:val="0"/>
                  <w:vAlign w:val="center"/>
                </w:tcPr>
                <w:p w14:paraId="776DF08C">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eastAsia="宋体" w:cs="宋体"/>
                      <w:b w:val="0"/>
                      <w:bCs w:val="0"/>
                      <w:color w:val="auto"/>
                      <w:sz w:val="21"/>
                      <w:szCs w:val="21"/>
                      <w:highlight w:val="none"/>
                      <w:lang w:val="en-US" w:eastAsia="en-US"/>
                    </w:rPr>
                  </w:pPr>
                  <w:r>
                    <w:rPr>
                      <w:rFonts w:hint="eastAsia" w:ascii="宋体" w:hAnsi="宋体" w:eastAsia="宋体" w:cs="宋体"/>
                      <w:b w:val="0"/>
                      <w:bCs w:val="0"/>
                      <w:color w:val="auto"/>
                      <w:sz w:val="21"/>
                      <w:szCs w:val="21"/>
                      <w:highlight w:val="none"/>
                      <w:lang w:eastAsia="en-US"/>
                    </w:rPr>
                    <w:t>门卫岗</w:t>
                  </w:r>
                </w:p>
              </w:tc>
              <w:tc>
                <w:tcPr>
                  <w:tcW w:w="954" w:type="dxa"/>
                  <w:tcBorders>
                    <w:top w:val="single" w:color="000000" w:sz="4" w:space="0"/>
                    <w:left w:val="single" w:color="auto" w:sz="4" w:space="0"/>
                    <w:bottom w:val="single" w:color="000000" w:sz="4" w:space="0"/>
                    <w:right w:val="single" w:color="000000" w:sz="4" w:space="0"/>
                  </w:tcBorders>
                  <w:noWrap w:val="0"/>
                  <w:vAlign w:val="center"/>
                </w:tcPr>
                <w:p w14:paraId="3F715DB9">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1人</w:t>
                  </w:r>
                </w:p>
              </w:tc>
              <w:tc>
                <w:tcPr>
                  <w:tcW w:w="3919" w:type="dxa"/>
                  <w:tcBorders>
                    <w:top w:val="single" w:color="000000" w:sz="4" w:space="0"/>
                    <w:left w:val="single" w:color="000000" w:sz="4" w:space="0"/>
                    <w:bottom w:val="single" w:color="000000" w:sz="4" w:space="0"/>
                    <w:right w:val="single" w:color="auto" w:sz="4" w:space="0"/>
                  </w:tcBorders>
                  <w:noWrap w:val="0"/>
                  <w:vAlign w:val="center"/>
                </w:tcPr>
                <w:p w14:paraId="036A5F6E">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sz w:val="21"/>
                      <w:szCs w:val="21"/>
                      <w:lang w:val="en-US" w:eastAsia="zh-CN"/>
                    </w:rPr>
                    <w:t>七星社区卫生服务中心安保，</w:t>
                  </w:r>
                  <w:r>
                    <w:rPr>
                      <w:rFonts w:hint="eastAsia" w:ascii="宋体" w:hAnsi="宋体" w:cs="宋体"/>
                      <w:b w:val="0"/>
                      <w:bCs w:val="0"/>
                      <w:color w:val="auto"/>
                      <w:kern w:val="0"/>
                      <w:sz w:val="21"/>
                      <w:szCs w:val="21"/>
                      <w:highlight w:val="none"/>
                      <w:lang w:val="en-US" w:eastAsia="zh-CN" w:bidi="ar"/>
                    </w:rPr>
                    <w:t>工作时间8小时</w:t>
                  </w:r>
                </w:p>
              </w:tc>
            </w:tr>
            <w:tr w14:paraId="27D8E60A">
              <w:tblPrEx>
                <w:tblCellMar>
                  <w:top w:w="15" w:type="dxa"/>
                  <w:left w:w="15" w:type="dxa"/>
                  <w:bottom w:w="15" w:type="dxa"/>
                  <w:right w:w="15" w:type="dxa"/>
                </w:tblCellMar>
              </w:tblPrEx>
              <w:trPr>
                <w:trHeight w:val="64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416E5C">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w:t>
                  </w:r>
                </w:p>
              </w:tc>
              <w:tc>
                <w:tcPr>
                  <w:tcW w:w="1673" w:type="dxa"/>
                  <w:tcBorders>
                    <w:top w:val="single" w:color="000000" w:sz="4" w:space="0"/>
                    <w:left w:val="single" w:color="000000" w:sz="4" w:space="0"/>
                    <w:bottom w:val="single" w:color="000000" w:sz="4" w:space="0"/>
                    <w:right w:val="single" w:color="auto" w:sz="4" w:space="0"/>
                  </w:tcBorders>
                  <w:noWrap w:val="0"/>
                  <w:vAlign w:val="center"/>
                </w:tcPr>
                <w:p w14:paraId="159C33BC">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lang w:eastAsia="en-US"/>
                    </w:rPr>
                    <w:t>东江社区</w:t>
                  </w:r>
                  <w:r>
                    <w:rPr>
                      <w:rFonts w:hint="eastAsia" w:ascii="宋体" w:hAnsi="宋体" w:eastAsia="宋体" w:cs="宋体"/>
                      <w:b w:val="0"/>
                      <w:bCs w:val="0"/>
                      <w:color w:val="auto"/>
                      <w:sz w:val="21"/>
                      <w:szCs w:val="21"/>
                      <w:highlight w:val="none"/>
                    </w:rPr>
                    <w:t>卫生服务中心</w:t>
                  </w:r>
                </w:p>
              </w:tc>
              <w:tc>
                <w:tcPr>
                  <w:tcW w:w="889" w:type="dxa"/>
                  <w:tcBorders>
                    <w:top w:val="single" w:color="000000" w:sz="4" w:space="0"/>
                    <w:left w:val="single" w:color="auto" w:sz="4" w:space="0"/>
                    <w:bottom w:val="single" w:color="000000" w:sz="4" w:space="0"/>
                    <w:right w:val="single" w:color="auto" w:sz="4" w:space="0"/>
                  </w:tcBorders>
                  <w:noWrap w:val="0"/>
                  <w:vAlign w:val="center"/>
                </w:tcPr>
                <w:p w14:paraId="749935A7">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lang w:eastAsia="en-US"/>
                    </w:rPr>
                    <w:t>门卫岗</w:t>
                  </w:r>
                </w:p>
              </w:tc>
              <w:tc>
                <w:tcPr>
                  <w:tcW w:w="954" w:type="dxa"/>
                  <w:tcBorders>
                    <w:top w:val="single" w:color="000000" w:sz="4" w:space="0"/>
                    <w:left w:val="single" w:color="auto" w:sz="4" w:space="0"/>
                    <w:bottom w:val="single" w:color="000000" w:sz="4" w:space="0"/>
                    <w:right w:val="single" w:color="000000" w:sz="4" w:space="0"/>
                  </w:tcBorders>
                  <w:noWrap w:val="0"/>
                  <w:vAlign w:val="center"/>
                </w:tcPr>
                <w:p w14:paraId="72C55861">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bidi="ar"/>
                    </w:rPr>
                    <w:t>人</w:t>
                  </w:r>
                </w:p>
              </w:tc>
              <w:tc>
                <w:tcPr>
                  <w:tcW w:w="3919" w:type="dxa"/>
                  <w:tcBorders>
                    <w:top w:val="single" w:color="000000" w:sz="4" w:space="0"/>
                    <w:left w:val="single" w:color="000000" w:sz="4" w:space="0"/>
                    <w:bottom w:val="single" w:color="000000" w:sz="4" w:space="0"/>
                    <w:right w:val="single" w:color="auto" w:sz="4" w:space="0"/>
                  </w:tcBorders>
                  <w:noWrap w:val="0"/>
                  <w:vAlign w:val="center"/>
                </w:tcPr>
                <w:p w14:paraId="78D22462">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bidi="ar"/>
                    </w:rPr>
                    <w:t>24小时社区院内区域安保</w:t>
                  </w:r>
                </w:p>
              </w:tc>
            </w:tr>
            <w:tr w14:paraId="35317C87">
              <w:tblPrEx>
                <w:tblCellMar>
                  <w:top w:w="15" w:type="dxa"/>
                  <w:left w:w="15" w:type="dxa"/>
                  <w:bottom w:w="15" w:type="dxa"/>
                  <w:right w:w="15" w:type="dxa"/>
                </w:tblCellMar>
              </w:tblPrEx>
              <w:trPr>
                <w:trHeight w:val="41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28C1B7">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w:t>
                  </w:r>
                </w:p>
              </w:tc>
              <w:tc>
                <w:tcPr>
                  <w:tcW w:w="1673" w:type="dxa"/>
                  <w:tcBorders>
                    <w:top w:val="single" w:color="000000" w:sz="4" w:space="0"/>
                    <w:left w:val="single" w:color="000000" w:sz="4" w:space="0"/>
                    <w:bottom w:val="single" w:color="000000" w:sz="4" w:space="0"/>
                    <w:right w:val="single" w:color="auto" w:sz="4" w:space="0"/>
                  </w:tcBorders>
                  <w:noWrap w:val="0"/>
                  <w:vAlign w:val="center"/>
                </w:tcPr>
                <w:p w14:paraId="438CFBA2">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整个院区</w:t>
                  </w:r>
                </w:p>
              </w:tc>
              <w:tc>
                <w:tcPr>
                  <w:tcW w:w="889" w:type="dxa"/>
                  <w:tcBorders>
                    <w:top w:val="single" w:color="000000" w:sz="4" w:space="0"/>
                    <w:left w:val="single" w:color="auto" w:sz="4" w:space="0"/>
                    <w:bottom w:val="single" w:color="000000" w:sz="4" w:space="0"/>
                    <w:right w:val="single" w:color="auto" w:sz="4" w:space="0"/>
                  </w:tcBorders>
                  <w:noWrap w:val="0"/>
                  <w:vAlign w:val="center"/>
                </w:tcPr>
                <w:p w14:paraId="06697691">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lang w:eastAsia="en-US"/>
                    </w:rPr>
                  </w:pPr>
                  <w:r>
                    <w:rPr>
                      <w:rFonts w:hint="eastAsia" w:ascii="宋体" w:hAnsi="宋体" w:eastAsia="宋体" w:cs="宋体"/>
                      <w:b w:val="0"/>
                      <w:bCs w:val="0"/>
                      <w:color w:val="auto"/>
                      <w:sz w:val="21"/>
                      <w:szCs w:val="21"/>
                      <w:highlight w:val="none"/>
                      <w:lang w:eastAsia="en-US"/>
                    </w:rPr>
                    <w:t>巡逻岗</w:t>
                  </w:r>
                </w:p>
              </w:tc>
              <w:tc>
                <w:tcPr>
                  <w:tcW w:w="954" w:type="dxa"/>
                  <w:tcBorders>
                    <w:top w:val="single" w:color="000000" w:sz="4" w:space="0"/>
                    <w:left w:val="single" w:color="auto" w:sz="4" w:space="0"/>
                    <w:bottom w:val="single" w:color="000000" w:sz="4" w:space="0"/>
                    <w:right w:val="single" w:color="000000" w:sz="4" w:space="0"/>
                  </w:tcBorders>
                  <w:noWrap w:val="0"/>
                  <w:vAlign w:val="center"/>
                </w:tcPr>
                <w:p w14:paraId="17894EB3">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bidi="ar"/>
                    </w:rPr>
                    <w:t>人</w:t>
                  </w:r>
                </w:p>
              </w:tc>
              <w:tc>
                <w:tcPr>
                  <w:tcW w:w="3919" w:type="dxa"/>
                  <w:tcBorders>
                    <w:top w:val="single" w:color="000000" w:sz="4" w:space="0"/>
                    <w:left w:val="single" w:color="000000" w:sz="4" w:space="0"/>
                    <w:bottom w:val="single" w:color="000000" w:sz="4" w:space="0"/>
                    <w:right w:val="single" w:color="auto" w:sz="4" w:space="0"/>
                  </w:tcBorders>
                  <w:noWrap w:val="0"/>
                  <w:vAlign w:val="center"/>
                </w:tcPr>
                <w:p w14:paraId="52F0ADCC">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bidi="ar"/>
                    </w:rPr>
                    <w:t>24小时院内区域安保</w:t>
                  </w:r>
                  <w:r>
                    <w:rPr>
                      <w:rFonts w:hint="eastAsia" w:ascii="宋体" w:hAnsi="宋体" w:cs="宋体"/>
                      <w:b w:val="0"/>
                      <w:bCs w:val="0"/>
                      <w:color w:val="auto"/>
                      <w:kern w:val="0"/>
                      <w:sz w:val="21"/>
                      <w:szCs w:val="21"/>
                      <w:highlight w:val="none"/>
                      <w:lang w:val="en-US" w:eastAsia="zh-CN" w:bidi="ar"/>
                    </w:rPr>
                    <w:t>及巡逻，</w:t>
                  </w:r>
                  <w:r>
                    <w:rPr>
                      <w:rFonts w:hint="eastAsia" w:ascii="宋体" w:hAnsi="宋体" w:eastAsia="宋体" w:cs="宋体"/>
                      <w:sz w:val="21"/>
                      <w:szCs w:val="21"/>
                      <w:lang w:val="en-US" w:eastAsia="en-US"/>
                    </w:rPr>
                    <w:t>每班不少于两次对全院进行巡查，0:00～第二天8:00每两小时巡视一次</w:t>
                  </w:r>
                </w:p>
              </w:tc>
            </w:tr>
            <w:tr w14:paraId="442750C1">
              <w:tblPrEx>
                <w:tblCellMar>
                  <w:top w:w="15" w:type="dxa"/>
                  <w:left w:w="15" w:type="dxa"/>
                  <w:bottom w:w="15" w:type="dxa"/>
                  <w:right w:w="15" w:type="dxa"/>
                </w:tblCellMar>
              </w:tblPrEx>
              <w:trPr>
                <w:trHeight w:val="312" w:hRule="atLeast"/>
              </w:trPr>
              <w:tc>
                <w:tcPr>
                  <w:tcW w:w="2910" w:type="dxa"/>
                  <w:gridSpan w:val="3"/>
                  <w:tcBorders>
                    <w:top w:val="single" w:color="000000" w:sz="4" w:space="0"/>
                    <w:left w:val="single" w:color="000000" w:sz="4" w:space="0"/>
                    <w:bottom w:val="single" w:color="000000" w:sz="4" w:space="0"/>
                    <w:right w:val="single" w:color="auto" w:sz="4" w:space="0"/>
                  </w:tcBorders>
                  <w:noWrap w:val="0"/>
                  <w:vAlign w:val="center"/>
                </w:tcPr>
                <w:p w14:paraId="521251D8">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合计</w:t>
                  </w:r>
                </w:p>
              </w:tc>
              <w:tc>
                <w:tcPr>
                  <w:tcW w:w="954" w:type="dxa"/>
                  <w:tcBorders>
                    <w:top w:val="single" w:color="000000" w:sz="4" w:space="0"/>
                    <w:left w:val="single" w:color="auto" w:sz="4" w:space="0"/>
                    <w:bottom w:val="single" w:color="000000" w:sz="4" w:space="0"/>
                    <w:right w:val="single" w:color="000000" w:sz="4" w:space="0"/>
                  </w:tcBorders>
                  <w:noWrap w:val="0"/>
                  <w:vAlign w:val="center"/>
                </w:tcPr>
                <w:p w14:paraId="780146B3">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27</w:t>
                  </w:r>
                </w:p>
              </w:tc>
              <w:tc>
                <w:tcPr>
                  <w:tcW w:w="3919" w:type="dxa"/>
                  <w:tcBorders>
                    <w:top w:val="single" w:color="000000" w:sz="4" w:space="0"/>
                    <w:left w:val="single" w:color="000000" w:sz="4" w:space="0"/>
                    <w:bottom w:val="single" w:color="000000" w:sz="4" w:space="0"/>
                    <w:right w:val="single" w:color="auto" w:sz="4" w:space="0"/>
                  </w:tcBorders>
                  <w:noWrap w:val="0"/>
                  <w:vAlign w:val="center"/>
                </w:tcPr>
                <w:p w14:paraId="02793FB2">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p>
              </w:tc>
            </w:tr>
          </w:tbl>
          <w:p w14:paraId="2A4725D9">
            <w:pPr>
              <w:pStyle w:val="37"/>
              <w:keepNext w:val="0"/>
              <w:keepLines w:val="0"/>
              <w:pageBreakBefore w:val="0"/>
              <w:kinsoku/>
              <w:wordWrap/>
              <w:overflowPunct/>
              <w:topLinePunct w:val="0"/>
              <w:autoSpaceDE/>
              <w:autoSpaceDN/>
              <w:bidi w:val="0"/>
              <w:snapToGrid/>
              <w:spacing w:after="0" w:line="380" w:lineRule="exact"/>
              <w:jc w:val="both"/>
              <w:outlineLvl w:val="9"/>
              <w:rPr>
                <w:rFonts w:hint="eastAsia" w:ascii="宋体" w:hAnsi="宋体" w:eastAsia="宋体" w:cs="宋体"/>
                <w:b/>
                <w:bCs/>
                <w:color w:val="auto"/>
                <w:sz w:val="21"/>
                <w:szCs w:val="21"/>
                <w:highlight w:val="none"/>
                <w:lang w:eastAsia="en-US"/>
              </w:rPr>
            </w:pPr>
          </w:p>
          <w:p w14:paraId="322F0EE2">
            <w:pPr>
              <w:pStyle w:val="37"/>
              <w:keepNext w:val="0"/>
              <w:keepLines w:val="0"/>
              <w:pageBreakBefore w:val="0"/>
              <w:kinsoku/>
              <w:wordWrap/>
              <w:overflowPunct/>
              <w:topLinePunct w:val="0"/>
              <w:autoSpaceDE/>
              <w:autoSpaceDN/>
              <w:bidi w:val="0"/>
              <w:snapToGrid/>
              <w:spacing w:after="0" w:line="380" w:lineRule="exact"/>
              <w:jc w:val="both"/>
              <w:outlineLvl w:val="9"/>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z w:val="21"/>
                <w:szCs w:val="21"/>
                <w:highlight w:val="none"/>
                <w:lang w:eastAsia="en-US"/>
              </w:rPr>
              <w:t>项目管理要求</w:t>
            </w:r>
          </w:p>
          <w:p w14:paraId="70DA5F83">
            <w:pPr>
              <w:keepNext w:val="0"/>
              <w:keepLines w:val="0"/>
              <w:pageBreakBefore w:val="0"/>
              <w:kinsoku/>
              <w:wordWrap/>
              <w:overflowPunct/>
              <w:topLinePunct w:val="0"/>
              <w:autoSpaceDE/>
              <w:autoSpaceDN/>
              <w:bidi w:val="0"/>
              <w:snapToGrid/>
              <w:spacing w:line="380" w:lineRule="exact"/>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1.质量目标要求</w:t>
            </w:r>
          </w:p>
          <w:p w14:paraId="1E7626A9">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（1）依托行业标准，根据</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管理规定与服务要求，熟悉</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管理的特点，根据</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内的不同服务对象，制定切实可行的</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安保服务整体方案和应急预案，突发事件反应迅速，预案处置有力。</w:t>
            </w:r>
          </w:p>
          <w:p w14:paraId="5C244954">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（2）依法办事，文明值勤，严格管理，保障</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财产和</w:t>
            </w:r>
            <w:r>
              <w:rPr>
                <w:rFonts w:hint="eastAsia" w:ascii="宋体" w:hAnsi="宋体" w:eastAsia="宋体" w:cs="宋体"/>
                <w:color w:val="auto"/>
                <w:sz w:val="21"/>
                <w:szCs w:val="21"/>
                <w:highlight w:val="none"/>
              </w:rPr>
              <w:t>医务人员</w:t>
            </w:r>
            <w:r>
              <w:rPr>
                <w:rFonts w:hint="eastAsia" w:ascii="宋体" w:hAnsi="宋体" w:eastAsia="宋体" w:cs="宋体"/>
                <w:color w:val="auto"/>
                <w:sz w:val="21"/>
                <w:szCs w:val="21"/>
                <w:highlight w:val="none"/>
                <w:lang w:eastAsia="en-US"/>
              </w:rPr>
              <w:t>人身不受侵害，维护正常的</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lang w:eastAsia="en-US"/>
              </w:rPr>
              <w:t>秩序。</w:t>
            </w:r>
          </w:p>
          <w:p w14:paraId="15B1ABAA">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（3）全年无责任事故和责任案件发生，</w:t>
            </w:r>
            <w:r>
              <w:rPr>
                <w:rFonts w:hint="eastAsia" w:ascii="宋体" w:hAnsi="宋体" w:eastAsia="宋体" w:cs="宋体"/>
                <w:color w:val="auto"/>
                <w:sz w:val="21"/>
                <w:szCs w:val="21"/>
                <w:highlight w:val="none"/>
              </w:rPr>
              <w:t>医务人员</w:t>
            </w:r>
            <w:r>
              <w:rPr>
                <w:rFonts w:hint="eastAsia" w:ascii="宋体" w:hAnsi="宋体" w:eastAsia="宋体" w:cs="宋体"/>
                <w:color w:val="auto"/>
                <w:sz w:val="21"/>
                <w:szCs w:val="21"/>
                <w:highlight w:val="none"/>
                <w:lang w:eastAsia="en-US"/>
              </w:rPr>
              <w:t>有安全感，全年考核合格。</w:t>
            </w:r>
          </w:p>
          <w:p w14:paraId="198901A3">
            <w:pPr>
              <w:keepNext w:val="0"/>
              <w:keepLines w:val="0"/>
              <w:pageBreakBefore w:val="0"/>
              <w:kinsoku/>
              <w:wordWrap/>
              <w:overflowPunct/>
              <w:topLinePunct w:val="0"/>
              <w:autoSpaceDE/>
              <w:autoSpaceDN/>
              <w:bidi w:val="0"/>
              <w:snapToGrid/>
              <w:spacing w:line="380" w:lineRule="exact"/>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2.安保人员素质要求</w:t>
            </w:r>
          </w:p>
          <w:p w14:paraId="0E94306E">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（1）从业人员应知法、懂法、守法，依法办事，必须严格遵守保安从业规范，遵守</w:t>
            </w:r>
            <w:r>
              <w:rPr>
                <w:rFonts w:hint="eastAsia" w:ascii="宋体" w:hAnsi="宋体" w:eastAsia="宋体" w:cs="宋体"/>
                <w:color w:val="auto"/>
                <w:sz w:val="21"/>
                <w:szCs w:val="21"/>
                <w:highlight w:val="none"/>
              </w:rPr>
              <w:t>医院各项职责制度和</w:t>
            </w:r>
            <w:r>
              <w:rPr>
                <w:rFonts w:hint="eastAsia" w:ascii="宋体" w:hAnsi="宋体" w:eastAsia="宋体" w:cs="宋体"/>
                <w:color w:val="auto"/>
                <w:sz w:val="21"/>
                <w:szCs w:val="21"/>
                <w:highlight w:val="none"/>
                <w:lang w:eastAsia="en-US"/>
              </w:rPr>
              <w:t>安全管理规定。</w:t>
            </w:r>
          </w:p>
          <w:p w14:paraId="37B715EE">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（2）人员个人素质条件：所有保安人员必须具有《保安</w:t>
            </w:r>
            <w:r>
              <w:rPr>
                <w:rFonts w:hint="eastAsia" w:ascii="宋体" w:hAnsi="宋体" w:cs="宋体"/>
                <w:color w:val="auto"/>
                <w:sz w:val="21"/>
                <w:szCs w:val="21"/>
                <w:highlight w:val="none"/>
                <w:lang w:val="en-US" w:eastAsia="zh-CN"/>
              </w:rPr>
              <w:t>员</w:t>
            </w:r>
            <w:r>
              <w:rPr>
                <w:rFonts w:hint="eastAsia" w:ascii="宋体" w:hAnsi="宋体" w:eastAsia="宋体" w:cs="宋体"/>
                <w:color w:val="auto"/>
                <w:sz w:val="21"/>
                <w:szCs w:val="21"/>
                <w:highlight w:val="none"/>
                <w:lang w:eastAsia="en-US"/>
              </w:rPr>
              <w:t>证》，无不良爱好，无犯罪记录，具有一定的专业素质和语言表达能力，相貌端正，身体健康（持健康证）。其中管理人员要求高中</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en-US"/>
              </w:rPr>
              <w:t>以上学历，年龄在 25～55岁之间，具有3年</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en-US"/>
              </w:rPr>
              <w:t>以上管理保安队伍的经验，经过专门的保安业务培训，工作能力强，为人谦和，具有较高的政治思想素养和业务水平，有较强的组织协调能力，保安人员年龄在 18～55岁之间，男性身高在165厘米</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en-US"/>
              </w:rPr>
              <w:t>以上，女性（只限消防和视频监控控制室值班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en-US"/>
              </w:rPr>
              <w:t>）160厘米</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en-US"/>
              </w:rPr>
              <w:t>以上，初中</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en-US"/>
              </w:rPr>
              <w:t>以上学历。保安人员在上岗前须同时向采购人提供投入本项目的所有保安人员的《保安</w:t>
            </w:r>
            <w:r>
              <w:rPr>
                <w:rFonts w:hint="eastAsia" w:ascii="宋体" w:hAnsi="宋体" w:cs="宋体"/>
                <w:color w:val="auto"/>
                <w:sz w:val="21"/>
                <w:szCs w:val="21"/>
                <w:highlight w:val="none"/>
                <w:lang w:val="en-US" w:eastAsia="zh-CN"/>
              </w:rPr>
              <w:t>员</w:t>
            </w:r>
            <w:r>
              <w:rPr>
                <w:rFonts w:hint="eastAsia" w:ascii="宋体" w:hAnsi="宋体" w:eastAsia="宋体" w:cs="宋体"/>
                <w:color w:val="auto"/>
                <w:sz w:val="21"/>
                <w:szCs w:val="21"/>
                <w:highlight w:val="none"/>
                <w:lang w:eastAsia="en-US"/>
              </w:rPr>
              <w:t>证》复印件；投标人如承诺本项目保安人员配置一定数量的退伍军人</w:t>
            </w:r>
            <w:r>
              <w:rPr>
                <w:rFonts w:hint="eastAsia" w:ascii="宋体" w:hAnsi="宋体" w:eastAsia="宋体" w:cs="宋体"/>
                <w:color w:val="auto"/>
                <w:sz w:val="21"/>
                <w:szCs w:val="21"/>
                <w:highlight w:val="none"/>
              </w:rPr>
              <w:t>及消防和视频监控室值班人员的，</w:t>
            </w:r>
            <w:r>
              <w:rPr>
                <w:rFonts w:hint="eastAsia" w:ascii="宋体" w:hAnsi="宋体" w:eastAsia="宋体" w:cs="宋体"/>
                <w:color w:val="auto"/>
                <w:sz w:val="21"/>
                <w:szCs w:val="21"/>
                <w:highlight w:val="none"/>
                <w:lang w:eastAsia="en-US"/>
              </w:rPr>
              <w:t>在承诺的退伍军人保安人员</w:t>
            </w:r>
            <w:r>
              <w:rPr>
                <w:rFonts w:hint="eastAsia" w:ascii="宋体" w:hAnsi="宋体" w:eastAsia="宋体" w:cs="宋体"/>
                <w:color w:val="auto"/>
                <w:sz w:val="21"/>
                <w:szCs w:val="21"/>
                <w:highlight w:val="none"/>
              </w:rPr>
              <w:t>和值班人员</w:t>
            </w:r>
            <w:r>
              <w:rPr>
                <w:rFonts w:hint="eastAsia" w:ascii="宋体" w:hAnsi="宋体" w:eastAsia="宋体" w:cs="宋体"/>
                <w:color w:val="auto"/>
                <w:sz w:val="21"/>
                <w:szCs w:val="21"/>
                <w:highlight w:val="none"/>
                <w:lang w:eastAsia="en-US"/>
              </w:rPr>
              <w:t>入场时，必须向采购人提供相应人员的退伍军人证原件</w:t>
            </w:r>
            <w:r>
              <w:rPr>
                <w:rFonts w:hint="eastAsia" w:ascii="宋体" w:hAnsi="宋体" w:eastAsia="宋体" w:cs="宋体"/>
                <w:color w:val="auto"/>
                <w:sz w:val="21"/>
                <w:szCs w:val="21"/>
                <w:highlight w:val="none"/>
              </w:rPr>
              <w:t>和消防上岗证</w:t>
            </w:r>
            <w:r>
              <w:rPr>
                <w:rFonts w:hint="eastAsia" w:ascii="宋体" w:hAnsi="宋体" w:eastAsia="宋体" w:cs="宋体"/>
                <w:color w:val="auto"/>
                <w:sz w:val="21"/>
                <w:szCs w:val="21"/>
                <w:highlight w:val="none"/>
                <w:lang w:eastAsia="en-US"/>
              </w:rPr>
              <w:t>到采购人处备案，合同履行过程中且未经采购人同意不得擅自变更以上人员，否则，按</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违约处理，同时采购人有权终止合同执行，并报相关监督管理部门处理，由此造成的一切不利后果由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自行承担。</w:t>
            </w:r>
          </w:p>
          <w:p w14:paraId="5BA2D27F">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（3）所聘用的保安人员有吃苦耐劳的精神和高度的责任感，受过专门的岗前培训；熟知</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的管理规定，严格履行岗位职责，善于发现各类问题，具备一定的管理经验和处理突发事件能力。</w:t>
            </w:r>
          </w:p>
          <w:p w14:paraId="3E23CAB6">
            <w:pPr>
              <w:keepNext w:val="0"/>
              <w:keepLines w:val="0"/>
              <w:pageBreakBefore w:val="0"/>
              <w:kinsoku/>
              <w:wordWrap/>
              <w:overflowPunct/>
              <w:topLinePunct w:val="0"/>
              <w:autoSpaceDE/>
              <w:autoSpaceDN/>
              <w:bidi w:val="0"/>
              <w:snapToGrid/>
              <w:spacing w:line="380" w:lineRule="exact"/>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3.服务要求</w:t>
            </w:r>
          </w:p>
          <w:p w14:paraId="490CC617">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（1）树立“服务第一，业主至上”的思想，切实维护</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与</w:t>
            </w:r>
            <w:r>
              <w:rPr>
                <w:rFonts w:hint="eastAsia" w:ascii="宋体" w:hAnsi="宋体" w:eastAsia="宋体" w:cs="宋体"/>
                <w:color w:val="auto"/>
                <w:sz w:val="21"/>
                <w:szCs w:val="21"/>
                <w:highlight w:val="none"/>
              </w:rPr>
              <w:t>医务人员</w:t>
            </w:r>
            <w:r>
              <w:rPr>
                <w:rFonts w:hint="eastAsia" w:ascii="宋体" w:hAnsi="宋体" w:eastAsia="宋体" w:cs="宋体"/>
                <w:color w:val="auto"/>
                <w:sz w:val="21"/>
                <w:szCs w:val="21"/>
                <w:highlight w:val="none"/>
                <w:lang w:eastAsia="en-US"/>
              </w:rPr>
              <w:t>的人身和财产安全。</w:t>
            </w:r>
          </w:p>
          <w:p w14:paraId="11A67865">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（2）管理坚持原则、慎密严谨；服务以人为本、主动热情；处理问题高度警惕、有理有节。</w:t>
            </w:r>
          </w:p>
          <w:p w14:paraId="1672B5BC">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（3）上岗人员仪表整洁，业务操作规范，礼貌待人，保持岗位卫生整洁</w:t>
            </w:r>
            <w:r>
              <w:rPr>
                <w:rFonts w:hint="eastAsia" w:ascii="宋体" w:hAnsi="宋体" w:eastAsia="宋体" w:cs="宋体"/>
                <w:color w:val="auto"/>
                <w:sz w:val="21"/>
                <w:szCs w:val="21"/>
                <w:highlight w:val="none"/>
              </w:rPr>
              <w:t>。</w:t>
            </w:r>
          </w:p>
          <w:p w14:paraId="5817AC48">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（4）上岗人员必须依法办事，文明执勤</w:t>
            </w:r>
            <w:r>
              <w:rPr>
                <w:rFonts w:hint="eastAsia" w:ascii="宋体" w:hAnsi="宋体" w:eastAsia="宋体" w:cs="宋体"/>
                <w:color w:val="auto"/>
                <w:sz w:val="21"/>
                <w:szCs w:val="21"/>
                <w:highlight w:val="none"/>
              </w:rPr>
              <w:t>。</w:t>
            </w:r>
          </w:p>
          <w:p w14:paraId="682B3DCA">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（5） 能针对不同的服务对象，从实际出发，灵活妥善处理不同问题。</w:t>
            </w:r>
          </w:p>
          <w:p w14:paraId="6F249407">
            <w:pPr>
              <w:keepNext w:val="0"/>
              <w:keepLines w:val="0"/>
              <w:pageBreakBefore w:val="0"/>
              <w:kinsoku/>
              <w:wordWrap/>
              <w:overflowPunct/>
              <w:topLinePunct w:val="0"/>
              <w:autoSpaceDE/>
              <w:autoSpaceDN/>
              <w:bidi w:val="0"/>
              <w:snapToGrid/>
              <w:spacing w:line="380" w:lineRule="exact"/>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4.队伍建设与管理要求</w:t>
            </w:r>
          </w:p>
          <w:p w14:paraId="0C446CAF">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负责提供进驻保安人员值勤所需的服装及雨具以及常用办公耗材等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en-US"/>
              </w:rPr>
              <w:t>每个岗位就以上装备必须配备齐全（至少各一套）。</w:t>
            </w:r>
          </w:p>
          <w:p w14:paraId="39DFBEA2">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（2）从</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安全实际出发，须经常开展在岗人员业务培训和紧急预案演练。</w:t>
            </w:r>
          </w:p>
          <w:p w14:paraId="5E440B06">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（3）应建立健全内部管理制度、操作规程、应急处置方案预案，设立保安管理点主管，全面负责日常保安队伍的规范化管理。</w:t>
            </w:r>
          </w:p>
          <w:p w14:paraId="4533005E">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（4）</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必须采取切实有效措施保持保安队伍的稳定和工作的连续性，一是严格控制非违纪人员轮换岗比例，合同期限内轮换岗保安人数不得超过合同编制的 20%；二是保安队伍主要管理人员更换，应提前一个月以书面形式通知采购人保卫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，其他队员更换要提前三天告知保卫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，确保服务质量不因人员变动而受影响。</w:t>
            </w:r>
          </w:p>
          <w:p w14:paraId="281BB85E">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（5）</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负责为每位管理人员、保安人员缴纳法律规定的各类养老保险、医疗保险、工伤保险、失业保险、生育保险、意外伤害保险及其他费用。上述人员涉及用工方面的劳务纠纷、福利纠纷和劳动事故均由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负责，与采购人无关。</w:t>
            </w:r>
          </w:p>
          <w:p w14:paraId="60BAD20B">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（6）保安应聘、录用、离职等要求管理档案规范，手续齐全，相应资料必须报采购人保卫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备案。</w:t>
            </w:r>
          </w:p>
          <w:p w14:paraId="4CD58357">
            <w:pPr>
              <w:keepNext w:val="0"/>
              <w:keepLines w:val="0"/>
              <w:pageBreakBefore w:val="0"/>
              <w:kinsoku/>
              <w:wordWrap/>
              <w:overflowPunct/>
              <w:topLinePunct w:val="0"/>
              <w:autoSpaceDE/>
              <w:autoSpaceDN/>
              <w:bidi w:val="0"/>
              <w:snapToGrid/>
              <w:spacing w:line="380" w:lineRule="exact"/>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5.日常工作要求</w:t>
            </w:r>
          </w:p>
          <w:p w14:paraId="6876000B">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（1）根据行业服务标准与</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规定要求，在采购人保卫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指导下，独立运作，落实</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安全保卫</w:t>
            </w:r>
            <w:r>
              <w:rPr>
                <w:rFonts w:hint="eastAsia" w:ascii="宋体" w:hAnsi="宋体" w:eastAsia="宋体" w:cs="宋体"/>
                <w:color w:val="auto"/>
                <w:sz w:val="21"/>
                <w:szCs w:val="21"/>
                <w:highlight w:val="none"/>
              </w:rPr>
              <w:t>和消防安全</w:t>
            </w:r>
            <w:r>
              <w:rPr>
                <w:rFonts w:hint="eastAsia" w:ascii="宋体" w:hAnsi="宋体" w:eastAsia="宋体" w:cs="宋体"/>
                <w:color w:val="auto"/>
                <w:sz w:val="21"/>
                <w:szCs w:val="21"/>
                <w:highlight w:val="none"/>
                <w:lang w:eastAsia="en-US"/>
              </w:rPr>
              <w:t>整体方案，并结合</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变化实际在实践中不断完善。</w:t>
            </w:r>
          </w:p>
          <w:p w14:paraId="237CE0CC">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（2）保安主管每天必须向采购人保卫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负责人口头汇报工作，每星期向采购人保卫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汇报一次</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安保情况，重大情况须及时报告。</w:t>
            </w:r>
          </w:p>
          <w:p w14:paraId="0CAB1C55">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（3）做好详细的执勤记录，</w:t>
            </w:r>
            <w:r>
              <w:rPr>
                <w:rFonts w:hint="eastAsia" w:ascii="宋体" w:hAnsi="宋体" w:eastAsia="宋体" w:cs="宋体"/>
                <w:color w:val="auto"/>
                <w:sz w:val="21"/>
                <w:szCs w:val="21"/>
                <w:highlight w:val="none"/>
              </w:rPr>
              <w:t>原始台账</w:t>
            </w:r>
            <w:r>
              <w:rPr>
                <w:rFonts w:hint="eastAsia" w:ascii="宋体" w:hAnsi="宋体" w:eastAsia="宋体" w:cs="宋体"/>
                <w:color w:val="auto"/>
                <w:sz w:val="21"/>
                <w:szCs w:val="21"/>
                <w:highlight w:val="none"/>
                <w:lang w:eastAsia="en-US"/>
              </w:rPr>
              <w:t>保存完好，以备核查。</w:t>
            </w:r>
          </w:p>
          <w:p w14:paraId="51BB23F6">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（4）与采购人其他安保力量协作联动，开展一体化安全防范。</w:t>
            </w:r>
          </w:p>
          <w:p w14:paraId="096ABE38">
            <w:pPr>
              <w:pStyle w:val="37"/>
              <w:keepNext w:val="0"/>
              <w:keepLines w:val="0"/>
              <w:pageBreakBefore w:val="0"/>
              <w:kinsoku/>
              <w:wordWrap/>
              <w:overflowPunct/>
              <w:topLinePunct w:val="0"/>
              <w:autoSpaceDE/>
              <w:autoSpaceDN/>
              <w:bidi w:val="0"/>
              <w:snapToGrid/>
              <w:spacing w:after="0" w:line="380" w:lineRule="exact"/>
              <w:jc w:val="both"/>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（5）要加强对保安业务的管理，确保保安在</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内无违规事件发生。</w:t>
            </w:r>
          </w:p>
          <w:p w14:paraId="6E09C39A">
            <w:pPr>
              <w:keepNext w:val="0"/>
              <w:keepLines w:val="0"/>
              <w:pageBreakBefore w:val="0"/>
              <w:kinsoku/>
              <w:wordWrap/>
              <w:overflowPunct/>
              <w:topLinePunct w:val="0"/>
              <w:autoSpaceDE/>
              <w:autoSpaceDN/>
              <w:bidi w:val="0"/>
              <w:snapToGrid/>
              <w:spacing w:line="380" w:lineRule="exact"/>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en-US"/>
              </w:rPr>
              <w:t>采购人的权利义务</w:t>
            </w:r>
          </w:p>
          <w:p w14:paraId="04EEAA28">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每月必须向采购人提供排班表，采购人有权对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的保安服务工作进行监督管理、检查考核，采购人对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提出的上述要求未能及时办理的，采购人有权从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当月</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en-US"/>
              </w:rPr>
              <w:t>中扣除2%。</w:t>
            </w:r>
          </w:p>
          <w:p w14:paraId="05C58BE3">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（2）采购人因工作需要或紧急情况需要调动</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人员时，有直接管理、设置和调动</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岗位人员的权力。调动</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人员时，要求10分钟内集合本</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内所有在岗人员，60分钟内集合合同规定的所有人员。紧急集结时，每少1人，采购人有权从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当月</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en-US"/>
              </w:rPr>
              <w:t>中扣除2%。</w:t>
            </w:r>
          </w:p>
          <w:p w14:paraId="353DC86A">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（3）采购人有权要求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在三个工作日内</w:t>
            </w:r>
            <w:r>
              <w:rPr>
                <w:rFonts w:hint="eastAsia" w:ascii="宋体" w:hAnsi="宋体" w:eastAsia="宋体" w:cs="宋体"/>
                <w:color w:val="auto"/>
                <w:sz w:val="21"/>
                <w:szCs w:val="21"/>
                <w:highlight w:val="none"/>
                <w:lang w:eastAsia="en-US"/>
              </w:rPr>
              <w:t>更换不服从管理、违纪或其他原因不适合继续在采购人工作的保安人员。</w:t>
            </w:r>
          </w:p>
          <w:p w14:paraId="708DB570">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（4）因采购人举办重大活动需要临时增加安保力量的，有权要求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临时增派适量安保人员</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费用另计</w:t>
            </w:r>
            <w:r>
              <w:rPr>
                <w:rFonts w:hint="eastAsia" w:ascii="宋体" w:hAnsi="宋体" w:eastAsia="宋体" w:cs="宋体"/>
                <w:color w:val="auto"/>
                <w:sz w:val="21"/>
                <w:szCs w:val="21"/>
                <w:highlight w:val="none"/>
              </w:rPr>
              <w:t>。</w:t>
            </w:r>
          </w:p>
          <w:p w14:paraId="0BC28D2A">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（5）支持和配合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履行职责的义务。</w:t>
            </w:r>
          </w:p>
          <w:p w14:paraId="49A6D070">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en-US"/>
              </w:rPr>
              <w:t>）对</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内各重点要害部位采取治安技防措施，依照有关标准配置消防器材。</w:t>
            </w:r>
          </w:p>
          <w:p w14:paraId="51BF6B9F">
            <w:pPr>
              <w:pStyle w:val="37"/>
              <w:keepNext w:val="0"/>
              <w:keepLines w:val="0"/>
              <w:pageBreakBefore w:val="0"/>
              <w:kinsoku/>
              <w:wordWrap/>
              <w:overflowPunct/>
              <w:topLinePunct w:val="0"/>
              <w:autoSpaceDE/>
              <w:autoSpaceDN/>
              <w:bidi w:val="0"/>
              <w:snapToGrid/>
              <w:spacing w:after="0" w:line="380" w:lineRule="exact"/>
              <w:jc w:val="both"/>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en-US"/>
              </w:rPr>
              <w:t>）督促</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遵守国家有关法律以及国家用工制度与规定。</w:t>
            </w:r>
          </w:p>
          <w:p w14:paraId="6974A79E">
            <w:pPr>
              <w:pStyle w:val="37"/>
              <w:keepNext w:val="0"/>
              <w:keepLines w:val="0"/>
              <w:pageBreakBefore w:val="0"/>
              <w:kinsoku/>
              <w:wordWrap/>
              <w:overflowPunct/>
              <w:topLinePunct w:val="0"/>
              <w:autoSpaceDE/>
              <w:autoSpaceDN/>
              <w:bidi w:val="0"/>
              <w:snapToGrid/>
              <w:spacing w:after="0" w:line="380" w:lineRule="exact"/>
              <w:jc w:val="both"/>
              <w:outlineLvl w:val="9"/>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eastAsia="zh-CN"/>
              </w:rPr>
              <w:t>供应商</w:t>
            </w:r>
            <w:r>
              <w:rPr>
                <w:rFonts w:hint="eastAsia" w:ascii="宋体" w:hAnsi="宋体" w:eastAsia="宋体" w:cs="宋体"/>
                <w:b/>
                <w:bCs/>
                <w:color w:val="auto"/>
                <w:sz w:val="21"/>
                <w:szCs w:val="21"/>
                <w:highlight w:val="none"/>
                <w:lang w:eastAsia="en-US"/>
              </w:rPr>
              <w:t>的权利义务</w:t>
            </w:r>
          </w:p>
          <w:p w14:paraId="2C353FB6">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（1）依照采购人有关规定和合同约定，制定相应的保安工作制度，并具体实施。</w:t>
            </w:r>
          </w:p>
          <w:p w14:paraId="7FEFD781">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（2）按照采购人拟定的岗位和要求派出管理人员和保安人员到采购人要求的安全管理区域范围进行</w:t>
            </w:r>
            <w:r>
              <w:rPr>
                <w:rFonts w:hint="eastAsia" w:ascii="宋体" w:hAnsi="宋体" w:eastAsia="宋体" w:cs="宋体"/>
                <w:color w:val="auto"/>
                <w:sz w:val="21"/>
                <w:szCs w:val="21"/>
                <w:highlight w:val="none"/>
              </w:rPr>
              <w:t>安保工作</w:t>
            </w:r>
            <w:r>
              <w:rPr>
                <w:rFonts w:hint="eastAsia" w:ascii="宋体" w:hAnsi="宋体" w:eastAsia="宋体" w:cs="宋体"/>
                <w:color w:val="auto"/>
                <w:sz w:val="21"/>
                <w:szCs w:val="21"/>
                <w:highlight w:val="none"/>
                <w:lang w:eastAsia="en-US"/>
              </w:rPr>
              <w:t>。</w:t>
            </w:r>
          </w:p>
          <w:p w14:paraId="6A40F3D3">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应当严格遵守国家以及采购人有关规定，在维护安全管理区域内的公共秩序时，必须文明履行职责并保持服装整洁，维护采购人的形象，不得侵害采购人的合法权益。</w:t>
            </w:r>
          </w:p>
          <w:p w14:paraId="7CCC2201">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4）对所管理区域内治安、消防以及交通等项目进行服务管理。协助公安部门维护所管理区域治安秩序并主动制止违法犯罪行为，如盗窃、抢劫、抢夺、打架、斗殴，非法集会、上访、游行等。在本安全管理区域内发生治安案件或者各类灾害事故时，应当及时处理并向辖区公安部门和采购人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报告，维护好秩序，根据案情及时组织保安队员疏散人群，以及做好救助和调查工作。</w:t>
            </w:r>
          </w:p>
          <w:p w14:paraId="0284A343">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（5）在服务期内接受采购人的考核、评议，</w:t>
            </w:r>
            <w:r>
              <w:rPr>
                <w:rFonts w:hint="eastAsia" w:ascii="宋体" w:hAnsi="宋体" w:eastAsia="宋体" w:cs="宋体"/>
                <w:color w:val="auto"/>
                <w:sz w:val="21"/>
                <w:szCs w:val="21"/>
                <w:highlight w:val="none"/>
              </w:rPr>
              <w:t>医务人员</w:t>
            </w:r>
            <w:r>
              <w:rPr>
                <w:rFonts w:hint="eastAsia" w:ascii="宋体" w:hAnsi="宋体" w:eastAsia="宋体" w:cs="宋体"/>
                <w:color w:val="auto"/>
                <w:sz w:val="21"/>
                <w:szCs w:val="21"/>
                <w:highlight w:val="none"/>
                <w:lang w:eastAsia="en-US"/>
              </w:rPr>
              <w:t>基本满意度达到 80%以上。</w:t>
            </w:r>
          </w:p>
          <w:p w14:paraId="20188EB9">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（6）</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的管理人员、保安人员的劳动纠纷、经济纠纷、工伤事故以及</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在执勤或者进行其他活动时致人伤害或造成他人财产损失的，由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承担一切责任。</w:t>
            </w:r>
          </w:p>
          <w:p w14:paraId="3869C3A7">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（7）负责配备</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人员工作所需的服装及雨具以及常用办公耗材等，要求各个岗位配齐以上装备（至少各一套）。</w:t>
            </w:r>
          </w:p>
          <w:p w14:paraId="47B8D028">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（8）采购人没有向</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提供保安管理服务的办公、住宿用房的义务，如有提供，</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不得买卖，不得将采购人提供的办公用房抵押或者改作他用，否则</w:t>
            </w:r>
            <w:r>
              <w:rPr>
                <w:rFonts w:hint="eastAsia" w:ascii="宋体" w:hAnsi="宋体" w:eastAsia="宋体" w:cs="宋体"/>
                <w:color w:val="auto"/>
                <w:sz w:val="21"/>
                <w:szCs w:val="21"/>
                <w:highlight w:val="none"/>
              </w:rPr>
              <w:t>医院将追究</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的法律责任</w:t>
            </w:r>
            <w:r>
              <w:rPr>
                <w:rFonts w:hint="eastAsia" w:ascii="宋体" w:hAnsi="宋体" w:eastAsia="宋体" w:cs="宋体"/>
                <w:color w:val="auto"/>
                <w:sz w:val="21"/>
                <w:szCs w:val="21"/>
                <w:highlight w:val="none"/>
                <w:lang w:eastAsia="en-US"/>
              </w:rPr>
              <w:t>。</w:t>
            </w:r>
          </w:p>
          <w:p w14:paraId="482EB757">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（9）</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无须承担范围外因治安刑事案件、意外事故、自然灾害等不可抗力因素造成的采购人人身财产损害赔偿责任。</w:t>
            </w:r>
          </w:p>
          <w:p w14:paraId="229E023C">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（10）</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必须保证每班上岗人数满员并且每月组织保安队员进行1次以上的业务训练。</w:t>
            </w:r>
          </w:p>
          <w:p w14:paraId="5E1842A6">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en-US"/>
              </w:rPr>
              <w:t>）按照有关规定，按时足额发放保安人员的劳动报酬、福利、加班工资、中夜班</w:t>
            </w:r>
            <w:r>
              <w:rPr>
                <w:rFonts w:hint="eastAsia" w:ascii="宋体" w:hAnsi="宋体" w:eastAsia="宋体" w:cs="宋体"/>
                <w:color w:val="auto"/>
                <w:sz w:val="21"/>
                <w:szCs w:val="21"/>
                <w:highlight w:val="none"/>
              </w:rPr>
              <w:t>费</w:t>
            </w:r>
            <w:r>
              <w:rPr>
                <w:rFonts w:hint="eastAsia" w:ascii="宋体" w:hAnsi="宋体" w:eastAsia="宋体" w:cs="宋体"/>
                <w:color w:val="auto"/>
                <w:sz w:val="21"/>
                <w:szCs w:val="21"/>
                <w:highlight w:val="none"/>
                <w:lang w:eastAsia="en-US"/>
              </w:rPr>
              <w:t>等劳动收益，并按照有关规定为安保人员办理社会保险费。</w:t>
            </w:r>
          </w:p>
          <w:p w14:paraId="456A7A36">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en-US"/>
              </w:rPr>
              <w:t>）赔偿因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责任造成采购人的财产损失。</w:t>
            </w:r>
          </w:p>
          <w:p w14:paraId="3FB72D5E">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en-US"/>
              </w:rPr>
              <w:t>）享有合法收取保安服务费用的权利，按照本</w:t>
            </w:r>
            <w:r>
              <w:rPr>
                <w:rFonts w:hint="eastAsia"/>
                <w:lang w:val="en-US" w:eastAsia="zh-CN"/>
              </w:rPr>
              <w:t>项目采购</w:t>
            </w:r>
            <w:r>
              <w:rPr>
                <w:rFonts w:hint="eastAsia" w:ascii="宋体" w:hAnsi="宋体" w:eastAsia="宋体" w:cs="宋体"/>
                <w:color w:val="auto"/>
                <w:sz w:val="21"/>
                <w:szCs w:val="21"/>
                <w:highlight w:val="none"/>
                <w:lang w:eastAsia="en-US"/>
              </w:rPr>
              <w:t>合同附件考核内容对保安人员违反规定的行为进行批评教育和迅速做出处理，并及时将处理结果正式书面通报给采购人，确保服务质量让采购人满意。</w:t>
            </w:r>
          </w:p>
          <w:p w14:paraId="01B224F6">
            <w:pPr>
              <w:pStyle w:val="37"/>
              <w:keepNext w:val="0"/>
              <w:keepLines w:val="0"/>
              <w:pageBreakBefore w:val="0"/>
              <w:kinsoku/>
              <w:wordWrap/>
              <w:overflowPunct/>
              <w:topLinePunct w:val="0"/>
              <w:autoSpaceDE/>
              <w:autoSpaceDN/>
              <w:bidi w:val="0"/>
              <w:snapToGrid/>
              <w:spacing w:after="0" w:line="380" w:lineRule="exact"/>
              <w:jc w:val="both"/>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en-US"/>
              </w:rPr>
              <w:t>）履行</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lang w:eastAsia="en-US"/>
              </w:rPr>
              <w:t>中对采购人的承诺。</w:t>
            </w:r>
          </w:p>
          <w:p w14:paraId="3C17923A">
            <w:pPr>
              <w:pStyle w:val="37"/>
              <w:keepNext w:val="0"/>
              <w:keepLines w:val="0"/>
              <w:pageBreakBefore w:val="0"/>
              <w:kinsoku/>
              <w:wordWrap/>
              <w:overflowPunct/>
              <w:topLinePunct w:val="0"/>
              <w:autoSpaceDE/>
              <w:autoSpaceDN/>
              <w:bidi w:val="0"/>
              <w:snapToGrid/>
              <w:spacing w:after="0" w:line="380" w:lineRule="exact"/>
              <w:jc w:val="both"/>
              <w:outlineLvl w:val="9"/>
              <w:rPr>
                <w:rFonts w:hint="eastAsia" w:ascii="宋体" w:hAnsi="宋体" w:eastAsia="宋体" w:cs="宋体"/>
                <w:b/>
                <w:bCs/>
                <w:color w:val="auto"/>
                <w:sz w:val="21"/>
                <w:szCs w:val="21"/>
                <w:highlight w:val="none"/>
                <w:lang w:eastAsia="en-US"/>
              </w:rPr>
            </w:pPr>
            <w:r>
              <w:rPr>
                <w:rFonts w:hint="eastAsia" w:ascii="宋体" w:hAnsi="宋体" w:eastAsia="宋体" w:cs="宋体"/>
                <w:b/>
                <w:bCs/>
                <w:color w:val="auto"/>
                <w:sz w:val="21"/>
                <w:szCs w:val="21"/>
                <w:highlight w:val="none"/>
                <w:lang w:eastAsia="en-US"/>
              </w:rPr>
              <w:t>处罚标准及解除合同条款</w:t>
            </w:r>
          </w:p>
          <w:p w14:paraId="11CD0081">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采购人保卫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负责每月对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保安队伍进行考核，在工作中发现保安人员存在以下违规违纪行为者，采购人将对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进行扣罚、解除合同处理，扣罚金额从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en-US"/>
              </w:rPr>
              <w:t>中扣除：</w:t>
            </w:r>
          </w:p>
          <w:p w14:paraId="5264E76F">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1.值班期间有睡岗，未按规定着装、酗酒上岗等违反值班规定的，发现一次扣罚</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en-US"/>
              </w:rPr>
              <w:t>00 元。</w:t>
            </w:r>
          </w:p>
          <w:p w14:paraId="4634E70A">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2.在大门有违规收费现象，利用职权弄虚作假的，发现一次扣罚 1000 元。</w:t>
            </w:r>
          </w:p>
          <w:p w14:paraId="2815C543">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3.各岗位未按合同要求配备装备的，发现一次扣罚 500 元。</w:t>
            </w:r>
          </w:p>
          <w:p w14:paraId="246D9399">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4.不服从采购人保卫</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eastAsia="en-US"/>
              </w:rPr>
              <w:t>管理的，每人次扣罚 1000 元。</w:t>
            </w:r>
          </w:p>
          <w:p w14:paraId="379A9564">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5.值班人员在岗时不按规定检查离</w:t>
            </w:r>
            <w:r>
              <w:rPr>
                <w:rFonts w:hint="eastAsia" w:ascii="宋体" w:hAnsi="宋体" w:eastAsia="宋体" w:cs="宋体"/>
                <w:color w:val="auto"/>
                <w:sz w:val="21"/>
                <w:szCs w:val="21"/>
                <w:highlight w:val="none"/>
              </w:rPr>
              <w:t>院</w:t>
            </w:r>
            <w:r>
              <w:rPr>
                <w:rFonts w:hint="eastAsia" w:ascii="宋体" w:hAnsi="宋体" w:eastAsia="宋体" w:cs="宋体"/>
                <w:color w:val="auto"/>
                <w:sz w:val="21"/>
                <w:szCs w:val="21"/>
                <w:highlight w:val="none"/>
                <w:lang w:eastAsia="en-US"/>
              </w:rPr>
              <w:t>物资出门证，导致</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及</w:t>
            </w:r>
            <w:r>
              <w:rPr>
                <w:rFonts w:hint="eastAsia" w:ascii="宋体" w:hAnsi="宋体" w:eastAsia="宋体" w:cs="宋体"/>
                <w:color w:val="auto"/>
                <w:sz w:val="21"/>
                <w:szCs w:val="21"/>
                <w:highlight w:val="none"/>
              </w:rPr>
              <w:t>医务人员</w:t>
            </w:r>
            <w:r>
              <w:rPr>
                <w:rFonts w:hint="eastAsia" w:ascii="宋体" w:hAnsi="宋体" w:eastAsia="宋体" w:cs="宋体"/>
                <w:color w:val="auto"/>
                <w:sz w:val="21"/>
                <w:szCs w:val="21"/>
                <w:highlight w:val="none"/>
                <w:lang w:eastAsia="en-US"/>
              </w:rPr>
              <w:t>财物流失的，除照价赔偿外，每次扣罚 1000 元。</w:t>
            </w:r>
          </w:p>
          <w:p w14:paraId="019FFC75">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6.由于失职而造成重大事故的，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须赔偿一切经济损失，并将责任人移交公安机关处理，同时每次扣罚 2000 元。</w:t>
            </w:r>
          </w:p>
          <w:p w14:paraId="7AADE063">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7.私自动用</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公私财物，并造成损失者，</w:t>
            </w:r>
            <w:r>
              <w:rPr>
                <w:rFonts w:hint="eastAsia"/>
                <w:lang w:val="en-US" w:eastAsia="zh-CN"/>
              </w:rPr>
              <w:t>除</w:t>
            </w:r>
            <w:r>
              <w:rPr>
                <w:rFonts w:hint="eastAsia" w:ascii="宋体" w:hAnsi="宋体" w:eastAsia="宋体" w:cs="宋体"/>
                <w:color w:val="auto"/>
                <w:sz w:val="21"/>
                <w:szCs w:val="21"/>
                <w:highlight w:val="none"/>
                <w:lang w:eastAsia="en-US"/>
              </w:rPr>
              <w:t>照价赔偿外，每次扣罚 1000 元。</w:t>
            </w:r>
          </w:p>
          <w:p w14:paraId="535DA7A2">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8.</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保安人员如有偷盗或其他违法犯罪行为，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必须承担一切经济损失和法律责任，每次扣罚 1 万元。</w:t>
            </w:r>
          </w:p>
          <w:p w14:paraId="18BDFD87">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9.</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保安人员粗暴值勤，造成不良后果，须赔偿一切经济损失，责任人移交公安部门处理外，每人次扣罚 5000 元。</w:t>
            </w:r>
          </w:p>
          <w:p w14:paraId="172C79BE">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10.</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en-US"/>
              </w:rPr>
              <w:t>保安人员在值班期间被发现有脱岗情况的，每人次扣罚 1000 元，须赔偿一切经济损失，若造成重大损失的（5万元以上），每人次扣罚2万元。</w:t>
            </w:r>
          </w:p>
          <w:p w14:paraId="10728556">
            <w:pPr>
              <w:keepNext w:val="0"/>
              <w:keepLines w:val="0"/>
              <w:pageBreakBefore w:val="0"/>
              <w:kinsoku/>
              <w:wordWrap/>
              <w:overflowPunct/>
              <w:topLinePunct w:val="0"/>
              <w:autoSpaceDE/>
              <w:autoSpaceDN/>
              <w:bidi w:val="0"/>
              <w:snapToGrid/>
              <w:spacing w:line="380" w:lineRule="exac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11.其它工作不到位造成严重影响的，依照以上作相应处理。</w:t>
            </w:r>
          </w:p>
          <w:p w14:paraId="6426C219">
            <w:pPr>
              <w:keepNext w:val="0"/>
              <w:keepLines w:val="0"/>
              <w:pageBreakBefore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en-US"/>
              </w:rPr>
              <w:t>处罚金额累计达到3万</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en-US"/>
              </w:rPr>
              <w:t>或造成重大经济损失超过5万元，</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en-US"/>
              </w:rPr>
              <w:t>有权解除合同。</w:t>
            </w:r>
          </w:p>
        </w:tc>
      </w:tr>
      <w:tr w14:paraId="70BBA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04609C75">
            <w:pPr>
              <w:jc w:val="center"/>
              <w:rPr>
                <w:rFonts w:ascii="宋体" w:hAnsi="宋体" w:cs="宋体"/>
                <w:color w:val="000000"/>
                <w:szCs w:val="21"/>
              </w:rPr>
            </w:pPr>
            <w:r>
              <w:rPr>
                <w:rFonts w:ascii="宋体" w:hAnsi="宋体" w:cs="宋体"/>
                <w:b/>
                <w:bCs/>
                <w:szCs w:val="21"/>
              </w:rPr>
              <w:t>▲</w:t>
            </w:r>
            <w:r>
              <w:rPr>
                <w:rFonts w:hint="eastAsia" w:ascii="宋体" w:hAnsi="宋体" w:cs="宋体"/>
                <w:color w:val="000000"/>
                <w:szCs w:val="21"/>
              </w:rPr>
              <w:t>商务条款</w:t>
            </w:r>
          </w:p>
        </w:tc>
        <w:tc>
          <w:tcPr>
            <w:tcW w:w="91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A46F2E">
            <w:pPr>
              <w:pStyle w:val="37"/>
              <w:jc w:val="both"/>
              <w:rPr>
                <w:rFonts w:hint="eastAsia" w:ascii="宋体" w:hAnsi="宋体" w:cs="宋体"/>
                <w:highlight w:val="none"/>
              </w:rPr>
            </w:pPr>
            <w:r>
              <w:rPr>
                <w:rFonts w:hint="eastAsia" w:ascii="宋体" w:hAnsi="宋体" w:cs="宋体"/>
                <w:highlight w:val="none"/>
              </w:rPr>
              <w:t>一、合同签订期：</w:t>
            </w:r>
            <w:r>
              <w:rPr>
                <w:rFonts w:hint="eastAsia" w:ascii="宋体" w:hAnsi="宋体" w:cs="宋体"/>
                <w:color w:val="auto"/>
                <w:szCs w:val="21"/>
              </w:rPr>
              <w:t>自中标通知书发出之日起</w:t>
            </w:r>
            <w:r>
              <w:rPr>
                <w:rFonts w:hint="eastAsia" w:ascii="宋体" w:hAnsi="宋体" w:cs="宋体"/>
                <w:color w:val="auto"/>
                <w:szCs w:val="21"/>
                <w:u w:val="single"/>
                <w:lang w:val="en-US" w:eastAsia="zh-CN"/>
              </w:rPr>
              <w:t>8个工作</w:t>
            </w:r>
            <w:r>
              <w:rPr>
                <w:rFonts w:hint="eastAsia" w:ascii="宋体" w:hAnsi="宋体" w:cs="宋体"/>
                <w:color w:val="auto"/>
                <w:szCs w:val="21"/>
              </w:rPr>
              <w:t>日内</w:t>
            </w:r>
            <w:r>
              <w:rPr>
                <w:rFonts w:hint="eastAsia" w:ascii="宋体" w:hAnsi="宋体" w:cs="宋体"/>
                <w:color w:val="auto"/>
                <w:highlight w:val="none"/>
                <w:lang w:eastAsia="zh-CN"/>
              </w:rPr>
              <w:t>。</w:t>
            </w:r>
          </w:p>
          <w:p w14:paraId="20DFA283">
            <w:pPr>
              <w:pStyle w:val="37"/>
              <w:jc w:val="both"/>
              <w:rPr>
                <w:rFonts w:hint="eastAsia" w:ascii="宋体" w:hAnsi="宋体" w:cs="宋体"/>
                <w:highlight w:val="none"/>
              </w:rPr>
            </w:pPr>
            <w:r>
              <w:rPr>
                <w:rFonts w:hint="eastAsia" w:ascii="宋体" w:hAnsi="宋体" w:cs="宋体"/>
                <w:highlight w:val="none"/>
              </w:rPr>
              <w:t>二、服务地点：</w:t>
            </w:r>
            <w:r>
              <w:rPr>
                <w:rFonts w:hint="eastAsia" w:ascii="宋体" w:hAnsi="宋体" w:eastAsia="宋体" w:cs="宋体"/>
                <w:color w:val="auto"/>
                <w:highlight w:val="none"/>
                <w:lang w:val="en-US" w:eastAsia="zh-CN"/>
              </w:rPr>
              <w:t>桂林市内采购人指定地点。</w:t>
            </w:r>
          </w:p>
          <w:p w14:paraId="534D468A">
            <w:pPr>
              <w:pStyle w:val="37"/>
              <w:jc w:val="both"/>
              <w:rPr>
                <w:rFonts w:hint="eastAsia" w:ascii="宋体" w:hAnsi="宋体" w:cs="宋体"/>
                <w:highlight w:val="none"/>
              </w:rPr>
            </w:pPr>
            <w:r>
              <w:rPr>
                <w:rFonts w:hint="eastAsia" w:ascii="宋体" w:hAnsi="宋体" w:cs="宋体"/>
                <w:highlight w:val="none"/>
                <w:lang w:val="en-US" w:eastAsia="zh-CN"/>
              </w:rPr>
              <w:t>三、</w:t>
            </w:r>
            <w:r>
              <w:rPr>
                <w:rFonts w:hint="eastAsia" w:ascii="宋体" w:hAnsi="宋体" w:cs="宋体"/>
                <w:highlight w:val="none"/>
                <w:lang w:eastAsia="zh-CN"/>
              </w:rPr>
              <w:t>服务期限：</w:t>
            </w:r>
            <w:r>
              <w:rPr>
                <w:rFonts w:hint="eastAsia" w:ascii="宋体" w:hAnsi="宋体" w:cs="宋体"/>
                <w:lang w:val="en-US" w:eastAsia="zh-CN"/>
              </w:rPr>
              <w:t>自签订合同之日起</w:t>
            </w:r>
            <w:r>
              <w:rPr>
                <w:rFonts w:hint="eastAsia" w:ascii="宋体" w:hAnsi="宋体" w:cs="宋体"/>
                <w:lang w:eastAsia="zh-CN"/>
              </w:rPr>
              <w:t>1年</w:t>
            </w:r>
            <w:r>
              <w:rPr>
                <w:rFonts w:hint="eastAsia" w:ascii="宋体" w:hAnsi="宋体" w:eastAsia="宋体" w:cs="Times New Roman"/>
                <w:color w:val="000000"/>
                <w:szCs w:val="21"/>
                <w:highlight w:val="none"/>
                <w:lang w:eastAsia="zh-CN"/>
              </w:rPr>
              <w:t>。</w:t>
            </w:r>
          </w:p>
          <w:p w14:paraId="0B979145">
            <w:pPr>
              <w:pStyle w:val="37"/>
              <w:jc w:val="both"/>
              <w:rPr>
                <w:rFonts w:hint="eastAsia" w:ascii="宋体" w:hAnsi="宋体" w:cs="宋体"/>
                <w:highlight w:val="none"/>
              </w:rPr>
            </w:pPr>
            <w:r>
              <w:rPr>
                <w:rFonts w:hint="eastAsia" w:ascii="宋体" w:hAnsi="宋体" w:cs="宋体"/>
                <w:highlight w:val="none"/>
                <w:lang w:val="en-US" w:eastAsia="zh-CN"/>
              </w:rPr>
              <w:t>四</w:t>
            </w:r>
            <w:r>
              <w:rPr>
                <w:rFonts w:hint="eastAsia" w:ascii="宋体" w:hAnsi="宋体" w:cs="宋体"/>
                <w:highlight w:val="none"/>
              </w:rPr>
              <w:t>、验收要求</w:t>
            </w:r>
          </w:p>
          <w:p w14:paraId="5E8B5290">
            <w:pPr>
              <w:pStyle w:val="37"/>
              <w:jc w:val="both"/>
              <w:rPr>
                <w:rFonts w:hint="eastAsia" w:ascii="宋体" w:hAnsi="宋体" w:cs="宋体"/>
                <w:highlight w:val="none"/>
              </w:rPr>
            </w:pPr>
            <w:r>
              <w:rPr>
                <w:rFonts w:hint="eastAsia" w:ascii="宋体" w:hAnsi="宋体" w:cs="宋体"/>
                <w:highlight w:val="none"/>
              </w:rPr>
              <w:t>1、验收方式：</w:t>
            </w:r>
            <w:r>
              <w:rPr>
                <w:rFonts w:hint="eastAsia" w:ascii="宋体" w:hAnsi="宋体" w:eastAsia="宋体" w:cs="宋体"/>
                <w:color w:val="auto"/>
                <w:highlight w:val="none"/>
              </w:rPr>
              <w:t>采购人严格按照采购合同对</w:t>
            </w:r>
            <w:r>
              <w:rPr>
                <w:rFonts w:hint="eastAsia"/>
                <w:color w:val="auto"/>
                <w:highlight w:val="none"/>
                <w:lang w:val="en-US" w:eastAsia="zh-CN"/>
              </w:rPr>
              <w:t>中标人</w:t>
            </w:r>
            <w:r>
              <w:rPr>
                <w:rFonts w:hint="eastAsia" w:ascii="宋体" w:hAnsi="宋体" w:eastAsia="宋体" w:cs="宋体"/>
                <w:color w:val="auto"/>
                <w:highlight w:val="none"/>
              </w:rPr>
              <w:t>开展履约验收。验收时，按照采购合同的约定对每一项技术、服务、安全标准的履约情况进行确认。验收结束后，应当出具验收书，列明各项标准的验收情况及项目总体评价，由验收双方共同签署。</w:t>
            </w:r>
          </w:p>
          <w:p w14:paraId="7981C854">
            <w:pPr>
              <w:pStyle w:val="37"/>
              <w:jc w:val="both"/>
            </w:pPr>
            <w:r>
              <w:rPr>
                <w:rFonts w:hint="eastAsia" w:ascii="宋体" w:hAnsi="宋体" w:cs="宋体"/>
                <w:highlight w:val="none"/>
              </w:rPr>
              <w:t>2、验收费用：</w:t>
            </w:r>
            <w:r>
              <w:rPr>
                <w:rFonts w:hint="eastAsia" w:ascii="宋体" w:hAnsi="宋体" w:eastAsia="宋体" w:cs="宋体"/>
                <w:color w:val="auto"/>
                <w:highlight w:val="none"/>
                <w:lang w:val="en-US" w:eastAsia="zh-CN"/>
              </w:rPr>
              <w:t>由中标人负责所有的验收费用</w:t>
            </w:r>
            <w:r>
              <w:rPr>
                <w:rFonts w:hint="eastAsia" w:ascii="宋体" w:hAnsi="宋体" w:cs="宋体"/>
                <w:color w:val="auto"/>
                <w:highlight w:val="none"/>
                <w:lang w:val="en-US" w:eastAsia="zh-CN"/>
              </w:rPr>
              <w:t>。</w:t>
            </w:r>
          </w:p>
          <w:p w14:paraId="4C02C746">
            <w:pPr>
              <w:pStyle w:val="37"/>
              <w:jc w:val="both"/>
              <w:rPr>
                <w:rFonts w:hint="eastAsia" w:ascii="宋体" w:hAnsi="宋体" w:cs="宋体"/>
                <w:highlight w:val="none"/>
              </w:rPr>
            </w:pPr>
            <w:r>
              <w:rPr>
                <w:rFonts w:hint="eastAsia" w:ascii="宋体" w:hAnsi="宋体" w:cs="宋体"/>
                <w:highlight w:val="none"/>
                <w:lang w:val="en-US" w:eastAsia="zh-CN"/>
              </w:rPr>
              <w:t>五</w:t>
            </w:r>
            <w:r>
              <w:rPr>
                <w:rFonts w:hint="eastAsia" w:ascii="宋体" w:hAnsi="宋体" w:cs="宋体"/>
                <w:highlight w:val="none"/>
              </w:rPr>
              <w:t>、其他要求</w:t>
            </w:r>
          </w:p>
          <w:p w14:paraId="1176B0F6">
            <w:pPr>
              <w:pStyle w:val="37"/>
              <w:jc w:val="both"/>
            </w:pPr>
            <w:r>
              <w:rPr>
                <w:rFonts w:hint="eastAsia" w:ascii="宋体" w:hAnsi="宋体" w:cs="宋体"/>
                <w:highlight w:val="none"/>
              </w:rPr>
              <w:t>1、</w:t>
            </w:r>
            <w:r>
              <w:rPr>
                <w:rFonts w:hint="eastAsia" w:ascii="宋体" w:hAnsi="宋体" w:eastAsia="宋体" w:cs="宋体"/>
                <w:b/>
                <w:color w:val="auto"/>
                <w:sz w:val="21"/>
                <w:szCs w:val="21"/>
                <w:highlight w:val="none"/>
              </w:rPr>
              <w:t>投标报价</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shd w:val="clear" w:color="auto" w:fill="FFFFFF"/>
              </w:rPr>
              <w:t>投标报价应包括本次采购范围内的全部服务价款、服务人员费用（包括但不限于人员工资、社保费、劳保、服装、意外伤害保险、奖金、加班费、夜班费、</w:t>
            </w:r>
            <w:r>
              <w:rPr>
                <w:rFonts w:hint="eastAsia" w:ascii="宋体" w:hAnsi="宋体" w:eastAsia="宋体" w:cs="宋体"/>
                <w:color w:val="auto"/>
                <w:sz w:val="21"/>
                <w:szCs w:val="21"/>
                <w:highlight w:val="none"/>
                <w:shd w:val="clear" w:color="auto" w:fill="FFFFFF"/>
                <w:lang w:val="en-US" w:eastAsia="zh-CN"/>
              </w:rPr>
              <w:t>以</w:t>
            </w:r>
            <w:r>
              <w:rPr>
                <w:rFonts w:hint="eastAsia" w:ascii="宋体" w:hAnsi="宋体" w:eastAsia="宋体" w:cs="宋体"/>
                <w:color w:val="auto"/>
                <w:sz w:val="21"/>
                <w:szCs w:val="21"/>
                <w:highlight w:val="none"/>
                <w:shd w:val="clear" w:color="auto" w:fill="FFFFFF"/>
              </w:rPr>
              <w:t>及其他各项福利待遇等）、办公费用（包括但不限于执勤设备费用、通讯费、办公用品、培训费、维护费、劳保用品等）、管理费、利润、税费等完成合同所需的一切本身和不可或缺的所有开支、政策性文件规定的合同包含的所有风险、责任等各项全部费用的总和。</w:t>
            </w:r>
            <w:r>
              <w:rPr>
                <w:rFonts w:hint="eastAsia"/>
                <w:lang w:val="en-US" w:eastAsia="zh-CN"/>
              </w:rPr>
              <w:t>投标人</w:t>
            </w:r>
            <w:r>
              <w:rPr>
                <w:rFonts w:hint="eastAsia" w:ascii="宋体" w:hAnsi="宋体" w:eastAsia="宋体" w:cs="宋体"/>
                <w:color w:val="auto"/>
                <w:sz w:val="21"/>
                <w:szCs w:val="21"/>
                <w:highlight w:val="none"/>
              </w:rPr>
              <w:t>综合考虑在报价中。</w:t>
            </w:r>
          </w:p>
          <w:p w14:paraId="42B384EA">
            <w:pPr>
              <w:pStyle w:val="37"/>
              <w:rPr>
                <w:rFonts w:hint="eastAsia" w:ascii="宋体" w:hAnsi="宋体" w:eastAsia="宋体" w:cs="宋体"/>
                <w:color w:val="auto"/>
                <w:sz w:val="21"/>
                <w:szCs w:val="21"/>
                <w:highlight w:val="none"/>
              </w:rPr>
            </w:pPr>
            <w:r>
              <w:rPr>
                <w:rFonts w:hint="eastAsia" w:ascii="宋体" w:hAnsi="宋体" w:cs="宋体"/>
                <w:kern w:val="2"/>
                <w:sz w:val="21"/>
                <w:szCs w:val="24"/>
                <w:highlight w:val="none"/>
                <w:lang w:val="en-US" w:eastAsia="zh-CN" w:bidi="ar-SA"/>
              </w:rPr>
              <w:t>2、</w:t>
            </w:r>
            <w:r>
              <w:rPr>
                <w:rFonts w:hint="eastAsia" w:ascii="宋体" w:hAnsi="宋体" w:eastAsia="宋体" w:cs="宋体"/>
                <w:kern w:val="2"/>
                <w:sz w:val="21"/>
                <w:szCs w:val="24"/>
                <w:highlight w:val="none"/>
                <w:lang w:val="en-US" w:eastAsia="zh-CN" w:bidi="ar-SA"/>
              </w:rPr>
              <w:t>付款方式：</w:t>
            </w:r>
            <w:r>
              <w:rPr>
                <w:rFonts w:hint="eastAsia" w:ascii="宋体" w:hAnsi="宋体" w:eastAsia="宋体" w:cs="宋体"/>
                <w:color w:val="000000" w:themeColor="text1"/>
                <w:sz w:val="21"/>
                <w:szCs w:val="21"/>
                <w:highlight w:val="none"/>
                <w14:textFill>
                  <w14:solidFill>
                    <w14:schemeClr w14:val="tx1"/>
                  </w14:solidFill>
                </w14:textFill>
              </w:rPr>
              <w:t>服务总费用实行按月支付（</w:t>
            </w:r>
            <w:r>
              <w:rPr>
                <w:rFonts w:hint="eastAsia" w:ascii="宋体" w:hAnsi="宋体" w:eastAsia="宋体" w:cs="宋体"/>
                <w:color w:val="000000" w:themeColor="text1"/>
                <w:kern w:val="0"/>
                <w:sz w:val="21"/>
                <w:szCs w:val="21"/>
                <w:highlight w:val="none"/>
                <w14:textFill>
                  <w14:solidFill>
                    <w14:schemeClr w14:val="tx1"/>
                  </w14:solidFill>
                </w14:textFill>
              </w:rPr>
              <w:t>按合同总金额平均分配到合同期内的每个月</w:t>
            </w:r>
            <w:r>
              <w:rPr>
                <w:rFonts w:hint="eastAsia" w:ascii="宋体" w:hAnsi="宋体" w:eastAsia="宋体" w:cs="宋体"/>
                <w:color w:val="000000" w:themeColor="text1"/>
                <w:sz w:val="21"/>
                <w:szCs w:val="21"/>
                <w:highlight w:val="none"/>
                <w14:textFill>
                  <w14:solidFill>
                    <w14:schemeClr w14:val="tx1"/>
                  </w14:solidFill>
                </w14:textFill>
              </w:rPr>
              <w:t>），并于每月10日以前</w:t>
            </w:r>
            <w:r>
              <w:rPr>
                <w:rFonts w:hint="eastAsia" w:ascii="宋体" w:hAnsi="宋体" w:cs="宋体"/>
                <w:color w:val="000000" w:themeColor="text1"/>
                <w:sz w:val="21"/>
                <w:szCs w:val="21"/>
                <w:highlight w:val="none"/>
                <w:lang w:eastAsia="zh-CN"/>
                <w14:textFill>
                  <w14:solidFill>
                    <w14:schemeClr w14:val="tx1"/>
                  </w14:solidFill>
                </w14:textFill>
              </w:rPr>
              <w:t>开具发票后</w:t>
            </w:r>
            <w:r>
              <w:rPr>
                <w:rFonts w:hint="eastAsia" w:ascii="宋体" w:hAnsi="宋体" w:eastAsia="宋体" w:cs="宋体"/>
                <w:color w:val="000000" w:themeColor="text1"/>
                <w:sz w:val="21"/>
                <w:szCs w:val="21"/>
                <w:highlight w:val="none"/>
                <w14:textFill>
                  <w14:solidFill>
                    <w14:schemeClr w14:val="tx1"/>
                  </w14:solidFill>
                </w14:textFill>
              </w:rPr>
              <w:t>（遇休息日或法定节假日则顺延）</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w:t>
            </w:r>
            <w:r>
              <w:rPr>
                <w:rFonts w:hint="eastAsia" w:ascii="宋体" w:hAnsi="宋体" w:cs="宋体"/>
                <w:color w:val="000000" w:themeColor="text1"/>
                <w:sz w:val="21"/>
                <w:szCs w:val="21"/>
                <w:highlight w:val="none"/>
                <w:lang w:eastAsia="zh-CN"/>
                <w14:textFill>
                  <w14:solidFill>
                    <w14:schemeClr w14:val="tx1"/>
                  </w14:solidFill>
                </w14:textFill>
              </w:rPr>
              <w:t>在</w:t>
            </w:r>
            <w:r>
              <w:rPr>
                <w:rFonts w:hint="eastAsia" w:ascii="宋体" w:hAnsi="宋体" w:cs="宋体"/>
                <w:color w:val="000000" w:themeColor="text1"/>
                <w:sz w:val="21"/>
                <w:szCs w:val="21"/>
                <w:highlight w:val="none"/>
                <w:lang w:val="en-US" w:eastAsia="zh-CN"/>
                <w14:textFill>
                  <w14:solidFill>
                    <w14:schemeClr w14:val="tx1"/>
                  </w14:solidFill>
                </w14:textFill>
              </w:rPr>
              <w:t>30个日历日内</w:t>
            </w:r>
            <w:r>
              <w:rPr>
                <w:rFonts w:hint="eastAsia" w:ascii="宋体" w:hAnsi="宋体" w:eastAsia="宋体" w:cs="宋体"/>
                <w:color w:val="000000" w:themeColor="text1"/>
                <w:sz w:val="21"/>
                <w:szCs w:val="21"/>
                <w:highlight w:val="none"/>
                <w14:textFill>
                  <w14:solidFill>
                    <w14:schemeClr w14:val="tx1"/>
                  </w14:solidFill>
                </w14:textFill>
              </w:rPr>
              <w:t>以转账方式将上月的服务费（经采购人考核后产生的实际服务费）足额转至</w:t>
            </w:r>
            <w:r>
              <w:rPr>
                <w:rFonts w:hint="eastAsia" w:ascii="宋体"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指定账户，否则，采购人有权拒绝付费且不承担任何责任。</w:t>
            </w:r>
          </w:p>
          <w:p w14:paraId="5261D058">
            <w:pPr>
              <w:pStyle w:val="37"/>
              <w:jc w:val="both"/>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val="en-US" w:eastAsia="zh-CN"/>
              </w:rPr>
              <w:t>3、</w:t>
            </w:r>
            <w:r>
              <w:rPr>
                <w:rFonts w:hint="eastAsia" w:ascii="宋体" w:hAnsi="宋体" w:eastAsia="宋体" w:cs="宋体"/>
                <w:b/>
                <w:color w:val="auto"/>
                <w:kern w:val="0"/>
                <w:sz w:val="21"/>
                <w:szCs w:val="21"/>
                <w:highlight w:val="none"/>
              </w:rPr>
              <w:t>其他</w:t>
            </w:r>
            <w:r>
              <w:rPr>
                <w:rFonts w:hint="eastAsia" w:ascii="宋体" w:hAnsi="宋体" w:eastAsia="宋体" w:cs="宋体"/>
                <w:b/>
                <w:color w:val="auto"/>
                <w:kern w:val="0"/>
                <w:sz w:val="21"/>
                <w:szCs w:val="21"/>
                <w:highlight w:val="none"/>
                <w:lang w:eastAsia="zh-CN"/>
              </w:rPr>
              <w:t>：</w:t>
            </w:r>
          </w:p>
          <w:p w14:paraId="743A3D37">
            <w:pPr>
              <w:pStyle w:val="37"/>
              <w:jc w:val="both"/>
              <w:rPr>
                <w:rFonts w:hint="eastAsia" w:ascii="宋体" w:hAnsi="宋体" w:eastAsia="宋体" w:cs="宋体"/>
                <w:b/>
                <w:bCs/>
                <w:i w:val="0"/>
                <w:iCs w:val="0"/>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本项目</w:t>
            </w:r>
            <w:r>
              <w:rPr>
                <w:rFonts w:hint="eastAsia" w:ascii="宋体" w:hAnsi="宋体" w:cs="宋体"/>
                <w:b w:val="0"/>
                <w:bCs w:val="0"/>
                <w:color w:val="auto"/>
                <w:sz w:val="21"/>
                <w:szCs w:val="21"/>
                <w:highlight w:val="none"/>
                <w:lang w:val="en-US" w:eastAsia="zh-CN"/>
              </w:rPr>
              <w:t>所需服务</w:t>
            </w:r>
            <w:r>
              <w:rPr>
                <w:rFonts w:hint="eastAsia" w:ascii="宋体" w:hAnsi="宋体" w:eastAsia="宋体" w:cs="宋体"/>
                <w:b w:val="0"/>
                <w:bCs w:val="0"/>
                <w:color w:val="auto"/>
                <w:sz w:val="21"/>
                <w:szCs w:val="21"/>
                <w:highlight w:val="none"/>
              </w:rPr>
              <w:t>人员共27人，年龄在18～55岁之间。其中，18-45岁安保人员10人，46-55岁安保人员11人，监控室值班人员6人（需持有国家中级及以上消防设施操作员证书），以上</w:t>
            </w:r>
            <w:r>
              <w:rPr>
                <w:rFonts w:hint="eastAsia" w:ascii="宋体" w:hAnsi="宋体" w:cs="宋体"/>
                <w:b w:val="0"/>
                <w:bCs w:val="0"/>
                <w:color w:val="auto"/>
                <w:sz w:val="21"/>
                <w:szCs w:val="21"/>
                <w:highlight w:val="none"/>
                <w:lang w:val="en-US" w:eastAsia="zh-CN"/>
              </w:rPr>
              <w:t>人员</w:t>
            </w:r>
            <w:r>
              <w:rPr>
                <w:rFonts w:hint="eastAsia" w:ascii="宋体" w:hAnsi="宋体" w:eastAsia="宋体" w:cs="宋体"/>
                <w:b w:val="0"/>
                <w:bCs w:val="0"/>
                <w:color w:val="auto"/>
                <w:sz w:val="21"/>
                <w:szCs w:val="21"/>
                <w:highlight w:val="none"/>
              </w:rPr>
              <w:t>至少含1名管理人员</w:t>
            </w:r>
            <w:r>
              <w:rPr>
                <w:rFonts w:hint="eastAsia" w:ascii="宋体" w:hAnsi="宋体" w:cs="宋体"/>
                <w:b w:val="0"/>
                <w:bCs w:val="0"/>
                <w:color w:val="auto"/>
                <w:sz w:val="21"/>
                <w:szCs w:val="21"/>
                <w:highlight w:val="none"/>
                <w:lang w:val="en-US" w:eastAsia="zh-CN"/>
              </w:rPr>
              <w:t>和1名</w:t>
            </w:r>
            <w:r>
              <w:rPr>
                <w:rFonts w:hint="eastAsia" w:ascii="宋体" w:hAnsi="宋体" w:eastAsia="宋体" w:cs="宋体"/>
                <w:b w:val="0"/>
                <w:bCs w:val="0"/>
                <w:color w:val="auto"/>
                <w:sz w:val="21"/>
                <w:szCs w:val="21"/>
                <w:highlight w:val="none"/>
              </w:rPr>
              <w:t>保安队长。</w:t>
            </w:r>
          </w:p>
          <w:p w14:paraId="10B4F099">
            <w:pPr>
              <w:pStyle w:val="37"/>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聘用员工必须符合国家法律、政策的有关规定，对员工的疾病和人身安全负责，员工的劳资、各项保险费用均由</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自理，发生的劳资纠纷由</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负责处理。</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按劳动法要求与从业人员签订劳动合同，从业人员的劳动合同和身份证复印件等提交医院备案，人员如有变动须及时向院方报备。同时，本项目所有人员均只能服务于本项目，不允许兼职。</w:t>
            </w:r>
          </w:p>
          <w:p w14:paraId="4D83CFB1">
            <w:pPr>
              <w:pStyle w:val="37"/>
              <w:keepNext w:val="0"/>
              <w:keepLines w:val="0"/>
              <w:pageBreakBefore w:val="0"/>
              <w:kinsoku/>
              <w:wordWrap/>
              <w:overflowPunct/>
              <w:topLinePunct w:val="0"/>
              <w:autoSpaceDE/>
              <w:autoSpaceDN/>
              <w:bidi w:val="0"/>
              <w:snapToGrid/>
              <w:spacing w:after="0" w:line="360" w:lineRule="auto"/>
              <w:jc w:val="both"/>
              <w:rPr>
                <w:rFonts w:hint="eastAsia" w:ascii="宋体" w:hAnsi="宋体" w:eastAsia="宋体" w:cs="宋体"/>
                <w:color w:val="auto"/>
                <w:sz w:val="21"/>
                <w:szCs w:val="21"/>
                <w:highlight w:val="none"/>
                <w:lang w:eastAsia="en-US"/>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按照《中华人民共和国劳动合同法》的规定与员工签订劳动合同并依据国家、广西</w:t>
            </w:r>
            <w:r>
              <w:rPr>
                <w:rFonts w:hint="eastAsia" w:ascii="宋体" w:hAnsi="宋体" w:cs="宋体"/>
                <w:bCs/>
                <w:color w:val="auto"/>
                <w:sz w:val="21"/>
                <w:szCs w:val="21"/>
                <w:highlight w:val="none"/>
                <w:lang w:val="en-US" w:eastAsia="zh-CN"/>
              </w:rPr>
              <w:t>壮族自治区</w:t>
            </w:r>
            <w:r>
              <w:rPr>
                <w:rFonts w:hint="eastAsia" w:ascii="宋体" w:hAnsi="宋体" w:eastAsia="宋体" w:cs="宋体"/>
                <w:bCs/>
                <w:color w:val="auto"/>
                <w:sz w:val="21"/>
                <w:szCs w:val="21"/>
                <w:highlight w:val="none"/>
              </w:rPr>
              <w:t>和桂林</w:t>
            </w:r>
            <w:r>
              <w:rPr>
                <w:rFonts w:hint="eastAsia"/>
                <w:lang w:val="en-US" w:eastAsia="zh-CN"/>
              </w:rPr>
              <w:t>市</w:t>
            </w:r>
            <w:r>
              <w:rPr>
                <w:rFonts w:hint="eastAsia" w:ascii="宋体" w:hAnsi="宋体" w:eastAsia="宋体" w:cs="宋体"/>
                <w:bCs/>
                <w:color w:val="auto"/>
                <w:sz w:val="21"/>
                <w:szCs w:val="21"/>
                <w:highlight w:val="none"/>
              </w:rPr>
              <w:t>有关最低工资标准的规定要求以及缴纳各种社会保险的规定要求向员工支付工资和缴纳社保及其他保险。员工工资不得低于当年桂林市最低工资标准。</w:t>
            </w:r>
            <w:r>
              <w:rPr>
                <w:rFonts w:hint="eastAsia" w:ascii="宋体" w:hAnsi="宋体" w:eastAsia="宋体" w:cs="宋体"/>
                <w:color w:val="auto"/>
                <w:sz w:val="21"/>
                <w:szCs w:val="21"/>
                <w:highlight w:val="none"/>
              </w:rPr>
              <w:t>在合同期内</w:t>
            </w:r>
            <w:r>
              <w:rPr>
                <w:rFonts w:hint="eastAsia" w:ascii="宋体" w:hAnsi="宋体" w:eastAsia="宋体" w:cs="宋体"/>
                <w:color w:val="auto"/>
                <w:sz w:val="21"/>
                <w:szCs w:val="21"/>
                <w:highlight w:val="none"/>
                <w:lang w:eastAsia="en-US"/>
              </w:rPr>
              <w:t>中标价不因最低工资标准的调整而</w:t>
            </w:r>
            <w:r>
              <w:rPr>
                <w:rFonts w:hint="eastAsia" w:ascii="宋体" w:hAnsi="宋体" w:eastAsia="宋体" w:cs="宋体"/>
                <w:color w:val="auto"/>
                <w:sz w:val="21"/>
                <w:szCs w:val="21"/>
                <w:highlight w:val="none"/>
              </w:rPr>
              <w:t>调整</w:t>
            </w:r>
            <w:r>
              <w:rPr>
                <w:rFonts w:hint="eastAsia" w:ascii="宋体" w:hAnsi="宋体" w:eastAsia="宋体" w:cs="宋体"/>
                <w:color w:val="auto"/>
                <w:sz w:val="21"/>
                <w:szCs w:val="21"/>
                <w:highlight w:val="none"/>
                <w:lang w:eastAsia="en-US"/>
              </w:rPr>
              <w:t>。</w:t>
            </w:r>
          </w:p>
          <w:p w14:paraId="5F4C4E20">
            <w:pPr>
              <w:pStyle w:val="3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其他未尽事宜由采购人和</w:t>
            </w:r>
            <w:r>
              <w:rPr>
                <w:rFonts w:hint="eastAsia"/>
                <w:lang w:val="en-US" w:eastAsia="zh-CN"/>
              </w:rPr>
              <w:t>中标人</w:t>
            </w:r>
            <w:r>
              <w:rPr>
                <w:rFonts w:hint="eastAsia" w:ascii="宋体" w:hAnsi="宋体" w:eastAsia="宋体" w:cs="宋体"/>
                <w:color w:val="auto"/>
                <w:sz w:val="21"/>
                <w:szCs w:val="21"/>
                <w:highlight w:val="none"/>
              </w:rPr>
              <w:t>在采购合同中详细约定。</w:t>
            </w:r>
          </w:p>
          <w:p w14:paraId="607BCA4C">
            <w:pPr>
              <w:pStyle w:val="37"/>
              <w:jc w:val="both"/>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color w:val="auto"/>
                <w:kern w:val="0"/>
                <w:sz w:val="21"/>
                <w:szCs w:val="21"/>
                <w:highlight w:val="none"/>
              </w:rPr>
              <w:t>本“采购需求”中的所有条款要求均为实质性要求。</w:t>
            </w:r>
            <w:r>
              <w:rPr>
                <w:rFonts w:hint="eastAsia" w:ascii="宋体" w:hAnsi="宋体" w:eastAsia="宋体" w:cs="宋体"/>
                <w:b/>
                <w:color w:val="auto"/>
                <w:kern w:val="0"/>
                <w:sz w:val="21"/>
                <w:szCs w:val="21"/>
                <w:highlight w:val="none"/>
                <w:lang w:val="en-US" w:eastAsia="zh-CN"/>
              </w:rPr>
              <w:t>投标人不得有一项负偏离，否则投标无效。</w:t>
            </w:r>
          </w:p>
          <w:p w14:paraId="273FE056">
            <w:pPr>
              <w:pStyle w:val="37"/>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采购需求中未尽事宜或内容与相关现行规范、标准有矛盾的均以相关现行规范、标准为准。</w:t>
            </w:r>
          </w:p>
          <w:p w14:paraId="7F648ECC">
            <w:pPr>
              <w:pStyle w:val="37"/>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（7）本项目需求18-45岁安保人员10名，控制价2700元/人/月，46-55岁安保人员11名，</w:t>
            </w:r>
            <w:bookmarkStart w:id="58" w:name="OLE_LINK48"/>
            <w:r>
              <w:rPr>
                <w:rFonts w:hint="eastAsia" w:ascii="宋体" w:hAnsi="宋体" w:eastAsia="宋体" w:cs="宋体"/>
                <w:b/>
                <w:bCs/>
                <w:color w:val="auto"/>
                <w:kern w:val="0"/>
                <w:sz w:val="21"/>
                <w:szCs w:val="21"/>
                <w:highlight w:val="none"/>
                <w:lang w:val="en-US" w:eastAsia="zh-CN"/>
              </w:rPr>
              <w:t>控制价2450</w:t>
            </w:r>
            <w:bookmarkEnd w:id="58"/>
            <w:r>
              <w:rPr>
                <w:rFonts w:hint="eastAsia" w:ascii="宋体" w:hAnsi="宋体" w:eastAsia="宋体" w:cs="宋体"/>
                <w:b/>
                <w:bCs/>
                <w:color w:val="auto"/>
                <w:kern w:val="0"/>
                <w:sz w:val="21"/>
                <w:szCs w:val="21"/>
                <w:highlight w:val="none"/>
                <w:lang w:val="en-US" w:eastAsia="zh-CN"/>
              </w:rPr>
              <w:t>元/人/月，监控室值班人员6名（须持有国家中级及以上消防设施操作员证书），控制价3250元/人/月，报价超过控制价的，投标文件按无效处理。</w:t>
            </w:r>
          </w:p>
          <w:p w14:paraId="68B9F4F6">
            <w:pPr>
              <w:pStyle w:val="37"/>
              <w:rPr>
                <w:rFonts w:hint="eastAsia" w:ascii="宋体" w:hAnsi="宋体" w:eastAsia="宋体" w:cs="宋体"/>
                <w:color w:val="auto"/>
                <w:kern w:val="0"/>
                <w:sz w:val="21"/>
                <w:szCs w:val="21"/>
                <w:highlight w:val="none"/>
                <w:lang w:val="en-US" w:eastAsia="zh-CN"/>
              </w:rPr>
            </w:pPr>
          </w:p>
        </w:tc>
      </w:tr>
    </w:tbl>
    <w:p w14:paraId="5766BDA0">
      <w:pPr>
        <w:spacing w:line="320" w:lineRule="exact"/>
        <w:rPr>
          <w:rFonts w:ascii="宋体" w:hAnsi="宋体"/>
        </w:rPr>
      </w:pPr>
    </w:p>
    <w:p w14:paraId="05E74F1A">
      <w:pPr>
        <w:spacing w:line="428" w:lineRule="exact"/>
        <w:ind w:left="119"/>
        <w:rPr>
          <w:rFonts w:ascii="宋体" w:hAnsi="宋体" w:cs="宋体"/>
          <w:sz w:val="32"/>
          <w:szCs w:val="32"/>
        </w:rPr>
      </w:pPr>
      <w:r>
        <w:rPr>
          <w:rFonts w:hint="eastAsia"/>
        </w:rPr>
        <w:br w:type="page"/>
      </w:r>
      <w:r>
        <w:rPr>
          <w:rFonts w:hAnsi="宋体"/>
        </w:rPr>
        <w:t xml:space="preserve"> </w:t>
      </w:r>
      <w:r>
        <w:rPr>
          <w:rFonts w:hint="eastAsia" w:ascii="宋体" w:hAnsi="宋体" w:cs="宋体"/>
          <w:sz w:val="32"/>
          <w:szCs w:val="32"/>
        </w:rPr>
        <w:t>附件1</w:t>
      </w:r>
    </w:p>
    <w:p w14:paraId="1297189A">
      <w:pPr>
        <w:spacing w:before="7"/>
        <w:rPr>
          <w:rFonts w:ascii="宋体" w:hAnsi="宋体" w:cs="宋体"/>
          <w:sz w:val="17"/>
          <w:szCs w:val="17"/>
        </w:rPr>
      </w:pPr>
    </w:p>
    <w:p w14:paraId="2F062632">
      <w:pPr>
        <w:widowControl/>
        <w:spacing w:before="120" w:beforeLines="50" w:after="120" w:afterLines="50" w:line="280" w:lineRule="exact"/>
        <w:jc w:val="center"/>
        <w:rPr>
          <w:rFonts w:ascii="宋体" w:hAnsi="宋体" w:cs="宋体"/>
          <w:b/>
          <w:bCs/>
          <w:kern w:val="0"/>
          <w:sz w:val="30"/>
          <w:szCs w:val="30"/>
        </w:rPr>
      </w:pPr>
      <w:bookmarkStart w:id="59" w:name="_Toc28361_WPSOffice_Level2"/>
      <w:r>
        <w:rPr>
          <w:rFonts w:hint="eastAsia" w:ascii="宋体" w:hAnsi="宋体" w:cs="宋体"/>
          <w:b/>
          <w:bCs/>
          <w:kern w:val="0"/>
          <w:sz w:val="30"/>
          <w:szCs w:val="30"/>
        </w:rPr>
        <w:t>统计上大中小微型企业划分标准</w:t>
      </w:r>
      <w:bookmarkEnd w:id="59"/>
    </w:p>
    <w:tbl>
      <w:tblPr>
        <w:tblStyle w:val="2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4F6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35C97FD4">
            <w:pPr>
              <w:widowControl/>
              <w:spacing w:line="28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vAlign w:val="center"/>
          </w:tcPr>
          <w:p w14:paraId="174A88FB">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vAlign w:val="center"/>
          </w:tcPr>
          <w:p w14:paraId="42884524">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计量</w:t>
            </w:r>
          </w:p>
          <w:p w14:paraId="2238904B">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vAlign w:val="center"/>
          </w:tcPr>
          <w:p w14:paraId="50D939C6">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vAlign w:val="center"/>
          </w:tcPr>
          <w:p w14:paraId="32A46B11">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vAlign w:val="center"/>
          </w:tcPr>
          <w:p w14:paraId="3484AC03">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vAlign w:val="center"/>
          </w:tcPr>
          <w:p w14:paraId="1BBE494A">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14:paraId="77F6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8A2389D">
            <w:pPr>
              <w:widowControl/>
              <w:spacing w:line="28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0EB58E57">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80D567C">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DBEF0E3">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77704F1B">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71BE887F">
            <w:pPr>
              <w:widowControl/>
              <w:spacing w:line="280" w:lineRule="exact"/>
              <w:jc w:val="center"/>
              <w:rPr>
                <w:rFonts w:ascii="宋体" w:hAnsi="宋体" w:cs="宋体"/>
                <w:kern w:val="0"/>
                <w:sz w:val="18"/>
                <w:szCs w:val="18"/>
              </w:rPr>
            </w:pPr>
            <w:r>
              <w:rPr>
                <w:rFonts w:hint="eastAsia" w:ascii="宋体" w:hAnsi="宋体" w:cs="宋体"/>
                <w:kern w:val="0"/>
                <w:sz w:val="18"/>
                <w:szCs w:val="18"/>
              </w:rPr>
              <w:t>50≤Y＜500</w:t>
            </w:r>
          </w:p>
        </w:tc>
        <w:tc>
          <w:tcPr>
            <w:tcW w:w="992" w:type="dxa"/>
            <w:vAlign w:val="center"/>
          </w:tcPr>
          <w:p w14:paraId="66554390">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5C4C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CE41CB2">
            <w:pPr>
              <w:widowControl/>
              <w:spacing w:line="28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0273285B">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0F11785">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52F4E37">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53BFCB87">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1F9EAA31">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190347B2">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0505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846529E">
            <w:pPr>
              <w:widowControl/>
              <w:spacing w:line="280" w:lineRule="exact"/>
              <w:jc w:val="left"/>
              <w:rPr>
                <w:rFonts w:ascii="宋体" w:hAnsi="宋体" w:cs="宋体"/>
                <w:kern w:val="0"/>
                <w:sz w:val="18"/>
                <w:szCs w:val="18"/>
              </w:rPr>
            </w:pPr>
          </w:p>
        </w:tc>
        <w:tc>
          <w:tcPr>
            <w:tcW w:w="1369" w:type="dxa"/>
            <w:vAlign w:val="center"/>
          </w:tcPr>
          <w:p w14:paraId="26258C72">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13978D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1B8F62D">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12C22ACA">
            <w:pPr>
              <w:widowControl/>
              <w:spacing w:line="280" w:lineRule="exact"/>
              <w:jc w:val="center"/>
              <w:rPr>
                <w:rFonts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4E982CD3">
            <w:pPr>
              <w:widowControl/>
              <w:spacing w:line="280" w:lineRule="exact"/>
              <w:jc w:val="center"/>
              <w:rPr>
                <w:rFonts w:ascii="宋体" w:hAnsi="宋体" w:cs="宋体"/>
                <w:kern w:val="0"/>
                <w:sz w:val="18"/>
                <w:szCs w:val="18"/>
              </w:rPr>
            </w:pPr>
            <w:r>
              <w:rPr>
                <w:rFonts w:hint="eastAsia" w:ascii="宋体" w:hAnsi="宋体" w:cs="宋体"/>
                <w:kern w:val="0"/>
                <w:sz w:val="18"/>
                <w:szCs w:val="18"/>
              </w:rPr>
              <w:t>300≤Y＜2000</w:t>
            </w:r>
          </w:p>
        </w:tc>
        <w:tc>
          <w:tcPr>
            <w:tcW w:w="992" w:type="dxa"/>
            <w:vAlign w:val="center"/>
          </w:tcPr>
          <w:p w14:paraId="487A402B">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18AC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B29EFFC">
            <w:pPr>
              <w:widowControl/>
              <w:spacing w:line="28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7D63296B">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71A5607">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53F7B0E">
            <w:pPr>
              <w:widowControl/>
              <w:spacing w:line="280" w:lineRule="exact"/>
              <w:jc w:val="center"/>
              <w:rPr>
                <w:rFonts w:ascii="宋体" w:hAnsi="宋体" w:cs="宋体"/>
                <w:kern w:val="0"/>
                <w:sz w:val="18"/>
                <w:szCs w:val="18"/>
              </w:rPr>
            </w:pPr>
            <w:r>
              <w:rPr>
                <w:rFonts w:hint="eastAsia" w:ascii="宋体" w:hAnsi="宋体" w:cs="宋体"/>
                <w:kern w:val="0"/>
                <w:sz w:val="18"/>
                <w:szCs w:val="18"/>
              </w:rPr>
              <w:t>Y≥80000</w:t>
            </w:r>
          </w:p>
        </w:tc>
        <w:tc>
          <w:tcPr>
            <w:tcW w:w="1701" w:type="dxa"/>
            <w:vAlign w:val="center"/>
          </w:tcPr>
          <w:p w14:paraId="5C4C4FC9">
            <w:pPr>
              <w:widowControl/>
              <w:spacing w:line="280" w:lineRule="exact"/>
              <w:jc w:val="center"/>
              <w:rPr>
                <w:rFonts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626D0782">
            <w:pPr>
              <w:widowControl/>
              <w:spacing w:line="280" w:lineRule="exact"/>
              <w:jc w:val="center"/>
              <w:rPr>
                <w:rFonts w:ascii="宋体" w:hAnsi="宋体" w:cs="宋体"/>
                <w:kern w:val="0"/>
                <w:sz w:val="18"/>
                <w:szCs w:val="18"/>
              </w:rPr>
            </w:pPr>
            <w:r>
              <w:rPr>
                <w:rFonts w:hint="eastAsia" w:ascii="宋体" w:hAnsi="宋体" w:cs="宋体"/>
                <w:kern w:val="0"/>
                <w:sz w:val="18"/>
                <w:szCs w:val="18"/>
              </w:rPr>
              <w:t>300≤Y＜6000</w:t>
            </w:r>
          </w:p>
        </w:tc>
        <w:tc>
          <w:tcPr>
            <w:tcW w:w="992" w:type="dxa"/>
            <w:vAlign w:val="center"/>
          </w:tcPr>
          <w:p w14:paraId="4C825360">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4BBE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FA85ECC">
            <w:pPr>
              <w:widowControl/>
              <w:spacing w:line="280" w:lineRule="exact"/>
              <w:jc w:val="left"/>
              <w:rPr>
                <w:rFonts w:ascii="宋体" w:hAnsi="宋体" w:cs="宋体"/>
                <w:kern w:val="0"/>
                <w:sz w:val="18"/>
                <w:szCs w:val="18"/>
              </w:rPr>
            </w:pPr>
          </w:p>
        </w:tc>
        <w:tc>
          <w:tcPr>
            <w:tcW w:w="1369" w:type="dxa"/>
            <w:vAlign w:val="center"/>
          </w:tcPr>
          <w:p w14:paraId="3D14D1E0">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3480F58D">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A5EB834">
            <w:pPr>
              <w:widowControl/>
              <w:spacing w:line="280" w:lineRule="exact"/>
              <w:jc w:val="center"/>
              <w:rPr>
                <w:rFonts w:ascii="宋体" w:hAnsi="宋体" w:cs="宋体"/>
                <w:kern w:val="0"/>
                <w:sz w:val="18"/>
                <w:szCs w:val="18"/>
              </w:rPr>
            </w:pPr>
            <w:r>
              <w:rPr>
                <w:rFonts w:hint="eastAsia" w:ascii="宋体" w:hAnsi="宋体" w:cs="宋体"/>
                <w:kern w:val="0"/>
                <w:sz w:val="18"/>
                <w:szCs w:val="18"/>
              </w:rPr>
              <w:t>Z≥80000</w:t>
            </w:r>
          </w:p>
        </w:tc>
        <w:tc>
          <w:tcPr>
            <w:tcW w:w="1701" w:type="dxa"/>
            <w:vAlign w:val="center"/>
          </w:tcPr>
          <w:p w14:paraId="553EF4E2">
            <w:pPr>
              <w:widowControl/>
              <w:spacing w:line="280" w:lineRule="exact"/>
              <w:jc w:val="center"/>
              <w:rPr>
                <w:rFonts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3A542B15">
            <w:pPr>
              <w:widowControl/>
              <w:spacing w:line="280" w:lineRule="exact"/>
              <w:jc w:val="center"/>
              <w:rPr>
                <w:rFonts w:ascii="宋体" w:hAnsi="宋体" w:cs="宋体"/>
                <w:kern w:val="0"/>
                <w:sz w:val="18"/>
                <w:szCs w:val="18"/>
              </w:rPr>
            </w:pPr>
            <w:r>
              <w:rPr>
                <w:rFonts w:hint="eastAsia" w:ascii="宋体" w:hAnsi="宋体" w:cs="宋体"/>
                <w:kern w:val="0"/>
                <w:sz w:val="18"/>
                <w:szCs w:val="18"/>
              </w:rPr>
              <w:t>300≤Z＜5000</w:t>
            </w:r>
          </w:p>
        </w:tc>
        <w:tc>
          <w:tcPr>
            <w:tcW w:w="992" w:type="dxa"/>
            <w:vAlign w:val="center"/>
          </w:tcPr>
          <w:p w14:paraId="5ED4E861">
            <w:pPr>
              <w:widowControl/>
              <w:spacing w:line="280" w:lineRule="exact"/>
              <w:jc w:val="center"/>
              <w:rPr>
                <w:rFonts w:ascii="宋体" w:hAnsi="宋体" w:cs="宋体"/>
                <w:kern w:val="0"/>
                <w:sz w:val="18"/>
                <w:szCs w:val="18"/>
              </w:rPr>
            </w:pPr>
            <w:r>
              <w:rPr>
                <w:rFonts w:hint="eastAsia" w:ascii="宋体" w:hAnsi="宋体" w:cs="宋体"/>
                <w:kern w:val="0"/>
                <w:sz w:val="18"/>
                <w:szCs w:val="18"/>
              </w:rPr>
              <w:t>Z＜300</w:t>
            </w:r>
          </w:p>
        </w:tc>
      </w:tr>
      <w:tr w14:paraId="639E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B79BD17">
            <w:pPr>
              <w:widowControl/>
              <w:spacing w:line="28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0EEA28B2">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F1C1EDB">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61FBE25">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2090C467">
            <w:pPr>
              <w:widowControl/>
              <w:spacing w:line="280" w:lineRule="exact"/>
              <w:jc w:val="center"/>
              <w:rPr>
                <w:rFonts w:ascii="宋体" w:hAnsi="宋体" w:cs="宋体"/>
                <w:kern w:val="0"/>
                <w:sz w:val="18"/>
                <w:szCs w:val="18"/>
              </w:rPr>
            </w:pPr>
            <w:r>
              <w:rPr>
                <w:rFonts w:hint="eastAsia" w:ascii="宋体" w:hAnsi="宋体" w:cs="宋体"/>
                <w:kern w:val="0"/>
                <w:sz w:val="18"/>
                <w:szCs w:val="18"/>
              </w:rPr>
              <w:t>20≤X＜200</w:t>
            </w:r>
          </w:p>
        </w:tc>
        <w:tc>
          <w:tcPr>
            <w:tcW w:w="1426" w:type="dxa"/>
            <w:vAlign w:val="center"/>
          </w:tcPr>
          <w:p w14:paraId="33354C08">
            <w:pPr>
              <w:widowControl/>
              <w:spacing w:line="280" w:lineRule="exact"/>
              <w:jc w:val="center"/>
              <w:rPr>
                <w:rFonts w:ascii="宋体" w:hAnsi="宋体" w:cs="宋体"/>
                <w:kern w:val="0"/>
                <w:sz w:val="18"/>
                <w:szCs w:val="18"/>
              </w:rPr>
            </w:pPr>
            <w:r>
              <w:rPr>
                <w:rFonts w:hint="eastAsia" w:ascii="宋体" w:hAnsi="宋体" w:cs="宋体"/>
                <w:kern w:val="0"/>
                <w:sz w:val="18"/>
                <w:szCs w:val="18"/>
              </w:rPr>
              <w:t>5≤X＜20</w:t>
            </w:r>
          </w:p>
        </w:tc>
        <w:tc>
          <w:tcPr>
            <w:tcW w:w="992" w:type="dxa"/>
            <w:vAlign w:val="center"/>
          </w:tcPr>
          <w:p w14:paraId="2A9CBC0F">
            <w:pPr>
              <w:widowControl/>
              <w:spacing w:line="280" w:lineRule="exact"/>
              <w:jc w:val="center"/>
              <w:rPr>
                <w:rFonts w:ascii="宋体" w:hAnsi="宋体" w:cs="宋体"/>
                <w:kern w:val="0"/>
                <w:sz w:val="18"/>
                <w:szCs w:val="18"/>
              </w:rPr>
            </w:pPr>
            <w:r>
              <w:rPr>
                <w:rFonts w:hint="eastAsia" w:ascii="宋体" w:hAnsi="宋体" w:cs="宋体"/>
                <w:kern w:val="0"/>
                <w:sz w:val="18"/>
                <w:szCs w:val="18"/>
              </w:rPr>
              <w:t>X＜5</w:t>
            </w:r>
          </w:p>
        </w:tc>
      </w:tr>
      <w:tr w14:paraId="1661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C9A26E5">
            <w:pPr>
              <w:widowControl/>
              <w:spacing w:line="280" w:lineRule="exact"/>
              <w:jc w:val="left"/>
              <w:rPr>
                <w:rFonts w:ascii="宋体" w:hAnsi="宋体" w:cs="宋体"/>
                <w:kern w:val="0"/>
                <w:sz w:val="18"/>
                <w:szCs w:val="18"/>
              </w:rPr>
            </w:pPr>
          </w:p>
        </w:tc>
        <w:tc>
          <w:tcPr>
            <w:tcW w:w="1369" w:type="dxa"/>
            <w:vAlign w:val="center"/>
          </w:tcPr>
          <w:p w14:paraId="42171D45">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3DC5D8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65D9754">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7871412D">
            <w:pPr>
              <w:widowControl/>
              <w:spacing w:line="280" w:lineRule="exact"/>
              <w:jc w:val="center"/>
              <w:rPr>
                <w:rFonts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484DC554">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4CFC4D01">
            <w:pPr>
              <w:widowControl/>
              <w:spacing w:line="280" w:lineRule="exact"/>
              <w:jc w:val="center"/>
              <w:rPr>
                <w:rFonts w:ascii="宋体" w:hAnsi="宋体" w:cs="宋体"/>
                <w:kern w:val="0"/>
                <w:sz w:val="18"/>
                <w:szCs w:val="18"/>
              </w:rPr>
            </w:pPr>
            <w:r>
              <w:rPr>
                <w:rFonts w:hint="eastAsia" w:ascii="宋体" w:hAnsi="宋体" w:cs="宋体"/>
                <w:kern w:val="0"/>
                <w:sz w:val="18"/>
                <w:szCs w:val="18"/>
              </w:rPr>
              <w:t>Y＜1000</w:t>
            </w:r>
          </w:p>
        </w:tc>
      </w:tr>
      <w:tr w14:paraId="6DAF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F75C925">
            <w:pPr>
              <w:widowControl/>
              <w:spacing w:line="28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6FC1A4F2">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1E4A0B4">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5EDD040">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5AAFBA5">
            <w:pPr>
              <w:widowControl/>
              <w:spacing w:line="280" w:lineRule="exact"/>
              <w:jc w:val="center"/>
              <w:rPr>
                <w:rFonts w:ascii="宋体" w:hAnsi="宋体" w:cs="宋体"/>
                <w:kern w:val="0"/>
                <w:sz w:val="18"/>
                <w:szCs w:val="18"/>
              </w:rPr>
            </w:pPr>
            <w:r>
              <w:rPr>
                <w:rFonts w:hint="eastAsia" w:ascii="宋体" w:hAnsi="宋体" w:cs="宋体"/>
                <w:kern w:val="0"/>
                <w:sz w:val="18"/>
                <w:szCs w:val="18"/>
              </w:rPr>
              <w:t>50≤X＜300</w:t>
            </w:r>
          </w:p>
        </w:tc>
        <w:tc>
          <w:tcPr>
            <w:tcW w:w="1426" w:type="dxa"/>
            <w:vAlign w:val="center"/>
          </w:tcPr>
          <w:p w14:paraId="4B08F191">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390132A2">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1DD1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A00E5FF">
            <w:pPr>
              <w:widowControl/>
              <w:spacing w:line="280" w:lineRule="exact"/>
              <w:jc w:val="left"/>
              <w:rPr>
                <w:rFonts w:ascii="宋体" w:hAnsi="宋体" w:cs="宋体"/>
                <w:kern w:val="0"/>
                <w:sz w:val="18"/>
                <w:szCs w:val="18"/>
              </w:rPr>
            </w:pPr>
          </w:p>
        </w:tc>
        <w:tc>
          <w:tcPr>
            <w:tcW w:w="1369" w:type="dxa"/>
            <w:vAlign w:val="center"/>
          </w:tcPr>
          <w:p w14:paraId="66F375A7">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6427898">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999851C">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08222F8C">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5E73E086">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2" w:type="dxa"/>
            <w:vAlign w:val="center"/>
          </w:tcPr>
          <w:p w14:paraId="7E6EC8E2">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6A7D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5C95D3A">
            <w:pPr>
              <w:widowControl/>
              <w:spacing w:line="28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070F8ADD">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1AE7108">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F0F328B">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4992589D">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659C6A48">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0CE45772">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7EC0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AF85F02">
            <w:pPr>
              <w:widowControl/>
              <w:spacing w:line="280" w:lineRule="exact"/>
              <w:jc w:val="left"/>
              <w:rPr>
                <w:rFonts w:ascii="宋体" w:hAnsi="宋体" w:cs="宋体"/>
                <w:kern w:val="0"/>
                <w:sz w:val="18"/>
                <w:szCs w:val="18"/>
              </w:rPr>
            </w:pPr>
          </w:p>
        </w:tc>
        <w:tc>
          <w:tcPr>
            <w:tcW w:w="1369" w:type="dxa"/>
            <w:vAlign w:val="center"/>
          </w:tcPr>
          <w:p w14:paraId="0CC080FD">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868D93F">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9F9C158">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64A33064">
            <w:pPr>
              <w:widowControl/>
              <w:spacing w:line="280" w:lineRule="exact"/>
              <w:jc w:val="center"/>
              <w:rPr>
                <w:rFonts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5AA254E8">
            <w:pPr>
              <w:widowControl/>
              <w:spacing w:line="280" w:lineRule="exact"/>
              <w:jc w:val="center"/>
              <w:rPr>
                <w:rFonts w:ascii="宋体" w:hAnsi="宋体" w:cs="宋体"/>
                <w:kern w:val="0"/>
                <w:sz w:val="18"/>
                <w:szCs w:val="18"/>
              </w:rPr>
            </w:pPr>
            <w:r>
              <w:rPr>
                <w:rFonts w:hint="eastAsia" w:ascii="宋体" w:hAnsi="宋体" w:cs="宋体"/>
                <w:kern w:val="0"/>
                <w:sz w:val="18"/>
                <w:szCs w:val="18"/>
              </w:rPr>
              <w:t>200≤Y＜3000</w:t>
            </w:r>
          </w:p>
        </w:tc>
        <w:tc>
          <w:tcPr>
            <w:tcW w:w="992" w:type="dxa"/>
            <w:vAlign w:val="center"/>
          </w:tcPr>
          <w:p w14:paraId="150DF4B7">
            <w:pPr>
              <w:widowControl/>
              <w:spacing w:line="280" w:lineRule="exact"/>
              <w:jc w:val="center"/>
              <w:rPr>
                <w:rFonts w:ascii="宋体" w:hAnsi="宋体" w:cs="宋体"/>
                <w:kern w:val="0"/>
                <w:sz w:val="18"/>
                <w:szCs w:val="18"/>
              </w:rPr>
            </w:pPr>
            <w:r>
              <w:rPr>
                <w:rFonts w:hint="eastAsia" w:ascii="宋体" w:hAnsi="宋体" w:cs="宋体"/>
                <w:kern w:val="0"/>
                <w:sz w:val="18"/>
                <w:szCs w:val="18"/>
              </w:rPr>
              <w:t>Y＜200</w:t>
            </w:r>
          </w:p>
        </w:tc>
      </w:tr>
      <w:tr w14:paraId="549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F85DB17">
            <w:pPr>
              <w:widowControl/>
              <w:spacing w:line="28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618DE77E">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3F44DD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E4FE24C">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14DB3ECF">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660A203E">
            <w:pPr>
              <w:widowControl/>
              <w:spacing w:line="280" w:lineRule="exact"/>
              <w:jc w:val="center"/>
              <w:rPr>
                <w:rFonts w:ascii="宋体" w:hAnsi="宋体" w:cs="宋体"/>
                <w:kern w:val="0"/>
                <w:sz w:val="18"/>
                <w:szCs w:val="18"/>
              </w:rPr>
            </w:pPr>
            <w:r>
              <w:rPr>
                <w:rFonts w:hint="eastAsia" w:ascii="宋体" w:hAnsi="宋体" w:cs="宋体"/>
                <w:kern w:val="0"/>
                <w:sz w:val="18"/>
                <w:szCs w:val="18"/>
              </w:rPr>
              <w:t>20≤X＜100</w:t>
            </w:r>
          </w:p>
        </w:tc>
        <w:tc>
          <w:tcPr>
            <w:tcW w:w="992" w:type="dxa"/>
            <w:vAlign w:val="center"/>
          </w:tcPr>
          <w:p w14:paraId="05D29E67">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6070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2891BC4">
            <w:pPr>
              <w:widowControl/>
              <w:spacing w:line="280" w:lineRule="exact"/>
              <w:jc w:val="left"/>
              <w:rPr>
                <w:rFonts w:ascii="宋体" w:hAnsi="宋体" w:cs="宋体"/>
                <w:kern w:val="0"/>
                <w:sz w:val="18"/>
                <w:szCs w:val="18"/>
              </w:rPr>
            </w:pPr>
          </w:p>
        </w:tc>
        <w:tc>
          <w:tcPr>
            <w:tcW w:w="1369" w:type="dxa"/>
            <w:vAlign w:val="center"/>
          </w:tcPr>
          <w:p w14:paraId="3BA50E97">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79085C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C2F20AA">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10A1A78F">
            <w:pPr>
              <w:widowControl/>
              <w:spacing w:line="280" w:lineRule="exact"/>
              <w:jc w:val="center"/>
              <w:rPr>
                <w:rFonts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093D59BC">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3D2BEFED">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033D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D2F594D">
            <w:pPr>
              <w:widowControl/>
              <w:spacing w:line="28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759960B9">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B5D8062">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6B285A1">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5024D07B">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4346CD64">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5DB99B25">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34FC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0C1C369">
            <w:pPr>
              <w:widowControl/>
              <w:spacing w:line="280" w:lineRule="exact"/>
              <w:jc w:val="left"/>
              <w:rPr>
                <w:rFonts w:ascii="宋体" w:hAnsi="宋体" w:cs="宋体"/>
                <w:kern w:val="0"/>
                <w:sz w:val="18"/>
                <w:szCs w:val="18"/>
              </w:rPr>
            </w:pPr>
          </w:p>
        </w:tc>
        <w:tc>
          <w:tcPr>
            <w:tcW w:w="1369" w:type="dxa"/>
            <w:vAlign w:val="center"/>
          </w:tcPr>
          <w:p w14:paraId="7913A19E">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4771CEB">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0CD914C">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4ED0AAC7">
            <w:pPr>
              <w:widowControl/>
              <w:spacing w:line="280" w:lineRule="exact"/>
              <w:jc w:val="center"/>
              <w:rPr>
                <w:rFonts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72B70667">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61D3CE41">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03F4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1A5F3D5">
            <w:pPr>
              <w:widowControl/>
              <w:spacing w:line="28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3FB0E294">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AD9ABCD">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FCB4205">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6C576F9F">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0A0ACA7E">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1EE1830A">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7A55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CD3DAA2">
            <w:pPr>
              <w:widowControl/>
              <w:spacing w:line="280" w:lineRule="exact"/>
              <w:jc w:val="left"/>
              <w:rPr>
                <w:rFonts w:ascii="宋体" w:hAnsi="宋体" w:cs="宋体"/>
                <w:kern w:val="0"/>
                <w:sz w:val="18"/>
                <w:szCs w:val="18"/>
              </w:rPr>
            </w:pPr>
          </w:p>
        </w:tc>
        <w:tc>
          <w:tcPr>
            <w:tcW w:w="1369" w:type="dxa"/>
            <w:vAlign w:val="center"/>
          </w:tcPr>
          <w:p w14:paraId="5BF21F29">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EF2F41E">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984274B">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724C2AB5">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06EE5B76">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6EFBB81B">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6CBC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0FB0BBF">
            <w:pPr>
              <w:widowControl/>
              <w:spacing w:line="28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49479C3E">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26EF4D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3EE1B3A9">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205EAF6">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161BAA9A">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0E06409D">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05D3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8864143">
            <w:pPr>
              <w:widowControl/>
              <w:spacing w:line="280" w:lineRule="exact"/>
              <w:jc w:val="left"/>
              <w:rPr>
                <w:rFonts w:ascii="宋体" w:hAnsi="宋体" w:cs="宋体"/>
                <w:kern w:val="0"/>
                <w:sz w:val="18"/>
                <w:szCs w:val="18"/>
              </w:rPr>
            </w:pPr>
          </w:p>
        </w:tc>
        <w:tc>
          <w:tcPr>
            <w:tcW w:w="1369" w:type="dxa"/>
            <w:vAlign w:val="center"/>
          </w:tcPr>
          <w:p w14:paraId="353F290D">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6EDDA99">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AC9AF78">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45069711">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0E2DC4C1">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54C21468">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564C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1C2AEB">
            <w:pPr>
              <w:widowControl/>
              <w:spacing w:line="28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603F40A5">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B3C2105">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542BAB4">
            <w:pPr>
              <w:widowControl/>
              <w:spacing w:line="280" w:lineRule="exact"/>
              <w:jc w:val="center"/>
              <w:rPr>
                <w:rFonts w:ascii="宋体" w:hAnsi="宋体" w:cs="宋体"/>
                <w:kern w:val="0"/>
                <w:sz w:val="18"/>
                <w:szCs w:val="18"/>
              </w:rPr>
            </w:pPr>
            <w:r>
              <w:rPr>
                <w:rFonts w:hint="eastAsia" w:ascii="宋体" w:hAnsi="宋体" w:cs="宋体"/>
                <w:kern w:val="0"/>
                <w:sz w:val="18"/>
                <w:szCs w:val="18"/>
              </w:rPr>
              <w:t>X≥2000</w:t>
            </w:r>
          </w:p>
        </w:tc>
        <w:tc>
          <w:tcPr>
            <w:tcW w:w="1701" w:type="dxa"/>
            <w:vAlign w:val="center"/>
          </w:tcPr>
          <w:p w14:paraId="58D6717C">
            <w:pPr>
              <w:widowControl/>
              <w:spacing w:line="280" w:lineRule="exact"/>
              <w:jc w:val="center"/>
              <w:rPr>
                <w:rFonts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1E137DE8">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1E30BC03">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4BA5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AF2194">
            <w:pPr>
              <w:widowControl/>
              <w:spacing w:line="280" w:lineRule="exact"/>
              <w:jc w:val="left"/>
              <w:rPr>
                <w:rFonts w:ascii="宋体" w:hAnsi="宋体" w:cs="宋体"/>
                <w:kern w:val="0"/>
                <w:sz w:val="18"/>
                <w:szCs w:val="18"/>
              </w:rPr>
            </w:pPr>
          </w:p>
        </w:tc>
        <w:tc>
          <w:tcPr>
            <w:tcW w:w="1369" w:type="dxa"/>
            <w:vAlign w:val="center"/>
          </w:tcPr>
          <w:p w14:paraId="36CA23F4">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153C7C1">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8636E67">
            <w:pPr>
              <w:widowControl/>
              <w:spacing w:line="280" w:lineRule="exact"/>
              <w:jc w:val="center"/>
              <w:rPr>
                <w:rFonts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1F4D1460">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6" w:type="dxa"/>
            <w:vAlign w:val="center"/>
          </w:tcPr>
          <w:p w14:paraId="5B797CBC">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02246899">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05D2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646FA70">
            <w:pPr>
              <w:widowControl/>
              <w:spacing w:line="28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3C7BBFFA">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1ACB2E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1D42A08A">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01EE8D96">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34B4BEE2">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234BEA79">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03B5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7D24D36">
            <w:pPr>
              <w:widowControl/>
              <w:spacing w:line="280" w:lineRule="exact"/>
              <w:jc w:val="left"/>
              <w:rPr>
                <w:rFonts w:ascii="宋体" w:hAnsi="宋体" w:cs="宋体"/>
                <w:spacing w:val="-12"/>
                <w:kern w:val="0"/>
                <w:sz w:val="18"/>
                <w:szCs w:val="18"/>
              </w:rPr>
            </w:pPr>
          </w:p>
        </w:tc>
        <w:tc>
          <w:tcPr>
            <w:tcW w:w="1369" w:type="dxa"/>
            <w:vAlign w:val="center"/>
          </w:tcPr>
          <w:p w14:paraId="15CED660">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744C565">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3F61D5F">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2AC85A08">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0D522286">
            <w:pPr>
              <w:widowControl/>
              <w:spacing w:line="280" w:lineRule="exact"/>
              <w:jc w:val="center"/>
              <w:rPr>
                <w:rFonts w:ascii="宋体" w:hAnsi="宋体" w:cs="宋体"/>
                <w:kern w:val="0"/>
                <w:sz w:val="18"/>
                <w:szCs w:val="18"/>
              </w:rPr>
            </w:pPr>
            <w:r>
              <w:rPr>
                <w:rFonts w:hint="eastAsia" w:ascii="宋体" w:hAnsi="宋体" w:cs="宋体"/>
                <w:kern w:val="0"/>
                <w:sz w:val="18"/>
                <w:szCs w:val="18"/>
              </w:rPr>
              <w:t>50≤Y＜1000</w:t>
            </w:r>
          </w:p>
        </w:tc>
        <w:tc>
          <w:tcPr>
            <w:tcW w:w="992" w:type="dxa"/>
            <w:vAlign w:val="center"/>
          </w:tcPr>
          <w:p w14:paraId="580EE390">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27DE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1EA016A">
            <w:pPr>
              <w:widowControl/>
              <w:spacing w:line="28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442DB141">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DCF2D31">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A04ADB2">
            <w:pPr>
              <w:widowControl/>
              <w:spacing w:line="280" w:lineRule="exact"/>
              <w:jc w:val="center"/>
              <w:rPr>
                <w:rFonts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51A59EC4">
            <w:pPr>
              <w:widowControl/>
              <w:spacing w:line="28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6" w:type="dxa"/>
            <w:vAlign w:val="center"/>
          </w:tcPr>
          <w:p w14:paraId="551560C9">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061BB613">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6B2A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DB004A3">
            <w:pPr>
              <w:widowControl/>
              <w:spacing w:line="280" w:lineRule="exact"/>
              <w:jc w:val="left"/>
              <w:rPr>
                <w:rFonts w:ascii="宋体" w:hAnsi="宋体" w:cs="宋体"/>
                <w:kern w:val="0"/>
                <w:sz w:val="18"/>
                <w:szCs w:val="18"/>
              </w:rPr>
            </w:pPr>
          </w:p>
        </w:tc>
        <w:tc>
          <w:tcPr>
            <w:tcW w:w="1369" w:type="dxa"/>
            <w:vAlign w:val="center"/>
          </w:tcPr>
          <w:p w14:paraId="274039D7">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43760B17">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388EDEC">
            <w:pPr>
              <w:widowControl/>
              <w:spacing w:line="280" w:lineRule="exact"/>
              <w:jc w:val="center"/>
              <w:rPr>
                <w:rFonts w:ascii="宋体" w:hAnsi="宋体" w:cs="宋体"/>
                <w:kern w:val="0"/>
                <w:sz w:val="18"/>
                <w:szCs w:val="18"/>
              </w:rPr>
            </w:pPr>
            <w:r>
              <w:rPr>
                <w:rFonts w:hint="eastAsia" w:ascii="宋体" w:hAnsi="宋体" w:cs="宋体"/>
                <w:kern w:val="0"/>
                <w:sz w:val="18"/>
                <w:szCs w:val="18"/>
              </w:rPr>
              <w:t>Z≥10000</w:t>
            </w:r>
          </w:p>
        </w:tc>
        <w:tc>
          <w:tcPr>
            <w:tcW w:w="1701" w:type="dxa"/>
            <w:vAlign w:val="center"/>
          </w:tcPr>
          <w:p w14:paraId="4EADE900">
            <w:pPr>
              <w:widowControl/>
              <w:spacing w:line="280" w:lineRule="exact"/>
              <w:jc w:val="center"/>
              <w:rPr>
                <w:rFonts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382C5E31">
            <w:pPr>
              <w:widowControl/>
              <w:spacing w:line="280" w:lineRule="exact"/>
              <w:jc w:val="center"/>
              <w:rPr>
                <w:rFonts w:ascii="宋体" w:hAnsi="宋体" w:cs="宋体"/>
                <w:kern w:val="0"/>
                <w:sz w:val="18"/>
                <w:szCs w:val="18"/>
              </w:rPr>
            </w:pPr>
            <w:r>
              <w:rPr>
                <w:rFonts w:hint="eastAsia" w:ascii="宋体" w:hAnsi="宋体" w:cs="宋体"/>
                <w:kern w:val="0"/>
                <w:sz w:val="18"/>
                <w:szCs w:val="18"/>
              </w:rPr>
              <w:t>2000≤Z＜5000</w:t>
            </w:r>
          </w:p>
        </w:tc>
        <w:tc>
          <w:tcPr>
            <w:tcW w:w="992" w:type="dxa"/>
            <w:vAlign w:val="center"/>
          </w:tcPr>
          <w:p w14:paraId="4B44D146">
            <w:pPr>
              <w:widowControl/>
              <w:spacing w:line="280" w:lineRule="exact"/>
              <w:jc w:val="center"/>
              <w:rPr>
                <w:rFonts w:ascii="宋体" w:hAnsi="宋体" w:cs="宋体"/>
                <w:kern w:val="0"/>
                <w:sz w:val="18"/>
                <w:szCs w:val="18"/>
              </w:rPr>
            </w:pPr>
            <w:r>
              <w:rPr>
                <w:rFonts w:hint="eastAsia" w:ascii="宋体" w:hAnsi="宋体" w:cs="宋体"/>
                <w:kern w:val="0"/>
                <w:sz w:val="18"/>
                <w:szCs w:val="18"/>
              </w:rPr>
              <w:t>Z＜2000</w:t>
            </w:r>
          </w:p>
        </w:tc>
      </w:tr>
      <w:tr w14:paraId="2A5F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9EF067D">
            <w:pPr>
              <w:widowControl/>
              <w:spacing w:line="28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2F3A6B4F">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32284B6">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40013C5">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03C21AA0">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6FF22277">
            <w:pPr>
              <w:widowControl/>
              <w:spacing w:line="280" w:lineRule="exact"/>
              <w:jc w:val="center"/>
              <w:rPr>
                <w:rFonts w:ascii="宋体" w:hAnsi="宋体" w:cs="宋体"/>
                <w:kern w:val="0"/>
                <w:sz w:val="18"/>
                <w:szCs w:val="18"/>
              </w:rPr>
            </w:pPr>
            <w:r>
              <w:rPr>
                <w:rFonts w:hint="eastAsia" w:ascii="宋体" w:hAnsi="宋体" w:cs="宋体"/>
                <w:kern w:val="0"/>
                <w:sz w:val="18"/>
                <w:szCs w:val="18"/>
              </w:rPr>
              <w:t>100≤X＜300</w:t>
            </w:r>
          </w:p>
        </w:tc>
        <w:tc>
          <w:tcPr>
            <w:tcW w:w="992" w:type="dxa"/>
            <w:vAlign w:val="center"/>
          </w:tcPr>
          <w:p w14:paraId="4BA1EB5F">
            <w:pPr>
              <w:widowControl/>
              <w:spacing w:line="280" w:lineRule="exact"/>
              <w:jc w:val="center"/>
              <w:rPr>
                <w:rFonts w:ascii="宋体" w:hAnsi="宋体" w:cs="宋体"/>
                <w:kern w:val="0"/>
                <w:sz w:val="18"/>
                <w:szCs w:val="18"/>
              </w:rPr>
            </w:pPr>
            <w:r>
              <w:rPr>
                <w:rFonts w:hint="eastAsia" w:ascii="宋体" w:hAnsi="宋体" w:cs="宋体"/>
                <w:kern w:val="0"/>
                <w:sz w:val="18"/>
                <w:szCs w:val="18"/>
              </w:rPr>
              <w:t>X＜100</w:t>
            </w:r>
          </w:p>
        </w:tc>
      </w:tr>
      <w:tr w14:paraId="2331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D17711C">
            <w:pPr>
              <w:widowControl/>
              <w:spacing w:line="280" w:lineRule="exact"/>
              <w:jc w:val="left"/>
              <w:rPr>
                <w:rFonts w:ascii="宋体" w:hAnsi="宋体" w:cs="宋体"/>
                <w:kern w:val="0"/>
                <w:sz w:val="18"/>
                <w:szCs w:val="18"/>
              </w:rPr>
            </w:pPr>
          </w:p>
        </w:tc>
        <w:tc>
          <w:tcPr>
            <w:tcW w:w="1369" w:type="dxa"/>
            <w:vAlign w:val="center"/>
          </w:tcPr>
          <w:p w14:paraId="50D53738">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730BB05">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F43A2BE">
            <w:pPr>
              <w:widowControl/>
              <w:spacing w:line="280" w:lineRule="exact"/>
              <w:jc w:val="center"/>
              <w:rPr>
                <w:rFonts w:ascii="宋体" w:hAnsi="宋体" w:cs="宋体"/>
                <w:kern w:val="0"/>
                <w:sz w:val="18"/>
                <w:szCs w:val="18"/>
              </w:rPr>
            </w:pPr>
            <w:r>
              <w:rPr>
                <w:rFonts w:hint="eastAsia" w:ascii="宋体" w:hAnsi="宋体" w:cs="宋体"/>
                <w:kern w:val="0"/>
                <w:sz w:val="18"/>
                <w:szCs w:val="18"/>
              </w:rPr>
              <w:t>Y≥5000</w:t>
            </w:r>
          </w:p>
        </w:tc>
        <w:tc>
          <w:tcPr>
            <w:tcW w:w="1701" w:type="dxa"/>
            <w:vAlign w:val="center"/>
          </w:tcPr>
          <w:p w14:paraId="6448F20C">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vAlign w:val="center"/>
          </w:tcPr>
          <w:p w14:paraId="16AE2890">
            <w:pPr>
              <w:widowControl/>
              <w:spacing w:line="280" w:lineRule="exact"/>
              <w:jc w:val="center"/>
              <w:rPr>
                <w:rFonts w:ascii="宋体" w:hAnsi="宋体" w:cs="宋体"/>
                <w:kern w:val="0"/>
                <w:sz w:val="18"/>
                <w:szCs w:val="18"/>
              </w:rPr>
            </w:pPr>
            <w:r>
              <w:rPr>
                <w:rFonts w:hint="eastAsia" w:ascii="宋体" w:hAnsi="宋体" w:cs="宋体"/>
                <w:kern w:val="0"/>
                <w:sz w:val="18"/>
                <w:szCs w:val="18"/>
              </w:rPr>
              <w:t>500≤Y＜1000</w:t>
            </w:r>
          </w:p>
        </w:tc>
        <w:tc>
          <w:tcPr>
            <w:tcW w:w="992" w:type="dxa"/>
            <w:vAlign w:val="center"/>
          </w:tcPr>
          <w:p w14:paraId="2003CA3C">
            <w:pPr>
              <w:widowControl/>
              <w:spacing w:line="280" w:lineRule="exact"/>
              <w:jc w:val="center"/>
              <w:rPr>
                <w:rFonts w:ascii="宋体" w:hAnsi="宋体" w:cs="宋体"/>
                <w:kern w:val="0"/>
                <w:sz w:val="18"/>
                <w:szCs w:val="18"/>
              </w:rPr>
            </w:pPr>
            <w:r>
              <w:rPr>
                <w:rFonts w:hint="eastAsia" w:ascii="宋体" w:hAnsi="宋体" w:cs="宋体"/>
                <w:kern w:val="0"/>
                <w:sz w:val="18"/>
                <w:szCs w:val="18"/>
              </w:rPr>
              <w:t>Y＜500</w:t>
            </w:r>
          </w:p>
        </w:tc>
      </w:tr>
      <w:tr w14:paraId="5961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ABFC332">
            <w:pPr>
              <w:widowControl/>
              <w:spacing w:line="28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403673A6">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7B649E8">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3D991958">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56588B6A">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09DD2AA1">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5FDE4AC0">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3D4B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73AC78C">
            <w:pPr>
              <w:widowControl/>
              <w:spacing w:line="280" w:lineRule="exact"/>
              <w:jc w:val="left"/>
              <w:rPr>
                <w:rFonts w:ascii="宋体" w:hAnsi="宋体" w:cs="宋体"/>
                <w:kern w:val="0"/>
                <w:sz w:val="18"/>
                <w:szCs w:val="18"/>
              </w:rPr>
            </w:pPr>
          </w:p>
        </w:tc>
        <w:tc>
          <w:tcPr>
            <w:tcW w:w="1369" w:type="dxa"/>
            <w:vAlign w:val="center"/>
          </w:tcPr>
          <w:p w14:paraId="54771637">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06E32748">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FAA5976">
            <w:pPr>
              <w:widowControl/>
              <w:spacing w:line="280" w:lineRule="exact"/>
              <w:jc w:val="center"/>
              <w:rPr>
                <w:rFonts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4D89D276">
            <w:pPr>
              <w:widowControl/>
              <w:spacing w:line="28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6" w:type="dxa"/>
            <w:vAlign w:val="center"/>
          </w:tcPr>
          <w:p w14:paraId="72CE2A78">
            <w:pPr>
              <w:widowControl/>
              <w:spacing w:line="280" w:lineRule="exact"/>
              <w:jc w:val="center"/>
              <w:rPr>
                <w:rFonts w:ascii="宋体" w:hAnsi="宋体" w:cs="宋体"/>
                <w:kern w:val="0"/>
                <w:sz w:val="18"/>
                <w:szCs w:val="18"/>
              </w:rPr>
            </w:pPr>
            <w:r>
              <w:rPr>
                <w:rFonts w:hint="eastAsia" w:ascii="宋体" w:hAnsi="宋体" w:cs="宋体"/>
                <w:kern w:val="0"/>
                <w:sz w:val="18"/>
                <w:szCs w:val="18"/>
              </w:rPr>
              <w:t>100≤Z＜8000</w:t>
            </w:r>
          </w:p>
        </w:tc>
        <w:tc>
          <w:tcPr>
            <w:tcW w:w="992" w:type="dxa"/>
            <w:vAlign w:val="center"/>
          </w:tcPr>
          <w:p w14:paraId="25619846">
            <w:pPr>
              <w:widowControl/>
              <w:spacing w:line="280" w:lineRule="exact"/>
              <w:jc w:val="center"/>
              <w:rPr>
                <w:rFonts w:ascii="宋体" w:hAnsi="宋体" w:cs="宋体"/>
                <w:kern w:val="0"/>
                <w:sz w:val="18"/>
                <w:szCs w:val="18"/>
              </w:rPr>
            </w:pPr>
            <w:r>
              <w:rPr>
                <w:rFonts w:hint="eastAsia" w:ascii="宋体" w:hAnsi="宋体" w:cs="宋体"/>
                <w:kern w:val="0"/>
                <w:sz w:val="18"/>
                <w:szCs w:val="18"/>
              </w:rPr>
              <w:t>Z＜100</w:t>
            </w:r>
          </w:p>
        </w:tc>
      </w:tr>
      <w:tr w14:paraId="2686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14B8204">
            <w:pPr>
              <w:widowControl/>
              <w:spacing w:line="28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25B08B09">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4834C0F">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866DE3B">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5EEEE291">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7071E8EB">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5241C5F3">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bl>
    <w:p w14:paraId="2AD7F6EA">
      <w:pPr>
        <w:widowControl/>
        <w:spacing w:line="280" w:lineRule="exact"/>
        <w:rPr>
          <w:rFonts w:ascii="宋体" w:hAnsi="宋体" w:cs="宋体"/>
          <w:spacing w:val="8"/>
          <w:kern w:val="0"/>
          <w:sz w:val="24"/>
        </w:rPr>
      </w:pPr>
    </w:p>
    <w:p w14:paraId="476BED98">
      <w:pPr>
        <w:widowControl/>
        <w:spacing w:line="360" w:lineRule="auto"/>
        <w:rPr>
          <w:rFonts w:ascii="宋体" w:hAnsi="宋体" w:cs="宋体"/>
          <w:spacing w:val="8"/>
          <w:kern w:val="0"/>
          <w:szCs w:val="21"/>
        </w:rPr>
      </w:pPr>
    </w:p>
    <w:p w14:paraId="50EAE4D2">
      <w:pPr>
        <w:widowControl/>
        <w:spacing w:line="360" w:lineRule="auto"/>
        <w:rPr>
          <w:rFonts w:ascii="宋体" w:hAnsi="宋体" w:cs="宋体"/>
          <w:spacing w:val="8"/>
          <w:kern w:val="0"/>
          <w:szCs w:val="21"/>
        </w:rPr>
      </w:pPr>
      <w:r>
        <w:rPr>
          <w:rFonts w:hint="eastAsia" w:ascii="宋体" w:hAnsi="宋体" w:cs="宋体"/>
          <w:spacing w:val="8"/>
          <w:kern w:val="0"/>
          <w:szCs w:val="21"/>
        </w:rPr>
        <w:t>说明：</w:t>
      </w:r>
    </w:p>
    <w:p w14:paraId="31F5207E">
      <w:pPr>
        <w:pStyle w:val="13"/>
        <w:adjustRightInd w:val="0"/>
        <w:spacing w:line="360" w:lineRule="auto"/>
        <w:ind w:firstLine="452" w:firstLineChars="200"/>
        <w:contextualSpacing/>
        <w:rPr>
          <w:rFonts w:hAnsi="宋体" w:cs="宋体"/>
          <w:spacing w:val="8"/>
          <w:kern w:val="0"/>
          <w:szCs w:val="21"/>
        </w:rPr>
      </w:pPr>
      <w:r>
        <w:rPr>
          <w:rFonts w:hint="eastAsia" w:hAnsi="宋体" w:cs="宋体"/>
          <w:spacing w:val="8"/>
          <w:kern w:val="0"/>
          <w:szCs w:val="21"/>
        </w:rPr>
        <w:t>1.大型、中型和小型企业须同时满足所列指标的下限，否则下划一档；微型企业只须满足所列指标中的一项即可。</w:t>
      </w:r>
    </w:p>
    <w:p w14:paraId="245E2A89">
      <w:pPr>
        <w:pStyle w:val="13"/>
        <w:adjustRightInd w:val="0"/>
        <w:spacing w:line="360" w:lineRule="auto"/>
        <w:ind w:firstLine="452" w:firstLineChars="200"/>
        <w:contextualSpacing/>
        <w:rPr>
          <w:rFonts w:hAnsi="宋体" w:cs="宋体"/>
          <w:spacing w:val="8"/>
          <w:kern w:val="0"/>
          <w:szCs w:val="21"/>
        </w:rPr>
      </w:pPr>
      <w:r>
        <w:rPr>
          <w:rFonts w:hint="eastAsia" w:hAnsi="宋体" w:cs="宋体"/>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A78209">
      <w:pPr>
        <w:pStyle w:val="13"/>
        <w:spacing w:line="360" w:lineRule="auto"/>
        <w:ind w:firstLine="452" w:firstLineChars="200"/>
        <w:rPr>
          <w:rFonts w:hAnsi="宋体" w:cs="宋体"/>
          <w:spacing w:val="8"/>
          <w:kern w:val="0"/>
          <w:szCs w:val="21"/>
        </w:rPr>
      </w:pPr>
      <w:r>
        <w:rPr>
          <w:rFonts w:hint="eastAsia" w:hAnsi="宋体" w:cs="宋体"/>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C5877C0">
      <w:pPr>
        <w:rPr>
          <w:rFonts w:hAnsi="宋体" w:cs="宋体"/>
          <w:spacing w:val="8"/>
          <w:kern w:val="0"/>
          <w:szCs w:val="21"/>
        </w:rPr>
      </w:pPr>
      <w:r>
        <w:rPr>
          <w:rFonts w:hint="eastAsia" w:hAnsi="宋体" w:cs="宋体"/>
          <w:spacing w:val="8"/>
          <w:kern w:val="0"/>
          <w:szCs w:val="21"/>
        </w:rPr>
        <w:br w:type="page"/>
      </w:r>
    </w:p>
    <w:p w14:paraId="3DFDED1B">
      <w:pPr>
        <w:spacing w:line="360" w:lineRule="auto"/>
        <w:jc w:val="center"/>
        <w:rPr>
          <w:rFonts w:hAnsi="宋体"/>
          <w:b/>
          <w:sz w:val="36"/>
          <w:szCs w:val="36"/>
        </w:rPr>
      </w:pPr>
      <w:bookmarkStart w:id="60" w:name="_Toc15364"/>
      <w:bookmarkStart w:id="61" w:name="_Toc496"/>
      <w:bookmarkStart w:id="62" w:name="_Toc28587"/>
      <w:bookmarkStart w:id="63" w:name="_Toc532545044"/>
      <w:bookmarkStart w:id="64" w:name="_Toc29172"/>
      <w:bookmarkStart w:id="65" w:name="_Toc24489"/>
      <w:bookmarkStart w:id="66" w:name="_Toc6362"/>
      <w:bookmarkStart w:id="67" w:name="_Toc9063"/>
      <w:bookmarkStart w:id="68" w:name="_Toc26039"/>
      <w:bookmarkStart w:id="69" w:name="_Toc20085"/>
      <w:bookmarkStart w:id="70" w:name="_Toc26044"/>
      <w:bookmarkStart w:id="71" w:name="_Toc3325"/>
      <w:bookmarkStart w:id="72" w:name="_Toc8975"/>
      <w:bookmarkStart w:id="73" w:name="_Toc20953"/>
      <w:r>
        <w:rPr>
          <w:rFonts w:hint="eastAsia"/>
          <w:b/>
          <w:sz w:val="36"/>
        </w:rPr>
        <w:t>第三章</w:t>
      </w:r>
      <w:r>
        <w:rPr>
          <w:b/>
          <w:sz w:val="36"/>
        </w:rPr>
        <w:t xml:space="preserve">  </w:t>
      </w:r>
      <w:r>
        <w:rPr>
          <w:rFonts w:hint="eastAsia"/>
          <w:b/>
          <w:sz w:val="36"/>
        </w:rPr>
        <w:t>投标人须知</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0A81B81">
      <w:pPr>
        <w:pStyle w:val="13"/>
        <w:spacing w:line="360" w:lineRule="auto"/>
        <w:jc w:val="center"/>
        <w:outlineLvl w:val="1"/>
        <w:rPr>
          <w:rFonts w:ascii="Times New Roman" w:hAnsi="Times New Roman"/>
          <w:b/>
          <w:sz w:val="30"/>
          <w:szCs w:val="30"/>
        </w:rPr>
      </w:pPr>
      <w:bookmarkStart w:id="74" w:name="_Toc32208"/>
      <w:bookmarkStart w:id="75" w:name="_Toc24714"/>
      <w:bookmarkStart w:id="76" w:name="_Toc29813"/>
      <w:bookmarkStart w:id="77" w:name="_Toc8769"/>
      <w:bookmarkStart w:id="78" w:name="_Toc1597"/>
      <w:bookmarkStart w:id="79" w:name="_Toc10039"/>
      <w:bookmarkStart w:id="80" w:name="_Toc4562"/>
      <w:bookmarkStart w:id="81" w:name="_Toc16388"/>
      <w:bookmarkStart w:id="82" w:name="_Toc29809"/>
      <w:bookmarkStart w:id="83" w:name="_Toc11515"/>
      <w:r>
        <w:rPr>
          <w:rFonts w:hint="eastAsia" w:ascii="Times New Roman" w:hAnsi="Times New Roman"/>
          <w:b/>
          <w:sz w:val="30"/>
          <w:szCs w:val="30"/>
        </w:rPr>
        <w:t>第一节</w:t>
      </w:r>
      <w:r>
        <w:rPr>
          <w:rFonts w:ascii="Times New Roman" w:hAnsi="Times New Roman"/>
          <w:b/>
          <w:sz w:val="30"/>
          <w:szCs w:val="30"/>
        </w:rPr>
        <w:t xml:space="preserve"> </w:t>
      </w:r>
      <w:r>
        <w:rPr>
          <w:rFonts w:hint="eastAsia" w:ascii="Times New Roman" w:hAnsi="Times New Roman"/>
          <w:b/>
          <w:sz w:val="30"/>
          <w:szCs w:val="30"/>
        </w:rPr>
        <w:t>投标人须知前附表</w:t>
      </w:r>
      <w:bookmarkEnd w:id="74"/>
      <w:bookmarkEnd w:id="75"/>
      <w:bookmarkEnd w:id="76"/>
      <w:bookmarkEnd w:id="77"/>
      <w:bookmarkEnd w:id="78"/>
      <w:bookmarkEnd w:id="79"/>
      <w:bookmarkEnd w:id="80"/>
      <w:bookmarkEnd w:id="81"/>
      <w:bookmarkEnd w:id="82"/>
      <w:bookmarkEnd w:id="83"/>
    </w:p>
    <w:tbl>
      <w:tblPr>
        <w:tblStyle w:val="23"/>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
        <w:gridCol w:w="1742"/>
        <w:gridCol w:w="7609"/>
      </w:tblGrid>
      <w:tr w14:paraId="20811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072505EE">
            <w:pPr>
              <w:snapToGrid w:val="0"/>
              <w:spacing w:line="360" w:lineRule="auto"/>
              <w:jc w:val="center"/>
              <w:rPr>
                <w:rFonts w:ascii="宋体" w:hAnsi="宋体" w:cs="宋体"/>
                <w:color w:val="000000"/>
                <w:szCs w:val="21"/>
              </w:rPr>
            </w:pPr>
            <w:r>
              <w:rPr>
                <w:rFonts w:hint="eastAsia" w:ascii="宋体" w:hAnsi="宋体" w:cs="宋体"/>
                <w:color w:val="000000"/>
                <w:szCs w:val="21"/>
              </w:rPr>
              <w:t>条款号</w:t>
            </w:r>
          </w:p>
        </w:tc>
        <w:tc>
          <w:tcPr>
            <w:tcW w:w="1742" w:type="dxa"/>
            <w:tcBorders>
              <w:top w:val="single" w:color="auto" w:sz="4" w:space="0"/>
              <w:left w:val="single" w:color="auto" w:sz="4" w:space="0"/>
              <w:bottom w:val="single" w:color="auto" w:sz="4" w:space="0"/>
              <w:right w:val="single" w:color="auto" w:sz="4" w:space="0"/>
            </w:tcBorders>
            <w:vAlign w:val="center"/>
          </w:tcPr>
          <w:p w14:paraId="361C63DB">
            <w:pPr>
              <w:snapToGrid w:val="0"/>
              <w:spacing w:line="360" w:lineRule="auto"/>
              <w:jc w:val="center"/>
              <w:rPr>
                <w:rFonts w:ascii="宋体" w:hAnsi="宋体" w:cs="宋体"/>
                <w:color w:val="000000"/>
                <w:szCs w:val="21"/>
              </w:rPr>
            </w:pPr>
            <w:r>
              <w:rPr>
                <w:rFonts w:hint="eastAsia" w:ascii="宋体" w:hAnsi="宋体" w:cs="宋体"/>
                <w:color w:val="000000"/>
                <w:szCs w:val="21"/>
              </w:rPr>
              <w:t>项目内容</w:t>
            </w:r>
          </w:p>
        </w:tc>
        <w:tc>
          <w:tcPr>
            <w:tcW w:w="7609" w:type="dxa"/>
            <w:tcBorders>
              <w:top w:val="single" w:color="auto" w:sz="4" w:space="0"/>
              <w:left w:val="single" w:color="auto" w:sz="4" w:space="0"/>
              <w:bottom w:val="single" w:color="auto" w:sz="4" w:space="0"/>
              <w:right w:val="single" w:color="auto" w:sz="4" w:space="0"/>
            </w:tcBorders>
            <w:vAlign w:val="center"/>
          </w:tcPr>
          <w:p w14:paraId="66F3ADED">
            <w:pPr>
              <w:snapToGrid w:val="0"/>
              <w:spacing w:line="360" w:lineRule="auto"/>
              <w:jc w:val="center"/>
              <w:rPr>
                <w:rFonts w:ascii="宋体" w:hAnsi="宋体" w:cs="宋体"/>
                <w:color w:val="000000"/>
                <w:szCs w:val="21"/>
              </w:rPr>
            </w:pPr>
            <w:r>
              <w:rPr>
                <w:rFonts w:hint="eastAsia" w:ascii="宋体" w:hAnsi="宋体" w:cs="宋体"/>
                <w:color w:val="000000"/>
                <w:szCs w:val="21"/>
              </w:rPr>
              <w:t>编列内容</w:t>
            </w:r>
          </w:p>
        </w:tc>
      </w:tr>
      <w:tr w14:paraId="695A4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7DFB9FC7">
            <w:pPr>
              <w:snapToGrid w:val="0"/>
              <w:spacing w:line="360" w:lineRule="auto"/>
              <w:jc w:val="center"/>
              <w:rPr>
                <w:rFonts w:ascii="宋体" w:hAnsi="宋体" w:cs="宋体"/>
                <w:color w:val="000000"/>
                <w:szCs w:val="21"/>
              </w:rPr>
            </w:pPr>
            <w:r>
              <w:rPr>
                <w:rFonts w:hint="eastAsia" w:ascii="宋体" w:hAnsi="宋体" w:cs="宋体"/>
                <w:szCs w:val="21"/>
              </w:rPr>
              <w:t>2.7</w:t>
            </w:r>
          </w:p>
        </w:tc>
        <w:tc>
          <w:tcPr>
            <w:tcW w:w="1742" w:type="dxa"/>
            <w:tcBorders>
              <w:top w:val="single" w:color="auto" w:sz="4" w:space="0"/>
              <w:left w:val="single" w:color="auto" w:sz="4" w:space="0"/>
              <w:bottom w:val="single" w:color="auto" w:sz="4" w:space="0"/>
              <w:right w:val="single" w:color="auto" w:sz="4" w:space="0"/>
            </w:tcBorders>
            <w:vAlign w:val="center"/>
          </w:tcPr>
          <w:p w14:paraId="60559E66">
            <w:pPr>
              <w:snapToGrid w:val="0"/>
              <w:spacing w:line="360" w:lineRule="auto"/>
              <w:rPr>
                <w:rFonts w:ascii="宋体" w:hAnsi="宋体" w:cs="宋体"/>
                <w:szCs w:val="21"/>
              </w:rPr>
            </w:pPr>
            <w:r>
              <w:rPr>
                <w:rFonts w:hint="eastAsia" w:ascii="宋体" w:hAnsi="宋体" w:cs="宋体"/>
                <w:szCs w:val="21"/>
              </w:rPr>
              <w:t>实质性要求</w:t>
            </w:r>
          </w:p>
        </w:tc>
        <w:tc>
          <w:tcPr>
            <w:tcW w:w="7609" w:type="dxa"/>
            <w:tcBorders>
              <w:top w:val="single" w:color="auto" w:sz="4" w:space="0"/>
              <w:left w:val="single" w:color="auto" w:sz="4" w:space="0"/>
              <w:bottom w:val="single" w:color="auto" w:sz="4" w:space="0"/>
              <w:right w:val="single" w:color="auto" w:sz="4" w:space="0"/>
            </w:tcBorders>
            <w:vAlign w:val="center"/>
          </w:tcPr>
          <w:p w14:paraId="5614C72C">
            <w:pPr>
              <w:snapToGrid w:val="0"/>
              <w:spacing w:line="360" w:lineRule="auto"/>
              <w:jc w:val="left"/>
              <w:rPr>
                <w:rFonts w:ascii="宋体" w:hAnsi="宋体" w:cs="宋体"/>
                <w:szCs w:val="21"/>
              </w:rPr>
            </w:pPr>
            <w:r>
              <w:rPr>
                <w:rFonts w:hint="eastAsia" w:ascii="宋体" w:hAnsi="宋体" w:cs="宋体"/>
                <w:szCs w:val="21"/>
              </w:rPr>
              <w:t>指招标文件中已经指明不提供或不满足则投标无效的条款，或者第二章“采购需求”及第六章“投标文件格式”中带“▲”的条款。</w:t>
            </w:r>
          </w:p>
        </w:tc>
      </w:tr>
      <w:tr w14:paraId="718CE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4576D7D8">
            <w:pPr>
              <w:spacing w:line="380" w:lineRule="exact"/>
              <w:jc w:val="center"/>
              <w:rPr>
                <w:rFonts w:ascii="宋体" w:hAnsi="宋体" w:cs="宋体"/>
                <w:color w:val="000000"/>
                <w:szCs w:val="21"/>
              </w:rPr>
            </w:pPr>
            <w:r>
              <w:rPr>
                <w:rFonts w:hint="eastAsia" w:ascii="宋体" w:hAnsi="宋体" w:cs="宋体"/>
                <w:color w:val="000000"/>
                <w:szCs w:val="21"/>
              </w:rPr>
              <w:t>3</w:t>
            </w:r>
          </w:p>
        </w:tc>
        <w:tc>
          <w:tcPr>
            <w:tcW w:w="1742" w:type="dxa"/>
            <w:tcBorders>
              <w:top w:val="single" w:color="auto" w:sz="4" w:space="0"/>
              <w:left w:val="single" w:color="auto" w:sz="4" w:space="0"/>
              <w:bottom w:val="single" w:color="auto" w:sz="4" w:space="0"/>
              <w:right w:val="single" w:color="auto" w:sz="4" w:space="0"/>
            </w:tcBorders>
            <w:vAlign w:val="center"/>
          </w:tcPr>
          <w:p w14:paraId="75304A6D">
            <w:pPr>
              <w:spacing w:line="380" w:lineRule="exact"/>
              <w:rPr>
                <w:rFonts w:ascii="宋体" w:hAnsi="宋体" w:cs="宋体"/>
                <w:color w:val="000000"/>
                <w:szCs w:val="21"/>
              </w:rPr>
            </w:pPr>
            <w:r>
              <w:rPr>
                <w:rFonts w:hint="eastAsia" w:ascii="宋体" w:hAnsi="宋体" w:cs="宋体"/>
                <w:szCs w:val="21"/>
              </w:rPr>
              <w:t>投标人的资格要求</w:t>
            </w:r>
          </w:p>
        </w:tc>
        <w:tc>
          <w:tcPr>
            <w:tcW w:w="7609" w:type="dxa"/>
            <w:tcBorders>
              <w:top w:val="single" w:color="auto" w:sz="4" w:space="0"/>
              <w:left w:val="single" w:color="auto" w:sz="4" w:space="0"/>
              <w:bottom w:val="single" w:color="auto" w:sz="4" w:space="0"/>
              <w:right w:val="single" w:color="auto" w:sz="4" w:space="0"/>
            </w:tcBorders>
            <w:vAlign w:val="center"/>
          </w:tcPr>
          <w:p w14:paraId="7A60CDFC">
            <w:pPr>
              <w:pStyle w:val="8"/>
              <w:spacing w:line="380" w:lineRule="exact"/>
              <w:rPr>
                <w:rFonts w:ascii="宋体" w:hAnsi="宋体" w:cs="宋体"/>
                <w:szCs w:val="21"/>
              </w:rPr>
            </w:pPr>
            <w:r>
              <w:rPr>
                <w:rFonts w:hint="eastAsia" w:ascii="宋体" w:hAnsi="宋体" w:cs="宋体"/>
                <w:szCs w:val="21"/>
              </w:rPr>
              <w:t>详见招标公告。</w:t>
            </w:r>
          </w:p>
        </w:tc>
      </w:tr>
      <w:tr w14:paraId="63C0F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38E6B42A">
            <w:pPr>
              <w:spacing w:line="380" w:lineRule="exact"/>
              <w:jc w:val="center"/>
              <w:rPr>
                <w:rFonts w:ascii="宋体" w:hAnsi="宋体" w:cs="宋体"/>
                <w:color w:val="000000"/>
                <w:szCs w:val="21"/>
              </w:rPr>
            </w:pPr>
            <w:r>
              <w:rPr>
                <w:rFonts w:hint="eastAsia" w:ascii="宋体" w:hAnsi="宋体" w:cs="宋体"/>
                <w:color w:val="000000"/>
                <w:szCs w:val="21"/>
              </w:rPr>
              <w:t>6.1</w:t>
            </w:r>
          </w:p>
        </w:tc>
        <w:tc>
          <w:tcPr>
            <w:tcW w:w="1742" w:type="dxa"/>
            <w:tcBorders>
              <w:top w:val="single" w:color="auto" w:sz="4" w:space="0"/>
              <w:left w:val="single" w:color="auto" w:sz="4" w:space="0"/>
              <w:bottom w:val="single" w:color="auto" w:sz="4" w:space="0"/>
              <w:right w:val="single" w:color="auto" w:sz="4" w:space="0"/>
            </w:tcBorders>
            <w:vAlign w:val="center"/>
          </w:tcPr>
          <w:p w14:paraId="27CF735A">
            <w:pPr>
              <w:spacing w:line="380" w:lineRule="exact"/>
              <w:rPr>
                <w:rFonts w:ascii="宋体" w:hAnsi="宋体" w:cs="宋体"/>
                <w:color w:val="000000"/>
                <w:szCs w:val="21"/>
              </w:rPr>
            </w:pPr>
            <w:bookmarkStart w:id="84" w:name="_5"/>
            <w:bookmarkEnd w:id="84"/>
            <w:bookmarkStart w:id="85" w:name="_9.2"/>
            <w:bookmarkEnd w:id="85"/>
            <w:bookmarkStart w:id="86" w:name="_8.1"/>
            <w:bookmarkEnd w:id="86"/>
            <w:r>
              <w:rPr>
                <w:rFonts w:hint="eastAsia" w:ascii="宋体" w:hAnsi="宋体" w:cs="宋体"/>
                <w:color w:val="000000"/>
                <w:szCs w:val="21"/>
              </w:rPr>
              <w:t>是否接受联合体投标</w:t>
            </w:r>
          </w:p>
        </w:tc>
        <w:tc>
          <w:tcPr>
            <w:tcW w:w="7609" w:type="dxa"/>
            <w:tcBorders>
              <w:top w:val="single" w:color="auto" w:sz="4" w:space="0"/>
              <w:left w:val="single" w:color="auto" w:sz="4" w:space="0"/>
              <w:bottom w:val="single" w:color="auto" w:sz="4" w:space="0"/>
              <w:right w:val="single" w:color="auto" w:sz="4" w:space="0"/>
            </w:tcBorders>
            <w:vAlign w:val="center"/>
          </w:tcPr>
          <w:p w14:paraId="748F14EF">
            <w:pPr>
              <w:pStyle w:val="8"/>
              <w:spacing w:line="380" w:lineRule="exact"/>
              <w:rPr>
                <w:rFonts w:ascii="宋体" w:hAnsi="宋体" w:cs="宋体"/>
                <w:szCs w:val="21"/>
              </w:rPr>
            </w:pPr>
            <w:bookmarkStart w:id="87" w:name="PO_3000001866_PM007"/>
            <w:r>
              <w:rPr>
                <w:rFonts w:hint="eastAsia" w:ascii="宋体" w:hAnsi="宋体" w:cs="宋体"/>
                <w:szCs w:val="21"/>
              </w:rPr>
              <w:t>详见招标公告。</w:t>
            </w:r>
            <w:bookmarkEnd w:id="87"/>
          </w:p>
        </w:tc>
      </w:tr>
      <w:tr w14:paraId="1CC1A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5FC15E92">
            <w:pPr>
              <w:spacing w:line="380" w:lineRule="exact"/>
              <w:jc w:val="center"/>
              <w:rPr>
                <w:rFonts w:ascii="宋体" w:hAnsi="宋体" w:cs="宋体"/>
                <w:color w:val="000000"/>
                <w:szCs w:val="21"/>
              </w:rPr>
            </w:pPr>
            <w:r>
              <w:rPr>
                <w:rFonts w:hint="eastAsia" w:ascii="宋体" w:hAnsi="宋体" w:cs="宋体"/>
                <w:color w:val="000000"/>
                <w:szCs w:val="21"/>
              </w:rPr>
              <w:t>6.2</w:t>
            </w:r>
          </w:p>
        </w:tc>
        <w:tc>
          <w:tcPr>
            <w:tcW w:w="1742" w:type="dxa"/>
            <w:tcBorders>
              <w:top w:val="single" w:color="auto" w:sz="4" w:space="0"/>
              <w:left w:val="single" w:color="auto" w:sz="4" w:space="0"/>
              <w:bottom w:val="single" w:color="auto" w:sz="4" w:space="0"/>
              <w:right w:val="single" w:color="auto" w:sz="4" w:space="0"/>
            </w:tcBorders>
            <w:vAlign w:val="center"/>
          </w:tcPr>
          <w:p w14:paraId="15FE5609">
            <w:pPr>
              <w:spacing w:line="380" w:lineRule="exact"/>
              <w:rPr>
                <w:rFonts w:ascii="宋体" w:hAnsi="宋体" w:cs="宋体"/>
                <w:color w:val="000000"/>
                <w:szCs w:val="21"/>
              </w:rPr>
            </w:pPr>
            <w:r>
              <w:rPr>
                <w:rFonts w:hint="eastAsia" w:ascii="宋体" w:hAnsi="宋体" w:cs="宋体"/>
                <w:color w:val="000000"/>
                <w:szCs w:val="21"/>
              </w:rPr>
              <w:t>联合体投标要求</w:t>
            </w:r>
          </w:p>
        </w:tc>
        <w:tc>
          <w:tcPr>
            <w:tcW w:w="7609" w:type="dxa"/>
            <w:tcBorders>
              <w:top w:val="single" w:color="auto" w:sz="4" w:space="0"/>
              <w:left w:val="single" w:color="auto" w:sz="4" w:space="0"/>
              <w:bottom w:val="single" w:color="auto" w:sz="4" w:space="0"/>
              <w:right w:val="single" w:color="auto" w:sz="4" w:space="0"/>
            </w:tcBorders>
            <w:vAlign w:val="center"/>
          </w:tcPr>
          <w:p w14:paraId="2C5C548D">
            <w:pPr>
              <w:pStyle w:val="8"/>
              <w:spacing w:line="380" w:lineRule="exact"/>
              <w:rPr>
                <w:rFonts w:ascii="宋体" w:hAnsi="宋体" w:cs="宋体"/>
                <w:szCs w:val="21"/>
              </w:rPr>
            </w:pPr>
            <w:r>
              <w:rPr>
                <w:rFonts w:hint="eastAsia" w:ascii="宋体" w:hAnsi="宋体" w:cs="宋体"/>
                <w:szCs w:val="21"/>
              </w:rPr>
              <w:t>☑不接受联合体。</w:t>
            </w:r>
          </w:p>
          <w:p w14:paraId="2FC27F2F">
            <w:pPr>
              <w:pStyle w:val="8"/>
              <w:spacing w:line="380" w:lineRule="exact"/>
              <w:rPr>
                <w:rFonts w:ascii="宋体" w:hAnsi="宋体" w:cs="宋体"/>
                <w:szCs w:val="21"/>
              </w:rPr>
            </w:pPr>
            <w:r>
              <w:rPr>
                <w:rFonts w:hint="eastAsia" w:ascii="宋体" w:hAnsi="宋体" w:cs="宋体"/>
                <w:szCs w:val="21"/>
              </w:rPr>
              <w:t>□接受联合体：</w:t>
            </w:r>
          </w:p>
          <w:p w14:paraId="2B8E1BC9">
            <w:pPr>
              <w:pStyle w:val="8"/>
              <w:spacing w:line="360" w:lineRule="auto"/>
              <w:rPr>
                <w:rFonts w:ascii="宋体" w:hAnsi="宋体" w:cs="宋体"/>
                <w:color w:val="000000"/>
                <w:szCs w:val="21"/>
              </w:rPr>
            </w:pPr>
            <w:r>
              <w:rPr>
                <w:rFonts w:hint="eastAsia" w:ascii="宋体" w:hAnsi="宋体" w:cs="宋体"/>
                <w:color w:val="000000"/>
                <w:szCs w:val="21"/>
              </w:rPr>
              <w:t>1.两个以上投标人可以组成一个投标联合体，以一个投标人的身份共同参加投标。联合体投标的，须提供《联合体投标协议书》（格式后附）。</w:t>
            </w:r>
          </w:p>
          <w:p w14:paraId="4D4EDDE7">
            <w:pPr>
              <w:pStyle w:val="8"/>
              <w:spacing w:line="360" w:lineRule="auto"/>
              <w:rPr>
                <w:rFonts w:ascii="宋体" w:hAnsi="宋体" w:cs="宋体"/>
                <w:color w:val="000000"/>
                <w:szCs w:val="21"/>
              </w:rPr>
            </w:pPr>
            <w:r>
              <w:rPr>
                <w:rFonts w:hint="eastAsia" w:ascii="宋体" w:hAnsi="宋体" w:cs="宋体"/>
                <w:color w:val="000000"/>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385FFA21">
            <w:pPr>
              <w:pStyle w:val="8"/>
              <w:spacing w:line="360" w:lineRule="auto"/>
              <w:rPr>
                <w:rFonts w:ascii="宋体" w:hAnsi="宋体" w:cs="宋体"/>
                <w:color w:val="000000"/>
                <w:szCs w:val="21"/>
              </w:rPr>
            </w:pPr>
            <w:r>
              <w:rPr>
                <w:rFonts w:hint="eastAsia" w:ascii="宋体" w:hAnsi="宋体" w:cs="宋体"/>
                <w:color w:val="000000"/>
                <w:szCs w:val="21"/>
              </w:rPr>
              <w:t>3.联合体各方之间必须签订联合投标协议，协议书必须明确主体方（或者牵头方）并明确约定联合体各方承担的工作和相应的责任（各方承担责任与义务的分工必须符合采购需求，否则，联合体投标无效），并将联合体投标协议放入投标文件。联合体各方必须共同与采购人签订采购合同，就采购合同约定的事项对采购人承担连带责任。</w:t>
            </w:r>
          </w:p>
          <w:p w14:paraId="724C3CFA">
            <w:pPr>
              <w:pStyle w:val="8"/>
              <w:spacing w:line="360" w:lineRule="auto"/>
              <w:rPr>
                <w:rFonts w:ascii="宋体" w:hAnsi="宋体" w:cs="宋体"/>
                <w:color w:val="000000"/>
                <w:szCs w:val="21"/>
              </w:rPr>
            </w:pPr>
            <w:r>
              <w:rPr>
                <w:rFonts w:hint="eastAsia" w:ascii="宋体" w:hAnsi="宋体" w:cs="宋体"/>
                <w:color w:val="000000"/>
                <w:szCs w:val="21"/>
              </w:rPr>
              <w:t>4.以联合体形式参加政府采购活动的，联合体各方不得再单独参加或者与其他投标人另外组成联合体参加同一合同项下的政府采购活动，否则与之相关的投标文件作废。</w:t>
            </w:r>
          </w:p>
          <w:p w14:paraId="7D454DCB">
            <w:pPr>
              <w:pStyle w:val="8"/>
              <w:spacing w:line="360" w:lineRule="auto"/>
              <w:rPr>
                <w:rFonts w:ascii="宋体" w:hAnsi="宋体" w:cs="宋体"/>
                <w:color w:val="000000"/>
                <w:szCs w:val="21"/>
              </w:rPr>
            </w:pPr>
            <w:r>
              <w:rPr>
                <w:rFonts w:hint="eastAsia" w:ascii="宋体" w:hAnsi="宋体" w:cs="宋体"/>
                <w:color w:val="000000"/>
                <w:szCs w:val="21"/>
              </w:rPr>
              <w:t>5.联合体中有同类资质的投标人按照联合体分工承担相同工作的，应当按照资质等级较低的投标人确定资质等级。</w:t>
            </w:r>
          </w:p>
          <w:p w14:paraId="2C809203">
            <w:pPr>
              <w:pStyle w:val="8"/>
              <w:spacing w:line="360" w:lineRule="auto"/>
              <w:rPr>
                <w:rFonts w:ascii="宋体" w:hAnsi="宋体" w:cs="宋体"/>
                <w:color w:val="000000"/>
                <w:szCs w:val="21"/>
              </w:rPr>
            </w:pPr>
            <w:r>
              <w:rPr>
                <w:rFonts w:hint="eastAsia" w:ascii="宋体" w:hAnsi="宋体" w:cs="宋体"/>
                <w:color w:val="000000"/>
                <w:szCs w:val="21"/>
              </w:rPr>
              <w:t>6.联合体投标业绩、履约能力按照联合体各方其中较高的一方认定并计算（招标文件另有规定的除外）。</w:t>
            </w:r>
          </w:p>
          <w:p w14:paraId="5E1EE9B8">
            <w:pPr>
              <w:pStyle w:val="8"/>
              <w:spacing w:line="360" w:lineRule="auto"/>
              <w:rPr>
                <w:rFonts w:ascii="宋体" w:hAnsi="宋体" w:cs="宋体"/>
                <w:color w:val="000000"/>
                <w:szCs w:val="21"/>
              </w:rPr>
            </w:pPr>
            <w:r>
              <w:rPr>
                <w:rFonts w:hint="eastAsia" w:ascii="宋体" w:hAnsi="宋体" w:cs="宋体"/>
                <w:color w:val="000000"/>
                <w:szCs w:val="21"/>
              </w:rPr>
              <w:t>7.投标人为联合体的，可以由联合体中的一方或者多方共同缴纳投标保证金，其缴纳的投标保证金对联合体各方均具有约束力。</w:t>
            </w:r>
          </w:p>
          <w:p w14:paraId="255FD7F1">
            <w:pPr>
              <w:pStyle w:val="8"/>
              <w:spacing w:line="380" w:lineRule="exact"/>
              <w:rPr>
                <w:rFonts w:ascii="宋体" w:hAnsi="宋体" w:cs="宋体"/>
                <w:szCs w:val="21"/>
              </w:rPr>
            </w:pPr>
            <w:r>
              <w:rPr>
                <w:rFonts w:hint="eastAsia" w:ascii="宋体" w:hAnsi="宋体" w:cs="宋体"/>
                <w:color w:val="000000"/>
                <w:szCs w:val="21"/>
              </w:rPr>
              <w:t>8.联合体各方均应按照招标文件的规定提交资格文件。</w:t>
            </w:r>
          </w:p>
        </w:tc>
      </w:tr>
      <w:tr w14:paraId="06649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6E8F9318">
            <w:pPr>
              <w:spacing w:line="380" w:lineRule="exact"/>
              <w:jc w:val="center"/>
              <w:rPr>
                <w:rFonts w:ascii="宋体" w:hAnsi="宋体" w:cs="宋体"/>
                <w:color w:val="000000"/>
                <w:szCs w:val="21"/>
              </w:rPr>
            </w:pPr>
            <w:r>
              <w:rPr>
                <w:rFonts w:hint="eastAsia" w:ascii="宋体" w:hAnsi="宋体" w:cs="宋体"/>
                <w:color w:val="000000"/>
                <w:szCs w:val="21"/>
              </w:rPr>
              <w:t>7.2</w:t>
            </w:r>
          </w:p>
        </w:tc>
        <w:tc>
          <w:tcPr>
            <w:tcW w:w="1742" w:type="dxa"/>
            <w:tcBorders>
              <w:top w:val="single" w:color="auto" w:sz="4" w:space="0"/>
              <w:left w:val="single" w:color="auto" w:sz="4" w:space="0"/>
              <w:bottom w:val="single" w:color="auto" w:sz="4" w:space="0"/>
              <w:right w:val="single" w:color="auto" w:sz="4" w:space="0"/>
            </w:tcBorders>
            <w:vAlign w:val="center"/>
          </w:tcPr>
          <w:p w14:paraId="30374589">
            <w:pPr>
              <w:spacing w:line="380" w:lineRule="exact"/>
              <w:rPr>
                <w:rFonts w:ascii="宋体" w:hAnsi="宋体" w:cs="宋体"/>
                <w:color w:val="000000"/>
                <w:szCs w:val="21"/>
              </w:rPr>
            </w:pPr>
            <w:r>
              <w:rPr>
                <w:rFonts w:hint="eastAsia" w:ascii="宋体" w:hAnsi="宋体" w:cs="宋体"/>
                <w:color w:val="000000"/>
                <w:szCs w:val="21"/>
              </w:rPr>
              <w:t>是否允许分包</w:t>
            </w:r>
          </w:p>
        </w:tc>
        <w:tc>
          <w:tcPr>
            <w:tcW w:w="7609" w:type="dxa"/>
            <w:tcBorders>
              <w:top w:val="single" w:color="auto" w:sz="4" w:space="0"/>
              <w:left w:val="single" w:color="auto" w:sz="4" w:space="0"/>
              <w:bottom w:val="single" w:color="auto" w:sz="4" w:space="0"/>
              <w:right w:val="single" w:color="auto" w:sz="4" w:space="0"/>
            </w:tcBorders>
            <w:vAlign w:val="center"/>
          </w:tcPr>
          <w:p w14:paraId="1DA13EA5">
            <w:pPr>
              <w:pStyle w:val="8"/>
              <w:rPr>
                <w:rFonts w:ascii="宋体" w:hAnsi="宋体" w:cs="宋体"/>
                <w:color w:val="000000"/>
                <w:szCs w:val="21"/>
              </w:rPr>
            </w:pPr>
            <w:bookmarkStart w:id="88" w:name="PO_3000001866_PM044"/>
            <w:r>
              <w:rPr>
                <w:rFonts w:hint="eastAsia" w:ascii="宋体" w:hAnsi="宋体" w:cs="宋体"/>
                <w:color w:val="000000"/>
                <w:szCs w:val="21"/>
              </w:rPr>
              <w:t>☑不允许分包。</w:t>
            </w:r>
          </w:p>
          <w:p w14:paraId="2D1F325A">
            <w:pPr>
              <w:pStyle w:val="8"/>
              <w:rPr>
                <w:color w:val="000000"/>
              </w:rPr>
            </w:pPr>
            <w:r>
              <w:rPr>
                <w:rFonts w:hint="eastAsia"/>
                <w:color w:val="000000"/>
              </w:rPr>
              <w:t>□允许分包：</w:t>
            </w:r>
          </w:p>
          <w:p w14:paraId="47772000">
            <w:pPr>
              <w:pStyle w:val="8"/>
              <w:rPr>
                <w:rFonts w:ascii="宋体" w:hAnsi="宋体" w:cs="宋体"/>
                <w:color w:val="000000"/>
                <w:szCs w:val="21"/>
              </w:rPr>
            </w:pPr>
            <w:r>
              <w:rPr>
                <w:rFonts w:hint="eastAsia" w:ascii="宋体" w:hAnsi="宋体" w:cs="宋体"/>
                <w:color w:val="000000"/>
                <w:szCs w:val="21"/>
              </w:rPr>
              <w:t>分包内容：</w:t>
            </w:r>
            <w:r>
              <w:rPr>
                <w:rFonts w:hint="eastAsia" w:ascii="宋体" w:hAnsi="宋体" w:cs="宋体"/>
                <w:color w:val="000000"/>
                <w:szCs w:val="21"/>
                <w:u w:val="single"/>
              </w:rPr>
              <w:t xml:space="preserve">                         。</w:t>
            </w:r>
          </w:p>
          <w:p w14:paraId="7670D476">
            <w:pPr>
              <w:pStyle w:val="8"/>
              <w:rPr>
                <w:rFonts w:ascii="宋体" w:hAnsi="宋体" w:cs="宋体"/>
                <w:color w:val="000000"/>
                <w:szCs w:val="21"/>
              </w:rPr>
            </w:pPr>
            <w:r>
              <w:rPr>
                <w:rFonts w:hint="eastAsia" w:ascii="宋体" w:hAnsi="宋体" w:cs="宋体"/>
                <w:color w:val="000000"/>
                <w:szCs w:val="21"/>
              </w:rPr>
              <w:t>分包金额或者比例：</w:t>
            </w:r>
            <w:r>
              <w:rPr>
                <w:rFonts w:hint="eastAsia" w:ascii="宋体" w:hAnsi="宋体" w:cs="宋体"/>
                <w:color w:val="000000"/>
                <w:szCs w:val="21"/>
                <w:u w:val="single"/>
              </w:rPr>
              <w:t xml:space="preserve">                      。</w:t>
            </w:r>
            <w:bookmarkEnd w:id="88"/>
          </w:p>
        </w:tc>
      </w:tr>
      <w:tr w14:paraId="2EB14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4F3044DE">
            <w:pPr>
              <w:spacing w:line="380" w:lineRule="exact"/>
              <w:jc w:val="center"/>
              <w:rPr>
                <w:rFonts w:ascii="宋体" w:hAnsi="宋体" w:cs="宋体"/>
                <w:color w:val="000000"/>
                <w:szCs w:val="21"/>
              </w:rPr>
            </w:pPr>
            <w:r>
              <w:rPr>
                <w:rFonts w:hint="eastAsia" w:ascii="宋体" w:hAnsi="宋体" w:cs="宋体"/>
                <w:color w:val="000000"/>
                <w:szCs w:val="21"/>
              </w:rPr>
              <w:t>11.4</w:t>
            </w:r>
          </w:p>
        </w:tc>
        <w:tc>
          <w:tcPr>
            <w:tcW w:w="1742" w:type="dxa"/>
            <w:tcBorders>
              <w:top w:val="single" w:color="auto" w:sz="4" w:space="0"/>
              <w:left w:val="single" w:color="auto" w:sz="4" w:space="0"/>
              <w:bottom w:val="single" w:color="auto" w:sz="4" w:space="0"/>
              <w:right w:val="single" w:color="auto" w:sz="4" w:space="0"/>
            </w:tcBorders>
            <w:vAlign w:val="center"/>
          </w:tcPr>
          <w:p w14:paraId="64DFA599">
            <w:pPr>
              <w:spacing w:line="380" w:lineRule="exact"/>
              <w:rPr>
                <w:rFonts w:ascii="宋体" w:hAnsi="宋体" w:cs="宋体"/>
                <w:color w:val="000000"/>
                <w:szCs w:val="21"/>
              </w:rPr>
            </w:pPr>
            <w:r>
              <w:rPr>
                <w:rFonts w:hint="eastAsia" w:ascii="宋体" w:hAnsi="宋体" w:cs="宋体"/>
                <w:color w:val="000000"/>
                <w:szCs w:val="21"/>
              </w:rPr>
              <w:t>媒体发布渠道</w:t>
            </w:r>
          </w:p>
        </w:tc>
        <w:tc>
          <w:tcPr>
            <w:tcW w:w="7609" w:type="dxa"/>
            <w:tcBorders>
              <w:top w:val="single" w:color="auto" w:sz="4" w:space="0"/>
              <w:left w:val="single" w:color="auto" w:sz="4" w:space="0"/>
              <w:bottom w:val="single" w:color="auto" w:sz="4" w:space="0"/>
              <w:right w:val="single" w:color="auto" w:sz="4" w:space="0"/>
            </w:tcBorders>
            <w:vAlign w:val="center"/>
          </w:tcPr>
          <w:p w14:paraId="67854600">
            <w:pPr>
              <w:rPr>
                <w:rFonts w:ascii="宋体" w:hAnsi="宋体" w:cs="宋体"/>
                <w:szCs w:val="21"/>
              </w:rPr>
            </w:pPr>
            <w:r>
              <w:rPr>
                <w:rFonts w:hint="eastAsia" w:ascii="宋体" w:hAnsi="宋体" w:cs="宋体"/>
                <w:color w:val="000000"/>
                <w:szCs w:val="21"/>
              </w:rPr>
              <w:t>与本项目相关的政府采购业务澄清、更正及与之相关的事项将在招标公告中“六、其他补充事宜”中网上查询地址上发布</w:t>
            </w:r>
            <w:r>
              <w:rPr>
                <w:rFonts w:hint="eastAsia" w:ascii="宋体" w:hAnsi="宋体" w:cs="宋体"/>
                <w:color w:val="000000"/>
                <w:kern w:val="0"/>
                <w:szCs w:val="21"/>
              </w:rPr>
              <w:t>。</w:t>
            </w:r>
          </w:p>
        </w:tc>
      </w:tr>
      <w:tr w14:paraId="74158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3376E0CE">
            <w:pPr>
              <w:spacing w:line="380" w:lineRule="exact"/>
              <w:jc w:val="center"/>
              <w:rPr>
                <w:rFonts w:ascii="宋体" w:hAnsi="宋体" w:cs="宋体"/>
                <w:color w:val="000000"/>
                <w:szCs w:val="21"/>
              </w:rPr>
            </w:pPr>
            <w:r>
              <w:rPr>
                <w:rFonts w:hint="eastAsia" w:ascii="宋体" w:hAnsi="宋体" w:cs="宋体"/>
                <w:color w:val="000000"/>
                <w:szCs w:val="21"/>
              </w:rPr>
              <w:t>11.5</w:t>
            </w:r>
          </w:p>
        </w:tc>
        <w:tc>
          <w:tcPr>
            <w:tcW w:w="1742" w:type="dxa"/>
            <w:tcBorders>
              <w:top w:val="single" w:color="auto" w:sz="4" w:space="0"/>
              <w:left w:val="single" w:color="auto" w:sz="4" w:space="0"/>
              <w:bottom w:val="single" w:color="auto" w:sz="4" w:space="0"/>
              <w:right w:val="single" w:color="auto" w:sz="4" w:space="0"/>
            </w:tcBorders>
            <w:vAlign w:val="center"/>
          </w:tcPr>
          <w:p w14:paraId="575EC4FE">
            <w:pPr>
              <w:spacing w:line="380" w:lineRule="exact"/>
              <w:rPr>
                <w:rFonts w:ascii="宋体" w:hAnsi="宋体" w:cs="宋体"/>
                <w:color w:val="000000"/>
                <w:szCs w:val="21"/>
              </w:rPr>
            </w:pPr>
            <w:r>
              <w:rPr>
                <w:rFonts w:hint="eastAsia" w:ascii="宋体" w:hAnsi="宋体" w:cs="宋体"/>
                <w:color w:val="000000"/>
                <w:szCs w:val="21"/>
              </w:rPr>
              <w:t>是否组织标前答疑会</w:t>
            </w:r>
          </w:p>
        </w:tc>
        <w:tc>
          <w:tcPr>
            <w:tcW w:w="7609" w:type="dxa"/>
            <w:tcBorders>
              <w:top w:val="single" w:color="auto" w:sz="4" w:space="0"/>
              <w:left w:val="single" w:color="auto" w:sz="4" w:space="0"/>
              <w:bottom w:val="single" w:color="auto" w:sz="4" w:space="0"/>
              <w:right w:val="single" w:color="auto" w:sz="4" w:space="0"/>
            </w:tcBorders>
            <w:vAlign w:val="center"/>
          </w:tcPr>
          <w:p w14:paraId="2AFC9878">
            <w:pPr>
              <w:snapToGrid w:val="0"/>
              <w:spacing w:line="380" w:lineRule="exact"/>
              <w:rPr>
                <w:rFonts w:ascii="宋体" w:hAnsi="宋体" w:cs="宋体"/>
                <w:color w:val="000000"/>
                <w:szCs w:val="21"/>
              </w:rPr>
            </w:pPr>
            <w:r>
              <w:rPr>
                <w:rFonts w:hint="eastAsia" w:ascii="宋体" w:hAnsi="宋体" w:cs="宋体"/>
                <w:color w:val="000000"/>
                <w:szCs w:val="21"/>
              </w:rPr>
              <w:t>☑不组织召开开标前答疑会</w:t>
            </w:r>
          </w:p>
          <w:p w14:paraId="0C8687BF">
            <w:pPr>
              <w:snapToGrid w:val="0"/>
              <w:spacing w:line="380" w:lineRule="exact"/>
              <w:rPr>
                <w:rFonts w:ascii="宋体" w:hAnsi="宋体" w:cs="宋体"/>
                <w:color w:val="000000"/>
                <w:szCs w:val="21"/>
              </w:rPr>
            </w:pPr>
            <w:r>
              <w:rPr>
                <w:rFonts w:hint="eastAsia" w:ascii="宋体" w:hAnsi="宋体" w:cs="宋体"/>
                <w:color w:val="000000"/>
                <w:szCs w:val="21"/>
              </w:rPr>
              <w:t>□组织召开开标前答疑会</w:t>
            </w:r>
          </w:p>
          <w:p w14:paraId="0D504839">
            <w:pPr>
              <w:snapToGrid w:val="0"/>
              <w:spacing w:line="380" w:lineRule="exact"/>
              <w:rPr>
                <w:rFonts w:ascii="宋体" w:hAnsi="宋体" w:cs="宋体"/>
                <w:color w:val="000000"/>
                <w:szCs w:val="21"/>
                <w:u w:val="single"/>
              </w:rPr>
            </w:pPr>
            <w:r>
              <w:rPr>
                <w:rFonts w:hint="eastAsia" w:ascii="宋体" w:hAnsi="宋体" w:cs="宋体"/>
                <w:color w:val="000000"/>
                <w:szCs w:val="21"/>
              </w:rPr>
              <w:t>会议开始时间：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r>
              <w:rPr>
                <w:rFonts w:hint="eastAsia" w:ascii="宋体" w:hAnsi="宋体" w:cs="宋体"/>
                <w:color w:val="000000"/>
                <w:szCs w:val="21"/>
                <w:u w:val="single"/>
              </w:rPr>
              <w:t xml:space="preserve">  </w:t>
            </w:r>
            <w:r>
              <w:rPr>
                <w:rFonts w:hint="eastAsia" w:ascii="宋体" w:hAnsi="宋体" w:cs="宋体"/>
                <w:color w:val="000000"/>
                <w:szCs w:val="21"/>
              </w:rPr>
              <w:t>时</w:t>
            </w:r>
            <w:r>
              <w:rPr>
                <w:rFonts w:hint="eastAsia" w:ascii="宋体" w:hAnsi="宋体" w:cs="宋体"/>
                <w:color w:val="000000"/>
                <w:szCs w:val="21"/>
                <w:u w:val="single"/>
              </w:rPr>
              <w:t xml:space="preserve">  </w:t>
            </w:r>
            <w:r>
              <w:rPr>
                <w:rFonts w:hint="eastAsia" w:ascii="宋体" w:hAnsi="宋体" w:cs="宋体"/>
                <w:color w:val="000000"/>
                <w:szCs w:val="21"/>
              </w:rPr>
              <w:t>分，逾期后果自负。会议地点：</w:t>
            </w:r>
            <w:r>
              <w:rPr>
                <w:rFonts w:hint="eastAsia" w:ascii="宋体" w:hAnsi="宋体" w:cs="宋体"/>
                <w:color w:val="000000"/>
                <w:szCs w:val="21"/>
                <w:u w:val="single"/>
              </w:rPr>
              <w:t xml:space="preserve">              </w:t>
            </w:r>
          </w:p>
        </w:tc>
      </w:tr>
      <w:tr w14:paraId="00379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9" w:type="dxa"/>
            <w:tcBorders>
              <w:top w:val="nil"/>
              <w:left w:val="single" w:color="auto" w:sz="4" w:space="0"/>
              <w:bottom w:val="nil"/>
              <w:right w:val="single" w:color="auto" w:sz="4" w:space="0"/>
            </w:tcBorders>
            <w:vAlign w:val="center"/>
          </w:tcPr>
          <w:p w14:paraId="5489BF74">
            <w:pPr>
              <w:spacing w:line="380" w:lineRule="exact"/>
              <w:jc w:val="center"/>
              <w:rPr>
                <w:rFonts w:ascii="宋体" w:hAnsi="宋体" w:cs="宋体"/>
                <w:color w:val="000000"/>
                <w:szCs w:val="21"/>
              </w:rPr>
            </w:pPr>
            <w:r>
              <w:rPr>
                <w:rFonts w:hint="eastAsia" w:ascii="宋体" w:hAnsi="宋体" w:cs="宋体"/>
                <w:color w:val="000000"/>
                <w:szCs w:val="21"/>
              </w:rPr>
              <w:t>13.1</w:t>
            </w:r>
          </w:p>
        </w:tc>
        <w:tc>
          <w:tcPr>
            <w:tcW w:w="1742" w:type="dxa"/>
            <w:tcBorders>
              <w:top w:val="single" w:color="auto" w:sz="4" w:space="0"/>
              <w:left w:val="single" w:color="auto" w:sz="4" w:space="0"/>
              <w:bottom w:val="single" w:color="auto" w:sz="4" w:space="0"/>
              <w:right w:val="single" w:color="auto" w:sz="4" w:space="0"/>
            </w:tcBorders>
            <w:vAlign w:val="center"/>
          </w:tcPr>
          <w:p w14:paraId="134B78A5">
            <w:pPr>
              <w:snapToGrid w:val="0"/>
              <w:spacing w:line="380" w:lineRule="exact"/>
              <w:jc w:val="left"/>
              <w:rPr>
                <w:rFonts w:ascii="宋体" w:hAnsi="宋体" w:cs="宋体"/>
                <w:color w:val="000000"/>
                <w:szCs w:val="21"/>
              </w:rPr>
            </w:pPr>
            <w:bookmarkStart w:id="89" w:name="_13.2"/>
            <w:bookmarkEnd w:id="89"/>
            <w:r>
              <w:rPr>
                <w:rFonts w:hint="eastAsia" w:ascii="宋体" w:hAnsi="宋体" w:cs="宋体"/>
                <w:color w:val="000000"/>
                <w:szCs w:val="21"/>
              </w:rPr>
              <w:t>资格文件组成</w:t>
            </w:r>
          </w:p>
        </w:tc>
        <w:tc>
          <w:tcPr>
            <w:tcW w:w="7609" w:type="dxa"/>
            <w:tcBorders>
              <w:top w:val="single" w:color="auto" w:sz="4" w:space="0"/>
              <w:left w:val="single" w:color="auto" w:sz="4" w:space="0"/>
              <w:bottom w:val="single" w:color="auto" w:sz="4" w:space="0"/>
              <w:right w:val="single" w:color="auto" w:sz="4" w:space="0"/>
            </w:tcBorders>
            <w:vAlign w:val="center"/>
          </w:tcPr>
          <w:p w14:paraId="5868A478">
            <w:pPr>
              <w:snapToGrid w:val="0"/>
              <w:spacing w:line="360" w:lineRule="auto"/>
              <w:jc w:val="left"/>
              <w:rPr>
                <w:rFonts w:ascii="宋体" w:hAnsi="宋体" w:cs="宋体"/>
                <w:color w:val="000000"/>
                <w:szCs w:val="21"/>
              </w:rPr>
            </w:pPr>
            <w:r>
              <w:rPr>
                <w:rFonts w:hint="eastAsia" w:ascii="宋体" w:hAnsi="宋体" w:cs="宋体"/>
                <w:color w:val="000000"/>
                <w:szCs w:val="21"/>
              </w:rPr>
              <w:t>1、投标人为法人或者其他组织的，提供营业执照等证明文件复印件（如营业执照或者事业单位法人证书或者</w:t>
            </w:r>
            <w:r>
              <w:rPr>
                <w:rStyle w:val="32"/>
                <w:rFonts w:hint="eastAsia"/>
                <w:sz w:val="21"/>
                <w:szCs w:val="21"/>
              </w:rPr>
              <w:t>执业许可证</w:t>
            </w:r>
            <w:r>
              <w:rPr>
                <w:rFonts w:hint="eastAsia" w:ascii="宋体" w:hAnsi="宋体" w:cs="宋体"/>
                <w:color w:val="000000"/>
                <w:szCs w:val="21"/>
              </w:rPr>
              <w:t>等），投标人为自然人的，提供有效身份证正反面复印件</w:t>
            </w:r>
            <w:r>
              <w:rPr>
                <w:rFonts w:hint="eastAsia" w:ascii="宋体" w:hAnsi="宋体" w:cs="宋体"/>
                <w:szCs w:val="21"/>
              </w:rPr>
              <w:t>；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000000"/>
                <w:szCs w:val="21"/>
              </w:rPr>
              <w:t>授权委托书、法人营业执照及分支机构营业执照的复印件。（</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5C36421E">
            <w:pPr>
              <w:spacing w:line="360" w:lineRule="auto"/>
              <w:rPr>
                <w:rFonts w:ascii="宋体" w:hAnsi="宋体" w:cs="宋体"/>
                <w:color w:val="000000"/>
                <w:szCs w:val="21"/>
              </w:rPr>
            </w:pPr>
            <w:r>
              <w:rPr>
                <w:rFonts w:hint="eastAsia" w:ascii="宋体" w:hAnsi="宋体" w:cs="宋体"/>
                <w:color w:val="000000"/>
                <w:szCs w:val="21"/>
              </w:rPr>
              <w:t>2、投标人依法缴纳税收的相关材料（</w:t>
            </w:r>
            <w:r>
              <w:rPr>
                <w:rFonts w:hint="eastAsia" w:ascii="宋体" w:hAnsi="宋体" w:cs="宋体"/>
                <w:szCs w:val="21"/>
              </w:rPr>
              <w:t>提供税款所属时期为2025年</w:t>
            </w:r>
            <w:r>
              <w:rPr>
                <w:rFonts w:hint="eastAsia" w:ascii="宋体" w:hAnsi="宋体" w:cs="宋体"/>
                <w:szCs w:val="21"/>
                <w:lang w:val="en-US" w:eastAsia="zh-CN"/>
              </w:rPr>
              <w:t>11</w:t>
            </w:r>
            <w:r>
              <w:rPr>
                <w:rFonts w:hint="eastAsia" w:ascii="宋体" w:hAnsi="宋体" w:cs="宋体"/>
                <w:szCs w:val="21"/>
              </w:rPr>
              <w:t>月至投标文件提交截止时间止的任意1个月的依法缴纳税收的凭据复印件；依法免税的投标人，必须提供相应文件证明其依法免税。从取得营业执照时间</w:t>
            </w:r>
            <w:r>
              <w:rPr>
                <w:rFonts w:hint="eastAsia" w:ascii="宋体" w:hAnsi="宋体" w:cs="宋体"/>
                <w:color w:val="000000"/>
                <w:szCs w:val="21"/>
              </w:rPr>
              <w:t>起到投标文件提交截止时间为止不足要求月数的，只需提供从取得营业执照起的依法缴纳税收相应证明文件）。（</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11B19CE5">
            <w:pPr>
              <w:snapToGrid w:val="0"/>
              <w:spacing w:line="360" w:lineRule="auto"/>
              <w:jc w:val="left"/>
              <w:rPr>
                <w:rFonts w:ascii="宋体" w:hAnsi="宋体" w:cs="宋体"/>
                <w:color w:val="000000"/>
                <w:szCs w:val="21"/>
              </w:rPr>
            </w:pPr>
            <w:r>
              <w:rPr>
                <w:rFonts w:hint="eastAsia" w:ascii="宋体" w:hAnsi="宋体" w:cs="宋体"/>
                <w:color w:val="000000"/>
                <w:szCs w:val="21"/>
              </w:rPr>
              <w:t>3、投标人依法缴纳社会保障资金的相关材料（</w:t>
            </w:r>
            <w:r>
              <w:rPr>
                <w:rFonts w:hint="eastAsia" w:ascii="宋体" w:hAnsi="宋体" w:cs="宋体"/>
                <w:szCs w:val="21"/>
              </w:rPr>
              <w:t>提供税款所属时期或缴费起始时间为2025年</w:t>
            </w:r>
            <w:r>
              <w:rPr>
                <w:rFonts w:hint="eastAsia" w:ascii="宋体" w:hAnsi="宋体" w:cs="宋体"/>
                <w:szCs w:val="21"/>
                <w:lang w:val="en-US" w:eastAsia="zh-CN"/>
              </w:rPr>
              <w:t>11</w:t>
            </w:r>
            <w:r>
              <w:rPr>
                <w:rFonts w:hint="eastAsia" w:ascii="宋体" w:hAnsi="宋体" w:cs="宋体"/>
                <w:szCs w:val="21"/>
              </w:rPr>
              <w:t>月至投标文件提交截止时间止的任意1个月的</w:t>
            </w:r>
            <w:r>
              <w:rPr>
                <w:rFonts w:hint="eastAsia" w:ascii="宋体" w:hAnsi="宋体" w:cs="宋体"/>
                <w:color w:val="000000"/>
                <w:szCs w:val="21"/>
              </w:rPr>
              <w:t>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39278FCF">
            <w:pPr>
              <w:snapToGrid w:val="0"/>
              <w:spacing w:line="360" w:lineRule="auto"/>
              <w:jc w:val="left"/>
              <w:rPr>
                <w:rFonts w:hint="eastAsia" w:ascii="宋体" w:hAnsi="宋体" w:cs="宋体"/>
                <w:color w:val="000000"/>
                <w:szCs w:val="21"/>
              </w:rPr>
            </w:pPr>
            <w:r>
              <w:rPr>
                <w:rFonts w:hint="eastAsia" w:ascii="宋体" w:hAnsi="宋体" w:cs="宋体"/>
                <w:color w:val="000000"/>
                <w:szCs w:val="21"/>
              </w:rPr>
              <w:t>4、投标人财务状况报告（提供2024或2025年度经审计的财务报告复印件或者截标时间前半年内至少一个月能反映财务状况的报表或者投标人自拟的截标时间前半年内至少一个月的财务情况说明）。（</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004462C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rPr>
              <w:t>5、</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eastAsia="zh-CN"/>
              </w:rPr>
              <w:t>：投标人须具有有效的保安服务许可证，提供有效的保安服务许可证复印件。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E69BEB3">
            <w:pPr>
              <w:snapToGrid w:val="0"/>
              <w:spacing w:line="360" w:lineRule="auto"/>
              <w:jc w:val="left"/>
              <w:rPr>
                <w:rFonts w:hint="eastAsia" w:ascii="宋体" w:hAnsi="宋体" w:eastAsia="宋体" w:cs="宋体"/>
                <w:color w:val="auto"/>
                <w:szCs w:val="21"/>
                <w:highlight w:val="none"/>
              </w:rPr>
            </w:pPr>
            <w:r>
              <w:rPr>
                <w:rFonts w:hint="eastAsia" w:ascii="Times New Roman" w:hAnsi="Times New Roman" w:eastAsia="宋体" w:cs="Times New Roman"/>
                <w:i w:val="0"/>
                <w:iCs w:val="0"/>
                <w:sz w:val="21"/>
                <w:szCs w:val="24"/>
                <w:lang w:val="en-US" w:eastAsia="zh-CN"/>
              </w:rPr>
              <w:t>6、</w:t>
            </w:r>
            <w:r>
              <w:rPr>
                <w:rFonts w:hint="eastAsia" w:ascii="Times New Roman" w:hAnsi="Times New Roman" w:eastAsia="宋体" w:cs="Times New Roman"/>
                <w:i w:val="0"/>
                <w:iCs w:val="0"/>
                <w:color w:val="auto"/>
                <w:sz w:val="21"/>
                <w:szCs w:val="24"/>
                <w:highlight w:val="none"/>
                <w:lang w:eastAsia="zh-CN"/>
              </w:rPr>
              <w:t>本项目为专门面向中小企业采购的项目</w:t>
            </w:r>
            <w:r>
              <w:rPr>
                <w:rFonts w:hint="eastAsia" w:ascii="Times New Roman" w:hAnsi="Times New Roman" w:cs="Times New Roman"/>
                <w:i w:val="0"/>
                <w:iCs w:val="0"/>
                <w:color w:val="auto"/>
                <w:sz w:val="21"/>
                <w:szCs w:val="24"/>
                <w:highlight w:val="none"/>
                <w:lang w:val="en-US" w:eastAsia="zh-CN"/>
              </w:rPr>
              <w:t>。投标人必须</w:t>
            </w:r>
            <w:r>
              <w:rPr>
                <w:rFonts w:hint="eastAsia" w:ascii="Times New Roman" w:hAnsi="Times New Roman" w:eastAsia="宋体" w:cs="Times New Roman"/>
                <w:i w:val="0"/>
                <w:iCs w:val="0"/>
                <w:color w:val="auto"/>
                <w:sz w:val="21"/>
                <w:szCs w:val="24"/>
                <w:highlight w:val="none"/>
                <w:lang w:eastAsia="zh-CN"/>
              </w:rPr>
              <w:t>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b/>
                <w:i w:val="0"/>
                <w:iCs w:val="0"/>
                <w:color w:val="auto"/>
                <w:sz w:val="21"/>
                <w:szCs w:val="21"/>
                <w:highlight w:val="none"/>
              </w:rPr>
              <w:t>（必须提供，否则作无效投标处理）</w:t>
            </w:r>
          </w:p>
          <w:p w14:paraId="04564A8D">
            <w:pPr>
              <w:snapToGrid w:val="0"/>
              <w:spacing w:line="360" w:lineRule="auto"/>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szCs w:val="21"/>
              </w:rPr>
              <w:t>投标人直接控股股东信息表</w:t>
            </w:r>
            <w:r>
              <w:rPr>
                <w:rFonts w:hint="eastAsia" w:ascii="宋体" w:hAnsi="宋体" w:cs="宋体"/>
                <w:color w:val="000000"/>
                <w:szCs w:val="21"/>
              </w:rPr>
              <w:t>（格式后附）</w:t>
            </w:r>
            <w:r>
              <w:rPr>
                <w:rFonts w:hint="eastAsia" w:ascii="宋体" w:hAnsi="宋体"/>
                <w:szCs w:val="21"/>
              </w:rPr>
              <w:t>。（</w:t>
            </w:r>
            <w:r>
              <w:rPr>
                <w:rFonts w:hint="eastAsia" w:ascii="宋体" w:hAnsi="宋体"/>
                <w:b/>
                <w:szCs w:val="21"/>
              </w:rPr>
              <w:t>必须提供，否则作无效投标处理</w:t>
            </w:r>
            <w:r>
              <w:rPr>
                <w:rFonts w:hint="eastAsia" w:ascii="宋体" w:hAnsi="宋体"/>
                <w:szCs w:val="21"/>
              </w:rPr>
              <w:t>）</w:t>
            </w:r>
          </w:p>
          <w:p w14:paraId="0BEE1AAA">
            <w:pPr>
              <w:snapToGrid w:val="0"/>
              <w:spacing w:line="360" w:lineRule="auto"/>
              <w:jc w:val="left"/>
              <w:rPr>
                <w:rFonts w:ascii="宋体" w:hAnsi="宋体"/>
                <w:szCs w:val="21"/>
              </w:rPr>
            </w:pPr>
            <w:r>
              <w:rPr>
                <w:rFonts w:hint="eastAsia" w:ascii="宋体" w:hAnsi="宋体"/>
                <w:szCs w:val="21"/>
                <w:lang w:val="en-US" w:eastAsia="zh-CN"/>
              </w:rPr>
              <w:t>8</w:t>
            </w:r>
            <w:r>
              <w:rPr>
                <w:rFonts w:hint="eastAsia" w:ascii="宋体" w:hAnsi="宋体"/>
                <w:szCs w:val="21"/>
              </w:rPr>
              <w:t>、投标人直接管理关系信息表</w:t>
            </w:r>
            <w:r>
              <w:rPr>
                <w:rFonts w:hint="eastAsia" w:ascii="宋体" w:hAnsi="宋体" w:cs="宋体"/>
                <w:color w:val="000000"/>
                <w:szCs w:val="21"/>
              </w:rPr>
              <w:t>（格式后附）</w:t>
            </w:r>
            <w:r>
              <w:rPr>
                <w:rFonts w:hint="eastAsia" w:ascii="宋体" w:hAnsi="宋体"/>
                <w:szCs w:val="21"/>
              </w:rPr>
              <w:t>。</w:t>
            </w:r>
            <w:r>
              <w:rPr>
                <w:rFonts w:hint="eastAsia" w:ascii="宋体" w:hAnsi="宋体" w:cs="宋体"/>
                <w:szCs w:val="21"/>
              </w:rPr>
              <w:t>（</w:t>
            </w:r>
            <w:r>
              <w:rPr>
                <w:rFonts w:hint="eastAsia" w:ascii="宋体" w:hAnsi="宋体" w:cs="宋体"/>
                <w:b/>
                <w:szCs w:val="21"/>
              </w:rPr>
              <w:t>必须提供，否则作无效投标处理</w:t>
            </w:r>
            <w:r>
              <w:rPr>
                <w:rFonts w:hint="eastAsia" w:ascii="宋体" w:hAnsi="宋体" w:cs="宋体"/>
                <w:szCs w:val="21"/>
              </w:rPr>
              <w:t>）</w:t>
            </w:r>
          </w:p>
          <w:p w14:paraId="3D95E1E1">
            <w:pPr>
              <w:snapToGrid w:val="0"/>
              <w:spacing w:line="360" w:lineRule="auto"/>
              <w:jc w:val="left"/>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、声明函（格式后附）。（</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654F003A">
            <w:pPr>
              <w:snapToGrid w:val="0"/>
              <w:spacing w:line="360" w:lineRule="auto"/>
              <w:jc w:val="left"/>
              <w:rPr>
                <w:rFonts w:ascii="宋体" w:hAnsi="宋体" w:cs="宋体"/>
                <w:b/>
                <w:bCs/>
                <w:color w:val="000000"/>
                <w:szCs w:val="21"/>
              </w:rPr>
            </w:pPr>
            <w:r>
              <w:rPr>
                <w:rFonts w:hint="eastAsia" w:ascii="宋体" w:hAnsi="宋体"/>
                <w:szCs w:val="21"/>
                <w:lang w:val="en-US" w:eastAsia="zh-CN"/>
              </w:rPr>
              <w:t>10</w:t>
            </w:r>
            <w:r>
              <w:rPr>
                <w:rFonts w:hint="eastAsia" w:ascii="宋体" w:hAnsi="宋体"/>
                <w:szCs w:val="21"/>
              </w:rPr>
              <w:t>、联合体投标协议书（格式后附）。</w:t>
            </w:r>
            <w:r>
              <w:rPr>
                <w:rFonts w:hint="eastAsia" w:ascii="宋体" w:hAnsi="宋体"/>
                <w:b/>
                <w:bCs/>
                <w:szCs w:val="21"/>
              </w:rPr>
              <w:t>（联合体投标时必须提供，否则作无效投标处理）</w:t>
            </w:r>
          </w:p>
          <w:p w14:paraId="6220D50D">
            <w:pPr>
              <w:snapToGrid w:val="0"/>
              <w:spacing w:line="360" w:lineRule="auto"/>
              <w:jc w:val="left"/>
              <w:rPr>
                <w:rFonts w:ascii="宋体" w:hAnsi="宋体" w:cs="宋体"/>
                <w:color w:val="000000"/>
                <w:szCs w:val="21"/>
              </w:rPr>
            </w:pPr>
            <w:r>
              <w:rPr>
                <w:rFonts w:hint="eastAsia" w:ascii="宋体" w:hAnsi="宋体" w:cs="宋体"/>
                <w:color w:val="000000"/>
                <w:szCs w:val="21"/>
                <w:lang w:val="en-US" w:eastAsia="zh-CN"/>
              </w:rPr>
              <w:t>11</w:t>
            </w:r>
            <w:r>
              <w:rPr>
                <w:rFonts w:hint="eastAsia" w:ascii="宋体" w:hAnsi="宋体" w:cs="宋体"/>
                <w:color w:val="000000"/>
                <w:szCs w:val="21"/>
              </w:rPr>
              <w:t>、除招标文件规定必须提供以外，投标人认为需要提供的其他证明材料（格式自拟）。</w:t>
            </w:r>
          </w:p>
          <w:p w14:paraId="7C100500">
            <w:pPr>
              <w:snapToGrid w:val="0"/>
              <w:spacing w:line="360" w:lineRule="auto"/>
              <w:jc w:val="left"/>
              <w:rPr>
                <w:rFonts w:ascii="宋体" w:hAnsi="宋体" w:cs="宋体"/>
                <w:b/>
                <w:bCs/>
                <w:color w:val="000000"/>
                <w:szCs w:val="21"/>
              </w:rPr>
            </w:pPr>
            <w:r>
              <w:rPr>
                <w:rFonts w:hint="eastAsia" w:ascii="宋体" w:hAnsi="宋体" w:cs="宋体"/>
                <w:b/>
                <w:bCs/>
                <w:color w:val="000000"/>
                <w:szCs w:val="21"/>
              </w:rPr>
              <w:t>注：</w:t>
            </w:r>
            <w:r>
              <w:rPr>
                <w:rFonts w:hint="eastAsia" w:ascii="宋体" w:hAnsi="宋体" w:cs="宋体"/>
                <w:color w:val="000000"/>
                <w:szCs w:val="21"/>
              </w:rPr>
              <w:t xml:space="preserve"> </w:t>
            </w:r>
            <w:r>
              <w:rPr>
                <w:rFonts w:hint="eastAsia" w:ascii="宋体" w:hAnsi="宋体" w:cs="宋体"/>
                <w:b/>
                <w:bCs/>
                <w:color w:val="000000"/>
                <w:szCs w:val="21"/>
              </w:rPr>
              <w:t>以上标明“必须提供”的材料</w:t>
            </w:r>
            <w:r>
              <w:rPr>
                <w:rFonts w:hint="eastAsia" w:ascii="宋体" w:hAnsi="宋体" w:cs="宋体"/>
                <w:b/>
                <w:szCs w:val="21"/>
              </w:rPr>
              <w:t>属于复印件的扫描件的</w:t>
            </w:r>
            <w:r>
              <w:rPr>
                <w:rFonts w:hint="eastAsia" w:ascii="宋体" w:hAnsi="宋体" w:cs="宋体"/>
                <w:b/>
                <w:bCs/>
                <w:color w:val="000000"/>
                <w:szCs w:val="21"/>
              </w:rPr>
              <w:t>，必须加盖投标人公章，否则</w:t>
            </w:r>
            <w:r>
              <w:rPr>
                <w:rFonts w:hint="eastAsia" w:ascii="宋体" w:hAnsi="宋体" w:cs="宋体"/>
                <w:b/>
                <w:color w:val="000000"/>
                <w:szCs w:val="21"/>
              </w:rPr>
              <w:t>作无效投标处理。</w:t>
            </w:r>
          </w:p>
        </w:tc>
      </w:tr>
      <w:tr w14:paraId="5A7E6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nil"/>
              <w:left w:val="single" w:color="auto" w:sz="4" w:space="0"/>
              <w:bottom w:val="nil"/>
              <w:right w:val="single" w:color="auto" w:sz="4" w:space="0"/>
            </w:tcBorders>
            <w:vAlign w:val="center"/>
          </w:tcPr>
          <w:p w14:paraId="49368957">
            <w:pPr>
              <w:spacing w:line="380" w:lineRule="exac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221885E">
            <w:pPr>
              <w:snapToGrid w:val="0"/>
              <w:spacing w:line="380" w:lineRule="exact"/>
              <w:jc w:val="left"/>
              <w:rPr>
                <w:rFonts w:ascii="宋体" w:hAnsi="宋体" w:cs="宋体"/>
                <w:color w:val="000000"/>
                <w:szCs w:val="21"/>
              </w:rPr>
            </w:pPr>
            <w:bookmarkStart w:id="90" w:name="_13.3"/>
            <w:bookmarkEnd w:id="90"/>
            <w:r>
              <w:rPr>
                <w:rFonts w:hint="eastAsia" w:ascii="宋体" w:hAnsi="宋体" w:cs="宋体"/>
                <w:color w:val="000000"/>
                <w:szCs w:val="21"/>
              </w:rPr>
              <w:t>商务文件组成</w:t>
            </w:r>
          </w:p>
        </w:tc>
        <w:tc>
          <w:tcPr>
            <w:tcW w:w="7609" w:type="dxa"/>
            <w:tcBorders>
              <w:top w:val="single" w:color="auto" w:sz="4" w:space="0"/>
              <w:left w:val="single" w:color="auto" w:sz="4" w:space="0"/>
              <w:bottom w:val="single" w:color="auto" w:sz="4" w:space="0"/>
              <w:right w:val="single" w:color="auto" w:sz="4" w:space="0"/>
            </w:tcBorders>
            <w:vAlign w:val="center"/>
          </w:tcPr>
          <w:p w14:paraId="78D78829">
            <w:pPr>
              <w:snapToGrid w:val="0"/>
              <w:spacing w:line="380" w:lineRule="exact"/>
              <w:jc w:val="left"/>
              <w:rPr>
                <w:rFonts w:ascii="宋体" w:hAnsi="宋体" w:cs="宋体"/>
                <w:color w:val="000000"/>
                <w:szCs w:val="21"/>
              </w:rPr>
            </w:pPr>
            <w:r>
              <w:rPr>
                <w:rFonts w:hint="eastAsia" w:ascii="宋体" w:hAnsi="宋体" w:cs="宋体"/>
                <w:color w:val="000000"/>
                <w:szCs w:val="21"/>
              </w:rPr>
              <w:t>1、无串通投标行为的承诺函（格式后附）；（</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499B2AA5">
            <w:pPr>
              <w:snapToGrid w:val="0"/>
              <w:spacing w:line="380" w:lineRule="exact"/>
              <w:jc w:val="left"/>
              <w:rPr>
                <w:rFonts w:ascii="宋体" w:hAnsi="宋体" w:cs="宋体"/>
                <w:color w:val="000000"/>
                <w:szCs w:val="21"/>
              </w:rPr>
            </w:pPr>
            <w:r>
              <w:rPr>
                <w:rFonts w:hint="eastAsia" w:ascii="宋体" w:hAnsi="宋体" w:cs="宋体"/>
                <w:color w:val="000000"/>
                <w:szCs w:val="21"/>
              </w:rPr>
              <w:t>2、法定代表人身份证明及法定代表人有效身份证正反面复印件（格式后附）；（</w:t>
            </w:r>
            <w:r>
              <w:rPr>
                <w:rFonts w:hint="eastAsia" w:ascii="宋体" w:hAnsi="宋体" w:cs="宋体"/>
                <w:b/>
                <w:bCs/>
                <w:color w:val="000000"/>
                <w:szCs w:val="21"/>
              </w:rPr>
              <w:t>除自然人投标外</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72144835">
            <w:pPr>
              <w:snapToGrid w:val="0"/>
              <w:spacing w:line="380" w:lineRule="exact"/>
              <w:jc w:val="left"/>
              <w:rPr>
                <w:rFonts w:ascii="宋体" w:hAnsi="宋体" w:cs="宋体"/>
                <w:color w:val="000000"/>
                <w:szCs w:val="21"/>
              </w:rPr>
            </w:pPr>
            <w:r>
              <w:rPr>
                <w:rFonts w:hint="eastAsia" w:ascii="宋体" w:hAnsi="宋体" w:cs="宋体"/>
                <w:color w:val="000000"/>
                <w:szCs w:val="21"/>
              </w:rPr>
              <w:t>3、法定代表人授权委托书及委托代理人有效身份证正反面复印件（格式后附）；（</w:t>
            </w:r>
            <w:r>
              <w:rPr>
                <w:rFonts w:hint="eastAsia" w:ascii="宋体" w:hAnsi="宋体" w:cs="宋体"/>
                <w:b/>
                <w:color w:val="000000"/>
                <w:szCs w:val="21"/>
              </w:rPr>
              <w:t>委托时必须提供，否则作无效投标处理</w:t>
            </w:r>
            <w:r>
              <w:rPr>
                <w:rFonts w:hint="eastAsia" w:ascii="宋体" w:hAnsi="宋体" w:cs="宋体"/>
                <w:color w:val="000000"/>
                <w:szCs w:val="21"/>
              </w:rPr>
              <w:t>）</w:t>
            </w:r>
          </w:p>
          <w:p w14:paraId="2B68B49A">
            <w:pPr>
              <w:snapToGrid w:val="0"/>
              <w:spacing w:line="380" w:lineRule="exact"/>
              <w:jc w:val="left"/>
              <w:rPr>
                <w:rFonts w:ascii="宋体" w:hAnsi="宋体" w:cs="宋体"/>
                <w:color w:val="000000"/>
                <w:szCs w:val="21"/>
              </w:rPr>
            </w:pPr>
            <w:r>
              <w:rPr>
                <w:rFonts w:hint="eastAsia" w:ascii="宋体" w:hAnsi="宋体" w:cs="宋体"/>
                <w:color w:val="000000"/>
                <w:szCs w:val="21"/>
              </w:rPr>
              <w:t>4、商务条款偏离表（格式后附）；（</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0667D754">
            <w:pPr>
              <w:snapToGrid w:val="0"/>
              <w:spacing w:line="380" w:lineRule="exact"/>
              <w:jc w:val="left"/>
              <w:rPr>
                <w:rFonts w:ascii="宋体" w:hAnsi="宋体" w:cs="宋体"/>
                <w:color w:val="000000"/>
                <w:szCs w:val="21"/>
              </w:rPr>
            </w:pPr>
            <w:r>
              <w:rPr>
                <w:rFonts w:hint="eastAsia" w:ascii="宋体" w:hAnsi="宋体" w:cs="宋体"/>
                <w:color w:val="000000"/>
                <w:szCs w:val="21"/>
              </w:rPr>
              <w:t>5、投标人情况介绍（格式自拟）；</w:t>
            </w:r>
          </w:p>
          <w:p w14:paraId="349947DB">
            <w:pPr>
              <w:snapToGrid w:val="0"/>
              <w:spacing w:line="380" w:lineRule="exact"/>
              <w:jc w:val="left"/>
              <w:rPr>
                <w:rFonts w:ascii="宋体" w:hAnsi="宋体" w:cs="宋体"/>
                <w:color w:val="000000"/>
                <w:szCs w:val="21"/>
              </w:rPr>
            </w:pPr>
            <w:r>
              <w:rPr>
                <w:rFonts w:hint="eastAsia" w:ascii="宋体" w:hAnsi="宋体" w:cs="宋体"/>
                <w:color w:val="000000"/>
                <w:szCs w:val="21"/>
              </w:rPr>
              <w:t>6、除招标文件规定必须提供以外，投标人认为需要提供的其他证明材料（格式自拟）。（投标人根据“第二章 采购需求”及“第四章 评标方法和评标标准”提供有关证明材料）。</w:t>
            </w:r>
          </w:p>
          <w:p w14:paraId="0DAFEE3B">
            <w:pPr>
              <w:snapToGrid w:val="0"/>
              <w:spacing w:line="380" w:lineRule="exact"/>
              <w:jc w:val="left"/>
              <w:rPr>
                <w:rFonts w:ascii="宋体" w:hAnsi="宋体" w:cs="宋体"/>
                <w:b/>
                <w:bCs/>
                <w:color w:val="000000"/>
                <w:szCs w:val="21"/>
              </w:rPr>
            </w:pPr>
            <w:r>
              <w:rPr>
                <w:rFonts w:hint="eastAsia" w:ascii="宋体" w:hAnsi="宋体" w:cs="宋体"/>
                <w:b/>
                <w:bCs/>
                <w:color w:val="000000"/>
                <w:szCs w:val="21"/>
              </w:rPr>
              <w:t>注： 1.法定代表人授权委托书必须由法定代表人及委托代理人签字，并加盖投标人公章，否则作无效投标处理。</w:t>
            </w:r>
          </w:p>
          <w:p w14:paraId="632115F9">
            <w:pPr>
              <w:snapToGrid w:val="0"/>
              <w:spacing w:line="380" w:lineRule="exact"/>
              <w:ind w:firstLine="422" w:firstLineChars="200"/>
              <w:jc w:val="left"/>
              <w:rPr>
                <w:rFonts w:ascii="宋体" w:hAnsi="宋体" w:cs="宋体"/>
                <w:b/>
                <w:color w:val="000000"/>
                <w:szCs w:val="21"/>
              </w:rPr>
            </w:pPr>
            <w:r>
              <w:rPr>
                <w:rFonts w:hint="eastAsia" w:ascii="宋体" w:hAnsi="宋体" w:cs="宋体"/>
                <w:b/>
                <w:bCs/>
                <w:color w:val="000000"/>
                <w:szCs w:val="21"/>
              </w:rPr>
              <w:t>2.</w:t>
            </w:r>
            <w:r>
              <w:rPr>
                <w:rFonts w:hint="eastAsia" w:ascii="宋体" w:hAnsi="宋体" w:cs="宋体"/>
                <w:color w:val="000000"/>
                <w:szCs w:val="21"/>
              </w:rPr>
              <w:t xml:space="preserve"> </w:t>
            </w:r>
            <w:r>
              <w:rPr>
                <w:rFonts w:hint="eastAsia" w:ascii="宋体" w:hAnsi="宋体" w:cs="宋体"/>
                <w:b/>
                <w:bCs/>
                <w:color w:val="000000"/>
                <w:szCs w:val="21"/>
              </w:rPr>
              <w:t>以上标明“必须提供”的材料</w:t>
            </w:r>
            <w:r>
              <w:rPr>
                <w:rFonts w:hint="eastAsia" w:ascii="宋体" w:hAnsi="宋体" w:cs="宋体"/>
                <w:b/>
                <w:szCs w:val="21"/>
              </w:rPr>
              <w:t>属于复印件的扫描件的</w:t>
            </w:r>
            <w:r>
              <w:rPr>
                <w:rFonts w:hint="eastAsia" w:ascii="宋体" w:hAnsi="宋体" w:cs="宋体"/>
                <w:b/>
                <w:bCs/>
                <w:color w:val="000000"/>
                <w:szCs w:val="21"/>
              </w:rPr>
              <w:t>，必须加盖投标人公章，否则</w:t>
            </w:r>
            <w:r>
              <w:rPr>
                <w:rFonts w:hint="eastAsia" w:ascii="宋体" w:hAnsi="宋体" w:cs="宋体"/>
                <w:b/>
                <w:color w:val="000000"/>
                <w:szCs w:val="21"/>
              </w:rPr>
              <w:t>作无效投标处理</w:t>
            </w:r>
            <w:r>
              <w:rPr>
                <w:rFonts w:hint="eastAsia" w:ascii="宋体" w:hAnsi="宋体" w:cs="宋体"/>
                <w:b/>
                <w:bCs/>
                <w:color w:val="000000"/>
                <w:szCs w:val="21"/>
              </w:rPr>
              <w:t>。</w:t>
            </w:r>
          </w:p>
        </w:tc>
      </w:tr>
      <w:tr w14:paraId="79501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restart"/>
            <w:tcBorders>
              <w:top w:val="nil"/>
              <w:left w:val="single" w:color="auto" w:sz="4" w:space="0"/>
              <w:bottom w:val="single" w:color="auto" w:sz="4" w:space="0"/>
              <w:right w:val="single" w:color="auto" w:sz="4" w:space="0"/>
            </w:tcBorders>
            <w:vAlign w:val="center"/>
          </w:tcPr>
          <w:p w14:paraId="50E037FB">
            <w:pPr>
              <w:spacing w:line="380" w:lineRule="exac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18110355">
            <w:pPr>
              <w:snapToGrid w:val="0"/>
              <w:spacing w:line="380" w:lineRule="exact"/>
              <w:jc w:val="left"/>
              <w:rPr>
                <w:rFonts w:ascii="宋体" w:hAnsi="宋体" w:cs="宋体"/>
                <w:color w:val="000000"/>
                <w:szCs w:val="21"/>
              </w:rPr>
            </w:pPr>
            <w:bookmarkStart w:id="91" w:name="_13.4"/>
            <w:bookmarkEnd w:id="91"/>
            <w:r>
              <w:rPr>
                <w:rFonts w:hint="eastAsia" w:ascii="宋体" w:hAnsi="宋体" w:cs="宋体"/>
                <w:color w:val="000000"/>
                <w:szCs w:val="21"/>
              </w:rPr>
              <w:t>技术文件组成</w:t>
            </w:r>
          </w:p>
        </w:tc>
        <w:tc>
          <w:tcPr>
            <w:tcW w:w="7609" w:type="dxa"/>
            <w:tcBorders>
              <w:top w:val="single" w:color="auto" w:sz="4" w:space="0"/>
              <w:left w:val="single" w:color="auto" w:sz="4" w:space="0"/>
              <w:bottom w:val="single" w:color="auto" w:sz="4" w:space="0"/>
              <w:right w:val="single" w:color="auto" w:sz="4" w:space="0"/>
            </w:tcBorders>
            <w:vAlign w:val="center"/>
          </w:tcPr>
          <w:p w14:paraId="26E495B9">
            <w:pPr>
              <w:snapToGrid w:val="0"/>
              <w:spacing w:line="380" w:lineRule="exact"/>
              <w:jc w:val="left"/>
              <w:rPr>
                <w:rFonts w:ascii="宋体" w:hAnsi="宋体" w:cs="宋体"/>
                <w:color w:val="000000"/>
                <w:szCs w:val="21"/>
              </w:rPr>
            </w:pPr>
            <w:r>
              <w:rPr>
                <w:rFonts w:hint="eastAsia" w:ascii="宋体" w:hAnsi="宋体" w:cs="宋体"/>
                <w:color w:val="000000"/>
                <w:szCs w:val="21"/>
              </w:rPr>
              <w:t>1、服务要求偏离表（格式后附）（</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4978BAB0">
            <w:pPr>
              <w:snapToGrid w:val="0"/>
              <w:spacing w:line="380" w:lineRule="exact"/>
              <w:jc w:val="left"/>
              <w:rPr>
                <w:rFonts w:ascii="宋体" w:hAnsi="宋体" w:cs="宋体"/>
                <w:color w:val="000000"/>
                <w:szCs w:val="21"/>
              </w:rPr>
            </w:pPr>
            <w:r>
              <w:rPr>
                <w:rFonts w:hint="eastAsia" w:ascii="宋体" w:hAnsi="宋体" w:cs="宋体"/>
                <w:color w:val="000000"/>
                <w:szCs w:val="21"/>
              </w:rPr>
              <w:t>2、项目实施方案（</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7F1C453A">
            <w:pPr>
              <w:snapToGrid w:val="0"/>
              <w:spacing w:line="380" w:lineRule="exact"/>
              <w:jc w:val="left"/>
              <w:rPr>
                <w:rFonts w:ascii="宋体" w:hAnsi="宋体" w:cs="宋体"/>
                <w:color w:val="000000"/>
                <w:szCs w:val="21"/>
              </w:rPr>
            </w:pPr>
            <w:r>
              <w:rPr>
                <w:rFonts w:hint="eastAsia" w:ascii="宋体" w:hAnsi="宋体" w:cs="宋体"/>
                <w:color w:val="000000"/>
                <w:szCs w:val="21"/>
              </w:rPr>
              <w:t>3、项目实施人员一览表（</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4419F2BB">
            <w:pPr>
              <w:snapToGrid w:val="0"/>
              <w:spacing w:line="380" w:lineRule="exact"/>
              <w:jc w:val="left"/>
              <w:rPr>
                <w:rFonts w:ascii="宋体" w:hAnsi="宋体" w:cs="宋体"/>
                <w:bCs/>
                <w:color w:val="000000"/>
                <w:szCs w:val="21"/>
              </w:rPr>
            </w:pPr>
            <w:r>
              <w:rPr>
                <w:rFonts w:hint="eastAsia" w:ascii="宋体" w:hAnsi="宋体" w:cs="宋体"/>
                <w:color w:val="000000"/>
                <w:szCs w:val="21"/>
              </w:rPr>
              <w:t>4、除招标文件规定必须提供以外，投标人需要说明的其他文件和说明（格式自拟）。</w:t>
            </w:r>
          </w:p>
          <w:p w14:paraId="35109975">
            <w:pPr>
              <w:snapToGrid w:val="0"/>
              <w:spacing w:line="380" w:lineRule="exact"/>
              <w:jc w:val="left"/>
              <w:rPr>
                <w:rFonts w:ascii="宋体" w:hAnsi="宋体" w:cs="宋体"/>
                <w:b/>
                <w:bCs/>
                <w:color w:val="000000"/>
                <w:szCs w:val="21"/>
              </w:rPr>
            </w:pPr>
            <w:r>
              <w:rPr>
                <w:rFonts w:hint="eastAsia" w:ascii="宋体" w:hAnsi="宋体" w:cs="宋体"/>
                <w:b/>
                <w:bCs/>
                <w:color w:val="000000"/>
                <w:szCs w:val="21"/>
              </w:rPr>
              <w:t>注：以上标明“必须提供”的材料</w:t>
            </w:r>
            <w:r>
              <w:rPr>
                <w:rFonts w:hint="eastAsia" w:ascii="宋体" w:hAnsi="宋体" w:cs="宋体"/>
                <w:b/>
                <w:szCs w:val="21"/>
              </w:rPr>
              <w:t>属于复印件的扫描件的</w:t>
            </w:r>
            <w:r>
              <w:rPr>
                <w:rFonts w:hint="eastAsia" w:ascii="宋体" w:hAnsi="宋体" w:cs="宋体"/>
                <w:b/>
                <w:bCs/>
                <w:color w:val="000000"/>
                <w:szCs w:val="21"/>
              </w:rPr>
              <w:t>，必须加盖投标人公章，否则</w:t>
            </w:r>
            <w:r>
              <w:rPr>
                <w:rFonts w:hint="eastAsia" w:ascii="宋体" w:hAnsi="宋体" w:cs="宋体"/>
                <w:b/>
                <w:color w:val="000000"/>
                <w:szCs w:val="21"/>
              </w:rPr>
              <w:t>作无效投标处理</w:t>
            </w:r>
            <w:r>
              <w:rPr>
                <w:rFonts w:hint="eastAsia" w:ascii="宋体" w:hAnsi="宋体" w:cs="宋体"/>
                <w:b/>
                <w:bCs/>
                <w:color w:val="000000"/>
                <w:szCs w:val="21"/>
              </w:rPr>
              <w:t>。</w:t>
            </w:r>
          </w:p>
        </w:tc>
      </w:tr>
      <w:tr w14:paraId="734EA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continue"/>
            <w:tcBorders>
              <w:top w:val="nil"/>
              <w:left w:val="single" w:color="auto" w:sz="4" w:space="0"/>
              <w:bottom w:val="single" w:color="auto" w:sz="4" w:space="0"/>
              <w:right w:val="single" w:color="auto" w:sz="4" w:space="0"/>
            </w:tcBorders>
            <w:vAlign w:val="center"/>
          </w:tcPr>
          <w:p w14:paraId="02F45C98">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3E1FD22E">
            <w:pPr>
              <w:snapToGrid w:val="0"/>
              <w:spacing w:line="380" w:lineRule="exact"/>
              <w:jc w:val="left"/>
              <w:rPr>
                <w:rFonts w:ascii="宋体" w:hAnsi="宋体" w:cs="宋体"/>
                <w:color w:val="000000"/>
                <w:szCs w:val="21"/>
              </w:rPr>
            </w:pPr>
            <w:r>
              <w:rPr>
                <w:rFonts w:hint="eastAsia" w:ascii="宋体" w:hAnsi="宋体" w:cs="宋体"/>
                <w:color w:val="000000"/>
                <w:szCs w:val="21"/>
              </w:rPr>
              <w:t>报价文件组成</w:t>
            </w:r>
          </w:p>
        </w:tc>
        <w:tc>
          <w:tcPr>
            <w:tcW w:w="7609" w:type="dxa"/>
            <w:tcBorders>
              <w:top w:val="single" w:color="auto" w:sz="4" w:space="0"/>
              <w:left w:val="single" w:color="auto" w:sz="4" w:space="0"/>
              <w:bottom w:val="single" w:color="auto" w:sz="4" w:space="0"/>
              <w:right w:val="single" w:color="auto" w:sz="4" w:space="0"/>
            </w:tcBorders>
            <w:vAlign w:val="center"/>
          </w:tcPr>
          <w:p w14:paraId="2D311C50">
            <w:pPr>
              <w:tabs>
                <w:tab w:val="left" w:pos="459"/>
              </w:tabs>
              <w:snapToGrid w:val="0"/>
              <w:spacing w:line="360" w:lineRule="auto"/>
              <w:jc w:val="left"/>
              <w:rPr>
                <w:rFonts w:ascii="宋体" w:hAnsi="宋体" w:cs="宋体"/>
                <w:color w:val="000000"/>
                <w:szCs w:val="21"/>
              </w:rPr>
            </w:pPr>
            <w:r>
              <w:rPr>
                <w:rFonts w:hint="eastAsia" w:ascii="宋体" w:hAnsi="宋体" w:cs="宋体"/>
                <w:color w:val="000000"/>
                <w:szCs w:val="21"/>
              </w:rPr>
              <w:t>1、投标函（格式后附）；</w:t>
            </w:r>
            <w:r>
              <w:rPr>
                <w:rFonts w:hint="eastAsia" w:ascii="宋体" w:hAnsi="宋体" w:cs="宋体"/>
                <w:bCs/>
                <w:color w:val="000000"/>
                <w:szCs w:val="21"/>
              </w:rPr>
              <w:t>（</w:t>
            </w:r>
            <w:r>
              <w:rPr>
                <w:rFonts w:hint="eastAsia" w:ascii="宋体" w:hAnsi="宋体" w:cs="宋体"/>
                <w:b/>
                <w:color w:val="000000"/>
                <w:szCs w:val="21"/>
              </w:rPr>
              <w:t>必须提供，否则作无效投标处理</w:t>
            </w:r>
            <w:r>
              <w:rPr>
                <w:rFonts w:hint="eastAsia" w:ascii="宋体" w:hAnsi="宋体" w:cs="宋体"/>
                <w:bCs/>
                <w:color w:val="000000"/>
                <w:szCs w:val="21"/>
              </w:rPr>
              <w:t>）</w:t>
            </w:r>
          </w:p>
          <w:p w14:paraId="042BBF59">
            <w:pPr>
              <w:tabs>
                <w:tab w:val="left" w:pos="459"/>
              </w:tabs>
              <w:snapToGrid w:val="0"/>
              <w:spacing w:line="360" w:lineRule="auto"/>
              <w:jc w:val="left"/>
              <w:rPr>
                <w:rFonts w:ascii="宋体" w:hAnsi="宋体" w:cs="宋体"/>
                <w:color w:val="000000"/>
                <w:szCs w:val="21"/>
              </w:rPr>
            </w:pPr>
            <w:r>
              <w:rPr>
                <w:rFonts w:hint="eastAsia" w:ascii="宋体" w:hAnsi="宋体" w:cs="宋体"/>
                <w:color w:val="000000"/>
                <w:szCs w:val="21"/>
              </w:rPr>
              <w:t>2、开标一览表</w:t>
            </w:r>
            <w:r>
              <w:rPr>
                <w:rFonts w:hint="eastAsia"/>
                <w:szCs w:val="21"/>
              </w:rPr>
              <w:t>（格式后附）</w:t>
            </w:r>
            <w:r>
              <w:rPr>
                <w:rFonts w:hint="eastAsia" w:ascii="宋体" w:hAnsi="宋体" w:cs="宋体"/>
                <w:color w:val="000000"/>
                <w:szCs w:val="21"/>
              </w:rPr>
              <w:t>；（</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2BEE9A03">
            <w:pPr>
              <w:tabs>
                <w:tab w:val="left" w:pos="459"/>
              </w:tabs>
              <w:snapToGrid w:val="0"/>
              <w:spacing w:line="360" w:lineRule="auto"/>
              <w:jc w:val="left"/>
              <w:rPr>
                <w:rFonts w:ascii="宋体" w:hAnsi="宋体" w:cs="宋体"/>
                <w:color w:val="000000"/>
                <w:szCs w:val="21"/>
              </w:rPr>
            </w:pPr>
            <w:r>
              <w:rPr>
                <w:rFonts w:hint="eastAsia" w:ascii="宋体" w:hAnsi="宋体" w:cs="宋体"/>
                <w:color w:val="000000"/>
                <w:sz w:val="21"/>
                <w:szCs w:val="21"/>
              </w:rPr>
              <w:t>3</w:t>
            </w:r>
            <w:r>
              <w:rPr>
                <w:rFonts w:hint="eastAsia" w:ascii="宋体" w:hAnsi="宋体" w:cs="宋体"/>
                <w:color w:val="000000"/>
                <w:sz w:val="21"/>
                <w:szCs w:val="21"/>
                <w:lang w:eastAsia="zh-CN"/>
              </w:rPr>
              <w:t>、</w:t>
            </w:r>
            <w:r>
              <w:rPr>
                <w:rFonts w:hint="eastAsia" w:ascii="宋体" w:hAnsi="宋体" w:cs="宋体"/>
                <w:color w:val="000000"/>
                <w:szCs w:val="21"/>
              </w:rPr>
              <w:t>投标人针对报价需要说明的其他文件和说明（格式自拟）。</w:t>
            </w:r>
          </w:p>
        </w:tc>
      </w:tr>
      <w:tr w14:paraId="735A3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1D9A305F">
            <w:pPr>
              <w:spacing w:line="380" w:lineRule="exact"/>
              <w:jc w:val="center"/>
              <w:rPr>
                <w:rFonts w:ascii="宋体" w:hAnsi="宋体" w:cs="宋体"/>
                <w:color w:val="000000"/>
                <w:szCs w:val="21"/>
              </w:rPr>
            </w:pPr>
            <w:r>
              <w:rPr>
                <w:rFonts w:hint="eastAsia" w:ascii="宋体" w:hAnsi="宋体" w:cs="宋体"/>
                <w:color w:val="000000"/>
                <w:szCs w:val="21"/>
              </w:rPr>
              <w:t>16.2</w:t>
            </w:r>
          </w:p>
        </w:tc>
        <w:tc>
          <w:tcPr>
            <w:tcW w:w="1742" w:type="dxa"/>
            <w:tcBorders>
              <w:top w:val="single" w:color="auto" w:sz="4" w:space="0"/>
              <w:left w:val="single" w:color="auto" w:sz="4" w:space="0"/>
              <w:bottom w:val="single" w:color="auto" w:sz="4" w:space="0"/>
              <w:right w:val="single" w:color="auto" w:sz="4" w:space="0"/>
            </w:tcBorders>
            <w:vAlign w:val="center"/>
          </w:tcPr>
          <w:p w14:paraId="77240E99">
            <w:pPr>
              <w:spacing w:line="380" w:lineRule="exact"/>
              <w:rPr>
                <w:rFonts w:ascii="宋体" w:hAnsi="宋体" w:cs="宋体"/>
                <w:color w:val="000000"/>
                <w:szCs w:val="21"/>
              </w:rPr>
            </w:pPr>
            <w:bookmarkStart w:id="92" w:name="_16.2"/>
            <w:bookmarkEnd w:id="92"/>
            <w:r>
              <w:rPr>
                <w:rFonts w:hint="eastAsia" w:ascii="宋体" w:hAnsi="宋体" w:cs="宋体"/>
                <w:color w:val="000000"/>
                <w:szCs w:val="21"/>
              </w:rPr>
              <w:t>投标报价要求</w:t>
            </w:r>
          </w:p>
        </w:tc>
        <w:tc>
          <w:tcPr>
            <w:tcW w:w="7609" w:type="dxa"/>
            <w:tcBorders>
              <w:top w:val="single" w:color="auto" w:sz="4" w:space="0"/>
              <w:left w:val="single" w:color="auto" w:sz="4" w:space="0"/>
              <w:bottom w:val="single" w:color="auto" w:sz="4" w:space="0"/>
              <w:right w:val="single" w:color="auto" w:sz="4" w:space="0"/>
            </w:tcBorders>
            <w:vAlign w:val="center"/>
          </w:tcPr>
          <w:p w14:paraId="70587BB0">
            <w:pPr>
              <w:spacing w:line="360" w:lineRule="auto"/>
            </w:pPr>
            <w:r>
              <w:rPr>
                <w:rFonts w:hint="eastAsia"/>
              </w:rPr>
              <w:t>投标报价是履行合同的最终价格，必须包含</w:t>
            </w:r>
            <w:r>
              <w:rPr>
                <w:rFonts w:hint="eastAsia" w:ascii="宋体" w:hAnsi="宋体"/>
                <w:color w:val="auto"/>
                <w:szCs w:val="21"/>
                <w:highlight w:val="none"/>
              </w:rPr>
              <w:t>本次采购范围内的全部服务价款、</w:t>
            </w:r>
            <w:r>
              <w:rPr>
                <w:rFonts w:hint="eastAsia" w:ascii="宋体" w:hAnsi="宋体"/>
                <w:color w:val="auto"/>
                <w:szCs w:val="21"/>
                <w:highlight w:val="none"/>
                <w:shd w:val="clear" w:color="auto" w:fill="FFFFFF"/>
              </w:rPr>
              <w:t>服务人员费用（包括但不限于人员工资、社保费、劳保、服装、意外伤害保险、奖金、</w:t>
            </w:r>
            <w:r>
              <w:rPr>
                <w:rFonts w:hint="eastAsia" w:ascii="宋体" w:hAnsi="宋体" w:cs="宋体"/>
                <w:color w:val="auto"/>
                <w:szCs w:val="21"/>
                <w:highlight w:val="none"/>
              </w:rPr>
              <w:t>加班费、夜班费、及其他各项福利待遇</w:t>
            </w:r>
            <w:r>
              <w:rPr>
                <w:rFonts w:hint="eastAsia" w:ascii="宋体" w:hAnsi="宋体"/>
                <w:color w:val="auto"/>
                <w:szCs w:val="21"/>
                <w:highlight w:val="none"/>
                <w:shd w:val="clear" w:color="auto" w:fill="FFFFFF"/>
              </w:rPr>
              <w:t>等）、办公费用（包括但不限于执勤设备费用、通讯费、办公用品、培训费、维护费、劳保用品等）、管理费、利润、税费等完成合同所需的一切本身和不可或缺的所有开支、政策性文件规定的合同包含的所有风险、责任等各项全部费用的总和</w:t>
            </w:r>
            <w:r>
              <w:rPr>
                <w:rFonts w:hint="eastAsia"/>
              </w:rPr>
              <w:t>。（采购需求另有约定的，从其约定）</w:t>
            </w:r>
          </w:p>
          <w:p w14:paraId="2BB7DF4F">
            <w:pPr>
              <w:snapToGrid w:val="0"/>
              <w:spacing w:line="360" w:lineRule="auto"/>
              <w:rPr>
                <w:rFonts w:ascii="宋体" w:hAnsi="宋体" w:cs="宋体"/>
                <w:b/>
                <w:szCs w:val="21"/>
              </w:rPr>
            </w:pPr>
            <w:r>
              <w:rPr>
                <w:rFonts w:hint="eastAsia" w:ascii="宋体" w:hAnsi="宋体" w:cs="宋体"/>
                <w:b/>
                <w:szCs w:val="21"/>
              </w:rPr>
              <w:t>☑投标报价包含验收费用</w:t>
            </w:r>
          </w:p>
          <w:p w14:paraId="41A83843">
            <w:pPr>
              <w:pStyle w:val="14"/>
            </w:pPr>
            <w:r>
              <w:rPr>
                <w:rFonts w:hint="eastAsia" w:ascii="宋体" w:hAnsi="宋体" w:cs="宋体"/>
                <w:b/>
                <w:sz w:val="21"/>
                <w:szCs w:val="21"/>
              </w:rPr>
              <w:t>□投标报价不包含验收费用</w:t>
            </w:r>
          </w:p>
        </w:tc>
      </w:tr>
      <w:tr w14:paraId="02C33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7D6454E3">
            <w:pPr>
              <w:spacing w:line="380" w:lineRule="exact"/>
              <w:jc w:val="center"/>
              <w:rPr>
                <w:rFonts w:ascii="宋体" w:hAnsi="宋体" w:cs="宋体"/>
                <w:color w:val="000000"/>
                <w:szCs w:val="21"/>
              </w:rPr>
            </w:pPr>
            <w:r>
              <w:rPr>
                <w:rFonts w:hint="eastAsia" w:ascii="宋体" w:hAnsi="宋体" w:cs="宋体"/>
                <w:color w:val="000000"/>
                <w:szCs w:val="21"/>
              </w:rPr>
              <w:t>17.2</w:t>
            </w:r>
          </w:p>
        </w:tc>
        <w:tc>
          <w:tcPr>
            <w:tcW w:w="1742" w:type="dxa"/>
            <w:tcBorders>
              <w:top w:val="single" w:color="auto" w:sz="4" w:space="0"/>
              <w:left w:val="single" w:color="auto" w:sz="4" w:space="0"/>
              <w:bottom w:val="single" w:color="auto" w:sz="4" w:space="0"/>
              <w:right w:val="single" w:color="auto" w:sz="4" w:space="0"/>
            </w:tcBorders>
            <w:vAlign w:val="center"/>
          </w:tcPr>
          <w:p w14:paraId="792B882C">
            <w:pPr>
              <w:spacing w:line="380" w:lineRule="exact"/>
              <w:rPr>
                <w:rFonts w:ascii="宋体" w:hAnsi="宋体" w:cs="宋体"/>
                <w:color w:val="000000"/>
                <w:szCs w:val="21"/>
              </w:rPr>
            </w:pPr>
            <w:bookmarkStart w:id="93" w:name="_17.1"/>
            <w:bookmarkEnd w:id="93"/>
            <w:r>
              <w:rPr>
                <w:rFonts w:hint="eastAsia" w:ascii="宋体" w:hAnsi="宋体" w:cs="宋体"/>
                <w:color w:val="000000"/>
                <w:szCs w:val="21"/>
              </w:rPr>
              <w:t>投标有效期</w:t>
            </w:r>
          </w:p>
        </w:tc>
        <w:tc>
          <w:tcPr>
            <w:tcW w:w="7609" w:type="dxa"/>
            <w:tcBorders>
              <w:top w:val="single" w:color="auto" w:sz="4" w:space="0"/>
              <w:left w:val="single" w:color="auto" w:sz="4" w:space="0"/>
              <w:bottom w:val="single" w:color="auto" w:sz="4" w:space="0"/>
              <w:right w:val="single" w:color="auto" w:sz="4" w:space="0"/>
            </w:tcBorders>
            <w:vAlign w:val="center"/>
          </w:tcPr>
          <w:p w14:paraId="2CB26466">
            <w:pPr>
              <w:snapToGrid w:val="0"/>
              <w:spacing w:line="380" w:lineRule="exact"/>
              <w:rPr>
                <w:rFonts w:ascii="宋体" w:hAnsi="宋体" w:cs="宋体"/>
                <w:color w:val="000000"/>
                <w:szCs w:val="21"/>
              </w:rPr>
            </w:pPr>
            <w:r>
              <w:rPr>
                <w:rFonts w:hint="eastAsia" w:ascii="宋体" w:hAnsi="宋体" w:cs="宋体"/>
                <w:color w:val="000000"/>
                <w:szCs w:val="21"/>
              </w:rPr>
              <w:t>自投标截止之日起</w:t>
            </w:r>
            <w:r>
              <w:rPr>
                <w:rFonts w:hint="eastAsia" w:ascii="宋体" w:hAnsi="宋体" w:cs="宋体"/>
                <w:color w:val="000000"/>
                <w:szCs w:val="21"/>
                <w:u w:val="single"/>
              </w:rPr>
              <w:t>90</w:t>
            </w:r>
            <w:r>
              <w:rPr>
                <w:rFonts w:hint="eastAsia" w:ascii="宋体" w:hAnsi="宋体" w:cs="宋体"/>
                <w:color w:val="000000"/>
                <w:szCs w:val="21"/>
              </w:rPr>
              <w:t>日。</w:t>
            </w:r>
          </w:p>
        </w:tc>
      </w:tr>
      <w:tr w14:paraId="2CD50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2FA86686">
            <w:pPr>
              <w:spacing w:line="380" w:lineRule="exact"/>
              <w:jc w:val="center"/>
              <w:rPr>
                <w:rFonts w:ascii="宋体" w:hAnsi="宋体" w:cs="宋体"/>
                <w:color w:val="000000"/>
                <w:szCs w:val="21"/>
              </w:rPr>
            </w:pPr>
            <w:r>
              <w:rPr>
                <w:rFonts w:hint="eastAsia" w:ascii="宋体" w:hAnsi="宋体" w:cs="宋体"/>
                <w:color w:val="000000"/>
                <w:szCs w:val="21"/>
              </w:rPr>
              <w:t>18</w:t>
            </w:r>
          </w:p>
        </w:tc>
        <w:tc>
          <w:tcPr>
            <w:tcW w:w="1742" w:type="dxa"/>
            <w:tcBorders>
              <w:top w:val="single" w:color="auto" w:sz="4" w:space="0"/>
              <w:left w:val="single" w:color="auto" w:sz="4" w:space="0"/>
              <w:bottom w:val="single" w:color="auto" w:sz="4" w:space="0"/>
              <w:right w:val="single" w:color="auto" w:sz="4" w:space="0"/>
            </w:tcBorders>
            <w:vAlign w:val="center"/>
          </w:tcPr>
          <w:p w14:paraId="418554DD">
            <w:pPr>
              <w:spacing w:line="380" w:lineRule="exact"/>
              <w:rPr>
                <w:rFonts w:ascii="宋体" w:hAnsi="宋体" w:cs="宋体"/>
                <w:color w:val="000000"/>
                <w:szCs w:val="21"/>
              </w:rPr>
            </w:pPr>
            <w:bookmarkStart w:id="94" w:name="_18"/>
            <w:bookmarkEnd w:id="94"/>
            <w:r>
              <w:rPr>
                <w:rFonts w:hint="eastAsia" w:ascii="宋体" w:hAnsi="宋体" w:cs="宋体"/>
                <w:color w:val="000000"/>
                <w:szCs w:val="21"/>
              </w:rPr>
              <w:t>投标保证金金额</w:t>
            </w:r>
          </w:p>
        </w:tc>
        <w:tc>
          <w:tcPr>
            <w:tcW w:w="7609" w:type="dxa"/>
            <w:tcBorders>
              <w:top w:val="single" w:color="auto" w:sz="4" w:space="0"/>
              <w:left w:val="single" w:color="auto" w:sz="4" w:space="0"/>
              <w:bottom w:val="single" w:color="auto" w:sz="4" w:space="0"/>
              <w:right w:val="single" w:color="auto" w:sz="4" w:space="0"/>
            </w:tcBorders>
            <w:vAlign w:val="center"/>
          </w:tcPr>
          <w:p w14:paraId="4AA2EAFC">
            <w:pPr>
              <w:autoSpaceDE w:val="0"/>
              <w:autoSpaceDN w:val="0"/>
              <w:snapToGrid w:val="0"/>
              <w:spacing w:line="360" w:lineRule="auto"/>
              <w:textAlignment w:val="bottom"/>
              <w:rPr>
                <w:rFonts w:ascii="宋体" w:hAnsi="宋体" w:cs="宋体"/>
                <w:color w:val="000000"/>
                <w:szCs w:val="21"/>
              </w:rPr>
            </w:pPr>
            <w:r>
              <w:rPr>
                <w:rFonts w:hint="eastAsia" w:ascii="宋体" w:hAnsi="宋体" w:cs="宋体"/>
                <w:b/>
                <w:bCs/>
                <w:szCs w:val="21"/>
              </w:rPr>
              <w:t>本项目不需要缴纳投标保证金。</w:t>
            </w:r>
          </w:p>
        </w:tc>
      </w:tr>
      <w:tr w14:paraId="0A563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372EE8BD">
            <w:pPr>
              <w:spacing w:line="380" w:lineRule="exact"/>
              <w:jc w:val="center"/>
              <w:rPr>
                <w:rFonts w:ascii="宋体" w:hAnsi="宋体" w:cs="宋体"/>
                <w:color w:val="000000"/>
                <w:szCs w:val="21"/>
              </w:rPr>
            </w:pPr>
            <w:r>
              <w:rPr>
                <w:rFonts w:hint="eastAsia" w:ascii="宋体" w:hAnsi="宋体" w:cs="宋体"/>
                <w:color w:val="000000"/>
                <w:szCs w:val="21"/>
              </w:rPr>
              <w:t>19.1</w:t>
            </w:r>
          </w:p>
        </w:tc>
        <w:tc>
          <w:tcPr>
            <w:tcW w:w="1742" w:type="dxa"/>
            <w:tcBorders>
              <w:top w:val="single" w:color="auto" w:sz="4" w:space="0"/>
              <w:left w:val="single" w:color="auto" w:sz="4" w:space="0"/>
              <w:bottom w:val="single" w:color="auto" w:sz="4" w:space="0"/>
              <w:right w:val="single" w:color="auto" w:sz="4" w:space="0"/>
            </w:tcBorders>
            <w:vAlign w:val="center"/>
          </w:tcPr>
          <w:p w14:paraId="77C309C3">
            <w:pPr>
              <w:spacing w:line="380" w:lineRule="exact"/>
              <w:rPr>
                <w:rFonts w:ascii="宋体" w:hAnsi="宋体" w:cs="宋体"/>
                <w:color w:val="000000"/>
                <w:szCs w:val="21"/>
              </w:rPr>
            </w:pPr>
            <w:r>
              <w:rPr>
                <w:rFonts w:hint="eastAsia" w:ascii="宋体" w:hAnsi="宋体" w:cs="宋体"/>
                <w:color w:val="000000"/>
                <w:szCs w:val="21"/>
              </w:rPr>
              <w:t>投标文件编制要求</w:t>
            </w:r>
          </w:p>
        </w:tc>
        <w:tc>
          <w:tcPr>
            <w:tcW w:w="7609" w:type="dxa"/>
            <w:tcBorders>
              <w:top w:val="single" w:color="auto" w:sz="4" w:space="0"/>
              <w:left w:val="single" w:color="auto" w:sz="4" w:space="0"/>
              <w:bottom w:val="single" w:color="auto" w:sz="4" w:space="0"/>
              <w:right w:val="single" w:color="auto" w:sz="4" w:space="0"/>
            </w:tcBorders>
            <w:vAlign w:val="center"/>
          </w:tcPr>
          <w:p w14:paraId="58B9CA89">
            <w:pPr>
              <w:spacing w:line="360" w:lineRule="auto"/>
              <w:rPr>
                <w:rFonts w:ascii="宋体" w:hAnsi="宋体" w:cs="宋体"/>
                <w:b/>
                <w:color w:val="000000"/>
                <w:szCs w:val="21"/>
                <w:u w:val="single"/>
              </w:rPr>
            </w:pPr>
            <w:r>
              <w:rPr>
                <w:rFonts w:hint="eastAsia" w:ascii="宋体" w:hAnsi="宋体" w:cs="宋体"/>
                <w:color w:val="000000"/>
                <w:szCs w:val="21"/>
              </w:rPr>
              <w:t>投标文件应按报价文件、资格文件、商务文件、技术文件分别编制，报价文件、资格文件分别生成电子文件，商务文件和技术文件按顺序合并生成电子文件。</w:t>
            </w:r>
            <w:r>
              <w:rPr>
                <w:rFonts w:hint="eastAsia" w:ascii="宋体" w:hAnsi="宋体" w:cs="宋体"/>
                <w:b/>
                <w:bCs/>
                <w:color w:val="000000"/>
                <w:szCs w:val="21"/>
              </w:rPr>
              <w:t>（</w:t>
            </w:r>
            <w:r>
              <w:rPr>
                <w:rFonts w:hint="eastAsia" w:ascii="宋体" w:hAnsi="宋体" w:cs="宋体"/>
                <w:b/>
                <w:bCs/>
                <w:szCs w:val="21"/>
              </w:rPr>
              <w:t>注：按照本招标文件“第六章 投标文件格式”编写，第六章未附格式的，由投标人自行拟定。）</w:t>
            </w:r>
          </w:p>
        </w:tc>
      </w:tr>
      <w:tr w14:paraId="1BF51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02B9899B">
            <w:pPr>
              <w:spacing w:line="380" w:lineRule="exact"/>
              <w:jc w:val="center"/>
              <w:rPr>
                <w:rFonts w:ascii="宋体" w:hAnsi="宋体" w:cs="宋体"/>
                <w:color w:val="000000"/>
                <w:szCs w:val="21"/>
              </w:rPr>
            </w:pPr>
            <w:r>
              <w:rPr>
                <w:rFonts w:hint="eastAsia" w:ascii="宋体" w:hAnsi="宋体" w:cs="宋体"/>
                <w:color w:val="000000"/>
                <w:szCs w:val="21"/>
              </w:rPr>
              <w:t>20</w:t>
            </w:r>
          </w:p>
        </w:tc>
        <w:tc>
          <w:tcPr>
            <w:tcW w:w="1742" w:type="dxa"/>
            <w:tcBorders>
              <w:top w:val="single" w:color="auto" w:sz="4" w:space="0"/>
              <w:left w:val="single" w:color="auto" w:sz="4" w:space="0"/>
              <w:bottom w:val="single" w:color="auto" w:sz="4" w:space="0"/>
              <w:right w:val="single" w:color="auto" w:sz="4" w:space="0"/>
            </w:tcBorders>
            <w:vAlign w:val="center"/>
          </w:tcPr>
          <w:p w14:paraId="5EB18407">
            <w:pPr>
              <w:spacing w:line="380" w:lineRule="exact"/>
              <w:rPr>
                <w:rFonts w:ascii="宋体" w:hAnsi="宋体" w:cs="宋体"/>
                <w:color w:val="000000"/>
                <w:szCs w:val="21"/>
              </w:rPr>
            </w:pPr>
            <w:r>
              <w:rPr>
                <w:rFonts w:hint="eastAsia" w:ascii="宋体" w:hAnsi="宋体" w:cs="宋体"/>
                <w:color w:val="000000"/>
                <w:szCs w:val="21"/>
              </w:rPr>
              <w:t>备份投标文件</w:t>
            </w:r>
          </w:p>
        </w:tc>
        <w:tc>
          <w:tcPr>
            <w:tcW w:w="7609" w:type="dxa"/>
            <w:tcBorders>
              <w:top w:val="single" w:color="auto" w:sz="4" w:space="0"/>
              <w:left w:val="single" w:color="auto" w:sz="4" w:space="0"/>
              <w:bottom w:val="single" w:color="auto" w:sz="4" w:space="0"/>
              <w:right w:val="single" w:color="auto" w:sz="4" w:space="0"/>
            </w:tcBorders>
            <w:vAlign w:val="center"/>
          </w:tcPr>
          <w:p w14:paraId="5A3381D7">
            <w:pPr>
              <w:autoSpaceDE w:val="0"/>
              <w:autoSpaceDN w:val="0"/>
              <w:snapToGrid w:val="0"/>
              <w:spacing w:line="380" w:lineRule="exact"/>
              <w:textAlignment w:val="bottom"/>
              <w:rPr>
                <w:rFonts w:ascii="宋体" w:hAnsi="宋体" w:cs="宋体"/>
                <w:color w:val="000000"/>
                <w:szCs w:val="21"/>
              </w:rPr>
            </w:pPr>
            <w:r>
              <w:rPr>
                <w:rFonts w:hint="eastAsia" w:ascii="宋体" w:hAnsi="宋体" w:cs="宋体"/>
                <w:color w:val="000000"/>
                <w:szCs w:val="21"/>
              </w:rPr>
              <w:t>本项目不接受备份投标文件。</w:t>
            </w:r>
          </w:p>
        </w:tc>
      </w:tr>
      <w:tr w14:paraId="75514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restart"/>
            <w:tcBorders>
              <w:top w:val="single" w:color="auto" w:sz="4" w:space="0"/>
              <w:left w:val="single" w:color="auto" w:sz="4" w:space="0"/>
              <w:bottom w:val="nil"/>
              <w:right w:val="single" w:color="auto" w:sz="4" w:space="0"/>
            </w:tcBorders>
            <w:vAlign w:val="center"/>
          </w:tcPr>
          <w:p w14:paraId="523430B1">
            <w:pPr>
              <w:spacing w:line="380" w:lineRule="exact"/>
              <w:jc w:val="center"/>
              <w:rPr>
                <w:rFonts w:ascii="宋体" w:hAnsi="宋体" w:cs="宋体"/>
                <w:color w:val="000000"/>
                <w:szCs w:val="21"/>
              </w:rPr>
            </w:pPr>
            <w:r>
              <w:rPr>
                <w:rFonts w:hint="eastAsia" w:ascii="宋体" w:hAnsi="宋体" w:cs="宋体"/>
                <w:color w:val="000000"/>
                <w:szCs w:val="21"/>
              </w:rPr>
              <w:t>21.1</w:t>
            </w:r>
          </w:p>
        </w:tc>
        <w:tc>
          <w:tcPr>
            <w:tcW w:w="1742" w:type="dxa"/>
            <w:tcBorders>
              <w:top w:val="single" w:color="auto" w:sz="4" w:space="0"/>
              <w:left w:val="single" w:color="auto" w:sz="4" w:space="0"/>
              <w:bottom w:val="single" w:color="auto" w:sz="4" w:space="0"/>
              <w:right w:val="single" w:color="auto" w:sz="4" w:space="0"/>
            </w:tcBorders>
            <w:vAlign w:val="center"/>
          </w:tcPr>
          <w:p w14:paraId="67EDD2A6">
            <w:pPr>
              <w:spacing w:line="380" w:lineRule="exact"/>
              <w:rPr>
                <w:rFonts w:ascii="宋体" w:hAnsi="宋体" w:cs="宋体"/>
                <w:color w:val="000000"/>
                <w:szCs w:val="21"/>
              </w:rPr>
            </w:pPr>
            <w:bookmarkStart w:id="95" w:name="_21.1"/>
            <w:bookmarkEnd w:id="95"/>
            <w:r>
              <w:rPr>
                <w:rFonts w:hint="eastAsia" w:ascii="宋体" w:hAnsi="宋体" w:cs="宋体"/>
                <w:color w:val="000000"/>
                <w:szCs w:val="21"/>
              </w:rPr>
              <w:t>投标截止时间</w:t>
            </w:r>
          </w:p>
        </w:tc>
        <w:tc>
          <w:tcPr>
            <w:tcW w:w="7609" w:type="dxa"/>
            <w:tcBorders>
              <w:top w:val="single" w:color="auto" w:sz="4" w:space="0"/>
              <w:left w:val="single" w:color="auto" w:sz="4" w:space="0"/>
              <w:bottom w:val="single" w:color="auto" w:sz="4" w:space="0"/>
              <w:right w:val="single" w:color="auto" w:sz="4" w:space="0"/>
            </w:tcBorders>
            <w:vAlign w:val="center"/>
          </w:tcPr>
          <w:p w14:paraId="429ADF50">
            <w:pPr>
              <w:snapToGrid w:val="0"/>
              <w:spacing w:line="380" w:lineRule="exact"/>
              <w:rPr>
                <w:rFonts w:ascii="宋体" w:hAnsi="宋体" w:cs="宋体"/>
                <w:color w:val="000000"/>
                <w:szCs w:val="21"/>
                <w:u w:val="single"/>
              </w:rPr>
            </w:pPr>
            <w:r>
              <w:rPr>
                <w:rFonts w:hint="eastAsia" w:ascii="宋体" w:hAnsi="宋体" w:cs="宋体"/>
                <w:color w:val="000000"/>
                <w:szCs w:val="21"/>
              </w:rPr>
              <w:t>详见招标公告</w:t>
            </w:r>
          </w:p>
        </w:tc>
      </w:tr>
      <w:tr w14:paraId="6D38E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vAlign w:val="center"/>
          </w:tcPr>
          <w:p w14:paraId="7074A794">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658F7709">
            <w:pPr>
              <w:spacing w:line="380" w:lineRule="exact"/>
              <w:rPr>
                <w:rFonts w:ascii="宋体" w:hAnsi="宋体" w:cs="宋体"/>
                <w:color w:val="000000"/>
                <w:szCs w:val="21"/>
              </w:rPr>
            </w:pPr>
            <w:r>
              <w:rPr>
                <w:rFonts w:hint="eastAsia" w:ascii="宋体" w:hAnsi="宋体" w:cs="宋体"/>
                <w:color w:val="000000"/>
                <w:szCs w:val="21"/>
              </w:rPr>
              <w:t>投标地点</w:t>
            </w:r>
          </w:p>
        </w:tc>
        <w:tc>
          <w:tcPr>
            <w:tcW w:w="7609" w:type="dxa"/>
            <w:tcBorders>
              <w:top w:val="single" w:color="auto" w:sz="4" w:space="0"/>
              <w:left w:val="single" w:color="auto" w:sz="4" w:space="0"/>
              <w:bottom w:val="single" w:color="auto" w:sz="4" w:space="0"/>
              <w:right w:val="single" w:color="auto" w:sz="4" w:space="0"/>
            </w:tcBorders>
            <w:vAlign w:val="center"/>
          </w:tcPr>
          <w:p w14:paraId="0DEE065B">
            <w:pPr>
              <w:snapToGrid w:val="0"/>
              <w:spacing w:line="380" w:lineRule="exact"/>
              <w:rPr>
                <w:rFonts w:ascii="宋体" w:hAnsi="宋体" w:cs="宋体"/>
                <w:color w:val="000000"/>
                <w:szCs w:val="21"/>
              </w:rPr>
            </w:pPr>
            <w:r>
              <w:rPr>
                <w:rFonts w:hint="eastAsia" w:ascii="宋体" w:hAnsi="宋体" w:cs="宋体"/>
                <w:color w:val="000000"/>
                <w:szCs w:val="21"/>
              </w:rPr>
              <w:t>详见招标公告</w:t>
            </w:r>
          </w:p>
        </w:tc>
      </w:tr>
      <w:tr w14:paraId="0C327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vAlign w:val="center"/>
          </w:tcPr>
          <w:p w14:paraId="0E15EE36">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0B4D689B">
            <w:pPr>
              <w:spacing w:line="380" w:lineRule="exact"/>
              <w:rPr>
                <w:rFonts w:ascii="宋体" w:hAnsi="宋体" w:cs="宋体"/>
                <w:color w:val="000000"/>
                <w:szCs w:val="21"/>
              </w:rPr>
            </w:pPr>
            <w:r>
              <w:rPr>
                <w:rFonts w:hint="eastAsia" w:ascii="宋体" w:hAnsi="宋体" w:cs="宋体"/>
                <w:color w:val="000000"/>
                <w:szCs w:val="21"/>
              </w:rPr>
              <w:t>投标人提交投标样品截止时间及地点</w:t>
            </w:r>
          </w:p>
        </w:tc>
        <w:tc>
          <w:tcPr>
            <w:tcW w:w="7609" w:type="dxa"/>
            <w:tcBorders>
              <w:top w:val="single" w:color="auto" w:sz="4" w:space="0"/>
              <w:left w:val="single" w:color="auto" w:sz="4" w:space="0"/>
              <w:bottom w:val="single" w:color="auto" w:sz="4" w:space="0"/>
              <w:right w:val="single" w:color="auto" w:sz="4" w:space="0"/>
            </w:tcBorders>
            <w:vAlign w:val="center"/>
          </w:tcPr>
          <w:p w14:paraId="3BE759F7">
            <w:pPr>
              <w:snapToGrid w:val="0"/>
              <w:spacing w:line="380" w:lineRule="exact"/>
              <w:rPr>
                <w:rFonts w:ascii="宋体" w:hAnsi="宋体" w:cs="宋体"/>
                <w:color w:val="000000"/>
                <w:szCs w:val="21"/>
              </w:rPr>
            </w:pPr>
            <w:r>
              <w:rPr>
                <w:rFonts w:hint="eastAsia" w:ascii="宋体" w:hAnsi="宋体" w:cs="宋体"/>
                <w:bCs/>
                <w:szCs w:val="21"/>
                <w:u w:val="single"/>
              </w:rPr>
              <w:t>无</w:t>
            </w:r>
            <w:r>
              <w:rPr>
                <w:rFonts w:hint="eastAsia" w:ascii="宋体" w:hAnsi="宋体" w:cs="宋体"/>
                <w:bCs/>
                <w:szCs w:val="21"/>
              </w:rPr>
              <w:t xml:space="preserve"> </w:t>
            </w:r>
          </w:p>
        </w:tc>
      </w:tr>
      <w:tr w14:paraId="779DF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56C23EAE">
            <w:pPr>
              <w:spacing w:line="380" w:lineRule="exact"/>
              <w:jc w:val="center"/>
              <w:rPr>
                <w:rFonts w:ascii="宋体" w:hAnsi="宋体" w:cs="宋体"/>
                <w:color w:val="000000"/>
                <w:szCs w:val="21"/>
              </w:rPr>
            </w:pPr>
            <w:r>
              <w:rPr>
                <w:rFonts w:hint="eastAsia" w:ascii="宋体" w:hAnsi="宋体" w:cs="宋体"/>
                <w:color w:val="000000"/>
                <w:szCs w:val="21"/>
              </w:rPr>
              <w:t>23</w:t>
            </w:r>
          </w:p>
        </w:tc>
        <w:tc>
          <w:tcPr>
            <w:tcW w:w="1742" w:type="dxa"/>
            <w:tcBorders>
              <w:top w:val="single" w:color="auto" w:sz="4" w:space="0"/>
              <w:left w:val="single" w:color="auto" w:sz="4" w:space="0"/>
              <w:bottom w:val="single" w:color="auto" w:sz="4" w:space="0"/>
              <w:right w:val="single" w:color="auto" w:sz="4" w:space="0"/>
            </w:tcBorders>
            <w:vAlign w:val="center"/>
          </w:tcPr>
          <w:p w14:paraId="066EAECC">
            <w:pPr>
              <w:spacing w:line="380" w:lineRule="exact"/>
              <w:rPr>
                <w:rFonts w:ascii="宋体" w:hAnsi="宋体" w:cs="宋体"/>
                <w:color w:val="000000"/>
                <w:szCs w:val="21"/>
              </w:rPr>
            </w:pPr>
            <w:bookmarkStart w:id="96" w:name="_23"/>
            <w:bookmarkEnd w:id="96"/>
            <w:r>
              <w:rPr>
                <w:rFonts w:hint="eastAsia" w:ascii="宋体" w:hAnsi="宋体" w:cs="宋体"/>
                <w:color w:val="000000"/>
                <w:szCs w:val="21"/>
              </w:rPr>
              <w:t>开标时间、地点</w:t>
            </w:r>
          </w:p>
        </w:tc>
        <w:tc>
          <w:tcPr>
            <w:tcW w:w="7609" w:type="dxa"/>
            <w:tcBorders>
              <w:top w:val="single" w:color="auto" w:sz="4" w:space="0"/>
              <w:left w:val="single" w:color="auto" w:sz="4" w:space="0"/>
              <w:bottom w:val="single" w:color="auto" w:sz="4" w:space="0"/>
              <w:right w:val="single" w:color="auto" w:sz="4" w:space="0"/>
            </w:tcBorders>
            <w:vAlign w:val="center"/>
          </w:tcPr>
          <w:p w14:paraId="390A08EF">
            <w:pPr>
              <w:snapToGrid w:val="0"/>
              <w:spacing w:line="380" w:lineRule="exact"/>
              <w:rPr>
                <w:rFonts w:ascii="宋体" w:hAnsi="宋体" w:cs="宋体"/>
                <w:color w:val="000000"/>
                <w:szCs w:val="21"/>
              </w:rPr>
            </w:pPr>
            <w:r>
              <w:rPr>
                <w:rFonts w:hint="eastAsia" w:ascii="宋体" w:hAnsi="宋体" w:cs="宋体"/>
                <w:color w:val="000000"/>
                <w:szCs w:val="21"/>
              </w:rPr>
              <w:t xml:space="preserve">详见招标公告 </w:t>
            </w:r>
          </w:p>
        </w:tc>
      </w:tr>
      <w:tr w14:paraId="097DA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889" w:type="dxa"/>
            <w:vMerge w:val="restart"/>
            <w:tcBorders>
              <w:top w:val="single" w:color="auto" w:sz="4" w:space="0"/>
              <w:left w:val="single" w:color="auto" w:sz="4" w:space="0"/>
              <w:bottom w:val="single" w:color="auto" w:sz="4" w:space="0"/>
              <w:right w:val="single" w:color="auto" w:sz="4" w:space="0"/>
            </w:tcBorders>
            <w:vAlign w:val="center"/>
          </w:tcPr>
          <w:p w14:paraId="237DCE32">
            <w:pPr>
              <w:spacing w:line="380" w:lineRule="exact"/>
              <w:jc w:val="center"/>
              <w:rPr>
                <w:rFonts w:ascii="宋体" w:hAnsi="宋体" w:cs="宋体"/>
                <w:color w:val="000000"/>
                <w:szCs w:val="21"/>
              </w:rPr>
            </w:pPr>
            <w:r>
              <w:rPr>
                <w:rFonts w:hint="eastAsia" w:ascii="宋体" w:hAnsi="宋体" w:cs="宋体"/>
                <w:color w:val="000000"/>
                <w:szCs w:val="21"/>
              </w:rPr>
              <w:t>25.3（1）</w:t>
            </w:r>
          </w:p>
        </w:tc>
        <w:tc>
          <w:tcPr>
            <w:tcW w:w="1742" w:type="dxa"/>
            <w:tcBorders>
              <w:top w:val="single" w:color="auto" w:sz="4" w:space="0"/>
              <w:left w:val="single" w:color="auto" w:sz="4" w:space="0"/>
              <w:bottom w:val="single" w:color="auto" w:sz="4" w:space="0"/>
              <w:right w:val="single" w:color="auto" w:sz="4" w:space="0"/>
            </w:tcBorders>
            <w:vAlign w:val="center"/>
          </w:tcPr>
          <w:p w14:paraId="40F89DB2">
            <w:pPr>
              <w:spacing w:line="380" w:lineRule="exact"/>
              <w:rPr>
                <w:rFonts w:ascii="宋体" w:hAnsi="宋体" w:cs="宋体"/>
                <w:color w:val="000000"/>
                <w:szCs w:val="21"/>
              </w:rPr>
            </w:pPr>
            <w:bookmarkStart w:id="97" w:name="_25.3"/>
            <w:bookmarkEnd w:id="97"/>
            <w:r>
              <w:rPr>
                <w:rFonts w:hint="eastAsia" w:ascii="宋体" w:hAnsi="宋体" w:cs="宋体"/>
                <w:color w:val="000000"/>
                <w:szCs w:val="21"/>
              </w:rPr>
              <w:t>投标人信用查询渠道</w:t>
            </w:r>
          </w:p>
        </w:tc>
        <w:tc>
          <w:tcPr>
            <w:tcW w:w="7609" w:type="dxa"/>
            <w:tcBorders>
              <w:top w:val="single" w:color="auto" w:sz="4" w:space="0"/>
              <w:left w:val="single" w:color="auto" w:sz="4" w:space="0"/>
              <w:bottom w:val="single" w:color="auto" w:sz="4" w:space="0"/>
              <w:right w:val="single" w:color="auto" w:sz="4" w:space="0"/>
            </w:tcBorders>
            <w:vAlign w:val="center"/>
          </w:tcPr>
          <w:p w14:paraId="1E67FD22">
            <w:pPr>
              <w:snapToGrid w:val="0"/>
              <w:spacing w:line="380" w:lineRule="exact"/>
              <w:rPr>
                <w:rFonts w:ascii="宋体" w:hAnsi="宋体" w:cs="宋体"/>
                <w:color w:val="000000"/>
                <w:szCs w:val="21"/>
              </w:rPr>
            </w:pPr>
            <w:r>
              <w:rPr>
                <w:rFonts w:hint="eastAsia" w:ascii="宋体" w:hAnsi="宋体" w:cs="宋体"/>
                <w:color w:val="000000"/>
                <w:szCs w:val="21"/>
              </w:rPr>
              <w:t>采购人或者采购代理机构在资格审查结束前，对投标人进行信用查询。</w:t>
            </w:r>
          </w:p>
          <w:p w14:paraId="4C92F896">
            <w:pPr>
              <w:snapToGrid w:val="0"/>
              <w:spacing w:line="380" w:lineRule="exact"/>
              <w:rPr>
                <w:rFonts w:ascii="宋体" w:hAnsi="宋体" w:cs="宋体"/>
                <w:color w:val="000000"/>
                <w:szCs w:val="21"/>
              </w:rPr>
            </w:pPr>
            <w:r>
              <w:rPr>
                <w:rFonts w:hint="eastAsia" w:ascii="宋体" w:hAnsi="宋体" w:cs="宋体"/>
                <w:color w:val="000000"/>
                <w:szCs w:val="21"/>
              </w:rPr>
              <w:t>查询渠道：“信用中国”网站(www.creditchina.gov.cn) 、中国政府采购网(www.ccgp.gov.cn)</w:t>
            </w:r>
            <w:r>
              <w:rPr>
                <w:rFonts w:hint="eastAsia" w:ascii="宋体" w:hAnsi="宋体" w:cs="宋体"/>
                <w:color w:val="000000"/>
                <w:szCs w:val="21"/>
                <w:lang w:eastAsia="zh-CN"/>
              </w:rPr>
              <w:t>、中国执行信息公开网（https://zxgk.court.gov.cn/）</w:t>
            </w:r>
            <w:r>
              <w:rPr>
                <w:rFonts w:hint="eastAsia" w:ascii="宋体" w:hAnsi="宋体" w:cs="宋体"/>
                <w:color w:val="000000"/>
                <w:szCs w:val="21"/>
              </w:rPr>
              <w:t>。</w:t>
            </w:r>
          </w:p>
        </w:tc>
      </w:tr>
      <w:tr w14:paraId="19559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32A9A1DB">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614FF201">
            <w:pPr>
              <w:spacing w:line="380" w:lineRule="exact"/>
              <w:rPr>
                <w:rFonts w:ascii="宋体" w:hAnsi="宋体" w:cs="宋体"/>
                <w:color w:val="000000"/>
                <w:szCs w:val="21"/>
              </w:rPr>
            </w:pPr>
            <w:r>
              <w:rPr>
                <w:rFonts w:hint="eastAsia" w:ascii="宋体" w:hAnsi="宋体" w:cs="宋体"/>
                <w:color w:val="000000"/>
                <w:szCs w:val="21"/>
              </w:rPr>
              <w:t>信用查询截止时点</w:t>
            </w:r>
          </w:p>
        </w:tc>
        <w:tc>
          <w:tcPr>
            <w:tcW w:w="7609" w:type="dxa"/>
            <w:tcBorders>
              <w:top w:val="single" w:color="auto" w:sz="4" w:space="0"/>
              <w:left w:val="single" w:color="auto" w:sz="4" w:space="0"/>
              <w:bottom w:val="single" w:color="auto" w:sz="4" w:space="0"/>
              <w:right w:val="single" w:color="auto" w:sz="4" w:space="0"/>
            </w:tcBorders>
            <w:vAlign w:val="center"/>
          </w:tcPr>
          <w:p w14:paraId="19DF43F4">
            <w:pPr>
              <w:snapToGrid w:val="0"/>
              <w:spacing w:line="380" w:lineRule="exact"/>
              <w:rPr>
                <w:rFonts w:ascii="宋体" w:hAnsi="宋体" w:cs="宋体"/>
                <w:color w:val="000000"/>
                <w:szCs w:val="21"/>
              </w:rPr>
            </w:pPr>
            <w:r>
              <w:rPr>
                <w:rFonts w:hint="eastAsia" w:ascii="宋体" w:hAnsi="宋体" w:cs="宋体"/>
                <w:color w:val="000000"/>
                <w:szCs w:val="21"/>
              </w:rPr>
              <w:t>资格审查结束前</w:t>
            </w:r>
          </w:p>
        </w:tc>
      </w:tr>
      <w:tr w14:paraId="37300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12E4A702">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C0D8928">
            <w:pPr>
              <w:spacing w:line="380" w:lineRule="exact"/>
              <w:rPr>
                <w:rFonts w:ascii="宋体" w:hAnsi="宋体" w:cs="宋体"/>
                <w:color w:val="000000"/>
                <w:szCs w:val="21"/>
              </w:rPr>
            </w:pPr>
            <w:r>
              <w:rPr>
                <w:rFonts w:hint="eastAsia" w:ascii="宋体" w:hAnsi="宋体" w:cs="宋体"/>
                <w:color w:val="000000"/>
                <w:szCs w:val="21"/>
              </w:rPr>
              <w:t>查询记录和证据留存方式</w:t>
            </w:r>
          </w:p>
        </w:tc>
        <w:tc>
          <w:tcPr>
            <w:tcW w:w="7609" w:type="dxa"/>
            <w:tcBorders>
              <w:top w:val="single" w:color="auto" w:sz="4" w:space="0"/>
              <w:left w:val="single" w:color="auto" w:sz="4" w:space="0"/>
              <w:bottom w:val="single" w:color="auto" w:sz="4" w:space="0"/>
              <w:right w:val="single" w:color="auto" w:sz="4" w:space="0"/>
            </w:tcBorders>
            <w:vAlign w:val="center"/>
          </w:tcPr>
          <w:p w14:paraId="3981BB26">
            <w:pPr>
              <w:snapToGrid w:val="0"/>
              <w:spacing w:line="380" w:lineRule="exact"/>
              <w:rPr>
                <w:rFonts w:ascii="宋体" w:hAnsi="宋体" w:cs="宋体"/>
                <w:color w:val="000000"/>
                <w:szCs w:val="21"/>
              </w:rPr>
            </w:pPr>
            <w:r>
              <w:rPr>
                <w:rFonts w:hint="eastAsia" w:ascii="宋体" w:hAnsi="宋体" w:eastAsia="宋体" w:cs="宋体"/>
                <w:i w:val="0"/>
                <w:iCs w:val="0"/>
                <w:caps w:val="0"/>
                <w:color w:val="000000"/>
                <w:spacing w:val="0"/>
                <w:sz w:val="21"/>
                <w:szCs w:val="21"/>
                <w:highlight w:val="none"/>
                <w:shd w:val="clear"/>
              </w:rPr>
              <w:t>在查询网站中直接查询，并将查询结果存为电子文档，作为评审资料保存</w:t>
            </w:r>
          </w:p>
        </w:tc>
      </w:tr>
      <w:tr w14:paraId="075B4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0D878440">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48C5322">
            <w:pPr>
              <w:spacing w:line="380" w:lineRule="exact"/>
              <w:rPr>
                <w:rFonts w:ascii="宋体" w:hAnsi="宋体" w:cs="宋体"/>
                <w:color w:val="000000"/>
                <w:szCs w:val="21"/>
              </w:rPr>
            </w:pPr>
            <w:r>
              <w:rPr>
                <w:rFonts w:hint="eastAsia" w:ascii="宋体" w:hAnsi="宋体" w:cs="宋体"/>
                <w:color w:val="000000"/>
                <w:szCs w:val="21"/>
              </w:rPr>
              <w:t>信用信息使用规则</w:t>
            </w:r>
          </w:p>
        </w:tc>
        <w:tc>
          <w:tcPr>
            <w:tcW w:w="7609" w:type="dxa"/>
            <w:tcBorders>
              <w:top w:val="single" w:color="auto" w:sz="4" w:space="0"/>
              <w:left w:val="single" w:color="auto" w:sz="4" w:space="0"/>
              <w:bottom w:val="single" w:color="auto" w:sz="4" w:space="0"/>
              <w:right w:val="single" w:color="auto" w:sz="4" w:space="0"/>
            </w:tcBorders>
            <w:vAlign w:val="center"/>
          </w:tcPr>
          <w:p w14:paraId="1BB2F9D2">
            <w:pPr>
              <w:snapToGrid w:val="0"/>
              <w:spacing w:line="380" w:lineRule="exact"/>
              <w:rPr>
                <w:rFonts w:ascii="宋体" w:hAnsi="宋体" w:cs="宋体"/>
                <w:color w:val="000000"/>
                <w:szCs w:val="21"/>
              </w:rPr>
            </w:pPr>
            <w:r>
              <w:rPr>
                <w:rFonts w:hint="eastAsia" w:ascii="宋体" w:hAnsi="宋体" w:cs="宋体"/>
                <w:color w:val="000000"/>
                <w:szCs w:val="21"/>
              </w:rPr>
              <w:t>对在“信用中国”网站(www.creditchina.gov.cn) 、中国政府采购网(www.ccgp.gov.cn)</w:t>
            </w:r>
            <w:r>
              <w:rPr>
                <w:rFonts w:hint="eastAsia" w:ascii="宋体" w:hAnsi="宋体" w:cs="宋体"/>
                <w:color w:val="000000"/>
                <w:szCs w:val="21"/>
                <w:lang w:eastAsia="zh-CN"/>
              </w:rPr>
              <w:t>、中国执行信息公开网（https://zxgk.court.gov.cn/）</w:t>
            </w:r>
            <w:r>
              <w:rPr>
                <w:rFonts w:hint="eastAsia" w:ascii="宋体" w:hAnsi="宋体" w:cs="宋体"/>
                <w:color w:val="000000"/>
                <w:szCs w:val="21"/>
              </w:rPr>
              <w:t>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1951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1B17673C">
            <w:pPr>
              <w:spacing w:line="380" w:lineRule="exact"/>
              <w:jc w:val="center"/>
              <w:rPr>
                <w:rFonts w:ascii="宋体" w:hAnsi="宋体" w:cs="宋体"/>
                <w:color w:val="000000"/>
                <w:szCs w:val="21"/>
              </w:rPr>
            </w:pPr>
            <w:r>
              <w:rPr>
                <w:rFonts w:hint="eastAsia" w:ascii="宋体" w:hAnsi="宋体" w:cs="宋体"/>
                <w:color w:val="000000"/>
                <w:szCs w:val="21"/>
              </w:rPr>
              <w:t>29.1</w:t>
            </w:r>
          </w:p>
        </w:tc>
        <w:tc>
          <w:tcPr>
            <w:tcW w:w="1742" w:type="dxa"/>
            <w:tcBorders>
              <w:top w:val="single" w:color="auto" w:sz="4" w:space="0"/>
              <w:left w:val="single" w:color="auto" w:sz="4" w:space="0"/>
              <w:bottom w:val="single" w:color="auto" w:sz="4" w:space="0"/>
              <w:right w:val="single" w:color="auto" w:sz="4" w:space="0"/>
            </w:tcBorders>
            <w:vAlign w:val="center"/>
          </w:tcPr>
          <w:p w14:paraId="3181C34B">
            <w:pPr>
              <w:spacing w:line="380" w:lineRule="exact"/>
              <w:rPr>
                <w:rFonts w:ascii="宋体" w:hAnsi="宋体" w:cs="宋体"/>
                <w:color w:val="000000"/>
                <w:szCs w:val="21"/>
              </w:rPr>
            </w:pPr>
            <w:bookmarkStart w:id="98" w:name="_28.3"/>
            <w:bookmarkEnd w:id="98"/>
            <w:bookmarkStart w:id="99" w:name="_26"/>
            <w:bookmarkEnd w:id="99"/>
            <w:r>
              <w:rPr>
                <w:rFonts w:hint="eastAsia" w:ascii="宋体" w:hAnsi="宋体" w:cs="宋体"/>
                <w:color w:val="000000"/>
                <w:szCs w:val="21"/>
              </w:rPr>
              <w:t>评标方法</w:t>
            </w:r>
          </w:p>
        </w:tc>
        <w:tc>
          <w:tcPr>
            <w:tcW w:w="7609" w:type="dxa"/>
            <w:tcBorders>
              <w:top w:val="single" w:color="auto" w:sz="4" w:space="0"/>
              <w:left w:val="single" w:color="auto" w:sz="4" w:space="0"/>
              <w:bottom w:val="single" w:color="auto" w:sz="4" w:space="0"/>
              <w:right w:val="single" w:color="auto" w:sz="4" w:space="0"/>
            </w:tcBorders>
            <w:vAlign w:val="center"/>
          </w:tcPr>
          <w:p w14:paraId="3B5C25B6">
            <w:pPr>
              <w:autoSpaceDE w:val="0"/>
              <w:autoSpaceDN w:val="0"/>
              <w:snapToGrid w:val="0"/>
              <w:spacing w:line="380" w:lineRule="exact"/>
              <w:textAlignment w:val="bottom"/>
              <w:rPr>
                <w:rFonts w:ascii="宋体" w:hAnsi="宋体" w:cs="宋体"/>
                <w:color w:val="000000"/>
                <w:szCs w:val="21"/>
              </w:rPr>
            </w:pPr>
            <w:r>
              <w:rPr>
                <w:rFonts w:hint="eastAsia" w:ascii="宋体" w:hAnsi="宋体" w:cs="宋体"/>
                <w:color w:val="000000"/>
                <w:szCs w:val="21"/>
              </w:rPr>
              <w:t>☑综合评分法</w:t>
            </w:r>
          </w:p>
          <w:p w14:paraId="0E7C2A80">
            <w:pPr>
              <w:autoSpaceDE w:val="0"/>
              <w:autoSpaceDN w:val="0"/>
              <w:snapToGrid w:val="0"/>
              <w:spacing w:line="380" w:lineRule="exact"/>
              <w:textAlignment w:val="bottom"/>
              <w:rPr>
                <w:rFonts w:ascii="宋体" w:hAnsi="宋体" w:cs="宋体"/>
                <w:color w:val="000000"/>
                <w:szCs w:val="21"/>
              </w:rPr>
            </w:pPr>
            <w:r>
              <w:rPr>
                <w:rFonts w:hint="eastAsia" w:ascii="宋体" w:hAnsi="宋体" w:cs="宋体"/>
                <w:color w:val="000000"/>
                <w:szCs w:val="21"/>
              </w:rPr>
              <w:t>□最低评标价法</w:t>
            </w:r>
          </w:p>
        </w:tc>
      </w:tr>
      <w:tr w14:paraId="30625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79491B84">
            <w:pPr>
              <w:spacing w:line="380" w:lineRule="exact"/>
              <w:jc w:val="center"/>
              <w:rPr>
                <w:rFonts w:ascii="宋体" w:hAnsi="宋体" w:cs="宋体"/>
                <w:color w:val="000000"/>
                <w:szCs w:val="21"/>
              </w:rPr>
            </w:pPr>
            <w:r>
              <w:rPr>
                <w:rFonts w:hint="eastAsia" w:ascii="宋体" w:hAnsi="宋体" w:cs="宋体"/>
                <w:color w:val="000000"/>
                <w:szCs w:val="21"/>
              </w:rPr>
              <w:t>30.1</w:t>
            </w:r>
          </w:p>
        </w:tc>
        <w:tc>
          <w:tcPr>
            <w:tcW w:w="1742" w:type="dxa"/>
            <w:tcBorders>
              <w:top w:val="single" w:color="auto" w:sz="4" w:space="0"/>
              <w:left w:val="single" w:color="auto" w:sz="4" w:space="0"/>
              <w:bottom w:val="single" w:color="auto" w:sz="4" w:space="0"/>
              <w:right w:val="single" w:color="auto" w:sz="4" w:space="0"/>
            </w:tcBorders>
            <w:vAlign w:val="center"/>
          </w:tcPr>
          <w:p w14:paraId="0101F3EA">
            <w:pPr>
              <w:autoSpaceDE w:val="0"/>
              <w:autoSpaceDN w:val="0"/>
              <w:snapToGrid w:val="0"/>
              <w:spacing w:line="380" w:lineRule="exact"/>
              <w:textAlignment w:val="bottom"/>
              <w:rPr>
                <w:rFonts w:ascii="宋体" w:hAnsi="宋体" w:cs="宋体"/>
                <w:color w:val="000000"/>
                <w:szCs w:val="21"/>
              </w:rPr>
            </w:pPr>
            <w:r>
              <w:rPr>
                <w:rFonts w:hint="eastAsia" w:ascii="宋体" w:hAnsi="宋体" w:cs="宋体"/>
                <w:color w:val="000000"/>
                <w:szCs w:val="21"/>
              </w:rPr>
              <w:t>中标候选人</w:t>
            </w:r>
            <w:r>
              <w:rPr>
                <w:rFonts w:hint="eastAsia" w:ascii="宋体" w:hAnsi="宋体" w:cs="宋体"/>
                <w:szCs w:val="21"/>
              </w:rPr>
              <w:t>排名</w:t>
            </w:r>
            <w:r>
              <w:rPr>
                <w:rFonts w:hint="eastAsia" w:ascii="宋体" w:hAnsi="宋体" w:cs="宋体"/>
                <w:color w:val="000000"/>
                <w:szCs w:val="21"/>
              </w:rPr>
              <w:t xml:space="preserve">并列时，确定中标人的方式 </w:t>
            </w:r>
          </w:p>
        </w:tc>
        <w:tc>
          <w:tcPr>
            <w:tcW w:w="7609" w:type="dxa"/>
            <w:tcBorders>
              <w:top w:val="single" w:color="auto" w:sz="4" w:space="0"/>
              <w:left w:val="single" w:color="auto" w:sz="4" w:space="0"/>
              <w:bottom w:val="single" w:color="auto" w:sz="4" w:space="0"/>
              <w:right w:val="single" w:color="auto" w:sz="4" w:space="0"/>
            </w:tcBorders>
            <w:vAlign w:val="center"/>
          </w:tcPr>
          <w:p w14:paraId="5B3F07F1">
            <w:pPr>
              <w:pStyle w:val="8"/>
              <w:spacing w:line="380" w:lineRule="exact"/>
              <w:rPr>
                <w:b/>
                <w:bCs/>
                <w:color w:val="000000"/>
              </w:rPr>
            </w:pPr>
            <w:r>
              <w:rPr>
                <w:rFonts w:hint="eastAsia" w:ascii="宋体" w:hAnsi="宋体" w:cs="宋体"/>
                <w:color w:val="000000"/>
                <w:szCs w:val="21"/>
              </w:rPr>
              <w:t>中标候选人并列的，采购人按以下方式确定中标人：</w:t>
            </w:r>
          </w:p>
          <w:p w14:paraId="7A167E53">
            <w:pPr>
              <w:pStyle w:val="8"/>
              <w:spacing w:line="380" w:lineRule="exact"/>
              <w:rPr>
                <w:rFonts w:ascii="宋体" w:hAnsi="宋体" w:cs="宋体"/>
                <w:color w:val="000000"/>
                <w:szCs w:val="21"/>
              </w:rPr>
            </w:pPr>
            <w:r>
              <w:rPr>
                <w:rFonts w:hint="eastAsia" w:ascii="宋体" w:hAnsi="宋体" w:cs="宋体"/>
                <w:color w:val="000000"/>
                <w:szCs w:val="21"/>
              </w:rPr>
              <w:t>1.综合评分法</w:t>
            </w:r>
          </w:p>
          <w:p w14:paraId="1FC37DC4">
            <w:pPr>
              <w:snapToGrid w:val="0"/>
              <w:spacing w:line="380" w:lineRule="exact"/>
              <w:textAlignment w:val="bottom"/>
              <w:rPr>
                <w:rFonts w:ascii="宋体" w:hAnsi="宋体" w:cs="宋体"/>
                <w:b/>
                <w:bCs/>
                <w:i/>
                <w:iCs/>
                <w:color w:val="000000"/>
                <w:szCs w:val="21"/>
                <w:highlight w:val="cyan"/>
              </w:rPr>
            </w:pPr>
            <w:r>
              <w:rPr>
                <w:rFonts w:hint="eastAsia" w:ascii="宋体" w:hAnsi="宋体" w:cs="宋体"/>
                <w:color w:val="000000"/>
                <w:szCs w:val="21"/>
              </w:rPr>
              <w:t>☑以</w:t>
            </w:r>
            <w:r>
              <w:rPr>
                <w:rFonts w:hint="eastAsia" w:hAnsi="宋体"/>
              </w:rPr>
              <w:t>技术分得分由高到低顺序</w:t>
            </w:r>
            <w:r>
              <w:rPr>
                <w:rFonts w:hint="eastAsia" w:ascii="宋体" w:hAnsi="宋体" w:cs="宋体"/>
                <w:color w:val="000000"/>
                <w:szCs w:val="21"/>
              </w:rPr>
              <w:t xml:space="preserve">确定中标人。 </w:t>
            </w:r>
          </w:p>
          <w:p w14:paraId="4B06DFFC">
            <w:pPr>
              <w:pStyle w:val="8"/>
              <w:spacing w:line="380" w:lineRule="exact"/>
              <w:rPr>
                <w:rFonts w:ascii="宋体" w:hAnsi="宋体" w:cs="宋体"/>
                <w:color w:val="000000"/>
              </w:rPr>
            </w:pPr>
            <w:r>
              <w:rPr>
                <w:rFonts w:hint="eastAsia" w:ascii="宋体" w:hAnsi="宋体" w:cs="宋体"/>
                <w:color w:val="000000"/>
                <w:szCs w:val="21"/>
              </w:rPr>
              <w:t>□</w:t>
            </w:r>
            <w:r>
              <w:rPr>
                <w:rFonts w:ascii="宋体" w:hAnsi="宋体" w:cs="宋体"/>
                <w:color w:val="000000"/>
              </w:rPr>
              <w:t>采取随机抽取的方式确定</w:t>
            </w:r>
            <w:r>
              <w:rPr>
                <w:rFonts w:hint="eastAsia" w:ascii="宋体" w:hAnsi="宋体" w:cs="宋体"/>
                <w:color w:val="000000"/>
              </w:rPr>
              <w:t>。</w:t>
            </w:r>
          </w:p>
          <w:p w14:paraId="058D6738">
            <w:pPr>
              <w:pStyle w:val="8"/>
              <w:spacing w:line="380" w:lineRule="exact"/>
              <w:rPr>
                <w:rFonts w:ascii="宋体" w:hAnsi="宋体" w:cs="宋体"/>
                <w:color w:val="000000"/>
              </w:rPr>
            </w:pPr>
            <w:r>
              <w:rPr>
                <w:rFonts w:hint="eastAsia" w:ascii="宋体" w:hAnsi="宋体" w:cs="宋体"/>
                <w:color w:val="000000"/>
              </w:rPr>
              <w:t>2.最低评标价法</w:t>
            </w:r>
          </w:p>
          <w:p w14:paraId="3B39F018">
            <w:pPr>
              <w:pStyle w:val="8"/>
              <w:spacing w:line="380" w:lineRule="exact"/>
              <w:rPr>
                <w:rFonts w:hAnsi="宋体"/>
              </w:rPr>
            </w:pPr>
            <w:r>
              <w:rPr>
                <w:rFonts w:hint="eastAsia" w:hAnsi="宋体"/>
              </w:rPr>
              <w:t>□以投标报价由低到高顺序</w:t>
            </w:r>
            <w:r>
              <w:rPr>
                <w:rFonts w:hint="eastAsia" w:ascii="宋体" w:hAnsi="宋体" w:cs="宋体"/>
                <w:color w:val="000000"/>
                <w:szCs w:val="21"/>
              </w:rPr>
              <w:t>确定中标人</w:t>
            </w:r>
            <w:r>
              <w:rPr>
                <w:rFonts w:hint="eastAsia" w:hAnsi="宋体"/>
              </w:rPr>
              <w:t>。</w:t>
            </w:r>
          </w:p>
          <w:p w14:paraId="508A3AAB">
            <w:pPr>
              <w:pStyle w:val="8"/>
              <w:spacing w:line="380" w:lineRule="exact"/>
              <w:rPr>
                <w:rFonts w:ascii="宋体" w:hAnsi="宋体" w:cs="宋体"/>
                <w:color w:val="000000"/>
              </w:rPr>
            </w:pPr>
            <w:r>
              <w:rPr>
                <w:rFonts w:hint="eastAsia" w:hAnsi="宋体"/>
              </w:rPr>
              <w:t>□采取随机抽取的方式确定。</w:t>
            </w:r>
          </w:p>
        </w:tc>
      </w:tr>
      <w:tr w14:paraId="7FAB5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252ADD4C">
            <w:pPr>
              <w:spacing w:line="380" w:lineRule="exact"/>
              <w:jc w:val="center"/>
              <w:rPr>
                <w:rFonts w:ascii="宋体" w:hAnsi="宋体" w:cs="宋体"/>
                <w:color w:val="000000"/>
                <w:szCs w:val="21"/>
              </w:rPr>
            </w:pPr>
            <w:r>
              <w:rPr>
                <w:rFonts w:hint="eastAsia" w:ascii="宋体" w:hAnsi="宋体" w:cs="宋体"/>
                <w:szCs w:val="21"/>
              </w:rPr>
              <w:t>35.1</w:t>
            </w:r>
          </w:p>
        </w:tc>
        <w:tc>
          <w:tcPr>
            <w:tcW w:w="1742" w:type="dxa"/>
            <w:tcBorders>
              <w:top w:val="single" w:color="auto" w:sz="4" w:space="0"/>
              <w:left w:val="single" w:color="auto" w:sz="4" w:space="0"/>
              <w:bottom w:val="single" w:color="auto" w:sz="4" w:space="0"/>
              <w:right w:val="single" w:color="auto" w:sz="4" w:space="0"/>
            </w:tcBorders>
            <w:vAlign w:val="center"/>
          </w:tcPr>
          <w:p w14:paraId="63C33E03">
            <w:pPr>
              <w:spacing w:line="380" w:lineRule="exact"/>
              <w:rPr>
                <w:rFonts w:ascii="宋体" w:hAnsi="宋体" w:cs="宋体"/>
                <w:color w:val="000000"/>
                <w:szCs w:val="21"/>
              </w:rPr>
            </w:pPr>
            <w:bookmarkStart w:id="100" w:name="_39.1"/>
            <w:bookmarkEnd w:id="100"/>
            <w:r>
              <w:rPr>
                <w:rFonts w:hint="eastAsia" w:ascii="宋体" w:hAnsi="宋体" w:cs="宋体"/>
                <w:color w:val="000000"/>
                <w:szCs w:val="21"/>
              </w:rPr>
              <w:t>履约保证金金额</w:t>
            </w:r>
          </w:p>
        </w:tc>
        <w:tc>
          <w:tcPr>
            <w:tcW w:w="7609" w:type="dxa"/>
            <w:tcBorders>
              <w:top w:val="single" w:color="auto" w:sz="4" w:space="0"/>
              <w:left w:val="single" w:color="auto" w:sz="4" w:space="0"/>
              <w:bottom w:val="single" w:color="auto" w:sz="4" w:space="0"/>
              <w:right w:val="single" w:color="auto" w:sz="4" w:space="0"/>
            </w:tcBorders>
            <w:vAlign w:val="center"/>
          </w:tcPr>
          <w:p w14:paraId="77A10ADC">
            <w:pPr>
              <w:spacing w:line="360" w:lineRule="auto"/>
              <w:rPr>
                <w:rFonts w:ascii="宋体" w:hAnsi="宋体" w:cs="宋体"/>
                <w:color w:val="000000"/>
                <w:szCs w:val="21"/>
              </w:rPr>
            </w:pPr>
            <w:r>
              <w:rPr>
                <w:rFonts w:hint="eastAsia" w:ascii="宋体" w:hAnsi="宋体" w:cs="宋体"/>
                <w:b/>
                <w:bCs/>
                <w:szCs w:val="21"/>
              </w:rPr>
              <w:t>本项目不需要缴</w:t>
            </w:r>
            <w:r>
              <w:rPr>
                <w:rFonts w:hint="eastAsia" w:ascii="宋体" w:hAnsi="宋体" w:cs="宋体"/>
                <w:b/>
                <w:bCs/>
                <w:kern w:val="0"/>
                <w:szCs w:val="21"/>
              </w:rPr>
              <w:t>纳</w:t>
            </w:r>
            <w:r>
              <w:rPr>
                <w:rFonts w:hint="eastAsia" w:ascii="宋体" w:hAnsi="宋体" w:cs="宋体"/>
                <w:b/>
                <w:bCs/>
                <w:szCs w:val="21"/>
              </w:rPr>
              <w:t>履约保证金。</w:t>
            </w:r>
          </w:p>
        </w:tc>
      </w:tr>
      <w:tr w14:paraId="1447D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50D3FEF4">
            <w:pPr>
              <w:spacing w:line="380" w:lineRule="exact"/>
              <w:jc w:val="center"/>
              <w:rPr>
                <w:rFonts w:ascii="宋体" w:hAnsi="宋体" w:cs="宋体"/>
                <w:szCs w:val="21"/>
              </w:rPr>
            </w:pPr>
            <w:r>
              <w:rPr>
                <w:rFonts w:hint="eastAsia" w:ascii="宋体" w:hAnsi="宋体" w:cs="宋体"/>
                <w:szCs w:val="21"/>
              </w:rPr>
              <w:t>36.1</w:t>
            </w:r>
          </w:p>
        </w:tc>
        <w:tc>
          <w:tcPr>
            <w:tcW w:w="1742" w:type="dxa"/>
            <w:tcBorders>
              <w:top w:val="single" w:color="auto" w:sz="4" w:space="0"/>
              <w:left w:val="single" w:color="auto" w:sz="4" w:space="0"/>
              <w:bottom w:val="single" w:color="auto" w:sz="4" w:space="0"/>
              <w:right w:val="single" w:color="auto" w:sz="4" w:space="0"/>
            </w:tcBorders>
            <w:vAlign w:val="center"/>
          </w:tcPr>
          <w:p w14:paraId="6018BC67">
            <w:pPr>
              <w:spacing w:line="380" w:lineRule="exact"/>
              <w:rPr>
                <w:rFonts w:ascii="宋体" w:hAnsi="宋体" w:cs="宋体"/>
                <w:szCs w:val="21"/>
              </w:rPr>
            </w:pPr>
            <w:bookmarkStart w:id="101" w:name="_40.1"/>
            <w:bookmarkEnd w:id="101"/>
            <w:r>
              <w:rPr>
                <w:rFonts w:hint="eastAsia" w:ascii="宋体" w:hAnsi="宋体" w:cs="宋体"/>
                <w:szCs w:val="21"/>
              </w:rPr>
              <w:t>签订合同携带的材料</w:t>
            </w:r>
          </w:p>
        </w:tc>
        <w:tc>
          <w:tcPr>
            <w:tcW w:w="7609" w:type="dxa"/>
            <w:tcBorders>
              <w:top w:val="single" w:color="auto" w:sz="4" w:space="0"/>
              <w:left w:val="single" w:color="auto" w:sz="4" w:space="0"/>
              <w:bottom w:val="single" w:color="auto" w:sz="4" w:space="0"/>
              <w:right w:val="single" w:color="auto" w:sz="4" w:space="0"/>
            </w:tcBorders>
            <w:vAlign w:val="center"/>
          </w:tcPr>
          <w:p w14:paraId="072EB7B5">
            <w:pPr>
              <w:autoSpaceDE w:val="0"/>
              <w:autoSpaceDN w:val="0"/>
              <w:snapToGrid w:val="0"/>
              <w:spacing w:line="360" w:lineRule="auto"/>
              <w:textAlignment w:val="bottom"/>
              <w:rPr>
                <w:rFonts w:ascii="宋体" w:hAnsi="宋体" w:cs="宋体"/>
                <w:szCs w:val="21"/>
              </w:rPr>
            </w:pPr>
            <w:r>
              <w:rPr>
                <w:rFonts w:hint="eastAsia" w:ascii="宋体" w:hAnsi="宋体" w:cs="宋体"/>
                <w:szCs w:val="21"/>
              </w:rPr>
              <w:t>委托代理人负责签订合同的，须携带有效的法定代表人授权委托书及其委托代理人身份证原件等其他资格证件。</w:t>
            </w:r>
          </w:p>
          <w:p w14:paraId="19B86123">
            <w:pPr>
              <w:autoSpaceDE w:val="0"/>
              <w:autoSpaceDN w:val="0"/>
              <w:snapToGrid w:val="0"/>
              <w:spacing w:line="380" w:lineRule="exact"/>
              <w:textAlignment w:val="bottom"/>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25BB3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89" w:type="dxa"/>
            <w:vMerge w:val="restart"/>
            <w:tcBorders>
              <w:top w:val="single" w:color="auto" w:sz="4" w:space="0"/>
              <w:left w:val="single" w:color="auto" w:sz="4" w:space="0"/>
              <w:bottom w:val="single" w:color="auto" w:sz="4" w:space="0"/>
              <w:right w:val="single" w:color="auto" w:sz="4" w:space="0"/>
            </w:tcBorders>
            <w:vAlign w:val="center"/>
          </w:tcPr>
          <w:p w14:paraId="59978AA8">
            <w:pPr>
              <w:spacing w:line="380" w:lineRule="exact"/>
              <w:jc w:val="center"/>
              <w:rPr>
                <w:rFonts w:ascii="宋体" w:hAnsi="宋体" w:cs="宋体"/>
                <w:color w:val="000000"/>
                <w:szCs w:val="21"/>
              </w:rPr>
            </w:pPr>
            <w:r>
              <w:rPr>
                <w:rFonts w:hint="eastAsia" w:ascii="宋体" w:hAnsi="宋体" w:cs="宋体"/>
                <w:color w:val="000000"/>
                <w:szCs w:val="21"/>
              </w:rPr>
              <w:t>38.2.1</w:t>
            </w:r>
          </w:p>
        </w:tc>
        <w:tc>
          <w:tcPr>
            <w:tcW w:w="1742" w:type="dxa"/>
            <w:tcBorders>
              <w:top w:val="single" w:color="auto" w:sz="4" w:space="0"/>
              <w:left w:val="single" w:color="auto" w:sz="4" w:space="0"/>
              <w:bottom w:val="single" w:color="auto" w:sz="4" w:space="0"/>
              <w:right w:val="single" w:color="auto" w:sz="4" w:space="0"/>
            </w:tcBorders>
            <w:vAlign w:val="center"/>
          </w:tcPr>
          <w:p w14:paraId="6DAF49B4">
            <w:pPr>
              <w:spacing w:line="380" w:lineRule="exact"/>
              <w:rPr>
                <w:rFonts w:ascii="宋体" w:hAnsi="宋体" w:cs="宋体"/>
                <w:color w:val="000000"/>
                <w:szCs w:val="21"/>
              </w:rPr>
            </w:pPr>
            <w:r>
              <w:rPr>
                <w:rFonts w:hint="eastAsia" w:ascii="宋体" w:hAnsi="宋体" w:cs="宋体"/>
                <w:color w:val="000000"/>
                <w:szCs w:val="21"/>
              </w:rPr>
              <w:t>接收质疑函方式</w:t>
            </w:r>
          </w:p>
        </w:tc>
        <w:tc>
          <w:tcPr>
            <w:tcW w:w="7609" w:type="dxa"/>
            <w:tcBorders>
              <w:top w:val="single" w:color="auto" w:sz="4" w:space="0"/>
              <w:left w:val="single" w:color="auto" w:sz="4" w:space="0"/>
              <w:bottom w:val="single" w:color="auto" w:sz="4" w:space="0"/>
              <w:right w:val="single" w:color="auto" w:sz="4" w:space="0"/>
            </w:tcBorders>
            <w:vAlign w:val="center"/>
          </w:tcPr>
          <w:p w14:paraId="78272A03">
            <w:pPr>
              <w:snapToGrid w:val="0"/>
              <w:spacing w:line="380" w:lineRule="exact"/>
              <w:rPr>
                <w:rFonts w:ascii="宋体" w:hAnsi="宋体" w:cs="宋体"/>
                <w:color w:val="000000"/>
                <w:szCs w:val="21"/>
              </w:rPr>
            </w:pPr>
            <w:r>
              <w:rPr>
                <w:rFonts w:hint="eastAsia" w:ascii="宋体" w:hAnsi="宋体" w:cs="宋体"/>
                <w:color w:val="000000"/>
                <w:szCs w:val="21"/>
              </w:rPr>
              <w:t>以书面形式</w:t>
            </w:r>
          </w:p>
        </w:tc>
      </w:tr>
      <w:tr w14:paraId="7BA2B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48E8C80D">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44BAE2CF">
            <w:pPr>
              <w:spacing w:line="380" w:lineRule="exact"/>
              <w:rPr>
                <w:rFonts w:ascii="宋体" w:hAnsi="宋体" w:cs="宋体"/>
                <w:color w:val="000000"/>
                <w:szCs w:val="21"/>
              </w:rPr>
            </w:pPr>
            <w:r>
              <w:rPr>
                <w:rFonts w:hint="eastAsia" w:ascii="宋体" w:hAnsi="宋体" w:cs="宋体"/>
                <w:color w:val="000000"/>
                <w:szCs w:val="21"/>
              </w:rPr>
              <w:t>质疑联系部门及联系方式</w:t>
            </w:r>
          </w:p>
        </w:tc>
        <w:tc>
          <w:tcPr>
            <w:tcW w:w="7609" w:type="dxa"/>
            <w:tcBorders>
              <w:top w:val="single" w:color="auto" w:sz="4" w:space="0"/>
              <w:left w:val="single" w:color="auto" w:sz="4" w:space="0"/>
              <w:bottom w:val="single" w:color="auto" w:sz="4" w:space="0"/>
              <w:right w:val="single" w:color="auto" w:sz="4" w:space="0"/>
            </w:tcBorders>
            <w:vAlign w:val="center"/>
          </w:tcPr>
          <w:p w14:paraId="18B7CC5C">
            <w:pPr>
              <w:snapToGrid w:val="0"/>
              <w:spacing w:line="380" w:lineRule="exact"/>
              <w:rPr>
                <w:rFonts w:hint="eastAsia" w:ascii="宋体" w:hAnsi="宋体" w:eastAsia="宋体" w:cs="宋体"/>
                <w:szCs w:val="21"/>
                <w:lang w:eastAsia="zh-CN"/>
              </w:rPr>
            </w:pPr>
            <w:r>
              <w:rPr>
                <w:rFonts w:hint="eastAsia" w:ascii="宋体" w:hAnsi="宋体" w:cs="宋体"/>
                <w:szCs w:val="21"/>
              </w:rPr>
              <w:t xml:space="preserve">（1）名称： </w:t>
            </w:r>
            <w:r>
              <w:rPr>
                <w:rFonts w:hint="eastAsia" w:ascii="宋体" w:hAnsi="宋体" w:cs="宋体"/>
                <w:szCs w:val="21"/>
                <w:lang w:eastAsia="zh-CN"/>
              </w:rPr>
              <w:t>桂林市中西医结合医院</w:t>
            </w:r>
          </w:p>
          <w:p w14:paraId="4875DB21">
            <w:pPr>
              <w:snapToGrid w:val="0"/>
              <w:spacing w:line="380" w:lineRule="exact"/>
              <w:rPr>
                <w:rFonts w:ascii="宋体" w:hAnsi="宋体" w:cs="宋体"/>
                <w:szCs w:val="21"/>
              </w:rPr>
            </w:pPr>
            <w:r>
              <w:rPr>
                <w:rFonts w:hint="eastAsia" w:ascii="宋体" w:hAnsi="宋体" w:cs="宋体"/>
                <w:szCs w:val="21"/>
              </w:rPr>
              <w:t>联系电话：0773-</w:t>
            </w:r>
            <w:r>
              <w:rPr>
                <w:rFonts w:hint="eastAsia" w:ascii="宋体" w:hAnsi="宋体" w:cs="宋体"/>
                <w:szCs w:val="21"/>
                <w:lang w:eastAsia="zh-CN"/>
              </w:rPr>
              <w:t>6790030</w:t>
            </w:r>
            <w:r>
              <w:rPr>
                <w:rFonts w:hint="eastAsia" w:ascii="宋体" w:hAnsi="宋体" w:cs="宋体"/>
                <w:szCs w:val="21"/>
              </w:rPr>
              <w:t xml:space="preserve"> </w:t>
            </w:r>
          </w:p>
          <w:p w14:paraId="4F0ABCFF">
            <w:pPr>
              <w:snapToGrid w:val="0"/>
              <w:spacing w:line="380" w:lineRule="exact"/>
              <w:rPr>
                <w:rFonts w:ascii="宋体" w:hAnsi="宋体" w:cs="宋体"/>
                <w:szCs w:val="21"/>
              </w:rPr>
            </w:pPr>
            <w:r>
              <w:rPr>
                <w:rFonts w:hint="eastAsia" w:ascii="宋体" w:hAnsi="宋体" w:cs="宋体"/>
                <w:szCs w:val="21"/>
              </w:rPr>
              <w:t>通讯地址：</w:t>
            </w:r>
            <w:r>
              <w:rPr>
                <w:rFonts w:hint="eastAsia" w:ascii="宋体" w:hAnsi="宋体" w:cs="宋体"/>
                <w:szCs w:val="21"/>
                <w:lang w:eastAsia="zh-CN"/>
              </w:rPr>
              <w:t>桂林市七星区半塘路6号</w:t>
            </w:r>
            <w:r>
              <w:rPr>
                <w:rFonts w:hint="eastAsia" w:ascii="宋体" w:hAnsi="宋体" w:cs="宋体"/>
                <w:szCs w:val="21"/>
              </w:rPr>
              <w:t xml:space="preserve">    </w:t>
            </w:r>
          </w:p>
          <w:p w14:paraId="0BF664F2">
            <w:pPr>
              <w:snapToGrid w:val="0"/>
              <w:spacing w:line="380" w:lineRule="exact"/>
              <w:rPr>
                <w:rFonts w:ascii="宋体" w:hAnsi="宋体" w:cs="宋体"/>
                <w:szCs w:val="21"/>
              </w:rPr>
            </w:pPr>
            <w:r>
              <w:rPr>
                <w:rFonts w:hint="eastAsia" w:ascii="宋体" w:hAnsi="宋体" w:cs="宋体"/>
                <w:szCs w:val="21"/>
              </w:rPr>
              <w:t>（2）名称：广西科联招标中心有限公司</w:t>
            </w:r>
          </w:p>
          <w:p w14:paraId="6CFE1209">
            <w:pPr>
              <w:snapToGrid w:val="0"/>
              <w:spacing w:line="380" w:lineRule="exact"/>
              <w:rPr>
                <w:rFonts w:ascii="宋体" w:hAnsi="宋体" w:cs="宋体"/>
                <w:szCs w:val="21"/>
              </w:rPr>
            </w:pPr>
            <w:r>
              <w:rPr>
                <w:rFonts w:hint="eastAsia" w:ascii="宋体" w:hAnsi="宋体" w:cs="宋体"/>
                <w:szCs w:val="21"/>
              </w:rPr>
              <w:t xml:space="preserve">联系电话：0773-5442932 </w:t>
            </w:r>
          </w:p>
          <w:p w14:paraId="71E3C5F8">
            <w:pPr>
              <w:snapToGrid w:val="0"/>
              <w:spacing w:line="380" w:lineRule="exact"/>
              <w:rPr>
                <w:rFonts w:ascii="宋体" w:hAnsi="宋体" w:cs="宋体"/>
                <w:szCs w:val="21"/>
              </w:rPr>
            </w:pPr>
            <w:r>
              <w:rPr>
                <w:rFonts w:hint="eastAsia" w:ascii="宋体" w:hAnsi="宋体" w:cs="宋体"/>
                <w:szCs w:val="21"/>
              </w:rPr>
              <w:t xml:space="preserve">通讯地址：桂林市七星区东江路28号28-8栋 </w:t>
            </w:r>
          </w:p>
        </w:tc>
      </w:tr>
      <w:tr w14:paraId="57AFF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59989083">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62FFED66">
            <w:pPr>
              <w:spacing w:line="380" w:lineRule="exact"/>
              <w:rPr>
                <w:rFonts w:ascii="宋体" w:hAnsi="宋体" w:cs="宋体"/>
                <w:color w:val="000000"/>
                <w:szCs w:val="21"/>
              </w:rPr>
            </w:pPr>
            <w:r>
              <w:rPr>
                <w:rFonts w:hint="eastAsia" w:ascii="宋体" w:hAnsi="宋体" w:cs="宋体"/>
                <w:color w:val="000000"/>
                <w:szCs w:val="21"/>
              </w:rPr>
              <w:t>现场提交质疑办理业务时间</w:t>
            </w:r>
          </w:p>
        </w:tc>
        <w:tc>
          <w:tcPr>
            <w:tcW w:w="7609" w:type="dxa"/>
            <w:tcBorders>
              <w:top w:val="single" w:color="auto" w:sz="4" w:space="0"/>
              <w:left w:val="single" w:color="auto" w:sz="4" w:space="0"/>
              <w:bottom w:val="single" w:color="auto" w:sz="4" w:space="0"/>
              <w:right w:val="single" w:color="auto" w:sz="4" w:space="0"/>
            </w:tcBorders>
            <w:vAlign w:val="center"/>
          </w:tcPr>
          <w:p w14:paraId="296AD2E5">
            <w:pPr>
              <w:snapToGrid w:val="0"/>
              <w:spacing w:line="380" w:lineRule="exact"/>
              <w:rPr>
                <w:rFonts w:ascii="宋体" w:hAnsi="宋体" w:cs="宋体"/>
                <w:color w:val="000000"/>
                <w:szCs w:val="21"/>
              </w:rPr>
            </w:pPr>
            <w:r>
              <w:rPr>
                <w:rFonts w:hint="eastAsia" w:ascii="宋体" w:hAnsi="宋体" w:cs="宋体"/>
                <w:color w:val="000000"/>
                <w:szCs w:val="21"/>
              </w:rPr>
              <w:t>质疑期内每个工作日（北京时间）上午</w:t>
            </w:r>
            <w:r>
              <w:rPr>
                <w:rFonts w:hint="eastAsia" w:ascii="宋体" w:hAnsi="宋体" w:cs="宋体"/>
                <w:color w:val="000000"/>
                <w:szCs w:val="21"/>
                <w:u w:val="single"/>
              </w:rPr>
              <w:t>9</w:t>
            </w:r>
            <w:r>
              <w:rPr>
                <w:rFonts w:hint="eastAsia" w:ascii="宋体" w:hAnsi="宋体" w:cs="宋体"/>
                <w:color w:val="000000"/>
                <w:szCs w:val="21"/>
              </w:rPr>
              <w:t>时</w:t>
            </w:r>
            <w:r>
              <w:rPr>
                <w:rFonts w:hint="eastAsia" w:ascii="宋体" w:hAnsi="宋体" w:cs="宋体"/>
                <w:color w:val="000000"/>
                <w:szCs w:val="21"/>
                <w:u w:val="single"/>
              </w:rPr>
              <w:t>00</w:t>
            </w:r>
            <w:r>
              <w:rPr>
                <w:rFonts w:hint="eastAsia" w:ascii="宋体" w:hAnsi="宋体" w:cs="宋体"/>
                <w:color w:val="000000"/>
                <w:szCs w:val="21"/>
              </w:rPr>
              <w:t>分到</w:t>
            </w:r>
            <w:r>
              <w:rPr>
                <w:rFonts w:hint="eastAsia" w:ascii="宋体" w:hAnsi="宋体" w:cs="宋体"/>
                <w:color w:val="000000"/>
                <w:szCs w:val="21"/>
                <w:u w:val="single"/>
              </w:rPr>
              <w:t>12</w:t>
            </w:r>
            <w:r>
              <w:rPr>
                <w:rFonts w:hint="eastAsia" w:ascii="宋体" w:hAnsi="宋体" w:cs="宋体"/>
                <w:color w:val="000000"/>
                <w:szCs w:val="21"/>
              </w:rPr>
              <w:t>时</w:t>
            </w:r>
            <w:r>
              <w:rPr>
                <w:rFonts w:hint="eastAsia" w:ascii="宋体" w:hAnsi="宋体" w:cs="宋体"/>
                <w:color w:val="000000"/>
                <w:szCs w:val="21"/>
                <w:u w:val="single"/>
              </w:rPr>
              <w:t>00</w:t>
            </w:r>
            <w:r>
              <w:rPr>
                <w:rFonts w:hint="eastAsia" w:ascii="宋体" w:hAnsi="宋体" w:cs="宋体"/>
                <w:color w:val="000000"/>
                <w:szCs w:val="21"/>
              </w:rPr>
              <w:t>分，下午</w:t>
            </w:r>
            <w:r>
              <w:rPr>
                <w:rFonts w:hint="eastAsia" w:ascii="宋体" w:hAnsi="宋体" w:cs="宋体"/>
                <w:color w:val="000000"/>
                <w:szCs w:val="21"/>
                <w:u w:val="single"/>
              </w:rPr>
              <w:t>14</w:t>
            </w:r>
            <w:r>
              <w:rPr>
                <w:rFonts w:hint="eastAsia" w:ascii="宋体" w:hAnsi="宋体" w:cs="宋体"/>
                <w:color w:val="000000"/>
                <w:szCs w:val="21"/>
              </w:rPr>
              <w:t>时</w:t>
            </w:r>
            <w:r>
              <w:rPr>
                <w:rFonts w:hint="eastAsia" w:ascii="宋体" w:hAnsi="宋体" w:cs="宋体"/>
                <w:color w:val="000000"/>
                <w:szCs w:val="21"/>
                <w:u w:val="single"/>
              </w:rPr>
              <w:t>30</w:t>
            </w:r>
            <w:r>
              <w:rPr>
                <w:rFonts w:hint="eastAsia" w:ascii="宋体" w:hAnsi="宋体" w:cs="宋体"/>
                <w:color w:val="000000"/>
                <w:szCs w:val="21"/>
              </w:rPr>
              <w:t>分到</w:t>
            </w:r>
            <w:r>
              <w:rPr>
                <w:rFonts w:hint="eastAsia" w:ascii="宋体" w:hAnsi="宋体" w:cs="宋体"/>
                <w:color w:val="000000"/>
                <w:szCs w:val="21"/>
                <w:u w:val="single"/>
              </w:rPr>
              <w:t>17</w:t>
            </w:r>
            <w:r>
              <w:rPr>
                <w:rFonts w:hint="eastAsia" w:ascii="宋体" w:hAnsi="宋体" w:cs="宋体"/>
                <w:color w:val="000000"/>
                <w:szCs w:val="21"/>
              </w:rPr>
              <w:t>时</w:t>
            </w:r>
            <w:r>
              <w:rPr>
                <w:rFonts w:hint="eastAsia" w:ascii="宋体" w:hAnsi="宋体" w:cs="宋体"/>
                <w:color w:val="000000"/>
                <w:szCs w:val="21"/>
                <w:u w:val="single"/>
              </w:rPr>
              <w:t>30</w:t>
            </w:r>
            <w:r>
              <w:rPr>
                <w:rFonts w:hint="eastAsia" w:ascii="宋体" w:hAnsi="宋体" w:cs="宋体"/>
                <w:color w:val="000000"/>
                <w:szCs w:val="21"/>
              </w:rPr>
              <w:t>分。</w:t>
            </w:r>
          </w:p>
        </w:tc>
      </w:tr>
      <w:tr w14:paraId="004D0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tcBorders>
              <w:top w:val="nil"/>
              <w:left w:val="single" w:color="auto" w:sz="4" w:space="0"/>
              <w:bottom w:val="single" w:color="auto" w:sz="4" w:space="0"/>
              <w:right w:val="single" w:color="auto" w:sz="4" w:space="0"/>
            </w:tcBorders>
            <w:vAlign w:val="center"/>
          </w:tcPr>
          <w:p w14:paraId="749BC1C5">
            <w:pPr>
              <w:spacing w:line="380" w:lineRule="exact"/>
              <w:jc w:val="center"/>
              <w:rPr>
                <w:rFonts w:ascii="宋体" w:hAnsi="宋体" w:cs="宋体"/>
                <w:color w:val="000000"/>
                <w:szCs w:val="21"/>
              </w:rPr>
            </w:pPr>
            <w:r>
              <w:rPr>
                <w:rFonts w:hint="eastAsia" w:ascii="宋体" w:hAnsi="宋体" w:cs="宋体"/>
                <w:color w:val="000000"/>
                <w:szCs w:val="21"/>
              </w:rPr>
              <w:t>38.3.1</w:t>
            </w:r>
          </w:p>
        </w:tc>
        <w:tc>
          <w:tcPr>
            <w:tcW w:w="1742" w:type="dxa"/>
            <w:tcBorders>
              <w:top w:val="single" w:color="auto" w:sz="4" w:space="0"/>
              <w:left w:val="single" w:color="auto" w:sz="4" w:space="0"/>
              <w:bottom w:val="single" w:color="auto" w:sz="4" w:space="0"/>
              <w:right w:val="single" w:color="auto" w:sz="4" w:space="0"/>
            </w:tcBorders>
            <w:vAlign w:val="center"/>
          </w:tcPr>
          <w:p w14:paraId="1D977AB0">
            <w:pPr>
              <w:spacing w:line="380" w:lineRule="exact"/>
              <w:rPr>
                <w:rFonts w:ascii="宋体" w:hAnsi="宋体" w:cs="宋体"/>
                <w:color w:val="000000"/>
                <w:szCs w:val="21"/>
              </w:rPr>
            </w:pPr>
            <w:r>
              <w:rPr>
                <w:rFonts w:hint="eastAsia" w:ascii="宋体" w:hAnsi="宋体" w:cs="宋体"/>
                <w:color w:val="000000"/>
                <w:szCs w:val="21"/>
              </w:rPr>
              <w:t>投诉受理方式</w:t>
            </w:r>
          </w:p>
        </w:tc>
        <w:tc>
          <w:tcPr>
            <w:tcW w:w="7609" w:type="dxa"/>
            <w:tcBorders>
              <w:top w:val="single" w:color="auto" w:sz="4" w:space="0"/>
              <w:left w:val="single" w:color="auto" w:sz="4" w:space="0"/>
              <w:bottom w:val="single" w:color="auto" w:sz="4" w:space="0"/>
              <w:right w:val="single" w:color="auto" w:sz="4" w:space="0"/>
            </w:tcBorders>
            <w:vAlign w:val="center"/>
          </w:tcPr>
          <w:p w14:paraId="7825C1E3">
            <w:pPr>
              <w:snapToGrid w:val="0"/>
              <w:spacing w:line="360" w:lineRule="auto"/>
              <w:rPr>
                <w:rFonts w:ascii="宋体" w:hAnsi="宋体" w:cs="宋体"/>
                <w:color w:val="000000"/>
                <w:szCs w:val="21"/>
              </w:rPr>
            </w:pPr>
            <w:r>
              <w:rPr>
                <w:rFonts w:hint="eastAsia" w:ascii="宋体" w:hAnsi="宋体" w:cs="宋体"/>
                <w:color w:val="000000"/>
                <w:szCs w:val="21"/>
              </w:rPr>
              <w:t>1、受理方式：纸质方式受理，投诉书正、副本（经过质疑的事项才可投诉）。</w:t>
            </w:r>
          </w:p>
          <w:p w14:paraId="24A971EA">
            <w:pPr>
              <w:snapToGrid w:val="0"/>
              <w:spacing w:line="380" w:lineRule="exact"/>
              <w:rPr>
                <w:rFonts w:ascii="宋体" w:hAnsi="宋体" w:cs="宋体"/>
              </w:rPr>
            </w:pPr>
            <w:r>
              <w:rPr>
                <w:rFonts w:hint="eastAsia" w:ascii="宋体" w:hAnsi="宋体" w:cs="宋体"/>
                <w:color w:val="000000"/>
                <w:szCs w:val="21"/>
              </w:rPr>
              <w:t>2、</w:t>
            </w:r>
            <w:r>
              <w:rPr>
                <w:rFonts w:hint="eastAsia" w:ascii="宋体" w:hAnsi="宋体" w:cs="宋体"/>
                <w:szCs w:val="21"/>
              </w:rPr>
              <w:t>通讯</w:t>
            </w:r>
            <w:r>
              <w:rPr>
                <w:rFonts w:hint="eastAsia" w:ascii="宋体" w:hAnsi="宋体" w:cs="宋体"/>
              </w:rPr>
              <w:t>方式</w:t>
            </w:r>
          </w:p>
          <w:p w14:paraId="599576BA">
            <w:pPr>
              <w:snapToGrid w:val="0"/>
              <w:spacing w:line="380" w:lineRule="exact"/>
              <w:rPr>
                <w:rFonts w:ascii="宋体" w:hAnsi="宋体" w:cs="宋体"/>
              </w:rPr>
            </w:pPr>
            <w:r>
              <w:rPr>
                <w:rFonts w:hint="eastAsia" w:ascii="宋体" w:hAnsi="宋体" w:cs="宋体"/>
              </w:rPr>
              <w:t>名称：</w:t>
            </w:r>
            <w:bookmarkStart w:id="102" w:name="PO_3000001867_PM036"/>
            <w:r>
              <w:rPr>
                <w:rFonts w:hint="eastAsia" w:ascii="宋体" w:hAnsi="宋体" w:cs="宋体"/>
                <w:color w:val="000000"/>
                <w:szCs w:val="21"/>
              </w:rPr>
              <w:t>桂林市财政局</w:t>
            </w:r>
            <w:r>
              <w:rPr>
                <w:rFonts w:hint="eastAsia" w:ascii="宋体" w:hAnsi="宋体" w:cs="宋体"/>
              </w:rPr>
              <w:t xml:space="preserve"> </w:t>
            </w:r>
            <w:bookmarkEnd w:id="102"/>
            <w:r>
              <w:rPr>
                <w:rFonts w:hint="eastAsia" w:ascii="宋体" w:hAnsi="宋体" w:cs="宋体"/>
              </w:rPr>
              <w:t xml:space="preserve"> </w:t>
            </w:r>
          </w:p>
          <w:p w14:paraId="0FF89367">
            <w:pPr>
              <w:snapToGrid w:val="0"/>
              <w:spacing w:line="380" w:lineRule="exact"/>
              <w:rPr>
                <w:rFonts w:ascii="宋体" w:hAnsi="宋体" w:cs="宋体"/>
              </w:rPr>
            </w:pPr>
            <w:r>
              <w:rPr>
                <w:rFonts w:hint="eastAsia" w:ascii="宋体" w:hAnsi="宋体" w:cs="宋体"/>
              </w:rPr>
              <w:t>地址：</w:t>
            </w:r>
            <w:bookmarkStart w:id="103" w:name="PO_3000001867_PM039"/>
            <w:r>
              <w:rPr>
                <w:rFonts w:hint="eastAsia" w:ascii="宋体" w:hAnsi="宋体" w:cs="宋体"/>
                <w:color w:val="000000"/>
                <w:szCs w:val="21"/>
              </w:rPr>
              <w:t>桂林市临桂区平桂西路金融大厦18</w:t>
            </w:r>
            <w:r>
              <w:rPr>
                <w:rFonts w:hint="eastAsia" w:ascii="微软雅黑" w:hAnsi="微软雅黑" w:eastAsia="微软雅黑" w:cs="微软雅黑"/>
                <w:color w:val="000000"/>
                <w:szCs w:val="21"/>
              </w:rPr>
              <w:t>～</w:t>
            </w:r>
            <w:r>
              <w:rPr>
                <w:rFonts w:hint="eastAsia" w:ascii="宋体" w:hAnsi="宋体" w:cs="宋体"/>
                <w:color w:val="000000"/>
                <w:szCs w:val="21"/>
              </w:rPr>
              <w:t>24层</w:t>
            </w:r>
            <w:r>
              <w:rPr>
                <w:rFonts w:hint="eastAsia" w:ascii="宋体" w:hAnsi="宋体" w:cs="宋体"/>
              </w:rPr>
              <w:t xml:space="preserve"> </w:t>
            </w:r>
            <w:bookmarkEnd w:id="103"/>
            <w:r>
              <w:rPr>
                <w:rFonts w:hint="eastAsia" w:ascii="宋体" w:hAnsi="宋体" w:cs="宋体"/>
              </w:rPr>
              <w:t xml:space="preserve"> </w:t>
            </w:r>
          </w:p>
          <w:p w14:paraId="141EFE1F">
            <w:pPr>
              <w:snapToGrid w:val="0"/>
              <w:spacing w:line="360" w:lineRule="auto"/>
              <w:rPr>
                <w:rFonts w:ascii="宋体" w:hAnsi="宋体" w:cs="宋体"/>
                <w:color w:val="000000"/>
                <w:szCs w:val="21"/>
              </w:rPr>
            </w:pPr>
            <w:r>
              <w:rPr>
                <w:rFonts w:hint="eastAsia" w:ascii="宋体" w:hAnsi="宋体" w:cs="宋体"/>
              </w:rPr>
              <w:t>联系电话：</w:t>
            </w:r>
            <w:bookmarkStart w:id="104" w:name="PO_3000001867_PM038"/>
            <w:r>
              <w:rPr>
                <w:rFonts w:hint="eastAsia" w:ascii="宋体" w:hAnsi="宋体" w:cs="宋体"/>
                <w:color w:val="000000"/>
                <w:szCs w:val="21"/>
              </w:rPr>
              <w:t>0773-2862142</w:t>
            </w:r>
            <w:r>
              <w:rPr>
                <w:rFonts w:hint="eastAsia" w:ascii="宋体" w:hAnsi="宋体" w:cs="宋体"/>
              </w:rPr>
              <w:t xml:space="preserve"> </w:t>
            </w:r>
            <w:bookmarkEnd w:id="104"/>
          </w:p>
        </w:tc>
      </w:tr>
      <w:tr w14:paraId="78522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889" w:type="dxa"/>
            <w:vMerge w:val="restart"/>
            <w:tcBorders>
              <w:top w:val="single" w:color="auto" w:sz="4" w:space="0"/>
              <w:left w:val="single" w:color="auto" w:sz="4" w:space="0"/>
              <w:bottom w:val="single" w:color="auto" w:sz="4" w:space="0"/>
              <w:right w:val="single" w:color="auto" w:sz="4" w:space="0"/>
            </w:tcBorders>
            <w:vAlign w:val="center"/>
          </w:tcPr>
          <w:p w14:paraId="3BCC67B6">
            <w:pPr>
              <w:spacing w:line="380" w:lineRule="exact"/>
              <w:jc w:val="center"/>
              <w:rPr>
                <w:rFonts w:ascii="宋体" w:hAnsi="宋体" w:cs="宋体"/>
                <w:color w:val="000000"/>
                <w:szCs w:val="21"/>
              </w:rPr>
            </w:pPr>
            <w:r>
              <w:rPr>
                <w:rFonts w:hint="eastAsia" w:ascii="宋体" w:hAnsi="宋体" w:cs="宋体"/>
                <w:color w:val="000000"/>
                <w:szCs w:val="21"/>
              </w:rPr>
              <w:t>40</w:t>
            </w:r>
          </w:p>
        </w:tc>
        <w:tc>
          <w:tcPr>
            <w:tcW w:w="1742" w:type="dxa"/>
            <w:tcBorders>
              <w:top w:val="single" w:color="auto" w:sz="4" w:space="0"/>
              <w:left w:val="single" w:color="auto" w:sz="4" w:space="0"/>
              <w:bottom w:val="single" w:color="auto" w:sz="4" w:space="0"/>
              <w:right w:val="single" w:color="auto" w:sz="4" w:space="0"/>
            </w:tcBorders>
            <w:vAlign w:val="center"/>
          </w:tcPr>
          <w:p w14:paraId="1035622F">
            <w:pPr>
              <w:spacing w:line="380" w:lineRule="exact"/>
              <w:rPr>
                <w:rFonts w:ascii="宋体" w:hAnsi="宋体" w:cs="宋体"/>
                <w:color w:val="000000"/>
                <w:szCs w:val="21"/>
              </w:rPr>
            </w:pPr>
            <w:bookmarkStart w:id="105" w:name="_41"/>
            <w:bookmarkEnd w:id="105"/>
            <w:bookmarkStart w:id="106" w:name="_42"/>
            <w:bookmarkEnd w:id="106"/>
            <w:r>
              <w:rPr>
                <w:rFonts w:hint="eastAsia" w:ascii="宋体" w:hAnsi="宋体" w:cs="宋体"/>
                <w:color w:val="000000"/>
                <w:szCs w:val="21"/>
              </w:rPr>
              <w:t>采购代理服务费支付方式</w:t>
            </w:r>
          </w:p>
        </w:tc>
        <w:tc>
          <w:tcPr>
            <w:tcW w:w="7609" w:type="dxa"/>
            <w:tcBorders>
              <w:top w:val="single" w:color="auto" w:sz="4" w:space="0"/>
              <w:left w:val="single" w:color="auto" w:sz="4" w:space="0"/>
              <w:bottom w:val="single" w:color="auto" w:sz="4" w:space="0"/>
              <w:right w:val="single" w:color="auto" w:sz="4" w:space="0"/>
            </w:tcBorders>
            <w:vAlign w:val="center"/>
          </w:tcPr>
          <w:p w14:paraId="6015499B">
            <w:pPr>
              <w:pStyle w:val="13"/>
              <w:snapToGrid w:val="0"/>
              <w:spacing w:line="380" w:lineRule="exact"/>
              <w:rPr>
                <w:rFonts w:hAnsi="宋体" w:cs="宋体"/>
                <w:color w:val="000000"/>
                <w:szCs w:val="21"/>
              </w:rPr>
            </w:pPr>
            <w:r>
              <w:rPr>
                <w:rFonts w:hint="eastAsia" w:hAnsi="宋体" w:cs="宋体"/>
                <w:color w:val="000000"/>
                <w:szCs w:val="21"/>
              </w:rPr>
              <w:t>☑本项目采购代理服务费由</w:t>
            </w:r>
            <w:r>
              <w:rPr>
                <w:rFonts w:hint="eastAsia" w:hAnsi="宋体" w:cs="宋体"/>
                <w:color w:val="000000"/>
                <w:szCs w:val="21"/>
                <w:u w:val="single"/>
              </w:rPr>
              <w:t>中标人</w:t>
            </w:r>
            <w:r>
              <w:rPr>
                <w:rFonts w:hint="eastAsia" w:hAnsi="宋体" w:cs="宋体"/>
              </w:rPr>
              <w:t>在签订合同前，以银行转账、电汇等方式一次性向采购代理机构支付</w:t>
            </w:r>
            <w:r>
              <w:rPr>
                <w:rFonts w:hint="eastAsia" w:hAnsi="宋体" w:cs="宋体"/>
                <w:color w:val="000000"/>
                <w:szCs w:val="21"/>
              </w:rPr>
              <w:t>。</w:t>
            </w:r>
          </w:p>
          <w:p w14:paraId="7CAA0AFC">
            <w:pPr>
              <w:pStyle w:val="13"/>
              <w:snapToGrid w:val="0"/>
              <w:spacing w:line="380" w:lineRule="exact"/>
              <w:rPr>
                <w:rFonts w:hAnsi="宋体" w:cs="宋体"/>
                <w:color w:val="000000"/>
                <w:szCs w:val="21"/>
              </w:rPr>
            </w:pPr>
            <w:r>
              <w:rPr>
                <w:rFonts w:hint="eastAsia" w:hAnsi="宋体" w:cs="宋体"/>
                <w:color w:val="000000"/>
                <w:szCs w:val="21"/>
              </w:rPr>
              <w:t>□采购人支付</w:t>
            </w:r>
            <w:r>
              <w:rPr>
                <w:rFonts w:hint="eastAsia" w:hAnsi="宋体" w:cs="宋体"/>
              </w:rPr>
              <w:t>：</w:t>
            </w:r>
          </w:p>
          <w:p w14:paraId="4A5692C5">
            <w:pPr>
              <w:pStyle w:val="13"/>
              <w:snapToGrid w:val="0"/>
              <w:spacing w:line="380" w:lineRule="exact"/>
              <w:rPr>
                <w:rFonts w:hAnsi="宋体" w:cs="宋体"/>
                <w:color w:val="000000"/>
                <w:szCs w:val="21"/>
              </w:rPr>
            </w:pPr>
            <w:r>
              <w:rPr>
                <w:rFonts w:hint="eastAsia" w:hAnsi="宋体" w:cs="宋体"/>
                <w:color w:val="000000"/>
                <w:szCs w:val="21"/>
              </w:rPr>
              <w:t>□本项目不收取采购代理服务费。</w:t>
            </w:r>
          </w:p>
        </w:tc>
      </w:tr>
      <w:tr w14:paraId="63836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3F22FCCB">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6291FCE3">
            <w:pPr>
              <w:spacing w:line="380" w:lineRule="exact"/>
              <w:rPr>
                <w:rFonts w:ascii="宋体" w:hAnsi="宋体" w:cs="宋体"/>
                <w:color w:val="000000"/>
                <w:szCs w:val="21"/>
              </w:rPr>
            </w:pPr>
            <w:r>
              <w:rPr>
                <w:rFonts w:hint="eastAsia" w:ascii="宋体" w:hAnsi="宋体" w:cs="宋体"/>
                <w:color w:val="000000"/>
                <w:szCs w:val="21"/>
              </w:rPr>
              <w:t>采购代理费收取标准</w:t>
            </w:r>
          </w:p>
        </w:tc>
        <w:tc>
          <w:tcPr>
            <w:tcW w:w="7609" w:type="dxa"/>
            <w:tcBorders>
              <w:top w:val="single" w:color="auto" w:sz="4" w:space="0"/>
              <w:left w:val="single" w:color="auto" w:sz="4" w:space="0"/>
              <w:bottom w:val="single" w:color="auto" w:sz="4" w:space="0"/>
              <w:right w:val="single" w:color="auto" w:sz="4" w:space="0"/>
            </w:tcBorders>
            <w:vAlign w:val="center"/>
          </w:tcPr>
          <w:p w14:paraId="5C4EBF22">
            <w:pPr>
              <w:snapToGrid w:val="0"/>
              <w:spacing w:line="380" w:lineRule="exact"/>
              <w:rPr>
                <w:rFonts w:ascii="宋体" w:hAnsi="宋体" w:cs="宋体"/>
                <w:szCs w:val="20"/>
              </w:rPr>
            </w:pPr>
            <w:r>
              <w:rPr>
                <w:rFonts w:hint="eastAsia" w:ascii="宋体" w:hAnsi="宋体" w:cs="宋体"/>
                <w:szCs w:val="20"/>
                <w:lang w:eastAsia="zh-CN"/>
              </w:rPr>
              <w:t>☑</w:t>
            </w:r>
            <w:r>
              <w:rPr>
                <w:rFonts w:hint="eastAsia" w:ascii="宋体" w:hAnsi="宋体" w:cs="宋体"/>
                <w:szCs w:val="20"/>
              </w:rPr>
              <w:t>以</w:t>
            </w:r>
            <w:r>
              <w:rPr>
                <w:rFonts w:hint="eastAsia" w:hAnsi="宋体" w:cs="宋体"/>
                <w:kern w:val="0"/>
                <w:szCs w:val="21"/>
              </w:rPr>
              <w:t>项目</w:t>
            </w:r>
            <w:r>
              <w:rPr>
                <w:rFonts w:hint="eastAsia" w:ascii="宋体" w:hAnsi="宋体" w:cs="宋体"/>
                <w:szCs w:val="20"/>
              </w:rPr>
              <w:t>（□中标金额/☑采购预算/□暂定中标金额/□其他</w:t>
            </w:r>
            <w:r>
              <w:rPr>
                <w:rFonts w:hint="eastAsia" w:ascii="宋体" w:hAnsi="宋体" w:cs="宋体"/>
                <w:szCs w:val="20"/>
                <w:u w:val="single"/>
              </w:rPr>
              <w:t xml:space="preserve"> </w:t>
            </w:r>
            <w:r>
              <w:rPr>
                <w:rFonts w:ascii="宋体" w:hAnsi="宋体" w:cs="宋体"/>
                <w:szCs w:val="20"/>
                <w:u w:val="single"/>
              </w:rPr>
              <w:t xml:space="preserve">  </w:t>
            </w:r>
            <w:r>
              <w:rPr>
                <w:rFonts w:hint="eastAsia" w:ascii="宋体" w:hAnsi="宋体" w:cs="宋体"/>
                <w:szCs w:val="20"/>
              </w:rPr>
              <w:t>）为计费额，按本须知正文第40.2条规定的收费计算标准（服务类）采用差额定率累进法计算出收费基准价格，采购代理收费以（□收费基准价格/☑收费基准价格下浮</w:t>
            </w:r>
            <w:r>
              <w:rPr>
                <w:rFonts w:hint="eastAsia" w:ascii="宋体" w:hAnsi="宋体" w:cs="宋体"/>
                <w:szCs w:val="20"/>
                <w:u w:val="single"/>
                <w:lang w:val="en-US" w:eastAsia="zh-CN"/>
              </w:rPr>
              <w:t>6</w:t>
            </w:r>
            <w:r>
              <w:rPr>
                <w:rFonts w:hint="eastAsia" w:ascii="宋体" w:hAnsi="宋体" w:cs="宋体"/>
                <w:szCs w:val="20"/>
                <w:u w:val="single"/>
              </w:rPr>
              <w:t>0%</w:t>
            </w:r>
            <w:r>
              <w:rPr>
                <w:rFonts w:ascii="宋体" w:hAnsi="宋体" w:cs="宋体"/>
                <w:szCs w:val="20"/>
              </w:rPr>
              <w:t>/</w:t>
            </w:r>
            <w:r>
              <w:rPr>
                <w:rFonts w:hint="eastAsia" w:ascii="宋体" w:hAnsi="宋体" w:cs="宋体"/>
                <w:szCs w:val="20"/>
              </w:rPr>
              <w:t>□收费基准价格上浮</w:t>
            </w:r>
            <w:r>
              <w:rPr>
                <w:rFonts w:hint="eastAsia" w:ascii="宋体" w:hAnsi="宋体" w:cs="宋体"/>
                <w:szCs w:val="20"/>
                <w:u w:val="single"/>
              </w:rPr>
              <w:t xml:space="preserve"> </w:t>
            </w:r>
            <w:r>
              <w:rPr>
                <w:rFonts w:ascii="宋体" w:hAnsi="宋体" w:cs="宋体"/>
                <w:szCs w:val="20"/>
                <w:u w:val="single"/>
              </w:rPr>
              <w:t xml:space="preserve">  </w:t>
            </w:r>
            <w:r>
              <w:rPr>
                <w:rFonts w:hint="eastAsia" w:ascii="宋体" w:hAnsi="宋体" w:cs="宋体"/>
                <w:szCs w:val="20"/>
                <w:u w:val="single"/>
              </w:rPr>
              <w:t>%</w:t>
            </w:r>
            <w:r>
              <w:rPr>
                <w:rFonts w:hint="eastAsia" w:ascii="宋体" w:hAnsi="宋体" w:cs="宋体"/>
                <w:szCs w:val="20"/>
              </w:rPr>
              <w:t>）收取</w:t>
            </w:r>
            <w:r>
              <w:rPr>
                <w:rFonts w:ascii="宋体" w:hAnsi="宋体" w:cs="宋体"/>
                <w:szCs w:val="21"/>
              </w:rPr>
              <w:t>（不足人民币</w:t>
            </w:r>
            <w:r>
              <w:rPr>
                <w:rFonts w:hint="eastAsia" w:ascii="宋体" w:hAnsi="宋体" w:cs="宋体"/>
                <w:szCs w:val="21"/>
              </w:rPr>
              <w:t>5</w:t>
            </w:r>
            <w:r>
              <w:rPr>
                <w:rFonts w:ascii="宋体" w:hAnsi="宋体" w:cs="宋体"/>
                <w:szCs w:val="21"/>
              </w:rPr>
              <w:t xml:space="preserve">000元的，按 </w:t>
            </w:r>
            <w:r>
              <w:rPr>
                <w:rFonts w:hint="eastAsia" w:ascii="宋体" w:hAnsi="宋体" w:cs="宋体"/>
                <w:szCs w:val="21"/>
              </w:rPr>
              <w:t>5</w:t>
            </w:r>
            <w:r>
              <w:rPr>
                <w:rFonts w:ascii="宋体" w:hAnsi="宋体" w:cs="宋体"/>
                <w:szCs w:val="21"/>
              </w:rPr>
              <w:t>000元收取）</w:t>
            </w:r>
            <w:r>
              <w:rPr>
                <w:rFonts w:hint="eastAsia" w:ascii="宋体" w:hAnsi="宋体" w:cs="宋体"/>
                <w:szCs w:val="20"/>
              </w:rPr>
              <w:t>。</w:t>
            </w:r>
          </w:p>
          <w:p w14:paraId="2508B503">
            <w:pPr>
              <w:pStyle w:val="13"/>
              <w:snapToGrid w:val="0"/>
              <w:spacing w:line="380" w:lineRule="exact"/>
              <w:rPr>
                <w:rFonts w:hAnsi="宋体" w:cs="宋体"/>
                <w:color w:val="000000"/>
                <w:szCs w:val="21"/>
                <w:u w:val="single"/>
              </w:rPr>
            </w:pPr>
            <w:r>
              <w:rPr>
                <w:rFonts w:hint="eastAsia" w:hAnsi="宋体" w:cs="宋体"/>
              </w:rPr>
              <w:t>□固定采购代理收费：</w:t>
            </w:r>
            <w:r>
              <w:rPr>
                <w:rFonts w:hint="eastAsia" w:hAnsi="宋体" w:cs="宋体"/>
                <w:u w:val="single"/>
              </w:rPr>
              <w:t xml:space="preserve">           。</w:t>
            </w:r>
          </w:p>
        </w:tc>
      </w:tr>
      <w:tr w14:paraId="5DAC8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41C8E8A0">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4552C9C5">
            <w:pPr>
              <w:spacing w:line="380" w:lineRule="exact"/>
              <w:rPr>
                <w:rFonts w:ascii="宋体" w:hAnsi="宋体" w:cs="宋体"/>
                <w:color w:val="000000"/>
                <w:szCs w:val="21"/>
              </w:rPr>
            </w:pPr>
            <w:r>
              <w:rPr>
                <w:rFonts w:hint="eastAsia" w:ascii="宋体" w:hAnsi="宋体" w:cs="宋体"/>
                <w:color w:val="000000"/>
                <w:szCs w:val="21"/>
              </w:rPr>
              <w:t>采购代理服务费收款账户信息</w:t>
            </w:r>
          </w:p>
        </w:tc>
        <w:tc>
          <w:tcPr>
            <w:tcW w:w="7609" w:type="dxa"/>
            <w:tcBorders>
              <w:top w:val="single" w:color="auto" w:sz="4" w:space="0"/>
              <w:left w:val="single" w:color="auto" w:sz="4" w:space="0"/>
              <w:bottom w:val="single" w:color="auto" w:sz="4" w:space="0"/>
              <w:right w:val="single" w:color="auto" w:sz="4" w:space="0"/>
            </w:tcBorders>
            <w:vAlign w:val="center"/>
          </w:tcPr>
          <w:p w14:paraId="5949DFCE">
            <w:pPr>
              <w:pStyle w:val="13"/>
              <w:snapToGrid w:val="0"/>
              <w:spacing w:line="380" w:lineRule="exact"/>
              <w:rPr>
                <w:rFonts w:hAnsi="宋体" w:cs="宋体"/>
                <w:color w:val="000000"/>
                <w:szCs w:val="21"/>
              </w:rPr>
            </w:pPr>
            <w:r>
              <w:rPr>
                <w:rFonts w:hint="eastAsia" w:hAnsi="宋体" w:cs="宋体"/>
                <w:color w:val="000000"/>
                <w:szCs w:val="21"/>
              </w:rPr>
              <w:t>账户名称：</w:t>
            </w:r>
            <w:r>
              <w:rPr>
                <w:rFonts w:hint="eastAsia"/>
              </w:rPr>
              <w:t>广西科联招标中心有限公司桂林分公司</w:t>
            </w:r>
          </w:p>
          <w:p w14:paraId="272BFA9A">
            <w:pPr>
              <w:pStyle w:val="13"/>
              <w:snapToGrid w:val="0"/>
              <w:spacing w:line="380" w:lineRule="exact"/>
              <w:rPr>
                <w:rFonts w:hAnsi="宋体" w:cs="宋体"/>
                <w:color w:val="000000"/>
                <w:szCs w:val="21"/>
              </w:rPr>
            </w:pPr>
            <w:r>
              <w:rPr>
                <w:rFonts w:hint="eastAsia" w:hAnsi="宋体" w:cs="宋体"/>
                <w:color w:val="000000"/>
                <w:szCs w:val="21"/>
              </w:rPr>
              <w:t>开户银行：</w:t>
            </w:r>
            <w:r>
              <w:rPr>
                <w:rFonts w:hint="eastAsia" w:cs="宋体"/>
              </w:rPr>
              <w:t>中国工商银行股份有限公司桂林市桂湖支行</w:t>
            </w:r>
          </w:p>
          <w:p w14:paraId="57EE5967">
            <w:pPr>
              <w:pStyle w:val="13"/>
              <w:snapToGrid w:val="0"/>
              <w:spacing w:line="380" w:lineRule="exact"/>
              <w:rPr>
                <w:rFonts w:hAnsi="宋体" w:cs="宋体"/>
                <w:color w:val="000000"/>
                <w:szCs w:val="21"/>
              </w:rPr>
            </w:pPr>
            <w:r>
              <w:rPr>
                <w:rFonts w:hint="eastAsia" w:hAnsi="宋体" w:cs="宋体"/>
                <w:color w:val="000000"/>
                <w:szCs w:val="21"/>
              </w:rPr>
              <w:t>银行账号：</w:t>
            </w:r>
            <w:r>
              <w:rPr>
                <w:rFonts w:hint="eastAsia"/>
              </w:rPr>
              <w:t>2103260229201002537</w:t>
            </w:r>
          </w:p>
          <w:p w14:paraId="572AFB6F">
            <w:pPr>
              <w:pStyle w:val="13"/>
              <w:snapToGrid w:val="0"/>
              <w:spacing w:line="380" w:lineRule="exact"/>
              <w:rPr>
                <w:rFonts w:hAnsi="宋体" w:cs="宋体"/>
                <w:color w:val="000000"/>
                <w:szCs w:val="21"/>
              </w:rPr>
            </w:pPr>
            <w:r>
              <w:rPr>
                <w:rFonts w:hint="eastAsia" w:hAnsi="宋体" w:cs="宋体"/>
                <w:color w:val="000000"/>
                <w:szCs w:val="21"/>
              </w:rPr>
              <w:t>开户行行号：102617026027</w:t>
            </w:r>
          </w:p>
        </w:tc>
      </w:tr>
      <w:tr w14:paraId="37B10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13B66796">
            <w:pPr>
              <w:snapToGrid w:val="0"/>
              <w:spacing w:line="380" w:lineRule="exact"/>
              <w:jc w:val="center"/>
              <w:rPr>
                <w:rFonts w:ascii="宋体" w:hAnsi="宋体" w:cs="宋体"/>
                <w:color w:val="000000"/>
                <w:szCs w:val="21"/>
              </w:rPr>
            </w:pPr>
            <w:r>
              <w:rPr>
                <w:rFonts w:hint="eastAsia" w:ascii="宋体" w:hAnsi="宋体" w:cs="宋体"/>
                <w:color w:val="000000"/>
                <w:szCs w:val="21"/>
              </w:rPr>
              <w:t>41.1</w:t>
            </w:r>
          </w:p>
        </w:tc>
        <w:tc>
          <w:tcPr>
            <w:tcW w:w="1742" w:type="dxa"/>
            <w:tcBorders>
              <w:top w:val="single" w:color="auto" w:sz="4" w:space="0"/>
              <w:left w:val="single" w:color="auto" w:sz="4" w:space="0"/>
              <w:bottom w:val="single" w:color="auto" w:sz="4" w:space="0"/>
              <w:right w:val="single" w:color="auto" w:sz="4" w:space="0"/>
            </w:tcBorders>
            <w:vAlign w:val="center"/>
          </w:tcPr>
          <w:p w14:paraId="445F7FDB">
            <w:pPr>
              <w:snapToGrid w:val="0"/>
              <w:spacing w:line="380" w:lineRule="exact"/>
              <w:rPr>
                <w:rFonts w:ascii="宋体" w:hAnsi="宋体" w:cs="宋体"/>
                <w:color w:val="000000"/>
                <w:szCs w:val="21"/>
              </w:rPr>
            </w:pPr>
            <w:r>
              <w:rPr>
                <w:rFonts w:hint="eastAsia" w:ascii="宋体" w:hAnsi="宋体" w:cs="宋体"/>
                <w:color w:val="000000"/>
                <w:szCs w:val="21"/>
              </w:rPr>
              <w:t>解释</w:t>
            </w:r>
          </w:p>
        </w:tc>
        <w:tc>
          <w:tcPr>
            <w:tcW w:w="7609" w:type="dxa"/>
            <w:tcBorders>
              <w:top w:val="single" w:color="auto" w:sz="4" w:space="0"/>
              <w:left w:val="single" w:color="auto" w:sz="4" w:space="0"/>
              <w:bottom w:val="single" w:color="auto" w:sz="4" w:space="0"/>
              <w:right w:val="single" w:color="auto" w:sz="4" w:space="0"/>
            </w:tcBorders>
            <w:vAlign w:val="center"/>
          </w:tcPr>
          <w:p w14:paraId="5F634C77">
            <w:pPr>
              <w:snapToGrid w:val="0"/>
              <w:spacing w:line="380" w:lineRule="exact"/>
              <w:rPr>
                <w:rFonts w:ascii="宋体" w:hAnsi="宋体" w:cs="宋体"/>
                <w:b/>
                <w:color w:val="000000"/>
                <w:szCs w:val="21"/>
              </w:rPr>
            </w:pPr>
            <w:r>
              <w:rPr>
                <w:rFonts w:hint="eastAsia" w:ascii="宋体" w:hAnsi="宋体" w:cs="宋体"/>
                <w:b/>
                <w:color w:val="000000"/>
                <w:szCs w:val="21"/>
              </w:rPr>
              <w:t>解释：</w:t>
            </w:r>
            <w:r>
              <w:rPr>
                <w:rFonts w:hint="eastAsia" w:ascii="宋体" w:hAnsi="宋体" w:cs="宋体"/>
                <w:color w:val="000000"/>
                <w:szCs w:val="21"/>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000000"/>
                <w:szCs w:val="21"/>
              </w:rPr>
              <w:t>，由采购人或者采购代理机构负责解释。</w:t>
            </w:r>
          </w:p>
          <w:p w14:paraId="073CCA4D">
            <w:pPr>
              <w:snapToGrid w:val="0"/>
              <w:spacing w:line="380" w:lineRule="exact"/>
              <w:rPr>
                <w:rFonts w:ascii="宋体" w:hAnsi="宋体" w:cs="宋体"/>
                <w:b/>
                <w:color w:val="000000"/>
                <w:szCs w:val="21"/>
              </w:rPr>
            </w:pPr>
            <w:r>
              <w:rPr>
                <w:rFonts w:hint="eastAsia" w:ascii="宋体" w:hAnsi="宋体" w:cs="宋体"/>
                <w:b/>
                <w:color w:val="000000"/>
                <w:szCs w:val="21"/>
              </w:rPr>
              <w:t>法律责任：</w:t>
            </w:r>
          </w:p>
          <w:p w14:paraId="35317CC7">
            <w:pPr>
              <w:spacing w:line="380" w:lineRule="exact"/>
              <w:rPr>
                <w:rFonts w:ascii="宋体" w:hAnsi="宋体" w:cs="宋体"/>
                <w:szCs w:val="21"/>
              </w:rPr>
            </w:pPr>
            <w:r>
              <w:rPr>
                <w:rFonts w:hint="eastAsia" w:ascii="宋体" w:hAnsi="宋体" w:cs="宋体"/>
                <w:color w:val="000000"/>
                <w:szCs w:val="21"/>
              </w:rPr>
              <w:t>本采购文件根据《中华人民共和国政府采购法》、《中华人民共和国民法典》、《中华人民共和国政府采购法实施条例》、《</w:t>
            </w:r>
            <w:r>
              <w:rPr>
                <w:rFonts w:hint="eastAsia" w:ascii="宋体" w:hAnsi="宋体" w:cs="宋体"/>
                <w:szCs w:val="21"/>
              </w:rPr>
              <w:t>政府采购货物和服务招标投标管理办法</w:t>
            </w:r>
            <w:r>
              <w:rPr>
                <w:rFonts w:hint="eastAsia" w:ascii="宋体" w:hAnsi="宋体" w:cs="宋体"/>
                <w:color w:val="000000"/>
                <w:szCs w:val="21"/>
              </w:rPr>
              <w:t>》等有关法律、法规编制，参与本项目的</w:t>
            </w:r>
            <w:r>
              <w:rPr>
                <w:rFonts w:hint="eastAsia" w:ascii="宋体" w:hAnsi="宋体" w:cs="宋体"/>
                <w:szCs w:val="21"/>
              </w:rPr>
              <w:t>各政府采购当事人依法享有上述法律法规所赋予的权利与义务。</w:t>
            </w:r>
          </w:p>
        </w:tc>
      </w:tr>
      <w:tr w14:paraId="6D59F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654CFFCD">
            <w:pPr>
              <w:snapToGrid w:val="0"/>
              <w:spacing w:line="380" w:lineRule="exact"/>
              <w:jc w:val="center"/>
              <w:rPr>
                <w:rFonts w:ascii="宋体" w:hAnsi="宋体" w:cs="宋体"/>
                <w:color w:val="000000"/>
                <w:szCs w:val="21"/>
              </w:rPr>
            </w:pPr>
            <w:r>
              <w:rPr>
                <w:rFonts w:hint="eastAsia" w:ascii="宋体" w:hAnsi="宋体" w:cs="宋体"/>
                <w:color w:val="000000"/>
                <w:szCs w:val="21"/>
              </w:rPr>
              <w:t>41.2</w:t>
            </w:r>
          </w:p>
        </w:tc>
        <w:tc>
          <w:tcPr>
            <w:tcW w:w="1742" w:type="dxa"/>
            <w:tcBorders>
              <w:top w:val="single" w:color="auto" w:sz="4" w:space="0"/>
              <w:left w:val="single" w:color="auto" w:sz="4" w:space="0"/>
              <w:bottom w:val="single" w:color="auto" w:sz="4" w:space="0"/>
              <w:right w:val="single" w:color="auto" w:sz="4" w:space="0"/>
            </w:tcBorders>
            <w:vAlign w:val="center"/>
          </w:tcPr>
          <w:p w14:paraId="07351ECA">
            <w:pPr>
              <w:snapToGrid w:val="0"/>
              <w:spacing w:line="380" w:lineRule="exact"/>
              <w:rPr>
                <w:rFonts w:ascii="宋体" w:hAnsi="宋体" w:cs="宋体"/>
                <w:color w:val="000000"/>
                <w:szCs w:val="21"/>
              </w:rPr>
            </w:pPr>
            <w:r>
              <w:rPr>
                <w:rFonts w:hint="eastAsia" w:ascii="宋体" w:hAnsi="宋体" w:cs="宋体"/>
                <w:color w:val="000000"/>
                <w:szCs w:val="21"/>
              </w:rPr>
              <w:t>其他释义</w:t>
            </w:r>
          </w:p>
        </w:tc>
        <w:tc>
          <w:tcPr>
            <w:tcW w:w="7609" w:type="dxa"/>
            <w:tcBorders>
              <w:top w:val="single" w:color="auto" w:sz="4" w:space="0"/>
              <w:left w:val="single" w:color="auto" w:sz="4" w:space="0"/>
              <w:bottom w:val="single" w:color="auto" w:sz="4" w:space="0"/>
              <w:right w:val="single" w:color="auto" w:sz="4" w:space="0"/>
            </w:tcBorders>
            <w:vAlign w:val="center"/>
          </w:tcPr>
          <w:p w14:paraId="243E9BCE">
            <w:pPr>
              <w:pStyle w:val="8"/>
              <w:ind w:firstLine="420" w:firstLineChars="200"/>
              <w:rPr>
                <w:rFonts w:ascii="宋体" w:hAnsi="宋体" w:cs="宋体"/>
                <w:szCs w:val="21"/>
              </w:rPr>
            </w:pPr>
            <w:r>
              <w:rPr>
                <w:rFonts w:hint="eastAsia" w:ascii="宋体" w:hAnsi="宋体" w:cs="宋体"/>
                <w:szCs w:val="21"/>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3B222A68">
            <w:pPr>
              <w:pStyle w:val="8"/>
              <w:ind w:firstLine="420" w:firstLineChars="200"/>
              <w:rPr>
                <w:rFonts w:ascii="宋体" w:hAnsi="宋体" w:cs="宋体"/>
                <w:szCs w:val="21"/>
              </w:rPr>
            </w:pPr>
            <w:r>
              <w:rPr>
                <w:rFonts w:hint="eastAsia" w:ascii="宋体" w:hAnsi="宋体" w:cs="宋体"/>
                <w:szCs w:val="21"/>
              </w:rPr>
              <w:t>2.本招标文件中描述投标人的“签字”是指投标人通过指定电子化政府采购平台办理数字证书（CA认证）获得的以投标人法定代表人或者委托代理人姓名制作的电子印章或手写签字。</w:t>
            </w:r>
          </w:p>
          <w:p w14:paraId="26CAA1A3">
            <w:pPr>
              <w:pStyle w:val="8"/>
              <w:tabs>
                <w:tab w:val="center" w:pos="4153"/>
                <w:tab w:val="right" w:pos="8306"/>
              </w:tabs>
              <w:ind w:firstLine="420" w:firstLineChars="200"/>
              <w:rPr>
                <w:rFonts w:ascii="宋体" w:hAnsi="宋体" w:cs="宋体"/>
                <w:szCs w:val="21"/>
              </w:rPr>
            </w:pPr>
            <w:r>
              <w:rPr>
                <w:rFonts w:hint="eastAsia" w:ascii="宋体" w:hAnsi="宋体" w:cs="宋体"/>
                <w:szCs w:val="21"/>
              </w:rPr>
              <w:t>3.本招标文件所称的“电子签章”“电子签名”，是指经广西政府采购云平台认可的CA认证的电子签名数据为表现形式的印章，可用于签署电子版投标文件，电子印章与实物印章具有同等法律效力，不因其采用电子化表现形式而否定其法律效力。</w:t>
            </w:r>
          </w:p>
          <w:p w14:paraId="43DE7B2A">
            <w:pPr>
              <w:pStyle w:val="8"/>
              <w:ind w:firstLine="420" w:firstLineChars="200"/>
              <w:rPr>
                <w:rFonts w:ascii="宋体" w:hAnsi="宋体" w:cs="宋体"/>
                <w:szCs w:val="21"/>
              </w:rPr>
            </w:pPr>
            <w:r>
              <w:rPr>
                <w:rFonts w:hint="eastAsia" w:ascii="宋体" w:hAnsi="宋体" w:cs="宋体"/>
                <w:szCs w:val="21"/>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3E469DF">
            <w:pPr>
              <w:pStyle w:val="8"/>
              <w:ind w:firstLine="420" w:firstLineChars="200"/>
              <w:rPr>
                <w:rFonts w:ascii="宋体" w:hAnsi="宋体" w:cs="宋体"/>
                <w:szCs w:val="21"/>
              </w:rPr>
            </w:pPr>
            <w:r>
              <w:rPr>
                <w:rFonts w:hint="eastAsia" w:ascii="宋体" w:hAnsi="宋体" w:cs="宋体"/>
                <w:szCs w:val="21"/>
              </w:rPr>
              <w:t>5.自然人投标的，招标文件规定盖公章处由自然人摁手指指印。</w:t>
            </w:r>
          </w:p>
          <w:p w14:paraId="5B91C0F2">
            <w:pPr>
              <w:spacing w:line="380" w:lineRule="exact"/>
              <w:jc w:val="left"/>
              <w:rPr>
                <w:rFonts w:ascii="宋体" w:hAnsi="宋体" w:cs="宋体"/>
                <w:color w:val="000000"/>
                <w:szCs w:val="21"/>
              </w:rPr>
            </w:pPr>
            <w:r>
              <w:rPr>
                <w:rFonts w:hint="eastAsia" w:ascii="宋体" w:hAnsi="宋体" w:cs="宋体"/>
                <w:szCs w:val="21"/>
              </w:rPr>
              <w:t xml:space="preserve">    6.本招标文件所称的“以上”“以下”“以内”“届满”，包括本数；所称的“不满”“超过”“以外”，不包括本数。</w:t>
            </w:r>
          </w:p>
        </w:tc>
      </w:tr>
    </w:tbl>
    <w:p w14:paraId="157BF9FA">
      <w:pPr>
        <w:widowControl/>
        <w:spacing w:line="412" w:lineRule="auto"/>
        <w:jc w:val="left"/>
        <w:rPr>
          <w:rFonts w:ascii="Arial" w:hAnsi="Arial" w:eastAsia="黑体"/>
          <w:b/>
          <w:bCs/>
          <w:color w:val="000000"/>
          <w:sz w:val="32"/>
          <w:szCs w:val="32"/>
        </w:rPr>
        <w:sectPr>
          <w:footerReference r:id="rId6" w:type="default"/>
          <w:pgSz w:w="11905" w:h="16838"/>
          <w:pgMar w:top="1134" w:right="1134" w:bottom="1134" w:left="1134" w:header="850" w:footer="850" w:gutter="0"/>
          <w:cols w:space="0" w:num="1"/>
          <w:titlePg/>
          <w:docGrid w:linePitch="331" w:charSpace="0"/>
        </w:sectPr>
      </w:pPr>
    </w:p>
    <w:p w14:paraId="578A301A">
      <w:pPr>
        <w:rPr>
          <w:color w:val="000000"/>
        </w:rPr>
      </w:pPr>
    </w:p>
    <w:p w14:paraId="198D879C">
      <w:pPr>
        <w:pStyle w:val="3"/>
        <w:jc w:val="center"/>
        <w:rPr>
          <w:rFonts w:hint="default"/>
          <w:color w:val="000000"/>
        </w:rPr>
      </w:pPr>
      <w:bookmarkStart w:id="107" w:name="_Toc30841"/>
      <w:bookmarkStart w:id="108" w:name="_Toc13813"/>
      <w:bookmarkStart w:id="109" w:name="_Toc24313"/>
      <w:bookmarkStart w:id="110" w:name="_Toc11336"/>
      <w:bookmarkStart w:id="111" w:name="_Toc7784"/>
      <w:bookmarkStart w:id="112" w:name="_Toc453"/>
      <w:bookmarkStart w:id="113" w:name="_Toc29311"/>
      <w:bookmarkStart w:id="114" w:name="_Toc8807"/>
      <w:bookmarkStart w:id="115" w:name="_Toc25117"/>
      <w:bookmarkStart w:id="116" w:name="_Toc1030"/>
      <w:r>
        <w:rPr>
          <w:color w:val="000000"/>
        </w:rPr>
        <w:t>第二节 投标人须知正文</w:t>
      </w:r>
      <w:bookmarkEnd w:id="107"/>
      <w:bookmarkEnd w:id="108"/>
      <w:bookmarkEnd w:id="109"/>
      <w:bookmarkEnd w:id="110"/>
      <w:bookmarkEnd w:id="111"/>
      <w:bookmarkEnd w:id="112"/>
      <w:bookmarkEnd w:id="113"/>
      <w:bookmarkEnd w:id="114"/>
      <w:bookmarkEnd w:id="115"/>
      <w:bookmarkEnd w:id="116"/>
    </w:p>
    <w:p w14:paraId="0A6C0A50">
      <w:pPr>
        <w:pStyle w:val="4"/>
        <w:keepNext w:val="0"/>
        <w:keepLines w:val="0"/>
        <w:spacing w:line="400" w:lineRule="exact"/>
        <w:jc w:val="center"/>
        <w:rPr>
          <w:rFonts w:hint="default"/>
          <w:color w:val="000000"/>
        </w:rPr>
      </w:pPr>
      <w:bookmarkStart w:id="117" w:name="_Toc15523"/>
      <w:bookmarkStart w:id="118" w:name="_Toc22266"/>
      <w:bookmarkStart w:id="119" w:name="_Toc19454"/>
      <w:bookmarkStart w:id="120" w:name="_Toc3522"/>
      <w:bookmarkStart w:id="121" w:name="_Toc21176"/>
      <w:bookmarkStart w:id="122" w:name="_Toc3607"/>
      <w:bookmarkStart w:id="123" w:name="_Toc28360"/>
      <w:bookmarkStart w:id="124" w:name="_Toc6594"/>
      <w:bookmarkStart w:id="125" w:name="_Toc30794"/>
      <w:bookmarkStart w:id="126" w:name="_Toc18594"/>
      <w:r>
        <w:rPr>
          <w:color w:val="000000"/>
        </w:rPr>
        <w:t>一、总  则</w:t>
      </w:r>
      <w:bookmarkEnd w:id="117"/>
      <w:bookmarkEnd w:id="118"/>
      <w:bookmarkEnd w:id="119"/>
      <w:bookmarkEnd w:id="120"/>
      <w:bookmarkEnd w:id="121"/>
      <w:bookmarkEnd w:id="122"/>
      <w:bookmarkEnd w:id="123"/>
      <w:bookmarkEnd w:id="124"/>
      <w:bookmarkEnd w:id="125"/>
      <w:bookmarkEnd w:id="126"/>
    </w:p>
    <w:p w14:paraId="394F33E5">
      <w:pPr>
        <w:spacing w:line="360" w:lineRule="auto"/>
        <w:ind w:firstLine="480" w:firstLineChars="200"/>
        <w:rPr>
          <w:rFonts w:ascii="黑体" w:hAnsi="黑体" w:eastAsia="黑体"/>
          <w:color w:val="000000"/>
          <w:sz w:val="24"/>
        </w:rPr>
      </w:pPr>
      <w:bookmarkStart w:id="127" w:name="_Toc254970668"/>
      <w:bookmarkStart w:id="128" w:name="_Toc254970527"/>
      <w:r>
        <w:rPr>
          <w:rFonts w:hint="eastAsia" w:ascii="黑体" w:hAnsi="黑体" w:eastAsia="黑体"/>
          <w:color w:val="000000"/>
          <w:sz w:val="24"/>
        </w:rPr>
        <w:t>1.适用范围</w:t>
      </w:r>
      <w:bookmarkEnd w:id="127"/>
      <w:bookmarkEnd w:id="128"/>
    </w:p>
    <w:p w14:paraId="1DAE63B5">
      <w:pPr>
        <w:spacing w:line="360" w:lineRule="auto"/>
        <w:ind w:firstLine="420" w:firstLineChars="200"/>
        <w:rPr>
          <w:rFonts w:ascii="宋体" w:hAnsi="宋体"/>
          <w:color w:val="000000"/>
          <w:szCs w:val="21"/>
        </w:rPr>
      </w:pPr>
      <w:r>
        <w:rPr>
          <w:rFonts w:hint="eastAsia" w:ascii="宋体" w:hAnsi="宋体"/>
          <w:color w:val="000000"/>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A8123FB">
      <w:pPr>
        <w:spacing w:line="360" w:lineRule="auto"/>
        <w:ind w:firstLine="420" w:firstLineChars="200"/>
        <w:rPr>
          <w:rFonts w:ascii="宋体" w:hAnsi="宋体"/>
          <w:color w:val="000000"/>
          <w:szCs w:val="21"/>
        </w:rPr>
      </w:pPr>
      <w:r>
        <w:rPr>
          <w:rFonts w:hint="eastAsia" w:ascii="宋体" w:hAnsi="宋体"/>
          <w:color w:val="000000"/>
          <w:szCs w:val="21"/>
        </w:rPr>
        <w:t>1.2本招标文件</w:t>
      </w:r>
      <w:r>
        <w:rPr>
          <w:rFonts w:hint="eastAsia" w:ascii="宋体" w:hAnsi="宋体" w:cs="宋体"/>
          <w:color w:val="000000"/>
          <w:spacing w:val="-6"/>
          <w:szCs w:val="21"/>
        </w:rPr>
        <w:t>适用于本项目的所有采购程序和环节（法律、法规另有规定的，从其规定）。</w:t>
      </w:r>
    </w:p>
    <w:p w14:paraId="367530D5">
      <w:pPr>
        <w:spacing w:line="360" w:lineRule="auto"/>
        <w:ind w:firstLine="480" w:firstLineChars="200"/>
        <w:rPr>
          <w:rFonts w:ascii="黑体" w:hAnsi="黑体" w:eastAsia="黑体"/>
          <w:color w:val="000000"/>
          <w:sz w:val="24"/>
        </w:rPr>
      </w:pPr>
      <w:bookmarkStart w:id="129" w:name="_Toc254970528"/>
      <w:bookmarkStart w:id="130" w:name="_Toc254970669"/>
      <w:r>
        <w:rPr>
          <w:rFonts w:hint="eastAsia" w:ascii="黑体" w:hAnsi="黑体" w:eastAsia="黑体"/>
          <w:color w:val="000000"/>
          <w:sz w:val="24"/>
        </w:rPr>
        <w:t>2.定义</w:t>
      </w:r>
      <w:bookmarkEnd w:id="129"/>
      <w:bookmarkEnd w:id="130"/>
    </w:p>
    <w:p w14:paraId="12747417">
      <w:pPr>
        <w:spacing w:line="360" w:lineRule="auto"/>
        <w:ind w:firstLine="422" w:firstLineChars="200"/>
        <w:rPr>
          <w:rFonts w:ascii="宋体" w:hAnsi="宋体"/>
          <w:b/>
          <w:color w:val="000000"/>
          <w:szCs w:val="21"/>
        </w:rPr>
      </w:pPr>
      <w:r>
        <w:rPr>
          <w:rFonts w:hint="eastAsia" w:ascii="宋体" w:hAnsi="宋体"/>
          <w:b/>
          <w:color w:val="000000"/>
          <w:szCs w:val="21"/>
        </w:rPr>
        <w:t>2.1“采购人”是指依法进行政府采购的国家机关、事业单位、团体组织。</w:t>
      </w:r>
    </w:p>
    <w:p w14:paraId="4E17DA99">
      <w:pPr>
        <w:spacing w:line="360" w:lineRule="auto"/>
        <w:ind w:firstLine="422" w:firstLineChars="200"/>
        <w:rPr>
          <w:rFonts w:ascii="宋体" w:hAnsi="宋体"/>
          <w:b/>
          <w:color w:val="000000"/>
          <w:szCs w:val="21"/>
        </w:rPr>
      </w:pPr>
      <w:r>
        <w:rPr>
          <w:rFonts w:hint="eastAsia" w:ascii="宋体" w:hAnsi="宋体"/>
          <w:b/>
          <w:color w:val="000000"/>
          <w:szCs w:val="21"/>
        </w:rPr>
        <w:t>2.2“采购代理机构” 指政府采购集中采购机构和集中采购机构以外的采购代理机构。</w:t>
      </w:r>
    </w:p>
    <w:p w14:paraId="67170E85">
      <w:pPr>
        <w:spacing w:line="360" w:lineRule="auto"/>
        <w:ind w:firstLine="422" w:firstLineChars="200"/>
        <w:rPr>
          <w:rFonts w:ascii="宋体" w:hAnsi="宋体"/>
          <w:b/>
          <w:color w:val="000000"/>
          <w:szCs w:val="21"/>
        </w:rPr>
      </w:pPr>
      <w:r>
        <w:rPr>
          <w:rFonts w:hint="eastAsia" w:ascii="宋体" w:hAnsi="宋体"/>
          <w:b/>
          <w:color w:val="000000"/>
          <w:szCs w:val="21"/>
        </w:rPr>
        <w:t>2.3“供应商”是指向采购人提供货物、工程或者服务的法人、其他组织或者自然人。</w:t>
      </w:r>
    </w:p>
    <w:p w14:paraId="7672B05F">
      <w:pPr>
        <w:spacing w:line="360" w:lineRule="auto"/>
        <w:ind w:firstLine="422" w:firstLineChars="200"/>
        <w:rPr>
          <w:rFonts w:ascii="宋体" w:hAnsi="宋体"/>
          <w:b/>
          <w:bCs/>
          <w:color w:val="000000"/>
          <w:szCs w:val="21"/>
        </w:rPr>
      </w:pPr>
      <w:r>
        <w:rPr>
          <w:rFonts w:hint="eastAsia" w:ascii="宋体" w:hAnsi="宋体"/>
          <w:b/>
          <w:bCs/>
          <w:color w:val="000000"/>
          <w:szCs w:val="21"/>
        </w:rPr>
        <w:t>2.4“投标人”是指响应招标、参加投标竞争的法人、非法人组织或者自然人。</w:t>
      </w:r>
    </w:p>
    <w:p w14:paraId="2053181A">
      <w:pPr>
        <w:spacing w:line="360" w:lineRule="auto"/>
        <w:ind w:firstLine="422" w:firstLineChars="200"/>
        <w:rPr>
          <w:rFonts w:ascii="宋体" w:hAnsi="宋体"/>
          <w:b/>
          <w:color w:val="000000"/>
          <w:szCs w:val="21"/>
        </w:rPr>
      </w:pPr>
      <w:r>
        <w:rPr>
          <w:rFonts w:hint="eastAsia" w:ascii="宋体" w:hAnsi="宋体"/>
          <w:b/>
          <w:color w:val="000000"/>
          <w:szCs w:val="21"/>
        </w:rPr>
        <w:t>2.5“服务”是指除货物和工程以外的其他政府采购对象。</w:t>
      </w:r>
    </w:p>
    <w:p w14:paraId="5D97D7CE">
      <w:pPr>
        <w:spacing w:line="360" w:lineRule="auto"/>
        <w:ind w:firstLine="422" w:firstLineChars="200"/>
        <w:rPr>
          <w:rFonts w:ascii="宋体" w:hAnsi="宋体"/>
          <w:b/>
          <w:color w:val="000000"/>
          <w:szCs w:val="21"/>
        </w:rPr>
      </w:pPr>
      <w:r>
        <w:rPr>
          <w:rFonts w:hint="eastAsia" w:ascii="宋体" w:hAnsi="宋体"/>
          <w:b/>
          <w:color w:val="000000"/>
          <w:szCs w:val="21"/>
        </w:rPr>
        <w:t>2.6“书面形式”是指合同书、信件和数据电文（包括电报、电传、传真、短信、电子数据交换和电子邮件）等可以有形地表现所载内容的形式。</w:t>
      </w:r>
    </w:p>
    <w:p w14:paraId="4D759A1D">
      <w:pPr>
        <w:spacing w:line="360" w:lineRule="auto"/>
        <w:ind w:firstLine="422" w:firstLineChars="200"/>
        <w:rPr>
          <w:rFonts w:ascii="宋体" w:hAnsi="宋体"/>
          <w:b/>
          <w:color w:val="000000"/>
          <w:szCs w:val="21"/>
        </w:rPr>
      </w:pPr>
      <w:r>
        <w:rPr>
          <w:rFonts w:hint="eastAsia" w:ascii="宋体" w:hAnsi="宋体"/>
          <w:b/>
          <w:color w:val="000000"/>
          <w:szCs w:val="21"/>
        </w:rPr>
        <w:t>2.7“实质性要求”</w:t>
      </w:r>
      <w:r>
        <w:rPr>
          <w:rFonts w:hint="eastAsia" w:ascii="宋体" w:hAnsi="宋体" w:cs="宋体"/>
          <w:b/>
          <w:bCs/>
          <w:szCs w:val="21"/>
        </w:rPr>
        <w:t>详见“投标人须知前附表”</w:t>
      </w:r>
      <w:r>
        <w:rPr>
          <w:rFonts w:hint="eastAsia" w:ascii="宋体" w:hAnsi="宋体"/>
          <w:b/>
          <w:color w:val="000000"/>
          <w:szCs w:val="21"/>
        </w:rPr>
        <w:t>。</w:t>
      </w:r>
    </w:p>
    <w:p w14:paraId="43968AD0">
      <w:pPr>
        <w:spacing w:line="360" w:lineRule="auto"/>
        <w:ind w:firstLine="420" w:firstLineChars="200"/>
        <w:rPr>
          <w:rFonts w:ascii="宋体" w:hAnsi="宋体" w:cs="宋体"/>
          <w:color w:val="000000"/>
          <w:szCs w:val="21"/>
        </w:rPr>
      </w:pPr>
      <w:r>
        <w:rPr>
          <w:rFonts w:hint="eastAsia" w:ascii="宋体" w:hAnsi="宋体"/>
          <w:color w:val="000000"/>
          <w:szCs w:val="21"/>
        </w:rPr>
        <w:t>2.8</w:t>
      </w:r>
      <w:r>
        <w:rPr>
          <w:rFonts w:hint="eastAsia" w:ascii="宋体" w:hAnsi="宋体" w:cs="宋体"/>
          <w:color w:val="000000"/>
          <w:szCs w:val="21"/>
        </w:rPr>
        <w:t>“正偏离”是指投标文件对招标文件“采购需求”中有关条款作出的响应优于条款要求并有利于采购人的情形。</w:t>
      </w:r>
    </w:p>
    <w:p w14:paraId="70B6D8B8">
      <w:pPr>
        <w:spacing w:line="360" w:lineRule="auto"/>
        <w:ind w:firstLine="420" w:firstLineChars="200"/>
        <w:rPr>
          <w:rFonts w:ascii="宋体" w:hAnsi="宋体" w:cs="宋体"/>
          <w:color w:val="000000"/>
          <w:szCs w:val="21"/>
        </w:rPr>
      </w:pPr>
      <w:r>
        <w:rPr>
          <w:rFonts w:hint="eastAsia" w:ascii="宋体" w:hAnsi="宋体" w:cs="宋体"/>
          <w:color w:val="000000"/>
          <w:szCs w:val="21"/>
        </w:rPr>
        <w:t>2.9“负偏离”是指投标文件对招标文件“采购需求”中有关条款作出的响应不满足条款要求，导致采购人要求不能得到满足的情形。</w:t>
      </w:r>
    </w:p>
    <w:p w14:paraId="3D91014F">
      <w:pPr>
        <w:spacing w:line="360" w:lineRule="auto"/>
        <w:ind w:firstLine="480" w:firstLineChars="200"/>
        <w:rPr>
          <w:rFonts w:ascii="黑体" w:hAnsi="黑体" w:eastAsia="黑体"/>
          <w:color w:val="000000"/>
          <w:sz w:val="24"/>
        </w:rPr>
      </w:pPr>
      <w:bookmarkStart w:id="131" w:name="_Toc254970529"/>
      <w:bookmarkStart w:id="132" w:name="_Toc254970670"/>
      <w:r>
        <w:rPr>
          <w:rFonts w:hint="eastAsia" w:ascii="黑体" w:hAnsi="黑体" w:eastAsia="黑体"/>
          <w:color w:val="000000"/>
          <w:sz w:val="24"/>
        </w:rPr>
        <w:t>3.</w:t>
      </w:r>
      <w:bookmarkEnd w:id="131"/>
      <w:bookmarkEnd w:id="132"/>
      <w:r>
        <w:rPr>
          <w:rFonts w:hint="eastAsia" w:ascii="黑体" w:hAnsi="黑体" w:eastAsia="黑体"/>
          <w:color w:val="000000"/>
          <w:sz w:val="24"/>
        </w:rPr>
        <w:t>投标人的资格要求</w:t>
      </w:r>
    </w:p>
    <w:p w14:paraId="220BE322">
      <w:pPr>
        <w:spacing w:line="360" w:lineRule="auto"/>
        <w:ind w:firstLine="420" w:firstLineChars="200"/>
        <w:rPr>
          <w:rFonts w:ascii="宋体" w:hAnsi="宋体"/>
          <w:color w:val="000000"/>
          <w:szCs w:val="21"/>
        </w:rPr>
      </w:pPr>
      <w:r>
        <w:rPr>
          <w:rFonts w:hint="eastAsia" w:ascii="宋体" w:hAnsi="宋体"/>
          <w:color w:val="000000"/>
          <w:szCs w:val="21"/>
        </w:rPr>
        <w:t>投标人的资格要求详见“招标公告”。</w:t>
      </w:r>
    </w:p>
    <w:p w14:paraId="79B261CF">
      <w:pPr>
        <w:spacing w:line="360" w:lineRule="auto"/>
        <w:ind w:firstLine="480" w:firstLineChars="200"/>
        <w:rPr>
          <w:rFonts w:ascii="黑体" w:hAnsi="黑体" w:eastAsia="黑体"/>
          <w:color w:val="000000"/>
          <w:sz w:val="24"/>
        </w:rPr>
      </w:pPr>
      <w:bookmarkStart w:id="133" w:name="_Toc254970530"/>
      <w:bookmarkStart w:id="134" w:name="_Toc254970671"/>
      <w:r>
        <w:rPr>
          <w:rFonts w:hint="eastAsia" w:ascii="黑体" w:hAnsi="黑体" w:eastAsia="黑体"/>
          <w:color w:val="000000"/>
          <w:sz w:val="24"/>
        </w:rPr>
        <w:t>4.投标委托</w:t>
      </w:r>
      <w:bookmarkEnd w:id="133"/>
      <w:bookmarkEnd w:id="134"/>
    </w:p>
    <w:p w14:paraId="24426963">
      <w:pPr>
        <w:spacing w:line="360" w:lineRule="auto"/>
        <w:ind w:firstLine="420" w:firstLineChars="200"/>
        <w:rPr>
          <w:rFonts w:ascii="宋体" w:hAnsi="宋体"/>
          <w:szCs w:val="21"/>
        </w:rPr>
      </w:pPr>
      <w:r>
        <w:rPr>
          <w:rFonts w:hint="eastAsia" w:ascii="宋体" w:hAnsi="宋体"/>
          <w:szCs w:val="21"/>
        </w:rPr>
        <w:t>投标人代表参加投标活动过程中必须携带个人有效身份证件。如投标人代表不是法定代表人，须持有法定代表人授权委托书（按第六章要求格式填写）。</w:t>
      </w:r>
    </w:p>
    <w:p w14:paraId="482BDCD0">
      <w:pPr>
        <w:spacing w:line="360" w:lineRule="auto"/>
        <w:ind w:firstLine="480" w:firstLineChars="200"/>
        <w:rPr>
          <w:rFonts w:ascii="黑体" w:hAnsi="黑体" w:eastAsia="黑体"/>
          <w:color w:val="000000"/>
          <w:sz w:val="24"/>
        </w:rPr>
      </w:pPr>
      <w:bookmarkStart w:id="135" w:name="_5.投标费用"/>
      <w:bookmarkEnd w:id="135"/>
      <w:bookmarkStart w:id="136" w:name="_Toc254970531"/>
      <w:bookmarkStart w:id="137" w:name="_Toc254970672"/>
      <w:r>
        <w:rPr>
          <w:rFonts w:hint="eastAsia" w:ascii="黑体" w:hAnsi="黑体" w:eastAsia="黑体"/>
          <w:color w:val="000000"/>
          <w:sz w:val="24"/>
        </w:rPr>
        <w:t>5.投标费用</w:t>
      </w:r>
      <w:bookmarkEnd w:id="136"/>
      <w:bookmarkEnd w:id="137"/>
    </w:p>
    <w:p w14:paraId="2508941C">
      <w:pPr>
        <w:spacing w:line="360" w:lineRule="auto"/>
        <w:ind w:firstLine="420" w:firstLineChars="200"/>
        <w:rPr>
          <w:rFonts w:ascii="宋体" w:hAnsi="宋体"/>
          <w:color w:val="000000"/>
          <w:szCs w:val="21"/>
        </w:rPr>
      </w:pPr>
      <w:r>
        <w:rPr>
          <w:rFonts w:hint="eastAsia" w:ascii="宋体" w:hAnsi="宋体" w:cs="宋体"/>
          <w:color w:val="000000"/>
          <w:szCs w:val="21"/>
        </w:rPr>
        <w:t>投标费用：投标人应承担参与本次采购活动有关的所有费用，包括但不限于勘查现场、编制投标文件、参加澄清说明、签订合同等，不论投标结果如何，均应自行承担。</w:t>
      </w:r>
    </w:p>
    <w:p w14:paraId="557B55A6">
      <w:pPr>
        <w:spacing w:line="360" w:lineRule="auto"/>
        <w:ind w:firstLine="480" w:firstLineChars="200"/>
        <w:rPr>
          <w:rFonts w:ascii="黑体" w:hAnsi="黑体" w:eastAsia="黑体"/>
          <w:color w:val="000000"/>
          <w:sz w:val="24"/>
        </w:rPr>
      </w:pPr>
      <w:r>
        <w:rPr>
          <w:rFonts w:hint="eastAsia" w:ascii="黑体" w:hAnsi="黑体" w:eastAsia="黑体"/>
          <w:color w:val="000000"/>
          <w:sz w:val="24"/>
        </w:rPr>
        <w:t>6.联合体投标</w:t>
      </w:r>
    </w:p>
    <w:p w14:paraId="68444572">
      <w:pPr>
        <w:spacing w:line="360" w:lineRule="auto"/>
        <w:ind w:firstLine="420" w:firstLineChars="200"/>
        <w:rPr>
          <w:rFonts w:ascii="宋体" w:hAnsi="宋体"/>
          <w:color w:val="000000"/>
          <w:szCs w:val="21"/>
        </w:rPr>
      </w:pPr>
      <w:r>
        <w:rPr>
          <w:rFonts w:hint="eastAsia" w:ascii="宋体" w:hAnsi="宋体"/>
          <w:color w:val="000000"/>
          <w:szCs w:val="21"/>
        </w:rPr>
        <w:t>6.1本项目是否接受联合体投标，详见“投标人须知前附表”。</w:t>
      </w:r>
    </w:p>
    <w:p w14:paraId="423DDB91">
      <w:pPr>
        <w:spacing w:line="360" w:lineRule="auto"/>
        <w:ind w:firstLine="420" w:firstLineChars="200"/>
        <w:rPr>
          <w:rFonts w:ascii="宋体" w:hAnsi="宋体"/>
          <w:bCs/>
          <w:color w:val="000000"/>
          <w:szCs w:val="21"/>
        </w:rPr>
      </w:pPr>
      <w:r>
        <w:rPr>
          <w:rFonts w:hint="eastAsia" w:ascii="宋体" w:hAnsi="宋体"/>
          <w:bCs/>
          <w:color w:val="000000"/>
          <w:szCs w:val="21"/>
        </w:rPr>
        <w:t>6.2如接受联合体投标，联合体投标要求详见“投标人须知前附表”。</w:t>
      </w:r>
    </w:p>
    <w:p w14:paraId="18CCBB82">
      <w:pPr>
        <w:spacing w:line="360" w:lineRule="auto"/>
        <w:ind w:firstLine="480" w:firstLineChars="200"/>
        <w:rPr>
          <w:rFonts w:ascii="黑体" w:hAnsi="黑体" w:eastAsia="黑体"/>
          <w:color w:val="000000"/>
          <w:sz w:val="24"/>
        </w:rPr>
      </w:pPr>
      <w:r>
        <w:rPr>
          <w:rFonts w:hint="eastAsia" w:ascii="黑体" w:hAnsi="黑体" w:eastAsia="黑体"/>
          <w:color w:val="000000"/>
          <w:sz w:val="24"/>
        </w:rPr>
        <w:t xml:space="preserve">7.转包与分包             </w:t>
      </w:r>
    </w:p>
    <w:p w14:paraId="434FCB92">
      <w:pPr>
        <w:spacing w:line="360" w:lineRule="auto"/>
        <w:ind w:firstLine="422" w:firstLineChars="200"/>
        <w:rPr>
          <w:rFonts w:ascii="宋体" w:hAnsi="宋体"/>
          <w:b/>
          <w:color w:val="000000"/>
          <w:szCs w:val="21"/>
        </w:rPr>
      </w:pPr>
      <w:r>
        <w:rPr>
          <w:rFonts w:hint="eastAsia" w:ascii="宋体" w:hAnsi="宋体"/>
          <w:b/>
          <w:color w:val="000000"/>
          <w:szCs w:val="21"/>
        </w:rPr>
        <w:t>7.1 本项目不允许转包。</w:t>
      </w:r>
    </w:p>
    <w:p w14:paraId="69CF4434">
      <w:pPr>
        <w:spacing w:line="360" w:lineRule="auto"/>
        <w:ind w:firstLine="422" w:firstLineChars="200"/>
        <w:rPr>
          <w:rFonts w:ascii="宋体" w:hAnsi="宋体" w:cs="宋体"/>
          <w:bCs/>
          <w:color w:val="000000"/>
          <w:szCs w:val="21"/>
        </w:rPr>
      </w:pPr>
      <w:r>
        <w:rPr>
          <w:rFonts w:hint="eastAsia" w:ascii="宋体" w:hAnsi="宋体"/>
          <w:b/>
          <w:color w:val="000000"/>
          <w:szCs w:val="21"/>
        </w:rPr>
        <w:t>7.2本项目是否允许分包详见“投标人须知前附表”，本项目不允许违法分包。</w:t>
      </w:r>
    </w:p>
    <w:p w14:paraId="73D412D0">
      <w:pPr>
        <w:spacing w:line="360" w:lineRule="auto"/>
        <w:ind w:firstLine="480" w:firstLineChars="200"/>
        <w:rPr>
          <w:rFonts w:ascii="黑体" w:hAnsi="黑体" w:eastAsia="黑体"/>
          <w:color w:val="000000"/>
          <w:sz w:val="24"/>
        </w:rPr>
      </w:pPr>
      <w:bookmarkStart w:id="138" w:name="_Toc254970532"/>
      <w:bookmarkStart w:id="139" w:name="_Toc254970673"/>
      <w:r>
        <w:rPr>
          <w:rFonts w:hint="eastAsia" w:ascii="黑体" w:hAnsi="黑体" w:eastAsia="黑体"/>
          <w:color w:val="000000"/>
          <w:sz w:val="24"/>
        </w:rPr>
        <w:t>8.特别说明：</w:t>
      </w:r>
      <w:bookmarkEnd w:id="138"/>
      <w:bookmarkEnd w:id="139"/>
      <w:bookmarkStart w:id="140" w:name="_8.1提供相同品牌产品且通过资格审查、符合性审查的不同投标人参加同一合"/>
      <w:bookmarkEnd w:id="140"/>
    </w:p>
    <w:p w14:paraId="50B6F655">
      <w:pPr>
        <w:spacing w:line="360" w:lineRule="auto"/>
        <w:ind w:firstLine="422" w:firstLineChars="200"/>
        <w:rPr>
          <w:rFonts w:ascii="宋体" w:hAnsi="宋体"/>
          <w:b/>
          <w:color w:val="000000"/>
          <w:szCs w:val="21"/>
        </w:rPr>
      </w:pPr>
      <w:r>
        <w:rPr>
          <w:rFonts w:hint="eastAsia" w:ascii="宋体" w:hAnsi="宋体"/>
          <w:b/>
          <w:color w:val="000000"/>
          <w:szCs w:val="21"/>
        </w:rPr>
        <w:t>8.1如果本招标文件要求投标人提供资格、信誉、荣誉、业绩与企业认证等材料的，则投标人所提供的以上材料必须为该投标人所拥有。</w:t>
      </w:r>
    </w:p>
    <w:p w14:paraId="3C171691">
      <w:pPr>
        <w:spacing w:line="360" w:lineRule="auto"/>
        <w:ind w:firstLine="422" w:firstLineChars="200"/>
        <w:rPr>
          <w:rFonts w:ascii="宋体" w:hAnsi="宋体"/>
          <w:b/>
          <w:color w:val="000000"/>
          <w:szCs w:val="21"/>
        </w:rPr>
      </w:pPr>
      <w:r>
        <w:rPr>
          <w:rFonts w:hint="eastAsia" w:ascii="宋体" w:hAnsi="宋体"/>
          <w:b/>
          <w:color w:val="000000"/>
          <w:szCs w:val="21"/>
        </w:rPr>
        <w:t>8.2投标人应仔细阅读招标文件的所有内容，按照招标文件的要求提交投标文件，并对所提供的全部资料的真实性承担法律责任。</w:t>
      </w:r>
    </w:p>
    <w:p w14:paraId="0477DC5D">
      <w:pPr>
        <w:spacing w:line="360" w:lineRule="auto"/>
        <w:ind w:firstLine="422" w:firstLineChars="200"/>
        <w:rPr>
          <w:rFonts w:ascii="宋体" w:hAnsi="宋体"/>
          <w:b/>
          <w:color w:val="000000"/>
          <w:szCs w:val="21"/>
        </w:rPr>
      </w:pPr>
      <w:r>
        <w:rPr>
          <w:rFonts w:hint="eastAsia" w:ascii="宋体" w:hAnsi="宋体"/>
          <w:b/>
          <w:color w:val="000000"/>
          <w:szCs w:val="21"/>
        </w:rPr>
        <w:t>8.3投标人在投标活动中提供任何虚假材料，将报监管部门查处；中标后发现的，中标人须依照《中华人民共和国</w:t>
      </w:r>
      <w:r>
        <w:rPr>
          <w:rFonts w:hint="eastAsia" w:ascii="宋体" w:hAnsi="宋体" w:cs="宋体"/>
          <w:b/>
          <w:szCs w:val="21"/>
        </w:rPr>
        <w:t>民法典</w:t>
      </w:r>
      <w:r>
        <w:rPr>
          <w:rFonts w:hint="eastAsia" w:ascii="宋体" w:hAnsi="宋体"/>
          <w:b/>
          <w:color w:val="000000"/>
          <w:szCs w:val="21"/>
        </w:rPr>
        <w:t>》规定赔偿采购人，且民事赔偿并不免除违法投标人的行政与刑事责任。</w:t>
      </w:r>
    </w:p>
    <w:p w14:paraId="24D4C070">
      <w:pPr>
        <w:spacing w:line="360" w:lineRule="auto"/>
        <w:ind w:firstLine="480" w:firstLineChars="200"/>
        <w:rPr>
          <w:rFonts w:ascii="黑体" w:hAnsi="黑体" w:eastAsia="黑体"/>
          <w:color w:val="000000"/>
          <w:sz w:val="24"/>
        </w:rPr>
      </w:pPr>
      <w:r>
        <w:rPr>
          <w:rFonts w:hint="eastAsia" w:ascii="黑体" w:hAnsi="黑体" w:eastAsia="黑体"/>
          <w:color w:val="000000"/>
          <w:sz w:val="24"/>
        </w:rPr>
        <w:t>9.回避与串通投标</w:t>
      </w:r>
    </w:p>
    <w:p w14:paraId="2786AF7E">
      <w:pPr>
        <w:spacing w:line="360" w:lineRule="auto"/>
        <w:ind w:firstLine="422" w:firstLineChars="200"/>
        <w:rPr>
          <w:rFonts w:ascii="宋体" w:hAnsi="宋体"/>
          <w:b/>
          <w:color w:val="000000"/>
          <w:szCs w:val="21"/>
        </w:rPr>
      </w:pPr>
      <w:r>
        <w:rPr>
          <w:rFonts w:hint="eastAsia" w:ascii="宋体" w:hAnsi="宋体"/>
          <w:b/>
          <w:color w:val="000000"/>
          <w:szCs w:val="21"/>
        </w:rPr>
        <w:t>9.1在政府采购活动中，采购人员及相关人员与供应商有下列利害关系之一的，应当回避：</w:t>
      </w:r>
    </w:p>
    <w:p w14:paraId="70C084D1">
      <w:pPr>
        <w:spacing w:line="360" w:lineRule="auto"/>
        <w:ind w:firstLine="420" w:firstLineChars="200"/>
        <w:rPr>
          <w:rFonts w:ascii="宋体" w:hAnsi="宋体" w:cs="宋体"/>
          <w:color w:val="000000"/>
        </w:rPr>
      </w:pPr>
      <w:r>
        <w:rPr>
          <w:rFonts w:hint="eastAsia" w:ascii="宋体" w:hAnsi="宋体" w:cs="宋体"/>
          <w:color w:val="000000"/>
        </w:rPr>
        <w:t>（1）参加采购活动前3年内与供应商存在劳动关系；</w:t>
      </w:r>
    </w:p>
    <w:p w14:paraId="6D6265B1">
      <w:pPr>
        <w:spacing w:line="360" w:lineRule="auto"/>
        <w:ind w:firstLine="420" w:firstLineChars="200"/>
        <w:rPr>
          <w:rFonts w:ascii="宋体" w:hAnsi="宋体" w:cs="宋体"/>
          <w:color w:val="000000"/>
        </w:rPr>
      </w:pPr>
      <w:r>
        <w:rPr>
          <w:rFonts w:hint="eastAsia" w:ascii="宋体" w:hAnsi="宋体" w:cs="宋体"/>
          <w:color w:val="000000"/>
        </w:rPr>
        <w:t>（2）参加采购活动前3年内担任供应商的董事、监事；</w:t>
      </w:r>
    </w:p>
    <w:p w14:paraId="09AF6EFF">
      <w:pPr>
        <w:spacing w:line="360" w:lineRule="auto"/>
        <w:ind w:firstLine="420" w:firstLineChars="200"/>
        <w:rPr>
          <w:rFonts w:ascii="宋体" w:hAnsi="宋体" w:cs="宋体"/>
          <w:color w:val="000000"/>
        </w:rPr>
      </w:pPr>
      <w:r>
        <w:rPr>
          <w:rFonts w:hint="eastAsia" w:ascii="宋体" w:hAnsi="宋体" w:cs="宋体"/>
          <w:color w:val="000000"/>
        </w:rPr>
        <w:t>（3）参加采购活动前3年内是供应商的控股股东或者实际控制人；</w:t>
      </w:r>
    </w:p>
    <w:p w14:paraId="334A9264">
      <w:pPr>
        <w:spacing w:line="360" w:lineRule="auto"/>
        <w:ind w:firstLine="420" w:firstLineChars="200"/>
        <w:rPr>
          <w:rFonts w:ascii="宋体" w:hAnsi="宋体" w:cs="宋体"/>
          <w:color w:val="000000"/>
        </w:rPr>
      </w:pPr>
      <w:r>
        <w:rPr>
          <w:rFonts w:hint="eastAsia" w:ascii="宋体" w:hAnsi="宋体" w:cs="宋体"/>
          <w:color w:val="000000"/>
        </w:rPr>
        <w:t>（4）与供应商的法定代表人或者负责人有夫妻、直系血亲、三代以内旁系血亲或者近姻亲关系；</w:t>
      </w:r>
    </w:p>
    <w:p w14:paraId="76C6E6F8">
      <w:pPr>
        <w:spacing w:line="360" w:lineRule="auto"/>
        <w:ind w:firstLine="420" w:firstLineChars="200"/>
        <w:rPr>
          <w:rFonts w:ascii="宋体" w:hAnsi="宋体" w:cs="宋体"/>
          <w:color w:val="000000"/>
        </w:rPr>
      </w:pPr>
      <w:r>
        <w:rPr>
          <w:rFonts w:hint="eastAsia" w:ascii="宋体" w:hAnsi="宋体" w:cs="宋体"/>
          <w:color w:val="000000"/>
        </w:rPr>
        <w:t>（5）与供应商有其他可能影响政府采购活动公平、公正进行的关系。</w:t>
      </w:r>
    </w:p>
    <w:p w14:paraId="7BE9E7E9">
      <w:pPr>
        <w:spacing w:line="360" w:lineRule="auto"/>
        <w:ind w:firstLine="420" w:firstLineChars="200"/>
        <w:rPr>
          <w:rFonts w:hAnsi="宋体"/>
          <w:color w:val="000000"/>
        </w:rPr>
      </w:pPr>
      <w:r>
        <w:rPr>
          <w:rFonts w:hint="eastAsia" w:hAnsi="宋体"/>
          <w:color w:val="000000"/>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5860E5A">
      <w:pPr>
        <w:spacing w:line="360" w:lineRule="auto"/>
        <w:ind w:firstLine="420" w:firstLineChars="200"/>
        <w:rPr>
          <w:rFonts w:ascii="宋体" w:hAnsi="宋体"/>
          <w:color w:val="000000"/>
          <w:szCs w:val="21"/>
        </w:rPr>
      </w:pPr>
      <w:r>
        <w:rPr>
          <w:rFonts w:hint="eastAsia" w:ascii="宋体" w:hAnsi="宋体"/>
          <w:color w:val="000000"/>
          <w:szCs w:val="21"/>
        </w:rPr>
        <w:t>9.2有下列情形之一的视为投标人相互串通投标，投标文件将被视为无效：</w:t>
      </w:r>
    </w:p>
    <w:p w14:paraId="6B4B310F">
      <w:pPr>
        <w:spacing w:line="360" w:lineRule="auto"/>
        <w:ind w:firstLine="422" w:firstLineChars="200"/>
        <w:rPr>
          <w:rFonts w:ascii="宋体" w:hAnsi="宋体" w:cs="宋体"/>
          <w:b/>
          <w:color w:val="000000"/>
        </w:rPr>
      </w:pPr>
      <w:r>
        <w:rPr>
          <w:rFonts w:hint="eastAsia" w:ascii="宋体" w:hAnsi="宋体" w:cs="宋体"/>
          <w:b/>
          <w:color w:val="000000"/>
        </w:rPr>
        <w:t>（1）不同投标人的投标文件由同一单位或者个人编制；</w:t>
      </w:r>
      <w:r>
        <w:rPr>
          <w:rFonts w:hint="eastAsia" w:cs="宋体"/>
          <w:b/>
          <w:szCs w:val="21"/>
        </w:rPr>
        <w:t>或者不同投标人报名的IP地址一致的；</w:t>
      </w:r>
    </w:p>
    <w:p w14:paraId="2C279FA2">
      <w:pPr>
        <w:spacing w:line="360" w:lineRule="auto"/>
        <w:ind w:firstLine="422" w:firstLineChars="200"/>
        <w:rPr>
          <w:rFonts w:ascii="宋体" w:hAnsi="宋体" w:cs="宋体"/>
          <w:b/>
          <w:color w:val="000000"/>
        </w:rPr>
      </w:pPr>
      <w:r>
        <w:rPr>
          <w:rFonts w:hint="eastAsia" w:ascii="宋体" w:hAnsi="宋体" w:cs="宋体"/>
          <w:b/>
          <w:color w:val="000000"/>
        </w:rPr>
        <w:t>（2）不同投标人委托同一单位或者个人办理投标事宜；</w:t>
      </w:r>
    </w:p>
    <w:p w14:paraId="52956F20">
      <w:pPr>
        <w:spacing w:line="360" w:lineRule="auto"/>
        <w:ind w:firstLine="422" w:firstLineChars="200"/>
        <w:rPr>
          <w:rFonts w:ascii="宋体" w:hAnsi="宋体" w:cs="宋体"/>
          <w:b/>
          <w:color w:val="000000"/>
        </w:rPr>
      </w:pPr>
      <w:r>
        <w:rPr>
          <w:rFonts w:hint="eastAsia" w:ascii="宋体" w:hAnsi="宋体" w:cs="宋体"/>
          <w:b/>
          <w:color w:val="000000"/>
        </w:rPr>
        <w:t>（3）不同的投标人的投标文件载明的项目管理员为同一个人；</w:t>
      </w:r>
    </w:p>
    <w:p w14:paraId="1D91D94B">
      <w:pPr>
        <w:spacing w:line="360" w:lineRule="auto"/>
        <w:ind w:firstLine="422" w:firstLineChars="200"/>
        <w:rPr>
          <w:rFonts w:ascii="宋体" w:hAnsi="宋体" w:cs="宋体"/>
          <w:b/>
          <w:color w:val="000000"/>
        </w:rPr>
      </w:pPr>
      <w:r>
        <w:rPr>
          <w:rFonts w:hint="eastAsia" w:ascii="宋体" w:hAnsi="宋体" w:cs="宋体"/>
          <w:b/>
          <w:color w:val="000000"/>
        </w:rPr>
        <w:t>（4）不同投标人的电子版投标文件异常一致或者投标报价呈规律性差异；</w:t>
      </w:r>
    </w:p>
    <w:p w14:paraId="4BCE88BF">
      <w:pPr>
        <w:spacing w:line="360" w:lineRule="auto"/>
        <w:ind w:firstLine="422" w:firstLineChars="200"/>
        <w:rPr>
          <w:rFonts w:ascii="宋体" w:hAnsi="宋体" w:cs="宋体"/>
          <w:b/>
          <w:color w:val="000000"/>
        </w:rPr>
      </w:pPr>
      <w:r>
        <w:rPr>
          <w:rFonts w:hint="eastAsia" w:ascii="宋体" w:hAnsi="宋体" w:cs="宋体"/>
          <w:b/>
          <w:color w:val="000000"/>
        </w:rPr>
        <w:t>（5）不同投标人的投标文件相互混装；</w:t>
      </w:r>
    </w:p>
    <w:p w14:paraId="23AF8482">
      <w:pPr>
        <w:spacing w:line="360" w:lineRule="auto"/>
        <w:ind w:firstLine="422" w:firstLineChars="200"/>
        <w:rPr>
          <w:rFonts w:ascii="宋体" w:hAnsi="宋体" w:cs="宋体"/>
          <w:b/>
          <w:color w:val="000000"/>
        </w:rPr>
      </w:pPr>
      <w:r>
        <w:rPr>
          <w:rFonts w:hint="eastAsia" w:ascii="宋体" w:hAnsi="宋体" w:cs="宋体"/>
          <w:b/>
          <w:color w:val="000000"/>
        </w:rPr>
        <w:t>（6）不同投标人的投标保证金从同一单位或者个人账户转出。</w:t>
      </w:r>
    </w:p>
    <w:p w14:paraId="1C2384FF">
      <w:pPr>
        <w:spacing w:line="360" w:lineRule="auto"/>
        <w:ind w:firstLine="420" w:firstLineChars="200"/>
        <w:rPr>
          <w:rFonts w:ascii="宋体" w:hAnsi="宋体"/>
          <w:color w:val="000000"/>
          <w:szCs w:val="21"/>
        </w:rPr>
      </w:pPr>
      <w:r>
        <w:rPr>
          <w:rFonts w:hint="eastAsia" w:ascii="宋体" w:hAnsi="宋体"/>
          <w:color w:val="000000"/>
          <w:szCs w:val="21"/>
        </w:rPr>
        <w:t>9.3供应商有下列情形之一的，属于恶意串通行为，将报同级监督管理部门：</w:t>
      </w:r>
    </w:p>
    <w:p w14:paraId="278EF005">
      <w:pPr>
        <w:spacing w:line="360" w:lineRule="auto"/>
        <w:ind w:firstLine="420" w:firstLineChars="200"/>
        <w:rPr>
          <w:rFonts w:ascii="宋体" w:hAnsi="宋体" w:cs="宋体"/>
          <w:color w:val="000000"/>
        </w:rPr>
      </w:pPr>
      <w:r>
        <w:rPr>
          <w:rFonts w:hint="eastAsia" w:ascii="宋体" w:hAnsi="宋体" w:cs="宋体"/>
          <w:color w:val="000000"/>
        </w:rPr>
        <w:t>（1）供应商直接或者间接从采购人或者采购代理机构处获得其他供应商的相关信息并修改其投标文件；</w:t>
      </w:r>
    </w:p>
    <w:p w14:paraId="7C628FA9">
      <w:pPr>
        <w:spacing w:line="360" w:lineRule="auto"/>
        <w:ind w:firstLine="420" w:firstLineChars="200"/>
        <w:rPr>
          <w:rFonts w:ascii="宋体" w:hAnsi="宋体" w:cs="宋体"/>
          <w:color w:val="000000"/>
        </w:rPr>
      </w:pPr>
      <w:r>
        <w:rPr>
          <w:rFonts w:hint="eastAsia" w:ascii="宋体" w:hAnsi="宋体" w:cs="宋体"/>
          <w:color w:val="000000"/>
        </w:rPr>
        <w:t>（2）供应商按照采购人或者采购代理机构的授意撤换、修改投标文件；</w:t>
      </w:r>
    </w:p>
    <w:p w14:paraId="3D1404D4">
      <w:pPr>
        <w:spacing w:line="360" w:lineRule="auto"/>
        <w:ind w:firstLine="420" w:firstLineChars="200"/>
        <w:rPr>
          <w:rFonts w:ascii="宋体" w:hAnsi="宋体" w:cs="宋体"/>
          <w:color w:val="000000"/>
        </w:rPr>
      </w:pPr>
      <w:r>
        <w:rPr>
          <w:rFonts w:hint="eastAsia" w:ascii="宋体" w:hAnsi="宋体" w:cs="宋体"/>
          <w:color w:val="000000"/>
        </w:rPr>
        <w:t>（3）供应商之间协商报价、技术方案等投标文件的实质性内容；</w:t>
      </w:r>
    </w:p>
    <w:p w14:paraId="70269BC3">
      <w:pPr>
        <w:spacing w:line="360" w:lineRule="auto"/>
        <w:ind w:firstLine="420" w:firstLineChars="200"/>
        <w:rPr>
          <w:rFonts w:ascii="宋体" w:hAnsi="宋体" w:cs="宋体"/>
          <w:color w:val="000000"/>
        </w:rPr>
      </w:pPr>
      <w:r>
        <w:rPr>
          <w:rFonts w:hint="eastAsia" w:ascii="宋体" w:hAnsi="宋体" w:cs="宋体"/>
          <w:color w:val="000000"/>
        </w:rPr>
        <w:t>（4）属于同一集团、协会、商会等组织成员的供应商按照该组织要求协同参加政府采购活动；</w:t>
      </w:r>
    </w:p>
    <w:p w14:paraId="5CA4C8CC">
      <w:pPr>
        <w:spacing w:line="360" w:lineRule="auto"/>
        <w:ind w:firstLine="420" w:firstLineChars="200"/>
        <w:rPr>
          <w:rFonts w:ascii="宋体" w:hAnsi="宋体" w:cs="宋体"/>
          <w:color w:val="000000"/>
        </w:rPr>
      </w:pPr>
      <w:r>
        <w:rPr>
          <w:rFonts w:hint="eastAsia" w:ascii="宋体" w:hAnsi="宋体" w:cs="宋体"/>
          <w:color w:val="000000"/>
        </w:rPr>
        <w:t>（5）供应商之间事先约定一致抬高或者压低投标报价，或者在招标项目中事先约定轮流以高价位或者低价位中标，或者事先约定由某一特定供应商中标，然后再参加投标；</w:t>
      </w:r>
    </w:p>
    <w:p w14:paraId="2B0895E1">
      <w:pPr>
        <w:spacing w:line="360" w:lineRule="auto"/>
        <w:ind w:firstLine="420" w:firstLineChars="200"/>
        <w:rPr>
          <w:rFonts w:ascii="宋体" w:hAnsi="宋体" w:cs="宋体"/>
          <w:color w:val="000000"/>
        </w:rPr>
      </w:pPr>
      <w:r>
        <w:rPr>
          <w:rFonts w:hint="eastAsia" w:ascii="宋体" w:hAnsi="宋体" w:cs="宋体"/>
          <w:color w:val="000000"/>
        </w:rPr>
        <w:t>（6）供应商之间商定部分供应商放弃参加政府采购活动或者放弃中标；</w:t>
      </w:r>
    </w:p>
    <w:p w14:paraId="305B605B">
      <w:pPr>
        <w:spacing w:line="360" w:lineRule="auto"/>
        <w:ind w:firstLine="420" w:firstLineChars="200"/>
        <w:rPr>
          <w:rFonts w:ascii="宋体" w:hAnsi="宋体" w:cs="宋体"/>
          <w:color w:val="000000"/>
        </w:rPr>
      </w:pPr>
      <w:r>
        <w:rPr>
          <w:rFonts w:hint="eastAsia" w:ascii="宋体" w:hAnsi="宋体" w:cs="宋体"/>
          <w:color w:val="000000"/>
        </w:rPr>
        <w:t>（7）供应商与采购人或者采购代理机构之间、供应商相互之间，为谋求特定供应商中标或者排斥其他供应商的其他串通行为。</w:t>
      </w:r>
    </w:p>
    <w:p w14:paraId="3615F4D7">
      <w:pPr>
        <w:pStyle w:val="13"/>
        <w:snapToGrid w:val="0"/>
        <w:spacing w:line="360" w:lineRule="auto"/>
        <w:ind w:left="2" w:leftChars="1" w:firstLine="422" w:firstLineChars="200"/>
        <w:rPr>
          <w:rFonts w:hAnsi="宋体"/>
          <w:b/>
          <w:color w:val="000000"/>
        </w:rPr>
      </w:pPr>
    </w:p>
    <w:p w14:paraId="1037033B">
      <w:pPr>
        <w:pStyle w:val="4"/>
        <w:keepNext w:val="0"/>
        <w:keepLines w:val="0"/>
        <w:spacing w:line="400" w:lineRule="exact"/>
        <w:jc w:val="center"/>
        <w:rPr>
          <w:rFonts w:hint="default"/>
          <w:color w:val="000000"/>
        </w:rPr>
      </w:pPr>
      <w:bookmarkStart w:id="141" w:name="_Toc17855"/>
      <w:bookmarkStart w:id="142" w:name="_Toc10320"/>
      <w:bookmarkStart w:id="143" w:name="_Toc19016"/>
      <w:bookmarkStart w:id="144" w:name="_Toc22911"/>
      <w:bookmarkStart w:id="145" w:name="_Toc18580"/>
      <w:bookmarkStart w:id="146" w:name="_Toc11054"/>
      <w:bookmarkStart w:id="147" w:name="_Toc128"/>
      <w:bookmarkStart w:id="148" w:name="_Toc6920"/>
      <w:bookmarkStart w:id="149" w:name="_Toc9988"/>
      <w:bookmarkStart w:id="150" w:name="_Toc25104"/>
      <w:bookmarkStart w:id="151" w:name="_Toc254970534"/>
      <w:bookmarkStart w:id="152" w:name="_Toc254970675"/>
      <w:r>
        <w:rPr>
          <w:color w:val="000000"/>
        </w:rPr>
        <w:t>二、招标文件</w:t>
      </w:r>
      <w:bookmarkEnd w:id="141"/>
      <w:bookmarkEnd w:id="142"/>
      <w:bookmarkEnd w:id="143"/>
      <w:bookmarkEnd w:id="144"/>
      <w:bookmarkEnd w:id="145"/>
      <w:bookmarkEnd w:id="146"/>
      <w:bookmarkEnd w:id="147"/>
      <w:bookmarkEnd w:id="148"/>
      <w:bookmarkEnd w:id="149"/>
      <w:bookmarkEnd w:id="150"/>
      <w:bookmarkEnd w:id="151"/>
      <w:bookmarkEnd w:id="152"/>
    </w:p>
    <w:p w14:paraId="5A34A274">
      <w:pPr>
        <w:spacing w:line="360" w:lineRule="auto"/>
        <w:ind w:firstLine="480" w:firstLineChars="200"/>
        <w:rPr>
          <w:rFonts w:ascii="黑体" w:hAnsi="黑体" w:eastAsia="黑体"/>
          <w:color w:val="000000"/>
          <w:sz w:val="24"/>
        </w:rPr>
      </w:pPr>
      <w:r>
        <w:rPr>
          <w:rFonts w:hint="eastAsia" w:ascii="黑体" w:hAnsi="黑体" w:eastAsia="黑体"/>
          <w:color w:val="000000"/>
          <w:sz w:val="24"/>
        </w:rPr>
        <w:t>10.招标文件的组成</w:t>
      </w:r>
    </w:p>
    <w:p w14:paraId="3E698B00">
      <w:pPr>
        <w:spacing w:line="360" w:lineRule="auto"/>
        <w:ind w:firstLine="420" w:firstLineChars="200"/>
        <w:rPr>
          <w:rFonts w:ascii="宋体" w:hAnsi="宋体"/>
          <w:color w:val="000000"/>
          <w:szCs w:val="21"/>
        </w:rPr>
      </w:pPr>
      <w:r>
        <w:rPr>
          <w:rFonts w:hint="eastAsia" w:ascii="宋体" w:hAnsi="宋体"/>
          <w:color w:val="000000"/>
          <w:szCs w:val="21"/>
        </w:rPr>
        <w:t>第一章 招标公告；</w:t>
      </w:r>
    </w:p>
    <w:p w14:paraId="1AC806A4">
      <w:pPr>
        <w:spacing w:line="360" w:lineRule="auto"/>
        <w:ind w:firstLine="420" w:firstLineChars="200"/>
        <w:rPr>
          <w:rFonts w:ascii="宋体" w:hAnsi="宋体"/>
          <w:color w:val="000000"/>
          <w:szCs w:val="21"/>
        </w:rPr>
      </w:pPr>
      <w:r>
        <w:rPr>
          <w:rFonts w:hint="eastAsia" w:ascii="宋体" w:hAnsi="宋体"/>
          <w:color w:val="000000"/>
          <w:szCs w:val="21"/>
        </w:rPr>
        <w:t xml:space="preserve">第二章 采购需求； </w:t>
      </w:r>
    </w:p>
    <w:p w14:paraId="65C42CBE">
      <w:pPr>
        <w:spacing w:line="360" w:lineRule="auto"/>
        <w:ind w:firstLine="420" w:firstLineChars="200"/>
        <w:rPr>
          <w:rFonts w:ascii="宋体" w:hAnsi="宋体"/>
          <w:color w:val="000000"/>
          <w:szCs w:val="21"/>
        </w:rPr>
      </w:pPr>
      <w:r>
        <w:rPr>
          <w:rFonts w:hint="eastAsia" w:ascii="宋体" w:hAnsi="宋体"/>
          <w:color w:val="000000"/>
          <w:szCs w:val="21"/>
        </w:rPr>
        <w:t>第三章 投标人须知；</w:t>
      </w:r>
    </w:p>
    <w:p w14:paraId="72B31472">
      <w:pPr>
        <w:spacing w:line="360" w:lineRule="auto"/>
        <w:ind w:firstLine="420" w:firstLineChars="200"/>
        <w:rPr>
          <w:rFonts w:ascii="宋体" w:hAnsi="宋体"/>
          <w:color w:val="000000"/>
          <w:szCs w:val="21"/>
        </w:rPr>
      </w:pPr>
      <w:r>
        <w:rPr>
          <w:rFonts w:hint="eastAsia" w:ascii="宋体" w:hAnsi="宋体"/>
          <w:color w:val="000000"/>
          <w:szCs w:val="21"/>
        </w:rPr>
        <w:t>第四章 评标方法和评标标准；</w:t>
      </w:r>
    </w:p>
    <w:p w14:paraId="21E97B50">
      <w:pPr>
        <w:spacing w:line="360" w:lineRule="auto"/>
        <w:ind w:firstLine="420" w:firstLineChars="200"/>
        <w:rPr>
          <w:rFonts w:ascii="宋体" w:hAnsi="宋体"/>
          <w:color w:val="000000"/>
          <w:szCs w:val="21"/>
        </w:rPr>
      </w:pPr>
      <w:r>
        <w:rPr>
          <w:rFonts w:hint="eastAsia" w:ascii="宋体" w:hAnsi="宋体"/>
          <w:color w:val="000000"/>
          <w:szCs w:val="21"/>
        </w:rPr>
        <w:t>第五章 拟签订的合同文本；</w:t>
      </w:r>
    </w:p>
    <w:p w14:paraId="643BFC3E">
      <w:pPr>
        <w:spacing w:line="360" w:lineRule="auto"/>
        <w:ind w:firstLine="420" w:firstLineChars="200"/>
        <w:rPr>
          <w:rFonts w:ascii="宋体" w:hAnsi="宋体"/>
          <w:color w:val="000000"/>
          <w:szCs w:val="21"/>
        </w:rPr>
      </w:pPr>
      <w:r>
        <w:rPr>
          <w:rFonts w:hint="eastAsia" w:ascii="宋体" w:hAnsi="宋体"/>
          <w:color w:val="000000"/>
          <w:szCs w:val="21"/>
        </w:rPr>
        <w:t>第六章 投标文件格式；</w:t>
      </w:r>
    </w:p>
    <w:p w14:paraId="3BBD3E76">
      <w:pPr>
        <w:spacing w:line="360" w:lineRule="auto"/>
        <w:ind w:firstLine="420" w:firstLineChars="200"/>
        <w:rPr>
          <w:rFonts w:ascii="宋体" w:hAnsi="宋体"/>
          <w:color w:val="000000"/>
          <w:szCs w:val="21"/>
        </w:rPr>
      </w:pPr>
      <w:r>
        <w:rPr>
          <w:rFonts w:hint="eastAsia" w:ascii="宋体" w:hAnsi="宋体"/>
          <w:color w:val="000000"/>
          <w:szCs w:val="21"/>
        </w:rPr>
        <w:t>第七章 质疑、投诉材料格式</w:t>
      </w:r>
    </w:p>
    <w:p w14:paraId="20362DE8">
      <w:pPr>
        <w:spacing w:line="360" w:lineRule="auto"/>
        <w:ind w:firstLine="420" w:firstLineChars="200"/>
        <w:rPr>
          <w:rFonts w:hAnsi="宋体"/>
        </w:rPr>
      </w:pPr>
      <w:r>
        <w:rPr>
          <w:rFonts w:hint="eastAsia" w:hAnsi="宋体"/>
        </w:rPr>
        <w:t>根据本章</w:t>
      </w:r>
      <w:r>
        <w:rPr>
          <w:rFonts w:hint="eastAsia" w:ascii="宋体" w:hAnsi="宋体" w:cs="宋体"/>
        </w:rPr>
        <w:t>第11.1</w:t>
      </w:r>
      <w:r>
        <w:rPr>
          <w:rFonts w:hint="eastAsia" w:hAnsi="宋体"/>
        </w:rPr>
        <w:t>项的规定对招标文件所做的澄清、修改，构成招标文件的组成部分。当招标文件与招标文件的澄清和修改就同一内容的表述不一致时，</w:t>
      </w:r>
      <w:r>
        <w:rPr>
          <w:rFonts w:hint="eastAsia"/>
        </w:rPr>
        <w:t>以最后澄清或修改公告为准。</w:t>
      </w:r>
    </w:p>
    <w:p w14:paraId="48198FAE">
      <w:pPr>
        <w:spacing w:line="360" w:lineRule="auto"/>
        <w:ind w:firstLine="480" w:firstLineChars="200"/>
        <w:rPr>
          <w:rFonts w:ascii="黑体" w:hAnsi="黑体" w:eastAsia="黑体"/>
          <w:color w:val="000000"/>
          <w:sz w:val="24"/>
        </w:rPr>
      </w:pPr>
      <w:r>
        <w:rPr>
          <w:rFonts w:hint="eastAsia" w:ascii="黑体" w:hAnsi="黑体" w:eastAsia="黑体"/>
          <w:color w:val="000000"/>
          <w:sz w:val="24"/>
        </w:rPr>
        <w:t>11.招标文件的澄清、修改 、现场考察和答疑会</w:t>
      </w:r>
    </w:p>
    <w:p w14:paraId="0B9C2822">
      <w:pPr>
        <w:spacing w:line="360" w:lineRule="auto"/>
        <w:ind w:firstLine="422" w:firstLineChars="200"/>
        <w:rPr>
          <w:rFonts w:ascii="宋体" w:hAnsi="宋体"/>
          <w:b/>
          <w:color w:val="000000"/>
          <w:szCs w:val="21"/>
        </w:rPr>
      </w:pPr>
      <w:r>
        <w:rPr>
          <w:rFonts w:hint="eastAsia" w:ascii="宋体" w:hAnsi="宋体"/>
          <w:b/>
          <w:color w:val="000000"/>
          <w:szCs w:val="21"/>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0BF5272C">
      <w:pPr>
        <w:spacing w:line="360" w:lineRule="auto"/>
        <w:ind w:firstLine="420" w:firstLineChars="200"/>
        <w:rPr>
          <w:rFonts w:ascii="宋体" w:hAnsi="宋体" w:cs="宋体"/>
        </w:rPr>
      </w:pPr>
      <w:r>
        <w:rPr>
          <w:rFonts w:hint="eastAsia" w:ascii="宋体" w:hAnsi="宋体" w:cs="宋体"/>
        </w:rPr>
        <w:t>11.2 投标人应认真审阅本招标文件，如有疑问，或发现其中有误或有要求不合理的，应在投标人须知前附表规定的</w:t>
      </w:r>
      <w:r>
        <w:rPr>
          <w:rFonts w:hint="eastAsia" w:ascii="宋体" w:hAnsi="宋体" w:cs="宋体"/>
          <w:kern w:val="0"/>
          <w:szCs w:val="21"/>
        </w:rPr>
        <w:t>投标截止时间</w:t>
      </w:r>
      <w:r>
        <w:rPr>
          <w:rFonts w:hint="eastAsia" w:ascii="宋体" w:hAnsi="宋体" w:cs="宋体"/>
        </w:rPr>
        <w:t>前以书面形式要求采购人或采购代理机构对招标文件予以澄清；否则，由此产生的后果由投标人自行负责。</w:t>
      </w:r>
    </w:p>
    <w:p w14:paraId="587A108C">
      <w:pPr>
        <w:spacing w:line="360" w:lineRule="auto"/>
        <w:ind w:firstLine="420" w:firstLineChars="200"/>
        <w:rPr>
          <w:rFonts w:ascii="宋体" w:hAnsi="宋体" w:cs="宋体"/>
        </w:rPr>
      </w:pPr>
      <w:r>
        <w:rPr>
          <w:rFonts w:hint="eastAsia" w:ascii="宋体" w:hAnsi="宋体" w:cs="宋体"/>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szCs w:val="21"/>
        </w:rPr>
        <w:t>投标人须知前附表”</w:t>
      </w:r>
      <w:r>
        <w:rPr>
          <w:rFonts w:hint="eastAsia" w:ascii="宋体" w:hAnsi="宋体" w:cs="宋体"/>
        </w:rPr>
        <w:t>规定的政府采购信息发布媒体上发布更正公告及平台短信通知)所有获取招标文件的潜在投标人；不足15日的，采购人或者采购代理机构应当顺延提交投标文件的截止时间。</w:t>
      </w:r>
    </w:p>
    <w:p w14:paraId="348B0293">
      <w:pPr>
        <w:spacing w:line="360" w:lineRule="auto"/>
        <w:ind w:firstLine="420" w:firstLineChars="200"/>
        <w:rPr>
          <w:rFonts w:ascii="宋体" w:hAnsi="宋体" w:cs="宋体"/>
        </w:rPr>
      </w:pPr>
      <w:r>
        <w:rPr>
          <w:rFonts w:hint="eastAsia" w:ascii="宋体" w:hAnsi="宋体" w:cs="宋体"/>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665CD61D">
      <w:pPr>
        <w:spacing w:line="360" w:lineRule="auto"/>
        <w:ind w:firstLine="420" w:firstLineChars="200"/>
        <w:rPr>
          <w:rFonts w:ascii="宋体" w:hAnsi="宋体" w:cs="宋体"/>
        </w:rPr>
      </w:pPr>
      <w:r>
        <w:rPr>
          <w:rFonts w:hint="eastAsia" w:ascii="宋体" w:hAnsi="宋体" w:cs="宋体"/>
        </w:rPr>
        <w:t>11.4 采购人和采购代理机构可以视采购具体情况，变更投标截止时间和开标时间，将变更时间将在“</w:t>
      </w:r>
      <w:r>
        <w:rPr>
          <w:rFonts w:hint="eastAsia" w:ascii="宋体" w:hAnsi="宋体" w:cs="宋体"/>
          <w:szCs w:val="21"/>
        </w:rPr>
        <w:t>投标人须知前附表”</w:t>
      </w:r>
      <w:r>
        <w:rPr>
          <w:rFonts w:hint="eastAsia" w:ascii="宋体" w:hAnsi="宋体" w:cs="宋体"/>
          <w:kern w:val="0"/>
          <w:szCs w:val="21"/>
        </w:rPr>
        <w:t>规定的政府采购信息发布媒体上</w:t>
      </w:r>
      <w:r>
        <w:rPr>
          <w:rFonts w:hint="eastAsia" w:ascii="宋体" w:hAnsi="宋体" w:cs="宋体"/>
        </w:rPr>
        <w:t>发布更正公告。</w:t>
      </w:r>
    </w:p>
    <w:p w14:paraId="536F20EE">
      <w:pPr>
        <w:spacing w:line="360" w:lineRule="auto"/>
        <w:ind w:firstLine="420" w:firstLineChars="200"/>
        <w:rPr>
          <w:rFonts w:ascii="宋体" w:hAnsi="宋体" w:cs="宋体"/>
          <w:color w:val="000000"/>
        </w:rPr>
      </w:pPr>
      <w:r>
        <w:rPr>
          <w:rFonts w:hint="eastAsia" w:ascii="宋体" w:hAnsi="宋体" w:cs="宋体"/>
          <w:color w:val="000000"/>
        </w:rPr>
        <w:t>11.</w:t>
      </w:r>
      <w:bookmarkStart w:id="153" w:name="_Hlk53134511"/>
      <w:r>
        <w:rPr>
          <w:rFonts w:hint="eastAsia" w:ascii="宋体" w:hAnsi="宋体" w:cs="宋体"/>
          <w:color w:val="000000"/>
        </w:rPr>
        <w:t>5采购人或者采购代理机构可以在招标文件提供期限截止后，组织已获取招标文件的潜在投标人现场考察或者召开开标前答疑会，具体详见“投标人须知前附表”。</w:t>
      </w:r>
    </w:p>
    <w:bookmarkEnd w:id="153"/>
    <w:p w14:paraId="1F96A9E4">
      <w:pPr>
        <w:pStyle w:val="4"/>
        <w:keepNext w:val="0"/>
        <w:keepLines w:val="0"/>
        <w:spacing w:line="400" w:lineRule="exact"/>
        <w:jc w:val="center"/>
        <w:rPr>
          <w:rFonts w:hint="default"/>
          <w:color w:val="000000"/>
        </w:rPr>
      </w:pPr>
      <w:bookmarkStart w:id="154" w:name="_Toc32499"/>
      <w:bookmarkStart w:id="155" w:name="_Toc2635"/>
      <w:bookmarkStart w:id="156" w:name="_Toc16623"/>
      <w:bookmarkStart w:id="157" w:name="_Toc254970676"/>
      <w:bookmarkStart w:id="158" w:name="_Toc32154"/>
      <w:bookmarkStart w:id="159" w:name="_Toc24872"/>
      <w:bookmarkStart w:id="160" w:name="_Toc254970535"/>
      <w:bookmarkStart w:id="161" w:name="_Toc12080"/>
      <w:bookmarkStart w:id="162" w:name="_Toc20"/>
      <w:bookmarkStart w:id="163" w:name="_Toc27367"/>
      <w:bookmarkStart w:id="164" w:name="_Toc28419"/>
      <w:bookmarkStart w:id="165" w:name="_Toc7841"/>
      <w:r>
        <w:rPr>
          <w:color w:val="000000"/>
        </w:rPr>
        <w:t>三、投标文件的编制</w:t>
      </w:r>
      <w:bookmarkEnd w:id="154"/>
      <w:bookmarkEnd w:id="155"/>
      <w:bookmarkEnd w:id="156"/>
      <w:bookmarkEnd w:id="157"/>
      <w:bookmarkEnd w:id="158"/>
      <w:bookmarkEnd w:id="159"/>
      <w:bookmarkEnd w:id="160"/>
      <w:bookmarkEnd w:id="161"/>
      <w:bookmarkEnd w:id="162"/>
      <w:bookmarkEnd w:id="163"/>
      <w:bookmarkEnd w:id="164"/>
      <w:bookmarkEnd w:id="165"/>
    </w:p>
    <w:p w14:paraId="4E39288C">
      <w:pPr>
        <w:spacing w:line="360" w:lineRule="auto"/>
        <w:ind w:firstLine="480" w:firstLineChars="200"/>
        <w:rPr>
          <w:rFonts w:ascii="黑体" w:hAnsi="黑体" w:eastAsia="黑体"/>
          <w:color w:val="000000"/>
          <w:sz w:val="24"/>
        </w:rPr>
      </w:pPr>
      <w:bookmarkStart w:id="166" w:name="_Toc254970677"/>
      <w:bookmarkStart w:id="167" w:name="_Toc254970536"/>
      <w:r>
        <w:rPr>
          <w:rFonts w:hint="eastAsia" w:ascii="黑体" w:hAnsi="黑体" w:eastAsia="黑体"/>
          <w:color w:val="000000"/>
          <w:sz w:val="24"/>
        </w:rPr>
        <w:t>12.投标文件的编制原则</w:t>
      </w:r>
    </w:p>
    <w:p w14:paraId="2810EA16">
      <w:pPr>
        <w:spacing w:line="360" w:lineRule="auto"/>
        <w:ind w:firstLine="420" w:firstLineChars="200"/>
        <w:rPr>
          <w:rFonts w:ascii="宋体" w:hAnsi="宋体"/>
          <w:color w:val="000000"/>
          <w:szCs w:val="21"/>
        </w:rPr>
      </w:pPr>
      <w:r>
        <w:rPr>
          <w:rFonts w:hint="eastAsia" w:ascii="宋体" w:hAnsi="宋体"/>
          <w:color w:val="000000"/>
          <w:szCs w:val="21"/>
        </w:rPr>
        <w:t>投标人必须按照招标文件的要求编制投标文件。投标文件必须对招标文件提出的要求和条件作出明确响应。</w:t>
      </w:r>
    </w:p>
    <w:p w14:paraId="7D41F2E5">
      <w:pPr>
        <w:spacing w:line="360" w:lineRule="auto"/>
        <w:ind w:firstLine="480" w:firstLineChars="200"/>
        <w:rPr>
          <w:rFonts w:ascii="黑体" w:hAnsi="黑体" w:eastAsia="黑体"/>
          <w:color w:val="000000"/>
          <w:sz w:val="24"/>
        </w:rPr>
      </w:pPr>
      <w:r>
        <w:rPr>
          <w:rFonts w:hint="eastAsia" w:ascii="黑体" w:hAnsi="黑体" w:eastAsia="黑体"/>
          <w:color w:val="000000"/>
          <w:sz w:val="24"/>
        </w:rPr>
        <w:t>13.投标文件的组成</w:t>
      </w:r>
      <w:bookmarkEnd w:id="166"/>
      <w:bookmarkEnd w:id="167"/>
    </w:p>
    <w:p w14:paraId="6C8407C6">
      <w:pPr>
        <w:spacing w:line="360" w:lineRule="auto"/>
        <w:ind w:firstLine="420" w:firstLineChars="200"/>
        <w:rPr>
          <w:rFonts w:ascii="宋体" w:hAnsi="宋体"/>
          <w:color w:val="000000"/>
          <w:szCs w:val="21"/>
        </w:rPr>
      </w:pPr>
      <w:r>
        <w:rPr>
          <w:rFonts w:hint="eastAsia" w:ascii="宋体" w:hAnsi="宋体"/>
          <w:color w:val="000000"/>
          <w:szCs w:val="21"/>
        </w:rPr>
        <w:t>13.1投标文件由报价文件、资格文件、商务技术文件三部分组成。</w:t>
      </w:r>
    </w:p>
    <w:p w14:paraId="6A12EE64">
      <w:pPr>
        <w:spacing w:line="360" w:lineRule="auto"/>
        <w:ind w:firstLine="420" w:firstLineChars="200"/>
        <w:rPr>
          <w:rFonts w:ascii="宋体" w:hAnsi="宋体"/>
          <w:bCs/>
          <w:color w:val="000000"/>
          <w:szCs w:val="21"/>
        </w:rPr>
      </w:pPr>
      <w:bookmarkStart w:id="168" w:name="_13.2资格证明文件：具体材料见“投标人须知前附表”。"/>
      <w:bookmarkEnd w:id="168"/>
      <w:bookmarkStart w:id="169" w:name="_13.1报价文件:_具体材料见“投标人须知前附表”。"/>
      <w:bookmarkEnd w:id="169"/>
      <w:r>
        <w:rPr>
          <w:rFonts w:hint="eastAsia" w:ascii="宋体" w:hAnsi="宋体"/>
          <w:bCs/>
          <w:color w:val="000000"/>
          <w:szCs w:val="21"/>
        </w:rPr>
        <w:t>（1）资格文件：具体材料见“投标人须知前附表”。</w:t>
      </w:r>
    </w:p>
    <w:p w14:paraId="32039C30">
      <w:pPr>
        <w:spacing w:line="360" w:lineRule="auto"/>
        <w:ind w:firstLine="420" w:firstLineChars="200"/>
        <w:rPr>
          <w:rFonts w:ascii="宋体" w:hAnsi="宋体"/>
          <w:bCs/>
          <w:color w:val="000000"/>
          <w:szCs w:val="21"/>
        </w:rPr>
      </w:pPr>
      <w:bookmarkStart w:id="170" w:name="_13.3商务文件:_具体材料见“投标人须知前附表”。"/>
      <w:bookmarkEnd w:id="170"/>
      <w:r>
        <w:rPr>
          <w:rFonts w:hint="eastAsia" w:ascii="宋体" w:hAnsi="宋体"/>
          <w:bCs/>
          <w:color w:val="000000"/>
          <w:szCs w:val="21"/>
        </w:rPr>
        <w:t>（2）商务技术文件：具体材料见“投标人须知前附表”。</w:t>
      </w:r>
    </w:p>
    <w:p w14:paraId="70A5F9CC">
      <w:pPr>
        <w:spacing w:line="360" w:lineRule="auto"/>
        <w:ind w:firstLine="420" w:firstLineChars="200"/>
        <w:rPr>
          <w:rFonts w:ascii="宋体" w:hAnsi="宋体"/>
          <w:bCs/>
          <w:color w:val="000000"/>
          <w:szCs w:val="21"/>
        </w:rPr>
      </w:pPr>
      <w:bookmarkStart w:id="171" w:name="_13.4技术文件：具体材料见“投标人须知前附表”。"/>
      <w:bookmarkEnd w:id="171"/>
      <w:r>
        <w:rPr>
          <w:rFonts w:hint="eastAsia" w:ascii="宋体" w:hAnsi="宋体"/>
          <w:bCs/>
          <w:color w:val="000000"/>
          <w:szCs w:val="21"/>
        </w:rPr>
        <w:t>（3）报价文件： 具体材料见“投标人须知前附表”。</w:t>
      </w:r>
    </w:p>
    <w:p w14:paraId="208A9610">
      <w:pPr>
        <w:spacing w:line="360" w:lineRule="auto"/>
        <w:ind w:firstLine="420" w:firstLineChars="200"/>
        <w:rPr>
          <w:rFonts w:ascii="宋体" w:hAnsi="宋体"/>
          <w:bCs/>
          <w:color w:val="000000"/>
          <w:szCs w:val="21"/>
        </w:rPr>
      </w:pPr>
      <w:bookmarkStart w:id="172" w:name="_13.5投标文件电子版：具体材料见“投标人须知前附表”。"/>
      <w:bookmarkEnd w:id="172"/>
      <w:r>
        <w:rPr>
          <w:rFonts w:hint="eastAsia" w:ascii="宋体" w:hAnsi="宋体"/>
          <w:bCs/>
          <w:color w:val="000000"/>
          <w:szCs w:val="21"/>
        </w:rPr>
        <w:t>13.2投标文件电子版：具体要求见本节19.投标文件编制。</w:t>
      </w:r>
    </w:p>
    <w:p w14:paraId="624B93C0">
      <w:pPr>
        <w:spacing w:line="360" w:lineRule="auto"/>
        <w:ind w:firstLine="480" w:firstLineChars="200"/>
        <w:rPr>
          <w:rFonts w:ascii="黑体" w:hAnsi="黑体" w:eastAsia="黑体"/>
          <w:color w:val="000000"/>
          <w:sz w:val="24"/>
        </w:rPr>
      </w:pPr>
      <w:bookmarkStart w:id="173" w:name="_Toc254970537"/>
      <w:bookmarkStart w:id="174" w:name="_Toc254970678"/>
      <w:r>
        <w:rPr>
          <w:rFonts w:hint="eastAsia" w:ascii="黑体" w:hAnsi="黑体" w:eastAsia="黑体"/>
          <w:color w:val="000000"/>
          <w:sz w:val="24"/>
        </w:rPr>
        <w:t>14.投标文件的语言及计量</w:t>
      </w:r>
      <w:bookmarkEnd w:id="173"/>
      <w:bookmarkEnd w:id="174"/>
    </w:p>
    <w:p w14:paraId="5332977C">
      <w:pPr>
        <w:spacing w:line="360" w:lineRule="auto"/>
        <w:ind w:firstLine="420" w:firstLineChars="200"/>
        <w:rPr>
          <w:rFonts w:ascii="宋体" w:hAnsi="宋体"/>
          <w:bCs/>
          <w:color w:val="000000"/>
          <w:szCs w:val="21"/>
        </w:rPr>
      </w:pPr>
      <w:r>
        <w:rPr>
          <w:rFonts w:hint="eastAsia" w:ascii="宋体" w:hAnsi="宋体"/>
          <w:bCs/>
          <w:color w:val="000000"/>
          <w:szCs w:val="21"/>
        </w:rPr>
        <w:t>14.1语言文字</w:t>
      </w:r>
    </w:p>
    <w:p w14:paraId="3DE1D726">
      <w:pPr>
        <w:spacing w:line="360" w:lineRule="auto"/>
        <w:ind w:firstLine="420" w:firstLineChars="200"/>
        <w:rPr>
          <w:rFonts w:ascii="宋体" w:hAnsi="宋体"/>
          <w:bCs/>
          <w:color w:val="000000"/>
          <w:szCs w:val="21"/>
        </w:rPr>
      </w:pPr>
      <w:r>
        <w:rPr>
          <w:rFonts w:hint="eastAsia" w:ascii="宋体" w:hAnsi="宋体"/>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18412E4">
      <w:pPr>
        <w:spacing w:line="360" w:lineRule="auto"/>
        <w:ind w:firstLine="420" w:firstLineChars="200"/>
        <w:rPr>
          <w:rFonts w:ascii="宋体" w:hAnsi="宋体"/>
          <w:bCs/>
          <w:color w:val="000000"/>
          <w:szCs w:val="21"/>
        </w:rPr>
      </w:pPr>
      <w:r>
        <w:rPr>
          <w:rFonts w:hint="eastAsia" w:ascii="宋体" w:hAnsi="宋体"/>
          <w:bCs/>
          <w:color w:val="000000"/>
          <w:szCs w:val="21"/>
        </w:rPr>
        <w:t>14.2投标计量单位</w:t>
      </w:r>
    </w:p>
    <w:p w14:paraId="5621D153">
      <w:pPr>
        <w:spacing w:line="360" w:lineRule="auto"/>
        <w:ind w:firstLine="420" w:firstLineChars="200"/>
        <w:rPr>
          <w:rFonts w:ascii="宋体" w:hAnsi="宋体"/>
          <w:bCs/>
          <w:color w:val="000000"/>
          <w:szCs w:val="21"/>
        </w:rPr>
      </w:pPr>
      <w:r>
        <w:rPr>
          <w:rFonts w:hint="eastAsia" w:ascii="宋体" w:hAnsi="宋体"/>
          <w:bCs/>
          <w:color w:val="000000"/>
          <w:szCs w:val="21"/>
        </w:rPr>
        <w:t>招标文件已有明确规定的，使用招标文件规定的计量单位；招标文件没有规定的，应采用中华人民共和国法定计量单位，货币种类为人民币，否则视同未响应。</w:t>
      </w:r>
    </w:p>
    <w:p w14:paraId="40FFB081">
      <w:pPr>
        <w:spacing w:line="360" w:lineRule="auto"/>
        <w:ind w:firstLine="480" w:firstLineChars="200"/>
        <w:rPr>
          <w:rFonts w:ascii="黑体" w:hAnsi="黑体" w:eastAsia="黑体"/>
          <w:color w:val="000000"/>
          <w:sz w:val="24"/>
        </w:rPr>
      </w:pPr>
      <w:r>
        <w:rPr>
          <w:rFonts w:hint="eastAsia" w:ascii="黑体" w:hAnsi="黑体" w:eastAsia="黑体"/>
          <w:color w:val="000000"/>
          <w:sz w:val="24"/>
        </w:rPr>
        <w:t>15.投标文件提交的风险</w:t>
      </w:r>
    </w:p>
    <w:p w14:paraId="6E923F56">
      <w:pPr>
        <w:spacing w:line="360" w:lineRule="auto"/>
        <w:ind w:firstLine="420" w:firstLineChars="200"/>
        <w:rPr>
          <w:rFonts w:hAnsi="宋体"/>
          <w:b/>
          <w:bCs/>
          <w:color w:val="000000"/>
        </w:rPr>
      </w:pPr>
      <w:r>
        <w:rPr>
          <w:rFonts w:hint="eastAsia" w:hAnsi="宋体"/>
          <w:color w:val="000000"/>
        </w:rPr>
        <w:t>投标文件分为资格文件、商务技术文件、报价文件三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0EF77735">
      <w:pPr>
        <w:spacing w:line="360" w:lineRule="auto"/>
        <w:ind w:firstLine="480" w:firstLineChars="200"/>
        <w:rPr>
          <w:rFonts w:ascii="黑体" w:hAnsi="黑体" w:eastAsia="黑体"/>
          <w:color w:val="000000"/>
          <w:sz w:val="24"/>
        </w:rPr>
      </w:pPr>
      <w:bookmarkStart w:id="175" w:name="_Toc254970679"/>
      <w:bookmarkStart w:id="176" w:name="_Toc254970538"/>
      <w:r>
        <w:rPr>
          <w:rFonts w:hint="eastAsia" w:ascii="黑体" w:hAnsi="黑体" w:eastAsia="黑体"/>
          <w:color w:val="000000"/>
          <w:sz w:val="24"/>
        </w:rPr>
        <w:t>16.投标报价</w:t>
      </w:r>
      <w:bookmarkEnd w:id="175"/>
      <w:bookmarkEnd w:id="176"/>
    </w:p>
    <w:p w14:paraId="0EF64A50">
      <w:pPr>
        <w:spacing w:line="360" w:lineRule="auto"/>
        <w:ind w:firstLine="420" w:firstLineChars="200"/>
        <w:rPr>
          <w:rFonts w:ascii="宋体" w:hAnsi="宋体"/>
          <w:bCs/>
          <w:color w:val="000000"/>
          <w:szCs w:val="21"/>
        </w:rPr>
      </w:pPr>
      <w:r>
        <w:rPr>
          <w:rFonts w:hint="eastAsia" w:ascii="宋体" w:hAnsi="宋体"/>
          <w:bCs/>
          <w:color w:val="000000"/>
          <w:szCs w:val="21"/>
        </w:rPr>
        <w:t>16.1投标报价应</w:t>
      </w:r>
      <w:r>
        <w:rPr>
          <w:rFonts w:hint="eastAsia" w:ascii="宋体" w:hAnsi="宋体"/>
          <w:bCs/>
          <w:color w:val="000000"/>
          <w:szCs w:val="20"/>
        </w:rPr>
        <w:t>按“第六章　投标文件格式”中“开标一览表”格式填写。</w:t>
      </w:r>
    </w:p>
    <w:p w14:paraId="29FF0981">
      <w:pPr>
        <w:spacing w:line="360" w:lineRule="auto"/>
        <w:ind w:firstLine="420" w:firstLineChars="200"/>
        <w:rPr>
          <w:rFonts w:ascii="宋体" w:hAnsi="宋体"/>
          <w:bCs/>
          <w:color w:val="000000"/>
          <w:szCs w:val="21"/>
        </w:rPr>
      </w:pPr>
      <w:bookmarkStart w:id="177" w:name="_16.2投标报价具体定义见投标人须知前附表。"/>
      <w:bookmarkEnd w:id="177"/>
      <w:r>
        <w:rPr>
          <w:rFonts w:hint="eastAsia" w:ascii="宋体" w:hAnsi="宋体"/>
          <w:bCs/>
          <w:color w:val="000000"/>
          <w:szCs w:val="21"/>
        </w:rPr>
        <w:t>16.2投标报价具体包括内容详见“投标人须知前附表”。</w:t>
      </w:r>
    </w:p>
    <w:p w14:paraId="1D244204">
      <w:pPr>
        <w:spacing w:line="360" w:lineRule="auto"/>
        <w:ind w:firstLine="420" w:firstLineChars="200"/>
        <w:rPr>
          <w:rFonts w:ascii="宋体" w:hAnsi="宋体"/>
          <w:bCs/>
          <w:color w:val="000000"/>
          <w:szCs w:val="21"/>
        </w:rPr>
      </w:pPr>
      <w:r>
        <w:rPr>
          <w:rFonts w:hint="eastAsia" w:ascii="宋体" w:hAnsi="宋体"/>
          <w:bCs/>
          <w:color w:val="000000"/>
          <w:szCs w:val="21"/>
        </w:rPr>
        <w:t>16.3投标人必须就所投项目的全部内容分别作完整唯一总价报价，不得存在漏项报价；投标人必须就所投项目的单项内容作唯一报价。</w:t>
      </w:r>
    </w:p>
    <w:p w14:paraId="42B3D791">
      <w:pPr>
        <w:spacing w:line="360" w:lineRule="auto"/>
        <w:ind w:firstLine="480" w:firstLineChars="200"/>
        <w:rPr>
          <w:rFonts w:ascii="黑体" w:hAnsi="黑体" w:eastAsia="黑体"/>
          <w:color w:val="000000"/>
          <w:sz w:val="24"/>
        </w:rPr>
      </w:pPr>
      <w:r>
        <w:rPr>
          <w:rFonts w:hint="eastAsia" w:ascii="黑体" w:hAnsi="黑体" w:eastAsia="黑体"/>
          <w:color w:val="000000"/>
          <w:sz w:val="24"/>
        </w:rPr>
        <w:t>17.投标有效期</w:t>
      </w:r>
    </w:p>
    <w:p w14:paraId="5A404CF4">
      <w:pPr>
        <w:spacing w:line="360" w:lineRule="auto"/>
        <w:ind w:firstLine="420" w:firstLineChars="200"/>
        <w:rPr>
          <w:rFonts w:ascii="宋体" w:hAnsi="宋体"/>
          <w:bCs/>
          <w:color w:val="000000"/>
          <w:szCs w:val="21"/>
        </w:rPr>
      </w:pPr>
      <w:bookmarkStart w:id="178" w:name="_17.1投标有效期应按“投标人须知中的前附表”规定的期限。"/>
      <w:bookmarkEnd w:id="178"/>
      <w:r>
        <w:rPr>
          <w:rFonts w:hint="eastAsia" w:ascii="宋体" w:hAnsi="宋体"/>
          <w:bCs/>
          <w:color w:val="000000"/>
          <w:szCs w:val="21"/>
        </w:rPr>
        <w:t>17.1投标有效期是指为保证采购人有足够的时间在开标后完成评标、定标、合同签订等工作而要求投标人提交的投标文件在一定时间内保持有效的期限。</w:t>
      </w:r>
    </w:p>
    <w:p w14:paraId="752D7DEE">
      <w:pPr>
        <w:spacing w:line="360" w:lineRule="auto"/>
        <w:ind w:firstLine="420" w:firstLineChars="200"/>
        <w:rPr>
          <w:rFonts w:ascii="宋体" w:hAnsi="宋体"/>
          <w:bCs/>
          <w:color w:val="000000"/>
          <w:szCs w:val="21"/>
        </w:rPr>
      </w:pPr>
      <w:r>
        <w:rPr>
          <w:rFonts w:hint="eastAsia" w:ascii="宋体" w:hAnsi="宋体"/>
          <w:bCs/>
          <w:color w:val="000000"/>
          <w:szCs w:val="21"/>
        </w:rPr>
        <w:t>17.2</w:t>
      </w:r>
      <w:bookmarkStart w:id="179" w:name="_Toc254970681"/>
      <w:bookmarkStart w:id="180" w:name="_Toc254970540"/>
      <w:r>
        <w:rPr>
          <w:rFonts w:hint="eastAsia" w:ascii="宋体" w:hAnsi="宋体"/>
          <w:bCs/>
          <w:color w:val="000000"/>
          <w:szCs w:val="21"/>
        </w:rPr>
        <w:t xml:space="preserve"> 投标有效期应按规定的期限作出承诺，具体详见“投标人须知前附表”。</w:t>
      </w:r>
    </w:p>
    <w:p w14:paraId="4E264018">
      <w:pPr>
        <w:spacing w:line="360" w:lineRule="auto"/>
        <w:ind w:firstLine="420" w:firstLineChars="200"/>
        <w:rPr>
          <w:rFonts w:ascii="宋体" w:hAnsi="宋体"/>
          <w:bCs/>
          <w:color w:val="000000"/>
          <w:szCs w:val="21"/>
        </w:rPr>
      </w:pPr>
      <w:r>
        <w:rPr>
          <w:rFonts w:hint="eastAsia" w:ascii="宋体" w:hAnsi="宋体"/>
          <w:bCs/>
          <w:color w:val="000000"/>
          <w:szCs w:val="21"/>
        </w:rPr>
        <w:t>17.3投标人的投标文件在投标有效期内均保持有效。</w:t>
      </w:r>
      <w:bookmarkEnd w:id="179"/>
      <w:bookmarkEnd w:id="180"/>
    </w:p>
    <w:p w14:paraId="60AA879F">
      <w:pPr>
        <w:spacing w:line="360" w:lineRule="auto"/>
        <w:ind w:firstLine="480" w:firstLineChars="200"/>
        <w:rPr>
          <w:rFonts w:ascii="黑体" w:hAnsi="黑体" w:eastAsia="黑体"/>
          <w:color w:val="000000"/>
          <w:sz w:val="24"/>
        </w:rPr>
      </w:pPr>
      <w:bookmarkStart w:id="181" w:name="_18.投标保证金"/>
      <w:bookmarkEnd w:id="181"/>
      <w:bookmarkStart w:id="182" w:name="_Toc254970541"/>
      <w:bookmarkStart w:id="183" w:name="_Toc254970682"/>
      <w:r>
        <w:rPr>
          <w:rFonts w:hint="eastAsia" w:ascii="黑体" w:hAnsi="黑体" w:eastAsia="黑体"/>
          <w:color w:val="000000"/>
          <w:sz w:val="24"/>
        </w:rPr>
        <w:t>18.投标保证金</w:t>
      </w:r>
      <w:bookmarkEnd w:id="182"/>
      <w:bookmarkEnd w:id="183"/>
    </w:p>
    <w:p w14:paraId="3C2AB4FC">
      <w:pPr>
        <w:pStyle w:val="5"/>
        <w:keepNext w:val="0"/>
        <w:keepLines w:val="0"/>
        <w:spacing w:before="0" w:after="0" w:line="360" w:lineRule="auto"/>
        <w:ind w:left="420" w:leftChars="200"/>
        <w:rPr>
          <w:rFonts w:ascii="宋体" w:hAnsi="宋体" w:cs="宋体"/>
          <w:b w:val="0"/>
          <w:sz w:val="21"/>
          <w:szCs w:val="21"/>
        </w:rPr>
      </w:pPr>
      <w:bookmarkStart w:id="184" w:name="_Toc254970542"/>
      <w:bookmarkStart w:id="185" w:name="_Toc254970683"/>
      <w:r>
        <w:rPr>
          <w:rFonts w:hint="eastAsia" w:ascii="宋体" w:hAnsi="宋体" w:cs="宋体"/>
          <w:b w:val="0"/>
          <w:sz w:val="21"/>
          <w:szCs w:val="21"/>
        </w:rPr>
        <w:t>18.1投标人须按“投标人须知前附表” 的规定提交投标保证金。</w:t>
      </w:r>
    </w:p>
    <w:p w14:paraId="37838F15">
      <w:pPr>
        <w:pStyle w:val="5"/>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18.2投标保证金的退还</w:t>
      </w:r>
    </w:p>
    <w:p w14:paraId="05BDC023">
      <w:pPr>
        <w:pStyle w:val="5"/>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18.2.1未中标人的投标保证金自中标通知书发出之日起5个工作日内退还，退还方式如下：</w:t>
      </w:r>
    </w:p>
    <w:p w14:paraId="04D004D1">
      <w:pPr>
        <w:pStyle w:val="5"/>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（1）采用银行转账方式的，以转账方式退回到投标人银行账户。</w:t>
      </w:r>
    </w:p>
    <w:p w14:paraId="6F62CE9C">
      <w:pPr>
        <w:pStyle w:val="6"/>
        <w:spacing w:line="360" w:lineRule="auto"/>
        <w:ind w:firstLine="315" w:firstLineChars="150"/>
        <w:rPr>
          <w:rFonts w:ascii="宋体" w:hAnsi="宋体" w:cs="宋体"/>
          <w:szCs w:val="21"/>
        </w:rPr>
      </w:pPr>
      <w:r>
        <w:rPr>
          <w:rFonts w:hint="eastAsia" w:ascii="宋体" w:hAnsi="宋体" w:cs="宋体"/>
          <w:szCs w:val="21"/>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66CD74BA">
      <w:pPr>
        <w:pStyle w:val="5"/>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 xml:space="preserve">18.2.2中标人的投标保证金自采购合同签订之日起5个工作日内退还，退还方式同本须知正文第18.2.1。 </w:t>
      </w:r>
    </w:p>
    <w:p w14:paraId="4DD09036">
      <w:pPr>
        <w:pStyle w:val="5"/>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18.3除逾期退还投标保证金和终止招标的情形以外，投标保证金不计息。</w:t>
      </w:r>
    </w:p>
    <w:p w14:paraId="34536163">
      <w:pPr>
        <w:pStyle w:val="5"/>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 xml:space="preserve">18.4投标人有下列情形之一的，投标保证金将不予退还： </w:t>
      </w:r>
    </w:p>
    <w:p w14:paraId="540D7E8C">
      <w:pPr>
        <w:snapToGrid w:val="0"/>
        <w:spacing w:line="360" w:lineRule="auto"/>
        <w:ind w:firstLine="411" w:firstLineChars="196"/>
        <w:jc w:val="left"/>
        <w:rPr>
          <w:rFonts w:ascii="宋体" w:hAnsi="宋体" w:cs="宋体"/>
          <w:szCs w:val="21"/>
        </w:rPr>
      </w:pPr>
      <w:r>
        <w:rPr>
          <w:rFonts w:hint="eastAsia" w:ascii="宋体" w:hAnsi="宋体" w:cs="宋体"/>
          <w:szCs w:val="21"/>
        </w:rPr>
        <w:t>（1）投标人在投标有效期内撤销投标文件的；</w:t>
      </w:r>
    </w:p>
    <w:p w14:paraId="6103E53B">
      <w:pPr>
        <w:snapToGrid w:val="0"/>
        <w:spacing w:line="360" w:lineRule="auto"/>
        <w:ind w:firstLine="411" w:firstLineChars="196"/>
        <w:jc w:val="left"/>
        <w:rPr>
          <w:rFonts w:ascii="宋体" w:hAnsi="宋体" w:cs="宋体"/>
          <w:szCs w:val="21"/>
        </w:rPr>
      </w:pPr>
      <w:r>
        <w:rPr>
          <w:rFonts w:hint="eastAsia" w:ascii="宋体" w:hAnsi="宋体" w:cs="宋体"/>
          <w:szCs w:val="21"/>
        </w:rPr>
        <w:t>（2）未按规定提交履约保证金的；</w:t>
      </w:r>
    </w:p>
    <w:p w14:paraId="40F0EE62">
      <w:pPr>
        <w:snapToGrid w:val="0"/>
        <w:spacing w:line="360" w:lineRule="auto"/>
        <w:ind w:firstLine="411" w:firstLineChars="196"/>
        <w:jc w:val="left"/>
        <w:rPr>
          <w:rFonts w:ascii="宋体" w:hAnsi="宋体" w:cs="宋体"/>
          <w:szCs w:val="21"/>
        </w:rPr>
      </w:pPr>
      <w:r>
        <w:rPr>
          <w:rFonts w:hint="eastAsia" w:ascii="宋体" w:hAnsi="宋体" w:cs="宋体"/>
          <w:szCs w:val="21"/>
        </w:rPr>
        <w:t>（3）投标人在投标过程中弄虚作假，提供虚假材料的；</w:t>
      </w:r>
    </w:p>
    <w:p w14:paraId="617EB3E3">
      <w:pPr>
        <w:snapToGrid w:val="0"/>
        <w:spacing w:line="360" w:lineRule="auto"/>
        <w:ind w:firstLine="411" w:firstLineChars="196"/>
        <w:rPr>
          <w:rFonts w:ascii="宋体" w:hAnsi="宋体" w:cs="宋体"/>
          <w:szCs w:val="21"/>
        </w:rPr>
      </w:pPr>
      <w:r>
        <w:rPr>
          <w:rFonts w:hint="eastAsia" w:ascii="宋体" w:hAnsi="宋体" w:cs="宋体"/>
          <w:szCs w:val="21"/>
        </w:rPr>
        <w:t>（4）中标人无正当理由不与采购人签订合同的；</w:t>
      </w:r>
    </w:p>
    <w:p w14:paraId="479CE23D">
      <w:pPr>
        <w:snapToGrid w:val="0"/>
        <w:spacing w:line="360" w:lineRule="auto"/>
        <w:ind w:firstLine="420" w:firstLineChars="200"/>
        <w:rPr>
          <w:rFonts w:ascii="宋体" w:hAnsi="宋体" w:cs="宋体"/>
          <w:szCs w:val="21"/>
        </w:rPr>
      </w:pPr>
      <w:r>
        <w:rPr>
          <w:rFonts w:hint="eastAsia" w:ascii="宋体" w:hAnsi="宋体" w:cs="宋体"/>
          <w:szCs w:val="21"/>
        </w:rPr>
        <w:t>（5）投标人出现本章第9.2、9.3情形的；</w:t>
      </w:r>
    </w:p>
    <w:p w14:paraId="4C15FC18">
      <w:pPr>
        <w:snapToGrid w:val="0"/>
        <w:spacing w:line="360" w:lineRule="auto"/>
        <w:ind w:firstLine="420" w:firstLineChars="200"/>
        <w:rPr>
          <w:rFonts w:ascii="宋体" w:hAnsi="宋体" w:cs="宋体"/>
          <w:szCs w:val="21"/>
        </w:rPr>
      </w:pPr>
      <w:r>
        <w:rPr>
          <w:rFonts w:hint="eastAsia" w:ascii="宋体" w:hAnsi="宋体" w:cs="宋体"/>
          <w:szCs w:val="21"/>
        </w:rPr>
        <w:t>（6）其他严重扰乱招投标程序的。</w:t>
      </w:r>
    </w:p>
    <w:p w14:paraId="39DEB4A9">
      <w:pPr>
        <w:spacing w:line="360" w:lineRule="auto"/>
        <w:ind w:firstLine="480" w:firstLineChars="200"/>
        <w:rPr>
          <w:rFonts w:ascii="黑体" w:hAnsi="黑体" w:eastAsia="黑体"/>
          <w:color w:val="000000"/>
          <w:sz w:val="24"/>
        </w:rPr>
      </w:pPr>
      <w:r>
        <w:rPr>
          <w:rFonts w:hint="eastAsia" w:ascii="黑体" w:hAnsi="黑体" w:eastAsia="黑体"/>
          <w:color w:val="000000"/>
          <w:sz w:val="24"/>
        </w:rPr>
        <w:t>19.投标文件的</w:t>
      </w:r>
      <w:bookmarkEnd w:id="184"/>
      <w:bookmarkEnd w:id="185"/>
      <w:r>
        <w:rPr>
          <w:rFonts w:hint="eastAsia" w:ascii="黑体" w:hAnsi="黑体" w:eastAsia="黑体"/>
          <w:color w:val="000000"/>
          <w:sz w:val="24"/>
        </w:rPr>
        <w:t>编制</w:t>
      </w:r>
    </w:p>
    <w:p w14:paraId="569A0FE2">
      <w:pPr>
        <w:spacing w:line="360" w:lineRule="auto"/>
        <w:ind w:firstLine="422" w:firstLineChars="200"/>
        <w:rPr>
          <w:rFonts w:ascii="宋体" w:hAnsi="宋体" w:cs="宋体"/>
          <w:color w:val="000000"/>
          <w:szCs w:val="21"/>
        </w:rPr>
      </w:pPr>
      <w:r>
        <w:rPr>
          <w:rFonts w:hint="eastAsia" w:ascii="宋体" w:hAnsi="宋体" w:cs="宋体"/>
          <w:b/>
          <w:color w:val="000000"/>
          <w:szCs w:val="21"/>
        </w:rPr>
        <w:t xml:space="preserve"> </w:t>
      </w:r>
      <w:r>
        <w:rPr>
          <w:rFonts w:hint="eastAsia" w:ascii="宋体" w:hAnsi="宋体" w:cs="宋体"/>
          <w:color w:val="000000"/>
          <w:szCs w:val="21"/>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6" w:name="_19.2投标文件应按报价文件、资格证明文件、商务文件、技术文件分别编制"/>
      <w:bookmarkEnd w:id="186"/>
      <w:r>
        <w:rPr>
          <w:rFonts w:hint="eastAsia" w:ascii="宋体" w:hAnsi="宋体" w:cs="宋体"/>
          <w:color w:val="000000"/>
          <w:szCs w:val="21"/>
        </w:rPr>
        <w:t xml:space="preserve"> </w:t>
      </w:r>
    </w:p>
    <w:p w14:paraId="38425BEF">
      <w:pPr>
        <w:pStyle w:val="33"/>
        <w:snapToGrid w:val="0"/>
        <w:spacing w:before="0"/>
        <w:ind w:firstLine="420"/>
        <w:rPr>
          <w:rFonts w:ascii="宋体" w:hAnsi="宋体" w:cs="宋体"/>
          <w:color w:val="000000"/>
          <w:sz w:val="21"/>
          <w:szCs w:val="21"/>
        </w:rPr>
      </w:pPr>
      <w:r>
        <w:rPr>
          <w:rFonts w:hint="eastAsia" w:ascii="宋体" w:hAnsi="宋体" w:cs="宋体"/>
          <w:color w:val="000000"/>
          <w:sz w:val="21"/>
          <w:szCs w:val="21"/>
        </w:rPr>
        <w:t>19.2投标文件按照招标文件第六章格式要求进行签署、盖章。投标人的投标文件未按照招标文件要求签署、盖章的，</w:t>
      </w:r>
      <w:r>
        <w:rPr>
          <w:rFonts w:hint="eastAsia" w:ascii="宋体" w:hAnsi="宋体" w:cs="宋体"/>
          <w:b/>
          <w:color w:val="000000"/>
          <w:sz w:val="21"/>
          <w:szCs w:val="21"/>
        </w:rPr>
        <w:t>其投标无效。</w:t>
      </w:r>
    </w:p>
    <w:p w14:paraId="47C7EC7B">
      <w:pPr>
        <w:pStyle w:val="33"/>
        <w:snapToGrid w:val="0"/>
        <w:spacing w:before="0"/>
        <w:ind w:firstLine="420"/>
        <w:rPr>
          <w:rFonts w:ascii="宋体" w:hAnsi="宋体" w:cs="宋体"/>
          <w:color w:val="000000"/>
          <w:sz w:val="21"/>
          <w:szCs w:val="21"/>
        </w:rPr>
      </w:pPr>
    </w:p>
    <w:p w14:paraId="582663D1">
      <w:pPr>
        <w:pStyle w:val="33"/>
        <w:snapToGrid w:val="0"/>
        <w:spacing w:before="0"/>
        <w:ind w:firstLine="420"/>
        <w:rPr>
          <w:rFonts w:ascii="宋体" w:hAnsi="宋体" w:cs="宋体"/>
          <w:color w:val="000000"/>
          <w:sz w:val="21"/>
          <w:szCs w:val="21"/>
        </w:rPr>
      </w:pPr>
      <w:r>
        <w:rPr>
          <w:rFonts w:hint="eastAsia" w:ascii="宋体" w:hAnsi="宋体" w:cs="宋体"/>
          <w:color w:val="000000"/>
          <w:sz w:val="21"/>
          <w:szCs w:val="21"/>
        </w:rPr>
        <w:t>19.3为确保网上操作合法、有效和安全，投标人应当在投标截止时间前完成在</w:t>
      </w:r>
      <w:r>
        <w:rPr>
          <w:rFonts w:hint="eastAsia" w:ascii="宋体" w:hAnsi="宋体" w:cs="宋体"/>
          <w:sz w:val="21"/>
          <w:szCs w:val="21"/>
        </w:rPr>
        <w:t>广西政府采购云平台</w:t>
      </w:r>
      <w:r>
        <w:rPr>
          <w:rFonts w:hint="eastAsia" w:ascii="宋体" w:hAnsi="宋体" w:cs="宋体"/>
          <w:color w:val="000000"/>
          <w:sz w:val="21"/>
          <w:szCs w:val="21"/>
        </w:rPr>
        <w:t>的身份认证，确保在电子投标过程中能够对相关数据电文进行加密和使用电子签名。</w:t>
      </w:r>
    </w:p>
    <w:p w14:paraId="792BB753">
      <w:pPr>
        <w:spacing w:line="360" w:lineRule="auto"/>
        <w:ind w:firstLine="422" w:firstLineChars="200"/>
        <w:rPr>
          <w:rFonts w:ascii="宋体" w:hAnsi="宋体" w:cs="宋体"/>
          <w:b/>
          <w:color w:val="000000"/>
          <w:szCs w:val="21"/>
        </w:rPr>
      </w:pPr>
      <w:r>
        <w:rPr>
          <w:rFonts w:hint="eastAsia" w:ascii="宋体" w:hAnsi="宋体" w:cs="宋体"/>
          <w:b/>
          <w:color w:val="000000"/>
          <w:szCs w:val="21"/>
        </w:rPr>
        <w:t>19.4投标文件中标注的投标人名称应与主体资格证明（如营业执照、事业单位法人证书、执业许可证、自然人身份证等）及公章一致，</w:t>
      </w:r>
      <w:r>
        <w:rPr>
          <w:rFonts w:hint="eastAsia" w:ascii="宋体" w:hAnsi="宋体" w:cs="宋体"/>
          <w:color w:val="000000"/>
          <w:szCs w:val="21"/>
        </w:rPr>
        <w:t>否则作无效投标处理</w:t>
      </w:r>
      <w:r>
        <w:rPr>
          <w:rFonts w:hint="eastAsia" w:ascii="宋体" w:hAnsi="宋体" w:cs="宋体"/>
          <w:b/>
          <w:color w:val="000000"/>
          <w:szCs w:val="21"/>
        </w:rPr>
        <w:t>。</w:t>
      </w:r>
    </w:p>
    <w:p w14:paraId="2AA2C562">
      <w:pPr>
        <w:spacing w:line="360" w:lineRule="auto"/>
        <w:ind w:firstLine="420" w:firstLineChars="200"/>
        <w:rPr>
          <w:rFonts w:ascii="宋体" w:hAnsi="宋体" w:cs="宋体"/>
          <w:szCs w:val="21"/>
        </w:rPr>
      </w:pPr>
      <w:r>
        <w:rPr>
          <w:rFonts w:hint="eastAsia" w:ascii="宋体" w:hAnsi="宋体" w:cs="宋体"/>
          <w:color w:val="000000"/>
          <w:szCs w:val="21"/>
        </w:rPr>
        <w:t xml:space="preserve"> 19.5投标文件应避免涂改、行间插字或者删除。</w:t>
      </w:r>
    </w:p>
    <w:p w14:paraId="3EEABA59">
      <w:pPr>
        <w:spacing w:line="360" w:lineRule="auto"/>
        <w:ind w:firstLine="525" w:firstLineChars="250"/>
        <w:rPr>
          <w:rFonts w:ascii="宋体" w:hAnsi="宋体" w:cs="宋体"/>
        </w:rPr>
      </w:pPr>
      <w:r>
        <w:rPr>
          <w:rFonts w:hint="eastAsia" w:ascii="宋体" w:hAnsi="宋体" w:cs="宋体"/>
        </w:rPr>
        <w:t>19.6 对招标文件的实质性要求和条件作出响应是指投标人必须对招标文件中标注为实质性要求和条件的</w:t>
      </w:r>
      <w:r>
        <w:rPr>
          <w:rFonts w:hint="eastAsia" w:ascii="宋体" w:hAnsi="宋体" w:cs="宋体"/>
          <w:color w:val="000000"/>
          <w:szCs w:val="21"/>
        </w:rPr>
        <w:t>服务内容及要求</w:t>
      </w:r>
      <w:r>
        <w:rPr>
          <w:rFonts w:hint="eastAsia" w:ascii="宋体" w:hAnsi="宋体" w:cs="宋体"/>
        </w:rPr>
        <w:t>、商务条款及其它内容</w:t>
      </w:r>
      <w:r>
        <w:rPr>
          <w:rFonts w:hint="eastAsia" w:ascii="宋体" w:hAnsi="宋体" w:cs="宋体"/>
          <w:b/>
        </w:rPr>
        <w:t>作出满足或者优于原要求和条件的承诺</w:t>
      </w:r>
      <w:r>
        <w:rPr>
          <w:rFonts w:hint="eastAsia" w:ascii="宋体" w:hAnsi="宋体" w:cs="宋体"/>
        </w:rPr>
        <w:t>。</w:t>
      </w:r>
    </w:p>
    <w:p w14:paraId="426A337C">
      <w:pPr>
        <w:spacing w:line="360" w:lineRule="auto"/>
        <w:ind w:firstLine="422" w:firstLineChars="200"/>
        <w:rPr>
          <w:rFonts w:ascii="宋体" w:hAnsi="宋体" w:cs="宋体"/>
          <w:b/>
          <w:color w:val="000000"/>
          <w:szCs w:val="21"/>
          <w:u w:val="single"/>
        </w:rPr>
      </w:pPr>
      <w:r>
        <w:rPr>
          <w:rFonts w:hint="eastAsia" w:ascii="宋体" w:hAnsi="宋体" w:cs="宋体"/>
          <w:b/>
          <w:color w:val="000000"/>
          <w:szCs w:val="21"/>
          <w:u w:val="single"/>
        </w:rPr>
        <w:t>19.7本项目为全流程电子化项目，异常情况见“第二节 投标人须知正文”中“四、24.2开标程序”。</w:t>
      </w:r>
    </w:p>
    <w:p w14:paraId="02FE5333">
      <w:pPr>
        <w:spacing w:line="360" w:lineRule="auto"/>
        <w:ind w:firstLine="480" w:firstLineChars="200"/>
        <w:rPr>
          <w:rFonts w:ascii="黑体" w:hAnsi="黑体" w:eastAsia="黑体"/>
          <w:color w:val="000000"/>
          <w:sz w:val="24"/>
        </w:rPr>
      </w:pPr>
      <w:r>
        <w:rPr>
          <w:rFonts w:hint="eastAsia" w:ascii="黑体" w:hAnsi="黑体" w:eastAsia="黑体"/>
          <w:color w:val="000000"/>
          <w:sz w:val="24"/>
        </w:rPr>
        <w:t>20.备份投标文件</w:t>
      </w:r>
    </w:p>
    <w:p w14:paraId="228A7FC9">
      <w:pPr>
        <w:spacing w:line="360" w:lineRule="auto"/>
        <w:ind w:firstLine="420" w:firstLineChars="200"/>
        <w:rPr>
          <w:rFonts w:ascii="黑体" w:hAnsi="黑体" w:eastAsia="黑体"/>
          <w:color w:val="000000"/>
          <w:sz w:val="24"/>
        </w:rPr>
      </w:pPr>
      <w:r>
        <w:rPr>
          <w:rFonts w:hint="eastAsia" w:hAnsi="宋体"/>
          <w:bCs/>
          <w:color w:val="000000"/>
          <w:szCs w:val="21"/>
        </w:rPr>
        <w:t>详见“投标人须知前附表”。</w:t>
      </w:r>
    </w:p>
    <w:p w14:paraId="61B83D7A">
      <w:pPr>
        <w:spacing w:line="360" w:lineRule="auto"/>
        <w:ind w:firstLine="480" w:firstLineChars="200"/>
        <w:rPr>
          <w:rFonts w:ascii="黑体" w:hAnsi="黑体" w:eastAsia="黑体"/>
          <w:color w:val="000000"/>
          <w:sz w:val="24"/>
        </w:rPr>
      </w:pPr>
      <w:r>
        <w:rPr>
          <w:rFonts w:hint="eastAsia" w:ascii="黑体" w:hAnsi="黑体" w:eastAsia="黑体"/>
          <w:color w:val="000000"/>
          <w:sz w:val="24"/>
        </w:rPr>
        <w:t>21.投标文件的提交</w:t>
      </w:r>
    </w:p>
    <w:p w14:paraId="73F573A3">
      <w:pPr>
        <w:spacing w:line="360" w:lineRule="auto"/>
        <w:ind w:firstLine="420" w:firstLineChars="200"/>
        <w:rPr>
          <w:rFonts w:hAnsi="宋体"/>
          <w:b/>
        </w:rPr>
      </w:pPr>
      <w:bookmarkStart w:id="187" w:name="_21.1投标人必须在“投标人须知中的前附表”规定的投标文件接收时间和投"/>
      <w:bookmarkEnd w:id="187"/>
      <w:r>
        <w:rPr>
          <w:rFonts w:hint="eastAsia" w:ascii="宋体" w:hAnsi="宋体" w:cs="宋体"/>
          <w:bCs/>
          <w:color w:val="000000"/>
          <w:szCs w:val="21"/>
        </w:rPr>
        <w:t>21.1</w:t>
      </w:r>
      <w:r>
        <w:rPr>
          <w:rFonts w:hint="eastAsia" w:hAnsi="宋体"/>
          <w:bCs/>
          <w:color w:val="000000"/>
          <w:szCs w:val="21"/>
        </w:rPr>
        <w:t>投标人必须在“投标人须知前附表”规定的投标文件接收时间和投标地点提交电子版投标文件。电子版投标文件应在制作完成后，在投标截止时间前通过有效数字证书（</w:t>
      </w:r>
      <w:r>
        <w:rPr>
          <w:rFonts w:hAnsi="宋体"/>
          <w:bCs/>
          <w:color w:val="000000"/>
          <w:szCs w:val="21"/>
        </w:rPr>
        <w:t>CA</w:t>
      </w:r>
      <w:r>
        <w:rPr>
          <w:rFonts w:hint="eastAsia" w:hAnsi="宋体"/>
          <w:bCs/>
          <w:color w:val="000000"/>
          <w:szCs w:val="21"/>
        </w:rPr>
        <w:t>认证锁）进行电子签章、加密，然后通过网络将加密的电子版投标文件提交至</w:t>
      </w:r>
      <w:r>
        <w:rPr>
          <w:rFonts w:hint="eastAsia" w:ascii="宋体" w:hAnsi="宋体" w:cs="宋体"/>
          <w:szCs w:val="21"/>
        </w:rPr>
        <w:t>广西政府采购云平台</w:t>
      </w:r>
      <w:r>
        <w:rPr>
          <w:rFonts w:hint="eastAsia" w:hAnsi="宋体"/>
          <w:bCs/>
          <w:color w:val="000000"/>
          <w:szCs w:val="21"/>
        </w:rPr>
        <w:t>。</w:t>
      </w:r>
      <w:r>
        <w:rPr>
          <w:rFonts w:hAnsi="宋体"/>
          <w:bCs/>
          <w:color w:val="000000"/>
          <w:szCs w:val="21"/>
        </w:rPr>
        <w:t xml:space="preserve"> </w:t>
      </w:r>
      <w:r>
        <w:rPr>
          <w:rFonts w:hAnsi="宋体"/>
          <w:b/>
        </w:rPr>
        <w:t xml:space="preserve"> </w:t>
      </w:r>
    </w:p>
    <w:p w14:paraId="75833753">
      <w:pPr>
        <w:spacing w:line="360" w:lineRule="auto"/>
        <w:ind w:firstLine="422" w:firstLineChars="200"/>
        <w:rPr>
          <w:rFonts w:ascii="宋体" w:hAnsi="宋体"/>
          <w:b/>
          <w:color w:val="000000"/>
          <w:szCs w:val="20"/>
        </w:rPr>
      </w:pPr>
      <w:r>
        <w:rPr>
          <w:rFonts w:hint="eastAsia" w:ascii="宋体" w:hAnsi="宋体"/>
          <w:b/>
          <w:color w:val="000000"/>
          <w:szCs w:val="21"/>
        </w:rPr>
        <w:t>21.2未在规定时间内提交或者未按照招标文件要求加密的电子版投标文件，广西政府采购云平台将拒收。</w:t>
      </w:r>
    </w:p>
    <w:p w14:paraId="05239321">
      <w:pPr>
        <w:spacing w:line="360" w:lineRule="auto"/>
        <w:ind w:firstLine="420" w:firstLineChars="200"/>
        <w:rPr>
          <w:rFonts w:ascii="宋体" w:hAnsi="宋体"/>
          <w:color w:val="000000"/>
          <w:szCs w:val="21"/>
        </w:rPr>
      </w:pPr>
      <w:r>
        <w:rPr>
          <w:rFonts w:hint="eastAsia" w:ascii="宋体" w:hAnsi="宋体"/>
          <w:color w:val="000000"/>
          <w:szCs w:val="21"/>
        </w:rPr>
        <w:t>21.3电子版投标文件提交方式见“招标公告”。</w:t>
      </w:r>
    </w:p>
    <w:p w14:paraId="7925426D">
      <w:pPr>
        <w:spacing w:line="360" w:lineRule="auto"/>
        <w:ind w:firstLine="480" w:firstLineChars="200"/>
        <w:rPr>
          <w:rFonts w:ascii="黑体" w:hAnsi="黑体" w:eastAsia="黑体"/>
          <w:color w:val="000000"/>
          <w:sz w:val="24"/>
        </w:rPr>
      </w:pPr>
      <w:r>
        <w:rPr>
          <w:rFonts w:hint="eastAsia" w:ascii="黑体" w:hAnsi="黑体" w:eastAsia="黑体"/>
          <w:color w:val="000000"/>
          <w:sz w:val="24"/>
        </w:rPr>
        <w:t>22. 投标文件的补充、修改、撤回</w:t>
      </w:r>
      <w:bookmarkStart w:id="188" w:name="_Toc254970684"/>
      <w:bookmarkStart w:id="189" w:name="_Toc254970543"/>
    </w:p>
    <w:p w14:paraId="4462A84A">
      <w:pPr>
        <w:spacing w:line="360" w:lineRule="auto"/>
        <w:ind w:firstLine="420" w:firstLineChars="200"/>
        <w:rPr>
          <w:rFonts w:ascii="黑体" w:hAnsi="黑体" w:eastAsia="黑体"/>
          <w:color w:val="000000"/>
          <w:sz w:val="24"/>
        </w:rPr>
      </w:pPr>
      <w:r>
        <w:rPr>
          <w:rFonts w:hint="eastAsia" w:ascii="宋体" w:hAnsi="宋体" w:cs="宋体"/>
          <w:color w:val="000000"/>
          <w:szCs w:val="21"/>
        </w:rPr>
        <w:t>22.1 投标人应当在投标截止时间前完成投标文件的传输提交，并可以补充、修改或者撤回投标文件。补充或者修改投标文件的，应当先行撤回原文件，补充、修改后重新传输提交。投标截止时间前未完成传输的，视为撤回投标文件。投标截止时间后提交的投标文件，</w:t>
      </w:r>
      <w:r>
        <w:rPr>
          <w:rFonts w:hint="eastAsia" w:ascii="宋体" w:hAnsi="宋体" w:cs="宋体"/>
          <w:szCs w:val="21"/>
        </w:rPr>
        <w:t>广西政府采购云平台</w:t>
      </w:r>
      <w:r>
        <w:rPr>
          <w:rFonts w:hint="eastAsia" w:ascii="宋体" w:hAnsi="宋体" w:cs="宋体"/>
          <w:color w:val="000000"/>
          <w:szCs w:val="21"/>
        </w:rPr>
        <w:t>将拒收。</w:t>
      </w:r>
    </w:p>
    <w:p w14:paraId="6D797687">
      <w:pPr>
        <w:pStyle w:val="33"/>
        <w:spacing w:before="0"/>
        <w:ind w:firstLine="420"/>
        <w:rPr>
          <w:rFonts w:ascii="宋体" w:hAnsi="宋体" w:cs="宋体"/>
          <w:color w:val="000000"/>
          <w:sz w:val="21"/>
          <w:szCs w:val="21"/>
        </w:rPr>
      </w:pPr>
      <w:r>
        <w:rPr>
          <w:rFonts w:hint="eastAsia" w:ascii="宋体" w:hAnsi="宋体" w:cs="宋体"/>
          <w:color w:val="000000"/>
          <w:sz w:val="21"/>
          <w:szCs w:val="21"/>
        </w:rPr>
        <w:t>22.2</w:t>
      </w:r>
      <w:r>
        <w:rPr>
          <w:rFonts w:hint="eastAsia" w:ascii="宋体" w:hAnsi="宋体" w:cs="宋体"/>
          <w:sz w:val="21"/>
          <w:szCs w:val="21"/>
        </w:rPr>
        <w:t>广西政府采购云平台</w:t>
      </w:r>
      <w:r>
        <w:rPr>
          <w:rFonts w:hint="eastAsia" w:ascii="宋体" w:hAnsi="宋体" w:cs="宋体"/>
          <w:color w:val="000000"/>
          <w:sz w:val="21"/>
          <w:szCs w:val="21"/>
        </w:rPr>
        <w:t>收到投标文件，将妥善保存并即时向投标人发出确认回执通知。在投标截止时间前，除投标人补充、修改或者撤回投标文件外，任何单位和个人不得解密或提取投标文件。</w:t>
      </w:r>
    </w:p>
    <w:bookmarkEnd w:id="188"/>
    <w:bookmarkEnd w:id="189"/>
    <w:p w14:paraId="40973AF8">
      <w:pPr>
        <w:pStyle w:val="11"/>
        <w:snapToGrid w:val="0"/>
        <w:spacing w:line="400" w:lineRule="exact"/>
        <w:ind w:firstLine="739"/>
        <w:rPr>
          <w:rFonts w:hAnsi="宋体"/>
          <w:snapToGrid w:val="0"/>
          <w:color w:val="000000"/>
          <w:sz w:val="21"/>
          <w:szCs w:val="21"/>
        </w:rPr>
      </w:pPr>
    </w:p>
    <w:p w14:paraId="5ABEF69A">
      <w:pPr>
        <w:pStyle w:val="4"/>
        <w:keepNext w:val="0"/>
        <w:keepLines w:val="0"/>
        <w:spacing w:line="400" w:lineRule="exact"/>
        <w:jc w:val="center"/>
        <w:rPr>
          <w:rFonts w:hint="default"/>
          <w:color w:val="000000"/>
        </w:rPr>
      </w:pPr>
      <w:bookmarkStart w:id="190" w:name="_Toc27037"/>
      <w:bookmarkStart w:id="191" w:name="_Toc254970685"/>
      <w:bookmarkStart w:id="192" w:name="_Toc2573"/>
      <w:bookmarkStart w:id="193" w:name="_Toc32494"/>
      <w:bookmarkStart w:id="194" w:name="_Toc14091"/>
      <w:bookmarkStart w:id="195" w:name="_Toc1356"/>
      <w:bookmarkStart w:id="196" w:name="_Toc810"/>
      <w:bookmarkStart w:id="197" w:name="_Toc13250"/>
      <w:bookmarkStart w:id="198" w:name="_Toc1586"/>
      <w:bookmarkStart w:id="199" w:name="_Toc12790"/>
      <w:bookmarkStart w:id="200" w:name="_Toc22661"/>
      <w:bookmarkStart w:id="201" w:name="_Toc254970544"/>
      <w:r>
        <w:rPr>
          <w:color w:val="000000"/>
        </w:rPr>
        <w:t>四、开    标</w:t>
      </w:r>
      <w:bookmarkEnd w:id="190"/>
      <w:bookmarkEnd w:id="191"/>
      <w:bookmarkEnd w:id="192"/>
      <w:bookmarkEnd w:id="193"/>
      <w:bookmarkEnd w:id="194"/>
      <w:bookmarkEnd w:id="195"/>
      <w:bookmarkEnd w:id="196"/>
      <w:bookmarkEnd w:id="197"/>
      <w:bookmarkEnd w:id="198"/>
      <w:bookmarkEnd w:id="199"/>
      <w:bookmarkEnd w:id="200"/>
      <w:bookmarkEnd w:id="201"/>
    </w:p>
    <w:p w14:paraId="593341A4">
      <w:pPr>
        <w:spacing w:line="360" w:lineRule="auto"/>
        <w:ind w:firstLine="480" w:firstLineChars="200"/>
        <w:rPr>
          <w:rFonts w:ascii="黑体" w:hAnsi="黑体" w:eastAsia="黑体"/>
          <w:color w:val="000000"/>
          <w:sz w:val="24"/>
        </w:rPr>
      </w:pPr>
      <w:bookmarkStart w:id="202" w:name="_23.开标时间和地点"/>
      <w:bookmarkEnd w:id="202"/>
      <w:r>
        <w:rPr>
          <w:rFonts w:hint="eastAsia" w:ascii="黑体" w:hAnsi="黑体" w:eastAsia="黑体"/>
          <w:color w:val="000000"/>
          <w:sz w:val="24"/>
        </w:rPr>
        <w:t>23.开标时间和地点</w:t>
      </w:r>
    </w:p>
    <w:p w14:paraId="65E0704B">
      <w:pPr>
        <w:spacing w:line="360" w:lineRule="auto"/>
        <w:ind w:firstLine="420" w:firstLineChars="200"/>
        <w:rPr>
          <w:rFonts w:ascii="宋体" w:hAnsi="宋体" w:cs="宋体"/>
          <w:bCs/>
          <w:color w:val="000000"/>
        </w:rPr>
      </w:pPr>
      <w:r>
        <w:rPr>
          <w:rFonts w:hint="eastAsia" w:ascii="宋体" w:hAnsi="宋体" w:cs="宋体"/>
          <w:bCs/>
          <w:color w:val="000000"/>
        </w:rPr>
        <w:t>23.1开标时间及地点详见“投标人须知前附表”</w:t>
      </w:r>
    </w:p>
    <w:p w14:paraId="4EBEB9E0">
      <w:pPr>
        <w:spacing w:line="360" w:lineRule="auto"/>
        <w:ind w:firstLine="420" w:firstLineChars="200"/>
        <w:rPr>
          <w:rFonts w:ascii="宋体" w:hAnsi="宋体" w:cs="宋体"/>
        </w:rPr>
      </w:pPr>
      <w:r>
        <w:rPr>
          <w:rFonts w:hint="eastAsia" w:ascii="宋体" w:hAnsi="宋体" w:cs="宋体"/>
        </w:rPr>
        <w:t>23.2如</w:t>
      </w:r>
      <w:r>
        <w:rPr>
          <w:rFonts w:hint="eastAsia" w:ascii="宋体" w:hAnsi="宋体" w:cs="宋体"/>
          <w:bCs/>
          <w:color w:val="000000"/>
        </w:rPr>
        <w:t>投标人成功解密投标文件，但未在</w:t>
      </w:r>
      <w:r>
        <w:rPr>
          <w:rFonts w:hint="eastAsia" w:ascii="宋体" w:hAnsi="宋体" w:cs="宋体"/>
          <w:szCs w:val="21"/>
        </w:rPr>
        <w:t>广西政府采购云平台</w:t>
      </w:r>
      <w:r>
        <w:rPr>
          <w:rFonts w:hint="eastAsia" w:ascii="宋体" w:hAnsi="宋体" w:cs="宋体"/>
          <w:bCs/>
          <w:color w:val="000000"/>
        </w:rPr>
        <w:t>电子开标大厅参加开标的，视同认可开标过程和结果，</w:t>
      </w:r>
      <w:r>
        <w:rPr>
          <w:rFonts w:hint="eastAsia" w:ascii="宋体" w:hAnsi="宋体" w:cs="宋体"/>
        </w:rPr>
        <w:t>由此产生的后果由投标人自行负责。 投标人不足3家的，不得开标。</w:t>
      </w:r>
    </w:p>
    <w:p w14:paraId="1D5DC772">
      <w:pPr>
        <w:spacing w:line="360" w:lineRule="auto"/>
        <w:ind w:firstLine="480" w:firstLineChars="200"/>
        <w:rPr>
          <w:rFonts w:ascii="黑体" w:hAnsi="黑体" w:eastAsia="黑体"/>
          <w:color w:val="000000"/>
          <w:sz w:val="24"/>
        </w:rPr>
      </w:pPr>
      <w:r>
        <w:rPr>
          <w:rFonts w:hint="eastAsia" w:ascii="黑体" w:hAnsi="黑体" w:eastAsia="黑体"/>
          <w:color w:val="000000"/>
          <w:sz w:val="24"/>
        </w:rPr>
        <w:t>24.开标程序</w:t>
      </w:r>
    </w:p>
    <w:p w14:paraId="6F7472A8">
      <w:pPr>
        <w:autoSpaceDE w:val="0"/>
        <w:autoSpaceDN w:val="0"/>
        <w:adjustRightInd w:val="0"/>
        <w:spacing w:line="440" w:lineRule="exact"/>
        <w:ind w:firstLine="420" w:firstLineChars="200"/>
        <w:rPr>
          <w:rFonts w:ascii="宋体" w:hAnsi="宋体"/>
          <w:kern w:val="0"/>
          <w:szCs w:val="21"/>
        </w:rPr>
      </w:pPr>
      <w:r>
        <w:rPr>
          <w:rFonts w:hint="eastAsia" w:ascii="宋体" w:hAnsi="宋体"/>
          <w:bCs/>
          <w:szCs w:val="21"/>
        </w:rPr>
        <w:t>24.1</w:t>
      </w:r>
      <w:r>
        <w:rPr>
          <w:rFonts w:hint="eastAsia" w:ascii="宋体" w:hAnsi="宋体"/>
          <w:kern w:val="0"/>
          <w:szCs w:val="21"/>
        </w:rPr>
        <w:t>开标形式：</w:t>
      </w:r>
    </w:p>
    <w:p w14:paraId="7B057CD7">
      <w:pPr>
        <w:autoSpaceDE w:val="0"/>
        <w:autoSpaceDN w:val="0"/>
        <w:adjustRightInd w:val="0"/>
        <w:spacing w:line="440" w:lineRule="exact"/>
        <w:ind w:firstLine="420" w:firstLineChars="200"/>
        <w:rPr>
          <w:rFonts w:ascii="宋体" w:hAnsi="宋体"/>
          <w:bCs/>
          <w:szCs w:val="21"/>
        </w:rPr>
      </w:pPr>
      <w:r>
        <w:rPr>
          <w:rFonts w:hint="eastAsia" w:ascii="宋体" w:hAnsi="宋体"/>
          <w:szCs w:val="21"/>
        </w:rPr>
        <w:t>（1）</w:t>
      </w:r>
      <w:r>
        <w:rPr>
          <w:rFonts w:hint="eastAsia" w:ascii="宋体" w:hAnsi="宋体"/>
          <w:bCs/>
          <w:szCs w:val="21"/>
        </w:rPr>
        <w:t>开标的准备工作由采购代理机构负责落实，采购代理机构必须基于</w:t>
      </w:r>
      <w:r>
        <w:rPr>
          <w:rFonts w:hint="eastAsia" w:ascii="宋体" w:hAnsi="宋体" w:cs="宋体"/>
          <w:szCs w:val="21"/>
        </w:rPr>
        <w:t>广西政府采购云平台</w:t>
      </w:r>
      <w:r>
        <w:rPr>
          <w:rFonts w:hint="eastAsia" w:ascii="宋体" w:hAnsi="宋体"/>
          <w:bCs/>
          <w:szCs w:val="21"/>
        </w:rPr>
        <w:t>依法抽取评审专家，如采购代理机构未按规定抽取专家的，视为本次开评标无效，应当重新采购；</w:t>
      </w:r>
    </w:p>
    <w:p w14:paraId="138F1EF9">
      <w:pPr>
        <w:autoSpaceDE w:val="0"/>
        <w:autoSpaceDN w:val="0"/>
        <w:adjustRightInd w:val="0"/>
        <w:spacing w:line="440" w:lineRule="exact"/>
        <w:ind w:firstLine="420" w:firstLineChars="200"/>
        <w:rPr>
          <w:rFonts w:ascii="宋体" w:hAnsi="宋体"/>
          <w:bCs/>
          <w:szCs w:val="21"/>
        </w:rPr>
      </w:pPr>
      <w:r>
        <w:rPr>
          <w:rFonts w:hint="eastAsia" w:ascii="宋体" w:hAnsi="宋体"/>
          <w:bCs/>
          <w:szCs w:val="21"/>
        </w:rPr>
        <w:t>（2）采购代理机构将按照招标文件规定的时间通过</w:t>
      </w:r>
      <w:r>
        <w:rPr>
          <w:rFonts w:hint="eastAsia" w:ascii="宋体" w:hAnsi="宋体" w:cs="宋体"/>
          <w:szCs w:val="21"/>
        </w:rPr>
        <w:t>广西政府采购云平台</w:t>
      </w:r>
      <w:r>
        <w:rPr>
          <w:rFonts w:hint="eastAsia" w:ascii="宋体" w:hAnsi="宋体"/>
          <w:bCs/>
          <w:szCs w:val="21"/>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F7642A1">
      <w:pPr>
        <w:autoSpaceDE w:val="0"/>
        <w:autoSpaceDN w:val="0"/>
        <w:adjustRightInd w:val="0"/>
        <w:spacing w:line="440" w:lineRule="exact"/>
        <w:ind w:firstLine="420" w:firstLineChars="200"/>
        <w:rPr>
          <w:rFonts w:ascii="宋体" w:hAnsi="宋体"/>
          <w:bCs/>
          <w:szCs w:val="21"/>
        </w:rPr>
      </w:pPr>
      <w:r>
        <w:rPr>
          <w:rFonts w:hint="eastAsia" w:ascii="宋体" w:hAnsi="宋体"/>
          <w:bCs/>
          <w:szCs w:val="21"/>
        </w:rPr>
        <w:t>24.2开标程序：</w:t>
      </w:r>
    </w:p>
    <w:p w14:paraId="67C1C307">
      <w:pPr>
        <w:pStyle w:val="13"/>
        <w:snapToGrid w:val="0"/>
        <w:spacing w:line="440" w:lineRule="exact"/>
        <w:ind w:firstLine="422" w:firstLineChars="200"/>
        <w:rPr>
          <w:rFonts w:hAnsi="宋体"/>
          <w:szCs w:val="21"/>
        </w:rPr>
      </w:pPr>
      <w:r>
        <w:rPr>
          <w:rFonts w:hint="eastAsia" w:hAnsi="宋体"/>
          <w:b/>
          <w:szCs w:val="21"/>
        </w:rPr>
        <w:t>（1）解密电子版投标文件。</w:t>
      </w:r>
      <w:r>
        <w:rPr>
          <w:rFonts w:hint="eastAsia" w:hAnsi="宋体" w:cs="宋体"/>
          <w:szCs w:val="21"/>
        </w:rPr>
        <w:t>广西政府采购云平台</w:t>
      </w:r>
      <w:r>
        <w:rPr>
          <w:rFonts w:hint="eastAsia" w:hAnsi="宋体" w:cs="仿宋_GB2312"/>
          <w:szCs w:val="21"/>
        </w:rPr>
        <w:t>按开标时间自动提取所有投标文件。采购代理机构依托</w:t>
      </w:r>
      <w:r>
        <w:rPr>
          <w:rFonts w:hint="eastAsia" w:hAnsi="宋体" w:cs="宋体"/>
          <w:szCs w:val="21"/>
        </w:rPr>
        <w:t>广西政府采购云平台</w:t>
      </w:r>
      <w:r>
        <w:rPr>
          <w:rFonts w:hint="eastAsia" w:hAnsi="宋体"/>
          <w:szCs w:val="21"/>
        </w:rPr>
        <w:t>向各投标人发出电子加密投标文件【开始解密】通知，由投标人在规定的时间内自行将投标文件在线解密。投标人的法定代表人或其委托代理人</w:t>
      </w:r>
      <w:r>
        <w:rPr>
          <w:rFonts w:hint="eastAsia" w:hAnsi="宋体"/>
          <w:b/>
          <w:szCs w:val="21"/>
        </w:rPr>
        <w:t>须携带加密时所用的CA锁准时登录到广西政府采购云平台电子开标大厅签到并对电子版投标文件在线解密</w:t>
      </w:r>
      <w:r>
        <w:rPr>
          <w:rFonts w:hint="eastAsia" w:hAnsi="宋体"/>
          <w:szCs w:val="21"/>
        </w:rPr>
        <w:t>。</w:t>
      </w:r>
      <w:r>
        <w:rPr>
          <w:rFonts w:hint="eastAsia" w:hAnsi="宋体"/>
          <w:b/>
          <w:bCs/>
          <w:szCs w:val="21"/>
        </w:rPr>
        <w:t>投标文件未按时解密的，</w:t>
      </w:r>
      <w:r>
        <w:rPr>
          <w:rFonts w:hint="eastAsia" w:hAnsi="宋体"/>
          <w:b/>
          <w:color w:val="000000"/>
          <w:szCs w:val="21"/>
        </w:rPr>
        <w:t>均视为无效投标。</w:t>
      </w:r>
    </w:p>
    <w:p w14:paraId="009D3316">
      <w:pPr>
        <w:pStyle w:val="13"/>
        <w:snapToGrid w:val="0"/>
        <w:spacing w:line="440" w:lineRule="exact"/>
        <w:ind w:firstLine="420" w:firstLineChars="200"/>
        <w:rPr>
          <w:rFonts w:hAnsi="宋体"/>
          <w:szCs w:val="21"/>
        </w:rPr>
      </w:pPr>
      <w:r>
        <w:rPr>
          <w:rFonts w:hint="eastAsia" w:hAnsi="宋体"/>
          <w:szCs w:val="21"/>
        </w:rPr>
        <w:t>（解密</w:t>
      </w:r>
      <w:r>
        <w:rPr>
          <w:rFonts w:hint="eastAsia" w:hAnsi="宋体"/>
          <w:bCs/>
          <w:color w:val="000000"/>
          <w:szCs w:val="21"/>
        </w:rPr>
        <w:t>异常情况处理：详见本章</w:t>
      </w:r>
      <w:r>
        <w:rPr>
          <w:rFonts w:hint="eastAsia" w:hAnsi="宋体"/>
          <w:color w:val="000000"/>
        </w:rPr>
        <w:t>29.3 电子交易活动的中止。</w:t>
      </w:r>
      <w:r>
        <w:rPr>
          <w:rFonts w:hint="eastAsia" w:hAnsi="宋体"/>
          <w:szCs w:val="21"/>
        </w:rPr>
        <w:t>）</w:t>
      </w:r>
    </w:p>
    <w:p w14:paraId="244A5526">
      <w:pPr>
        <w:spacing w:line="360" w:lineRule="auto"/>
        <w:ind w:firstLine="420" w:firstLineChars="200"/>
        <w:rPr>
          <w:rFonts w:ascii="宋体" w:hAnsi="宋体"/>
          <w:szCs w:val="21"/>
        </w:rPr>
      </w:pPr>
      <w:r>
        <w:rPr>
          <w:rFonts w:hint="eastAsia" w:ascii="宋体" w:hAnsi="宋体"/>
          <w:szCs w:val="21"/>
        </w:rPr>
        <w:t>（2）</w:t>
      </w:r>
      <w:r>
        <w:rPr>
          <w:rFonts w:hint="eastAsia" w:ascii="宋体" w:hAnsi="宋体"/>
          <w:b/>
          <w:szCs w:val="21"/>
        </w:rPr>
        <w:t>电子唱标。</w:t>
      </w:r>
      <w:r>
        <w:rPr>
          <w:rFonts w:hint="eastAsia" w:ascii="宋体" w:hAnsi="宋体"/>
          <w:szCs w:val="21"/>
        </w:rPr>
        <w:t>投标文件解密结束，各投标人报价均在</w:t>
      </w:r>
      <w:r>
        <w:rPr>
          <w:rFonts w:hint="eastAsia" w:ascii="宋体" w:hAnsi="宋体" w:cs="宋体"/>
          <w:szCs w:val="21"/>
        </w:rPr>
        <w:t>广西政府采购云平台</w:t>
      </w:r>
      <w:r>
        <w:rPr>
          <w:rFonts w:hint="eastAsia" w:ascii="宋体" w:hAnsi="宋体"/>
          <w:szCs w:val="21"/>
        </w:rPr>
        <w:t>远程不见面开标大厅展示；</w:t>
      </w:r>
    </w:p>
    <w:p w14:paraId="4ACED8FA">
      <w:pPr>
        <w:spacing w:line="360" w:lineRule="auto"/>
        <w:ind w:firstLine="420" w:firstLineChars="200"/>
        <w:rPr>
          <w:rFonts w:ascii="宋体" w:hAnsi="宋体"/>
          <w:bCs/>
          <w:color w:val="000000"/>
          <w:szCs w:val="21"/>
        </w:rPr>
      </w:pPr>
      <w:r>
        <w:rPr>
          <w:rFonts w:hint="eastAsia" w:ascii="宋体" w:hAnsi="宋体"/>
          <w:szCs w:val="21"/>
        </w:rPr>
        <w:t>（3）</w:t>
      </w:r>
      <w:r>
        <w:rPr>
          <w:rFonts w:hint="eastAsia" w:ascii="宋体" w:hAnsi="宋体"/>
          <w:bCs/>
          <w:color w:val="000000"/>
          <w:szCs w:val="21"/>
        </w:rPr>
        <w:t>开标过程由采购代理机构如实记录，并电子留痕，由参加电子开标的各投标人代表对电子开标记录在开标记录公布后15分钟内进行当场校核及勘误，并线上确认，未确认的视同认可开标结果。</w:t>
      </w:r>
    </w:p>
    <w:p w14:paraId="492D272A">
      <w:pPr>
        <w:spacing w:line="360" w:lineRule="auto"/>
        <w:ind w:firstLine="420" w:firstLineChars="200"/>
        <w:rPr>
          <w:rFonts w:ascii="宋体" w:hAnsi="宋体"/>
          <w:bCs/>
          <w:color w:val="000000"/>
          <w:szCs w:val="21"/>
        </w:rPr>
      </w:pPr>
      <w:r>
        <w:rPr>
          <w:rFonts w:hint="eastAsia" w:ascii="宋体" w:hAnsi="宋体"/>
          <w:bCs/>
          <w:color w:val="000000"/>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8E19793">
      <w:pPr>
        <w:spacing w:line="360" w:lineRule="auto"/>
        <w:ind w:firstLine="420" w:firstLineChars="200"/>
        <w:rPr>
          <w:rFonts w:ascii="宋体" w:hAnsi="宋体"/>
          <w:bCs/>
          <w:color w:val="000000"/>
          <w:szCs w:val="21"/>
        </w:rPr>
      </w:pPr>
      <w:r>
        <w:rPr>
          <w:rFonts w:hint="eastAsia" w:ascii="宋体" w:hAnsi="宋体"/>
          <w:bCs/>
          <w:color w:val="000000"/>
          <w:szCs w:val="21"/>
        </w:rPr>
        <w:t>（5）开标结束。</w:t>
      </w:r>
    </w:p>
    <w:p w14:paraId="38530A0E">
      <w:pPr>
        <w:pStyle w:val="13"/>
        <w:snapToGrid w:val="0"/>
        <w:spacing w:line="440" w:lineRule="exact"/>
        <w:ind w:firstLine="422" w:firstLineChars="200"/>
        <w:rPr>
          <w:rFonts w:hAnsi="宋体"/>
          <w:szCs w:val="21"/>
        </w:rPr>
      </w:pPr>
      <w:r>
        <w:rPr>
          <w:rFonts w:hint="eastAsia" w:hAnsi="宋体"/>
          <w:b/>
          <w:bCs/>
          <w:szCs w:val="21"/>
        </w:rPr>
        <w:t>特别说明：</w:t>
      </w:r>
      <w:r>
        <w:rPr>
          <w:rFonts w:hint="eastAsia" w:hAnsi="宋体"/>
          <w:szCs w:val="21"/>
        </w:rPr>
        <w:t>如遇</w:t>
      </w:r>
      <w:r>
        <w:rPr>
          <w:rFonts w:hint="eastAsia" w:hAnsi="宋体" w:cs="宋体"/>
          <w:szCs w:val="21"/>
        </w:rPr>
        <w:t>广西政府采购云平台</w:t>
      </w:r>
      <w:r>
        <w:rPr>
          <w:rFonts w:hint="eastAsia" w:hAnsi="宋体"/>
          <w:szCs w:val="21"/>
        </w:rPr>
        <w:t>电子化开标或评审程序调整的，按调整后执行。</w:t>
      </w:r>
    </w:p>
    <w:p w14:paraId="0A403360">
      <w:pPr>
        <w:pStyle w:val="13"/>
        <w:snapToGrid w:val="0"/>
        <w:spacing w:line="400" w:lineRule="exact"/>
        <w:ind w:left="689" w:leftChars="228" w:hanging="210" w:hangingChars="100"/>
        <w:rPr>
          <w:rFonts w:hAnsi="宋体"/>
          <w:color w:val="000000"/>
        </w:rPr>
      </w:pPr>
    </w:p>
    <w:p w14:paraId="54B2F25A">
      <w:pPr>
        <w:pStyle w:val="4"/>
        <w:keepNext w:val="0"/>
        <w:keepLines w:val="0"/>
        <w:spacing w:line="400" w:lineRule="exact"/>
        <w:jc w:val="center"/>
        <w:rPr>
          <w:rFonts w:hint="default"/>
          <w:color w:val="000000"/>
        </w:rPr>
      </w:pPr>
      <w:bookmarkStart w:id="203" w:name="_Toc31994"/>
      <w:bookmarkStart w:id="204" w:name="_Toc22509"/>
      <w:bookmarkStart w:id="205" w:name="_Toc23512"/>
      <w:bookmarkStart w:id="206" w:name="_Toc1489"/>
      <w:bookmarkStart w:id="207" w:name="_Toc2575"/>
      <w:bookmarkStart w:id="208" w:name="_Toc29189"/>
      <w:bookmarkStart w:id="209" w:name="_Toc6866"/>
      <w:bookmarkStart w:id="210" w:name="_Toc8919"/>
      <w:bookmarkStart w:id="211" w:name="_Toc25053"/>
      <w:bookmarkStart w:id="212" w:name="_Toc19053"/>
      <w:r>
        <w:rPr>
          <w:color w:val="000000"/>
        </w:rPr>
        <w:t>五、资格审查</w:t>
      </w:r>
      <w:bookmarkEnd w:id="203"/>
      <w:bookmarkEnd w:id="204"/>
      <w:bookmarkEnd w:id="205"/>
      <w:bookmarkEnd w:id="206"/>
      <w:bookmarkEnd w:id="207"/>
      <w:bookmarkEnd w:id="208"/>
      <w:bookmarkEnd w:id="209"/>
      <w:bookmarkEnd w:id="210"/>
      <w:bookmarkEnd w:id="211"/>
      <w:bookmarkEnd w:id="212"/>
    </w:p>
    <w:p w14:paraId="35BD4AC0">
      <w:pPr>
        <w:pStyle w:val="5"/>
        <w:keepNext w:val="0"/>
        <w:keepLines w:val="0"/>
        <w:spacing w:before="0" w:after="0" w:line="360" w:lineRule="auto"/>
        <w:ind w:firstLine="482" w:firstLineChars="200"/>
        <w:rPr>
          <w:rFonts w:ascii="黑体" w:hAnsi="黑体" w:eastAsia="黑体"/>
          <w:color w:val="000000"/>
          <w:sz w:val="24"/>
        </w:rPr>
      </w:pPr>
      <w:r>
        <w:rPr>
          <w:rFonts w:hint="eastAsia" w:ascii="黑体" w:hAnsi="黑体" w:eastAsia="黑体"/>
          <w:color w:val="000000"/>
          <w:sz w:val="24"/>
        </w:rPr>
        <w:t>25.资格审查</w:t>
      </w:r>
    </w:p>
    <w:p w14:paraId="77DE165F">
      <w:pPr>
        <w:spacing w:line="360" w:lineRule="auto"/>
        <w:ind w:firstLine="422" w:firstLineChars="200"/>
        <w:rPr>
          <w:rFonts w:ascii="宋体" w:hAnsi="宋体"/>
          <w:b/>
          <w:bCs/>
          <w:color w:val="000000"/>
          <w:szCs w:val="20"/>
        </w:rPr>
      </w:pPr>
      <w:r>
        <w:rPr>
          <w:rFonts w:hint="eastAsia" w:ascii="宋体" w:hAnsi="宋体"/>
          <w:b/>
          <w:bCs/>
          <w:color w:val="000000"/>
          <w:szCs w:val="20"/>
        </w:rPr>
        <w:t xml:space="preserve"> 25.1开标结束后，采购人或采购代理机构依法通过电子版投标文件对投标人的资格进行线上审查。</w:t>
      </w:r>
    </w:p>
    <w:p w14:paraId="61E84079">
      <w:pPr>
        <w:spacing w:line="360" w:lineRule="auto"/>
        <w:ind w:firstLine="420" w:firstLineChars="200"/>
        <w:rPr>
          <w:rFonts w:ascii="宋体" w:hAnsi="宋体"/>
          <w:color w:val="000000"/>
        </w:rPr>
      </w:pPr>
      <w:r>
        <w:rPr>
          <w:rFonts w:hint="eastAsia" w:ascii="宋体" w:hAnsi="宋体"/>
          <w:color w:val="000000"/>
        </w:rPr>
        <w:t>25.2资格审查标准为本“招标文件”中“投标人须知前附表”13.1点载明对投标人资格要求的条件。本项目资格审查采用合格制，凡符合招标文件规定的投标人资格要求的投标人均通过资格审查。</w:t>
      </w:r>
    </w:p>
    <w:p w14:paraId="1D0FF2E4">
      <w:pPr>
        <w:spacing w:line="360" w:lineRule="auto"/>
        <w:ind w:firstLine="422" w:firstLineChars="200"/>
        <w:rPr>
          <w:rFonts w:ascii="宋体" w:hAnsi="宋体"/>
          <w:b/>
          <w:bCs/>
          <w:color w:val="000000"/>
          <w:szCs w:val="20"/>
        </w:rPr>
      </w:pPr>
      <w:bookmarkStart w:id="213" w:name="_25.3_投标人有下列情形之一的，资格审查不通过而导致其投标无效："/>
      <w:bookmarkEnd w:id="213"/>
      <w:r>
        <w:rPr>
          <w:rFonts w:hint="eastAsia" w:ascii="宋体" w:hAnsi="宋体"/>
          <w:b/>
          <w:bCs/>
          <w:color w:val="000000"/>
          <w:szCs w:val="20"/>
        </w:rPr>
        <w:t>25.3投标人有下列情形之一的，资格审查不通过，作无效投标处理：</w:t>
      </w:r>
    </w:p>
    <w:p w14:paraId="24382E6B">
      <w:pPr>
        <w:spacing w:line="360" w:lineRule="auto"/>
        <w:ind w:firstLine="420" w:firstLineChars="200"/>
        <w:rPr>
          <w:rFonts w:ascii="宋体" w:hAnsi="宋体" w:cs="宋体"/>
          <w:color w:val="000000"/>
        </w:rPr>
      </w:pPr>
      <w:r>
        <w:rPr>
          <w:rFonts w:hint="eastAsia" w:ascii="宋体" w:hAnsi="宋体" w:cs="宋体"/>
          <w:color w:val="000000"/>
        </w:rPr>
        <w:t>（1）不具备招标文件中规定的资格要求的；（注：其中信用查询规则见“投标人须知前附表”，</w:t>
      </w:r>
      <w:r>
        <w:rPr>
          <w:rFonts w:hint="eastAsia" w:ascii="宋体" w:hAnsi="宋体" w:cs="宋体"/>
          <w:szCs w:val="21"/>
        </w:rPr>
        <w:t>广西政府采购云平台</w:t>
      </w:r>
      <w:r>
        <w:rPr>
          <w:rFonts w:hint="eastAsia" w:ascii="宋体" w:hAnsi="宋体" w:cs="宋体"/>
          <w:color w:val="000000"/>
        </w:rPr>
        <w:t>已与“信用中国”平台做接口，采购人或者采购代理机构可直接在线查询）</w:t>
      </w:r>
    </w:p>
    <w:p w14:paraId="17A16A4A">
      <w:pPr>
        <w:spacing w:line="360" w:lineRule="auto"/>
        <w:ind w:firstLine="420" w:firstLineChars="200"/>
        <w:rPr>
          <w:rFonts w:ascii="宋体" w:hAnsi="宋体" w:cs="宋体"/>
          <w:color w:val="000000"/>
        </w:rPr>
      </w:pPr>
      <w:r>
        <w:rPr>
          <w:rFonts w:hint="eastAsia" w:ascii="宋体" w:hAnsi="宋体" w:cs="宋体"/>
          <w:color w:val="000000"/>
        </w:rPr>
        <w:t>（2）投标文件未提供任一项“投标人须知前附表”资格文件规定的“必须提供”的文件资料的；</w:t>
      </w:r>
    </w:p>
    <w:p w14:paraId="61EC6C1D">
      <w:pPr>
        <w:spacing w:line="360" w:lineRule="auto"/>
        <w:ind w:firstLine="420" w:firstLineChars="200"/>
        <w:rPr>
          <w:rFonts w:ascii="宋体" w:hAnsi="宋体" w:cs="宋体"/>
          <w:color w:val="000000"/>
        </w:rPr>
      </w:pPr>
      <w:r>
        <w:rPr>
          <w:rFonts w:hint="eastAsia" w:ascii="宋体" w:hAnsi="宋体" w:cs="宋体"/>
          <w:color w:val="000000"/>
        </w:rPr>
        <w:t>（3）投标文件提供的资格文件出现任一项不符合“投标人须知前附表”资格文件规定的“必须提供”的文件资料要求或者无效的。</w:t>
      </w:r>
    </w:p>
    <w:p w14:paraId="3C684ECD">
      <w:pPr>
        <w:pStyle w:val="14"/>
        <w:spacing w:line="360" w:lineRule="auto"/>
        <w:rPr>
          <w:rFonts w:ascii="宋体" w:hAnsi="宋体" w:cs="宋体"/>
          <w:color w:val="000000"/>
          <w:sz w:val="21"/>
          <w:szCs w:val="24"/>
        </w:rPr>
      </w:pPr>
      <w:r>
        <w:rPr>
          <w:rFonts w:hint="eastAsia" w:ascii="宋体" w:hAnsi="宋体" w:cs="宋体"/>
          <w:color w:val="000000"/>
        </w:rPr>
        <w:t xml:space="preserve">   </w:t>
      </w:r>
      <w:r>
        <w:rPr>
          <w:rFonts w:hint="eastAsia" w:ascii="宋体" w:hAnsi="宋体" w:cs="宋体"/>
          <w:color w:val="000000"/>
          <w:sz w:val="21"/>
          <w:szCs w:val="24"/>
        </w:rPr>
        <w:t xml:space="preserve"> （4）同一合同项下的不同供应商，单位负责人为同一人或者存在直接控股、管理关系的；为本项目提供过整体设计、规范编制或者项目管理、监理、检测等服务的。</w:t>
      </w:r>
    </w:p>
    <w:p w14:paraId="1B2B81E0">
      <w:pPr>
        <w:pStyle w:val="5"/>
        <w:keepNext w:val="0"/>
        <w:keepLines w:val="0"/>
        <w:spacing w:before="0" w:after="0" w:line="360" w:lineRule="auto"/>
        <w:ind w:firstLine="420" w:firstLineChars="200"/>
        <w:rPr>
          <w:rFonts w:ascii="宋体" w:hAnsi="宋体"/>
          <w:b w:val="0"/>
          <w:bCs w:val="0"/>
          <w:color w:val="000000"/>
          <w:sz w:val="21"/>
          <w:szCs w:val="20"/>
        </w:rPr>
      </w:pPr>
      <w:r>
        <w:rPr>
          <w:rFonts w:hint="eastAsia" w:ascii="宋体" w:hAnsi="宋体"/>
          <w:b w:val="0"/>
          <w:bCs w:val="0"/>
          <w:color w:val="000000"/>
          <w:sz w:val="21"/>
          <w:szCs w:val="20"/>
        </w:rPr>
        <w:t>25.4资格审查的合格投标人不足3家的，不得评标。</w:t>
      </w:r>
    </w:p>
    <w:p w14:paraId="658CEA69">
      <w:pPr>
        <w:pStyle w:val="4"/>
        <w:keepNext w:val="0"/>
        <w:keepLines w:val="0"/>
        <w:spacing w:line="360" w:lineRule="auto"/>
        <w:jc w:val="center"/>
        <w:rPr>
          <w:rFonts w:hint="default"/>
          <w:color w:val="000000"/>
        </w:rPr>
      </w:pPr>
      <w:bookmarkStart w:id="214" w:name="_Toc29412"/>
      <w:bookmarkStart w:id="215" w:name="_Toc20446"/>
      <w:bookmarkStart w:id="216" w:name="_Toc1454"/>
      <w:bookmarkStart w:id="217" w:name="_Toc20983"/>
      <w:bookmarkStart w:id="218" w:name="_Toc19035"/>
      <w:bookmarkStart w:id="219" w:name="_Toc11169"/>
      <w:bookmarkStart w:id="220" w:name="_Toc3548"/>
      <w:bookmarkStart w:id="221" w:name="_Toc21152"/>
      <w:bookmarkStart w:id="222" w:name="_Toc15749"/>
      <w:bookmarkStart w:id="223" w:name="_Toc2770"/>
      <w:r>
        <w:rPr>
          <w:color w:val="000000"/>
        </w:rPr>
        <w:t>六、评   标</w:t>
      </w:r>
      <w:bookmarkEnd w:id="214"/>
      <w:bookmarkEnd w:id="215"/>
      <w:bookmarkEnd w:id="216"/>
      <w:bookmarkEnd w:id="217"/>
      <w:bookmarkEnd w:id="218"/>
      <w:bookmarkEnd w:id="219"/>
      <w:bookmarkEnd w:id="220"/>
      <w:bookmarkEnd w:id="221"/>
      <w:bookmarkEnd w:id="222"/>
      <w:bookmarkEnd w:id="223"/>
    </w:p>
    <w:p w14:paraId="2404453D">
      <w:pPr>
        <w:spacing w:line="360" w:lineRule="auto"/>
        <w:ind w:firstLine="480" w:firstLineChars="200"/>
        <w:rPr>
          <w:rFonts w:ascii="黑体" w:hAnsi="黑体" w:eastAsia="黑体"/>
          <w:color w:val="000000"/>
          <w:sz w:val="24"/>
        </w:rPr>
      </w:pPr>
      <w:bookmarkStart w:id="224" w:name="_26.组建评标委员会"/>
      <w:bookmarkEnd w:id="224"/>
      <w:r>
        <w:rPr>
          <w:rFonts w:hint="eastAsia" w:ascii="黑体" w:hAnsi="黑体" w:eastAsia="黑体"/>
          <w:color w:val="000000"/>
          <w:sz w:val="24"/>
        </w:rPr>
        <w:t>26.组建评标委员会</w:t>
      </w:r>
    </w:p>
    <w:p w14:paraId="01CFFE0D">
      <w:pPr>
        <w:spacing w:line="360" w:lineRule="auto"/>
        <w:ind w:firstLine="420" w:firstLineChars="200"/>
        <w:rPr>
          <w:rFonts w:hAnsi="宋体"/>
          <w:color w:val="000000"/>
        </w:rPr>
      </w:pPr>
      <w:r>
        <w:rPr>
          <w:rFonts w:hint="eastAsia" w:hAnsi="宋体"/>
          <w:color w:val="000000"/>
        </w:rPr>
        <w:t>评标委员会由采购人代表和评审专家组成，人数为</w:t>
      </w:r>
      <w:r>
        <w:rPr>
          <w:rFonts w:hAnsi="宋体"/>
          <w:color w:val="000000"/>
        </w:rPr>
        <w:t>5</w:t>
      </w:r>
      <w:r>
        <w:rPr>
          <w:rFonts w:hint="eastAsia" w:hAnsi="宋体"/>
          <w:color w:val="000000"/>
        </w:rPr>
        <w:t>人以上单数，其中评审专家不得少于成员总数的三分之二。</w:t>
      </w:r>
    </w:p>
    <w:p w14:paraId="354CE201">
      <w:pPr>
        <w:spacing w:line="360" w:lineRule="auto"/>
        <w:ind w:firstLine="420" w:firstLineChars="200"/>
        <w:rPr>
          <w:rFonts w:hAnsi="宋体"/>
          <w:color w:val="000000"/>
        </w:rPr>
      </w:pPr>
      <w:r>
        <w:rPr>
          <w:rFonts w:hint="eastAsia" w:hAnsi="宋体"/>
          <w:color w:val="000000"/>
        </w:rPr>
        <w:t>参加过采购项目前期咨询论证的专家，不得参加该采购项目的评审活动。</w:t>
      </w:r>
    </w:p>
    <w:p w14:paraId="5A42C46B">
      <w:pPr>
        <w:spacing w:line="360" w:lineRule="auto"/>
        <w:ind w:firstLine="480" w:firstLineChars="200"/>
        <w:rPr>
          <w:rFonts w:ascii="黑体" w:hAnsi="黑体" w:eastAsia="黑体"/>
          <w:color w:val="000000"/>
          <w:sz w:val="24"/>
        </w:rPr>
      </w:pPr>
      <w:r>
        <w:rPr>
          <w:rFonts w:hint="eastAsia" w:ascii="黑体" w:hAnsi="黑体" w:eastAsia="黑体"/>
          <w:color w:val="000000"/>
          <w:sz w:val="24"/>
        </w:rPr>
        <w:t>27.评标的依据</w:t>
      </w:r>
    </w:p>
    <w:p w14:paraId="1D44E801">
      <w:pPr>
        <w:spacing w:line="360" w:lineRule="auto"/>
        <w:ind w:firstLine="420" w:firstLineChars="200"/>
        <w:rPr>
          <w:rFonts w:hAnsi="宋体"/>
          <w:color w:val="000000"/>
        </w:rPr>
      </w:pPr>
      <w:r>
        <w:rPr>
          <w:rFonts w:hint="eastAsia" w:hAnsi="宋体"/>
          <w:color w:val="000000"/>
        </w:rPr>
        <w:t>评标委员会以招标文件为依据对投标文件进行评审，</w:t>
      </w:r>
      <w:r>
        <w:rPr>
          <w:rFonts w:hint="eastAsia" w:hAnsi="宋体" w:cs="宋体"/>
          <w:color w:val="000000"/>
        </w:rPr>
        <w:t>“第四章</w:t>
      </w:r>
      <w:r>
        <w:rPr>
          <w:rFonts w:hAnsi="宋体" w:cs="宋体"/>
          <w:color w:val="000000"/>
        </w:rPr>
        <w:t xml:space="preserve"> </w:t>
      </w:r>
      <w:r>
        <w:rPr>
          <w:rFonts w:hint="eastAsia" w:hAnsi="宋体" w:cs="宋体"/>
          <w:color w:val="000000"/>
        </w:rPr>
        <w:t>评标方法和评标标准”</w:t>
      </w:r>
      <w:r>
        <w:rPr>
          <w:rFonts w:hint="eastAsia" w:hAnsi="宋体"/>
          <w:color w:val="000000"/>
        </w:rPr>
        <w:t>没有规定的方法、评审因素和标准，不作为评标依据。</w:t>
      </w:r>
    </w:p>
    <w:p w14:paraId="7A1AE553">
      <w:pPr>
        <w:spacing w:line="360" w:lineRule="auto"/>
        <w:ind w:firstLine="480" w:firstLineChars="200"/>
        <w:rPr>
          <w:rFonts w:ascii="黑体" w:hAnsi="黑体" w:eastAsia="黑体"/>
          <w:color w:val="000000"/>
          <w:sz w:val="24"/>
        </w:rPr>
      </w:pPr>
      <w:r>
        <w:rPr>
          <w:rFonts w:hint="eastAsia" w:ascii="黑体" w:hAnsi="黑体" w:eastAsia="黑体"/>
          <w:color w:val="000000"/>
          <w:sz w:val="24"/>
        </w:rPr>
        <w:t>28.评标原则</w:t>
      </w:r>
    </w:p>
    <w:p w14:paraId="02118FAF">
      <w:pPr>
        <w:spacing w:line="360" w:lineRule="auto"/>
        <w:ind w:firstLine="420" w:firstLineChars="200"/>
        <w:rPr>
          <w:rFonts w:ascii="宋体" w:hAnsi="宋体" w:cs="宋体"/>
          <w:color w:val="000000"/>
        </w:rPr>
      </w:pPr>
      <w:r>
        <w:rPr>
          <w:rFonts w:hint="eastAsia" w:ascii="宋体" w:hAnsi="宋体" w:cs="宋体"/>
          <w:color w:val="000000"/>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160C8EB">
      <w:pPr>
        <w:spacing w:line="360" w:lineRule="auto"/>
        <w:ind w:firstLine="420" w:firstLineChars="200"/>
        <w:rPr>
          <w:rFonts w:ascii="宋体" w:hAnsi="宋体" w:cs="宋体"/>
          <w:color w:val="000000"/>
        </w:rPr>
      </w:pPr>
      <w:r>
        <w:rPr>
          <w:rFonts w:hint="eastAsia" w:ascii="宋体" w:hAnsi="宋体" w:cs="宋体"/>
          <w:color w:val="000000"/>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C941EBC">
      <w:pPr>
        <w:spacing w:line="360" w:lineRule="auto"/>
        <w:ind w:firstLine="420" w:firstLineChars="200"/>
        <w:rPr>
          <w:rFonts w:ascii="宋体" w:hAnsi="宋体" w:cs="宋体"/>
          <w:color w:val="000000"/>
        </w:rPr>
      </w:pPr>
      <w:r>
        <w:rPr>
          <w:rFonts w:hint="eastAsia" w:ascii="宋体" w:hAnsi="宋体" w:cs="宋体"/>
          <w:color w:val="000000"/>
        </w:rPr>
        <w:t>28.3评标过程的监控。本项目电子评标过程实行网上留痕、全程录音、录像监控，投标人在评标过程中所进行的试图影响评标结果的不公正活动，可能导致其投标作无效处理。</w:t>
      </w:r>
    </w:p>
    <w:p w14:paraId="250DAB08">
      <w:pPr>
        <w:widowControl/>
        <w:spacing w:line="560" w:lineRule="exact"/>
        <w:ind w:firstLine="420" w:firstLineChars="200"/>
        <w:jc w:val="left"/>
        <w:textAlignment w:val="baseline"/>
        <w:rPr>
          <w:rFonts w:ascii="宋体" w:hAnsi="宋体" w:cs="宋体"/>
          <w:color w:val="000000"/>
        </w:rPr>
      </w:pPr>
      <w:r>
        <w:rPr>
          <w:rFonts w:hint="eastAsia" w:ascii="宋体" w:hAnsi="宋体" w:cs="宋体"/>
          <w:color w:val="000000"/>
        </w:rPr>
        <w:t>28.4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9937766">
      <w:pPr>
        <w:spacing w:line="360" w:lineRule="auto"/>
        <w:ind w:firstLine="480" w:firstLineChars="200"/>
        <w:rPr>
          <w:rFonts w:ascii="黑体" w:hAnsi="黑体" w:eastAsia="黑体"/>
          <w:color w:val="000000"/>
          <w:sz w:val="24"/>
        </w:rPr>
      </w:pPr>
      <w:r>
        <w:rPr>
          <w:rFonts w:hint="eastAsia" w:ascii="黑体" w:hAnsi="黑体" w:eastAsia="黑体"/>
          <w:color w:val="000000"/>
          <w:sz w:val="24"/>
        </w:rPr>
        <w:t>29.评标方法和评标标准</w:t>
      </w:r>
    </w:p>
    <w:p w14:paraId="016814C8">
      <w:pPr>
        <w:spacing w:line="360" w:lineRule="auto"/>
        <w:ind w:firstLine="420" w:firstLineChars="200"/>
        <w:rPr>
          <w:rFonts w:ascii="宋体" w:hAnsi="宋体" w:cs="宋体"/>
          <w:color w:val="000000"/>
        </w:rPr>
      </w:pPr>
      <w:r>
        <w:rPr>
          <w:rFonts w:hint="eastAsia" w:ascii="宋体" w:hAnsi="宋体" w:cs="宋体"/>
          <w:color w:val="000000"/>
        </w:rPr>
        <w:t>29.1本项目的评标方法详见“投标人须知前附表”。</w:t>
      </w:r>
    </w:p>
    <w:p w14:paraId="16A697D6">
      <w:pPr>
        <w:spacing w:line="360" w:lineRule="auto"/>
        <w:ind w:firstLine="420" w:firstLineChars="200"/>
        <w:rPr>
          <w:rFonts w:ascii="宋体" w:hAnsi="宋体" w:cs="宋体"/>
          <w:color w:val="000000"/>
        </w:rPr>
      </w:pPr>
      <w:r>
        <w:rPr>
          <w:rFonts w:hint="eastAsia" w:ascii="宋体" w:hAnsi="宋体" w:cs="宋体"/>
          <w:color w:val="000000"/>
        </w:rPr>
        <w:t>29.2 评标委员会按照</w:t>
      </w:r>
      <w:r>
        <w:rPr>
          <w:rFonts w:hint="eastAsia" w:ascii="宋体" w:hAnsi="宋体" w:cs="宋体"/>
          <w:b/>
          <w:color w:val="000000"/>
        </w:rPr>
        <w:t>“第四章 评标方法和评标标准”</w:t>
      </w:r>
      <w:r>
        <w:rPr>
          <w:rFonts w:hint="eastAsia" w:ascii="宋体" w:hAnsi="宋体" w:cs="宋体"/>
          <w:color w:val="000000"/>
        </w:rPr>
        <w:t>规定的方法、评审因素、标准和程序对投标文件进行评审。</w:t>
      </w:r>
    </w:p>
    <w:p w14:paraId="734D42AA">
      <w:pPr>
        <w:spacing w:line="360" w:lineRule="auto"/>
        <w:ind w:firstLine="420" w:firstLineChars="200"/>
        <w:rPr>
          <w:rFonts w:ascii="宋体" w:hAnsi="宋体" w:cs="宋体"/>
          <w:color w:val="000000"/>
        </w:rPr>
      </w:pPr>
      <w:r>
        <w:rPr>
          <w:rFonts w:hint="eastAsia" w:ascii="宋体" w:hAnsi="宋体" w:cs="宋体"/>
          <w:color w:val="000000"/>
        </w:rPr>
        <w:t>29.3 电子交易活动的中止。采购过程中出现以下情形，导致电子交易平台无法正常运行，或者无法保证电子交易的公平、公正和安全时，采购机构可中止电子交易活动：</w:t>
      </w:r>
    </w:p>
    <w:p w14:paraId="39B38601">
      <w:pPr>
        <w:spacing w:line="360" w:lineRule="auto"/>
        <w:ind w:firstLine="420" w:firstLineChars="200"/>
        <w:rPr>
          <w:rFonts w:ascii="宋体" w:hAnsi="宋体" w:cs="宋体"/>
          <w:color w:val="000000"/>
        </w:rPr>
      </w:pPr>
      <w:r>
        <w:rPr>
          <w:rFonts w:hint="eastAsia" w:ascii="宋体" w:hAnsi="宋体" w:cs="宋体"/>
          <w:color w:val="000000"/>
        </w:rPr>
        <w:t xml:space="preserve">（1）电子交易平台发生故障而无法登录访问的； </w:t>
      </w:r>
    </w:p>
    <w:p w14:paraId="7A01810F">
      <w:pPr>
        <w:spacing w:line="360" w:lineRule="auto"/>
        <w:ind w:firstLine="420" w:firstLineChars="200"/>
        <w:rPr>
          <w:rFonts w:ascii="宋体" w:hAnsi="宋体" w:cs="宋体"/>
          <w:color w:val="000000"/>
        </w:rPr>
      </w:pPr>
      <w:r>
        <w:rPr>
          <w:rFonts w:hint="eastAsia" w:ascii="宋体" w:hAnsi="宋体" w:cs="宋体"/>
          <w:color w:val="000000"/>
        </w:rPr>
        <w:t>（2）电子交易平台应用或数据库出现错误，不能进行正常操作的；</w:t>
      </w:r>
    </w:p>
    <w:p w14:paraId="54E92427">
      <w:pPr>
        <w:spacing w:line="360" w:lineRule="auto"/>
        <w:ind w:firstLine="420" w:firstLineChars="200"/>
        <w:rPr>
          <w:rFonts w:ascii="宋体" w:hAnsi="宋体" w:cs="宋体"/>
          <w:color w:val="000000"/>
        </w:rPr>
      </w:pPr>
      <w:r>
        <w:rPr>
          <w:rFonts w:hint="eastAsia" w:ascii="宋体" w:hAnsi="宋体" w:cs="宋体"/>
          <w:color w:val="000000"/>
        </w:rPr>
        <w:t>（3）电子交易平台发现严重安全漏洞，有潜在泄密危险的；</w:t>
      </w:r>
    </w:p>
    <w:p w14:paraId="7D88C908">
      <w:pPr>
        <w:spacing w:line="360" w:lineRule="auto"/>
        <w:ind w:firstLine="420" w:firstLineChars="200"/>
        <w:rPr>
          <w:rFonts w:ascii="宋体" w:hAnsi="宋体" w:cs="宋体"/>
          <w:color w:val="000000"/>
        </w:rPr>
      </w:pPr>
      <w:r>
        <w:rPr>
          <w:rFonts w:hint="eastAsia" w:ascii="宋体" w:hAnsi="宋体" w:cs="宋体"/>
          <w:color w:val="000000"/>
        </w:rPr>
        <w:t xml:space="preserve">（4）病毒发作导致不能进行正常操作的； </w:t>
      </w:r>
    </w:p>
    <w:p w14:paraId="6716F973">
      <w:pPr>
        <w:spacing w:line="360" w:lineRule="auto"/>
        <w:ind w:firstLine="420" w:firstLineChars="200"/>
        <w:rPr>
          <w:rFonts w:ascii="宋体" w:hAnsi="宋体" w:cs="宋体"/>
          <w:color w:val="000000"/>
        </w:rPr>
      </w:pPr>
      <w:r>
        <w:rPr>
          <w:rFonts w:hint="eastAsia" w:ascii="宋体" w:hAnsi="宋体" w:cs="宋体"/>
          <w:color w:val="000000"/>
        </w:rPr>
        <w:t>（5）其他无法保证电子交易的公平、公正和安全的情况。</w:t>
      </w:r>
    </w:p>
    <w:p w14:paraId="68830639">
      <w:pPr>
        <w:spacing w:line="360" w:lineRule="auto"/>
        <w:ind w:firstLine="420" w:firstLineChars="200"/>
        <w:rPr>
          <w:rFonts w:ascii="宋体" w:hAnsi="宋体" w:cs="宋体"/>
          <w:color w:val="000000"/>
        </w:rPr>
      </w:pPr>
      <w:r>
        <w:rPr>
          <w:rFonts w:hint="eastAsia" w:ascii="宋体" w:hAnsi="宋体" w:cs="宋体"/>
          <w:color w:val="000000"/>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0067B60">
      <w:pPr>
        <w:pStyle w:val="13"/>
        <w:snapToGrid w:val="0"/>
        <w:spacing w:line="400" w:lineRule="exact"/>
        <w:ind w:firstLine="420" w:firstLineChars="200"/>
        <w:rPr>
          <w:rFonts w:hAnsi="宋体"/>
          <w:color w:val="000000"/>
        </w:rPr>
      </w:pPr>
    </w:p>
    <w:p w14:paraId="56482F44">
      <w:pPr>
        <w:pStyle w:val="4"/>
        <w:keepNext w:val="0"/>
        <w:keepLines w:val="0"/>
        <w:spacing w:line="400" w:lineRule="exact"/>
        <w:jc w:val="center"/>
        <w:rPr>
          <w:rFonts w:hint="default"/>
          <w:color w:val="000000"/>
        </w:rPr>
      </w:pPr>
      <w:bookmarkStart w:id="225" w:name="_Toc254970546"/>
      <w:bookmarkStart w:id="226" w:name="_Toc254970687"/>
      <w:bookmarkStart w:id="227" w:name="_Toc32339"/>
      <w:bookmarkStart w:id="228" w:name="_Toc31698"/>
      <w:bookmarkStart w:id="229" w:name="_Toc15452"/>
      <w:bookmarkStart w:id="230" w:name="_Toc10427"/>
      <w:bookmarkStart w:id="231" w:name="_Toc31226"/>
      <w:bookmarkStart w:id="232" w:name="_Toc10518"/>
      <w:bookmarkStart w:id="233" w:name="_Toc14661"/>
      <w:bookmarkStart w:id="234" w:name="_Toc4688"/>
      <w:bookmarkStart w:id="235" w:name="_Toc2302"/>
      <w:bookmarkStart w:id="236" w:name="_Toc24771"/>
      <w:r>
        <w:rPr>
          <w:color w:val="000000"/>
        </w:rPr>
        <w:t>七、</w:t>
      </w:r>
      <w:bookmarkEnd w:id="225"/>
      <w:bookmarkEnd w:id="226"/>
      <w:r>
        <w:rPr>
          <w:color w:val="000000"/>
        </w:rPr>
        <w:t>中标和合同</w:t>
      </w:r>
      <w:bookmarkEnd w:id="227"/>
      <w:bookmarkEnd w:id="228"/>
      <w:bookmarkEnd w:id="229"/>
      <w:bookmarkEnd w:id="230"/>
      <w:bookmarkEnd w:id="231"/>
      <w:bookmarkEnd w:id="232"/>
      <w:bookmarkEnd w:id="233"/>
      <w:bookmarkEnd w:id="234"/>
      <w:bookmarkEnd w:id="235"/>
      <w:bookmarkEnd w:id="236"/>
    </w:p>
    <w:p w14:paraId="48588E81">
      <w:pPr>
        <w:spacing w:line="360" w:lineRule="auto"/>
        <w:ind w:firstLine="480" w:firstLineChars="200"/>
        <w:rPr>
          <w:rFonts w:ascii="黑体" w:hAnsi="黑体" w:eastAsia="黑体"/>
          <w:color w:val="000000"/>
          <w:sz w:val="24"/>
        </w:rPr>
      </w:pPr>
      <w:r>
        <w:rPr>
          <w:rFonts w:hint="eastAsia" w:ascii="黑体" w:hAnsi="黑体" w:eastAsia="黑体"/>
          <w:color w:val="000000"/>
          <w:sz w:val="24"/>
        </w:rPr>
        <w:t>30.确定中标人</w:t>
      </w:r>
    </w:p>
    <w:p w14:paraId="42C51739">
      <w:pPr>
        <w:spacing w:line="360" w:lineRule="auto"/>
        <w:ind w:firstLine="420" w:firstLineChars="200"/>
        <w:rPr>
          <w:rFonts w:ascii="宋体" w:hAnsi="宋体" w:cs="Courier New"/>
          <w:b/>
          <w:bCs/>
          <w:color w:val="000000"/>
          <w:szCs w:val="21"/>
        </w:rPr>
      </w:pPr>
      <w:r>
        <w:rPr>
          <w:rFonts w:hint="eastAsia" w:ascii="宋体" w:hAnsi="宋体" w:cs="宋体"/>
          <w:szCs w:val="21"/>
        </w:rPr>
        <w:t>30.1</w:t>
      </w:r>
      <w:r>
        <w:rPr>
          <w:rFonts w:hint="eastAsia" w:ascii="宋体" w:hAnsi="宋体" w:cs="宋体"/>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rPr>
        <w:t>中标候选人并列的，由采购人或者采购人委托评标委员会按照</w:t>
      </w:r>
      <w:r>
        <w:rPr>
          <w:rFonts w:hint="eastAsia"/>
        </w:rPr>
        <w:t>“投标人须知前附表”</w:t>
      </w:r>
      <w:r>
        <w:rPr>
          <w:rFonts w:ascii="宋体" w:hAnsi="宋体" w:cs="宋体"/>
        </w:rPr>
        <w:t>规定的方式确定中标人；招标文件未规定的，采取随机抽取的方式确定。</w:t>
      </w:r>
      <w:r>
        <w:rPr>
          <w:rFonts w:hint="eastAsia" w:ascii="宋体" w:hAnsi="宋体" w:cs="宋体"/>
          <w:b/>
          <w:bCs/>
          <w:szCs w:val="21"/>
        </w:rPr>
        <w:t xml:space="preserve">   </w:t>
      </w:r>
    </w:p>
    <w:p w14:paraId="35B572F8">
      <w:pPr>
        <w:spacing w:line="360" w:lineRule="auto"/>
        <w:ind w:firstLine="420" w:firstLineChars="200"/>
        <w:rPr>
          <w:rFonts w:ascii="宋体" w:hAnsi="宋体" w:cs="Courier New"/>
          <w:szCs w:val="21"/>
        </w:rPr>
      </w:pPr>
      <w:r>
        <w:rPr>
          <w:rFonts w:hint="eastAsia" w:ascii="宋体" w:hAnsi="宋体" w:cs="Courier New"/>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08B5DD9E">
      <w:pPr>
        <w:spacing w:line="360" w:lineRule="auto"/>
        <w:ind w:firstLine="420" w:firstLineChars="200"/>
        <w:rPr>
          <w:rFonts w:ascii="宋体" w:hAnsi="宋体" w:cs="Courier New"/>
          <w:szCs w:val="21"/>
        </w:rPr>
      </w:pPr>
      <w:r>
        <w:rPr>
          <w:rFonts w:hint="eastAsia" w:ascii="宋体" w:hAnsi="宋体" w:cs="Courier New"/>
          <w:szCs w:val="21"/>
        </w:rPr>
        <w:t>30.3中标人无正当理由拒签合同的，根据《中华人民共和国政府采购法》</w:t>
      </w:r>
      <w:r>
        <w:rPr>
          <w:rFonts w:ascii="宋体" w:hAnsi="宋体" w:cs="Courier New"/>
          <w:szCs w:val="21"/>
        </w:rPr>
        <w:t>第七十七条第一款</w:t>
      </w:r>
      <w:r>
        <w:rPr>
          <w:rFonts w:hint="eastAsia" w:ascii="宋体" w:hAnsi="宋体" w:cs="Courier New"/>
          <w:szCs w:val="21"/>
        </w:rPr>
        <w:t>规定处理。</w:t>
      </w:r>
    </w:p>
    <w:p w14:paraId="2789D323">
      <w:pPr>
        <w:spacing w:line="360" w:lineRule="auto"/>
        <w:ind w:firstLine="420" w:firstLineChars="200"/>
        <w:rPr>
          <w:rFonts w:ascii="宋体" w:hAnsi="宋体" w:cs="Courier New"/>
          <w:szCs w:val="21"/>
        </w:rPr>
      </w:pPr>
      <w:r>
        <w:rPr>
          <w:rFonts w:hint="eastAsia" w:ascii="宋体" w:hAnsi="宋体" w:cs="Courier New"/>
          <w:szCs w:val="21"/>
        </w:rPr>
        <w:t>30.4根据《中华人民共和国民法典》</w:t>
      </w:r>
      <w:r>
        <w:rPr>
          <w:color w:val="000000"/>
          <w:szCs w:val="21"/>
        </w:rPr>
        <w:t>第五百六十三条</w:t>
      </w:r>
      <w:r>
        <w:rPr>
          <w:rFonts w:hint="eastAsia" w:ascii="宋体" w:hAnsi="宋体" w:cs="Courier New"/>
          <w:szCs w:val="21"/>
        </w:rPr>
        <w:t>，因不可抗力致使不能实现合同目的的，当事人可以解除合同。</w:t>
      </w:r>
    </w:p>
    <w:p w14:paraId="6E3A427C">
      <w:pPr>
        <w:spacing w:line="360" w:lineRule="auto"/>
        <w:ind w:firstLine="480" w:firstLineChars="200"/>
        <w:rPr>
          <w:rFonts w:ascii="黑体" w:hAnsi="黑体" w:eastAsia="黑体"/>
          <w:color w:val="000000"/>
          <w:sz w:val="24"/>
        </w:rPr>
      </w:pPr>
      <w:r>
        <w:rPr>
          <w:rFonts w:hint="eastAsia" w:ascii="黑体" w:hAnsi="黑体" w:eastAsia="黑体"/>
          <w:color w:val="000000"/>
          <w:sz w:val="24"/>
        </w:rPr>
        <w:t>31. 结果公告</w:t>
      </w:r>
    </w:p>
    <w:p w14:paraId="7EF7A85A">
      <w:pPr>
        <w:spacing w:line="360" w:lineRule="auto"/>
        <w:ind w:firstLine="420" w:firstLineChars="200"/>
        <w:rPr>
          <w:rFonts w:ascii="宋体" w:hAnsi="宋体" w:cs="宋体"/>
          <w:color w:val="000000"/>
        </w:rPr>
      </w:pPr>
      <w:r>
        <w:rPr>
          <w:rFonts w:hint="eastAsia" w:ascii="宋体" w:hAnsi="宋体" w:cs="宋体"/>
          <w:color w:val="000000"/>
          <w:szCs w:val="21"/>
        </w:rPr>
        <w:t>31.1</w:t>
      </w:r>
      <w:r>
        <w:rPr>
          <w:rFonts w:hint="eastAsia" w:ascii="宋体" w:hAnsi="宋体" w:cs="宋体"/>
          <w:color w:val="000000"/>
        </w:rPr>
        <w:t>在中标人确定之日起2个工作日内，由采购代理机构</w:t>
      </w:r>
      <w:r>
        <w:rPr>
          <w:rFonts w:hint="eastAsia" w:ascii="宋体" w:hAnsi="宋体" w:cs="宋体"/>
          <w:b/>
          <w:color w:val="000000"/>
          <w:szCs w:val="21"/>
        </w:rPr>
        <w:t>在招标公告发布媒体上</w:t>
      </w:r>
      <w:r>
        <w:rPr>
          <w:rFonts w:hint="eastAsia" w:ascii="宋体" w:hAnsi="宋体" w:cs="宋体"/>
          <w:color w:val="000000"/>
        </w:rPr>
        <w:t>发布中标结果公告，中标结果公告期限为1个工作日，发布中标结果公告的同时向中标人发出中标通知书。</w:t>
      </w:r>
      <w:r>
        <w:rPr>
          <w:rFonts w:hint="eastAsia" w:ascii="宋体" w:hAnsi="宋体" w:cs="宋体"/>
          <w:b/>
          <w:color w:val="000000"/>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hAnsi="宋体" w:cs="宋体"/>
          <w:color w:val="000000"/>
          <w:szCs w:val="21"/>
        </w:rPr>
        <w:t>排名第二的中标候选人因前款规定的同样原因被取消中标资格的，采购人可以依法确定排名第三的中标候选人为中标人，以此类推。</w:t>
      </w:r>
    </w:p>
    <w:p w14:paraId="08C5B93B">
      <w:pPr>
        <w:spacing w:line="360" w:lineRule="auto"/>
        <w:ind w:firstLine="420" w:firstLineChars="200"/>
        <w:rPr>
          <w:rFonts w:ascii="宋体" w:hAnsi="宋体" w:cs="宋体"/>
          <w:color w:val="000000"/>
          <w:szCs w:val="21"/>
        </w:rPr>
      </w:pPr>
      <w:r>
        <w:rPr>
          <w:rFonts w:hint="eastAsia" w:ascii="宋体" w:hAnsi="宋体" w:cs="宋体"/>
          <w:color w:val="000000"/>
          <w:szCs w:val="21"/>
        </w:rPr>
        <w:t>以上信息查询记录及相关证据与采购文件一并保存。</w:t>
      </w:r>
    </w:p>
    <w:p w14:paraId="3E96F7F6">
      <w:pPr>
        <w:spacing w:line="360" w:lineRule="auto"/>
        <w:ind w:firstLine="420" w:firstLineChars="200"/>
        <w:rPr>
          <w:rFonts w:ascii="宋体" w:hAnsi="宋体" w:cs="宋体"/>
          <w:color w:val="000000"/>
          <w:szCs w:val="21"/>
        </w:rPr>
      </w:pPr>
      <w:r>
        <w:rPr>
          <w:rFonts w:hint="eastAsia" w:ascii="宋体" w:hAnsi="宋体" w:cs="宋体"/>
          <w:color w:val="000000"/>
          <w:szCs w:val="21"/>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0DAE59EA">
      <w:pPr>
        <w:spacing w:line="360" w:lineRule="auto"/>
        <w:ind w:firstLine="480" w:firstLineChars="200"/>
        <w:rPr>
          <w:rFonts w:ascii="黑体" w:hAnsi="黑体" w:eastAsia="黑体"/>
          <w:color w:val="000000"/>
          <w:sz w:val="24"/>
        </w:rPr>
      </w:pPr>
      <w:r>
        <w:rPr>
          <w:rFonts w:hint="eastAsia" w:ascii="黑体" w:hAnsi="黑体" w:eastAsia="黑体"/>
          <w:color w:val="000000"/>
          <w:sz w:val="24"/>
        </w:rPr>
        <w:t>32.发出中标通知书</w:t>
      </w:r>
    </w:p>
    <w:p w14:paraId="626E175A">
      <w:pPr>
        <w:spacing w:line="360" w:lineRule="auto"/>
        <w:ind w:firstLine="422" w:firstLineChars="200"/>
        <w:rPr>
          <w:rFonts w:ascii="宋体" w:hAnsi="宋体"/>
          <w:b/>
          <w:color w:val="000000"/>
          <w:szCs w:val="21"/>
          <w:highlight w:val="yellow"/>
        </w:rPr>
      </w:pPr>
      <w:r>
        <w:rPr>
          <w:rFonts w:hint="eastAsia" w:ascii="宋体" w:hAnsi="宋体"/>
          <w:b/>
          <w:color w:val="000000"/>
          <w:szCs w:val="21"/>
        </w:rPr>
        <w:t>32.1在发布中标公告的同时，采购代理机构向中标人通过广西政府采购云平台发出电子中标通知书。</w:t>
      </w:r>
    </w:p>
    <w:p w14:paraId="64C7B832">
      <w:pPr>
        <w:spacing w:line="360" w:lineRule="auto"/>
        <w:ind w:firstLine="422" w:firstLineChars="200"/>
        <w:rPr>
          <w:rFonts w:ascii="宋体" w:hAnsi="宋体"/>
          <w:b/>
          <w:color w:val="000000"/>
          <w:szCs w:val="21"/>
        </w:rPr>
      </w:pPr>
      <w:r>
        <w:rPr>
          <w:rFonts w:hint="eastAsia" w:ascii="宋体" w:hAnsi="宋体"/>
          <w:b/>
          <w:color w:val="000000"/>
          <w:szCs w:val="21"/>
        </w:rPr>
        <w:t>32.2对未通过资格审查的投标人，采购人或采购代理机构应当告知其未通过的原因；采用综合评分办法评审的，采购人或采购机构还应当告知未中标人本人的评审得分与排序。</w:t>
      </w:r>
    </w:p>
    <w:p w14:paraId="7FD3726E">
      <w:pPr>
        <w:spacing w:line="360" w:lineRule="auto"/>
        <w:ind w:firstLine="480" w:firstLineChars="200"/>
        <w:rPr>
          <w:rFonts w:ascii="黑体" w:hAnsi="黑体" w:eastAsia="黑体"/>
          <w:color w:val="000000"/>
          <w:sz w:val="24"/>
        </w:rPr>
      </w:pPr>
      <w:r>
        <w:rPr>
          <w:rFonts w:hint="eastAsia" w:ascii="黑体" w:hAnsi="黑体" w:eastAsia="黑体"/>
          <w:color w:val="000000"/>
          <w:sz w:val="24"/>
        </w:rPr>
        <w:t>33. 无义务解释未中标原因</w:t>
      </w:r>
    </w:p>
    <w:p w14:paraId="3BCB0017">
      <w:pPr>
        <w:spacing w:line="360" w:lineRule="auto"/>
        <w:ind w:firstLine="422" w:firstLineChars="200"/>
        <w:rPr>
          <w:rFonts w:ascii="宋体" w:hAnsi="宋体"/>
          <w:b/>
          <w:color w:val="000000"/>
          <w:szCs w:val="21"/>
        </w:rPr>
      </w:pPr>
      <w:r>
        <w:rPr>
          <w:rFonts w:hint="eastAsia" w:ascii="宋体" w:hAnsi="宋体"/>
          <w:b/>
          <w:color w:val="000000"/>
          <w:szCs w:val="21"/>
        </w:rPr>
        <w:t>采购代理机构无义务向未中标的投标人解释未中标原因和退还投标文件。</w:t>
      </w:r>
    </w:p>
    <w:p w14:paraId="5229F82B">
      <w:pPr>
        <w:spacing w:line="360" w:lineRule="auto"/>
        <w:ind w:firstLine="480" w:firstLineChars="200"/>
        <w:rPr>
          <w:rFonts w:ascii="黑体" w:hAnsi="黑体" w:eastAsia="黑体"/>
          <w:color w:val="000000"/>
          <w:sz w:val="24"/>
        </w:rPr>
      </w:pPr>
      <w:r>
        <w:rPr>
          <w:rFonts w:hint="eastAsia" w:ascii="黑体" w:hAnsi="黑体" w:eastAsia="黑体"/>
          <w:color w:val="000000"/>
          <w:sz w:val="24"/>
        </w:rPr>
        <w:t>34.合同授予标准</w:t>
      </w:r>
    </w:p>
    <w:p w14:paraId="36F55105">
      <w:pPr>
        <w:spacing w:line="360" w:lineRule="auto"/>
        <w:ind w:firstLine="420" w:firstLineChars="200"/>
        <w:rPr>
          <w:rFonts w:ascii="宋体" w:hAnsi="宋体"/>
          <w:color w:val="000000"/>
          <w:szCs w:val="21"/>
        </w:rPr>
      </w:pPr>
      <w:r>
        <w:rPr>
          <w:rFonts w:hint="eastAsia" w:ascii="宋体" w:hAnsi="宋体" w:cs="Courier New"/>
          <w:color w:val="000000"/>
          <w:szCs w:val="21"/>
        </w:rPr>
        <w:t>合同将授予被确定实质上响应招标文件要求，具备履行合同能力的中标人（招标文件另有约定多名中标人的除外）。</w:t>
      </w:r>
    </w:p>
    <w:p w14:paraId="57C78F40">
      <w:pPr>
        <w:spacing w:line="360" w:lineRule="auto"/>
        <w:ind w:firstLine="480" w:firstLineChars="200"/>
        <w:rPr>
          <w:rFonts w:ascii="黑体" w:hAnsi="黑体" w:eastAsia="黑体"/>
          <w:color w:val="000000"/>
          <w:sz w:val="24"/>
        </w:rPr>
      </w:pPr>
      <w:r>
        <w:rPr>
          <w:rFonts w:hint="eastAsia" w:ascii="黑体" w:hAnsi="黑体" w:eastAsia="黑体"/>
          <w:color w:val="000000"/>
          <w:sz w:val="24"/>
        </w:rPr>
        <w:t>35.履约保证金</w:t>
      </w:r>
    </w:p>
    <w:p w14:paraId="3F63B397">
      <w:pPr>
        <w:pStyle w:val="5"/>
        <w:keepNext w:val="0"/>
        <w:keepLines w:val="0"/>
        <w:spacing w:before="0" w:after="0" w:line="360" w:lineRule="auto"/>
        <w:ind w:firstLine="315" w:firstLineChars="150"/>
        <w:rPr>
          <w:rFonts w:ascii="宋体" w:hAnsi="宋体" w:cs="宋体"/>
          <w:b w:val="0"/>
          <w:sz w:val="21"/>
          <w:szCs w:val="21"/>
        </w:rPr>
      </w:pPr>
      <w:bookmarkStart w:id="237" w:name="_39.1中标人须于签订合同前按本须知前附表规定的金额转账或电汇到指定账"/>
      <w:bookmarkEnd w:id="237"/>
      <w:r>
        <w:rPr>
          <w:rFonts w:hint="eastAsia" w:ascii="宋体" w:hAnsi="宋体" w:cs="宋体"/>
          <w:b w:val="0"/>
          <w:sz w:val="21"/>
          <w:szCs w:val="21"/>
        </w:rPr>
        <w:t>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5EB26883">
      <w:pPr>
        <w:pStyle w:val="5"/>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 xml:space="preserve"> 35.2签订合同后，如中标人不按双方签订的合同规定履约，则没收其全部履约保证金，履约保证金不足以赔偿损失的，按实际损失赔偿。</w:t>
      </w:r>
    </w:p>
    <w:p w14:paraId="30EF235C">
      <w:pPr>
        <w:pStyle w:val="5"/>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35.3在履约保证金退还日期前，若中标人的开户名称、开户银行、账号有变动的，请以书面形式通知履约保证金收取单位，否则由此产生的后果由中标人自行承担。</w:t>
      </w:r>
    </w:p>
    <w:p w14:paraId="2D89C9C4">
      <w:pPr>
        <w:spacing w:line="360" w:lineRule="auto"/>
        <w:ind w:firstLine="480" w:firstLineChars="200"/>
        <w:rPr>
          <w:rFonts w:ascii="黑体" w:hAnsi="黑体" w:eastAsia="黑体"/>
          <w:color w:val="000000"/>
          <w:sz w:val="24"/>
        </w:rPr>
      </w:pPr>
      <w:r>
        <w:rPr>
          <w:rFonts w:hint="eastAsia" w:ascii="黑体" w:hAnsi="黑体" w:eastAsia="黑体"/>
          <w:color w:val="000000"/>
          <w:sz w:val="24"/>
        </w:rPr>
        <w:t>36.签订合同</w:t>
      </w:r>
    </w:p>
    <w:p w14:paraId="4BE1FF57">
      <w:pPr>
        <w:spacing w:line="360" w:lineRule="auto"/>
        <w:ind w:firstLine="420" w:firstLineChars="200"/>
        <w:rPr>
          <w:rFonts w:ascii="宋体" w:hAnsi="宋体" w:cs="宋体"/>
          <w:bCs/>
          <w:szCs w:val="21"/>
        </w:rPr>
      </w:pPr>
      <w:bookmarkStart w:id="238" w:name="_40.1投标人接到中标通知书后，按须知前附表规定向采购人出示相关资格证"/>
      <w:bookmarkEnd w:id="238"/>
      <w:r>
        <w:rPr>
          <w:rFonts w:hint="eastAsia" w:ascii="宋体" w:hAnsi="宋体" w:cs="宋体"/>
          <w:bCs/>
          <w:szCs w:val="21"/>
        </w:rPr>
        <w:t xml:space="preserve"> 36.1中标人在中标通知书发出之日起，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107C2A77">
      <w:pPr>
        <w:spacing w:line="360" w:lineRule="auto"/>
        <w:ind w:firstLine="420" w:firstLineChars="200"/>
        <w:rPr>
          <w:rFonts w:ascii="宋体" w:hAnsi="宋体" w:cs="宋体"/>
          <w:bCs/>
          <w:szCs w:val="21"/>
        </w:rPr>
      </w:pPr>
      <w:r>
        <w:rPr>
          <w:rFonts w:hint="eastAsia" w:ascii="宋体" w:hAnsi="宋体" w:cs="宋体"/>
          <w:bCs/>
          <w:szCs w:val="21"/>
        </w:rPr>
        <w:t>36.2采购合同由采购人与中标人根据招标文件、投标文件等内容签订。</w:t>
      </w:r>
    </w:p>
    <w:p w14:paraId="10266B5F">
      <w:pPr>
        <w:pStyle w:val="33"/>
        <w:snapToGrid w:val="0"/>
        <w:spacing w:before="0"/>
        <w:ind w:firstLine="420"/>
        <w:rPr>
          <w:rFonts w:ascii="宋体" w:hAnsi="宋体" w:cs="仿宋_GB2312"/>
          <w:sz w:val="21"/>
          <w:szCs w:val="21"/>
        </w:rPr>
      </w:pPr>
      <w:r>
        <w:rPr>
          <w:rFonts w:hint="eastAsia" w:ascii="宋体" w:hAnsi="宋体"/>
          <w:color w:val="000000"/>
          <w:sz w:val="21"/>
          <w:szCs w:val="21"/>
        </w:rPr>
        <w:t>36.3签订合同时间：按中标通知书规定的时间与采购人签订合同。</w:t>
      </w:r>
    </w:p>
    <w:p w14:paraId="016AD83D">
      <w:pPr>
        <w:spacing w:line="360" w:lineRule="auto"/>
        <w:ind w:firstLine="420" w:firstLineChars="200"/>
        <w:rPr>
          <w:rFonts w:ascii="宋体" w:hAnsi="宋体"/>
          <w:color w:val="000000"/>
          <w:szCs w:val="21"/>
        </w:rPr>
      </w:pPr>
      <w:r>
        <w:rPr>
          <w:rFonts w:hint="eastAsia" w:ascii="宋体" w:hAnsi="宋体"/>
          <w:color w:val="000000"/>
          <w:szCs w:val="21"/>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24DBC782">
      <w:pPr>
        <w:spacing w:line="360" w:lineRule="auto"/>
        <w:ind w:firstLine="420" w:firstLineChars="200"/>
        <w:rPr>
          <w:rFonts w:ascii="宋体" w:hAnsi="宋体"/>
          <w:color w:val="000000"/>
          <w:szCs w:val="21"/>
        </w:rPr>
      </w:pPr>
      <w:r>
        <w:rPr>
          <w:rFonts w:hint="eastAsia" w:ascii="宋体" w:hAnsi="宋体"/>
          <w:color w:val="000000"/>
          <w:szCs w:val="21"/>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F396691">
      <w:pPr>
        <w:spacing w:line="360" w:lineRule="auto"/>
        <w:ind w:firstLine="420" w:firstLineChars="200"/>
        <w:rPr>
          <w:rFonts w:ascii="宋体" w:hAnsi="宋体"/>
          <w:color w:val="000000"/>
          <w:szCs w:val="21"/>
        </w:rPr>
      </w:pPr>
      <w:r>
        <w:rPr>
          <w:rFonts w:hint="eastAsia" w:ascii="宋体" w:hAnsi="宋体"/>
          <w:color w:val="000000"/>
          <w:szCs w:val="21"/>
        </w:rPr>
        <w:t>36.6采购人或中标人不得单方面向合同另一方提出任何招标文件没有约定的条件或不合理的要求，作为签订合同的条件；也不得协商另行订立背离招标文件和合同实质性内容的协议。</w:t>
      </w:r>
    </w:p>
    <w:p w14:paraId="3D1CE935">
      <w:pPr>
        <w:spacing w:line="360" w:lineRule="auto"/>
        <w:ind w:firstLine="420" w:firstLineChars="200"/>
        <w:rPr>
          <w:rFonts w:ascii="宋体" w:hAnsi="宋体"/>
          <w:color w:val="000000"/>
          <w:szCs w:val="21"/>
        </w:rPr>
      </w:pPr>
      <w:r>
        <w:rPr>
          <w:rFonts w:hint="eastAsia" w:ascii="宋体" w:hAnsi="宋体"/>
          <w:color w:val="000000"/>
          <w:szCs w:val="21"/>
        </w:rPr>
        <w:t>36.7</w:t>
      </w:r>
      <w:r>
        <w:rPr>
          <w:rFonts w:hint="eastAsia" w:ascii="宋体" w:hAnsi="宋体" w:cs="仿宋_GB2312"/>
          <w:szCs w:val="21"/>
        </w:rPr>
        <w:t>如签订合同并生效后，中标人无故拒绝或延期，除按照合同条款处理外，将承担相应的法律责任。</w:t>
      </w:r>
    </w:p>
    <w:p w14:paraId="670E5315">
      <w:pPr>
        <w:spacing w:line="360" w:lineRule="auto"/>
        <w:ind w:firstLine="480" w:firstLineChars="200"/>
        <w:rPr>
          <w:rFonts w:ascii="黑体" w:hAnsi="黑体" w:eastAsia="黑体"/>
          <w:color w:val="000000"/>
          <w:sz w:val="24"/>
        </w:rPr>
      </w:pPr>
      <w:bookmarkStart w:id="239" w:name="_41.政府采购合同公告"/>
      <w:bookmarkEnd w:id="239"/>
      <w:r>
        <w:rPr>
          <w:rFonts w:hint="eastAsia" w:ascii="黑体" w:hAnsi="黑体" w:eastAsia="黑体"/>
          <w:color w:val="000000"/>
          <w:sz w:val="24"/>
        </w:rPr>
        <w:t>37.政府采购合同公告</w:t>
      </w:r>
    </w:p>
    <w:p w14:paraId="2DD3C553">
      <w:pPr>
        <w:spacing w:line="360" w:lineRule="auto"/>
        <w:ind w:firstLine="420" w:firstLineChars="200"/>
        <w:rPr>
          <w:rFonts w:ascii="宋体" w:hAnsi="宋体"/>
        </w:rPr>
      </w:pPr>
      <w:r>
        <w:rPr>
          <w:rFonts w:hint="eastAsia" w:hAnsi="宋体"/>
          <w:color w:val="000000"/>
        </w:rPr>
        <w:t>采购人应当自政府采购合同签订之日起</w:t>
      </w:r>
      <w:r>
        <w:rPr>
          <w:rFonts w:hAnsi="宋体"/>
          <w:color w:val="000000"/>
        </w:rPr>
        <w:t>2</w:t>
      </w:r>
      <w:r>
        <w:rPr>
          <w:rFonts w:hint="eastAsia" w:hAnsi="宋体"/>
          <w:color w:val="000000"/>
        </w:rPr>
        <w:t>个工作日内，将政府采购合同</w:t>
      </w:r>
      <w:r>
        <w:rPr>
          <w:rFonts w:hint="eastAsia" w:ascii="宋体" w:hAnsi="宋体"/>
          <w:bCs/>
        </w:rPr>
        <w:t>在省级以上人民政府财政部门指定的媒体</w:t>
      </w:r>
      <w:r>
        <w:rPr>
          <w:rFonts w:hint="eastAsia" w:hAnsi="宋体"/>
          <w:color w:val="000000"/>
        </w:rPr>
        <w:t>上公告，但政府采购合同中涉及国家秘密、商业秘密的内容除外。</w:t>
      </w:r>
    </w:p>
    <w:p w14:paraId="4600E112">
      <w:pPr>
        <w:spacing w:line="360" w:lineRule="auto"/>
        <w:ind w:firstLine="480" w:firstLineChars="200"/>
        <w:rPr>
          <w:rFonts w:ascii="黑体" w:hAnsi="黑体" w:eastAsia="黑体"/>
          <w:color w:val="000000"/>
          <w:sz w:val="24"/>
        </w:rPr>
      </w:pPr>
      <w:r>
        <w:rPr>
          <w:rFonts w:hint="eastAsia" w:ascii="黑体" w:hAnsi="黑体" w:eastAsia="黑体"/>
          <w:color w:val="000000"/>
          <w:sz w:val="24"/>
        </w:rPr>
        <w:t>38. 询问、质疑和投诉</w:t>
      </w:r>
    </w:p>
    <w:p w14:paraId="23E3CECB">
      <w:pPr>
        <w:spacing w:line="360" w:lineRule="auto"/>
        <w:ind w:firstLine="422" w:firstLineChars="200"/>
        <w:rPr>
          <w:rFonts w:hAnsi="宋体"/>
          <w:b/>
          <w:color w:val="000000"/>
          <w:szCs w:val="21"/>
        </w:rPr>
      </w:pPr>
      <w:r>
        <w:rPr>
          <w:rFonts w:hAnsi="宋体"/>
          <w:b/>
          <w:color w:val="000000"/>
          <w:szCs w:val="21"/>
        </w:rPr>
        <w:t>38.1</w:t>
      </w:r>
      <w:r>
        <w:rPr>
          <w:rFonts w:hint="eastAsia" w:hAnsi="宋体"/>
          <w:b/>
          <w:color w:val="000000"/>
          <w:szCs w:val="21"/>
        </w:rPr>
        <w:t>询问</w:t>
      </w:r>
    </w:p>
    <w:p w14:paraId="025D6BF3">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38.1.1供应商在开标前对政府采购活动事项有疑问的，可以向采购人或采购代理机构项目负责人提出询问。</w:t>
      </w:r>
    </w:p>
    <w:p w14:paraId="2887B49F">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38.1.2采购人或采购人委托的采购代理机构自受理询问之日起3个工作日内对供应商依法提出的询问作出答复，</w:t>
      </w:r>
      <w:r>
        <w:rPr>
          <w:rFonts w:hint="eastAsia" w:ascii="宋体" w:hAnsi="宋体" w:cs="宋体"/>
        </w:rPr>
        <w:t>但答复内容不得涉及商业秘密</w:t>
      </w:r>
      <w:r>
        <w:rPr>
          <w:rFonts w:hint="eastAsia" w:ascii="宋体" w:hAnsi="宋体" w:cs="宋体"/>
          <w:bCs/>
          <w:color w:val="000000"/>
          <w:szCs w:val="21"/>
        </w:rPr>
        <w:t>。</w:t>
      </w:r>
    </w:p>
    <w:p w14:paraId="5597C6D0">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38.1.3 询问事项可能影响中标结果的，采购人应当暂停签订合同，已经签订合同的，应当中止履行合同。</w:t>
      </w:r>
    </w:p>
    <w:p w14:paraId="6C2432D5">
      <w:pPr>
        <w:spacing w:line="360" w:lineRule="auto"/>
        <w:ind w:firstLine="422" w:firstLineChars="200"/>
        <w:rPr>
          <w:rFonts w:ascii="宋体" w:hAnsi="宋体" w:cs="宋体"/>
          <w:color w:val="000000"/>
          <w:szCs w:val="21"/>
        </w:rPr>
      </w:pPr>
      <w:r>
        <w:rPr>
          <w:rFonts w:hint="eastAsia" w:ascii="宋体" w:hAnsi="宋体" w:cs="宋体"/>
          <w:b/>
          <w:color w:val="000000"/>
          <w:szCs w:val="21"/>
        </w:rPr>
        <w:t xml:space="preserve"> </w:t>
      </w:r>
      <w:r>
        <w:rPr>
          <w:rFonts w:hint="eastAsia" w:ascii="宋体" w:hAnsi="宋体" w:cs="宋体"/>
          <w:color w:val="000000"/>
          <w:szCs w:val="21"/>
        </w:rPr>
        <w:t>38.2质疑</w:t>
      </w:r>
    </w:p>
    <w:p w14:paraId="1B61FE99">
      <w:pPr>
        <w:spacing w:line="360" w:lineRule="auto"/>
        <w:ind w:firstLine="422" w:firstLineChars="200"/>
        <w:rPr>
          <w:rFonts w:ascii="宋体" w:hAnsi="宋体"/>
          <w:b/>
          <w:color w:val="000000"/>
          <w:szCs w:val="21"/>
        </w:rPr>
      </w:pPr>
      <w:r>
        <w:rPr>
          <w:rFonts w:hint="eastAsia" w:ascii="宋体" w:hAnsi="宋体"/>
          <w:b/>
          <w:bCs/>
          <w:color w:val="000000"/>
          <w:szCs w:val="21"/>
        </w:rPr>
        <w:t>38.2.1</w:t>
      </w:r>
      <w:r>
        <w:rPr>
          <w:rFonts w:hint="eastAsia" w:ascii="宋体" w:hAnsi="宋体"/>
          <w:b/>
          <w:color w:val="000000"/>
          <w:szCs w:val="21"/>
        </w:rPr>
        <w:t>供应商认为招标文件、采购过程或者中标结果使自己的合法权益受到损害的，必须在知道或者应知其权益受到损害之日起7个工作日内，以</w:t>
      </w:r>
      <w:r>
        <w:rPr>
          <w:rFonts w:hint="eastAsia" w:ascii="宋体" w:hAnsi="宋体"/>
          <w:b/>
          <w:szCs w:val="21"/>
        </w:rPr>
        <w:t>书面形式向</w:t>
      </w:r>
      <w:r>
        <w:rPr>
          <w:rFonts w:hint="eastAsia" w:ascii="宋体" w:hAnsi="宋体"/>
          <w:b/>
          <w:color w:val="000000"/>
          <w:szCs w:val="21"/>
        </w:rPr>
        <w:t xml:space="preserve">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1C88F11">
      <w:pPr>
        <w:spacing w:line="360" w:lineRule="auto"/>
        <w:ind w:firstLine="420" w:firstLineChars="200"/>
        <w:rPr>
          <w:rFonts w:ascii="宋体" w:hAnsi="宋体" w:cs="宋体"/>
          <w:bCs/>
        </w:rPr>
      </w:pPr>
      <w:r>
        <w:rPr>
          <w:rFonts w:hint="eastAsia" w:ascii="宋体" w:hAnsi="宋体" w:cs="宋体"/>
          <w:bCs/>
        </w:rPr>
        <w:t>（1）潜在供应商依法获取招标文件后，认为采购文件使自己的权益受到损害的，应当在招标文件公告期限届满之日起7个工作日内提出质疑。</w:t>
      </w:r>
    </w:p>
    <w:p w14:paraId="200D39F3">
      <w:pPr>
        <w:spacing w:line="360" w:lineRule="auto"/>
        <w:ind w:firstLine="420" w:firstLineChars="200"/>
        <w:rPr>
          <w:rFonts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1B71B534">
      <w:pPr>
        <w:spacing w:line="360" w:lineRule="auto"/>
        <w:ind w:firstLine="420" w:firstLineChars="200"/>
        <w:rPr>
          <w:rFonts w:ascii="宋体" w:hAnsi="宋体" w:cs="宋体"/>
          <w:bCs/>
        </w:rPr>
      </w:pPr>
      <w:r>
        <w:rPr>
          <w:rFonts w:hint="eastAsia" w:ascii="宋体" w:hAnsi="宋体" w:cs="宋体"/>
          <w:bCs/>
        </w:rPr>
        <w:t>（3）供应商认为中标或者成交结果使自己的权益受到损害的，应当在中标或者成交结果公告期限届满之日起7个工作日内提出质疑，由采购人受理并负责答复。</w:t>
      </w:r>
    </w:p>
    <w:p w14:paraId="304C2F4A">
      <w:pPr>
        <w:spacing w:line="360" w:lineRule="auto"/>
        <w:ind w:firstLine="422" w:firstLineChars="200"/>
        <w:rPr>
          <w:rFonts w:ascii="宋体" w:hAnsi="宋体" w:cs="宋体"/>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14:paraId="20C09D1F">
      <w:pPr>
        <w:spacing w:line="360" w:lineRule="auto"/>
        <w:ind w:firstLine="422" w:firstLineChars="200"/>
        <w:rPr>
          <w:rFonts w:ascii="宋体" w:hAnsi="宋体" w:cs="宋体"/>
          <w:bCs/>
        </w:rPr>
      </w:pPr>
      <w:r>
        <w:rPr>
          <w:rFonts w:hint="eastAsia" w:ascii="宋体" w:hAnsi="宋体" w:cs="宋体"/>
          <w:b/>
          <w:bCs/>
        </w:rPr>
        <w:t>38.2.3</w:t>
      </w:r>
      <w:r>
        <w:rPr>
          <w:rFonts w:hint="eastAsia" w:ascii="宋体" w:hAnsi="宋体" w:cs="宋体"/>
          <w:bCs/>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rPr>
        <w:t>。</w:t>
      </w:r>
    </w:p>
    <w:p w14:paraId="4312E885">
      <w:pPr>
        <w:spacing w:line="360" w:lineRule="auto"/>
        <w:ind w:firstLine="422" w:firstLineChars="200"/>
        <w:rPr>
          <w:rFonts w:ascii="宋体" w:hAnsi="宋体" w:cs="宋体"/>
          <w:b/>
          <w:bCs/>
        </w:rPr>
      </w:pPr>
      <w:r>
        <w:rPr>
          <w:rFonts w:hint="eastAsia" w:ascii="宋体" w:hAnsi="宋体" w:cs="宋体"/>
          <w:b/>
          <w:bCs/>
        </w:rPr>
        <w:t>38.2.4 质疑供应商提起质疑应当符合下列条件：</w:t>
      </w:r>
    </w:p>
    <w:p w14:paraId="225A53E9">
      <w:pPr>
        <w:spacing w:line="360" w:lineRule="auto"/>
        <w:ind w:firstLine="420" w:firstLineChars="200"/>
        <w:rPr>
          <w:rFonts w:ascii="宋体" w:hAnsi="宋体" w:cs="宋体"/>
          <w:bCs/>
        </w:rPr>
      </w:pPr>
      <w:r>
        <w:rPr>
          <w:rFonts w:hint="eastAsia" w:ascii="宋体" w:hAnsi="宋体" w:cs="宋体"/>
          <w:bCs/>
        </w:rPr>
        <w:t>（1）质疑供应商是参与所质疑</w:t>
      </w:r>
      <w:r>
        <w:rPr>
          <w:rFonts w:hint="eastAsia" w:ascii="宋体" w:hAnsi="宋体" w:cs="宋体"/>
          <w:bCs/>
          <w:szCs w:val="21"/>
        </w:rPr>
        <w:t>项目</w:t>
      </w:r>
      <w:r>
        <w:rPr>
          <w:rFonts w:hint="eastAsia" w:ascii="宋体" w:hAnsi="宋体" w:cs="宋体"/>
          <w:bCs/>
        </w:rPr>
        <w:t>采购活动的供应商（潜在供应商已依法获取可质疑的采购文件的，可以对该采购文件质疑）；</w:t>
      </w:r>
    </w:p>
    <w:p w14:paraId="2B4BFA27">
      <w:pPr>
        <w:spacing w:line="360" w:lineRule="auto"/>
        <w:ind w:firstLine="420" w:firstLineChars="200"/>
        <w:rPr>
          <w:rFonts w:ascii="宋体" w:hAnsi="宋体" w:cs="宋体"/>
          <w:bCs/>
        </w:rPr>
      </w:pPr>
      <w:r>
        <w:rPr>
          <w:rFonts w:hint="eastAsia" w:ascii="宋体" w:hAnsi="宋体" w:cs="宋体"/>
          <w:bCs/>
        </w:rPr>
        <w:t>（2）质疑函内容符合本章第38.2.5项的规定；</w:t>
      </w:r>
    </w:p>
    <w:p w14:paraId="2BBA5D92">
      <w:pPr>
        <w:spacing w:line="360" w:lineRule="auto"/>
        <w:ind w:firstLine="420" w:firstLineChars="200"/>
        <w:rPr>
          <w:rFonts w:ascii="宋体" w:hAnsi="宋体" w:cs="宋体"/>
          <w:bCs/>
        </w:rPr>
      </w:pPr>
      <w:r>
        <w:rPr>
          <w:rFonts w:hint="eastAsia" w:ascii="宋体" w:hAnsi="宋体" w:cs="宋体"/>
          <w:bCs/>
        </w:rPr>
        <w:t>（3）在质疑有效期限内提起质疑；</w:t>
      </w:r>
    </w:p>
    <w:p w14:paraId="575CDB50">
      <w:pPr>
        <w:spacing w:line="360" w:lineRule="auto"/>
        <w:ind w:firstLine="420" w:firstLineChars="200"/>
        <w:rPr>
          <w:rFonts w:ascii="宋体" w:hAnsi="宋体" w:cs="宋体"/>
          <w:bCs/>
        </w:rPr>
      </w:pPr>
      <w:r>
        <w:rPr>
          <w:rFonts w:hint="eastAsia" w:ascii="宋体" w:hAnsi="宋体" w:cs="宋体"/>
          <w:bCs/>
        </w:rPr>
        <w:t>（4）属于所质疑的采购人或采购人委托的采购代理机构组织的采购活动；</w:t>
      </w:r>
    </w:p>
    <w:p w14:paraId="1D2A5154">
      <w:pPr>
        <w:spacing w:line="360" w:lineRule="auto"/>
        <w:ind w:firstLine="420" w:firstLineChars="200"/>
        <w:rPr>
          <w:rFonts w:ascii="宋体" w:hAnsi="宋体" w:cs="宋体"/>
          <w:bCs/>
        </w:rPr>
      </w:pPr>
      <w:r>
        <w:rPr>
          <w:rFonts w:hint="eastAsia" w:ascii="宋体" w:hAnsi="宋体" w:cs="宋体"/>
          <w:bCs/>
        </w:rPr>
        <w:t>（5）供应商对同一采购程序环节的质疑应当在质疑有效期内一次性提出；</w:t>
      </w:r>
    </w:p>
    <w:p w14:paraId="3347BCB1">
      <w:pPr>
        <w:spacing w:line="360" w:lineRule="auto"/>
        <w:ind w:firstLine="420" w:firstLineChars="200"/>
        <w:rPr>
          <w:rFonts w:ascii="宋体" w:hAnsi="宋体" w:cs="宋体"/>
          <w:bCs/>
        </w:rPr>
      </w:pPr>
      <w:r>
        <w:rPr>
          <w:rFonts w:hint="eastAsia" w:ascii="宋体" w:hAnsi="宋体" w:cs="宋体"/>
          <w:bCs/>
        </w:rPr>
        <w:t>（6）供应商提交质疑应当提交必要的证明材料，证明材料应以合法手段取得；</w:t>
      </w:r>
    </w:p>
    <w:p w14:paraId="6FBD9873">
      <w:pPr>
        <w:spacing w:line="360" w:lineRule="auto"/>
        <w:ind w:firstLine="420" w:firstLineChars="200"/>
        <w:rPr>
          <w:rFonts w:ascii="宋体" w:hAnsi="宋体" w:cs="宋体"/>
        </w:rPr>
      </w:pPr>
      <w:r>
        <w:rPr>
          <w:rFonts w:hint="eastAsia" w:ascii="宋体" w:hAnsi="宋体" w:cs="宋体"/>
          <w:bCs/>
        </w:rPr>
        <w:t>（7）财政部门规定的其他条件。</w:t>
      </w:r>
    </w:p>
    <w:p w14:paraId="4FCDDA83">
      <w:pPr>
        <w:spacing w:line="360" w:lineRule="auto"/>
        <w:ind w:firstLine="422" w:firstLineChars="200"/>
        <w:rPr>
          <w:rFonts w:ascii="宋体" w:hAnsi="宋体"/>
          <w:b/>
          <w:bCs/>
          <w:color w:val="000000"/>
          <w:szCs w:val="21"/>
        </w:rPr>
      </w:pPr>
      <w:bookmarkStart w:id="240" w:name="_9.2质疑、投诉应当采用书面形式，质疑函、投诉书均应明确阐述招标文件、"/>
      <w:bookmarkEnd w:id="240"/>
      <w:r>
        <w:rPr>
          <w:rFonts w:hint="eastAsia" w:ascii="宋体" w:hAnsi="宋体"/>
          <w:b/>
          <w:bCs/>
          <w:color w:val="000000"/>
          <w:szCs w:val="21"/>
        </w:rPr>
        <w:t xml:space="preserve"> 38.2.5 </w:t>
      </w:r>
      <w:r>
        <w:rPr>
          <w:rFonts w:hint="eastAsia" w:hAnsi="宋体"/>
          <w:b/>
          <w:bCs/>
          <w:color w:val="000000"/>
        </w:rPr>
        <w:t>供应商提出质疑应当提交质疑函和必要的证明材料，针对同一采购程序环节的质疑必须在法定质疑期内一次性提出。质疑函应当包括下列内容（质疑函格式后附）：</w:t>
      </w:r>
    </w:p>
    <w:p w14:paraId="5A171FCF">
      <w:pPr>
        <w:spacing w:line="360" w:lineRule="auto"/>
        <w:ind w:firstLine="420" w:firstLineChars="200"/>
        <w:rPr>
          <w:rFonts w:ascii="宋体" w:hAnsi="宋体" w:cs="宋体"/>
          <w:bCs/>
          <w:color w:val="000000"/>
        </w:rPr>
      </w:pPr>
      <w:r>
        <w:rPr>
          <w:rFonts w:hint="eastAsia" w:ascii="宋体" w:hAnsi="宋体" w:cs="宋体"/>
          <w:bCs/>
          <w:color w:val="000000"/>
        </w:rPr>
        <w:t>（1）供应商的姓名或者名称、地址、邮编、联系人及联系电话；</w:t>
      </w:r>
    </w:p>
    <w:p w14:paraId="3E130CE6">
      <w:pPr>
        <w:spacing w:line="360" w:lineRule="auto"/>
        <w:ind w:firstLine="420" w:firstLineChars="200"/>
        <w:rPr>
          <w:rFonts w:ascii="宋体" w:hAnsi="宋体" w:cs="宋体"/>
          <w:bCs/>
          <w:color w:val="000000"/>
        </w:rPr>
      </w:pPr>
      <w:r>
        <w:rPr>
          <w:rFonts w:hint="eastAsia" w:ascii="宋体" w:hAnsi="宋体" w:cs="宋体"/>
          <w:bCs/>
          <w:color w:val="000000"/>
        </w:rPr>
        <w:t>（2）质疑项目的名称、编号；</w:t>
      </w:r>
    </w:p>
    <w:p w14:paraId="2C41C9BB">
      <w:pPr>
        <w:spacing w:line="360" w:lineRule="auto"/>
        <w:ind w:firstLine="420" w:firstLineChars="200"/>
        <w:rPr>
          <w:rFonts w:ascii="宋体" w:hAnsi="宋体" w:cs="宋体"/>
          <w:bCs/>
          <w:color w:val="000000"/>
        </w:rPr>
      </w:pPr>
      <w:r>
        <w:rPr>
          <w:rFonts w:hint="eastAsia" w:ascii="宋体" w:hAnsi="宋体" w:cs="宋体"/>
          <w:bCs/>
          <w:color w:val="000000"/>
        </w:rPr>
        <w:t>（3）具体、明确的质疑事项和与质疑事项相关的请求；</w:t>
      </w:r>
    </w:p>
    <w:p w14:paraId="110EF387">
      <w:pPr>
        <w:spacing w:line="360" w:lineRule="auto"/>
        <w:ind w:firstLine="420" w:firstLineChars="200"/>
        <w:rPr>
          <w:rFonts w:ascii="宋体" w:hAnsi="宋体" w:cs="宋体"/>
          <w:bCs/>
          <w:color w:val="000000"/>
        </w:rPr>
      </w:pPr>
      <w:r>
        <w:rPr>
          <w:rFonts w:hint="eastAsia" w:ascii="宋体" w:hAnsi="宋体" w:cs="宋体"/>
          <w:bCs/>
          <w:color w:val="000000"/>
        </w:rPr>
        <w:t>（4）事实依据（列明权益受到损害的事实和理由）；</w:t>
      </w:r>
    </w:p>
    <w:p w14:paraId="7809AF03">
      <w:pPr>
        <w:spacing w:line="360" w:lineRule="auto"/>
        <w:ind w:firstLine="420" w:firstLineChars="200"/>
        <w:rPr>
          <w:rFonts w:ascii="宋体" w:hAnsi="宋体" w:cs="宋体"/>
          <w:bCs/>
          <w:color w:val="000000"/>
        </w:rPr>
      </w:pPr>
      <w:r>
        <w:rPr>
          <w:rFonts w:hint="eastAsia" w:ascii="宋体" w:hAnsi="宋体" w:cs="宋体"/>
          <w:bCs/>
          <w:color w:val="000000"/>
        </w:rPr>
        <w:t>（5）必要的法律依据；</w:t>
      </w:r>
    </w:p>
    <w:p w14:paraId="51BD4ED6">
      <w:pPr>
        <w:spacing w:line="360" w:lineRule="auto"/>
        <w:ind w:firstLine="420" w:firstLineChars="200"/>
        <w:rPr>
          <w:rFonts w:ascii="宋体" w:hAnsi="宋体" w:cs="宋体"/>
          <w:bCs/>
          <w:color w:val="000000"/>
        </w:rPr>
      </w:pPr>
      <w:r>
        <w:rPr>
          <w:rFonts w:hint="eastAsia" w:ascii="宋体" w:hAnsi="宋体" w:cs="宋体"/>
          <w:bCs/>
          <w:color w:val="000000"/>
        </w:rPr>
        <w:t>（6）提出质疑的日期。</w:t>
      </w:r>
    </w:p>
    <w:p w14:paraId="4585D288">
      <w:pPr>
        <w:spacing w:line="360" w:lineRule="auto"/>
        <w:ind w:firstLine="420" w:firstLineChars="200"/>
        <w:rPr>
          <w:rFonts w:hAnsi="宋体"/>
          <w:bCs/>
          <w:color w:val="000000"/>
        </w:rPr>
      </w:pPr>
      <w:r>
        <w:rPr>
          <w:rFonts w:hint="eastAsia" w:hAnsi="宋体"/>
          <w:bCs/>
          <w:color w:val="000000"/>
        </w:rPr>
        <w:t>供应商为自然人的，应当由本人签字；供应商为法人或者其他组织的，应当由法定代表人、主要负责人，或者其委托代理人签字或者盖章，并加盖公章。</w:t>
      </w:r>
    </w:p>
    <w:p w14:paraId="495E5177">
      <w:pPr>
        <w:spacing w:line="360" w:lineRule="auto"/>
        <w:ind w:firstLine="422" w:firstLineChars="200"/>
        <w:rPr>
          <w:rFonts w:ascii="宋体" w:hAnsi="宋体"/>
          <w:b/>
          <w:color w:val="000000"/>
          <w:szCs w:val="20"/>
        </w:rPr>
      </w:pPr>
      <w:r>
        <w:rPr>
          <w:rFonts w:hint="eastAsia" w:ascii="宋体" w:hAnsi="宋体"/>
          <w:b/>
          <w:color w:val="000000"/>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rPr>
        <w:t>。</w:t>
      </w:r>
    </w:p>
    <w:p w14:paraId="30A15016">
      <w:pPr>
        <w:spacing w:line="360" w:lineRule="auto"/>
        <w:ind w:firstLine="420" w:firstLineChars="200"/>
        <w:rPr>
          <w:rFonts w:ascii="宋体" w:hAnsi="宋体"/>
          <w:bCs/>
          <w:color w:val="000000"/>
          <w:szCs w:val="21"/>
        </w:rPr>
      </w:pPr>
      <w:r>
        <w:rPr>
          <w:rFonts w:hint="eastAsia" w:ascii="宋体" w:hAnsi="宋体"/>
          <w:color w:val="000000"/>
          <w:szCs w:val="21"/>
        </w:rPr>
        <w:t>3</w:t>
      </w:r>
      <w:r>
        <w:rPr>
          <w:rFonts w:hint="eastAsia" w:ascii="宋体" w:hAnsi="宋体"/>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14:paraId="3448759F">
      <w:pPr>
        <w:spacing w:line="360" w:lineRule="auto"/>
        <w:ind w:firstLine="420" w:firstLineChars="200"/>
        <w:rPr>
          <w:rFonts w:hAnsi="宋体"/>
          <w:bCs/>
          <w:color w:val="000000"/>
        </w:rPr>
      </w:pPr>
      <w:r>
        <w:rPr>
          <w:rFonts w:hint="eastAsia" w:hAnsi="宋体"/>
          <w:bCs/>
          <w:color w:val="000000"/>
        </w:rPr>
        <w:t>（一）对招标文件提出的质疑，依法通过澄清或者修改可以继续开展采购活动的，澄清或者修改招标文件后继续开展采购活动；否则应当修改招标文件后重新开展采购活动。</w:t>
      </w:r>
    </w:p>
    <w:p w14:paraId="3F5117BC">
      <w:pPr>
        <w:spacing w:line="360" w:lineRule="auto"/>
        <w:ind w:firstLine="420" w:firstLineChars="200"/>
        <w:rPr>
          <w:rFonts w:hAnsi="宋体"/>
          <w:bCs/>
          <w:color w:val="000000"/>
        </w:rPr>
      </w:pPr>
      <w:r>
        <w:rPr>
          <w:rFonts w:hint="eastAsia" w:hAnsi="宋体"/>
          <w:bCs/>
          <w:color w:val="000000"/>
        </w:rPr>
        <w:t>（二）对采购过程、中标结果提出的质疑，合格供应商符合法定数量时，可以从合格的中标候选人中另行确定中标供应商的，应当依法另行确定中标供应商；否则应当重新开展采购活动。</w:t>
      </w:r>
    </w:p>
    <w:p w14:paraId="32A0DB35">
      <w:pPr>
        <w:spacing w:line="360" w:lineRule="auto"/>
        <w:ind w:firstLine="420" w:firstLineChars="200"/>
        <w:rPr>
          <w:rFonts w:hAnsi="宋体"/>
          <w:bCs/>
          <w:color w:val="000000"/>
        </w:rPr>
      </w:pPr>
      <w:r>
        <w:rPr>
          <w:rFonts w:hint="eastAsia" w:hAnsi="宋体"/>
          <w:bCs/>
          <w:color w:val="000000"/>
        </w:rPr>
        <w:t>质疑答复导致中标结果改变的，采购人或者采购代理机构应当将有关情况书面报告本级财政部门。</w:t>
      </w:r>
    </w:p>
    <w:p w14:paraId="586D39C0">
      <w:pPr>
        <w:spacing w:line="360" w:lineRule="auto"/>
        <w:ind w:firstLine="422" w:firstLineChars="200"/>
        <w:rPr>
          <w:rFonts w:hAnsi="宋体"/>
          <w:b/>
          <w:color w:val="000000"/>
        </w:rPr>
      </w:pPr>
      <w:r>
        <w:rPr>
          <w:rFonts w:hAnsi="宋体"/>
          <w:b/>
          <w:color w:val="000000"/>
        </w:rPr>
        <w:t>38.3</w:t>
      </w:r>
      <w:r>
        <w:rPr>
          <w:rFonts w:hint="eastAsia" w:hAnsi="宋体"/>
          <w:b/>
          <w:color w:val="000000"/>
        </w:rPr>
        <w:t>投诉</w:t>
      </w:r>
    </w:p>
    <w:p w14:paraId="6ECE1772">
      <w:pPr>
        <w:spacing w:line="360" w:lineRule="auto"/>
        <w:ind w:firstLine="422" w:firstLineChars="200"/>
        <w:rPr>
          <w:rFonts w:ascii="宋体" w:hAnsi="宋体" w:cs="宋体"/>
          <w:bCs/>
        </w:rPr>
      </w:pPr>
      <w:r>
        <w:rPr>
          <w:rFonts w:hint="eastAsia" w:ascii="宋体" w:hAnsi="宋体" w:cs="宋体"/>
          <w:b/>
          <w:color w:val="000000"/>
        </w:rPr>
        <w:t>38.3</w:t>
      </w:r>
      <w:r>
        <w:rPr>
          <w:rFonts w:hint="eastAsia" w:ascii="宋体" w:hAnsi="宋体" w:cs="宋体"/>
          <w:bCs/>
        </w:rPr>
        <w:t>.</w:t>
      </w:r>
      <w:r>
        <w:rPr>
          <w:rFonts w:hint="eastAsia" w:ascii="宋体" w:hAnsi="宋体" w:cs="宋体"/>
          <w:b/>
          <w:bCs/>
        </w:rPr>
        <w:t xml:space="preserve">1 </w:t>
      </w:r>
      <w:r>
        <w:rPr>
          <w:rFonts w:hint="eastAsia" w:ascii="宋体" w:hAnsi="宋体" w:cs="宋体"/>
          <w:bCs/>
        </w:rPr>
        <w:t xml:space="preserve"> 供应商认为采购文件、采购过程、中标和成交结果使自己的合法权益受到损害的，应当首先依法向采购人或采购人委托的</w:t>
      </w:r>
      <w:r>
        <w:rPr>
          <w:rFonts w:hint="eastAsia" w:ascii="宋体" w:hAnsi="宋体" w:cs="宋体"/>
        </w:rPr>
        <w:t>采购代理机构</w:t>
      </w:r>
      <w:r>
        <w:rPr>
          <w:rFonts w:hint="eastAsia" w:ascii="宋体" w:hAnsi="宋体" w:cs="宋体"/>
          <w:bCs/>
        </w:rPr>
        <w:t>提出质疑。对采购人或</w:t>
      </w:r>
      <w:r>
        <w:rPr>
          <w:rFonts w:hint="eastAsia" w:ascii="宋体" w:hAnsi="宋体" w:cs="宋体"/>
        </w:rPr>
        <w:t>采购代理机构</w:t>
      </w:r>
      <w:r>
        <w:rPr>
          <w:rFonts w:hint="eastAsia" w:ascii="宋体" w:hAnsi="宋体" w:cs="宋体"/>
          <w:bCs/>
        </w:rPr>
        <w:t>的答复不满意，或者采购人或</w:t>
      </w:r>
      <w:r>
        <w:rPr>
          <w:rFonts w:hint="eastAsia" w:ascii="宋体" w:hAnsi="宋体" w:cs="宋体"/>
        </w:rPr>
        <w:t>采购代理机构</w:t>
      </w:r>
      <w:r>
        <w:rPr>
          <w:rFonts w:hint="eastAsia" w:ascii="宋体" w:hAnsi="宋体" w:cs="宋体"/>
          <w:bCs/>
        </w:rPr>
        <w:t>未在规定期限内做出答复的，供应商可以在答复期满后15个工作日内向本级财政部门提起投诉，投诉联系方式见“投标人须知前附表”。</w:t>
      </w:r>
    </w:p>
    <w:p w14:paraId="048CBBDF">
      <w:pPr>
        <w:spacing w:line="360" w:lineRule="auto"/>
        <w:ind w:firstLine="422" w:firstLineChars="200"/>
        <w:rPr>
          <w:rFonts w:ascii="宋体" w:hAnsi="宋体" w:cs="宋体"/>
          <w:bCs/>
        </w:rPr>
      </w:pPr>
      <w:r>
        <w:rPr>
          <w:rFonts w:hint="eastAsia" w:ascii="宋体" w:hAnsi="宋体" w:cs="宋体"/>
          <w:b/>
          <w:color w:val="000000"/>
        </w:rPr>
        <w:t>38.3</w:t>
      </w:r>
      <w:r>
        <w:rPr>
          <w:rFonts w:hint="eastAsia" w:ascii="宋体" w:hAnsi="宋体" w:cs="宋体"/>
          <w:b/>
        </w:rPr>
        <w:t xml:space="preserve">.2 </w:t>
      </w:r>
      <w:r>
        <w:rPr>
          <w:rFonts w:hint="eastAsia" w:ascii="宋体" w:hAnsi="宋体" w:cs="宋体"/>
        </w:rPr>
        <w:t xml:space="preserve"> 投诉人投诉时，应当提交投诉书，并按照被投诉采购人、采购代理机构和与投诉事项有关的供应商数量提供投诉书的副本。投诉书</w:t>
      </w:r>
      <w:r>
        <w:rPr>
          <w:rFonts w:hint="eastAsia" w:ascii="宋体" w:hAnsi="宋体" w:cs="宋体"/>
          <w:szCs w:val="21"/>
        </w:rPr>
        <w:t>应当包括下列主要内容</w:t>
      </w:r>
      <w:r>
        <w:rPr>
          <w:rFonts w:hint="eastAsia" w:ascii="宋体" w:hAnsi="宋体" w:cs="宋体"/>
        </w:rPr>
        <w:t>（如材料中有外文资料应同时附上对应的中文译本）</w:t>
      </w:r>
      <w:r>
        <w:rPr>
          <w:rFonts w:hint="eastAsia" w:ascii="宋体" w:hAnsi="宋体" w:cs="宋体"/>
          <w:bCs/>
          <w:color w:val="000000"/>
        </w:rPr>
        <w:t>（投诉书格式后附）</w:t>
      </w:r>
      <w:r>
        <w:rPr>
          <w:rFonts w:hint="eastAsia" w:ascii="宋体" w:hAnsi="宋体" w:cs="宋体"/>
          <w:szCs w:val="21"/>
        </w:rPr>
        <w:t>：</w:t>
      </w:r>
    </w:p>
    <w:p w14:paraId="167BC1FA">
      <w:pPr>
        <w:spacing w:line="360" w:lineRule="auto"/>
        <w:ind w:firstLine="420" w:firstLineChars="200"/>
        <w:rPr>
          <w:rFonts w:ascii="宋体" w:hAnsi="宋体" w:cs="宋体"/>
        </w:rPr>
      </w:pPr>
      <w:r>
        <w:rPr>
          <w:rFonts w:hint="eastAsia" w:ascii="宋体" w:hAnsi="宋体" w:cs="宋体"/>
        </w:rPr>
        <w:t xml:space="preserve">（1）投诉人和被投诉人的名称、地址、邮编、联系人及联系电话等； </w:t>
      </w:r>
    </w:p>
    <w:p w14:paraId="2B2FBD98">
      <w:pPr>
        <w:spacing w:line="360" w:lineRule="auto"/>
        <w:ind w:firstLine="420" w:firstLineChars="200"/>
        <w:rPr>
          <w:rFonts w:ascii="宋体" w:hAnsi="宋体" w:cs="宋体"/>
        </w:rPr>
      </w:pPr>
      <w:r>
        <w:rPr>
          <w:rFonts w:hint="eastAsia" w:ascii="宋体" w:hAnsi="宋体" w:cs="宋体"/>
        </w:rPr>
        <w:t xml:space="preserve">（2）质疑和质疑答复情况及相关证明材料； </w:t>
      </w:r>
    </w:p>
    <w:p w14:paraId="2A87EBD6">
      <w:pPr>
        <w:spacing w:line="360" w:lineRule="auto"/>
        <w:ind w:firstLine="420" w:firstLineChars="200"/>
        <w:rPr>
          <w:rFonts w:ascii="宋体" w:hAnsi="宋体" w:cs="宋体"/>
        </w:rPr>
      </w:pPr>
      <w:r>
        <w:rPr>
          <w:rFonts w:hint="eastAsia" w:ascii="宋体" w:hAnsi="宋体" w:cs="宋体"/>
        </w:rPr>
        <w:t>（3）具体、明确的投诉事项和与投诉事项相关的投诉请求；</w:t>
      </w:r>
    </w:p>
    <w:p w14:paraId="28055AFA">
      <w:pPr>
        <w:spacing w:line="360" w:lineRule="auto"/>
        <w:ind w:firstLine="420" w:firstLineChars="200"/>
        <w:rPr>
          <w:rFonts w:ascii="宋体" w:hAnsi="宋体" w:cs="宋体"/>
        </w:rPr>
      </w:pPr>
      <w:r>
        <w:rPr>
          <w:rFonts w:hint="eastAsia" w:ascii="宋体" w:hAnsi="宋体" w:cs="宋体"/>
        </w:rPr>
        <w:t>（4）事实依据；</w:t>
      </w:r>
    </w:p>
    <w:p w14:paraId="47A5E940">
      <w:pPr>
        <w:spacing w:line="360" w:lineRule="auto"/>
        <w:ind w:firstLine="420" w:firstLineChars="200"/>
        <w:rPr>
          <w:rFonts w:ascii="宋体" w:hAnsi="宋体" w:cs="宋体"/>
        </w:rPr>
      </w:pPr>
      <w:r>
        <w:rPr>
          <w:rFonts w:hint="eastAsia" w:ascii="宋体" w:hAnsi="宋体" w:cs="宋体"/>
        </w:rPr>
        <w:t>（5）法律依据；</w:t>
      </w:r>
    </w:p>
    <w:p w14:paraId="6D7CD9D1">
      <w:pPr>
        <w:spacing w:line="360" w:lineRule="auto"/>
        <w:ind w:firstLine="420" w:firstLineChars="200"/>
        <w:rPr>
          <w:rFonts w:ascii="宋体" w:hAnsi="宋体" w:cs="宋体"/>
        </w:rPr>
      </w:pPr>
      <w:r>
        <w:rPr>
          <w:rFonts w:hint="eastAsia" w:ascii="宋体" w:hAnsi="宋体" w:cs="宋体"/>
        </w:rPr>
        <w:t>（6）提起投诉的日期。</w:t>
      </w:r>
    </w:p>
    <w:p w14:paraId="2B902A38">
      <w:pPr>
        <w:spacing w:line="360" w:lineRule="auto"/>
        <w:ind w:firstLine="420" w:firstLineChars="200"/>
        <w:rPr>
          <w:rFonts w:ascii="宋体" w:hAnsi="宋体" w:cs="宋体"/>
          <w:bCs/>
        </w:rPr>
      </w:pPr>
      <w:r>
        <w:rPr>
          <w:rFonts w:hint="eastAsia" w:ascii="宋体" w:hAnsi="宋体" w:cs="宋体"/>
          <w:bCs/>
        </w:rPr>
        <w:t>投诉人为自然人的，应当由本人签字；投诉人为法人或者其他组织的，应当由法定代表人、主要负责人，或者其授权代表签字或者盖章，并加盖公章。</w:t>
      </w:r>
    </w:p>
    <w:p w14:paraId="6AFE69CD">
      <w:pPr>
        <w:spacing w:line="360" w:lineRule="auto"/>
        <w:ind w:firstLine="422" w:firstLineChars="200"/>
        <w:rPr>
          <w:rFonts w:ascii="宋体" w:hAnsi="宋体" w:cs="宋体"/>
          <w:bCs/>
        </w:rPr>
      </w:pPr>
      <w:r>
        <w:rPr>
          <w:rFonts w:hint="eastAsia" w:ascii="宋体" w:hAnsi="宋体" w:cs="宋体"/>
          <w:b/>
          <w:color w:val="000000"/>
        </w:rPr>
        <w:t>38.3</w:t>
      </w:r>
      <w:r>
        <w:rPr>
          <w:rFonts w:hint="eastAsia" w:ascii="宋体" w:hAnsi="宋体" w:cs="宋体"/>
          <w:b/>
        </w:rPr>
        <w:t xml:space="preserve">.3  </w:t>
      </w:r>
      <w:r>
        <w:rPr>
          <w:rFonts w:hint="eastAsia" w:ascii="宋体" w:hAnsi="宋体" w:cs="宋体"/>
        </w:rPr>
        <w:t>投诉人可以委托代理人办理投诉事务。</w:t>
      </w:r>
      <w:r>
        <w:rPr>
          <w:rFonts w:hint="eastAsia" w:ascii="宋体" w:hAnsi="宋体" w:cs="宋体"/>
          <w:bCs/>
        </w:rPr>
        <w:t>委托代理人应熟悉相关业务情况。</w:t>
      </w:r>
      <w:r>
        <w:rPr>
          <w:rFonts w:hint="eastAsia" w:ascii="宋体" w:hAnsi="宋体" w:cs="宋体"/>
        </w:rPr>
        <w:t>代理人办理投诉事务时，除提交投诉书外，还应当提交投诉人的授权委托书和委托代理人身份证明复印件。</w:t>
      </w:r>
    </w:p>
    <w:p w14:paraId="246BC677">
      <w:pPr>
        <w:spacing w:line="360" w:lineRule="auto"/>
        <w:ind w:firstLine="422" w:firstLineChars="200"/>
        <w:rPr>
          <w:rFonts w:ascii="宋体" w:hAnsi="宋体" w:cs="宋体"/>
        </w:rPr>
      </w:pPr>
      <w:r>
        <w:rPr>
          <w:rFonts w:hint="eastAsia" w:ascii="宋体" w:hAnsi="宋体" w:cs="宋体"/>
          <w:b/>
          <w:color w:val="000000"/>
        </w:rPr>
        <w:t>38.3</w:t>
      </w:r>
      <w:r>
        <w:rPr>
          <w:rFonts w:hint="eastAsia" w:ascii="宋体" w:hAnsi="宋体" w:cs="宋体"/>
          <w:b/>
        </w:rPr>
        <w:t>.4</w:t>
      </w:r>
      <w:r>
        <w:rPr>
          <w:rFonts w:hint="eastAsia" w:ascii="宋体" w:hAnsi="宋体" w:cs="宋体"/>
        </w:rPr>
        <w:t xml:space="preserve">  投诉人提起投诉应当符合下列条件：</w:t>
      </w:r>
    </w:p>
    <w:p w14:paraId="631B8FDB">
      <w:pPr>
        <w:spacing w:line="360" w:lineRule="auto"/>
        <w:ind w:firstLine="420" w:firstLineChars="200"/>
        <w:rPr>
          <w:rFonts w:ascii="宋体" w:hAnsi="宋体" w:cs="宋体"/>
        </w:rPr>
      </w:pPr>
      <w:r>
        <w:rPr>
          <w:rFonts w:hint="eastAsia" w:ascii="宋体" w:hAnsi="宋体" w:cs="宋体"/>
        </w:rPr>
        <w:t>（1）投诉人是参与所投诉政府采购活动的供应商；</w:t>
      </w:r>
    </w:p>
    <w:p w14:paraId="15791514">
      <w:pPr>
        <w:spacing w:line="360" w:lineRule="auto"/>
        <w:ind w:firstLine="420" w:firstLineChars="200"/>
        <w:rPr>
          <w:rFonts w:ascii="宋体" w:hAnsi="宋体" w:cs="宋体"/>
        </w:rPr>
      </w:pPr>
      <w:r>
        <w:rPr>
          <w:rFonts w:hint="eastAsia" w:ascii="宋体" w:hAnsi="宋体" w:cs="宋体"/>
        </w:rPr>
        <w:t>（2）提起投诉前已依法进行质疑；</w:t>
      </w:r>
    </w:p>
    <w:p w14:paraId="67F710A5">
      <w:pPr>
        <w:spacing w:line="360" w:lineRule="auto"/>
        <w:ind w:firstLine="420" w:firstLineChars="200"/>
        <w:rPr>
          <w:rFonts w:ascii="宋体" w:hAnsi="宋体" w:cs="宋体"/>
        </w:rPr>
      </w:pPr>
      <w:r>
        <w:rPr>
          <w:rFonts w:hint="eastAsia" w:ascii="宋体" w:hAnsi="宋体" w:cs="宋体"/>
        </w:rPr>
        <w:t>（3）投诉书内容符合本章第38.3.2项的规定；</w:t>
      </w:r>
    </w:p>
    <w:p w14:paraId="1D26DFF8">
      <w:pPr>
        <w:spacing w:line="360" w:lineRule="auto"/>
        <w:ind w:firstLine="420" w:firstLineChars="200"/>
        <w:rPr>
          <w:rFonts w:ascii="宋体" w:hAnsi="宋体" w:cs="宋体"/>
        </w:rPr>
      </w:pPr>
      <w:r>
        <w:rPr>
          <w:rFonts w:hint="eastAsia" w:ascii="宋体" w:hAnsi="宋体" w:cs="宋体"/>
        </w:rPr>
        <w:t>（4）在投诉有效期限内提起投诉；</w:t>
      </w:r>
    </w:p>
    <w:p w14:paraId="759CB64B">
      <w:pPr>
        <w:spacing w:line="360" w:lineRule="auto"/>
        <w:ind w:firstLine="420" w:firstLineChars="200"/>
        <w:rPr>
          <w:rFonts w:ascii="宋体" w:hAnsi="宋体" w:cs="宋体"/>
        </w:rPr>
      </w:pPr>
      <w:r>
        <w:rPr>
          <w:rFonts w:hint="eastAsia" w:ascii="宋体" w:hAnsi="宋体" w:cs="宋体"/>
        </w:rPr>
        <w:t>（5）同一投诉事项未经</w:t>
      </w:r>
      <w:r>
        <w:rPr>
          <w:rFonts w:hint="eastAsia" w:ascii="宋体" w:hAnsi="宋体" w:cs="宋体"/>
          <w:bCs/>
        </w:rPr>
        <w:t>财政部门</w:t>
      </w:r>
      <w:r>
        <w:rPr>
          <w:rFonts w:hint="eastAsia" w:ascii="宋体" w:hAnsi="宋体" w:cs="宋体"/>
        </w:rPr>
        <w:t>投诉处理；</w:t>
      </w:r>
    </w:p>
    <w:p w14:paraId="1B363579">
      <w:pPr>
        <w:spacing w:line="360" w:lineRule="auto"/>
        <w:ind w:firstLine="420" w:firstLineChars="200"/>
        <w:rPr>
          <w:rFonts w:ascii="宋体" w:hAnsi="宋体" w:cs="宋体"/>
        </w:rPr>
      </w:pPr>
      <w:r>
        <w:rPr>
          <w:rFonts w:hint="eastAsia" w:ascii="宋体" w:hAnsi="宋体" w:cs="宋体"/>
        </w:rPr>
        <w:t>（6）国务院财政部门规定的其他条件。</w:t>
      </w:r>
    </w:p>
    <w:p w14:paraId="38839142">
      <w:pPr>
        <w:snapToGrid w:val="0"/>
        <w:spacing w:line="360" w:lineRule="auto"/>
        <w:ind w:left="120" w:leftChars="57" w:firstLine="482" w:firstLineChars="150"/>
        <w:jc w:val="center"/>
        <w:outlineLvl w:val="2"/>
        <w:rPr>
          <w:b/>
          <w:bCs/>
          <w:sz w:val="32"/>
          <w:szCs w:val="32"/>
        </w:rPr>
      </w:pPr>
      <w:bookmarkStart w:id="241" w:name="_Toc27653"/>
      <w:bookmarkStart w:id="242" w:name="_Toc1756"/>
      <w:bookmarkStart w:id="243" w:name="_Toc8731"/>
      <w:bookmarkStart w:id="244" w:name="_Toc14937"/>
      <w:bookmarkStart w:id="245" w:name="_Toc26583"/>
      <w:bookmarkStart w:id="246" w:name="_Toc29288"/>
      <w:bookmarkStart w:id="247" w:name="_Toc13659"/>
      <w:bookmarkStart w:id="248" w:name="_Toc25946"/>
      <w:bookmarkStart w:id="249" w:name="_Toc23239"/>
      <w:bookmarkStart w:id="250" w:name="_Toc7828"/>
      <w:r>
        <w:rPr>
          <w:rFonts w:hint="eastAsia"/>
          <w:b/>
          <w:bCs/>
          <w:sz w:val="32"/>
          <w:szCs w:val="32"/>
        </w:rPr>
        <w:t>八、验收</w:t>
      </w:r>
      <w:bookmarkEnd w:id="241"/>
      <w:bookmarkEnd w:id="242"/>
      <w:bookmarkEnd w:id="243"/>
      <w:bookmarkEnd w:id="244"/>
      <w:bookmarkEnd w:id="245"/>
      <w:bookmarkEnd w:id="246"/>
      <w:bookmarkEnd w:id="247"/>
      <w:bookmarkEnd w:id="248"/>
      <w:bookmarkEnd w:id="249"/>
      <w:bookmarkEnd w:id="250"/>
    </w:p>
    <w:p w14:paraId="496BAD11">
      <w:pPr>
        <w:spacing w:line="360" w:lineRule="auto"/>
        <w:ind w:firstLine="422" w:firstLineChars="200"/>
        <w:rPr>
          <w:rFonts w:hAnsi="宋体"/>
          <w:b/>
          <w:color w:val="000000"/>
        </w:rPr>
      </w:pPr>
      <w:r>
        <w:rPr>
          <w:rFonts w:hAnsi="宋体"/>
          <w:b/>
          <w:color w:val="000000"/>
        </w:rPr>
        <w:t>39.</w:t>
      </w:r>
      <w:r>
        <w:rPr>
          <w:rFonts w:hint="eastAsia" w:hAnsi="宋体"/>
          <w:b/>
          <w:color w:val="000000"/>
        </w:rPr>
        <w:t>验收</w:t>
      </w:r>
    </w:p>
    <w:p w14:paraId="3E3410D3">
      <w:pPr>
        <w:tabs>
          <w:tab w:val="left" w:pos="0"/>
        </w:tabs>
        <w:spacing w:line="360" w:lineRule="auto"/>
        <w:ind w:firstLine="480"/>
        <w:rPr>
          <w:rFonts w:ascii="宋体" w:hAnsi="宋体" w:cs="宋体"/>
        </w:rPr>
      </w:pPr>
      <w:r>
        <w:rPr>
          <w:rFonts w:hint="eastAsia" w:ascii="宋体" w:hAnsi="宋体" w:cs="宋体"/>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2D5F0FFD">
      <w:pPr>
        <w:tabs>
          <w:tab w:val="left" w:pos="0"/>
        </w:tabs>
        <w:spacing w:line="360" w:lineRule="auto"/>
        <w:ind w:firstLine="480"/>
        <w:rPr>
          <w:rFonts w:ascii="宋体" w:hAnsi="宋体" w:cs="宋体"/>
        </w:rPr>
      </w:pPr>
      <w:r>
        <w:rPr>
          <w:rFonts w:hint="eastAsia" w:ascii="宋体" w:hAnsi="宋体" w:cs="宋体"/>
        </w:rPr>
        <w:t>39.2采购人可以邀请参加本项目的其他投标人或者第三方机构参与验收。参与验收的投标人或者第三方机构的意见作为验收书的参考资料一并存档。</w:t>
      </w:r>
    </w:p>
    <w:p w14:paraId="7B53B308">
      <w:pPr>
        <w:tabs>
          <w:tab w:val="left" w:pos="0"/>
        </w:tabs>
        <w:spacing w:line="360" w:lineRule="auto"/>
        <w:ind w:firstLine="480"/>
        <w:rPr>
          <w:rFonts w:ascii="宋体" w:hAnsi="宋体" w:cs="宋体"/>
        </w:rPr>
      </w:pPr>
      <w:r>
        <w:rPr>
          <w:rFonts w:hint="eastAsia" w:ascii="宋体" w:hAnsi="宋体" w:cs="宋体"/>
        </w:rPr>
        <w:t>39.3严格按照采购合同开展履约验收。采购人成立验收小组，按照采购合同的约定对中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5969790D">
      <w:pPr>
        <w:tabs>
          <w:tab w:val="left" w:pos="0"/>
        </w:tabs>
        <w:spacing w:line="360" w:lineRule="auto"/>
        <w:ind w:firstLine="480"/>
        <w:rPr>
          <w:rFonts w:ascii="宋体" w:hAnsi="宋体" w:cs="宋体"/>
        </w:rPr>
      </w:pPr>
      <w:r>
        <w:rPr>
          <w:rFonts w:hint="eastAsia" w:ascii="宋体" w:hAnsi="宋体" w:cs="宋体"/>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6C4AE864">
      <w:pPr>
        <w:tabs>
          <w:tab w:val="left" w:pos="0"/>
        </w:tabs>
        <w:spacing w:line="360" w:lineRule="auto"/>
        <w:ind w:firstLine="480"/>
        <w:rPr>
          <w:rFonts w:hAnsi="宋体"/>
          <w:color w:val="000000"/>
        </w:rPr>
      </w:pPr>
    </w:p>
    <w:p w14:paraId="44333964">
      <w:pPr>
        <w:pStyle w:val="4"/>
        <w:keepNext w:val="0"/>
        <w:keepLines w:val="0"/>
        <w:spacing w:line="360" w:lineRule="auto"/>
        <w:jc w:val="center"/>
        <w:rPr>
          <w:rFonts w:hint="default"/>
        </w:rPr>
      </w:pPr>
      <w:bookmarkStart w:id="251" w:name="_八、其他事项"/>
      <w:bookmarkEnd w:id="251"/>
      <w:bookmarkStart w:id="252" w:name="_Toc13612"/>
      <w:bookmarkStart w:id="253" w:name="_Toc14814"/>
      <w:bookmarkStart w:id="254" w:name="_Toc31560"/>
      <w:bookmarkStart w:id="255" w:name="_Toc28972"/>
      <w:bookmarkStart w:id="256" w:name="_Toc5795"/>
      <w:bookmarkStart w:id="257" w:name="_Toc24348"/>
      <w:bookmarkStart w:id="258" w:name="_Toc13217"/>
      <w:bookmarkStart w:id="259" w:name="_Toc16509"/>
      <w:bookmarkStart w:id="260" w:name="_Toc27249"/>
      <w:bookmarkStart w:id="261" w:name="_Toc32163"/>
      <w:r>
        <w:t>九、其他事项</w:t>
      </w:r>
      <w:bookmarkEnd w:id="252"/>
      <w:bookmarkEnd w:id="253"/>
      <w:bookmarkEnd w:id="254"/>
      <w:bookmarkEnd w:id="255"/>
      <w:bookmarkEnd w:id="256"/>
      <w:bookmarkEnd w:id="257"/>
      <w:bookmarkEnd w:id="258"/>
      <w:bookmarkEnd w:id="259"/>
      <w:bookmarkEnd w:id="260"/>
      <w:bookmarkEnd w:id="261"/>
    </w:p>
    <w:p w14:paraId="0E1851E8">
      <w:pPr>
        <w:spacing w:line="360" w:lineRule="auto"/>
        <w:ind w:firstLine="480" w:firstLineChars="200"/>
        <w:rPr>
          <w:rFonts w:ascii="黑体" w:hAnsi="黑体" w:eastAsia="黑体"/>
          <w:sz w:val="24"/>
        </w:rPr>
      </w:pPr>
      <w:bookmarkStart w:id="262" w:name="_42.代理服务费"/>
      <w:bookmarkEnd w:id="262"/>
      <w:r>
        <w:rPr>
          <w:rFonts w:hint="eastAsia" w:ascii="黑体" w:hAnsi="黑体" w:eastAsia="黑体"/>
          <w:sz w:val="24"/>
        </w:rPr>
        <w:t>40.采购代理服务费</w:t>
      </w:r>
    </w:p>
    <w:p w14:paraId="5E6A8D0A">
      <w:pPr>
        <w:spacing w:line="360" w:lineRule="auto"/>
        <w:ind w:firstLine="420" w:firstLineChars="200"/>
        <w:rPr>
          <w:rFonts w:ascii="宋体" w:hAnsi="宋体"/>
          <w:b/>
          <w:szCs w:val="21"/>
        </w:rPr>
      </w:pPr>
      <w:r>
        <w:rPr>
          <w:rFonts w:hint="eastAsia" w:ascii="宋体" w:hAnsi="宋体"/>
          <w:bCs/>
          <w:szCs w:val="21"/>
        </w:rPr>
        <w:t>40.1采购代理服务费收费标准及缴费账户详见“投标人须知前附表”，投标人为联合体的，可以由联合体中的一方或者多方共同缴纳采购代理服务费。</w:t>
      </w:r>
    </w:p>
    <w:p w14:paraId="1CDC41E9">
      <w:pPr>
        <w:pStyle w:val="5"/>
        <w:keepNext w:val="0"/>
        <w:keepLines w:val="0"/>
        <w:spacing w:before="0" w:after="0" w:line="360" w:lineRule="auto"/>
        <w:ind w:left="420" w:leftChars="200"/>
        <w:rPr>
          <w:rFonts w:ascii="宋体" w:hAnsi="宋体" w:cs="宋体"/>
          <w:b w:val="0"/>
          <w:color w:val="000000"/>
          <w:sz w:val="21"/>
          <w:szCs w:val="21"/>
        </w:rPr>
      </w:pPr>
      <w:r>
        <w:rPr>
          <w:rFonts w:hint="eastAsia" w:ascii="宋体" w:hAnsi="宋体" w:cs="宋体"/>
          <w:b w:val="0"/>
          <w:color w:val="000000"/>
          <w:sz w:val="21"/>
          <w:szCs w:val="21"/>
        </w:rPr>
        <w:t>40.2采购代理服务费收费标准：</w:t>
      </w:r>
    </w:p>
    <w:tbl>
      <w:tblPr>
        <w:tblStyle w:val="23"/>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F18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C9E64CD">
            <w:pPr>
              <w:spacing w:line="360" w:lineRule="auto"/>
              <w:rPr>
                <w:rFonts w:ascii="宋体" w:hAnsi="宋体" w:cs="宋体"/>
                <w:color w:val="000000"/>
                <w:szCs w:val="21"/>
              </w:rPr>
            </w:pPr>
            <w:r>
              <w:rPr>
                <w:rFonts w:hint="eastAsia" w:ascii="宋体" w:hAnsi="宋体" w:cs="宋体"/>
                <w:color w:val="000000"/>
                <w:szCs w:val="21"/>
              </w:rPr>
              <w:t xml:space="preserve">               费率</w:t>
            </w:r>
          </w:p>
          <w:p w14:paraId="62A20437">
            <w:pPr>
              <w:spacing w:line="360" w:lineRule="auto"/>
              <w:rPr>
                <w:rFonts w:ascii="宋体" w:hAnsi="宋体" w:cs="宋体"/>
                <w:color w:val="000000"/>
                <w:szCs w:val="21"/>
              </w:rPr>
            </w:pPr>
            <w:r>
              <w:rPr>
                <w:rFonts w:hint="eastAsia" w:ascii="宋体" w:hAnsi="宋体" w:cs="宋体"/>
                <w:color w:val="000000"/>
                <w:szCs w:val="21"/>
              </w:rPr>
              <w:t>中标金额</w:t>
            </w:r>
          </w:p>
        </w:tc>
        <w:tc>
          <w:tcPr>
            <w:tcW w:w="1659" w:type="dxa"/>
            <w:vAlign w:val="center"/>
          </w:tcPr>
          <w:p w14:paraId="0F6F1425">
            <w:pPr>
              <w:spacing w:line="360" w:lineRule="auto"/>
              <w:ind w:firstLine="105" w:firstLineChars="50"/>
              <w:jc w:val="center"/>
              <w:rPr>
                <w:rFonts w:ascii="宋体" w:hAnsi="宋体" w:cs="宋体"/>
                <w:color w:val="000000"/>
                <w:szCs w:val="21"/>
              </w:rPr>
            </w:pPr>
            <w:r>
              <w:rPr>
                <w:rFonts w:hint="eastAsia" w:ascii="宋体" w:hAnsi="宋体" w:cs="宋体"/>
                <w:color w:val="000000"/>
                <w:szCs w:val="21"/>
              </w:rPr>
              <w:t>货物招标</w:t>
            </w:r>
          </w:p>
        </w:tc>
        <w:tc>
          <w:tcPr>
            <w:tcW w:w="1687" w:type="dxa"/>
            <w:vAlign w:val="center"/>
          </w:tcPr>
          <w:p w14:paraId="2BA23D26">
            <w:pPr>
              <w:spacing w:line="360" w:lineRule="auto"/>
              <w:jc w:val="center"/>
              <w:rPr>
                <w:rFonts w:ascii="宋体" w:hAnsi="宋体" w:cs="宋体"/>
                <w:color w:val="000000"/>
                <w:szCs w:val="21"/>
              </w:rPr>
            </w:pPr>
            <w:r>
              <w:rPr>
                <w:rFonts w:hint="eastAsia" w:ascii="宋体" w:hAnsi="宋体" w:cs="宋体"/>
                <w:color w:val="000000"/>
                <w:szCs w:val="21"/>
              </w:rPr>
              <w:t>服务招标</w:t>
            </w:r>
          </w:p>
        </w:tc>
        <w:tc>
          <w:tcPr>
            <w:tcW w:w="1659" w:type="dxa"/>
            <w:vAlign w:val="center"/>
          </w:tcPr>
          <w:p w14:paraId="1F77D7F9">
            <w:pPr>
              <w:spacing w:line="360" w:lineRule="auto"/>
              <w:jc w:val="center"/>
              <w:rPr>
                <w:rFonts w:ascii="宋体" w:hAnsi="宋体" w:cs="宋体"/>
                <w:color w:val="000000"/>
                <w:szCs w:val="21"/>
              </w:rPr>
            </w:pPr>
            <w:r>
              <w:rPr>
                <w:rFonts w:hint="eastAsia" w:ascii="宋体" w:hAnsi="宋体" w:cs="宋体"/>
                <w:color w:val="000000"/>
                <w:szCs w:val="21"/>
              </w:rPr>
              <w:t>工程招标</w:t>
            </w:r>
          </w:p>
        </w:tc>
      </w:tr>
      <w:tr w14:paraId="04CE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AA36EA5">
            <w:pPr>
              <w:spacing w:line="360" w:lineRule="auto"/>
              <w:rPr>
                <w:rFonts w:ascii="宋体" w:hAnsi="宋体" w:cs="宋体"/>
                <w:color w:val="000000"/>
                <w:szCs w:val="21"/>
              </w:rPr>
            </w:pPr>
            <w:r>
              <w:rPr>
                <w:rFonts w:hint="eastAsia" w:ascii="宋体" w:hAnsi="宋体" w:cs="宋体"/>
                <w:color w:val="000000"/>
                <w:szCs w:val="21"/>
              </w:rPr>
              <w:t>100万元以下</w:t>
            </w:r>
          </w:p>
        </w:tc>
        <w:tc>
          <w:tcPr>
            <w:tcW w:w="1659" w:type="dxa"/>
          </w:tcPr>
          <w:p w14:paraId="7C425FDF">
            <w:pPr>
              <w:spacing w:line="360" w:lineRule="auto"/>
              <w:rPr>
                <w:rFonts w:ascii="宋体" w:hAnsi="宋体" w:cs="宋体"/>
                <w:color w:val="000000"/>
                <w:szCs w:val="21"/>
              </w:rPr>
            </w:pPr>
            <w:r>
              <w:rPr>
                <w:rFonts w:hint="eastAsia" w:ascii="宋体" w:hAnsi="宋体" w:cs="宋体"/>
                <w:color w:val="000000"/>
                <w:kern w:val="0"/>
                <w:szCs w:val="21"/>
              </w:rPr>
              <w:t xml:space="preserve">  1.5%                </w:t>
            </w:r>
          </w:p>
        </w:tc>
        <w:tc>
          <w:tcPr>
            <w:tcW w:w="1687" w:type="dxa"/>
          </w:tcPr>
          <w:p w14:paraId="2A86914C">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1.5%</w:t>
            </w:r>
          </w:p>
        </w:tc>
        <w:tc>
          <w:tcPr>
            <w:tcW w:w="1659" w:type="dxa"/>
          </w:tcPr>
          <w:p w14:paraId="78153B72">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 xml:space="preserve">1.0% </w:t>
            </w:r>
          </w:p>
        </w:tc>
      </w:tr>
      <w:tr w14:paraId="3C1C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73754EA">
            <w:pPr>
              <w:spacing w:line="360" w:lineRule="auto"/>
              <w:rPr>
                <w:rFonts w:ascii="宋体" w:hAnsi="宋体" w:cs="宋体"/>
                <w:color w:val="000000"/>
                <w:szCs w:val="21"/>
              </w:rPr>
            </w:pPr>
            <w:r>
              <w:rPr>
                <w:rFonts w:hint="eastAsia" w:ascii="宋体" w:hAnsi="宋体" w:cs="宋体"/>
                <w:color w:val="000000"/>
                <w:szCs w:val="21"/>
              </w:rPr>
              <w:t>100～500万元</w:t>
            </w:r>
          </w:p>
        </w:tc>
        <w:tc>
          <w:tcPr>
            <w:tcW w:w="1659" w:type="dxa"/>
          </w:tcPr>
          <w:p w14:paraId="2BC7D901">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 xml:space="preserve">1.1%                 </w:t>
            </w:r>
          </w:p>
        </w:tc>
        <w:tc>
          <w:tcPr>
            <w:tcW w:w="1687" w:type="dxa"/>
          </w:tcPr>
          <w:p w14:paraId="14A1F528">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0.8%</w:t>
            </w:r>
          </w:p>
        </w:tc>
        <w:tc>
          <w:tcPr>
            <w:tcW w:w="1659" w:type="dxa"/>
          </w:tcPr>
          <w:p w14:paraId="22E6A63B">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 xml:space="preserve">0.7% </w:t>
            </w:r>
          </w:p>
        </w:tc>
      </w:tr>
      <w:tr w14:paraId="0B8B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77E81A">
            <w:pPr>
              <w:spacing w:line="360" w:lineRule="auto"/>
              <w:rPr>
                <w:rFonts w:ascii="宋体" w:hAnsi="宋体" w:cs="宋体"/>
                <w:color w:val="000000"/>
                <w:szCs w:val="21"/>
              </w:rPr>
            </w:pPr>
            <w:r>
              <w:rPr>
                <w:rFonts w:hint="eastAsia" w:ascii="宋体" w:hAnsi="宋体" w:cs="宋体"/>
                <w:color w:val="000000"/>
                <w:szCs w:val="21"/>
              </w:rPr>
              <w:t>500～1000万元</w:t>
            </w:r>
          </w:p>
        </w:tc>
        <w:tc>
          <w:tcPr>
            <w:tcW w:w="1659" w:type="dxa"/>
          </w:tcPr>
          <w:p w14:paraId="4B8440A2">
            <w:pPr>
              <w:spacing w:line="360" w:lineRule="auto"/>
              <w:rPr>
                <w:rFonts w:ascii="宋体" w:hAnsi="宋体" w:cs="宋体"/>
                <w:color w:val="000000"/>
                <w:szCs w:val="21"/>
              </w:rPr>
            </w:pPr>
            <w:r>
              <w:rPr>
                <w:rFonts w:hint="eastAsia" w:ascii="宋体" w:hAnsi="宋体" w:cs="宋体"/>
                <w:color w:val="000000"/>
                <w:kern w:val="0"/>
                <w:szCs w:val="21"/>
              </w:rPr>
              <w:t xml:space="preserve">  0.8%                </w:t>
            </w:r>
          </w:p>
        </w:tc>
        <w:tc>
          <w:tcPr>
            <w:tcW w:w="1687" w:type="dxa"/>
          </w:tcPr>
          <w:p w14:paraId="7A8B830F">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0.45%</w:t>
            </w:r>
          </w:p>
        </w:tc>
        <w:tc>
          <w:tcPr>
            <w:tcW w:w="1659" w:type="dxa"/>
          </w:tcPr>
          <w:p w14:paraId="4128BB9C">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0.55%</w:t>
            </w:r>
          </w:p>
        </w:tc>
      </w:tr>
      <w:tr w14:paraId="7970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0DD643E">
            <w:pPr>
              <w:spacing w:line="360" w:lineRule="auto"/>
              <w:rPr>
                <w:rFonts w:ascii="宋体" w:hAnsi="宋体" w:cs="宋体"/>
                <w:color w:val="000000"/>
                <w:szCs w:val="21"/>
              </w:rPr>
            </w:pPr>
            <w:r>
              <w:rPr>
                <w:rFonts w:hint="eastAsia" w:ascii="宋体" w:hAnsi="宋体" w:cs="宋体"/>
                <w:color w:val="000000"/>
                <w:szCs w:val="21"/>
              </w:rPr>
              <w:t>1000～5000万元</w:t>
            </w:r>
          </w:p>
        </w:tc>
        <w:tc>
          <w:tcPr>
            <w:tcW w:w="1659" w:type="dxa"/>
          </w:tcPr>
          <w:p w14:paraId="7D4E59CF">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 xml:space="preserve">0.5%                </w:t>
            </w:r>
          </w:p>
        </w:tc>
        <w:tc>
          <w:tcPr>
            <w:tcW w:w="1687" w:type="dxa"/>
          </w:tcPr>
          <w:p w14:paraId="23C2D456">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0.25%</w:t>
            </w:r>
          </w:p>
        </w:tc>
        <w:tc>
          <w:tcPr>
            <w:tcW w:w="1659" w:type="dxa"/>
          </w:tcPr>
          <w:p w14:paraId="5FD31F16">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 xml:space="preserve">0.35% </w:t>
            </w:r>
          </w:p>
        </w:tc>
      </w:tr>
      <w:tr w14:paraId="5742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EF70463">
            <w:pPr>
              <w:spacing w:line="360" w:lineRule="auto"/>
              <w:rPr>
                <w:rFonts w:ascii="宋体" w:hAnsi="宋体" w:cs="宋体"/>
                <w:color w:val="000000"/>
                <w:szCs w:val="21"/>
              </w:rPr>
            </w:pPr>
            <w:r>
              <w:rPr>
                <w:rFonts w:hint="eastAsia" w:ascii="宋体" w:hAnsi="宋体" w:cs="宋体"/>
                <w:color w:val="000000"/>
                <w:szCs w:val="21"/>
              </w:rPr>
              <w:t>5000万元～1亿元</w:t>
            </w:r>
          </w:p>
        </w:tc>
        <w:tc>
          <w:tcPr>
            <w:tcW w:w="1659" w:type="dxa"/>
          </w:tcPr>
          <w:p w14:paraId="2DCFC8AF">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 xml:space="preserve">0.25%                 </w:t>
            </w:r>
          </w:p>
        </w:tc>
        <w:tc>
          <w:tcPr>
            <w:tcW w:w="1687" w:type="dxa"/>
          </w:tcPr>
          <w:p w14:paraId="02EE02EF">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0.1%</w:t>
            </w:r>
          </w:p>
        </w:tc>
        <w:tc>
          <w:tcPr>
            <w:tcW w:w="1659" w:type="dxa"/>
          </w:tcPr>
          <w:p w14:paraId="19A897DE">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0.2%</w:t>
            </w:r>
          </w:p>
        </w:tc>
      </w:tr>
      <w:tr w14:paraId="1D38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ED78292">
            <w:pPr>
              <w:spacing w:line="360" w:lineRule="auto"/>
              <w:rPr>
                <w:rFonts w:ascii="宋体" w:hAnsi="宋体" w:cs="宋体"/>
                <w:color w:val="000000"/>
                <w:szCs w:val="21"/>
              </w:rPr>
            </w:pPr>
            <w:r>
              <w:rPr>
                <w:rFonts w:hint="eastAsia" w:ascii="宋体" w:hAnsi="宋体" w:cs="宋体"/>
                <w:color w:val="000000"/>
                <w:szCs w:val="21"/>
              </w:rPr>
              <w:t>1～5亿元</w:t>
            </w:r>
          </w:p>
        </w:tc>
        <w:tc>
          <w:tcPr>
            <w:tcW w:w="1659" w:type="dxa"/>
          </w:tcPr>
          <w:p w14:paraId="5079A90E">
            <w:pPr>
              <w:spacing w:line="360" w:lineRule="auto"/>
              <w:ind w:firstLine="210" w:firstLineChars="100"/>
              <w:rPr>
                <w:rFonts w:ascii="宋体" w:hAnsi="宋体" w:cs="宋体"/>
                <w:color w:val="000000"/>
                <w:szCs w:val="21"/>
              </w:rPr>
            </w:pPr>
            <w:r>
              <w:rPr>
                <w:rFonts w:hint="eastAsia" w:ascii="宋体" w:hAnsi="宋体" w:cs="宋体"/>
                <w:color w:val="000000"/>
                <w:szCs w:val="21"/>
              </w:rPr>
              <w:t>0.05%</w:t>
            </w:r>
          </w:p>
        </w:tc>
        <w:tc>
          <w:tcPr>
            <w:tcW w:w="1687" w:type="dxa"/>
          </w:tcPr>
          <w:p w14:paraId="789AA7AC">
            <w:pPr>
              <w:spacing w:line="360" w:lineRule="auto"/>
              <w:rPr>
                <w:rFonts w:ascii="宋体" w:hAnsi="宋体" w:cs="宋体"/>
                <w:color w:val="000000"/>
                <w:szCs w:val="21"/>
              </w:rPr>
            </w:pPr>
            <w:r>
              <w:rPr>
                <w:rFonts w:hint="eastAsia" w:ascii="宋体" w:hAnsi="宋体" w:cs="宋体"/>
                <w:color w:val="000000"/>
                <w:szCs w:val="21"/>
              </w:rPr>
              <w:t xml:space="preserve">  0.05%</w:t>
            </w:r>
          </w:p>
        </w:tc>
        <w:tc>
          <w:tcPr>
            <w:tcW w:w="1659" w:type="dxa"/>
          </w:tcPr>
          <w:p w14:paraId="5135A15F">
            <w:pPr>
              <w:spacing w:line="360" w:lineRule="auto"/>
              <w:rPr>
                <w:rFonts w:ascii="宋体" w:hAnsi="宋体" w:cs="宋体"/>
                <w:color w:val="000000"/>
                <w:szCs w:val="21"/>
              </w:rPr>
            </w:pPr>
            <w:r>
              <w:rPr>
                <w:rFonts w:hint="eastAsia" w:ascii="宋体" w:hAnsi="宋体" w:cs="宋体"/>
                <w:color w:val="000000"/>
                <w:szCs w:val="21"/>
              </w:rPr>
              <w:t xml:space="preserve">  0.05%</w:t>
            </w:r>
          </w:p>
        </w:tc>
      </w:tr>
      <w:tr w14:paraId="5428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B81D013">
            <w:pPr>
              <w:spacing w:line="360" w:lineRule="auto"/>
              <w:rPr>
                <w:rFonts w:ascii="宋体" w:hAnsi="宋体" w:cs="宋体"/>
                <w:color w:val="000000"/>
                <w:szCs w:val="21"/>
              </w:rPr>
            </w:pPr>
            <w:r>
              <w:rPr>
                <w:rFonts w:hint="eastAsia" w:ascii="宋体" w:hAnsi="宋体" w:cs="宋体"/>
                <w:color w:val="000000"/>
                <w:szCs w:val="21"/>
              </w:rPr>
              <w:t>5～10亿元</w:t>
            </w:r>
          </w:p>
        </w:tc>
        <w:tc>
          <w:tcPr>
            <w:tcW w:w="1659" w:type="dxa"/>
          </w:tcPr>
          <w:p w14:paraId="30065851">
            <w:pPr>
              <w:spacing w:line="360" w:lineRule="auto"/>
              <w:ind w:firstLine="105" w:firstLineChars="50"/>
              <w:rPr>
                <w:rFonts w:ascii="宋体" w:hAnsi="宋体" w:cs="宋体"/>
                <w:color w:val="000000"/>
                <w:szCs w:val="21"/>
              </w:rPr>
            </w:pPr>
            <w:r>
              <w:rPr>
                <w:rFonts w:hint="eastAsia" w:ascii="宋体" w:hAnsi="宋体" w:cs="宋体"/>
                <w:color w:val="000000"/>
                <w:szCs w:val="21"/>
              </w:rPr>
              <w:t>0.035%</w:t>
            </w:r>
          </w:p>
        </w:tc>
        <w:tc>
          <w:tcPr>
            <w:tcW w:w="1687" w:type="dxa"/>
          </w:tcPr>
          <w:p w14:paraId="2E5EE4C9">
            <w:pPr>
              <w:spacing w:line="360" w:lineRule="auto"/>
              <w:rPr>
                <w:rFonts w:ascii="宋体" w:hAnsi="宋体" w:cs="宋体"/>
                <w:color w:val="000000"/>
                <w:szCs w:val="21"/>
              </w:rPr>
            </w:pPr>
            <w:r>
              <w:rPr>
                <w:rFonts w:hint="eastAsia" w:ascii="宋体" w:hAnsi="宋体" w:cs="宋体"/>
                <w:color w:val="000000"/>
                <w:szCs w:val="21"/>
              </w:rPr>
              <w:t xml:space="preserve">  0.035%</w:t>
            </w:r>
          </w:p>
        </w:tc>
        <w:tc>
          <w:tcPr>
            <w:tcW w:w="1659" w:type="dxa"/>
          </w:tcPr>
          <w:p w14:paraId="1DB7D8D8">
            <w:pPr>
              <w:spacing w:line="360" w:lineRule="auto"/>
              <w:ind w:firstLine="105" w:firstLineChars="50"/>
              <w:rPr>
                <w:rFonts w:ascii="宋体" w:hAnsi="宋体" w:cs="宋体"/>
                <w:color w:val="000000"/>
                <w:szCs w:val="21"/>
              </w:rPr>
            </w:pPr>
            <w:r>
              <w:rPr>
                <w:rFonts w:hint="eastAsia" w:ascii="宋体" w:hAnsi="宋体" w:cs="宋体"/>
                <w:color w:val="000000"/>
                <w:szCs w:val="21"/>
              </w:rPr>
              <w:t>0.035%</w:t>
            </w:r>
          </w:p>
        </w:tc>
      </w:tr>
      <w:tr w14:paraId="3C59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85E8A96">
            <w:pPr>
              <w:spacing w:line="360" w:lineRule="auto"/>
              <w:rPr>
                <w:rFonts w:ascii="宋体" w:hAnsi="宋体" w:cs="宋体"/>
                <w:color w:val="000000"/>
                <w:szCs w:val="21"/>
              </w:rPr>
            </w:pPr>
            <w:r>
              <w:rPr>
                <w:rFonts w:hint="eastAsia" w:ascii="宋体" w:hAnsi="宋体" w:cs="宋体"/>
                <w:color w:val="000000"/>
                <w:szCs w:val="21"/>
              </w:rPr>
              <w:t>10～50亿元</w:t>
            </w:r>
          </w:p>
        </w:tc>
        <w:tc>
          <w:tcPr>
            <w:tcW w:w="1659" w:type="dxa"/>
          </w:tcPr>
          <w:p w14:paraId="4DA3B0DC">
            <w:pPr>
              <w:spacing w:line="360" w:lineRule="auto"/>
              <w:ind w:firstLine="105" w:firstLineChars="50"/>
              <w:rPr>
                <w:rFonts w:ascii="宋体" w:hAnsi="宋体" w:cs="宋体"/>
                <w:color w:val="000000"/>
                <w:szCs w:val="21"/>
              </w:rPr>
            </w:pPr>
            <w:r>
              <w:rPr>
                <w:rFonts w:hint="eastAsia" w:ascii="宋体" w:hAnsi="宋体" w:cs="宋体"/>
                <w:color w:val="000000"/>
                <w:szCs w:val="21"/>
              </w:rPr>
              <w:t>0.008%</w:t>
            </w:r>
          </w:p>
        </w:tc>
        <w:tc>
          <w:tcPr>
            <w:tcW w:w="1687" w:type="dxa"/>
          </w:tcPr>
          <w:p w14:paraId="688E2B81">
            <w:pPr>
              <w:spacing w:line="360" w:lineRule="auto"/>
              <w:ind w:firstLine="210" w:firstLineChars="100"/>
              <w:rPr>
                <w:rFonts w:ascii="宋体" w:hAnsi="宋体" w:cs="宋体"/>
                <w:color w:val="000000"/>
                <w:szCs w:val="21"/>
              </w:rPr>
            </w:pPr>
            <w:r>
              <w:rPr>
                <w:rFonts w:hint="eastAsia" w:ascii="宋体" w:hAnsi="宋体" w:cs="宋体"/>
                <w:color w:val="000000"/>
                <w:szCs w:val="21"/>
              </w:rPr>
              <w:t>0.008%</w:t>
            </w:r>
          </w:p>
        </w:tc>
        <w:tc>
          <w:tcPr>
            <w:tcW w:w="1659" w:type="dxa"/>
          </w:tcPr>
          <w:p w14:paraId="0953DD40">
            <w:pPr>
              <w:spacing w:line="360" w:lineRule="auto"/>
              <w:ind w:firstLine="105" w:firstLineChars="50"/>
              <w:rPr>
                <w:rFonts w:ascii="宋体" w:hAnsi="宋体" w:cs="宋体"/>
                <w:color w:val="000000"/>
                <w:szCs w:val="21"/>
              </w:rPr>
            </w:pPr>
            <w:r>
              <w:rPr>
                <w:rFonts w:hint="eastAsia" w:ascii="宋体" w:hAnsi="宋体" w:cs="宋体"/>
                <w:color w:val="000000"/>
                <w:szCs w:val="21"/>
              </w:rPr>
              <w:t>0.008%</w:t>
            </w:r>
          </w:p>
        </w:tc>
      </w:tr>
      <w:tr w14:paraId="1133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32DC9C1">
            <w:pPr>
              <w:spacing w:line="360" w:lineRule="auto"/>
              <w:rPr>
                <w:rFonts w:ascii="宋体" w:hAnsi="宋体" w:cs="宋体"/>
                <w:color w:val="000000"/>
                <w:szCs w:val="21"/>
              </w:rPr>
            </w:pPr>
            <w:r>
              <w:rPr>
                <w:rFonts w:hint="eastAsia" w:ascii="宋体" w:hAnsi="宋体" w:cs="宋体"/>
                <w:color w:val="000000"/>
                <w:szCs w:val="21"/>
              </w:rPr>
              <w:t>50～100亿元</w:t>
            </w:r>
          </w:p>
        </w:tc>
        <w:tc>
          <w:tcPr>
            <w:tcW w:w="1659" w:type="dxa"/>
          </w:tcPr>
          <w:p w14:paraId="3A2DC2DF">
            <w:pPr>
              <w:spacing w:line="360" w:lineRule="auto"/>
              <w:rPr>
                <w:rFonts w:ascii="宋体" w:hAnsi="宋体" w:cs="宋体"/>
                <w:color w:val="000000"/>
                <w:szCs w:val="21"/>
              </w:rPr>
            </w:pPr>
            <w:r>
              <w:rPr>
                <w:rFonts w:hint="eastAsia" w:ascii="宋体" w:hAnsi="宋体" w:cs="宋体"/>
                <w:color w:val="000000"/>
                <w:szCs w:val="21"/>
              </w:rPr>
              <w:t xml:space="preserve"> 0.006%</w:t>
            </w:r>
          </w:p>
        </w:tc>
        <w:tc>
          <w:tcPr>
            <w:tcW w:w="1687" w:type="dxa"/>
          </w:tcPr>
          <w:p w14:paraId="46BEB6B5">
            <w:pPr>
              <w:spacing w:line="360" w:lineRule="auto"/>
              <w:ind w:firstLine="210" w:firstLineChars="100"/>
              <w:rPr>
                <w:rFonts w:ascii="宋体" w:hAnsi="宋体" w:cs="宋体"/>
                <w:color w:val="000000"/>
                <w:szCs w:val="21"/>
              </w:rPr>
            </w:pPr>
            <w:r>
              <w:rPr>
                <w:rFonts w:hint="eastAsia" w:ascii="宋体" w:hAnsi="宋体" w:cs="宋体"/>
                <w:color w:val="000000"/>
                <w:szCs w:val="21"/>
              </w:rPr>
              <w:t>0.006%</w:t>
            </w:r>
          </w:p>
        </w:tc>
        <w:tc>
          <w:tcPr>
            <w:tcW w:w="1659" w:type="dxa"/>
          </w:tcPr>
          <w:p w14:paraId="0C13C156">
            <w:pPr>
              <w:spacing w:line="360" w:lineRule="auto"/>
              <w:ind w:firstLine="105" w:firstLineChars="50"/>
              <w:rPr>
                <w:rFonts w:ascii="宋体" w:hAnsi="宋体" w:cs="宋体"/>
                <w:color w:val="000000"/>
                <w:szCs w:val="21"/>
              </w:rPr>
            </w:pPr>
            <w:r>
              <w:rPr>
                <w:rFonts w:hint="eastAsia" w:ascii="宋体" w:hAnsi="宋体" w:cs="宋体"/>
                <w:color w:val="000000"/>
                <w:szCs w:val="21"/>
              </w:rPr>
              <w:t>0.006%</w:t>
            </w:r>
          </w:p>
        </w:tc>
      </w:tr>
      <w:tr w14:paraId="70C3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086072E">
            <w:pPr>
              <w:spacing w:line="360" w:lineRule="auto"/>
              <w:rPr>
                <w:rFonts w:ascii="宋体" w:hAnsi="宋体" w:cs="宋体"/>
                <w:color w:val="000000"/>
                <w:szCs w:val="21"/>
              </w:rPr>
            </w:pPr>
            <w:r>
              <w:rPr>
                <w:rFonts w:hint="eastAsia" w:ascii="宋体" w:hAnsi="宋体" w:cs="宋体"/>
                <w:color w:val="000000"/>
                <w:szCs w:val="21"/>
              </w:rPr>
              <w:t>100亿元以上</w:t>
            </w:r>
          </w:p>
        </w:tc>
        <w:tc>
          <w:tcPr>
            <w:tcW w:w="1659" w:type="dxa"/>
          </w:tcPr>
          <w:p w14:paraId="66C541C2">
            <w:pPr>
              <w:spacing w:line="360" w:lineRule="auto"/>
              <w:rPr>
                <w:rFonts w:ascii="宋体" w:hAnsi="宋体" w:cs="宋体"/>
                <w:color w:val="000000"/>
                <w:szCs w:val="21"/>
              </w:rPr>
            </w:pPr>
            <w:r>
              <w:rPr>
                <w:rFonts w:hint="eastAsia" w:ascii="宋体" w:hAnsi="宋体" w:cs="宋体"/>
                <w:color w:val="000000"/>
                <w:szCs w:val="21"/>
              </w:rPr>
              <w:t xml:space="preserve"> 0.004%</w:t>
            </w:r>
          </w:p>
        </w:tc>
        <w:tc>
          <w:tcPr>
            <w:tcW w:w="1687" w:type="dxa"/>
          </w:tcPr>
          <w:p w14:paraId="30541613">
            <w:pPr>
              <w:spacing w:line="360" w:lineRule="auto"/>
              <w:ind w:firstLine="210" w:firstLineChars="100"/>
              <w:rPr>
                <w:rFonts w:ascii="宋体" w:hAnsi="宋体" w:cs="宋体"/>
                <w:color w:val="000000"/>
                <w:szCs w:val="21"/>
              </w:rPr>
            </w:pPr>
            <w:r>
              <w:rPr>
                <w:rFonts w:hint="eastAsia" w:ascii="宋体" w:hAnsi="宋体" w:cs="宋体"/>
                <w:color w:val="000000"/>
                <w:szCs w:val="21"/>
              </w:rPr>
              <w:t>0.004%</w:t>
            </w:r>
          </w:p>
        </w:tc>
        <w:tc>
          <w:tcPr>
            <w:tcW w:w="1659" w:type="dxa"/>
          </w:tcPr>
          <w:p w14:paraId="39FB62F8">
            <w:pPr>
              <w:spacing w:line="360" w:lineRule="auto"/>
              <w:ind w:firstLine="105" w:firstLineChars="50"/>
              <w:rPr>
                <w:rFonts w:ascii="宋体" w:hAnsi="宋体" w:cs="宋体"/>
                <w:color w:val="000000"/>
                <w:szCs w:val="21"/>
              </w:rPr>
            </w:pPr>
            <w:r>
              <w:rPr>
                <w:rFonts w:hint="eastAsia" w:ascii="宋体" w:hAnsi="宋体" w:cs="宋体"/>
                <w:color w:val="000000"/>
                <w:szCs w:val="21"/>
              </w:rPr>
              <w:t>0.004%</w:t>
            </w:r>
          </w:p>
        </w:tc>
      </w:tr>
    </w:tbl>
    <w:p w14:paraId="6D75072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注: </w:t>
      </w:r>
    </w:p>
    <w:p w14:paraId="61DE5126">
      <w:pPr>
        <w:spacing w:line="360" w:lineRule="auto"/>
        <w:ind w:firstLine="420" w:firstLineChars="200"/>
        <w:rPr>
          <w:rFonts w:ascii="宋体" w:hAnsi="宋体" w:cs="宋体"/>
          <w:color w:val="000000"/>
          <w:szCs w:val="21"/>
        </w:rPr>
      </w:pPr>
      <w:r>
        <w:rPr>
          <w:rFonts w:hint="eastAsia" w:ascii="宋体" w:hAnsi="宋体" w:cs="宋体"/>
          <w:color w:val="000000"/>
          <w:szCs w:val="21"/>
        </w:rPr>
        <w:t>（1）按本表费率计算的收费为采购代理的收费基准价格；</w:t>
      </w:r>
    </w:p>
    <w:p w14:paraId="5E0CE17B">
      <w:pPr>
        <w:spacing w:line="360" w:lineRule="auto"/>
        <w:ind w:firstLine="420" w:firstLineChars="200"/>
        <w:rPr>
          <w:rFonts w:ascii="宋体" w:hAnsi="宋体" w:cs="宋体"/>
          <w:color w:val="000000"/>
          <w:szCs w:val="21"/>
        </w:rPr>
      </w:pPr>
      <w:r>
        <w:rPr>
          <w:rFonts w:hint="eastAsia" w:ascii="宋体" w:hAnsi="宋体" w:cs="宋体"/>
          <w:color w:val="000000"/>
          <w:szCs w:val="21"/>
        </w:rPr>
        <w:t>（2）采购代理收费按差额定率累进法计算。</w:t>
      </w:r>
    </w:p>
    <w:p w14:paraId="40E3A164">
      <w:pPr>
        <w:spacing w:line="360" w:lineRule="auto"/>
        <w:ind w:firstLine="420" w:firstLineChars="200"/>
        <w:rPr>
          <w:rFonts w:ascii="宋体" w:hAnsi="宋体" w:cs="宋体"/>
          <w:color w:val="000000"/>
          <w:szCs w:val="21"/>
        </w:rPr>
      </w:pPr>
      <w:r>
        <w:rPr>
          <w:rFonts w:hint="eastAsia" w:ascii="宋体" w:hAnsi="宋体" w:cs="宋体"/>
          <w:color w:val="000000"/>
          <w:szCs w:val="21"/>
        </w:rPr>
        <w:t>例如：某服务采购代理业务中标金额或者暂定价为200万元，计算采购代理收费额如下：</w:t>
      </w:r>
    </w:p>
    <w:p w14:paraId="5525F207">
      <w:pPr>
        <w:spacing w:line="360" w:lineRule="auto"/>
        <w:ind w:firstLine="420" w:firstLineChars="200"/>
        <w:rPr>
          <w:rFonts w:ascii="宋体" w:hAnsi="宋体" w:cs="宋体"/>
          <w:color w:val="000000"/>
          <w:szCs w:val="21"/>
        </w:rPr>
      </w:pPr>
      <w:r>
        <w:rPr>
          <w:rFonts w:hint="eastAsia" w:ascii="宋体" w:hAnsi="宋体" w:cs="宋体"/>
          <w:color w:val="000000"/>
          <w:szCs w:val="21"/>
        </w:rPr>
        <w:t>100 万元×l.5 ％＝ 1.5 万元</w:t>
      </w:r>
    </w:p>
    <w:p w14:paraId="6C198021">
      <w:pPr>
        <w:spacing w:line="360" w:lineRule="auto"/>
        <w:ind w:firstLine="420" w:firstLineChars="200"/>
        <w:rPr>
          <w:rFonts w:ascii="宋体" w:hAnsi="宋体" w:cs="宋体"/>
          <w:color w:val="000000"/>
          <w:szCs w:val="21"/>
        </w:rPr>
      </w:pPr>
      <w:r>
        <w:rPr>
          <w:rFonts w:hint="eastAsia" w:ascii="宋体" w:hAnsi="宋体" w:cs="宋体"/>
          <w:color w:val="000000"/>
          <w:szCs w:val="21"/>
        </w:rPr>
        <w:t>（ 200 － 100 ）万元 ×0.8％＝0.8万元</w:t>
      </w:r>
    </w:p>
    <w:p w14:paraId="1588956F">
      <w:pPr>
        <w:pStyle w:val="13"/>
        <w:snapToGrid w:val="0"/>
        <w:spacing w:before="120" w:after="120" w:line="360" w:lineRule="auto"/>
        <w:ind w:firstLine="420" w:firstLineChars="200"/>
        <w:rPr>
          <w:rFonts w:hAnsi="宋体" w:cs="宋体"/>
          <w:color w:val="000000"/>
        </w:rPr>
      </w:pPr>
      <w:r>
        <w:rPr>
          <w:rFonts w:hint="eastAsia" w:hAnsi="宋体" w:cs="宋体"/>
          <w:color w:val="000000"/>
        </w:rPr>
        <w:t>合计收费＝ 1.5+0.8＝ 2.3（万元）</w:t>
      </w:r>
    </w:p>
    <w:p w14:paraId="6EB674E8">
      <w:pPr>
        <w:pStyle w:val="14"/>
      </w:pPr>
    </w:p>
    <w:p w14:paraId="20BAC8C2">
      <w:pPr>
        <w:spacing w:line="360" w:lineRule="auto"/>
        <w:ind w:firstLine="480" w:firstLineChars="200"/>
        <w:rPr>
          <w:rFonts w:ascii="黑体" w:hAnsi="黑体" w:eastAsia="黑体"/>
          <w:sz w:val="24"/>
        </w:rPr>
      </w:pPr>
      <w:r>
        <w:rPr>
          <w:rFonts w:hint="eastAsia" w:ascii="黑体" w:hAnsi="黑体" w:eastAsia="黑体"/>
          <w:sz w:val="24"/>
        </w:rPr>
        <w:t>41. 需要补充的其他内容</w:t>
      </w:r>
    </w:p>
    <w:p w14:paraId="31A5406D">
      <w:pPr>
        <w:spacing w:line="360" w:lineRule="auto"/>
        <w:ind w:firstLine="420" w:firstLineChars="200"/>
        <w:rPr>
          <w:rFonts w:ascii="宋体" w:hAnsi="宋体" w:cs="宋体"/>
        </w:rPr>
      </w:pPr>
      <w:r>
        <w:rPr>
          <w:rFonts w:hint="eastAsia" w:ascii="宋体" w:hAnsi="宋体" w:cs="宋体"/>
        </w:rPr>
        <w:t>41.1本招标文件解释规则详见“投标人须知前附表”。</w:t>
      </w:r>
    </w:p>
    <w:p w14:paraId="038A3CBA">
      <w:pPr>
        <w:spacing w:line="360" w:lineRule="auto"/>
        <w:ind w:firstLine="420" w:firstLineChars="200"/>
        <w:rPr>
          <w:rFonts w:ascii="宋体" w:hAnsi="宋体" w:cs="宋体"/>
        </w:rPr>
      </w:pPr>
      <w:r>
        <w:rPr>
          <w:rFonts w:hint="eastAsia" w:ascii="宋体" w:hAnsi="宋体" w:cs="宋体"/>
        </w:rPr>
        <w:t>41.2 其他事项详见“投标人须知前附表”。</w:t>
      </w:r>
    </w:p>
    <w:p w14:paraId="33382A49">
      <w:pPr>
        <w:spacing w:line="360" w:lineRule="auto"/>
        <w:ind w:firstLine="420" w:firstLineChars="200"/>
        <w:rPr>
          <w:rFonts w:ascii="宋体" w:hAnsi="宋体" w:cs="宋体"/>
        </w:rPr>
      </w:pPr>
      <w:r>
        <w:rPr>
          <w:rFonts w:hint="eastAsia" w:ascii="宋体" w:hAnsi="宋体" w:cs="宋体"/>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服务的人员为中小企业依照《中华人民共和国劳动合同法》订立劳动合同的从业人员，不对其中涉及的货物的制造商和工程承建商作出要求的，享受本文件规定的中小企业扶持政策。</w:t>
      </w:r>
    </w:p>
    <w:p w14:paraId="5B46E3D3">
      <w:pPr>
        <w:spacing w:line="360" w:lineRule="auto"/>
        <w:ind w:firstLine="420" w:firstLineChars="200"/>
        <w:rPr>
          <w:rFonts w:ascii="宋体" w:hAnsi="宋体" w:cs="宋体"/>
        </w:rPr>
      </w:pPr>
      <w:r>
        <w:rPr>
          <w:rFonts w:hint="eastAsia" w:ascii="宋体" w:hAnsi="宋体" w:cs="宋体"/>
        </w:rPr>
        <w:t>以联合体形式参加政府采购活动，联合体各方均为中小企业的，联合体视同中小企业。其中，联合体各方均为小微企业的，联合体视同小微企业。</w:t>
      </w:r>
    </w:p>
    <w:p w14:paraId="50DD0CE8">
      <w:pPr>
        <w:spacing w:line="360" w:lineRule="auto"/>
        <w:ind w:firstLine="420" w:firstLineChars="200"/>
        <w:rPr>
          <w:rFonts w:ascii="宋体" w:hAnsi="宋体" w:cs="宋体"/>
        </w:rPr>
      </w:pPr>
      <w:r>
        <w:rPr>
          <w:rFonts w:hint="eastAsia" w:ascii="宋体" w:hAnsi="宋体" w:cs="宋体"/>
        </w:rPr>
        <w:t>依据本文件规定享受扶持政策获得政府采购合同的，小微企业不得将合同分包给大中型企业，中型企业不得将合同分包给大型企业。</w:t>
      </w:r>
    </w:p>
    <w:p w14:paraId="1611358F">
      <w:pPr>
        <w:spacing w:line="360" w:lineRule="auto"/>
        <w:ind w:firstLine="480" w:firstLineChars="200"/>
        <w:rPr>
          <w:rFonts w:ascii="宋体" w:hAnsi="宋体" w:cs="宋体"/>
          <w:sz w:val="24"/>
        </w:rPr>
      </w:pPr>
      <w:r>
        <w:rPr>
          <w:rFonts w:hint="eastAsia" w:ascii="宋体" w:hAnsi="宋体" w:cs="宋体"/>
          <w:sz w:val="24"/>
        </w:rPr>
        <w:t>42. 广西线上“政采贷”政策告知函</w:t>
      </w:r>
    </w:p>
    <w:p w14:paraId="655D22CC">
      <w:pPr>
        <w:spacing w:line="580" w:lineRule="exact"/>
        <w:jc w:val="center"/>
        <w:rPr>
          <w:rFonts w:ascii="宋体" w:hAnsi="宋体" w:cs="宋体"/>
          <w:sz w:val="44"/>
          <w:szCs w:val="44"/>
        </w:rPr>
      </w:pPr>
    </w:p>
    <w:p w14:paraId="085A3551">
      <w:pPr>
        <w:spacing w:line="580" w:lineRule="exact"/>
        <w:jc w:val="center"/>
        <w:rPr>
          <w:rFonts w:ascii="宋体" w:hAnsi="宋体" w:cs="宋体"/>
          <w:sz w:val="32"/>
          <w:szCs w:val="32"/>
        </w:rPr>
      </w:pPr>
      <w:r>
        <w:rPr>
          <w:rFonts w:hint="eastAsia" w:ascii="宋体" w:hAnsi="宋体" w:cs="宋体"/>
          <w:sz w:val="32"/>
          <w:szCs w:val="32"/>
        </w:rPr>
        <w:t>广西线上“政采贷”政策告知函</w:t>
      </w:r>
    </w:p>
    <w:p w14:paraId="62C02A9F">
      <w:pPr>
        <w:spacing w:line="580" w:lineRule="exact"/>
        <w:ind w:firstLine="420" w:firstLineChars="200"/>
        <w:rPr>
          <w:rFonts w:ascii="宋体" w:hAnsi="宋体" w:cs="宋体"/>
          <w:szCs w:val="32"/>
        </w:rPr>
      </w:pPr>
    </w:p>
    <w:p w14:paraId="07104007">
      <w:pPr>
        <w:spacing w:line="580" w:lineRule="exact"/>
        <w:rPr>
          <w:rFonts w:ascii="宋体" w:hAnsi="宋体" w:cs="宋体"/>
          <w:szCs w:val="21"/>
        </w:rPr>
      </w:pPr>
      <w:r>
        <w:rPr>
          <w:rFonts w:hint="eastAsia" w:ascii="宋体" w:hAnsi="宋体" w:cs="宋体"/>
          <w:szCs w:val="21"/>
        </w:rPr>
        <w:t>各供应商：</w:t>
      </w:r>
    </w:p>
    <w:p w14:paraId="19C7D267">
      <w:pPr>
        <w:spacing w:line="580" w:lineRule="exact"/>
        <w:ind w:firstLine="420" w:firstLineChars="200"/>
        <w:rPr>
          <w:rFonts w:ascii="宋体" w:hAnsi="宋体" w:cs="宋体"/>
          <w:szCs w:val="21"/>
        </w:rPr>
      </w:pPr>
      <w:r>
        <w:rPr>
          <w:rFonts w:hint="eastAsia" w:ascii="宋体" w:hAnsi="宋体" w:cs="宋体"/>
          <w:szCs w:val="21"/>
        </w:rPr>
        <w:t>欢迎贵公司参与广西政府采购活动！</w:t>
      </w:r>
    </w:p>
    <w:p w14:paraId="292237D7">
      <w:pPr>
        <w:spacing w:line="580" w:lineRule="exact"/>
        <w:ind w:firstLine="420" w:firstLineChars="200"/>
        <w:rPr>
          <w:rFonts w:ascii="宋体" w:hAnsi="宋体" w:cs="宋体"/>
          <w:szCs w:val="21"/>
        </w:rPr>
      </w:pPr>
      <w:r>
        <w:rPr>
          <w:rFonts w:hint="eastAsia" w:ascii="宋体" w:hAnsi="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E234F01">
      <w:pPr>
        <w:spacing w:line="580" w:lineRule="exact"/>
        <w:ind w:firstLine="420" w:firstLineChars="200"/>
        <w:rPr>
          <w:rFonts w:ascii="宋体" w:hAnsi="宋体" w:cs="宋体"/>
          <w:szCs w:val="21"/>
        </w:rPr>
      </w:pPr>
      <w:r>
        <w:rPr>
          <w:rFonts w:hint="eastAsia" w:ascii="宋体" w:hAnsi="宋体" w:cs="宋体"/>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Style w:val="28"/>
          <w:rFonts w:hint="default" w:ascii="宋体" w:hAnsi="宋体" w:eastAsia="宋体" w:cs="宋体"/>
          <w:color w:val="auto"/>
          <w:szCs w:val="21"/>
        </w:rPr>
        <w:t>https://www.crcrfsp.com/</w:t>
      </w:r>
      <w:r>
        <w:rPr>
          <w:rStyle w:val="28"/>
          <w:rFonts w:hint="default" w:ascii="宋体" w:hAnsi="宋体" w:eastAsia="宋体" w:cs="宋体"/>
          <w:color w:val="auto"/>
          <w:szCs w:val="21"/>
        </w:rPr>
        <w:fldChar w:fldCharType="end"/>
      </w:r>
      <w:r>
        <w:rPr>
          <w:rFonts w:hint="eastAsia" w:ascii="宋体" w:hAnsi="宋体" w:cs="宋体"/>
          <w:szCs w:val="21"/>
        </w:rPr>
        <w:t>，客服电话：400-009-0001）。</w:t>
      </w:r>
    </w:p>
    <w:p w14:paraId="7CC7D5CC">
      <w:pPr>
        <w:numPr>
          <w:ilvl w:val="0"/>
          <w:numId w:val="1"/>
        </w:numPr>
        <w:spacing w:line="360" w:lineRule="auto"/>
        <w:ind w:firstLine="420" w:firstLineChars="200"/>
        <w:jc w:val="left"/>
        <w:rPr>
          <w:rFonts w:hAnsi="宋体"/>
        </w:rPr>
      </w:pPr>
      <w:r>
        <w:rPr>
          <w:rFonts w:hAnsi="宋体"/>
        </w:rPr>
        <w:br w:type="page"/>
      </w:r>
      <w:bookmarkStart w:id="263" w:name="_Toc532545043"/>
    </w:p>
    <w:p w14:paraId="026B1399">
      <w:pPr>
        <w:pStyle w:val="13"/>
        <w:jc w:val="center"/>
        <w:outlineLvl w:val="0"/>
        <w:rPr>
          <w:rFonts w:ascii="Times New Roman" w:hAnsi="Times New Roman"/>
          <w:b/>
          <w:sz w:val="36"/>
        </w:rPr>
      </w:pPr>
      <w:bookmarkStart w:id="264" w:name="_Toc14666"/>
      <w:bookmarkStart w:id="265" w:name="_Toc26567"/>
      <w:bookmarkStart w:id="266" w:name="_Toc12751"/>
      <w:bookmarkStart w:id="267" w:name="_Toc18631"/>
      <w:bookmarkStart w:id="268" w:name="_Toc2789"/>
      <w:bookmarkStart w:id="269" w:name="_Toc31952"/>
      <w:bookmarkStart w:id="270" w:name="_Toc11694"/>
      <w:bookmarkStart w:id="271" w:name="_Toc24569"/>
      <w:bookmarkStart w:id="272" w:name="_Toc10034"/>
      <w:bookmarkStart w:id="273" w:name="_Toc3584"/>
      <w:bookmarkStart w:id="274" w:name="_Toc10118"/>
      <w:bookmarkStart w:id="275" w:name="_Toc19117"/>
      <w:bookmarkStart w:id="276" w:name="_Toc28468"/>
      <w:r>
        <w:rPr>
          <w:rFonts w:hint="eastAsia" w:ascii="Times New Roman" w:hAnsi="Times New Roman"/>
          <w:b/>
          <w:sz w:val="36"/>
        </w:rPr>
        <w:t>第四章</w:t>
      </w:r>
      <w:r>
        <w:rPr>
          <w:rFonts w:ascii="Times New Roman" w:hAnsi="Times New Roman"/>
          <w:b/>
          <w:sz w:val="36"/>
        </w:rPr>
        <w:t xml:space="preserve">  </w:t>
      </w:r>
      <w:bookmarkEnd w:id="263"/>
      <w:bookmarkEnd w:id="264"/>
      <w:bookmarkEnd w:id="265"/>
      <w:bookmarkEnd w:id="266"/>
      <w:bookmarkEnd w:id="267"/>
      <w:bookmarkEnd w:id="268"/>
      <w:bookmarkEnd w:id="269"/>
      <w:bookmarkEnd w:id="270"/>
      <w:bookmarkEnd w:id="271"/>
      <w:r>
        <w:rPr>
          <w:rFonts w:hint="eastAsia" w:ascii="Times New Roman" w:hAnsi="Times New Roman"/>
          <w:b/>
          <w:sz w:val="36"/>
        </w:rPr>
        <w:t>评标方法和评标标准</w:t>
      </w:r>
      <w:bookmarkEnd w:id="272"/>
      <w:bookmarkEnd w:id="273"/>
      <w:bookmarkEnd w:id="274"/>
      <w:bookmarkEnd w:id="275"/>
      <w:bookmarkEnd w:id="276"/>
    </w:p>
    <w:p w14:paraId="124C7251">
      <w:pPr>
        <w:pStyle w:val="13"/>
        <w:jc w:val="center"/>
        <w:outlineLvl w:val="1"/>
        <w:rPr>
          <w:rFonts w:ascii="Times New Roman" w:hAnsi="Times New Roman"/>
          <w:b/>
          <w:bCs/>
          <w:color w:val="000000"/>
          <w:sz w:val="32"/>
          <w:szCs w:val="32"/>
        </w:rPr>
      </w:pPr>
      <w:bookmarkStart w:id="277" w:name="_Toc28945"/>
      <w:bookmarkStart w:id="278" w:name="_Toc6104"/>
      <w:bookmarkStart w:id="279" w:name="_Toc14342"/>
      <w:bookmarkStart w:id="280" w:name="_Toc28074"/>
      <w:bookmarkStart w:id="281" w:name="_Toc20519"/>
      <w:bookmarkStart w:id="282" w:name="_Toc9604"/>
      <w:bookmarkStart w:id="283" w:name="_Toc12345"/>
      <w:bookmarkStart w:id="284" w:name="_Toc29945"/>
      <w:bookmarkStart w:id="285" w:name="_Toc5889"/>
      <w:bookmarkStart w:id="286" w:name="_Toc3574"/>
      <w:r>
        <w:rPr>
          <w:rFonts w:hint="eastAsia" w:ascii="Times New Roman" w:hAnsi="Times New Roman"/>
          <w:b/>
          <w:bCs/>
          <w:color w:val="000000"/>
          <w:sz w:val="32"/>
          <w:szCs w:val="32"/>
        </w:rPr>
        <w:t>第一节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评标方法</w:t>
      </w:r>
      <w:bookmarkEnd w:id="277"/>
      <w:bookmarkEnd w:id="278"/>
      <w:bookmarkEnd w:id="279"/>
      <w:bookmarkEnd w:id="280"/>
      <w:bookmarkEnd w:id="281"/>
      <w:bookmarkEnd w:id="282"/>
      <w:bookmarkEnd w:id="283"/>
      <w:bookmarkEnd w:id="284"/>
      <w:bookmarkEnd w:id="285"/>
      <w:bookmarkEnd w:id="286"/>
    </w:p>
    <w:p w14:paraId="4BFB7384">
      <w:pPr>
        <w:pStyle w:val="13"/>
        <w:tabs>
          <w:tab w:val="left" w:pos="2472"/>
        </w:tabs>
        <w:spacing w:line="460" w:lineRule="exact"/>
        <w:ind w:firstLine="420" w:firstLineChars="200"/>
        <w:rPr>
          <w:color w:val="FF0000"/>
          <w:szCs w:val="21"/>
        </w:rPr>
      </w:pPr>
      <w:r>
        <w:rPr>
          <w:rFonts w:hint="eastAsia" w:hAnsi="宋体" w:cs="宋体"/>
          <w:szCs w:val="21"/>
        </w:rPr>
        <w:t>本项目采用</w:t>
      </w:r>
      <w:r>
        <w:rPr>
          <w:rFonts w:hint="eastAsia" w:hAnsi="宋体" w:cs="宋体"/>
          <w:szCs w:val="21"/>
          <w:u w:val="single"/>
        </w:rPr>
        <w:t xml:space="preserve"> 以下勾选的方式</w:t>
      </w:r>
      <w:r>
        <w:rPr>
          <w:rFonts w:hint="eastAsia" w:hAnsi="宋体" w:cs="宋体"/>
          <w:szCs w:val="21"/>
        </w:rPr>
        <w:t>进行评审。</w:t>
      </w:r>
    </w:p>
    <w:p w14:paraId="21592C44">
      <w:pPr>
        <w:pStyle w:val="13"/>
        <w:spacing w:line="360" w:lineRule="auto"/>
        <w:ind w:firstLine="420"/>
        <w:rPr>
          <w:rFonts w:hAnsi="宋体"/>
          <w:color w:val="000000"/>
        </w:rPr>
      </w:pPr>
      <w:r>
        <w:rPr>
          <w:rFonts w:hint="eastAsia" w:hAnsi="宋体"/>
          <w:color w:val="000000"/>
          <w:szCs w:val="21"/>
        </w:rPr>
        <w:t>□最低评标价法，是指投标文件满足招标文件</w:t>
      </w:r>
      <w:r>
        <w:rPr>
          <w:rFonts w:hint="eastAsia" w:hAnsi="宋体"/>
          <w:color w:val="000000"/>
        </w:rPr>
        <w:t>全部实质性要求，且投标报价最低的投标人为中标候选人的评标方法。</w:t>
      </w:r>
    </w:p>
    <w:p w14:paraId="6C5FB045">
      <w:pPr>
        <w:autoSpaceDE w:val="0"/>
        <w:autoSpaceDN w:val="0"/>
        <w:adjustRightInd w:val="0"/>
        <w:spacing w:line="440" w:lineRule="exact"/>
        <w:ind w:firstLine="420" w:firstLineChars="200"/>
        <w:rPr>
          <w:rFonts w:ascii="宋体" w:hAnsi="宋体"/>
          <w:sz w:val="24"/>
        </w:rPr>
      </w:pPr>
      <w:r>
        <w:rPr>
          <w:rFonts w:hint="eastAsia" w:hAnsi="宋体"/>
          <w:color w:val="000000"/>
        </w:rPr>
        <w:t>☑综合评分法，</w:t>
      </w:r>
      <w:r>
        <w:rPr>
          <w:rFonts w:hint="eastAsia" w:ascii="宋体" w:hAnsi="宋体"/>
          <w:color w:val="000000"/>
          <w:szCs w:val="20"/>
        </w:rPr>
        <w:t xml:space="preserve">是指投标文件满足招标文件全部实质性要求，且按照评审因素的量化指标评审得分最高的投标人为中标候选人的评标方法。评标委员会将对各投标人的投标文件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投标人须知前附表”规定的方式排列。 </w:t>
      </w:r>
    </w:p>
    <w:p w14:paraId="60636C08">
      <w:pPr>
        <w:pStyle w:val="13"/>
        <w:spacing w:line="360" w:lineRule="auto"/>
        <w:ind w:firstLine="420"/>
        <w:rPr>
          <w:rFonts w:hAnsi="宋体"/>
          <w:color w:val="000000"/>
        </w:rPr>
      </w:pPr>
    </w:p>
    <w:p w14:paraId="417AB01C">
      <w:pPr>
        <w:pStyle w:val="13"/>
        <w:tabs>
          <w:tab w:val="left" w:pos="2472"/>
        </w:tabs>
        <w:spacing w:line="460" w:lineRule="exact"/>
        <w:jc w:val="center"/>
        <w:outlineLvl w:val="1"/>
        <w:rPr>
          <w:rFonts w:ascii="Times New Roman" w:hAnsi="Times New Roman"/>
          <w:b/>
          <w:bCs/>
          <w:color w:val="000000"/>
          <w:sz w:val="32"/>
          <w:szCs w:val="32"/>
        </w:rPr>
      </w:pPr>
      <w:bookmarkStart w:id="287" w:name="_Toc30114"/>
      <w:bookmarkStart w:id="288" w:name="_Toc9023"/>
      <w:bookmarkStart w:id="289" w:name="_Toc23151"/>
      <w:bookmarkStart w:id="290" w:name="_Toc1643"/>
      <w:bookmarkStart w:id="291" w:name="_Toc10545"/>
      <w:bookmarkStart w:id="292" w:name="_Toc9259"/>
      <w:bookmarkStart w:id="293" w:name="_Toc4190"/>
      <w:bookmarkStart w:id="294" w:name="_Toc24507"/>
      <w:bookmarkStart w:id="295" w:name="_Toc18477"/>
      <w:bookmarkStart w:id="296" w:name="_Toc588"/>
      <w:r>
        <w:rPr>
          <w:rFonts w:hint="eastAsia" w:ascii="Times New Roman" w:hAnsi="Times New Roman"/>
          <w:b/>
          <w:bCs/>
          <w:color w:val="000000"/>
          <w:sz w:val="32"/>
          <w:szCs w:val="32"/>
        </w:rPr>
        <w:t>第二节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评标程序</w:t>
      </w:r>
      <w:bookmarkEnd w:id="287"/>
      <w:bookmarkEnd w:id="288"/>
      <w:bookmarkEnd w:id="289"/>
      <w:bookmarkEnd w:id="290"/>
      <w:bookmarkEnd w:id="291"/>
      <w:bookmarkEnd w:id="292"/>
      <w:bookmarkEnd w:id="293"/>
      <w:bookmarkEnd w:id="294"/>
      <w:bookmarkEnd w:id="295"/>
      <w:bookmarkEnd w:id="296"/>
    </w:p>
    <w:p w14:paraId="524F4400">
      <w:pPr>
        <w:spacing w:line="360" w:lineRule="auto"/>
        <w:ind w:firstLine="422" w:firstLineChars="200"/>
        <w:rPr>
          <w:rFonts w:ascii="宋体" w:hAnsi="宋体"/>
          <w:b/>
          <w:color w:val="000000"/>
          <w:szCs w:val="21"/>
        </w:rPr>
      </w:pPr>
      <w:r>
        <w:rPr>
          <w:rFonts w:hint="eastAsia" w:ascii="宋体" w:hAnsi="宋体"/>
          <w:b/>
          <w:color w:val="000000"/>
          <w:szCs w:val="21"/>
        </w:rPr>
        <w:t>1.符合性审查</w:t>
      </w:r>
    </w:p>
    <w:p w14:paraId="05A645D6">
      <w:pPr>
        <w:spacing w:line="360" w:lineRule="auto"/>
        <w:ind w:firstLine="420" w:firstLineChars="200"/>
        <w:rPr>
          <w:rFonts w:hAnsi="宋体"/>
          <w:color w:val="000000"/>
        </w:rPr>
      </w:pPr>
      <w:r>
        <w:rPr>
          <w:rFonts w:hint="eastAsia" w:hAnsi="宋体"/>
          <w:color w:val="000000"/>
        </w:rPr>
        <w:t>评标委员会应当对符合资格的投标人的投标文件进行投标报价、商务、技术等实质性内容符合性审查，以确定其是否满足招标文件的实质性要求。</w:t>
      </w:r>
    </w:p>
    <w:p w14:paraId="0FCE3A1C">
      <w:pPr>
        <w:spacing w:line="360" w:lineRule="auto"/>
        <w:ind w:firstLine="422" w:firstLineChars="200"/>
        <w:rPr>
          <w:rFonts w:ascii="宋体" w:hAnsi="宋体"/>
          <w:b/>
          <w:color w:val="000000"/>
          <w:szCs w:val="21"/>
        </w:rPr>
      </w:pPr>
      <w:r>
        <w:rPr>
          <w:rFonts w:hint="eastAsia" w:ascii="宋体" w:hAnsi="宋体"/>
          <w:b/>
          <w:color w:val="000000"/>
          <w:szCs w:val="21"/>
        </w:rPr>
        <w:t>2.符合性审查不通过而导致投标无效的情形</w:t>
      </w:r>
    </w:p>
    <w:p w14:paraId="23886554">
      <w:pPr>
        <w:spacing w:line="360" w:lineRule="auto"/>
        <w:ind w:firstLine="420" w:firstLineChars="200"/>
        <w:rPr>
          <w:rFonts w:ascii="宋体" w:hAnsi="宋体"/>
          <w:color w:val="000000"/>
          <w:szCs w:val="21"/>
        </w:rPr>
      </w:pPr>
      <w:r>
        <w:rPr>
          <w:rFonts w:hint="eastAsia" w:ascii="宋体" w:hAnsi="宋体"/>
          <w:color w:val="000000"/>
          <w:szCs w:val="21"/>
        </w:rPr>
        <w:t>投标人的投标文件中存在对招标文件的任何实质性要求和条件的负偏离，将被视为投标无效。</w:t>
      </w:r>
    </w:p>
    <w:p w14:paraId="18CBEB9E">
      <w:pPr>
        <w:spacing w:line="360" w:lineRule="auto"/>
        <w:ind w:firstLine="420" w:firstLineChars="200"/>
        <w:rPr>
          <w:rFonts w:ascii="宋体" w:hAnsi="宋体"/>
          <w:color w:val="000000"/>
          <w:szCs w:val="21"/>
        </w:rPr>
      </w:pPr>
      <w:r>
        <w:rPr>
          <w:rFonts w:hint="eastAsia" w:ascii="宋体" w:hAnsi="宋体"/>
          <w:color w:val="000000"/>
          <w:szCs w:val="21"/>
        </w:rPr>
        <w:t>2.1在报价评审时，如发现下列情形之一的，将被视为投标无效：</w:t>
      </w:r>
    </w:p>
    <w:p w14:paraId="2A906136">
      <w:pPr>
        <w:spacing w:line="360" w:lineRule="auto"/>
        <w:ind w:firstLine="420" w:firstLineChars="200"/>
        <w:rPr>
          <w:rFonts w:ascii="宋体" w:hAnsi="宋体"/>
          <w:color w:val="000000"/>
          <w:szCs w:val="21"/>
        </w:rPr>
      </w:pPr>
      <w:r>
        <w:rPr>
          <w:rFonts w:hint="eastAsia" w:ascii="宋体" w:hAnsi="宋体"/>
          <w:color w:val="000000"/>
          <w:szCs w:val="21"/>
        </w:rPr>
        <w:t>（1）投标文件未提供“投标人须知前附表”第13.1条规定中“必须提供”的文件资料的;</w:t>
      </w:r>
    </w:p>
    <w:p w14:paraId="60CC2DC9">
      <w:pPr>
        <w:spacing w:line="360" w:lineRule="auto"/>
        <w:ind w:firstLine="420" w:firstLineChars="200"/>
        <w:rPr>
          <w:rFonts w:ascii="宋体" w:hAnsi="宋体"/>
          <w:color w:val="000000"/>
          <w:szCs w:val="21"/>
        </w:rPr>
      </w:pPr>
      <w:r>
        <w:rPr>
          <w:rFonts w:hint="eastAsia" w:ascii="宋体" w:hAnsi="宋体"/>
          <w:color w:val="000000"/>
          <w:szCs w:val="21"/>
        </w:rPr>
        <w:t>（2）未采用人民币报价或者未按照招标文件标明的币种报价的；</w:t>
      </w:r>
    </w:p>
    <w:p w14:paraId="083D2A6F">
      <w:pPr>
        <w:spacing w:line="360" w:lineRule="auto"/>
        <w:ind w:firstLine="420" w:firstLineChars="200"/>
        <w:rPr>
          <w:rFonts w:ascii="宋体" w:hAnsi="宋体"/>
          <w:color w:val="000000"/>
          <w:szCs w:val="21"/>
        </w:rPr>
      </w:pPr>
      <w:r>
        <w:rPr>
          <w:rFonts w:hint="eastAsia" w:ascii="宋体" w:hAnsi="宋体"/>
          <w:color w:val="000000"/>
          <w:szCs w:val="21"/>
        </w:rPr>
        <w:t>（3）报价超出招标文件规定最高限价，或者超出采购预算金额的；</w:t>
      </w:r>
    </w:p>
    <w:p w14:paraId="25E05773">
      <w:pPr>
        <w:spacing w:line="360" w:lineRule="auto"/>
        <w:ind w:firstLine="420" w:firstLineChars="200"/>
        <w:rPr>
          <w:rFonts w:ascii="宋体" w:hAnsi="宋体"/>
          <w:color w:val="000000"/>
          <w:szCs w:val="21"/>
        </w:rPr>
      </w:pPr>
      <w:r>
        <w:rPr>
          <w:rFonts w:hint="eastAsia" w:ascii="宋体" w:hAnsi="宋体"/>
          <w:color w:val="000000"/>
          <w:szCs w:val="21"/>
        </w:rPr>
        <w:t>（4）投标人未就所投项目进行报价或者存在漏项报价；投标人未就所投项目的单项内容作唯一报价；投标人未就所投项目的全部内容作唯一总价报价；存在有选择、有条件报价的（招标文件允许有备选方案或者其他约定的除外）；</w:t>
      </w:r>
    </w:p>
    <w:p w14:paraId="67FB59D5">
      <w:pPr>
        <w:spacing w:line="360" w:lineRule="auto"/>
        <w:ind w:firstLine="420" w:firstLineChars="200"/>
        <w:rPr>
          <w:rFonts w:ascii="宋体" w:hAnsi="宋体"/>
          <w:color w:val="000000"/>
          <w:szCs w:val="21"/>
        </w:rPr>
      </w:pPr>
      <w:r>
        <w:rPr>
          <w:rFonts w:hint="eastAsia" w:ascii="宋体" w:hAnsi="宋体"/>
          <w:color w:val="000000"/>
          <w:szCs w:val="21"/>
        </w:rPr>
        <w:t>（5）修正后的报价，投标人不确认的；</w:t>
      </w:r>
    </w:p>
    <w:p w14:paraId="2424E6A7">
      <w:pPr>
        <w:spacing w:line="360" w:lineRule="auto"/>
        <w:ind w:firstLine="420" w:firstLineChars="200"/>
        <w:rPr>
          <w:rFonts w:ascii="宋体" w:hAnsi="宋体"/>
          <w:color w:val="000000"/>
          <w:szCs w:val="21"/>
        </w:rPr>
      </w:pPr>
      <w:r>
        <w:rPr>
          <w:rFonts w:hint="eastAsia" w:ascii="宋体" w:hAnsi="宋体"/>
          <w:color w:val="000000"/>
          <w:szCs w:val="21"/>
        </w:rPr>
        <w:t>（6）投标人属于本章第5条第（2）项情形的。</w:t>
      </w:r>
    </w:p>
    <w:p w14:paraId="6890CE01">
      <w:pPr>
        <w:spacing w:line="360" w:lineRule="auto"/>
        <w:ind w:firstLine="420" w:firstLineChars="200"/>
        <w:rPr>
          <w:rFonts w:ascii="宋体" w:hAnsi="宋体"/>
          <w:color w:val="000000"/>
          <w:szCs w:val="21"/>
        </w:rPr>
      </w:pPr>
      <w:r>
        <w:rPr>
          <w:rFonts w:hint="eastAsia" w:ascii="宋体" w:hAnsi="宋体"/>
          <w:color w:val="000000"/>
          <w:szCs w:val="21"/>
        </w:rPr>
        <w:t>2.2在商务评审时，如发现下列情形之一的，将被视为投标无效：</w:t>
      </w:r>
    </w:p>
    <w:p w14:paraId="2C76D7C9">
      <w:pPr>
        <w:spacing w:line="360" w:lineRule="auto"/>
        <w:ind w:firstLine="420" w:firstLineChars="200"/>
        <w:rPr>
          <w:rFonts w:ascii="宋体" w:hAnsi="宋体"/>
          <w:color w:val="000000"/>
          <w:szCs w:val="21"/>
        </w:rPr>
      </w:pPr>
      <w:r>
        <w:rPr>
          <w:rFonts w:hint="eastAsia" w:ascii="宋体" w:hAnsi="宋体"/>
          <w:color w:val="000000"/>
          <w:szCs w:val="21"/>
        </w:rPr>
        <w:t>（1）投标文件未按招标文件要求签署、盖章的；</w:t>
      </w:r>
    </w:p>
    <w:p w14:paraId="7B208FC9">
      <w:pPr>
        <w:spacing w:line="360" w:lineRule="auto"/>
        <w:ind w:firstLine="420" w:firstLineChars="200"/>
        <w:rPr>
          <w:rFonts w:ascii="宋体" w:hAnsi="宋体"/>
          <w:color w:val="000000"/>
          <w:szCs w:val="21"/>
        </w:rPr>
      </w:pPr>
      <w:r>
        <w:rPr>
          <w:rFonts w:hint="eastAsia" w:ascii="宋体" w:hAnsi="宋体"/>
          <w:color w:val="000000"/>
          <w:szCs w:val="21"/>
        </w:rPr>
        <w:t>（2）委托代理人未能出具有效身份证明或者出具的身份证明与授权委托书中的信息不符的；</w:t>
      </w:r>
    </w:p>
    <w:p w14:paraId="5FEE6CEC">
      <w:pPr>
        <w:spacing w:line="360" w:lineRule="auto"/>
        <w:ind w:firstLine="420" w:firstLineChars="200"/>
        <w:rPr>
          <w:rFonts w:ascii="宋体" w:hAnsi="宋体"/>
          <w:color w:val="000000"/>
          <w:szCs w:val="21"/>
        </w:rPr>
      </w:pPr>
      <w:r>
        <w:rPr>
          <w:rFonts w:hint="eastAsia" w:ascii="宋体" w:hAnsi="宋体"/>
          <w:color w:val="000000"/>
          <w:szCs w:val="21"/>
        </w:rPr>
        <w:t xml:space="preserve">（3）为无效投标保证金的或者未按照招标文件的规定提交投标保证金的； </w:t>
      </w:r>
    </w:p>
    <w:p w14:paraId="28982015">
      <w:pPr>
        <w:spacing w:line="360" w:lineRule="auto"/>
        <w:ind w:firstLine="420" w:firstLineChars="200"/>
        <w:rPr>
          <w:rFonts w:ascii="宋体" w:hAnsi="宋体"/>
          <w:color w:val="000000"/>
          <w:szCs w:val="21"/>
        </w:rPr>
      </w:pPr>
      <w:r>
        <w:rPr>
          <w:rFonts w:hint="eastAsia" w:ascii="宋体" w:hAnsi="宋体"/>
          <w:color w:val="000000"/>
          <w:szCs w:val="21"/>
        </w:rPr>
        <w:t>（4）</w:t>
      </w:r>
      <w:r>
        <w:rPr>
          <w:rFonts w:hint="eastAsia" w:ascii="宋体" w:hAnsi="宋体" w:cs="宋体"/>
          <w:szCs w:val="21"/>
        </w:rPr>
        <w:t>投标有效期不满足招标文件要求的</w:t>
      </w:r>
      <w:r>
        <w:rPr>
          <w:rFonts w:hint="eastAsia" w:ascii="宋体" w:hAnsi="宋体"/>
          <w:color w:val="000000"/>
          <w:szCs w:val="21"/>
        </w:rPr>
        <w:t>；</w:t>
      </w:r>
    </w:p>
    <w:p w14:paraId="62827F85">
      <w:pPr>
        <w:spacing w:line="360" w:lineRule="auto"/>
        <w:ind w:firstLine="420" w:firstLineChars="200"/>
        <w:rPr>
          <w:rFonts w:ascii="宋体" w:hAnsi="宋体"/>
          <w:color w:val="000000"/>
          <w:szCs w:val="21"/>
        </w:rPr>
      </w:pPr>
      <w:r>
        <w:rPr>
          <w:rFonts w:hint="eastAsia" w:ascii="宋体" w:hAnsi="宋体"/>
          <w:color w:val="000000"/>
          <w:szCs w:val="21"/>
        </w:rPr>
        <w:t>（5）投标文件的实质性内容未使用中文表述、使用计量单位不符合招标文件要求的；</w:t>
      </w:r>
    </w:p>
    <w:p w14:paraId="224888A3">
      <w:pPr>
        <w:spacing w:line="360" w:lineRule="auto"/>
        <w:ind w:firstLine="420" w:firstLineChars="200"/>
        <w:rPr>
          <w:rFonts w:ascii="宋体" w:hAnsi="宋体"/>
          <w:color w:val="000000"/>
          <w:szCs w:val="21"/>
        </w:rPr>
      </w:pPr>
      <w:r>
        <w:rPr>
          <w:rFonts w:hint="eastAsia" w:ascii="宋体" w:hAnsi="宋体"/>
          <w:color w:val="000000"/>
          <w:szCs w:val="21"/>
        </w:rPr>
        <w:t>（6）投标文件中的文件资料因填写不齐全或者内容虚假或者出现其他情形而导致被评标委员会认定无效的；</w:t>
      </w:r>
    </w:p>
    <w:p w14:paraId="546DBD2A">
      <w:pPr>
        <w:spacing w:line="360" w:lineRule="auto"/>
        <w:ind w:firstLine="420" w:firstLineChars="200"/>
        <w:rPr>
          <w:rFonts w:ascii="宋体" w:hAnsi="宋体"/>
          <w:color w:val="000000"/>
          <w:szCs w:val="21"/>
        </w:rPr>
      </w:pPr>
      <w:r>
        <w:rPr>
          <w:rFonts w:hint="eastAsia" w:ascii="宋体" w:hAnsi="宋体"/>
          <w:color w:val="000000"/>
          <w:szCs w:val="21"/>
        </w:rPr>
        <w:t>（7）投标文件含有采购人不能接受的附加条件的；</w:t>
      </w:r>
    </w:p>
    <w:p w14:paraId="5BA0153B">
      <w:pPr>
        <w:spacing w:line="360" w:lineRule="auto"/>
        <w:ind w:firstLine="420" w:firstLineChars="200"/>
        <w:rPr>
          <w:rFonts w:ascii="宋体" w:hAnsi="宋体"/>
          <w:color w:val="000000"/>
          <w:szCs w:val="21"/>
        </w:rPr>
      </w:pPr>
      <w:r>
        <w:rPr>
          <w:rFonts w:hint="eastAsia" w:ascii="宋体" w:hAnsi="宋体"/>
          <w:color w:val="000000"/>
          <w:szCs w:val="21"/>
        </w:rPr>
        <w:t>（8）</w:t>
      </w:r>
      <w:r>
        <w:rPr>
          <w:rFonts w:hint="eastAsia" w:ascii="宋体" w:hAnsi="宋体" w:cs="宋体"/>
          <w:szCs w:val="21"/>
        </w:rPr>
        <w:t>不满足</w:t>
      </w:r>
      <w:r>
        <w:rPr>
          <w:rFonts w:hint="eastAsia" w:ascii="宋体" w:hAnsi="宋体"/>
          <w:color w:val="000000"/>
          <w:szCs w:val="21"/>
        </w:rPr>
        <w:t>招标文件实质性要求的；</w:t>
      </w:r>
    </w:p>
    <w:p w14:paraId="492680BC">
      <w:pPr>
        <w:spacing w:line="360" w:lineRule="auto"/>
        <w:ind w:firstLine="420" w:firstLineChars="200"/>
        <w:rPr>
          <w:rFonts w:ascii="宋体" w:hAnsi="宋体"/>
          <w:color w:val="000000"/>
          <w:szCs w:val="21"/>
        </w:rPr>
      </w:pPr>
      <w:r>
        <w:rPr>
          <w:rFonts w:hint="eastAsia" w:ascii="宋体" w:hAnsi="宋体"/>
          <w:color w:val="000000"/>
          <w:szCs w:val="21"/>
        </w:rPr>
        <w:t>（9）属于投标人须知正文第9.2条情形的；</w:t>
      </w:r>
    </w:p>
    <w:p w14:paraId="33B35752">
      <w:pPr>
        <w:spacing w:line="360" w:lineRule="auto"/>
        <w:ind w:firstLine="420" w:firstLineChars="200"/>
        <w:rPr>
          <w:rFonts w:ascii="宋体" w:hAnsi="宋体"/>
          <w:color w:val="000000"/>
          <w:szCs w:val="21"/>
        </w:rPr>
      </w:pPr>
      <w:r>
        <w:rPr>
          <w:rFonts w:hint="eastAsia" w:ascii="宋体" w:hAnsi="宋体"/>
          <w:color w:val="000000"/>
          <w:szCs w:val="21"/>
        </w:rPr>
        <w:t>（10）法律、法规和招标文件规定的其他无效情形。</w:t>
      </w:r>
    </w:p>
    <w:p w14:paraId="77E65E12">
      <w:pPr>
        <w:spacing w:line="360" w:lineRule="auto"/>
        <w:ind w:firstLine="420" w:firstLineChars="200"/>
        <w:rPr>
          <w:rFonts w:ascii="宋体" w:hAnsi="宋体"/>
          <w:color w:val="000000"/>
          <w:szCs w:val="21"/>
        </w:rPr>
      </w:pPr>
      <w:r>
        <w:rPr>
          <w:rFonts w:hint="eastAsia" w:ascii="宋体" w:hAnsi="宋体"/>
          <w:color w:val="000000"/>
          <w:szCs w:val="21"/>
        </w:rPr>
        <w:t>2.3在技术评审时，如发现下列情形之一的，将被视为投标无效：</w:t>
      </w:r>
    </w:p>
    <w:p w14:paraId="7B7A55F9">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szCs w:val="21"/>
        </w:rPr>
        <w:t>不满足招标文件实质性要求的</w:t>
      </w:r>
      <w:r>
        <w:rPr>
          <w:rFonts w:hint="eastAsia" w:ascii="宋体" w:hAnsi="宋体" w:cs="宋体"/>
          <w:color w:val="000000"/>
          <w:szCs w:val="21"/>
        </w:rPr>
        <w:t>；</w:t>
      </w:r>
    </w:p>
    <w:p w14:paraId="57E1C1C4">
      <w:pPr>
        <w:spacing w:line="360" w:lineRule="auto"/>
        <w:ind w:firstLine="420" w:firstLineChars="200"/>
        <w:rPr>
          <w:rFonts w:ascii="宋体" w:hAnsi="宋体" w:cs="宋体"/>
          <w:color w:val="000000"/>
          <w:szCs w:val="21"/>
        </w:rPr>
      </w:pPr>
      <w:r>
        <w:rPr>
          <w:rFonts w:hint="eastAsia" w:ascii="宋体" w:hAnsi="宋体" w:cs="宋体"/>
          <w:color w:val="000000"/>
          <w:szCs w:val="21"/>
        </w:rPr>
        <w:t>（2）虚假投标，或者出现其他情形而导致被评标委员会认定无效的；</w:t>
      </w:r>
    </w:p>
    <w:p w14:paraId="2D55B8EB">
      <w:pPr>
        <w:spacing w:line="360" w:lineRule="auto"/>
        <w:ind w:firstLine="420" w:firstLineChars="200"/>
        <w:rPr>
          <w:rFonts w:ascii="宋体" w:hAnsi="宋体" w:cs="宋体"/>
          <w:color w:val="000000"/>
          <w:szCs w:val="21"/>
        </w:rPr>
      </w:pPr>
      <w:r>
        <w:rPr>
          <w:rFonts w:hint="eastAsia" w:ascii="宋体" w:hAnsi="宋体" w:cs="宋体"/>
          <w:color w:val="000000"/>
          <w:szCs w:val="21"/>
        </w:rPr>
        <w:t>（3）招标文件要求提供技术方案的，投标技术方案不明确，招标文件未允许但存在一个或者一个以上备选（替代）投标方案的。</w:t>
      </w:r>
    </w:p>
    <w:p w14:paraId="37EF9076">
      <w:pPr>
        <w:spacing w:line="360" w:lineRule="auto"/>
        <w:ind w:firstLine="422" w:firstLineChars="200"/>
        <w:rPr>
          <w:rFonts w:ascii="宋体" w:hAnsi="宋体"/>
          <w:b/>
          <w:color w:val="000000"/>
          <w:szCs w:val="21"/>
        </w:rPr>
      </w:pPr>
      <w:r>
        <w:rPr>
          <w:rFonts w:hint="eastAsia" w:ascii="宋体" w:hAnsi="宋体"/>
          <w:b/>
          <w:color w:val="000000"/>
          <w:szCs w:val="21"/>
        </w:rPr>
        <w:t>3.澄清、说明或者补正</w:t>
      </w:r>
    </w:p>
    <w:p w14:paraId="45F7C4C5">
      <w:pPr>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对投标文件中含义不明确、同类问题表述不一致或者有明显文字和计算错误的内容，评标委员会应在</w:t>
      </w:r>
      <w:r>
        <w:rPr>
          <w:rFonts w:hint="eastAsia" w:ascii="宋体" w:hAnsi="宋体" w:cs="宋体"/>
          <w:szCs w:val="21"/>
        </w:rPr>
        <w:t>广西政府采购云平台</w:t>
      </w:r>
      <w:r>
        <w:rPr>
          <w:rFonts w:hint="eastAsia" w:ascii="宋体" w:hAnsi="宋体" w:cs="Courier New"/>
          <w:szCs w:val="21"/>
        </w:rPr>
        <w:t>发布电子澄清函，要求投标人在规定时间内作出必要的澄清、说明或者补正。投标人在</w:t>
      </w:r>
      <w:r>
        <w:rPr>
          <w:rFonts w:hint="eastAsia" w:ascii="宋体" w:hAnsi="宋体" w:cs="宋体"/>
          <w:szCs w:val="21"/>
        </w:rPr>
        <w:t>广西政府采购云平台</w:t>
      </w:r>
      <w:r>
        <w:rPr>
          <w:rFonts w:hint="eastAsia" w:ascii="宋体" w:hAnsi="宋体" w:cs="Courier New"/>
          <w:szCs w:val="21"/>
        </w:rPr>
        <w:t>接收到电子澄清函后根据澄清函内容上传PDF格式回函，电子澄清答复函使用CA证书加盖投标人公章后在线上传至评标委员会。投标人的澄清、说明或者补正不得超出投标文件的范围或者改变投标文件的实质性内容。投标人未在规定时间内进行澄清、说明或者补正的，有可能对评审产生影响。</w:t>
      </w:r>
    </w:p>
    <w:p w14:paraId="0A966D93">
      <w:pPr>
        <w:spacing w:line="360" w:lineRule="auto"/>
        <w:ind w:firstLine="420" w:firstLineChars="200"/>
        <w:rPr>
          <w:rFonts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68F7699">
      <w:pPr>
        <w:spacing w:line="360" w:lineRule="auto"/>
        <w:ind w:firstLine="422" w:firstLineChars="200"/>
        <w:rPr>
          <w:rFonts w:ascii="宋体" w:hAnsi="宋体"/>
          <w:b/>
          <w:color w:val="000000"/>
          <w:szCs w:val="21"/>
        </w:rPr>
      </w:pPr>
      <w:r>
        <w:rPr>
          <w:rFonts w:hint="eastAsia" w:ascii="宋体" w:hAnsi="宋体"/>
          <w:b/>
          <w:color w:val="000000"/>
          <w:szCs w:val="21"/>
        </w:rPr>
        <w:t>4.投标文件修正</w:t>
      </w:r>
    </w:p>
    <w:p w14:paraId="216C6DE2">
      <w:pPr>
        <w:spacing w:line="360" w:lineRule="auto"/>
        <w:ind w:firstLine="420" w:firstLineChars="200"/>
        <w:rPr>
          <w:rFonts w:ascii="宋体" w:hAnsi="宋体"/>
          <w:color w:val="000000"/>
          <w:szCs w:val="21"/>
        </w:rPr>
      </w:pPr>
      <w:r>
        <w:rPr>
          <w:rFonts w:hint="eastAsia" w:ascii="宋体" w:hAnsi="宋体"/>
          <w:color w:val="000000"/>
          <w:szCs w:val="21"/>
        </w:rPr>
        <w:t xml:space="preserve">4.1投标文件报价出现前后不一致的，按照下列规定修正： </w:t>
      </w:r>
    </w:p>
    <w:p w14:paraId="00AF7915">
      <w:pPr>
        <w:spacing w:line="360" w:lineRule="auto"/>
        <w:ind w:firstLine="420" w:firstLineChars="200"/>
        <w:rPr>
          <w:rFonts w:ascii="宋体" w:hAnsi="宋体" w:cs="宋体"/>
          <w:color w:val="000000"/>
        </w:rPr>
      </w:pPr>
      <w:r>
        <w:rPr>
          <w:rFonts w:hint="eastAsia" w:ascii="宋体" w:hAnsi="宋体" w:cs="宋体"/>
          <w:color w:val="000000"/>
        </w:rPr>
        <w:t>（1）</w:t>
      </w:r>
      <w:r>
        <w:rPr>
          <w:rFonts w:hint="eastAsia" w:ascii="宋体" w:hAnsi="宋体" w:cs="宋体"/>
        </w:rPr>
        <w:t>广西政府采购云平台电子开标大厅中的“开标记录表”内容与电子版投标文件中相应内容不一致的，以广西政府采购云平台电子开标大厅中的“开标记录表”为准</w:t>
      </w:r>
      <w:r>
        <w:rPr>
          <w:rFonts w:hint="eastAsia" w:ascii="宋体" w:hAnsi="宋体" w:cs="宋体"/>
          <w:color w:val="000000"/>
        </w:rPr>
        <w:t>；</w:t>
      </w:r>
    </w:p>
    <w:p w14:paraId="229DAEEB">
      <w:pPr>
        <w:spacing w:line="360" w:lineRule="auto"/>
        <w:ind w:firstLine="420" w:firstLineChars="200"/>
        <w:rPr>
          <w:rFonts w:ascii="宋体" w:hAnsi="宋体" w:cs="宋体"/>
          <w:color w:val="000000"/>
        </w:rPr>
      </w:pPr>
      <w:r>
        <w:rPr>
          <w:rFonts w:hint="eastAsia" w:ascii="宋体" w:hAnsi="宋体" w:cs="宋体"/>
          <w:color w:val="000000"/>
        </w:rPr>
        <w:t>（2）大写金额和小写金额不一致的，以大写金额为准；</w:t>
      </w:r>
    </w:p>
    <w:p w14:paraId="249CA3D6">
      <w:pPr>
        <w:spacing w:line="360" w:lineRule="auto"/>
        <w:ind w:firstLine="420" w:firstLineChars="200"/>
        <w:rPr>
          <w:rFonts w:ascii="宋体" w:hAnsi="宋体" w:cs="宋体"/>
          <w:color w:val="000000"/>
        </w:rPr>
      </w:pPr>
      <w:r>
        <w:rPr>
          <w:rFonts w:hint="eastAsia" w:ascii="宋体" w:hAnsi="宋体" w:cs="宋体"/>
          <w:color w:val="000000"/>
        </w:rPr>
        <w:t>（3）单价金额小数点或者百分比有明显错位的，以开标一览表的总价为准，并修改单价；</w:t>
      </w:r>
    </w:p>
    <w:p w14:paraId="07F2DFF8">
      <w:pPr>
        <w:spacing w:line="360" w:lineRule="auto"/>
        <w:ind w:firstLine="420" w:firstLineChars="200"/>
        <w:rPr>
          <w:rFonts w:ascii="宋体" w:hAnsi="宋体" w:cs="宋体"/>
          <w:color w:val="000000"/>
        </w:rPr>
      </w:pPr>
      <w:r>
        <w:rPr>
          <w:rFonts w:hint="eastAsia" w:ascii="宋体" w:hAnsi="宋体" w:cs="宋体"/>
          <w:color w:val="000000"/>
        </w:rPr>
        <w:t>（4）总价金额与按单价汇总金额不一致的，以单价金额计算结果为准。</w:t>
      </w:r>
    </w:p>
    <w:p w14:paraId="2F5AF6C7">
      <w:pPr>
        <w:spacing w:line="360" w:lineRule="auto"/>
        <w:ind w:firstLine="420" w:firstLineChars="200"/>
        <w:rPr>
          <w:rFonts w:hAnsi="宋体"/>
          <w:color w:val="000000"/>
        </w:rPr>
      </w:pPr>
      <w:r>
        <w:rPr>
          <w:rFonts w:hint="eastAsia" w:hAnsi="宋体"/>
          <w:color w:val="000000"/>
        </w:rPr>
        <w:t>同时出现两种以上不一致的，按照以上（</w:t>
      </w:r>
      <w:r>
        <w:rPr>
          <w:rFonts w:hAnsi="宋体"/>
          <w:color w:val="000000"/>
        </w:rPr>
        <w:t>1</w:t>
      </w:r>
      <w:r>
        <w:rPr>
          <w:rFonts w:hint="eastAsia" w:hAnsi="宋体"/>
          <w:color w:val="000000"/>
        </w:rPr>
        <w:t>）</w:t>
      </w:r>
      <w:r>
        <w:rPr>
          <w:rFonts w:hAnsi="宋体"/>
          <w:color w:val="000000"/>
        </w:rPr>
        <w:t>-</w:t>
      </w:r>
      <w:r>
        <w:rPr>
          <w:rFonts w:hint="eastAsia" w:hAnsi="宋体"/>
          <w:color w:val="000000"/>
        </w:rPr>
        <w:t>（</w:t>
      </w:r>
      <w:r>
        <w:rPr>
          <w:rFonts w:hAnsi="宋体"/>
          <w:color w:val="000000"/>
        </w:rPr>
        <w:t>4</w:t>
      </w:r>
      <w:r>
        <w:rPr>
          <w:rFonts w:hint="eastAsia" w:hAnsi="宋体"/>
          <w:color w:val="000000"/>
        </w:rPr>
        <w:t>）规定的顺序修正。修正后的报价经投标人确认后产生约束力，投标人不确认的，其投标无效。</w:t>
      </w:r>
    </w:p>
    <w:p w14:paraId="2FA85E63">
      <w:pPr>
        <w:spacing w:line="360" w:lineRule="auto"/>
        <w:ind w:firstLine="420" w:firstLineChars="200"/>
        <w:rPr>
          <w:rFonts w:ascii="宋体" w:hAnsi="宋体"/>
          <w:color w:val="000000"/>
          <w:szCs w:val="21"/>
        </w:rPr>
      </w:pPr>
      <w:r>
        <w:rPr>
          <w:rFonts w:hint="eastAsia" w:ascii="宋体" w:hAnsi="宋体"/>
          <w:color w:val="000000"/>
          <w:szCs w:val="21"/>
        </w:rPr>
        <w:t>4.2经投标人确认修正后的报价若超过采购预算金额或者最高限价，投标人的投标文件作无效投标处理。</w:t>
      </w:r>
    </w:p>
    <w:p w14:paraId="66A12DCF">
      <w:pPr>
        <w:spacing w:line="360" w:lineRule="auto"/>
        <w:ind w:firstLine="420" w:firstLineChars="200"/>
        <w:rPr>
          <w:rFonts w:ascii="宋体" w:hAnsi="宋体"/>
          <w:color w:val="000000"/>
          <w:szCs w:val="21"/>
        </w:rPr>
      </w:pPr>
      <w:r>
        <w:rPr>
          <w:rFonts w:hint="eastAsia" w:ascii="宋体" w:hAnsi="宋体"/>
          <w:color w:val="000000"/>
          <w:szCs w:val="21"/>
        </w:rPr>
        <w:t>4.3经投标人确认修正后的报价作为签订合同的依据，并以此报价计算价格分。</w:t>
      </w:r>
    </w:p>
    <w:p w14:paraId="066B29FA">
      <w:pPr>
        <w:spacing w:line="360" w:lineRule="auto"/>
        <w:ind w:firstLine="420" w:firstLineChars="200"/>
        <w:rPr>
          <w:rFonts w:ascii="宋体" w:hAnsi="宋体"/>
          <w:color w:val="000000"/>
          <w:szCs w:val="21"/>
        </w:rPr>
      </w:pPr>
      <w:r>
        <w:rPr>
          <w:rFonts w:hint="eastAsia" w:ascii="宋体" w:hAnsi="宋体"/>
          <w:color w:val="000000"/>
          <w:szCs w:val="21"/>
        </w:rPr>
        <w:t>5.比较与评价</w:t>
      </w:r>
    </w:p>
    <w:p w14:paraId="74161372">
      <w:pPr>
        <w:spacing w:line="360" w:lineRule="auto"/>
        <w:ind w:firstLine="420" w:firstLineChars="200"/>
        <w:rPr>
          <w:rFonts w:ascii="宋体" w:hAnsi="宋体" w:cs="宋体"/>
          <w:color w:val="000000"/>
        </w:rPr>
      </w:pPr>
      <w:r>
        <w:rPr>
          <w:rFonts w:hint="eastAsia" w:ascii="宋体" w:hAnsi="宋体" w:cs="宋体"/>
          <w:color w:val="000000"/>
        </w:rPr>
        <w:t>5.1评标委员会按照招标文件中规定的评标方法和评标标准，对符合性审查合格的投标文件进行商务和技术评估，综合比较与评价。</w:t>
      </w:r>
    </w:p>
    <w:p w14:paraId="2413FBFF">
      <w:pPr>
        <w:spacing w:line="360" w:lineRule="auto"/>
        <w:ind w:firstLine="420" w:firstLineChars="200"/>
        <w:rPr>
          <w:rFonts w:ascii="宋体" w:hAnsi="宋体" w:cs="宋体"/>
          <w:color w:val="000000"/>
        </w:rPr>
      </w:pPr>
      <w:r>
        <w:rPr>
          <w:rFonts w:hint="eastAsia" w:ascii="宋体" w:hAnsi="宋体" w:cs="宋体"/>
          <w:color w:val="000000"/>
        </w:rPr>
        <w:t>5.2评标委员会各成员独立对每个投标人的投标文件进行评价，并汇总每个投标人的得分。</w:t>
      </w:r>
    </w:p>
    <w:p w14:paraId="181450B3">
      <w:pPr>
        <w:widowControl/>
        <w:numPr>
          <w:ilvl w:val="0"/>
          <w:numId w:val="2"/>
        </w:numPr>
        <w:spacing w:after="150" w:line="360" w:lineRule="auto"/>
        <w:ind w:firstLine="420" w:firstLineChars="200"/>
        <w:jc w:val="left"/>
        <w:rPr>
          <w:rFonts w:ascii="宋体" w:hAnsi="宋体" w:cs="宋体"/>
          <w:color w:val="000000"/>
        </w:rPr>
      </w:pPr>
      <w:r>
        <w:rPr>
          <w:rFonts w:hint="eastAsia" w:ascii="宋体" w:hAnsi="宋体" w:cs="宋体"/>
          <w:color w:val="000000"/>
        </w:rPr>
        <w:t>评标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64140FCF">
      <w:pPr>
        <w:widowControl/>
        <w:numPr>
          <w:ilvl w:val="0"/>
          <w:numId w:val="2"/>
        </w:numPr>
        <w:spacing w:after="150" w:line="360" w:lineRule="auto"/>
        <w:ind w:firstLine="422" w:firstLineChars="200"/>
        <w:jc w:val="left"/>
        <w:rPr>
          <w:rFonts w:ascii="宋体" w:hAnsi="宋体" w:cs="宋体"/>
          <w:b/>
          <w:bCs/>
          <w:color w:val="000000"/>
        </w:rPr>
      </w:pPr>
      <w:r>
        <w:rPr>
          <w:rFonts w:hint="eastAsia" w:ascii="宋体" w:hAnsi="宋体" w:cs="宋体"/>
          <w:b/>
          <w:bCs/>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0AAF19E">
      <w:pPr>
        <w:spacing w:line="360" w:lineRule="auto"/>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 xml:space="preserve">①采购评审中出现下列情形之一的，评标委员会应当启动异常低价投标审查程序： </w:t>
      </w:r>
    </w:p>
    <w:p w14:paraId="7231D298">
      <w:pPr>
        <w:spacing w:line="360" w:lineRule="auto"/>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 xml:space="preserve">A.投标报价低于全部通过符合性审查投标人投标报价平均值50%的，即投标报价＜全部通过符合性审查投标人投标报价平均值×50%； </w:t>
      </w:r>
    </w:p>
    <w:p w14:paraId="5E41DDA5">
      <w:pPr>
        <w:spacing w:line="360" w:lineRule="auto"/>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 xml:space="preserve">B.投标报价低于通过符合性审查的次低报价投标人投标报价50%的，即投标报价＜通过符合性审查的次低报价投标人投标报价×50%； </w:t>
      </w:r>
    </w:p>
    <w:p w14:paraId="395D37E6">
      <w:pPr>
        <w:spacing w:line="360" w:lineRule="auto"/>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C.投标报价低于采购项目最高限价45%的，即投标报价＜采购项目最高限价×45%；</w:t>
      </w:r>
    </w:p>
    <w:p w14:paraId="4D471AA3">
      <w:pPr>
        <w:spacing w:line="360" w:lineRule="auto"/>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D.评标委员会基于专业判断，认为投标人报价过低，有可能影响产品质量或者不能诚信履约的其他情形。</w:t>
      </w:r>
    </w:p>
    <w:p w14:paraId="413F8C9E">
      <w:pPr>
        <w:spacing w:line="360" w:lineRule="auto"/>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相关法律法规对投标人报价有规定的，从其规定。</w:t>
      </w:r>
    </w:p>
    <w:p w14:paraId="3856D964">
      <w:pPr>
        <w:spacing w:line="360" w:lineRule="auto"/>
        <w:ind w:left="105"/>
        <w:rPr>
          <w:rFonts w:ascii="宋体" w:hAnsi="宋体" w:cs="宋体"/>
          <w:color w:val="000000"/>
          <w:szCs w:val="21"/>
          <w:shd w:val="clear" w:color="auto" w:fill="FFFFFF"/>
        </w:rPr>
      </w:pPr>
      <w:r>
        <w:rPr>
          <w:rFonts w:hint="eastAsia" w:ascii="宋体" w:hAnsi="宋体" w:cs="宋体"/>
          <w:color w:val="000000"/>
          <w:szCs w:val="21"/>
          <w:shd w:val="clear" w:color="auto" w:fill="FFFFFF"/>
        </w:rPr>
        <w:t xml:space="preserve">   ②</w:t>
      </w:r>
      <w:bookmarkStart w:id="297" w:name="OLE_LINK6"/>
      <w:r>
        <w:rPr>
          <w:rFonts w:hint="eastAsia" w:ascii="宋体" w:hAnsi="宋体" w:cs="宋体"/>
          <w:color w:val="000000"/>
          <w:szCs w:val="21"/>
          <w:shd w:val="clear" w:color="auto" w:fill="FFFFFF"/>
        </w:rPr>
        <w:t>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bookmarkEnd w:id="297"/>
    <w:p w14:paraId="48D2124E">
      <w:pPr>
        <w:spacing w:line="360" w:lineRule="auto"/>
        <w:ind w:left="105"/>
        <w:rPr>
          <w:rFonts w:ascii="宋体" w:hAnsi="宋体" w:cs="宋体"/>
          <w:b/>
          <w:bCs/>
          <w:color w:val="000000"/>
          <w:szCs w:val="21"/>
          <w:shd w:val="clear" w:color="auto" w:fill="FFFFFF"/>
        </w:rPr>
      </w:pPr>
      <w:r>
        <w:rPr>
          <w:rFonts w:hint="eastAsia" w:ascii="宋体" w:hAnsi="宋体" w:cs="宋体"/>
          <w:color w:val="000000"/>
          <w:szCs w:val="21"/>
          <w:shd w:val="clear" w:color="auto" w:fill="FFFFFF"/>
        </w:rPr>
        <w:t xml:space="preserve">   ③评标委员会依据专业经验，参考同类项目中标（成交）价格、类似产品市场价格水平、行业人工费用标准、国家有关部门指导行业协会发布的行业平均成本等情况，对报价合理性进行判断。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color w:val="000000"/>
          <w:szCs w:val="21"/>
          <w:shd w:val="clear" w:color="auto" w:fill="FFFFFF"/>
        </w:rPr>
        <w:t>投标人不能提供书面说明、证明材料，或者提供的书面说明、证明材料不能证明其报价合理性的，评标委员会应当将其作为无效投标处理。</w:t>
      </w:r>
    </w:p>
    <w:p w14:paraId="37B09689">
      <w:pPr>
        <w:spacing w:line="360" w:lineRule="auto"/>
        <w:ind w:firstLine="420" w:firstLineChars="200"/>
        <w:rPr>
          <w:rFonts w:ascii="宋体" w:hAnsi="宋体" w:cs="宋体"/>
          <w:color w:val="000000"/>
        </w:rPr>
      </w:pPr>
      <w:r>
        <w:rPr>
          <w:rFonts w:hint="eastAsia" w:ascii="宋体" w:hAnsi="宋体" w:cs="宋体"/>
          <w:color w:val="000000"/>
        </w:rPr>
        <w:t>5.3评标委员会按照招标文件中规定的评标方法和标准计算各投标人的报价得分。在评标过程中，不得去掉报价中的最高报价和最低报价。</w:t>
      </w:r>
    </w:p>
    <w:p w14:paraId="293C3D5D">
      <w:pPr>
        <w:spacing w:line="360" w:lineRule="auto"/>
        <w:ind w:firstLine="420" w:firstLineChars="200"/>
        <w:rPr>
          <w:rFonts w:ascii="宋体" w:hAnsi="宋体" w:cs="宋体"/>
          <w:color w:val="000000"/>
        </w:rPr>
      </w:pPr>
      <w:r>
        <w:rPr>
          <w:rFonts w:hint="eastAsia" w:ascii="宋体" w:hAnsi="宋体" w:cs="宋体"/>
          <w:color w:val="000000"/>
        </w:rPr>
        <w:t>5.4各投标人的得分为评标委员会各成员的有效评分的算术平均数。</w:t>
      </w:r>
    </w:p>
    <w:p w14:paraId="1B7D0DCE">
      <w:pPr>
        <w:spacing w:line="360" w:lineRule="auto"/>
        <w:ind w:firstLine="420" w:firstLineChars="200"/>
        <w:rPr>
          <w:rFonts w:ascii="宋体" w:hAnsi="宋体" w:cs="宋体"/>
          <w:color w:val="000000"/>
        </w:rPr>
      </w:pPr>
      <w:r>
        <w:rPr>
          <w:rFonts w:hint="eastAsia" w:ascii="宋体" w:hAnsi="宋体" w:cs="宋体"/>
          <w:color w:val="000000"/>
        </w:rPr>
        <w:t>5.5评标委员会按照招标文件中的规定推荐中标候选人。</w:t>
      </w:r>
    </w:p>
    <w:p w14:paraId="1A924B76">
      <w:pPr>
        <w:spacing w:line="360" w:lineRule="auto"/>
        <w:ind w:firstLine="420" w:firstLineChars="200"/>
        <w:rPr>
          <w:rFonts w:ascii="宋体" w:hAnsi="宋体" w:cs="宋体"/>
          <w:color w:val="000000"/>
        </w:rPr>
      </w:pPr>
      <w:r>
        <w:rPr>
          <w:rFonts w:hint="eastAsia" w:ascii="宋体" w:hAnsi="宋体" w:cs="宋体"/>
          <w:color w:val="000000"/>
        </w:rPr>
        <w:t>5.6起草并签署评标报告。评标委员会根据评标委员会各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8807068">
      <w:pPr>
        <w:spacing w:line="360" w:lineRule="auto"/>
        <w:ind w:firstLine="422" w:firstLineChars="200"/>
        <w:rPr>
          <w:rFonts w:ascii="宋体" w:hAnsi="宋体"/>
          <w:b/>
          <w:color w:val="000000"/>
          <w:szCs w:val="21"/>
        </w:rPr>
      </w:pPr>
      <w:r>
        <w:rPr>
          <w:rFonts w:hint="eastAsia" w:ascii="宋体" w:hAnsi="宋体"/>
          <w:b/>
          <w:color w:val="000000"/>
          <w:szCs w:val="21"/>
        </w:rPr>
        <w:t>6.评审复核</w:t>
      </w:r>
    </w:p>
    <w:p w14:paraId="0D205E9A">
      <w:pPr>
        <w:spacing w:line="360" w:lineRule="auto"/>
        <w:ind w:firstLine="420" w:firstLineChars="200"/>
        <w:rPr>
          <w:rFonts w:ascii="宋体" w:hAnsi="宋体"/>
          <w:color w:val="000000"/>
          <w:szCs w:val="21"/>
        </w:rPr>
      </w:pPr>
      <w:r>
        <w:rPr>
          <w:rFonts w:hint="eastAsia" w:ascii="宋体" w:hAnsi="宋体"/>
          <w:color w:val="000000"/>
          <w:szCs w:val="21"/>
        </w:rPr>
        <w:t>6.1评标报告签署前，评标委员会要对评审结果进行复核，复核意见要体现在评标报告中。</w:t>
      </w:r>
    </w:p>
    <w:p w14:paraId="5124B816">
      <w:pPr>
        <w:widowControl/>
        <w:spacing w:line="560" w:lineRule="exact"/>
        <w:ind w:firstLine="420" w:firstLineChars="200"/>
        <w:jc w:val="left"/>
        <w:textAlignment w:val="baseline"/>
        <w:rPr>
          <w:rFonts w:hAnsi="宋体"/>
          <w:color w:val="000000"/>
        </w:rPr>
      </w:pPr>
      <w:r>
        <w:rPr>
          <w:rFonts w:hint="eastAsia" w:ascii="宋体" w:hAnsi="宋体" w:cs="宋体"/>
          <w:color w:val="000000"/>
        </w:rPr>
        <w:t>6.2</w:t>
      </w:r>
      <w:r>
        <w:rPr>
          <w:rFonts w:hint="eastAsia" w:hAnsi="宋体"/>
          <w:color w:val="000000"/>
        </w:rPr>
        <w:t>评标结果汇总完成后，除下列情形外，任何人不得修改评标结果：</w:t>
      </w:r>
    </w:p>
    <w:p w14:paraId="41E15EE2">
      <w:pPr>
        <w:widowControl/>
        <w:spacing w:line="560" w:lineRule="exact"/>
        <w:jc w:val="left"/>
        <w:textAlignment w:val="baseline"/>
        <w:rPr>
          <w:rFonts w:hAnsi="宋体"/>
          <w:color w:val="000000"/>
        </w:rPr>
      </w:pPr>
      <w:r>
        <w:rPr>
          <w:rFonts w:hint="eastAsia" w:hAnsi="宋体"/>
          <w:color w:val="000000"/>
        </w:rPr>
        <w:t>　　（一）分值汇总计算错误的；</w:t>
      </w:r>
    </w:p>
    <w:p w14:paraId="111134CB">
      <w:pPr>
        <w:widowControl/>
        <w:spacing w:line="560" w:lineRule="exact"/>
        <w:jc w:val="left"/>
        <w:textAlignment w:val="baseline"/>
        <w:rPr>
          <w:rFonts w:hAnsi="宋体"/>
          <w:color w:val="000000"/>
        </w:rPr>
      </w:pPr>
      <w:r>
        <w:rPr>
          <w:rFonts w:hint="eastAsia" w:hAnsi="宋体"/>
          <w:color w:val="000000"/>
        </w:rPr>
        <w:t>　　（二）分项评分超出评分标准范围的；</w:t>
      </w:r>
    </w:p>
    <w:p w14:paraId="4311DF97">
      <w:pPr>
        <w:widowControl/>
        <w:spacing w:line="560" w:lineRule="exact"/>
        <w:jc w:val="left"/>
        <w:textAlignment w:val="baseline"/>
        <w:rPr>
          <w:rFonts w:hAnsi="宋体"/>
          <w:color w:val="000000"/>
        </w:rPr>
      </w:pPr>
      <w:r>
        <w:rPr>
          <w:rFonts w:hint="eastAsia" w:hAnsi="宋体"/>
          <w:color w:val="000000"/>
        </w:rPr>
        <w:t>　　（三）评标委员会成员对客观评审因素评分不一致的；</w:t>
      </w:r>
    </w:p>
    <w:p w14:paraId="4617C06A">
      <w:pPr>
        <w:widowControl/>
        <w:spacing w:line="560" w:lineRule="exact"/>
        <w:jc w:val="left"/>
        <w:textAlignment w:val="baseline"/>
        <w:rPr>
          <w:rFonts w:hAnsi="宋体"/>
          <w:color w:val="000000"/>
        </w:rPr>
      </w:pPr>
      <w:r>
        <w:rPr>
          <w:rFonts w:hint="eastAsia" w:hAnsi="宋体"/>
          <w:color w:val="000000"/>
        </w:rPr>
        <w:t>　　（四）经评标委员会认定评分畸高、畸低的。</w:t>
      </w:r>
    </w:p>
    <w:p w14:paraId="5ACDB23C">
      <w:pPr>
        <w:spacing w:line="360" w:lineRule="auto"/>
        <w:ind w:firstLine="420" w:firstLineChars="200"/>
        <w:rPr>
          <w:rFonts w:hAnsi="宋体"/>
          <w:color w:val="000000"/>
        </w:rPr>
      </w:pPr>
      <w:r>
        <w:rPr>
          <w:rFonts w:hint="eastAsia" w:hAnsi="宋体"/>
          <w:color w:val="00000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8F07106">
      <w:pPr>
        <w:pStyle w:val="3"/>
        <w:jc w:val="center"/>
        <w:rPr>
          <w:rFonts w:hint="default"/>
          <w:b w:val="0"/>
          <w:sz w:val="30"/>
          <w:szCs w:val="30"/>
        </w:rPr>
      </w:pPr>
      <w:bookmarkStart w:id="298" w:name="_Toc5755"/>
      <w:bookmarkStart w:id="299" w:name="_Toc17834"/>
      <w:bookmarkStart w:id="300" w:name="_Toc28829"/>
      <w:bookmarkStart w:id="301" w:name="_Toc19942"/>
      <w:bookmarkStart w:id="302" w:name="_Toc4866"/>
      <w:bookmarkStart w:id="303" w:name="_Toc25728"/>
      <w:bookmarkStart w:id="304" w:name="_Toc22963"/>
      <w:bookmarkStart w:id="305" w:name="_Toc13548"/>
      <w:bookmarkStart w:id="306" w:name="_Toc27331"/>
      <w:bookmarkStart w:id="307" w:name="_Toc28193"/>
      <w:r>
        <w:rPr>
          <w:b w:val="0"/>
          <w:sz w:val="30"/>
          <w:szCs w:val="30"/>
        </w:rPr>
        <w:t>第三节 评分标准</w:t>
      </w:r>
      <w:bookmarkEnd w:id="298"/>
      <w:bookmarkEnd w:id="299"/>
      <w:bookmarkEnd w:id="300"/>
      <w:bookmarkEnd w:id="301"/>
      <w:bookmarkEnd w:id="302"/>
      <w:bookmarkEnd w:id="303"/>
      <w:bookmarkEnd w:id="304"/>
      <w:bookmarkEnd w:id="305"/>
      <w:bookmarkEnd w:id="306"/>
      <w:bookmarkEnd w:id="307"/>
    </w:p>
    <w:p w14:paraId="018BFA4C">
      <w:pPr>
        <w:pStyle w:val="13"/>
        <w:jc w:val="center"/>
        <w:rPr>
          <w:rFonts w:ascii="Times New Roman" w:hAnsi="Times New Roman"/>
          <w:b/>
          <w:sz w:val="30"/>
          <w:szCs w:val="30"/>
        </w:rPr>
      </w:pPr>
      <w:r>
        <w:rPr>
          <w:rFonts w:hint="eastAsia" w:ascii="Times New Roman" w:hAnsi="Times New Roman"/>
          <w:b/>
          <w:sz w:val="30"/>
          <w:szCs w:val="30"/>
        </w:rPr>
        <w:t>综合评分法</w:t>
      </w:r>
    </w:p>
    <w:p w14:paraId="6224A2C4">
      <w:pPr>
        <w:spacing w:line="360" w:lineRule="auto"/>
        <w:ind w:firstLine="420"/>
        <w:rPr>
          <w:rFonts w:ascii="宋体" w:hAnsi="宋体"/>
          <w:bCs/>
          <w:szCs w:val="20"/>
        </w:rPr>
      </w:pPr>
    </w:p>
    <w:p w14:paraId="4D7B92DD">
      <w:pPr>
        <w:spacing w:line="360" w:lineRule="auto"/>
        <w:ind w:firstLine="420"/>
        <w:rPr>
          <w:rFonts w:ascii="宋体" w:hAnsi="宋体"/>
          <w:bCs/>
          <w:szCs w:val="20"/>
        </w:rPr>
      </w:pPr>
      <w:r>
        <w:rPr>
          <w:rFonts w:hint="eastAsia" w:ascii="宋体" w:hAnsi="宋体"/>
          <w:bCs/>
          <w:szCs w:val="20"/>
        </w:rPr>
        <w:t>注：计分方法按四舍五入取至百分位。</w:t>
      </w:r>
    </w:p>
    <w:p w14:paraId="2CD6C9B8">
      <w:pPr>
        <w:pStyle w:val="13"/>
        <w:spacing w:line="360" w:lineRule="auto"/>
        <w:ind w:firstLine="420"/>
        <w:rPr>
          <w:rFonts w:hAnsi="宋体" w:cs="宋体"/>
          <w:bCs/>
          <w:i/>
          <w:iCs/>
          <w:color w:val="000000"/>
          <w:szCs w:val="21"/>
          <w:highlight w:val="yellow"/>
        </w:rPr>
      </w:pPr>
    </w:p>
    <w:tbl>
      <w:tblPr>
        <w:tblStyle w:val="23"/>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14:paraId="3BC3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vAlign w:val="center"/>
          </w:tcPr>
          <w:p w14:paraId="38C00874">
            <w:pPr>
              <w:adjustRightInd w:val="0"/>
              <w:spacing w:line="410" w:lineRule="exact"/>
              <w:jc w:val="center"/>
              <w:textAlignment w:val="baseline"/>
              <w:rPr>
                <w:rFonts w:ascii="宋体" w:hAnsi="宋体" w:cs="宋体"/>
                <w:b/>
                <w:color w:val="000000"/>
                <w:szCs w:val="21"/>
              </w:rPr>
            </w:pPr>
            <w:r>
              <w:rPr>
                <w:rFonts w:hint="eastAsia" w:ascii="宋体" w:hAnsi="宋体" w:cs="宋体"/>
                <w:b/>
                <w:color w:val="000000"/>
                <w:szCs w:val="21"/>
              </w:rPr>
              <w:t>序号</w:t>
            </w:r>
          </w:p>
        </w:tc>
        <w:tc>
          <w:tcPr>
            <w:tcW w:w="1460" w:type="dxa"/>
            <w:vAlign w:val="center"/>
          </w:tcPr>
          <w:p w14:paraId="4D1C16FE">
            <w:pPr>
              <w:adjustRightInd w:val="0"/>
              <w:spacing w:line="410" w:lineRule="exact"/>
              <w:jc w:val="center"/>
              <w:textAlignment w:val="baseline"/>
              <w:rPr>
                <w:rFonts w:ascii="宋体" w:hAnsi="宋体" w:cs="宋体"/>
                <w:b/>
                <w:color w:val="000000"/>
                <w:szCs w:val="21"/>
              </w:rPr>
            </w:pPr>
            <w:r>
              <w:rPr>
                <w:rFonts w:hint="eastAsia" w:ascii="宋体" w:hAnsi="宋体" w:cs="宋体"/>
                <w:b/>
                <w:color w:val="000000"/>
                <w:szCs w:val="21"/>
              </w:rPr>
              <w:t>评审因素</w:t>
            </w:r>
          </w:p>
        </w:tc>
        <w:tc>
          <w:tcPr>
            <w:tcW w:w="5901" w:type="dxa"/>
            <w:vAlign w:val="center"/>
          </w:tcPr>
          <w:p w14:paraId="5D031EBF">
            <w:pPr>
              <w:adjustRightInd w:val="0"/>
              <w:spacing w:line="410" w:lineRule="exact"/>
              <w:jc w:val="center"/>
              <w:textAlignment w:val="baseline"/>
              <w:rPr>
                <w:rFonts w:ascii="宋体" w:hAnsi="宋体" w:cs="宋体"/>
                <w:b/>
                <w:color w:val="000000"/>
                <w:szCs w:val="21"/>
              </w:rPr>
            </w:pPr>
            <w:r>
              <w:rPr>
                <w:rFonts w:hint="eastAsia" w:ascii="宋体" w:hAnsi="宋体" w:cs="宋体"/>
                <w:b/>
                <w:color w:val="000000"/>
                <w:szCs w:val="21"/>
              </w:rPr>
              <w:t>评分标准</w:t>
            </w:r>
          </w:p>
        </w:tc>
      </w:tr>
      <w:tr w14:paraId="47DB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562" w:type="dxa"/>
            <w:vAlign w:val="center"/>
          </w:tcPr>
          <w:p w14:paraId="44CCD31E">
            <w:pPr>
              <w:adjustRightInd w:val="0"/>
              <w:spacing w:line="360" w:lineRule="exact"/>
              <w:jc w:val="center"/>
              <w:textAlignment w:val="baseline"/>
              <w:rPr>
                <w:rFonts w:ascii="宋体" w:hAnsi="宋体" w:cs="宋体"/>
                <w:color w:val="000000"/>
                <w:sz w:val="24"/>
              </w:rPr>
            </w:pPr>
            <w:r>
              <w:rPr>
                <w:rFonts w:hint="eastAsia" w:ascii="宋体" w:hAnsi="宋体" w:cs="宋体"/>
                <w:color w:val="000000"/>
                <w:sz w:val="24"/>
              </w:rPr>
              <w:t>1</w:t>
            </w:r>
          </w:p>
        </w:tc>
        <w:tc>
          <w:tcPr>
            <w:tcW w:w="1585" w:type="dxa"/>
            <w:vAlign w:val="center"/>
          </w:tcPr>
          <w:p w14:paraId="45E6D2FB">
            <w:pPr>
              <w:widowControl/>
              <w:snapToGrid w:val="0"/>
              <w:spacing w:line="360" w:lineRule="atLeast"/>
              <w:jc w:val="center"/>
              <w:rPr>
                <w:rFonts w:ascii="宋体" w:hAnsi="宋体" w:cs="宋体"/>
                <w:b/>
                <w:color w:val="000000"/>
                <w:kern w:val="0"/>
                <w:szCs w:val="21"/>
              </w:rPr>
            </w:pPr>
            <w:r>
              <w:rPr>
                <w:rFonts w:hint="eastAsia" w:ascii="宋体" w:hAnsi="宋体" w:cs="宋体"/>
                <w:b/>
                <w:color w:val="000000"/>
                <w:kern w:val="0"/>
                <w:szCs w:val="21"/>
              </w:rPr>
              <w:t>价格分</w:t>
            </w:r>
          </w:p>
          <w:p w14:paraId="08073687">
            <w:pPr>
              <w:widowControl/>
              <w:snapToGrid w:val="0"/>
              <w:spacing w:line="360" w:lineRule="atLeast"/>
              <w:rPr>
                <w:rFonts w:ascii="宋体" w:hAnsi="宋体" w:cs="宋体"/>
                <w:bCs/>
                <w:color w:val="000000"/>
                <w:kern w:val="0"/>
                <w:szCs w:val="21"/>
              </w:rPr>
            </w:pPr>
            <w:r>
              <w:rPr>
                <w:rFonts w:hint="eastAsia" w:ascii="宋体" w:hAnsi="宋体" w:cs="宋体"/>
                <w:bCs/>
                <w:color w:val="000000"/>
                <w:kern w:val="0"/>
                <w:szCs w:val="21"/>
              </w:rPr>
              <w:t>（满分</w:t>
            </w:r>
            <w:r>
              <w:rPr>
                <w:rFonts w:hint="eastAsia" w:ascii="宋体" w:hAnsi="宋体" w:cs="宋体"/>
                <w:bCs/>
                <w:color w:val="000000"/>
                <w:kern w:val="0"/>
                <w:szCs w:val="21"/>
                <w:u w:val="single"/>
                <w:lang w:val="en-US" w:eastAsia="zh-CN"/>
              </w:rPr>
              <w:t>3</w:t>
            </w:r>
            <w:r>
              <w:rPr>
                <w:rFonts w:hint="eastAsia" w:ascii="宋体" w:hAnsi="宋体" w:cs="宋体"/>
                <w:bCs/>
                <w:color w:val="000000"/>
                <w:kern w:val="0"/>
                <w:szCs w:val="21"/>
                <w:u w:val="single"/>
              </w:rPr>
              <w:t>0</w:t>
            </w:r>
            <w:r>
              <w:rPr>
                <w:rFonts w:hint="eastAsia" w:ascii="宋体" w:hAnsi="宋体" w:cs="宋体"/>
                <w:bCs/>
                <w:color w:val="000000"/>
                <w:kern w:val="0"/>
                <w:szCs w:val="21"/>
              </w:rPr>
              <w:t>分）</w:t>
            </w:r>
          </w:p>
          <w:p w14:paraId="6883FEF6">
            <w:pPr>
              <w:widowControl/>
              <w:snapToGrid w:val="0"/>
              <w:spacing w:line="360" w:lineRule="atLeast"/>
              <w:rPr>
                <w:rFonts w:ascii="宋体" w:hAnsi="宋体" w:cs="宋体"/>
                <w:bCs/>
                <w:color w:val="000000"/>
                <w:kern w:val="0"/>
                <w:szCs w:val="21"/>
              </w:rPr>
            </w:pPr>
          </w:p>
        </w:tc>
        <w:tc>
          <w:tcPr>
            <w:tcW w:w="1460" w:type="dxa"/>
            <w:vAlign w:val="center"/>
          </w:tcPr>
          <w:p w14:paraId="1D53A2D2">
            <w:pPr>
              <w:widowControl/>
              <w:snapToGrid w:val="0"/>
              <w:spacing w:line="360" w:lineRule="atLeast"/>
              <w:jc w:val="center"/>
              <w:rPr>
                <w:rFonts w:ascii="宋体" w:hAnsi="宋体" w:cs="宋体"/>
                <w:bCs/>
                <w:color w:val="000000"/>
                <w:kern w:val="0"/>
                <w:szCs w:val="21"/>
              </w:rPr>
            </w:pPr>
            <w:r>
              <w:rPr>
                <w:rFonts w:hint="eastAsia" w:ascii="宋体" w:hAnsi="宋体" w:cs="宋体"/>
                <w:b/>
                <w:color w:val="000000"/>
                <w:kern w:val="0"/>
                <w:szCs w:val="21"/>
              </w:rPr>
              <w:t>投标报价</w:t>
            </w:r>
          </w:p>
        </w:tc>
        <w:tc>
          <w:tcPr>
            <w:tcW w:w="5901" w:type="dxa"/>
            <w:vAlign w:val="center"/>
          </w:tcPr>
          <w:p w14:paraId="64EA00DE">
            <w:pPr>
              <w:spacing w:line="360" w:lineRule="auto"/>
              <w:ind w:firstLine="420" w:firstLineChars="200"/>
              <w:rPr>
                <w:rFonts w:ascii="宋体" w:hAnsi="宋体" w:cs="宋体"/>
                <w:bCs/>
                <w:szCs w:val="21"/>
              </w:rPr>
            </w:pPr>
            <w:r>
              <w:rPr>
                <w:rFonts w:hint="eastAsia" w:ascii="宋体" w:hAnsi="宋体" w:cs="宋体"/>
                <w:bCs/>
                <w:szCs w:val="21"/>
              </w:rPr>
              <w:t>1.1评标价为投标人的投标报价进行政策性扣除</w:t>
            </w:r>
            <w:r>
              <w:rPr>
                <w:rFonts w:hint="eastAsia"/>
                <w:lang w:val="en-US" w:eastAsia="zh-CN"/>
              </w:rPr>
              <w:t>（如有）</w:t>
            </w:r>
            <w:r>
              <w:rPr>
                <w:rFonts w:hint="eastAsia" w:ascii="宋体" w:hAnsi="宋体" w:cs="宋体"/>
                <w:bCs/>
                <w:szCs w:val="21"/>
              </w:rPr>
              <w:t>后的价格，评标价只是作为评标时使用。最终中标人的中标金额等于投标报价。</w:t>
            </w:r>
          </w:p>
          <w:p w14:paraId="4B380E04">
            <w:pPr>
              <w:spacing w:line="360" w:lineRule="auto"/>
              <w:ind w:firstLine="420" w:firstLineChars="200"/>
              <w:rPr>
                <w:rFonts w:ascii="宋体" w:hAnsi="宋体" w:cs="宋体"/>
                <w:bCs/>
                <w:szCs w:val="21"/>
              </w:rPr>
            </w:pPr>
            <w:r>
              <w:rPr>
                <w:rFonts w:hint="eastAsia" w:ascii="宋体" w:hAnsi="宋体" w:cs="宋体"/>
                <w:bCs/>
                <w:szCs w:val="21"/>
              </w:rPr>
              <w:t>1.2政策性扣除计算方法：</w:t>
            </w:r>
          </w:p>
          <w:p w14:paraId="59D53FE8">
            <w:pPr>
              <w:spacing w:line="360" w:lineRule="auto"/>
              <w:ind w:firstLine="420" w:firstLineChars="200"/>
              <w:rPr>
                <w:rFonts w:ascii="宋体" w:hAnsi="宋体" w:cs="宋体"/>
                <w:szCs w:val="21"/>
              </w:rPr>
            </w:pPr>
            <w:r>
              <w:rPr>
                <w:rFonts w:hint="eastAsia" w:ascii="宋体" w:hAnsi="宋体" w:eastAsia="宋体" w:cs="宋体"/>
                <w:color w:val="auto"/>
                <w:szCs w:val="21"/>
                <w:highlight w:val="none"/>
                <w:lang w:eastAsia="zh-CN"/>
              </w:rPr>
              <w:t>本项目为专门面向</w:t>
            </w:r>
            <w:r>
              <w:rPr>
                <w:rFonts w:hint="eastAsia" w:ascii="宋体" w:hAnsi="宋体" w:eastAsia="宋体" w:cs="宋体"/>
                <w:color w:val="auto"/>
                <w:szCs w:val="21"/>
                <w:highlight w:val="none"/>
                <w:lang w:val="en-US" w:eastAsia="zh-CN"/>
              </w:rPr>
              <w:t>中小</w:t>
            </w:r>
            <w:r>
              <w:rPr>
                <w:rFonts w:hint="eastAsia" w:ascii="宋体" w:hAnsi="宋体" w:eastAsia="宋体" w:cs="宋体"/>
                <w:color w:val="auto"/>
                <w:szCs w:val="21"/>
                <w:highlight w:val="none"/>
                <w:lang w:eastAsia="zh-CN"/>
              </w:rPr>
              <w:t>企业采购的项目，</w:t>
            </w:r>
            <w:r>
              <w:rPr>
                <w:rFonts w:hint="eastAsia" w:ascii="宋体" w:hAnsi="宋体" w:eastAsia="宋体" w:cs="宋体"/>
                <w:bCs/>
                <w:i w:val="0"/>
                <w:iCs w:val="0"/>
                <w:color w:val="auto"/>
                <w:szCs w:val="21"/>
                <w:highlight w:val="none"/>
                <w:lang w:eastAsia="zh-CN"/>
              </w:rPr>
              <w:t>按照《政府采购促进中小企业发展管理办法》（财库〔2020〕46号）的规定，对小微企业的投标报价不再执行价格评审优惠的扶持政策</w:t>
            </w:r>
            <w:r>
              <w:rPr>
                <w:rFonts w:hint="eastAsia" w:ascii="宋体" w:hAnsi="宋体" w:cs="宋体"/>
                <w:szCs w:val="21"/>
              </w:rPr>
              <w:t>。</w:t>
            </w:r>
          </w:p>
          <w:p w14:paraId="5BA0B85F">
            <w:pPr>
              <w:spacing w:line="360" w:lineRule="auto"/>
              <w:ind w:firstLine="420" w:firstLineChars="200"/>
              <w:rPr>
                <w:rFonts w:ascii="宋体" w:hAnsi="宋体" w:cs="宋体"/>
                <w:szCs w:val="21"/>
              </w:rPr>
            </w:pPr>
            <w:r>
              <w:rPr>
                <w:rFonts w:hint="eastAsia" w:ascii="宋体" w:hAnsi="宋体" w:cs="宋体"/>
                <w:szCs w:val="21"/>
              </w:rPr>
              <w:t>评标价=投标报价。</w:t>
            </w:r>
          </w:p>
          <w:p w14:paraId="4E2FD5EF">
            <w:pPr>
              <w:spacing w:line="360" w:lineRule="auto"/>
              <w:ind w:firstLine="420" w:firstLineChars="200"/>
              <w:rPr>
                <w:rFonts w:ascii="宋体" w:hAnsi="宋体" w:cs="宋体"/>
                <w:bCs/>
                <w:szCs w:val="21"/>
              </w:rPr>
            </w:pPr>
            <w:r>
              <w:rPr>
                <w:rFonts w:hint="eastAsia" w:ascii="宋体" w:hAnsi="宋体" w:cs="宋体"/>
                <w:bCs/>
                <w:szCs w:val="21"/>
              </w:rPr>
              <w:t>1.3满足招标文件要求且评标价最低的评标价为评标基准价，基准价得分为</w:t>
            </w:r>
            <w:r>
              <w:rPr>
                <w:rFonts w:hint="eastAsia" w:ascii="宋体" w:hAnsi="宋体" w:cs="宋体"/>
                <w:bCs/>
                <w:szCs w:val="21"/>
                <w:u w:val="single"/>
                <w:lang w:val="en-US" w:eastAsia="zh-CN"/>
              </w:rPr>
              <w:t>3</w:t>
            </w:r>
            <w:r>
              <w:rPr>
                <w:rFonts w:hint="eastAsia" w:ascii="宋体" w:hAnsi="宋体" w:cs="宋体"/>
                <w:bCs/>
                <w:szCs w:val="21"/>
                <w:u w:val="single"/>
              </w:rPr>
              <w:t>0</w:t>
            </w:r>
            <w:r>
              <w:rPr>
                <w:rFonts w:hint="eastAsia" w:ascii="宋体" w:hAnsi="宋体" w:cs="宋体"/>
                <w:bCs/>
                <w:szCs w:val="21"/>
              </w:rPr>
              <w:t>分。</w:t>
            </w:r>
          </w:p>
          <w:p w14:paraId="7405620B">
            <w:pPr>
              <w:spacing w:line="360" w:lineRule="auto"/>
              <w:ind w:firstLine="420" w:firstLineChars="200"/>
              <w:rPr>
                <w:rFonts w:ascii="宋体" w:hAnsi="宋体" w:cs="宋体"/>
                <w:bCs/>
                <w:szCs w:val="21"/>
              </w:rPr>
            </w:pPr>
            <w:r>
              <w:rPr>
                <w:rFonts w:hint="eastAsia" w:ascii="宋体" w:hAnsi="宋体" w:cs="宋体"/>
                <w:bCs/>
                <w:szCs w:val="21"/>
              </w:rPr>
              <w:t xml:space="preserve">1.4价格分计算公式：        </w:t>
            </w:r>
          </w:p>
          <w:p w14:paraId="2DC4CA29">
            <w:pPr>
              <w:ind w:firstLine="420" w:firstLineChars="200"/>
              <w:rPr>
                <w:rFonts w:ascii="宋体" w:hAnsi="宋体" w:cs="宋体"/>
                <w:bCs/>
              </w:rPr>
            </w:pPr>
            <w:r>
              <w:rPr>
                <w:rFonts w:hint="eastAsia" w:ascii="宋体" w:hAnsi="宋体" w:cs="宋体"/>
                <w:bCs/>
              </w:rPr>
              <w:t>价格分=(评标基准价／评标价)×</w:t>
            </w:r>
            <w:r>
              <w:rPr>
                <w:rFonts w:hint="eastAsia" w:ascii="宋体" w:hAnsi="宋体" w:cs="宋体"/>
                <w:bCs/>
                <w:u w:val="single"/>
                <w:lang w:val="en-US" w:eastAsia="zh-CN"/>
              </w:rPr>
              <w:t>3</w:t>
            </w:r>
            <w:r>
              <w:rPr>
                <w:rFonts w:hint="eastAsia" w:ascii="宋体" w:hAnsi="宋体" w:cs="宋体"/>
                <w:bCs/>
                <w:u w:val="single"/>
              </w:rPr>
              <w:t>0</w:t>
            </w:r>
            <w:r>
              <w:rPr>
                <w:rFonts w:hint="eastAsia" w:ascii="宋体" w:hAnsi="宋体" w:cs="宋体"/>
                <w:bCs/>
              </w:rPr>
              <w:t>分</w:t>
            </w:r>
          </w:p>
          <w:p w14:paraId="45C37BB7">
            <w:pPr>
              <w:widowControl/>
              <w:snapToGrid w:val="0"/>
              <w:spacing w:line="360" w:lineRule="atLeast"/>
              <w:rPr>
                <w:rFonts w:ascii="宋体" w:hAnsi="宋体" w:cs="宋体"/>
                <w:bCs/>
                <w:color w:val="000000"/>
                <w:kern w:val="0"/>
                <w:szCs w:val="21"/>
              </w:rPr>
            </w:pPr>
          </w:p>
        </w:tc>
      </w:tr>
      <w:tr w14:paraId="4C84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restart"/>
            <w:vAlign w:val="center"/>
          </w:tcPr>
          <w:p w14:paraId="7CE90B93">
            <w:pPr>
              <w:adjustRightInd w:val="0"/>
              <w:snapToGrid w:val="0"/>
              <w:spacing w:line="360" w:lineRule="atLeast"/>
              <w:jc w:val="center"/>
              <w:textAlignment w:val="baseline"/>
              <w:rPr>
                <w:rFonts w:ascii="宋体" w:hAnsi="宋体" w:cs="宋体"/>
                <w:color w:val="000000"/>
                <w:sz w:val="24"/>
              </w:rPr>
            </w:pPr>
            <w:r>
              <w:rPr>
                <w:rFonts w:hint="eastAsia" w:ascii="宋体" w:hAnsi="宋体" w:cs="宋体"/>
                <w:color w:val="000000"/>
                <w:sz w:val="24"/>
              </w:rPr>
              <w:t>2</w:t>
            </w:r>
          </w:p>
        </w:tc>
        <w:tc>
          <w:tcPr>
            <w:tcW w:w="1585" w:type="dxa"/>
            <w:vMerge w:val="restart"/>
            <w:vAlign w:val="center"/>
          </w:tcPr>
          <w:p w14:paraId="1EE18216">
            <w:pPr>
              <w:adjustRightInd w:val="0"/>
              <w:snapToGrid w:val="0"/>
              <w:spacing w:line="360" w:lineRule="atLeast"/>
              <w:ind w:left="-105" w:leftChars="-50" w:right="-105" w:rightChars="-50"/>
              <w:jc w:val="center"/>
              <w:textAlignment w:val="baseline"/>
              <w:rPr>
                <w:rFonts w:ascii="宋体" w:hAnsi="宋体" w:cs="宋体"/>
                <w:b/>
                <w:color w:val="000000"/>
                <w:kern w:val="0"/>
                <w:szCs w:val="21"/>
              </w:rPr>
            </w:pPr>
            <w:r>
              <w:rPr>
                <w:rFonts w:hint="eastAsia" w:ascii="宋体" w:hAnsi="宋体" w:cs="宋体"/>
                <w:b/>
                <w:color w:val="000000"/>
                <w:kern w:val="0"/>
                <w:szCs w:val="21"/>
              </w:rPr>
              <w:t>技术分</w:t>
            </w:r>
          </w:p>
          <w:p w14:paraId="2BE14A3A">
            <w:pPr>
              <w:adjustRightInd w:val="0"/>
              <w:snapToGrid w:val="0"/>
              <w:spacing w:line="360" w:lineRule="atLeast"/>
              <w:ind w:left="-105" w:leftChars="-50" w:right="-105" w:rightChars="-50"/>
              <w:jc w:val="center"/>
              <w:textAlignment w:val="baseline"/>
              <w:rPr>
                <w:rFonts w:ascii="宋体" w:hAnsi="宋体" w:cs="宋体"/>
                <w:bCs/>
                <w:color w:val="000000"/>
                <w:kern w:val="0"/>
                <w:szCs w:val="21"/>
              </w:rPr>
            </w:pPr>
            <w:r>
              <w:rPr>
                <w:rFonts w:hint="eastAsia" w:ascii="宋体" w:hAnsi="宋体" w:cs="宋体"/>
                <w:bCs/>
                <w:color w:val="000000"/>
                <w:kern w:val="0"/>
                <w:szCs w:val="21"/>
              </w:rPr>
              <w:t>（满分</w:t>
            </w:r>
            <w:r>
              <w:rPr>
                <w:rFonts w:hint="eastAsia" w:ascii="宋体" w:hAnsi="宋体" w:cs="宋体"/>
                <w:bCs/>
                <w:color w:val="000000"/>
                <w:kern w:val="0"/>
                <w:szCs w:val="21"/>
                <w:u w:val="single"/>
                <w:lang w:val="en-US" w:eastAsia="zh-CN"/>
              </w:rPr>
              <w:t>59</w:t>
            </w:r>
            <w:r>
              <w:rPr>
                <w:rFonts w:hint="eastAsia" w:ascii="宋体" w:hAnsi="宋体" w:cs="宋体"/>
                <w:bCs/>
                <w:color w:val="000000"/>
                <w:kern w:val="0"/>
                <w:szCs w:val="21"/>
              </w:rPr>
              <w:t>分）</w:t>
            </w:r>
          </w:p>
        </w:tc>
        <w:tc>
          <w:tcPr>
            <w:tcW w:w="1460" w:type="dxa"/>
            <w:vAlign w:val="center"/>
          </w:tcPr>
          <w:p w14:paraId="3F056749">
            <w:pPr>
              <w:snapToGrid w:val="0"/>
              <w:spacing w:line="360" w:lineRule="atLeast"/>
              <w:jc w:val="center"/>
              <w:rPr>
                <w:rFonts w:ascii="宋体" w:hAnsi="宋体" w:cs="宋体"/>
                <w:bCs/>
                <w:color w:val="000000"/>
                <w:kern w:val="0"/>
                <w:szCs w:val="21"/>
              </w:rPr>
            </w:pPr>
            <w:r>
              <w:rPr>
                <w:rFonts w:hint="eastAsia" w:hAnsi="宋体" w:cs="宋体"/>
                <w:b/>
                <w:bCs/>
                <w:sz w:val="22"/>
                <w:szCs w:val="21"/>
              </w:rPr>
              <w:t>2.1服务</w:t>
            </w:r>
            <w:r>
              <w:rPr>
                <w:rFonts w:hint="eastAsia" w:hAnsi="宋体" w:cs="宋体"/>
                <w:b/>
                <w:bCs/>
                <w:sz w:val="22"/>
                <w:szCs w:val="21"/>
                <w:lang w:eastAsia="zh-CN"/>
              </w:rPr>
              <w:t>区域</w:t>
            </w:r>
            <w:r>
              <w:rPr>
                <w:rFonts w:hint="eastAsia" w:hAnsi="宋体" w:cs="宋体"/>
                <w:b/>
                <w:bCs/>
                <w:sz w:val="22"/>
                <w:szCs w:val="21"/>
              </w:rPr>
              <w:t>保安管理措施及应急处置方案分（满分</w:t>
            </w:r>
            <w:r>
              <w:rPr>
                <w:rFonts w:hint="eastAsia" w:hAnsi="宋体" w:cs="宋体"/>
                <w:b/>
                <w:bCs/>
                <w:sz w:val="22"/>
                <w:szCs w:val="21"/>
                <w:lang w:val="en-US" w:eastAsia="zh-CN"/>
              </w:rPr>
              <w:t>10</w:t>
            </w:r>
            <w:r>
              <w:rPr>
                <w:rFonts w:hint="eastAsia" w:hAnsi="宋体" w:cs="宋体"/>
                <w:b/>
                <w:bCs/>
                <w:sz w:val="22"/>
                <w:szCs w:val="21"/>
              </w:rPr>
              <w:t>分）</w:t>
            </w:r>
          </w:p>
        </w:tc>
        <w:tc>
          <w:tcPr>
            <w:tcW w:w="5901" w:type="dxa"/>
            <w:vAlign w:val="top"/>
          </w:tcPr>
          <w:p w14:paraId="6E044DD8">
            <w:pPr>
              <w:pStyle w:val="43"/>
              <w:keepNext w:val="0"/>
              <w:keepLines w:val="0"/>
              <w:pageBreakBefore w:val="0"/>
              <w:widowControl w:val="0"/>
              <w:kinsoku/>
              <w:wordWrap/>
              <w:overflowPunct/>
              <w:topLinePunct w:val="0"/>
              <w:autoSpaceDE/>
              <w:autoSpaceDN/>
              <w:bidi w:val="0"/>
              <w:adjustRightInd/>
              <w:snapToGrid/>
              <w:spacing w:before="129" w:line="340" w:lineRule="exact"/>
              <w:ind w:right="30"/>
              <w:jc w:val="both"/>
              <w:textAlignment w:val="auto"/>
              <w:rPr>
                <w:color w:val="auto"/>
                <w:highlight w:val="none"/>
              </w:rPr>
            </w:pPr>
            <w:r>
              <w:rPr>
                <w:rFonts w:hint="eastAsia"/>
                <w:color w:val="auto"/>
                <w:spacing w:val="6"/>
                <w:highlight w:val="none"/>
                <w:lang w:eastAsia="zh-CN"/>
              </w:rPr>
              <w:t>评标委员会</w:t>
            </w:r>
            <w:r>
              <w:rPr>
                <w:rFonts w:hint="eastAsia"/>
                <w:color w:val="auto"/>
                <w:spacing w:val="6"/>
                <w:highlight w:val="none"/>
                <w:lang w:val="en-US" w:eastAsia="zh-CN"/>
              </w:rPr>
              <w:t>根据</w:t>
            </w:r>
            <w:r>
              <w:rPr>
                <w:color w:val="auto"/>
                <w:spacing w:val="6"/>
                <w:highlight w:val="none"/>
              </w:rPr>
              <w:t>投标人提供的“服务区域保安管理措施及应急处置方案预</w:t>
            </w:r>
            <w:r>
              <w:rPr>
                <w:color w:val="auto"/>
                <w:spacing w:val="-4"/>
                <w:highlight w:val="none"/>
              </w:rPr>
              <w:t>案”内容进行独</w:t>
            </w:r>
            <w:r>
              <w:rPr>
                <w:color w:val="auto"/>
                <w:spacing w:val="-5"/>
                <w:highlight w:val="none"/>
              </w:rPr>
              <w:t>立评审并独立打分。</w:t>
            </w:r>
            <w:r>
              <w:rPr>
                <w:color w:val="auto"/>
                <w:highlight w:val="none"/>
              </w:rPr>
              <w:t xml:space="preserve"> </w:t>
            </w:r>
          </w:p>
          <w:p w14:paraId="7055401A">
            <w:pPr>
              <w:pStyle w:val="43"/>
              <w:keepNext w:val="0"/>
              <w:keepLines w:val="0"/>
              <w:pageBreakBefore w:val="0"/>
              <w:widowControl w:val="0"/>
              <w:kinsoku/>
              <w:wordWrap/>
              <w:overflowPunct/>
              <w:topLinePunct w:val="0"/>
              <w:autoSpaceDE/>
              <w:autoSpaceDN/>
              <w:bidi w:val="0"/>
              <w:adjustRightInd/>
              <w:snapToGrid/>
              <w:spacing w:before="129" w:line="340" w:lineRule="exact"/>
              <w:ind w:right="30" w:firstLine="412" w:firstLineChars="200"/>
              <w:jc w:val="both"/>
              <w:textAlignment w:val="auto"/>
              <w:rPr>
                <w:color w:val="auto"/>
                <w:highlight w:val="none"/>
              </w:rPr>
            </w:pPr>
            <w:r>
              <w:rPr>
                <w:color w:val="auto"/>
                <w:spacing w:val="-2"/>
                <w:highlight w:val="none"/>
              </w:rPr>
              <w:t xml:space="preserve">一档(0分)： </w:t>
            </w:r>
            <w:r>
              <w:rPr>
                <w:rFonts w:hint="eastAsia"/>
                <w:color w:val="auto"/>
                <w:spacing w:val="-2"/>
                <w:highlight w:val="none"/>
                <w:lang w:val="en-US" w:eastAsia="zh-CN"/>
              </w:rPr>
              <w:t>未提供</w:t>
            </w:r>
            <w:r>
              <w:rPr>
                <w:color w:val="auto"/>
                <w:spacing w:val="-2"/>
                <w:highlight w:val="none"/>
              </w:rPr>
              <w:t>服务</w:t>
            </w:r>
            <w:r>
              <w:rPr>
                <w:rFonts w:hint="eastAsia"/>
                <w:color w:val="auto"/>
                <w:spacing w:val="-2"/>
                <w:highlight w:val="none"/>
                <w:lang w:eastAsia="zh-CN"/>
              </w:rPr>
              <w:t>区域</w:t>
            </w:r>
            <w:r>
              <w:rPr>
                <w:color w:val="auto"/>
                <w:spacing w:val="-2"/>
                <w:highlight w:val="none"/>
              </w:rPr>
              <w:t>保安管理措施及应急处置方案</w:t>
            </w:r>
            <w:r>
              <w:rPr>
                <w:rFonts w:hint="eastAsia"/>
                <w:color w:val="auto"/>
                <w:spacing w:val="-2"/>
                <w:highlight w:val="none"/>
                <w:lang w:val="en-US" w:eastAsia="zh-CN"/>
              </w:rPr>
              <w:t>或方案未达最低档的得0分</w:t>
            </w:r>
            <w:r>
              <w:rPr>
                <w:color w:val="auto"/>
                <w:spacing w:val="-3"/>
                <w:highlight w:val="none"/>
              </w:rPr>
              <w:t>；</w:t>
            </w:r>
          </w:p>
          <w:p w14:paraId="4914B0A7">
            <w:pPr>
              <w:pStyle w:val="43"/>
              <w:keepNext w:val="0"/>
              <w:keepLines w:val="0"/>
              <w:pageBreakBefore w:val="0"/>
              <w:widowControl w:val="0"/>
              <w:kinsoku/>
              <w:wordWrap/>
              <w:overflowPunct/>
              <w:topLinePunct w:val="0"/>
              <w:autoSpaceDE/>
              <w:autoSpaceDN/>
              <w:bidi w:val="0"/>
              <w:adjustRightInd/>
              <w:snapToGrid/>
              <w:spacing w:before="38" w:line="340" w:lineRule="exact"/>
              <w:ind w:right="72" w:firstLine="416" w:firstLineChars="200"/>
              <w:jc w:val="both"/>
              <w:textAlignment w:val="auto"/>
              <w:rPr>
                <w:color w:val="auto"/>
                <w:highlight w:val="none"/>
              </w:rPr>
            </w:pPr>
            <w:r>
              <w:rPr>
                <w:color w:val="auto"/>
                <w:spacing w:val="-1"/>
                <w:highlight w:val="none"/>
              </w:rPr>
              <w:t>二档(</w:t>
            </w:r>
            <w:r>
              <w:rPr>
                <w:rFonts w:hint="eastAsia"/>
                <w:color w:val="auto"/>
                <w:spacing w:val="-1"/>
                <w:highlight w:val="none"/>
                <w:lang w:val="en-US" w:eastAsia="zh-CN"/>
              </w:rPr>
              <w:t>2</w:t>
            </w:r>
            <w:r>
              <w:rPr>
                <w:color w:val="auto"/>
                <w:spacing w:val="-1"/>
                <w:highlight w:val="none"/>
              </w:rPr>
              <w:t>分) ：方案简单，不够切合项目实</w:t>
            </w:r>
            <w:r>
              <w:rPr>
                <w:color w:val="auto"/>
                <w:spacing w:val="-3"/>
                <w:highlight w:val="none"/>
              </w:rPr>
              <w:t>际情况；管理措施及应急处置方案预案等不够明</w:t>
            </w:r>
            <w:r>
              <w:rPr>
                <w:color w:val="auto"/>
                <w:spacing w:val="-4"/>
                <w:highlight w:val="none"/>
              </w:rPr>
              <w:t>确，</w:t>
            </w:r>
            <w:r>
              <w:rPr>
                <w:color w:val="auto"/>
                <w:spacing w:val="-2"/>
                <w:highlight w:val="none"/>
              </w:rPr>
              <w:t>基本满足</w:t>
            </w:r>
            <w:r>
              <w:rPr>
                <w:rFonts w:hint="eastAsia"/>
                <w:color w:val="auto"/>
                <w:spacing w:val="-2"/>
                <w:highlight w:val="none"/>
                <w:lang w:val="en-US" w:eastAsia="zh-CN"/>
              </w:rPr>
              <w:t>采购需求</w:t>
            </w:r>
            <w:r>
              <w:rPr>
                <w:color w:val="auto"/>
                <w:spacing w:val="-2"/>
                <w:highlight w:val="none"/>
              </w:rPr>
              <w:t>；</w:t>
            </w:r>
          </w:p>
          <w:p w14:paraId="2BD90078">
            <w:pPr>
              <w:pStyle w:val="43"/>
              <w:keepNext w:val="0"/>
              <w:keepLines w:val="0"/>
              <w:pageBreakBefore w:val="0"/>
              <w:widowControl w:val="0"/>
              <w:kinsoku/>
              <w:wordWrap/>
              <w:overflowPunct/>
              <w:topLinePunct w:val="0"/>
              <w:autoSpaceDE/>
              <w:autoSpaceDN/>
              <w:bidi w:val="0"/>
              <w:adjustRightInd/>
              <w:snapToGrid/>
              <w:spacing w:before="38" w:line="340" w:lineRule="exact"/>
              <w:ind w:right="103" w:firstLine="428" w:firstLineChars="200"/>
              <w:textAlignment w:val="auto"/>
              <w:rPr>
                <w:color w:val="auto"/>
                <w:highlight w:val="none"/>
              </w:rPr>
            </w:pPr>
            <w:r>
              <w:rPr>
                <w:color w:val="auto"/>
                <w:spacing w:val="2"/>
                <w:highlight w:val="none"/>
              </w:rPr>
              <w:t>三档(</w:t>
            </w:r>
            <w:r>
              <w:rPr>
                <w:rFonts w:hint="eastAsia"/>
                <w:color w:val="auto"/>
                <w:spacing w:val="2"/>
                <w:highlight w:val="none"/>
                <w:lang w:val="en-US" w:eastAsia="zh-CN"/>
              </w:rPr>
              <w:t>4</w:t>
            </w:r>
            <w:r>
              <w:rPr>
                <w:color w:val="auto"/>
                <w:spacing w:val="2"/>
                <w:highlight w:val="none"/>
              </w:rPr>
              <w:t>分)：对项目总体有基本理解，管理措</w:t>
            </w:r>
            <w:r>
              <w:rPr>
                <w:color w:val="auto"/>
                <w:highlight w:val="none"/>
              </w:rPr>
              <w:t>施及应急处置方案预案明确、可行，有一定的针对性；</w:t>
            </w:r>
          </w:p>
          <w:p w14:paraId="5B9607C9">
            <w:pPr>
              <w:pStyle w:val="43"/>
              <w:keepNext w:val="0"/>
              <w:keepLines w:val="0"/>
              <w:pageBreakBefore w:val="0"/>
              <w:widowControl w:val="0"/>
              <w:kinsoku/>
              <w:wordWrap/>
              <w:overflowPunct/>
              <w:topLinePunct w:val="0"/>
              <w:autoSpaceDE/>
              <w:autoSpaceDN/>
              <w:bidi w:val="0"/>
              <w:adjustRightInd/>
              <w:snapToGrid/>
              <w:spacing w:before="44" w:line="340" w:lineRule="exact"/>
              <w:ind w:right="71" w:firstLine="392" w:firstLineChars="200"/>
              <w:jc w:val="both"/>
              <w:textAlignment w:val="auto"/>
              <w:rPr>
                <w:color w:val="auto"/>
                <w:highlight w:val="none"/>
              </w:rPr>
            </w:pPr>
            <w:r>
              <w:rPr>
                <w:color w:val="auto"/>
                <w:spacing w:val="-7"/>
                <w:highlight w:val="none"/>
              </w:rPr>
              <w:t>四档(</w:t>
            </w:r>
            <w:r>
              <w:rPr>
                <w:rFonts w:hint="eastAsia"/>
                <w:color w:val="auto"/>
                <w:spacing w:val="-7"/>
                <w:highlight w:val="none"/>
                <w:lang w:val="en-US" w:eastAsia="zh-CN"/>
              </w:rPr>
              <w:t>6</w:t>
            </w:r>
            <w:r>
              <w:rPr>
                <w:color w:val="auto"/>
                <w:spacing w:val="-7"/>
                <w:highlight w:val="none"/>
              </w:rPr>
              <w:t>分) ：在三档基础上，</w:t>
            </w:r>
            <w:r>
              <w:rPr>
                <w:rFonts w:hint="eastAsia"/>
                <w:color w:val="auto"/>
                <w:spacing w:val="-7"/>
                <w:highlight w:val="none"/>
                <w:lang w:val="en-US" w:eastAsia="zh-CN"/>
              </w:rPr>
              <w:t>方案</w:t>
            </w:r>
            <w:r>
              <w:rPr>
                <w:color w:val="auto"/>
                <w:spacing w:val="-7"/>
                <w:highlight w:val="none"/>
              </w:rPr>
              <w:t>有较</w:t>
            </w:r>
            <w:r>
              <w:rPr>
                <w:rFonts w:hint="eastAsia"/>
                <w:color w:val="auto"/>
                <w:spacing w:val="-7"/>
                <w:highlight w:val="none"/>
                <w:lang w:val="en-US" w:eastAsia="zh-CN"/>
              </w:rPr>
              <w:t>详细</w:t>
            </w:r>
            <w:r>
              <w:rPr>
                <w:color w:val="auto"/>
                <w:spacing w:val="-7"/>
                <w:highlight w:val="none"/>
              </w:rPr>
              <w:t>的</w:t>
            </w:r>
            <w:r>
              <w:rPr>
                <w:color w:val="auto"/>
                <w:spacing w:val="-5"/>
                <w:highlight w:val="none"/>
              </w:rPr>
              <w:t>描述，</w:t>
            </w:r>
            <w:r>
              <w:rPr>
                <w:color w:val="auto"/>
                <w:spacing w:val="-46"/>
                <w:highlight w:val="none"/>
              </w:rPr>
              <w:t xml:space="preserve"> </w:t>
            </w:r>
            <w:r>
              <w:rPr>
                <w:color w:val="auto"/>
                <w:spacing w:val="-5"/>
                <w:highlight w:val="none"/>
              </w:rPr>
              <w:t>管理措施及应急处置方案预案符合</w:t>
            </w:r>
            <w:r>
              <w:rPr>
                <w:rFonts w:hint="eastAsia"/>
                <w:color w:val="auto"/>
                <w:spacing w:val="-2"/>
                <w:highlight w:val="none"/>
                <w:lang w:val="en-US" w:eastAsia="zh-CN"/>
              </w:rPr>
              <w:t>采购需求</w:t>
            </w:r>
            <w:r>
              <w:rPr>
                <w:color w:val="auto"/>
                <w:spacing w:val="-13"/>
                <w:highlight w:val="none"/>
              </w:rPr>
              <w:t>；</w:t>
            </w:r>
          </w:p>
          <w:p w14:paraId="1250AAA9">
            <w:pPr>
              <w:pStyle w:val="43"/>
              <w:keepNext w:val="0"/>
              <w:keepLines w:val="0"/>
              <w:pageBreakBefore w:val="0"/>
              <w:widowControl w:val="0"/>
              <w:kinsoku/>
              <w:wordWrap/>
              <w:overflowPunct/>
              <w:topLinePunct w:val="0"/>
              <w:autoSpaceDE/>
              <w:autoSpaceDN/>
              <w:bidi w:val="0"/>
              <w:adjustRightInd/>
              <w:snapToGrid/>
              <w:spacing w:before="38" w:line="340" w:lineRule="exact"/>
              <w:ind w:right="71" w:rightChars="0" w:firstLine="420" w:firstLineChars="200"/>
              <w:textAlignment w:val="auto"/>
              <w:rPr>
                <w:rFonts w:ascii="宋体" w:hAnsi="宋体" w:cs="宋体"/>
                <w:bCs/>
                <w:color w:val="000000"/>
                <w:kern w:val="0"/>
                <w:szCs w:val="21"/>
              </w:rPr>
            </w:pPr>
            <w:r>
              <w:rPr>
                <w:color w:val="auto"/>
                <w:highlight w:val="none"/>
              </w:rPr>
              <w:t>五档(</w:t>
            </w:r>
            <w:r>
              <w:rPr>
                <w:rFonts w:hint="eastAsia"/>
                <w:color w:val="auto"/>
                <w:highlight w:val="none"/>
                <w:lang w:val="en-US" w:eastAsia="zh-CN"/>
              </w:rPr>
              <w:t>10</w:t>
            </w:r>
            <w:r>
              <w:rPr>
                <w:color w:val="auto"/>
                <w:highlight w:val="none"/>
              </w:rPr>
              <w:t>分)：完全符</w:t>
            </w:r>
            <w:r>
              <w:rPr>
                <w:color w:val="auto"/>
                <w:spacing w:val="-1"/>
                <w:highlight w:val="none"/>
              </w:rPr>
              <w:t>合项目需求及实际情况；</w:t>
            </w:r>
            <w:r>
              <w:rPr>
                <w:color w:val="auto"/>
                <w:spacing w:val="-3"/>
                <w:highlight w:val="none"/>
              </w:rPr>
              <w:t>方案</w:t>
            </w:r>
            <w:r>
              <w:rPr>
                <w:rFonts w:hint="eastAsia"/>
                <w:color w:val="auto"/>
                <w:spacing w:val="-3"/>
                <w:highlight w:val="none"/>
                <w:lang w:val="en-US" w:eastAsia="zh-CN"/>
              </w:rPr>
              <w:t>具体</w:t>
            </w:r>
            <w:r>
              <w:rPr>
                <w:color w:val="auto"/>
                <w:spacing w:val="-3"/>
                <w:highlight w:val="none"/>
              </w:rPr>
              <w:t>详细，管理措施及应急处置方案预案详细</w:t>
            </w:r>
            <w:r>
              <w:rPr>
                <w:color w:val="auto"/>
                <w:spacing w:val="-4"/>
                <w:highlight w:val="none"/>
              </w:rPr>
              <w:t>可行，</w:t>
            </w:r>
            <w:r>
              <w:rPr>
                <w:rFonts w:hint="eastAsia"/>
                <w:color w:val="auto"/>
                <w:spacing w:val="-4"/>
                <w:highlight w:val="none"/>
                <w:lang w:val="en-US" w:eastAsia="zh-CN"/>
              </w:rPr>
              <w:t>有</w:t>
            </w:r>
            <w:r>
              <w:rPr>
                <w:color w:val="auto"/>
                <w:spacing w:val="-4"/>
                <w:highlight w:val="none"/>
              </w:rPr>
              <w:t>针对性。</w:t>
            </w:r>
          </w:p>
        </w:tc>
      </w:tr>
      <w:tr w14:paraId="1EB7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continue"/>
            <w:vAlign w:val="center"/>
          </w:tcPr>
          <w:p w14:paraId="66532376">
            <w:pPr>
              <w:adjustRightInd w:val="0"/>
              <w:snapToGrid w:val="0"/>
              <w:spacing w:line="360" w:lineRule="atLeast"/>
              <w:jc w:val="center"/>
              <w:textAlignment w:val="baseline"/>
              <w:rPr>
                <w:rFonts w:ascii="宋体" w:hAnsi="宋体" w:cs="宋体"/>
                <w:color w:val="000000"/>
                <w:sz w:val="24"/>
              </w:rPr>
            </w:pPr>
          </w:p>
        </w:tc>
        <w:tc>
          <w:tcPr>
            <w:tcW w:w="1585" w:type="dxa"/>
            <w:vMerge w:val="continue"/>
            <w:vAlign w:val="center"/>
          </w:tcPr>
          <w:p w14:paraId="79BFB9CC">
            <w:pPr>
              <w:adjustRightInd w:val="0"/>
              <w:snapToGrid w:val="0"/>
              <w:spacing w:line="360" w:lineRule="atLeast"/>
              <w:ind w:left="-105" w:leftChars="-50" w:right="-105" w:rightChars="-50"/>
              <w:jc w:val="center"/>
              <w:textAlignment w:val="baseline"/>
              <w:rPr>
                <w:rFonts w:ascii="宋体" w:hAnsi="宋体" w:cs="宋体"/>
                <w:bCs/>
                <w:color w:val="000000"/>
                <w:kern w:val="0"/>
                <w:szCs w:val="21"/>
              </w:rPr>
            </w:pPr>
          </w:p>
        </w:tc>
        <w:tc>
          <w:tcPr>
            <w:tcW w:w="1460" w:type="dxa"/>
            <w:vAlign w:val="center"/>
          </w:tcPr>
          <w:p w14:paraId="48DD86EA">
            <w:pPr>
              <w:snapToGrid w:val="0"/>
              <w:spacing w:line="360" w:lineRule="atLeast"/>
              <w:jc w:val="center"/>
              <w:rPr>
                <w:rFonts w:ascii="宋体" w:hAnsi="宋体" w:cs="宋体"/>
                <w:b/>
                <w:color w:val="000000"/>
                <w:kern w:val="0"/>
                <w:szCs w:val="21"/>
              </w:rPr>
            </w:pPr>
            <w:r>
              <w:rPr>
                <w:rFonts w:hint="eastAsia" w:hAnsi="宋体" w:cs="Courier New"/>
                <w:b/>
                <w:sz w:val="22"/>
                <w:szCs w:val="21"/>
              </w:rPr>
              <w:t>2.2</w:t>
            </w:r>
            <w:r>
              <w:rPr>
                <w:rFonts w:hint="eastAsia" w:hAnsi="宋体" w:cs="Courier New"/>
                <w:b/>
                <w:sz w:val="22"/>
                <w:szCs w:val="21"/>
                <w:lang w:eastAsia="zh-CN"/>
              </w:rPr>
              <w:t>管理</w:t>
            </w:r>
            <w:r>
              <w:rPr>
                <w:rFonts w:hint="eastAsia" w:hAnsi="宋体" w:cs="Courier New"/>
                <w:b/>
                <w:sz w:val="22"/>
                <w:szCs w:val="21"/>
              </w:rPr>
              <w:t>制度、服务规范和工作计划(满</w:t>
            </w:r>
            <w:r>
              <w:rPr>
                <w:rFonts w:hint="eastAsia" w:hAnsi="宋体" w:cs="Courier New"/>
                <w:b/>
                <w:sz w:val="22"/>
                <w:szCs w:val="21"/>
                <w:lang w:val="en-US" w:eastAsia="zh-CN"/>
              </w:rPr>
              <w:t>分10</w:t>
            </w:r>
            <w:r>
              <w:rPr>
                <w:rFonts w:hint="eastAsia" w:hAnsi="宋体" w:cs="Courier New"/>
                <w:b/>
                <w:sz w:val="22"/>
                <w:szCs w:val="21"/>
              </w:rPr>
              <w:t>分)</w:t>
            </w:r>
          </w:p>
        </w:tc>
        <w:tc>
          <w:tcPr>
            <w:tcW w:w="5901" w:type="dxa"/>
            <w:vAlign w:val="center"/>
          </w:tcPr>
          <w:p w14:paraId="1D3F868F">
            <w:pPr>
              <w:pStyle w:val="43"/>
              <w:spacing w:before="96" w:line="314" w:lineRule="auto"/>
              <w:ind w:left="114" w:right="87" w:firstLine="24"/>
              <w:jc w:val="both"/>
            </w:pPr>
            <w:r>
              <w:rPr>
                <w:spacing w:val="-10"/>
              </w:rPr>
              <w:t>由评标委员会根据</w:t>
            </w:r>
            <w:r>
              <w:rPr>
                <w:rFonts w:hint="eastAsia"/>
                <w:lang w:val="en-US" w:eastAsia="zh-CN"/>
              </w:rPr>
              <w:t>投标人提供</w:t>
            </w:r>
            <w:r>
              <w:rPr>
                <w:spacing w:val="-10"/>
              </w:rPr>
              <w:t>的管理制度、服务</w:t>
            </w:r>
            <w:r>
              <w:rPr>
                <w:spacing w:val="-11"/>
              </w:rPr>
              <w:t>规范和工作计划</w:t>
            </w:r>
            <w:r>
              <w:rPr>
                <w:spacing w:val="-2"/>
              </w:rPr>
              <w:t>进行独立评审打分。</w:t>
            </w:r>
          </w:p>
          <w:p w14:paraId="2C8D0075">
            <w:pPr>
              <w:pStyle w:val="43"/>
              <w:spacing w:before="130" w:line="316" w:lineRule="auto"/>
              <w:ind w:left="113" w:right="109" w:firstLine="412"/>
            </w:pPr>
            <w:r>
              <w:rPr>
                <w:spacing w:val="-3"/>
              </w:rPr>
              <w:t>一档(0</w:t>
            </w:r>
            <w:r>
              <w:rPr>
                <w:spacing w:val="-42"/>
              </w:rPr>
              <w:t xml:space="preserve"> </w:t>
            </w:r>
            <w:r>
              <w:rPr>
                <w:spacing w:val="-3"/>
              </w:rPr>
              <w:t>分)：未提供管理制度、服务规范和工作计划或该内容未</w:t>
            </w:r>
            <w:r>
              <w:rPr>
                <w:spacing w:val="4"/>
              </w:rPr>
              <w:t>达最低档的得</w:t>
            </w:r>
            <w:r>
              <w:rPr>
                <w:spacing w:val="-29"/>
              </w:rPr>
              <w:t xml:space="preserve"> </w:t>
            </w:r>
            <w:r>
              <w:rPr>
                <w:spacing w:val="4"/>
              </w:rPr>
              <w:t>0</w:t>
            </w:r>
            <w:r>
              <w:rPr>
                <w:spacing w:val="-38"/>
              </w:rPr>
              <w:t xml:space="preserve"> </w:t>
            </w:r>
            <w:r>
              <w:rPr>
                <w:spacing w:val="4"/>
              </w:rPr>
              <w:t>分；</w:t>
            </w:r>
          </w:p>
          <w:p w14:paraId="42BEEA5B">
            <w:pPr>
              <w:pStyle w:val="43"/>
              <w:spacing w:before="136" w:line="314" w:lineRule="auto"/>
              <w:ind w:left="116" w:right="171" w:firstLine="396"/>
              <w:rPr>
                <w:spacing w:val="2"/>
              </w:rPr>
            </w:pPr>
            <w:r>
              <w:rPr>
                <w:spacing w:val="-1"/>
              </w:rPr>
              <w:t>二档(2</w:t>
            </w:r>
            <w:r>
              <w:rPr>
                <w:spacing w:val="-42"/>
              </w:rPr>
              <w:t xml:space="preserve"> </w:t>
            </w:r>
            <w:r>
              <w:rPr>
                <w:spacing w:val="-1"/>
              </w:rPr>
              <w:t>分) ：</w:t>
            </w:r>
            <w:r>
              <w:rPr>
                <w:rFonts w:hint="default" w:ascii="宋体" w:hAnsi="宋体" w:eastAsia="宋体" w:cs="宋体"/>
                <w:b w:val="0"/>
                <w:bCs w:val="0"/>
                <w:color w:val="auto"/>
                <w:spacing w:val="-2"/>
                <w:kern w:val="2"/>
                <w:sz w:val="21"/>
                <w:szCs w:val="21"/>
                <w:highlight w:val="none"/>
                <w:lang w:val="en-US" w:eastAsia="zh-CN" w:bidi="ar-SA"/>
              </w:rPr>
              <w:t>管理制度、服务规范和工作计划设置贴合基础需求，确立管理目标，管理制度可落地执行，明确岗位职责、服务规范，管理制度和工作计划内容简略</w:t>
            </w:r>
            <w:r>
              <w:rPr>
                <w:rFonts w:hint="eastAsia" w:ascii="宋体" w:hAnsi="宋体" w:eastAsia="宋体" w:cs="宋体"/>
                <w:b w:val="0"/>
                <w:bCs w:val="0"/>
                <w:color w:val="auto"/>
                <w:spacing w:val="-2"/>
                <w:kern w:val="2"/>
                <w:sz w:val="21"/>
                <w:szCs w:val="21"/>
                <w:highlight w:val="none"/>
                <w:lang w:val="en-US" w:eastAsia="zh-CN" w:bidi="ar-SA"/>
              </w:rPr>
              <w:t>；</w:t>
            </w:r>
          </w:p>
          <w:p w14:paraId="2111A224">
            <w:pPr>
              <w:pStyle w:val="43"/>
              <w:spacing w:before="17" w:line="314" w:lineRule="auto"/>
              <w:ind w:left="116" w:right="173" w:firstLine="405"/>
              <w:jc w:val="both"/>
              <w:rPr>
                <w:spacing w:val="1"/>
              </w:rPr>
            </w:pPr>
            <w:r>
              <w:rPr>
                <w:spacing w:val="2"/>
              </w:rPr>
              <w:t>三档(</w:t>
            </w:r>
            <w:r>
              <w:rPr>
                <w:rFonts w:hint="eastAsia"/>
                <w:spacing w:val="2"/>
                <w:lang w:val="en-US" w:eastAsia="zh-CN"/>
              </w:rPr>
              <w:t>4</w:t>
            </w:r>
            <w:r>
              <w:rPr>
                <w:spacing w:val="-40"/>
              </w:rPr>
              <w:t xml:space="preserve"> </w:t>
            </w:r>
            <w:r>
              <w:rPr>
                <w:spacing w:val="2"/>
              </w:rPr>
              <w:t>分)：</w:t>
            </w:r>
            <w:r>
              <w:rPr>
                <w:rFonts w:hint="default" w:ascii="宋体" w:hAnsi="宋体" w:eastAsia="宋体" w:cs="宋体"/>
                <w:b w:val="0"/>
                <w:bCs w:val="0"/>
                <w:color w:val="auto"/>
                <w:spacing w:val="-2"/>
                <w:kern w:val="2"/>
                <w:sz w:val="21"/>
                <w:szCs w:val="21"/>
                <w:highlight w:val="none"/>
                <w:lang w:val="en-US" w:eastAsia="zh-CN" w:bidi="ar-SA"/>
              </w:rPr>
              <w:t>管理制度、服务规范和工作计划设置适配项目需求，目标界定清晰，具备具体的组织管理制度，岗位职责界定清晰，管理制度和工作计划内容具体</w:t>
            </w:r>
            <w:r>
              <w:rPr>
                <w:spacing w:val="1"/>
              </w:rPr>
              <w:t>；</w:t>
            </w:r>
          </w:p>
          <w:p w14:paraId="6CE2DF8F">
            <w:pPr>
              <w:pStyle w:val="43"/>
              <w:spacing w:before="13" w:line="300" w:lineRule="auto"/>
              <w:ind w:left="114" w:right="166" w:firstLine="407"/>
            </w:pPr>
            <w:r>
              <w:rPr>
                <w:spacing w:val="-5"/>
              </w:rPr>
              <w:t>四档(</w:t>
            </w:r>
            <w:r>
              <w:rPr>
                <w:rFonts w:hint="eastAsia"/>
                <w:spacing w:val="-5"/>
                <w:lang w:val="en-US" w:eastAsia="zh-CN"/>
              </w:rPr>
              <w:t>6</w:t>
            </w:r>
            <w:r>
              <w:rPr>
                <w:spacing w:val="-5"/>
              </w:rPr>
              <w:t>分)：在三档基础上管理制度详细，岗位职责明确，管理</w:t>
            </w:r>
            <w:r>
              <w:t xml:space="preserve"> </w:t>
            </w:r>
            <w:r>
              <w:rPr>
                <w:spacing w:val="1"/>
              </w:rPr>
              <w:t>制度和工作计划详细可行，有一定的</w:t>
            </w:r>
            <w:r>
              <w:rPr>
                <w:spacing w:val="-52"/>
              </w:rPr>
              <w:t xml:space="preserve"> </w:t>
            </w:r>
            <w:r>
              <w:rPr>
                <w:spacing w:val="1"/>
              </w:rPr>
              <w:t>针对性；</w:t>
            </w:r>
          </w:p>
          <w:p w14:paraId="7CF0E769">
            <w:pPr>
              <w:keepNext w:val="0"/>
              <w:keepLines w:val="0"/>
              <w:pageBreakBefore w:val="0"/>
              <w:widowControl w:val="0"/>
              <w:kinsoku/>
              <w:wordWrap/>
              <w:overflowPunct/>
              <w:topLinePunct w:val="0"/>
              <w:autoSpaceDE/>
              <w:autoSpaceDN/>
              <w:bidi w:val="0"/>
              <w:adjustRightInd/>
              <w:snapToGrid/>
              <w:spacing w:line="340" w:lineRule="exact"/>
              <w:ind w:right="0" w:rightChars="0" w:firstLine="420" w:firstLineChars="200"/>
              <w:jc w:val="both"/>
              <w:textAlignment w:val="auto"/>
              <w:rPr>
                <w:rFonts w:ascii="宋体" w:hAnsi="宋体" w:cs="宋体"/>
                <w:bCs/>
                <w:color w:val="000000"/>
                <w:kern w:val="0"/>
                <w:szCs w:val="21"/>
              </w:rPr>
            </w:pPr>
            <w:r>
              <w:t>五档</w:t>
            </w:r>
            <w:r>
              <w:rPr>
                <w:rFonts w:ascii="Times New Roman" w:hAnsi="Times New Roman" w:eastAsia="Times New Roman" w:cs="Times New Roman"/>
              </w:rPr>
              <w:t>(</w:t>
            </w:r>
            <w:r>
              <w:rPr>
                <w:rFonts w:hint="eastAsia" w:ascii="Times New Roman" w:hAnsi="Times New Roman" w:cs="Times New Roman"/>
                <w:lang w:val="en-US" w:eastAsia="zh-CN"/>
              </w:rPr>
              <w:t>10</w:t>
            </w:r>
            <w:r>
              <w:t>分</w:t>
            </w:r>
            <w:r>
              <w:rPr>
                <w:rFonts w:ascii="Times New Roman" w:hAnsi="Times New Roman" w:eastAsia="Times New Roman" w:cs="Times New Roman"/>
              </w:rPr>
              <w:t xml:space="preserve">)  </w:t>
            </w:r>
            <w:r>
              <w:t>：管理制度、服务规范和工作计划详细、明确</w:t>
            </w:r>
            <w:r>
              <w:rPr>
                <w:spacing w:val="-1"/>
              </w:rPr>
              <w:t>，对</w:t>
            </w:r>
            <w:r>
              <w:t xml:space="preserve"> </w:t>
            </w:r>
            <w:r>
              <w:rPr>
                <w:spacing w:val="-6"/>
              </w:rPr>
              <w:t>项目实施能因地制宜，有操作性、针对性。</w:t>
            </w:r>
          </w:p>
        </w:tc>
      </w:tr>
      <w:tr w14:paraId="22B9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continue"/>
            <w:vAlign w:val="center"/>
          </w:tcPr>
          <w:p w14:paraId="4994EC17">
            <w:pPr>
              <w:adjustRightInd w:val="0"/>
              <w:snapToGrid w:val="0"/>
              <w:spacing w:line="360" w:lineRule="atLeast"/>
              <w:jc w:val="center"/>
              <w:textAlignment w:val="baseline"/>
              <w:rPr>
                <w:rFonts w:ascii="宋体" w:hAnsi="宋体" w:cs="宋体"/>
                <w:color w:val="000000"/>
                <w:sz w:val="24"/>
              </w:rPr>
            </w:pPr>
          </w:p>
        </w:tc>
        <w:tc>
          <w:tcPr>
            <w:tcW w:w="1585" w:type="dxa"/>
            <w:vMerge w:val="continue"/>
            <w:vAlign w:val="center"/>
          </w:tcPr>
          <w:p w14:paraId="50C1DB97">
            <w:pPr>
              <w:adjustRightInd w:val="0"/>
              <w:snapToGrid w:val="0"/>
              <w:spacing w:line="360" w:lineRule="atLeast"/>
              <w:ind w:left="-105" w:leftChars="-50" w:right="-105" w:rightChars="-50"/>
              <w:jc w:val="center"/>
              <w:textAlignment w:val="baseline"/>
              <w:rPr>
                <w:rFonts w:ascii="宋体" w:hAnsi="宋体" w:cs="宋体"/>
                <w:bCs/>
                <w:color w:val="000000"/>
                <w:kern w:val="0"/>
                <w:szCs w:val="21"/>
              </w:rPr>
            </w:pPr>
          </w:p>
        </w:tc>
        <w:tc>
          <w:tcPr>
            <w:tcW w:w="1460" w:type="dxa"/>
            <w:vAlign w:val="center"/>
          </w:tcPr>
          <w:p w14:paraId="5C235D63">
            <w:pPr>
              <w:snapToGrid w:val="0"/>
              <w:spacing w:line="360" w:lineRule="atLeast"/>
              <w:jc w:val="center"/>
              <w:rPr>
                <w:rFonts w:ascii="宋体" w:hAnsi="宋体" w:cs="宋体"/>
                <w:b/>
                <w:color w:val="000000"/>
                <w:kern w:val="0"/>
                <w:szCs w:val="21"/>
              </w:rPr>
            </w:pPr>
            <w:r>
              <w:rPr>
                <w:rFonts w:hint="eastAsia" w:hAnsi="宋体" w:cs="Courier New"/>
                <w:b/>
                <w:sz w:val="22"/>
                <w:szCs w:val="21"/>
              </w:rPr>
              <w:t>2.3</w:t>
            </w:r>
            <w:r>
              <w:rPr>
                <w:rFonts w:hint="eastAsia" w:ascii="Times New Roman" w:hAnsi="宋体" w:eastAsia="宋体" w:cs="Courier New"/>
                <w:b/>
                <w:sz w:val="22"/>
                <w:szCs w:val="21"/>
                <w:lang w:eastAsia="zh-CN"/>
              </w:rPr>
              <w:t>人员配备(满分</w:t>
            </w:r>
            <w:r>
              <w:rPr>
                <w:rFonts w:hint="eastAsia" w:ascii="Times New Roman" w:hAnsi="宋体" w:eastAsia="宋体" w:cs="Courier New"/>
                <w:b/>
                <w:sz w:val="22"/>
                <w:szCs w:val="21"/>
                <w:lang w:val="en-US" w:eastAsia="zh-CN"/>
              </w:rPr>
              <w:t>1</w:t>
            </w:r>
            <w:r>
              <w:rPr>
                <w:rFonts w:hint="eastAsia" w:hAnsi="宋体" w:cs="Courier New"/>
                <w:b/>
                <w:sz w:val="22"/>
                <w:szCs w:val="21"/>
                <w:lang w:val="en-US" w:eastAsia="zh-CN"/>
              </w:rPr>
              <w:t>5</w:t>
            </w:r>
            <w:r>
              <w:rPr>
                <w:rFonts w:hint="eastAsia" w:ascii="Times New Roman" w:hAnsi="宋体" w:eastAsia="宋体" w:cs="Courier New"/>
                <w:b/>
                <w:sz w:val="22"/>
                <w:szCs w:val="21"/>
                <w:lang w:eastAsia="zh-CN"/>
              </w:rPr>
              <w:t>分)</w:t>
            </w:r>
          </w:p>
        </w:tc>
        <w:tc>
          <w:tcPr>
            <w:tcW w:w="5901" w:type="dxa"/>
            <w:vAlign w:val="center"/>
          </w:tcPr>
          <w:p w14:paraId="6706095B">
            <w:pPr>
              <w:pStyle w:val="43"/>
              <w:numPr>
                <w:ilvl w:val="-1"/>
                <w:numId w:val="0"/>
              </w:numPr>
              <w:spacing w:before="120" w:line="340" w:lineRule="exact"/>
              <w:ind w:left="0" w:leftChars="0" w:right="69" w:rightChars="0" w:firstLine="0" w:firstLineChars="0"/>
              <w:rPr>
                <w:rFonts w:ascii="宋体" w:hAnsi="宋体" w:eastAsia="宋体" w:cs="宋体"/>
                <w:color w:val="auto"/>
                <w:spacing w:val="-3"/>
                <w:highlight w:val="none"/>
              </w:rPr>
            </w:pPr>
            <w:r>
              <w:rPr>
                <w:rFonts w:ascii="宋体" w:hAnsi="宋体" w:eastAsia="宋体" w:cs="宋体"/>
                <w:snapToGrid/>
                <w:color w:val="auto"/>
                <w:spacing w:val="-3"/>
                <w:kern w:val="2"/>
                <w:sz w:val="21"/>
                <w:szCs w:val="21"/>
                <w:highlight w:val="none"/>
                <w:lang w:val="en-US" w:eastAsia="en-US" w:bidi="ar-SA"/>
              </w:rPr>
              <w:t>（1）</w:t>
            </w:r>
            <w:r>
              <w:rPr>
                <w:rFonts w:ascii="宋体" w:hAnsi="宋体" w:eastAsia="宋体" w:cs="宋体"/>
                <w:color w:val="auto"/>
                <w:spacing w:val="-3"/>
                <w:highlight w:val="none"/>
              </w:rPr>
              <w:t>投标人拟投入的保安人员中具有保安员二级及以上证书的，每提供</w:t>
            </w:r>
            <w:r>
              <w:rPr>
                <w:rFonts w:hint="eastAsia" w:ascii="宋体" w:hAnsi="宋体" w:eastAsia="宋体" w:cs="宋体"/>
                <w:color w:val="auto"/>
                <w:spacing w:val="-3"/>
                <w:highlight w:val="none"/>
                <w:lang w:val="en-US" w:eastAsia="zh-CN"/>
              </w:rPr>
              <w:t>1</w:t>
            </w:r>
            <w:r>
              <w:rPr>
                <w:rFonts w:ascii="宋体" w:hAnsi="宋体" w:eastAsia="宋体" w:cs="宋体"/>
                <w:color w:val="auto"/>
                <w:spacing w:val="-3"/>
                <w:highlight w:val="none"/>
              </w:rPr>
              <w:t>名得</w:t>
            </w:r>
            <w:r>
              <w:rPr>
                <w:rFonts w:hint="eastAsia" w:ascii="宋体" w:hAnsi="宋体" w:eastAsia="宋体" w:cs="宋体"/>
                <w:color w:val="auto"/>
                <w:spacing w:val="-3"/>
                <w:highlight w:val="none"/>
                <w:lang w:val="en-US" w:eastAsia="zh-CN"/>
              </w:rPr>
              <w:t>1</w:t>
            </w:r>
            <w:r>
              <w:rPr>
                <w:rFonts w:ascii="宋体" w:hAnsi="宋体" w:eastAsia="宋体" w:cs="宋体"/>
                <w:color w:val="auto"/>
                <w:spacing w:val="-3"/>
                <w:highlight w:val="none"/>
              </w:rPr>
              <w:t>分，满分</w:t>
            </w:r>
            <w:r>
              <w:rPr>
                <w:rFonts w:hint="eastAsia" w:ascii="宋体" w:hAnsi="宋体" w:eastAsia="宋体" w:cs="宋体"/>
                <w:color w:val="auto"/>
                <w:spacing w:val="-3"/>
                <w:highlight w:val="none"/>
                <w:lang w:val="en-US" w:eastAsia="zh-CN"/>
              </w:rPr>
              <w:t>5</w:t>
            </w:r>
            <w:r>
              <w:rPr>
                <w:rFonts w:ascii="宋体" w:hAnsi="宋体" w:eastAsia="宋体" w:cs="宋体"/>
                <w:color w:val="auto"/>
                <w:spacing w:val="-3"/>
                <w:highlight w:val="none"/>
              </w:rPr>
              <w:t>分。【需在投标文件中提供</w:t>
            </w:r>
            <w:r>
              <w:rPr>
                <w:rFonts w:hint="eastAsia"/>
                <w:lang w:val="en-US" w:eastAsia="zh-CN"/>
              </w:rPr>
              <w:t>有效的</w:t>
            </w:r>
            <w:r>
              <w:rPr>
                <w:rFonts w:ascii="宋体" w:hAnsi="宋体" w:eastAsia="宋体" w:cs="宋体"/>
                <w:color w:val="auto"/>
                <w:spacing w:val="-3"/>
                <w:highlight w:val="none"/>
              </w:rPr>
              <w:t>保安员二级及以上证书复印件、技能人才评价证书全国联网查询结果截图、提供在现任职单位依法缴纳社会保险证明材料复印件并加盖投标人公章， 未按要求提供的不得分】</w:t>
            </w:r>
          </w:p>
          <w:p w14:paraId="08580985">
            <w:pPr>
              <w:pStyle w:val="43"/>
              <w:numPr>
                <w:ilvl w:val="-1"/>
                <w:numId w:val="0"/>
              </w:numPr>
              <w:spacing w:before="120" w:line="340" w:lineRule="exact"/>
              <w:ind w:left="0" w:leftChars="0" w:right="69" w:rightChars="0" w:firstLine="0" w:firstLineChars="0"/>
              <w:rPr>
                <w:rFonts w:ascii="宋体" w:hAnsi="宋体" w:eastAsia="宋体" w:cs="宋体"/>
                <w:color w:val="auto"/>
                <w:spacing w:val="-3"/>
                <w:highlight w:val="none"/>
              </w:rPr>
            </w:pPr>
            <w:r>
              <w:rPr>
                <w:rFonts w:ascii="宋体" w:hAnsi="宋体" w:eastAsia="宋体" w:cs="宋体"/>
                <w:snapToGrid/>
                <w:color w:val="auto"/>
                <w:spacing w:val="-3"/>
                <w:kern w:val="2"/>
                <w:sz w:val="21"/>
                <w:szCs w:val="21"/>
                <w:highlight w:val="none"/>
                <w:lang w:val="en-US" w:eastAsia="en-US" w:bidi="ar-SA"/>
              </w:rPr>
              <w:t>（2）</w:t>
            </w:r>
            <w:r>
              <w:rPr>
                <w:rFonts w:ascii="宋体" w:hAnsi="宋体" w:eastAsia="宋体" w:cs="宋体"/>
                <w:color w:val="auto"/>
                <w:spacing w:val="-3"/>
                <w:highlight w:val="none"/>
              </w:rPr>
              <w:t>投标人拟投入的保安人员中具有消防设施操作员中级/四级</w:t>
            </w:r>
            <w:r>
              <w:rPr>
                <w:rFonts w:hint="default" w:ascii="宋体" w:hAnsi="宋体" w:eastAsia="宋体" w:cs="宋体"/>
                <w:color w:val="auto"/>
                <w:spacing w:val="-3"/>
                <w:highlight w:val="none"/>
                <w:lang w:val="en-US" w:eastAsia="zh-CN"/>
              </w:rPr>
              <w:t>及</w:t>
            </w:r>
            <w:r>
              <w:rPr>
                <w:rFonts w:hint="default" w:ascii="宋体" w:hAnsi="宋体" w:eastAsia="宋体" w:cs="宋体"/>
                <w:color w:val="auto"/>
                <w:spacing w:val="-3"/>
                <w:highlight w:val="none"/>
              </w:rPr>
              <w:t>安全管理和作业人员证（A）</w:t>
            </w:r>
            <w:r>
              <w:rPr>
                <w:rFonts w:hint="default" w:ascii="宋体" w:hAnsi="宋体" w:eastAsia="宋体" w:cs="宋体"/>
                <w:color w:val="auto"/>
                <w:spacing w:val="-3"/>
                <w:highlight w:val="none"/>
                <w:lang w:val="en-US" w:eastAsia="zh-CN"/>
              </w:rPr>
              <w:t>，</w:t>
            </w:r>
            <w:r>
              <w:rPr>
                <w:rFonts w:ascii="宋体" w:hAnsi="宋体" w:eastAsia="宋体" w:cs="宋体"/>
                <w:color w:val="auto"/>
                <w:spacing w:val="-3"/>
                <w:highlight w:val="none"/>
              </w:rPr>
              <w:t>每提供</w:t>
            </w:r>
            <w:r>
              <w:rPr>
                <w:rFonts w:hint="eastAsia" w:ascii="宋体" w:hAnsi="宋体" w:eastAsia="宋体" w:cs="宋体"/>
                <w:color w:val="auto"/>
                <w:spacing w:val="-3"/>
                <w:highlight w:val="none"/>
                <w:lang w:val="en-US" w:eastAsia="zh-CN"/>
              </w:rPr>
              <w:t>1</w:t>
            </w:r>
            <w:r>
              <w:rPr>
                <w:rFonts w:ascii="宋体" w:hAnsi="宋体" w:eastAsia="宋体" w:cs="宋体"/>
                <w:color w:val="auto"/>
                <w:spacing w:val="-3"/>
                <w:highlight w:val="none"/>
              </w:rPr>
              <w:t xml:space="preserve">名得 </w:t>
            </w:r>
            <w:r>
              <w:rPr>
                <w:rFonts w:hint="default" w:ascii="宋体" w:hAnsi="宋体" w:eastAsia="宋体" w:cs="宋体"/>
                <w:color w:val="auto"/>
                <w:spacing w:val="-3"/>
                <w:highlight w:val="none"/>
                <w:lang w:val="en-US" w:eastAsia="zh-CN"/>
              </w:rPr>
              <w:t>2</w:t>
            </w:r>
            <w:r>
              <w:rPr>
                <w:rFonts w:ascii="宋体" w:hAnsi="宋体" w:eastAsia="宋体" w:cs="宋体"/>
                <w:color w:val="auto"/>
                <w:spacing w:val="-3"/>
                <w:highlight w:val="none"/>
              </w:rPr>
              <w:t xml:space="preserve">分，满分 </w:t>
            </w:r>
            <w:r>
              <w:rPr>
                <w:rFonts w:hint="default" w:ascii="宋体" w:hAnsi="宋体" w:eastAsia="宋体" w:cs="宋体"/>
                <w:color w:val="auto"/>
                <w:spacing w:val="-3"/>
                <w:highlight w:val="none"/>
                <w:lang w:val="en-US" w:eastAsia="zh-CN"/>
              </w:rPr>
              <w:t>2</w:t>
            </w:r>
            <w:r>
              <w:rPr>
                <w:rFonts w:ascii="宋体" w:hAnsi="宋体" w:eastAsia="宋体" w:cs="宋体"/>
                <w:color w:val="auto"/>
                <w:spacing w:val="-3"/>
                <w:highlight w:val="none"/>
              </w:rPr>
              <w:t xml:space="preserve"> 分。【提供消防设施操作员中级/四级及以上证书在技能人才评价证书全国联网查询结果截图、提供在现任职单位依法缴纳社会保险证明材料复印件并加盖投标人公章，未按要求提供的不得分】</w:t>
            </w:r>
          </w:p>
          <w:p w14:paraId="57A3A702">
            <w:pPr>
              <w:pStyle w:val="43"/>
              <w:spacing w:before="120" w:line="340" w:lineRule="exact"/>
              <w:ind w:left="0" w:right="69" w:firstLine="0"/>
              <w:rPr>
                <w:rFonts w:ascii="宋体" w:hAnsi="宋体" w:eastAsia="宋体" w:cs="宋体"/>
                <w:color w:val="auto"/>
                <w:spacing w:val="-3"/>
                <w:highlight w:val="none"/>
              </w:rPr>
            </w:pPr>
            <w:r>
              <w:rPr>
                <w:rFonts w:ascii="宋体" w:hAnsi="宋体" w:eastAsia="宋体" w:cs="宋体"/>
                <w:color w:val="auto"/>
                <w:spacing w:val="-3"/>
                <w:highlight w:val="none"/>
              </w:rPr>
              <w:t>（</w:t>
            </w:r>
            <w:r>
              <w:rPr>
                <w:rFonts w:hint="default" w:ascii="宋体" w:hAnsi="宋体" w:eastAsia="宋体" w:cs="宋体"/>
                <w:color w:val="auto"/>
                <w:spacing w:val="-3"/>
                <w:highlight w:val="none"/>
                <w:lang w:val="en-US" w:eastAsia="zh-CN"/>
              </w:rPr>
              <w:t>3</w:t>
            </w:r>
            <w:r>
              <w:rPr>
                <w:rFonts w:ascii="宋体" w:hAnsi="宋体" w:eastAsia="宋体" w:cs="宋体"/>
                <w:color w:val="auto"/>
                <w:spacing w:val="-3"/>
                <w:highlight w:val="none"/>
              </w:rPr>
              <w:t>）投标人拟投入的保安队长具有大专及以上学历，同时持有保安员三级及以上证书</w:t>
            </w:r>
            <w:r>
              <w:rPr>
                <w:rFonts w:hint="default" w:ascii="宋体" w:hAnsi="宋体" w:eastAsia="宋体" w:cs="宋体"/>
                <w:color w:val="auto"/>
                <w:spacing w:val="-3"/>
                <w:highlight w:val="none"/>
                <w:lang w:eastAsia="zh-CN"/>
              </w:rPr>
              <w:t>、</w:t>
            </w:r>
            <w:r>
              <w:rPr>
                <w:rFonts w:ascii="宋体" w:hAnsi="宋体" w:eastAsia="宋体" w:cs="宋体"/>
                <w:color w:val="auto"/>
                <w:spacing w:val="-3"/>
                <w:highlight w:val="none"/>
              </w:rPr>
              <w:t>退伍军人证</w:t>
            </w:r>
            <w:r>
              <w:rPr>
                <w:rFonts w:hint="default" w:ascii="宋体" w:hAnsi="宋体" w:eastAsia="宋体" w:cs="宋体"/>
                <w:color w:val="auto"/>
                <w:spacing w:val="-3"/>
                <w:highlight w:val="none"/>
                <w:lang w:val="en-US" w:eastAsia="zh-CN"/>
              </w:rPr>
              <w:t>和应急救援</w:t>
            </w:r>
            <w:r>
              <w:rPr>
                <w:rFonts w:hint="default" w:cs="宋体"/>
                <w:color w:val="auto"/>
                <w:spacing w:val="-3"/>
                <w:highlight w:val="none"/>
                <w:lang w:val="en-US" w:eastAsia="zh-CN"/>
              </w:rPr>
              <w:t>员</w:t>
            </w:r>
            <w:r>
              <w:rPr>
                <w:rFonts w:hint="default" w:ascii="宋体" w:hAnsi="宋体" w:eastAsia="宋体" w:cs="宋体"/>
                <w:color w:val="auto"/>
                <w:spacing w:val="-3"/>
                <w:highlight w:val="none"/>
                <w:lang w:val="en-US" w:eastAsia="zh-CN"/>
              </w:rPr>
              <w:t>证</w:t>
            </w:r>
            <w:r>
              <w:rPr>
                <w:rFonts w:ascii="宋体" w:hAnsi="宋体" w:eastAsia="宋体" w:cs="宋体"/>
                <w:color w:val="auto"/>
                <w:spacing w:val="-3"/>
                <w:highlight w:val="none"/>
              </w:rPr>
              <w:t>的，得 4 分，满分 4分。</w:t>
            </w:r>
          </w:p>
          <w:p w14:paraId="17CF9B19">
            <w:pPr>
              <w:pStyle w:val="43"/>
              <w:spacing w:before="120" w:line="340" w:lineRule="exact"/>
              <w:ind w:left="0" w:right="69" w:firstLine="0"/>
              <w:jc w:val="both"/>
              <w:rPr>
                <w:rFonts w:ascii="宋体" w:hAnsi="宋体" w:eastAsia="宋体" w:cs="宋体"/>
                <w:color w:val="auto"/>
                <w:spacing w:val="-3"/>
                <w:highlight w:val="none"/>
              </w:rPr>
            </w:pPr>
            <w:r>
              <w:rPr>
                <w:rFonts w:ascii="宋体" w:hAnsi="宋体" w:eastAsia="宋体" w:cs="宋体"/>
                <w:color w:val="auto"/>
                <w:spacing w:val="-3"/>
                <w:highlight w:val="none"/>
              </w:rPr>
              <w:t>【需在投标文件中提供大专及以上学历、保安员三级及以上证书</w:t>
            </w:r>
            <w:r>
              <w:rPr>
                <w:rFonts w:hint="eastAsia" w:cs="宋体"/>
                <w:color w:val="auto"/>
                <w:spacing w:val="-3"/>
                <w:highlight w:val="none"/>
                <w:lang w:eastAsia="zh-CN"/>
              </w:rPr>
              <w:t>、</w:t>
            </w:r>
            <w:r>
              <w:rPr>
                <w:rFonts w:ascii="宋体" w:hAnsi="宋体" w:eastAsia="宋体" w:cs="宋体"/>
                <w:color w:val="auto"/>
                <w:spacing w:val="-3"/>
                <w:highlight w:val="none"/>
              </w:rPr>
              <w:t>退伍军人证</w:t>
            </w:r>
            <w:r>
              <w:rPr>
                <w:rFonts w:hint="default" w:cs="宋体"/>
                <w:color w:val="auto"/>
                <w:spacing w:val="-3"/>
                <w:highlight w:val="none"/>
                <w:lang w:val="en-US" w:eastAsia="zh-CN"/>
              </w:rPr>
              <w:t>和应急救援员证</w:t>
            </w:r>
            <w:r>
              <w:rPr>
                <w:rFonts w:ascii="宋体" w:hAnsi="宋体" w:eastAsia="宋体" w:cs="宋体"/>
                <w:color w:val="auto"/>
                <w:spacing w:val="-3"/>
                <w:highlight w:val="none"/>
              </w:rPr>
              <w:t>复印件、提供保安员三级及以上证书在技能人才评价证书全国联网查询结果截图</w:t>
            </w:r>
            <w:r>
              <w:rPr>
                <w:rFonts w:hint="default" w:ascii="宋体" w:hAnsi="宋体" w:eastAsia="宋体" w:cs="宋体"/>
                <w:color w:val="auto"/>
                <w:spacing w:val="-3"/>
                <w:highlight w:val="none"/>
                <w:lang w:val="en-US" w:eastAsia="zh-CN"/>
              </w:rPr>
              <w:t>，</w:t>
            </w:r>
            <w:r>
              <w:rPr>
                <w:rFonts w:ascii="宋体" w:hAnsi="宋体" w:eastAsia="宋体" w:cs="宋体"/>
                <w:color w:val="auto"/>
                <w:spacing w:val="-3"/>
                <w:highlight w:val="none"/>
              </w:rPr>
              <w:t>提供在现任职单位依法缴纳社会保险证明材料复印件并加盖投标人公章，未按要求提供的不得分】</w:t>
            </w:r>
          </w:p>
          <w:p w14:paraId="2C1D7411">
            <w:pPr>
              <w:pStyle w:val="43"/>
              <w:numPr>
                <w:ilvl w:val="-1"/>
                <w:numId w:val="0"/>
              </w:numPr>
              <w:spacing w:before="120" w:line="340" w:lineRule="exact"/>
              <w:ind w:left="0" w:leftChars="0" w:right="69" w:rightChars="0"/>
              <w:jc w:val="both"/>
              <w:rPr>
                <w:rFonts w:ascii="宋体" w:hAnsi="宋体" w:eastAsia="宋体" w:cs="宋体"/>
                <w:color w:val="auto"/>
                <w:spacing w:val="-3"/>
                <w:highlight w:val="none"/>
              </w:rPr>
            </w:pPr>
            <w:r>
              <w:rPr>
                <w:rFonts w:hint="default" w:ascii="宋体" w:hAnsi="宋体" w:eastAsia="宋体" w:cs="宋体"/>
                <w:color w:val="auto"/>
                <w:spacing w:val="-3"/>
                <w:highlight w:val="none"/>
                <w:lang w:eastAsia="zh-CN"/>
              </w:rPr>
              <w:t>（</w:t>
            </w:r>
            <w:r>
              <w:rPr>
                <w:rFonts w:hint="default" w:ascii="宋体" w:hAnsi="宋体" w:eastAsia="宋体" w:cs="宋体"/>
                <w:color w:val="auto"/>
                <w:spacing w:val="-3"/>
                <w:highlight w:val="none"/>
                <w:lang w:val="en-US" w:eastAsia="zh-CN"/>
              </w:rPr>
              <w:t>4</w:t>
            </w:r>
            <w:r>
              <w:rPr>
                <w:rFonts w:hint="default" w:ascii="宋体" w:hAnsi="宋体" w:eastAsia="宋体" w:cs="宋体"/>
                <w:color w:val="auto"/>
                <w:spacing w:val="-3"/>
                <w:highlight w:val="none"/>
                <w:lang w:eastAsia="zh-CN"/>
              </w:rPr>
              <w:t>）</w:t>
            </w:r>
            <w:r>
              <w:rPr>
                <w:rFonts w:ascii="宋体" w:hAnsi="宋体" w:eastAsia="宋体" w:cs="宋体"/>
                <w:color w:val="auto"/>
                <w:spacing w:val="-3"/>
                <w:highlight w:val="none"/>
              </w:rPr>
              <w:t>投标人拟投入的管理人员（除保安队长外）具有大专及以上学历，同时持有保安员二级及以上证书和消防设施操作员中级/四级及以上证书的，得4 分，满分 4 分。</w:t>
            </w:r>
          </w:p>
          <w:p w14:paraId="39134C08">
            <w:pPr>
              <w:pStyle w:val="43"/>
              <w:numPr>
                <w:ilvl w:val="0"/>
                <w:numId w:val="0"/>
              </w:numPr>
              <w:spacing w:before="81" w:line="262" w:lineRule="auto"/>
              <w:ind w:left="0" w:leftChars="0" w:right="117" w:rightChars="0" w:firstLine="0" w:firstLineChars="0"/>
              <w:rPr>
                <w:rFonts w:ascii="宋体" w:hAnsi="宋体" w:cs="宋体"/>
                <w:bCs/>
                <w:color w:val="000000"/>
                <w:kern w:val="0"/>
                <w:szCs w:val="21"/>
              </w:rPr>
            </w:pPr>
            <w:r>
              <w:rPr>
                <w:rFonts w:ascii="宋体" w:hAnsi="宋体" w:eastAsia="宋体" w:cs="宋体"/>
                <w:color w:val="auto"/>
                <w:spacing w:val="-3"/>
                <w:highlight w:val="none"/>
              </w:rPr>
              <w:t>【需在投标文件中提供大专及以上学历、消防设施操作员中级/四级 及以上证书和保安员二级及以上证书复印件、提供消防设施操作员中 级/四级及以上和保安员二级及以上证书在技能人才评价证书全国联 网查询结果截图、提供在现任职单位依法缴纳社会保险证明材料复印件并加盖投标人公章，未按要求提供的不得分】</w:t>
            </w:r>
          </w:p>
        </w:tc>
      </w:tr>
      <w:tr w14:paraId="78B8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continue"/>
            <w:vAlign w:val="center"/>
          </w:tcPr>
          <w:p w14:paraId="677D40CF">
            <w:pPr>
              <w:adjustRightInd w:val="0"/>
              <w:snapToGrid w:val="0"/>
              <w:spacing w:line="360" w:lineRule="atLeast"/>
              <w:jc w:val="center"/>
              <w:textAlignment w:val="baseline"/>
              <w:rPr>
                <w:rFonts w:ascii="宋体" w:hAnsi="宋体" w:cs="宋体"/>
                <w:color w:val="000000"/>
                <w:sz w:val="24"/>
              </w:rPr>
            </w:pPr>
          </w:p>
        </w:tc>
        <w:tc>
          <w:tcPr>
            <w:tcW w:w="1585" w:type="dxa"/>
            <w:vMerge w:val="continue"/>
            <w:vAlign w:val="center"/>
          </w:tcPr>
          <w:p w14:paraId="5C30E118">
            <w:pPr>
              <w:adjustRightInd w:val="0"/>
              <w:snapToGrid w:val="0"/>
              <w:spacing w:line="360" w:lineRule="atLeast"/>
              <w:ind w:left="-105" w:leftChars="-50" w:right="-105" w:rightChars="-50"/>
              <w:jc w:val="center"/>
              <w:textAlignment w:val="baseline"/>
              <w:rPr>
                <w:rFonts w:ascii="宋体" w:hAnsi="宋体" w:cs="宋体"/>
                <w:bCs/>
                <w:color w:val="000000"/>
                <w:kern w:val="0"/>
                <w:szCs w:val="21"/>
              </w:rPr>
            </w:pPr>
          </w:p>
        </w:tc>
        <w:tc>
          <w:tcPr>
            <w:tcW w:w="1460" w:type="dxa"/>
            <w:vAlign w:val="center"/>
          </w:tcPr>
          <w:p w14:paraId="538C72F9">
            <w:pPr>
              <w:snapToGrid w:val="0"/>
              <w:spacing w:line="360" w:lineRule="atLeast"/>
              <w:jc w:val="center"/>
              <w:rPr>
                <w:rFonts w:hint="eastAsia" w:ascii="宋体" w:hAnsi="宋体" w:cs="宋体"/>
                <w:szCs w:val="21"/>
              </w:rPr>
            </w:pPr>
            <w:r>
              <w:rPr>
                <w:rFonts w:hint="eastAsia" w:hAnsi="宋体" w:cs="Courier New"/>
                <w:b/>
                <w:sz w:val="22"/>
                <w:szCs w:val="21"/>
              </w:rPr>
              <w:t>2.4</w:t>
            </w:r>
            <w:r>
              <w:rPr>
                <w:rFonts w:hint="eastAsia" w:hAnsi="宋体" w:cs="Courier New"/>
                <w:b/>
                <w:sz w:val="22"/>
                <w:szCs w:val="21"/>
                <w:lang w:eastAsia="zh-CN"/>
              </w:rPr>
              <w:t>岗位</w:t>
            </w:r>
            <w:r>
              <w:rPr>
                <w:rFonts w:hint="eastAsia" w:hAnsi="宋体" w:cs="Courier New"/>
                <w:b/>
                <w:sz w:val="22"/>
                <w:szCs w:val="21"/>
              </w:rPr>
              <w:t>设置及人员培训和考核方案(满分</w:t>
            </w:r>
            <w:r>
              <w:rPr>
                <w:rFonts w:hint="eastAsia" w:hAnsi="宋体" w:cs="Courier New"/>
                <w:b/>
                <w:sz w:val="22"/>
                <w:szCs w:val="21"/>
                <w:lang w:val="en-US" w:eastAsia="zh-CN"/>
              </w:rPr>
              <w:t>10</w:t>
            </w:r>
            <w:r>
              <w:rPr>
                <w:rFonts w:hint="eastAsia" w:hAnsi="宋体" w:cs="Courier New"/>
                <w:b/>
                <w:sz w:val="22"/>
                <w:szCs w:val="21"/>
              </w:rPr>
              <w:t>分)</w:t>
            </w:r>
          </w:p>
        </w:tc>
        <w:tc>
          <w:tcPr>
            <w:tcW w:w="5901" w:type="dxa"/>
            <w:vAlign w:val="center"/>
          </w:tcPr>
          <w:p w14:paraId="45428A30">
            <w:pPr>
              <w:pStyle w:val="43"/>
              <w:spacing w:before="213" w:line="314" w:lineRule="auto"/>
              <w:ind w:right="178"/>
            </w:pPr>
            <w:r>
              <w:rPr>
                <w:spacing w:val="7"/>
              </w:rPr>
              <w:t>评标委员会根据</w:t>
            </w:r>
            <w:r>
              <w:rPr>
                <w:rFonts w:hint="eastAsia"/>
                <w:lang w:val="en-US" w:eastAsia="zh-CN"/>
              </w:rPr>
              <w:t>投标人提供的</w:t>
            </w:r>
            <w:r>
              <w:rPr>
                <w:spacing w:val="7"/>
              </w:rPr>
              <w:t>岗位设置、人员培训和考核方案的内容</w:t>
            </w:r>
            <w:r>
              <w:rPr>
                <w:spacing w:val="18"/>
              </w:rPr>
              <w:t xml:space="preserve"> </w:t>
            </w:r>
            <w:r>
              <w:rPr>
                <w:spacing w:val="7"/>
              </w:rPr>
              <w:t>进行独立评审打分。</w:t>
            </w:r>
          </w:p>
          <w:p w14:paraId="6628B5BC">
            <w:pPr>
              <w:pStyle w:val="43"/>
              <w:spacing w:before="10" w:line="316" w:lineRule="auto"/>
              <w:ind w:left="113" w:right="104" w:firstLine="412"/>
            </w:pPr>
            <w:r>
              <w:rPr>
                <w:spacing w:val="4"/>
              </w:rPr>
              <w:t>一档(0</w:t>
            </w:r>
            <w:r>
              <w:rPr>
                <w:spacing w:val="-36"/>
              </w:rPr>
              <w:t xml:space="preserve"> </w:t>
            </w:r>
            <w:r>
              <w:rPr>
                <w:spacing w:val="4"/>
              </w:rPr>
              <w:t>分)：未提供岗位设置及人员培训和考核方案或方案未</w:t>
            </w:r>
            <w:r>
              <w:t xml:space="preserve"> </w:t>
            </w:r>
            <w:r>
              <w:rPr>
                <w:spacing w:val="2"/>
              </w:rPr>
              <w:t>达最低档的得</w:t>
            </w:r>
            <w:r>
              <w:rPr>
                <w:spacing w:val="-38"/>
              </w:rPr>
              <w:t xml:space="preserve"> </w:t>
            </w:r>
            <w:r>
              <w:rPr>
                <w:spacing w:val="2"/>
              </w:rPr>
              <w:t>0</w:t>
            </w:r>
            <w:r>
              <w:rPr>
                <w:spacing w:val="-37"/>
              </w:rPr>
              <w:t xml:space="preserve"> </w:t>
            </w:r>
            <w:r>
              <w:rPr>
                <w:spacing w:val="2"/>
              </w:rPr>
              <w:t>分；</w:t>
            </w:r>
          </w:p>
          <w:p w14:paraId="546ABEBE">
            <w:pPr>
              <w:pStyle w:val="43"/>
              <w:spacing w:before="154" w:line="314" w:lineRule="auto"/>
              <w:ind w:left="113" w:right="104" w:firstLine="387"/>
              <w:jc w:val="both"/>
            </w:pPr>
            <w:r>
              <w:rPr>
                <w:spacing w:val="-8"/>
              </w:rPr>
              <w:t>二档(</w:t>
            </w:r>
            <w:r>
              <w:rPr>
                <w:rFonts w:hint="eastAsia"/>
                <w:spacing w:val="-8"/>
                <w:lang w:val="en-US" w:eastAsia="zh-CN"/>
              </w:rPr>
              <w:t>3</w:t>
            </w:r>
            <w:r>
              <w:rPr>
                <w:spacing w:val="-8"/>
              </w:rPr>
              <w:t>分)：提供的方案基本满足采购需求</w:t>
            </w:r>
            <w:r>
              <w:rPr>
                <w:spacing w:val="-9"/>
              </w:rPr>
              <w:t>，有岗位设置、人员培</w:t>
            </w:r>
            <w:r>
              <w:t xml:space="preserve"> </w:t>
            </w:r>
            <w:r>
              <w:rPr>
                <w:spacing w:val="-4"/>
              </w:rPr>
              <w:t>训和考核方案且内容较详细，人员从业经验及素质能够基本保障项目</w:t>
            </w:r>
            <w:r>
              <w:rPr>
                <w:spacing w:val="5"/>
              </w:rPr>
              <w:t xml:space="preserve"> </w:t>
            </w:r>
            <w:r>
              <w:rPr>
                <w:spacing w:val="-4"/>
              </w:rPr>
              <w:t>服务水平；</w:t>
            </w:r>
          </w:p>
          <w:p w14:paraId="2DFAC988">
            <w:pPr>
              <w:pStyle w:val="43"/>
              <w:spacing w:before="157" w:line="299" w:lineRule="auto"/>
              <w:ind w:left="114" w:right="116" w:firstLine="407"/>
            </w:pPr>
            <w:r>
              <w:rPr>
                <w:spacing w:val="-3"/>
              </w:rPr>
              <w:t>三档(</w:t>
            </w:r>
            <w:r>
              <w:rPr>
                <w:rFonts w:hint="eastAsia"/>
                <w:spacing w:val="-3"/>
                <w:lang w:val="en-US" w:eastAsia="zh-CN"/>
              </w:rPr>
              <w:t>6</w:t>
            </w:r>
            <w:r>
              <w:rPr>
                <w:spacing w:val="-3"/>
              </w:rPr>
              <w:t>分)：提供的方案满足采购需求，人员培训和</w:t>
            </w:r>
            <w:r>
              <w:rPr>
                <w:spacing w:val="-4"/>
              </w:rPr>
              <w:t>考核方案有</w:t>
            </w:r>
            <w:r>
              <w:t xml:space="preserve"> </w:t>
            </w:r>
            <w:r>
              <w:rPr>
                <w:spacing w:val="-9"/>
              </w:rPr>
              <w:t>标准、有措施、有奖惩淘汰机制，具有一定针</w:t>
            </w:r>
            <w:r>
              <w:rPr>
                <w:spacing w:val="-10"/>
              </w:rPr>
              <w:t>对性；</w:t>
            </w:r>
          </w:p>
          <w:p w14:paraId="48A9E1DE">
            <w:pPr>
              <w:keepNext w:val="0"/>
              <w:keepLines w:val="0"/>
              <w:pageBreakBefore w:val="0"/>
              <w:widowControl w:val="0"/>
              <w:kinsoku/>
              <w:wordWrap/>
              <w:overflowPunct/>
              <w:topLinePunct w:val="0"/>
              <w:autoSpaceDE/>
              <w:autoSpaceDN/>
              <w:bidi w:val="0"/>
              <w:adjustRightInd/>
              <w:snapToGrid/>
              <w:spacing w:line="340" w:lineRule="exact"/>
              <w:ind w:right="0" w:rightChars="0" w:firstLine="460" w:firstLineChars="200"/>
              <w:jc w:val="both"/>
              <w:textAlignment w:val="auto"/>
              <w:rPr>
                <w:rFonts w:hint="eastAsia" w:ascii="宋体" w:hAnsi="宋体" w:cs="宋体"/>
                <w:szCs w:val="21"/>
              </w:rPr>
            </w:pPr>
            <w:r>
              <w:rPr>
                <w:spacing w:val="10"/>
              </w:rPr>
              <w:t>四档</w:t>
            </w:r>
            <w:r>
              <w:rPr>
                <w:spacing w:val="-36"/>
              </w:rPr>
              <w:t xml:space="preserve"> </w:t>
            </w:r>
            <w:r>
              <w:rPr>
                <w:rFonts w:ascii="Times New Roman" w:hAnsi="Times New Roman" w:eastAsia="Times New Roman" w:cs="Times New Roman"/>
                <w:spacing w:val="10"/>
              </w:rPr>
              <w:t>(</w:t>
            </w:r>
            <w:r>
              <w:rPr>
                <w:rFonts w:hint="eastAsia" w:ascii="Times New Roman" w:hAnsi="Times New Roman" w:cs="Times New Roman"/>
                <w:spacing w:val="10"/>
                <w:lang w:val="en-US" w:eastAsia="zh-CN"/>
              </w:rPr>
              <w:t>10</w:t>
            </w:r>
            <w:r>
              <w:rPr>
                <w:spacing w:val="10"/>
              </w:rPr>
              <w:t>分</w:t>
            </w:r>
            <w:r>
              <w:rPr>
                <w:rFonts w:ascii="Times New Roman" w:hAnsi="Times New Roman" w:eastAsia="Times New Roman" w:cs="Times New Roman"/>
                <w:spacing w:val="10"/>
              </w:rPr>
              <w:t>)</w:t>
            </w:r>
            <w:r>
              <w:rPr>
                <w:spacing w:val="10"/>
              </w:rPr>
              <w:t>：提供的方案中，拟投入人员</w:t>
            </w:r>
            <w:r>
              <w:rPr>
                <w:spacing w:val="9"/>
              </w:rPr>
              <w:t>岗位、配置与数量</w:t>
            </w:r>
            <w:r>
              <w:rPr>
                <w:spacing w:val="10"/>
              </w:rPr>
              <w:t>符合项目实际情况，有针对性，人员培训和考核方案有标</w:t>
            </w:r>
            <w:r>
              <w:rPr>
                <w:spacing w:val="2"/>
              </w:rPr>
              <w:t>准、有措施、有奖惩淘汰机制。</w:t>
            </w:r>
          </w:p>
        </w:tc>
      </w:tr>
      <w:tr w14:paraId="63BE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continue"/>
            <w:vAlign w:val="center"/>
          </w:tcPr>
          <w:p w14:paraId="4C8293CE">
            <w:pPr>
              <w:adjustRightInd w:val="0"/>
              <w:snapToGrid w:val="0"/>
              <w:spacing w:line="360" w:lineRule="atLeast"/>
              <w:jc w:val="center"/>
              <w:textAlignment w:val="baseline"/>
              <w:rPr>
                <w:rFonts w:ascii="宋体" w:hAnsi="宋体" w:cs="宋体"/>
                <w:color w:val="000000"/>
                <w:sz w:val="24"/>
              </w:rPr>
            </w:pPr>
          </w:p>
        </w:tc>
        <w:tc>
          <w:tcPr>
            <w:tcW w:w="1585" w:type="dxa"/>
            <w:vMerge w:val="continue"/>
            <w:vAlign w:val="center"/>
          </w:tcPr>
          <w:p w14:paraId="24A0575A">
            <w:pPr>
              <w:adjustRightInd w:val="0"/>
              <w:snapToGrid w:val="0"/>
              <w:spacing w:line="360" w:lineRule="atLeast"/>
              <w:ind w:left="-105" w:leftChars="-50" w:right="-105" w:rightChars="-50"/>
              <w:jc w:val="center"/>
              <w:textAlignment w:val="baseline"/>
              <w:rPr>
                <w:rFonts w:ascii="宋体" w:hAnsi="宋体" w:cs="宋体"/>
                <w:bCs/>
                <w:color w:val="000000"/>
                <w:kern w:val="0"/>
                <w:szCs w:val="21"/>
              </w:rPr>
            </w:pPr>
          </w:p>
        </w:tc>
        <w:tc>
          <w:tcPr>
            <w:tcW w:w="1460" w:type="dxa"/>
            <w:vAlign w:val="center"/>
          </w:tcPr>
          <w:p w14:paraId="6AB0079F">
            <w:pPr>
              <w:snapToGrid w:val="0"/>
              <w:spacing w:line="360" w:lineRule="atLeast"/>
              <w:jc w:val="center"/>
              <w:rPr>
                <w:rFonts w:ascii="宋体" w:hAnsi="宋体" w:cs="宋体"/>
                <w:b/>
                <w:color w:val="000000"/>
                <w:kern w:val="0"/>
                <w:szCs w:val="21"/>
              </w:rPr>
            </w:pPr>
            <w:r>
              <w:rPr>
                <w:rFonts w:hint="eastAsia" w:hAnsi="宋体" w:cs="Courier New"/>
                <w:b/>
                <w:sz w:val="22"/>
                <w:szCs w:val="21"/>
              </w:rPr>
              <w:t>2.</w:t>
            </w:r>
            <w:r>
              <w:rPr>
                <w:rFonts w:hint="eastAsia" w:hAnsi="宋体" w:cs="Courier New"/>
                <w:b/>
                <w:sz w:val="22"/>
                <w:szCs w:val="21"/>
                <w:lang w:val="en-US" w:eastAsia="zh-CN"/>
              </w:rPr>
              <w:t>5物资装备配备方案(满分10分)</w:t>
            </w:r>
          </w:p>
        </w:tc>
        <w:tc>
          <w:tcPr>
            <w:tcW w:w="5901" w:type="dxa"/>
            <w:vAlign w:val="center"/>
          </w:tcPr>
          <w:p w14:paraId="1901D938">
            <w:pPr>
              <w:keepNext w:val="0"/>
              <w:keepLines w:val="0"/>
              <w:pageBreakBefore w:val="0"/>
              <w:widowControl w:val="0"/>
              <w:kinsoku/>
              <w:wordWrap/>
              <w:overflowPunct/>
              <w:topLinePunct w:val="0"/>
              <w:autoSpaceDE/>
              <w:autoSpaceDN/>
              <w:bidi w:val="0"/>
              <w:adjustRightInd/>
              <w:snapToGrid/>
              <w:spacing w:line="340" w:lineRule="exact"/>
              <w:ind w:right="0" w:rightChars="0" w:firstLine="412" w:firstLineChars="200"/>
              <w:jc w:val="both"/>
              <w:textAlignment w:val="auto"/>
              <w:rPr>
                <w:rFonts w:hint="eastAsia"/>
                <w:color w:val="auto"/>
                <w:spacing w:val="-2"/>
                <w:highlight w:val="none"/>
                <w:lang w:eastAsia="zh-CN"/>
              </w:rPr>
            </w:pPr>
            <w:r>
              <w:rPr>
                <w:rFonts w:hint="eastAsia"/>
                <w:color w:val="auto"/>
                <w:spacing w:val="-2"/>
                <w:highlight w:val="none"/>
                <w:lang w:eastAsia="zh-CN"/>
              </w:rPr>
              <w:t>评标委员会</w:t>
            </w:r>
            <w:r>
              <w:rPr>
                <w:rFonts w:hint="eastAsia"/>
                <w:lang w:val="en-US" w:eastAsia="zh-CN"/>
              </w:rPr>
              <w:t>根据</w:t>
            </w:r>
            <w:r>
              <w:rPr>
                <w:rFonts w:hint="eastAsia"/>
                <w:color w:val="auto"/>
                <w:spacing w:val="-2"/>
                <w:highlight w:val="none"/>
                <w:lang w:eastAsia="zh-CN"/>
              </w:rPr>
              <w:t>投标人提供的“物资装备配备方案”内容进行独立评审打分。</w:t>
            </w:r>
          </w:p>
          <w:p w14:paraId="137936CE">
            <w:pPr>
              <w:keepNext w:val="0"/>
              <w:keepLines w:val="0"/>
              <w:pageBreakBefore w:val="0"/>
              <w:widowControl w:val="0"/>
              <w:kinsoku/>
              <w:wordWrap/>
              <w:overflowPunct/>
              <w:topLinePunct w:val="0"/>
              <w:autoSpaceDE/>
              <w:autoSpaceDN/>
              <w:bidi w:val="0"/>
              <w:adjustRightInd/>
              <w:snapToGrid/>
              <w:spacing w:line="340" w:lineRule="exact"/>
              <w:ind w:right="0" w:rightChars="0" w:firstLine="412" w:firstLineChars="200"/>
              <w:jc w:val="both"/>
              <w:textAlignment w:val="auto"/>
              <w:rPr>
                <w:rFonts w:hint="eastAsia"/>
                <w:color w:val="auto"/>
                <w:spacing w:val="-2"/>
                <w:highlight w:val="none"/>
                <w:lang w:eastAsia="zh-CN"/>
              </w:rPr>
            </w:pPr>
            <w:r>
              <w:rPr>
                <w:rFonts w:hint="eastAsia"/>
                <w:color w:val="auto"/>
                <w:spacing w:val="-2"/>
                <w:highlight w:val="none"/>
                <w:lang w:eastAsia="zh-CN"/>
              </w:rPr>
              <w:t>一档(0 分)：未提供物资装备配备方案或方案未达最低档的得0 分；</w:t>
            </w:r>
          </w:p>
          <w:p w14:paraId="2B7F46F4">
            <w:pPr>
              <w:keepNext w:val="0"/>
              <w:keepLines w:val="0"/>
              <w:pageBreakBefore w:val="0"/>
              <w:widowControl w:val="0"/>
              <w:kinsoku/>
              <w:wordWrap/>
              <w:overflowPunct/>
              <w:topLinePunct w:val="0"/>
              <w:autoSpaceDE/>
              <w:autoSpaceDN/>
              <w:bidi w:val="0"/>
              <w:adjustRightInd/>
              <w:snapToGrid/>
              <w:spacing w:line="340" w:lineRule="exact"/>
              <w:ind w:right="0" w:rightChars="0" w:firstLine="412" w:firstLineChars="200"/>
              <w:jc w:val="both"/>
              <w:textAlignment w:val="auto"/>
              <w:rPr>
                <w:rFonts w:hint="eastAsia"/>
                <w:color w:val="auto"/>
                <w:spacing w:val="-2"/>
                <w:highlight w:val="none"/>
                <w:lang w:eastAsia="zh-CN"/>
              </w:rPr>
            </w:pPr>
            <w:r>
              <w:rPr>
                <w:rFonts w:hint="eastAsia"/>
                <w:color w:val="auto"/>
                <w:spacing w:val="-2"/>
                <w:highlight w:val="none"/>
                <w:lang w:eastAsia="zh-CN"/>
              </w:rPr>
              <w:t>二档(</w:t>
            </w:r>
            <w:r>
              <w:rPr>
                <w:rFonts w:hint="eastAsia"/>
                <w:color w:val="auto"/>
                <w:spacing w:val="-2"/>
                <w:highlight w:val="none"/>
                <w:lang w:val="en-US" w:eastAsia="zh-CN"/>
              </w:rPr>
              <w:t>3</w:t>
            </w:r>
            <w:r>
              <w:rPr>
                <w:rFonts w:hint="eastAsia"/>
                <w:color w:val="auto"/>
                <w:spacing w:val="-2"/>
                <w:highlight w:val="none"/>
                <w:lang w:eastAsia="zh-CN"/>
              </w:rPr>
              <w:t>分)：</w:t>
            </w:r>
            <w:r>
              <w:rPr>
                <w:rFonts w:hint="eastAsia"/>
                <w:color w:val="auto"/>
                <w:spacing w:val="-2"/>
                <w:highlight w:val="none"/>
                <w:lang w:val="en-US" w:eastAsia="zh-CN"/>
              </w:rPr>
              <w:t>拟投入的物资装备配备方案贴合项目基础场景，各项内容贴合项目需求，调度流程顺畅</w:t>
            </w:r>
            <w:r>
              <w:rPr>
                <w:rFonts w:hint="eastAsia"/>
                <w:color w:val="auto"/>
                <w:spacing w:val="-2"/>
                <w:highlight w:val="none"/>
                <w:lang w:eastAsia="zh-CN"/>
              </w:rPr>
              <w:t>；</w:t>
            </w:r>
          </w:p>
          <w:p w14:paraId="6C032E4D">
            <w:pPr>
              <w:keepNext w:val="0"/>
              <w:keepLines w:val="0"/>
              <w:pageBreakBefore w:val="0"/>
              <w:widowControl w:val="0"/>
              <w:kinsoku/>
              <w:wordWrap/>
              <w:overflowPunct/>
              <w:topLinePunct w:val="0"/>
              <w:autoSpaceDE/>
              <w:autoSpaceDN/>
              <w:bidi w:val="0"/>
              <w:adjustRightInd/>
              <w:snapToGrid/>
              <w:spacing w:line="340" w:lineRule="exact"/>
              <w:ind w:right="0" w:rightChars="0" w:firstLine="412" w:firstLineChars="200"/>
              <w:jc w:val="both"/>
              <w:textAlignment w:val="auto"/>
              <w:rPr>
                <w:rFonts w:hint="eastAsia"/>
                <w:color w:val="auto"/>
                <w:spacing w:val="-2"/>
                <w:highlight w:val="none"/>
                <w:lang w:eastAsia="zh-CN"/>
              </w:rPr>
            </w:pPr>
            <w:r>
              <w:rPr>
                <w:rFonts w:hint="eastAsia"/>
                <w:color w:val="auto"/>
                <w:spacing w:val="-2"/>
                <w:highlight w:val="none"/>
                <w:lang w:eastAsia="zh-CN"/>
              </w:rPr>
              <w:t>三档(</w:t>
            </w:r>
            <w:r>
              <w:rPr>
                <w:rFonts w:hint="eastAsia"/>
                <w:color w:val="auto"/>
                <w:spacing w:val="-2"/>
                <w:highlight w:val="none"/>
                <w:lang w:val="en-US" w:eastAsia="zh-CN"/>
              </w:rPr>
              <w:t>6</w:t>
            </w:r>
            <w:r>
              <w:rPr>
                <w:rFonts w:hint="eastAsia"/>
                <w:color w:val="auto"/>
                <w:spacing w:val="-2"/>
                <w:highlight w:val="none"/>
                <w:lang w:eastAsia="zh-CN"/>
              </w:rPr>
              <w:t>分）：</w:t>
            </w:r>
            <w:r>
              <w:rPr>
                <w:rFonts w:hint="eastAsia"/>
                <w:color w:val="auto"/>
                <w:spacing w:val="-2"/>
                <w:highlight w:val="none"/>
                <w:lang w:val="en-US" w:eastAsia="zh-CN"/>
              </w:rPr>
              <w:t>拟投入的物资装备配备方案贴合项目具体场景，方案举措可落地执行，调度流程顺畅，能提升工作效能；</w:t>
            </w:r>
          </w:p>
          <w:p w14:paraId="72B1EBC1">
            <w:pPr>
              <w:keepNext w:val="0"/>
              <w:keepLines w:val="0"/>
              <w:pageBreakBefore w:val="0"/>
              <w:widowControl w:val="0"/>
              <w:kinsoku/>
              <w:wordWrap/>
              <w:overflowPunct/>
              <w:topLinePunct w:val="0"/>
              <w:autoSpaceDE/>
              <w:autoSpaceDN/>
              <w:bidi w:val="0"/>
              <w:adjustRightInd/>
              <w:snapToGrid/>
              <w:spacing w:line="340" w:lineRule="exact"/>
              <w:ind w:right="0" w:rightChars="0" w:firstLine="412" w:firstLineChars="200"/>
              <w:jc w:val="both"/>
              <w:textAlignment w:val="auto"/>
              <w:rPr>
                <w:rFonts w:ascii="宋体" w:hAnsi="宋体" w:cs="宋体"/>
                <w:bCs/>
                <w:color w:val="000000"/>
                <w:kern w:val="0"/>
                <w:szCs w:val="21"/>
              </w:rPr>
            </w:pPr>
            <w:r>
              <w:rPr>
                <w:rFonts w:hint="eastAsia"/>
                <w:color w:val="auto"/>
                <w:spacing w:val="-2"/>
                <w:highlight w:val="none"/>
                <w:lang w:eastAsia="zh-CN"/>
              </w:rPr>
              <w:t>四档(</w:t>
            </w:r>
            <w:r>
              <w:rPr>
                <w:rFonts w:hint="eastAsia"/>
                <w:color w:val="auto"/>
                <w:spacing w:val="-2"/>
                <w:highlight w:val="none"/>
                <w:lang w:val="en-US" w:eastAsia="zh-CN"/>
              </w:rPr>
              <w:t>10</w:t>
            </w:r>
            <w:r>
              <w:rPr>
                <w:rFonts w:hint="eastAsia"/>
                <w:color w:val="auto"/>
                <w:spacing w:val="-2"/>
                <w:highlight w:val="none"/>
                <w:lang w:eastAsia="zh-CN"/>
              </w:rPr>
              <w:t>分)  ：</w:t>
            </w:r>
            <w:r>
              <w:rPr>
                <w:rFonts w:hint="eastAsia"/>
                <w:color w:val="auto"/>
                <w:spacing w:val="-2"/>
                <w:highlight w:val="none"/>
                <w:lang w:val="en-US" w:eastAsia="zh-CN"/>
              </w:rPr>
              <w:t xml:space="preserve">在满足第三档的基础上，投标人拟投入本项目的配套设施能够达到管理智能化的，得10分。 </w:t>
            </w:r>
          </w:p>
        </w:tc>
      </w:tr>
      <w:tr w14:paraId="7B9F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tcPr>
          <w:p w14:paraId="21431B70">
            <w:pPr>
              <w:adjustRightInd w:val="0"/>
              <w:snapToGrid w:val="0"/>
              <w:spacing w:line="360" w:lineRule="atLeast"/>
              <w:jc w:val="center"/>
              <w:textAlignment w:val="baseline"/>
              <w:rPr>
                <w:rFonts w:ascii="宋体" w:hAnsi="宋体" w:cs="宋体"/>
                <w:color w:val="000000"/>
                <w:sz w:val="24"/>
              </w:rPr>
            </w:pPr>
          </w:p>
        </w:tc>
        <w:tc>
          <w:tcPr>
            <w:tcW w:w="1585" w:type="dxa"/>
            <w:vMerge w:val="continue"/>
          </w:tcPr>
          <w:p w14:paraId="48C8AF1D">
            <w:pPr>
              <w:adjustRightInd w:val="0"/>
              <w:snapToGrid w:val="0"/>
              <w:spacing w:line="360" w:lineRule="atLeast"/>
              <w:jc w:val="center"/>
              <w:textAlignment w:val="baseline"/>
              <w:rPr>
                <w:rFonts w:ascii="宋体" w:hAnsi="宋体" w:cs="宋体"/>
                <w:bCs/>
                <w:color w:val="000000"/>
                <w:kern w:val="0"/>
                <w:szCs w:val="21"/>
              </w:rPr>
            </w:pPr>
          </w:p>
        </w:tc>
        <w:tc>
          <w:tcPr>
            <w:tcW w:w="1460" w:type="dxa"/>
            <w:tcMar>
              <w:left w:w="57" w:type="dxa"/>
              <w:right w:w="57" w:type="dxa"/>
            </w:tcMar>
            <w:vAlign w:val="center"/>
          </w:tcPr>
          <w:p w14:paraId="48C27EC3">
            <w:pPr>
              <w:snapToGrid w:val="0"/>
              <w:spacing w:line="360" w:lineRule="atLeast"/>
              <w:jc w:val="center"/>
              <w:rPr>
                <w:rFonts w:ascii="宋体" w:hAnsi="宋体" w:cs="宋体"/>
                <w:bCs/>
                <w:color w:val="000000"/>
                <w:kern w:val="0"/>
                <w:szCs w:val="21"/>
              </w:rPr>
            </w:pPr>
            <w:r>
              <w:rPr>
                <w:rFonts w:hint="eastAsia" w:hAnsi="宋体" w:cs="Courier New"/>
                <w:b/>
                <w:sz w:val="22"/>
                <w:szCs w:val="21"/>
              </w:rPr>
              <w:t>2.</w:t>
            </w:r>
            <w:r>
              <w:rPr>
                <w:rFonts w:hint="eastAsia" w:hAnsi="宋体" w:cs="Courier New"/>
                <w:b/>
                <w:sz w:val="22"/>
                <w:szCs w:val="21"/>
                <w:lang w:val="en-US" w:eastAsia="zh-CN"/>
              </w:rPr>
              <w:t>6服务承诺(满分4分)</w:t>
            </w:r>
          </w:p>
        </w:tc>
        <w:tc>
          <w:tcPr>
            <w:tcW w:w="5901" w:type="dxa"/>
            <w:vAlign w:val="center"/>
          </w:tcPr>
          <w:p w14:paraId="4F3DF373">
            <w:pPr>
              <w:pStyle w:val="43"/>
              <w:numPr>
                <w:ilvl w:val="0"/>
                <w:numId w:val="0"/>
              </w:numPr>
              <w:spacing w:before="120" w:line="340" w:lineRule="exact"/>
              <w:ind w:left="0" w:right="16"/>
              <w:rPr>
                <w:rFonts w:ascii="宋体" w:hAnsi="宋体" w:eastAsia="宋体" w:cs="宋体"/>
                <w:color w:val="auto"/>
                <w:spacing w:val="1"/>
                <w:highlight w:val="none"/>
              </w:rPr>
            </w:pPr>
            <w:r>
              <w:rPr>
                <w:rFonts w:ascii="宋体" w:hAnsi="宋体" w:eastAsia="宋体" w:cs="宋体"/>
                <w:color w:val="auto"/>
                <w:spacing w:val="1"/>
                <w:highlight w:val="none"/>
              </w:rPr>
              <w:t>评标委员会根据投标人提供的“服务承诺 ”内容的合理性、针对性两个方面进行独立评审并打分 :</w:t>
            </w:r>
          </w:p>
          <w:p w14:paraId="52A67211">
            <w:pPr>
              <w:pStyle w:val="43"/>
              <w:numPr>
                <w:ilvl w:val="0"/>
                <w:numId w:val="0"/>
              </w:numPr>
              <w:spacing w:before="120" w:line="340" w:lineRule="exact"/>
              <w:ind w:left="0" w:right="16"/>
              <w:rPr>
                <w:rFonts w:ascii="宋体" w:hAnsi="宋体" w:eastAsia="宋体" w:cs="宋体"/>
                <w:color w:val="auto"/>
                <w:spacing w:val="1"/>
                <w:highlight w:val="none"/>
              </w:rPr>
            </w:pPr>
            <w:r>
              <w:rPr>
                <w:rFonts w:ascii="宋体" w:hAnsi="宋体" w:eastAsia="宋体" w:cs="宋体"/>
                <w:color w:val="auto"/>
                <w:spacing w:val="1"/>
                <w:highlight w:val="none"/>
              </w:rPr>
              <w:t>一档(0分)：未提供服务承诺或承诺未达最低档的得 0 分的；</w:t>
            </w:r>
          </w:p>
          <w:p w14:paraId="39158622">
            <w:pPr>
              <w:pStyle w:val="43"/>
              <w:numPr>
                <w:ilvl w:val="0"/>
                <w:numId w:val="0"/>
              </w:numPr>
              <w:spacing w:before="120" w:line="340" w:lineRule="exact"/>
              <w:ind w:left="0" w:right="16"/>
              <w:rPr>
                <w:rFonts w:ascii="宋体" w:hAnsi="宋体" w:eastAsia="宋体" w:cs="宋体"/>
                <w:color w:val="auto"/>
                <w:spacing w:val="1"/>
                <w:highlight w:val="none"/>
              </w:rPr>
            </w:pPr>
            <w:r>
              <w:rPr>
                <w:rFonts w:ascii="宋体" w:hAnsi="宋体" w:eastAsia="宋体" w:cs="宋体"/>
                <w:color w:val="auto"/>
                <w:spacing w:val="1"/>
                <w:highlight w:val="none"/>
              </w:rPr>
              <w:t>二档(</w:t>
            </w:r>
            <w:r>
              <w:rPr>
                <w:rFonts w:hint="default" w:ascii="宋体" w:hAnsi="宋体" w:eastAsia="宋体" w:cs="宋体"/>
                <w:color w:val="auto"/>
                <w:spacing w:val="1"/>
                <w:highlight w:val="none"/>
                <w:lang w:val="en-US" w:eastAsia="zh-CN"/>
              </w:rPr>
              <w:t>1</w:t>
            </w:r>
            <w:r>
              <w:rPr>
                <w:rFonts w:ascii="宋体" w:hAnsi="宋体" w:eastAsia="宋体" w:cs="宋体"/>
                <w:color w:val="auto"/>
                <w:spacing w:val="1"/>
                <w:highlight w:val="none"/>
              </w:rPr>
              <w:t>分)：服务承诺内容简单，无具体保障措施；</w:t>
            </w:r>
          </w:p>
          <w:p w14:paraId="6C338AA6">
            <w:pPr>
              <w:pStyle w:val="43"/>
              <w:numPr>
                <w:ilvl w:val="0"/>
                <w:numId w:val="0"/>
              </w:numPr>
              <w:spacing w:before="120" w:line="340" w:lineRule="exact"/>
              <w:ind w:left="0" w:right="16" w:firstLine="0"/>
              <w:rPr>
                <w:rFonts w:ascii="宋体" w:hAnsi="宋体" w:eastAsia="宋体" w:cs="宋体"/>
                <w:color w:val="auto"/>
                <w:spacing w:val="1"/>
                <w:highlight w:val="none"/>
              </w:rPr>
            </w:pPr>
            <w:r>
              <w:rPr>
                <w:rFonts w:ascii="宋体" w:hAnsi="宋体" w:eastAsia="宋体" w:cs="宋体"/>
                <w:color w:val="auto"/>
                <w:spacing w:val="1"/>
                <w:highlight w:val="none"/>
              </w:rPr>
              <w:t>三档(</w:t>
            </w:r>
            <w:r>
              <w:rPr>
                <w:rFonts w:hint="default" w:ascii="宋体" w:hAnsi="宋体" w:eastAsia="宋体" w:cs="宋体"/>
                <w:color w:val="auto"/>
                <w:spacing w:val="1"/>
                <w:highlight w:val="none"/>
                <w:lang w:val="en-US" w:eastAsia="zh-CN"/>
              </w:rPr>
              <w:t>2</w:t>
            </w:r>
            <w:r>
              <w:rPr>
                <w:rFonts w:ascii="宋体" w:hAnsi="宋体" w:eastAsia="宋体" w:cs="宋体"/>
                <w:color w:val="auto"/>
                <w:spacing w:val="1"/>
                <w:highlight w:val="none"/>
              </w:rPr>
              <w:t>分)：服务承诺内容较详细、</w:t>
            </w:r>
            <w:r>
              <w:rPr>
                <w:rFonts w:ascii="宋体" w:hAnsi="宋体" w:eastAsia="宋体" w:cs="宋体"/>
                <w:color w:val="auto"/>
                <w:spacing w:val="1"/>
                <w:highlight w:val="none"/>
                <w:lang w:val="en-US" w:eastAsia="zh-CN"/>
              </w:rPr>
              <w:t>明确相关保障举措</w:t>
            </w:r>
            <w:r>
              <w:rPr>
                <w:rFonts w:ascii="宋体" w:hAnsi="宋体" w:eastAsia="宋体" w:cs="宋体"/>
                <w:color w:val="auto"/>
                <w:spacing w:val="1"/>
                <w:highlight w:val="none"/>
              </w:rPr>
              <w:t>，目标较为 明确，基本能满足项目采购需求；</w:t>
            </w:r>
          </w:p>
          <w:p w14:paraId="00D29190">
            <w:pPr>
              <w:pStyle w:val="43"/>
              <w:keepNext w:val="0"/>
              <w:keepLines w:val="0"/>
              <w:pageBreakBefore w:val="0"/>
              <w:widowControl w:val="0"/>
              <w:numPr>
                <w:ilvl w:val="0"/>
                <w:numId w:val="0"/>
              </w:numPr>
              <w:kinsoku/>
              <w:wordWrap/>
              <w:overflowPunct/>
              <w:topLinePunct w:val="0"/>
              <w:autoSpaceDE/>
              <w:autoSpaceDN/>
              <w:bidi w:val="0"/>
              <w:adjustRightInd/>
              <w:snapToGrid/>
              <w:spacing w:before="120" w:line="340" w:lineRule="exact"/>
              <w:ind w:right="16" w:firstLine="0" w:firstLineChars="0"/>
              <w:jc w:val="left"/>
              <w:textAlignment w:val="auto"/>
              <w:rPr>
                <w:rFonts w:ascii="宋体" w:hAnsi="宋体" w:cs="宋体"/>
                <w:bCs/>
                <w:color w:val="000000"/>
                <w:kern w:val="0"/>
                <w:szCs w:val="21"/>
              </w:rPr>
            </w:pPr>
            <w:r>
              <w:rPr>
                <w:rFonts w:ascii="宋体" w:hAnsi="宋体" w:eastAsia="宋体" w:cs="宋体"/>
                <w:color w:val="auto"/>
                <w:spacing w:val="1"/>
                <w:highlight w:val="none"/>
              </w:rPr>
              <w:t>四档(</w:t>
            </w:r>
            <w:r>
              <w:rPr>
                <w:rFonts w:hint="default" w:ascii="宋体" w:hAnsi="宋体" w:eastAsia="宋体" w:cs="宋体"/>
                <w:color w:val="auto"/>
                <w:spacing w:val="1"/>
                <w:highlight w:val="none"/>
                <w:lang w:val="en-US" w:eastAsia="zh-CN"/>
              </w:rPr>
              <w:t>4</w:t>
            </w:r>
            <w:r>
              <w:rPr>
                <w:rFonts w:ascii="宋体" w:hAnsi="宋体" w:eastAsia="宋体" w:cs="宋体"/>
                <w:color w:val="auto"/>
                <w:spacing w:val="1"/>
                <w:highlight w:val="none"/>
              </w:rPr>
              <w:t>分)：服务承诺内容具体、可行， 目标明确，监督制度可行，满足项目采购需求。</w:t>
            </w:r>
            <w:r>
              <w:rPr>
                <w:rFonts w:hint="default" w:ascii="宋体" w:hAnsi="宋体" w:eastAsia="宋体" w:cs="宋体"/>
                <w:b w:val="0"/>
                <w:bCs w:val="0"/>
                <w:color w:val="auto"/>
                <w:spacing w:val="1"/>
                <w:sz w:val="21"/>
                <w:szCs w:val="21"/>
                <w:highlight w:val="none"/>
              </w:rPr>
              <w:t xml:space="preserve"> </w:t>
            </w:r>
          </w:p>
        </w:tc>
      </w:tr>
      <w:tr w14:paraId="45DC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62" w:type="dxa"/>
            <w:vMerge w:val="restart"/>
            <w:vAlign w:val="center"/>
          </w:tcPr>
          <w:p w14:paraId="2A5FD076">
            <w:pPr>
              <w:snapToGrid w:val="0"/>
              <w:spacing w:line="360" w:lineRule="atLeast"/>
              <w:jc w:val="center"/>
              <w:rPr>
                <w:rFonts w:ascii="宋体" w:hAnsi="宋体" w:cs="宋体"/>
                <w:color w:val="000000"/>
                <w:sz w:val="24"/>
              </w:rPr>
            </w:pPr>
            <w:r>
              <w:rPr>
                <w:rFonts w:hint="eastAsia" w:ascii="宋体" w:hAnsi="宋体" w:cs="宋体"/>
                <w:color w:val="000000"/>
                <w:sz w:val="24"/>
              </w:rPr>
              <w:t>3</w:t>
            </w:r>
          </w:p>
        </w:tc>
        <w:tc>
          <w:tcPr>
            <w:tcW w:w="1585" w:type="dxa"/>
            <w:vMerge w:val="restart"/>
            <w:vAlign w:val="center"/>
          </w:tcPr>
          <w:p w14:paraId="77BFAE12">
            <w:pPr>
              <w:adjustRightInd w:val="0"/>
              <w:snapToGrid w:val="0"/>
              <w:spacing w:line="360" w:lineRule="atLeast"/>
              <w:ind w:left="-105" w:leftChars="-50" w:right="-105" w:rightChars="-50"/>
              <w:jc w:val="center"/>
              <w:textAlignment w:val="baseline"/>
              <w:rPr>
                <w:rFonts w:ascii="宋体" w:hAnsi="宋体" w:cs="宋体"/>
                <w:b/>
                <w:color w:val="000000"/>
                <w:kern w:val="0"/>
                <w:szCs w:val="21"/>
              </w:rPr>
            </w:pPr>
            <w:r>
              <w:rPr>
                <w:rFonts w:hint="eastAsia" w:ascii="宋体" w:hAnsi="宋体" w:cs="宋体"/>
                <w:b/>
                <w:color w:val="000000"/>
                <w:kern w:val="0"/>
                <w:szCs w:val="21"/>
              </w:rPr>
              <w:t>商务分</w:t>
            </w:r>
          </w:p>
          <w:p w14:paraId="7348B9A7">
            <w:pPr>
              <w:snapToGrid w:val="0"/>
              <w:spacing w:line="360" w:lineRule="atLeast"/>
              <w:jc w:val="center"/>
              <w:rPr>
                <w:rFonts w:ascii="宋体" w:hAnsi="宋体" w:cs="宋体"/>
                <w:bCs/>
                <w:color w:val="000000"/>
                <w:kern w:val="0"/>
                <w:szCs w:val="21"/>
              </w:rPr>
            </w:pPr>
            <w:r>
              <w:rPr>
                <w:rFonts w:hint="eastAsia" w:ascii="宋体" w:hAnsi="宋体" w:cs="宋体"/>
                <w:bCs/>
                <w:color w:val="000000"/>
                <w:kern w:val="0"/>
                <w:szCs w:val="21"/>
              </w:rPr>
              <w:t>（满分</w:t>
            </w:r>
            <w:r>
              <w:rPr>
                <w:rFonts w:hint="eastAsia" w:ascii="宋体" w:hAnsi="宋体" w:cs="宋体"/>
                <w:bCs/>
                <w:color w:val="000000"/>
                <w:kern w:val="0"/>
                <w:szCs w:val="21"/>
                <w:u w:val="single"/>
                <w:lang w:val="en-US" w:eastAsia="zh-CN"/>
              </w:rPr>
              <w:t>11</w:t>
            </w:r>
            <w:r>
              <w:rPr>
                <w:rFonts w:hint="eastAsia" w:ascii="宋体" w:hAnsi="宋体" w:cs="宋体"/>
                <w:bCs/>
                <w:color w:val="000000"/>
                <w:kern w:val="0"/>
                <w:szCs w:val="21"/>
              </w:rPr>
              <w:t>分）</w:t>
            </w:r>
          </w:p>
        </w:tc>
        <w:tc>
          <w:tcPr>
            <w:tcW w:w="1460" w:type="dxa"/>
            <w:vAlign w:val="center"/>
          </w:tcPr>
          <w:p w14:paraId="05F3AB5E">
            <w:pPr>
              <w:snapToGrid w:val="0"/>
              <w:spacing w:line="360" w:lineRule="atLeast"/>
              <w:jc w:val="center"/>
              <w:rPr>
                <w:rFonts w:ascii="宋体" w:hAnsi="宋体" w:cs="宋体"/>
                <w:bCs/>
                <w:color w:val="000000"/>
                <w:kern w:val="0"/>
                <w:szCs w:val="21"/>
              </w:rPr>
            </w:pPr>
            <w:r>
              <w:rPr>
                <w:rFonts w:hint="eastAsia" w:ascii="Times New Roman" w:hAnsi="宋体" w:eastAsia="宋体" w:cs="Courier New"/>
                <w:b/>
                <w:sz w:val="22"/>
                <w:szCs w:val="21"/>
                <w:lang w:val="en-US" w:eastAsia="zh-CN"/>
              </w:rPr>
              <w:t>3.1履约能力分（满分</w:t>
            </w:r>
            <w:r>
              <w:rPr>
                <w:rFonts w:hint="eastAsia" w:hAnsi="宋体" w:cs="Courier New"/>
                <w:b/>
                <w:sz w:val="22"/>
                <w:szCs w:val="21"/>
                <w:lang w:val="en-US" w:eastAsia="zh-CN"/>
              </w:rPr>
              <w:t>6</w:t>
            </w:r>
            <w:r>
              <w:rPr>
                <w:rFonts w:hint="eastAsia" w:ascii="Times New Roman" w:hAnsi="宋体" w:eastAsia="宋体" w:cs="Courier New"/>
                <w:b/>
                <w:sz w:val="22"/>
                <w:szCs w:val="21"/>
                <w:lang w:val="en-US" w:eastAsia="zh-CN"/>
              </w:rPr>
              <w:t>分）</w:t>
            </w:r>
          </w:p>
        </w:tc>
        <w:tc>
          <w:tcPr>
            <w:tcW w:w="5901" w:type="dxa"/>
            <w:vAlign w:val="center"/>
          </w:tcPr>
          <w:p w14:paraId="28E26322">
            <w:pPr>
              <w:pStyle w:val="43"/>
              <w:keepNext w:val="0"/>
              <w:keepLines w:val="0"/>
              <w:pageBreakBefore w:val="0"/>
              <w:widowControl w:val="0"/>
              <w:numPr>
                <w:ilvl w:val="0"/>
                <w:numId w:val="0"/>
              </w:numPr>
              <w:kinsoku/>
              <w:wordWrap/>
              <w:overflowPunct/>
              <w:topLinePunct w:val="0"/>
              <w:autoSpaceDE/>
              <w:autoSpaceDN/>
              <w:bidi w:val="0"/>
              <w:adjustRightInd/>
              <w:snapToGrid/>
              <w:spacing w:before="120" w:line="340" w:lineRule="exact"/>
              <w:ind w:left="0" w:leftChars="0" w:right="16" w:rightChars="0" w:firstLine="0" w:firstLineChars="0"/>
              <w:textAlignment w:val="auto"/>
              <w:rPr>
                <w:rFonts w:ascii="宋体" w:hAnsi="宋体" w:cs="宋体"/>
                <w:bCs/>
                <w:color w:val="000000"/>
                <w:kern w:val="0"/>
                <w:szCs w:val="21"/>
              </w:rPr>
            </w:pPr>
            <w:r>
              <w:rPr>
                <w:color w:val="auto"/>
                <w:spacing w:val="1"/>
                <w:highlight w:val="none"/>
              </w:rPr>
              <w:t>投标人通过质量管理体系认证</w:t>
            </w:r>
            <w:r>
              <w:rPr>
                <w:rFonts w:hint="eastAsia"/>
                <w:color w:val="auto"/>
                <w:spacing w:val="1"/>
                <w:highlight w:val="none"/>
                <w:lang w:val="en-US" w:eastAsia="zh-CN"/>
              </w:rPr>
              <w:t>证书</w:t>
            </w:r>
            <w:r>
              <w:rPr>
                <w:color w:val="auto"/>
                <w:spacing w:val="1"/>
                <w:highlight w:val="none"/>
              </w:rPr>
              <w:t>、 职业健康安全管理体系认证</w:t>
            </w:r>
            <w:r>
              <w:rPr>
                <w:rFonts w:hint="eastAsia"/>
                <w:color w:val="auto"/>
                <w:spacing w:val="1"/>
                <w:highlight w:val="none"/>
                <w:lang w:val="en-US" w:eastAsia="zh-CN"/>
              </w:rPr>
              <w:t>证书</w:t>
            </w:r>
            <w:r>
              <w:rPr>
                <w:color w:val="auto"/>
                <w:spacing w:val="1"/>
                <w:highlight w:val="none"/>
              </w:rPr>
              <w:t>、环</w:t>
            </w:r>
            <w:r>
              <w:rPr>
                <w:color w:val="auto"/>
                <w:spacing w:val="-8"/>
                <w:highlight w:val="none"/>
              </w:rPr>
              <w:t>境管理体系认证</w:t>
            </w:r>
            <w:r>
              <w:rPr>
                <w:rFonts w:hint="eastAsia"/>
                <w:color w:val="auto"/>
                <w:spacing w:val="-8"/>
                <w:highlight w:val="none"/>
                <w:lang w:val="en-US" w:eastAsia="zh-CN"/>
              </w:rPr>
              <w:t>证书</w:t>
            </w:r>
            <w:r>
              <w:rPr>
                <w:color w:val="auto"/>
                <w:spacing w:val="-8"/>
                <w:highlight w:val="none"/>
              </w:rPr>
              <w:t>、</w:t>
            </w:r>
            <w:r>
              <w:rPr>
                <w:rFonts w:hint="eastAsia" w:ascii="宋体" w:hAnsi="宋体" w:cs="宋体"/>
                <w:color w:val="auto"/>
                <w:szCs w:val="21"/>
                <w:highlight w:val="none"/>
                <w:lang w:val="en-US" w:eastAsia="zh-CN"/>
              </w:rPr>
              <w:t>GB/T42765保安服务管理体系认证</w:t>
            </w:r>
            <w:r>
              <w:rPr>
                <w:rFonts w:hint="eastAsia" w:cs="宋体"/>
                <w:color w:val="auto"/>
                <w:szCs w:val="21"/>
                <w:highlight w:val="none"/>
                <w:lang w:val="en-US" w:eastAsia="zh-CN"/>
              </w:rPr>
              <w:t>证书</w:t>
            </w:r>
            <w:r>
              <w:rPr>
                <w:color w:val="auto"/>
                <w:spacing w:val="-8"/>
                <w:highlight w:val="none"/>
              </w:rPr>
              <w:t>、</w:t>
            </w:r>
            <w:r>
              <w:rPr>
                <w:rFonts w:hint="eastAsia" w:ascii="宋体" w:hAnsi="宋体" w:cs="宋体"/>
                <w:color w:val="auto"/>
                <w:szCs w:val="21"/>
                <w:highlight w:val="none"/>
                <w:lang w:val="en-US" w:eastAsia="zh-CN"/>
              </w:rPr>
              <w:t>反恐管理体系评价证书认证、防暴力管理体系评价证书</w:t>
            </w:r>
            <w:r>
              <w:rPr>
                <w:rFonts w:hint="eastAsia" w:cs="宋体"/>
                <w:color w:val="auto"/>
                <w:szCs w:val="21"/>
                <w:highlight w:val="none"/>
                <w:lang w:val="en-US" w:eastAsia="zh-CN"/>
              </w:rPr>
              <w:t>，</w:t>
            </w:r>
            <w:r>
              <w:rPr>
                <w:color w:val="auto"/>
                <w:spacing w:val="-8"/>
                <w:highlight w:val="none"/>
              </w:rPr>
              <w:t>且</w:t>
            </w:r>
            <w:r>
              <w:rPr>
                <w:rFonts w:hint="eastAsia"/>
                <w:color w:val="auto"/>
                <w:spacing w:val="-8"/>
                <w:highlight w:val="none"/>
                <w:lang w:val="en-US" w:eastAsia="zh-CN"/>
              </w:rPr>
              <w:t>在</w:t>
            </w:r>
            <w:r>
              <w:rPr>
                <w:color w:val="auto"/>
                <w:spacing w:val="-8"/>
                <w:highlight w:val="none"/>
              </w:rPr>
              <w:t>有</w:t>
            </w:r>
            <w:r>
              <w:rPr>
                <w:color w:val="auto"/>
                <w:spacing w:val="-9"/>
                <w:highlight w:val="none"/>
              </w:rPr>
              <w:t>效</w:t>
            </w:r>
            <w:r>
              <w:rPr>
                <w:rFonts w:hint="eastAsia"/>
                <w:color w:val="auto"/>
                <w:spacing w:val="-9"/>
                <w:highlight w:val="none"/>
                <w:lang w:val="en-US" w:eastAsia="zh-CN"/>
              </w:rPr>
              <w:t>期</w:t>
            </w:r>
            <w:r>
              <w:rPr>
                <w:color w:val="auto"/>
                <w:spacing w:val="-9"/>
                <w:highlight w:val="none"/>
              </w:rPr>
              <w:t>的</w:t>
            </w:r>
            <w:r>
              <w:rPr>
                <w:color w:val="auto"/>
                <w:spacing w:val="-4"/>
                <w:highlight w:val="none"/>
              </w:rPr>
              <w:t>【</w:t>
            </w:r>
            <w:r>
              <w:rPr>
                <w:rFonts w:hint="eastAsia"/>
                <w:color w:val="auto"/>
                <w:spacing w:val="-4"/>
                <w:highlight w:val="none"/>
                <w:lang w:val="en-US" w:eastAsia="zh-CN"/>
              </w:rPr>
              <w:t>需在</w:t>
            </w:r>
            <w:r>
              <w:rPr>
                <w:color w:val="auto"/>
                <w:spacing w:val="-4"/>
                <w:highlight w:val="none"/>
              </w:rPr>
              <w:t>投标文件中提供相关</w:t>
            </w:r>
            <w:r>
              <w:rPr>
                <w:rFonts w:hint="eastAsia"/>
                <w:color w:val="auto"/>
                <w:spacing w:val="-4"/>
                <w:highlight w:val="none"/>
                <w:lang w:val="en-US" w:eastAsia="zh-CN"/>
              </w:rPr>
              <w:t>有效的</w:t>
            </w:r>
            <w:r>
              <w:rPr>
                <w:color w:val="auto"/>
                <w:spacing w:val="-4"/>
                <w:highlight w:val="none"/>
              </w:rPr>
              <w:t>证书</w:t>
            </w:r>
            <w:r>
              <w:rPr>
                <w:rFonts w:hint="eastAsia"/>
                <w:color w:val="auto"/>
                <w:spacing w:val="-4"/>
                <w:highlight w:val="none"/>
                <w:lang w:val="en-US" w:eastAsia="zh-CN"/>
              </w:rPr>
              <w:t>复印件</w:t>
            </w:r>
            <w:r>
              <w:rPr>
                <w:rFonts w:hint="eastAsia"/>
                <w:color w:val="auto"/>
                <w:spacing w:val="-6"/>
                <w:highlight w:val="none"/>
              </w:rPr>
              <w:t>并加盖投标人公章，未按要求提供的不得分</w:t>
            </w:r>
            <w:r>
              <w:rPr>
                <w:color w:val="auto"/>
                <w:spacing w:val="-4"/>
                <w:highlight w:val="none"/>
              </w:rPr>
              <w:t>】</w:t>
            </w:r>
            <w:r>
              <w:rPr>
                <w:color w:val="auto"/>
                <w:spacing w:val="-8"/>
                <w:highlight w:val="none"/>
              </w:rPr>
              <w:t>每提供1项得1分，满分</w:t>
            </w:r>
            <w:r>
              <w:rPr>
                <w:color w:val="auto"/>
                <w:spacing w:val="-29"/>
                <w:highlight w:val="none"/>
              </w:rPr>
              <w:t xml:space="preserve"> </w:t>
            </w:r>
            <w:r>
              <w:rPr>
                <w:rFonts w:hint="eastAsia"/>
                <w:color w:val="auto"/>
                <w:spacing w:val="-8"/>
                <w:highlight w:val="none"/>
                <w:lang w:val="en-US" w:eastAsia="zh-CN"/>
              </w:rPr>
              <w:t>6</w:t>
            </w:r>
            <w:r>
              <w:rPr>
                <w:color w:val="auto"/>
                <w:spacing w:val="-8"/>
                <w:highlight w:val="none"/>
              </w:rPr>
              <w:t xml:space="preserve"> 分。</w:t>
            </w:r>
          </w:p>
        </w:tc>
      </w:tr>
      <w:tr w14:paraId="35F2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62" w:type="dxa"/>
            <w:vMerge w:val="continue"/>
            <w:vAlign w:val="center"/>
          </w:tcPr>
          <w:p w14:paraId="456B6077">
            <w:pPr>
              <w:snapToGrid w:val="0"/>
              <w:spacing w:line="360" w:lineRule="atLeast"/>
              <w:jc w:val="center"/>
              <w:rPr>
                <w:rFonts w:ascii="宋体" w:hAnsi="宋体" w:cs="宋体"/>
                <w:color w:val="000000"/>
                <w:sz w:val="24"/>
              </w:rPr>
            </w:pPr>
          </w:p>
        </w:tc>
        <w:tc>
          <w:tcPr>
            <w:tcW w:w="1585" w:type="dxa"/>
            <w:vMerge w:val="continue"/>
            <w:vAlign w:val="center"/>
          </w:tcPr>
          <w:p w14:paraId="432851F6">
            <w:pPr>
              <w:snapToGrid w:val="0"/>
              <w:spacing w:line="360" w:lineRule="atLeast"/>
              <w:jc w:val="center"/>
              <w:rPr>
                <w:rFonts w:ascii="宋体" w:hAnsi="宋体" w:cs="宋体"/>
                <w:bCs/>
                <w:color w:val="000000"/>
                <w:kern w:val="0"/>
                <w:szCs w:val="21"/>
              </w:rPr>
            </w:pPr>
          </w:p>
        </w:tc>
        <w:tc>
          <w:tcPr>
            <w:tcW w:w="1460" w:type="dxa"/>
            <w:vAlign w:val="center"/>
          </w:tcPr>
          <w:p w14:paraId="07D93DFE">
            <w:pPr>
              <w:snapToGrid w:val="0"/>
              <w:spacing w:line="360" w:lineRule="atLeast"/>
              <w:jc w:val="center"/>
              <w:rPr>
                <w:rFonts w:ascii="宋体" w:hAnsi="宋体" w:cs="宋体"/>
                <w:bCs/>
                <w:color w:val="000000"/>
                <w:kern w:val="0"/>
                <w:szCs w:val="21"/>
              </w:rPr>
            </w:pPr>
            <w:r>
              <w:rPr>
                <w:rFonts w:hint="eastAsia" w:ascii="Times New Roman" w:hAnsi="宋体" w:eastAsia="宋体" w:cs="Courier New"/>
                <w:b/>
                <w:sz w:val="22"/>
                <w:szCs w:val="21"/>
                <w:lang w:val="en-US" w:eastAsia="zh-CN"/>
              </w:rPr>
              <w:t>3.2业绩分（满分</w:t>
            </w:r>
            <w:r>
              <w:rPr>
                <w:rFonts w:hint="eastAsia" w:hAnsi="宋体" w:cs="Courier New"/>
                <w:b/>
                <w:sz w:val="22"/>
                <w:szCs w:val="21"/>
                <w:lang w:val="en-US" w:eastAsia="zh-CN"/>
              </w:rPr>
              <w:t>5</w:t>
            </w:r>
            <w:r>
              <w:rPr>
                <w:rFonts w:hint="eastAsia" w:ascii="Times New Roman" w:hAnsi="宋体" w:eastAsia="宋体" w:cs="Courier New"/>
                <w:b/>
                <w:sz w:val="22"/>
                <w:szCs w:val="21"/>
                <w:lang w:val="en-US" w:eastAsia="zh-CN"/>
              </w:rPr>
              <w:t>分）</w:t>
            </w:r>
          </w:p>
        </w:tc>
        <w:tc>
          <w:tcPr>
            <w:tcW w:w="5901" w:type="dxa"/>
            <w:vAlign w:val="center"/>
          </w:tcPr>
          <w:p w14:paraId="7E61C181">
            <w:pPr>
              <w:keepNext w:val="0"/>
              <w:keepLines w:val="0"/>
              <w:pageBreakBefore w:val="0"/>
              <w:widowControl w:val="0"/>
              <w:kinsoku/>
              <w:wordWrap/>
              <w:overflowPunct/>
              <w:topLinePunct w:val="0"/>
              <w:autoSpaceDE/>
              <w:autoSpaceDN/>
              <w:bidi w:val="0"/>
              <w:adjustRightInd/>
              <w:snapToGrid/>
              <w:spacing w:line="340" w:lineRule="exact"/>
              <w:ind w:left="0" w:right="0" w:firstLine="0" w:firstLineChars="0"/>
              <w:jc w:val="both"/>
              <w:textAlignment w:val="auto"/>
              <w:rPr>
                <w:color w:val="auto"/>
                <w:spacing w:val="-6"/>
                <w:highlight w:val="none"/>
              </w:rPr>
            </w:pPr>
            <w:r>
              <w:rPr>
                <w:rFonts w:hint="eastAsia"/>
                <w:color w:val="auto"/>
                <w:spacing w:val="-6"/>
                <w:highlight w:val="none"/>
                <w:lang w:val="en-US" w:eastAsia="zh-CN"/>
              </w:rPr>
              <w:t>投标人</w:t>
            </w:r>
            <w:r>
              <w:rPr>
                <w:rFonts w:hint="eastAsia"/>
                <w:color w:val="auto"/>
                <w:spacing w:val="-6"/>
                <w:highlight w:val="none"/>
              </w:rPr>
              <w:t xml:space="preserve"> 202</w:t>
            </w:r>
            <w:r>
              <w:rPr>
                <w:rFonts w:hint="eastAsia"/>
                <w:color w:val="auto"/>
                <w:spacing w:val="-6"/>
                <w:highlight w:val="none"/>
                <w:lang w:val="en-US" w:eastAsia="zh-CN"/>
              </w:rPr>
              <w:t>4</w:t>
            </w:r>
            <w:r>
              <w:rPr>
                <w:rFonts w:hint="eastAsia"/>
                <w:color w:val="auto"/>
                <w:spacing w:val="-6"/>
                <w:highlight w:val="none"/>
              </w:rPr>
              <w:t>年</w:t>
            </w:r>
            <w:r>
              <w:rPr>
                <w:rFonts w:hint="eastAsia"/>
                <w:color w:val="auto"/>
                <w:highlight w:val="none"/>
                <w:lang w:val="en-US" w:eastAsia="zh-CN"/>
              </w:rPr>
              <w:t>1月1日</w:t>
            </w:r>
            <w:r>
              <w:rPr>
                <w:rFonts w:hint="eastAsia"/>
                <w:color w:val="auto"/>
                <w:spacing w:val="-6"/>
                <w:highlight w:val="none"/>
              </w:rPr>
              <w:t>以来具有</w:t>
            </w:r>
            <w:r>
              <w:rPr>
                <w:rFonts w:hint="eastAsia"/>
                <w:color w:val="auto"/>
                <w:highlight w:val="none"/>
                <w:lang w:val="en-US" w:eastAsia="zh-CN"/>
              </w:rPr>
              <w:t>类似</w:t>
            </w:r>
            <w:r>
              <w:rPr>
                <w:rFonts w:hint="eastAsia"/>
                <w:color w:val="auto"/>
                <w:spacing w:val="-6"/>
                <w:highlight w:val="none"/>
                <w:lang w:val="en-US" w:eastAsia="zh-CN"/>
              </w:rPr>
              <w:t>保安服务项目</w:t>
            </w:r>
            <w:r>
              <w:rPr>
                <w:rFonts w:hint="eastAsia"/>
                <w:color w:val="auto"/>
                <w:spacing w:val="-6"/>
                <w:highlight w:val="none"/>
              </w:rPr>
              <w:t>业绩的，</w:t>
            </w:r>
            <w:r>
              <w:rPr>
                <w:color w:val="auto"/>
                <w:spacing w:val="-5"/>
                <w:highlight w:val="none"/>
              </w:rPr>
              <w:t>每提供</w:t>
            </w:r>
            <w:r>
              <w:rPr>
                <w:color w:val="auto"/>
                <w:spacing w:val="-21"/>
                <w:highlight w:val="none"/>
              </w:rPr>
              <w:t xml:space="preserve"> </w:t>
            </w:r>
            <w:r>
              <w:rPr>
                <w:color w:val="auto"/>
                <w:spacing w:val="-5"/>
                <w:highlight w:val="none"/>
              </w:rPr>
              <w:t>1 项得</w:t>
            </w:r>
            <w:r>
              <w:rPr>
                <w:color w:val="auto"/>
                <w:spacing w:val="-21"/>
                <w:highlight w:val="none"/>
              </w:rPr>
              <w:t xml:space="preserve"> </w:t>
            </w:r>
            <w:r>
              <w:rPr>
                <w:rFonts w:hint="eastAsia"/>
                <w:color w:val="auto"/>
                <w:spacing w:val="-5"/>
                <w:highlight w:val="none"/>
                <w:lang w:val="en-US" w:eastAsia="zh-CN"/>
              </w:rPr>
              <w:t>1</w:t>
            </w:r>
            <w:r>
              <w:rPr>
                <w:color w:val="auto"/>
                <w:spacing w:val="-5"/>
                <w:highlight w:val="none"/>
              </w:rPr>
              <w:t xml:space="preserve"> 分，满分</w:t>
            </w:r>
            <w:r>
              <w:rPr>
                <w:rFonts w:hint="eastAsia"/>
                <w:color w:val="auto"/>
                <w:spacing w:val="-37"/>
                <w:highlight w:val="none"/>
                <w:lang w:val="en-US" w:eastAsia="zh-CN"/>
              </w:rPr>
              <w:t>5</w:t>
            </w:r>
            <w:r>
              <w:rPr>
                <w:color w:val="auto"/>
                <w:spacing w:val="-6"/>
                <w:highlight w:val="none"/>
              </w:rPr>
              <w:t>分。</w:t>
            </w:r>
          </w:p>
          <w:p w14:paraId="2538F09B">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rPr>
                <w:rFonts w:ascii="宋体" w:hAnsi="宋体" w:cs="宋体"/>
                <w:szCs w:val="21"/>
              </w:rPr>
            </w:pPr>
            <w:r>
              <w:rPr>
                <w:rFonts w:hint="eastAsia"/>
                <w:color w:val="auto"/>
                <w:spacing w:val="-6"/>
                <w:highlight w:val="none"/>
              </w:rPr>
              <w:t>【注：需在投标文件中提供前述</w:t>
            </w:r>
            <w:r>
              <w:rPr>
                <w:rFonts w:hint="eastAsia"/>
                <w:color w:val="auto"/>
                <w:highlight w:val="none"/>
                <w:lang w:val="en-US" w:eastAsia="zh-CN"/>
              </w:rPr>
              <w:t>类似</w:t>
            </w:r>
            <w:r>
              <w:rPr>
                <w:color w:val="auto"/>
                <w:highlight w:val="none"/>
              </w:rPr>
              <w:t>保安</w:t>
            </w:r>
            <w:r>
              <w:rPr>
                <w:color w:val="auto"/>
                <w:spacing w:val="-1"/>
                <w:highlight w:val="none"/>
              </w:rPr>
              <w:t>服务项目业绩</w:t>
            </w:r>
            <w:r>
              <w:rPr>
                <w:rFonts w:hint="eastAsia"/>
                <w:color w:val="auto"/>
                <w:spacing w:val="-6"/>
                <w:highlight w:val="none"/>
              </w:rPr>
              <w:t>的</w:t>
            </w:r>
            <w:r>
              <w:rPr>
                <w:rFonts w:hint="eastAsia"/>
                <w:color w:val="auto"/>
                <w:spacing w:val="-6"/>
                <w:highlight w:val="none"/>
                <w:lang w:val="en-US" w:eastAsia="zh-CN"/>
              </w:rPr>
              <w:t>相应的</w:t>
            </w:r>
            <w:r>
              <w:rPr>
                <w:rFonts w:hint="eastAsia"/>
                <w:color w:val="auto"/>
                <w:spacing w:val="-6"/>
                <w:highlight w:val="none"/>
              </w:rPr>
              <w:t>服务费用发票或</w:t>
            </w:r>
            <w:r>
              <w:rPr>
                <w:rFonts w:hint="eastAsia" w:eastAsia="宋体"/>
                <w:color w:val="auto"/>
                <w:spacing w:val="-6"/>
                <w:highlight w:val="none"/>
              </w:rPr>
              <w:t>银行</w:t>
            </w:r>
            <w:r>
              <w:rPr>
                <w:rFonts w:hint="eastAsia" w:eastAsia="宋体"/>
                <w:color w:val="auto"/>
                <w:spacing w:val="-6"/>
                <w:highlight w:val="none"/>
                <w:lang w:eastAsia="zh-CN"/>
              </w:rPr>
              <w:t>客户回单（或企业网上银行电子回单）</w:t>
            </w:r>
            <w:r>
              <w:rPr>
                <w:rFonts w:hint="eastAsia" w:eastAsia="宋体"/>
                <w:color w:val="auto"/>
                <w:spacing w:val="-6"/>
                <w:highlight w:val="none"/>
              </w:rPr>
              <w:t>复</w:t>
            </w:r>
            <w:r>
              <w:rPr>
                <w:rFonts w:hint="eastAsia"/>
                <w:color w:val="auto"/>
                <w:spacing w:val="-6"/>
                <w:highlight w:val="none"/>
              </w:rPr>
              <w:t>印件</w:t>
            </w:r>
            <w:r>
              <w:rPr>
                <w:rFonts w:hint="eastAsia"/>
                <w:color w:val="auto"/>
                <w:spacing w:val="-6"/>
                <w:highlight w:val="none"/>
                <w:lang w:eastAsia="zh-CN"/>
              </w:rPr>
              <w:t>或</w:t>
            </w:r>
            <w:r>
              <w:rPr>
                <w:rFonts w:hint="eastAsia"/>
                <w:color w:val="auto"/>
                <w:spacing w:val="-6"/>
                <w:highlight w:val="none"/>
              </w:rPr>
              <w:t>中标(成交)通知书或采购合同复印件(能清晰反映投标项目名称、金额。同一个编号的项目有两个或两个以上的分标中标的只算一次)，未按要求提供的不得分。】</w:t>
            </w:r>
            <w:r>
              <w:rPr>
                <w:rFonts w:hint="eastAsia" w:ascii="宋体" w:hAnsi="宋体" w:eastAsia="宋体" w:cs="宋体"/>
                <w:b w:val="0"/>
                <w:bCs/>
                <w:color w:val="auto"/>
                <w:spacing w:val="-3"/>
                <w:sz w:val="21"/>
                <w:szCs w:val="21"/>
                <w:highlight w:val="none"/>
              </w:rPr>
              <w:t>。</w:t>
            </w:r>
          </w:p>
        </w:tc>
      </w:tr>
      <w:tr w14:paraId="1EDA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vAlign w:val="center"/>
          </w:tcPr>
          <w:p w14:paraId="0AA5FD72">
            <w:pPr>
              <w:pStyle w:val="13"/>
              <w:snapToGrid w:val="0"/>
              <w:spacing w:line="360" w:lineRule="atLeast"/>
              <w:rPr>
                <w:rFonts w:hAnsi="宋体" w:cs="宋体"/>
                <w:b/>
                <w:bCs/>
                <w:color w:val="000000"/>
                <w:sz w:val="24"/>
                <w:szCs w:val="24"/>
              </w:rPr>
            </w:pPr>
            <w:r>
              <w:rPr>
                <w:rFonts w:hint="eastAsia" w:hAnsi="宋体" w:cs="宋体"/>
                <w:b/>
                <w:bCs/>
                <w:color w:val="000000"/>
                <w:sz w:val="24"/>
                <w:szCs w:val="24"/>
              </w:rPr>
              <w:t>总得分=1+2+3</w:t>
            </w:r>
          </w:p>
        </w:tc>
      </w:tr>
    </w:tbl>
    <w:p w14:paraId="1DF2F085"/>
    <w:p w14:paraId="3CC7AF02">
      <w:pPr>
        <w:rPr>
          <w:sz w:val="30"/>
          <w:szCs w:val="30"/>
        </w:rPr>
      </w:pPr>
      <w:bookmarkStart w:id="308" w:name="_Toc16466"/>
      <w:bookmarkStart w:id="309" w:name="_Toc20313"/>
      <w:bookmarkStart w:id="310" w:name="_Toc9480"/>
      <w:bookmarkStart w:id="311" w:name="_Toc2202"/>
      <w:bookmarkStart w:id="312" w:name="_Toc15061"/>
      <w:bookmarkStart w:id="313" w:name="_Toc23906"/>
      <w:bookmarkStart w:id="314" w:name="_Toc18582"/>
      <w:bookmarkStart w:id="315" w:name="_Toc11083"/>
      <w:bookmarkStart w:id="316" w:name="_Toc10751"/>
      <w:bookmarkStart w:id="317" w:name="_Toc12855"/>
      <w:r>
        <w:rPr>
          <w:rFonts w:hint="eastAsia"/>
          <w:sz w:val="30"/>
          <w:szCs w:val="30"/>
        </w:rPr>
        <w:br w:type="page"/>
      </w:r>
    </w:p>
    <w:p w14:paraId="12909A28">
      <w:pPr>
        <w:pStyle w:val="3"/>
        <w:jc w:val="center"/>
        <w:rPr>
          <w:rFonts w:hint="default"/>
          <w:b w:val="0"/>
          <w:sz w:val="30"/>
          <w:szCs w:val="30"/>
        </w:rPr>
      </w:pPr>
      <w:r>
        <w:rPr>
          <w:b w:val="0"/>
          <w:sz w:val="30"/>
          <w:szCs w:val="30"/>
        </w:rPr>
        <w:t>第四节 中标候选人推荐原则</w:t>
      </w:r>
      <w:bookmarkEnd w:id="308"/>
      <w:bookmarkEnd w:id="309"/>
      <w:bookmarkEnd w:id="310"/>
      <w:bookmarkEnd w:id="311"/>
      <w:bookmarkEnd w:id="312"/>
      <w:bookmarkEnd w:id="313"/>
      <w:bookmarkEnd w:id="314"/>
      <w:bookmarkEnd w:id="315"/>
      <w:bookmarkEnd w:id="316"/>
      <w:bookmarkEnd w:id="317"/>
    </w:p>
    <w:p w14:paraId="44CF154E">
      <w:pPr>
        <w:pStyle w:val="13"/>
        <w:spacing w:line="360" w:lineRule="auto"/>
        <w:ind w:left="472"/>
        <w:contextualSpacing/>
        <w:rPr>
          <w:rFonts w:hAnsi="宋体"/>
          <w:b/>
          <w:bCs/>
          <w:sz w:val="24"/>
          <w:szCs w:val="24"/>
        </w:rPr>
      </w:pPr>
      <w:r>
        <w:rPr>
          <w:rFonts w:hint="eastAsia" w:hAnsi="宋体"/>
          <w:b/>
          <w:bCs/>
          <w:sz w:val="24"/>
          <w:szCs w:val="24"/>
        </w:rPr>
        <w:t>（一）综合评分法</w:t>
      </w:r>
    </w:p>
    <w:p w14:paraId="74E39336">
      <w:pPr>
        <w:pStyle w:val="13"/>
        <w:spacing w:line="360" w:lineRule="auto"/>
        <w:ind w:firstLine="420" w:firstLineChars="200"/>
        <w:rPr>
          <w:rFonts w:hAnsi="宋体"/>
        </w:rPr>
      </w:pPr>
      <w:r>
        <w:rPr>
          <w:rFonts w:hint="eastAsia" w:hAnsi="宋体"/>
        </w:rPr>
        <w:t>评标委员会将根据评审后总得分由高到低顺序</w:t>
      </w:r>
      <w:r>
        <w:rPr>
          <w:rFonts w:hint="eastAsia" w:ascii="Times New Roman" w:hAnsi="宋体"/>
          <w:szCs w:val="24"/>
        </w:rPr>
        <w:t>排列</w:t>
      </w:r>
      <w:r>
        <w:rPr>
          <w:rFonts w:hint="eastAsia" w:hAnsi="宋体"/>
        </w:rPr>
        <w:t>。总得分相同的，以投标报价由低到高顺序排列，得分且投标报价相同的并列。投标文件满足招标文件全部实质性要求，且按照评审因素的量化指标评审得分最高的投标人为排名第一的中标候选人。</w:t>
      </w:r>
    </w:p>
    <w:p w14:paraId="7B1B2805">
      <w:pPr>
        <w:pStyle w:val="13"/>
        <w:spacing w:line="360" w:lineRule="auto"/>
        <w:ind w:firstLine="482" w:firstLineChars="200"/>
        <w:rPr>
          <w:rFonts w:hAnsi="宋体"/>
        </w:rPr>
      </w:pPr>
      <w:r>
        <w:rPr>
          <w:rFonts w:hint="eastAsia" w:hAnsi="宋体"/>
          <w:b/>
          <w:bCs/>
          <w:sz w:val="24"/>
          <w:szCs w:val="24"/>
        </w:rPr>
        <w:t>（二）最低评标价法</w:t>
      </w:r>
    </w:p>
    <w:p w14:paraId="4C6DCBB7">
      <w:pPr>
        <w:pStyle w:val="13"/>
        <w:tabs>
          <w:tab w:val="left" w:pos="2472"/>
        </w:tabs>
        <w:spacing w:line="480" w:lineRule="exact"/>
        <w:ind w:firstLine="420" w:firstLineChars="200"/>
      </w:pPr>
      <w:r>
        <w:rPr>
          <w:rFonts w:hint="eastAsia" w:hAnsi="宋体"/>
        </w:rPr>
        <w:t>评标委员会将按照有效评标价从低到高顺序排列，评标价相同的并列。投标文件满足招标文件全部实质性要求且评标价最低的投标人为排名第一的中标候选人。</w:t>
      </w:r>
    </w:p>
    <w:p w14:paraId="2B2E87E9">
      <w:pPr>
        <w:pStyle w:val="3"/>
        <w:spacing w:before="0" w:after="0" w:line="360" w:lineRule="auto"/>
        <w:ind w:firstLine="600" w:firstLineChars="200"/>
        <w:jc w:val="center"/>
        <w:rPr>
          <w:rFonts w:hint="default"/>
          <w:b w:val="0"/>
          <w:sz w:val="30"/>
          <w:szCs w:val="30"/>
        </w:rPr>
      </w:pPr>
      <w:bookmarkStart w:id="318" w:name="_Toc13808"/>
      <w:bookmarkStart w:id="319" w:name="_Toc9602"/>
      <w:bookmarkStart w:id="320" w:name="_Toc22384"/>
      <w:bookmarkStart w:id="321" w:name="_Toc11695"/>
      <w:bookmarkStart w:id="322" w:name="_Toc11073"/>
      <w:bookmarkStart w:id="323" w:name="_Toc13625"/>
      <w:bookmarkStart w:id="324" w:name="_Toc11545"/>
      <w:bookmarkStart w:id="325" w:name="_Toc27419"/>
      <w:bookmarkStart w:id="326" w:name="_Toc29218"/>
      <w:bookmarkStart w:id="327" w:name="_Toc7971"/>
      <w:r>
        <w:rPr>
          <w:b w:val="0"/>
          <w:sz w:val="30"/>
          <w:szCs w:val="30"/>
        </w:rPr>
        <w:t>第五节 评标报告</w:t>
      </w:r>
      <w:bookmarkEnd w:id="318"/>
      <w:bookmarkEnd w:id="319"/>
      <w:bookmarkEnd w:id="320"/>
      <w:bookmarkEnd w:id="321"/>
      <w:bookmarkEnd w:id="322"/>
      <w:bookmarkEnd w:id="323"/>
      <w:bookmarkEnd w:id="324"/>
      <w:bookmarkEnd w:id="325"/>
      <w:bookmarkEnd w:id="326"/>
      <w:bookmarkEnd w:id="327"/>
    </w:p>
    <w:p w14:paraId="7C6EAA86">
      <w:pPr>
        <w:pStyle w:val="33"/>
        <w:spacing w:before="0"/>
        <w:ind w:firstLine="482"/>
        <w:rPr>
          <w:rFonts w:ascii="宋体" w:hAnsi="宋体"/>
          <w:b/>
          <w:bCs/>
          <w:szCs w:val="24"/>
        </w:rPr>
      </w:pPr>
      <w:r>
        <w:rPr>
          <w:rFonts w:hint="eastAsia" w:ascii="宋体" w:hAnsi="宋体"/>
          <w:b/>
          <w:bCs/>
          <w:szCs w:val="24"/>
        </w:rPr>
        <w:t>（一）评标报告与推荐中标候选人</w:t>
      </w:r>
    </w:p>
    <w:p w14:paraId="59F5C0AF">
      <w:pPr>
        <w:pStyle w:val="13"/>
        <w:tabs>
          <w:tab w:val="left" w:pos="2472"/>
        </w:tabs>
        <w:spacing w:line="360" w:lineRule="auto"/>
        <w:ind w:firstLine="420" w:firstLineChars="200"/>
        <w:rPr>
          <w:rFonts w:hAnsi="宋体"/>
        </w:rPr>
      </w:pPr>
      <w:r>
        <w:rPr>
          <w:rFonts w:hint="eastAsia" w:hAnsi="宋体"/>
        </w:rPr>
        <w:t>评标委员会根据原始评标记录和评标结果编写评标报告，并通过电子交易平台向采购人、采购代理机构提交。</w:t>
      </w:r>
    </w:p>
    <w:p w14:paraId="48281D8F">
      <w:pPr>
        <w:widowControl/>
        <w:spacing w:line="360" w:lineRule="auto"/>
        <w:ind w:firstLine="482" w:firstLineChars="200"/>
        <w:jc w:val="left"/>
        <w:rPr>
          <w:rFonts w:ascii="宋体" w:hAnsi="宋体"/>
          <w:b/>
          <w:bCs/>
          <w:sz w:val="24"/>
        </w:rPr>
      </w:pPr>
      <w:r>
        <w:rPr>
          <w:rFonts w:hint="eastAsia" w:ascii="宋体" w:hAnsi="宋体"/>
          <w:b/>
          <w:bCs/>
          <w:sz w:val="24"/>
        </w:rPr>
        <w:t>（二）评标争议事项处理</w:t>
      </w:r>
    </w:p>
    <w:p w14:paraId="38368FA9">
      <w:pPr>
        <w:pStyle w:val="13"/>
        <w:tabs>
          <w:tab w:val="left" w:pos="2472"/>
        </w:tabs>
        <w:spacing w:line="360" w:lineRule="auto"/>
        <w:ind w:firstLine="420" w:firstLineChars="200"/>
        <w:rPr>
          <w:rFonts w:hAnsi="宋体"/>
        </w:rPr>
      </w:pPr>
      <w:r>
        <w:rPr>
          <w:rFonts w:hint="eastAsia" w:hAnsi="宋体"/>
        </w:rPr>
        <w:t>评标委员会成员对需要共同认定的事项存在争议的，应当按照少数服从多数的原则作出结论。持不同意见的评标委员会成员应当在评标报告上签署不同意见及理由，否则视为同意评标报告。</w:t>
      </w:r>
    </w:p>
    <w:p w14:paraId="36396A25">
      <w:pPr>
        <w:widowControl/>
        <w:jc w:val="left"/>
        <w:rPr>
          <w:b/>
          <w:sz w:val="36"/>
          <w:szCs w:val="20"/>
        </w:rPr>
        <w:sectPr>
          <w:pgSz w:w="11905" w:h="16838"/>
          <w:pgMar w:top="1134" w:right="1134" w:bottom="1134" w:left="1134" w:header="850" w:footer="850" w:gutter="0"/>
          <w:cols w:space="0" w:num="1"/>
          <w:titlePg/>
          <w:docGrid w:linePitch="331" w:charSpace="0"/>
        </w:sectPr>
      </w:pPr>
    </w:p>
    <w:p w14:paraId="4D23D07E">
      <w:pPr>
        <w:pStyle w:val="13"/>
        <w:tabs>
          <w:tab w:val="left" w:pos="2472"/>
        </w:tabs>
        <w:spacing w:line="460" w:lineRule="exact"/>
        <w:jc w:val="center"/>
        <w:rPr>
          <w:rFonts w:ascii="Times New Roman" w:hAnsi="Times New Roman"/>
          <w:b/>
          <w:sz w:val="36"/>
        </w:rPr>
      </w:pPr>
    </w:p>
    <w:p w14:paraId="6C3963A6">
      <w:pPr>
        <w:pStyle w:val="13"/>
        <w:tabs>
          <w:tab w:val="left" w:pos="2472"/>
        </w:tabs>
        <w:spacing w:line="460" w:lineRule="exact"/>
        <w:jc w:val="center"/>
        <w:rPr>
          <w:rFonts w:ascii="Times New Roman" w:hAnsi="Times New Roman"/>
          <w:b/>
          <w:sz w:val="36"/>
        </w:rPr>
      </w:pPr>
    </w:p>
    <w:p w14:paraId="6B7EC362">
      <w:pPr>
        <w:pStyle w:val="13"/>
        <w:tabs>
          <w:tab w:val="left" w:pos="2472"/>
        </w:tabs>
        <w:spacing w:line="460" w:lineRule="exact"/>
        <w:jc w:val="center"/>
        <w:rPr>
          <w:rFonts w:ascii="Times New Roman" w:hAnsi="Times New Roman"/>
          <w:b/>
          <w:sz w:val="36"/>
        </w:rPr>
      </w:pPr>
    </w:p>
    <w:p w14:paraId="21FC7FD9">
      <w:pPr>
        <w:pStyle w:val="13"/>
        <w:tabs>
          <w:tab w:val="left" w:pos="2472"/>
        </w:tabs>
        <w:spacing w:line="460" w:lineRule="exact"/>
        <w:jc w:val="center"/>
        <w:rPr>
          <w:rFonts w:ascii="Times New Roman" w:hAnsi="Times New Roman"/>
          <w:b/>
          <w:sz w:val="36"/>
        </w:rPr>
      </w:pPr>
    </w:p>
    <w:p w14:paraId="63BFCA24">
      <w:pPr>
        <w:pStyle w:val="13"/>
        <w:tabs>
          <w:tab w:val="left" w:pos="2472"/>
        </w:tabs>
        <w:spacing w:line="460" w:lineRule="exact"/>
        <w:jc w:val="center"/>
        <w:rPr>
          <w:rFonts w:ascii="Times New Roman" w:hAnsi="Times New Roman"/>
          <w:b/>
          <w:sz w:val="36"/>
        </w:rPr>
      </w:pPr>
    </w:p>
    <w:p w14:paraId="23DE10B1">
      <w:pPr>
        <w:pStyle w:val="13"/>
        <w:tabs>
          <w:tab w:val="left" w:pos="2472"/>
        </w:tabs>
        <w:spacing w:line="460" w:lineRule="exact"/>
        <w:jc w:val="center"/>
        <w:rPr>
          <w:rFonts w:ascii="Times New Roman" w:hAnsi="Times New Roman"/>
          <w:b/>
          <w:sz w:val="36"/>
        </w:rPr>
      </w:pPr>
    </w:p>
    <w:p w14:paraId="11D677A1">
      <w:pPr>
        <w:pStyle w:val="13"/>
        <w:tabs>
          <w:tab w:val="left" w:pos="2472"/>
        </w:tabs>
        <w:spacing w:line="460" w:lineRule="exact"/>
        <w:jc w:val="center"/>
        <w:rPr>
          <w:rFonts w:ascii="Times New Roman" w:hAnsi="Times New Roman"/>
          <w:b/>
          <w:sz w:val="36"/>
        </w:rPr>
      </w:pPr>
    </w:p>
    <w:p w14:paraId="6936AC4A">
      <w:pPr>
        <w:pStyle w:val="13"/>
        <w:tabs>
          <w:tab w:val="left" w:pos="2472"/>
        </w:tabs>
        <w:spacing w:line="460" w:lineRule="exact"/>
        <w:jc w:val="center"/>
        <w:rPr>
          <w:rFonts w:ascii="Times New Roman" w:hAnsi="Times New Roman"/>
          <w:b/>
          <w:sz w:val="36"/>
        </w:rPr>
      </w:pPr>
    </w:p>
    <w:p w14:paraId="57767732">
      <w:pPr>
        <w:pStyle w:val="13"/>
        <w:tabs>
          <w:tab w:val="left" w:pos="2472"/>
        </w:tabs>
        <w:spacing w:line="460" w:lineRule="exact"/>
        <w:jc w:val="center"/>
        <w:rPr>
          <w:rFonts w:ascii="Times New Roman" w:hAnsi="Times New Roman"/>
          <w:b/>
          <w:sz w:val="36"/>
        </w:rPr>
      </w:pPr>
    </w:p>
    <w:p w14:paraId="5A88AB3D">
      <w:pPr>
        <w:pStyle w:val="13"/>
        <w:tabs>
          <w:tab w:val="left" w:pos="2472"/>
        </w:tabs>
        <w:spacing w:line="460" w:lineRule="exact"/>
        <w:jc w:val="center"/>
        <w:rPr>
          <w:rFonts w:ascii="Times New Roman" w:hAnsi="Times New Roman"/>
          <w:b/>
          <w:sz w:val="36"/>
        </w:rPr>
      </w:pPr>
    </w:p>
    <w:p w14:paraId="7AADA457">
      <w:pPr>
        <w:pStyle w:val="13"/>
        <w:tabs>
          <w:tab w:val="left" w:pos="2472"/>
        </w:tabs>
        <w:spacing w:line="460" w:lineRule="exact"/>
        <w:jc w:val="center"/>
        <w:rPr>
          <w:rFonts w:ascii="Times New Roman" w:hAnsi="Times New Roman"/>
          <w:b/>
          <w:sz w:val="36"/>
        </w:rPr>
      </w:pPr>
    </w:p>
    <w:p w14:paraId="116E5449">
      <w:pPr>
        <w:pStyle w:val="13"/>
        <w:tabs>
          <w:tab w:val="left" w:pos="2472"/>
        </w:tabs>
        <w:spacing w:line="460" w:lineRule="exact"/>
        <w:jc w:val="center"/>
        <w:rPr>
          <w:rFonts w:ascii="Times New Roman" w:hAnsi="Times New Roman"/>
          <w:b/>
          <w:sz w:val="36"/>
        </w:rPr>
      </w:pPr>
    </w:p>
    <w:p w14:paraId="20DAD657">
      <w:pPr>
        <w:pStyle w:val="13"/>
        <w:tabs>
          <w:tab w:val="left" w:pos="2472"/>
        </w:tabs>
        <w:spacing w:line="460" w:lineRule="exact"/>
        <w:jc w:val="center"/>
        <w:rPr>
          <w:rFonts w:ascii="Times New Roman" w:hAnsi="Times New Roman"/>
          <w:b/>
          <w:sz w:val="36"/>
        </w:rPr>
      </w:pPr>
    </w:p>
    <w:p w14:paraId="419796E8">
      <w:pPr>
        <w:pStyle w:val="13"/>
        <w:tabs>
          <w:tab w:val="left" w:pos="2472"/>
        </w:tabs>
        <w:spacing w:line="460" w:lineRule="exact"/>
        <w:jc w:val="center"/>
        <w:outlineLvl w:val="0"/>
        <w:rPr>
          <w:rFonts w:ascii="Times New Roman" w:hAnsi="Times New Roman"/>
          <w:b/>
          <w:sz w:val="36"/>
        </w:rPr>
      </w:pPr>
      <w:bookmarkStart w:id="328" w:name="_Toc9012"/>
      <w:bookmarkStart w:id="329" w:name="_Toc32021"/>
      <w:bookmarkStart w:id="330" w:name="_Toc17049"/>
      <w:bookmarkStart w:id="331" w:name="_Toc25572"/>
      <w:bookmarkStart w:id="332" w:name="_Toc31791"/>
      <w:bookmarkStart w:id="333" w:name="_Toc7167"/>
      <w:bookmarkStart w:id="334" w:name="_Toc26262"/>
      <w:bookmarkStart w:id="335" w:name="_Toc27014"/>
      <w:bookmarkStart w:id="336" w:name="_Toc3422"/>
      <w:bookmarkStart w:id="337" w:name="_Toc20993"/>
      <w:bookmarkStart w:id="338" w:name="_Toc29347"/>
      <w:bookmarkStart w:id="339" w:name="_Toc9058"/>
      <w:bookmarkStart w:id="340" w:name="_Toc3838"/>
      <w:r>
        <w:rPr>
          <w:rFonts w:hint="eastAsia" w:ascii="Times New Roman" w:hAnsi="Times New Roman"/>
          <w:b/>
          <w:sz w:val="36"/>
        </w:rPr>
        <w:t>第五章</w:t>
      </w:r>
      <w:r>
        <w:rPr>
          <w:rFonts w:ascii="Times New Roman" w:hAnsi="Times New Roman"/>
          <w:b/>
          <w:sz w:val="36"/>
        </w:rPr>
        <w:t xml:space="preserve"> </w:t>
      </w:r>
      <w:r>
        <w:rPr>
          <w:rFonts w:hint="eastAsia" w:ascii="Times New Roman" w:hAnsi="Times New Roman"/>
          <w:b/>
          <w:sz w:val="36"/>
        </w:rPr>
        <w:t>拟签订的合同文本</w:t>
      </w:r>
      <w:bookmarkEnd w:id="328"/>
      <w:bookmarkEnd w:id="329"/>
      <w:bookmarkEnd w:id="330"/>
      <w:bookmarkEnd w:id="331"/>
      <w:bookmarkEnd w:id="332"/>
      <w:bookmarkEnd w:id="333"/>
      <w:bookmarkEnd w:id="334"/>
      <w:bookmarkEnd w:id="335"/>
      <w:bookmarkEnd w:id="336"/>
      <w:bookmarkEnd w:id="337"/>
      <w:bookmarkEnd w:id="338"/>
      <w:bookmarkEnd w:id="339"/>
      <w:bookmarkEnd w:id="340"/>
    </w:p>
    <w:p w14:paraId="4C373003">
      <w:pPr>
        <w:widowControl/>
        <w:jc w:val="left"/>
        <w:rPr>
          <w:rFonts w:ascii="宋体" w:hAnsi="Courier New"/>
          <w:bCs/>
          <w:szCs w:val="20"/>
        </w:rPr>
        <w:sectPr>
          <w:pgSz w:w="11905" w:h="16838"/>
          <w:pgMar w:top="1134" w:right="1134" w:bottom="1134" w:left="1134" w:header="850" w:footer="850" w:gutter="0"/>
          <w:cols w:space="0" w:num="1"/>
          <w:titlePg/>
          <w:docGrid w:linePitch="331" w:charSpace="0"/>
        </w:sectPr>
      </w:pPr>
    </w:p>
    <w:p w14:paraId="00D1B7D5">
      <w:pPr>
        <w:spacing w:line="360" w:lineRule="auto"/>
        <w:rPr>
          <w:rFonts w:ascii="仿宋_GB2312" w:hAnsi="楷体" w:eastAsia="仿宋_GB2312"/>
          <w:sz w:val="24"/>
        </w:rPr>
      </w:pPr>
    </w:p>
    <w:p w14:paraId="5436BE05">
      <w:pPr>
        <w:snapToGrid w:val="0"/>
        <w:spacing w:line="400" w:lineRule="exact"/>
        <w:jc w:val="center"/>
        <w:rPr>
          <w:rFonts w:ascii="宋体" w:hAnsi="宋体" w:cs="宋体"/>
          <w:color w:val="000000"/>
        </w:rPr>
      </w:pPr>
      <w:r>
        <w:rPr>
          <w:rFonts w:hint="eastAsia" w:ascii="宋体" w:hAnsi="宋体" w:cs="宋体"/>
          <w:b/>
          <w:bCs/>
          <w:sz w:val="32"/>
          <w:szCs w:val="32"/>
        </w:rPr>
        <w:t>《政府采购合同》</w:t>
      </w:r>
      <w:r>
        <w:rPr>
          <w:rFonts w:hint="eastAsia" w:ascii="宋体" w:hAnsi="宋体" w:cs="宋体"/>
          <w:b/>
          <w:sz w:val="32"/>
          <w:szCs w:val="32"/>
        </w:rPr>
        <w:t>文本</w:t>
      </w:r>
    </w:p>
    <w:p w14:paraId="4AFB66A4">
      <w:pPr>
        <w:spacing w:line="520" w:lineRule="exact"/>
        <w:rPr>
          <w:rFonts w:ascii="宋体" w:hAnsi="宋体" w:cs="宋体"/>
          <w:b/>
          <w:color w:val="000000"/>
          <w:sz w:val="32"/>
          <w:szCs w:val="32"/>
        </w:rPr>
      </w:pPr>
    </w:p>
    <w:p w14:paraId="2E636513">
      <w:pPr>
        <w:spacing w:line="360" w:lineRule="auto"/>
        <w:ind w:right="800" w:firstLine="6090" w:firstLineChars="2900"/>
        <w:rPr>
          <w:rFonts w:hint="eastAsia" w:ascii="宋体" w:hAnsi="宋体" w:cs="宋体"/>
          <w:color w:val="000000"/>
          <w:szCs w:val="21"/>
          <w:u w:val="single"/>
        </w:rPr>
      </w:pPr>
      <w:r>
        <w:rPr>
          <w:rFonts w:hint="eastAsia" w:ascii="宋体" w:hAnsi="宋体" w:cs="宋体"/>
          <w:bCs/>
          <w:color w:val="000000"/>
          <w:szCs w:val="21"/>
        </w:rPr>
        <w:t>合同编号：</w:t>
      </w:r>
      <w:r>
        <w:rPr>
          <w:rFonts w:hint="eastAsia" w:ascii="宋体" w:hAnsi="宋体" w:cs="宋体"/>
          <w:color w:val="000000"/>
          <w:szCs w:val="21"/>
          <w:u w:val="single"/>
        </w:rPr>
        <w:t xml:space="preserve">               </w:t>
      </w:r>
    </w:p>
    <w:p w14:paraId="4BB784FC">
      <w:pPr>
        <w:spacing w:line="360" w:lineRule="auto"/>
        <w:ind w:right="800" w:firstLine="6090" w:firstLineChars="2900"/>
        <w:rPr>
          <w:rFonts w:hint="eastAsia" w:ascii="宋体" w:hAnsi="宋体" w:cs="宋体"/>
          <w:color w:val="000000"/>
          <w:szCs w:val="21"/>
        </w:rPr>
      </w:pPr>
      <w:r>
        <w:rPr>
          <w:rFonts w:hint="eastAsia" w:ascii="宋体" w:hAnsi="宋体" w:cs="宋体"/>
          <w:color w:val="000000"/>
          <w:szCs w:val="21"/>
        </w:rPr>
        <w:t>采购计划号：</w:t>
      </w:r>
      <w:r>
        <w:rPr>
          <w:rFonts w:hint="eastAsia" w:ascii="宋体" w:hAnsi="宋体" w:cs="宋体"/>
          <w:color w:val="000000"/>
          <w:szCs w:val="21"/>
          <w:u w:val="single"/>
        </w:rPr>
        <w:t xml:space="preserve">               </w:t>
      </w:r>
    </w:p>
    <w:p w14:paraId="0D5F5117">
      <w:pPr>
        <w:spacing w:line="360" w:lineRule="auto"/>
        <w:rPr>
          <w:rFonts w:hint="eastAsia" w:ascii="宋体" w:hAnsi="宋体" w:cs="宋体"/>
          <w:color w:val="000000"/>
          <w:szCs w:val="21"/>
        </w:rPr>
      </w:pPr>
      <w:r>
        <w:rPr>
          <w:rFonts w:hint="eastAsia" w:ascii="宋体" w:hAnsi="宋体" w:cs="宋体"/>
          <w:color w:val="000000"/>
          <w:szCs w:val="21"/>
        </w:rPr>
        <w:t>采购人（甲方）：</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60859F5C">
      <w:pPr>
        <w:spacing w:line="360" w:lineRule="auto"/>
        <w:rPr>
          <w:rFonts w:hint="eastAsia" w:ascii="宋体" w:hAnsi="宋体" w:cs="宋体"/>
          <w:color w:val="000000"/>
          <w:szCs w:val="21"/>
          <w:u w:val="single"/>
        </w:rPr>
      </w:pPr>
      <w:r>
        <w:rPr>
          <w:rFonts w:hint="eastAsia" w:ascii="宋体" w:hAnsi="宋体" w:cs="宋体"/>
          <w:color w:val="000000"/>
          <w:szCs w:val="21"/>
        </w:rPr>
        <w:t>中标人（乙方）：</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17BCF05D">
      <w:pPr>
        <w:spacing w:line="360" w:lineRule="auto"/>
        <w:rPr>
          <w:rFonts w:hint="eastAsia" w:ascii="宋体" w:hAnsi="宋体" w:cs="宋体"/>
          <w:color w:val="000000"/>
          <w:szCs w:val="21"/>
        </w:rPr>
      </w:pP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1656B568">
      <w:pPr>
        <w:spacing w:line="360" w:lineRule="auto"/>
        <w:rPr>
          <w:rFonts w:hint="eastAsia" w:ascii="宋体" w:hAnsi="宋体" w:cs="宋体"/>
          <w:color w:val="000000"/>
          <w:szCs w:val="21"/>
          <w:u w:val="single"/>
        </w:rPr>
      </w:pPr>
      <w:r>
        <w:rPr>
          <w:rFonts w:hint="eastAsia" w:ascii="宋体" w:hAnsi="宋体" w:cs="宋体"/>
          <w:color w:val="000000"/>
          <w:szCs w:val="21"/>
        </w:rPr>
        <w:t>项目编号：</w:t>
      </w:r>
      <w:r>
        <w:rPr>
          <w:rFonts w:hint="eastAsia" w:ascii="宋体" w:hAnsi="宋体" w:cs="宋体"/>
          <w:color w:val="000000"/>
          <w:szCs w:val="21"/>
          <w:u w:val="single"/>
        </w:rPr>
        <w:t xml:space="preserve">                             </w:t>
      </w:r>
    </w:p>
    <w:p w14:paraId="061B014C">
      <w:pPr>
        <w:spacing w:line="360" w:lineRule="auto"/>
        <w:rPr>
          <w:rFonts w:hint="eastAsia" w:ascii="宋体" w:hAnsi="宋体" w:cs="宋体"/>
          <w:color w:val="000000"/>
          <w:szCs w:val="21"/>
          <w:u w:val="single"/>
        </w:rPr>
      </w:pPr>
      <w:r>
        <w:rPr>
          <w:rFonts w:hint="eastAsia" w:ascii="宋体" w:hAnsi="宋体" w:cs="宋体"/>
          <w:color w:val="000000"/>
          <w:szCs w:val="21"/>
        </w:rPr>
        <w:t>签订地点：</w:t>
      </w:r>
      <w:r>
        <w:rPr>
          <w:rFonts w:hint="eastAsia" w:ascii="宋体" w:hAnsi="宋体" w:cs="宋体"/>
          <w:color w:val="000000"/>
          <w:szCs w:val="21"/>
          <w:u w:val="single"/>
        </w:rPr>
        <w:t xml:space="preserve">                             </w:t>
      </w:r>
      <w:r>
        <w:rPr>
          <w:rFonts w:hint="eastAsia" w:ascii="宋体" w:hAnsi="宋体" w:cs="宋体"/>
          <w:color w:val="000000"/>
          <w:szCs w:val="21"/>
        </w:rPr>
        <w:t xml:space="preserve">                    签订时间：</w:t>
      </w:r>
      <w:r>
        <w:rPr>
          <w:rFonts w:hint="eastAsia" w:ascii="宋体" w:hAnsi="宋体" w:cs="宋体"/>
          <w:color w:val="000000"/>
          <w:szCs w:val="21"/>
          <w:u w:val="single"/>
        </w:rPr>
        <w:t xml:space="preserve">               </w:t>
      </w:r>
    </w:p>
    <w:p w14:paraId="1B92C3FC">
      <w:pPr>
        <w:spacing w:line="360" w:lineRule="auto"/>
        <w:ind w:firstLine="420" w:firstLineChars="200"/>
        <w:rPr>
          <w:rFonts w:hint="eastAsia" w:ascii="宋体" w:hAnsi="宋体" w:cs="宋体"/>
          <w:color w:val="000000"/>
          <w:szCs w:val="21"/>
        </w:rPr>
      </w:pPr>
    </w:p>
    <w:p w14:paraId="263D39D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根据《中华人民共和国政府采购法》、《中华人民共和国民法典》等法律、法规规定，按照招标文件规定条款和乙方投标文件及其承诺，甲乙双方签订本合同。</w:t>
      </w:r>
    </w:p>
    <w:p w14:paraId="131C5C15">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第一条 合同标的</w:t>
      </w:r>
    </w:p>
    <w:p w14:paraId="4349A537">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w:t>
      </w:r>
      <w:r>
        <w:rPr>
          <w:rFonts w:hint="eastAsia" w:ascii="宋体" w:hAnsi="宋体" w:cs="宋体"/>
          <w:color w:val="auto"/>
          <w:szCs w:val="21"/>
          <w:highlight w:val="none"/>
        </w:rPr>
        <w:t>服务</w:t>
      </w:r>
      <w:r>
        <w:rPr>
          <w:rFonts w:hint="eastAsia" w:ascii="宋体" w:hAnsi="宋体" w:cs="宋体"/>
          <w:color w:val="auto"/>
          <w:szCs w:val="21"/>
          <w:highlight w:val="none"/>
          <w:lang w:eastAsia="en-US"/>
        </w:rPr>
        <w:t>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618"/>
        <w:gridCol w:w="3073"/>
      </w:tblGrid>
      <w:tr w14:paraId="4E0C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8" w:type="dxa"/>
            <w:noWrap w:val="0"/>
            <w:vAlign w:val="center"/>
          </w:tcPr>
          <w:p w14:paraId="5E687F98">
            <w:pPr>
              <w:spacing w:line="38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标的名称</w:t>
            </w:r>
          </w:p>
        </w:tc>
        <w:tc>
          <w:tcPr>
            <w:tcW w:w="2618" w:type="dxa"/>
            <w:noWrap w:val="0"/>
            <w:vAlign w:val="center"/>
          </w:tcPr>
          <w:p w14:paraId="411FEC6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3073" w:type="dxa"/>
            <w:noWrap w:val="0"/>
            <w:vAlign w:val="center"/>
          </w:tcPr>
          <w:p w14:paraId="3A35DA3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服务内容响应及承诺</w:t>
            </w:r>
          </w:p>
        </w:tc>
      </w:tr>
      <w:tr w14:paraId="48BB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8" w:type="dxa"/>
            <w:noWrap w:val="0"/>
            <w:vAlign w:val="center"/>
          </w:tcPr>
          <w:p w14:paraId="6B172535">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桂林市中西医结合医院安保服务</w:t>
            </w:r>
          </w:p>
        </w:tc>
        <w:tc>
          <w:tcPr>
            <w:tcW w:w="2618" w:type="dxa"/>
            <w:noWrap w:val="0"/>
            <w:vAlign w:val="center"/>
          </w:tcPr>
          <w:p w14:paraId="2B649E9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3073" w:type="dxa"/>
            <w:noWrap w:val="0"/>
            <w:vAlign w:val="center"/>
          </w:tcPr>
          <w:p w14:paraId="71C3A625">
            <w:pPr>
              <w:spacing w:line="38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见合同有关条款</w:t>
            </w:r>
          </w:p>
        </w:tc>
      </w:tr>
    </w:tbl>
    <w:p w14:paraId="6E6A226A">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en-US"/>
        </w:rPr>
        <w:t>2.根据《中标通知书》的中标内容，本项目合同的金额为：（大写）人民币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eastAsia="en-US"/>
        </w:rPr>
        <w:t xml:space="preserve"> （</w:t>
      </w:r>
      <w:r>
        <w:rPr>
          <w:rFonts w:hint="eastAsia" w:ascii="宋体" w:hAnsi="宋体" w:cs="宋体"/>
          <w:color w:val="auto"/>
          <w:szCs w:val="21"/>
          <w:highlight w:val="none"/>
          <w:lang w:val="en-US" w:eastAsia="en-US"/>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eastAsia="en-US"/>
        </w:rPr>
        <w:t xml:space="preserve"> 元）</w:t>
      </w:r>
      <w:r>
        <w:rPr>
          <w:rFonts w:hint="eastAsia" w:ascii="宋体" w:hAnsi="宋体" w:cs="宋体"/>
          <w:color w:val="auto"/>
          <w:szCs w:val="21"/>
          <w:highlight w:val="none"/>
        </w:rPr>
        <w:t>，合同期内</w:t>
      </w:r>
      <w:r>
        <w:rPr>
          <w:rFonts w:hint="eastAsia" w:ascii="宋体" w:hAnsi="宋体" w:cs="宋体"/>
          <w:color w:val="auto"/>
          <w:highlight w:val="none"/>
          <w:lang w:eastAsia="en-US"/>
        </w:rPr>
        <w:t>服务费用不因任何因素而调整。</w:t>
      </w:r>
    </w:p>
    <w:p w14:paraId="686A4E20">
      <w:pPr>
        <w:spacing w:line="380" w:lineRule="exact"/>
        <w:ind w:firstLine="420" w:firstLineChars="200"/>
        <w:rPr>
          <w:rFonts w:hint="eastAsia" w:ascii="宋体" w:hAnsi="宋体"/>
          <w:color w:val="auto"/>
          <w:szCs w:val="21"/>
          <w:highlight w:val="none"/>
          <w:shd w:val="clear" w:color="auto" w:fill="FFFFFF"/>
        </w:rPr>
      </w:pPr>
      <w:r>
        <w:rPr>
          <w:rFonts w:hint="eastAsia" w:ascii="宋体" w:hAnsi="宋体" w:cs="宋体"/>
          <w:color w:val="auto"/>
          <w:szCs w:val="21"/>
          <w:highlight w:val="none"/>
          <w:lang w:eastAsia="en-US"/>
        </w:rPr>
        <w:t>3. 合同金额为</w:t>
      </w:r>
      <w:r>
        <w:rPr>
          <w:rFonts w:hint="eastAsia" w:ascii="宋体" w:hAnsi="宋体"/>
          <w:color w:val="auto"/>
          <w:szCs w:val="21"/>
          <w:highlight w:val="none"/>
        </w:rPr>
        <w:t>本次采购范围内的全部服务价款、</w:t>
      </w:r>
      <w:r>
        <w:rPr>
          <w:rFonts w:hint="eastAsia" w:ascii="宋体" w:hAnsi="宋体"/>
          <w:color w:val="auto"/>
          <w:szCs w:val="21"/>
          <w:highlight w:val="none"/>
          <w:shd w:val="clear" w:color="auto" w:fill="FFFFFF"/>
        </w:rPr>
        <w:t>服务人员费用（包括但不限于人员工资、社保费、劳保、服装、意外伤害保险、奖金、</w:t>
      </w:r>
      <w:r>
        <w:rPr>
          <w:rFonts w:hint="eastAsia" w:ascii="宋体" w:hAnsi="宋体" w:cs="宋体"/>
          <w:color w:val="auto"/>
          <w:szCs w:val="21"/>
          <w:highlight w:val="none"/>
        </w:rPr>
        <w:t>加班费、夜班费、及其他各项福利待遇</w:t>
      </w:r>
      <w:r>
        <w:rPr>
          <w:rFonts w:hint="eastAsia" w:ascii="宋体" w:hAnsi="宋体"/>
          <w:color w:val="auto"/>
          <w:szCs w:val="21"/>
          <w:highlight w:val="none"/>
          <w:shd w:val="clear" w:color="auto" w:fill="FFFFFF"/>
        </w:rPr>
        <w:t>等）、办公费用（包括但不限于执勤设备费用、通讯费、办公用品、培训费、维护费、劳保用品等）、管理费、利润、税费等完成合同所需的一切本身和不可或缺的所有开支、政策性文件规定的合同包含的所有风险、责任等各项全部费用的总和。</w:t>
      </w:r>
    </w:p>
    <w:p w14:paraId="06A92784">
      <w:pPr>
        <w:spacing w:line="380" w:lineRule="exact"/>
        <w:ind w:firstLine="422" w:firstLineChars="200"/>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第二条 服务期限</w:t>
      </w:r>
    </w:p>
    <w:p w14:paraId="70D336F8">
      <w:pPr>
        <w:adjustRightInd w:val="0"/>
        <w:snapToGrid w:val="0"/>
        <w:spacing w:line="380" w:lineRule="exact"/>
        <w:ind w:firstLine="420" w:firstLineChars="200"/>
        <w:rPr>
          <w:rFonts w:hint="eastAsia" w:ascii="宋体" w:hAnsi="宋体" w:eastAsia="宋体" w:cs="宋体"/>
          <w:color w:val="auto"/>
          <w:highlight w:val="none"/>
          <w:lang w:eastAsia="en-US"/>
        </w:rPr>
      </w:pPr>
      <w:r>
        <w:rPr>
          <w:rFonts w:hint="eastAsia" w:ascii="宋体" w:hAnsi="宋体" w:cs="宋体"/>
          <w:color w:val="auto"/>
          <w:highlight w:val="none"/>
          <w:lang w:eastAsia="en-US"/>
        </w:rPr>
        <w:t>一、服务期限：合同执行1年</w:t>
      </w:r>
      <w:r>
        <w:rPr>
          <w:rFonts w:hint="eastAsia" w:ascii="宋体" w:hAnsi="宋体" w:cs="宋体"/>
          <w:color w:val="auto"/>
          <w:highlight w:val="none"/>
          <w:lang w:eastAsia="zh-CN"/>
        </w:rPr>
        <w:t>，</w:t>
      </w:r>
      <w:r>
        <w:rPr>
          <w:rFonts w:hint="eastAsia" w:ascii="宋体" w:hAnsi="宋体" w:cs="宋体"/>
          <w:color w:val="auto"/>
          <w:highlight w:val="none"/>
          <w:lang w:eastAsia="en-US"/>
        </w:rPr>
        <w:t>自</w:t>
      </w:r>
      <w:r>
        <w:rPr>
          <w:rFonts w:hint="eastAsia" w:ascii="宋体" w:hAnsi="宋体" w:cs="宋体"/>
          <w:color w:val="auto"/>
          <w:highlight w:val="none"/>
          <w:u w:val="single"/>
          <w:lang w:eastAsia="en-US"/>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en-US"/>
        </w:rPr>
        <w:t xml:space="preserve"> </w:t>
      </w:r>
      <w:r>
        <w:rPr>
          <w:rFonts w:hint="eastAsia" w:ascii="宋体" w:hAnsi="宋体" w:cs="宋体"/>
          <w:color w:val="auto"/>
          <w:highlight w:val="none"/>
          <w:lang w:eastAsia="en-US"/>
        </w:rPr>
        <w:t>年</w:t>
      </w:r>
      <w:r>
        <w:rPr>
          <w:rFonts w:hint="eastAsia" w:ascii="宋体" w:hAnsi="宋体" w:cs="宋体"/>
          <w:color w:val="auto"/>
          <w:highlight w:val="none"/>
          <w:u w:val="single"/>
        </w:rPr>
        <w:t xml:space="preserve">   </w:t>
      </w:r>
      <w:r>
        <w:rPr>
          <w:rFonts w:hint="eastAsia" w:ascii="宋体" w:hAnsi="宋体" w:cs="宋体"/>
          <w:color w:val="auto"/>
          <w:highlight w:val="none"/>
          <w:lang w:eastAsia="en-US"/>
        </w:rPr>
        <w:t>月</w:t>
      </w:r>
      <w:r>
        <w:rPr>
          <w:rFonts w:hint="eastAsia" w:ascii="宋体" w:hAnsi="宋体" w:cs="宋体"/>
          <w:color w:val="auto"/>
          <w:highlight w:val="none"/>
          <w:u w:val="single"/>
          <w:lang w:eastAsia="en-US"/>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lang w:eastAsia="en-US"/>
        </w:rPr>
        <w:t>日至</w:t>
      </w:r>
      <w:r>
        <w:rPr>
          <w:rFonts w:hint="eastAsia" w:ascii="宋体" w:hAnsi="宋体" w:cs="宋体"/>
          <w:color w:val="auto"/>
          <w:highlight w:val="none"/>
          <w:u w:val="single"/>
          <w:lang w:eastAsia="en-US"/>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en-US"/>
        </w:rPr>
        <w:t xml:space="preserve"> </w:t>
      </w:r>
      <w:r>
        <w:rPr>
          <w:rFonts w:hint="eastAsia" w:ascii="宋体" w:hAnsi="宋体" w:cs="宋体"/>
          <w:color w:val="auto"/>
          <w:highlight w:val="none"/>
          <w:lang w:eastAsia="en-US"/>
        </w:rPr>
        <w:t>年</w:t>
      </w:r>
      <w:r>
        <w:rPr>
          <w:rFonts w:hint="eastAsia" w:ascii="宋体" w:hAnsi="宋体" w:cs="宋体"/>
          <w:color w:val="auto"/>
          <w:highlight w:val="none"/>
          <w:u w:val="single"/>
        </w:rPr>
        <w:t xml:space="preserve">   </w:t>
      </w:r>
      <w:r>
        <w:rPr>
          <w:rFonts w:hint="eastAsia" w:ascii="宋体" w:hAnsi="宋体" w:cs="宋体"/>
          <w:color w:val="auto"/>
          <w:highlight w:val="none"/>
          <w:lang w:eastAsia="en-US"/>
        </w:rPr>
        <w:t>月</w:t>
      </w:r>
      <w:r>
        <w:rPr>
          <w:rFonts w:hint="eastAsia" w:ascii="宋体" w:hAnsi="宋体" w:cs="宋体"/>
          <w:color w:val="auto"/>
          <w:highlight w:val="none"/>
          <w:u w:val="single"/>
          <w:lang w:eastAsia="en-US"/>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lang w:eastAsia="en-US"/>
        </w:rPr>
        <w:t>日</w:t>
      </w:r>
      <w:r>
        <w:rPr>
          <w:rFonts w:hint="eastAsia" w:ascii="宋体" w:hAnsi="宋体" w:eastAsia="宋体" w:cs="宋体"/>
          <w:color w:val="auto"/>
          <w:highlight w:val="none"/>
          <w:lang w:eastAsia="en-US"/>
        </w:rPr>
        <w:t>。</w:t>
      </w:r>
    </w:p>
    <w:p w14:paraId="5731AF21">
      <w:pPr>
        <w:spacing w:line="380" w:lineRule="exact"/>
        <w:ind w:firstLine="420" w:firstLineChars="200"/>
        <w:rPr>
          <w:rFonts w:ascii="宋体" w:hAnsi="宋体" w:cs="宋体"/>
          <w:color w:val="auto"/>
          <w:highlight w:val="none"/>
        </w:rPr>
      </w:pPr>
      <w:r>
        <w:rPr>
          <w:rFonts w:hint="eastAsia" w:ascii="宋体" w:hAnsi="宋体" w:cs="宋体"/>
          <w:color w:val="auto"/>
          <w:highlight w:val="none"/>
          <w:lang w:eastAsia="en-US"/>
        </w:rPr>
        <w:t>二、服务人数</w:t>
      </w:r>
      <w:r>
        <w:rPr>
          <w:rFonts w:hint="eastAsia" w:ascii="宋体" w:hAnsi="宋体" w:cs="宋体"/>
          <w:color w:val="auto"/>
          <w:highlight w:val="none"/>
          <w:lang w:val="en-US" w:eastAsia="zh-CN"/>
        </w:rPr>
        <w:t>27</w:t>
      </w:r>
      <w:r>
        <w:rPr>
          <w:rFonts w:hint="eastAsia" w:ascii="宋体" w:hAnsi="宋体" w:cs="宋体"/>
          <w:color w:val="auto"/>
          <w:highlight w:val="none"/>
          <w:lang w:eastAsia="en-US"/>
        </w:rPr>
        <w:t>名</w:t>
      </w:r>
      <w:r>
        <w:rPr>
          <w:rFonts w:hint="eastAsia" w:ascii="宋体" w:hAnsi="宋体" w:cs="宋体"/>
          <w:color w:val="auto"/>
          <w:highlight w:val="none"/>
        </w:rPr>
        <w:t>。</w:t>
      </w:r>
    </w:p>
    <w:p w14:paraId="771862C5">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第三条 服务内容及要求</w:t>
      </w:r>
    </w:p>
    <w:p w14:paraId="256090B6">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（一）乙方保安配置和职责：</w:t>
      </w:r>
    </w:p>
    <w:p w14:paraId="4C4D9A03">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（1）乙方</w:t>
      </w:r>
      <w:r>
        <w:rPr>
          <w:rFonts w:hint="eastAsia"/>
          <w:lang w:val="en-US" w:eastAsia="zh-CN"/>
        </w:rPr>
        <w:t>投入本项目的</w:t>
      </w:r>
      <w:r>
        <w:rPr>
          <w:rFonts w:hint="eastAsia" w:ascii="宋体" w:hAnsi="宋体" w:cs="宋体"/>
          <w:color w:val="auto"/>
          <w:highlight w:val="none"/>
          <w:lang w:eastAsia="en-US"/>
        </w:rPr>
        <w:t>保安人员上岗必须着装（着保安服、系武装带、配警棍、配对讲机）坚守岗位、履行职责、文明执勤、保守机密。　</w:t>
      </w:r>
    </w:p>
    <w:p w14:paraId="1F15EC6A">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（2）1号楼门诊大厅5名，负责新门诊大楼的安全保卫工作，协助有关部门做好门口车辆乱停乱放及医院门前三包等工作，同时协助做好医院新门诊楼各部门工作，工作时间：4人24小时三班倒，1人行政上班时间。</w:t>
      </w:r>
    </w:p>
    <w:p w14:paraId="0ADB54A7">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3）2号楼急诊大厅5名，负责门急诊大楼的安全保卫工作，协助有关部门做好门口车辆乱停乱放及医院门前三包等工作，同时协助做好医院门急诊各部门工作，工作时间：行政上班时间。急诊科岗2名，负责急诊科18点～第二天8点的安保工作，同时协助做好其他工作。工作时间18:00～8:00。</w:t>
      </w:r>
    </w:p>
    <w:p w14:paraId="58246898">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（4）门卫岗</w:t>
      </w:r>
      <w:r>
        <w:rPr>
          <w:rFonts w:hint="eastAsia" w:ascii="宋体" w:hAnsi="宋体" w:cs="宋体"/>
          <w:color w:val="auto"/>
          <w:highlight w:val="none"/>
          <w:lang w:val="en-US" w:eastAsia="zh-CN"/>
        </w:rPr>
        <w:t>3</w:t>
      </w:r>
      <w:r>
        <w:rPr>
          <w:rFonts w:hint="eastAsia" w:ascii="宋体" w:hAnsi="宋体" w:cs="宋体"/>
          <w:color w:val="auto"/>
          <w:highlight w:val="none"/>
          <w:lang w:eastAsia="en-US"/>
        </w:rPr>
        <w:t>名，负责医院停车场进出口门卫的安全保卫工作，同时协助医院保卫部门和停车场管理单位做好非机动车棚和停车场的管理工作，医院门前三包工作，工作时间24小时。</w:t>
      </w:r>
    </w:p>
    <w:p w14:paraId="06914104">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（5）消防和视频监控室6名，持有</w:t>
      </w:r>
      <w:r>
        <w:rPr>
          <w:rFonts w:hint="eastAsia" w:ascii="宋体" w:hAnsi="宋体" w:eastAsia="宋体" w:cs="宋体"/>
          <w:color w:val="auto"/>
          <w:highlight w:val="none"/>
          <w:lang w:eastAsia="en-US"/>
        </w:rPr>
        <w:t>中级</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en-US"/>
        </w:rPr>
        <w:t>以上</w:t>
      </w:r>
      <w:r>
        <w:rPr>
          <w:rFonts w:hint="eastAsia" w:ascii="宋体" w:hAnsi="宋体" w:eastAsia="宋体" w:cs="宋体"/>
          <w:b w:val="0"/>
          <w:bCs w:val="0"/>
          <w:color w:val="auto"/>
          <w:szCs w:val="21"/>
          <w:highlight w:val="none"/>
          <w:lang w:eastAsia="en-US"/>
        </w:rPr>
        <w:t>消防设施操作员证书</w:t>
      </w:r>
      <w:r>
        <w:rPr>
          <w:rFonts w:hint="eastAsia" w:ascii="宋体" w:hAnsi="宋体" w:cs="宋体"/>
          <w:color w:val="auto"/>
          <w:highlight w:val="none"/>
          <w:lang w:eastAsia="en-US"/>
        </w:rPr>
        <w:t>,负责消防和视频监控室的管理工作，严格按照消防控制室和视频监控室的职责、制度工作，每天交接班时与各相关科室进行对讲机联系，保证其联系畅通正常，保持室内清洁卫生。工作时间24小时。</w:t>
      </w:r>
    </w:p>
    <w:p w14:paraId="523C4862">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（6）七星社区卫生服务中心1名，负责社区的安保工作，同时协助做好其他工作。工作时间8小时。</w:t>
      </w:r>
    </w:p>
    <w:p w14:paraId="2A550E17">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（7）东江社区卫生服务中心</w:t>
      </w:r>
      <w:r>
        <w:rPr>
          <w:rFonts w:hint="eastAsia" w:ascii="宋体" w:hAnsi="宋体" w:cs="宋体"/>
          <w:color w:val="auto"/>
          <w:highlight w:val="none"/>
          <w:lang w:val="en-US" w:eastAsia="zh-CN"/>
        </w:rPr>
        <w:t>3</w:t>
      </w:r>
      <w:r>
        <w:rPr>
          <w:rFonts w:hint="eastAsia" w:ascii="宋体" w:hAnsi="宋体" w:cs="宋体"/>
          <w:color w:val="auto"/>
          <w:highlight w:val="none"/>
          <w:lang w:eastAsia="en-US"/>
        </w:rPr>
        <w:t>名，负责社区的安保工作，同时协助做好其他工作。工作时间24小时。</w:t>
      </w:r>
    </w:p>
    <w:p w14:paraId="545F5CBF">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（8）巡逻岗</w:t>
      </w:r>
      <w:r>
        <w:rPr>
          <w:rFonts w:hint="eastAsia" w:ascii="宋体" w:hAnsi="宋体" w:cs="宋体"/>
          <w:color w:val="auto"/>
          <w:highlight w:val="none"/>
          <w:lang w:val="en-US" w:eastAsia="zh-CN"/>
        </w:rPr>
        <w:t>4</w:t>
      </w:r>
      <w:r>
        <w:rPr>
          <w:rFonts w:hint="eastAsia" w:ascii="宋体" w:hAnsi="宋体" w:cs="宋体"/>
          <w:color w:val="auto"/>
          <w:highlight w:val="none"/>
          <w:lang w:eastAsia="en-US"/>
        </w:rPr>
        <w:t>名，负责本部院内巡逻，每班不少于两次对全院进行巡查，0:00～第二天8:00每两小时巡视一次，同时协助做好其他工作。工作时间24小时。</w:t>
      </w:r>
    </w:p>
    <w:p w14:paraId="2205106F">
      <w:pPr>
        <w:spacing w:line="380" w:lineRule="exact"/>
        <w:ind w:firstLine="420" w:firstLineChars="200"/>
        <w:rPr>
          <w:rFonts w:hint="eastAsia" w:ascii="宋体" w:hAnsi="宋体" w:eastAsia="宋体" w:cs="宋体"/>
          <w:color w:val="auto"/>
          <w:highlight w:val="none"/>
          <w:lang w:eastAsia="en-US"/>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highlight w:val="none"/>
          <w:lang w:eastAsia="en-US"/>
        </w:rPr>
        <w:t>维护住院部的正常医疗秩序和医务人员的人身安全，消防和视频监控室值班人员严格按照消防和维稳办的有关要求监视医院各部位情况，发现消防异常情况、可疑人员及发放小广告人员等应及时通知相应值班保安及时到现场查看，各安保岗位，尤其是门急诊岗要严格岗位职责，认真负责查看周围安全情况及急诊科安全情况，积极协助医院做好各项工作，发现可疑人员应及时通知监控室，发现发生影响医院正常秩序和医患纠纷、治安事件时，及时进行</w:t>
      </w:r>
      <w:r>
        <w:rPr>
          <w:rFonts w:hint="eastAsia" w:ascii="宋体" w:hAnsi="宋体" w:cs="宋体"/>
          <w:color w:val="auto"/>
          <w:highlight w:val="none"/>
          <w:lang w:eastAsia="zh-CN"/>
        </w:rPr>
        <w:t>调解</w:t>
      </w:r>
      <w:r>
        <w:rPr>
          <w:rFonts w:hint="eastAsia" w:ascii="宋体" w:hAnsi="宋体" w:cs="宋体"/>
          <w:color w:val="auto"/>
          <w:highlight w:val="none"/>
          <w:lang w:eastAsia="en-US"/>
        </w:rPr>
        <w:t>和制止，尽量不使事件扩大和升级。发现发生治安及医患纠纷事件时及时报告</w:t>
      </w:r>
      <w:r>
        <w:rPr>
          <w:rFonts w:hint="eastAsia"/>
          <w:lang w:val="en-US" w:eastAsia="zh-CN"/>
        </w:rPr>
        <w:t>乙方</w:t>
      </w:r>
      <w:r>
        <w:rPr>
          <w:rFonts w:hint="eastAsia" w:ascii="宋体" w:hAnsi="宋体" w:cs="宋体"/>
          <w:color w:val="auto"/>
          <w:highlight w:val="none"/>
          <w:lang w:eastAsia="en-US"/>
        </w:rPr>
        <w:t>、医院保卫</w:t>
      </w:r>
      <w:r>
        <w:rPr>
          <w:rFonts w:hint="eastAsia" w:ascii="宋体" w:hAnsi="宋体" w:cs="宋体"/>
          <w:color w:val="auto"/>
          <w:highlight w:val="none"/>
        </w:rPr>
        <w:t>部门</w:t>
      </w:r>
      <w:r>
        <w:rPr>
          <w:rFonts w:hint="eastAsia" w:ascii="宋体" w:hAnsi="宋体" w:cs="宋体"/>
          <w:color w:val="auto"/>
          <w:highlight w:val="none"/>
          <w:lang w:eastAsia="en-US"/>
        </w:rPr>
        <w:t>和公安部门，并协助医院保卫</w:t>
      </w:r>
      <w:r>
        <w:rPr>
          <w:rFonts w:hint="eastAsia" w:ascii="宋体" w:hAnsi="宋体" w:cs="宋体"/>
          <w:color w:val="auto"/>
          <w:highlight w:val="none"/>
        </w:rPr>
        <w:t>部门</w:t>
      </w:r>
      <w:r>
        <w:rPr>
          <w:rFonts w:hint="eastAsia" w:ascii="宋体" w:hAnsi="宋体" w:cs="宋体"/>
          <w:color w:val="auto"/>
          <w:highlight w:val="none"/>
          <w:lang w:eastAsia="en-US"/>
        </w:rPr>
        <w:t>和公安部门处理好事件。发生群体事件和医患纠纷需增援人员时，乙方应按照</w:t>
      </w:r>
      <w:r>
        <w:rPr>
          <w:rFonts w:hint="eastAsia" w:ascii="宋体" w:hAnsi="宋体" w:cs="宋体"/>
          <w:color w:val="auto"/>
          <w:highlight w:val="none"/>
          <w:lang w:val="en-US" w:eastAsia="zh-CN"/>
        </w:rPr>
        <w:t>投标</w:t>
      </w:r>
      <w:r>
        <w:rPr>
          <w:rFonts w:hint="eastAsia" w:ascii="宋体" w:hAnsi="宋体" w:cs="宋体"/>
          <w:color w:val="auto"/>
          <w:highlight w:val="none"/>
          <w:lang w:eastAsia="en-US"/>
        </w:rPr>
        <w:t>文件服务方案承诺及时调配增援保安人员到场。</w:t>
      </w:r>
      <w:r>
        <w:rPr>
          <w:rFonts w:hint="eastAsia" w:ascii="宋体" w:hAnsi="宋体" w:eastAsia="宋体" w:cs="宋体"/>
          <w:color w:val="auto"/>
          <w:highlight w:val="none"/>
          <w:lang w:eastAsia="en-US"/>
        </w:rPr>
        <w:t>（增援人员的费用按每人8小时</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en-US"/>
        </w:rPr>
        <w:t>元，4小时内按</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en-US"/>
        </w:rPr>
        <w:t>元计算，超过4小时按8小时计算）。</w:t>
      </w:r>
    </w:p>
    <w:p w14:paraId="3785CE3F">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10</w:t>
      </w:r>
      <w:r>
        <w:rPr>
          <w:rFonts w:hint="eastAsia" w:ascii="宋体" w:hAnsi="宋体" w:cs="宋体"/>
          <w:color w:val="auto"/>
          <w:highlight w:val="none"/>
        </w:rPr>
        <w:t>）发生在执勤区域内的刑事案件、治安案件和治安灾害事故，及时发现并报告甲方和当地公安机关，发现消防安全隐患及时采取有效措施防止消防事故发生或扩大，并采取措施保护发案现场，协助公安机关侦查各类治安刑事案件，依法妥善处理责任范围内的其它突发事件。按照服务方案</w:t>
      </w:r>
      <w:r>
        <w:rPr>
          <w:rFonts w:hint="eastAsia"/>
          <w:lang w:val="en-US" w:eastAsia="zh-CN"/>
        </w:rPr>
        <w:t>和</w:t>
      </w:r>
      <w:r>
        <w:rPr>
          <w:rFonts w:hint="eastAsia" w:ascii="宋体" w:hAnsi="宋体" w:cs="宋体"/>
          <w:color w:val="auto"/>
          <w:highlight w:val="none"/>
        </w:rPr>
        <w:t>应急预案承诺处置应急事件。</w:t>
      </w:r>
    </w:p>
    <w:p w14:paraId="45822725">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11</w:t>
      </w:r>
      <w:r>
        <w:rPr>
          <w:rFonts w:hint="eastAsia" w:ascii="宋体" w:hAnsi="宋体" w:cs="宋体"/>
          <w:color w:val="auto"/>
          <w:highlight w:val="none"/>
        </w:rPr>
        <w:t>）落实防火、防盗、防破坏等安全防范措施，发现责任区域内的安全隐患，及时报告甲方并协助予以处理，同时按照服务方案</w:t>
      </w:r>
      <w:r>
        <w:rPr>
          <w:rFonts w:hint="eastAsia"/>
          <w:lang w:val="en-US" w:eastAsia="zh-CN"/>
        </w:rPr>
        <w:t>和</w:t>
      </w:r>
      <w:r>
        <w:rPr>
          <w:rFonts w:hint="eastAsia" w:ascii="宋体" w:hAnsi="宋体" w:cs="宋体"/>
          <w:color w:val="auto"/>
          <w:highlight w:val="none"/>
        </w:rPr>
        <w:t>应急预案承诺进行处置。</w:t>
      </w:r>
    </w:p>
    <w:p w14:paraId="349CBCE8">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12</w:t>
      </w:r>
      <w:r>
        <w:rPr>
          <w:rFonts w:hint="eastAsia" w:ascii="宋体" w:hAnsi="宋体" w:cs="宋体"/>
          <w:color w:val="auto"/>
          <w:highlight w:val="none"/>
        </w:rPr>
        <w:t>）选派的保安员必须经过正规的保安培训，并满足报价时各岗位对人员的资质要求，无违法犯罪前科。</w:t>
      </w:r>
    </w:p>
    <w:p w14:paraId="443CAFCB">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13</w:t>
      </w:r>
      <w:r>
        <w:rPr>
          <w:rFonts w:hint="eastAsia" w:ascii="宋体" w:hAnsi="宋体" w:cs="宋体"/>
          <w:color w:val="auto"/>
          <w:highlight w:val="none"/>
        </w:rPr>
        <w:t>）承担由于保安人员违纪、违规、违法给甲方及其他第三人造成的损失。甲方需要更换保安人员时，应在三天内予以更换。否则甲方有权单方终止合同，由此造成的一切损失由乙方承担。</w:t>
      </w:r>
    </w:p>
    <w:p w14:paraId="2BA9B39C">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14</w:t>
      </w:r>
      <w:r>
        <w:rPr>
          <w:rFonts w:hint="eastAsia" w:ascii="宋体" w:hAnsi="宋体" w:cs="宋体"/>
          <w:color w:val="auto"/>
          <w:highlight w:val="none"/>
        </w:rPr>
        <w:t>）乙方必须严格管理，制定内部规章及考核处罚规定，并严格检查考核，按照服务承诺书要求按月将检查考核情况报甲方管理人员。</w:t>
      </w:r>
    </w:p>
    <w:p w14:paraId="6BABDF9E">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15</w:t>
      </w:r>
      <w:r>
        <w:rPr>
          <w:rFonts w:hint="eastAsia" w:ascii="宋体" w:hAnsi="宋体" w:cs="宋体"/>
          <w:color w:val="auto"/>
          <w:highlight w:val="none"/>
        </w:rPr>
        <w:t>）乙方要定期对保安人员进行培训，统一着装保安服，上班时保持精力旺盛，注意仪表仪容。消防和视频监控值班人员须严格填写当班工作日志和交接班本，并执行交接班制。值班保安人员的花名册应盖乙方公章后，交甲方审验和备查。按照服务承诺书要求将资料报甲方。甲方不定期进行检查考核，如有违反甲方有权按照处罚规定进行处罚。</w:t>
      </w:r>
    </w:p>
    <w:p w14:paraId="7E243A1B">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16</w:t>
      </w:r>
      <w:r>
        <w:rPr>
          <w:rFonts w:hint="eastAsia" w:ascii="宋体" w:hAnsi="宋体" w:cs="宋体"/>
          <w:color w:val="auto"/>
          <w:highlight w:val="none"/>
        </w:rPr>
        <w:t>）保安人员在服从乙方管理的同时应服从甲方领导，遵守甲方规章制度，维护甲方合法权益，保守甲方机密，认真履行合同职责。所有岗位人员都有义务协助医院的各项工作，完成医院交给的临时任务，上班不能脱岗，不能睡觉，一经发现甲方有权按照处罚规定处罚乙方，确属保安员违纪违规，甲方要求更换保安员时，乙方应在三天内予以更换，否则甲方有权单方终止合同，由此造成的一切损失由乙方承担。</w:t>
      </w:r>
    </w:p>
    <w:p w14:paraId="535C5ABB">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17</w:t>
      </w:r>
      <w:r>
        <w:rPr>
          <w:rFonts w:hint="eastAsia" w:ascii="宋体" w:hAnsi="宋体" w:cs="宋体"/>
          <w:color w:val="auto"/>
          <w:highlight w:val="none"/>
        </w:rPr>
        <w:t>）乙方应当合法聘用其保安人员，签订劳动合同，交纳社保，按时支付工资及加班费等劳动报酬，承担保安人员的安全及一切劳动待遇。</w:t>
      </w:r>
    </w:p>
    <w:p w14:paraId="7A60CDCD">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18</w:t>
      </w:r>
      <w:r>
        <w:rPr>
          <w:rFonts w:hint="eastAsia" w:ascii="宋体" w:hAnsi="宋体" w:cs="宋体"/>
          <w:color w:val="auto"/>
          <w:highlight w:val="none"/>
        </w:rPr>
        <w:t>）乙方应爱护甲方提供的各种物品，非正常损坏须照价赔偿。</w:t>
      </w:r>
    </w:p>
    <w:p w14:paraId="569A4651">
      <w:pPr>
        <w:spacing w:line="380" w:lineRule="exact"/>
        <w:ind w:firstLine="420" w:firstLineChars="200"/>
        <w:rPr>
          <w:rFonts w:ascii="宋体" w:hAnsi="宋体" w:cs="宋体"/>
          <w:color w:val="auto"/>
          <w:highlight w:val="none"/>
        </w:rPr>
      </w:pPr>
      <w:r>
        <w:rPr>
          <w:rFonts w:hint="eastAsia" w:ascii="宋体" w:hAnsi="宋体" w:cs="宋体"/>
          <w:color w:val="auto"/>
          <w:highlight w:val="none"/>
        </w:rPr>
        <w:t>（二）疫情防控临时人员岗位要求</w:t>
      </w:r>
    </w:p>
    <w:p w14:paraId="6094E446">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疫情防控另外人员根据医院疫情防控要求为公司另外安排人员，另行签订补充协议，费用不变，该补充协议医院有权单方面要求公司将人员撤离，双方按服务时间结清帐务。</w:t>
      </w:r>
    </w:p>
    <w:p w14:paraId="01C468FC">
      <w:pPr>
        <w:spacing w:line="380" w:lineRule="exact"/>
        <w:ind w:firstLine="420" w:firstLineChars="200"/>
        <w:rPr>
          <w:rFonts w:hint="eastAsia" w:ascii="宋体" w:hAnsi="宋体" w:eastAsia="宋体" w:cs="宋体"/>
          <w:color w:val="auto"/>
          <w:highlight w:val="none"/>
          <w:lang w:eastAsia="en-US"/>
        </w:rPr>
      </w:pPr>
      <w:r>
        <w:rPr>
          <w:rFonts w:hint="eastAsia" w:ascii="宋体" w:hAnsi="宋体" w:cs="宋体"/>
          <w:color w:val="auto"/>
          <w:highlight w:val="none"/>
        </w:rPr>
        <w:t>（三）</w:t>
      </w:r>
      <w:r>
        <w:rPr>
          <w:rFonts w:hint="eastAsia" w:ascii="宋体" w:hAnsi="宋体" w:cs="宋体"/>
          <w:color w:val="auto"/>
          <w:highlight w:val="none"/>
          <w:lang w:eastAsia="en-US"/>
        </w:rPr>
        <w:t>管理范围：</w:t>
      </w:r>
      <w:r>
        <w:rPr>
          <w:rFonts w:hint="eastAsia" w:ascii="宋体" w:hAnsi="宋体" w:eastAsia="宋体" w:cs="宋体"/>
          <w:color w:val="auto"/>
          <w:highlight w:val="none"/>
        </w:rPr>
        <w:t>桂林市中西医结合医院</w:t>
      </w:r>
      <w:r>
        <w:rPr>
          <w:rFonts w:hint="eastAsia" w:ascii="宋体" w:hAnsi="宋体" w:eastAsia="宋体" w:cs="宋体"/>
          <w:color w:val="auto"/>
          <w:highlight w:val="none"/>
          <w:lang w:eastAsia="en-US"/>
        </w:rPr>
        <w:t>大门、办公楼</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七星社区卫生服务中心、</w:t>
      </w:r>
      <w:r>
        <w:rPr>
          <w:rFonts w:hint="eastAsia" w:ascii="宋体" w:hAnsi="宋体" w:eastAsia="宋体" w:cs="宋体"/>
          <w:color w:val="auto"/>
          <w:highlight w:val="none"/>
        </w:rPr>
        <w:t>东江社区卫生服务中心</w:t>
      </w:r>
      <w:r>
        <w:rPr>
          <w:rFonts w:hint="eastAsia" w:ascii="宋体" w:hAnsi="宋体" w:eastAsia="宋体" w:cs="宋体"/>
          <w:color w:val="auto"/>
          <w:highlight w:val="none"/>
          <w:lang w:eastAsia="en-US"/>
        </w:rPr>
        <w:t>等的安全保卫。具体包括：</w:t>
      </w:r>
      <w:r>
        <w:rPr>
          <w:rFonts w:hint="eastAsia" w:ascii="宋体" w:hAnsi="宋体" w:eastAsia="宋体" w:cs="宋体"/>
          <w:color w:val="auto"/>
          <w:highlight w:val="none"/>
        </w:rPr>
        <w:t>医院</w:t>
      </w:r>
      <w:r>
        <w:rPr>
          <w:rFonts w:hint="eastAsia" w:ascii="宋体" w:hAnsi="宋体" w:eastAsia="宋体" w:cs="宋体"/>
          <w:color w:val="auto"/>
          <w:highlight w:val="none"/>
          <w:lang w:eastAsia="en-US"/>
        </w:rPr>
        <w:t>大门、行政楼、</w:t>
      </w:r>
      <w:r>
        <w:rPr>
          <w:rFonts w:hint="eastAsia" w:ascii="宋体" w:hAnsi="宋体" w:eastAsia="宋体" w:cs="宋体"/>
          <w:color w:val="auto"/>
          <w:highlight w:val="none"/>
        </w:rPr>
        <w:t>住院部</w:t>
      </w:r>
      <w:r>
        <w:rPr>
          <w:rFonts w:hint="eastAsia" w:ascii="宋体" w:hAnsi="宋体" w:eastAsia="宋体" w:cs="宋体"/>
          <w:color w:val="auto"/>
          <w:highlight w:val="none"/>
          <w:lang w:eastAsia="en-US"/>
        </w:rPr>
        <w:t>和公共区域的值勤、巡逻</w:t>
      </w:r>
      <w:r>
        <w:rPr>
          <w:rFonts w:hint="eastAsia" w:ascii="宋体" w:hAnsi="宋体" w:eastAsia="宋体" w:cs="宋体"/>
          <w:color w:val="auto"/>
          <w:highlight w:val="none"/>
        </w:rPr>
        <w:t>、</w:t>
      </w:r>
      <w:r>
        <w:rPr>
          <w:rFonts w:hint="eastAsia" w:ascii="宋体" w:hAnsi="宋体" w:eastAsia="宋体" w:cs="宋体"/>
          <w:color w:val="auto"/>
          <w:highlight w:val="none"/>
          <w:lang w:eastAsia="en-US"/>
        </w:rPr>
        <w:t>安全防范</w:t>
      </w:r>
      <w:r>
        <w:rPr>
          <w:rFonts w:hint="eastAsia" w:ascii="宋体" w:hAnsi="宋体" w:eastAsia="宋体" w:cs="宋体"/>
          <w:color w:val="auto"/>
          <w:highlight w:val="none"/>
        </w:rPr>
        <w:t>和消防安全等</w:t>
      </w:r>
      <w:r>
        <w:rPr>
          <w:rFonts w:hint="eastAsia" w:ascii="宋体" w:hAnsi="宋体" w:eastAsia="宋体" w:cs="宋体"/>
          <w:color w:val="auto"/>
          <w:highlight w:val="none"/>
          <w:lang w:eastAsia="en-US"/>
        </w:rPr>
        <w:t>工作。</w:t>
      </w:r>
    </w:p>
    <w:p w14:paraId="76AD4AAF">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lang w:eastAsia="en-US"/>
        </w:rPr>
        <w:t>工作职责</w:t>
      </w:r>
      <w:r>
        <w:rPr>
          <w:rFonts w:hint="eastAsia" w:ascii="宋体" w:hAnsi="宋体" w:cs="宋体"/>
          <w:color w:val="auto"/>
          <w:highlight w:val="none"/>
        </w:rPr>
        <w:t>：</w:t>
      </w:r>
    </w:p>
    <w:p w14:paraId="26C54174">
      <w:pPr>
        <w:spacing w:line="380" w:lineRule="exact"/>
        <w:ind w:firstLine="630" w:firstLineChars="300"/>
        <w:rPr>
          <w:rFonts w:hint="eastAsia" w:ascii="宋体" w:hAnsi="宋体" w:cs="宋体"/>
          <w:color w:val="auto"/>
          <w:highlight w:val="none"/>
          <w:lang w:eastAsia="en-US"/>
        </w:rPr>
      </w:pPr>
      <w:r>
        <w:rPr>
          <w:rFonts w:hint="eastAsia" w:ascii="宋体" w:hAnsi="宋体" w:cs="宋体"/>
          <w:color w:val="auto"/>
          <w:highlight w:val="none"/>
        </w:rPr>
        <w:t>1.</w:t>
      </w:r>
      <w:r>
        <w:rPr>
          <w:rFonts w:hint="eastAsia" w:ascii="宋体" w:hAnsi="宋体" w:cs="宋体"/>
          <w:color w:val="auto"/>
          <w:highlight w:val="none"/>
          <w:lang w:eastAsia="en-US"/>
        </w:rPr>
        <w:t>依照</w:t>
      </w:r>
      <w:r>
        <w:rPr>
          <w:rFonts w:hint="eastAsia" w:ascii="宋体" w:hAnsi="宋体" w:cs="宋体"/>
          <w:color w:val="auto"/>
          <w:highlight w:val="none"/>
        </w:rPr>
        <w:t>甲方医院</w:t>
      </w:r>
      <w:r>
        <w:rPr>
          <w:rFonts w:hint="eastAsia" w:ascii="宋体" w:hAnsi="宋体" w:cs="宋体"/>
          <w:color w:val="auto"/>
          <w:highlight w:val="none"/>
          <w:lang w:eastAsia="en-US"/>
        </w:rPr>
        <w:t>规定与管理要求，结合</w:t>
      </w:r>
      <w:r>
        <w:rPr>
          <w:rFonts w:hint="eastAsia" w:ascii="宋体" w:hAnsi="宋体" w:cs="宋体"/>
          <w:color w:val="auto"/>
          <w:highlight w:val="none"/>
        </w:rPr>
        <w:t>医院</w:t>
      </w:r>
      <w:r>
        <w:rPr>
          <w:rFonts w:hint="eastAsia" w:ascii="宋体" w:hAnsi="宋体" w:cs="宋体"/>
          <w:color w:val="auto"/>
          <w:highlight w:val="none"/>
          <w:lang w:eastAsia="en-US"/>
        </w:rPr>
        <w:t>安全保卫工作实际情况，要求在中标后向</w:t>
      </w:r>
      <w:r>
        <w:rPr>
          <w:rFonts w:hint="eastAsia" w:ascii="宋体" w:hAnsi="宋体" w:cs="宋体"/>
          <w:color w:val="auto"/>
          <w:highlight w:val="none"/>
        </w:rPr>
        <w:t>甲方</w:t>
      </w:r>
      <w:r>
        <w:rPr>
          <w:rFonts w:hint="eastAsia" w:ascii="宋体" w:hAnsi="宋体" w:cs="宋体"/>
          <w:color w:val="auto"/>
          <w:highlight w:val="none"/>
          <w:lang w:eastAsia="en-US"/>
        </w:rPr>
        <w:t>制订切实可行的</w:t>
      </w:r>
      <w:r>
        <w:rPr>
          <w:rFonts w:hint="eastAsia" w:ascii="宋体" w:hAnsi="宋体" w:cs="宋体"/>
          <w:color w:val="auto"/>
          <w:highlight w:val="none"/>
        </w:rPr>
        <w:t>医院</w:t>
      </w:r>
      <w:r>
        <w:rPr>
          <w:rFonts w:hint="eastAsia" w:ascii="宋体" w:hAnsi="宋体" w:cs="宋体"/>
          <w:color w:val="auto"/>
          <w:highlight w:val="none"/>
          <w:lang w:eastAsia="en-US"/>
        </w:rPr>
        <w:t>安全保卫工作整体方案，开展专业化安全防范业务，保障</w:t>
      </w:r>
      <w:r>
        <w:rPr>
          <w:rFonts w:hint="eastAsia" w:ascii="宋体" w:hAnsi="宋体" w:cs="宋体"/>
          <w:color w:val="auto"/>
          <w:highlight w:val="none"/>
        </w:rPr>
        <w:t>医院</w:t>
      </w:r>
      <w:r>
        <w:rPr>
          <w:rFonts w:hint="eastAsia" w:ascii="宋体" w:hAnsi="宋体" w:cs="宋体"/>
          <w:color w:val="auto"/>
          <w:highlight w:val="none"/>
          <w:lang w:eastAsia="en-US"/>
        </w:rPr>
        <w:t>安全稳定。</w:t>
      </w:r>
    </w:p>
    <w:p w14:paraId="05663369">
      <w:pPr>
        <w:spacing w:line="380" w:lineRule="exact"/>
        <w:ind w:firstLine="630" w:firstLineChars="300"/>
        <w:rPr>
          <w:rFonts w:hint="eastAsia" w:ascii="宋体" w:hAnsi="宋体" w:cs="宋体"/>
          <w:color w:val="auto"/>
          <w:highlight w:val="none"/>
          <w:lang w:eastAsia="en-US"/>
        </w:rPr>
      </w:pPr>
      <w:r>
        <w:rPr>
          <w:rFonts w:hint="eastAsia" w:ascii="宋体" w:hAnsi="宋体" w:cs="宋体"/>
          <w:color w:val="auto"/>
          <w:highlight w:val="none"/>
        </w:rPr>
        <w:t>2.医院</w:t>
      </w:r>
      <w:r>
        <w:rPr>
          <w:rFonts w:hint="eastAsia" w:ascii="宋体" w:hAnsi="宋体" w:cs="宋体"/>
          <w:color w:val="auto"/>
          <w:highlight w:val="none"/>
          <w:lang w:eastAsia="en-US"/>
        </w:rPr>
        <w:t>安保服务工作主要包括：24 小时门卫值勤、重点场所守护、巡逻及大型活动与会务工作的安全保障，</w:t>
      </w:r>
      <w:r>
        <w:rPr>
          <w:rFonts w:hint="eastAsia" w:ascii="宋体" w:hAnsi="宋体" w:cs="宋体"/>
          <w:color w:val="auto"/>
          <w:highlight w:val="none"/>
        </w:rPr>
        <w:t>医院</w:t>
      </w:r>
      <w:r>
        <w:rPr>
          <w:rFonts w:hint="eastAsia" w:ascii="宋体" w:hAnsi="宋体" w:cs="宋体"/>
          <w:color w:val="auto"/>
          <w:highlight w:val="none"/>
          <w:lang w:eastAsia="en-US"/>
        </w:rPr>
        <w:t>临时性的应急处置工作，并做好</w:t>
      </w:r>
      <w:r>
        <w:rPr>
          <w:rFonts w:hint="eastAsia" w:ascii="宋体" w:hAnsi="宋体" w:cs="宋体"/>
          <w:color w:val="auto"/>
          <w:highlight w:val="none"/>
        </w:rPr>
        <w:t>医院</w:t>
      </w:r>
      <w:r>
        <w:rPr>
          <w:rFonts w:hint="eastAsia" w:ascii="宋体" w:hAnsi="宋体" w:cs="宋体"/>
          <w:color w:val="auto"/>
          <w:highlight w:val="none"/>
          <w:lang w:eastAsia="en-US"/>
        </w:rPr>
        <w:t>内防火、防盗、防破坏、防事故等安全工作，配合相关部门打击</w:t>
      </w:r>
      <w:r>
        <w:rPr>
          <w:rFonts w:hint="eastAsia" w:ascii="宋体" w:hAnsi="宋体" w:cs="宋体"/>
          <w:color w:val="auto"/>
          <w:highlight w:val="none"/>
        </w:rPr>
        <w:t>医院</w:t>
      </w:r>
      <w:r>
        <w:rPr>
          <w:rFonts w:hint="eastAsia" w:ascii="宋体" w:hAnsi="宋体" w:cs="宋体"/>
          <w:color w:val="auto"/>
          <w:highlight w:val="none"/>
          <w:lang w:eastAsia="en-US"/>
        </w:rPr>
        <w:t>内部与周边的违法犯罪活动。</w:t>
      </w:r>
    </w:p>
    <w:p w14:paraId="10450DA6">
      <w:pPr>
        <w:spacing w:line="380" w:lineRule="exact"/>
        <w:ind w:firstLine="630" w:firstLineChars="300"/>
        <w:rPr>
          <w:rFonts w:hint="eastAsia" w:ascii="宋体" w:hAnsi="宋体" w:cs="宋体"/>
          <w:color w:val="auto"/>
          <w:highlight w:val="none"/>
          <w:lang w:eastAsia="en-US"/>
        </w:rPr>
      </w:pPr>
      <w:r>
        <w:rPr>
          <w:rFonts w:hint="eastAsia" w:ascii="宋体" w:hAnsi="宋体" w:cs="宋体"/>
          <w:color w:val="auto"/>
          <w:highlight w:val="none"/>
        </w:rPr>
        <w:t>3.</w:t>
      </w:r>
      <w:r>
        <w:rPr>
          <w:rFonts w:hint="eastAsia" w:ascii="宋体" w:hAnsi="宋体" w:cs="宋体"/>
          <w:color w:val="auto"/>
          <w:highlight w:val="none"/>
          <w:lang w:eastAsia="en-US"/>
        </w:rPr>
        <w:t>服务方式：</w:t>
      </w:r>
      <w:r>
        <w:rPr>
          <w:rFonts w:hint="eastAsia" w:ascii="宋体" w:hAnsi="宋体" w:cs="宋体"/>
          <w:color w:val="auto"/>
          <w:highlight w:val="none"/>
        </w:rPr>
        <w:t>医院</w:t>
      </w:r>
      <w:r>
        <w:rPr>
          <w:rFonts w:hint="eastAsia" w:ascii="宋体" w:hAnsi="宋体" w:cs="宋体"/>
          <w:color w:val="auto"/>
          <w:highlight w:val="none"/>
          <w:lang w:eastAsia="en-US"/>
        </w:rPr>
        <w:t>安保服务方式是</w:t>
      </w:r>
      <w:r>
        <w:rPr>
          <w:rFonts w:hint="eastAsia" w:ascii="宋体" w:hAnsi="宋体" w:cs="宋体"/>
          <w:color w:val="auto"/>
          <w:highlight w:val="none"/>
        </w:rPr>
        <w:t>乙方</w:t>
      </w:r>
      <w:r>
        <w:rPr>
          <w:rFonts w:hint="eastAsia" w:ascii="宋体" w:hAnsi="宋体" w:cs="宋体"/>
          <w:color w:val="auto"/>
          <w:highlight w:val="none"/>
          <w:lang w:eastAsia="en-US"/>
        </w:rPr>
        <w:t>派出主管、工作人员并组织保安人员到</w:t>
      </w:r>
      <w:r>
        <w:rPr>
          <w:rFonts w:hint="eastAsia" w:ascii="宋体" w:hAnsi="宋体" w:cs="宋体"/>
          <w:color w:val="auto"/>
          <w:highlight w:val="none"/>
        </w:rPr>
        <w:t>甲方</w:t>
      </w:r>
      <w:r>
        <w:rPr>
          <w:rFonts w:hint="eastAsia" w:ascii="宋体" w:hAnsi="宋体" w:cs="宋体"/>
          <w:color w:val="auto"/>
          <w:highlight w:val="none"/>
          <w:lang w:eastAsia="en-US"/>
        </w:rPr>
        <w:t>指定区域负责安全保卫工作。</w:t>
      </w:r>
    </w:p>
    <w:p w14:paraId="3CE2DA1B">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w:t>
      </w:r>
      <w:r>
        <w:rPr>
          <w:rFonts w:hint="eastAsia" w:ascii="宋体" w:hAnsi="宋体" w:cs="宋体"/>
          <w:color w:val="auto"/>
          <w:szCs w:val="21"/>
          <w:highlight w:val="none"/>
        </w:rPr>
        <w:t>五</w:t>
      </w:r>
      <w:r>
        <w:rPr>
          <w:rFonts w:hint="eastAsia" w:ascii="宋体" w:hAnsi="宋体" w:cs="宋体"/>
          <w:color w:val="auto"/>
          <w:szCs w:val="21"/>
          <w:highlight w:val="none"/>
          <w:lang w:eastAsia="en-US"/>
        </w:rPr>
        <w:t>）各岗位具体职责要求：</w:t>
      </w:r>
    </w:p>
    <w:p w14:paraId="2B5CC053">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所有岗位在疫情管控期间，必须按照</w:t>
      </w:r>
      <w:r>
        <w:rPr>
          <w:rFonts w:hint="eastAsia" w:ascii="宋体" w:hAnsi="宋体" w:cs="宋体"/>
          <w:color w:val="auto"/>
          <w:highlight w:val="none"/>
        </w:rPr>
        <w:t>医院</w:t>
      </w:r>
      <w:r>
        <w:rPr>
          <w:rFonts w:hint="eastAsia" w:ascii="宋体" w:hAnsi="宋体" w:cs="宋体"/>
          <w:color w:val="auto"/>
          <w:highlight w:val="none"/>
          <w:lang w:eastAsia="en-US"/>
        </w:rPr>
        <w:t>要求严格执行。</w:t>
      </w:r>
    </w:p>
    <w:p w14:paraId="43350161">
      <w:pPr>
        <w:spacing w:line="380" w:lineRule="exact"/>
        <w:ind w:firstLine="630" w:firstLineChars="300"/>
        <w:rPr>
          <w:rFonts w:hint="eastAsia" w:ascii="宋体" w:hAnsi="宋体" w:cs="宋体"/>
          <w:color w:val="auto"/>
          <w:highlight w:val="none"/>
          <w:lang w:eastAsia="en-US"/>
        </w:rPr>
      </w:pPr>
      <w:r>
        <w:rPr>
          <w:rFonts w:hint="eastAsia" w:ascii="宋体" w:hAnsi="宋体" w:cs="宋体"/>
          <w:color w:val="auto"/>
          <w:highlight w:val="none"/>
          <w:lang w:eastAsia="en-US"/>
        </w:rPr>
        <w:t>1.门岗具体岗位职责</w:t>
      </w:r>
    </w:p>
    <w:p w14:paraId="2A2BFBA5">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（1）做好来访人员的登记，对外来车辆和人员进行盘问、核对，按规定履行车辆计时收费，禁止闲杂人员进入</w:t>
      </w:r>
      <w:r>
        <w:rPr>
          <w:rFonts w:hint="eastAsia" w:ascii="宋体" w:hAnsi="宋体" w:cs="宋体"/>
          <w:color w:val="auto"/>
          <w:highlight w:val="none"/>
        </w:rPr>
        <w:t>医院</w:t>
      </w:r>
      <w:r>
        <w:rPr>
          <w:rFonts w:hint="eastAsia" w:ascii="宋体" w:hAnsi="宋体" w:cs="宋体"/>
          <w:color w:val="auto"/>
          <w:highlight w:val="none"/>
          <w:lang w:eastAsia="en-US"/>
        </w:rPr>
        <w:t>。</w:t>
      </w:r>
    </w:p>
    <w:p w14:paraId="4A5F7278">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（2）未经职能部门许可，严禁外来人员进入</w:t>
      </w:r>
      <w:r>
        <w:rPr>
          <w:rFonts w:hint="eastAsia" w:ascii="宋体" w:hAnsi="宋体" w:cs="宋体"/>
          <w:color w:val="auto"/>
          <w:highlight w:val="none"/>
        </w:rPr>
        <w:t>医院</w:t>
      </w:r>
      <w:r>
        <w:rPr>
          <w:rFonts w:hint="eastAsia" w:ascii="宋体" w:hAnsi="宋体" w:cs="宋体"/>
          <w:color w:val="auto"/>
          <w:highlight w:val="none"/>
          <w:lang w:eastAsia="en-US"/>
        </w:rPr>
        <w:t>内进行收购货物、推销产品等活动。</w:t>
      </w:r>
    </w:p>
    <w:p w14:paraId="5F4F6002">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（3）时刻提高警惕，对出入</w:t>
      </w:r>
      <w:r>
        <w:rPr>
          <w:rFonts w:hint="eastAsia" w:ascii="宋体" w:hAnsi="宋体" w:cs="宋体"/>
          <w:color w:val="auto"/>
          <w:highlight w:val="none"/>
        </w:rPr>
        <w:t>医院</w:t>
      </w:r>
      <w:r>
        <w:rPr>
          <w:rFonts w:hint="eastAsia" w:ascii="宋体" w:hAnsi="宋体" w:cs="宋体"/>
          <w:color w:val="auto"/>
          <w:highlight w:val="none"/>
          <w:lang w:eastAsia="en-US"/>
        </w:rPr>
        <w:t>的可疑人员严格盘问；在盘查时要求车辆靠右边停放，确保交通畅通。</w:t>
      </w:r>
    </w:p>
    <w:p w14:paraId="76C66ABE">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（4）维护</w:t>
      </w:r>
      <w:r>
        <w:rPr>
          <w:rFonts w:hint="eastAsia" w:ascii="宋体" w:hAnsi="宋体" w:cs="宋体"/>
          <w:color w:val="auto"/>
          <w:highlight w:val="none"/>
        </w:rPr>
        <w:t>医院</w:t>
      </w:r>
      <w:r>
        <w:rPr>
          <w:rFonts w:hint="eastAsia" w:ascii="宋体" w:hAnsi="宋体" w:cs="宋体"/>
          <w:color w:val="auto"/>
          <w:highlight w:val="none"/>
          <w:lang w:eastAsia="en-US"/>
        </w:rPr>
        <w:t>大门的交通秩序和周围的秩序。</w:t>
      </w:r>
    </w:p>
    <w:p w14:paraId="0AC655D7">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（5）拦截向外逃窜的违法犯罪分子。</w:t>
      </w:r>
    </w:p>
    <w:p w14:paraId="545BFC63">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（6）爱护值班室及周围公物，管理好值班电话，一般情况下不允许外人使用值班电话，不允许用值班电话聊天、联系私事等。</w:t>
      </w:r>
    </w:p>
    <w:p w14:paraId="41BBF5C7">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（7）搞好值班室及周围卫生，值班室不允许堆放杂物。</w:t>
      </w:r>
    </w:p>
    <w:p w14:paraId="77D67EAA">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（8）值班室不允许与值班无关的人员进入。</w:t>
      </w:r>
    </w:p>
    <w:p w14:paraId="4DC05E1A">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（9）完成</w:t>
      </w:r>
      <w:r>
        <w:rPr>
          <w:rFonts w:hint="eastAsia" w:ascii="宋体" w:hAnsi="宋体" w:cs="宋体"/>
          <w:color w:val="auto"/>
          <w:highlight w:val="none"/>
        </w:rPr>
        <w:t>医院</w:t>
      </w:r>
      <w:r>
        <w:rPr>
          <w:rFonts w:hint="eastAsia" w:ascii="宋体" w:hAnsi="宋体" w:cs="宋体"/>
          <w:color w:val="auto"/>
          <w:highlight w:val="none"/>
          <w:lang w:eastAsia="en-US"/>
        </w:rPr>
        <w:t>保卫部门交办的其它相关工作。</w:t>
      </w:r>
    </w:p>
    <w:p w14:paraId="49ED5CDD">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2.执勤岗位职责</w:t>
      </w:r>
    </w:p>
    <w:p w14:paraId="18D1784E">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（1）熟悉</w:t>
      </w:r>
      <w:r>
        <w:rPr>
          <w:rFonts w:hint="eastAsia" w:ascii="宋体" w:hAnsi="宋体" w:cs="宋体"/>
          <w:color w:val="auto"/>
          <w:highlight w:val="none"/>
        </w:rPr>
        <w:t>医院</w:t>
      </w:r>
      <w:r>
        <w:rPr>
          <w:rFonts w:hint="eastAsia" w:ascii="宋体" w:hAnsi="宋体" w:cs="宋体"/>
          <w:color w:val="auto"/>
          <w:highlight w:val="none"/>
          <w:lang w:eastAsia="en-US"/>
        </w:rPr>
        <w:t>内各楼层的主要设施及消防设备，发现如有漏水、电、门窗异常等问题，要及时报保卫处值班人员进行处理。</w:t>
      </w:r>
    </w:p>
    <w:p w14:paraId="35FFD911">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（2）值班期间，必须按规定着装，坚守岗位，坚持原则，认真负责，文明执勤，不得迟到、早退，不准睡岗、擅自离岗，不做与工作无关的其它事情。</w:t>
      </w:r>
    </w:p>
    <w:p w14:paraId="4E18409E">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（3）落实防火及消防设施检查制度，发现安全隐患及时报告，并做出妥善处理。</w:t>
      </w:r>
    </w:p>
    <w:p w14:paraId="0862AD57">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（4）加强执勤点的检查巡逻，对外来人员要主动上前查问，并做好登记，确认无误后方可放行，禁止闲杂人员进入</w:t>
      </w:r>
      <w:r>
        <w:rPr>
          <w:rFonts w:hint="eastAsia" w:ascii="宋体" w:hAnsi="宋体" w:cs="宋体"/>
          <w:color w:val="auto"/>
          <w:highlight w:val="none"/>
        </w:rPr>
        <w:t>医院</w:t>
      </w:r>
      <w:r>
        <w:rPr>
          <w:rFonts w:hint="eastAsia" w:ascii="宋体" w:hAnsi="宋体" w:cs="宋体"/>
          <w:color w:val="auto"/>
          <w:highlight w:val="none"/>
          <w:lang w:eastAsia="en-US"/>
        </w:rPr>
        <w:t>场所。</w:t>
      </w:r>
    </w:p>
    <w:p w14:paraId="63FB8FA3">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（5）负责办公楼周围的交通秩序整治，要求车辆停放有序，严禁消防通道停车。</w:t>
      </w:r>
    </w:p>
    <w:p w14:paraId="7B67A8EA">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（6）严格要求规范自己的行为，严格执行</w:t>
      </w:r>
      <w:r>
        <w:rPr>
          <w:rFonts w:hint="eastAsia" w:ascii="宋体" w:hAnsi="宋体" w:cs="宋体"/>
          <w:color w:val="auto"/>
          <w:highlight w:val="none"/>
        </w:rPr>
        <w:t>医院</w:t>
      </w:r>
      <w:r>
        <w:rPr>
          <w:rFonts w:hint="eastAsia" w:ascii="宋体" w:hAnsi="宋体" w:cs="宋体"/>
          <w:color w:val="auto"/>
          <w:highlight w:val="none"/>
          <w:lang w:eastAsia="en-US"/>
        </w:rPr>
        <w:t>的各项规章制度，不得擅自使用</w:t>
      </w:r>
      <w:r>
        <w:rPr>
          <w:rFonts w:hint="eastAsia" w:ascii="宋体" w:hAnsi="宋体" w:cs="宋体"/>
          <w:color w:val="auto"/>
          <w:highlight w:val="none"/>
        </w:rPr>
        <w:t>医院</w:t>
      </w:r>
      <w:r>
        <w:rPr>
          <w:rFonts w:hint="eastAsia" w:ascii="宋体" w:hAnsi="宋体" w:cs="宋体"/>
          <w:color w:val="auto"/>
          <w:highlight w:val="none"/>
          <w:lang w:eastAsia="en-US"/>
        </w:rPr>
        <w:t>内任何</w:t>
      </w:r>
      <w:r>
        <w:rPr>
          <w:rFonts w:hint="eastAsia" w:ascii="宋体" w:hAnsi="宋体" w:cs="宋体"/>
          <w:color w:val="auto"/>
          <w:highlight w:val="none"/>
        </w:rPr>
        <w:t>医疗</w:t>
      </w:r>
      <w:r>
        <w:rPr>
          <w:rFonts w:hint="eastAsia" w:ascii="宋体" w:hAnsi="宋体" w:cs="宋体"/>
          <w:color w:val="auto"/>
          <w:highlight w:val="none"/>
          <w:lang w:eastAsia="en-US"/>
        </w:rPr>
        <w:t>设备。</w:t>
      </w:r>
    </w:p>
    <w:p w14:paraId="4B0209CB">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（7）严密监控执勤区域的情况，加强与</w:t>
      </w:r>
      <w:r>
        <w:rPr>
          <w:rFonts w:hint="eastAsia" w:ascii="宋体" w:hAnsi="宋体" w:cs="宋体"/>
          <w:color w:val="auto"/>
          <w:highlight w:val="none"/>
        </w:rPr>
        <w:t>医院</w:t>
      </w:r>
      <w:r>
        <w:rPr>
          <w:rFonts w:hint="eastAsia" w:ascii="宋体" w:hAnsi="宋体" w:cs="宋体"/>
          <w:color w:val="auto"/>
          <w:highlight w:val="none"/>
          <w:lang w:eastAsia="en-US"/>
        </w:rPr>
        <w:t>保卫处值班人员的协调与配合，发现可疑情况，及时向</w:t>
      </w:r>
      <w:r>
        <w:rPr>
          <w:rFonts w:hint="eastAsia" w:ascii="宋体" w:hAnsi="宋体" w:cs="宋体"/>
          <w:color w:val="auto"/>
          <w:highlight w:val="none"/>
        </w:rPr>
        <w:t>医院</w:t>
      </w:r>
      <w:r>
        <w:rPr>
          <w:rFonts w:hint="eastAsia" w:ascii="宋体" w:hAnsi="宋体" w:cs="宋体"/>
          <w:color w:val="auto"/>
          <w:highlight w:val="none"/>
          <w:lang w:eastAsia="en-US"/>
        </w:rPr>
        <w:t>保卫</w:t>
      </w:r>
      <w:r>
        <w:rPr>
          <w:rFonts w:hint="eastAsia" w:ascii="宋体" w:hAnsi="宋体" w:cs="宋体"/>
          <w:color w:val="auto"/>
          <w:highlight w:val="none"/>
        </w:rPr>
        <w:t>部门</w:t>
      </w:r>
      <w:r>
        <w:rPr>
          <w:rFonts w:hint="eastAsia" w:ascii="宋体" w:hAnsi="宋体" w:cs="宋体"/>
          <w:color w:val="auto"/>
          <w:highlight w:val="none"/>
          <w:lang w:eastAsia="en-US"/>
        </w:rPr>
        <w:t>报告。</w:t>
      </w:r>
    </w:p>
    <w:p w14:paraId="73C52E32">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（8）完成保卫</w:t>
      </w:r>
      <w:r>
        <w:rPr>
          <w:rFonts w:hint="eastAsia" w:ascii="宋体" w:hAnsi="宋体" w:cs="宋体"/>
          <w:color w:val="auto"/>
          <w:highlight w:val="none"/>
        </w:rPr>
        <w:t>部门</w:t>
      </w:r>
      <w:r>
        <w:rPr>
          <w:rFonts w:hint="eastAsia" w:ascii="宋体" w:hAnsi="宋体" w:cs="宋体"/>
          <w:color w:val="auto"/>
          <w:highlight w:val="none"/>
          <w:lang w:eastAsia="en-US"/>
        </w:rPr>
        <w:t>领导交办的其它相关工作。</w:t>
      </w:r>
    </w:p>
    <w:p w14:paraId="2198BFE6">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3.巡逻岗位职责</w:t>
      </w:r>
    </w:p>
    <w:p w14:paraId="233BCCDD">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（1）服从</w:t>
      </w:r>
      <w:r>
        <w:rPr>
          <w:rFonts w:hint="eastAsia" w:ascii="宋体" w:hAnsi="宋体" w:cs="宋体"/>
          <w:color w:val="auto"/>
          <w:highlight w:val="none"/>
        </w:rPr>
        <w:t>医院</w:t>
      </w:r>
      <w:r>
        <w:rPr>
          <w:rFonts w:hint="eastAsia" w:ascii="宋体" w:hAnsi="宋体" w:cs="宋体"/>
          <w:color w:val="auto"/>
          <w:highlight w:val="none"/>
          <w:lang w:eastAsia="en-US"/>
        </w:rPr>
        <w:t>保卫</w:t>
      </w:r>
      <w:r>
        <w:rPr>
          <w:rFonts w:hint="eastAsia" w:ascii="宋体" w:hAnsi="宋体" w:cs="宋体"/>
          <w:color w:val="auto"/>
          <w:highlight w:val="none"/>
        </w:rPr>
        <w:t>部门</w:t>
      </w:r>
      <w:r>
        <w:rPr>
          <w:rFonts w:hint="eastAsia" w:ascii="宋体" w:hAnsi="宋体" w:cs="宋体"/>
          <w:color w:val="auto"/>
          <w:highlight w:val="none"/>
          <w:lang w:eastAsia="en-US"/>
        </w:rPr>
        <w:t>领导及值班人员的督查，按照规范和标准对责任区域进行巡逻检查；</w:t>
      </w:r>
    </w:p>
    <w:p w14:paraId="70FA6D42">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（2）熟悉责任区域内各方面情况，对异常情况能及时发现、判断和相应处理，并及时上报</w:t>
      </w:r>
      <w:r>
        <w:rPr>
          <w:rFonts w:hint="eastAsia" w:ascii="宋体" w:hAnsi="宋体" w:cs="宋体"/>
          <w:color w:val="auto"/>
          <w:highlight w:val="none"/>
        </w:rPr>
        <w:t>医院</w:t>
      </w:r>
      <w:r>
        <w:rPr>
          <w:rFonts w:hint="eastAsia" w:ascii="宋体" w:hAnsi="宋体" w:cs="宋体"/>
          <w:color w:val="auto"/>
          <w:highlight w:val="none"/>
          <w:lang w:eastAsia="en-US"/>
        </w:rPr>
        <w:t>保卫部门；</w:t>
      </w:r>
    </w:p>
    <w:p w14:paraId="601E421A">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（3）加强对</w:t>
      </w:r>
      <w:r>
        <w:rPr>
          <w:rFonts w:hint="eastAsia" w:ascii="宋体" w:hAnsi="宋体" w:cs="宋体"/>
          <w:color w:val="auto"/>
          <w:highlight w:val="none"/>
        </w:rPr>
        <w:t>医院</w:t>
      </w:r>
      <w:r>
        <w:rPr>
          <w:rFonts w:hint="eastAsia" w:ascii="宋体" w:hAnsi="宋体" w:cs="宋体"/>
          <w:color w:val="auto"/>
          <w:highlight w:val="none"/>
          <w:lang w:eastAsia="en-US"/>
        </w:rPr>
        <w:t>内重要区域及安全监控薄弱部位进行重点巡逻，发现门、窗未关及其他异常情况及时</w:t>
      </w:r>
      <w:r>
        <w:rPr>
          <w:rFonts w:hint="eastAsia" w:ascii="宋体" w:hAnsi="宋体" w:cs="宋体"/>
          <w:color w:val="auto"/>
          <w:highlight w:val="none"/>
        </w:rPr>
        <w:t>处理并</w:t>
      </w:r>
      <w:r>
        <w:rPr>
          <w:rFonts w:hint="eastAsia" w:ascii="宋体" w:hAnsi="宋体" w:cs="宋体"/>
          <w:color w:val="auto"/>
          <w:highlight w:val="none"/>
          <w:lang w:eastAsia="en-US"/>
        </w:rPr>
        <w:t>上报</w:t>
      </w:r>
      <w:r>
        <w:rPr>
          <w:rFonts w:hint="eastAsia" w:ascii="宋体" w:hAnsi="宋体" w:cs="宋体"/>
          <w:color w:val="auto"/>
          <w:highlight w:val="none"/>
        </w:rPr>
        <w:t>医院保卫部门</w:t>
      </w:r>
      <w:r>
        <w:rPr>
          <w:rFonts w:hint="eastAsia" w:ascii="宋体" w:hAnsi="宋体" w:cs="宋体"/>
          <w:color w:val="auto"/>
          <w:highlight w:val="none"/>
          <w:lang w:eastAsia="en-US"/>
        </w:rPr>
        <w:t>值班</w:t>
      </w:r>
      <w:r>
        <w:rPr>
          <w:rFonts w:hint="eastAsia" w:ascii="宋体" w:hAnsi="宋体" w:cs="宋体"/>
          <w:color w:val="auto"/>
          <w:highlight w:val="none"/>
        </w:rPr>
        <w:t>人员</w:t>
      </w:r>
      <w:r>
        <w:rPr>
          <w:rFonts w:hint="eastAsia" w:ascii="宋体" w:hAnsi="宋体" w:cs="宋体"/>
          <w:color w:val="auto"/>
          <w:highlight w:val="none"/>
          <w:lang w:eastAsia="en-US"/>
        </w:rPr>
        <w:t>，消除安全隐患；</w:t>
      </w:r>
    </w:p>
    <w:p w14:paraId="409AAFBB">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（4）加强对消防安全的巡逻检查，制止违反消防安全管理规定的行为，若有异常立即采取措施并上报</w:t>
      </w:r>
      <w:r>
        <w:rPr>
          <w:rFonts w:hint="eastAsia" w:ascii="宋体" w:hAnsi="宋体" w:cs="宋体"/>
          <w:color w:val="auto"/>
          <w:highlight w:val="none"/>
        </w:rPr>
        <w:t>医院</w:t>
      </w:r>
      <w:r>
        <w:rPr>
          <w:rFonts w:hint="eastAsia" w:ascii="宋体" w:hAnsi="宋体" w:cs="宋体"/>
          <w:color w:val="auto"/>
          <w:highlight w:val="none"/>
          <w:lang w:eastAsia="en-US"/>
        </w:rPr>
        <w:t>保卫部门；</w:t>
      </w:r>
    </w:p>
    <w:p w14:paraId="337FFE74">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（5）对</w:t>
      </w:r>
      <w:r>
        <w:rPr>
          <w:rFonts w:hint="eastAsia" w:ascii="宋体" w:hAnsi="宋体" w:cs="宋体"/>
          <w:color w:val="auto"/>
          <w:highlight w:val="none"/>
        </w:rPr>
        <w:t>医院</w:t>
      </w:r>
      <w:r>
        <w:rPr>
          <w:rFonts w:hint="eastAsia" w:ascii="宋体" w:hAnsi="宋体" w:cs="宋体"/>
          <w:color w:val="auto"/>
          <w:highlight w:val="none"/>
          <w:lang w:eastAsia="en-US"/>
        </w:rPr>
        <w:t>内可疑对象（如人员、车辆、物品等），必须仔细检查，做好相关记录，必要时报</w:t>
      </w:r>
      <w:r>
        <w:rPr>
          <w:rFonts w:hint="eastAsia" w:ascii="宋体" w:hAnsi="宋体" w:cs="宋体"/>
          <w:color w:val="auto"/>
          <w:highlight w:val="none"/>
        </w:rPr>
        <w:t>医院</w:t>
      </w:r>
      <w:r>
        <w:rPr>
          <w:rFonts w:hint="eastAsia" w:ascii="宋体" w:hAnsi="宋体" w:cs="宋体"/>
          <w:color w:val="auto"/>
          <w:highlight w:val="none"/>
          <w:lang w:eastAsia="en-US"/>
        </w:rPr>
        <w:t>保卫部门；</w:t>
      </w:r>
    </w:p>
    <w:p w14:paraId="45461C46">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（6）加强对责任区内交通秩序的管理，制止超速、乱停等违章行为，严禁外来车辆借道通行；</w:t>
      </w:r>
    </w:p>
    <w:p w14:paraId="7B66BAF4">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（7）巡逻期间做好巡逻检查记录，遇紧急突发事件立即上报</w:t>
      </w:r>
      <w:r>
        <w:rPr>
          <w:rFonts w:hint="eastAsia" w:ascii="宋体" w:hAnsi="宋体" w:cs="宋体"/>
          <w:color w:val="auto"/>
          <w:highlight w:val="none"/>
        </w:rPr>
        <w:t>医院</w:t>
      </w:r>
      <w:r>
        <w:rPr>
          <w:rFonts w:hint="eastAsia" w:ascii="宋体" w:hAnsi="宋体" w:cs="宋体"/>
          <w:color w:val="auto"/>
          <w:highlight w:val="none"/>
          <w:lang w:eastAsia="en-US"/>
        </w:rPr>
        <w:t>保卫部门并按规定采取措施；</w:t>
      </w:r>
    </w:p>
    <w:p w14:paraId="2295D0AC">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（8）发现违法犯罪行为，立即予以制止，控制住犯罪嫌疑人，配合公安机关妥善处理；</w:t>
      </w:r>
    </w:p>
    <w:p w14:paraId="7310ADEE">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（9）严禁在</w:t>
      </w:r>
      <w:r>
        <w:rPr>
          <w:rFonts w:hint="eastAsia" w:ascii="宋体" w:hAnsi="宋体" w:cs="宋体"/>
          <w:color w:val="auto"/>
          <w:highlight w:val="none"/>
        </w:rPr>
        <w:t>医院</w:t>
      </w:r>
      <w:r>
        <w:rPr>
          <w:rFonts w:hint="eastAsia" w:ascii="宋体" w:hAnsi="宋体" w:cs="宋体"/>
          <w:color w:val="auto"/>
          <w:highlight w:val="none"/>
          <w:lang w:eastAsia="en-US"/>
        </w:rPr>
        <w:t>内张贴各种海报、宣传单等粘贴物，如有发现，必须立即制止和摘除，并对行为人进行警告，必要时交由相关部门处理；</w:t>
      </w:r>
    </w:p>
    <w:p w14:paraId="4CD23551">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（10）完成</w:t>
      </w:r>
      <w:r>
        <w:rPr>
          <w:rFonts w:hint="eastAsia" w:ascii="宋体" w:hAnsi="宋体" w:cs="宋体"/>
          <w:color w:val="auto"/>
          <w:highlight w:val="none"/>
        </w:rPr>
        <w:t>医院</w:t>
      </w:r>
      <w:r>
        <w:rPr>
          <w:rFonts w:hint="eastAsia" w:ascii="宋体" w:hAnsi="宋体" w:cs="宋体"/>
          <w:color w:val="auto"/>
          <w:highlight w:val="none"/>
          <w:lang w:eastAsia="en-US"/>
        </w:rPr>
        <w:t>保卫部门交办的其它相关工作。</w:t>
      </w:r>
    </w:p>
    <w:p w14:paraId="5CE3FAA8">
      <w:pPr>
        <w:spacing w:line="380" w:lineRule="exact"/>
        <w:ind w:firstLine="210" w:firstLineChars="100"/>
        <w:rPr>
          <w:rFonts w:hint="eastAsia" w:ascii="宋体" w:hAnsi="宋体" w:cs="宋体"/>
          <w:color w:val="auto"/>
          <w:highlight w:val="none"/>
        </w:rPr>
      </w:pPr>
      <w:r>
        <w:rPr>
          <w:rFonts w:hint="eastAsia" w:ascii="宋体" w:hAnsi="宋体" w:cs="宋体"/>
          <w:color w:val="auto"/>
          <w:highlight w:val="none"/>
        </w:rPr>
        <w:t xml:space="preserve"> 4.</w:t>
      </w:r>
      <w:r>
        <w:rPr>
          <w:rFonts w:hint="eastAsia" w:ascii="宋体" w:hAnsi="宋体" w:cs="宋体"/>
          <w:color w:val="auto"/>
          <w:highlight w:val="none"/>
          <w:lang w:eastAsia="en-US"/>
        </w:rPr>
        <w:t>消防和视频监控室</w:t>
      </w:r>
      <w:r>
        <w:rPr>
          <w:rFonts w:hint="eastAsia" w:ascii="宋体" w:hAnsi="宋体" w:cs="宋体"/>
          <w:color w:val="auto"/>
          <w:highlight w:val="none"/>
        </w:rPr>
        <w:t>值班人员职责</w:t>
      </w:r>
    </w:p>
    <w:p w14:paraId="44EF1CE1">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（1）熟悉</w:t>
      </w:r>
      <w:r>
        <w:rPr>
          <w:rFonts w:hint="eastAsia" w:ascii="宋体" w:hAnsi="宋体" w:cs="宋体"/>
          <w:color w:val="auto"/>
          <w:highlight w:val="none"/>
        </w:rPr>
        <w:t>医院</w:t>
      </w:r>
      <w:r>
        <w:rPr>
          <w:rFonts w:hint="eastAsia" w:ascii="宋体" w:hAnsi="宋体" w:cs="宋体"/>
          <w:color w:val="auto"/>
          <w:highlight w:val="none"/>
          <w:lang w:eastAsia="en-US"/>
        </w:rPr>
        <w:t>内各</w:t>
      </w:r>
      <w:r>
        <w:rPr>
          <w:rFonts w:hint="eastAsia" w:ascii="宋体" w:hAnsi="宋体" w:cs="宋体"/>
          <w:color w:val="auto"/>
          <w:highlight w:val="none"/>
        </w:rPr>
        <w:t>监控点</w:t>
      </w:r>
      <w:r>
        <w:rPr>
          <w:rFonts w:hint="eastAsia" w:ascii="宋体" w:hAnsi="宋体" w:cs="宋体"/>
          <w:color w:val="auto"/>
          <w:highlight w:val="none"/>
          <w:lang w:eastAsia="en-US"/>
        </w:rPr>
        <w:t>及消防</w:t>
      </w:r>
      <w:r>
        <w:rPr>
          <w:rFonts w:hint="eastAsia" w:ascii="宋体" w:hAnsi="宋体" w:cs="宋体"/>
          <w:color w:val="auto"/>
          <w:highlight w:val="none"/>
        </w:rPr>
        <w:t>自动报警周边环境，并能熟练操作监控和消防控制</w:t>
      </w:r>
      <w:r>
        <w:rPr>
          <w:rFonts w:hint="eastAsia" w:ascii="宋体" w:hAnsi="宋体" w:cs="宋体"/>
          <w:color w:val="auto"/>
          <w:highlight w:val="none"/>
          <w:lang w:eastAsia="en-US"/>
        </w:rPr>
        <w:t>设备，发现异常，要及时</w:t>
      </w:r>
      <w:r>
        <w:rPr>
          <w:rFonts w:hint="eastAsia" w:ascii="宋体" w:hAnsi="宋体" w:cs="宋体"/>
          <w:color w:val="auto"/>
          <w:highlight w:val="none"/>
        </w:rPr>
        <w:t>通知巡逻岗人员现场查看并及时进行处理，根据情况</w:t>
      </w:r>
      <w:r>
        <w:rPr>
          <w:rFonts w:hint="eastAsia" w:ascii="宋体" w:hAnsi="宋体" w:cs="宋体"/>
          <w:color w:val="auto"/>
          <w:highlight w:val="none"/>
          <w:lang w:eastAsia="en-US"/>
        </w:rPr>
        <w:t>报保卫</w:t>
      </w:r>
      <w:r>
        <w:rPr>
          <w:rFonts w:hint="eastAsia" w:ascii="宋体" w:hAnsi="宋体" w:cs="宋体"/>
          <w:color w:val="auto"/>
          <w:highlight w:val="none"/>
        </w:rPr>
        <w:t>部门</w:t>
      </w:r>
      <w:r>
        <w:rPr>
          <w:rFonts w:hint="eastAsia" w:ascii="宋体" w:hAnsi="宋体" w:cs="宋体"/>
          <w:color w:val="auto"/>
          <w:highlight w:val="none"/>
          <w:lang w:eastAsia="en-US"/>
        </w:rPr>
        <w:t>值班人员。</w:t>
      </w:r>
    </w:p>
    <w:p w14:paraId="05FBB4F9">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（2）值班期间，必须按规定着装，坚守岗位，坚持原则，认真负责，文明执勤，不得迟到、早退，不准睡岗、擅自离岗，不做与工作无关的其它事情。</w:t>
      </w:r>
    </w:p>
    <w:p w14:paraId="04CE3646">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w:t>
      </w:r>
      <w:r>
        <w:rPr>
          <w:rFonts w:hint="eastAsia" w:ascii="宋体" w:hAnsi="宋体" w:cs="宋体"/>
          <w:color w:val="auto"/>
          <w:highlight w:val="none"/>
        </w:rPr>
        <w:t>3</w:t>
      </w:r>
      <w:r>
        <w:rPr>
          <w:rFonts w:hint="eastAsia" w:ascii="宋体" w:hAnsi="宋体" w:cs="宋体"/>
          <w:color w:val="auto"/>
          <w:highlight w:val="none"/>
          <w:lang w:eastAsia="en-US"/>
        </w:rPr>
        <w:t>）爱护值班室及周围公物，管理好值班电话，一般情况下不允许外人使用值班电话，不允许用值班电话聊天、联系私事等。</w:t>
      </w:r>
    </w:p>
    <w:p w14:paraId="0213B962">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w:t>
      </w:r>
      <w:r>
        <w:rPr>
          <w:rFonts w:hint="eastAsia" w:ascii="宋体" w:hAnsi="宋体" w:cs="宋体"/>
          <w:color w:val="auto"/>
          <w:highlight w:val="none"/>
        </w:rPr>
        <w:t>4</w:t>
      </w:r>
      <w:r>
        <w:rPr>
          <w:rFonts w:hint="eastAsia" w:ascii="宋体" w:hAnsi="宋体" w:cs="宋体"/>
          <w:color w:val="auto"/>
          <w:highlight w:val="none"/>
          <w:lang w:eastAsia="en-US"/>
        </w:rPr>
        <w:t>）搞好值班室及周围卫生，值班室不允许堆放杂物。</w:t>
      </w:r>
    </w:p>
    <w:p w14:paraId="40EF2BC9">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w:t>
      </w:r>
      <w:r>
        <w:rPr>
          <w:rFonts w:hint="eastAsia" w:ascii="宋体" w:hAnsi="宋体" w:cs="宋体"/>
          <w:color w:val="auto"/>
          <w:highlight w:val="none"/>
        </w:rPr>
        <w:t>5</w:t>
      </w:r>
      <w:r>
        <w:rPr>
          <w:rFonts w:hint="eastAsia" w:ascii="宋体" w:hAnsi="宋体" w:cs="宋体"/>
          <w:color w:val="auto"/>
          <w:highlight w:val="none"/>
          <w:lang w:eastAsia="en-US"/>
        </w:rPr>
        <w:t>）值班室不允许与值班无关的人员进入。</w:t>
      </w:r>
    </w:p>
    <w:p w14:paraId="6B77E80A">
      <w:pPr>
        <w:pStyle w:val="44"/>
        <w:spacing w:line="380" w:lineRule="exact"/>
        <w:ind w:firstLine="420" w:firstLineChars="200"/>
        <w:rPr>
          <w:color w:val="auto"/>
          <w:highlight w:val="none"/>
        </w:rPr>
      </w:pPr>
      <w:r>
        <w:rPr>
          <w:rFonts w:hint="eastAsia" w:ascii="宋体" w:hAnsi="宋体" w:cs="宋体"/>
          <w:color w:val="auto"/>
          <w:highlight w:val="none"/>
          <w:lang w:eastAsia="en-US"/>
        </w:rPr>
        <w:t>（</w:t>
      </w:r>
      <w:r>
        <w:rPr>
          <w:rFonts w:hint="eastAsia" w:ascii="宋体" w:hAnsi="宋体" w:cs="宋体"/>
          <w:color w:val="auto"/>
          <w:highlight w:val="none"/>
        </w:rPr>
        <w:t>6</w:t>
      </w:r>
      <w:r>
        <w:rPr>
          <w:rFonts w:hint="eastAsia" w:ascii="宋体" w:hAnsi="宋体" w:cs="宋体"/>
          <w:color w:val="auto"/>
          <w:highlight w:val="none"/>
          <w:lang w:eastAsia="en-US"/>
        </w:rPr>
        <w:t>）完成</w:t>
      </w:r>
      <w:r>
        <w:rPr>
          <w:rFonts w:hint="eastAsia" w:ascii="宋体" w:hAnsi="宋体" w:cs="宋体"/>
          <w:color w:val="auto"/>
          <w:highlight w:val="none"/>
        </w:rPr>
        <w:t>医院</w:t>
      </w:r>
      <w:r>
        <w:rPr>
          <w:rFonts w:hint="eastAsia" w:ascii="宋体" w:hAnsi="宋体" w:cs="宋体"/>
          <w:color w:val="auto"/>
          <w:highlight w:val="none"/>
          <w:lang w:eastAsia="en-US"/>
        </w:rPr>
        <w:t>保卫部门交办的其它相关工作。</w:t>
      </w:r>
    </w:p>
    <w:p w14:paraId="5A63465F">
      <w:pPr>
        <w:spacing w:line="380" w:lineRule="exact"/>
        <w:ind w:firstLine="210" w:firstLineChars="1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w:t>
      </w:r>
      <w:r>
        <w:rPr>
          <w:rFonts w:hint="eastAsia" w:ascii="宋体" w:hAnsi="宋体" w:cs="宋体"/>
          <w:color w:val="auto"/>
          <w:szCs w:val="21"/>
          <w:highlight w:val="none"/>
        </w:rPr>
        <w:t>六</w:t>
      </w:r>
      <w:r>
        <w:rPr>
          <w:rFonts w:hint="eastAsia" w:ascii="宋体" w:hAnsi="宋体" w:cs="宋体"/>
          <w:color w:val="auto"/>
          <w:szCs w:val="21"/>
          <w:highlight w:val="none"/>
          <w:lang w:eastAsia="en-US"/>
        </w:rPr>
        <w:t>）安保服务范围及要求</w:t>
      </w:r>
    </w:p>
    <w:tbl>
      <w:tblPr>
        <w:tblStyle w:val="23"/>
        <w:tblW w:w="9741" w:type="dxa"/>
        <w:tblInd w:w="0" w:type="dxa"/>
        <w:tblLayout w:type="fixed"/>
        <w:tblCellMar>
          <w:top w:w="15" w:type="dxa"/>
          <w:left w:w="15" w:type="dxa"/>
          <w:bottom w:w="15" w:type="dxa"/>
          <w:right w:w="15" w:type="dxa"/>
        </w:tblCellMar>
      </w:tblPr>
      <w:tblGrid>
        <w:gridCol w:w="615"/>
        <w:gridCol w:w="1806"/>
        <w:gridCol w:w="2385"/>
        <w:gridCol w:w="990"/>
        <w:gridCol w:w="3945"/>
      </w:tblGrid>
      <w:tr w14:paraId="5DD5A00B">
        <w:tblPrEx>
          <w:tblCellMar>
            <w:top w:w="15" w:type="dxa"/>
            <w:left w:w="15" w:type="dxa"/>
            <w:bottom w:w="15" w:type="dxa"/>
            <w:right w:w="15" w:type="dxa"/>
          </w:tblCellMar>
        </w:tblPrEx>
        <w:trPr>
          <w:trHeight w:val="622"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79411D0B">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806" w:type="dxa"/>
            <w:tcBorders>
              <w:top w:val="single" w:color="000000" w:sz="4" w:space="0"/>
              <w:left w:val="single" w:color="000000" w:sz="4" w:space="0"/>
              <w:bottom w:val="single" w:color="000000" w:sz="4" w:space="0"/>
              <w:right w:val="single" w:color="auto" w:sz="4" w:space="0"/>
            </w:tcBorders>
            <w:noWrap w:val="0"/>
            <w:vAlign w:val="center"/>
          </w:tcPr>
          <w:p w14:paraId="7F5F7D64">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服务范围</w:t>
            </w:r>
          </w:p>
        </w:tc>
        <w:tc>
          <w:tcPr>
            <w:tcW w:w="2385" w:type="dxa"/>
            <w:tcBorders>
              <w:top w:val="single" w:color="000000" w:sz="4" w:space="0"/>
              <w:left w:val="single" w:color="auto" w:sz="4" w:space="0"/>
              <w:bottom w:val="single" w:color="000000" w:sz="4" w:space="0"/>
              <w:right w:val="single" w:color="auto" w:sz="4" w:space="0"/>
            </w:tcBorders>
            <w:noWrap w:val="0"/>
            <w:vAlign w:val="center"/>
          </w:tcPr>
          <w:p w14:paraId="154DE9B9">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岗位设置</w:t>
            </w:r>
          </w:p>
        </w:tc>
        <w:tc>
          <w:tcPr>
            <w:tcW w:w="990" w:type="dxa"/>
            <w:tcBorders>
              <w:top w:val="single" w:color="000000" w:sz="4" w:space="0"/>
              <w:left w:val="single" w:color="auto" w:sz="4" w:space="0"/>
              <w:bottom w:val="single" w:color="000000" w:sz="4" w:space="0"/>
              <w:right w:val="single" w:color="000000" w:sz="4" w:space="0"/>
            </w:tcBorders>
            <w:noWrap w:val="0"/>
            <w:vAlign w:val="center"/>
          </w:tcPr>
          <w:p w14:paraId="52E06495">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人数配置</w:t>
            </w:r>
          </w:p>
        </w:tc>
        <w:tc>
          <w:tcPr>
            <w:tcW w:w="3945" w:type="dxa"/>
            <w:tcBorders>
              <w:top w:val="single" w:color="000000" w:sz="4" w:space="0"/>
              <w:left w:val="single" w:color="000000" w:sz="4" w:space="0"/>
              <w:bottom w:val="single" w:color="000000" w:sz="4" w:space="0"/>
              <w:right w:val="single" w:color="auto" w:sz="4" w:space="0"/>
            </w:tcBorders>
            <w:noWrap w:val="0"/>
            <w:vAlign w:val="center"/>
          </w:tcPr>
          <w:p w14:paraId="0F13EB9A">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岗位要求</w:t>
            </w:r>
          </w:p>
        </w:tc>
      </w:tr>
      <w:tr w14:paraId="791D1098">
        <w:tblPrEx>
          <w:tblCellMar>
            <w:top w:w="15" w:type="dxa"/>
            <w:left w:w="15" w:type="dxa"/>
            <w:bottom w:w="15" w:type="dxa"/>
            <w:right w:w="15" w:type="dxa"/>
          </w:tblCellMar>
        </w:tblPrEx>
        <w:trPr>
          <w:trHeight w:val="622"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38CC19D1">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1</w:t>
            </w:r>
          </w:p>
        </w:tc>
        <w:tc>
          <w:tcPr>
            <w:tcW w:w="1806" w:type="dxa"/>
            <w:tcBorders>
              <w:top w:val="single" w:color="000000" w:sz="4" w:space="0"/>
              <w:left w:val="single" w:color="000000" w:sz="4" w:space="0"/>
              <w:bottom w:val="single" w:color="000000" w:sz="4" w:space="0"/>
              <w:right w:val="single" w:color="auto" w:sz="4" w:space="0"/>
            </w:tcBorders>
            <w:noWrap w:val="0"/>
            <w:vAlign w:val="center"/>
          </w:tcPr>
          <w:p w14:paraId="3F4717AA">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1号楼区域</w:t>
            </w:r>
          </w:p>
        </w:tc>
        <w:tc>
          <w:tcPr>
            <w:tcW w:w="2385" w:type="dxa"/>
            <w:tcBorders>
              <w:top w:val="single" w:color="000000" w:sz="4" w:space="0"/>
              <w:left w:val="single" w:color="auto" w:sz="4" w:space="0"/>
              <w:bottom w:val="single" w:color="000000" w:sz="4" w:space="0"/>
              <w:right w:val="single" w:color="auto" w:sz="4" w:space="0"/>
            </w:tcBorders>
            <w:noWrap w:val="0"/>
            <w:vAlign w:val="center"/>
          </w:tcPr>
          <w:p w14:paraId="072BF80A">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门诊大厅</w:t>
            </w:r>
          </w:p>
        </w:tc>
        <w:tc>
          <w:tcPr>
            <w:tcW w:w="990" w:type="dxa"/>
            <w:tcBorders>
              <w:top w:val="single" w:color="000000" w:sz="4" w:space="0"/>
              <w:left w:val="single" w:color="auto" w:sz="4" w:space="0"/>
              <w:bottom w:val="single" w:color="000000" w:sz="4" w:space="0"/>
              <w:right w:val="single" w:color="000000" w:sz="4" w:space="0"/>
            </w:tcBorders>
            <w:noWrap w:val="0"/>
            <w:vAlign w:val="center"/>
          </w:tcPr>
          <w:p w14:paraId="7C0B7F9F">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5人</w:t>
            </w:r>
          </w:p>
        </w:tc>
        <w:tc>
          <w:tcPr>
            <w:tcW w:w="3945" w:type="dxa"/>
            <w:tcBorders>
              <w:top w:val="single" w:color="000000" w:sz="4" w:space="0"/>
              <w:left w:val="single" w:color="000000" w:sz="4" w:space="0"/>
              <w:bottom w:val="single" w:color="000000" w:sz="4" w:space="0"/>
              <w:right w:val="single" w:color="auto" w:sz="4" w:space="0"/>
            </w:tcBorders>
            <w:noWrap w:val="0"/>
            <w:vAlign w:val="center"/>
          </w:tcPr>
          <w:p w14:paraId="6B6FFCC8">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4人24小时三班倒，1人行政上班时间</w:t>
            </w:r>
          </w:p>
        </w:tc>
      </w:tr>
      <w:tr w14:paraId="7519CC7E">
        <w:tblPrEx>
          <w:tblCellMar>
            <w:top w:w="15" w:type="dxa"/>
            <w:left w:w="15" w:type="dxa"/>
            <w:bottom w:w="15" w:type="dxa"/>
            <w:right w:w="15" w:type="dxa"/>
          </w:tblCellMar>
        </w:tblPrEx>
        <w:trPr>
          <w:trHeight w:val="622"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47CA712C">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2</w:t>
            </w:r>
          </w:p>
        </w:tc>
        <w:tc>
          <w:tcPr>
            <w:tcW w:w="1806" w:type="dxa"/>
            <w:tcBorders>
              <w:top w:val="single" w:color="000000" w:sz="4" w:space="0"/>
              <w:left w:val="single" w:color="000000" w:sz="4" w:space="0"/>
              <w:bottom w:val="single" w:color="000000" w:sz="4" w:space="0"/>
              <w:right w:val="single" w:color="auto" w:sz="4" w:space="0"/>
            </w:tcBorders>
            <w:noWrap w:val="0"/>
            <w:vAlign w:val="center"/>
          </w:tcPr>
          <w:p w14:paraId="6F82DDD3">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急诊科区域</w:t>
            </w:r>
          </w:p>
        </w:tc>
        <w:tc>
          <w:tcPr>
            <w:tcW w:w="2385" w:type="dxa"/>
            <w:tcBorders>
              <w:top w:val="single" w:color="000000" w:sz="4" w:space="0"/>
              <w:left w:val="single" w:color="auto" w:sz="4" w:space="0"/>
              <w:bottom w:val="single" w:color="000000" w:sz="4" w:space="0"/>
              <w:right w:val="single" w:color="auto" w:sz="4" w:space="0"/>
            </w:tcBorders>
            <w:noWrap w:val="0"/>
            <w:vAlign w:val="center"/>
          </w:tcPr>
          <w:p w14:paraId="41ED6063">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rPr>
              <w:t>急诊科</w:t>
            </w:r>
            <w:r>
              <w:rPr>
                <w:rFonts w:hint="eastAsia" w:ascii="宋体" w:hAnsi="宋体" w:eastAsia="宋体" w:cs="宋体"/>
                <w:b w:val="0"/>
                <w:bCs w:val="0"/>
                <w:color w:val="auto"/>
                <w:sz w:val="21"/>
                <w:szCs w:val="21"/>
                <w:highlight w:val="none"/>
                <w:lang w:eastAsia="en-US"/>
              </w:rPr>
              <w:t>岗</w:t>
            </w:r>
          </w:p>
        </w:tc>
        <w:tc>
          <w:tcPr>
            <w:tcW w:w="990" w:type="dxa"/>
            <w:tcBorders>
              <w:top w:val="single" w:color="000000" w:sz="4" w:space="0"/>
              <w:left w:val="single" w:color="auto" w:sz="4" w:space="0"/>
              <w:bottom w:val="single" w:color="000000" w:sz="4" w:space="0"/>
              <w:right w:val="single" w:color="000000" w:sz="4" w:space="0"/>
            </w:tcBorders>
            <w:noWrap w:val="0"/>
            <w:vAlign w:val="center"/>
          </w:tcPr>
          <w:p w14:paraId="64A9A60C">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bidi="ar"/>
              </w:rPr>
              <w:t>人</w:t>
            </w:r>
          </w:p>
        </w:tc>
        <w:tc>
          <w:tcPr>
            <w:tcW w:w="3945" w:type="dxa"/>
            <w:tcBorders>
              <w:top w:val="single" w:color="000000" w:sz="4" w:space="0"/>
              <w:left w:val="single" w:color="000000" w:sz="4" w:space="0"/>
              <w:bottom w:val="single" w:color="000000" w:sz="4" w:space="0"/>
              <w:right w:val="single" w:color="auto" w:sz="4" w:space="0"/>
            </w:tcBorders>
            <w:noWrap w:val="0"/>
            <w:vAlign w:val="center"/>
          </w:tcPr>
          <w:p w14:paraId="1DA91C32">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sz w:val="21"/>
                <w:szCs w:val="21"/>
                <w:highlight w:val="none"/>
                <w:lang w:val="en-US" w:eastAsia="zh-CN"/>
              </w:rPr>
              <w:t>3名行政上班时间安保；2名</w:t>
            </w:r>
            <w:r>
              <w:rPr>
                <w:rFonts w:hint="eastAsia" w:ascii="宋体" w:hAnsi="宋体" w:eastAsia="宋体" w:cs="宋体"/>
                <w:b w:val="0"/>
                <w:bCs w:val="0"/>
                <w:color w:val="auto"/>
                <w:sz w:val="21"/>
                <w:szCs w:val="21"/>
                <w:highlight w:val="none"/>
              </w:rPr>
              <w:t>18点至第二天8点</w:t>
            </w:r>
            <w:r>
              <w:rPr>
                <w:rFonts w:hint="eastAsia" w:ascii="宋体" w:hAnsi="宋体" w:eastAsia="宋体" w:cs="宋体"/>
                <w:b w:val="0"/>
                <w:bCs w:val="0"/>
                <w:color w:val="auto"/>
                <w:sz w:val="21"/>
                <w:szCs w:val="21"/>
                <w:highlight w:val="none"/>
                <w:lang w:eastAsia="en-US"/>
              </w:rPr>
              <w:t>的</w:t>
            </w:r>
            <w:r>
              <w:rPr>
                <w:rFonts w:hint="eastAsia" w:ascii="宋体" w:hAnsi="宋体" w:eastAsia="宋体" w:cs="宋体"/>
                <w:b w:val="0"/>
                <w:bCs w:val="0"/>
                <w:color w:val="auto"/>
                <w:sz w:val="21"/>
                <w:szCs w:val="21"/>
                <w:highlight w:val="none"/>
              </w:rPr>
              <w:t>安保</w:t>
            </w:r>
          </w:p>
        </w:tc>
      </w:tr>
      <w:tr w14:paraId="5B2DBE0E">
        <w:tblPrEx>
          <w:tblCellMar>
            <w:top w:w="15" w:type="dxa"/>
            <w:left w:w="15" w:type="dxa"/>
            <w:bottom w:w="15" w:type="dxa"/>
            <w:right w:w="15" w:type="dxa"/>
          </w:tblCellMar>
        </w:tblPrEx>
        <w:trPr>
          <w:trHeight w:val="622"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657FC48E">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w:t>
            </w:r>
          </w:p>
        </w:tc>
        <w:tc>
          <w:tcPr>
            <w:tcW w:w="1806" w:type="dxa"/>
            <w:tcBorders>
              <w:top w:val="single" w:color="000000" w:sz="4" w:space="0"/>
              <w:left w:val="single" w:color="000000" w:sz="4" w:space="0"/>
              <w:bottom w:val="single" w:color="000000" w:sz="4" w:space="0"/>
              <w:right w:val="single" w:color="auto" w:sz="4" w:space="0"/>
            </w:tcBorders>
            <w:noWrap w:val="0"/>
            <w:vAlign w:val="center"/>
          </w:tcPr>
          <w:p w14:paraId="3B6D4895">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门卫区域</w:t>
            </w:r>
          </w:p>
        </w:tc>
        <w:tc>
          <w:tcPr>
            <w:tcW w:w="2385" w:type="dxa"/>
            <w:tcBorders>
              <w:top w:val="single" w:color="000000" w:sz="4" w:space="0"/>
              <w:left w:val="single" w:color="auto" w:sz="4" w:space="0"/>
              <w:bottom w:val="single" w:color="000000" w:sz="4" w:space="0"/>
              <w:right w:val="single" w:color="auto" w:sz="4" w:space="0"/>
            </w:tcBorders>
            <w:noWrap w:val="0"/>
            <w:vAlign w:val="center"/>
          </w:tcPr>
          <w:p w14:paraId="68420F45">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en-US"/>
              </w:rPr>
              <w:t>门卫岗</w:t>
            </w:r>
          </w:p>
        </w:tc>
        <w:tc>
          <w:tcPr>
            <w:tcW w:w="990" w:type="dxa"/>
            <w:tcBorders>
              <w:top w:val="single" w:color="000000" w:sz="4" w:space="0"/>
              <w:left w:val="single" w:color="auto" w:sz="4" w:space="0"/>
              <w:bottom w:val="single" w:color="000000" w:sz="4" w:space="0"/>
              <w:right w:val="single" w:color="000000" w:sz="4" w:space="0"/>
            </w:tcBorders>
            <w:noWrap w:val="0"/>
            <w:vAlign w:val="center"/>
          </w:tcPr>
          <w:p w14:paraId="48E19BA3">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人</w:t>
            </w:r>
          </w:p>
        </w:tc>
        <w:tc>
          <w:tcPr>
            <w:tcW w:w="3945" w:type="dxa"/>
            <w:tcBorders>
              <w:top w:val="single" w:color="000000" w:sz="4" w:space="0"/>
              <w:left w:val="single" w:color="000000" w:sz="4" w:space="0"/>
              <w:bottom w:val="single" w:color="000000" w:sz="4" w:space="0"/>
              <w:right w:val="single" w:color="auto" w:sz="4" w:space="0"/>
            </w:tcBorders>
            <w:noWrap w:val="0"/>
            <w:vAlign w:val="center"/>
          </w:tcPr>
          <w:p w14:paraId="41AB33F7">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24小时出入口安保</w:t>
            </w:r>
            <w:r>
              <w:rPr>
                <w:rFonts w:hint="eastAsia" w:ascii="宋体" w:hAnsi="宋体" w:cs="宋体"/>
                <w:b w:val="0"/>
                <w:bCs w:val="0"/>
                <w:color w:val="auto"/>
                <w:sz w:val="21"/>
                <w:szCs w:val="21"/>
                <w:highlight w:val="none"/>
                <w:lang w:val="en-US" w:eastAsia="zh-CN"/>
              </w:rPr>
              <w:t>,7号楼旁车辆出入口晚18点后关闭，早7点开启</w:t>
            </w:r>
          </w:p>
        </w:tc>
      </w:tr>
      <w:tr w14:paraId="22B28E85">
        <w:tblPrEx>
          <w:tblCellMar>
            <w:top w:w="15" w:type="dxa"/>
            <w:left w:w="15" w:type="dxa"/>
            <w:bottom w:w="15" w:type="dxa"/>
            <w:right w:w="15" w:type="dxa"/>
          </w:tblCellMar>
        </w:tblPrEx>
        <w:trPr>
          <w:trHeight w:val="622"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6A5A6020">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w:t>
            </w:r>
          </w:p>
        </w:tc>
        <w:tc>
          <w:tcPr>
            <w:tcW w:w="1806" w:type="dxa"/>
            <w:tcBorders>
              <w:top w:val="single" w:color="000000" w:sz="4" w:space="0"/>
              <w:left w:val="single" w:color="000000" w:sz="4" w:space="0"/>
              <w:bottom w:val="single" w:color="000000" w:sz="4" w:space="0"/>
              <w:right w:val="single" w:color="auto" w:sz="4" w:space="0"/>
            </w:tcBorders>
            <w:noWrap w:val="0"/>
            <w:vAlign w:val="center"/>
          </w:tcPr>
          <w:p w14:paraId="304E3ECC">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lang w:eastAsia="en-US"/>
              </w:rPr>
              <w:t>消防和视频监控室</w:t>
            </w:r>
          </w:p>
        </w:tc>
        <w:tc>
          <w:tcPr>
            <w:tcW w:w="2385" w:type="dxa"/>
            <w:tcBorders>
              <w:top w:val="single" w:color="000000" w:sz="4" w:space="0"/>
              <w:left w:val="single" w:color="auto" w:sz="4" w:space="0"/>
              <w:bottom w:val="single" w:color="000000" w:sz="4" w:space="0"/>
              <w:right w:val="single" w:color="auto" w:sz="4" w:space="0"/>
            </w:tcBorders>
            <w:noWrap w:val="0"/>
            <w:vAlign w:val="center"/>
          </w:tcPr>
          <w:p w14:paraId="138060D1">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sz w:val="21"/>
                <w:szCs w:val="21"/>
                <w:highlight w:val="none"/>
                <w:lang w:eastAsia="zh-CN"/>
              </w:rPr>
              <w:t>监控岗</w:t>
            </w:r>
          </w:p>
        </w:tc>
        <w:tc>
          <w:tcPr>
            <w:tcW w:w="990" w:type="dxa"/>
            <w:tcBorders>
              <w:top w:val="single" w:color="000000" w:sz="4" w:space="0"/>
              <w:left w:val="single" w:color="auto" w:sz="4" w:space="0"/>
              <w:bottom w:val="single" w:color="000000" w:sz="4" w:space="0"/>
              <w:right w:val="single" w:color="000000" w:sz="4" w:space="0"/>
            </w:tcBorders>
            <w:noWrap w:val="0"/>
            <w:vAlign w:val="center"/>
          </w:tcPr>
          <w:p w14:paraId="20E99AD0">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bidi="ar"/>
              </w:rPr>
              <w:t>人</w:t>
            </w:r>
          </w:p>
        </w:tc>
        <w:tc>
          <w:tcPr>
            <w:tcW w:w="3945" w:type="dxa"/>
            <w:tcBorders>
              <w:top w:val="single" w:color="000000" w:sz="4" w:space="0"/>
              <w:left w:val="single" w:color="000000" w:sz="4" w:space="0"/>
              <w:bottom w:val="single" w:color="000000" w:sz="4" w:space="0"/>
              <w:right w:val="single" w:color="auto" w:sz="4" w:space="0"/>
            </w:tcBorders>
            <w:noWrap w:val="0"/>
            <w:vAlign w:val="center"/>
          </w:tcPr>
          <w:p w14:paraId="46DCEBCB">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bidi="ar"/>
              </w:rPr>
              <w:t>24小时监控室值班</w:t>
            </w:r>
          </w:p>
        </w:tc>
      </w:tr>
      <w:tr w14:paraId="005F9DF0">
        <w:tblPrEx>
          <w:tblCellMar>
            <w:top w:w="15" w:type="dxa"/>
            <w:left w:w="15" w:type="dxa"/>
            <w:bottom w:w="15" w:type="dxa"/>
            <w:right w:w="15" w:type="dxa"/>
          </w:tblCellMar>
        </w:tblPrEx>
        <w:trPr>
          <w:trHeight w:val="622"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28B49141">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p>
        </w:tc>
        <w:tc>
          <w:tcPr>
            <w:tcW w:w="1806" w:type="dxa"/>
            <w:tcBorders>
              <w:top w:val="single" w:color="000000" w:sz="4" w:space="0"/>
              <w:left w:val="single" w:color="000000" w:sz="4" w:space="0"/>
              <w:bottom w:val="single" w:color="000000" w:sz="4" w:space="0"/>
              <w:right w:val="single" w:color="auto" w:sz="4" w:space="0"/>
            </w:tcBorders>
            <w:noWrap w:val="0"/>
            <w:vAlign w:val="center"/>
          </w:tcPr>
          <w:p w14:paraId="6C20CC5D">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cs="宋体"/>
                <w:sz w:val="21"/>
                <w:szCs w:val="21"/>
                <w:lang w:val="en-US" w:eastAsia="zh-CN"/>
              </w:rPr>
              <w:t>七星社区卫生服务中心</w:t>
            </w:r>
          </w:p>
        </w:tc>
        <w:tc>
          <w:tcPr>
            <w:tcW w:w="2385" w:type="dxa"/>
            <w:tcBorders>
              <w:top w:val="single" w:color="000000" w:sz="4" w:space="0"/>
              <w:left w:val="single" w:color="auto" w:sz="4" w:space="0"/>
              <w:bottom w:val="single" w:color="000000" w:sz="4" w:space="0"/>
              <w:right w:val="single" w:color="auto" w:sz="4" w:space="0"/>
            </w:tcBorders>
            <w:noWrap w:val="0"/>
            <w:vAlign w:val="center"/>
          </w:tcPr>
          <w:p w14:paraId="57853F3A">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eastAsia="宋体" w:cs="宋体"/>
                <w:b w:val="0"/>
                <w:bCs w:val="0"/>
                <w:color w:val="auto"/>
                <w:sz w:val="21"/>
                <w:szCs w:val="21"/>
                <w:highlight w:val="none"/>
                <w:lang w:val="en-US" w:eastAsia="en-US"/>
              </w:rPr>
            </w:pPr>
            <w:r>
              <w:rPr>
                <w:rFonts w:hint="eastAsia" w:ascii="宋体" w:hAnsi="宋体" w:eastAsia="宋体" w:cs="宋体"/>
                <w:b w:val="0"/>
                <w:bCs w:val="0"/>
                <w:color w:val="auto"/>
                <w:sz w:val="21"/>
                <w:szCs w:val="21"/>
                <w:highlight w:val="none"/>
                <w:lang w:eastAsia="en-US"/>
              </w:rPr>
              <w:t>门卫岗</w:t>
            </w:r>
          </w:p>
        </w:tc>
        <w:tc>
          <w:tcPr>
            <w:tcW w:w="990" w:type="dxa"/>
            <w:tcBorders>
              <w:top w:val="single" w:color="000000" w:sz="4" w:space="0"/>
              <w:left w:val="single" w:color="auto" w:sz="4" w:space="0"/>
              <w:bottom w:val="single" w:color="000000" w:sz="4" w:space="0"/>
              <w:right w:val="single" w:color="000000" w:sz="4" w:space="0"/>
            </w:tcBorders>
            <w:noWrap w:val="0"/>
            <w:vAlign w:val="center"/>
          </w:tcPr>
          <w:p w14:paraId="1126C90C">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1人</w:t>
            </w:r>
          </w:p>
        </w:tc>
        <w:tc>
          <w:tcPr>
            <w:tcW w:w="3945" w:type="dxa"/>
            <w:tcBorders>
              <w:top w:val="single" w:color="000000" w:sz="4" w:space="0"/>
              <w:left w:val="single" w:color="000000" w:sz="4" w:space="0"/>
              <w:bottom w:val="single" w:color="000000" w:sz="4" w:space="0"/>
              <w:right w:val="single" w:color="auto" w:sz="4" w:space="0"/>
            </w:tcBorders>
            <w:noWrap w:val="0"/>
            <w:vAlign w:val="center"/>
          </w:tcPr>
          <w:p w14:paraId="65086177">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sz w:val="21"/>
                <w:szCs w:val="21"/>
                <w:lang w:val="en-US" w:eastAsia="zh-CN"/>
              </w:rPr>
              <w:t>七星社区卫生服务中心安保，</w:t>
            </w:r>
            <w:r>
              <w:rPr>
                <w:rFonts w:hint="eastAsia" w:ascii="宋体" w:hAnsi="宋体" w:cs="宋体"/>
                <w:b w:val="0"/>
                <w:bCs w:val="0"/>
                <w:color w:val="auto"/>
                <w:kern w:val="0"/>
                <w:sz w:val="21"/>
                <w:szCs w:val="21"/>
                <w:highlight w:val="none"/>
                <w:lang w:val="en-US" w:eastAsia="zh-CN" w:bidi="ar"/>
              </w:rPr>
              <w:t>工作时间8小时</w:t>
            </w:r>
          </w:p>
        </w:tc>
      </w:tr>
      <w:tr w14:paraId="389A52DF">
        <w:tblPrEx>
          <w:tblCellMar>
            <w:top w:w="15" w:type="dxa"/>
            <w:left w:w="15" w:type="dxa"/>
            <w:bottom w:w="15" w:type="dxa"/>
            <w:right w:w="15" w:type="dxa"/>
          </w:tblCellMar>
        </w:tblPrEx>
        <w:trPr>
          <w:trHeight w:val="643"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572AC38E">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w:t>
            </w:r>
          </w:p>
        </w:tc>
        <w:tc>
          <w:tcPr>
            <w:tcW w:w="1806" w:type="dxa"/>
            <w:tcBorders>
              <w:top w:val="single" w:color="000000" w:sz="4" w:space="0"/>
              <w:left w:val="single" w:color="000000" w:sz="4" w:space="0"/>
              <w:bottom w:val="single" w:color="000000" w:sz="4" w:space="0"/>
              <w:right w:val="single" w:color="auto" w:sz="4" w:space="0"/>
            </w:tcBorders>
            <w:noWrap w:val="0"/>
            <w:vAlign w:val="center"/>
          </w:tcPr>
          <w:p w14:paraId="3BBB3B78">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lang w:eastAsia="en-US"/>
              </w:rPr>
              <w:t>东江社区</w:t>
            </w:r>
            <w:r>
              <w:rPr>
                <w:rFonts w:hint="eastAsia" w:ascii="宋体" w:hAnsi="宋体" w:eastAsia="宋体" w:cs="宋体"/>
                <w:b w:val="0"/>
                <w:bCs w:val="0"/>
                <w:color w:val="auto"/>
                <w:sz w:val="21"/>
                <w:szCs w:val="21"/>
                <w:highlight w:val="none"/>
              </w:rPr>
              <w:t>卫生服务中心</w:t>
            </w:r>
          </w:p>
        </w:tc>
        <w:tc>
          <w:tcPr>
            <w:tcW w:w="2385" w:type="dxa"/>
            <w:tcBorders>
              <w:top w:val="single" w:color="000000" w:sz="4" w:space="0"/>
              <w:left w:val="single" w:color="auto" w:sz="4" w:space="0"/>
              <w:bottom w:val="single" w:color="000000" w:sz="4" w:space="0"/>
              <w:right w:val="single" w:color="auto" w:sz="4" w:space="0"/>
            </w:tcBorders>
            <w:noWrap w:val="0"/>
            <w:vAlign w:val="center"/>
          </w:tcPr>
          <w:p w14:paraId="03C36F68">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lang w:eastAsia="en-US"/>
              </w:rPr>
              <w:t>门卫岗</w:t>
            </w:r>
          </w:p>
        </w:tc>
        <w:tc>
          <w:tcPr>
            <w:tcW w:w="990" w:type="dxa"/>
            <w:tcBorders>
              <w:top w:val="single" w:color="000000" w:sz="4" w:space="0"/>
              <w:left w:val="single" w:color="auto" w:sz="4" w:space="0"/>
              <w:bottom w:val="single" w:color="000000" w:sz="4" w:space="0"/>
              <w:right w:val="single" w:color="000000" w:sz="4" w:space="0"/>
            </w:tcBorders>
            <w:noWrap w:val="0"/>
            <w:vAlign w:val="center"/>
          </w:tcPr>
          <w:p w14:paraId="06AF37FB">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bidi="ar"/>
              </w:rPr>
              <w:t>人</w:t>
            </w:r>
          </w:p>
        </w:tc>
        <w:tc>
          <w:tcPr>
            <w:tcW w:w="3945" w:type="dxa"/>
            <w:tcBorders>
              <w:top w:val="single" w:color="000000" w:sz="4" w:space="0"/>
              <w:left w:val="single" w:color="000000" w:sz="4" w:space="0"/>
              <w:bottom w:val="single" w:color="000000" w:sz="4" w:space="0"/>
              <w:right w:val="single" w:color="auto" w:sz="4" w:space="0"/>
            </w:tcBorders>
            <w:noWrap w:val="0"/>
            <w:vAlign w:val="center"/>
          </w:tcPr>
          <w:p w14:paraId="530A7C18">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bidi="ar"/>
              </w:rPr>
              <w:t>24小时社区院内区域安保</w:t>
            </w:r>
          </w:p>
        </w:tc>
      </w:tr>
      <w:tr w14:paraId="3E6AB8D1">
        <w:tblPrEx>
          <w:tblCellMar>
            <w:top w:w="15" w:type="dxa"/>
            <w:left w:w="15" w:type="dxa"/>
            <w:bottom w:w="15" w:type="dxa"/>
            <w:right w:w="15" w:type="dxa"/>
          </w:tblCellMar>
        </w:tblPrEx>
        <w:trPr>
          <w:trHeight w:val="643"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43CE24C0">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w:t>
            </w:r>
          </w:p>
        </w:tc>
        <w:tc>
          <w:tcPr>
            <w:tcW w:w="1806" w:type="dxa"/>
            <w:tcBorders>
              <w:top w:val="single" w:color="000000" w:sz="4" w:space="0"/>
              <w:left w:val="single" w:color="000000" w:sz="4" w:space="0"/>
              <w:bottom w:val="single" w:color="000000" w:sz="4" w:space="0"/>
              <w:right w:val="single" w:color="auto" w:sz="4" w:space="0"/>
            </w:tcBorders>
            <w:noWrap w:val="0"/>
            <w:vAlign w:val="center"/>
          </w:tcPr>
          <w:p w14:paraId="12780F7E">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整个院区</w:t>
            </w:r>
          </w:p>
        </w:tc>
        <w:tc>
          <w:tcPr>
            <w:tcW w:w="2385" w:type="dxa"/>
            <w:tcBorders>
              <w:top w:val="single" w:color="000000" w:sz="4" w:space="0"/>
              <w:left w:val="single" w:color="auto" w:sz="4" w:space="0"/>
              <w:bottom w:val="single" w:color="000000" w:sz="4" w:space="0"/>
              <w:right w:val="single" w:color="auto" w:sz="4" w:space="0"/>
            </w:tcBorders>
            <w:noWrap w:val="0"/>
            <w:vAlign w:val="center"/>
          </w:tcPr>
          <w:p w14:paraId="51433875">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lang w:eastAsia="en-US"/>
              </w:rPr>
            </w:pPr>
            <w:r>
              <w:rPr>
                <w:rFonts w:hint="eastAsia" w:ascii="宋体" w:hAnsi="宋体" w:eastAsia="宋体" w:cs="宋体"/>
                <w:b w:val="0"/>
                <w:bCs w:val="0"/>
                <w:color w:val="auto"/>
                <w:sz w:val="21"/>
                <w:szCs w:val="21"/>
                <w:highlight w:val="none"/>
                <w:lang w:eastAsia="en-US"/>
              </w:rPr>
              <w:t>巡逻岗</w:t>
            </w:r>
          </w:p>
        </w:tc>
        <w:tc>
          <w:tcPr>
            <w:tcW w:w="990" w:type="dxa"/>
            <w:tcBorders>
              <w:top w:val="single" w:color="000000" w:sz="4" w:space="0"/>
              <w:left w:val="single" w:color="auto" w:sz="4" w:space="0"/>
              <w:bottom w:val="single" w:color="000000" w:sz="4" w:space="0"/>
              <w:right w:val="single" w:color="000000" w:sz="4" w:space="0"/>
            </w:tcBorders>
            <w:noWrap w:val="0"/>
            <w:vAlign w:val="center"/>
          </w:tcPr>
          <w:p w14:paraId="27581A3C">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bidi="ar"/>
              </w:rPr>
              <w:t>人</w:t>
            </w:r>
          </w:p>
        </w:tc>
        <w:tc>
          <w:tcPr>
            <w:tcW w:w="3945" w:type="dxa"/>
            <w:tcBorders>
              <w:top w:val="single" w:color="000000" w:sz="4" w:space="0"/>
              <w:left w:val="single" w:color="000000" w:sz="4" w:space="0"/>
              <w:bottom w:val="single" w:color="000000" w:sz="4" w:space="0"/>
              <w:right w:val="single" w:color="auto" w:sz="4" w:space="0"/>
            </w:tcBorders>
            <w:noWrap w:val="0"/>
            <w:vAlign w:val="center"/>
          </w:tcPr>
          <w:p w14:paraId="22A5A438">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bidi="ar"/>
              </w:rPr>
              <w:t>24小时院内区域安保</w:t>
            </w:r>
            <w:r>
              <w:rPr>
                <w:rFonts w:hint="eastAsia" w:ascii="宋体" w:hAnsi="宋体" w:cs="宋体"/>
                <w:b w:val="0"/>
                <w:bCs w:val="0"/>
                <w:color w:val="auto"/>
                <w:kern w:val="0"/>
                <w:sz w:val="21"/>
                <w:szCs w:val="21"/>
                <w:highlight w:val="none"/>
                <w:lang w:val="en-US" w:eastAsia="zh-CN" w:bidi="ar"/>
              </w:rPr>
              <w:t>及巡逻，</w:t>
            </w:r>
            <w:r>
              <w:rPr>
                <w:rFonts w:hint="eastAsia" w:ascii="宋体" w:hAnsi="宋体" w:eastAsia="宋体" w:cs="宋体"/>
                <w:sz w:val="21"/>
                <w:szCs w:val="21"/>
                <w:lang w:val="en-US" w:eastAsia="en-US"/>
              </w:rPr>
              <w:t>每班不少于两次对全院进行巡查，0:00～第二天8:00每两小时巡视一次</w:t>
            </w:r>
          </w:p>
        </w:tc>
      </w:tr>
      <w:tr w14:paraId="2D3DAE0E">
        <w:tblPrEx>
          <w:tblCellMar>
            <w:top w:w="15" w:type="dxa"/>
            <w:left w:w="15" w:type="dxa"/>
            <w:bottom w:w="15" w:type="dxa"/>
            <w:right w:w="15" w:type="dxa"/>
          </w:tblCellMar>
        </w:tblPrEx>
        <w:trPr>
          <w:trHeight w:val="643" w:hRule="atLeast"/>
        </w:trPr>
        <w:tc>
          <w:tcPr>
            <w:tcW w:w="4806" w:type="dxa"/>
            <w:gridSpan w:val="3"/>
            <w:tcBorders>
              <w:top w:val="single" w:color="000000" w:sz="4" w:space="0"/>
              <w:left w:val="single" w:color="000000" w:sz="4" w:space="0"/>
              <w:bottom w:val="single" w:color="000000" w:sz="4" w:space="0"/>
              <w:right w:val="single" w:color="auto" w:sz="4" w:space="0"/>
            </w:tcBorders>
            <w:noWrap w:val="0"/>
            <w:vAlign w:val="center"/>
          </w:tcPr>
          <w:p w14:paraId="303CDC95">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合计</w:t>
            </w:r>
          </w:p>
        </w:tc>
        <w:tc>
          <w:tcPr>
            <w:tcW w:w="990" w:type="dxa"/>
            <w:tcBorders>
              <w:top w:val="single" w:color="000000" w:sz="4" w:space="0"/>
              <w:left w:val="single" w:color="auto" w:sz="4" w:space="0"/>
              <w:bottom w:val="single" w:color="000000" w:sz="4" w:space="0"/>
              <w:right w:val="single" w:color="000000" w:sz="4" w:space="0"/>
            </w:tcBorders>
            <w:noWrap w:val="0"/>
            <w:vAlign w:val="center"/>
          </w:tcPr>
          <w:p w14:paraId="0EE8BC41">
            <w:pPr>
              <w:keepNext w:val="0"/>
              <w:keepLines w:val="0"/>
              <w:pageBreakBefore w:val="0"/>
              <w:widowControl/>
              <w:kinsoku/>
              <w:wordWrap/>
              <w:overflowPunct/>
              <w:topLinePunct w:val="0"/>
              <w:autoSpaceDE/>
              <w:autoSpaceDN/>
              <w:bidi w:val="0"/>
              <w:snapToGrid/>
              <w:spacing w:line="380" w:lineRule="exact"/>
              <w:jc w:val="center"/>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27</w:t>
            </w:r>
          </w:p>
        </w:tc>
        <w:tc>
          <w:tcPr>
            <w:tcW w:w="3945" w:type="dxa"/>
            <w:tcBorders>
              <w:top w:val="single" w:color="000000" w:sz="4" w:space="0"/>
              <w:left w:val="single" w:color="000000" w:sz="4" w:space="0"/>
              <w:bottom w:val="single" w:color="000000" w:sz="4" w:space="0"/>
              <w:right w:val="single" w:color="auto" w:sz="4" w:space="0"/>
            </w:tcBorders>
            <w:noWrap w:val="0"/>
            <w:vAlign w:val="center"/>
          </w:tcPr>
          <w:p w14:paraId="3851FBA3">
            <w:pPr>
              <w:keepNext w:val="0"/>
              <w:keepLines w:val="0"/>
              <w:pageBreakBefore w:val="0"/>
              <w:widowControl/>
              <w:kinsoku/>
              <w:wordWrap/>
              <w:overflowPunct/>
              <w:topLinePunct w:val="0"/>
              <w:autoSpaceDE/>
              <w:autoSpaceDN/>
              <w:bidi w:val="0"/>
              <w:snapToGrid/>
              <w:spacing w:line="380" w:lineRule="exact"/>
              <w:jc w:val="center"/>
              <w:textAlignment w:val="center"/>
              <w:rPr>
                <w:rFonts w:hint="eastAsia" w:ascii="宋体" w:hAnsi="宋体" w:eastAsia="宋体" w:cs="宋体"/>
                <w:b w:val="0"/>
                <w:bCs w:val="0"/>
                <w:color w:val="auto"/>
                <w:kern w:val="0"/>
                <w:sz w:val="21"/>
                <w:szCs w:val="21"/>
                <w:highlight w:val="none"/>
                <w:lang w:bidi="ar"/>
              </w:rPr>
            </w:pPr>
          </w:p>
        </w:tc>
      </w:tr>
    </w:tbl>
    <w:p w14:paraId="52B129CD">
      <w:pPr>
        <w:spacing w:line="380" w:lineRule="exact"/>
        <w:ind w:firstLine="210" w:firstLineChars="100"/>
        <w:rPr>
          <w:rFonts w:hint="eastAsia" w:ascii="宋体" w:hAnsi="宋体" w:cs="宋体"/>
          <w:color w:val="auto"/>
          <w:szCs w:val="21"/>
          <w:highlight w:val="none"/>
          <w:lang w:eastAsia="en-US"/>
        </w:rPr>
      </w:pPr>
    </w:p>
    <w:p w14:paraId="2C84AFDB">
      <w:pPr>
        <w:spacing w:line="380" w:lineRule="exact"/>
        <w:ind w:firstLine="210" w:firstLineChars="1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w:t>
      </w:r>
      <w:r>
        <w:rPr>
          <w:rFonts w:hint="eastAsia" w:ascii="宋体" w:hAnsi="宋体" w:cs="宋体"/>
          <w:color w:val="auto"/>
          <w:szCs w:val="21"/>
          <w:highlight w:val="none"/>
        </w:rPr>
        <w:t>七</w:t>
      </w:r>
      <w:r>
        <w:rPr>
          <w:rFonts w:hint="eastAsia" w:ascii="宋体" w:hAnsi="宋体" w:cs="宋体"/>
          <w:color w:val="auto"/>
          <w:szCs w:val="21"/>
          <w:highlight w:val="none"/>
          <w:lang w:eastAsia="en-US"/>
        </w:rPr>
        <w:t>）项目管理要求</w:t>
      </w:r>
    </w:p>
    <w:p w14:paraId="711D677A">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1.质量目标要求</w:t>
      </w:r>
    </w:p>
    <w:p w14:paraId="78B37AA3">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（1）依托行业标准，根据</w:t>
      </w:r>
      <w:r>
        <w:rPr>
          <w:rFonts w:hint="eastAsia" w:ascii="宋体" w:hAnsi="宋体" w:cs="宋体"/>
          <w:color w:val="auto"/>
          <w:highlight w:val="none"/>
        </w:rPr>
        <w:t>医院</w:t>
      </w:r>
      <w:r>
        <w:rPr>
          <w:rFonts w:hint="eastAsia" w:ascii="宋体" w:hAnsi="宋体" w:cs="宋体"/>
          <w:color w:val="auto"/>
          <w:highlight w:val="none"/>
          <w:lang w:eastAsia="en-US"/>
        </w:rPr>
        <w:t>管理规定与服务要求，熟悉</w:t>
      </w:r>
      <w:r>
        <w:rPr>
          <w:rFonts w:hint="eastAsia" w:ascii="宋体" w:hAnsi="宋体" w:cs="宋体"/>
          <w:color w:val="auto"/>
          <w:highlight w:val="none"/>
        </w:rPr>
        <w:t>医院</w:t>
      </w:r>
      <w:r>
        <w:rPr>
          <w:rFonts w:hint="eastAsia" w:ascii="宋体" w:hAnsi="宋体" w:cs="宋体"/>
          <w:color w:val="auto"/>
          <w:highlight w:val="none"/>
          <w:lang w:eastAsia="en-US"/>
        </w:rPr>
        <w:t>管理的特点，根据</w:t>
      </w:r>
      <w:r>
        <w:rPr>
          <w:rFonts w:hint="eastAsia" w:ascii="宋体" w:hAnsi="宋体" w:cs="宋体"/>
          <w:color w:val="auto"/>
          <w:highlight w:val="none"/>
        </w:rPr>
        <w:t>医院</w:t>
      </w:r>
      <w:r>
        <w:rPr>
          <w:rFonts w:hint="eastAsia" w:ascii="宋体" w:hAnsi="宋体" w:cs="宋体"/>
          <w:color w:val="auto"/>
          <w:highlight w:val="none"/>
          <w:lang w:eastAsia="en-US"/>
        </w:rPr>
        <w:t>内的不同服务对象，制定切实可行的</w:t>
      </w:r>
      <w:r>
        <w:rPr>
          <w:rFonts w:hint="eastAsia" w:ascii="宋体" w:hAnsi="宋体" w:cs="宋体"/>
          <w:color w:val="auto"/>
          <w:highlight w:val="none"/>
        </w:rPr>
        <w:t>医院</w:t>
      </w:r>
      <w:r>
        <w:rPr>
          <w:rFonts w:hint="eastAsia" w:ascii="宋体" w:hAnsi="宋体" w:cs="宋体"/>
          <w:color w:val="auto"/>
          <w:highlight w:val="none"/>
          <w:lang w:eastAsia="en-US"/>
        </w:rPr>
        <w:t>安保服务整体方案和应急预案，突发事件反应迅速，预案处置有力。</w:t>
      </w:r>
    </w:p>
    <w:p w14:paraId="6F2AA02D">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（2）依法办事，文明值勤，严格管理，保障</w:t>
      </w:r>
      <w:r>
        <w:rPr>
          <w:rFonts w:hint="eastAsia" w:ascii="宋体" w:hAnsi="宋体" w:cs="宋体"/>
          <w:color w:val="auto"/>
          <w:highlight w:val="none"/>
        </w:rPr>
        <w:t>医院</w:t>
      </w:r>
      <w:r>
        <w:rPr>
          <w:rFonts w:hint="eastAsia" w:ascii="宋体" w:hAnsi="宋体" w:cs="宋体"/>
          <w:color w:val="auto"/>
          <w:highlight w:val="none"/>
          <w:lang w:eastAsia="en-US"/>
        </w:rPr>
        <w:t>财产和</w:t>
      </w:r>
      <w:r>
        <w:rPr>
          <w:rFonts w:hint="eastAsia" w:ascii="宋体" w:hAnsi="宋体" w:cs="宋体"/>
          <w:color w:val="auto"/>
          <w:highlight w:val="none"/>
        </w:rPr>
        <w:t>医务人员</w:t>
      </w:r>
      <w:r>
        <w:rPr>
          <w:rFonts w:hint="eastAsia" w:ascii="宋体" w:hAnsi="宋体" w:cs="宋体"/>
          <w:color w:val="auto"/>
          <w:highlight w:val="none"/>
          <w:lang w:eastAsia="en-US"/>
        </w:rPr>
        <w:t>人身不受侵害，维护正常的</w:t>
      </w:r>
      <w:r>
        <w:rPr>
          <w:rFonts w:hint="eastAsia" w:ascii="宋体" w:hAnsi="宋体" w:cs="宋体"/>
          <w:color w:val="auto"/>
          <w:highlight w:val="none"/>
        </w:rPr>
        <w:t>工作</w:t>
      </w:r>
      <w:r>
        <w:rPr>
          <w:rFonts w:hint="eastAsia" w:ascii="宋体" w:hAnsi="宋体" w:cs="宋体"/>
          <w:color w:val="auto"/>
          <w:highlight w:val="none"/>
          <w:lang w:eastAsia="en-US"/>
        </w:rPr>
        <w:t>秩序。</w:t>
      </w:r>
    </w:p>
    <w:p w14:paraId="0CF8B0A3">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（3）全年无责任事故和责任案件发生，</w:t>
      </w:r>
      <w:r>
        <w:rPr>
          <w:rFonts w:hint="eastAsia" w:ascii="宋体" w:hAnsi="宋体" w:cs="宋体"/>
          <w:color w:val="auto"/>
          <w:highlight w:val="none"/>
        </w:rPr>
        <w:t>医务人员</w:t>
      </w:r>
      <w:r>
        <w:rPr>
          <w:rFonts w:hint="eastAsia" w:ascii="宋体" w:hAnsi="宋体" w:cs="宋体"/>
          <w:color w:val="auto"/>
          <w:highlight w:val="none"/>
          <w:lang w:eastAsia="en-US"/>
        </w:rPr>
        <w:t>有安全感，全年考核合格。</w:t>
      </w:r>
    </w:p>
    <w:p w14:paraId="69B264CB">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2.安保人员素质要求</w:t>
      </w:r>
    </w:p>
    <w:p w14:paraId="6444E9C6">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（1）从业人员应知法、懂法、守法，依法办事，必须严格遵守保安从业规范，遵守</w:t>
      </w:r>
      <w:r>
        <w:rPr>
          <w:rFonts w:hint="eastAsia" w:ascii="宋体" w:hAnsi="宋体" w:cs="宋体"/>
          <w:color w:val="auto"/>
          <w:highlight w:val="none"/>
        </w:rPr>
        <w:t>医院</w:t>
      </w:r>
      <w:r>
        <w:rPr>
          <w:rFonts w:hint="eastAsia" w:ascii="宋体" w:hAnsi="宋体" w:cs="宋体"/>
          <w:color w:val="auto"/>
          <w:highlight w:val="none"/>
          <w:lang w:eastAsia="en-US"/>
        </w:rPr>
        <w:t>安全管理规定。</w:t>
      </w:r>
    </w:p>
    <w:p w14:paraId="53515524">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（2）人员个人素质条件：所有保安人员必须具有《保安</w:t>
      </w:r>
      <w:r>
        <w:rPr>
          <w:rFonts w:hint="eastAsia" w:ascii="宋体" w:hAnsi="宋体" w:cs="宋体"/>
          <w:color w:val="auto"/>
          <w:highlight w:val="none"/>
          <w:lang w:val="en-US" w:eastAsia="zh-CN"/>
        </w:rPr>
        <w:t>员</w:t>
      </w:r>
      <w:r>
        <w:rPr>
          <w:rFonts w:hint="eastAsia" w:ascii="宋体" w:hAnsi="宋体" w:cs="宋体"/>
          <w:color w:val="auto"/>
          <w:highlight w:val="none"/>
          <w:lang w:eastAsia="en-US"/>
        </w:rPr>
        <w:t>证》，无不良爱好，无犯罪记录，具有一定的专业素质和语言表达能力，相貌端正，身体健康（持健康证）。</w:t>
      </w:r>
      <w:r>
        <w:rPr>
          <w:rFonts w:hint="eastAsia" w:ascii="宋体" w:hAnsi="宋体" w:eastAsia="宋体" w:cs="宋体"/>
          <w:color w:val="auto"/>
          <w:highlight w:val="none"/>
          <w:lang w:eastAsia="en-US"/>
        </w:rPr>
        <w:t>其中管理人员要求高中</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en-US"/>
        </w:rPr>
        <w:t>以上学历，年龄在 25～55岁之间，具有3年</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en-US"/>
        </w:rPr>
        <w:t>以上管理保安队伍的经验，经过专门的保安业务培训，工作能力强，为人谦和，具有较高的政治思想素养和业务水平，有较强的组织协调能力，保安人员年龄在 18～55岁之间，男性身高在165厘米以上，女性（只限消防和视频监控控制室值班</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管理人员</w:t>
      </w:r>
      <w:r>
        <w:rPr>
          <w:rFonts w:hint="eastAsia" w:ascii="宋体" w:hAnsi="宋体" w:eastAsia="宋体" w:cs="宋体"/>
          <w:color w:val="auto"/>
          <w:highlight w:val="none"/>
          <w:lang w:eastAsia="en-US"/>
        </w:rPr>
        <w:t>）160 厘米</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en-US"/>
        </w:rPr>
        <w:t>以上，初中</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en-US"/>
        </w:rPr>
        <w:t>以上学历。在上岗前须同时向乙方提供投入本项目的所有保安人员的《保安</w:t>
      </w:r>
      <w:r>
        <w:rPr>
          <w:rFonts w:hint="eastAsia" w:ascii="宋体" w:hAnsi="宋体" w:cs="宋体"/>
          <w:color w:val="auto"/>
          <w:highlight w:val="none"/>
          <w:lang w:val="en-US" w:eastAsia="zh-CN"/>
        </w:rPr>
        <w:t>员</w:t>
      </w:r>
      <w:r>
        <w:rPr>
          <w:rFonts w:hint="eastAsia" w:ascii="宋体" w:hAnsi="宋体" w:eastAsia="宋体" w:cs="宋体"/>
          <w:color w:val="auto"/>
          <w:highlight w:val="none"/>
          <w:lang w:eastAsia="en-US"/>
        </w:rPr>
        <w:t>证》，乙方如承诺本项目保安人员配置一定数量的退伍军人及消防和视频监控值班人员消防上岗证的，在承诺的退伍军人保安人员和消防和视频监控值班人员消防上岗入场时，必须向甲方提供相应人员的退伍军人和消防和视频监控值</w:t>
      </w:r>
      <w:r>
        <w:rPr>
          <w:rFonts w:hint="eastAsia" w:ascii="宋体" w:hAnsi="宋体" w:cs="宋体"/>
          <w:color w:val="auto"/>
          <w:highlight w:val="none"/>
        </w:rPr>
        <w:t>班人员消防上岗证</w:t>
      </w:r>
      <w:r>
        <w:rPr>
          <w:rFonts w:hint="eastAsia" w:ascii="宋体" w:hAnsi="宋体" w:cs="宋体"/>
          <w:color w:val="auto"/>
          <w:highlight w:val="none"/>
          <w:lang w:eastAsia="en-US"/>
        </w:rPr>
        <w:t>原件到</w:t>
      </w:r>
      <w:r>
        <w:rPr>
          <w:rFonts w:hint="eastAsia" w:ascii="宋体" w:hAnsi="宋体" w:cs="宋体"/>
          <w:color w:val="auto"/>
          <w:highlight w:val="none"/>
        </w:rPr>
        <w:t>甲方</w:t>
      </w:r>
      <w:r>
        <w:rPr>
          <w:rFonts w:hint="eastAsia" w:ascii="宋体" w:hAnsi="宋体" w:cs="宋体"/>
          <w:color w:val="auto"/>
          <w:highlight w:val="none"/>
          <w:lang w:eastAsia="en-US"/>
        </w:rPr>
        <w:t>处备案，合同履行过程中且未经</w:t>
      </w:r>
      <w:r>
        <w:rPr>
          <w:rFonts w:hint="eastAsia" w:ascii="宋体" w:hAnsi="宋体" w:cs="宋体"/>
          <w:color w:val="auto"/>
          <w:highlight w:val="none"/>
        </w:rPr>
        <w:t>甲方</w:t>
      </w:r>
      <w:r>
        <w:rPr>
          <w:rFonts w:hint="eastAsia" w:ascii="宋体" w:hAnsi="宋体" w:cs="宋体"/>
          <w:color w:val="auto"/>
          <w:highlight w:val="none"/>
          <w:lang w:eastAsia="en-US"/>
        </w:rPr>
        <w:t>同意不得擅自变更以上人员，否则，按乙方违约处理，同时</w:t>
      </w:r>
      <w:r>
        <w:rPr>
          <w:rFonts w:hint="eastAsia" w:ascii="宋体" w:hAnsi="宋体" w:cs="宋体"/>
          <w:color w:val="auto"/>
          <w:highlight w:val="none"/>
        </w:rPr>
        <w:t>甲方</w:t>
      </w:r>
      <w:r>
        <w:rPr>
          <w:rFonts w:hint="eastAsia" w:ascii="宋体" w:hAnsi="宋体" w:cs="宋体"/>
          <w:color w:val="auto"/>
          <w:highlight w:val="none"/>
          <w:lang w:eastAsia="en-US"/>
        </w:rPr>
        <w:t>有权终止合同执行，并报相关监督管理部门处理，由此造成的一切不利后果由</w:t>
      </w:r>
      <w:r>
        <w:rPr>
          <w:rFonts w:hint="eastAsia" w:ascii="宋体" w:hAnsi="宋体" w:cs="宋体"/>
          <w:color w:val="auto"/>
          <w:highlight w:val="none"/>
        </w:rPr>
        <w:t>乙方</w:t>
      </w:r>
      <w:r>
        <w:rPr>
          <w:rFonts w:hint="eastAsia" w:ascii="宋体" w:hAnsi="宋体" w:cs="宋体"/>
          <w:color w:val="auto"/>
          <w:highlight w:val="none"/>
          <w:lang w:eastAsia="en-US"/>
        </w:rPr>
        <w:t>自行承担。</w:t>
      </w:r>
    </w:p>
    <w:p w14:paraId="28E1BA38">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（3）所聘用的保安人员有吃苦耐劳的精神和高度的责任感，受过专门的岗前培训（如保安、消防等培训）；熟知</w:t>
      </w:r>
      <w:r>
        <w:rPr>
          <w:rFonts w:hint="eastAsia" w:ascii="宋体" w:hAnsi="宋体" w:cs="宋体"/>
          <w:color w:val="auto"/>
          <w:highlight w:val="none"/>
        </w:rPr>
        <w:t>医院</w:t>
      </w:r>
      <w:r>
        <w:rPr>
          <w:rFonts w:hint="eastAsia" w:ascii="宋体" w:hAnsi="宋体" w:cs="宋体"/>
          <w:color w:val="auto"/>
          <w:highlight w:val="none"/>
          <w:lang w:eastAsia="en-US"/>
        </w:rPr>
        <w:t>的管理规定，严格履行岗位职责，善于发现各类问题，具备一定的管理经验和处理突发事件能力。</w:t>
      </w:r>
    </w:p>
    <w:p w14:paraId="730B7A22">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3.服务要求</w:t>
      </w:r>
    </w:p>
    <w:p w14:paraId="627A57CD">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（1）树立“服务第一，业主至上”的思想，切实维护</w:t>
      </w:r>
      <w:r>
        <w:rPr>
          <w:rFonts w:hint="eastAsia" w:ascii="宋体" w:hAnsi="宋体" w:cs="宋体"/>
          <w:color w:val="auto"/>
          <w:highlight w:val="none"/>
        </w:rPr>
        <w:t>医院</w:t>
      </w:r>
      <w:r>
        <w:rPr>
          <w:rFonts w:hint="eastAsia" w:ascii="宋体" w:hAnsi="宋体" w:cs="宋体"/>
          <w:color w:val="auto"/>
          <w:highlight w:val="none"/>
          <w:lang w:eastAsia="en-US"/>
        </w:rPr>
        <w:t>与</w:t>
      </w:r>
      <w:r>
        <w:rPr>
          <w:rFonts w:hint="eastAsia" w:ascii="宋体" w:hAnsi="宋体" w:cs="宋体"/>
          <w:color w:val="auto"/>
          <w:highlight w:val="none"/>
        </w:rPr>
        <w:t>医务人员</w:t>
      </w:r>
      <w:r>
        <w:rPr>
          <w:rFonts w:hint="eastAsia" w:ascii="宋体" w:hAnsi="宋体" w:cs="宋体"/>
          <w:color w:val="auto"/>
          <w:highlight w:val="none"/>
          <w:lang w:eastAsia="en-US"/>
        </w:rPr>
        <w:t>的人身和财产安全。</w:t>
      </w:r>
    </w:p>
    <w:p w14:paraId="3B9CBB4E">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（2）管理坚持原则、慎密严谨；服务以人为本、主动热情；处理问题高度警惕、有理有节。</w:t>
      </w:r>
    </w:p>
    <w:p w14:paraId="0461805F">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（3）上岗人员仪表整洁，业务操作规范，礼貌待人，保持岗位卫生整洁；</w:t>
      </w:r>
    </w:p>
    <w:p w14:paraId="0602279D">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（4）上岗人员必须依法办事，文明执勤；</w:t>
      </w:r>
    </w:p>
    <w:p w14:paraId="62A94068">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（5） 能针对不同的服务对象，从实际出发，灵活妥善处理不同问题。</w:t>
      </w:r>
    </w:p>
    <w:p w14:paraId="38EC8511">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4.队伍建设与管理要求</w:t>
      </w:r>
    </w:p>
    <w:p w14:paraId="74A32F1A">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w:t>
      </w:r>
      <w:r>
        <w:rPr>
          <w:rFonts w:hint="eastAsia" w:ascii="宋体" w:hAnsi="宋体" w:cs="宋体"/>
          <w:color w:val="auto"/>
          <w:highlight w:val="none"/>
        </w:rPr>
        <w:t>乙方</w:t>
      </w:r>
      <w:r>
        <w:rPr>
          <w:rFonts w:hint="eastAsia" w:ascii="宋体" w:hAnsi="宋体" w:cs="宋体"/>
          <w:color w:val="auto"/>
          <w:highlight w:val="none"/>
          <w:lang w:eastAsia="en-US"/>
        </w:rPr>
        <w:t>负责提供进驻保安人员值勤所需的服装及雨具以及常用办公耗材等。每个岗位就以上装备必须配备齐全（至少各一套）。</w:t>
      </w:r>
    </w:p>
    <w:p w14:paraId="6ABC6430">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（2）从</w:t>
      </w:r>
      <w:r>
        <w:rPr>
          <w:rFonts w:hint="eastAsia" w:ascii="宋体" w:hAnsi="宋体" w:cs="宋体"/>
          <w:color w:val="auto"/>
          <w:highlight w:val="none"/>
        </w:rPr>
        <w:t>医院</w:t>
      </w:r>
      <w:r>
        <w:rPr>
          <w:rFonts w:hint="eastAsia" w:ascii="宋体" w:hAnsi="宋体" w:cs="宋体"/>
          <w:color w:val="auto"/>
          <w:highlight w:val="none"/>
          <w:lang w:eastAsia="en-US"/>
        </w:rPr>
        <w:t>安全实际出发，须经常开展在岗人员业务培训和紧急预案演练。</w:t>
      </w:r>
    </w:p>
    <w:p w14:paraId="14B6A19F">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（3）应建立健全内部管理制度、操作规程、应急处置方案预案，设立保安管理点主管，全面负责日常保安队伍的规范化管理。</w:t>
      </w:r>
    </w:p>
    <w:p w14:paraId="5B214C4C">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（4）</w:t>
      </w:r>
      <w:r>
        <w:rPr>
          <w:rFonts w:hint="eastAsia" w:ascii="宋体" w:hAnsi="宋体" w:cs="宋体"/>
          <w:color w:val="auto"/>
          <w:highlight w:val="none"/>
        </w:rPr>
        <w:t>乙方</w:t>
      </w:r>
      <w:r>
        <w:rPr>
          <w:rFonts w:hint="eastAsia" w:ascii="宋体" w:hAnsi="宋体" w:cs="宋体"/>
          <w:color w:val="auto"/>
          <w:highlight w:val="none"/>
          <w:lang w:eastAsia="en-US"/>
        </w:rPr>
        <w:t>必须采取切实有效措施保持保安队伍的稳定和工作的连续性，一是严格控制非违纪人员轮换岗比例，合同期限内轮换岗保安人数不得超过合同编制的 20%；二是保安队伍主要管理人员更换，应提前一个月以书面形式通知</w:t>
      </w:r>
      <w:r>
        <w:rPr>
          <w:rFonts w:hint="eastAsia" w:ascii="宋体" w:hAnsi="宋体" w:cs="宋体"/>
          <w:color w:val="auto"/>
          <w:highlight w:val="none"/>
        </w:rPr>
        <w:t>甲方</w:t>
      </w:r>
      <w:r>
        <w:rPr>
          <w:rFonts w:hint="eastAsia" w:ascii="宋体" w:hAnsi="宋体" w:cs="宋体"/>
          <w:color w:val="auto"/>
          <w:highlight w:val="none"/>
          <w:lang w:eastAsia="en-US"/>
        </w:rPr>
        <w:t>保卫</w:t>
      </w:r>
      <w:r>
        <w:rPr>
          <w:rFonts w:hint="eastAsia" w:ascii="宋体" w:hAnsi="宋体" w:cs="宋体"/>
          <w:color w:val="auto"/>
          <w:highlight w:val="none"/>
        </w:rPr>
        <w:t>部门</w:t>
      </w:r>
      <w:r>
        <w:rPr>
          <w:rFonts w:hint="eastAsia" w:ascii="宋体" w:hAnsi="宋体" w:cs="宋体"/>
          <w:color w:val="auto"/>
          <w:highlight w:val="none"/>
          <w:lang w:eastAsia="en-US"/>
        </w:rPr>
        <w:t>，其他队员更换要提前三天告知保卫</w:t>
      </w:r>
      <w:r>
        <w:rPr>
          <w:rFonts w:hint="eastAsia" w:ascii="宋体" w:hAnsi="宋体" w:cs="宋体"/>
          <w:color w:val="auto"/>
          <w:highlight w:val="none"/>
        </w:rPr>
        <w:t>部门</w:t>
      </w:r>
      <w:r>
        <w:rPr>
          <w:rFonts w:hint="eastAsia" w:ascii="宋体" w:hAnsi="宋体" w:cs="宋体"/>
          <w:color w:val="auto"/>
          <w:highlight w:val="none"/>
          <w:lang w:eastAsia="en-US"/>
        </w:rPr>
        <w:t>，确保服务质量不因人员变动而受影响。</w:t>
      </w:r>
    </w:p>
    <w:p w14:paraId="1E4C2E1B">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（5）</w:t>
      </w:r>
      <w:r>
        <w:rPr>
          <w:rFonts w:hint="eastAsia" w:ascii="宋体" w:hAnsi="宋体" w:cs="宋体"/>
          <w:color w:val="auto"/>
          <w:highlight w:val="none"/>
        </w:rPr>
        <w:t>乙方</w:t>
      </w:r>
      <w:r>
        <w:rPr>
          <w:rFonts w:hint="eastAsia" w:ascii="宋体" w:hAnsi="宋体" w:cs="宋体"/>
          <w:color w:val="auto"/>
          <w:highlight w:val="none"/>
          <w:lang w:eastAsia="en-US"/>
        </w:rPr>
        <w:t>负责为每位管理人员、保安人员缴纳法律规定的各类养老保险、医疗保险、工伤保险、失业保险、生育保险、意外伤害保险及其他费用。上述人员涉及用工方面的劳务纠纷、福利纠纷和劳动事故均由</w:t>
      </w:r>
      <w:r>
        <w:rPr>
          <w:rFonts w:hint="eastAsia" w:ascii="宋体" w:hAnsi="宋体" w:cs="宋体"/>
          <w:color w:val="auto"/>
          <w:highlight w:val="none"/>
        </w:rPr>
        <w:t>乙方</w:t>
      </w:r>
      <w:r>
        <w:rPr>
          <w:rFonts w:hint="eastAsia" w:ascii="宋体" w:hAnsi="宋体" w:cs="宋体"/>
          <w:color w:val="auto"/>
          <w:highlight w:val="none"/>
          <w:lang w:eastAsia="en-US"/>
        </w:rPr>
        <w:t>负责，与</w:t>
      </w:r>
      <w:r>
        <w:rPr>
          <w:rFonts w:hint="eastAsia" w:ascii="宋体" w:hAnsi="宋体" w:cs="宋体"/>
          <w:color w:val="auto"/>
          <w:highlight w:val="none"/>
        </w:rPr>
        <w:t>甲方</w:t>
      </w:r>
      <w:r>
        <w:rPr>
          <w:rFonts w:hint="eastAsia" w:ascii="宋体" w:hAnsi="宋体" w:cs="宋体"/>
          <w:color w:val="auto"/>
          <w:highlight w:val="none"/>
          <w:lang w:eastAsia="en-US"/>
        </w:rPr>
        <w:t>无关。</w:t>
      </w:r>
    </w:p>
    <w:p w14:paraId="0DC673EA">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（6）保安应聘、录用、离职等要求管理档案规范，手续齐全，相应资料必须报</w:t>
      </w:r>
      <w:r>
        <w:rPr>
          <w:rFonts w:hint="eastAsia" w:ascii="宋体" w:hAnsi="宋体" w:cs="宋体"/>
          <w:color w:val="auto"/>
          <w:highlight w:val="none"/>
        </w:rPr>
        <w:t>甲方</w:t>
      </w:r>
      <w:r>
        <w:rPr>
          <w:rFonts w:hint="eastAsia" w:ascii="宋体" w:hAnsi="宋体" w:cs="宋体"/>
          <w:color w:val="auto"/>
          <w:highlight w:val="none"/>
          <w:lang w:eastAsia="en-US"/>
        </w:rPr>
        <w:t>保卫</w:t>
      </w:r>
      <w:r>
        <w:rPr>
          <w:rFonts w:hint="eastAsia" w:ascii="宋体" w:hAnsi="宋体" w:cs="宋体"/>
          <w:color w:val="auto"/>
          <w:highlight w:val="none"/>
        </w:rPr>
        <w:t>部门</w:t>
      </w:r>
      <w:r>
        <w:rPr>
          <w:rFonts w:hint="eastAsia" w:ascii="宋体" w:hAnsi="宋体" w:cs="宋体"/>
          <w:color w:val="auto"/>
          <w:highlight w:val="none"/>
          <w:lang w:eastAsia="en-US"/>
        </w:rPr>
        <w:t>备案。</w:t>
      </w:r>
    </w:p>
    <w:p w14:paraId="2F6F3B26">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5.日常工作要求</w:t>
      </w:r>
    </w:p>
    <w:p w14:paraId="5ACA1CF1">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（1）根据行业服务标准与</w:t>
      </w:r>
      <w:r>
        <w:rPr>
          <w:rFonts w:hint="eastAsia" w:ascii="宋体" w:hAnsi="宋体" w:cs="宋体"/>
          <w:color w:val="auto"/>
          <w:highlight w:val="none"/>
        </w:rPr>
        <w:t>医院</w:t>
      </w:r>
      <w:r>
        <w:rPr>
          <w:rFonts w:hint="eastAsia" w:ascii="宋体" w:hAnsi="宋体" w:cs="宋体"/>
          <w:color w:val="auto"/>
          <w:highlight w:val="none"/>
          <w:lang w:eastAsia="en-US"/>
        </w:rPr>
        <w:t>规定要求，在</w:t>
      </w:r>
      <w:r>
        <w:rPr>
          <w:rFonts w:hint="eastAsia" w:ascii="宋体" w:hAnsi="宋体" w:cs="宋体"/>
          <w:color w:val="auto"/>
          <w:highlight w:val="none"/>
        </w:rPr>
        <w:t>甲方</w:t>
      </w:r>
      <w:r>
        <w:rPr>
          <w:rFonts w:hint="eastAsia" w:ascii="宋体" w:hAnsi="宋体" w:cs="宋体"/>
          <w:color w:val="auto"/>
          <w:highlight w:val="none"/>
          <w:lang w:eastAsia="en-US"/>
        </w:rPr>
        <w:t>保卫处指导下，独立运作，落实</w:t>
      </w:r>
      <w:r>
        <w:rPr>
          <w:rFonts w:hint="eastAsia" w:ascii="宋体" w:hAnsi="宋体" w:cs="宋体"/>
          <w:color w:val="auto"/>
          <w:highlight w:val="none"/>
        </w:rPr>
        <w:t>医院</w:t>
      </w:r>
      <w:r>
        <w:rPr>
          <w:rFonts w:hint="eastAsia" w:ascii="宋体" w:hAnsi="宋体" w:cs="宋体"/>
          <w:color w:val="auto"/>
          <w:highlight w:val="none"/>
          <w:lang w:eastAsia="en-US"/>
        </w:rPr>
        <w:t>安全保卫整体方案，并结合</w:t>
      </w:r>
      <w:r>
        <w:rPr>
          <w:rFonts w:hint="eastAsia" w:ascii="宋体" w:hAnsi="宋体" w:cs="宋体"/>
          <w:color w:val="auto"/>
          <w:highlight w:val="none"/>
        </w:rPr>
        <w:t>医院</w:t>
      </w:r>
      <w:r>
        <w:rPr>
          <w:rFonts w:hint="eastAsia" w:ascii="宋体" w:hAnsi="宋体" w:cs="宋体"/>
          <w:color w:val="auto"/>
          <w:highlight w:val="none"/>
          <w:lang w:eastAsia="en-US"/>
        </w:rPr>
        <w:t>变化实际在实践中不断完善。</w:t>
      </w:r>
    </w:p>
    <w:p w14:paraId="46100570">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（2）保安主管每天必须向保卫</w:t>
      </w:r>
      <w:r>
        <w:rPr>
          <w:rFonts w:hint="eastAsia" w:ascii="宋体" w:hAnsi="宋体" w:cs="宋体"/>
          <w:color w:val="auto"/>
          <w:highlight w:val="none"/>
        </w:rPr>
        <w:t>部门</w:t>
      </w:r>
      <w:r>
        <w:rPr>
          <w:rFonts w:hint="eastAsia" w:ascii="宋体" w:hAnsi="宋体" w:cs="宋体"/>
          <w:color w:val="auto"/>
          <w:highlight w:val="none"/>
          <w:lang w:eastAsia="en-US"/>
        </w:rPr>
        <w:t>负责人口头汇报工作，每星期向</w:t>
      </w:r>
      <w:r>
        <w:rPr>
          <w:rFonts w:hint="eastAsia" w:ascii="宋体" w:hAnsi="宋体" w:cs="宋体"/>
          <w:color w:val="auto"/>
          <w:highlight w:val="none"/>
        </w:rPr>
        <w:t>甲方</w:t>
      </w:r>
      <w:r>
        <w:rPr>
          <w:rFonts w:hint="eastAsia" w:ascii="宋体" w:hAnsi="宋体" w:cs="宋体"/>
          <w:color w:val="auto"/>
          <w:highlight w:val="none"/>
          <w:lang w:eastAsia="en-US"/>
        </w:rPr>
        <w:t>保卫</w:t>
      </w:r>
      <w:r>
        <w:rPr>
          <w:rFonts w:hint="eastAsia" w:ascii="宋体" w:hAnsi="宋体" w:cs="宋体"/>
          <w:color w:val="auto"/>
          <w:highlight w:val="none"/>
        </w:rPr>
        <w:t>部门</w:t>
      </w:r>
      <w:r>
        <w:rPr>
          <w:rFonts w:hint="eastAsia" w:ascii="宋体" w:hAnsi="宋体" w:cs="宋体"/>
          <w:color w:val="auto"/>
          <w:highlight w:val="none"/>
          <w:lang w:eastAsia="en-US"/>
        </w:rPr>
        <w:t>汇报一次</w:t>
      </w:r>
      <w:r>
        <w:rPr>
          <w:rFonts w:hint="eastAsia" w:ascii="宋体" w:hAnsi="宋体" w:cs="宋体"/>
          <w:color w:val="auto"/>
          <w:highlight w:val="none"/>
        </w:rPr>
        <w:t>医院</w:t>
      </w:r>
      <w:r>
        <w:rPr>
          <w:rFonts w:hint="eastAsia" w:ascii="宋体" w:hAnsi="宋体" w:cs="宋体"/>
          <w:color w:val="auto"/>
          <w:highlight w:val="none"/>
          <w:lang w:eastAsia="en-US"/>
        </w:rPr>
        <w:t>安保情况，重大情况须及时报告。</w:t>
      </w:r>
    </w:p>
    <w:p w14:paraId="54A40CD1">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（3）做好详细的执勤记录，</w:t>
      </w:r>
      <w:r>
        <w:rPr>
          <w:rFonts w:hint="eastAsia" w:ascii="宋体" w:hAnsi="宋体" w:cs="宋体"/>
          <w:color w:val="auto"/>
          <w:highlight w:val="none"/>
        </w:rPr>
        <w:t>原始台账</w:t>
      </w:r>
      <w:r>
        <w:rPr>
          <w:rFonts w:hint="eastAsia" w:ascii="宋体" w:hAnsi="宋体" w:cs="宋体"/>
          <w:color w:val="auto"/>
          <w:highlight w:val="none"/>
          <w:lang w:eastAsia="en-US"/>
        </w:rPr>
        <w:t>保存完好，以备核查。</w:t>
      </w:r>
    </w:p>
    <w:p w14:paraId="69F8A61E">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（4）与</w:t>
      </w:r>
      <w:r>
        <w:rPr>
          <w:rFonts w:hint="eastAsia" w:ascii="宋体" w:hAnsi="宋体" w:cs="宋体"/>
          <w:color w:val="auto"/>
          <w:highlight w:val="none"/>
        </w:rPr>
        <w:t>甲方</w:t>
      </w:r>
      <w:r>
        <w:rPr>
          <w:rFonts w:hint="eastAsia" w:ascii="宋体" w:hAnsi="宋体" w:cs="宋体"/>
          <w:color w:val="auto"/>
          <w:highlight w:val="none"/>
          <w:lang w:eastAsia="en-US"/>
        </w:rPr>
        <w:t>其他安保力量协作联动，开展一体化安全防范。</w:t>
      </w:r>
    </w:p>
    <w:p w14:paraId="1C837A80">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（5）要加强对保安业务的管理，确保保安在</w:t>
      </w:r>
      <w:r>
        <w:rPr>
          <w:rFonts w:hint="eastAsia" w:ascii="宋体" w:hAnsi="宋体" w:cs="宋体"/>
          <w:color w:val="auto"/>
          <w:highlight w:val="none"/>
        </w:rPr>
        <w:t>医院</w:t>
      </w:r>
      <w:r>
        <w:rPr>
          <w:rFonts w:hint="eastAsia" w:ascii="宋体" w:hAnsi="宋体" w:cs="宋体"/>
          <w:color w:val="auto"/>
          <w:highlight w:val="none"/>
          <w:lang w:eastAsia="en-US"/>
        </w:rPr>
        <w:t>内无违规事件发生。</w:t>
      </w:r>
    </w:p>
    <w:p w14:paraId="4A66D771">
      <w:pPr>
        <w:spacing w:line="380" w:lineRule="exact"/>
        <w:ind w:firstLine="210" w:firstLineChars="100"/>
        <w:rPr>
          <w:rFonts w:hint="eastAsia"/>
          <w:color w:val="auto"/>
          <w:sz w:val="28"/>
          <w:highlight w:val="none"/>
        </w:rPr>
      </w:pPr>
      <w:r>
        <w:rPr>
          <w:rFonts w:hint="eastAsia" w:ascii="宋体" w:hAnsi="宋体" w:cs="宋体"/>
          <w:color w:val="auto"/>
          <w:szCs w:val="21"/>
          <w:highlight w:val="none"/>
          <w:lang w:eastAsia="en-US"/>
        </w:rPr>
        <w:t>（</w:t>
      </w:r>
      <w:r>
        <w:rPr>
          <w:rFonts w:hint="eastAsia" w:ascii="宋体" w:hAnsi="宋体" w:cs="宋体"/>
          <w:color w:val="auto"/>
          <w:szCs w:val="21"/>
          <w:highlight w:val="none"/>
        </w:rPr>
        <w:t>八</w:t>
      </w:r>
      <w:r>
        <w:rPr>
          <w:rFonts w:hint="eastAsia" w:ascii="宋体" w:hAnsi="宋体" w:cs="宋体"/>
          <w:color w:val="auto"/>
          <w:szCs w:val="21"/>
          <w:highlight w:val="none"/>
          <w:lang w:eastAsia="en-US"/>
        </w:rPr>
        <w:t>）甲方的权利义务</w:t>
      </w:r>
    </w:p>
    <w:p w14:paraId="63E18733">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1.乙方</w:t>
      </w:r>
      <w:r>
        <w:rPr>
          <w:rFonts w:hint="eastAsia" w:ascii="宋体" w:hAnsi="宋体" w:cs="宋体"/>
          <w:color w:val="auto"/>
          <w:highlight w:val="none"/>
          <w:lang w:eastAsia="en-US"/>
        </w:rPr>
        <w:t>每月必须向</w:t>
      </w:r>
      <w:r>
        <w:rPr>
          <w:rFonts w:hint="eastAsia" w:ascii="宋体" w:hAnsi="宋体" w:cs="宋体"/>
          <w:color w:val="auto"/>
          <w:highlight w:val="none"/>
        </w:rPr>
        <w:t>甲方</w:t>
      </w:r>
      <w:r>
        <w:rPr>
          <w:rFonts w:hint="eastAsia" w:ascii="宋体" w:hAnsi="宋体" w:cs="宋体"/>
          <w:color w:val="auto"/>
          <w:highlight w:val="none"/>
          <w:lang w:eastAsia="en-US"/>
        </w:rPr>
        <w:t>提供排班表，</w:t>
      </w:r>
      <w:r>
        <w:rPr>
          <w:rFonts w:hint="eastAsia" w:ascii="宋体" w:hAnsi="宋体" w:cs="宋体"/>
          <w:color w:val="auto"/>
          <w:highlight w:val="none"/>
        </w:rPr>
        <w:t>甲方</w:t>
      </w:r>
      <w:r>
        <w:rPr>
          <w:rFonts w:hint="eastAsia" w:ascii="宋体" w:hAnsi="宋体" w:cs="宋体"/>
          <w:color w:val="auto"/>
          <w:highlight w:val="none"/>
          <w:lang w:eastAsia="en-US"/>
        </w:rPr>
        <w:t>有权对</w:t>
      </w:r>
      <w:r>
        <w:rPr>
          <w:rFonts w:hint="eastAsia" w:ascii="宋体" w:hAnsi="宋体" w:cs="宋体"/>
          <w:color w:val="auto"/>
          <w:highlight w:val="none"/>
        </w:rPr>
        <w:t>乙方</w:t>
      </w:r>
      <w:r>
        <w:rPr>
          <w:rFonts w:hint="eastAsia" w:ascii="宋体" w:hAnsi="宋体" w:cs="宋体"/>
          <w:color w:val="auto"/>
          <w:highlight w:val="none"/>
          <w:lang w:eastAsia="en-US"/>
        </w:rPr>
        <w:t>的保安服务工作进行监督管理、检查考核，甲方对</w:t>
      </w:r>
      <w:r>
        <w:rPr>
          <w:rFonts w:hint="eastAsia" w:ascii="宋体" w:hAnsi="宋体" w:cs="宋体"/>
          <w:color w:val="auto"/>
          <w:highlight w:val="none"/>
        </w:rPr>
        <w:t>乙方</w:t>
      </w:r>
      <w:r>
        <w:rPr>
          <w:rFonts w:hint="eastAsia" w:ascii="宋体" w:hAnsi="宋体" w:cs="宋体"/>
          <w:color w:val="auto"/>
          <w:highlight w:val="none"/>
          <w:lang w:eastAsia="en-US"/>
        </w:rPr>
        <w:t>提出的上述要求未能及时办理的，</w:t>
      </w:r>
      <w:r>
        <w:rPr>
          <w:rFonts w:hint="eastAsia" w:ascii="宋体" w:hAnsi="宋体" w:cs="宋体"/>
          <w:color w:val="auto"/>
          <w:highlight w:val="none"/>
        </w:rPr>
        <w:t>甲方</w:t>
      </w:r>
      <w:r>
        <w:rPr>
          <w:rFonts w:hint="eastAsia" w:ascii="宋体" w:hAnsi="宋体" w:cs="宋体"/>
          <w:color w:val="auto"/>
          <w:highlight w:val="none"/>
          <w:lang w:eastAsia="en-US"/>
        </w:rPr>
        <w:t>有权从</w:t>
      </w:r>
      <w:r>
        <w:rPr>
          <w:rFonts w:hint="eastAsia" w:ascii="宋体" w:hAnsi="宋体" w:cs="宋体"/>
          <w:color w:val="auto"/>
          <w:highlight w:val="none"/>
        </w:rPr>
        <w:t>乙方当月服务费</w:t>
      </w:r>
      <w:r>
        <w:rPr>
          <w:rFonts w:hint="eastAsia" w:ascii="宋体" w:hAnsi="宋体" w:cs="宋体"/>
          <w:color w:val="auto"/>
          <w:highlight w:val="none"/>
          <w:lang w:eastAsia="en-US"/>
        </w:rPr>
        <w:t>中扣除2%。</w:t>
      </w:r>
    </w:p>
    <w:p w14:paraId="7CB6558F">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2.甲方</w:t>
      </w:r>
      <w:r>
        <w:rPr>
          <w:rFonts w:hint="eastAsia" w:ascii="宋体" w:hAnsi="宋体" w:cs="宋体"/>
          <w:color w:val="auto"/>
          <w:highlight w:val="none"/>
          <w:lang w:eastAsia="en-US"/>
        </w:rPr>
        <w:t>因工作需要或紧急情况需要调动</w:t>
      </w:r>
      <w:r>
        <w:rPr>
          <w:rFonts w:hint="eastAsia" w:ascii="宋体" w:hAnsi="宋体" w:cs="宋体"/>
          <w:color w:val="auto"/>
          <w:highlight w:val="none"/>
        </w:rPr>
        <w:t>乙方</w:t>
      </w:r>
      <w:r>
        <w:rPr>
          <w:rFonts w:hint="eastAsia" w:ascii="宋体" w:hAnsi="宋体" w:cs="宋体"/>
          <w:color w:val="auto"/>
          <w:highlight w:val="none"/>
          <w:lang w:eastAsia="en-US"/>
        </w:rPr>
        <w:t>人员时，有直接管理、设置和调动</w:t>
      </w:r>
      <w:r>
        <w:rPr>
          <w:rFonts w:hint="eastAsia" w:ascii="宋体" w:hAnsi="宋体" w:cs="宋体"/>
          <w:color w:val="auto"/>
          <w:highlight w:val="none"/>
        </w:rPr>
        <w:t>乙方</w:t>
      </w:r>
      <w:r>
        <w:rPr>
          <w:rFonts w:hint="eastAsia" w:ascii="宋体" w:hAnsi="宋体" w:cs="宋体"/>
          <w:color w:val="auto"/>
          <w:highlight w:val="none"/>
          <w:lang w:eastAsia="en-US"/>
        </w:rPr>
        <w:t>岗位人员的权力。调动</w:t>
      </w:r>
      <w:r>
        <w:rPr>
          <w:rFonts w:hint="eastAsia" w:ascii="宋体" w:hAnsi="宋体" w:cs="宋体"/>
          <w:color w:val="auto"/>
          <w:highlight w:val="none"/>
        </w:rPr>
        <w:t>乙方</w:t>
      </w:r>
      <w:r>
        <w:rPr>
          <w:rFonts w:hint="eastAsia" w:ascii="宋体" w:hAnsi="宋体" w:cs="宋体"/>
          <w:color w:val="auto"/>
          <w:highlight w:val="none"/>
          <w:lang w:eastAsia="en-US"/>
        </w:rPr>
        <w:t>人员时，要求10分钟内集合本</w:t>
      </w:r>
      <w:r>
        <w:rPr>
          <w:rFonts w:hint="eastAsia" w:ascii="宋体" w:hAnsi="宋体" w:cs="宋体"/>
          <w:color w:val="auto"/>
          <w:highlight w:val="none"/>
        </w:rPr>
        <w:t>医院</w:t>
      </w:r>
      <w:r>
        <w:rPr>
          <w:rFonts w:hint="eastAsia" w:ascii="宋体" w:hAnsi="宋体" w:cs="宋体"/>
          <w:color w:val="auto"/>
          <w:highlight w:val="none"/>
          <w:lang w:eastAsia="en-US"/>
        </w:rPr>
        <w:t>内所有在岗人员，60分钟内集合合同规定的所有人员。紧急集结时，每少1人，</w:t>
      </w:r>
      <w:r>
        <w:rPr>
          <w:rFonts w:hint="eastAsia" w:ascii="宋体" w:hAnsi="宋体" w:cs="宋体"/>
          <w:color w:val="auto"/>
          <w:highlight w:val="none"/>
        </w:rPr>
        <w:t>甲方</w:t>
      </w:r>
      <w:r>
        <w:rPr>
          <w:rFonts w:hint="eastAsia" w:ascii="宋体" w:hAnsi="宋体" w:cs="宋体"/>
          <w:color w:val="auto"/>
          <w:highlight w:val="none"/>
          <w:lang w:eastAsia="en-US"/>
        </w:rPr>
        <w:t>有权从</w:t>
      </w:r>
      <w:r>
        <w:rPr>
          <w:rFonts w:hint="eastAsia" w:ascii="宋体" w:hAnsi="宋体" w:cs="宋体"/>
          <w:color w:val="auto"/>
          <w:highlight w:val="none"/>
        </w:rPr>
        <w:t>乙方当月服务费</w:t>
      </w:r>
      <w:r>
        <w:rPr>
          <w:rFonts w:hint="eastAsia" w:ascii="宋体" w:hAnsi="宋体" w:cs="宋体"/>
          <w:color w:val="auto"/>
          <w:highlight w:val="none"/>
          <w:lang w:eastAsia="en-US"/>
        </w:rPr>
        <w:t>中扣除2%。</w:t>
      </w:r>
    </w:p>
    <w:p w14:paraId="3F037D94">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3.甲方</w:t>
      </w:r>
      <w:r>
        <w:rPr>
          <w:rFonts w:hint="eastAsia" w:ascii="宋体" w:hAnsi="宋体" w:cs="宋体"/>
          <w:color w:val="auto"/>
          <w:highlight w:val="none"/>
          <w:lang w:eastAsia="en-US"/>
        </w:rPr>
        <w:t>有权要求</w:t>
      </w:r>
      <w:r>
        <w:rPr>
          <w:rFonts w:hint="eastAsia" w:ascii="宋体" w:hAnsi="宋体" w:cs="宋体"/>
          <w:color w:val="auto"/>
          <w:highlight w:val="none"/>
        </w:rPr>
        <w:t>乙方在三个工作日内</w:t>
      </w:r>
      <w:r>
        <w:rPr>
          <w:rFonts w:hint="eastAsia" w:ascii="宋体" w:hAnsi="宋体" w:cs="宋体"/>
          <w:color w:val="auto"/>
          <w:highlight w:val="none"/>
          <w:lang w:eastAsia="en-US"/>
        </w:rPr>
        <w:t>更换不服从管理、违纪或其他原因不适合继续在</w:t>
      </w:r>
      <w:r>
        <w:rPr>
          <w:rFonts w:hint="eastAsia" w:ascii="宋体" w:hAnsi="宋体" w:cs="宋体"/>
          <w:color w:val="auto"/>
          <w:highlight w:val="none"/>
        </w:rPr>
        <w:t>甲方</w:t>
      </w:r>
      <w:r>
        <w:rPr>
          <w:rFonts w:hint="eastAsia" w:ascii="宋体" w:hAnsi="宋体" w:cs="宋体"/>
          <w:color w:val="auto"/>
          <w:highlight w:val="none"/>
          <w:lang w:eastAsia="en-US"/>
        </w:rPr>
        <w:t>工作的保安人员。</w:t>
      </w:r>
    </w:p>
    <w:p w14:paraId="38EF46F8">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en-US"/>
        </w:rPr>
        <w:t>因</w:t>
      </w:r>
      <w:r>
        <w:rPr>
          <w:rFonts w:hint="eastAsia" w:ascii="宋体" w:hAnsi="宋体" w:cs="宋体"/>
          <w:color w:val="auto"/>
          <w:highlight w:val="none"/>
        </w:rPr>
        <w:t>甲方</w:t>
      </w:r>
      <w:r>
        <w:rPr>
          <w:rFonts w:hint="eastAsia" w:ascii="宋体" w:hAnsi="宋体" w:cs="宋体"/>
          <w:color w:val="auto"/>
          <w:highlight w:val="none"/>
          <w:lang w:eastAsia="en-US"/>
        </w:rPr>
        <w:t>举办重大活动需要临时增加安保力量的，有权要求</w:t>
      </w:r>
      <w:r>
        <w:rPr>
          <w:rFonts w:hint="eastAsia" w:ascii="宋体" w:hAnsi="宋体" w:cs="宋体"/>
          <w:color w:val="auto"/>
          <w:highlight w:val="none"/>
        </w:rPr>
        <w:t>乙方</w:t>
      </w:r>
      <w:r>
        <w:rPr>
          <w:rFonts w:hint="eastAsia" w:ascii="宋体" w:hAnsi="宋体" w:cs="宋体"/>
          <w:color w:val="auto"/>
          <w:highlight w:val="none"/>
          <w:lang w:eastAsia="en-US"/>
        </w:rPr>
        <w:t>临时增派适量安保人员</w:t>
      </w:r>
      <w:r>
        <w:rPr>
          <w:rFonts w:hint="eastAsia" w:ascii="宋体" w:hAnsi="宋体" w:cs="宋体"/>
          <w:color w:val="auto"/>
          <w:highlight w:val="none"/>
        </w:rPr>
        <w:t>。</w:t>
      </w:r>
    </w:p>
    <w:p w14:paraId="64787AE7">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5.</w:t>
      </w:r>
      <w:r>
        <w:rPr>
          <w:rFonts w:hint="eastAsia" w:ascii="宋体" w:hAnsi="宋体" w:cs="宋体"/>
          <w:color w:val="auto"/>
          <w:highlight w:val="none"/>
          <w:lang w:eastAsia="en-US"/>
        </w:rPr>
        <w:t>支持和配合</w:t>
      </w:r>
      <w:r>
        <w:rPr>
          <w:rFonts w:hint="eastAsia" w:ascii="宋体" w:hAnsi="宋体" w:cs="宋体"/>
          <w:color w:val="auto"/>
          <w:highlight w:val="none"/>
        </w:rPr>
        <w:t>乙方</w:t>
      </w:r>
      <w:r>
        <w:rPr>
          <w:rFonts w:hint="eastAsia" w:ascii="宋体" w:hAnsi="宋体" w:cs="宋体"/>
          <w:color w:val="auto"/>
          <w:highlight w:val="none"/>
          <w:lang w:eastAsia="en-US"/>
        </w:rPr>
        <w:t>履行职责的义务。</w:t>
      </w:r>
    </w:p>
    <w:p w14:paraId="4AEC1D7E">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6.</w:t>
      </w:r>
      <w:r>
        <w:rPr>
          <w:rFonts w:hint="eastAsia" w:ascii="宋体" w:hAnsi="宋体" w:cs="宋体"/>
          <w:color w:val="auto"/>
          <w:highlight w:val="none"/>
          <w:lang w:eastAsia="en-US"/>
        </w:rPr>
        <w:t>对</w:t>
      </w:r>
      <w:r>
        <w:rPr>
          <w:rFonts w:hint="eastAsia" w:ascii="宋体" w:hAnsi="宋体" w:cs="宋体"/>
          <w:color w:val="auto"/>
          <w:highlight w:val="none"/>
        </w:rPr>
        <w:t>医院</w:t>
      </w:r>
      <w:r>
        <w:rPr>
          <w:rFonts w:hint="eastAsia" w:ascii="宋体" w:hAnsi="宋体" w:cs="宋体"/>
          <w:color w:val="auto"/>
          <w:highlight w:val="none"/>
          <w:lang w:eastAsia="en-US"/>
        </w:rPr>
        <w:t>内各重点要害部位采取治安技防措施，依照有关标准配置消防器材。</w:t>
      </w:r>
    </w:p>
    <w:p w14:paraId="2D27C4A7">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7.</w:t>
      </w:r>
      <w:r>
        <w:rPr>
          <w:rFonts w:hint="eastAsia" w:ascii="宋体" w:hAnsi="宋体" w:cs="宋体"/>
          <w:color w:val="auto"/>
          <w:highlight w:val="none"/>
          <w:lang w:eastAsia="en-US"/>
        </w:rPr>
        <w:t>提供保安工作所需的器具：警械装备（钢叉、盾牌、T 型棍、电棒）、通讯设备（对讲机、电话机等）、手电筒（含电池）</w:t>
      </w:r>
      <w:r>
        <w:rPr>
          <w:rFonts w:hint="eastAsia" w:ascii="宋体" w:hAnsi="宋体" w:cs="宋体"/>
          <w:color w:val="auto"/>
          <w:highlight w:val="none"/>
        </w:rPr>
        <w:t>等警用物品。</w:t>
      </w:r>
    </w:p>
    <w:p w14:paraId="46AB4599">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8.</w:t>
      </w:r>
      <w:r>
        <w:rPr>
          <w:rFonts w:hint="eastAsia" w:ascii="宋体" w:hAnsi="宋体" w:cs="宋体"/>
          <w:color w:val="auto"/>
          <w:highlight w:val="none"/>
          <w:lang w:eastAsia="en-US"/>
        </w:rPr>
        <w:t>督促</w:t>
      </w:r>
      <w:r>
        <w:rPr>
          <w:rFonts w:hint="eastAsia" w:ascii="宋体" w:hAnsi="宋体" w:cs="宋体"/>
          <w:color w:val="auto"/>
          <w:highlight w:val="none"/>
        </w:rPr>
        <w:t>乙方</w:t>
      </w:r>
      <w:r>
        <w:rPr>
          <w:rFonts w:hint="eastAsia" w:ascii="宋体" w:hAnsi="宋体" w:cs="宋体"/>
          <w:color w:val="auto"/>
          <w:highlight w:val="none"/>
          <w:lang w:eastAsia="en-US"/>
        </w:rPr>
        <w:t>遵守国家有关法律以及国家用工制度与规定。</w:t>
      </w:r>
    </w:p>
    <w:p w14:paraId="19893406">
      <w:pPr>
        <w:spacing w:line="380" w:lineRule="exact"/>
        <w:ind w:firstLine="210" w:firstLineChars="1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w:t>
      </w:r>
      <w:r>
        <w:rPr>
          <w:rFonts w:hint="eastAsia" w:ascii="宋体" w:hAnsi="宋体" w:cs="宋体"/>
          <w:color w:val="auto"/>
          <w:szCs w:val="21"/>
          <w:highlight w:val="none"/>
        </w:rPr>
        <w:t>九</w:t>
      </w:r>
      <w:r>
        <w:rPr>
          <w:rFonts w:hint="eastAsia" w:ascii="宋体" w:hAnsi="宋体" w:cs="宋体"/>
          <w:color w:val="auto"/>
          <w:szCs w:val="21"/>
          <w:highlight w:val="none"/>
          <w:lang w:eastAsia="en-US"/>
        </w:rPr>
        <w:t>）乙方的权利义务</w:t>
      </w:r>
    </w:p>
    <w:p w14:paraId="714892AF">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1.</w:t>
      </w:r>
      <w:r>
        <w:rPr>
          <w:rFonts w:hint="eastAsia" w:ascii="宋体" w:hAnsi="宋体" w:cs="宋体"/>
          <w:color w:val="auto"/>
          <w:highlight w:val="none"/>
          <w:lang w:eastAsia="en-US"/>
        </w:rPr>
        <w:t>依照</w:t>
      </w:r>
      <w:r>
        <w:rPr>
          <w:rFonts w:hint="eastAsia" w:ascii="宋体" w:hAnsi="宋体" w:cs="宋体"/>
          <w:color w:val="auto"/>
          <w:highlight w:val="none"/>
        </w:rPr>
        <w:t>甲方</w:t>
      </w:r>
      <w:r>
        <w:rPr>
          <w:rFonts w:hint="eastAsia" w:ascii="宋体" w:hAnsi="宋体" w:cs="宋体"/>
          <w:color w:val="auto"/>
          <w:highlight w:val="none"/>
          <w:lang w:eastAsia="en-US"/>
        </w:rPr>
        <w:t>有关规定</w:t>
      </w:r>
      <w:r>
        <w:rPr>
          <w:rFonts w:hint="eastAsia"/>
          <w:lang w:val="en-US" w:eastAsia="zh-CN"/>
        </w:rPr>
        <w:t>和</w:t>
      </w:r>
      <w:r>
        <w:rPr>
          <w:rFonts w:hint="eastAsia" w:ascii="宋体" w:hAnsi="宋体" w:cs="宋体"/>
          <w:color w:val="auto"/>
          <w:highlight w:val="none"/>
          <w:lang w:eastAsia="en-US"/>
        </w:rPr>
        <w:t>合同约定，制定相应的保安工作制度，并具体实施。</w:t>
      </w:r>
    </w:p>
    <w:p w14:paraId="1364390D">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2.</w:t>
      </w:r>
      <w:r>
        <w:rPr>
          <w:rFonts w:hint="eastAsia" w:ascii="宋体" w:hAnsi="宋体" w:cs="宋体"/>
          <w:color w:val="auto"/>
          <w:highlight w:val="none"/>
          <w:lang w:eastAsia="en-US"/>
        </w:rPr>
        <w:t>按照</w:t>
      </w:r>
      <w:r>
        <w:rPr>
          <w:rFonts w:hint="eastAsia" w:ascii="宋体" w:hAnsi="宋体" w:cs="宋体"/>
          <w:color w:val="auto"/>
          <w:highlight w:val="none"/>
        </w:rPr>
        <w:t>甲方</w:t>
      </w:r>
      <w:r>
        <w:rPr>
          <w:rFonts w:hint="eastAsia" w:ascii="宋体" w:hAnsi="宋体" w:cs="宋体"/>
          <w:color w:val="auto"/>
          <w:highlight w:val="none"/>
          <w:lang w:eastAsia="en-US"/>
        </w:rPr>
        <w:t>拟定的岗位和要求派出管理人员和保安人员到</w:t>
      </w:r>
      <w:r>
        <w:rPr>
          <w:rFonts w:hint="eastAsia" w:ascii="宋体" w:hAnsi="宋体" w:cs="宋体"/>
          <w:color w:val="auto"/>
          <w:highlight w:val="none"/>
        </w:rPr>
        <w:t>甲方</w:t>
      </w:r>
      <w:r>
        <w:rPr>
          <w:rFonts w:hint="eastAsia" w:ascii="宋体" w:hAnsi="宋体" w:cs="宋体"/>
          <w:color w:val="auto"/>
          <w:highlight w:val="none"/>
          <w:lang w:eastAsia="en-US"/>
        </w:rPr>
        <w:t>要求的安全管理区域范围进行</w:t>
      </w:r>
      <w:r>
        <w:rPr>
          <w:rFonts w:hint="eastAsia" w:ascii="宋体" w:hAnsi="宋体" w:cs="宋体"/>
          <w:color w:val="auto"/>
          <w:highlight w:val="none"/>
        </w:rPr>
        <w:t>相应的安保工作</w:t>
      </w:r>
      <w:r>
        <w:rPr>
          <w:rFonts w:hint="eastAsia" w:ascii="宋体" w:hAnsi="宋体" w:cs="宋体"/>
          <w:color w:val="auto"/>
          <w:highlight w:val="none"/>
          <w:lang w:eastAsia="en-US"/>
        </w:rPr>
        <w:t>。</w:t>
      </w:r>
    </w:p>
    <w:p w14:paraId="371E7A22">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3.乙方</w:t>
      </w:r>
      <w:r>
        <w:rPr>
          <w:rFonts w:hint="eastAsia" w:ascii="宋体" w:hAnsi="宋体" w:cs="宋体"/>
          <w:color w:val="auto"/>
          <w:highlight w:val="none"/>
          <w:lang w:eastAsia="en-US"/>
        </w:rPr>
        <w:t>应当严格遵守国家以及</w:t>
      </w:r>
      <w:r>
        <w:rPr>
          <w:rFonts w:hint="eastAsia" w:ascii="宋体" w:hAnsi="宋体" w:cs="宋体"/>
          <w:color w:val="auto"/>
          <w:highlight w:val="none"/>
        </w:rPr>
        <w:t>甲方</w:t>
      </w:r>
      <w:r>
        <w:rPr>
          <w:rFonts w:hint="eastAsia" w:ascii="宋体" w:hAnsi="宋体" w:cs="宋体"/>
          <w:color w:val="auto"/>
          <w:highlight w:val="none"/>
          <w:lang w:eastAsia="en-US"/>
        </w:rPr>
        <w:t>有关规定，在维护安全管理区域内的公共秩序时，必须文明履行职责并保持服装整洁，维护</w:t>
      </w:r>
      <w:r>
        <w:rPr>
          <w:rFonts w:hint="eastAsia" w:ascii="宋体" w:hAnsi="宋体" w:cs="宋体"/>
          <w:color w:val="auto"/>
          <w:highlight w:val="none"/>
        </w:rPr>
        <w:t>甲方</w:t>
      </w:r>
      <w:r>
        <w:rPr>
          <w:rFonts w:hint="eastAsia" w:ascii="宋体" w:hAnsi="宋体" w:cs="宋体"/>
          <w:color w:val="auto"/>
          <w:highlight w:val="none"/>
          <w:lang w:eastAsia="en-US"/>
        </w:rPr>
        <w:t>的形象，不得侵害</w:t>
      </w:r>
      <w:r>
        <w:rPr>
          <w:rFonts w:hint="eastAsia" w:ascii="宋体" w:hAnsi="宋体" w:cs="宋体"/>
          <w:color w:val="auto"/>
          <w:highlight w:val="none"/>
        </w:rPr>
        <w:t>甲方</w:t>
      </w:r>
      <w:r>
        <w:rPr>
          <w:rFonts w:hint="eastAsia" w:ascii="宋体" w:hAnsi="宋体" w:cs="宋体"/>
          <w:color w:val="auto"/>
          <w:highlight w:val="none"/>
          <w:lang w:eastAsia="en-US"/>
        </w:rPr>
        <w:t>的合法权益。</w:t>
      </w:r>
    </w:p>
    <w:p w14:paraId="75C63B18">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4.</w:t>
      </w:r>
      <w:r>
        <w:rPr>
          <w:rFonts w:hint="eastAsia" w:ascii="宋体" w:hAnsi="宋体" w:cs="宋体"/>
          <w:color w:val="auto"/>
          <w:highlight w:val="none"/>
          <w:lang w:eastAsia="en-US"/>
        </w:rPr>
        <w:t>对所管理区域内治安、消防以及交通等项目进行服务管理。协助公安部门维护所管理区域治安秩序并主动制止违法犯罪行为，如盗窃、抢劫、抢夺、打架、斗殴，非法集会、上访、游行等。在本安全管理区域内发生治安案件或者各类灾害事故时，应当及时处理并向辖区公安部门和</w:t>
      </w:r>
      <w:r>
        <w:rPr>
          <w:rFonts w:hint="eastAsia" w:ascii="宋体" w:hAnsi="宋体" w:cs="宋体"/>
          <w:color w:val="auto"/>
          <w:highlight w:val="none"/>
        </w:rPr>
        <w:t>甲方</w:t>
      </w:r>
      <w:r>
        <w:rPr>
          <w:rFonts w:hint="eastAsia" w:ascii="宋体" w:hAnsi="宋体" w:cs="宋体"/>
          <w:color w:val="auto"/>
          <w:highlight w:val="none"/>
          <w:lang w:eastAsia="en-US"/>
        </w:rPr>
        <w:t>保卫</w:t>
      </w:r>
      <w:r>
        <w:rPr>
          <w:rFonts w:hint="eastAsia" w:ascii="宋体" w:hAnsi="宋体" w:cs="宋体"/>
          <w:color w:val="auto"/>
          <w:highlight w:val="none"/>
        </w:rPr>
        <w:t>部门</w:t>
      </w:r>
      <w:r>
        <w:rPr>
          <w:rFonts w:hint="eastAsia" w:ascii="宋体" w:hAnsi="宋体" w:cs="宋体"/>
          <w:color w:val="auto"/>
          <w:highlight w:val="none"/>
          <w:lang w:eastAsia="en-US"/>
        </w:rPr>
        <w:t>报告，维护好秩序，根据案情及时组织保安队员疏散人群，以及做好救助和调查工作。</w:t>
      </w:r>
    </w:p>
    <w:p w14:paraId="7ED29E19">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5.</w:t>
      </w:r>
      <w:r>
        <w:rPr>
          <w:rFonts w:hint="eastAsia" w:ascii="宋体" w:hAnsi="宋体" w:cs="宋体"/>
          <w:color w:val="auto"/>
          <w:highlight w:val="none"/>
          <w:lang w:eastAsia="en-US"/>
        </w:rPr>
        <w:t>在服务期内接受</w:t>
      </w:r>
      <w:r>
        <w:rPr>
          <w:rFonts w:hint="eastAsia" w:ascii="宋体" w:hAnsi="宋体" w:cs="宋体"/>
          <w:color w:val="auto"/>
          <w:highlight w:val="none"/>
        </w:rPr>
        <w:t>甲方</w:t>
      </w:r>
      <w:r>
        <w:rPr>
          <w:rFonts w:hint="eastAsia" w:ascii="宋体" w:hAnsi="宋体" w:cs="宋体"/>
          <w:color w:val="auto"/>
          <w:highlight w:val="none"/>
          <w:lang w:eastAsia="en-US"/>
        </w:rPr>
        <w:t>的考核、评议，</w:t>
      </w:r>
      <w:r>
        <w:rPr>
          <w:rFonts w:hint="eastAsia" w:ascii="宋体" w:hAnsi="宋体" w:cs="宋体"/>
          <w:color w:val="auto"/>
          <w:highlight w:val="none"/>
        </w:rPr>
        <w:t>医务人员</w:t>
      </w:r>
      <w:r>
        <w:rPr>
          <w:rFonts w:hint="eastAsia" w:ascii="宋体" w:hAnsi="宋体" w:cs="宋体"/>
          <w:color w:val="auto"/>
          <w:highlight w:val="none"/>
          <w:lang w:eastAsia="en-US"/>
        </w:rPr>
        <w:t>基本满意度达到 80%以上。</w:t>
      </w:r>
    </w:p>
    <w:p w14:paraId="5BFA6AF7">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6.乙方</w:t>
      </w:r>
      <w:r>
        <w:rPr>
          <w:rFonts w:hint="eastAsia" w:ascii="宋体" w:hAnsi="宋体" w:cs="宋体"/>
          <w:color w:val="auto"/>
          <w:highlight w:val="none"/>
          <w:lang w:eastAsia="en-US"/>
        </w:rPr>
        <w:t>的管理人员、保安人员的劳动纠纷、经济纠纷、工伤事故以及</w:t>
      </w:r>
      <w:r>
        <w:rPr>
          <w:rFonts w:hint="eastAsia" w:ascii="宋体" w:hAnsi="宋体" w:cs="宋体"/>
          <w:color w:val="auto"/>
          <w:highlight w:val="none"/>
        </w:rPr>
        <w:t>乙方</w:t>
      </w:r>
      <w:r>
        <w:rPr>
          <w:rFonts w:hint="eastAsia" w:ascii="宋体" w:hAnsi="宋体" w:cs="宋体"/>
          <w:color w:val="auto"/>
          <w:highlight w:val="none"/>
          <w:lang w:eastAsia="en-US"/>
        </w:rPr>
        <w:t>在执勤或者进行其他活动时致人伤害或造成他人财产损失的，由</w:t>
      </w:r>
      <w:r>
        <w:rPr>
          <w:rFonts w:hint="eastAsia" w:ascii="宋体" w:hAnsi="宋体" w:cs="宋体"/>
          <w:color w:val="auto"/>
          <w:highlight w:val="none"/>
        </w:rPr>
        <w:t>乙方</w:t>
      </w:r>
      <w:r>
        <w:rPr>
          <w:rFonts w:hint="eastAsia" w:ascii="宋体" w:hAnsi="宋体" w:cs="宋体"/>
          <w:color w:val="auto"/>
          <w:highlight w:val="none"/>
          <w:lang w:eastAsia="en-US"/>
        </w:rPr>
        <w:t>承担一切责任。</w:t>
      </w:r>
    </w:p>
    <w:p w14:paraId="77062E45">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7.</w:t>
      </w:r>
      <w:r>
        <w:rPr>
          <w:rFonts w:hint="eastAsia" w:ascii="宋体" w:hAnsi="宋体" w:cs="宋体"/>
          <w:color w:val="auto"/>
          <w:highlight w:val="none"/>
          <w:lang w:eastAsia="en-US"/>
        </w:rPr>
        <w:t>负责配备</w:t>
      </w:r>
      <w:r>
        <w:rPr>
          <w:rFonts w:hint="eastAsia" w:ascii="宋体" w:hAnsi="宋体" w:cs="宋体"/>
          <w:color w:val="auto"/>
          <w:highlight w:val="none"/>
        </w:rPr>
        <w:t>乙方</w:t>
      </w:r>
      <w:r>
        <w:rPr>
          <w:rFonts w:hint="eastAsia" w:ascii="宋体" w:hAnsi="宋体" w:cs="宋体"/>
          <w:color w:val="auto"/>
          <w:highlight w:val="none"/>
          <w:lang w:eastAsia="en-US"/>
        </w:rPr>
        <w:t>人员工作所需的服装及雨具以及常用办公耗材等</w:t>
      </w:r>
      <w:r>
        <w:rPr>
          <w:rFonts w:hint="eastAsia" w:ascii="宋体" w:hAnsi="宋体" w:cs="宋体"/>
          <w:color w:val="auto"/>
          <w:highlight w:val="none"/>
        </w:rPr>
        <w:t>及服务方案</w:t>
      </w:r>
      <w:r>
        <w:rPr>
          <w:rFonts w:hint="eastAsia" w:ascii="宋体" w:hAnsi="宋体" w:cs="宋体"/>
          <w:color w:val="auto"/>
          <w:highlight w:val="none"/>
          <w:lang w:eastAsia="en-US"/>
        </w:rPr>
        <w:t>承诺</w:t>
      </w:r>
      <w:r>
        <w:rPr>
          <w:rFonts w:hint="eastAsia" w:ascii="宋体" w:hAnsi="宋体" w:cs="宋体"/>
          <w:color w:val="auto"/>
          <w:highlight w:val="none"/>
        </w:rPr>
        <w:t>配置的设施设备</w:t>
      </w:r>
      <w:r>
        <w:rPr>
          <w:rFonts w:hint="eastAsia" w:ascii="宋体" w:hAnsi="宋体" w:cs="宋体"/>
          <w:color w:val="auto"/>
          <w:highlight w:val="none"/>
          <w:lang w:eastAsia="en-US"/>
        </w:rPr>
        <w:t>，要求各个岗位配齐以上装备（至少各一套）。</w:t>
      </w:r>
    </w:p>
    <w:p w14:paraId="4DBA3A8D">
      <w:pPr>
        <w:spacing w:line="380" w:lineRule="exact"/>
        <w:rPr>
          <w:rFonts w:hint="eastAsia" w:ascii="宋体" w:hAnsi="宋体" w:cs="宋体"/>
          <w:color w:val="auto"/>
          <w:highlight w:val="none"/>
          <w:lang w:eastAsia="en-US"/>
        </w:rPr>
      </w:pPr>
      <w:r>
        <w:rPr>
          <w:rFonts w:hint="eastAsia" w:ascii="宋体" w:hAnsi="宋体" w:cs="宋体"/>
          <w:color w:val="auto"/>
          <w:highlight w:val="none"/>
          <w:lang w:eastAsia="en-US"/>
        </w:rPr>
        <w:t xml:space="preserve"> </w:t>
      </w:r>
      <w:r>
        <w:rPr>
          <w:rFonts w:hint="eastAsia" w:ascii="宋体" w:hAnsi="宋体" w:cs="宋体"/>
          <w:color w:val="auto"/>
          <w:highlight w:val="none"/>
        </w:rPr>
        <w:t xml:space="preserve">   8. 甲方</w:t>
      </w:r>
      <w:r>
        <w:rPr>
          <w:rFonts w:hint="eastAsia" w:ascii="宋体" w:hAnsi="宋体" w:cs="宋体"/>
          <w:color w:val="auto"/>
          <w:highlight w:val="none"/>
          <w:lang w:eastAsia="en-US"/>
        </w:rPr>
        <w:t>没有向</w:t>
      </w:r>
      <w:r>
        <w:rPr>
          <w:rFonts w:hint="eastAsia" w:ascii="宋体" w:hAnsi="宋体" w:cs="宋体"/>
          <w:color w:val="auto"/>
          <w:highlight w:val="none"/>
        </w:rPr>
        <w:t>乙方</w:t>
      </w:r>
      <w:r>
        <w:rPr>
          <w:rFonts w:hint="eastAsia" w:ascii="宋体" w:hAnsi="宋体" w:cs="宋体"/>
          <w:color w:val="auto"/>
          <w:highlight w:val="none"/>
          <w:lang w:eastAsia="en-US"/>
        </w:rPr>
        <w:t>提供保安管理服务的办公、住宿用房的义务，如有提供，</w:t>
      </w:r>
      <w:r>
        <w:rPr>
          <w:rFonts w:hint="eastAsia" w:ascii="宋体" w:hAnsi="宋体" w:cs="宋体"/>
          <w:color w:val="auto"/>
          <w:highlight w:val="none"/>
        </w:rPr>
        <w:t>乙方</w:t>
      </w:r>
      <w:r>
        <w:rPr>
          <w:rFonts w:hint="eastAsia" w:ascii="宋体" w:hAnsi="宋体" w:cs="宋体"/>
          <w:color w:val="auto"/>
          <w:highlight w:val="none"/>
          <w:lang w:eastAsia="en-US"/>
        </w:rPr>
        <w:t>不得买卖，不得将</w:t>
      </w:r>
      <w:r>
        <w:rPr>
          <w:rFonts w:hint="eastAsia" w:ascii="宋体" w:hAnsi="宋体" w:cs="宋体"/>
          <w:color w:val="auto"/>
          <w:highlight w:val="none"/>
        </w:rPr>
        <w:t>甲方</w:t>
      </w:r>
      <w:r>
        <w:rPr>
          <w:rFonts w:hint="eastAsia" w:ascii="宋体" w:hAnsi="宋体" w:cs="宋体"/>
          <w:color w:val="auto"/>
          <w:highlight w:val="none"/>
          <w:lang w:eastAsia="en-US"/>
        </w:rPr>
        <w:t>提供的办公用房抵押或者改作他用，</w:t>
      </w:r>
      <w:r>
        <w:rPr>
          <w:rFonts w:hint="eastAsia" w:ascii="宋体" w:hAnsi="宋体" w:cs="宋体"/>
          <w:color w:val="auto"/>
          <w:highlight w:val="none"/>
        </w:rPr>
        <w:t>同时医院将追究乙方的法律责任</w:t>
      </w:r>
      <w:r>
        <w:rPr>
          <w:rFonts w:hint="eastAsia" w:ascii="宋体" w:hAnsi="宋体" w:cs="宋体"/>
          <w:color w:val="auto"/>
          <w:highlight w:val="none"/>
          <w:lang w:eastAsia="en-US"/>
        </w:rPr>
        <w:t>。</w:t>
      </w:r>
    </w:p>
    <w:p w14:paraId="3D7FFC75">
      <w:pPr>
        <w:spacing w:line="380" w:lineRule="exact"/>
        <w:rPr>
          <w:rFonts w:hint="eastAsia" w:ascii="宋体" w:hAnsi="宋体" w:cs="宋体"/>
          <w:color w:val="auto"/>
          <w:highlight w:val="none"/>
          <w:lang w:eastAsia="en-US"/>
        </w:rPr>
      </w:pPr>
      <w:r>
        <w:rPr>
          <w:rFonts w:hint="eastAsia" w:ascii="宋体" w:hAnsi="宋体" w:cs="宋体"/>
          <w:color w:val="auto"/>
          <w:highlight w:val="none"/>
          <w:lang w:eastAsia="en-US"/>
        </w:rPr>
        <w:t xml:space="preserve"> </w:t>
      </w:r>
      <w:r>
        <w:rPr>
          <w:rFonts w:hint="eastAsia" w:ascii="宋体" w:hAnsi="宋体" w:cs="宋体"/>
          <w:color w:val="auto"/>
          <w:highlight w:val="none"/>
        </w:rPr>
        <w:t xml:space="preserve">   9.乙方</w:t>
      </w:r>
      <w:r>
        <w:rPr>
          <w:rFonts w:hint="eastAsia" w:ascii="宋体" w:hAnsi="宋体" w:cs="宋体"/>
          <w:color w:val="auto"/>
          <w:highlight w:val="none"/>
          <w:lang w:eastAsia="en-US"/>
        </w:rPr>
        <w:t>不承担不属于</w:t>
      </w:r>
      <w:r>
        <w:rPr>
          <w:rFonts w:hint="eastAsia" w:ascii="宋体" w:hAnsi="宋体" w:cs="宋体"/>
          <w:color w:val="auto"/>
          <w:highlight w:val="none"/>
        </w:rPr>
        <w:t>乙方</w:t>
      </w:r>
      <w:r>
        <w:rPr>
          <w:rFonts w:hint="eastAsia" w:ascii="宋体" w:hAnsi="宋体" w:cs="宋体"/>
          <w:color w:val="auto"/>
          <w:highlight w:val="none"/>
          <w:lang w:eastAsia="en-US"/>
        </w:rPr>
        <w:t>责任范围内的治安刑事案件、意外事故、自然灾害等不可抗力因素对</w:t>
      </w:r>
      <w:r>
        <w:rPr>
          <w:rFonts w:hint="eastAsia" w:ascii="宋体" w:hAnsi="宋体" w:cs="宋体"/>
          <w:color w:val="auto"/>
          <w:highlight w:val="none"/>
        </w:rPr>
        <w:t>甲方</w:t>
      </w:r>
      <w:r>
        <w:rPr>
          <w:rFonts w:hint="eastAsia" w:ascii="宋体" w:hAnsi="宋体" w:cs="宋体"/>
          <w:color w:val="auto"/>
          <w:highlight w:val="none"/>
          <w:lang w:eastAsia="en-US"/>
        </w:rPr>
        <w:t>造成的人身财产损害赔偿责任。</w:t>
      </w:r>
    </w:p>
    <w:p w14:paraId="2E508607">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10.乙方</w:t>
      </w:r>
      <w:r>
        <w:rPr>
          <w:rFonts w:hint="eastAsia" w:ascii="宋体" w:hAnsi="宋体" w:cs="宋体"/>
          <w:color w:val="auto"/>
          <w:highlight w:val="none"/>
          <w:lang w:eastAsia="en-US"/>
        </w:rPr>
        <w:t>必须保证每班上岗人数满员并且每月组织保安队员进行1次以上的业务训练。</w:t>
      </w:r>
    </w:p>
    <w:p w14:paraId="0DD69293">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11.</w:t>
      </w:r>
      <w:r>
        <w:rPr>
          <w:rFonts w:hint="eastAsia" w:ascii="宋体" w:hAnsi="宋体" w:cs="宋体"/>
          <w:color w:val="auto"/>
          <w:highlight w:val="none"/>
          <w:lang w:eastAsia="en-US"/>
        </w:rPr>
        <w:t>为确保保安队伍的相对稳定，</w:t>
      </w:r>
      <w:r>
        <w:rPr>
          <w:rFonts w:hint="eastAsia" w:ascii="宋体" w:hAnsi="宋体" w:cs="宋体"/>
          <w:color w:val="auto"/>
          <w:highlight w:val="none"/>
        </w:rPr>
        <w:t>乙方</w:t>
      </w:r>
      <w:r>
        <w:rPr>
          <w:rFonts w:hint="eastAsia" w:ascii="宋体" w:hAnsi="宋体" w:cs="宋体"/>
          <w:color w:val="auto"/>
          <w:highlight w:val="none"/>
          <w:lang w:eastAsia="en-US"/>
        </w:rPr>
        <w:t>更换队员前需要事先向</w:t>
      </w:r>
      <w:r>
        <w:rPr>
          <w:rFonts w:hint="eastAsia" w:ascii="宋体" w:hAnsi="宋体" w:cs="宋体"/>
          <w:color w:val="auto"/>
          <w:highlight w:val="none"/>
        </w:rPr>
        <w:t>甲方</w:t>
      </w:r>
      <w:r>
        <w:rPr>
          <w:rFonts w:hint="eastAsia" w:ascii="宋体" w:hAnsi="宋体" w:cs="宋体"/>
          <w:color w:val="auto"/>
          <w:highlight w:val="none"/>
          <w:lang w:eastAsia="en-US"/>
        </w:rPr>
        <w:t>主管部门说明情况，更换队长或一次更换 3 名以上队员时，必须书面征得</w:t>
      </w:r>
      <w:r>
        <w:rPr>
          <w:rFonts w:hint="eastAsia" w:ascii="宋体" w:hAnsi="宋体" w:cs="宋体"/>
          <w:color w:val="auto"/>
          <w:highlight w:val="none"/>
        </w:rPr>
        <w:t>甲方</w:t>
      </w:r>
      <w:r>
        <w:rPr>
          <w:rFonts w:hint="eastAsia" w:ascii="宋体" w:hAnsi="宋体" w:cs="宋体"/>
          <w:color w:val="auto"/>
          <w:highlight w:val="none"/>
          <w:lang w:eastAsia="en-US"/>
        </w:rPr>
        <w:t>同意方可实施。</w:t>
      </w:r>
    </w:p>
    <w:p w14:paraId="1BE1855B">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12.</w:t>
      </w:r>
      <w:r>
        <w:rPr>
          <w:rFonts w:hint="eastAsia" w:ascii="宋体" w:hAnsi="宋体" w:cs="宋体"/>
          <w:color w:val="auto"/>
          <w:highlight w:val="none"/>
          <w:lang w:eastAsia="en-US"/>
        </w:rPr>
        <w:t>按照有关规定，按时足额发放保安人员的劳动报酬、福利、加班工资、中夜班等劳动收益，并按照有关规定为安保人员办理社会保险费。</w:t>
      </w:r>
      <w:r>
        <w:rPr>
          <w:rFonts w:hint="eastAsia"/>
          <w:color w:val="auto"/>
          <w:highlight w:val="none"/>
        </w:rPr>
        <w:t>因乙方不按时发放安保人员劳动报酬、福利、加班工资等，导致安保人员脱岗、消极怠工，属于乙方违约，按本合同第十条约定处理。因此给甲方造成损失的，乙方应当承担赔偿责任。</w:t>
      </w:r>
    </w:p>
    <w:p w14:paraId="16F14195">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13.</w:t>
      </w:r>
      <w:r>
        <w:rPr>
          <w:rFonts w:hint="eastAsia" w:ascii="宋体" w:hAnsi="宋体" w:cs="宋体"/>
          <w:color w:val="auto"/>
          <w:highlight w:val="none"/>
          <w:lang w:eastAsia="en-US"/>
        </w:rPr>
        <w:t>赔偿因</w:t>
      </w:r>
      <w:r>
        <w:rPr>
          <w:rFonts w:hint="eastAsia" w:ascii="宋体" w:hAnsi="宋体" w:cs="宋体"/>
          <w:color w:val="auto"/>
          <w:highlight w:val="none"/>
        </w:rPr>
        <w:t>乙方</w:t>
      </w:r>
      <w:r>
        <w:rPr>
          <w:rFonts w:hint="eastAsia" w:ascii="宋体" w:hAnsi="宋体" w:cs="宋体"/>
          <w:color w:val="auto"/>
          <w:highlight w:val="none"/>
          <w:lang w:eastAsia="en-US"/>
        </w:rPr>
        <w:t>责任造成</w:t>
      </w:r>
      <w:r>
        <w:rPr>
          <w:rFonts w:hint="eastAsia" w:ascii="宋体" w:hAnsi="宋体" w:cs="宋体"/>
          <w:color w:val="auto"/>
          <w:highlight w:val="none"/>
        </w:rPr>
        <w:t>甲方</w:t>
      </w:r>
      <w:r>
        <w:rPr>
          <w:rFonts w:hint="eastAsia" w:ascii="宋体" w:hAnsi="宋体" w:cs="宋体"/>
          <w:color w:val="auto"/>
          <w:highlight w:val="none"/>
          <w:lang w:eastAsia="en-US"/>
        </w:rPr>
        <w:t>的财产损失。</w:t>
      </w:r>
    </w:p>
    <w:p w14:paraId="5D13DD93">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14.</w:t>
      </w:r>
      <w:r>
        <w:rPr>
          <w:rFonts w:hint="eastAsia" w:ascii="宋体" w:hAnsi="宋体" w:cs="宋体"/>
          <w:color w:val="auto"/>
          <w:highlight w:val="none"/>
          <w:lang w:eastAsia="en-US"/>
        </w:rPr>
        <w:t>享有合法收取保安服务费用的权利，按照本合同附件考核内容对保安人员违反规定的行为进行批评教育和迅速做出处理，并及时将处理结果正式书面通报给</w:t>
      </w:r>
      <w:r>
        <w:rPr>
          <w:rFonts w:hint="eastAsia" w:ascii="宋体" w:hAnsi="宋体" w:cs="宋体"/>
          <w:color w:val="auto"/>
          <w:highlight w:val="none"/>
        </w:rPr>
        <w:t>甲方</w:t>
      </w:r>
      <w:r>
        <w:rPr>
          <w:rFonts w:hint="eastAsia" w:ascii="宋体" w:hAnsi="宋体" w:cs="宋体"/>
          <w:color w:val="auto"/>
          <w:highlight w:val="none"/>
          <w:lang w:eastAsia="en-US"/>
        </w:rPr>
        <w:t>，确保服务质量让</w:t>
      </w:r>
      <w:r>
        <w:rPr>
          <w:rFonts w:hint="eastAsia" w:ascii="宋体" w:hAnsi="宋体" w:cs="宋体"/>
          <w:color w:val="auto"/>
          <w:highlight w:val="none"/>
        </w:rPr>
        <w:t>甲方</w:t>
      </w:r>
      <w:r>
        <w:rPr>
          <w:rFonts w:hint="eastAsia" w:ascii="宋体" w:hAnsi="宋体" w:cs="宋体"/>
          <w:color w:val="auto"/>
          <w:highlight w:val="none"/>
          <w:lang w:eastAsia="en-US"/>
        </w:rPr>
        <w:t>满意。</w:t>
      </w:r>
    </w:p>
    <w:p w14:paraId="6D3F1FF9">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15.</w:t>
      </w:r>
      <w:r>
        <w:rPr>
          <w:rFonts w:hint="eastAsia" w:ascii="宋体" w:hAnsi="宋体" w:cs="宋体"/>
          <w:color w:val="auto"/>
          <w:highlight w:val="none"/>
          <w:lang w:eastAsia="en-US"/>
        </w:rPr>
        <w:t>履行</w:t>
      </w:r>
      <w:r>
        <w:rPr>
          <w:rFonts w:hint="eastAsia" w:ascii="宋体" w:hAnsi="宋体" w:cs="宋体"/>
          <w:color w:val="auto"/>
          <w:highlight w:val="none"/>
          <w:lang w:eastAsia="zh-CN"/>
        </w:rPr>
        <w:t>投标文件</w:t>
      </w:r>
      <w:r>
        <w:rPr>
          <w:rFonts w:hint="eastAsia" w:ascii="宋体" w:hAnsi="宋体" w:cs="宋体"/>
          <w:color w:val="auto"/>
          <w:highlight w:val="none"/>
          <w:lang w:eastAsia="en-US"/>
        </w:rPr>
        <w:t>中对</w:t>
      </w:r>
      <w:r>
        <w:rPr>
          <w:rFonts w:hint="eastAsia" w:ascii="宋体" w:hAnsi="宋体" w:cs="宋体"/>
          <w:color w:val="auto"/>
          <w:highlight w:val="none"/>
        </w:rPr>
        <w:t>甲方</w:t>
      </w:r>
      <w:r>
        <w:rPr>
          <w:rFonts w:hint="eastAsia" w:ascii="宋体" w:hAnsi="宋体" w:cs="宋体"/>
          <w:color w:val="auto"/>
          <w:highlight w:val="none"/>
          <w:lang w:eastAsia="en-US"/>
        </w:rPr>
        <w:t>的承诺。</w:t>
      </w:r>
    </w:p>
    <w:p w14:paraId="27EF4511">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w:t>
      </w:r>
      <w:r>
        <w:rPr>
          <w:rFonts w:hint="eastAsia" w:ascii="宋体" w:hAnsi="宋体" w:cs="宋体"/>
          <w:color w:val="auto"/>
          <w:szCs w:val="21"/>
          <w:highlight w:val="none"/>
        </w:rPr>
        <w:t>十</w:t>
      </w:r>
      <w:r>
        <w:rPr>
          <w:rFonts w:hint="eastAsia" w:ascii="宋体" w:hAnsi="宋体" w:cs="宋体"/>
          <w:color w:val="auto"/>
          <w:szCs w:val="21"/>
          <w:highlight w:val="none"/>
          <w:lang w:eastAsia="en-US"/>
        </w:rPr>
        <w:t>）处罚标准及解除合同条款</w:t>
      </w:r>
    </w:p>
    <w:p w14:paraId="4C6A490E">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rPr>
        <w:t>甲方</w:t>
      </w:r>
      <w:r>
        <w:rPr>
          <w:rFonts w:hint="eastAsia" w:ascii="宋体" w:hAnsi="宋体" w:cs="宋体"/>
          <w:color w:val="auto"/>
          <w:highlight w:val="none"/>
          <w:lang w:eastAsia="en-US"/>
        </w:rPr>
        <w:t>保卫</w:t>
      </w:r>
      <w:r>
        <w:rPr>
          <w:rFonts w:hint="eastAsia" w:ascii="宋体" w:hAnsi="宋体" w:cs="宋体"/>
          <w:color w:val="auto"/>
          <w:highlight w:val="none"/>
        </w:rPr>
        <w:t>部门</w:t>
      </w:r>
      <w:r>
        <w:rPr>
          <w:rFonts w:hint="eastAsia" w:ascii="宋体" w:hAnsi="宋体" w:cs="宋体"/>
          <w:color w:val="auto"/>
          <w:highlight w:val="none"/>
          <w:lang w:eastAsia="en-US"/>
        </w:rPr>
        <w:t>负责每月对</w:t>
      </w:r>
      <w:r>
        <w:rPr>
          <w:rFonts w:hint="eastAsia" w:ascii="宋体" w:hAnsi="宋体" w:cs="宋体"/>
          <w:color w:val="auto"/>
          <w:highlight w:val="none"/>
        </w:rPr>
        <w:t>乙方</w:t>
      </w:r>
      <w:r>
        <w:rPr>
          <w:rFonts w:hint="eastAsia" w:ascii="宋体" w:hAnsi="宋体" w:cs="宋体"/>
          <w:color w:val="auto"/>
          <w:highlight w:val="none"/>
          <w:lang w:eastAsia="en-US"/>
        </w:rPr>
        <w:t>保安队伍进行考核，在工作中发现保安人员存在以下违规违纪行为者，</w:t>
      </w:r>
      <w:r>
        <w:rPr>
          <w:rFonts w:hint="eastAsia" w:ascii="宋体" w:hAnsi="宋体" w:cs="宋体"/>
          <w:color w:val="auto"/>
          <w:highlight w:val="none"/>
        </w:rPr>
        <w:t>甲方</w:t>
      </w:r>
      <w:r>
        <w:rPr>
          <w:rFonts w:hint="eastAsia" w:ascii="宋体" w:hAnsi="宋体" w:cs="宋体"/>
          <w:color w:val="auto"/>
          <w:highlight w:val="none"/>
          <w:lang w:eastAsia="en-US"/>
        </w:rPr>
        <w:t>将对</w:t>
      </w:r>
      <w:r>
        <w:rPr>
          <w:rFonts w:hint="eastAsia" w:ascii="宋体" w:hAnsi="宋体" w:cs="宋体"/>
          <w:color w:val="auto"/>
          <w:highlight w:val="none"/>
        </w:rPr>
        <w:t>乙方</w:t>
      </w:r>
      <w:r>
        <w:rPr>
          <w:rFonts w:hint="eastAsia" w:ascii="宋体" w:hAnsi="宋体" w:cs="宋体"/>
          <w:color w:val="auto"/>
          <w:highlight w:val="none"/>
          <w:lang w:eastAsia="en-US"/>
        </w:rPr>
        <w:t>进行扣罚、解除合同处理，扣罚金额从</w:t>
      </w:r>
      <w:r>
        <w:rPr>
          <w:rFonts w:hint="eastAsia" w:ascii="宋体" w:hAnsi="宋体" w:cs="宋体"/>
          <w:color w:val="auto"/>
          <w:highlight w:val="none"/>
        </w:rPr>
        <w:t>乙方服务费</w:t>
      </w:r>
      <w:r>
        <w:rPr>
          <w:rFonts w:hint="eastAsia" w:ascii="宋体" w:hAnsi="宋体" w:cs="宋体"/>
          <w:color w:val="auto"/>
          <w:highlight w:val="none"/>
          <w:lang w:eastAsia="en-US"/>
        </w:rPr>
        <w:t>中扣除：</w:t>
      </w:r>
    </w:p>
    <w:p w14:paraId="41E606E8">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1.值班期间有睡岗，未按规定着装、酗酒上岗等违反值班规定的，发现一次扣罚 500 元。</w:t>
      </w:r>
    </w:p>
    <w:p w14:paraId="132F7093">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2.在大门有违规收费现象，利用职权弄虚作假的，发现一次扣罚 1000 元。</w:t>
      </w:r>
    </w:p>
    <w:p w14:paraId="52853768">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3.各岗位未按合同要求配备装备的，发现一次扣罚 500 元。</w:t>
      </w:r>
    </w:p>
    <w:p w14:paraId="570B3280">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4.不服从</w:t>
      </w:r>
      <w:r>
        <w:rPr>
          <w:rFonts w:hint="eastAsia" w:ascii="宋体" w:hAnsi="宋体" w:cs="宋体"/>
          <w:color w:val="auto"/>
          <w:highlight w:val="none"/>
        </w:rPr>
        <w:t>甲方</w:t>
      </w:r>
      <w:r>
        <w:rPr>
          <w:rFonts w:hint="eastAsia" w:ascii="宋体" w:hAnsi="宋体" w:cs="宋体"/>
          <w:color w:val="auto"/>
          <w:highlight w:val="none"/>
          <w:lang w:eastAsia="en-US"/>
        </w:rPr>
        <w:t>保卫</w:t>
      </w:r>
      <w:r>
        <w:rPr>
          <w:rFonts w:hint="eastAsia" w:ascii="宋体" w:hAnsi="宋体" w:cs="宋体"/>
          <w:color w:val="auto"/>
          <w:highlight w:val="none"/>
        </w:rPr>
        <w:t>部门</w:t>
      </w:r>
      <w:r>
        <w:rPr>
          <w:rFonts w:hint="eastAsia" w:ascii="宋体" w:hAnsi="宋体" w:cs="宋体"/>
          <w:color w:val="auto"/>
          <w:highlight w:val="none"/>
          <w:lang w:eastAsia="en-US"/>
        </w:rPr>
        <w:t>管理的，每人次扣罚 1000 元。</w:t>
      </w:r>
    </w:p>
    <w:p w14:paraId="5D796BF3">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5.值班人员在岗时不按规定检查离</w:t>
      </w:r>
      <w:r>
        <w:rPr>
          <w:rFonts w:hint="eastAsia" w:ascii="宋体" w:hAnsi="宋体" w:cs="宋体"/>
          <w:color w:val="auto"/>
          <w:highlight w:val="none"/>
        </w:rPr>
        <w:t>院</w:t>
      </w:r>
      <w:r>
        <w:rPr>
          <w:rFonts w:hint="eastAsia" w:ascii="宋体" w:hAnsi="宋体" w:cs="宋体"/>
          <w:color w:val="auto"/>
          <w:highlight w:val="none"/>
          <w:lang w:eastAsia="en-US"/>
        </w:rPr>
        <w:t>物资出门证，导致</w:t>
      </w:r>
      <w:r>
        <w:rPr>
          <w:rFonts w:hint="eastAsia" w:ascii="宋体" w:hAnsi="宋体" w:cs="宋体"/>
          <w:color w:val="auto"/>
          <w:highlight w:val="none"/>
        </w:rPr>
        <w:t>医院</w:t>
      </w:r>
      <w:r>
        <w:rPr>
          <w:rFonts w:hint="eastAsia" w:ascii="宋体" w:hAnsi="宋体" w:cs="宋体"/>
          <w:color w:val="auto"/>
          <w:highlight w:val="none"/>
          <w:lang w:eastAsia="en-US"/>
        </w:rPr>
        <w:t>及</w:t>
      </w:r>
      <w:r>
        <w:rPr>
          <w:rFonts w:hint="eastAsia" w:ascii="宋体" w:hAnsi="宋体" w:cs="宋体"/>
          <w:color w:val="auto"/>
          <w:highlight w:val="none"/>
        </w:rPr>
        <w:t>医务人员</w:t>
      </w:r>
      <w:r>
        <w:rPr>
          <w:rFonts w:hint="eastAsia" w:ascii="宋体" w:hAnsi="宋体" w:cs="宋体"/>
          <w:color w:val="auto"/>
          <w:highlight w:val="none"/>
          <w:lang w:eastAsia="en-US"/>
        </w:rPr>
        <w:t>财物流失的，除照价赔偿外，每次扣罚 1000 元。</w:t>
      </w:r>
    </w:p>
    <w:p w14:paraId="75E87B9B">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6.由于失职而造成重大事故的，</w:t>
      </w:r>
      <w:r>
        <w:rPr>
          <w:rFonts w:hint="eastAsia" w:ascii="宋体" w:hAnsi="宋体" w:cs="宋体"/>
          <w:color w:val="auto"/>
          <w:highlight w:val="none"/>
        </w:rPr>
        <w:t>乙方</w:t>
      </w:r>
      <w:r>
        <w:rPr>
          <w:rFonts w:hint="eastAsia" w:ascii="宋体" w:hAnsi="宋体" w:cs="宋体"/>
          <w:color w:val="auto"/>
          <w:highlight w:val="none"/>
          <w:lang w:eastAsia="en-US"/>
        </w:rPr>
        <w:t>须赔偿一切经济损失，并将责任人移交公安机关处理，同时每次扣罚 2000 元。</w:t>
      </w:r>
    </w:p>
    <w:p w14:paraId="2CB3D82D">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7.私自动用</w:t>
      </w:r>
      <w:r>
        <w:rPr>
          <w:rFonts w:hint="eastAsia" w:ascii="宋体" w:hAnsi="宋体" w:cs="宋体"/>
          <w:color w:val="auto"/>
          <w:highlight w:val="none"/>
        </w:rPr>
        <w:t>医院</w:t>
      </w:r>
      <w:r>
        <w:rPr>
          <w:rFonts w:hint="eastAsia" w:ascii="宋体" w:hAnsi="宋体" w:cs="宋体"/>
          <w:color w:val="auto"/>
          <w:highlight w:val="none"/>
          <w:lang w:eastAsia="en-US"/>
        </w:rPr>
        <w:t>公私财物，并造成损失者，照价赔偿外，每次扣罚 1000 元。</w:t>
      </w:r>
    </w:p>
    <w:p w14:paraId="2B34AB8C">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8.</w:t>
      </w:r>
      <w:r>
        <w:rPr>
          <w:rFonts w:hint="eastAsia" w:ascii="宋体" w:hAnsi="宋体" w:cs="宋体"/>
          <w:color w:val="auto"/>
          <w:highlight w:val="none"/>
        </w:rPr>
        <w:t>乙方</w:t>
      </w:r>
      <w:r>
        <w:rPr>
          <w:rFonts w:hint="eastAsia" w:ascii="宋体" w:hAnsi="宋体" w:cs="宋体"/>
          <w:color w:val="auto"/>
          <w:highlight w:val="none"/>
          <w:lang w:eastAsia="en-US"/>
        </w:rPr>
        <w:t>保安人员如有偷盗或其他违法犯罪行为，</w:t>
      </w:r>
      <w:r>
        <w:rPr>
          <w:rFonts w:hint="eastAsia" w:ascii="宋体" w:hAnsi="宋体" w:cs="宋体"/>
          <w:color w:val="auto"/>
          <w:highlight w:val="none"/>
        </w:rPr>
        <w:t>乙方</w:t>
      </w:r>
      <w:r>
        <w:rPr>
          <w:rFonts w:hint="eastAsia" w:ascii="宋体" w:hAnsi="宋体" w:cs="宋体"/>
          <w:color w:val="auto"/>
          <w:highlight w:val="none"/>
          <w:lang w:eastAsia="en-US"/>
        </w:rPr>
        <w:t>必须承担一切经济损失和法律责任，每次扣罚 1 万元。</w:t>
      </w:r>
    </w:p>
    <w:p w14:paraId="12CA9407">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9.</w:t>
      </w:r>
      <w:r>
        <w:rPr>
          <w:rFonts w:hint="eastAsia" w:ascii="宋体" w:hAnsi="宋体" w:cs="宋体"/>
          <w:color w:val="auto"/>
          <w:highlight w:val="none"/>
        </w:rPr>
        <w:t>乙方</w:t>
      </w:r>
      <w:r>
        <w:rPr>
          <w:rFonts w:hint="eastAsia" w:ascii="宋体" w:hAnsi="宋体" w:cs="宋体"/>
          <w:color w:val="auto"/>
          <w:highlight w:val="none"/>
          <w:lang w:eastAsia="en-US"/>
        </w:rPr>
        <w:t>保安人员粗暴值勤，造成不良后果，须赔偿一切经济损失，责任人移交公安部门处理外，每人次扣罚 5000 元。</w:t>
      </w:r>
    </w:p>
    <w:p w14:paraId="4A211EC1">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10.</w:t>
      </w:r>
      <w:r>
        <w:rPr>
          <w:rFonts w:hint="eastAsia" w:ascii="宋体" w:hAnsi="宋体" w:cs="宋体"/>
          <w:color w:val="auto"/>
          <w:highlight w:val="none"/>
        </w:rPr>
        <w:t>乙方</w:t>
      </w:r>
      <w:r>
        <w:rPr>
          <w:rFonts w:hint="eastAsia" w:ascii="宋体" w:hAnsi="宋体" w:cs="宋体"/>
          <w:color w:val="auto"/>
          <w:highlight w:val="none"/>
          <w:lang w:eastAsia="en-US"/>
        </w:rPr>
        <w:t>保安人员在值班期间被发现有脱岗情况的，每人次扣罚 1000 元，须赔偿一切经济损失，若造成重大损失的（5万元以上），每人次扣罚2万元。</w:t>
      </w:r>
    </w:p>
    <w:p w14:paraId="4E1D3021">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11.其它工作不到位造成严重影响的，依照以上作相应处理。</w:t>
      </w:r>
    </w:p>
    <w:p w14:paraId="4C4E964D">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处罚金额累计达到3万</w:t>
      </w:r>
      <w:r>
        <w:rPr>
          <w:rFonts w:hint="eastAsia"/>
          <w:lang w:val="en-US" w:eastAsia="zh-CN"/>
        </w:rPr>
        <w:t>元</w:t>
      </w:r>
      <w:r>
        <w:rPr>
          <w:rFonts w:hint="eastAsia" w:ascii="宋体" w:hAnsi="宋体" w:cs="宋体"/>
          <w:color w:val="auto"/>
          <w:highlight w:val="none"/>
          <w:lang w:eastAsia="en-US"/>
        </w:rPr>
        <w:t>或造成重大经济损失超过5万元，</w:t>
      </w:r>
      <w:r>
        <w:rPr>
          <w:rFonts w:hint="eastAsia" w:ascii="宋体" w:hAnsi="宋体" w:cs="宋体"/>
          <w:color w:val="auto"/>
          <w:highlight w:val="none"/>
        </w:rPr>
        <w:t>医院</w:t>
      </w:r>
      <w:r>
        <w:rPr>
          <w:rFonts w:hint="eastAsia" w:ascii="宋体" w:hAnsi="宋体" w:cs="宋体"/>
          <w:color w:val="auto"/>
          <w:highlight w:val="none"/>
          <w:lang w:eastAsia="en-US"/>
        </w:rPr>
        <w:t>有权解除合同。</w:t>
      </w:r>
    </w:p>
    <w:p w14:paraId="404DF264">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第四条 服务质量保证</w:t>
      </w:r>
    </w:p>
    <w:p w14:paraId="2E567DAC">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乙方应按招标文件规定的服务要求及内容、投标文件的承诺向甲方提供相应的保安服务。</w:t>
      </w:r>
    </w:p>
    <w:p w14:paraId="6397DFD6">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第五条 权利保证</w:t>
      </w:r>
    </w:p>
    <w:p w14:paraId="03A90167">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乙方应保证所提供服务在使用时不会侵犯任何第三方的其他权利。</w:t>
      </w:r>
    </w:p>
    <w:p w14:paraId="13119271">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第六条 服务条件</w:t>
      </w:r>
    </w:p>
    <w:p w14:paraId="612699AF">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甲方应提供必要服务条件（如电源、水源等）。</w:t>
      </w:r>
    </w:p>
    <w:p w14:paraId="2C1C0D1B">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第七条 税费</w:t>
      </w:r>
    </w:p>
    <w:p w14:paraId="540DBA0B">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本合同执行中相关的一切税费均由乙方负担。</w:t>
      </w:r>
    </w:p>
    <w:p w14:paraId="28CF75DA">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第八条 付款方式</w:t>
      </w:r>
    </w:p>
    <w:p w14:paraId="3B15D710">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付款方式：</w:t>
      </w:r>
      <w:r>
        <w:rPr>
          <w:rFonts w:hint="eastAsia" w:ascii="宋体" w:hAnsi="宋体" w:eastAsia="宋体" w:cs="宋体"/>
          <w:color w:val="auto"/>
          <w:sz w:val="21"/>
          <w:szCs w:val="21"/>
          <w:highlight w:val="none"/>
        </w:rPr>
        <w:t>服务总费用实行按月支付（</w:t>
      </w:r>
      <w:r>
        <w:rPr>
          <w:rFonts w:hint="eastAsia" w:ascii="宋体" w:hAnsi="宋体" w:eastAsia="宋体" w:cs="宋体"/>
          <w:color w:val="auto"/>
          <w:kern w:val="0"/>
          <w:sz w:val="21"/>
          <w:szCs w:val="21"/>
          <w:highlight w:val="none"/>
        </w:rPr>
        <w:t>按合同总金额平均分配到合同期内的每个月</w:t>
      </w:r>
      <w:r>
        <w:rPr>
          <w:rFonts w:hint="eastAsia" w:ascii="宋体" w:hAnsi="宋体" w:eastAsia="宋体" w:cs="宋体"/>
          <w:color w:val="auto"/>
          <w:sz w:val="21"/>
          <w:szCs w:val="21"/>
          <w:highlight w:val="none"/>
        </w:rPr>
        <w:t>），并于每月10日以前</w:t>
      </w:r>
      <w:r>
        <w:rPr>
          <w:rFonts w:hint="eastAsia" w:ascii="宋体" w:hAnsi="宋体" w:cs="宋体"/>
          <w:color w:val="auto"/>
          <w:sz w:val="21"/>
          <w:szCs w:val="21"/>
          <w:highlight w:val="none"/>
          <w:lang w:eastAsia="zh-CN"/>
        </w:rPr>
        <w:t>开具发票后</w:t>
      </w:r>
      <w:r>
        <w:rPr>
          <w:rFonts w:hint="eastAsia" w:ascii="宋体" w:hAnsi="宋体" w:eastAsia="宋体" w:cs="宋体"/>
          <w:color w:val="auto"/>
          <w:sz w:val="21"/>
          <w:szCs w:val="21"/>
          <w:highlight w:val="none"/>
        </w:rPr>
        <w:t>（遇休息日或法定节假日则顺延）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采购人</w:t>
      </w:r>
      <w:r>
        <w:rPr>
          <w:rFonts w:hint="eastAsia" w:ascii="宋体" w:hAnsi="宋体" w:cs="宋体"/>
          <w:color w:val="auto"/>
          <w:sz w:val="21"/>
          <w:szCs w:val="21"/>
          <w:highlight w:val="none"/>
          <w:lang w:eastAsia="zh-CN"/>
        </w:rPr>
        <w:t>在</w:t>
      </w:r>
      <w:r>
        <w:rPr>
          <w:rFonts w:hint="eastAsia" w:ascii="宋体" w:hAnsi="宋体" w:cs="宋体"/>
          <w:color w:val="auto"/>
          <w:sz w:val="21"/>
          <w:szCs w:val="21"/>
          <w:highlight w:val="none"/>
          <w:lang w:val="en-US" w:eastAsia="zh-CN"/>
        </w:rPr>
        <w:t>30个日历日内</w:t>
      </w:r>
      <w:r>
        <w:rPr>
          <w:rFonts w:hint="eastAsia" w:ascii="宋体" w:hAnsi="宋体" w:eastAsia="宋体" w:cs="宋体"/>
          <w:color w:val="auto"/>
          <w:sz w:val="21"/>
          <w:szCs w:val="21"/>
          <w:highlight w:val="none"/>
        </w:rPr>
        <w:t>以转账方式将上月的服务费（经采购人考核后产生的实际服务费）足额转至</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指定账户，否则，采购人有权拒绝付费且不承担任何责任。</w:t>
      </w:r>
    </w:p>
    <w:p w14:paraId="07441FF1">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lang w:eastAsia="en-US"/>
        </w:rPr>
        <w:t>乙方账户</w:t>
      </w:r>
    </w:p>
    <w:p w14:paraId="3ECB15A4">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全称：</w:t>
      </w:r>
    </w:p>
    <w:p w14:paraId="46545A66">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开户行：</w:t>
      </w:r>
    </w:p>
    <w:p w14:paraId="125A581E">
      <w:pPr>
        <w:spacing w:line="380" w:lineRule="exact"/>
        <w:ind w:firstLine="420" w:firstLineChars="200"/>
        <w:rPr>
          <w:rFonts w:hint="eastAsia" w:ascii="宋体" w:hAnsi="宋体" w:cs="宋体"/>
          <w:color w:val="auto"/>
          <w:highlight w:val="none"/>
          <w:lang w:eastAsia="en-US"/>
        </w:rPr>
      </w:pPr>
      <w:r>
        <w:rPr>
          <w:rFonts w:hint="eastAsia" w:ascii="宋体" w:hAnsi="宋体" w:cs="宋体"/>
          <w:color w:val="auto"/>
          <w:highlight w:val="none"/>
          <w:lang w:eastAsia="en-US"/>
        </w:rPr>
        <w:t>账号：</w:t>
      </w:r>
    </w:p>
    <w:p w14:paraId="789ECD11">
      <w:pPr>
        <w:spacing w:line="380" w:lineRule="exact"/>
        <w:rPr>
          <w:rFonts w:hint="eastAsia" w:ascii="宋体" w:hAnsi="宋体" w:cs="宋体"/>
          <w:b/>
          <w:bCs/>
          <w:color w:val="auto"/>
          <w:szCs w:val="21"/>
          <w:highlight w:val="none"/>
        </w:rPr>
      </w:pPr>
      <w:r>
        <w:rPr>
          <w:rFonts w:hint="eastAsia" w:ascii="宋体" w:hAnsi="宋体" w:cs="宋体"/>
          <w:b/>
          <w:bCs/>
          <w:color w:val="auto"/>
          <w:szCs w:val="21"/>
          <w:highlight w:val="none"/>
          <w:lang w:eastAsia="en-US"/>
        </w:rPr>
        <w:t>第九条 履约保证金</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本项目不需要</w:t>
      </w:r>
      <w:r>
        <w:rPr>
          <w:rFonts w:hint="eastAsia" w:ascii="宋体" w:hAnsi="宋体" w:cs="宋体"/>
          <w:b/>
          <w:bCs/>
          <w:color w:val="auto"/>
          <w:szCs w:val="21"/>
          <w:highlight w:val="none"/>
        </w:rPr>
        <w:t>缴纳</w:t>
      </w:r>
      <w:r>
        <w:rPr>
          <w:rFonts w:hint="eastAsia" w:ascii="宋体" w:hAnsi="宋体" w:cs="宋体"/>
          <w:b/>
          <w:bCs/>
          <w:color w:val="auto"/>
          <w:szCs w:val="21"/>
          <w:highlight w:val="none"/>
          <w:lang w:val="en-US" w:eastAsia="zh-CN"/>
        </w:rPr>
        <w:t>履约保证金</w:t>
      </w:r>
      <w:r>
        <w:rPr>
          <w:rFonts w:hint="eastAsia" w:ascii="宋体" w:hAnsi="宋体" w:cs="宋体"/>
          <w:b/>
          <w:bCs/>
          <w:color w:val="auto"/>
          <w:szCs w:val="21"/>
          <w:highlight w:val="none"/>
        </w:rPr>
        <w:t>)</w:t>
      </w:r>
    </w:p>
    <w:p w14:paraId="620F78F6">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第十条 违约责任</w:t>
      </w:r>
    </w:p>
    <w:p w14:paraId="65E07A93">
      <w:pPr>
        <w:snapToGrid w:val="0"/>
        <w:spacing w:line="380" w:lineRule="exact"/>
        <w:ind w:firstLine="420" w:firstLineChars="200"/>
        <w:outlineLvl w:val="1"/>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1.甲、乙双方应严格履行合同，除不可抗力情况外，致使本合同不能履行时，甲乙双方均无权提</w:t>
      </w:r>
      <w:r>
        <w:rPr>
          <w:rFonts w:hint="eastAsia" w:ascii="宋体" w:hAnsi="宋体" w:cs="宋体"/>
          <w:color w:val="auto"/>
          <w:szCs w:val="21"/>
          <w:highlight w:val="none"/>
        </w:rPr>
        <w:t>前</w:t>
      </w:r>
      <w:r>
        <w:rPr>
          <w:rFonts w:hint="eastAsia" w:ascii="宋体" w:hAnsi="宋体" w:cs="宋体"/>
          <w:color w:val="auto"/>
          <w:szCs w:val="21"/>
          <w:highlight w:val="none"/>
          <w:lang w:eastAsia="en-US"/>
        </w:rPr>
        <w:t>终止本合同。</w:t>
      </w:r>
    </w:p>
    <w:p w14:paraId="4E549680">
      <w:pPr>
        <w:snapToGrid w:val="0"/>
        <w:spacing w:line="380" w:lineRule="exact"/>
        <w:ind w:firstLine="420" w:firstLineChars="200"/>
        <w:outlineLvl w:val="1"/>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2.乙方拒绝履行招标文件规定及投标文件承诺的，经甲方书面通知后又不改正的情况下，甲方有权提前终止本合同。</w:t>
      </w:r>
    </w:p>
    <w:p w14:paraId="1DCCB654">
      <w:pPr>
        <w:snapToGrid w:val="0"/>
        <w:spacing w:line="380" w:lineRule="exact"/>
        <w:ind w:firstLine="420" w:firstLineChars="200"/>
        <w:outlineLvl w:val="1"/>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3．乙方提供的服务如侵犯了第三方合法权益而引发的任何纠纷或诉讼，均由乙方负责交涉并承担全部责任。</w:t>
      </w:r>
    </w:p>
    <w:p w14:paraId="2CD1BBE8">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4．乙方自进驻之日起必须按本招标文件要求向甲方提供保安服务，项目执行过程中，甲方根据本招标文件要求对乙方提供的保安服务进行持续的考核，考核结果达不到本招标文件要求的，视为乙方违约，甲方有权终止合同执行，同时报相关监督管理部门处理，由此造成甲方经济损失的由乙方承担 全部赔偿责任。</w:t>
      </w:r>
    </w:p>
    <w:p w14:paraId="4CE74AC8">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5</w:t>
      </w:r>
      <w:r>
        <w:rPr>
          <w:rFonts w:hint="eastAsia" w:ascii="宋体" w:hAnsi="宋体" w:cs="宋体"/>
          <w:color w:val="auto"/>
          <w:szCs w:val="21"/>
          <w:highlight w:val="none"/>
        </w:rPr>
        <w:t>.</w:t>
      </w:r>
      <w:r>
        <w:rPr>
          <w:rFonts w:hint="eastAsia"/>
          <w:color w:val="auto"/>
          <w:highlight w:val="none"/>
        </w:rPr>
        <w:t>乙方未按合同和招标文件中规定的服务承诺提供服务的属违约，每次需向甲方支付违约金1000元，超出5次的，甲方有权解除合同。</w:t>
      </w:r>
    </w:p>
    <w:p w14:paraId="1AFD4C1A">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6．其它违约行为按违约合同价款额 3%收取违约金并赔偿经济损失。</w:t>
      </w:r>
    </w:p>
    <w:p w14:paraId="3755A10D">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第十一条 不可抗力事件处理</w:t>
      </w:r>
    </w:p>
    <w:p w14:paraId="4E124735">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 在合同有效期内，任何一方因不可抗力事件导致不能履行合同，则合同履行期可延长，其延长期与不可抗力影响期相同。</w:t>
      </w:r>
    </w:p>
    <w:p w14:paraId="2B383964">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2. 不可抗力事件发生后，应立即通知对方，并寄送有关权威机构出具的证明。</w:t>
      </w:r>
    </w:p>
    <w:p w14:paraId="29BF6AD9">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3. 不可抗力事件延续一百二十天以上，双方应通过友好协商，确定是否继续履行合同。</w:t>
      </w:r>
    </w:p>
    <w:p w14:paraId="3C3BC09C">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第十二条 合同争议解决</w:t>
      </w:r>
    </w:p>
    <w:p w14:paraId="1252D500">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1．因服务质量问题发生争议的，应邀请国家认可的质量检测机构对服务质量进行鉴定。服务符合标准的，鉴定费由甲方承担；服务不符合标准的，鉴定费由乙方承担。</w:t>
      </w:r>
    </w:p>
    <w:p w14:paraId="76670F44">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2．因履行本合同引起的或与本合同有关的争议，甲乙双方应首先通过友好协商解决，如果协商不能解决，可向仲裁委员会申请仲裁或向</w:t>
      </w:r>
      <w:r>
        <w:rPr>
          <w:rFonts w:hint="eastAsia" w:ascii="宋体" w:hAnsi="宋体" w:cs="宋体"/>
          <w:color w:val="auto"/>
          <w:highlight w:val="none"/>
        </w:rPr>
        <w:t>甲方</w:t>
      </w:r>
      <w:r>
        <w:rPr>
          <w:rFonts w:hint="eastAsia" w:ascii="宋体" w:hAnsi="宋体" w:cs="宋体"/>
          <w:color w:val="auto"/>
          <w:szCs w:val="21"/>
          <w:highlight w:val="none"/>
          <w:lang w:eastAsia="en-US"/>
        </w:rPr>
        <w:t>人民法院提起诉讼。</w:t>
      </w:r>
    </w:p>
    <w:p w14:paraId="5B082CB6">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3．诉讼期间，本合同继续履行。</w:t>
      </w:r>
    </w:p>
    <w:p w14:paraId="11DD3474">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第十三条 诉讼</w:t>
      </w:r>
    </w:p>
    <w:p w14:paraId="4C6A3D6A">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双方在执行合同中所发生的一切争议，应通过协商解决。如协商不能解决，</w:t>
      </w:r>
      <w:r>
        <w:rPr>
          <w:rFonts w:hint="eastAsia"/>
          <w:color w:val="auto"/>
          <w:highlight w:val="none"/>
        </w:rPr>
        <w:t>可向甲方所在地人民法院提起诉讼。</w:t>
      </w:r>
    </w:p>
    <w:p w14:paraId="7C946BEF">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第十四条 合同生效及其它</w:t>
      </w:r>
    </w:p>
    <w:p w14:paraId="6256CB71">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 合同经双方法定代表人或被授权人签字并加盖单位公章后生效。</w:t>
      </w:r>
    </w:p>
    <w:p w14:paraId="74219DC4">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2.合同执行中涉及采购资金和采购内容修改或补充的 ，须经</w:t>
      </w:r>
      <w:r>
        <w:rPr>
          <w:rFonts w:hint="eastAsia" w:ascii="宋体" w:hAnsi="宋体" w:cs="宋体"/>
          <w:color w:val="auto"/>
          <w:highlight w:val="none"/>
        </w:rPr>
        <w:t>甲方</w:t>
      </w:r>
      <w:r>
        <w:rPr>
          <w:rFonts w:hint="eastAsia" w:ascii="宋体" w:hAnsi="宋体" w:cs="宋体"/>
          <w:color w:val="auto"/>
          <w:szCs w:val="21"/>
          <w:highlight w:val="none"/>
        </w:rPr>
        <w:t>监督管理</w:t>
      </w:r>
      <w:r>
        <w:rPr>
          <w:rFonts w:hint="eastAsia" w:ascii="宋体" w:hAnsi="宋体" w:cs="宋体"/>
          <w:color w:val="auto"/>
          <w:szCs w:val="21"/>
          <w:highlight w:val="none"/>
          <w:lang w:eastAsia="en-US"/>
        </w:rPr>
        <w:t>部门审批，并</w:t>
      </w:r>
      <w:r>
        <w:rPr>
          <w:rFonts w:hint="eastAsia" w:ascii="宋体" w:hAnsi="宋体" w:cs="宋体"/>
          <w:color w:val="auto"/>
          <w:szCs w:val="21"/>
          <w:highlight w:val="none"/>
        </w:rPr>
        <w:t>签订</w:t>
      </w:r>
      <w:r>
        <w:rPr>
          <w:rFonts w:hint="eastAsia" w:ascii="宋体" w:hAnsi="宋体" w:cs="宋体"/>
          <w:color w:val="auto"/>
          <w:szCs w:val="21"/>
          <w:highlight w:val="none"/>
          <w:lang w:eastAsia="en-US"/>
        </w:rPr>
        <w:t>书面补充协议报</w:t>
      </w:r>
      <w:r>
        <w:rPr>
          <w:rFonts w:hint="eastAsia" w:ascii="宋体" w:hAnsi="宋体" w:cs="宋体"/>
          <w:color w:val="auto"/>
          <w:highlight w:val="none"/>
        </w:rPr>
        <w:t>甲方</w:t>
      </w:r>
      <w:r>
        <w:rPr>
          <w:rFonts w:hint="eastAsia" w:ascii="宋体" w:hAnsi="宋体" w:cs="宋体"/>
          <w:color w:val="auto"/>
          <w:szCs w:val="21"/>
          <w:highlight w:val="none"/>
        </w:rPr>
        <w:t>监督管理</w:t>
      </w:r>
      <w:r>
        <w:rPr>
          <w:rFonts w:hint="eastAsia" w:ascii="宋体" w:hAnsi="宋体" w:cs="宋体"/>
          <w:color w:val="auto"/>
          <w:szCs w:val="21"/>
          <w:highlight w:val="none"/>
          <w:lang w:eastAsia="en-US"/>
        </w:rPr>
        <w:t>部门备案，方可作为主合同不可分割的一部分。</w:t>
      </w:r>
    </w:p>
    <w:p w14:paraId="05DB43F4">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3.本合同未尽事宜，遵照《中华人民共和国</w:t>
      </w:r>
      <w:r>
        <w:rPr>
          <w:rFonts w:hint="eastAsia" w:ascii="宋体" w:hAnsi="宋体" w:cs="宋体"/>
          <w:color w:val="auto"/>
          <w:szCs w:val="21"/>
          <w:highlight w:val="none"/>
        </w:rPr>
        <w:t>民法典</w:t>
      </w:r>
      <w:r>
        <w:rPr>
          <w:rFonts w:hint="eastAsia" w:ascii="宋体" w:hAnsi="宋体" w:cs="宋体"/>
          <w:color w:val="auto"/>
          <w:szCs w:val="21"/>
          <w:highlight w:val="none"/>
          <w:lang w:eastAsia="en-US"/>
        </w:rPr>
        <w:t>》有关条文执行。</w:t>
      </w:r>
    </w:p>
    <w:p w14:paraId="0FB524A1">
      <w:pPr>
        <w:spacing w:line="380" w:lineRule="exact"/>
        <w:rPr>
          <w:rFonts w:hint="eastAsia" w:ascii="宋体" w:hAnsi="宋体" w:cs="宋体"/>
          <w:b/>
          <w:bCs/>
          <w:color w:val="auto"/>
          <w:szCs w:val="21"/>
          <w:highlight w:val="none"/>
          <w:lang w:eastAsia="en-US"/>
        </w:rPr>
      </w:pPr>
      <w:r>
        <w:rPr>
          <w:rFonts w:hint="eastAsia" w:ascii="宋体" w:hAnsi="宋体" w:cs="宋体"/>
          <w:b/>
          <w:bCs/>
          <w:color w:val="auto"/>
          <w:szCs w:val="21"/>
          <w:highlight w:val="none"/>
          <w:lang w:eastAsia="en-US"/>
        </w:rPr>
        <w:t>第十五条 合同的变更、终止与转让</w:t>
      </w:r>
    </w:p>
    <w:p w14:paraId="440D14CE">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1．除《中华人民共和国</w:t>
      </w:r>
      <w:r>
        <w:rPr>
          <w:rFonts w:hint="eastAsia" w:ascii="宋体" w:hAnsi="宋体" w:cs="宋体"/>
          <w:color w:val="auto"/>
          <w:szCs w:val="21"/>
          <w:highlight w:val="none"/>
        </w:rPr>
        <w:t>民法典</w:t>
      </w:r>
      <w:r>
        <w:rPr>
          <w:rFonts w:hint="eastAsia" w:ascii="宋体" w:hAnsi="宋体" w:cs="宋体"/>
          <w:color w:val="auto"/>
          <w:szCs w:val="21"/>
          <w:highlight w:val="none"/>
          <w:lang w:eastAsia="en-US"/>
        </w:rPr>
        <w:t>》规定的情形外，本合同一经签订，甲乙双方不得擅自变更、中止或终止。</w:t>
      </w:r>
    </w:p>
    <w:p w14:paraId="20D204C8">
      <w:pPr>
        <w:spacing w:line="380" w:lineRule="exact"/>
        <w:ind w:firstLine="420" w:firstLineChars="20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2．乙方不得擅自转让其应履行的合同义务。</w:t>
      </w:r>
    </w:p>
    <w:p w14:paraId="5CF8ECDD">
      <w:pPr>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第十</w:t>
      </w:r>
      <w:r>
        <w:rPr>
          <w:rFonts w:hint="eastAsia" w:ascii="宋体" w:hAnsi="宋体" w:cs="宋体"/>
          <w:b/>
          <w:color w:val="000000"/>
          <w:szCs w:val="21"/>
          <w:lang w:val="en-US" w:eastAsia="zh-CN"/>
        </w:rPr>
        <w:t>六</w:t>
      </w:r>
      <w:r>
        <w:rPr>
          <w:rFonts w:hint="eastAsia" w:ascii="宋体" w:hAnsi="宋体" w:cs="宋体"/>
          <w:b/>
          <w:color w:val="000000"/>
          <w:szCs w:val="21"/>
        </w:rPr>
        <w:t>条　本合同书与下列文件一起构成合同文件</w:t>
      </w:r>
    </w:p>
    <w:p w14:paraId="4F64E96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1、中标通知书；</w:t>
      </w:r>
    </w:p>
    <w:p w14:paraId="7F41124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2、投标函</w:t>
      </w:r>
    </w:p>
    <w:p w14:paraId="4DA2CCC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3、商务条款偏离表和服务要求偏离表；</w:t>
      </w:r>
    </w:p>
    <w:p w14:paraId="08581F4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4、采购需求；</w:t>
      </w:r>
    </w:p>
    <w:p w14:paraId="093E1E3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5、开标一览表；</w:t>
      </w:r>
    </w:p>
    <w:p w14:paraId="6660CD3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6、其他合同文件。</w:t>
      </w:r>
    </w:p>
    <w:p w14:paraId="4E0EE53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7、上述合同文件互相补充和解释。如果合同文件之间存在矛盾或者不一致之处，以上述文件的排列顺序在先者为准。</w:t>
      </w:r>
    </w:p>
    <w:p w14:paraId="2E20CB59">
      <w:pPr>
        <w:spacing w:line="360" w:lineRule="auto"/>
        <w:ind w:firstLine="422" w:firstLineChars="200"/>
        <w:rPr>
          <w:rFonts w:hint="eastAsia" w:ascii="宋体" w:hAnsi="宋体" w:cs="宋体"/>
          <w:color w:val="000000"/>
          <w:szCs w:val="21"/>
        </w:rPr>
      </w:pPr>
      <w:r>
        <w:rPr>
          <w:rFonts w:hint="eastAsia" w:ascii="宋体" w:hAnsi="宋体" w:cs="宋体"/>
          <w:b/>
          <w:color w:val="000000"/>
          <w:szCs w:val="21"/>
        </w:rPr>
        <w:t>第十</w:t>
      </w:r>
      <w:r>
        <w:rPr>
          <w:rFonts w:hint="eastAsia" w:ascii="宋体" w:hAnsi="宋体" w:cs="宋体"/>
          <w:b/>
          <w:color w:val="000000"/>
          <w:szCs w:val="21"/>
          <w:lang w:val="en-US" w:eastAsia="zh-CN"/>
        </w:rPr>
        <w:t>七</w:t>
      </w:r>
      <w:r>
        <w:rPr>
          <w:rFonts w:hint="eastAsia" w:ascii="宋体" w:hAnsi="宋体" w:cs="宋体"/>
          <w:b/>
          <w:color w:val="000000"/>
          <w:szCs w:val="21"/>
        </w:rPr>
        <w:t>条　</w:t>
      </w:r>
      <w:r>
        <w:rPr>
          <w:rFonts w:hint="eastAsia" w:ascii="宋体" w:hAnsi="宋体" w:cs="宋体"/>
          <w:color w:val="000000"/>
          <w:szCs w:val="21"/>
        </w:rPr>
        <w:t>本合同一式四份，具有同等法律效力，财政部门（政府采购监管部门）、采购代理机构各一份，甲乙双方各一份（可根据需要另增加）。</w:t>
      </w:r>
    </w:p>
    <w:p w14:paraId="35F126F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本合同甲乙双方签字盖章后生效，自签订之日起七个工作日内，甲方应当将合同副本报同级财政部门备案。</w:t>
      </w:r>
    </w:p>
    <w:p w14:paraId="307F420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本合同自签订之日起2个工作日内，甲方应当将采购合同在广西壮族自治区财政厅指定的媒体上公告。</w:t>
      </w:r>
    </w:p>
    <w:tbl>
      <w:tblPr>
        <w:tblStyle w:val="23"/>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483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20CAA197">
            <w:pPr>
              <w:snapToGrid w:val="0"/>
              <w:spacing w:line="360" w:lineRule="auto"/>
              <w:rPr>
                <w:rFonts w:hint="eastAsia" w:ascii="宋体" w:hAnsi="宋体" w:cs="宋体"/>
                <w:color w:val="000000"/>
                <w:szCs w:val="21"/>
              </w:rPr>
            </w:pPr>
            <w:r>
              <w:rPr>
                <w:rFonts w:hint="eastAsia" w:ascii="宋体" w:hAnsi="宋体" w:cs="宋体"/>
                <w:color w:val="000000"/>
                <w:szCs w:val="21"/>
              </w:rPr>
              <w:t>甲方：（章）</w:t>
            </w:r>
          </w:p>
          <w:p w14:paraId="7EA04ED1">
            <w:pPr>
              <w:snapToGrid w:val="0"/>
              <w:spacing w:line="360" w:lineRule="auto"/>
              <w:rPr>
                <w:rFonts w:hint="eastAsia" w:ascii="宋体" w:hAnsi="宋体" w:cs="宋体"/>
                <w:color w:val="000000"/>
                <w:szCs w:val="21"/>
              </w:rPr>
            </w:pPr>
          </w:p>
          <w:p w14:paraId="6D4D54E0">
            <w:pPr>
              <w:snapToGrid w:val="0"/>
              <w:spacing w:line="360" w:lineRule="auto"/>
              <w:rPr>
                <w:rFonts w:hint="eastAsia" w:ascii="宋体" w:hAnsi="宋体" w:cs="宋体"/>
                <w:color w:val="000000"/>
                <w:szCs w:val="21"/>
              </w:rPr>
            </w:pPr>
          </w:p>
          <w:p w14:paraId="62A5334A">
            <w:pPr>
              <w:snapToGrid w:val="0"/>
              <w:spacing w:line="360" w:lineRule="auto"/>
              <w:ind w:firstLine="945" w:firstLineChars="450"/>
              <w:jc w:val="right"/>
              <w:rPr>
                <w:rFonts w:hint="eastAsia" w:ascii="宋体" w:hAnsi="宋体" w:cs="宋体"/>
                <w:color w:val="000000"/>
                <w:szCs w:val="21"/>
              </w:rPr>
            </w:pPr>
          </w:p>
          <w:p w14:paraId="7B046AE5">
            <w:pPr>
              <w:snapToGrid w:val="0"/>
              <w:spacing w:line="360" w:lineRule="auto"/>
              <w:ind w:firstLine="945" w:firstLineChars="450"/>
              <w:jc w:val="right"/>
              <w:rPr>
                <w:rFonts w:hint="eastAsia" w:ascii="宋体" w:hAnsi="宋体" w:cs="宋体"/>
                <w:color w:val="000000"/>
                <w:szCs w:val="21"/>
              </w:rPr>
            </w:pPr>
            <w:r>
              <w:rPr>
                <w:rFonts w:hint="eastAsia" w:ascii="宋体" w:hAnsi="宋体" w:cs="宋体"/>
                <w:color w:val="000000"/>
                <w:szCs w:val="21"/>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5BD22081">
            <w:pPr>
              <w:snapToGrid w:val="0"/>
              <w:spacing w:line="360" w:lineRule="auto"/>
              <w:rPr>
                <w:rFonts w:hint="eastAsia" w:ascii="宋体" w:hAnsi="宋体" w:cs="宋体"/>
                <w:color w:val="000000"/>
                <w:szCs w:val="21"/>
              </w:rPr>
            </w:pPr>
            <w:r>
              <w:rPr>
                <w:rFonts w:hint="eastAsia" w:ascii="宋体" w:hAnsi="宋体" w:cs="宋体"/>
                <w:color w:val="000000"/>
                <w:szCs w:val="21"/>
              </w:rPr>
              <w:t xml:space="preserve">乙方：（章）       </w:t>
            </w:r>
          </w:p>
          <w:p w14:paraId="4109E76A">
            <w:pPr>
              <w:snapToGrid w:val="0"/>
              <w:spacing w:line="360" w:lineRule="auto"/>
              <w:rPr>
                <w:rFonts w:hint="eastAsia" w:ascii="宋体" w:hAnsi="宋体" w:cs="宋体"/>
                <w:color w:val="000000"/>
                <w:szCs w:val="21"/>
              </w:rPr>
            </w:pPr>
          </w:p>
          <w:p w14:paraId="3A69FDF2">
            <w:pPr>
              <w:snapToGrid w:val="0"/>
              <w:spacing w:line="360" w:lineRule="auto"/>
              <w:rPr>
                <w:rFonts w:hint="eastAsia" w:ascii="宋体" w:hAnsi="宋体" w:cs="宋体"/>
                <w:color w:val="000000"/>
                <w:szCs w:val="21"/>
              </w:rPr>
            </w:pPr>
            <w:r>
              <w:rPr>
                <w:rFonts w:hint="eastAsia" w:ascii="宋体" w:hAnsi="宋体" w:cs="宋体"/>
                <w:color w:val="000000"/>
                <w:szCs w:val="21"/>
              </w:rPr>
              <w:t xml:space="preserve">       </w:t>
            </w:r>
          </w:p>
          <w:p w14:paraId="590B7351">
            <w:pPr>
              <w:snapToGrid w:val="0"/>
              <w:spacing w:line="360" w:lineRule="auto"/>
              <w:jc w:val="right"/>
              <w:rPr>
                <w:rFonts w:hint="eastAsia" w:ascii="宋体" w:hAnsi="宋体" w:cs="宋体"/>
                <w:color w:val="000000"/>
                <w:szCs w:val="21"/>
              </w:rPr>
            </w:pPr>
          </w:p>
          <w:p w14:paraId="695DE671">
            <w:pPr>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 年   月   日</w:t>
            </w:r>
          </w:p>
        </w:tc>
      </w:tr>
      <w:tr w14:paraId="0ACB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5309AFA">
            <w:pPr>
              <w:snapToGrid w:val="0"/>
              <w:spacing w:line="360" w:lineRule="auto"/>
              <w:rPr>
                <w:rFonts w:hint="eastAsia" w:ascii="宋体" w:hAnsi="宋体" w:cs="宋体"/>
                <w:color w:val="000000"/>
                <w:szCs w:val="21"/>
              </w:rPr>
            </w:pPr>
            <w:r>
              <w:rPr>
                <w:rFonts w:hint="eastAsia" w:ascii="宋体" w:hAnsi="宋体" w:cs="宋体"/>
                <w:color w:val="000000"/>
                <w:szCs w:val="21"/>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60F82BC4">
            <w:pPr>
              <w:snapToGrid w:val="0"/>
              <w:spacing w:line="360" w:lineRule="auto"/>
              <w:rPr>
                <w:rFonts w:hint="eastAsia" w:ascii="宋体" w:hAnsi="宋体" w:cs="宋体"/>
                <w:color w:val="000000"/>
                <w:szCs w:val="21"/>
              </w:rPr>
            </w:pPr>
            <w:r>
              <w:rPr>
                <w:rFonts w:hint="eastAsia" w:ascii="宋体" w:hAnsi="宋体" w:cs="宋体"/>
                <w:color w:val="000000"/>
                <w:szCs w:val="21"/>
              </w:rPr>
              <w:t xml:space="preserve">单位地址： </w:t>
            </w:r>
          </w:p>
        </w:tc>
      </w:tr>
      <w:tr w14:paraId="2539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C3293F8">
            <w:pPr>
              <w:snapToGrid w:val="0"/>
              <w:spacing w:line="360" w:lineRule="auto"/>
              <w:rPr>
                <w:rFonts w:hint="eastAsia" w:ascii="宋体" w:hAnsi="宋体" w:cs="宋体"/>
                <w:color w:val="000000"/>
                <w:szCs w:val="21"/>
              </w:rPr>
            </w:pPr>
            <w:r>
              <w:rPr>
                <w:rFonts w:hint="eastAsia" w:ascii="宋体" w:hAnsi="宋体" w:cs="宋体"/>
                <w:color w:val="000000"/>
                <w:szCs w:val="21"/>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4EA467D5">
            <w:pPr>
              <w:snapToGrid w:val="0"/>
              <w:spacing w:line="360" w:lineRule="auto"/>
              <w:rPr>
                <w:rFonts w:hint="eastAsia" w:ascii="宋体" w:hAnsi="宋体" w:cs="宋体"/>
                <w:color w:val="000000"/>
                <w:szCs w:val="21"/>
              </w:rPr>
            </w:pPr>
            <w:r>
              <w:rPr>
                <w:rFonts w:hint="eastAsia" w:ascii="宋体" w:hAnsi="宋体" w:cs="宋体"/>
                <w:color w:val="000000"/>
                <w:szCs w:val="21"/>
              </w:rPr>
              <w:t>法定代表人：</w:t>
            </w:r>
          </w:p>
        </w:tc>
      </w:tr>
      <w:tr w14:paraId="5C7F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F0D5A69">
            <w:pPr>
              <w:snapToGrid w:val="0"/>
              <w:spacing w:line="360" w:lineRule="auto"/>
              <w:rPr>
                <w:rFonts w:hint="eastAsia" w:ascii="宋体" w:hAnsi="宋体" w:cs="宋体"/>
                <w:color w:val="000000"/>
                <w:szCs w:val="21"/>
              </w:rPr>
            </w:pPr>
            <w:r>
              <w:rPr>
                <w:rFonts w:hint="eastAsia" w:ascii="宋体" w:hAnsi="宋体" w:cs="宋体"/>
                <w:color w:val="000000"/>
                <w:szCs w:val="21"/>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3D8BBE38">
            <w:pPr>
              <w:snapToGrid w:val="0"/>
              <w:spacing w:line="360" w:lineRule="auto"/>
              <w:rPr>
                <w:rFonts w:hint="eastAsia" w:ascii="宋体" w:hAnsi="宋体" w:cs="宋体"/>
                <w:color w:val="000000"/>
                <w:szCs w:val="21"/>
              </w:rPr>
            </w:pPr>
            <w:r>
              <w:rPr>
                <w:rFonts w:hint="eastAsia" w:ascii="宋体" w:hAnsi="宋体" w:cs="宋体"/>
                <w:color w:val="000000"/>
                <w:szCs w:val="21"/>
              </w:rPr>
              <w:t>委托代理人：</w:t>
            </w:r>
          </w:p>
        </w:tc>
      </w:tr>
      <w:tr w14:paraId="0144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DA4BDEC">
            <w:pPr>
              <w:snapToGrid w:val="0"/>
              <w:spacing w:line="360" w:lineRule="auto"/>
              <w:rPr>
                <w:rFonts w:hint="eastAsia" w:ascii="宋体" w:hAnsi="宋体" w:cs="宋体"/>
                <w:color w:val="000000"/>
                <w:szCs w:val="21"/>
              </w:rPr>
            </w:pPr>
            <w:r>
              <w:rPr>
                <w:rFonts w:hint="eastAsia" w:ascii="宋体" w:hAnsi="宋体" w:cs="宋体"/>
                <w:color w:val="000000"/>
                <w:szCs w:val="21"/>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2591E56E">
            <w:pPr>
              <w:snapToGrid w:val="0"/>
              <w:spacing w:line="360" w:lineRule="auto"/>
              <w:rPr>
                <w:rFonts w:hint="eastAsia" w:ascii="宋体" w:hAnsi="宋体" w:cs="宋体"/>
                <w:color w:val="000000"/>
                <w:szCs w:val="21"/>
              </w:rPr>
            </w:pPr>
            <w:r>
              <w:rPr>
                <w:rFonts w:hint="eastAsia" w:ascii="宋体" w:hAnsi="宋体" w:cs="宋体"/>
                <w:color w:val="000000"/>
                <w:szCs w:val="21"/>
              </w:rPr>
              <w:t>电话：</w:t>
            </w:r>
          </w:p>
        </w:tc>
      </w:tr>
      <w:tr w14:paraId="392B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AC67EF0">
            <w:pPr>
              <w:snapToGrid w:val="0"/>
              <w:spacing w:line="360" w:lineRule="auto"/>
              <w:rPr>
                <w:rFonts w:hint="eastAsia" w:ascii="宋体" w:hAnsi="宋体" w:cs="宋体"/>
                <w:color w:val="000000"/>
                <w:szCs w:val="21"/>
              </w:rPr>
            </w:pPr>
            <w:r>
              <w:rPr>
                <w:rFonts w:hint="eastAsia" w:ascii="宋体" w:hAnsi="宋体" w:cs="宋体"/>
                <w:color w:val="000000"/>
                <w:szCs w:val="21"/>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66E10BB6">
            <w:pPr>
              <w:snapToGrid w:val="0"/>
              <w:spacing w:line="360" w:lineRule="auto"/>
              <w:rPr>
                <w:rFonts w:hint="eastAsia" w:ascii="宋体" w:hAnsi="宋体" w:cs="宋体"/>
                <w:color w:val="000000"/>
                <w:szCs w:val="21"/>
              </w:rPr>
            </w:pPr>
            <w:r>
              <w:rPr>
                <w:rFonts w:hint="eastAsia" w:ascii="宋体" w:hAnsi="宋体" w:cs="宋体"/>
                <w:color w:val="000000"/>
                <w:szCs w:val="21"/>
              </w:rPr>
              <w:t xml:space="preserve">开户银行： </w:t>
            </w:r>
          </w:p>
        </w:tc>
      </w:tr>
      <w:tr w14:paraId="71B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13350A5">
            <w:pPr>
              <w:snapToGrid w:val="0"/>
              <w:spacing w:line="360" w:lineRule="auto"/>
              <w:rPr>
                <w:rFonts w:hint="eastAsia" w:ascii="宋体" w:hAnsi="宋体" w:cs="宋体"/>
                <w:color w:val="000000"/>
                <w:szCs w:val="21"/>
              </w:rPr>
            </w:pPr>
            <w:r>
              <w:rPr>
                <w:rFonts w:hint="eastAsia" w:ascii="宋体" w:hAnsi="宋体" w:cs="宋体"/>
                <w:color w:val="000000"/>
                <w:szCs w:val="21"/>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61A77853">
            <w:pPr>
              <w:snapToGrid w:val="0"/>
              <w:spacing w:line="360" w:lineRule="auto"/>
              <w:rPr>
                <w:rFonts w:hint="eastAsia" w:ascii="宋体" w:hAnsi="宋体" w:cs="宋体"/>
                <w:color w:val="000000"/>
                <w:szCs w:val="21"/>
              </w:rPr>
            </w:pPr>
            <w:r>
              <w:rPr>
                <w:rFonts w:hint="eastAsia" w:ascii="宋体" w:hAnsi="宋体" w:cs="宋体"/>
                <w:color w:val="000000"/>
                <w:szCs w:val="21"/>
              </w:rPr>
              <w:t>账号：</w:t>
            </w:r>
          </w:p>
        </w:tc>
      </w:tr>
      <w:tr w14:paraId="6457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44C0EC1">
            <w:pPr>
              <w:snapToGrid w:val="0"/>
              <w:spacing w:line="360" w:lineRule="auto"/>
              <w:rPr>
                <w:rFonts w:hint="eastAsia" w:ascii="宋体" w:hAnsi="宋体" w:cs="宋体"/>
                <w:color w:val="000000"/>
                <w:szCs w:val="21"/>
              </w:rPr>
            </w:pPr>
            <w:r>
              <w:rPr>
                <w:rFonts w:hint="eastAsia" w:ascii="宋体" w:hAnsi="宋体" w:cs="宋体"/>
                <w:color w:val="000000"/>
                <w:szCs w:val="21"/>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53CFF6E3">
            <w:pPr>
              <w:snapToGrid w:val="0"/>
              <w:spacing w:line="360" w:lineRule="auto"/>
              <w:rPr>
                <w:rFonts w:hint="eastAsia" w:ascii="宋体" w:hAnsi="宋体" w:cs="宋体"/>
                <w:color w:val="000000"/>
                <w:szCs w:val="21"/>
              </w:rPr>
            </w:pPr>
            <w:r>
              <w:rPr>
                <w:rFonts w:hint="eastAsia" w:ascii="宋体" w:hAnsi="宋体" w:cs="宋体"/>
                <w:color w:val="000000"/>
                <w:szCs w:val="21"/>
              </w:rPr>
              <w:t>邮政编码：</w:t>
            </w:r>
          </w:p>
        </w:tc>
      </w:tr>
    </w:tbl>
    <w:p w14:paraId="1BED2BF3">
      <w:pPr>
        <w:snapToGrid w:val="0"/>
        <w:jc w:val="center"/>
        <w:rPr>
          <w:rFonts w:hint="eastAsia" w:ascii="宋体" w:hAnsi="宋体" w:cs="宋体"/>
          <w:b/>
          <w:bCs/>
          <w:color w:val="000000"/>
          <w:sz w:val="32"/>
          <w:szCs w:val="32"/>
        </w:rPr>
      </w:pPr>
    </w:p>
    <w:p w14:paraId="55791C70">
      <w:pPr>
        <w:snapToGrid w:val="0"/>
        <w:spacing w:line="360" w:lineRule="auto"/>
        <w:ind w:left="420" w:hanging="420" w:hangingChars="200"/>
        <w:rPr>
          <w:rFonts w:hint="eastAsia" w:ascii="宋体" w:hAnsi="宋体" w:cs="宋体"/>
          <w:color w:val="000000"/>
          <w:szCs w:val="21"/>
        </w:rPr>
      </w:pPr>
    </w:p>
    <w:p w14:paraId="417F8639">
      <w:pPr>
        <w:snapToGrid w:val="0"/>
        <w:spacing w:line="360" w:lineRule="exact"/>
        <w:rPr>
          <w:rFonts w:ascii="宋体"/>
          <w:szCs w:val="21"/>
        </w:rPr>
      </w:pPr>
    </w:p>
    <w:p w14:paraId="3F8757FB">
      <w:pPr>
        <w:snapToGrid w:val="0"/>
        <w:spacing w:line="360" w:lineRule="exact"/>
        <w:jc w:val="center"/>
        <w:rPr>
          <w:rFonts w:ascii="宋体"/>
          <w:b/>
          <w:szCs w:val="21"/>
        </w:rPr>
      </w:pPr>
    </w:p>
    <w:p w14:paraId="76E46EFE">
      <w:pPr>
        <w:spacing w:line="360" w:lineRule="auto"/>
        <w:ind w:firstLine="420" w:firstLineChars="200"/>
        <w:rPr>
          <w:rFonts w:ascii="宋体" w:hAnsi="宋体" w:cs="宋体"/>
          <w:color w:val="000000"/>
          <w:szCs w:val="21"/>
        </w:rPr>
      </w:pPr>
    </w:p>
    <w:p w14:paraId="19B9342A">
      <w:pPr>
        <w:spacing w:line="360" w:lineRule="auto"/>
        <w:ind w:firstLine="420" w:firstLineChars="200"/>
        <w:rPr>
          <w:rFonts w:ascii="宋体" w:hAnsi="宋体" w:cs="宋体"/>
          <w:color w:val="000000"/>
          <w:szCs w:val="21"/>
        </w:rPr>
      </w:pPr>
    </w:p>
    <w:p w14:paraId="51B12DA4">
      <w:pPr>
        <w:spacing w:line="360" w:lineRule="auto"/>
        <w:ind w:firstLine="420" w:firstLineChars="200"/>
        <w:rPr>
          <w:rFonts w:ascii="宋体" w:hAnsi="宋体" w:cs="宋体"/>
          <w:color w:val="000000"/>
          <w:szCs w:val="21"/>
        </w:rPr>
      </w:pPr>
    </w:p>
    <w:p w14:paraId="377F0C79">
      <w:pPr>
        <w:pStyle w:val="13"/>
        <w:tabs>
          <w:tab w:val="left" w:pos="2472"/>
        </w:tabs>
        <w:spacing w:line="460" w:lineRule="exact"/>
        <w:jc w:val="center"/>
        <w:rPr>
          <w:rFonts w:ascii="Times New Roman" w:hAnsi="Times New Roman"/>
          <w:b/>
          <w:sz w:val="36"/>
        </w:rPr>
      </w:pPr>
      <w:r>
        <w:rPr>
          <w:rFonts w:hint="eastAsia" w:hAnsi="宋体" w:cs="宋体"/>
          <w:b/>
          <w:color w:val="000000"/>
          <w:sz w:val="32"/>
          <w:szCs w:val="32"/>
        </w:rPr>
        <w:br w:type="page"/>
      </w:r>
    </w:p>
    <w:p w14:paraId="27214711">
      <w:pPr>
        <w:pStyle w:val="13"/>
        <w:tabs>
          <w:tab w:val="left" w:pos="2472"/>
        </w:tabs>
        <w:spacing w:line="460" w:lineRule="exact"/>
        <w:jc w:val="center"/>
        <w:rPr>
          <w:rFonts w:ascii="Times New Roman" w:hAnsi="Times New Roman"/>
          <w:b/>
          <w:sz w:val="36"/>
        </w:rPr>
      </w:pPr>
    </w:p>
    <w:p w14:paraId="5EB4F883">
      <w:pPr>
        <w:pStyle w:val="13"/>
        <w:tabs>
          <w:tab w:val="left" w:pos="2472"/>
        </w:tabs>
        <w:spacing w:line="460" w:lineRule="exact"/>
        <w:jc w:val="center"/>
        <w:rPr>
          <w:rFonts w:ascii="Times New Roman" w:hAnsi="Times New Roman"/>
          <w:b/>
          <w:sz w:val="36"/>
        </w:rPr>
      </w:pPr>
    </w:p>
    <w:p w14:paraId="6E60052E">
      <w:pPr>
        <w:pStyle w:val="13"/>
        <w:tabs>
          <w:tab w:val="left" w:pos="2472"/>
        </w:tabs>
        <w:spacing w:line="460" w:lineRule="exact"/>
        <w:jc w:val="center"/>
        <w:rPr>
          <w:rFonts w:ascii="Times New Roman" w:hAnsi="Times New Roman"/>
          <w:b/>
          <w:sz w:val="36"/>
        </w:rPr>
      </w:pPr>
    </w:p>
    <w:p w14:paraId="130016E3">
      <w:pPr>
        <w:pStyle w:val="13"/>
        <w:tabs>
          <w:tab w:val="left" w:pos="2472"/>
        </w:tabs>
        <w:spacing w:line="460" w:lineRule="exact"/>
        <w:jc w:val="center"/>
        <w:rPr>
          <w:rFonts w:ascii="Times New Roman" w:hAnsi="Times New Roman"/>
          <w:b/>
          <w:sz w:val="36"/>
        </w:rPr>
      </w:pPr>
    </w:p>
    <w:p w14:paraId="768C2DE9">
      <w:pPr>
        <w:pStyle w:val="13"/>
        <w:tabs>
          <w:tab w:val="left" w:pos="2472"/>
        </w:tabs>
        <w:spacing w:line="460" w:lineRule="exact"/>
        <w:jc w:val="center"/>
        <w:rPr>
          <w:rFonts w:ascii="Times New Roman" w:hAnsi="Times New Roman"/>
          <w:b/>
          <w:sz w:val="36"/>
        </w:rPr>
      </w:pPr>
    </w:p>
    <w:p w14:paraId="15DC4D63">
      <w:pPr>
        <w:pStyle w:val="13"/>
        <w:tabs>
          <w:tab w:val="left" w:pos="2472"/>
        </w:tabs>
        <w:spacing w:line="460" w:lineRule="exact"/>
        <w:jc w:val="center"/>
        <w:rPr>
          <w:rFonts w:ascii="Times New Roman" w:hAnsi="Times New Roman"/>
          <w:b/>
          <w:sz w:val="36"/>
        </w:rPr>
      </w:pPr>
    </w:p>
    <w:p w14:paraId="28182722">
      <w:pPr>
        <w:pStyle w:val="13"/>
        <w:tabs>
          <w:tab w:val="left" w:pos="2472"/>
        </w:tabs>
        <w:spacing w:line="460" w:lineRule="exact"/>
        <w:jc w:val="center"/>
        <w:rPr>
          <w:rFonts w:ascii="Times New Roman" w:hAnsi="Times New Roman"/>
          <w:b/>
          <w:sz w:val="36"/>
        </w:rPr>
      </w:pPr>
    </w:p>
    <w:p w14:paraId="37CCE025">
      <w:pPr>
        <w:pStyle w:val="13"/>
        <w:tabs>
          <w:tab w:val="left" w:pos="2472"/>
        </w:tabs>
        <w:spacing w:line="460" w:lineRule="exact"/>
        <w:jc w:val="center"/>
        <w:rPr>
          <w:rFonts w:ascii="Times New Roman" w:hAnsi="Times New Roman"/>
          <w:b/>
          <w:sz w:val="36"/>
        </w:rPr>
      </w:pPr>
    </w:p>
    <w:p w14:paraId="4E267FF7">
      <w:pPr>
        <w:pStyle w:val="13"/>
        <w:tabs>
          <w:tab w:val="left" w:pos="2472"/>
        </w:tabs>
        <w:spacing w:line="460" w:lineRule="exact"/>
        <w:jc w:val="center"/>
        <w:rPr>
          <w:rFonts w:ascii="Times New Roman" w:hAnsi="Times New Roman"/>
          <w:b/>
          <w:sz w:val="36"/>
        </w:rPr>
      </w:pPr>
    </w:p>
    <w:p w14:paraId="1DECDC78">
      <w:pPr>
        <w:pStyle w:val="13"/>
        <w:tabs>
          <w:tab w:val="left" w:pos="2472"/>
        </w:tabs>
        <w:spacing w:line="460" w:lineRule="exact"/>
        <w:jc w:val="center"/>
        <w:rPr>
          <w:rFonts w:ascii="Times New Roman" w:hAnsi="Times New Roman"/>
          <w:b/>
          <w:sz w:val="36"/>
        </w:rPr>
      </w:pPr>
    </w:p>
    <w:p w14:paraId="68182138">
      <w:pPr>
        <w:pStyle w:val="13"/>
        <w:tabs>
          <w:tab w:val="left" w:pos="2472"/>
        </w:tabs>
        <w:spacing w:line="460" w:lineRule="exact"/>
        <w:jc w:val="center"/>
        <w:outlineLvl w:val="0"/>
        <w:rPr>
          <w:rFonts w:ascii="Times New Roman" w:hAnsi="Times New Roman"/>
          <w:b/>
          <w:sz w:val="36"/>
        </w:rPr>
      </w:pPr>
      <w:bookmarkStart w:id="341" w:name="_Toc20832"/>
      <w:bookmarkStart w:id="342" w:name="_Toc32149"/>
      <w:bookmarkStart w:id="343" w:name="_Toc5736"/>
      <w:bookmarkStart w:id="344" w:name="_Toc26884"/>
      <w:bookmarkStart w:id="345" w:name="_Toc19106"/>
      <w:bookmarkStart w:id="346" w:name="_Toc26390"/>
      <w:bookmarkStart w:id="347" w:name="_Toc2377"/>
      <w:bookmarkStart w:id="348" w:name="_Toc2517"/>
      <w:bookmarkStart w:id="349" w:name="_Toc11043"/>
      <w:bookmarkStart w:id="350" w:name="_Toc24704"/>
      <w:bookmarkStart w:id="351" w:name="_Toc19350"/>
      <w:bookmarkStart w:id="352" w:name="_Toc20296"/>
      <w:bookmarkStart w:id="353" w:name="_Toc9123"/>
      <w:r>
        <w:rPr>
          <w:rFonts w:hint="eastAsia" w:ascii="Times New Roman" w:hAnsi="Times New Roman"/>
          <w:b/>
          <w:sz w:val="36"/>
        </w:rPr>
        <w:t>第六章</w:t>
      </w:r>
      <w:r>
        <w:rPr>
          <w:rFonts w:ascii="Times New Roman" w:hAnsi="Times New Roman"/>
          <w:b/>
          <w:sz w:val="36"/>
        </w:rPr>
        <w:t xml:space="preserve"> </w:t>
      </w:r>
      <w:r>
        <w:rPr>
          <w:rFonts w:hint="eastAsia" w:ascii="Times New Roman" w:hAnsi="Times New Roman"/>
          <w:b/>
          <w:sz w:val="36"/>
        </w:rPr>
        <w:t>投标文件格式</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123301A2">
      <w:pPr>
        <w:widowControl/>
        <w:spacing w:beforeAutospacing="1" w:line="360" w:lineRule="auto"/>
        <w:jc w:val="left"/>
        <w:rPr>
          <w:rFonts w:ascii="宋体" w:hAnsi="宋体"/>
          <w:szCs w:val="20"/>
        </w:rPr>
        <w:sectPr>
          <w:pgSz w:w="11905" w:h="16838"/>
          <w:pgMar w:top="1134" w:right="1134" w:bottom="1134" w:left="1134" w:header="850" w:footer="850" w:gutter="0"/>
          <w:cols w:space="0" w:num="1"/>
          <w:titlePg/>
          <w:docGrid w:linePitch="331" w:charSpace="0"/>
        </w:sectPr>
      </w:pPr>
    </w:p>
    <w:p w14:paraId="004E5E12">
      <w:pPr>
        <w:pStyle w:val="13"/>
        <w:jc w:val="center"/>
        <w:outlineLvl w:val="1"/>
        <w:rPr>
          <w:rFonts w:hAnsi="宋体"/>
          <w:b/>
          <w:bCs/>
          <w:color w:val="000000"/>
          <w:sz w:val="28"/>
          <w:szCs w:val="28"/>
        </w:rPr>
      </w:pPr>
      <w:bookmarkStart w:id="354" w:name="_Toc21700"/>
      <w:bookmarkStart w:id="355" w:name="_Toc32370"/>
      <w:bookmarkStart w:id="356" w:name="_Toc7817"/>
      <w:bookmarkStart w:id="357" w:name="_Toc24486"/>
      <w:bookmarkStart w:id="358" w:name="_Toc11854"/>
      <w:bookmarkStart w:id="359" w:name="_Toc16890"/>
      <w:bookmarkStart w:id="360" w:name="_Toc20281"/>
      <w:bookmarkStart w:id="361" w:name="_Toc4270"/>
      <w:bookmarkStart w:id="362" w:name="_Toc32508"/>
      <w:bookmarkStart w:id="363" w:name="_Toc23486"/>
      <w:r>
        <w:rPr>
          <w:rFonts w:hint="eastAsia" w:hAnsi="宋体"/>
          <w:b/>
          <w:bCs/>
          <w:color w:val="000000"/>
          <w:sz w:val="28"/>
          <w:szCs w:val="28"/>
        </w:rPr>
        <w:t>第一节 资格文件格式</w:t>
      </w:r>
      <w:bookmarkEnd w:id="354"/>
      <w:bookmarkEnd w:id="355"/>
      <w:bookmarkEnd w:id="356"/>
      <w:bookmarkEnd w:id="357"/>
      <w:bookmarkEnd w:id="358"/>
      <w:bookmarkEnd w:id="359"/>
      <w:bookmarkEnd w:id="360"/>
      <w:bookmarkEnd w:id="361"/>
      <w:bookmarkEnd w:id="362"/>
      <w:bookmarkEnd w:id="363"/>
    </w:p>
    <w:p w14:paraId="014DDA25">
      <w:pPr>
        <w:pStyle w:val="13"/>
        <w:spacing w:line="360" w:lineRule="auto"/>
        <w:ind w:firstLine="420"/>
        <w:rPr>
          <w:rFonts w:hAnsi="宋体"/>
          <w:color w:val="000000"/>
          <w:sz w:val="30"/>
        </w:rPr>
      </w:pPr>
    </w:p>
    <w:p w14:paraId="15146355">
      <w:pPr>
        <w:pStyle w:val="7"/>
        <w:ind w:left="0"/>
        <w:jc w:val="left"/>
        <w:rPr>
          <w:rFonts w:hAnsi="宋体"/>
          <w:color w:val="000000"/>
          <w:sz w:val="30"/>
        </w:rPr>
      </w:pPr>
      <w:r>
        <w:rPr>
          <w:rFonts w:hint="eastAsia" w:hAnsi="宋体" w:cs="宋体"/>
          <w:b/>
          <w:bCs/>
          <w:sz w:val="28"/>
          <w:szCs w:val="28"/>
        </w:rPr>
        <w:t>1.资格文件封面的格式（参照此格式自拟）：</w:t>
      </w:r>
    </w:p>
    <w:p w14:paraId="30F78C3A"/>
    <w:p w14:paraId="23D98040">
      <w:pPr>
        <w:snapToGrid w:val="0"/>
        <w:spacing w:before="120" w:beforeLines="50" w:after="50"/>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电子版投标文件</w:t>
      </w:r>
    </w:p>
    <w:p w14:paraId="73059BE3">
      <w:pPr>
        <w:snapToGrid w:val="0"/>
        <w:spacing w:before="120" w:beforeLines="50" w:after="50"/>
        <w:rPr>
          <w:rFonts w:ascii="宋体" w:hAnsi="宋体"/>
          <w:color w:val="000000"/>
          <w:sz w:val="24"/>
          <w:szCs w:val="20"/>
        </w:rPr>
      </w:pPr>
    </w:p>
    <w:p w14:paraId="30E2F030">
      <w:pPr>
        <w:snapToGrid w:val="0"/>
        <w:spacing w:before="120" w:beforeLines="50" w:after="50"/>
        <w:jc w:val="center"/>
        <w:rPr>
          <w:rFonts w:ascii="宋体" w:hAnsi="宋体"/>
          <w:b/>
          <w:color w:val="000000"/>
          <w:sz w:val="24"/>
          <w:szCs w:val="20"/>
        </w:rPr>
      </w:pPr>
      <w:r>
        <w:rPr>
          <w:rFonts w:hint="eastAsia" w:ascii="宋体" w:hAnsi="宋体"/>
          <w:b/>
          <w:color w:val="000000"/>
          <w:sz w:val="32"/>
          <w:szCs w:val="32"/>
        </w:rPr>
        <w:t>资格文件</w:t>
      </w:r>
    </w:p>
    <w:p w14:paraId="44720AFE">
      <w:pPr>
        <w:snapToGrid w:val="0"/>
        <w:spacing w:before="120" w:beforeLines="50" w:after="50"/>
        <w:rPr>
          <w:rFonts w:ascii="宋体" w:hAnsi="宋体"/>
          <w:bCs/>
          <w:color w:val="000000"/>
          <w:sz w:val="24"/>
          <w:szCs w:val="20"/>
        </w:rPr>
      </w:pPr>
    </w:p>
    <w:p w14:paraId="79E4F551">
      <w:pPr>
        <w:snapToGrid w:val="0"/>
        <w:spacing w:before="120" w:beforeLines="50" w:after="50"/>
        <w:rPr>
          <w:rFonts w:ascii="宋体" w:hAnsi="宋体"/>
          <w:bCs/>
          <w:color w:val="000000"/>
          <w:sz w:val="24"/>
          <w:szCs w:val="20"/>
        </w:rPr>
      </w:pPr>
    </w:p>
    <w:p w14:paraId="1688E80A">
      <w:pPr>
        <w:snapToGrid w:val="0"/>
        <w:spacing w:before="120" w:beforeLines="50" w:after="50"/>
        <w:rPr>
          <w:rFonts w:ascii="宋体" w:hAnsi="宋体"/>
          <w:bCs/>
          <w:color w:val="000000"/>
          <w:sz w:val="24"/>
          <w:szCs w:val="20"/>
        </w:rPr>
      </w:pPr>
    </w:p>
    <w:p w14:paraId="1D841E33">
      <w:pPr>
        <w:snapToGrid w:val="0"/>
        <w:spacing w:before="120" w:beforeLines="50" w:after="50"/>
        <w:rPr>
          <w:rFonts w:ascii="宋体" w:hAnsi="宋体"/>
          <w:bCs/>
          <w:color w:val="000000"/>
          <w:sz w:val="24"/>
          <w:szCs w:val="20"/>
        </w:rPr>
      </w:pPr>
    </w:p>
    <w:p w14:paraId="0F00B5B4">
      <w:pPr>
        <w:snapToGrid w:val="0"/>
        <w:spacing w:before="120" w:beforeLines="50" w:after="50"/>
        <w:rPr>
          <w:rFonts w:ascii="宋体" w:hAnsi="宋体"/>
          <w:bCs/>
          <w:color w:val="000000"/>
          <w:sz w:val="24"/>
          <w:szCs w:val="20"/>
        </w:rPr>
      </w:pPr>
    </w:p>
    <w:p w14:paraId="58FA49E1">
      <w:pPr>
        <w:snapToGrid w:val="0"/>
        <w:spacing w:before="120" w:beforeLines="50" w:after="50"/>
        <w:rPr>
          <w:rFonts w:ascii="宋体" w:hAnsi="宋体"/>
          <w:bCs/>
          <w:color w:val="000000"/>
          <w:sz w:val="24"/>
          <w:szCs w:val="20"/>
        </w:rPr>
      </w:pPr>
    </w:p>
    <w:p w14:paraId="347B074F">
      <w:pPr>
        <w:snapToGrid w:val="0"/>
        <w:spacing w:before="120" w:beforeLines="50" w:after="50"/>
        <w:rPr>
          <w:rFonts w:ascii="宋体" w:hAnsi="宋体"/>
          <w:bCs/>
          <w:color w:val="000000"/>
          <w:sz w:val="24"/>
          <w:szCs w:val="20"/>
        </w:rPr>
      </w:pPr>
    </w:p>
    <w:p w14:paraId="148EB2B1">
      <w:pPr>
        <w:snapToGrid w:val="0"/>
        <w:spacing w:before="120" w:beforeLines="50" w:after="50"/>
        <w:ind w:firstLine="540" w:firstLineChars="225"/>
        <w:rPr>
          <w:rFonts w:ascii="宋体" w:hAnsi="宋体"/>
          <w:bCs/>
          <w:color w:val="000000"/>
          <w:sz w:val="24"/>
          <w:szCs w:val="20"/>
        </w:rPr>
      </w:pPr>
      <w:r>
        <w:rPr>
          <w:rFonts w:hint="eastAsia" w:ascii="宋体" w:hAnsi="宋体"/>
          <w:bCs/>
          <w:color w:val="000000"/>
          <w:sz w:val="24"/>
        </w:rPr>
        <w:t>项目名称：</w:t>
      </w:r>
    </w:p>
    <w:p w14:paraId="7FF1A89C">
      <w:pPr>
        <w:snapToGrid w:val="0"/>
        <w:spacing w:before="120" w:beforeLines="50" w:after="50"/>
        <w:ind w:firstLine="540" w:firstLineChars="225"/>
        <w:rPr>
          <w:rFonts w:ascii="宋体" w:hAnsi="宋体"/>
          <w:bCs/>
          <w:color w:val="000000"/>
          <w:sz w:val="24"/>
        </w:rPr>
      </w:pPr>
      <w:r>
        <w:rPr>
          <w:rFonts w:hint="eastAsia" w:ascii="宋体" w:hAnsi="宋体"/>
          <w:bCs/>
          <w:color w:val="000000"/>
          <w:sz w:val="24"/>
        </w:rPr>
        <w:t>项目编号：</w:t>
      </w:r>
    </w:p>
    <w:p w14:paraId="6B7DABD7">
      <w:pPr>
        <w:snapToGrid w:val="0"/>
        <w:spacing w:before="120" w:beforeLines="50" w:after="50"/>
        <w:ind w:firstLine="540" w:firstLineChars="225"/>
        <w:rPr>
          <w:rFonts w:ascii="宋体" w:hAnsi="宋体"/>
          <w:bCs/>
          <w:color w:val="000000"/>
          <w:sz w:val="24"/>
          <w:szCs w:val="20"/>
        </w:rPr>
      </w:pPr>
      <w:r>
        <w:rPr>
          <w:rFonts w:hint="eastAsia" w:ascii="宋体" w:hAnsi="宋体"/>
          <w:bCs/>
          <w:color w:val="000000"/>
          <w:sz w:val="24"/>
        </w:rPr>
        <w:t xml:space="preserve"> </w:t>
      </w:r>
    </w:p>
    <w:p w14:paraId="499C86F2">
      <w:pPr>
        <w:snapToGrid w:val="0"/>
        <w:spacing w:before="120" w:beforeLines="50" w:after="50"/>
        <w:ind w:firstLine="540" w:firstLineChars="225"/>
        <w:rPr>
          <w:rFonts w:ascii="宋体" w:hAnsi="宋体"/>
          <w:bCs/>
          <w:color w:val="000000"/>
          <w:sz w:val="24"/>
        </w:rPr>
      </w:pPr>
      <w:r>
        <w:rPr>
          <w:rFonts w:hint="eastAsia" w:ascii="宋体" w:hAnsi="宋体"/>
          <w:bCs/>
          <w:color w:val="000000"/>
          <w:sz w:val="24"/>
        </w:rPr>
        <w:t>所投分标</w:t>
      </w:r>
      <w:r>
        <w:rPr>
          <w:rFonts w:hint="eastAsia" w:ascii="宋体" w:hAnsi="宋体" w:cs="宋体"/>
          <w:bCs/>
          <w:sz w:val="24"/>
        </w:rPr>
        <w:t>（如有则填写，无分标时填写“无”或者留空）</w:t>
      </w:r>
      <w:r>
        <w:rPr>
          <w:rFonts w:hint="eastAsia" w:ascii="宋体" w:hAnsi="宋体"/>
          <w:bCs/>
          <w:color w:val="000000"/>
          <w:sz w:val="24"/>
        </w:rPr>
        <w:t>：</w:t>
      </w:r>
    </w:p>
    <w:p w14:paraId="145294CA">
      <w:pPr>
        <w:pStyle w:val="6"/>
        <w:snapToGrid w:val="0"/>
        <w:spacing w:before="50" w:after="50"/>
        <w:ind w:firstLine="540" w:firstLineChars="225"/>
        <w:rPr>
          <w:rFonts w:ascii="宋体" w:hAnsi="宋体"/>
          <w:bCs/>
          <w:color w:val="000000"/>
          <w:sz w:val="24"/>
          <w:szCs w:val="24"/>
        </w:rPr>
      </w:pPr>
    </w:p>
    <w:p w14:paraId="2F1F7BD4">
      <w:pPr>
        <w:pStyle w:val="6"/>
        <w:snapToGrid w:val="0"/>
        <w:spacing w:before="50" w:after="50"/>
        <w:ind w:firstLine="540" w:firstLineChars="225"/>
        <w:rPr>
          <w:rFonts w:ascii="宋体" w:hAnsi="宋体"/>
          <w:bCs/>
          <w:color w:val="000000"/>
          <w:sz w:val="24"/>
          <w:szCs w:val="24"/>
        </w:rPr>
      </w:pPr>
      <w:r>
        <w:rPr>
          <w:rFonts w:hint="eastAsia" w:ascii="宋体" w:hAnsi="宋体"/>
          <w:bCs/>
          <w:color w:val="000000"/>
          <w:sz w:val="24"/>
          <w:szCs w:val="24"/>
        </w:rPr>
        <w:t>投标人名称：</w:t>
      </w:r>
    </w:p>
    <w:p w14:paraId="190F02EF">
      <w:pPr>
        <w:pStyle w:val="6"/>
        <w:snapToGrid w:val="0"/>
        <w:spacing w:before="50" w:after="50"/>
        <w:ind w:firstLine="540" w:firstLineChars="225"/>
        <w:rPr>
          <w:rFonts w:ascii="宋体" w:hAnsi="宋体"/>
          <w:bCs/>
          <w:color w:val="000000"/>
          <w:sz w:val="24"/>
          <w:szCs w:val="24"/>
        </w:rPr>
      </w:pPr>
    </w:p>
    <w:p w14:paraId="731FC477">
      <w:pPr>
        <w:pStyle w:val="6"/>
        <w:snapToGrid w:val="0"/>
        <w:spacing w:before="50" w:after="50"/>
        <w:ind w:firstLine="960" w:firstLineChars="400"/>
        <w:rPr>
          <w:rFonts w:ascii="宋体" w:hAnsi="宋体"/>
          <w:bCs/>
          <w:color w:val="000000"/>
          <w:sz w:val="24"/>
          <w:szCs w:val="24"/>
        </w:rPr>
      </w:pPr>
    </w:p>
    <w:p w14:paraId="21A8F794">
      <w:pPr>
        <w:snapToGrid w:val="0"/>
        <w:spacing w:before="120" w:beforeLines="50" w:after="50"/>
        <w:ind w:firstLine="645"/>
        <w:jc w:val="center"/>
        <w:rPr>
          <w:rFonts w:ascii="宋体" w:hAnsi="宋体"/>
          <w:color w:val="000000"/>
          <w:sz w:val="24"/>
        </w:rPr>
      </w:pPr>
    </w:p>
    <w:p w14:paraId="2031ED0C">
      <w:pPr>
        <w:snapToGrid w:val="0"/>
        <w:spacing w:before="120" w:beforeLines="50" w:after="50"/>
        <w:ind w:firstLine="645"/>
        <w:jc w:val="center"/>
        <w:rPr>
          <w:rFonts w:ascii="宋体" w:hAnsi="宋体"/>
          <w:color w:val="000000"/>
          <w:sz w:val="24"/>
        </w:rPr>
      </w:pPr>
    </w:p>
    <w:p w14:paraId="1FA3A114">
      <w:pPr>
        <w:snapToGrid w:val="0"/>
        <w:spacing w:before="120" w:beforeLines="50" w:after="50"/>
        <w:ind w:firstLine="645"/>
        <w:jc w:val="center"/>
        <w:rPr>
          <w:rFonts w:ascii="宋体" w:hAnsi="宋体"/>
          <w:color w:val="000000"/>
          <w:sz w:val="24"/>
        </w:rPr>
      </w:pPr>
      <w:r>
        <w:rPr>
          <w:rFonts w:hint="eastAsia" w:ascii="宋体" w:hAnsi="宋体"/>
          <w:color w:val="000000"/>
          <w:sz w:val="24"/>
        </w:rPr>
        <w:t>年  月  日</w:t>
      </w:r>
    </w:p>
    <w:p w14:paraId="2595F345">
      <w:pPr>
        <w:widowControl/>
        <w:spacing w:line="360" w:lineRule="auto"/>
        <w:jc w:val="left"/>
        <w:rPr>
          <w:rFonts w:ascii="宋体" w:hAnsi="宋体"/>
          <w:color w:val="000000"/>
          <w:sz w:val="30"/>
          <w:szCs w:val="20"/>
        </w:rPr>
        <w:sectPr>
          <w:pgSz w:w="11905" w:h="16838"/>
          <w:pgMar w:top="1134" w:right="1134" w:bottom="1134" w:left="1134" w:header="850" w:footer="850" w:gutter="0"/>
          <w:cols w:space="0" w:num="1"/>
          <w:titlePg/>
          <w:docGrid w:linePitch="331" w:charSpace="0"/>
        </w:sectPr>
      </w:pPr>
    </w:p>
    <w:p w14:paraId="12098227">
      <w:pPr>
        <w:spacing w:line="360" w:lineRule="auto"/>
        <w:rPr>
          <w:rFonts w:ascii="宋体" w:hAnsi="宋体" w:cs="宋体"/>
          <w:b/>
          <w:kern w:val="0"/>
          <w:sz w:val="28"/>
          <w:szCs w:val="28"/>
        </w:rPr>
      </w:pPr>
      <w:r>
        <w:rPr>
          <w:rFonts w:hint="eastAsia" w:ascii="宋体" w:hAnsi="宋体" w:cs="宋体"/>
          <w:b/>
          <w:kern w:val="0"/>
          <w:sz w:val="28"/>
          <w:szCs w:val="28"/>
        </w:rPr>
        <w:t>2.资格文件目录</w:t>
      </w:r>
    </w:p>
    <w:p w14:paraId="6845ADD3">
      <w:pPr>
        <w:snapToGrid w:val="0"/>
        <w:spacing w:line="360" w:lineRule="auto"/>
        <w:rPr>
          <w:rFonts w:ascii="宋体" w:hAnsi="宋体" w:cs="宋体"/>
          <w:kern w:val="0"/>
          <w:sz w:val="24"/>
        </w:rPr>
      </w:pPr>
      <w:r>
        <w:rPr>
          <w:rFonts w:hint="eastAsia" w:ascii="宋体" w:hAnsi="宋体" w:cs="宋体"/>
          <w:kern w:val="0"/>
          <w:sz w:val="24"/>
        </w:rPr>
        <w:t>根据招标文件规定及投标人提供的材料自行编写目录（部分格式后附）。</w:t>
      </w:r>
    </w:p>
    <w:p w14:paraId="09E7A4B9">
      <w:pPr>
        <w:rPr>
          <w:rFonts w:ascii="宋体" w:hAnsi="宋体" w:cs="宋体"/>
          <w:kern w:val="0"/>
          <w:sz w:val="24"/>
        </w:rPr>
      </w:pPr>
      <w:r>
        <w:rPr>
          <w:rFonts w:hint="eastAsia" w:ascii="宋体" w:hAnsi="宋体" w:cs="宋体"/>
          <w:kern w:val="0"/>
          <w:sz w:val="24"/>
        </w:rPr>
        <w:br w:type="page"/>
      </w:r>
    </w:p>
    <w:p w14:paraId="310E74C4">
      <w:pPr>
        <w:snapToGrid w:val="0"/>
        <w:spacing w:before="50" w:after="120" w:afterLines="50" w:line="360" w:lineRule="auto"/>
        <w:rPr>
          <w:rFonts w:ascii="仿宋_GB2312" w:hAnsi="仿宋" w:eastAsia="仿宋_GB2312" w:cs="仿宋_GB2312"/>
          <w:b/>
          <w:kern w:val="0"/>
          <w:sz w:val="32"/>
          <w:szCs w:val="32"/>
        </w:rPr>
      </w:pPr>
      <w:r>
        <w:rPr>
          <w:rFonts w:hint="eastAsia" w:ascii="宋体" w:hAnsi="宋体" w:cs="宋体"/>
          <w:b/>
          <w:kern w:val="0"/>
          <w:sz w:val="32"/>
          <w:szCs w:val="32"/>
        </w:rPr>
        <w:t>3.</w:t>
      </w:r>
      <w:r>
        <w:rPr>
          <w:rFonts w:hint="eastAsia" w:ascii="宋体" w:hAnsi="宋体" w:cs="宋体"/>
          <w:b/>
          <w:sz w:val="28"/>
          <w:szCs w:val="28"/>
        </w:rPr>
        <w:t>投标人直接控股股东信息表格式</w:t>
      </w:r>
      <w:r>
        <w:rPr>
          <w:rFonts w:hint="eastAsia"/>
          <w:sz w:val="28"/>
          <w:szCs w:val="28"/>
        </w:rPr>
        <w:t>：</w:t>
      </w:r>
    </w:p>
    <w:p w14:paraId="02A3DB0C">
      <w:pPr>
        <w:snapToGrid w:val="0"/>
        <w:spacing w:before="50" w:after="120" w:afterLines="50" w:line="360" w:lineRule="auto"/>
        <w:jc w:val="center"/>
        <w:rPr>
          <w:rFonts w:ascii="仿宋_GB2312" w:hAnsi="仿宋" w:eastAsia="仿宋_GB2312" w:cs="仿宋_GB2312"/>
          <w:b/>
          <w:kern w:val="0"/>
          <w:sz w:val="32"/>
          <w:szCs w:val="32"/>
        </w:rPr>
      </w:pPr>
      <w:r>
        <w:rPr>
          <w:rFonts w:hint="eastAsia" w:ascii="宋体" w:hAnsi="宋体" w:cs="宋体"/>
          <w:b/>
          <w:sz w:val="28"/>
          <w:szCs w:val="28"/>
        </w:rPr>
        <w:t>投标人直接控股股东信息表</w:t>
      </w:r>
    </w:p>
    <w:tbl>
      <w:tblPr>
        <w:tblStyle w:val="23"/>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0495CE23">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CC69EB">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AE78EC">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D6EE75">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D99AC7">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003538">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6391D81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773A73">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AF0990">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156C5A">
            <w:pPr>
              <w:spacing w:line="360" w:lineRule="auto"/>
              <w:jc w:val="center"/>
              <w:rPr>
                <w:rFonts w:ascii="宋体" w:hAnsi="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FBFB34">
            <w:pPr>
              <w:spacing w:line="360" w:lineRule="auto"/>
              <w:jc w:val="center"/>
              <w:rPr>
                <w:rFonts w:ascii="宋体" w:hAnsi="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CA6A1">
            <w:pPr>
              <w:spacing w:line="360" w:lineRule="auto"/>
              <w:jc w:val="center"/>
              <w:rPr>
                <w:rFonts w:ascii="宋体" w:hAnsi="宋体" w:cs="宋体"/>
                <w:kern w:val="0"/>
                <w:sz w:val="24"/>
              </w:rPr>
            </w:pPr>
          </w:p>
        </w:tc>
      </w:tr>
      <w:tr w14:paraId="1100957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7FD673">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3634E2">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A6B74B">
            <w:pPr>
              <w:spacing w:line="360" w:lineRule="auto"/>
              <w:jc w:val="center"/>
              <w:rPr>
                <w:rFonts w:ascii="宋体" w:hAnsi="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72BB00">
            <w:pPr>
              <w:spacing w:line="360" w:lineRule="auto"/>
              <w:jc w:val="center"/>
              <w:rPr>
                <w:rFonts w:ascii="宋体" w:hAnsi="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910ACE">
            <w:pPr>
              <w:spacing w:line="360" w:lineRule="auto"/>
              <w:jc w:val="center"/>
              <w:rPr>
                <w:rFonts w:ascii="宋体" w:hAnsi="宋体" w:cs="宋体"/>
                <w:kern w:val="0"/>
                <w:sz w:val="24"/>
              </w:rPr>
            </w:pPr>
          </w:p>
        </w:tc>
      </w:tr>
      <w:tr w14:paraId="2B7A03B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24AF02">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907760">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8F31A5">
            <w:pPr>
              <w:spacing w:line="360" w:lineRule="auto"/>
              <w:jc w:val="center"/>
              <w:rPr>
                <w:rFonts w:ascii="宋体" w:hAnsi="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8D1572">
            <w:pPr>
              <w:spacing w:line="360" w:lineRule="auto"/>
              <w:jc w:val="center"/>
              <w:rPr>
                <w:rFonts w:ascii="宋体" w:hAnsi="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4A8959">
            <w:pPr>
              <w:spacing w:line="360" w:lineRule="auto"/>
              <w:jc w:val="center"/>
              <w:rPr>
                <w:rFonts w:ascii="宋体" w:hAnsi="宋体" w:cs="宋体"/>
                <w:kern w:val="0"/>
                <w:sz w:val="24"/>
              </w:rPr>
            </w:pPr>
          </w:p>
        </w:tc>
      </w:tr>
      <w:tr w14:paraId="44C252A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37A42E">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E2B2D1">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A938EC">
            <w:pPr>
              <w:spacing w:line="360" w:lineRule="auto"/>
              <w:jc w:val="center"/>
              <w:rPr>
                <w:rFonts w:ascii="宋体" w:hAnsi="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BA58A8">
            <w:pPr>
              <w:spacing w:line="360" w:lineRule="auto"/>
              <w:jc w:val="center"/>
              <w:rPr>
                <w:rFonts w:ascii="宋体" w:hAnsi="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B0B91B">
            <w:pPr>
              <w:spacing w:line="360" w:lineRule="auto"/>
              <w:jc w:val="center"/>
              <w:rPr>
                <w:rFonts w:ascii="宋体" w:hAnsi="宋体" w:cs="宋体"/>
                <w:kern w:val="0"/>
                <w:sz w:val="24"/>
              </w:rPr>
            </w:pPr>
          </w:p>
        </w:tc>
      </w:tr>
    </w:tbl>
    <w:p w14:paraId="570713F0">
      <w:pPr>
        <w:snapToGrid w:val="0"/>
        <w:spacing w:line="360" w:lineRule="auto"/>
        <w:jc w:val="left"/>
        <w:rPr>
          <w:rFonts w:ascii="宋体" w:hAnsi="宋体"/>
          <w:szCs w:val="21"/>
        </w:rPr>
      </w:pPr>
      <w:r>
        <w:rPr>
          <w:rFonts w:hint="eastAsia" w:ascii="宋体" w:hAnsi="宋体"/>
          <w:szCs w:val="21"/>
        </w:rPr>
        <w:t>注：</w:t>
      </w:r>
    </w:p>
    <w:p w14:paraId="22F58185">
      <w:pPr>
        <w:snapToGrid w:val="0"/>
        <w:spacing w:line="360" w:lineRule="auto"/>
        <w:ind w:firstLine="420" w:firstLineChars="200"/>
        <w:jc w:val="left"/>
        <w:rPr>
          <w:rFonts w:ascii="宋体" w:hAnsi="宋体"/>
          <w:szCs w:val="21"/>
        </w:rPr>
      </w:pPr>
      <w:r>
        <w:rPr>
          <w:rFonts w:hint="eastAsia" w:ascii="宋体" w:hAnsi="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CF51EB6">
      <w:pPr>
        <w:snapToGrid w:val="0"/>
        <w:spacing w:line="360" w:lineRule="auto"/>
        <w:ind w:firstLine="420" w:firstLineChars="200"/>
        <w:jc w:val="left"/>
        <w:rPr>
          <w:rFonts w:ascii="宋体" w:hAnsi="宋体"/>
          <w:szCs w:val="21"/>
        </w:rPr>
      </w:pPr>
      <w:r>
        <w:rPr>
          <w:rFonts w:hint="eastAsia" w:ascii="宋体" w:hAnsi="宋体"/>
          <w:szCs w:val="21"/>
        </w:rPr>
        <w:t>2.本表所指的控股关系仅限于直接控股关系，不包括间接的控股关系。公司实际控制人与公司之间的关系不属于本表所指的直接控股关系。</w:t>
      </w:r>
    </w:p>
    <w:p w14:paraId="3EFC75D5">
      <w:pPr>
        <w:snapToGrid w:val="0"/>
        <w:spacing w:line="360" w:lineRule="auto"/>
        <w:ind w:firstLine="420" w:firstLineChars="200"/>
        <w:jc w:val="left"/>
        <w:rPr>
          <w:rFonts w:ascii="宋体" w:hAnsi="宋体"/>
          <w:sz w:val="24"/>
        </w:rPr>
      </w:pPr>
      <w:r>
        <w:rPr>
          <w:rFonts w:hint="eastAsia" w:ascii="宋体" w:hAnsi="宋体"/>
          <w:szCs w:val="21"/>
        </w:rPr>
        <w:t>3.投标人不存在直接控股股东的，则填“无”。</w:t>
      </w:r>
    </w:p>
    <w:p w14:paraId="32C40193">
      <w:pPr>
        <w:snapToGrid w:val="0"/>
        <w:spacing w:line="360" w:lineRule="auto"/>
        <w:jc w:val="left"/>
        <w:rPr>
          <w:rFonts w:ascii="宋体" w:hAnsi="宋体"/>
          <w:sz w:val="24"/>
        </w:rPr>
      </w:pPr>
    </w:p>
    <w:p w14:paraId="54C13436">
      <w:pPr>
        <w:snapToGrid w:val="0"/>
        <w:spacing w:line="360" w:lineRule="auto"/>
        <w:jc w:val="left"/>
        <w:rPr>
          <w:rFonts w:ascii="宋体" w:hAnsi="宋体"/>
          <w:sz w:val="24"/>
        </w:rPr>
      </w:pPr>
    </w:p>
    <w:p w14:paraId="7CF494E6">
      <w:pPr>
        <w:snapToGrid w:val="0"/>
        <w:spacing w:line="360" w:lineRule="auto"/>
        <w:jc w:val="center"/>
        <w:rPr>
          <w:rFonts w:ascii="宋体" w:hAnsi="宋体"/>
          <w:sz w:val="24"/>
        </w:rPr>
      </w:pPr>
      <w:r>
        <w:rPr>
          <w:rFonts w:hint="eastAsia" w:ascii="宋体" w:hAnsi="宋体"/>
          <w:sz w:val="24"/>
          <w:lang w:val="zh-CN"/>
        </w:rPr>
        <w:t>投标人名称(盖公章)：</w:t>
      </w:r>
    </w:p>
    <w:p w14:paraId="76C17CDB">
      <w:pPr>
        <w:snapToGrid w:val="0"/>
        <w:spacing w:line="360" w:lineRule="auto"/>
        <w:jc w:val="center"/>
        <w:rPr>
          <w:rFonts w:ascii="宋体" w:hAnsi="宋体"/>
          <w:sz w:val="24"/>
          <w:lang w:val="zh-CN"/>
        </w:rPr>
      </w:pPr>
      <w:r>
        <w:rPr>
          <w:rFonts w:hint="eastAsia" w:ascii="宋体" w:hAnsi="宋体"/>
          <w:sz w:val="24"/>
          <w:lang w:val="zh-CN"/>
        </w:rPr>
        <w:t>日期</w:t>
      </w:r>
      <w:r>
        <w:rPr>
          <w:rFonts w:hint="eastAsia" w:ascii="宋体" w:hAnsi="宋体"/>
          <w:sz w:val="24"/>
        </w:rPr>
        <w:t xml:space="preserve">：  年  </w:t>
      </w:r>
      <w:r>
        <w:rPr>
          <w:rFonts w:hint="eastAsia" w:ascii="宋体" w:hAnsi="宋体"/>
          <w:sz w:val="24"/>
          <w:lang w:val="zh-CN"/>
        </w:rPr>
        <w:t>月</w:t>
      </w:r>
      <w:r>
        <w:rPr>
          <w:rFonts w:hint="eastAsia" w:ascii="宋体" w:hAnsi="宋体"/>
          <w:sz w:val="24"/>
        </w:rPr>
        <w:t xml:space="preserve">   </w:t>
      </w:r>
      <w:r>
        <w:rPr>
          <w:rFonts w:hint="eastAsia" w:ascii="宋体" w:hAnsi="宋体"/>
          <w:sz w:val="24"/>
          <w:lang w:val="zh-CN"/>
        </w:rPr>
        <w:t>日</w:t>
      </w:r>
    </w:p>
    <w:p w14:paraId="7F504A1F">
      <w:pPr>
        <w:snapToGrid w:val="0"/>
        <w:rPr>
          <w:rFonts w:ascii="宋体" w:hAnsi="宋体"/>
          <w:b/>
          <w:sz w:val="28"/>
          <w:szCs w:val="28"/>
        </w:rPr>
      </w:pPr>
      <w:r>
        <w:rPr>
          <w:rFonts w:hint="eastAsia" w:ascii="宋体" w:hAnsi="宋体"/>
          <w:b/>
          <w:sz w:val="28"/>
          <w:szCs w:val="28"/>
        </w:rPr>
        <w:br w:type="page"/>
      </w:r>
      <w:r>
        <w:rPr>
          <w:rFonts w:hint="eastAsia" w:ascii="宋体" w:hAnsi="宋体" w:cs="宋体"/>
          <w:b/>
          <w:kern w:val="0"/>
          <w:sz w:val="32"/>
          <w:szCs w:val="32"/>
        </w:rPr>
        <w:t>4.</w:t>
      </w:r>
      <w:r>
        <w:rPr>
          <w:rFonts w:hint="eastAsia" w:ascii="宋体" w:hAnsi="宋体"/>
          <w:b/>
          <w:sz w:val="28"/>
          <w:szCs w:val="28"/>
        </w:rPr>
        <w:t>投标人直接管理关系信息表</w:t>
      </w:r>
      <w:r>
        <w:rPr>
          <w:rFonts w:hint="eastAsia" w:ascii="宋体" w:hAnsi="宋体" w:cs="宋体"/>
          <w:b/>
          <w:sz w:val="28"/>
          <w:szCs w:val="28"/>
        </w:rPr>
        <w:t>格式</w:t>
      </w:r>
      <w:r>
        <w:rPr>
          <w:rFonts w:hint="eastAsia"/>
          <w:sz w:val="28"/>
          <w:szCs w:val="28"/>
        </w:rPr>
        <w:t>：</w:t>
      </w:r>
    </w:p>
    <w:p w14:paraId="03D6ED70">
      <w:pPr>
        <w:snapToGrid w:val="0"/>
        <w:spacing w:line="360" w:lineRule="auto"/>
        <w:jc w:val="center"/>
        <w:rPr>
          <w:rFonts w:ascii="宋体" w:hAnsi="宋体"/>
          <w:b/>
          <w:sz w:val="32"/>
          <w:szCs w:val="32"/>
        </w:rPr>
      </w:pPr>
    </w:p>
    <w:p w14:paraId="5CD6962A">
      <w:pPr>
        <w:snapToGrid w:val="0"/>
        <w:spacing w:line="360" w:lineRule="auto"/>
        <w:jc w:val="center"/>
        <w:rPr>
          <w:rFonts w:ascii="宋体" w:hAnsi="宋体"/>
          <w:sz w:val="32"/>
          <w:szCs w:val="32"/>
        </w:rPr>
      </w:pPr>
      <w:r>
        <w:rPr>
          <w:rFonts w:hint="eastAsia" w:ascii="宋体" w:hAnsi="宋体"/>
          <w:b/>
          <w:sz w:val="28"/>
          <w:szCs w:val="28"/>
        </w:rPr>
        <w:t>投标人直接管理关系信息表</w:t>
      </w:r>
    </w:p>
    <w:tbl>
      <w:tblPr>
        <w:tblStyle w:val="2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9D2F80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F811D5">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7F4C6C9">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825DA3">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070E44">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5085802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32C296">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FF8CA8">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46D1A3">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AB7668">
            <w:pPr>
              <w:spacing w:line="360" w:lineRule="auto"/>
              <w:jc w:val="center"/>
              <w:rPr>
                <w:rFonts w:ascii="宋体" w:hAnsi="宋体" w:cs="宋体"/>
                <w:kern w:val="0"/>
                <w:sz w:val="24"/>
              </w:rPr>
            </w:pPr>
          </w:p>
        </w:tc>
      </w:tr>
      <w:tr w14:paraId="588CA6B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DE16F7">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5D7D17">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093A76">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88FDE2">
            <w:pPr>
              <w:spacing w:line="360" w:lineRule="auto"/>
              <w:jc w:val="center"/>
              <w:rPr>
                <w:rFonts w:ascii="宋体" w:hAnsi="宋体" w:cs="宋体"/>
                <w:kern w:val="0"/>
                <w:sz w:val="24"/>
              </w:rPr>
            </w:pPr>
          </w:p>
        </w:tc>
      </w:tr>
      <w:tr w14:paraId="3A0E10F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76E1BE">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FDB56D">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2B4716">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518AE">
            <w:pPr>
              <w:spacing w:line="360" w:lineRule="auto"/>
              <w:jc w:val="center"/>
              <w:rPr>
                <w:rFonts w:ascii="宋体" w:hAnsi="宋体" w:cs="宋体"/>
                <w:kern w:val="0"/>
                <w:sz w:val="24"/>
              </w:rPr>
            </w:pPr>
          </w:p>
        </w:tc>
      </w:tr>
      <w:tr w14:paraId="2BA2E4E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EE59EA">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FD0E2F">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D1F1D5">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2510FD">
            <w:pPr>
              <w:spacing w:line="360" w:lineRule="auto"/>
              <w:jc w:val="center"/>
              <w:rPr>
                <w:rFonts w:ascii="宋体" w:hAnsi="宋体" w:cs="宋体"/>
                <w:kern w:val="0"/>
                <w:sz w:val="24"/>
              </w:rPr>
            </w:pPr>
          </w:p>
        </w:tc>
      </w:tr>
    </w:tbl>
    <w:p w14:paraId="59CE175D">
      <w:pPr>
        <w:snapToGrid w:val="0"/>
        <w:spacing w:line="360" w:lineRule="auto"/>
        <w:jc w:val="left"/>
        <w:rPr>
          <w:rFonts w:ascii="宋体" w:hAnsi="宋体"/>
          <w:szCs w:val="21"/>
        </w:rPr>
      </w:pPr>
      <w:r>
        <w:rPr>
          <w:rFonts w:hint="eastAsia" w:ascii="宋体" w:hAnsi="宋体"/>
          <w:szCs w:val="21"/>
        </w:rPr>
        <w:t>注：</w:t>
      </w:r>
    </w:p>
    <w:p w14:paraId="5E7A6A59">
      <w:pPr>
        <w:snapToGrid w:val="0"/>
        <w:spacing w:line="360" w:lineRule="auto"/>
        <w:ind w:firstLine="420" w:firstLineChars="200"/>
        <w:jc w:val="left"/>
        <w:rPr>
          <w:rFonts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474655BA">
      <w:pPr>
        <w:snapToGrid w:val="0"/>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pacing w:val="-6"/>
          <w:szCs w:val="21"/>
        </w:rPr>
        <w:t>本表所指的管理关系仅限于直接管理关系，不包括间接的管理关系。</w:t>
      </w:r>
    </w:p>
    <w:p w14:paraId="64EE755C">
      <w:pPr>
        <w:snapToGrid w:val="0"/>
        <w:spacing w:line="360" w:lineRule="auto"/>
        <w:ind w:firstLine="420" w:firstLineChars="200"/>
        <w:jc w:val="left"/>
        <w:rPr>
          <w:rFonts w:ascii="宋体" w:hAnsi="宋体"/>
          <w:szCs w:val="21"/>
        </w:rPr>
      </w:pPr>
      <w:r>
        <w:rPr>
          <w:rFonts w:hint="eastAsia" w:ascii="宋体" w:hAnsi="宋体"/>
          <w:szCs w:val="21"/>
        </w:rPr>
        <w:t>3.投标人不存在直接管理关系的，则填“无”。</w:t>
      </w:r>
    </w:p>
    <w:p w14:paraId="744A10CC">
      <w:pPr>
        <w:snapToGrid w:val="0"/>
        <w:spacing w:line="360" w:lineRule="auto"/>
        <w:rPr>
          <w:rFonts w:ascii="宋体" w:hAnsi="宋体" w:cs="宋体"/>
          <w:kern w:val="0"/>
          <w:sz w:val="24"/>
        </w:rPr>
      </w:pPr>
    </w:p>
    <w:p w14:paraId="77188E65">
      <w:pPr>
        <w:snapToGrid w:val="0"/>
        <w:spacing w:line="360" w:lineRule="auto"/>
        <w:jc w:val="center"/>
        <w:rPr>
          <w:rFonts w:ascii="宋体" w:hAnsi="宋体"/>
          <w:sz w:val="24"/>
        </w:rPr>
      </w:pPr>
      <w:r>
        <w:rPr>
          <w:rFonts w:hint="eastAsia" w:ascii="宋体" w:hAnsi="宋体"/>
          <w:sz w:val="24"/>
          <w:lang w:val="zh-CN"/>
        </w:rPr>
        <w:t>投标人名称(盖公章)：</w:t>
      </w:r>
    </w:p>
    <w:p w14:paraId="2FE6F562">
      <w:pPr>
        <w:snapToGrid w:val="0"/>
        <w:spacing w:line="360" w:lineRule="auto"/>
        <w:jc w:val="center"/>
        <w:rPr>
          <w:rFonts w:ascii="宋体" w:hAnsi="宋体"/>
          <w:sz w:val="24"/>
          <w:lang w:val="zh-CN"/>
        </w:rPr>
      </w:pPr>
      <w:r>
        <w:rPr>
          <w:rFonts w:hint="eastAsia" w:ascii="宋体" w:hAnsi="宋体"/>
          <w:sz w:val="24"/>
          <w:lang w:val="zh-CN"/>
        </w:rPr>
        <w:t>日期</w:t>
      </w:r>
      <w:r>
        <w:rPr>
          <w:rFonts w:hint="eastAsia" w:ascii="宋体" w:hAnsi="宋体"/>
          <w:sz w:val="24"/>
        </w:rPr>
        <w:t xml:space="preserve">：  年  </w:t>
      </w:r>
      <w:r>
        <w:rPr>
          <w:rFonts w:hint="eastAsia" w:ascii="宋体" w:hAnsi="宋体"/>
          <w:sz w:val="24"/>
          <w:lang w:val="zh-CN"/>
        </w:rPr>
        <w:t>月</w:t>
      </w:r>
      <w:r>
        <w:rPr>
          <w:rFonts w:hint="eastAsia" w:ascii="宋体" w:hAnsi="宋体"/>
          <w:sz w:val="24"/>
        </w:rPr>
        <w:t xml:space="preserve">   </w:t>
      </w:r>
      <w:r>
        <w:rPr>
          <w:rFonts w:hint="eastAsia" w:ascii="宋体" w:hAnsi="宋体"/>
          <w:sz w:val="24"/>
          <w:lang w:val="zh-CN"/>
        </w:rPr>
        <w:t>日</w:t>
      </w:r>
    </w:p>
    <w:p w14:paraId="5F45F87A">
      <w:pPr>
        <w:spacing w:line="360" w:lineRule="auto"/>
        <w:rPr>
          <w:rFonts w:ascii="仿宋_GB2312" w:hAnsi="仿宋" w:eastAsia="仿宋_GB2312" w:cs="仿宋_GB2312"/>
          <w:b/>
          <w:bCs/>
          <w:sz w:val="24"/>
        </w:rPr>
      </w:pPr>
    </w:p>
    <w:p w14:paraId="50A04397">
      <w:pPr>
        <w:snapToGrid w:val="0"/>
        <w:spacing w:line="360" w:lineRule="auto"/>
        <w:rPr>
          <w:rFonts w:ascii="仿宋_GB2312" w:hAnsi="仿宋" w:eastAsia="仿宋_GB2312" w:cs="仿宋_GB2312"/>
          <w:b/>
          <w:kern w:val="0"/>
          <w:sz w:val="32"/>
          <w:szCs w:val="32"/>
          <w:lang w:val="zh-CN"/>
        </w:rPr>
      </w:pPr>
    </w:p>
    <w:p w14:paraId="42E6734E">
      <w:pPr>
        <w:snapToGrid w:val="0"/>
        <w:spacing w:line="360" w:lineRule="auto"/>
        <w:ind w:firstLine="5160" w:firstLineChars="2150"/>
        <w:rPr>
          <w:rFonts w:ascii="仿宋_GB2312" w:hAnsi="仿宋" w:eastAsia="仿宋_GB2312" w:cs="仿宋_GB2312"/>
          <w:kern w:val="0"/>
          <w:sz w:val="24"/>
          <w:lang w:val="zh-CN"/>
        </w:rPr>
      </w:pPr>
    </w:p>
    <w:p w14:paraId="2054CC38">
      <w:pPr>
        <w:snapToGrid w:val="0"/>
        <w:spacing w:line="360" w:lineRule="auto"/>
        <w:ind w:right="480"/>
        <w:jc w:val="center"/>
        <w:rPr>
          <w:rFonts w:ascii="仿宋_GB2312" w:hAnsi="仿宋" w:eastAsia="仿宋_GB2312" w:cs="仿宋_GB2312"/>
          <w:b/>
          <w:kern w:val="0"/>
          <w:sz w:val="32"/>
          <w:szCs w:val="32"/>
          <w:lang w:val="zh-CN"/>
        </w:rPr>
      </w:pPr>
    </w:p>
    <w:p w14:paraId="0920ED30">
      <w:pPr>
        <w:snapToGrid w:val="0"/>
        <w:spacing w:line="360" w:lineRule="auto"/>
        <w:ind w:right="480"/>
        <w:jc w:val="center"/>
        <w:rPr>
          <w:rFonts w:ascii="宋体" w:hAnsi="宋体"/>
          <w:b/>
          <w:color w:val="000000"/>
          <w:sz w:val="28"/>
          <w:szCs w:val="28"/>
        </w:rPr>
      </w:pPr>
      <w:r>
        <w:rPr>
          <w:rFonts w:hint="eastAsia" w:ascii="仿宋_GB2312" w:hAnsi="仿宋" w:eastAsia="仿宋_GB2312" w:cs="仿宋_GB2312"/>
          <w:b/>
          <w:kern w:val="0"/>
          <w:sz w:val="32"/>
          <w:szCs w:val="32"/>
        </w:rPr>
        <w:br w:type="page"/>
      </w:r>
    </w:p>
    <w:p w14:paraId="1C070FD5">
      <w:pPr>
        <w:pStyle w:val="9"/>
      </w:pPr>
      <w:r>
        <w:rPr>
          <w:rFonts w:hint="eastAsia" w:ascii="宋体" w:hAnsi="宋体" w:cs="宋体"/>
          <w:b/>
          <w:kern w:val="0"/>
          <w:sz w:val="32"/>
          <w:szCs w:val="32"/>
        </w:rPr>
        <w:t>5.</w:t>
      </w:r>
      <w:r>
        <w:rPr>
          <w:rFonts w:hint="eastAsia" w:ascii="宋体" w:hAnsi="宋体" w:cs="宋体"/>
          <w:b/>
          <w:sz w:val="28"/>
          <w:szCs w:val="28"/>
        </w:rPr>
        <w:t>声明函的格式</w:t>
      </w:r>
      <w:r>
        <w:rPr>
          <w:rFonts w:hint="eastAsia"/>
          <w:sz w:val="28"/>
          <w:szCs w:val="28"/>
        </w:rPr>
        <w:t>：</w:t>
      </w:r>
    </w:p>
    <w:p w14:paraId="40367575">
      <w:pPr>
        <w:snapToGrid w:val="0"/>
        <w:spacing w:before="50" w:after="120" w:afterLines="50"/>
        <w:jc w:val="center"/>
        <w:rPr>
          <w:rFonts w:ascii="宋体" w:hAnsi="宋体"/>
          <w:b/>
          <w:color w:val="000000"/>
          <w:sz w:val="32"/>
          <w:szCs w:val="32"/>
        </w:rPr>
      </w:pPr>
      <w:r>
        <w:rPr>
          <w:rFonts w:hint="eastAsia" w:ascii="宋体" w:hAnsi="宋体"/>
          <w:b/>
          <w:color w:val="000000"/>
          <w:sz w:val="32"/>
          <w:szCs w:val="32"/>
        </w:rPr>
        <w:t>声明函</w:t>
      </w:r>
    </w:p>
    <w:p w14:paraId="2132E8A7">
      <w:pPr>
        <w:tabs>
          <w:tab w:val="left" w:pos="7200"/>
        </w:tabs>
        <w:spacing w:line="360" w:lineRule="auto"/>
        <w:rPr>
          <w:rFonts w:ascii="宋体" w:hAnsi="宋体"/>
          <w:color w:val="000000"/>
          <w:szCs w:val="21"/>
          <w:u w:val="single"/>
        </w:rPr>
      </w:pPr>
      <w:r>
        <w:rPr>
          <w:rFonts w:hint="eastAsia" w:ascii="宋体" w:hAnsi="宋体"/>
          <w:color w:val="000000"/>
          <w:szCs w:val="21"/>
        </w:rPr>
        <w:t>致：</w:t>
      </w:r>
      <w:bookmarkStart w:id="364" w:name="PO_3000001866_PM031_5"/>
      <w:r>
        <w:rPr>
          <w:rFonts w:hint="eastAsia" w:ascii="宋体" w:hAnsi="宋体"/>
          <w:color w:val="000000"/>
          <w:szCs w:val="21"/>
          <w:u w:val="single"/>
        </w:rPr>
        <w:t>广西科联招标中心有限公司</w:t>
      </w:r>
      <w:bookmarkEnd w:id="364"/>
      <w:r>
        <w:rPr>
          <w:rFonts w:hint="eastAsia" w:ascii="宋体" w:hAnsi="宋体"/>
          <w:color w:val="000000"/>
          <w:szCs w:val="21"/>
          <w:u w:val="single"/>
        </w:rPr>
        <w:t xml:space="preserve"> </w:t>
      </w:r>
    </w:p>
    <w:p w14:paraId="1FF8DDC9">
      <w:pPr>
        <w:pStyle w:val="14"/>
        <w:ind w:firstLine="420" w:firstLineChars="200"/>
        <w:rPr>
          <w:sz w:val="21"/>
          <w:szCs w:val="21"/>
        </w:rPr>
      </w:pPr>
      <w:r>
        <w:rPr>
          <w:rFonts w:hint="eastAsia" w:ascii="宋体" w:hAnsi="宋体" w:cs="宋体"/>
          <w:i/>
          <w:iCs/>
          <w:sz w:val="21"/>
          <w:szCs w:val="21"/>
          <w:u w:val="single"/>
        </w:rPr>
        <w:t>（投标人名称）</w:t>
      </w:r>
      <w:r>
        <w:rPr>
          <w:rFonts w:hint="eastAsia" w:ascii="宋体" w:hAnsi="宋体" w:cs="宋体"/>
          <w:sz w:val="21"/>
          <w:szCs w:val="21"/>
        </w:rPr>
        <w:t>系中华人民共和国合法供应商，经营地址</w:t>
      </w:r>
      <w:r>
        <w:rPr>
          <w:rFonts w:hint="eastAsia" w:ascii="宋体" w:hAnsi="宋体" w:cs="宋体"/>
          <w:sz w:val="21"/>
          <w:szCs w:val="21"/>
          <w:u w:val="single"/>
        </w:rPr>
        <w:t xml:space="preserve">                              </w:t>
      </w:r>
      <w:r>
        <w:rPr>
          <w:rFonts w:hint="eastAsia" w:ascii="宋体" w:hAnsi="宋体" w:cs="宋体"/>
          <w:sz w:val="21"/>
          <w:szCs w:val="21"/>
        </w:rPr>
        <w:t>。</w:t>
      </w:r>
    </w:p>
    <w:p w14:paraId="654CF22C">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我方愿意参加贵方组织的</w:t>
      </w:r>
      <w:r>
        <w:rPr>
          <w:rFonts w:hint="eastAsia" w:ascii="宋体" w:hAnsi="宋体"/>
          <w:i/>
          <w:iCs/>
          <w:szCs w:val="21"/>
          <w:u w:val="single"/>
        </w:rPr>
        <w:t xml:space="preserve">（项目名称） </w:t>
      </w:r>
      <w:r>
        <w:rPr>
          <w:rFonts w:hint="eastAsia" w:ascii="宋体" w:hAnsi="宋体"/>
          <w:color w:val="000000"/>
          <w:szCs w:val="21"/>
        </w:rPr>
        <w:t>（项目编号：            ）项目的投标，为便于贵方公正、择优地确定中标人，我方就本次投标有关事项郑重声明如下：</w:t>
      </w:r>
    </w:p>
    <w:p w14:paraId="11819058">
      <w:pPr>
        <w:pStyle w:val="14"/>
        <w:ind w:firstLine="420" w:firstLineChars="200"/>
        <w:rPr>
          <w:sz w:val="21"/>
          <w:szCs w:val="21"/>
        </w:rPr>
      </w:pPr>
      <w:r>
        <w:rPr>
          <w:rFonts w:hint="eastAsia" w:ascii="宋体" w:hAnsi="宋体" w:cs="宋体"/>
          <w:sz w:val="21"/>
          <w:szCs w:val="21"/>
        </w:rPr>
        <w:t>1、我方向贵方提交的所有投标文件、资料都是准确的和真实的。</w:t>
      </w:r>
    </w:p>
    <w:p w14:paraId="63CC374B">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6EAB4C6">
      <w:pPr>
        <w:spacing w:line="360" w:lineRule="exact"/>
        <w:ind w:firstLine="420" w:firstLineChars="200"/>
        <w:contextualSpacing/>
        <w:rPr>
          <w:rFonts w:ascii="宋体" w:hAnsi="宋体" w:cs="宋体"/>
          <w:szCs w:val="21"/>
        </w:rPr>
      </w:pPr>
      <w:r>
        <w:rPr>
          <w:rFonts w:hint="eastAsia" w:ascii="宋体" w:hAnsi="宋体" w:cs="宋体"/>
          <w:szCs w:val="21"/>
        </w:rPr>
        <w:t>3、在此，我方宣布同意如下：</w:t>
      </w:r>
    </w:p>
    <w:p w14:paraId="4014C3E7">
      <w:pPr>
        <w:spacing w:line="360" w:lineRule="exact"/>
        <w:ind w:firstLine="420" w:firstLineChars="200"/>
        <w:contextualSpacing/>
        <w:rPr>
          <w:rFonts w:ascii="宋体" w:hAnsi="宋体" w:cs="宋体"/>
          <w:szCs w:val="21"/>
        </w:rPr>
      </w:pPr>
      <w:r>
        <w:rPr>
          <w:rFonts w:hint="eastAsia" w:ascii="宋体" w:hAnsi="宋体" w:cs="宋体"/>
          <w:szCs w:val="21"/>
        </w:rPr>
        <w:t>（1）将按招标文件的约定履行合同责任和义务；</w:t>
      </w:r>
    </w:p>
    <w:p w14:paraId="132DC955">
      <w:pPr>
        <w:spacing w:line="360" w:lineRule="exact"/>
        <w:ind w:firstLine="420" w:firstLineChars="200"/>
        <w:contextualSpacing/>
        <w:rPr>
          <w:rFonts w:ascii="宋体" w:hAnsi="宋体" w:cs="宋体"/>
          <w:szCs w:val="21"/>
        </w:rPr>
      </w:pPr>
      <w:r>
        <w:rPr>
          <w:rFonts w:hint="eastAsia" w:ascii="宋体" w:hAnsi="宋体" w:cs="宋体"/>
          <w:szCs w:val="21"/>
        </w:rPr>
        <w:t>（2）已详细审查招标文件的全部</w:t>
      </w:r>
      <w:r>
        <w:rPr>
          <w:rFonts w:hint="eastAsia" w:ascii="宋体" w:hAnsi="宋体" w:cs="宋体"/>
          <w:kern w:val="0"/>
          <w:szCs w:val="21"/>
        </w:rPr>
        <w:t>内容</w:t>
      </w:r>
      <w:r>
        <w:rPr>
          <w:rFonts w:hint="eastAsia" w:ascii="宋体" w:hAnsi="宋体" w:cs="宋体"/>
          <w:szCs w:val="21"/>
        </w:rPr>
        <w:t>，包括澄清或者更正公告（如有）；</w:t>
      </w:r>
    </w:p>
    <w:p w14:paraId="75F47E3B">
      <w:pPr>
        <w:spacing w:line="360" w:lineRule="exact"/>
        <w:ind w:firstLine="420" w:firstLineChars="200"/>
        <w:contextualSpacing/>
        <w:rPr>
          <w:rFonts w:ascii="宋体" w:hAnsi="宋体" w:cs="宋体"/>
          <w:szCs w:val="21"/>
        </w:rPr>
      </w:pPr>
      <w:r>
        <w:rPr>
          <w:rFonts w:hint="eastAsia" w:ascii="宋体" w:hAnsi="宋体" w:cs="宋体"/>
          <w:szCs w:val="21"/>
        </w:rPr>
        <w:t>（3）同意提供按照贵方可能要求的与投标有关的一切数据或者资料。</w:t>
      </w:r>
    </w:p>
    <w:p w14:paraId="2F1302AD">
      <w:pPr>
        <w:pStyle w:val="14"/>
      </w:pPr>
    </w:p>
    <w:p w14:paraId="6C558560">
      <w:pPr>
        <w:spacing w:line="360" w:lineRule="auto"/>
        <w:ind w:firstLine="420" w:firstLineChars="200"/>
        <w:rPr>
          <w:rFonts w:ascii="宋体" w:hAnsi="宋体"/>
          <w:color w:val="000000"/>
          <w:szCs w:val="21"/>
        </w:rPr>
      </w:pPr>
      <w:r>
        <w:rPr>
          <w:rFonts w:hint="eastAsia" w:ascii="宋体" w:hAnsi="宋体"/>
          <w:color w:val="000000"/>
          <w:szCs w:val="21"/>
        </w:rPr>
        <w:t>4、</w:t>
      </w:r>
      <w:r>
        <w:rPr>
          <w:rFonts w:hint="eastAsia" w:ascii="宋体" w:hAnsi="宋体"/>
          <w:szCs w:val="21"/>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olor w:val="000000"/>
          <w:szCs w:val="21"/>
        </w:rPr>
        <w:t>，未被列入失信被执行人、</w:t>
      </w:r>
      <w:r>
        <w:rPr>
          <w:rFonts w:hint="eastAsia" w:ascii="宋体" w:hAnsi="宋体"/>
          <w:szCs w:val="21"/>
        </w:rPr>
        <w:t>重大税收违法失信主体</w:t>
      </w:r>
      <w:r>
        <w:rPr>
          <w:rFonts w:hint="eastAsia" w:ascii="宋体" w:hAnsi="宋体"/>
          <w:color w:val="000000"/>
          <w:szCs w:val="21"/>
        </w:rPr>
        <w:t>、政府采购严重违法失信行为记录名单。</w:t>
      </w:r>
    </w:p>
    <w:p w14:paraId="339B6BD2">
      <w:pPr>
        <w:spacing w:line="360" w:lineRule="exact"/>
        <w:ind w:firstLine="420" w:firstLineChars="200"/>
        <w:contextualSpacing/>
        <w:rPr>
          <w:rFonts w:ascii="宋体" w:hAnsi="宋体" w:cs="宋体"/>
          <w:i/>
          <w:iCs/>
          <w:szCs w:val="21"/>
        </w:rPr>
      </w:pPr>
      <w:r>
        <w:rPr>
          <w:rFonts w:hint="eastAsia" w:ascii="宋体" w:hAnsi="宋体"/>
          <w:color w:val="000000"/>
          <w:szCs w:val="21"/>
        </w:rPr>
        <w:t>5、</w:t>
      </w:r>
      <w:r>
        <w:rPr>
          <w:rFonts w:hint="eastAsia" w:ascii="宋体" w:hAnsi="宋体" w:cs="宋体"/>
          <w:szCs w:val="21"/>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szCs w:val="21"/>
        </w:rPr>
        <w:t>（两项内容中必须选择一项）</w:t>
      </w:r>
    </w:p>
    <w:p w14:paraId="7F599DA8">
      <w:pPr>
        <w:spacing w:line="360" w:lineRule="exact"/>
        <w:ind w:firstLine="420" w:firstLineChars="200"/>
        <w:contextualSpacing/>
        <w:rPr>
          <w:rFonts w:ascii="宋体" w:hAnsi="宋体" w:cs="宋体"/>
          <w:szCs w:val="21"/>
        </w:rPr>
      </w:pPr>
      <w:r>
        <w:rPr>
          <w:rFonts w:hint="eastAsia" w:ascii="宋体" w:hAnsi="宋体" w:cs="宋体"/>
          <w:szCs w:val="21"/>
        </w:rPr>
        <w:t>□我方本次投标文件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071FF22F">
      <w:pPr>
        <w:spacing w:line="360" w:lineRule="exact"/>
        <w:ind w:firstLine="420" w:firstLineChars="200"/>
        <w:contextualSpacing/>
        <w:rPr>
          <w:rFonts w:ascii="宋体" w:hAnsi="宋体" w:cs="宋体"/>
          <w:szCs w:val="21"/>
        </w:rPr>
      </w:pPr>
      <w:r>
        <w:rPr>
          <w:rFonts w:hint="eastAsia" w:ascii="宋体" w:hAnsi="宋体" w:cs="宋体"/>
          <w:szCs w:val="21"/>
        </w:rPr>
        <w:t>□我方本次投标文件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06C85650">
      <w:pPr>
        <w:pStyle w:val="14"/>
      </w:pPr>
    </w:p>
    <w:p w14:paraId="6ACCE0F0">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 xml:space="preserve">6、以上事项如有虚假或者隐瞒，我方愿意承担一切后果，并不再寻求任何旨在减轻或者免除法律责任的辩解。 </w:t>
      </w:r>
    </w:p>
    <w:p w14:paraId="6714216B">
      <w:pPr>
        <w:tabs>
          <w:tab w:val="left" w:pos="939"/>
        </w:tabs>
        <w:spacing w:line="360" w:lineRule="exact"/>
        <w:ind w:left="141" w:leftChars="67" w:firstLine="315" w:firstLineChars="150"/>
        <w:contextualSpacing/>
        <w:rPr>
          <w:rFonts w:ascii="宋体" w:hAnsi="宋体" w:cs="宋体"/>
          <w:szCs w:val="21"/>
        </w:rPr>
      </w:pPr>
      <w:r>
        <w:rPr>
          <w:rFonts w:hint="eastAsia" w:ascii="宋体" w:hAnsi="宋体" w:cs="宋体"/>
          <w:szCs w:val="21"/>
        </w:rPr>
        <w:t>特此承诺。</w:t>
      </w:r>
    </w:p>
    <w:p w14:paraId="4346924B">
      <w:pPr>
        <w:snapToGrid w:val="0"/>
        <w:spacing w:before="50" w:after="120" w:afterLines="50"/>
        <w:ind w:firstLine="181" w:firstLineChars="100"/>
        <w:jc w:val="left"/>
        <w:rPr>
          <w:rFonts w:ascii="宋体" w:hAnsi="宋体"/>
          <w:sz w:val="18"/>
          <w:szCs w:val="18"/>
        </w:rPr>
      </w:pPr>
      <w:r>
        <w:rPr>
          <w:rFonts w:hint="eastAsia" w:ascii="宋体" w:hAnsi="宋体"/>
          <w:b/>
          <w:sz w:val="18"/>
          <w:szCs w:val="18"/>
        </w:rPr>
        <w:t xml:space="preserve">  注： 如为联合体投标，盖章处须加盖联合体各方公章，否则</w:t>
      </w:r>
      <w:r>
        <w:rPr>
          <w:rFonts w:hint="eastAsia" w:ascii="宋体" w:hAnsi="宋体" w:cs="宋体"/>
          <w:b/>
          <w:bCs/>
          <w:sz w:val="18"/>
          <w:szCs w:val="18"/>
        </w:rPr>
        <w:t>其投标文件作无效响应处理</w:t>
      </w:r>
      <w:r>
        <w:rPr>
          <w:rFonts w:hint="eastAsia" w:ascii="宋体" w:hAnsi="宋体"/>
          <w:b/>
          <w:sz w:val="18"/>
          <w:szCs w:val="18"/>
        </w:rPr>
        <w:t>。</w:t>
      </w:r>
    </w:p>
    <w:p w14:paraId="6A14DBA2">
      <w:pPr>
        <w:snapToGrid w:val="0"/>
        <w:spacing w:before="50" w:after="240" w:afterLines="100" w:line="360" w:lineRule="auto"/>
        <w:jc w:val="left"/>
        <w:rPr>
          <w:rFonts w:ascii="宋体" w:hAnsi="宋体" w:cs="宋体"/>
          <w:color w:val="000000"/>
          <w:sz w:val="24"/>
        </w:rPr>
      </w:pPr>
      <w:r>
        <w:rPr>
          <w:rFonts w:hint="eastAsia" w:ascii="宋体" w:hAnsi="宋体"/>
          <w:color w:val="000000"/>
          <w:sz w:val="24"/>
        </w:rPr>
        <w:t xml:space="preserve">                                     </w:t>
      </w:r>
    </w:p>
    <w:p w14:paraId="3D5A709C">
      <w:pPr>
        <w:snapToGrid w:val="0"/>
        <w:spacing w:before="50" w:after="240" w:afterLines="100" w:line="360" w:lineRule="auto"/>
        <w:ind w:left="7428" w:leftChars="2223" w:hanging="2760" w:hangingChars="1150"/>
        <w:jc w:val="left"/>
        <w:rPr>
          <w:rFonts w:ascii="仿宋_GB2312" w:hAnsi="仿宋" w:eastAsia="仿宋_GB2312" w:cs="仿宋_GB2312"/>
          <w:kern w:val="0"/>
          <w:sz w:val="24"/>
          <w:lang w:val="zh-CN"/>
        </w:rPr>
      </w:pPr>
      <w:r>
        <w:rPr>
          <w:rFonts w:hint="eastAsia" w:ascii="宋体" w:hAnsi="宋体" w:cs="宋体"/>
          <w:color w:val="000000"/>
          <w:sz w:val="24"/>
        </w:rPr>
        <w:t xml:space="preserve">  </w:t>
      </w:r>
      <w:r>
        <w:rPr>
          <w:rFonts w:hint="eastAsia" w:ascii="宋体" w:hAnsi="宋体" w:cs="宋体"/>
          <w:kern w:val="0"/>
          <w:sz w:val="24"/>
          <w:lang w:val="zh-CN"/>
        </w:rPr>
        <w:t>投标人名称(盖公章)：</w:t>
      </w:r>
      <w:r>
        <w:rPr>
          <w:rFonts w:hint="eastAsia" w:ascii="宋体" w:hAnsi="宋体"/>
          <w:color w:val="000000"/>
          <w:szCs w:val="21"/>
        </w:rPr>
        <w:t xml:space="preserve">                                     年    月    日</w:t>
      </w:r>
    </w:p>
    <w:p w14:paraId="38A2CB5A">
      <w:pPr>
        <w:rPr>
          <w:b/>
          <w:bCs/>
          <w:sz w:val="30"/>
          <w:szCs w:val="30"/>
        </w:rPr>
      </w:pPr>
      <w:r>
        <w:rPr>
          <w:rFonts w:hint="eastAsia"/>
          <w:b/>
          <w:bCs/>
          <w:sz w:val="30"/>
          <w:szCs w:val="30"/>
        </w:rPr>
        <w:br w:type="page"/>
      </w:r>
    </w:p>
    <w:p w14:paraId="79302E63">
      <w:pPr>
        <w:pStyle w:val="13"/>
        <w:rPr>
          <w:rFonts w:hAnsi="宋体"/>
          <w:color w:val="000000"/>
          <w:szCs w:val="21"/>
        </w:rPr>
      </w:pPr>
    </w:p>
    <w:p w14:paraId="04D22847">
      <w:pPr>
        <w:pStyle w:val="13"/>
        <w:jc w:val="center"/>
        <w:outlineLvl w:val="1"/>
        <w:rPr>
          <w:rFonts w:hAnsi="宋体"/>
          <w:b/>
          <w:bCs/>
          <w:color w:val="000000"/>
          <w:sz w:val="28"/>
          <w:szCs w:val="28"/>
        </w:rPr>
      </w:pPr>
      <w:bookmarkStart w:id="365" w:name="_Toc16062"/>
      <w:bookmarkStart w:id="366" w:name="_Toc13159"/>
      <w:bookmarkStart w:id="367" w:name="_Toc20777"/>
      <w:bookmarkStart w:id="368" w:name="_Toc8189"/>
      <w:bookmarkStart w:id="369" w:name="_Toc12624"/>
      <w:bookmarkStart w:id="370" w:name="_Toc2566"/>
      <w:bookmarkStart w:id="371" w:name="_Toc3944"/>
      <w:bookmarkStart w:id="372" w:name="_Toc6839"/>
      <w:bookmarkStart w:id="373" w:name="_Toc24133"/>
      <w:bookmarkStart w:id="374" w:name="_Toc31528"/>
      <w:bookmarkStart w:id="375" w:name="_Toc19686838"/>
    </w:p>
    <w:p w14:paraId="6A46933B">
      <w:pPr>
        <w:pStyle w:val="13"/>
        <w:jc w:val="center"/>
        <w:outlineLvl w:val="1"/>
        <w:rPr>
          <w:rFonts w:hAnsi="宋体"/>
          <w:b/>
          <w:bCs/>
          <w:color w:val="000000"/>
          <w:sz w:val="28"/>
          <w:szCs w:val="28"/>
        </w:rPr>
      </w:pPr>
      <w:r>
        <w:rPr>
          <w:rFonts w:hint="eastAsia" w:hAnsi="宋体"/>
          <w:b/>
          <w:bCs/>
          <w:color w:val="000000"/>
          <w:sz w:val="28"/>
          <w:szCs w:val="28"/>
        </w:rPr>
        <w:t>第二节 商务技术文件格式</w:t>
      </w:r>
      <w:bookmarkEnd w:id="365"/>
      <w:bookmarkEnd w:id="366"/>
      <w:bookmarkEnd w:id="367"/>
      <w:bookmarkEnd w:id="368"/>
      <w:bookmarkEnd w:id="369"/>
      <w:bookmarkEnd w:id="370"/>
      <w:bookmarkEnd w:id="371"/>
      <w:bookmarkEnd w:id="372"/>
      <w:bookmarkEnd w:id="373"/>
      <w:bookmarkEnd w:id="374"/>
      <w:bookmarkEnd w:id="375"/>
    </w:p>
    <w:p w14:paraId="65E8078B">
      <w:pPr>
        <w:snapToGrid w:val="0"/>
        <w:spacing w:before="120" w:beforeLines="50" w:after="50"/>
        <w:rPr>
          <w:rFonts w:ascii="宋体" w:hAnsi="宋体"/>
          <w:color w:val="000000"/>
          <w:sz w:val="30"/>
          <w:szCs w:val="20"/>
        </w:rPr>
      </w:pPr>
    </w:p>
    <w:p w14:paraId="558DFDD9">
      <w:pPr>
        <w:pStyle w:val="14"/>
      </w:pPr>
      <w:r>
        <w:rPr>
          <w:rFonts w:hint="eastAsia" w:ascii="宋体" w:hAnsi="宋体" w:cs="宋体"/>
          <w:b/>
          <w:color w:val="000000"/>
          <w:sz w:val="28"/>
          <w:szCs w:val="28"/>
        </w:rPr>
        <w:t>1.商务技术文件封面的格式</w:t>
      </w:r>
      <w:r>
        <w:rPr>
          <w:rFonts w:hint="eastAsia" w:hAnsi="宋体" w:cs="宋体"/>
          <w:b/>
          <w:bCs/>
          <w:sz w:val="28"/>
          <w:szCs w:val="28"/>
        </w:rPr>
        <w:t>（参照此格式自拟）</w:t>
      </w:r>
      <w:r>
        <w:rPr>
          <w:rFonts w:hint="eastAsia" w:ascii="宋体" w:hAnsi="宋体" w:cs="宋体"/>
          <w:b/>
          <w:color w:val="000000"/>
          <w:sz w:val="28"/>
          <w:szCs w:val="28"/>
        </w:rPr>
        <w:t>：</w:t>
      </w:r>
    </w:p>
    <w:p w14:paraId="77067AB1">
      <w:pPr>
        <w:snapToGrid w:val="0"/>
        <w:spacing w:before="120" w:beforeLines="50" w:after="50"/>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 xml:space="preserve">             电子版投标文件</w:t>
      </w:r>
    </w:p>
    <w:p w14:paraId="69DC30A2">
      <w:pPr>
        <w:snapToGrid w:val="0"/>
        <w:spacing w:before="120" w:beforeLines="50" w:after="50"/>
        <w:rPr>
          <w:rFonts w:ascii="宋体" w:hAnsi="宋体"/>
          <w:color w:val="000000"/>
          <w:sz w:val="24"/>
          <w:szCs w:val="20"/>
        </w:rPr>
      </w:pPr>
    </w:p>
    <w:p w14:paraId="36D58496">
      <w:pPr>
        <w:snapToGrid w:val="0"/>
        <w:spacing w:before="120" w:beforeLines="50" w:after="50"/>
        <w:jc w:val="center"/>
        <w:rPr>
          <w:rFonts w:ascii="宋体" w:hAnsi="宋体"/>
          <w:b/>
          <w:color w:val="000000"/>
          <w:sz w:val="24"/>
          <w:szCs w:val="20"/>
        </w:rPr>
      </w:pPr>
      <w:r>
        <w:rPr>
          <w:rFonts w:hint="eastAsia" w:ascii="宋体" w:hAnsi="宋体"/>
          <w:b/>
          <w:color w:val="000000"/>
          <w:sz w:val="32"/>
          <w:szCs w:val="32"/>
        </w:rPr>
        <w:t>商务技术文件</w:t>
      </w:r>
    </w:p>
    <w:p w14:paraId="5D386D16">
      <w:pPr>
        <w:snapToGrid w:val="0"/>
        <w:spacing w:before="120" w:beforeLines="50" w:after="50"/>
        <w:rPr>
          <w:rFonts w:ascii="宋体" w:hAnsi="宋体"/>
          <w:bCs/>
          <w:color w:val="000000"/>
          <w:sz w:val="24"/>
          <w:szCs w:val="20"/>
        </w:rPr>
      </w:pPr>
    </w:p>
    <w:p w14:paraId="1944BD0C">
      <w:pPr>
        <w:snapToGrid w:val="0"/>
        <w:spacing w:before="120" w:beforeLines="50" w:after="50"/>
        <w:ind w:firstLine="540" w:firstLineChars="225"/>
        <w:rPr>
          <w:rFonts w:ascii="宋体" w:hAnsi="宋体"/>
          <w:bCs/>
          <w:color w:val="000000"/>
          <w:sz w:val="24"/>
        </w:rPr>
      </w:pPr>
    </w:p>
    <w:p w14:paraId="5174A337">
      <w:pPr>
        <w:snapToGrid w:val="0"/>
        <w:spacing w:before="120" w:beforeLines="50" w:after="50"/>
        <w:ind w:firstLine="540" w:firstLineChars="225"/>
        <w:rPr>
          <w:rFonts w:ascii="宋体" w:hAnsi="宋体"/>
          <w:bCs/>
          <w:color w:val="000000"/>
          <w:sz w:val="24"/>
          <w:szCs w:val="20"/>
        </w:rPr>
      </w:pPr>
      <w:r>
        <w:rPr>
          <w:rFonts w:hint="eastAsia" w:ascii="宋体" w:hAnsi="宋体"/>
          <w:bCs/>
          <w:color w:val="000000"/>
          <w:sz w:val="24"/>
        </w:rPr>
        <w:t>项目名称：</w:t>
      </w:r>
    </w:p>
    <w:p w14:paraId="32D61D9A">
      <w:pPr>
        <w:snapToGrid w:val="0"/>
        <w:spacing w:before="120" w:beforeLines="50" w:after="50"/>
        <w:ind w:firstLine="540" w:firstLineChars="225"/>
        <w:rPr>
          <w:rFonts w:ascii="宋体" w:hAnsi="宋体"/>
          <w:bCs/>
          <w:color w:val="000000"/>
          <w:sz w:val="24"/>
          <w:szCs w:val="20"/>
        </w:rPr>
      </w:pPr>
      <w:r>
        <w:rPr>
          <w:rFonts w:hint="eastAsia" w:ascii="宋体" w:hAnsi="宋体"/>
          <w:bCs/>
          <w:color w:val="000000"/>
          <w:sz w:val="24"/>
        </w:rPr>
        <w:t xml:space="preserve">项目编号： </w:t>
      </w:r>
    </w:p>
    <w:p w14:paraId="65249B99">
      <w:pPr>
        <w:snapToGrid w:val="0"/>
        <w:spacing w:before="120" w:beforeLines="50" w:after="50"/>
        <w:ind w:firstLine="540" w:firstLineChars="225"/>
        <w:rPr>
          <w:rFonts w:ascii="宋体" w:hAnsi="宋体"/>
          <w:bCs/>
          <w:color w:val="000000"/>
          <w:sz w:val="24"/>
        </w:rPr>
      </w:pPr>
      <w:r>
        <w:rPr>
          <w:rFonts w:hint="eastAsia" w:ascii="宋体" w:hAnsi="宋体"/>
          <w:bCs/>
          <w:color w:val="000000"/>
          <w:sz w:val="24"/>
        </w:rPr>
        <w:t>所投分标（如有则填写，无分标时填写“无”或者留空）：</w:t>
      </w:r>
    </w:p>
    <w:p w14:paraId="5B828D4F">
      <w:pPr>
        <w:snapToGrid w:val="0"/>
        <w:spacing w:before="120" w:beforeLines="50" w:after="50"/>
        <w:ind w:firstLine="540" w:firstLineChars="225"/>
        <w:rPr>
          <w:rFonts w:ascii="宋体" w:hAnsi="宋体"/>
          <w:bCs/>
          <w:color w:val="000000"/>
          <w:sz w:val="24"/>
          <w:szCs w:val="20"/>
        </w:rPr>
      </w:pPr>
    </w:p>
    <w:p w14:paraId="14702025">
      <w:pPr>
        <w:pStyle w:val="6"/>
        <w:snapToGrid w:val="0"/>
        <w:spacing w:before="50" w:after="50"/>
        <w:ind w:firstLine="540" w:firstLineChars="225"/>
        <w:rPr>
          <w:rFonts w:ascii="宋体" w:hAnsi="宋体"/>
          <w:bCs/>
          <w:color w:val="000000"/>
          <w:sz w:val="24"/>
          <w:szCs w:val="24"/>
        </w:rPr>
      </w:pPr>
      <w:r>
        <w:rPr>
          <w:rFonts w:hint="eastAsia" w:ascii="宋体" w:hAnsi="宋体"/>
          <w:bCs/>
          <w:color w:val="000000"/>
          <w:sz w:val="24"/>
          <w:szCs w:val="24"/>
        </w:rPr>
        <w:t>投标人名称：</w:t>
      </w:r>
    </w:p>
    <w:p w14:paraId="5C80F141">
      <w:pPr>
        <w:pStyle w:val="6"/>
        <w:snapToGrid w:val="0"/>
        <w:spacing w:before="50" w:after="50"/>
        <w:ind w:firstLine="540" w:firstLineChars="225"/>
        <w:rPr>
          <w:rFonts w:ascii="宋体" w:hAnsi="宋体"/>
          <w:bCs/>
          <w:color w:val="000000"/>
          <w:sz w:val="24"/>
          <w:szCs w:val="24"/>
        </w:rPr>
      </w:pPr>
    </w:p>
    <w:p w14:paraId="474294FA">
      <w:pPr>
        <w:pStyle w:val="6"/>
        <w:snapToGrid w:val="0"/>
        <w:spacing w:before="50" w:after="50"/>
        <w:ind w:firstLine="960" w:firstLineChars="400"/>
        <w:rPr>
          <w:rFonts w:ascii="宋体" w:hAnsi="宋体"/>
          <w:bCs/>
          <w:color w:val="000000"/>
          <w:sz w:val="24"/>
          <w:szCs w:val="24"/>
        </w:rPr>
      </w:pPr>
    </w:p>
    <w:p w14:paraId="5DEFE281">
      <w:pPr>
        <w:snapToGrid w:val="0"/>
        <w:spacing w:before="120" w:beforeLines="50" w:after="50"/>
        <w:ind w:firstLine="645"/>
        <w:rPr>
          <w:rFonts w:ascii="宋体" w:hAnsi="宋体"/>
          <w:color w:val="000000"/>
          <w:sz w:val="24"/>
        </w:rPr>
      </w:pPr>
      <w:r>
        <w:rPr>
          <w:rFonts w:hint="eastAsia" w:ascii="宋体" w:hAnsi="宋体"/>
          <w:color w:val="000000"/>
          <w:sz w:val="24"/>
        </w:rPr>
        <w:t xml:space="preserve">                             </w:t>
      </w:r>
    </w:p>
    <w:p w14:paraId="289AC027">
      <w:pPr>
        <w:snapToGrid w:val="0"/>
        <w:spacing w:before="120" w:beforeLines="50" w:after="50"/>
        <w:ind w:firstLine="645"/>
        <w:rPr>
          <w:rFonts w:ascii="宋体" w:hAnsi="宋体"/>
          <w:color w:val="000000"/>
          <w:sz w:val="24"/>
        </w:rPr>
      </w:pPr>
    </w:p>
    <w:p w14:paraId="6637739C">
      <w:pPr>
        <w:snapToGrid w:val="0"/>
        <w:spacing w:before="120" w:beforeLines="50" w:after="50"/>
        <w:ind w:firstLine="645"/>
        <w:rPr>
          <w:rFonts w:ascii="宋体" w:hAnsi="宋体"/>
          <w:color w:val="000000"/>
          <w:sz w:val="24"/>
        </w:rPr>
      </w:pPr>
    </w:p>
    <w:p w14:paraId="39D6EF8B">
      <w:pPr>
        <w:snapToGrid w:val="0"/>
        <w:spacing w:before="120" w:beforeLines="50" w:after="50"/>
        <w:ind w:firstLine="645"/>
        <w:rPr>
          <w:rFonts w:ascii="宋体" w:hAnsi="宋体"/>
          <w:color w:val="000000"/>
          <w:sz w:val="24"/>
        </w:rPr>
      </w:pPr>
    </w:p>
    <w:p w14:paraId="447E5BCC">
      <w:pPr>
        <w:snapToGrid w:val="0"/>
        <w:spacing w:before="120" w:beforeLines="50" w:after="50"/>
        <w:ind w:firstLine="645"/>
        <w:rPr>
          <w:rFonts w:ascii="宋体" w:hAnsi="宋体"/>
          <w:color w:val="000000"/>
          <w:sz w:val="24"/>
        </w:rPr>
      </w:pPr>
    </w:p>
    <w:p w14:paraId="35B31722">
      <w:pPr>
        <w:snapToGrid w:val="0"/>
        <w:spacing w:before="120" w:beforeLines="50" w:after="50"/>
        <w:ind w:firstLine="4329" w:firstLineChars="1804"/>
        <w:rPr>
          <w:rFonts w:ascii="宋体" w:hAnsi="宋体"/>
          <w:color w:val="000000"/>
          <w:sz w:val="24"/>
        </w:rPr>
      </w:pPr>
      <w:r>
        <w:rPr>
          <w:rFonts w:hint="eastAsia" w:ascii="宋体" w:hAnsi="宋体"/>
          <w:color w:val="000000"/>
          <w:sz w:val="24"/>
        </w:rPr>
        <w:t xml:space="preserve"> 年  月  日</w:t>
      </w:r>
    </w:p>
    <w:p w14:paraId="5AE51D2A">
      <w:pPr>
        <w:spacing w:line="360" w:lineRule="auto"/>
        <w:ind w:right="420"/>
        <w:rPr>
          <w:rFonts w:ascii="仿宋_GB2312" w:hAnsi="仿宋" w:eastAsia="仿宋_GB2312" w:cs="仿宋_GB2312"/>
          <w:b/>
          <w:kern w:val="0"/>
          <w:sz w:val="36"/>
          <w:szCs w:val="36"/>
        </w:rPr>
      </w:pPr>
      <w:r>
        <w:rPr>
          <w:rFonts w:hint="eastAsia" w:ascii="宋体" w:hAnsi="宋体"/>
          <w:color w:val="000000"/>
          <w:sz w:val="24"/>
          <w:szCs w:val="20"/>
        </w:rPr>
        <w:t xml:space="preserve"> </w:t>
      </w:r>
    </w:p>
    <w:p w14:paraId="0EE0EC6D">
      <w:pPr>
        <w:rPr>
          <w:rFonts w:ascii="仿宋_GB2312" w:hAnsi="仿宋" w:eastAsia="仿宋_GB2312" w:cs="仿宋_GB2312"/>
          <w:b/>
          <w:kern w:val="0"/>
          <w:sz w:val="24"/>
        </w:rPr>
      </w:pPr>
      <w:r>
        <w:rPr>
          <w:rFonts w:hint="eastAsia" w:ascii="仿宋_GB2312" w:hAnsi="仿宋" w:eastAsia="仿宋_GB2312" w:cs="仿宋_GB2312"/>
          <w:b/>
          <w:kern w:val="0"/>
          <w:sz w:val="24"/>
        </w:rPr>
        <w:br w:type="page"/>
      </w:r>
    </w:p>
    <w:p w14:paraId="4B2E42BC">
      <w:pPr>
        <w:spacing w:line="360" w:lineRule="auto"/>
        <w:ind w:right="420"/>
        <w:rPr>
          <w:rFonts w:ascii="宋体" w:hAnsi="宋体" w:cs="宋体"/>
          <w:sz w:val="24"/>
          <w:szCs w:val="20"/>
        </w:rPr>
      </w:pPr>
      <w:r>
        <w:rPr>
          <w:rFonts w:hint="eastAsia" w:ascii="宋体" w:hAnsi="宋体" w:cs="宋体"/>
          <w:b/>
          <w:bCs/>
          <w:color w:val="000000"/>
          <w:sz w:val="28"/>
          <w:szCs w:val="28"/>
        </w:rPr>
        <w:t>2.商务技术文件目录</w:t>
      </w:r>
    </w:p>
    <w:p w14:paraId="357913A4">
      <w:pPr>
        <w:jc w:val="left"/>
        <w:rPr>
          <w:b/>
          <w:bCs/>
          <w:sz w:val="30"/>
          <w:szCs w:val="30"/>
        </w:rPr>
      </w:pPr>
      <w:r>
        <w:rPr>
          <w:rFonts w:hint="eastAsia" w:ascii="宋体" w:hAnsi="宋体" w:cs="宋体"/>
          <w:kern w:val="0"/>
          <w:sz w:val="24"/>
        </w:rPr>
        <w:t>根据招标文件规定及投标人提供的材料自行编写目录（部分格式后附）。</w:t>
      </w:r>
      <w:r>
        <w:rPr>
          <w:rFonts w:hint="eastAsia"/>
          <w:b/>
          <w:bCs/>
          <w:sz w:val="30"/>
          <w:szCs w:val="30"/>
        </w:rPr>
        <w:br w:type="page"/>
      </w:r>
    </w:p>
    <w:p w14:paraId="413C01B6">
      <w:pPr>
        <w:snapToGrid w:val="0"/>
        <w:spacing w:before="120" w:beforeLines="50" w:after="50"/>
        <w:rPr>
          <w:b/>
          <w:bCs/>
          <w:sz w:val="30"/>
          <w:szCs w:val="30"/>
        </w:rPr>
      </w:pPr>
      <w:r>
        <w:rPr>
          <w:rFonts w:hint="eastAsia" w:ascii="宋体" w:hAnsi="宋体" w:cs="宋体"/>
          <w:b/>
          <w:bCs/>
          <w:sz w:val="28"/>
          <w:szCs w:val="28"/>
        </w:rPr>
        <w:t>3.无串通投标行为的承诺函的格式：</w:t>
      </w:r>
    </w:p>
    <w:p w14:paraId="325FB680">
      <w:pPr>
        <w:snapToGrid w:val="0"/>
        <w:spacing w:before="120" w:beforeLines="50" w:after="50"/>
        <w:ind w:left="420"/>
        <w:jc w:val="center"/>
        <w:rPr>
          <w:rFonts w:ascii="宋体" w:hAnsi="宋体"/>
          <w:b/>
          <w:color w:val="000000"/>
          <w:sz w:val="32"/>
          <w:szCs w:val="32"/>
        </w:rPr>
      </w:pPr>
    </w:p>
    <w:p w14:paraId="5A72E1AE">
      <w:pPr>
        <w:snapToGrid w:val="0"/>
        <w:spacing w:before="120" w:beforeLines="50" w:after="50"/>
        <w:ind w:left="420"/>
        <w:jc w:val="center"/>
        <w:rPr>
          <w:rFonts w:ascii="宋体" w:hAnsi="宋体"/>
          <w:b/>
          <w:color w:val="000000"/>
          <w:sz w:val="32"/>
          <w:szCs w:val="32"/>
        </w:rPr>
      </w:pPr>
      <w:r>
        <w:rPr>
          <w:rFonts w:hint="eastAsia" w:ascii="宋体" w:hAnsi="宋体"/>
          <w:b/>
          <w:color w:val="000000"/>
          <w:sz w:val="32"/>
          <w:szCs w:val="32"/>
        </w:rPr>
        <w:t>参加本项目无</w:t>
      </w:r>
      <w:r>
        <w:rPr>
          <w:rFonts w:hint="eastAsia"/>
          <w:b/>
          <w:bCs/>
          <w:sz w:val="32"/>
          <w:szCs w:val="32"/>
        </w:rPr>
        <w:t>串通投</w:t>
      </w:r>
      <w:r>
        <w:rPr>
          <w:rFonts w:hint="eastAsia" w:ascii="宋体" w:hAnsi="宋体"/>
          <w:b/>
          <w:color w:val="000000"/>
          <w:sz w:val="32"/>
          <w:szCs w:val="32"/>
        </w:rPr>
        <w:t>标行为的承诺函</w:t>
      </w:r>
    </w:p>
    <w:p w14:paraId="4DCFB2CF">
      <w:pPr>
        <w:snapToGrid w:val="0"/>
        <w:spacing w:before="120" w:beforeLines="50" w:after="50"/>
        <w:rPr>
          <w:rFonts w:ascii="宋体" w:hAnsi="宋体"/>
          <w:b/>
          <w:color w:val="000000"/>
          <w:szCs w:val="21"/>
        </w:rPr>
      </w:pPr>
    </w:p>
    <w:p w14:paraId="580DF48E">
      <w:pPr>
        <w:snapToGrid w:val="0"/>
        <w:spacing w:before="120" w:beforeLines="50" w:after="50" w:line="360" w:lineRule="auto"/>
        <w:jc w:val="left"/>
        <w:rPr>
          <w:rFonts w:ascii="宋体" w:hAnsi="宋体"/>
          <w:b/>
          <w:color w:val="000000"/>
          <w:szCs w:val="21"/>
        </w:rPr>
      </w:pPr>
      <w:r>
        <w:rPr>
          <w:rFonts w:hint="eastAsia" w:ascii="宋体" w:hAnsi="宋体"/>
          <w:b/>
          <w:color w:val="000000"/>
          <w:szCs w:val="21"/>
        </w:rPr>
        <w:t>一、我方承诺无下列相互串通投标的情形：</w:t>
      </w:r>
    </w:p>
    <w:p w14:paraId="625E0554">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1.不同投标人的投标文件由同一单位或者个人编制；或者不同投标人报名的IP地址一致的；</w:t>
      </w:r>
    </w:p>
    <w:p w14:paraId="352E834E">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2.不同投标人委托同一单位或者个人办理投标事宜；</w:t>
      </w:r>
    </w:p>
    <w:p w14:paraId="1C1B42BD">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3.不同的投标人的投标文件载明的项目管理员为同一个人；</w:t>
      </w:r>
    </w:p>
    <w:p w14:paraId="7F58D270">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4.不同投标人的投标文件异常一致或者投标报价呈规律性差异；</w:t>
      </w:r>
    </w:p>
    <w:p w14:paraId="34A54BF4">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5.不同投标人的投标文件相互混装；</w:t>
      </w:r>
    </w:p>
    <w:p w14:paraId="733D1697">
      <w:pPr>
        <w:snapToGrid w:val="0"/>
        <w:spacing w:before="120" w:beforeLines="50" w:after="50" w:line="360" w:lineRule="auto"/>
        <w:ind w:firstLine="411" w:firstLineChars="196"/>
        <w:jc w:val="left"/>
        <w:rPr>
          <w:rFonts w:ascii="宋体" w:hAnsi="宋体"/>
          <w:color w:val="000000"/>
          <w:szCs w:val="21"/>
        </w:rPr>
      </w:pPr>
      <w:r>
        <w:rPr>
          <w:rFonts w:ascii="宋体" w:hAnsi="宋体"/>
          <w:color w:val="000000"/>
          <w:szCs w:val="21"/>
        </w:rPr>
        <w:t>6</w:t>
      </w:r>
      <w:r>
        <w:rPr>
          <w:rFonts w:hint="eastAsia" w:ascii="宋体" w:hAnsi="宋体"/>
          <w:color w:val="000000"/>
          <w:szCs w:val="21"/>
        </w:rPr>
        <w:t>.不同投标人的投标保证金从同一单位或者个人账户转出。</w:t>
      </w:r>
    </w:p>
    <w:p w14:paraId="1981CC2E">
      <w:pPr>
        <w:snapToGrid w:val="0"/>
        <w:spacing w:before="120" w:beforeLines="50" w:after="50" w:line="360" w:lineRule="auto"/>
        <w:jc w:val="left"/>
        <w:rPr>
          <w:rFonts w:ascii="宋体" w:hAnsi="宋体"/>
          <w:color w:val="000000"/>
          <w:szCs w:val="21"/>
        </w:rPr>
      </w:pPr>
      <w:r>
        <w:rPr>
          <w:rFonts w:hint="eastAsia" w:ascii="宋体" w:hAnsi="宋体"/>
          <w:b/>
          <w:color w:val="000000"/>
          <w:szCs w:val="21"/>
        </w:rPr>
        <w:t>二、我方承诺无下列恶意串通的情形：</w:t>
      </w:r>
    </w:p>
    <w:p w14:paraId="2C58F982">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1.投标人直接或者间接从采购人或者采购代理机构处获得其他投标人的相关信息并修改其投标文件；</w:t>
      </w:r>
    </w:p>
    <w:p w14:paraId="552F2DBA">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2.投标人按照采购人或者采购代理机构的授意撤换、修改投标文件；</w:t>
      </w:r>
    </w:p>
    <w:p w14:paraId="4A8E2E2D">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3.投标人之间协商报价、技术方案等投标文件的实质性内容；</w:t>
      </w:r>
    </w:p>
    <w:p w14:paraId="7D48BB33">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4.属于同一集团、协会、商会等组织成员的投标人按照该组织要求协同参加政府采购活动；</w:t>
      </w:r>
    </w:p>
    <w:p w14:paraId="50B9C0AA">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5.投标人之间事先约定一致抬高或者压低投标报价，或者在招标项目中事先约定轮流以高价位或者低价位中标，或者事先约定由某一特定投标人中标，然后再参加投标；</w:t>
      </w:r>
    </w:p>
    <w:p w14:paraId="7ABD97FC">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6.投标人之间商定部分投标人放弃参加政府采购活动或者放弃中标；</w:t>
      </w:r>
    </w:p>
    <w:p w14:paraId="71417C9C">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7.投标人与采购人或者采购代理机构之间、投标人相互之间，为谋求特定投标人中标或者排斥其他投标人的其他串通行为。</w:t>
      </w:r>
    </w:p>
    <w:p w14:paraId="16C01C18">
      <w:pPr>
        <w:snapToGrid w:val="0"/>
        <w:spacing w:before="120" w:beforeLines="50" w:after="50" w:line="360" w:lineRule="auto"/>
        <w:ind w:firstLine="413" w:firstLineChars="196"/>
        <w:jc w:val="left"/>
        <w:rPr>
          <w:rFonts w:ascii="宋体" w:hAnsi="宋体"/>
          <w:b/>
          <w:color w:val="000000"/>
          <w:szCs w:val="21"/>
        </w:rPr>
      </w:pPr>
      <w:r>
        <w:rPr>
          <w:rFonts w:hint="eastAsia" w:ascii="宋体" w:hAnsi="宋体"/>
          <w:b/>
          <w:color w:val="000000"/>
          <w:szCs w:val="21"/>
        </w:rPr>
        <w:t>以上情形一经核查属实，接受政府采购监管部门对我方认定存在围标串标行为，我方愿意承担一切后果，并不再寻求任何旨在减轻或者免除法律责任的辩解。</w:t>
      </w:r>
    </w:p>
    <w:p w14:paraId="61AF6F46">
      <w:pPr>
        <w:pStyle w:val="9"/>
      </w:pPr>
    </w:p>
    <w:p w14:paraId="6CAFED67">
      <w:pPr>
        <w:snapToGrid w:val="0"/>
        <w:spacing w:line="360" w:lineRule="auto"/>
        <w:ind w:firstLine="4935" w:firstLineChars="2350"/>
        <w:rPr>
          <w:rFonts w:ascii="宋体" w:hAnsi="宋体" w:cs="宋体"/>
          <w:kern w:val="0"/>
          <w:sz w:val="24"/>
        </w:rPr>
      </w:pPr>
      <w:r>
        <w:rPr>
          <w:rFonts w:hAnsi="宋体"/>
          <w:color w:val="000000"/>
          <w:szCs w:val="21"/>
        </w:rPr>
        <w:t xml:space="preserve">  </w:t>
      </w:r>
      <w:r>
        <w:rPr>
          <w:rFonts w:hint="eastAsia" w:ascii="宋体" w:hAnsi="宋体" w:cs="宋体"/>
          <w:kern w:val="0"/>
          <w:sz w:val="24"/>
          <w:lang w:val="zh-CN"/>
        </w:rPr>
        <w:t>投标人名称(盖公章)：</w:t>
      </w:r>
    </w:p>
    <w:p w14:paraId="04FE9DC0">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E1A2694">
      <w:pPr>
        <w:pStyle w:val="13"/>
        <w:snapToGrid w:val="0"/>
        <w:spacing w:before="295" w:after="295" w:line="360" w:lineRule="auto"/>
        <w:rPr>
          <w:rFonts w:hAnsi="宋体"/>
          <w:b/>
          <w:color w:val="000000"/>
          <w:sz w:val="24"/>
        </w:rPr>
      </w:pPr>
      <w:r>
        <w:rPr>
          <w:rFonts w:hint="eastAsia" w:hAnsi="宋体"/>
          <w:b/>
          <w:color w:val="000000"/>
          <w:sz w:val="24"/>
        </w:rPr>
        <w:br w:type="page"/>
      </w:r>
      <w:r>
        <w:rPr>
          <w:rFonts w:hint="eastAsia" w:hAnsi="宋体" w:cs="宋体"/>
          <w:b/>
          <w:bCs/>
          <w:sz w:val="28"/>
          <w:szCs w:val="28"/>
        </w:rPr>
        <w:t>4.法定代表人身份证明的格式：</w:t>
      </w:r>
    </w:p>
    <w:p w14:paraId="3B34D08A">
      <w:pPr>
        <w:spacing w:before="240" w:beforeLines="100" w:after="120" w:afterLines="50"/>
        <w:ind w:left="540"/>
        <w:jc w:val="center"/>
        <w:rPr>
          <w:rFonts w:ascii="宋体" w:hAnsi="Courier New"/>
          <w:b/>
          <w:color w:val="000000"/>
          <w:sz w:val="32"/>
          <w:szCs w:val="32"/>
        </w:rPr>
      </w:pPr>
    </w:p>
    <w:p w14:paraId="0944BB0A">
      <w:pPr>
        <w:spacing w:before="240" w:beforeLines="100" w:after="120" w:afterLines="50"/>
        <w:ind w:left="540"/>
        <w:jc w:val="center"/>
        <w:rPr>
          <w:rFonts w:ascii="黑体" w:hAnsi="宋体" w:eastAsia="黑体"/>
          <w:color w:val="000000"/>
          <w:sz w:val="32"/>
          <w:szCs w:val="32"/>
        </w:rPr>
      </w:pPr>
      <w:r>
        <w:rPr>
          <w:rFonts w:hint="eastAsia" w:ascii="宋体" w:hAnsi="Courier New"/>
          <w:b/>
          <w:color w:val="000000"/>
          <w:sz w:val="32"/>
          <w:szCs w:val="32"/>
        </w:rPr>
        <w:t>法定代表人身份证明</w:t>
      </w:r>
    </w:p>
    <w:p w14:paraId="7458C45A">
      <w:pPr>
        <w:spacing w:line="500" w:lineRule="exact"/>
        <w:ind w:left="540"/>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p>
    <w:p w14:paraId="3C0DDC57">
      <w:pPr>
        <w:spacing w:line="500" w:lineRule="exact"/>
        <w:ind w:left="540"/>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14:paraId="1774ED3C">
      <w:pPr>
        <w:spacing w:line="500" w:lineRule="exact"/>
        <w:ind w:left="540"/>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 xml:space="preserve">                </w:t>
      </w:r>
    </w:p>
    <w:p w14:paraId="7F5E520A">
      <w:pPr>
        <w:spacing w:line="500" w:lineRule="exact"/>
        <w:ind w:left="540"/>
        <w:rPr>
          <w:rFonts w:ascii="宋体" w:hAnsi="宋体"/>
          <w:color w:val="000000"/>
          <w:sz w:val="24"/>
          <w:u w:val="single"/>
        </w:rPr>
      </w:pPr>
      <w:r>
        <w:rPr>
          <w:rFonts w:hint="eastAsia" w:ascii="宋体" w:hAnsi="宋体"/>
          <w:color w:val="000000"/>
          <w:sz w:val="24"/>
        </w:rPr>
        <w:t>年    龄：</w:t>
      </w:r>
      <w:r>
        <w:rPr>
          <w:rFonts w:hint="eastAsia" w:ascii="宋体" w:hAnsi="宋体"/>
          <w:color w:val="000000"/>
          <w:sz w:val="24"/>
          <w:u w:val="single"/>
        </w:rPr>
        <w:t xml:space="preserve">                          </w:t>
      </w:r>
      <w:r>
        <w:rPr>
          <w:rFonts w:hint="eastAsia" w:ascii="宋体" w:hAnsi="宋体"/>
          <w:color w:val="000000"/>
          <w:sz w:val="24"/>
        </w:rPr>
        <w:t>职      务：</w:t>
      </w:r>
      <w:r>
        <w:rPr>
          <w:rFonts w:hint="eastAsia" w:ascii="宋体" w:hAnsi="宋体"/>
          <w:color w:val="000000"/>
          <w:sz w:val="24"/>
          <w:u w:val="single"/>
        </w:rPr>
        <w:t xml:space="preserve">                </w:t>
      </w:r>
    </w:p>
    <w:p w14:paraId="2CA069E2">
      <w:pPr>
        <w:spacing w:line="500" w:lineRule="exact"/>
        <w:ind w:left="540"/>
        <w:rPr>
          <w:rFonts w:ascii="宋体" w:hAnsi="宋体"/>
          <w:color w:val="000000"/>
          <w:sz w:val="24"/>
        </w:rPr>
      </w:pPr>
      <w:r>
        <w:rPr>
          <w:rFonts w:hint="eastAsia" w:ascii="宋体" w:hAnsi="宋体"/>
          <w:color w:val="000000"/>
          <w:sz w:val="24"/>
        </w:rPr>
        <w:t>身份证</w:t>
      </w:r>
      <w:r>
        <w:rPr>
          <w:rFonts w:hint="eastAsia"/>
          <w:color w:val="000000"/>
          <w:sz w:val="24"/>
        </w:rPr>
        <w:t>号码：</w:t>
      </w:r>
      <w:r>
        <w:rPr>
          <w:color w:val="000000"/>
          <w:sz w:val="24"/>
          <w:u w:val="single"/>
        </w:rPr>
        <w:t xml:space="preserve">                                 </w:t>
      </w:r>
    </w:p>
    <w:p w14:paraId="21BE06AD">
      <w:pPr>
        <w:spacing w:line="500" w:lineRule="exact"/>
        <w:ind w:left="54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i/>
          <w:iCs/>
          <w:color w:val="000000"/>
          <w:sz w:val="24"/>
          <w:u w:val="single"/>
        </w:rPr>
        <w:t>（投标人名称</w:t>
      </w:r>
      <w:r>
        <w:rPr>
          <w:rFonts w:hint="eastAsia" w:ascii="宋体" w:hAnsi="宋体"/>
          <w:color w:val="000000"/>
          <w:sz w:val="24"/>
          <w:u w:val="single"/>
        </w:rPr>
        <w:t xml:space="preserve">）              </w:t>
      </w:r>
      <w:r>
        <w:rPr>
          <w:rFonts w:hint="eastAsia" w:ascii="宋体" w:hAnsi="宋体"/>
          <w:color w:val="000000"/>
          <w:sz w:val="24"/>
        </w:rPr>
        <w:t>的法定代表人。</w:t>
      </w:r>
    </w:p>
    <w:p w14:paraId="52C61AE0">
      <w:pPr>
        <w:spacing w:line="500" w:lineRule="exact"/>
        <w:ind w:left="540"/>
        <w:rPr>
          <w:rFonts w:ascii="宋体" w:hAnsi="宋体"/>
          <w:color w:val="000000"/>
          <w:sz w:val="24"/>
        </w:rPr>
      </w:pPr>
      <w:r>
        <w:rPr>
          <w:rFonts w:hint="eastAsia" w:ascii="宋体" w:hAnsi="宋体"/>
          <w:color w:val="000000"/>
          <w:sz w:val="24"/>
        </w:rPr>
        <w:t>特此证明。</w:t>
      </w:r>
    </w:p>
    <w:p w14:paraId="21784645">
      <w:pPr>
        <w:spacing w:line="500" w:lineRule="exact"/>
        <w:ind w:left="540"/>
        <w:rPr>
          <w:rFonts w:ascii="宋体" w:hAnsi="宋体"/>
          <w:color w:val="000000"/>
          <w:sz w:val="24"/>
        </w:rPr>
      </w:pPr>
    </w:p>
    <w:p w14:paraId="066DB6A7">
      <w:pPr>
        <w:spacing w:line="500" w:lineRule="exact"/>
        <w:ind w:left="540"/>
        <w:rPr>
          <w:rFonts w:ascii="宋体" w:hAnsi="宋体"/>
          <w:color w:val="000000"/>
          <w:sz w:val="24"/>
        </w:rPr>
      </w:pPr>
    </w:p>
    <w:p w14:paraId="1E61A185">
      <w:pPr>
        <w:spacing w:line="500" w:lineRule="exact"/>
        <w:ind w:left="540"/>
        <w:rPr>
          <w:rFonts w:ascii="宋体" w:hAnsi="宋体"/>
          <w:color w:val="000000"/>
          <w:sz w:val="24"/>
        </w:rPr>
      </w:pPr>
      <w:r>
        <w:rPr>
          <w:rFonts w:hint="eastAsia" w:ascii="宋体" w:hAnsi="宋体"/>
          <w:color w:val="000000"/>
          <w:sz w:val="24"/>
        </w:rPr>
        <w:t>附件：法定代表人有效身份证正反面复印件</w:t>
      </w:r>
    </w:p>
    <w:p w14:paraId="4BC4B078">
      <w:pPr>
        <w:spacing w:line="500" w:lineRule="exact"/>
        <w:ind w:left="540"/>
        <w:rPr>
          <w:rFonts w:ascii="宋体" w:hAnsi="宋体"/>
          <w:color w:val="000000"/>
          <w:sz w:val="24"/>
        </w:rPr>
      </w:pPr>
    </w:p>
    <w:p w14:paraId="523DF6F0">
      <w:pPr>
        <w:snapToGrid w:val="0"/>
        <w:spacing w:line="360" w:lineRule="auto"/>
        <w:ind w:firstLine="4935" w:firstLineChars="2350"/>
        <w:rPr>
          <w:rFonts w:ascii="宋体" w:hAnsi="宋体" w:cs="宋体"/>
          <w:kern w:val="0"/>
          <w:sz w:val="24"/>
        </w:rPr>
      </w:pPr>
      <w:r>
        <w:rPr>
          <w:rFonts w:hAnsi="宋体"/>
          <w:color w:val="000000"/>
          <w:szCs w:val="21"/>
        </w:rPr>
        <w:t xml:space="preserve">  </w:t>
      </w:r>
      <w:r>
        <w:rPr>
          <w:rFonts w:hint="eastAsia" w:ascii="宋体" w:hAnsi="宋体" w:cs="宋体"/>
          <w:kern w:val="0"/>
          <w:sz w:val="24"/>
          <w:lang w:val="zh-CN"/>
        </w:rPr>
        <w:t>投标人名称(盖公章)：</w:t>
      </w:r>
    </w:p>
    <w:p w14:paraId="1D61C9E0">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7FB86EB">
      <w:pPr>
        <w:snapToGrid w:val="0"/>
        <w:spacing w:before="120" w:beforeLines="50" w:after="50"/>
        <w:jc w:val="center"/>
        <w:rPr>
          <w:rFonts w:ascii="宋体" w:hAnsi="宋体"/>
          <w:b/>
          <w:color w:val="000000"/>
          <w:sz w:val="24"/>
        </w:rPr>
      </w:pPr>
    </w:p>
    <w:p w14:paraId="52823BB2">
      <w:pPr>
        <w:snapToGrid w:val="0"/>
        <w:spacing w:before="120" w:beforeLines="50" w:after="50"/>
        <w:ind w:firstLine="600" w:firstLineChars="250"/>
        <w:jc w:val="left"/>
        <w:rPr>
          <w:rFonts w:ascii="宋体" w:hAnsi="宋体"/>
          <w:color w:val="000000"/>
          <w:sz w:val="24"/>
        </w:rPr>
      </w:pPr>
      <w:r>
        <w:rPr>
          <w:rFonts w:hint="eastAsia" w:ascii="宋体" w:hAnsi="宋体"/>
          <w:color w:val="000000"/>
          <w:sz w:val="24"/>
        </w:rPr>
        <w:t>注：自然人投标的无需提供</w:t>
      </w:r>
    </w:p>
    <w:p w14:paraId="04E59058">
      <w:pPr>
        <w:snapToGrid w:val="0"/>
        <w:spacing w:before="120" w:beforeLines="50" w:after="50"/>
        <w:ind w:firstLine="600" w:firstLineChars="250"/>
        <w:jc w:val="left"/>
        <w:rPr>
          <w:rFonts w:ascii="宋体" w:hAnsi="宋体"/>
          <w:color w:val="000000"/>
          <w:sz w:val="24"/>
        </w:rPr>
      </w:pPr>
    </w:p>
    <w:p w14:paraId="04F87EC5">
      <w:pPr>
        <w:snapToGrid w:val="0"/>
        <w:spacing w:before="120" w:beforeLines="50" w:after="50"/>
        <w:ind w:firstLine="602" w:firstLineChars="250"/>
        <w:jc w:val="left"/>
        <w:rPr>
          <w:rFonts w:ascii="宋体" w:hAnsi="宋体"/>
          <w:b/>
          <w:color w:val="000000"/>
          <w:sz w:val="24"/>
          <w:szCs w:val="20"/>
        </w:rPr>
      </w:pPr>
    </w:p>
    <w:tbl>
      <w:tblPr>
        <w:tblStyle w:val="23"/>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28A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tcPr>
          <w:p w14:paraId="56DB8F59">
            <w:pPr>
              <w:spacing w:line="360" w:lineRule="auto"/>
              <w:rPr>
                <w:rFonts w:ascii="宋体"/>
                <w:b/>
                <w:sz w:val="24"/>
              </w:rPr>
            </w:pPr>
          </w:p>
          <w:p w14:paraId="12345CAC">
            <w:pPr>
              <w:spacing w:line="360" w:lineRule="auto"/>
              <w:rPr>
                <w:rFonts w:ascii="宋体"/>
                <w:b/>
                <w:sz w:val="24"/>
              </w:rPr>
            </w:pPr>
            <w:r>
              <w:rPr>
                <w:rFonts w:hint="eastAsia" w:ascii="宋体"/>
                <w:b/>
                <w:sz w:val="24"/>
              </w:rPr>
              <w:t>法定代表人有效身份证复印件粘贴处（正、反面）</w:t>
            </w:r>
          </w:p>
        </w:tc>
      </w:tr>
    </w:tbl>
    <w:p w14:paraId="7EEC85FC">
      <w:pPr>
        <w:pStyle w:val="13"/>
        <w:snapToGrid w:val="0"/>
        <w:spacing w:before="295" w:after="295" w:line="360" w:lineRule="auto"/>
        <w:jc w:val="left"/>
        <w:rPr>
          <w:rFonts w:hAnsi="宋体"/>
          <w:b/>
          <w:color w:val="000000"/>
          <w:sz w:val="24"/>
        </w:rPr>
      </w:pPr>
      <w:r>
        <w:rPr>
          <w:rFonts w:hint="eastAsia" w:hAnsi="宋体"/>
          <w:b/>
          <w:color w:val="000000"/>
          <w:sz w:val="24"/>
        </w:rPr>
        <w:t>附件：</w:t>
      </w:r>
      <w:r>
        <w:rPr>
          <w:rFonts w:hint="eastAsia" w:hAnsi="宋体"/>
          <w:b/>
          <w:color w:val="000000"/>
          <w:sz w:val="24"/>
        </w:rPr>
        <w:br w:type="page"/>
      </w:r>
      <w:r>
        <w:rPr>
          <w:rFonts w:hint="eastAsia" w:hAnsi="宋体" w:cs="宋体"/>
          <w:b/>
          <w:bCs/>
          <w:sz w:val="30"/>
          <w:szCs w:val="30"/>
        </w:rPr>
        <w:t>5.法定代表人授权委托书的格式：</w:t>
      </w:r>
    </w:p>
    <w:p w14:paraId="09CA9885">
      <w:pPr>
        <w:snapToGrid w:val="0"/>
        <w:spacing w:before="120" w:beforeLines="50" w:after="50"/>
        <w:jc w:val="center"/>
        <w:rPr>
          <w:rFonts w:ascii="宋体" w:hAnsi="宋体"/>
          <w:b/>
          <w:color w:val="000000"/>
          <w:sz w:val="32"/>
          <w:szCs w:val="32"/>
        </w:rPr>
      </w:pPr>
    </w:p>
    <w:p w14:paraId="3F476B62">
      <w:pPr>
        <w:snapToGrid w:val="0"/>
        <w:spacing w:before="120" w:beforeLines="50" w:after="50"/>
        <w:jc w:val="center"/>
        <w:rPr>
          <w:rFonts w:ascii="宋体" w:hAnsi="宋体"/>
          <w:b/>
          <w:color w:val="000000"/>
          <w:sz w:val="32"/>
          <w:szCs w:val="32"/>
        </w:rPr>
      </w:pPr>
      <w:r>
        <w:rPr>
          <w:rFonts w:hint="eastAsia" w:ascii="宋体" w:hAnsi="宋体"/>
          <w:b/>
          <w:color w:val="000000"/>
          <w:sz w:val="32"/>
          <w:szCs w:val="32"/>
        </w:rPr>
        <w:t>授权委托书（非联合体投标格式）</w:t>
      </w:r>
    </w:p>
    <w:p w14:paraId="13C87D36">
      <w:pPr>
        <w:snapToGrid w:val="0"/>
        <w:spacing w:before="120" w:beforeLines="50" w:after="50"/>
        <w:jc w:val="center"/>
        <w:rPr>
          <w:rFonts w:ascii="宋体" w:hAnsi="宋体"/>
          <w:bCs/>
          <w:color w:val="000000"/>
          <w:sz w:val="24"/>
        </w:rPr>
      </w:pPr>
      <w:r>
        <w:rPr>
          <w:rFonts w:hint="eastAsia" w:ascii="宋体" w:hAnsi="宋体"/>
          <w:b/>
          <w:color w:val="000000"/>
          <w:sz w:val="32"/>
          <w:szCs w:val="32"/>
        </w:rPr>
        <w:t>（如有委托时）</w:t>
      </w:r>
    </w:p>
    <w:p w14:paraId="4CBBDFE5">
      <w:pPr>
        <w:snapToGrid w:val="0"/>
        <w:spacing w:before="120" w:beforeLines="50" w:after="50"/>
        <w:jc w:val="left"/>
        <w:rPr>
          <w:rFonts w:ascii="宋体" w:hAnsi="宋体"/>
          <w:bCs/>
          <w:color w:val="000000"/>
          <w:sz w:val="24"/>
        </w:rPr>
      </w:pPr>
    </w:p>
    <w:p w14:paraId="396E00CE">
      <w:pPr>
        <w:snapToGrid w:val="0"/>
        <w:spacing w:before="120" w:beforeLines="50" w:after="50" w:line="360" w:lineRule="auto"/>
        <w:jc w:val="left"/>
        <w:rPr>
          <w:rFonts w:ascii="宋体" w:hAnsi="宋体"/>
          <w:bCs/>
          <w:color w:val="000000"/>
          <w:sz w:val="24"/>
        </w:rPr>
      </w:pPr>
      <w:r>
        <w:rPr>
          <w:rFonts w:hint="eastAsia" w:ascii="宋体" w:hAnsi="宋体"/>
          <w:bCs/>
          <w:color w:val="000000"/>
          <w:sz w:val="24"/>
        </w:rPr>
        <w:t>致：</w:t>
      </w:r>
      <w:r>
        <w:rPr>
          <w:rFonts w:hint="eastAsia" w:ascii="宋体" w:hAnsi="宋体"/>
          <w:bCs/>
          <w:color w:val="000000"/>
          <w:sz w:val="24"/>
          <w:u w:val="single"/>
        </w:rPr>
        <w:t>广西科联招标中心有限公司</w:t>
      </w:r>
      <w:r>
        <w:rPr>
          <w:rFonts w:hint="eastAsia" w:ascii="宋体" w:hAnsi="宋体"/>
          <w:bCs/>
          <w:color w:val="000000"/>
          <w:sz w:val="24"/>
        </w:rPr>
        <w:t>：</w:t>
      </w:r>
    </w:p>
    <w:p w14:paraId="52328C37">
      <w:pPr>
        <w:snapToGrid w:val="0"/>
        <w:spacing w:before="120" w:beforeLines="50" w:after="50" w:line="360" w:lineRule="auto"/>
        <w:ind w:firstLine="480" w:firstLineChars="200"/>
        <w:jc w:val="left"/>
        <w:rPr>
          <w:rFonts w:ascii="宋体" w:hAnsi="宋体"/>
          <w:bCs/>
          <w:color w:val="000000"/>
          <w:sz w:val="24"/>
        </w:rPr>
      </w:pPr>
      <w:r>
        <w:rPr>
          <w:rFonts w:hint="eastAsia" w:ascii="宋体" w:hAnsi="宋体"/>
          <w:bCs/>
          <w:color w:val="000000"/>
          <w:sz w:val="24"/>
        </w:rPr>
        <w:t>我</w:t>
      </w:r>
      <w:r>
        <w:rPr>
          <w:rFonts w:hint="eastAsia" w:ascii="宋体" w:hAnsi="宋体"/>
          <w:bCs/>
          <w:color w:val="000000"/>
          <w:sz w:val="24"/>
          <w:u w:val="single"/>
        </w:rPr>
        <w:t xml:space="preserve">  </w:t>
      </w:r>
      <w:r>
        <w:rPr>
          <w:rFonts w:hint="eastAsia" w:ascii="宋体" w:hAnsi="宋体"/>
          <w:bCs/>
          <w:i/>
          <w:iCs/>
          <w:color w:val="000000"/>
          <w:sz w:val="24"/>
          <w:u w:val="single"/>
        </w:rPr>
        <w:t>（姓名）</w:t>
      </w:r>
      <w:r>
        <w:rPr>
          <w:rFonts w:hint="eastAsia" w:ascii="宋体" w:hAnsi="宋体"/>
          <w:bCs/>
          <w:color w:val="000000"/>
          <w:sz w:val="24"/>
          <w:u w:val="single"/>
        </w:rPr>
        <w:t xml:space="preserve">  </w:t>
      </w:r>
      <w:r>
        <w:rPr>
          <w:rFonts w:hint="eastAsia" w:ascii="宋体" w:hAnsi="宋体"/>
          <w:bCs/>
          <w:color w:val="000000"/>
          <w:sz w:val="24"/>
        </w:rPr>
        <w:t>系</w:t>
      </w:r>
      <w:r>
        <w:rPr>
          <w:rFonts w:hint="eastAsia" w:ascii="宋体" w:hAnsi="宋体"/>
          <w:bCs/>
          <w:color w:val="000000"/>
          <w:sz w:val="24"/>
          <w:u w:val="single"/>
        </w:rPr>
        <w:t xml:space="preserve">  </w:t>
      </w:r>
      <w:r>
        <w:rPr>
          <w:rFonts w:hint="eastAsia" w:ascii="宋体" w:hAnsi="宋体"/>
          <w:bCs/>
          <w:i/>
          <w:iCs/>
          <w:color w:val="000000"/>
          <w:sz w:val="24"/>
          <w:u w:val="single"/>
        </w:rPr>
        <w:t>（投标人名称）</w:t>
      </w:r>
      <w:r>
        <w:rPr>
          <w:rFonts w:hint="eastAsia" w:ascii="宋体" w:hAnsi="宋体"/>
          <w:bCs/>
          <w:color w:val="000000"/>
          <w:sz w:val="24"/>
          <w:u w:val="single"/>
        </w:rPr>
        <w:t xml:space="preserve">  </w:t>
      </w:r>
      <w:r>
        <w:rPr>
          <w:rFonts w:hint="eastAsia" w:ascii="宋体" w:hAnsi="宋体"/>
          <w:bCs/>
          <w:color w:val="000000"/>
          <w:sz w:val="24"/>
        </w:rPr>
        <w:t xml:space="preserve">的（□法定代表人/□负责人/□自然人本人），现授权 </w:t>
      </w:r>
      <w:r>
        <w:rPr>
          <w:rFonts w:hint="eastAsia" w:ascii="宋体" w:hAnsi="宋体"/>
          <w:bCs/>
          <w:i/>
          <w:iCs/>
          <w:color w:val="000000"/>
          <w:sz w:val="24"/>
          <w:u w:val="single"/>
        </w:rPr>
        <w:t>（姓名）</w:t>
      </w:r>
      <w:r>
        <w:rPr>
          <w:rFonts w:hint="eastAsia" w:ascii="宋体" w:hAnsi="宋体"/>
          <w:bCs/>
          <w:color w:val="000000"/>
          <w:sz w:val="24"/>
        </w:rPr>
        <w:t xml:space="preserve"> 以我方的名义参加</w:t>
      </w:r>
      <w:r>
        <w:rPr>
          <w:rFonts w:hint="eastAsia" w:ascii="宋体" w:hAnsi="宋体"/>
          <w:bCs/>
          <w:color w:val="000000"/>
          <w:sz w:val="24"/>
          <w:u w:val="single"/>
        </w:rPr>
        <w:t xml:space="preserve">  （</w:t>
      </w:r>
      <w:r>
        <w:rPr>
          <w:rFonts w:hint="eastAsia" w:ascii="宋体" w:hAnsi="宋体"/>
          <w:bCs/>
          <w:i/>
          <w:iCs/>
          <w:color w:val="000000"/>
          <w:sz w:val="24"/>
          <w:u w:val="single"/>
        </w:rPr>
        <w:t>项目名称</w:t>
      </w:r>
      <w:r>
        <w:rPr>
          <w:rFonts w:hint="eastAsia" w:ascii="宋体" w:hAnsi="宋体"/>
          <w:bCs/>
          <w:color w:val="000000"/>
          <w:sz w:val="24"/>
          <w:u w:val="single"/>
        </w:rPr>
        <w:t>）</w:t>
      </w:r>
      <w:r>
        <w:rPr>
          <w:rFonts w:hint="eastAsia" w:ascii="宋体" w:hAnsi="宋体"/>
          <w:bCs/>
          <w:color w:val="000000"/>
          <w:sz w:val="24"/>
        </w:rPr>
        <w:t>项目的投标活动，并代表我方全权办理针对上述项目的所有采购程序和环节的具体事务和签署相关文件。</w:t>
      </w:r>
    </w:p>
    <w:p w14:paraId="66835D80">
      <w:pPr>
        <w:snapToGrid w:val="0"/>
        <w:spacing w:before="120" w:beforeLines="50" w:after="50" w:line="360" w:lineRule="auto"/>
        <w:jc w:val="left"/>
        <w:rPr>
          <w:rFonts w:ascii="宋体" w:hAnsi="宋体"/>
          <w:bCs/>
          <w:color w:val="000000"/>
          <w:sz w:val="24"/>
        </w:rPr>
      </w:pPr>
      <w:r>
        <w:rPr>
          <w:rFonts w:hint="eastAsia" w:ascii="宋体" w:hAnsi="宋体"/>
          <w:bCs/>
          <w:color w:val="000000"/>
          <w:sz w:val="24"/>
        </w:rPr>
        <w:t xml:space="preserve">    我方对委托代理人的签字事项负全部责任。</w:t>
      </w:r>
    </w:p>
    <w:p w14:paraId="20279DAD">
      <w:pPr>
        <w:snapToGrid w:val="0"/>
        <w:spacing w:before="120" w:beforeLines="50" w:after="50" w:line="360" w:lineRule="auto"/>
        <w:ind w:firstLine="480" w:firstLineChars="200"/>
        <w:jc w:val="left"/>
        <w:rPr>
          <w:rFonts w:ascii="宋体" w:hAnsi="宋体"/>
          <w:bCs/>
          <w:color w:val="000000"/>
          <w:sz w:val="24"/>
        </w:rPr>
      </w:pPr>
      <w:r>
        <w:rPr>
          <w:rFonts w:hint="eastAsia" w:ascii="宋体" w:hAnsi="宋体"/>
          <w:bCs/>
          <w:color w:val="000000"/>
          <w:sz w:val="24"/>
        </w:rPr>
        <w:t>本授权书自签署之日起生效，在撤销授权的书面通知以前，本授权书一直有效。委托代理人在授权书有效期内签署的所有文件不因授权的撤销而失效。</w:t>
      </w:r>
    </w:p>
    <w:p w14:paraId="12C9AB09">
      <w:pPr>
        <w:snapToGrid w:val="0"/>
        <w:spacing w:before="120" w:beforeLines="50" w:after="50" w:line="360" w:lineRule="auto"/>
        <w:ind w:firstLine="480" w:firstLineChars="200"/>
        <w:jc w:val="left"/>
        <w:rPr>
          <w:rFonts w:ascii="宋体" w:hAnsi="宋体"/>
          <w:bCs/>
          <w:color w:val="000000"/>
          <w:sz w:val="24"/>
        </w:rPr>
      </w:pPr>
      <w:r>
        <w:rPr>
          <w:rFonts w:hint="eastAsia" w:ascii="宋体" w:hAnsi="宋体"/>
          <w:bCs/>
          <w:color w:val="000000"/>
          <w:sz w:val="24"/>
        </w:rPr>
        <w:t>委托代理人无转委托权，特此委托。</w:t>
      </w:r>
    </w:p>
    <w:p w14:paraId="2863EDA7">
      <w:pPr>
        <w:snapToGrid w:val="0"/>
        <w:spacing w:before="120" w:beforeLines="50" w:after="50" w:line="360" w:lineRule="auto"/>
        <w:ind w:firstLine="480" w:firstLineChars="200"/>
        <w:jc w:val="left"/>
        <w:rPr>
          <w:rFonts w:ascii="宋体" w:hAnsi="宋体"/>
          <w:bCs/>
          <w:color w:val="000000"/>
          <w:sz w:val="24"/>
        </w:rPr>
      </w:pPr>
      <w:r>
        <w:rPr>
          <w:rFonts w:hint="eastAsia" w:ascii="宋体" w:hAnsi="宋体"/>
          <w:bCs/>
          <w:color w:val="000000"/>
          <w:sz w:val="24"/>
        </w:rPr>
        <w:t>附：委托代理人有效身份证正反面复印件</w:t>
      </w:r>
    </w:p>
    <w:p w14:paraId="129A4CAF">
      <w:pPr>
        <w:snapToGrid w:val="0"/>
        <w:spacing w:before="120" w:beforeLines="50" w:after="50" w:line="360" w:lineRule="auto"/>
        <w:jc w:val="left"/>
        <w:rPr>
          <w:rFonts w:ascii="宋体" w:hAnsi="宋体"/>
          <w:bCs/>
          <w:color w:val="000000"/>
          <w:sz w:val="24"/>
        </w:rPr>
      </w:pPr>
    </w:p>
    <w:p w14:paraId="4F13E178">
      <w:pPr>
        <w:snapToGrid w:val="0"/>
        <w:spacing w:before="120" w:beforeLines="50" w:after="50" w:line="360" w:lineRule="auto"/>
        <w:jc w:val="left"/>
        <w:rPr>
          <w:rFonts w:ascii="宋体" w:hAnsi="宋体"/>
          <w:bCs/>
          <w:color w:val="000000"/>
          <w:sz w:val="24"/>
        </w:rPr>
      </w:pPr>
      <w:r>
        <w:rPr>
          <w:rFonts w:hint="eastAsia" w:ascii="宋体" w:hAnsi="宋体"/>
          <w:bCs/>
          <w:color w:val="000000"/>
          <w:sz w:val="24"/>
        </w:rPr>
        <w:t xml:space="preserve">委托代理人（签字）：                    法定代表人（签字）：                    </w:t>
      </w:r>
    </w:p>
    <w:p w14:paraId="68966919">
      <w:pPr>
        <w:snapToGrid w:val="0"/>
        <w:spacing w:before="120" w:beforeLines="50" w:after="50" w:line="360" w:lineRule="auto"/>
        <w:jc w:val="left"/>
        <w:rPr>
          <w:rFonts w:ascii="宋体" w:hAnsi="宋体"/>
          <w:bCs/>
          <w:color w:val="000000"/>
          <w:sz w:val="24"/>
        </w:rPr>
      </w:pPr>
      <w:r>
        <w:rPr>
          <w:rFonts w:hint="eastAsia" w:ascii="宋体" w:hAnsi="宋体"/>
          <w:bCs/>
          <w:color w:val="000000"/>
          <w:sz w:val="24"/>
        </w:rPr>
        <w:t xml:space="preserve">委托代理人身份证号码：                              </w:t>
      </w:r>
    </w:p>
    <w:p w14:paraId="020B813F">
      <w:pPr>
        <w:snapToGrid w:val="0"/>
        <w:spacing w:before="120" w:beforeLines="50" w:after="50" w:line="360" w:lineRule="auto"/>
        <w:jc w:val="left"/>
        <w:rPr>
          <w:rFonts w:ascii="宋体" w:hAnsi="宋体"/>
          <w:bCs/>
          <w:color w:val="000000"/>
          <w:sz w:val="24"/>
        </w:rPr>
      </w:pPr>
      <w:r>
        <w:rPr>
          <w:rFonts w:hint="eastAsia" w:ascii="宋体" w:hAnsi="宋体"/>
          <w:bCs/>
          <w:color w:val="000000"/>
          <w:sz w:val="24"/>
        </w:rPr>
        <w:t xml:space="preserve">                                  投标人名称（盖公章）：</w:t>
      </w:r>
    </w:p>
    <w:p w14:paraId="05AB7F90">
      <w:pPr>
        <w:snapToGrid w:val="0"/>
        <w:spacing w:before="120" w:beforeLines="50" w:after="50" w:line="360" w:lineRule="auto"/>
        <w:jc w:val="left"/>
        <w:rPr>
          <w:rFonts w:ascii="宋体" w:hAnsi="宋体"/>
          <w:bCs/>
          <w:color w:val="000000"/>
          <w:sz w:val="24"/>
        </w:rPr>
      </w:pPr>
      <w:r>
        <w:rPr>
          <w:rFonts w:hint="eastAsia" w:ascii="宋体" w:hAnsi="宋体"/>
          <w:bCs/>
          <w:color w:val="000000"/>
          <w:sz w:val="24"/>
        </w:rPr>
        <w:t xml:space="preserve">                                                   日期：  年  月   日</w:t>
      </w:r>
    </w:p>
    <w:p w14:paraId="677CCF81">
      <w:pPr>
        <w:snapToGrid w:val="0"/>
        <w:spacing w:before="120" w:beforeLines="50" w:after="50" w:line="360" w:lineRule="auto"/>
        <w:jc w:val="left"/>
        <w:rPr>
          <w:rFonts w:ascii="宋体" w:hAnsi="宋体"/>
          <w:bCs/>
          <w:color w:val="000000"/>
          <w:sz w:val="24"/>
        </w:rPr>
      </w:pPr>
    </w:p>
    <w:p w14:paraId="7CB1F749">
      <w:pPr>
        <w:snapToGrid w:val="0"/>
        <w:spacing w:before="120" w:beforeLines="50" w:after="50" w:line="360" w:lineRule="auto"/>
        <w:jc w:val="left"/>
        <w:rPr>
          <w:rFonts w:ascii="宋体" w:hAnsi="宋体"/>
          <w:bCs/>
          <w:color w:val="000000"/>
          <w:szCs w:val="21"/>
        </w:rPr>
      </w:pPr>
      <w:r>
        <w:rPr>
          <w:rFonts w:hint="eastAsia" w:ascii="宋体" w:hAnsi="宋体"/>
          <w:bCs/>
          <w:color w:val="000000"/>
          <w:szCs w:val="21"/>
        </w:rPr>
        <w:t>注：</w:t>
      </w:r>
    </w:p>
    <w:p w14:paraId="4D2593CA">
      <w:pPr>
        <w:snapToGrid w:val="0"/>
        <w:spacing w:line="380" w:lineRule="exact"/>
        <w:ind w:firstLine="420" w:firstLineChars="200"/>
        <w:jc w:val="left"/>
        <w:rPr>
          <w:rFonts w:ascii="宋体" w:hAnsi="宋体"/>
          <w:bCs/>
          <w:color w:val="000000"/>
          <w:szCs w:val="21"/>
        </w:rPr>
      </w:pPr>
      <w:r>
        <w:rPr>
          <w:rFonts w:hint="eastAsia" w:ascii="宋体" w:hAnsi="宋体"/>
          <w:bCs/>
          <w:color w:val="000000"/>
          <w:szCs w:val="21"/>
        </w:rPr>
        <w:t>1.法定代表人和委托代理人必须在授权委托书上签字，</w:t>
      </w:r>
      <w:r>
        <w:rPr>
          <w:rFonts w:hint="eastAsia" w:ascii="宋体" w:hAnsi="宋体"/>
          <w:b/>
          <w:color w:val="000000"/>
          <w:szCs w:val="21"/>
        </w:rPr>
        <w:t>否则其投标文件按无效响应处理</w:t>
      </w:r>
      <w:r>
        <w:rPr>
          <w:rFonts w:hint="eastAsia" w:ascii="宋体" w:hAnsi="宋体"/>
          <w:bCs/>
          <w:color w:val="000000"/>
          <w:szCs w:val="21"/>
        </w:rPr>
        <w:t>。</w:t>
      </w:r>
    </w:p>
    <w:p w14:paraId="5BC2FD7B">
      <w:pPr>
        <w:snapToGrid w:val="0"/>
        <w:spacing w:before="120" w:beforeLines="50" w:after="50" w:line="380" w:lineRule="exact"/>
        <w:ind w:firstLine="420" w:firstLineChars="200"/>
        <w:jc w:val="left"/>
        <w:rPr>
          <w:rFonts w:ascii="宋体" w:hAnsi="宋体"/>
          <w:bCs/>
          <w:color w:val="000000"/>
          <w:szCs w:val="21"/>
        </w:rPr>
      </w:pPr>
      <w:r>
        <w:rPr>
          <w:rFonts w:hint="eastAsia" w:ascii="宋体" w:hAnsi="宋体"/>
          <w:bCs/>
          <w:color w:val="000000"/>
          <w:szCs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EACC532">
      <w:pPr>
        <w:snapToGrid w:val="0"/>
        <w:spacing w:before="120" w:beforeLines="50" w:after="50" w:line="380" w:lineRule="exact"/>
        <w:ind w:firstLine="420" w:firstLineChars="200"/>
        <w:jc w:val="left"/>
        <w:rPr>
          <w:rFonts w:ascii="宋体" w:hAnsi="宋体"/>
          <w:bCs/>
          <w:color w:val="000000"/>
          <w:szCs w:val="21"/>
        </w:rPr>
      </w:pPr>
      <w:r>
        <w:rPr>
          <w:rFonts w:hint="eastAsia" w:ascii="宋体" w:hAnsi="宋体"/>
          <w:bCs/>
          <w:color w:val="000000"/>
          <w:szCs w:val="21"/>
        </w:rPr>
        <w:t>3.法人、其他组织投标时“我方”是指“我单位”，自然人投标时“我方”是指“本人”。</w:t>
      </w:r>
    </w:p>
    <w:p w14:paraId="01769709">
      <w:pPr>
        <w:spacing w:line="360" w:lineRule="auto"/>
        <w:rPr>
          <w:rFonts w:ascii="宋体"/>
          <w:b/>
          <w:sz w:val="24"/>
        </w:rPr>
      </w:pPr>
    </w:p>
    <w:p w14:paraId="6F6DAF41">
      <w:pPr>
        <w:jc w:val="left"/>
        <w:rPr>
          <w:rFonts w:ascii="宋体" w:hAnsi="宋体" w:cs="宋体"/>
          <w:b/>
          <w:bCs/>
          <w:sz w:val="32"/>
          <w:szCs w:val="32"/>
        </w:rPr>
      </w:pPr>
    </w:p>
    <w:p w14:paraId="45747883">
      <w:pPr>
        <w:spacing w:line="360" w:lineRule="auto"/>
        <w:rPr>
          <w:b/>
          <w:sz w:val="24"/>
        </w:rPr>
      </w:pPr>
      <w:r>
        <w:rPr>
          <w:rFonts w:hint="eastAsia" w:ascii="宋体"/>
          <w:b/>
          <w:sz w:val="24"/>
        </w:rPr>
        <w:t>附件：</w:t>
      </w:r>
    </w:p>
    <w:tbl>
      <w:tblPr>
        <w:tblStyle w:val="23"/>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1BF2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tcPr>
          <w:p w14:paraId="450BBB32">
            <w:pPr>
              <w:spacing w:line="360" w:lineRule="auto"/>
              <w:rPr>
                <w:rFonts w:ascii="宋体"/>
                <w:b/>
                <w:sz w:val="24"/>
              </w:rPr>
            </w:pPr>
          </w:p>
          <w:p w14:paraId="2D1B0A5B">
            <w:pPr>
              <w:spacing w:line="360" w:lineRule="auto"/>
              <w:rPr>
                <w:rFonts w:ascii="宋体"/>
                <w:b/>
                <w:sz w:val="24"/>
              </w:rPr>
            </w:pPr>
            <w:r>
              <w:rPr>
                <w:rFonts w:hint="eastAsia"/>
                <w:b/>
                <w:bCs/>
                <w:sz w:val="24"/>
              </w:rPr>
              <w:t>委托代理人有效</w:t>
            </w:r>
            <w:r>
              <w:rPr>
                <w:rFonts w:hint="eastAsia" w:ascii="宋体"/>
                <w:b/>
                <w:sz w:val="24"/>
              </w:rPr>
              <w:t>身份证复印件粘贴处（正、反面）</w:t>
            </w:r>
          </w:p>
        </w:tc>
      </w:tr>
    </w:tbl>
    <w:p w14:paraId="674B9B08">
      <w:pPr>
        <w:snapToGrid w:val="0"/>
        <w:spacing w:before="50" w:after="120" w:afterLines="50" w:line="360" w:lineRule="auto"/>
        <w:jc w:val="left"/>
        <w:rPr>
          <w:rFonts w:ascii="仿宋_GB2312" w:hAnsi="仿宋_GB2312" w:eastAsia="仿宋_GB2312" w:cs="仿宋_GB2312"/>
          <w:color w:val="000000"/>
          <w:szCs w:val="21"/>
        </w:rPr>
      </w:pPr>
    </w:p>
    <w:p w14:paraId="65E36E64">
      <w:pPr>
        <w:snapToGrid w:val="0"/>
        <w:spacing w:before="120" w:beforeLines="50" w:after="50"/>
        <w:ind w:firstLine="566" w:firstLineChars="236"/>
        <w:jc w:val="center"/>
        <w:rPr>
          <w:rFonts w:ascii="宋体" w:hAnsi="宋体"/>
          <w:color w:val="000000"/>
          <w:sz w:val="24"/>
        </w:rPr>
      </w:pPr>
      <w:r>
        <w:rPr>
          <w:rFonts w:hint="eastAsia" w:ascii="宋体" w:hAnsi="宋体"/>
          <w:color w:val="000000"/>
          <w:sz w:val="24"/>
        </w:rPr>
        <w:t xml:space="preserve"> </w:t>
      </w:r>
    </w:p>
    <w:p w14:paraId="693D5DB1">
      <w:pPr>
        <w:snapToGrid w:val="0"/>
        <w:spacing w:before="120" w:beforeLines="50" w:after="50"/>
        <w:ind w:firstLine="660" w:firstLineChars="236"/>
        <w:rPr>
          <w:rFonts w:ascii="宋体" w:hAnsi="宋体"/>
          <w:color w:val="000000"/>
          <w:sz w:val="28"/>
          <w:szCs w:val="28"/>
          <w:highlight w:val="yellow"/>
        </w:rPr>
      </w:pPr>
    </w:p>
    <w:p w14:paraId="74366E1D">
      <w:pPr>
        <w:snapToGrid w:val="0"/>
        <w:spacing w:before="120" w:beforeLines="50" w:after="50"/>
        <w:ind w:firstLine="660" w:firstLineChars="236"/>
        <w:rPr>
          <w:rFonts w:ascii="宋体" w:hAnsi="宋体"/>
          <w:color w:val="000000"/>
          <w:sz w:val="28"/>
          <w:szCs w:val="28"/>
          <w:highlight w:val="yellow"/>
        </w:rPr>
      </w:pPr>
    </w:p>
    <w:p w14:paraId="69215D41">
      <w:pPr>
        <w:snapToGrid w:val="0"/>
        <w:spacing w:before="120" w:beforeLines="50" w:after="50"/>
        <w:ind w:firstLine="660" w:firstLineChars="236"/>
        <w:rPr>
          <w:rFonts w:ascii="宋体" w:hAnsi="宋体"/>
          <w:color w:val="000000"/>
          <w:sz w:val="28"/>
          <w:szCs w:val="28"/>
          <w:highlight w:val="yellow"/>
        </w:rPr>
      </w:pPr>
    </w:p>
    <w:p w14:paraId="21A4968D">
      <w:pPr>
        <w:snapToGrid w:val="0"/>
        <w:spacing w:before="120" w:beforeLines="50" w:after="50"/>
        <w:ind w:firstLine="660" w:firstLineChars="236"/>
        <w:rPr>
          <w:rFonts w:ascii="宋体" w:hAnsi="宋体"/>
          <w:color w:val="000000"/>
          <w:sz w:val="28"/>
          <w:szCs w:val="28"/>
          <w:highlight w:val="yellow"/>
        </w:rPr>
      </w:pPr>
    </w:p>
    <w:p w14:paraId="6D95F45B">
      <w:pPr>
        <w:snapToGrid w:val="0"/>
        <w:spacing w:before="120" w:beforeLines="50" w:after="50"/>
        <w:ind w:firstLine="660" w:firstLineChars="236"/>
        <w:rPr>
          <w:rFonts w:ascii="宋体" w:hAnsi="宋体"/>
          <w:color w:val="000000"/>
          <w:sz w:val="28"/>
          <w:szCs w:val="28"/>
          <w:highlight w:val="yellow"/>
        </w:rPr>
      </w:pPr>
    </w:p>
    <w:p w14:paraId="4653EE16">
      <w:pPr>
        <w:snapToGrid w:val="0"/>
        <w:spacing w:before="120" w:beforeLines="50" w:after="50"/>
        <w:ind w:firstLine="660" w:firstLineChars="236"/>
        <w:rPr>
          <w:rFonts w:ascii="宋体" w:hAnsi="宋体"/>
          <w:color w:val="000000"/>
          <w:sz w:val="28"/>
          <w:szCs w:val="28"/>
          <w:highlight w:val="yellow"/>
        </w:rPr>
      </w:pPr>
    </w:p>
    <w:p w14:paraId="24FDAA9E">
      <w:pPr>
        <w:snapToGrid w:val="0"/>
        <w:spacing w:before="120" w:beforeLines="50" w:after="50"/>
        <w:ind w:firstLine="566" w:firstLineChars="236"/>
        <w:rPr>
          <w:rFonts w:ascii="宋体" w:hAnsi="宋体"/>
          <w:color w:val="000000"/>
        </w:rPr>
      </w:pPr>
      <w:r>
        <w:rPr>
          <w:rFonts w:hint="eastAsia" w:ascii="宋体" w:hAnsi="宋体"/>
          <w:color w:val="000000"/>
          <w:sz w:val="24"/>
        </w:rPr>
        <w:br w:type="page"/>
      </w:r>
    </w:p>
    <w:p w14:paraId="20BDFDBD">
      <w:pPr>
        <w:jc w:val="left"/>
        <w:rPr>
          <w:b/>
          <w:bCs/>
          <w:sz w:val="30"/>
          <w:szCs w:val="30"/>
        </w:rPr>
      </w:pPr>
      <w:r>
        <w:rPr>
          <w:rFonts w:hint="eastAsia" w:ascii="宋体" w:hAnsi="宋体" w:cs="宋体"/>
          <w:b/>
          <w:color w:val="000000"/>
          <w:sz w:val="28"/>
          <w:szCs w:val="28"/>
        </w:rPr>
        <w:t>6.商务条款偏离表的格式：</w:t>
      </w:r>
    </w:p>
    <w:p w14:paraId="212C6652">
      <w:pPr>
        <w:jc w:val="center"/>
        <w:rPr>
          <w:b/>
          <w:bCs/>
          <w:sz w:val="30"/>
          <w:szCs w:val="30"/>
        </w:rPr>
      </w:pPr>
    </w:p>
    <w:p w14:paraId="6B6D555D">
      <w:pPr>
        <w:jc w:val="center"/>
        <w:rPr>
          <w:b/>
          <w:bCs/>
          <w:sz w:val="30"/>
          <w:szCs w:val="30"/>
        </w:rPr>
      </w:pPr>
      <w:r>
        <w:rPr>
          <w:rFonts w:hint="eastAsia"/>
          <w:b/>
          <w:bCs/>
          <w:sz w:val="30"/>
          <w:szCs w:val="30"/>
        </w:rPr>
        <w:t>商务条款偏离表</w:t>
      </w:r>
    </w:p>
    <w:p w14:paraId="05F391B3">
      <w:pPr>
        <w:spacing w:line="360" w:lineRule="auto"/>
        <w:contextualSpacing/>
        <w:rPr>
          <w:rFonts w:ascii="宋体" w:hAnsi="宋体" w:cs="宋体"/>
          <w:sz w:val="24"/>
        </w:rPr>
      </w:pPr>
    </w:p>
    <w:p w14:paraId="4C26DBEB">
      <w:pPr>
        <w:spacing w:line="360" w:lineRule="auto"/>
        <w:contextualSpacing/>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77CDD3BE">
      <w:pPr>
        <w:spacing w:line="360" w:lineRule="auto"/>
        <w:contextualSpacing/>
        <w:jc w:val="left"/>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p w14:paraId="1A60E627">
      <w:pPr>
        <w:pStyle w:val="13"/>
        <w:spacing w:line="480" w:lineRule="auto"/>
        <w:ind w:left="-422" w:leftChars="-201" w:firstLine="424"/>
      </w:pPr>
      <w:r>
        <w:rPr>
          <w:rFonts w:hint="eastAsia" w:hAnsi="宋体" w:cs="宋体"/>
          <w:sz w:val="24"/>
          <w:szCs w:val="24"/>
        </w:rPr>
        <w:t>所投分标</w:t>
      </w:r>
      <w:r>
        <w:rPr>
          <w:rFonts w:hint="eastAsia" w:hAnsi="宋体" w:cs="宋体"/>
          <w:szCs w:val="21"/>
        </w:rPr>
        <w:t>（此处有分标时填写具体分标号，无分标时填写“无”）</w:t>
      </w:r>
      <w:r>
        <w:rPr>
          <w:rFonts w:hint="eastAsia" w:hAnsi="宋体" w:cs="宋体"/>
          <w:sz w:val="24"/>
          <w:szCs w:val="24"/>
        </w:rPr>
        <w:t>：</w:t>
      </w:r>
      <w:r>
        <w:rPr>
          <w:rFonts w:hint="eastAsia" w:hAnsi="宋体" w:cs="宋体"/>
          <w:sz w:val="24"/>
          <w:u w:val="single"/>
        </w:rPr>
        <w:t xml:space="preserve">           </w:t>
      </w:r>
    </w:p>
    <w:tbl>
      <w:tblPr>
        <w:tblStyle w:val="23"/>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4CBD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vAlign w:val="center"/>
          </w:tcPr>
          <w:p w14:paraId="51F51FEA">
            <w:pPr>
              <w:spacing w:line="340" w:lineRule="exact"/>
              <w:jc w:val="center"/>
              <w:rPr>
                <w:rFonts w:ascii="宋体" w:hAnsi="宋体" w:cs="宋体"/>
                <w:szCs w:val="21"/>
              </w:rPr>
            </w:pPr>
            <w:r>
              <w:rPr>
                <w:rFonts w:hint="eastAsia" w:ascii="宋体" w:hAnsi="宋体" w:cs="宋体"/>
                <w:szCs w:val="21"/>
              </w:rPr>
              <w:t>项号</w:t>
            </w:r>
          </w:p>
        </w:tc>
        <w:tc>
          <w:tcPr>
            <w:tcW w:w="3379" w:type="dxa"/>
            <w:tcBorders>
              <w:top w:val="single" w:color="auto" w:sz="4" w:space="0"/>
              <w:left w:val="single" w:color="auto" w:sz="4" w:space="0"/>
              <w:bottom w:val="single" w:color="auto" w:sz="4" w:space="0"/>
              <w:right w:val="single" w:color="auto" w:sz="4" w:space="0"/>
            </w:tcBorders>
            <w:vAlign w:val="center"/>
          </w:tcPr>
          <w:p w14:paraId="0EE0CE0A">
            <w:pPr>
              <w:spacing w:line="340" w:lineRule="exact"/>
              <w:jc w:val="center"/>
              <w:rPr>
                <w:rFonts w:ascii="宋体" w:hAnsi="宋体" w:cs="宋体"/>
                <w:szCs w:val="21"/>
              </w:rPr>
            </w:pPr>
            <w:r>
              <w:rPr>
                <w:rFonts w:hint="eastAsia" w:ascii="宋体" w:hAnsi="宋体" w:cs="宋体"/>
                <w:szCs w:val="21"/>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14:paraId="0EA63F48">
            <w:pPr>
              <w:spacing w:line="340" w:lineRule="exact"/>
              <w:jc w:val="center"/>
              <w:rPr>
                <w:rFonts w:ascii="宋体" w:hAnsi="宋体" w:cs="宋体"/>
                <w:szCs w:val="21"/>
              </w:rPr>
            </w:pPr>
            <w:r>
              <w:rPr>
                <w:rFonts w:hint="eastAsia" w:ascii="宋体" w:hAnsi="宋体" w:cs="宋体"/>
                <w:szCs w:val="21"/>
              </w:rPr>
              <w:t>投标文件响应的商务条款</w:t>
            </w:r>
          </w:p>
        </w:tc>
        <w:tc>
          <w:tcPr>
            <w:tcW w:w="1917" w:type="dxa"/>
            <w:tcBorders>
              <w:top w:val="single" w:color="auto" w:sz="4" w:space="0"/>
              <w:left w:val="single" w:color="auto" w:sz="4" w:space="0"/>
              <w:bottom w:val="single" w:color="auto" w:sz="4" w:space="0"/>
              <w:right w:val="single" w:color="auto" w:sz="4" w:space="0"/>
            </w:tcBorders>
            <w:vAlign w:val="center"/>
          </w:tcPr>
          <w:p w14:paraId="662F5107">
            <w:pPr>
              <w:spacing w:line="340" w:lineRule="exact"/>
              <w:jc w:val="center"/>
              <w:rPr>
                <w:rFonts w:ascii="宋体" w:hAnsi="宋体" w:cs="宋体"/>
                <w:szCs w:val="21"/>
              </w:rPr>
            </w:pPr>
            <w:r>
              <w:rPr>
                <w:rFonts w:hint="eastAsia" w:ascii="宋体" w:hAnsi="宋体" w:cs="宋体"/>
                <w:szCs w:val="21"/>
              </w:rPr>
              <w:t>偏离说明</w:t>
            </w:r>
          </w:p>
        </w:tc>
      </w:tr>
      <w:tr w14:paraId="1319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14:paraId="3422AE0A">
            <w:pPr>
              <w:spacing w:line="340" w:lineRule="exact"/>
              <w:rPr>
                <w:rFonts w:ascii="宋体" w:hAnsi="宋体" w:cs="宋体"/>
                <w:szCs w:val="21"/>
              </w:rPr>
            </w:pPr>
            <w:r>
              <w:rPr>
                <w:rFonts w:hint="eastAsia" w:ascii="宋体" w:hAnsi="宋体" w:cs="宋体"/>
                <w:szCs w:val="21"/>
              </w:rPr>
              <w:t>一</w:t>
            </w:r>
          </w:p>
        </w:tc>
        <w:tc>
          <w:tcPr>
            <w:tcW w:w="3379" w:type="dxa"/>
            <w:tcBorders>
              <w:top w:val="single" w:color="auto" w:sz="4" w:space="0"/>
              <w:left w:val="single" w:color="auto" w:sz="4" w:space="0"/>
              <w:bottom w:val="single" w:color="auto" w:sz="4" w:space="0"/>
              <w:right w:val="single" w:color="auto" w:sz="4" w:space="0"/>
            </w:tcBorders>
          </w:tcPr>
          <w:p w14:paraId="34ADA582">
            <w:pPr>
              <w:spacing w:line="340" w:lineRule="exact"/>
              <w:rPr>
                <w:rFonts w:ascii="宋体" w:hAnsi="宋体" w:cs="宋体"/>
                <w:szCs w:val="21"/>
              </w:rPr>
            </w:pPr>
          </w:p>
        </w:tc>
        <w:tc>
          <w:tcPr>
            <w:tcW w:w="3229" w:type="dxa"/>
            <w:tcBorders>
              <w:top w:val="single" w:color="auto" w:sz="4" w:space="0"/>
              <w:left w:val="single" w:color="auto" w:sz="4" w:space="0"/>
              <w:bottom w:val="single" w:color="auto" w:sz="4" w:space="0"/>
              <w:right w:val="single" w:color="auto" w:sz="4" w:space="0"/>
            </w:tcBorders>
          </w:tcPr>
          <w:p w14:paraId="30EFE05B">
            <w:pPr>
              <w:spacing w:line="340" w:lineRule="exact"/>
              <w:rPr>
                <w:rFonts w:ascii="宋体" w:hAnsi="宋体" w:cs="宋体"/>
                <w:szCs w:val="21"/>
              </w:rPr>
            </w:pPr>
          </w:p>
        </w:tc>
        <w:tc>
          <w:tcPr>
            <w:tcW w:w="1917" w:type="dxa"/>
            <w:tcBorders>
              <w:top w:val="single" w:color="auto" w:sz="4" w:space="0"/>
              <w:left w:val="single" w:color="auto" w:sz="4" w:space="0"/>
              <w:bottom w:val="single" w:color="auto" w:sz="4" w:space="0"/>
              <w:right w:val="single" w:color="auto" w:sz="4" w:space="0"/>
            </w:tcBorders>
          </w:tcPr>
          <w:p w14:paraId="32919CF6">
            <w:pPr>
              <w:spacing w:line="300" w:lineRule="exact"/>
              <w:rPr>
                <w:rFonts w:ascii="宋体" w:hAnsi="宋体" w:cs="宋体"/>
                <w:szCs w:val="21"/>
              </w:rPr>
            </w:pPr>
          </w:p>
        </w:tc>
      </w:tr>
      <w:tr w14:paraId="162B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14:paraId="5FA4689F">
            <w:pPr>
              <w:spacing w:line="340" w:lineRule="exact"/>
              <w:rPr>
                <w:rFonts w:ascii="宋体" w:hAnsi="宋体" w:cs="宋体"/>
                <w:szCs w:val="21"/>
              </w:rPr>
            </w:pPr>
            <w:r>
              <w:rPr>
                <w:rFonts w:hint="eastAsia" w:ascii="宋体" w:hAnsi="宋体" w:cs="宋体"/>
                <w:szCs w:val="21"/>
              </w:rPr>
              <w:t>二</w:t>
            </w:r>
          </w:p>
        </w:tc>
        <w:tc>
          <w:tcPr>
            <w:tcW w:w="3379" w:type="dxa"/>
            <w:tcBorders>
              <w:top w:val="single" w:color="auto" w:sz="4" w:space="0"/>
              <w:left w:val="single" w:color="auto" w:sz="4" w:space="0"/>
              <w:bottom w:val="single" w:color="auto" w:sz="4" w:space="0"/>
              <w:right w:val="single" w:color="auto" w:sz="4" w:space="0"/>
            </w:tcBorders>
          </w:tcPr>
          <w:p w14:paraId="07AA240F">
            <w:pPr>
              <w:spacing w:line="340" w:lineRule="exact"/>
              <w:rPr>
                <w:rFonts w:ascii="宋体" w:hAnsi="宋体" w:cs="宋体"/>
                <w:szCs w:val="21"/>
              </w:rPr>
            </w:pPr>
          </w:p>
        </w:tc>
        <w:tc>
          <w:tcPr>
            <w:tcW w:w="3229" w:type="dxa"/>
            <w:tcBorders>
              <w:top w:val="single" w:color="auto" w:sz="4" w:space="0"/>
              <w:left w:val="single" w:color="auto" w:sz="4" w:space="0"/>
              <w:bottom w:val="single" w:color="auto" w:sz="4" w:space="0"/>
              <w:right w:val="single" w:color="auto" w:sz="4" w:space="0"/>
            </w:tcBorders>
          </w:tcPr>
          <w:p w14:paraId="11C608EF">
            <w:pPr>
              <w:spacing w:line="340" w:lineRule="exact"/>
              <w:rPr>
                <w:rFonts w:ascii="宋体" w:hAnsi="宋体" w:cs="宋体"/>
                <w:szCs w:val="21"/>
              </w:rPr>
            </w:pPr>
          </w:p>
        </w:tc>
        <w:tc>
          <w:tcPr>
            <w:tcW w:w="1917" w:type="dxa"/>
            <w:tcBorders>
              <w:top w:val="single" w:color="auto" w:sz="4" w:space="0"/>
              <w:left w:val="single" w:color="auto" w:sz="4" w:space="0"/>
              <w:bottom w:val="single" w:color="auto" w:sz="4" w:space="0"/>
              <w:right w:val="single" w:color="auto" w:sz="4" w:space="0"/>
            </w:tcBorders>
          </w:tcPr>
          <w:p w14:paraId="6097A181">
            <w:pPr>
              <w:spacing w:line="300" w:lineRule="exact"/>
              <w:rPr>
                <w:rFonts w:ascii="宋体" w:hAnsi="宋体" w:cs="宋体"/>
                <w:szCs w:val="21"/>
              </w:rPr>
            </w:pPr>
          </w:p>
        </w:tc>
      </w:tr>
      <w:tr w14:paraId="270E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tcPr>
          <w:p w14:paraId="0439BBCF">
            <w:pPr>
              <w:spacing w:line="340" w:lineRule="exact"/>
              <w:rPr>
                <w:rFonts w:ascii="宋体" w:hAnsi="宋体" w:cs="宋体"/>
                <w:szCs w:val="21"/>
              </w:rPr>
            </w:pPr>
            <w:r>
              <w:rPr>
                <w:rFonts w:hint="eastAsia" w:ascii="宋体" w:hAnsi="宋体" w:cs="宋体"/>
                <w:szCs w:val="21"/>
              </w:rPr>
              <w:t>...</w:t>
            </w:r>
          </w:p>
        </w:tc>
        <w:tc>
          <w:tcPr>
            <w:tcW w:w="3379" w:type="dxa"/>
            <w:tcBorders>
              <w:top w:val="single" w:color="auto" w:sz="4" w:space="0"/>
              <w:left w:val="single" w:color="auto" w:sz="4" w:space="0"/>
              <w:bottom w:val="single" w:color="auto" w:sz="4" w:space="0"/>
              <w:right w:val="single" w:color="auto" w:sz="4" w:space="0"/>
            </w:tcBorders>
          </w:tcPr>
          <w:p w14:paraId="22BFF49E">
            <w:pPr>
              <w:spacing w:line="340" w:lineRule="exact"/>
              <w:rPr>
                <w:rFonts w:ascii="宋体" w:hAnsi="宋体" w:cs="宋体"/>
                <w:szCs w:val="21"/>
              </w:rPr>
            </w:pPr>
          </w:p>
        </w:tc>
        <w:tc>
          <w:tcPr>
            <w:tcW w:w="3229" w:type="dxa"/>
            <w:tcBorders>
              <w:top w:val="single" w:color="auto" w:sz="4" w:space="0"/>
              <w:left w:val="single" w:color="auto" w:sz="4" w:space="0"/>
              <w:bottom w:val="single" w:color="auto" w:sz="4" w:space="0"/>
              <w:right w:val="single" w:color="auto" w:sz="4" w:space="0"/>
            </w:tcBorders>
          </w:tcPr>
          <w:p w14:paraId="09B0E4CD">
            <w:pPr>
              <w:spacing w:line="340" w:lineRule="exact"/>
              <w:rPr>
                <w:rFonts w:ascii="宋体" w:hAnsi="宋体" w:cs="宋体"/>
                <w:szCs w:val="21"/>
              </w:rPr>
            </w:pPr>
          </w:p>
        </w:tc>
        <w:tc>
          <w:tcPr>
            <w:tcW w:w="1917" w:type="dxa"/>
            <w:tcBorders>
              <w:top w:val="single" w:color="auto" w:sz="4" w:space="0"/>
              <w:left w:val="single" w:color="auto" w:sz="4" w:space="0"/>
              <w:bottom w:val="single" w:color="auto" w:sz="4" w:space="0"/>
              <w:right w:val="single" w:color="auto" w:sz="4" w:space="0"/>
            </w:tcBorders>
          </w:tcPr>
          <w:p w14:paraId="67D825E7">
            <w:pPr>
              <w:spacing w:line="300" w:lineRule="exact"/>
              <w:rPr>
                <w:rFonts w:ascii="宋体" w:hAnsi="宋体" w:cs="宋体"/>
                <w:szCs w:val="21"/>
              </w:rPr>
            </w:pPr>
          </w:p>
        </w:tc>
      </w:tr>
    </w:tbl>
    <w:p w14:paraId="696E3F4F">
      <w:pPr>
        <w:pStyle w:val="13"/>
        <w:spacing w:line="360" w:lineRule="auto"/>
        <w:ind w:left="-708" w:leftChars="-337"/>
        <w:rPr>
          <w:rFonts w:ascii="Times New Roman" w:hAnsi="Times New Roman"/>
        </w:rPr>
      </w:pPr>
    </w:p>
    <w:p w14:paraId="6E4A5B34">
      <w:pPr>
        <w:pStyle w:val="13"/>
        <w:spacing w:line="360" w:lineRule="auto"/>
        <w:ind w:firstLine="420" w:firstLineChars="200"/>
        <w:rPr>
          <w:rFonts w:ascii="Times New Roman" w:hAnsi="Times New Roman"/>
        </w:rPr>
      </w:pPr>
      <w:r>
        <w:rPr>
          <w:rFonts w:hint="eastAsia" w:ascii="Times New Roman" w:hAnsi="Times New Roman"/>
        </w:rPr>
        <w:t>注：</w:t>
      </w:r>
    </w:p>
    <w:p w14:paraId="30C90F47">
      <w:pPr>
        <w:pStyle w:val="13"/>
        <w:spacing w:line="360" w:lineRule="auto"/>
        <w:ind w:firstLine="420" w:firstLineChars="200"/>
        <w:rPr>
          <w:rFonts w:hAnsi="宋体" w:cs="宋体"/>
        </w:rPr>
      </w:pPr>
      <w:r>
        <w:rPr>
          <w:rFonts w:hint="eastAsia" w:hAnsi="宋体" w:cs="宋体"/>
        </w:rPr>
        <w:t>1.表格内容均需按要求填写并加盖投标人公章。</w:t>
      </w:r>
    </w:p>
    <w:p w14:paraId="55ABE892">
      <w:pPr>
        <w:pStyle w:val="13"/>
        <w:spacing w:line="360" w:lineRule="auto"/>
        <w:ind w:left="-424" w:leftChars="-202" w:firstLine="846"/>
        <w:rPr>
          <w:rFonts w:hAnsi="宋体" w:cs="宋体"/>
        </w:rPr>
      </w:pPr>
      <w:r>
        <w:rPr>
          <w:rFonts w:hint="eastAsia" w:hAnsi="宋体" w:cs="宋体"/>
          <w:bCs/>
          <w:szCs w:val="21"/>
        </w:rPr>
        <w:t>▲</w:t>
      </w:r>
      <w:r>
        <w:rPr>
          <w:rFonts w:hint="eastAsia" w:hAnsi="宋体" w:cs="宋体"/>
        </w:rPr>
        <w:t xml:space="preserve">2.必须对本项目招标文件“第二章  </w:t>
      </w:r>
      <w:r>
        <w:rPr>
          <w:rFonts w:hint="eastAsia" w:hAnsi="宋体" w:cs="宋体"/>
          <w:b/>
          <w:szCs w:val="21"/>
        </w:rPr>
        <w:t>采购需求</w:t>
      </w:r>
      <w:r>
        <w:rPr>
          <w:rFonts w:hint="eastAsia" w:hAnsi="宋体" w:cs="宋体"/>
        </w:rPr>
        <w:t>”中“商务条款”的全部要求，详细填写响应的具体内容，</w:t>
      </w:r>
      <w:r>
        <w:rPr>
          <w:rFonts w:hint="eastAsia" w:hAnsi="宋体" w:cs="宋体"/>
          <w:kern w:val="0"/>
          <w:szCs w:val="21"/>
          <w:lang w:val="zh-CN"/>
        </w:rPr>
        <w:t>并作出偏离说明</w:t>
      </w:r>
      <w:r>
        <w:rPr>
          <w:rFonts w:hint="eastAsia" w:hAnsi="宋体" w:cs="宋体"/>
        </w:rPr>
        <w:t>。“偏离说明”一栏应当选择“正偏离”或“负偏离”或“无偏离”进行填写。</w:t>
      </w:r>
    </w:p>
    <w:p w14:paraId="70DED7F8">
      <w:pPr>
        <w:pStyle w:val="13"/>
        <w:spacing w:line="360" w:lineRule="auto"/>
        <w:ind w:left="-603" w:leftChars="-287" w:firstLine="945" w:firstLineChars="450"/>
        <w:rPr>
          <w:rFonts w:hAnsi="宋体" w:cs="宋体"/>
        </w:rPr>
      </w:pPr>
      <w:r>
        <w:rPr>
          <w:rFonts w:hint="eastAsia" w:hAnsi="宋体" w:cs="宋体"/>
        </w:rPr>
        <w:t>3.当投标文件的商务内容低于招标文件要求时，投标人应当如实写明“负偏离”。</w:t>
      </w:r>
    </w:p>
    <w:p w14:paraId="3D206F75">
      <w:pPr>
        <w:pStyle w:val="13"/>
        <w:spacing w:line="360" w:lineRule="auto"/>
        <w:ind w:left="-708" w:leftChars="-337" w:firstLine="1050" w:firstLineChars="500"/>
        <w:rPr>
          <w:rFonts w:hAnsi="宋体" w:cs="宋体"/>
          <w:szCs w:val="21"/>
        </w:rPr>
      </w:pPr>
    </w:p>
    <w:p w14:paraId="3E001751">
      <w:pPr>
        <w:snapToGrid w:val="0"/>
        <w:spacing w:before="50" w:after="50"/>
        <w:rPr>
          <w:rFonts w:ascii="宋体" w:hAnsi="宋体"/>
          <w:color w:val="000000"/>
          <w:sz w:val="24"/>
        </w:rPr>
      </w:pPr>
    </w:p>
    <w:p w14:paraId="4E8945E9">
      <w:pPr>
        <w:snapToGrid w:val="0"/>
        <w:spacing w:line="360" w:lineRule="auto"/>
        <w:ind w:firstLine="4935" w:firstLineChars="2350"/>
        <w:rPr>
          <w:rFonts w:ascii="宋体" w:hAnsi="宋体" w:cs="宋体"/>
          <w:kern w:val="0"/>
          <w:sz w:val="24"/>
        </w:rPr>
      </w:pPr>
      <w:r>
        <w:rPr>
          <w:rFonts w:hint="eastAsia" w:ascii="宋体" w:hAnsi="宋体" w:cs="宋体"/>
          <w:color w:val="000000"/>
          <w:szCs w:val="21"/>
        </w:rPr>
        <w:t xml:space="preserve">  </w:t>
      </w:r>
      <w:r>
        <w:rPr>
          <w:rFonts w:hint="eastAsia" w:ascii="宋体" w:hAnsi="宋体" w:cs="宋体"/>
          <w:kern w:val="0"/>
          <w:sz w:val="24"/>
          <w:lang w:val="zh-CN"/>
        </w:rPr>
        <w:t>投标人名称(盖公章)：</w:t>
      </w:r>
    </w:p>
    <w:p w14:paraId="5765D711">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38AE4CA"/>
    <w:p w14:paraId="7E5C350A">
      <w:pPr>
        <w:widowControl/>
        <w:jc w:val="left"/>
        <w:rPr>
          <w:b/>
          <w:bCs/>
          <w:sz w:val="30"/>
          <w:szCs w:val="30"/>
        </w:rPr>
        <w:sectPr>
          <w:pgSz w:w="11905" w:h="16838"/>
          <w:pgMar w:top="1134" w:right="1134" w:bottom="1134" w:left="1134" w:header="850" w:footer="850" w:gutter="0"/>
          <w:cols w:space="0" w:num="1"/>
          <w:titlePg/>
          <w:docGrid w:linePitch="331" w:charSpace="0"/>
        </w:sectPr>
      </w:pPr>
    </w:p>
    <w:p w14:paraId="08984AB0">
      <w:pPr>
        <w:snapToGrid w:val="0"/>
        <w:spacing w:before="120" w:beforeLines="50" w:after="50"/>
        <w:jc w:val="left"/>
        <w:rPr>
          <w:rFonts w:ascii="宋体" w:hAnsi="宋体"/>
          <w:b/>
          <w:color w:val="000000"/>
          <w:sz w:val="24"/>
        </w:rPr>
      </w:pPr>
      <w:r>
        <w:rPr>
          <w:rFonts w:hint="eastAsia" w:ascii="宋体" w:hAnsi="宋体"/>
          <w:b/>
          <w:color w:val="000000"/>
          <w:sz w:val="24"/>
        </w:rPr>
        <w:t xml:space="preserve"> </w:t>
      </w:r>
      <w:r>
        <w:rPr>
          <w:rFonts w:hint="eastAsia" w:ascii="宋体" w:hAnsi="宋体" w:cs="宋体"/>
          <w:b/>
          <w:color w:val="000000"/>
          <w:sz w:val="28"/>
          <w:szCs w:val="28"/>
        </w:rPr>
        <w:t>7. 服务要求偏离表</w:t>
      </w:r>
      <w:r>
        <w:rPr>
          <w:rFonts w:hint="eastAsia" w:hAnsi="宋体" w:cs="宋体"/>
          <w:b/>
          <w:color w:val="000000"/>
          <w:sz w:val="28"/>
          <w:szCs w:val="28"/>
        </w:rPr>
        <w:t>的</w:t>
      </w:r>
      <w:r>
        <w:rPr>
          <w:rFonts w:hint="eastAsia" w:ascii="宋体" w:hAnsi="宋体" w:cs="宋体"/>
          <w:b/>
          <w:color w:val="000000"/>
          <w:sz w:val="28"/>
          <w:szCs w:val="28"/>
        </w:rPr>
        <w:t>格式</w:t>
      </w:r>
      <w:r>
        <w:rPr>
          <w:rFonts w:hint="eastAsia" w:hAnsi="宋体" w:cs="宋体"/>
          <w:b/>
          <w:color w:val="000000"/>
          <w:sz w:val="28"/>
          <w:szCs w:val="28"/>
        </w:rPr>
        <w:t>：</w:t>
      </w:r>
    </w:p>
    <w:p w14:paraId="4B949FB0">
      <w:pPr>
        <w:pStyle w:val="13"/>
        <w:spacing w:line="500" w:lineRule="exact"/>
        <w:jc w:val="center"/>
        <w:rPr>
          <w:rFonts w:ascii="Times New Roman" w:hAnsi="Times New Roman"/>
          <w:b/>
          <w:bCs/>
          <w:sz w:val="30"/>
          <w:szCs w:val="30"/>
        </w:rPr>
      </w:pPr>
      <w:r>
        <w:rPr>
          <w:rFonts w:hint="eastAsia" w:ascii="Times New Roman" w:hAnsi="Times New Roman"/>
          <w:b/>
          <w:bCs/>
          <w:sz w:val="30"/>
          <w:szCs w:val="30"/>
        </w:rPr>
        <w:t>服务要求偏离表</w:t>
      </w:r>
    </w:p>
    <w:p w14:paraId="55AC7625">
      <w:pPr>
        <w:pStyle w:val="13"/>
        <w:spacing w:line="440" w:lineRule="exact"/>
        <w:ind w:firstLine="420" w:firstLineChars="200"/>
      </w:pPr>
    </w:p>
    <w:p w14:paraId="403B2814">
      <w:pPr>
        <w:spacing w:line="360" w:lineRule="auto"/>
        <w:contextualSpacing/>
        <w:rPr>
          <w:rFonts w:ascii="宋体" w:hAnsi="宋体" w:cs="宋体"/>
          <w:sz w:val="24"/>
          <w:u w:val="single"/>
        </w:rPr>
      </w:pPr>
      <w:r>
        <w:rPr>
          <w:rFonts w:hint="eastAsia" w:ascii="宋体" w:hAnsi="宋体" w:cs="宋体"/>
          <w:sz w:val="24"/>
        </w:rPr>
        <w:t>项目</w:t>
      </w:r>
      <w:r>
        <w:rPr>
          <w:rFonts w:hint="eastAsia" w:hAnsi="宋体" w:cs="宋体"/>
          <w:sz w:val="24"/>
        </w:rPr>
        <w:t>名称</w:t>
      </w:r>
      <w:r>
        <w:rPr>
          <w:rFonts w:hint="eastAsia" w:ascii="宋体" w:hAnsi="宋体" w:cs="宋体"/>
          <w:sz w:val="24"/>
        </w:rPr>
        <w:t>：</w:t>
      </w:r>
      <w:r>
        <w:rPr>
          <w:rFonts w:hint="eastAsia" w:ascii="宋体" w:hAnsi="宋体" w:cs="宋体"/>
          <w:sz w:val="24"/>
          <w:u w:val="single"/>
        </w:rPr>
        <w:t xml:space="preserve">                 </w:t>
      </w:r>
    </w:p>
    <w:p w14:paraId="4251F2D8">
      <w:pPr>
        <w:pStyle w:val="13"/>
        <w:spacing w:line="600" w:lineRule="exact"/>
        <w:rPr>
          <w:rFonts w:hAnsi="宋体" w:cs="宋体"/>
          <w:sz w:val="24"/>
          <w:u w:val="single"/>
        </w:rPr>
      </w:pPr>
      <w:r>
        <w:rPr>
          <w:rFonts w:hint="eastAsia" w:hAnsi="宋体" w:cs="宋体"/>
          <w:sz w:val="24"/>
        </w:rPr>
        <w:t>项目编号：</w:t>
      </w:r>
      <w:r>
        <w:rPr>
          <w:rFonts w:hint="eastAsia" w:hAnsi="宋体" w:cs="宋体"/>
          <w:sz w:val="24"/>
          <w:u w:val="single"/>
        </w:rPr>
        <w:t xml:space="preserve">                 </w:t>
      </w:r>
    </w:p>
    <w:p w14:paraId="33A1B606">
      <w:pPr>
        <w:pStyle w:val="7"/>
      </w:pPr>
    </w:p>
    <w:p w14:paraId="549306CD">
      <w:pPr>
        <w:pStyle w:val="7"/>
        <w:ind w:left="0"/>
        <w:rPr>
          <w:rFonts w:ascii="宋体" w:hAnsi="宋体" w:cs="宋体"/>
          <w:sz w:val="24"/>
          <w:u w:val="single"/>
        </w:rPr>
      </w:pPr>
      <w:r>
        <w:rPr>
          <w:rFonts w:hint="eastAsia" w:hAnsi="宋体" w:cs="宋体"/>
          <w:sz w:val="24"/>
          <w:szCs w:val="20"/>
        </w:rPr>
        <w:t>所投</w:t>
      </w:r>
      <w:r>
        <w:rPr>
          <w:rFonts w:hint="eastAsia" w:ascii="宋体" w:hAnsi="宋体" w:cs="宋体"/>
          <w:sz w:val="24"/>
          <w:szCs w:val="20"/>
        </w:rPr>
        <w:t>分标</w:t>
      </w:r>
      <w:r>
        <w:rPr>
          <w:rFonts w:hint="eastAsia" w:ascii="宋体" w:hAnsi="宋体" w:cs="宋体"/>
          <w:szCs w:val="21"/>
        </w:rPr>
        <w:t>（此处有分标时填写具体分标号，无分标时填写“无”）</w:t>
      </w:r>
      <w:r>
        <w:rPr>
          <w:rFonts w:hint="eastAsia" w:ascii="宋体" w:hAnsi="宋体" w:cs="宋体"/>
          <w:sz w:val="24"/>
        </w:rPr>
        <w:t>：</w:t>
      </w:r>
      <w:r>
        <w:rPr>
          <w:rFonts w:hint="eastAsia" w:ascii="宋体" w:hAnsi="宋体" w:cs="宋体"/>
          <w:sz w:val="24"/>
          <w:u w:val="single"/>
        </w:rPr>
        <w:t xml:space="preserve">           </w:t>
      </w:r>
    </w:p>
    <w:p w14:paraId="23D7C93C"/>
    <w:tbl>
      <w:tblPr>
        <w:tblStyle w:val="23"/>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242E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7CEB047">
            <w:pPr>
              <w:rPr>
                <w:rFonts w:ascii="宋体" w:hAnsi="宋体"/>
                <w:szCs w:val="21"/>
              </w:rPr>
            </w:pPr>
            <w:r>
              <w:rPr>
                <w:rFonts w:hint="eastAsia" w:ascii="宋体" w:hAnsi="宋体"/>
                <w:szCs w:val="21"/>
              </w:rPr>
              <w:t>项号</w:t>
            </w:r>
          </w:p>
        </w:tc>
        <w:tc>
          <w:tcPr>
            <w:tcW w:w="1262" w:type="dxa"/>
            <w:tcBorders>
              <w:top w:val="single" w:color="auto" w:sz="4" w:space="0"/>
              <w:left w:val="single" w:color="auto" w:sz="4" w:space="0"/>
              <w:right w:val="single" w:color="auto" w:sz="4" w:space="0"/>
            </w:tcBorders>
            <w:vAlign w:val="center"/>
          </w:tcPr>
          <w:p w14:paraId="57A12D03">
            <w:pPr>
              <w:jc w:val="center"/>
              <w:rPr>
                <w:rFonts w:ascii="宋体" w:hAnsi="宋体"/>
                <w:szCs w:val="21"/>
              </w:rPr>
            </w:pPr>
            <w:r>
              <w:rPr>
                <w:rFonts w:hint="eastAsia" w:ascii="宋体" w:hAnsi="宋体"/>
                <w:szCs w:val="21"/>
              </w:rPr>
              <w:t>标的名称</w:t>
            </w:r>
          </w:p>
        </w:tc>
        <w:tc>
          <w:tcPr>
            <w:tcW w:w="3425" w:type="dxa"/>
            <w:tcBorders>
              <w:top w:val="single" w:color="auto" w:sz="4" w:space="0"/>
              <w:left w:val="single" w:color="auto" w:sz="4" w:space="0"/>
              <w:bottom w:val="single" w:color="auto" w:sz="4" w:space="0"/>
              <w:right w:val="single" w:color="auto" w:sz="4" w:space="0"/>
            </w:tcBorders>
            <w:vAlign w:val="center"/>
          </w:tcPr>
          <w:p w14:paraId="6DE49D64">
            <w:pPr>
              <w:jc w:val="center"/>
              <w:rPr>
                <w:rFonts w:ascii="宋体" w:hAnsi="宋体"/>
                <w:szCs w:val="21"/>
              </w:rPr>
            </w:pPr>
            <w:r>
              <w:rPr>
                <w:rFonts w:hint="eastAsia" w:ascii="宋体" w:hAnsi="宋体"/>
                <w:szCs w:val="21"/>
              </w:rPr>
              <w:t>招标文件采购需求中的服务要求</w:t>
            </w:r>
          </w:p>
        </w:tc>
        <w:tc>
          <w:tcPr>
            <w:tcW w:w="3477" w:type="dxa"/>
            <w:tcBorders>
              <w:top w:val="single" w:color="auto" w:sz="4" w:space="0"/>
              <w:left w:val="single" w:color="auto" w:sz="4" w:space="0"/>
              <w:right w:val="single" w:color="auto" w:sz="4" w:space="0"/>
            </w:tcBorders>
            <w:vAlign w:val="center"/>
          </w:tcPr>
          <w:p w14:paraId="73AB35B3">
            <w:pPr>
              <w:jc w:val="center"/>
              <w:rPr>
                <w:rFonts w:ascii="宋体" w:hAnsi="宋体"/>
                <w:szCs w:val="21"/>
              </w:rPr>
            </w:pPr>
            <w:r>
              <w:rPr>
                <w:rFonts w:hint="eastAsia" w:ascii="宋体" w:hAnsi="宋体"/>
                <w:szCs w:val="21"/>
              </w:rPr>
              <w:t>投标文件响应的服务内容</w:t>
            </w:r>
          </w:p>
        </w:tc>
        <w:tc>
          <w:tcPr>
            <w:tcW w:w="1168" w:type="dxa"/>
            <w:tcBorders>
              <w:top w:val="single" w:color="auto" w:sz="4" w:space="0"/>
              <w:left w:val="single" w:color="auto" w:sz="4" w:space="0"/>
              <w:bottom w:val="single" w:color="auto" w:sz="4" w:space="0"/>
              <w:right w:val="single" w:color="auto" w:sz="4" w:space="0"/>
            </w:tcBorders>
            <w:vAlign w:val="center"/>
          </w:tcPr>
          <w:p w14:paraId="3C554FE8">
            <w:pPr>
              <w:rPr>
                <w:rFonts w:ascii="宋体" w:hAnsi="宋体"/>
                <w:szCs w:val="21"/>
              </w:rPr>
            </w:pPr>
            <w:r>
              <w:rPr>
                <w:rFonts w:hint="eastAsia" w:ascii="宋体" w:hAnsi="宋体"/>
                <w:szCs w:val="21"/>
              </w:rPr>
              <w:t>偏离说明</w:t>
            </w:r>
          </w:p>
        </w:tc>
      </w:tr>
      <w:tr w14:paraId="648E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2CB88352">
            <w:pPr>
              <w:rPr>
                <w:rFonts w:ascii="宋体" w:hAnsi="宋体"/>
                <w:szCs w:val="21"/>
              </w:rPr>
            </w:pPr>
            <w:r>
              <w:rPr>
                <w:rFonts w:hint="eastAsia" w:ascii="宋体" w:hAnsi="宋体"/>
                <w:szCs w:val="21"/>
              </w:rPr>
              <w:t>1</w:t>
            </w:r>
          </w:p>
        </w:tc>
        <w:tc>
          <w:tcPr>
            <w:tcW w:w="1262" w:type="dxa"/>
            <w:tcBorders>
              <w:top w:val="single" w:color="auto" w:sz="4" w:space="0"/>
              <w:left w:val="single" w:color="auto" w:sz="4" w:space="0"/>
              <w:bottom w:val="single" w:color="auto" w:sz="4" w:space="0"/>
              <w:right w:val="single" w:color="auto" w:sz="4" w:space="0"/>
            </w:tcBorders>
            <w:vAlign w:val="center"/>
          </w:tcPr>
          <w:p w14:paraId="0580CCC1">
            <w:pPr>
              <w:rPr>
                <w:rFonts w:ascii="宋体" w:hAnsi="宋体"/>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3CD9C833">
            <w:pPr>
              <w:rPr>
                <w:rFonts w:ascii="宋体" w:hAnsi="宋体"/>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26AF8FE4">
            <w:pPr>
              <w:rPr>
                <w:rFonts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48818D27">
            <w:pPr>
              <w:rPr>
                <w:rFonts w:ascii="宋体" w:hAnsi="宋体"/>
                <w:szCs w:val="21"/>
              </w:rPr>
            </w:pPr>
          </w:p>
        </w:tc>
      </w:tr>
      <w:tr w14:paraId="4F1B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035E8B94">
            <w:pPr>
              <w:rPr>
                <w:rFonts w:ascii="宋体" w:hAnsi="宋体"/>
                <w:szCs w:val="21"/>
              </w:rPr>
            </w:pPr>
            <w:r>
              <w:rPr>
                <w:rFonts w:hint="eastAsia" w:ascii="宋体" w:hAnsi="宋体"/>
                <w:szCs w:val="21"/>
              </w:rPr>
              <w:t>2</w:t>
            </w:r>
          </w:p>
        </w:tc>
        <w:tc>
          <w:tcPr>
            <w:tcW w:w="1262" w:type="dxa"/>
            <w:tcBorders>
              <w:top w:val="single" w:color="auto" w:sz="4" w:space="0"/>
              <w:left w:val="single" w:color="auto" w:sz="4" w:space="0"/>
              <w:bottom w:val="single" w:color="auto" w:sz="4" w:space="0"/>
              <w:right w:val="single" w:color="auto" w:sz="4" w:space="0"/>
            </w:tcBorders>
            <w:vAlign w:val="center"/>
          </w:tcPr>
          <w:p w14:paraId="1E649351">
            <w:pPr>
              <w:rPr>
                <w:rFonts w:ascii="宋体" w:hAnsi="宋体"/>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357AF2CA">
            <w:pPr>
              <w:rPr>
                <w:rFonts w:ascii="宋体" w:hAnsi="宋体"/>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127C17D2">
            <w:pPr>
              <w:rPr>
                <w:rFonts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1107CCB6">
            <w:pPr>
              <w:rPr>
                <w:rFonts w:ascii="宋体" w:hAnsi="宋体"/>
                <w:szCs w:val="21"/>
              </w:rPr>
            </w:pPr>
          </w:p>
        </w:tc>
      </w:tr>
      <w:tr w14:paraId="615C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773964F9">
            <w:pPr>
              <w:rPr>
                <w:rFonts w:ascii="宋体" w:hAnsi="宋体"/>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4BA58D0E">
            <w:pPr>
              <w:rPr>
                <w:rFonts w:ascii="宋体" w:hAnsi="宋体"/>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7FC9A7A0">
            <w:pPr>
              <w:rPr>
                <w:rFonts w:ascii="宋体" w:hAnsi="宋体"/>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2BB1AA3F">
            <w:pPr>
              <w:rPr>
                <w:rFonts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1BFEFCC9">
            <w:pPr>
              <w:rPr>
                <w:rFonts w:ascii="宋体" w:hAnsi="宋体"/>
                <w:szCs w:val="21"/>
              </w:rPr>
            </w:pPr>
          </w:p>
        </w:tc>
      </w:tr>
      <w:tr w14:paraId="1D96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F0D964D">
            <w:pPr>
              <w:rPr>
                <w:rFonts w:ascii="宋体" w:hAnsi="宋体"/>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1D73863E">
            <w:pPr>
              <w:rPr>
                <w:rFonts w:ascii="宋体" w:hAnsi="宋体"/>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2FC8442B">
            <w:pPr>
              <w:rPr>
                <w:rFonts w:ascii="宋体" w:hAnsi="宋体"/>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70E36792">
            <w:pPr>
              <w:rPr>
                <w:rFonts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38F3ABF8">
            <w:pPr>
              <w:rPr>
                <w:rFonts w:ascii="宋体" w:hAnsi="宋体"/>
                <w:szCs w:val="21"/>
              </w:rPr>
            </w:pPr>
          </w:p>
        </w:tc>
      </w:tr>
      <w:tr w14:paraId="66AB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2A45CD7C">
            <w:pPr>
              <w:rPr>
                <w:rFonts w:ascii="宋体" w:hAnsi="宋体"/>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67CD0326">
            <w:pPr>
              <w:rPr>
                <w:rFonts w:ascii="宋体" w:hAnsi="宋体"/>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060DF22B">
            <w:pPr>
              <w:rPr>
                <w:rFonts w:ascii="宋体" w:hAnsi="宋体"/>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53DE5293">
            <w:pPr>
              <w:rPr>
                <w:rFonts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5D0DFAE9">
            <w:pPr>
              <w:rPr>
                <w:rFonts w:ascii="宋体" w:hAnsi="宋体"/>
                <w:szCs w:val="21"/>
              </w:rPr>
            </w:pPr>
          </w:p>
        </w:tc>
      </w:tr>
      <w:tr w14:paraId="425F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2C342C04">
            <w:pPr>
              <w:rPr>
                <w:rFonts w:ascii="宋体" w:hAnsi="宋体"/>
                <w:szCs w:val="21"/>
              </w:rPr>
            </w:pPr>
            <w:r>
              <w:rPr>
                <w:rFonts w:hint="eastAsia" w:ascii="宋体" w:hAnsi="宋体"/>
                <w:szCs w:val="21"/>
              </w:rPr>
              <w:t>...</w:t>
            </w:r>
          </w:p>
        </w:tc>
        <w:tc>
          <w:tcPr>
            <w:tcW w:w="1262" w:type="dxa"/>
            <w:tcBorders>
              <w:top w:val="single" w:color="auto" w:sz="4" w:space="0"/>
              <w:left w:val="single" w:color="auto" w:sz="4" w:space="0"/>
              <w:bottom w:val="single" w:color="auto" w:sz="4" w:space="0"/>
              <w:right w:val="single" w:color="auto" w:sz="4" w:space="0"/>
            </w:tcBorders>
            <w:vAlign w:val="center"/>
          </w:tcPr>
          <w:p w14:paraId="553010D9">
            <w:pPr>
              <w:rPr>
                <w:rFonts w:ascii="宋体" w:hAnsi="宋体"/>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34391E4E">
            <w:pPr>
              <w:rPr>
                <w:rFonts w:ascii="宋体" w:hAnsi="宋体"/>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3ED06FD4">
            <w:pPr>
              <w:rPr>
                <w:rFonts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7B69B907">
            <w:pPr>
              <w:rPr>
                <w:rFonts w:ascii="宋体" w:hAnsi="宋体"/>
                <w:szCs w:val="21"/>
              </w:rPr>
            </w:pPr>
          </w:p>
        </w:tc>
      </w:tr>
    </w:tbl>
    <w:p w14:paraId="4E63A50C">
      <w:pPr>
        <w:pStyle w:val="13"/>
        <w:spacing w:line="360" w:lineRule="auto"/>
        <w:rPr>
          <w:rFonts w:hAnsi="宋体" w:cs="宋体"/>
          <w:szCs w:val="21"/>
        </w:rPr>
      </w:pPr>
    </w:p>
    <w:p w14:paraId="5434C3ED">
      <w:pPr>
        <w:pStyle w:val="13"/>
        <w:spacing w:line="360" w:lineRule="auto"/>
        <w:ind w:firstLine="420" w:firstLineChars="200"/>
        <w:rPr>
          <w:rFonts w:hAnsi="宋体" w:cs="宋体"/>
          <w:szCs w:val="21"/>
        </w:rPr>
      </w:pPr>
      <w:r>
        <w:rPr>
          <w:rFonts w:hint="eastAsia" w:hAnsi="宋体" w:cs="宋体"/>
          <w:szCs w:val="21"/>
        </w:rPr>
        <w:t>注：</w:t>
      </w:r>
    </w:p>
    <w:p w14:paraId="5D7CAEE5">
      <w:pPr>
        <w:pStyle w:val="13"/>
        <w:spacing w:line="360" w:lineRule="auto"/>
        <w:ind w:firstLine="420" w:firstLineChars="200"/>
        <w:rPr>
          <w:rFonts w:hAnsi="宋体" w:cs="宋体"/>
          <w:szCs w:val="21"/>
        </w:rPr>
      </w:pPr>
      <w:r>
        <w:rPr>
          <w:rFonts w:hint="eastAsia" w:hAnsi="宋体" w:cs="宋体"/>
          <w:szCs w:val="21"/>
        </w:rPr>
        <w:t>1.表格内容均需按要求填写并加盖投标人公章。</w:t>
      </w:r>
    </w:p>
    <w:p w14:paraId="0FA0EE0E">
      <w:pPr>
        <w:pStyle w:val="13"/>
        <w:spacing w:line="360" w:lineRule="auto"/>
        <w:ind w:firstLine="420" w:firstLineChars="200"/>
        <w:rPr>
          <w:rFonts w:hAnsi="宋体" w:cs="宋体"/>
          <w:szCs w:val="21"/>
        </w:rPr>
      </w:pPr>
      <w:r>
        <w:rPr>
          <w:rFonts w:hint="eastAsia" w:hAnsi="宋体" w:cs="宋体"/>
          <w:kern w:val="0"/>
          <w:szCs w:val="21"/>
        </w:rPr>
        <w:t>▲2</w:t>
      </w:r>
      <w:r>
        <w:rPr>
          <w:rFonts w:hint="eastAsia" w:hAnsi="宋体" w:cs="宋体"/>
          <w:kern w:val="0"/>
          <w:szCs w:val="21"/>
          <w:lang w:val="zh-CN"/>
        </w:rPr>
        <w:t>.</w:t>
      </w:r>
      <w:r>
        <w:rPr>
          <w:rFonts w:hint="eastAsia" w:hAnsi="宋体" w:cs="宋体"/>
          <w:kern w:val="0"/>
          <w:szCs w:val="21"/>
        </w:rPr>
        <w:t>必须对本项目招标文件“第二章  采购需求”中“服务要求”的</w:t>
      </w:r>
      <w:r>
        <w:rPr>
          <w:rFonts w:hint="eastAsia"/>
        </w:rPr>
        <w:t>全部</w:t>
      </w:r>
      <w:r>
        <w:rPr>
          <w:rFonts w:hint="eastAsia" w:hAnsi="宋体" w:cs="宋体"/>
          <w:kern w:val="0"/>
          <w:szCs w:val="21"/>
        </w:rPr>
        <w:t>条款，详细填写响应的具体内容，</w:t>
      </w:r>
      <w:r>
        <w:rPr>
          <w:rFonts w:hint="eastAsia" w:hAnsi="宋体" w:cs="宋体"/>
          <w:kern w:val="0"/>
          <w:szCs w:val="21"/>
          <w:lang w:val="zh-CN"/>
        </w:rPr>
        <w:t>并作出偏离说明</w:t>
      </w:r>
      <w:r>
        <w:rPr>
          <w:rFonts w:hint="eastAsia" w:hAnsi="宋体" w:cs="宋体"/>
          <w:szCs w:val="21"/>
        </w:rPr>
        <w:t>。“偏离说明”一栏应当选择“正偏离”或“负偏离”或“无偏离”进行填写。</w:t>
      </w:r>
    </w:p>
    <w:p w14:paraId="6B864A35">
      <w:pPr>
        <w:pStyle w:val="13"/>
        <w:spacing w:line="360" w:lineRule="auto"/>
        <w:ind w:firstLine="420" w:firstLineChars="200"/>
        <w:rPr>
          <w:rFonts w:hAnsi="宋体" w:cs="宋体"/>
          <w:szCs w:val="21"/>
        </w:rPr>
      </w:pPr>
      <w:r>
        <w:rPr>
          <w:rFonts w:hint="eastAsia" w:hAnsi="宋体" w:cs="宋体"/>
          <w:bCs/>
          <w:szCs w:val="21"/>
        </w:rPr>
        <w:t>3.当投标文件的服务内容低于招标文件要求时，投标人应当如实写明“负偏离”。</w:t>
      </w:r>
    </w:p>
    <w:p w14:paraId="1B8745A3">
      <w:pPr>
        <w:pStyle w:val="7"/>
        <w:rPr>
          <w:rFonts w:hAnsi="宋体" w:cs="宋体"/>
          <w:szCs w:val="21"/>
        </w:rPr>
      </w:pPr>
    </w:p>
    <w:p w14:paraId="705CEFF8">
      <w:pPr>
        <w:rPr>
          <w:rFonts w:hAnsi="宋体" w:cs="宋体"/>
          <w:szCs w:val="21"/>
        </w:rPr>
      </w:pPr>
    </w:p>
    <w:p w14:paraId="0493506D">
      <w:pPr>
        <w:snapToGrid w:val="0"/>
        <w:spacing w:line="360" w:lineRule="auto"/>
        <w:ind w:firstLine="5640" w:firstLineChars="2350"/>
        <w:rPr>
          <w:rFonts w:ascii="仿宋_GB2312" w:hAnsi="仿宋" w:eastAsia="仿宋_GB2312" w:cs="仿宋_GB2312"/>
          <w:kern w:val="0"/>
          <w:sz w:val="24"/>
          <w:lang w:val="zh-CN"/>
        </w:rPr>
      </w:pPr>
    </w:p>
    <w:p w14:paraId="2E08D74C">
      <w:pPr>
        <w:snapToGrid w:val="0"/>
        <w:spacing w:line="360" w:lineRule="auto"/>
        <w:ind w:firstLine="5640" w:firstLineChars="2350"/>
        <w:rPr>
          <w:rFonts w:ascii="宋体" w:hAnsi="宋体" w:cs="宋体"/>
          <w:kern w:val="0"/>
          <w:sz w:val="24"/>
        </w:rPr>
      </w:pPr>
      <w:r>
        <w:rPr>
          <w:rFonts w:hint="eastAsia" w:ascii="宋体" w:hAnsi="宋体" w:cs="宋体"/>
          <w:kern w:val="0"/>
          <w:sz w:val="24"/>
          <w:lang w:val="zh-CN"/>
        </w:rPr>
        <w:t>投标人名称(盖公章)：</w:t>
      </w:r>
    </w:p>
    <w:p w14:paraId="30FBAB61">
      <w:pPr>
        <w:snapToGrid w:val="0"/>
        <w:spacing w:line="360" w:lineRule="auto"/>
        <w:ind w:firstLine="5640" w:firstLineChars="23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1077925">
      <w:pPr>
        <w:widowControl/>
        <w:jc w:val="left"/>
        <w:rPr>
          <w:rFonts w:ascii="宋体" w:hAnsi="宋体"/>
          <w:color w:val="000000"/>
          <w:sz w:val="30"/>
          <w:szCs w:val="20"/>
        </w:rPr>
        <w:sectPr>
          <w:pgSz w:w="11905" w:h="16838"/>
          <w:pgMar w:top="1134" w:right="1134" w:bottom="1134" w:left="1134" w:header="850" w:footer="850" w:gutter="0"/>
          <w:cols w:space="0" w:num="1"/>
          <w:titlePg/>
          <w:docGrid w:linePitch="331" w:charSpace="0"/>
        </w:sectPr>
      </w:pPr>
    </w:p>
    <w:p w14:paraId="65999E9F">
      <w:pPr>
        <w:snapToGrid w:val="0"/>
        <w:spacing w:before="120" w:beforeLines="50" w:after="50"/>
        <w:ind w:left="142"/>
        <w:jc w:val="left"/>
        <w:rPr>
          <w:rFonts w:ascii="宋体" w:hAnsi="宋体"/>
          <w:b/>
          <w:color w:val="000000"/>
          <w:sz w:val="32"/>
          <w:szCs w:val="32"/>
        </w:rPr>
      </w:pPr>
      <w:r>
        <w:rPr>
          <w:rFonts w:hint="eastAsia" w:ascii="宋体" w:hAnsi="宋体" w:cs="宋体"/>
          <w:b/>
          <w:color w:val="000000"/>
          <w:sz w:val="28"/>
          <w:szCs w:val="28"/>
        </w:rPr>
        <w:t>8. 服务机构情况表、服务人员情况表的格式</w:t>
      </w:r>
      <w:r>
        <w:rPr>
          <w:rFonts w:hint="eastAsia" w:ascii="宋体" w:hAnsi="宋体" w:cs="宋体"/>
          <w:b/>
          <w:bCs/>
          <w:sz w:val="30"/>
          <w:szCs w:val="30"/>
        </w:rPr>
        <w:t>：</w:t>
      </w:r>
    </w:p>
    <w:p w14:paraId="70A2F21C">
      <w:pPr>
        <w:snapToGrid w:val="0"/>
        <w:spacing w:before="120" w:beforeLines="50" w:after="50"/>
        <w:ind w:left="142"/>
        <w:jc w:val="center"/>
        <w:rPr>
          <w:rFonts w:ascii="宋体" w:hAnsi="宋体"/>
          <w:b/>
          <w:color w:val="000000"/>
          <w:sz w:val="32"/>
          <w:szCs w:val="32"/>
        </w:rPr>
      </w:pPr>
    </w:p>
    <w:p w14:paraId="0830282C">
      <w:pPr>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附表A:服务机构情况表</w:t>
      </w:r>
      <w:r>
        <w:rPr>
          <w:rFonts w:hint="eastAsia" w:ascii="仿宋_GB2312" w:hAnsi="仿宋" w:eastAsia="仿宋_GB2312" w:cs="仿宋_GB2312"/>
          <w:sz w:val="24"/>
        </w:rPr>
        <w:t>（如有要求，参照此格式自制）</w:t>
      </w:r>
    </w:p>
    <w:tbl>
      <w:tblPr>
        <w:tblStyle w:val="23"/>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14:paraId="153E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82390AF">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序号</w:t>
            </w:r>
          </w:p>
        </w:tc>
        <w:tc>
          <w:tcPr>
            <w:tcW w:w="2096" w:type="dxa"/>
            <w:tcBorders>
              <w:top w:val="single" w:color="auto" w:sz="4" w:space="0"/>
              <w:left w:val="single" w:color="auto" w:sz="4" w:space="0"/>
              <w:bottom w:val="single" w:color="auto" w:sz="4" w:space="0"/>
              <w:right w:val="single" w:color="auto" w:sz="4" w:space="0"/>
            </w:tcBorders>
            <w:vAlign w:val="center"/>
          </w:tcPr>
          <w:p w14:paraId="1A125BFA">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机构名称</w:t>
            </w:r>
          </w:p>
        </w:tc>
        <w:tc>
          <w:tcPr>
            <w:tcW w:w="1339" w:type="dxa"/>
            <w:tcBorders>
              <w:top w:val="single" w:color="auto" w:sz="4" w:space="0"/>
              <w:left w:val="single" w:color="auto" w:sz="4" w:space="0"/>
              <w:bottom w:val="single" w:color="auto" w:sz="4" w:space="0"/>
              <w:right w:val="single" w:color="auto" w:sz="4" w:space="0"/>
            </w:tcBorders>
            <w:vAlign w:val="center"/>
          </w:tcPr>
          <w:p w14:paraId="7093E052">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机构性质</w:t>
            </w:r>
          </w:p>
        </w:tc>
        <w:tc>
          <w:tcPr>
            <w:tcW w:w="1261" w:type="dxa"/>
            <w:tcBorders>
              <w:top w:val="single" w:color="auto" w:sz="4" w:space="0"/>
              <w:left w:val="single" w:color="auto" w:sz="4" w:space="0"/>
              <w:bottom w:val="single" w:color="auto" w:sz="4" w:space="0"/>
              <w:right w:val="single" w:color="auto" w:sz="4" w:space="0"/>
            </w:tcBorders>
            <w:vAlign w:val="center"/>
          </w:tcPr>
          <w:p w14:paraId="504A7298">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注册地址</w:t>
            </w:r>
          </w:p>
        </w:tc>
        <w:tc>
          <w:tcPr>
            <w:tcW w:w="1462" w:type="dxa"/>
            <w:tcBorders>
              <w:top w:val="single" w:color="auto" w:sz="4" w:space="0"/>
              <w:left w:val="single" w:color="auto" w:sz="4" w:space="0"/>
              <w:bottom w:val="single" w:color="auto" w:sz="4" w:space="0"/>
              <w:right w:val="single" w:color="auto" w:sz="4" w:space="0"/>
            </w:tcBorders>
            <w:vAlign w:val="center"/>
          </w:tcPr>
          <w:p w14:paraId="5E246019">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服务技术人员数量</w:t>
            </w:r>
          </w:p>
        </w:tc>
        <w:tc>
          <w:tcPr>
            <w:tcW w:w="1762" w:type="dxa"/>
            <w:tcBorders>
              <w:top w:val="single" w:color="auto" w:sz="4" w:space="0"/>
              <w:left w:val="single" w:color="auto" w:sz="4" w:space="0"/>
              <w:bottom w:val="single" w:color="auto" w:sz="4" w:space="0"/>
              <w:right w:val="single" w:color="auto" w:sz="4" w:space="0"/>
            </w:tcBorders>
            <w:vAlign w:val="center"/>
          </w:tcPr>
          <w:p w14:paraId="5012B419">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联系电话</w:t>
            </w:r>
          </w:p>
        </w:tc>
      </w:tr>
      <w:tr w14:paraId="1FA6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9BED6C5">
            <w:pPr>
              <w:autoSpaceDE w:val="0"/>
              <w:autoSpaceDN w:val="0"/>
              <w:spacing w:line="360" w:lineRule="auto"/>
              <w:jc w:val="center"/>
              <w:rPr>
                <w:rFonts w:ascii="仿宋_GB2312" w:hAnsi="仿宋" w:eastAsia="仿宋_GB2312" w:cs="仿宋_GB2312"/>
                <w:sz w:val="24"/>
              </w:rPr>
            </w:pPr>
          </w:p>
        </w:tc>
        <w:tc>
          <w:tcPr>
            <w:tcW w:w="2096" w:type="dxa"/>
            <w:tcBorders>
              <w:top w:val="single" w:color="auto" w:sz="4" w:space="0"/>
              <w:left w:val="single" w:color="auto" w:sz="4" w:space="0"/>
              <w:bottom w:val="single" w:color="auto" w:sz="4" w:space="0"/>
              <w:right w:val="single" w:color="auto" w:sz="4" w:space="0"/>
            </w:tcBorders>
          </w:tcPr>
          <w:p w14:paraId="66EC9FEF">
            <w:pPr>
              <w:autoSpaceDE w:val="0"/>
              <w:autoSpaceDN w:val="0"/>
              <w:spacing w:line="360" w:lineRule="auto"/>
              <w:jc w:val="center"/>
              <w:rPr>
                <w:rFonts w:ascii="仿宋_GB2312" w:hAnsi="仿宋" w:eastAsia="仿宋_GB2312" w:cs="仿宋_GB2312"/>
                <w:sz w:val="24"/>
              </w:rPr>
            </w:pPr>
          </w:p>
        </w:tc>
        <w:tc>
          <w:tcPr>
            <w:tcW w:w="1339" w:type="dxa"/>
            <w:tcBorders>
              <w:top w:val="single" w:color="auto" w:sz="4" w:space="0"/>
              <w:left w:val="single" w:color="auto" w:sz="4" w:space="0"/>
              <w:bottom w:val="single" w:color="auto" w:sz="4" w:space="0"/>
              <w:right w:val="single" w:color="auto" w:sz="4" w:space="0"/>
            </w:tcBorders>
          </w:tcPr>
          <w:p w14:paraId="1586B5A5">
            <w:pPr>
              <w:autoSpaceDE w:val="0"/>
              <w:autoSpaceDN w:val="0"/>
              <w:spacing w:line="360" w:lineRule="auto"/>
              <w:jc w:val="center"/>
              <w:rPr>
                <w:rFonts w:ascii="仿宋_GB2312" w:hAnsi="仿宋" w:eastAsia="仿宋_GB2312" w:cs="仿宋_GB2312"/>
                <w:sz w:val="24"/>
              </w:rPr>
            </w:pPr>
          </w:p>
        </w:tc>
        <w:tc>
          <w:tcPr>
            <w:tcW w:w="1261" w:type="dxa"/>
            <w:tcBorders>
              <w:top w:val="single" w:color="auto" w:sz="4" w:space="0"/>
              <w:left w:val="single" w:color="auto" w:sz="4" w:space="0"/>
              <w:bottom w:val="single" w:color="auto" w:sz="4" w:space="0"/>
              <w:right w:val="single" w:color="auto" w:sz="4" w:space="0"/>
            </w:tcBorders>
          </w:tcPr>
          <w:p w14:paraId="49062560">
            <w:pPr>
              <w:autoSpaceDE w:val="0"/>
              <w:autoSpaceDN w:val="0"/>
              <w:spacing w:line="360" w:lineRule="auto"/>
              <w:jc w:val="center"/>
              <w:rPr>
                <w:rFonts w:ascii="仿宋_GB2312" w:hAnsi="仿宋" w:eastAsia="仿宋_GB2312" w:cs="仿宋_GB2312"/>
                <w:sz w:val="24"/>
              </w:rPr>
            </w:pPr>
          </w:p>
        </w:tc>
        <w:tc>
          <w:tcPr>
            <w:tcW w:w="1462" w:type="dxa"/>
            <w:tcBorders>
              <w:top w:val="single" w:color="auto" w:sz="4" w:space="0"/>
              <w:left w:val="single" w:color="auto" w:sz="4" w:space="0"/>
              <w:bottom w:val="single" w:color="auto" w:sz="4" w:space="0"/>
              <w:right w:val="single" w:color="auto" w:sz="4" w:space="0"/>
            </w:tcBorders>
          </w:tcPr>
          <w:p w14:paraId="1E948468">
            <w:pPr>
              <w:autoSpaceDE w:val="0"/>
              <w:autoSpaceDN w:val="0"/>
              <w:spacing w:line="360" w:lineRule="auto"/>
              <w:jc w:val="center"/>
              <w:rPr>
                <w:rFonts w:ascii="仿宋_GB2312" w:hAnsi="仿宋" w:eastAsia="仿宋_GB2312" w:cs="仿宋_GB2312"/>
                <w:sz w:val="24"/>
              </w:rPr>
            </w:pPr>
          </w:p>
        </w:tc>
        <w:tc>
          <w:tcPr>
            <w:tcW w:w="1762" w:type="dxa"/>
            <w:tcBorders>
              <w:top w:val="single" w:color="auto" w:sz="4" w:space="0"/>
              <w:left w:val="single" w:color="auto" w:sz="4" w:space="0"/>
              <w:bottom w:val="single" w:color="auto" w:sz="4" w:space="0"/>
              <w:right w:val="single" w:color="auto" w:sz="4" w:space="0"/>
            </w:tcBorders>
          </w:tcPr>
          <w:p w14:paraId="64C57F91">
            <w:pPr>
              <w:autoSpaceDE w:val="0"/>
              <w:autoSpaceDN w:val="0"/>
              <w:spacing w:line="360" w:lineRule="auto"/>
              <w:jc w:val="center"/>
              <w:rPr>
                <w:rFonts w:ascii="仿宋_GB2312" w:hAnsi="仿宋" w:eastAsia="仿宋_GB2312" w:cs="仿宋_GB2312"/>
                <w:sz w:val="24"/>
              </w:rPr>
            </w:pPr>
          </w:p>
        </w:tc>
      </w:tr>
      <w:tr w14:paraId="0F95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CAB9BE6">
            <w:pPr>
              <w:autoSpaceDE w:val="0"/>
              <w:autoSpaceDN w:val="0"/>
              <w:spacing w:line="360" w:lineRule="auto"/>
              <w:jc w:val="center"/>
              <w:rPr>
                <w:rFonts w:ascii="仿宋_GB2312" w:hAnsi="仿宋" w:eastAsia="仿宋_GB2312" w:cs="仿宋_GB2312"/>
                <w:sz w:val="24"/>
              </w:rPr>
            </w:pPr>
          </w:p>
        </w:tc>
        <w:tc>
          <w:tcPr>
            <w:tcW w:w="2096" w:type="dxa"/>
            <w:tcBorders>
              <w:top w:val="single" w:color="auto" w:sz="4" w:space="0"/>
              <w:left w:val="single" w:color="auto" w:sz="4" w:space="0"/>
              <w:bottom w:val="single" w:color="auto" w:sz="4" w:space="0"/>
              <w:right w:val="single" w:color="auto" w:sz="4" w:space="0"/>
            </w:tcBorders>
          </w:tcPr>
          <w:p w14:paraId="5A33DA55">
            <w:pPr>
              <w:autoSpaceDE w:val="0"/>
              <w:autoSpaceDN w:val="0"/>
              <w:spacing w:line="360" w:lineRule="auto"/>
              <w:jc w:val="center"/>
              <w:rPr>
                <w:rFonts w:ascii="仿宋_GB2312" w:hAnsi="仿宋" w:eastAsia="仿宋_GB2312" w:cs="仿宋_GB2312"/>
                <w:sz w:val="24"/>
              </w:rPr>
            </w:pPr>
          </w:p>
        </w:tc>
        <w:tc>
          <w:tcPr>
            <w:tcW w:w="1339" w:type="dxa"/>
            <w:tcBorders>
              <w:top w:val="single" w:color="auto" w:sz="4" w:space="0"/>
              <w:left w:val="single" w:color="auto" w:sz="4" w:space="0"/>
              <w:bottom w:val="single" w:color="auto" w:sz="4" w:space="0"/>
              <w:right w:val="single" w:color="auto" w:sz="4" w:space="0"/>
            </w:tcBorders>
          </w:tcPr>
          <w:p w14:paraId="74376F52">
            <w:pPr>
              <w:autoSpaceDE w:val="0"/>
              <w:autoSpaceDN w:val="0"/>
              <w:spacing w:line="360" w:lineRule="auto"/>
              <w:jc w:val="center"/>
              <w:rPr>
                <w:rFonts w:ascii="仿宋_GB2312" w:hAnsi="仿宋" w:eastAsia="仿宋_GB2312" w:cs="仿宋_GB2312"/>
                <w:sz w:val="24"/>
              </w:rPr>
            </w:pPr>
          </w:p>
        </w:tc>
        <w:tc>
          <w:tcPr>
            <w:tcW w:w="1261" w:type="dxa"/>
            <w:tcBorders>
              <w:top w:val="single" w:color="auto" w:sz="4" w:space="0"/>
              <w:left w:val="single" w:color="auto" w:sz="4" w:space="0"/>
              <w:bottom w:val="single" w:color="auto" w:sz="4" w:space="0"/>
              <w:right w:val="single" w:color="auto" w:sz="4" w:space="0"/>
            </w:tcBorders>
          </w:tcPr>
          <w:p w14:paraId="305B943E">
            <w:pPr>
              <w:autoSpaceDE w:val="0"/>
              <w:autoSpaceDN w:val="0"/>
              <w:spacing w:line="360" w:lineRule="auto"/>
              <w:jc w:val="center"/>
              <w:rPr>
                <w:rFonts w:ascii="仿宋_GB2312" w:hAnsi="仿宋" w:eastAsia="仿宋_GB2312" w:cs="仿宋_GB2312"/>
                <w:sz w:val="24"/>
              </w:rPr>
            </w:pPr>
          </w:p>
        </w:tc>
        <w:tc>
          <w:tcPr>
            <w:tcW w:w="1462" w:type="dxa"/>
            <w:tcBorders>
              <w:top w:val="single" w:color="auto" w:sz="4" w:space="0"/>
              <w:left w:val="single" w:color="auto" w:sz="4" w:space="0"/>
              <w:bottom w:val="single" w:color="auto" w:sz="4" w:space="0"/>
              <w:right w:val="single" w:color="auto" w:sz="4" w:space="0"/>
            </w:tcBorders>
          </w:tcPr>
          <w:p w14:paraId="2E4222B4">
            <w:pPr>
              <w:autoSpaceDE w:val="0"/>
              <w:autoSpaceDN w:val="0"/>
              <w:spacing w:line="360" w:lineRule="auto"/>
              <w:jc w:val="center"/>
              <w:rPr>
                <w:rFonts w:ascii="仿宋_GB2312" w:hAnsi="仿宋" w:eastAsia="仿宋_GB2312" w:cs="仿宋_GB2312"/>
                <w:sz w:val="24"/>
              </w:rPr>
            </w:pPr>
          </w:p>
        </w:tc>
        <w:tc>
          <w:tcPr>
            <w:tcW w:w="1762" w:type="dxa"/>
            <w:tcBorders>
              <w:top w:val="single" w:color="auto" w:sz="4" w:space="0"/>
              <w:left w:val="single" w:color="auto" w:sz="4" w:space="0"/>
              <w:bottom w:val="single" w:color="auto" w:sz="4" w:space="0"/>
              <w:right w:val="single" w:color="auto" w:sz="4" w:space="0"/>
            </w:tcBorders>
          </w:tcPr>
          <w:p w14:paraId="57CE85C3">
            <w:pPr>
              <w:autoSpaceDE w:val="0"/>
              <w:autoSpaceDN w:val="0"/>
              <w:spacing w:line="360" w:lineRule="auto"/>
              <w:jc w:val="center"/>
              <w:rPr>
                <w:rFonts w:ascii="仿宋_GB2312" w:hAnsi="仿宋" w:eastAsia="仿宋_GB2312" w:cs="仿宋_GB2312"/>
                <w:sz w:val="24"/>
              </w:rPr>
            </w:pPr>
          </w:p>
        </w:tc>
      </w:tr>
      <w:tr w14:paraId="08BB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63F56349">
            <w:pPr>
              <w:autoSpaceDE w:val="0"/>
              <w:autoSpaceDN w:val="0"/>
              <w:spacing w:line="360" w:lineRule="auto"/>
              <w:jc w:val="center"/>
              <w:rPr>
                <w:rFonts w:ascii="仿宋_GB2312" w:hAnsi="仿宋" w:eastAsia="仿宋_GB2312" w:cs="仿宋_GB2312"/>
                <w:sz w:val="24"/>
              </w:rPr>
            </w:pPr>
          </w:p>
        </w:tc>
        <w:tc>
          <w:tcPr>
            <w:tcW w:w="2096" w:type="dxa"/>
            <w:tcBorders>
              <w:top w:val="single" w:color="auto" w:sz="4" w:space="0"/>
              <w:left w:val="single" w:color="auto" w:sz="4" w:space="0"/>
              <w:bottom w:val="single" w:color="auto" w:sz="4" w:space="0"/>
              <w:right w:val="single" w:color="auto" w:sz="4" w:space="0"/>
            </w:tcBorders>
          </w:tcPr>
          <w:p w14:paraId="47060176">
            <w:pPr>
              <w:autoSpaceDE w:val="0"/>
              <w:autoSpaceDN w:val="0"/>
              <w:spacing w:line="360" w:lineRule="auto"/>
              <w:jc w:val="center"/>
              <w:rPr>
                <w:rFonts w:ascii="仿宋_GB2312" w:hAnsi="仿宋" w:eastAsia="仿宋_GB2312" w:cs="仿宋_GB2312"/>
                <w:sz w:val="24"/>
              </w:rPr>
            </w:pPr>
          </w:p>
        </w:tc>
        <w:tc>
          <w:tcPr>
            <w:tcW w:w="1339" w:type="dxa"/>
            <w:tcBorders>
              <w:top w:val="single" w:color="auto" w:sz="4" w:space="0"/>
              <w:left w:val="single" w:color="auto" w:sz="4" w:space="0"/>
              <w:bottom w:val="single" w:color="auto" w:sz="4" w:space="0"/>
              <w:right w:val="single" w:color="auto" w:sz="4" w:space="0"/>
            </w:tcBorders>
          </w:tcPr>
          <w:p w14:paraId="677501FC">
            <w:pPr>
              <w:autoSpaceDE w:val="0"/>
              <w:autoSpaceDN w:val="0"/>
              <w:spacing w:line="360" w:lineRule="auto"/>
              <w:jc w:val="center"/>
              <w:rPr>
                <w:rFonts w:ascii="仿宋_GB2312" w:hAnsi="仿宋" w:eastAsia="仿宋_GB2312" w:cs="仿宋_GB2312"/>
                <w:sz w:val="24"/>
              </w:rPr>
            </w:pPr>
          </w:p>
        </w:tc>
        <w:tc>
          <w:tcPr>
            <w:tcW w:w="1261" w:type="dxa"/>
            <w:tcBorders>
              <w:top w:val="single" w:color="auto" w:sz="4" w:space="0"/>
              <w:left w:val="single" w:color="auto" w:sz="4" w:space="0"/>
              <w:bottom w:val="single" w:color="auto" w:sz="4" w:space="0"/>
              <w:right w:val="single" w:color="auto" w:sz="4" w:space="0"/>
            </w:tcBorders>
          </w:tcPr>
          <w:p w14:paraId="12855147">
            <w:pPr>
              <w:autoSpaceDE w:val="0"/>
              <w:autoSpaceDN w:val="0"/>
              <w:spacing w:line="360" w:lineRule="auto"/>
              <w:jc w:val="center"/>
              <w:rPr>
                <w:rFonts w:ascii="仿宋_GB2312" w:hAnsi="仿宋" w:eastAsia="仿宋_GB2312" w:cs="仿宋_GB2312"/>
                <w:sz w:val="24"/>
              </w:rPr>
            </w:pPr>
          </w:p>
        </w:tc>
        <w:tc>
          <w:tcPr>
            <w:tcW w:w="1462" w:type="dxa"/>
            <w:tcBorders>
              <w:top w:val="single" w:color="auto" w:sz="4" w:space="0"/>
              <w:left w:val="single" w:color="auto" w:sz="4" w:space="0"/>
              <w:bottom w:val="single" w:color="auto" w:sz="4" w:space="0"/>
              <w:right w:val="single" w:color="auto" w:sz="4" w:space="0"/>
            </w:tcBorders>
          </w:tcPr>
          <w:p w14:paraId="270F0AC2">
            <w:pPr>
              <w:autoSpaceDE w:val="0"/>
              <w:autoSpaceDN w:val="0"/>
              <w:spacing w:line="360" w:lineRule="auto"/>
              <w:jc w:val="center"/>
              <w:rPr>
                <w:rFonts w:ascii="仿宋_GB2312" w:hAnsi="仿宋" w:eastAsia="仿宋_GB2312" w:cs="仿宋_GB2312"/>
                <w:sz w:val="24"/>
              </w:rPr>
            </w:pPr>
          </w:p>
        </w:tc>
        <w:tc>
          <w:tcPr>
            <w:tcW w:w="1762" w:type="dxa"/>
            <w:tcBorders>
              <w:top w:val="single" w:color="auto" w:sz="4" w:space="0"/>
              <w:left w:val="single" w:color="auto" w:sz="4" w:space="0"/>
              <w:bottom w:val="single" w:color="auto" w:sz="4" w:space="0"/>
              <w:right w:val="single" w:color="auto" w:sz="4" w:space="0"/>
            </w:tcBorders>
          </w:tcPr>
          <w:p w14:paraId="655FA947">
            <w:pPr>
              <w:autoSpaceDE w:val="0"/>
              <w:autoSpaceDN w:val="0"/>
              <w:spacing w:line="360" w:lineRule="auto"/>
              <w:jc w:val="center"/>
              <w:rPr>
                <w:rFonts w:ascii="仿宋_GB2312" w:hAnsi="仿宋" w:eastAsia="仿宋_GB2312" w:cs="仿宋_GB2312"/>
                <w:sz w:val="24"/>
              </w:rPr>
            </w:pPr>
          </w:p>
        </w:tc>
      </w:tr>
      <w:tr w14:paraId="4031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2762602">
            <w:pPr>
              <w:autoSpaceDE w:val="0"/>
              <w:autoSpaceDN w:val="0"/>
              <w:spacing w:line="360" w:lineRule="auto"/>
              <w:jc w:val="center"/>
              <w:rPr>
                <w:rFonts w:ascii="仿宋_GB2312" w:hAnsi="仿宋" w:eastAsia="仿宋_GB2312" w:cs="仿宋_GB2312"/>
                <w:sz w:val="24"/>
              </w:rPr>
            </w:pPr>
          </w:p>
        </w:tc>
        <w:tc>
          <w:tcPr>
            <w:tcW w:w="2096" w:type="dxa"/>
            <w:tcBorders>
              <w:top w:val="single" w:color="auto" w:sz="4" w:space="0"/>
              <w:left w:val="single" w:color="auto" w:sz="4" w:space="0"/>
              <w:bottom w:val="single" w:color="auto" w:sz="4" w:space="0"/>
              <w:right w:val="single" w:color="auto" w:sz="4" w:space="0"/>
            </w:tcBorders>
          </w:tcPr>
          <w:p w14:paraId="1E2D4331">
            <w:pPr>
              <w:autoSpaceDE w:val="0"/>
              <w:autoSpaceDN w:val="0"/>
              <w:spacing w:line="360" w:lineRule="auto"/>
              <w:jc w:val="center"/>
              <w:rPr>
                <w:rFonts w:ascii="仿宋_GB2312" w:hAnsi="仿宋" w:eastAsia="仿宋_GB2312" w:cs="仿宋_GB2312"/>
                <w:sz w:val="24"/>
              </w:rPr>
            </w:pPr>
          </w:p>
        </w:tc>
        <w:tc>
          <w:tcPr>
            <w:tcW w:w="1339" w:type="dxa"/>
            <w:tcBorders>
              <w:top w:val="single" w:color="auto" w:sz="4" w:space="0"/>
              <w:left w:val="single" w:color="auto" w:sz="4" w:space="0"/>
              <w:bottom w:val="single" w:color="auto" w:sz="4" w:space="0"/>
              <w:right w:val="single" w:color="auto" w:sz="4" w:space="0"/>
            </w:tcBorders>
          </w:tcPr>
          <w:p w14:paraId="188D74FB">
            <w:pPr>
              <w:autoSpaceDE w:val="0"/>
              <w:autoSpaceDN w:val="0"/>
              <w:spacing w:line="360" w:lineRule="auto"/>
              <w:jc w:val="center"/>
              <w:rPr>
                <w:rFonts w:ascii="仿宋_GB2312" w:hAnsi="仿宋" w:eastAsia="仿宋_GB2312" w:cs="仿宋_GB2312"/>
                <w:sz w:val="24"/>
              </w:rPr>
            </w:pPr>
          </w:p>
        </w:tc>
        <w:tc>
          <w:tcPr>
            <w:tcW w:w="1261" w:type="dxa"/>
            <w:tcBorders>
              <w:top w:val="single" w:color="auto" w:sz="4" w:space="0"/>
              <w:left w:val="single" w:color="auto" w:sz="4" w:space="0"/>
              <w:bottom w:val="single" w:color="auto" w:sz="4" w:space="0"/>
              <w:right w:val="single" w:color="auto" w:sz="4" w:space="0"/>
            </w:tcBorders>
          </w:tcPr>
          <w:p w14:paraId="7EDBDCCB">
            <w:pPr>
              <w:autoSpaceDE w:val="0"/>
              <w:autoSpaceDN w:val="0"/>
              <w:spacing w:line="360" w:lineRule="auto"/>
              <w:jc w:val="center"/>
              <w:rPr>
                <w:rFonts w:ascii="仿宋_GB2312" w:hAnsi="仿宋" w:eastAsia="仿宋_GB2312" w:cs="仿宋_GB2312"/>
                <w:sz w:val="24"/>
              </w:rPr>
            </w:pPr>
          </w:p>
        </w:tc>
        <w:tc>
          <w:tcPr>
            <w:tcW w:w="1462" w:type="dxa"/>
            <w:tcBorders>
              <w:top w:val="single" w:color="auto" w:sz="4" w:space="0"/>
              <w:left w:val="single" w:color="auto" w:sz="4" w:space="0"/>
              <w:bottom w:val="single" w:color="auto" w:sz="4" w:space="0"/>
              <w:right w:val="single" w:color="auto" w:sz="4" w:space="0"/>
            </w:tcBorders>
          </w:tcPr>
          <w:p w14:paraId="07826843">
            <w:pPr>
              <w:autoSpaceDE w:val="0"/>
              <w:autoSpaceDN w:val="0"/>
              <w:spacing w:line="360" w:lineRule="auto"/>
              <w:jc w:val="center"/>
              <w:rPr>
                <w:rFonts w:ascii="仿宋_GB2312" w:hAnsi="仿宋" w:eastAsia="仿宋_GB2312" w:cs="仿宋_GB2312"/>
                <w:sz w:val="24"/>
              </w:rPr>
            </w:pPr>
          </w:p>
        </w:tc>
        <w:tc>
          <w:tcPr>
            <w:tcW w:w="1762" w:type="dxa"/>
            <w:tcBorders>
              <w:top w:val="single" w:color="auto" w:sz="4" w:space="0"/>
              <w:left w:val="single" w:color="auto" w:sz="4" w:space="0"/>
              <w:bottom w:val="single" w:color="auto" w:sz="4" w:space="0"/>
              <w:right w:val="single" w:color="auto" w:sz="4" w:space="0"/>
            </w:tcBorders>
          </w:tcPr>
          <w:p w14:paraId="7F88622D">
            <w:pPr>
              <w:autoSpaceDE w:val="0"/>
              <w:autoSpaceDN w:val="0"/>
              <w:spacing w:line="360" w:lineRule="auto"/>
              <w:jc w:val="center"/>
              <w:rPr>
                <w:rFonts w:ascii="仿宋_GB2312" w:hAnsi="仿宋" w:eastAsia="仿宋_GB2312" w:cs="仿宋_GB2312"/>
                <w:sz w:val="24"/>
              </w:rPr>
            </w:pPr>
          </w:p>
        </w:tc>
      </w:tr>
    </w:tbl>
    <w:p w14:paraId="2EAAB2F6">
      <w:pPr>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注：关于项目涉及的所有服务机构均在本表注明，包括投标人本单位和符合条件的第三方服务机构；</w:t>
      </w:r>
    </w:p>
    <w:p w14:paraId="2B41B228">
      <w:pPr>
        <w:autoSpaceDE w:val="0"/>
        <w:autoSpaceDN w:val="0"/>
        <w:spacing w:line="360" w:lineRule="auto"/>
        <w:rPr>
          <w:rFonts w:ascii="仿宋_GB2312" w:hAnsi="仿宋" w:eastAsia="仿宋_GB2312" w:cs="仿宋_GB2312"/>
          <w:kern w:val="0"/>
          <w:sz w:val="24"/>
        </w:rPr>
      </w:pPr>
    </w:p>
    <w:p w14:paraId="4A505372">
      <w:pPr>
        <w:autoSpaceDE w:val="0"/>
        <w:autoSpaceDN w:val="0"/>
        <w:spacing w:line="360" w:lineRule="auto"/>
        <w:rPr>
          <w:rFonts w:ascii="仿宋_GB2312" w:hAnsi="仿宋" w:eastAsia="仿宋_GB2312" w:cs="仿宋_GB2312"/>
          <w:kern w:val="0"/>
          <w:sz w:val="24"/>
        </w:rPr>
      </w:pPr>
      <w:r>
        <w:rPr>
          <w:rFonts w:hint="eastAsia" w:ascii="仿宋_GB2312" w:hAnsi="仿宋" w:eastAsia="仿宋_GB2312" w:cs="仿宋_GB2312"/>
          <w:b/>
          <w:kern w:val="0"/>
          <w:sz w:val="24"/>
        </w:rPr>
        <w:t>附表B：服务人员情况表</w:t>
      </w:r>
      <w:r>
        <w:rPr>
          <w:rFonts w:hint="eastAsia" w:ascii="仿宋_GB2312" w:hAnsi="仿宋" w:eastAsia="仿宋_GB2312" w:cs="仿宋_GB2312"/>
          <w:sz w:val="24"/>
        </w:rPr>
        <w:t>（如有要求，参照此格式自制）</w:t>
      </w:r>
    </w:p>
    <w:tbl>
      <w:tblPr>
        <w:tblStyle w:val="23"/>
        <w:tblW w:w="8922" w:type="dxa"/>
        <w:jc w:val="center"/>
        <w:tblLayout w:type="fixed"/>
        <w:tblCellMar>
          <w:top w:w="0" w:type="dxa"/>
          <w:left w:w="108" w:type="dxa"/>
          <w:bottom w:w="0" w:type="dxa"/>
          <w:right w:w="108" w:type="dxa"/>
        </w:tblCellMar>
      </w:tblPr>
      <w:tblGrid>
        <w:gridCol w:w="470"/>
        <w:gridCol w:w="767"/>
        <w:gridCol w:w="1212"/>
        <w:gridCol w:w="636"/>
        <w:gridCol w:w="804"/>
        <w:gridCol w:w="996"/>
        <w:gridCol w:w="1008"/>
        <w:gridCol w:w="1018"/>
        <w:gridCol w:w="900"/>
        <w:gridCol w:w="1111"/>
      </w:tblGrid>
      <w:tr w14:paraId="4B20DF3F">
        <w:tblPrEx>
          <w:tblCellMar>
            <w:top w:w="0" w:type="dxa"/>
            <w:left w:w="108" w:type="dxa"/>
            <w:bottom w:w="0" w:type="dxa"/>
            <w:right w:w="108" w:type="dxa"/>
          </w:tblCellMar>
        </w:tblPrEx>
        <w:trPr>
          <w:jc w:val="center"/>
        </w:trPr>
        <w:tc>
          <w:tcPr>
            <w:tcW w:w="470" w:type="dxa"/>
            <w:tcBorders>
              <w:top w:val="single" w:color="auto" w:sz="6" w:space="0"/>
              <w:left w:val="single" w:color="auto" w:sz="6" w:space="0"/>
              <w:bottom w:val="single" w:color="auto" w:sz="6" w:space="0"/>
              <w:right w:val="single" w:color="auto" w:sz="4" w:space="0"/>
            </w:tcBorders>
            <w:vAlign w:val="center"/>
          </w:tcPr>
          <w:p w14:paraId="3A94C1D5">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序号</w:t>
            </w:r>
          </w:p>
        </w:tc>
        <w:tc>
          <w:tcPr>
            <w:tcW w:w="767" w:type="dxa"/>
            <w:tcBorders>
              <w:top w:val="single" w:color="auto" w:sz="6" w:space="0"/>
              <w:left w:val="single" w:color="auto" w:sz="4" w:space="0"/>
              <w:bottom w:val="single" w:color="auto" w:sz="6" w:space="0"/>
              <w:right w:val="single" w:color="auto" w:sz="6" w:space="0"/>
            </w:tcBorders>
            <w:vAlign w:val="center"/>
          </w:tcPr>
          <w:p w14:paraId="70E74A76">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类别</w:t>
            </w:r>
          </w:p>
        </w:tc>
        <w:tc>
          <w:tcPr>
            <w:tcW w:w="1212" w:type="dxa"/>
            <w:tcBorders>
              <w:top w:val="single" w:color="auto" w:sz="6" w:space="0"/>
              <w:left w:val="single" w:color="auto" w:sz="6" w:space="0"/>
              <w:bottom w:val="single" w:color="auto" w:sz="6" w:space="0"/>
              <w:right w:val="single" w:color="auto" w:sz="6" w:space="0"/>
            </w:tcBorders>
            <w:vAlign w:val="center"/>
          </w:tcPr>
          <w:p w14:paraId="56C3878C">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姓名</w:t>
            </w:r>
          </w:p>
        </w:tc>
        <w:tc>
          <w:tcPr>
            <w:tcW w:w="636" w:type="dxa"/>
            <w:tcBorders>
              <w:top w:val="single" w:color="auto" w:sz="6" w:space="0"/>
              <w:left w:val="single" w:color="auto" w:sz="6" w:space="0"/>
              <w:bottom w:val="single" w:color="auto" w:sz="6" w:space="0"/>
              <w:right w:val="single" w:color="auto" w:sz="6" w:space="0"/>
            </w:tcBorders>
            <w:vAlign w:val="center"/>
          </w:tcPr>
          <w:p w14:paraId="001FEA66">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性别</w:t>
            </w:r>
          </w:p>
        </w:tc>
        <w:tc>
          <w:tcPr>
            <w:tcW w:w="804" w:type="dxa"/>
            <w:tcBorders>
              <w:top w:val="single" w:color="auto" w:sz="6" w:space="0"/>
              <w:left w:val="single" w:color="auto" w:sz="6" w:space="0"/>
              <w:bottom w:val="single" w:color="auto" w:sz="6" w:space="0"/>
              <w:right w:val="single" w:color="auto" w:sz="6" w:space="0"/>
            </w:tcBorders>
            <w:vAlign w:val="center"/>
          </w:tcPr>
          <w:p w14:paraId="2663FFCA">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年龄</w:t>
            </w:r>
          </w:p>
        </w:tc>
        <w:tc>
          <w:tcPr>
            <w:tcW w:w="996" w:type="dxa"/>
            <w:tcBorders>
              <w:top w:val="single" w:color="auto" w:sz="6" w:space="0"/>
              <w:left w:val="single" w:color="auto" w:sz="6" w:space="0"/>
              <w:bottom w:val="single" w:color="auto" w:sz="6" w:space="0"/>
              <w:right w:val="single" w:color="auto" w:sz="6" w:space="0"/>
            </w:tcBorders>
            <w:vAlign w:val="center"/>
          </w:tcPr>
          <w:p w14:paraId="0AE49596">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学历</w:t>
            </w:r>
          </w:p>
          <w:p w14:paraId="5DD35C18">
            <w:pPr>
              <w:autoSpaceDE w:val="0"/>
              <w:autoSpaceDN w:val="0"/>
              <w:jc w:val="center"/>
              <w:rPr>
                <w:rFonts w:ascii="仿宋_GB2312" w:hAnsi="仿宋" w:eastAsia="仿宋_GB2312" w:cs="仿宋_GB2312"/>
                <w:sz w:val="24"/>
              </w:rPr>
            </w:pPr>
            <w:r>
              <w:rPr>
                <w:rFonts w:hint="eastAsia" w:ascii="宋体" w:hAnsi="宋体" w:cs="宋体"/>
                <w:szCs w:val="21"/>
              </w:rPr>
              <w:t>及专业</w:t>
            </w:r>
          </w:p>
        </w:tc>
        <w:tc>
          <w:tcPr>
            <w:tcW w:w="1008" w:type="dxa"/>
            <w:tcBorders>
              <w:top w:val="single" w:color="auto" w:sz="6" w:space="0"/>
              <w:left w:val="single" w:color="auto" w:sz="6" w:space="0"/>
              <w:bottom w:val="single" w:color="auto" w:sz="6" w:space="0"/>
              <w:right w:val="single" w:color="auto" w:sz="6" w:space="0"/>
            </w:tcBorders>
            <w:vAlign w:val="center"/>
          </w:tcPr>
          <w:p w14:paraId="18DE3CE1">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职称</w:t>
            </w:r>
            <w:r>
              <w:rPr>
                <w:rFonts w:hint="eastAsia" w:ascii="宋体" w:hAnsi="宋体" w:cs="宋体"/>
                <w:szCs w:val="21"/>
              </w:rPr>
              <w:t>/职业资格证书</w:t>
            </w:r>
          </w:p>
        </w:tc>
        <w:tc>
          <w:tcPr>
            <w:tcW w:w="1018" w:type="dxa"/>
            <w:tcBorders>
              <w:top w:val="single" w:color="auto" w:sz="6" w:space="0"/>
              <w:left w:val="single" w:color="auto" w:sz="6" w:space="0"/>
              <w:bottom w:val="single" w:color="auto" w:sz="6" w:space="0"/>
              <w:right w:val="single" w:color="auto" w:sz="6" w:space="0"/>
            </w:tcBorders>
            <w:vAlign w:val="center"/>
          </w:tcPr>
          <w:p w14:paraId="26BDBE27">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A5E03D6">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7190B94E">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承诺到达现场时间</w:t>
            </w:r>
          </w:p>
        </w:tc>
      </w:tr>
      <w:tr w14:paraId="617D6BE1">
        <w:tblPrEx>
          <w:tblCellMar>
            <w:top w:w="0" w:type="dxa"/>
            <w:left w:w="108" w:type="dxa"/>
            <w:bottom w:w="0" w:type="dxa"/>
            <w:right w:w="108" w:type="dxa"/>
          </w:tblCellMar>
        </w:tblPrEx>
        <w:trPr>
          <w:trHeight w:val="607" w:hRule="atLeast"/>
          <w:jc w:val="center"/>
        </w:trPr>
        <w:tc>
          <w:tcPr>
            <w:tcW w:w="470" w:type="dxa"/>
            <w:tcBorders>
              <w:top w:val="single" w:color="auto" w:sz="6" w:space="0"/>
              <w:left w:val="single" w:color="auto" w:sz="6" w:space="0"/>
              <w:bottom w:val="single" w:color="auto" w:sz="6" w:space="0"/>
              <w:right w:val="single" w:color="auto" w:sz="4" w:space="0"/>
            </w:tcBorders>
          </w:tcPr>
          <w:p w14:paraId="29222169">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vAlign w:val="center"/>
          </w:tcPr>
          <w:p w14:paraId="583B9F75">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负责人</w:t>
            </w:r>
          </w:p>
        </w:tc>
        <w:tc>
          <w:tcPr>
            <w:tcW w:w="1212" w:type="dxa"/>
            <w:tcBorders>
              <w:top w:val="single" w:color="auto" w:sz="6" w:space="0"/>
              <w:left w:val="single" w:color="auto" w:sz="6" w:space="0"/>
              <w:bottom w:val="single" w:color="auto" w:sz="6" w:space="0"/>
              <w:right w:val="single" w:color="auto" w:sz="6" w:space="0"/>
            </w:tcBorders>
          </w:tcPr>
          <w:p w14:paraId="68359321">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7F764FE8">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77017665">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29ED73B6">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377437D3">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72BFBEF4">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61A9E11F">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4912065F">
            <w:pPr>
              <w:autoSpaceDE w:val="0"/>
              <w:autoSpaceDN w:val="0"/>
              <w:rPr>
                <w:rFonts w:ascii="仿宋_GB2312" w:hAnsi="仿宋" w:eastAsia="仿宋_GB2312" w:cs="仿宋_GB2312"/>
                <w:sz w:val="24"/>
              </w:rPr>
            </w:pPr>
          </w:p>
        </w:tc>
      </w:tr>
      <w:tr w14:paraId="19ADE2F6">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085A2CFF">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vAlign w:val="center"/>
          </w:tcPr>
          <w:p w14:paraId="688BF679">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服务人员</w:t>
            </w:r>
          </w:p>
        </w:tc>
        <w:tc>
          <w:tcPr>
            <w:tcW w:w="1212" w:type="dxa"/>
            <w:tcBorders>
              <w:top w:val="single" w:color="auto" w:sz="6" w:space="0"/>
              <w:left w:val="single" w:color="auto" w:sz="6" w:space="0"/>
              <w:bottom w:val="single" w:color="auto" w:sz="6" w:space="0"/>
              <w:right w:val="single" w:color="auto" w:sz="6" w:space="0"/>
            </w:tcBorders>
          </w:tcPr>
          <w:p w14:paraId="49C67001">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1AB3C0F5">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3227B397">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31EF32E2">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4A136FC5">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49D5E8A5">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21537B04">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01C7B206">
            <w:pPr>
              <w:autoSpaceDE w:val="0"/>
              <w:autoSpaceDN w:val="0"/>
              <w:rPr>
                <w:rFonts w:ascii="仿宋_GB2312" w:hAnsi="仿宋" w:eastAsia="仿宋_GB2312" w:cs="仿宋_GB2312"/>
                <w:sz w:val="24"/>
              </w:rPr>
            </w:pPr>
          </w:p>
        </w:tc>
      </w:tr>
      <w:tr w14:paraId="72DA9E0F">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1E3CB095">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31CC1EB7">
            <w:pPr>
              <w:autoSpaceDE w:val="0"/>
              <w:autoSpaceDN w:val="0"/>
              <w:jc w:val="center"/>
              <w:rPr>
                <w:rFonts w:ascii="仿宋_GB2312" w:hAnsi="仿宋" w:eastAsia="仿宋_GB2312" w:cs="仿宋_GB2312"/>
                <w:sz w:val="24"/>
              </w:rPr>
            </w:pPr>
          </w:p>
        </w:tc>
        <w:tc>
          <w:tcPr>
            <w:tcW w:w="1212" w:type="dxa"/>
            <w:tcBorders>
              <w:top w:val="single" w:color="auto" w:sz="6" w:space="0"/>
              <w:left w:val="single" w:color="auto" w:sz="6" w:space="0"/>
              <w:bottom w:val="single" w:color="auto" w:sz="6" w:space="0"/>
              <w:right w:val="single" w:color="auto" w:sz="6" w:space="0"/>
            </w:tcBorders>
          </w:tcPr>
          <w:p w14:paraId="35D0CFD3">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0618B2D9">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620EED34">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66217B71">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09ABC9AA">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669E0407">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4B4CCC45">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05B61F3F">
            <w:pPr>
              <w:autoSpaceDE w:val="0"/>
              <w:autoSpaceDN w:val="0"/>
              <w:rPr>
                <w:rFonts w:ascii="仿宋_GB2312" w:hAnsi="仿宋" w:eastAsia="仿宋_GB2312" w:cs="仿宋_GB2312"/>
                <w:sz w:val="24"/>
              </w:rPr>
            </w:pPr>
          </w:p>
        </w:tc>
      </w:tr>
      <w:tr w14:paraId="36B51394">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7435C168">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57E83214">
            <w:pPr>
              <w:autoSpaceDE w:val="0"/>
              <w:autoSpaceDN w:val="0"/>
              <w:jc w:val="center"/>
              <w:rPr>
                <w:rFonts w:ascii="宋体" w:hAnsi="宋体" w:cs="宋体"/>
                <w:szCs w:val="21"/>
              </w:rPr>
            </w:pPr>
          </w:p>
        </w:tc>
        <w:tc>
          <w:tcPr>
            <w:tcW w:w="1212" w:type="dxa"/>
            <w:tcBorders>
              <w:top w:val="single" w:color="auto" w:sz="6" w:space="0"/>
              <w:left w:val="single" w:color="auto" w:sz="6" w:space="0"/>
              <w:bottom w:val="single" w:color="auto" w:sz="6" w:space="0"/>
              <w:right w:val="single" w:color="auto" w:sz="6" w:space="0"/>
            </w:tcBorders>
          </w:tcPr>
          <w:p w14:paraId="55040C96">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795B8FD9">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7DD5ABD4">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46004AE4">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3615C720">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3B7B95AE">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7191C8EB">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46703F0D">
            <w:pPr>
              <w:autoSpaceDE w:val="0"/>
              <w:autoSpaceDN w:val="0"/>
              <w:rPr>
                <w:rFonts w:ascii="仿宋_GB2312" w:hAnsi="仿宋" w:eastAsia="仿宋_GB2312" w:cs="仿宋_GB2312"/>
                <w:sz w:val="24"/>
              </w:rPr>
            </w:pPr>
          </w:p>
        </w:tc>
      </w:tr>
      <w:tr w14:paraId="50A92522">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3EA91EC2">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3CB88B82">
            <w:pPr>
              <w:autoSpaceDE w:val="0"/>
              <w:autoSpaceDN w:val="0"/>
              <w:jc w:val="center"/>
              <w:rPr>
                <w:rFonts w:ascii="宋体" w:hAnsi="宋体" w:cs="宋体"/>
                <w:szCs w:val="21"/>
              </w:rPr>
            </w:pPr>
          </w:p>
        </w:tc>
        <w:tc>
          <w:tcPr>
            <w:tcW w:w="1212" w:type="dxa"/>
            <w:tcBorders>
              <w:top w:val="single" w:color="auto" w:sz="6" w:space="0"/>
              <w:left w:val="single" w:color="auto" w:sz="6" w:space="0"/>
              <w:bottom w:val="single" w:color="auto" w:sz="6" w:space="0"/>
              <w:right w:val="single" w:color="auto" w:sz="6" w:space="0"/>
            </w:tcBorders>
          </w:tcPr>
          <w:p w14:paraId="3FD7B504">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1BE59141">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7209314B">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02B60E18">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1122551F">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686F4BF6">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72A87265">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62110351">
            <w:pPr>
              <w:autoSpaceDE w:val="0"/>
              <w:autoSpaceDN w:val="0"/>
              <w:rPr>
                <w:rFonts w:ascii="仿宋_GB2312" w:hAnsi="仿宋" w:eastAsia="仿宋_GB2312" w:cs="仿宋_GB2312"/>
                <w:sz w:val="24"/>
              </w:rPr>
            </w:pPr>
          </w:p>
        </w:tc>
      </w:tr>
      <w:tr w14:paraId="5D853161">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7C753CD0">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529F0AB4">
            <w:pPr>
              <w:autoSpaceDE w:val="0"/>
              <w:autoSpaceDN w:val="0"/>
              <w:jc w:val="center"/>
              <w:rPr>
                <w:rFonts w:ascii="宋体" w:hAnsi="宋体" w:cs="宋体"/>
                <w:szCs w:val="21"/>
              </w:rPr>
            </w:pPr>
          </w:p>
        </w:tc>
        <w:tc>
          <w:tcPr>
            <w:tcW w:w="1212" w:type="dxa"/>
            <w:tcBorders>
              <w:top w:val="single" w:color="auto" w:sz="6" w:space="0"/>
              <w:left w:val="single" w:color="auto" w:sz="6" w:space="0"/>
              <w:bottom w:val="single" w:color="auto" w:sz="6" w:space="0"/>
              <w:right w:val="single" w:color="auto" w:sz="6" w:space="0"/>
            </w:tcBorders>
          </w:tcPr>
          <w:p w14:paraId="3D693229">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05BE5C71">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5335DE4D">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1FF55014">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5C70EFDE">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3B94B2EA">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657C56BE">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23900982">
            <w:pPr>
              <w:autoSpaceDE w:val="0"/>
              <w:autoSpaceDN w:val="0"/>
              <w:rPr>
                <w:rFonts w:ascii="仿宋_GB2312" w:hAnsi="仿宋" w:eastAsia="仿宋_GB2312" w:cs="仿宋_GB2312"/>
                <w:sz w:val="24"/>
              </w:rPr>
            </w:pPr>
          </w:p>
        </w:tc>
      </w:tr>
      <w:tr w14:paraId="49618D01">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6AA8A5CE">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7D01FBF0">
            <w:pPr>
              <w:autoSpaceDE w:val="0"/>
              <w:autoSpaceDN w:val="0"/>
              <w:jc w:val="center"/>
              <w:rPr>
                <w:rFonts w:ascii="宋体" w:hAnsi="宋体" w:cs="宋体"/>
                <w:szCs w:val="21"/>
              </w:rPr>
            </w:pPr>
            <w:r>
              <w:rPr>
                <w:rFonts w:hint="eastAsia" w:ascii="宋体" w:hAnsi="宋体" w:cs="宋体"/>
                <w:szCs w:val="21"/>
              </w:rPr>
              <w:t>......</w:t>
            </w:r>
          </w:p>
        </w:tc>
        <w:tc>
          <w:tcPr>
            <w:tcW w:w="1212" w:type="dxa"/>
            <w:tcBorders>
              <w:top w:val="single" w:color="auto" w:sz="6" w:space="0"/>
              <w:left w:val="single" w:color="auto" w:sz="6" w:space="0"/>
              <w:bottom w:val="single" w:color="auto" w:sz="6" w:space="0"/>
              <w:right w:val="single" w:color="auto" w:sz="6" w:space="0"/>
            </w:tcBorders>
          </w:tcPr>
          <w:p w14:paraId="627E7848">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354BFA8E">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26531054">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2C5A72F8">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23C31A72">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470330BA">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0736EF59">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4732CE12">
            <w:pPr>
              <w:autoSpaceDE w:val="0"/>
              <w:autoSpaceDN w:val="0"/>
              <w:rPr>
                <w:rFonts w:ascii="仿宋_GB2312" w:hAnsi="仿宋" w:eastAsia="仿宋_GB2312" w:cs="仿宋_GB2312"/>
                <w:sz w:val="24"/>
              </w:rPr>
            </w:pPr>
          </w:p>
        </w:tc>
      </w:tr>
    </w:tbl>
    <w:p w14:paraId="2AC7CBB6">
      <w:pPr>
        <w:snapToGrid w:val="0"/>
        <w:spacing w:before="120" w:beforeLines="50" w:after="50"/>
        <w:ind w:left="142"/>
        <w:jc w:val="center"/>
        <w:rPr>
          <w:rFonts w:ascii="宋体" w:hAnsi="宋体"/>
          <w:b/>
          <w:color w:val="000000"/>
          <w:sz w:val="32"/>
          <w:szCs w:val="32"/>
        </w:rPr>
      </w:pPr>
    </w:p>
    <w:p w14:paraId="68A5F0BD">
      <w:pPr>
        <w:snapToGrid w:val="0"/>
        <w:spacing w:before="120" w:beforeLines="50" w:line="360" w:lineRule="auto"/>
        <w:ind w:right="480" w:firstLine="3967" w:firstLineChars="1653"/>
        <w:rPr>
          <w:rFonts w:ascii="宋体" w:hAnsi="宋体"/>
          <w:color w:val="000000"/>
          <w:sz w:val="24"/>
        </w:rPr>
      </w:pPr>
    </w:p>
    <w:p w14:paraId="2D4F4D5C">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投标人名称(盖公章)：</w:t>
      </w:r>
    </w:p>
    <w:p w14:paraId="755847E6">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AB11A01">
      <w:pPr>
        <w:widowControl/>
        <w:spacing w:line="360" w:lineRule="auto"/>
        <w:jc w:val="left"/>
        <w:rPr>
          <w:rFonts w:ascii="宋体" w:hAnsi="宋体"/>
          <w:sz w:val="24"/>
        </w:rPr>
        <w:sectPr>
          <w:pgSz w:w="11905" w:h="16838"/>
          <w:pgMar w:top="1134" w:right="1134" w:bottom="1134" w:left="1134" w:header="850" w:footer="850" w:gutter="0"/>
          <w:cols w:space="0" w:num="1"/>
          <w:titlePg/>
          <w:docGrid w:linePitch="331" w:charSpace="0"/>
        </w:sectPr>
      </w:pPr>
    </w:p>
    <w:p w14:paraId="74401829">
      <w:pPr>
        <w:pStyle w:val="17"/>
        <w:snapToGrid w:val="0"/>
        <w:ind w:left="562" w:hanging="562"/>
        <w:rPr>
          <w:rFonts w:ascii="宋体" w:hAnsi="宋体" w:cs="宋体"/>
          <w:i/>
          <w:iCs/>
          <w:sz w:val="24"/>
          <w:highlight w:val="yellow"/>
        </w:rPr>
      </w:pPr>
      <w:r>
        <w:rPr>
          <w:rFonts w:hint="eastAsia" w:ascii="宋体" w:hAnsi="宋体" w:cs="宋体"/>
          <w:b/>
          <w:color w:val="000000"/>
          <w:szCs w:val="28"/>
        </w:rPr>
        <w:t>9. 项目实施人员一览表的格式</w:t>
      </w:r>
      <w:r>
        <w:rPr>
          <w:rFonts w:hint="eastAsia" w:ascii="宋体" w:hAnsi="宋体" w:cs="宋体"/>
          <w:b/>
          <w:bCs/>
          <w:sz w:val="30"/>
          <w:szCs w:val="30"/>
        </w:rPr>
        <w:t>：</w:t>
      </w:r>
    </w:p>
    <w:p w14:paraId="068760E5">
      <w:pPr>
        <w:snapToGrid w:val="0"/>
        <w:spacing w:before="120" w:beforeLines="50" w:after="50"/>
        <w:ind w:left="142"/>
        <w:jc w:val="left"/>
        <w:rPr>
          <w:rFonts w:ascii="宋体" w:hAnsi="宋体"/>
          <w:b/>
          <w:color w:val="000000"/>
          <w:sz w:val="32"/>
          <w:szCs w:val="32"/>
        </w:rPr>
      </w:pPr>
    </w:p>
    <w:p w14:paraId="7014AB9F">
      <w:pPr>
        <w:snapToGrid w:val="0"/>
        <w:spacing w:before="120" w:beforeLines="50" w:after="50"/>
        <w:ind w:left="142"/>
        <w:jc w:val="center"/>
        <w:rPr>
          <w:rFonts w:ascii="宋体" w:hAnsi="宋体"/>
          <w:b/>
          <w:color w:val="000000"/>
          <w:sz w:val="32"/>
          <w:szCs w:val="32"/>
        </w:rPr>
      </w:pPr>
      <w:r>
        <w:rPr>
          <w:rFonts w:hint="eastAsia" w:ascii="宋体" w:hAnsi="宋体"/>
          <w:b/>
          <w:color w:val="000000"/>
          <w:sz w:val="32"/>
          <w:szCs w:val="32"/>
        </w:rPr>
        <w:t>项目实施人员一览表</w:t>
      </w:r>
    </w:p>
    <w:p w14:paraId="52547E3C">
      <w:pPr>
        <w:spacing w:line="360" w:lineRule="auto"/>
        <w:jc w:val="center"/>
        <w:rPr>
          <w:rFonts w:ascii="仿宋_GB2312" w:hAnsi="仿宋" w:eastAsia="仿宋_GB2312" w:cs="仿宋_GB2312"/>
          <w:b/>
          <w:bCs/>
          <w:sz w:val="24"/>
        </w:rPr>
      </w:pPr>
      <w:r>
        <w:rPr>
          <w:rFonts w:hint="eastAsia" w:ascii="仿宋_GB2312" w:hAnsi="仿宋" w:eastAsia="仿宋_GB2312" w:cs="仿宋_GB2312"/>
          <w:sz w:val="24"/>
        </w:rPr>
        <w:t>（由投标人根据采购需求及招标文件要求编制）</w:t>
      </w:r>
    </w:p>
    <w:p w14:paraId="647C3729">
      <w:pPr>
        <w:pStyle w:val="13"/>
        <w:rPr>
          <w:color w:val="000000"/>
          <w:sz w:val="24"/>
          <w:szCs w:val="24"/>
        </w:rPr>
      </w:pPr>
    </w:p>
    <w:p w14:paraId="359470C3">
      <w:pPr>
        <w:pStyle w:val="13"/>
        <w:spacing w:line="360" w:lineRule="auto"/>
        <w:rPr>
          <w:color w:val="000000"/>
          <w:sz w:val="24"/>
          <w:szCs w:val="24"/>
        </w:rPr>
      </w:pPr>
      <w:r>
        <w:rPr>
          <w:rFonts w:hint="eastAsia"/>
          <w:color w:val="000000"/>
          <w:sz w:val="24"/>
          <w:szCs w:val="24"/>
        </w:rPr>
        <w:t>所投分标（此处有分标时填写具体分标号，无分标时填写“无”）：</w:t>
      </w:r>
      <w:r>
        <w:rPr>
          <w:rFonts w:hint="eastAsia"/>
          <w:color w:val="000000"/>
          <w:sz w:val="24"/>
          <w:szCs w:val="24"/>
          <w:u w:val="single"/>
        </w:rPr>
        <w:t xml:space="preserve">        </w:t>
      </w:r>
    </w:p>
    <w:p w14:paraId="25CABF8D">
      <w:pPr>
        <w:keepNext/>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23"/>
        <w:tblW w:w="8755" w:type="dxa"/>
        <w:tblInd w:w="116" w:type="dxa"/>
        <w:tblLayout w:type="fixed"/>
        <w:tblCellMar>
          <w:top w:w="0" w:type="dxa"/>
          <w:left w:w="108" w:type="dxa"/>
          <w:bottom w:w="0" w:type="dxa"/>
          <w:right w:w="108" w:type="dxa"/>
        </w:tblCellMar>
      </w:tblPr>
      <w:tblGrid>
        <w:gridCol w:w="2061"/>
        <w:gridCol w:w="1287"/>
        <w:gridCol w:w="1260"/>
        <w:gridCol w:w="4147"/>
      </w:tblGrid>
      <w:tr w14:paraId="6006ED2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EE805B9">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28B8A18">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7EF34F85">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05D50F95">
            <w:pPr>
              <w:autoSpaceDE w:val="0"/>
              <w:autoSpaceDN w:val="0"/>
              <w:spacing w:line="360" w:lineRule="auto"/>
              <w:rPr>
                <w:rFonts w:ascii="仿宋_GB2312" w:hAnsi="仿宋" w:eastAsia="仿宋_GB2312" w:cs="仿宋_GB2312"/>
                <w:sz w:val="24"/>
              </w:rPr>
            </w:pPr>
            <w:r>
              <w:rPr>
                <w:rFonts w:hint="eastAsia" w:ascii="仿宋_GB2312" w:hAnsi="仿宋" w:eastAsia="仿宋_GB2312" w:cs="仿宋_GB2312"/>
                <w:sz w:val="24"/>
              </w:rPr>
              <w:t>投标截止时间前三年业绩及承担的主要工作情况，曾担任项目经理的项目应列明细。</w:t>
            </w:r>
          </w:p>
        </w:tc>
      </w:tr>
      <w:tr w14:paraId="53055C4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B512356">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F890D30">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07106791">
            <w:pPr>
              <w:autoSpaceDE w:val="0"/>
              <w:autoSpaceDN w:val="0"/>
              <w:spacing w:line="360" w:lineRule="auto"/>
              <w:jc w:val="center"/>
              <w:rPr>
                <w:rFonts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669D67BF">
            <w:pPr>
              <w:autoSpaceDE w:val="0"/>
              <w:autoSpaceDN w:val="0"/>
              <w:spacing w:line="360" w:lineRule="auto"/>
              <w:jc w:val="center"/>
              <w:rPr>
                <w:rFonts w:ascii="仿宋_GB2312" w:hAnsi="仿宋" w:eastAsia="仿宋_GB2312" w:cs="仿宋_GB2312"/>
                <w:sz w:val="24"/>
              </w:rPr>
            </w:pPr>
          </w:p>
        </w:tc>
      </w:tr>
      <w:tr w14:paraId="541E357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DAF33DB">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20DFB49">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B5962C4">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9B467D2">
            <w:pPr>
              <w:widowControl/>
              <w:jc w:val="left"/>
              <w:rPr>
                <w:rFonts w:ascii="仿宋_GB2312" w:hAnsi="仿宋" w:eastAsia="仿宋_GB2312" w:cs="仿宋_GB2312"/>
                <w:sz w:val="24"/>
              </w:rPr>
            </w:pPr>
          </w:p>
        </w:tc>
      </w:tr>
      <w:tr w14:paraId="4E70F36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6F3F8B9">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学历</w:t>
            </w:r>
            <w:r>
              <w:rPr>
                <w:rFonts w:hint="eastAsia" w:ascii="宋体" w:hAnsi="宋体" w:cs="宋体"/>
                <w:szCs w:val="21"/>
              </w:rPr>
              <w:t>及专业</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A26B53B">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6F34985F">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68DDDD">
            <w:pPr>
              <w:widowControl/>
              <w:jc w:val="left"/>
              <w:rPr>
                <w:rFonts w:ascii="仿宋_GB2312" w:hAnsi="仿宋" w:eastAsia="仿宋_GB2312" w:cs="仿宋_GB2312"/>
                <w:sz w:val="24"/>
              </w:rPr>
            </w:pPr>
          </w:p>
        </w:tc>
      </w:tr>
      <w:tr w14:paraId="513E0E3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349EC34">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4E3E0E5">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6CA9D758">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D8E748E">
            <w:pPr>
              <w:widowControl/>
              <w:jc w:val="left"/>
              <w:rPr>
                <w:rFonts w:ascii="仿宋_GB2312" w:hAnsi="仿宋" w:eastAsia="仿宋_GB2312" w:cs="仿宋_GB2312"/>
                <w:sz w:val="24"/>
              </w:rPr>
            </w:pPr>
          </w:p>
        </w:tc>
      </w:tr>
      <w:tr w14:paraId="428F2C55">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E7C6236">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职称</w:t>
            </w:r>
            <w:r>
              <w:rPr>
                <w:rFonts w:hint="eastAsia" w:ascii="宋体" w:hAnsi="宋体" w:cs="宋体"/>
                <w:szCs w:val="21"/>
              </w:rPr>
              <w:t>/职业资格证书</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C0D1109">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464446E7">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88534DF">
            <w:pPr>
              <w:widowControl/>
              <w:jc w:val="left"/>
              <w:rPr>
                <w:rFonts w:ascii="仿宋_GB2312" w:hAnsi="仿宋" w:eastAsia="仿宋_GB2312" w:cs="仿宋_GB2312"/>
                <w:sz w:val="24"/>
              </w:rPr>
            </w:pPr>
          </w:p>
        </w:tc>
      </w:tr>
      <w:tr w14:paraId="704F4BA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C90514C">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职称/职业资格</w:t>
            </w:r>
          </w:p>
          <w:p w14:paraId="4FEFA27F">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442DFA9">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41D4192B">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C0DE949">
            <w:pPr>
              <w:widowControl/>
              <w:jc w:val="left"/>
              <w:rPr>
                <w:rFonts w:ascii="仿宋_GB2312" w:hAnsi="仿宋" w:eastAsia="仿宋_GB2312" w:cs="仿宋_GB2312"/>
                <w:sz w:val="24"/>
              </w:rPr>
            </w:pPr>
          </w:p>
        </w:tc>
      </w:tr>
      <w:tr w14:paraId="08CD973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0CC301F">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其他证书情况</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4A9ED96">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68FC24C9">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5AE2FF2">
            <w:pPr>
              <w:widowControl/>
              <w:jc w:val="left"/>
              <w:rPr>
                <w:rFonts w:ascii="仿宋_GB2312" w:hAnsi="仿宋" w:eastAsia="仿宋_GB2312" w:cs="仿宋_GB2312"/>
                <w:sz w:val="24"/>
              </w:rPr>
            </w:pPr>
          </w:p>
        </w:tc>
      </w:tr>
      <w:tr w14:paraId="1AB68A7D">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BBB055A">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2B12E24">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5F545535">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925046F">
            <w:pPr>
              <w:widowControl/>
              <w:jc w:val="left"/>
              <w:rPr>
                <w:rFonts w:ascii="仿宋_GB2312" w:hAnsi="仿宋" w:eastAsia="仿宋_GB2312" w:cs="仿宋_GB2312"/>
                <w:sz w:val="24"/>
              </w:rPr>
            </w:pPr>
          </w:p>
        </w:tc>
      </w:tr>
    </w:tbl>
    <w:p w14:paraId="4CA8310E">
      <w:pPr>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注：投标人可参照上述的格式自行编制，并注明所在投标</w:t>
      </w:r>
      <w:r>
        <w:rPr>
          <w:rFonts w:hint="eastAsia" w:ascii="宋体" w:hAnsi="宋体" w:cs="宋体"/>
          <w:b/>
          <w:szCs w:val="21"/>
        </w:rPr>
        <w:t>商务技术文件</w:t>
      </w:r>
      <w:r>
        <w:rPr>
          <w:rFonts w:hint="eastAsia" w:ascii="仿宋_GB2312" w:hAnsi="仿宋" w:eastAsia="仿宋_GB2312" w:cs="仿宋_GB2312"/>
          <w:b/>
          <w:sz w:val="24"/>
        </w:rPr>
        <w:t>页码。</w:t>
      </w:r>
    </w:p>
    <w:p w14:paraId="01A21AD8">
      <w:pPr>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（参照此格式自制）</w:t>
      </w:r>
    </w:p>
    <w:tbl>
      <w:tblPr>
        <w:tblStyle w:val="23"/>
        <w:tblW w:w="7950" w:type="dxa"/>
        <w:tblInd w:w="108" w:type="dxa"/>
        <w:tblLayout w:type="fixed"/>
        <w:tblCellMar>
          <w:top w:w="0" w:type="dxa"/>
          <w:left w:w="108" w:type="dxa"/>
          <w:bottom w:w="0" w:type="dxa"/>
          <w:right w:w="108" w:type="dxa"/>
        </w:tblCellMar>
      </w:tblPr>
      <w:tblGrid>
        <w:gridCol w:w="420"/>
        <w:gridCol w:w="959"/>
        <w:gridCol w:w="477"/>
        <w:gridCol w:w="623"/>
        <w:gridCol w:w="1096"/>
        <w:gridCol w:w="1189"/>
        <w:gridCol w:w="946"/>
        <w:gridCol w:w="770"/>
        <w:gridCol w:w="1470"/>
      </w:tblGrid>
      <w:tr w14:paraId="3DB26E1D">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95611D0">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序号</w:t>
            </w:r>
          </w:p>
        </w:tc>
        <w:tc>
          <w:tcPr>
            <w:tcW w:w="959" w:type="dxa"/>
            <w:tcBorders>
              <w:top w:val="single" w:color="auto" w:sz="6" w:space="0"/>
              <w:left w:val="single" w:color="auto" w:sz="6" w:space="0"/>
              <w:bottom w:val="single" w:color="auto" w:sz="6" w:space="0"/>
              <w:right w:val="single" w:color="auto" w:sz="6" w:space="0"/>
            </w:tcBorders>
            <w:vAlign w:val="center"/>
          </w:tcPr>
          <w:p w14:paraId="65348582">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姓名</w:t>
            </w:r>
          </w:p>
        </w:tc>
        <w:tc>
          <w:tcPr>
            <w:tcW w:w="477" w:type="dxa"/>
            <w:tcBorders>
              <w:top w:val="single" w:color="auto" w:sz="6" w:space="0"/>
              <w:left w:val="single" w:color="auto" w:sz="6" w:space="0"/>
              <w:bottom w:val="single" w:color="auto" w:sz="6" w:space="0"/>
              <w:right w:val="single" w:color="auto" w:sz="6" w:space="0"/>
            </w:tcBorders>
            <w:vAlign w:val="center"/>
          </w:tcPr>
          <w:p w14:paraId="2C6CA774">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性别</w:t>
            </w:r>
          </w:p>
        </w:tc>
        <w:tc>
          <w:tcPr>
            <w:tcW w:w="623" w:type="dxa"/>
            <w:tcBorders>
              <w:top w:val="single" w:color="auto" w:sz="6" w:space="0"/>
              <w:left w:val="single" w:color="auto" w:sz="6" w:space="0"/>
              <w:bottom w:val="single" w:color="auto" w:sz="6" w:space="0"/>
              <w:right w:val="single" w:color="auto" w:sz="6" w:space="0"/>
            </w:tcBorders>
            <w:vAlign w:val="center"/>
          </w:tcPr>
          <w:p w14:paraId="579DE6C7">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年龄</w:t>
            </w:r>
          </w:p>
        </w:tc>
        <w:tc>
          <w:tcPr>
            <w:tcW w:w="1096" w:type="dxa"/>
            <w:tcBorders>
              <w:top w:val="single" w:color="auto" w:sz="6" w:space="0"/>
              <w:left w:val="single" w:color="auto" w:sz="6" w:space="0"/>
              <w:bottom w:val="single" w:color="auto" w:sz="6" w:space="0"/>
              <w:right w:val="single" w:color="auto" w:sz="6" w:space="0"/>
            </w:tcBorders>
            <w:vAlign w:val="center"/>
          </w:tcPr>
          <w:p w14:paraId="4A0D3E38">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学历及专业</w:t>
            </w:r>
          </w:p>
          <w:p w14:paraId="19C6C164">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(页码)</w:t>
            </w:r>
          </w:p>
        </w:tc>
        <w:tc>
          <w:tcPr>
            <w:tcW w:w="1189" w:type="dxa"/>
            <w:tcBorders>
              <w:top w:val="single" w:color="auto" w:sz="6" w:space="0"/>
              <w:left w:val="single" w:color="auto" w:sz="6" w:space="0"/>
              <w:bottom w:val="single" w:color="auto" w:sz="6" w:space="0"/>
              <w:right w:val="single" w:color="auto" w:sz="6" w:space="0"/>
            </w:tcBorders>
            <w:vAlign w:val="center"/>
          </w:tcPr>
          <w:p w14:paraId="75481EEB">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职称</w:t>
            </w:r>
            <w:r>
              <w:rPr>
                <w:rFonts w:hint="eastAsia" w:ascii="宋体" w:hAnsi="宋体" w:cs="宋体"/>
                <w:szCs w:val="21"/>
              </w:rPr>
              <w:t>/职业资格证书</w:t>
            </w:r>
          </w:p>
          <w:p w14:paraId="499C2125">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(页码)</w:t>
            </w:r>
          </w:p>
        </w:tc>
        <w:tc>
          <w:tcPr>
            <w:tcW w:w="946" w:type="dxa"/>
            <w:tcBorders>
              <w:top w:val="single" w:color="auto" w:sz="6" w:space="0"/>
              <w:left w:val="single" w:color="auto" w:sz="6" w:space="0"/>
              <w:bottom w:val="single" w:color="auto" w:sz="6" w:space="0"/>
              <w:right w:val="single" w:color="auto" w:sz="6" w:space="0"/>
            </w:tcBorders>
            <w:vAlign w:val="center"/>
          </w:tcPr>
          <w:p w14:paraId="19C4A87E">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本项目中的职责</w:t>
            </w:r>
          </w:p>
        </w:tc>
        <w:tc>
          <w:tcPr>
            <w:tcW w:w="770" w:type="dxa"/>
            <w:tcBorders>
              <w:top w:val="single" w:color="auto" w:sz="6" w:space="0"/>
              <w:left w:val="single" w:color="auto" w:sz="6" w:space="0"/>
              <w:bottom w:val="single" w:color="auto" w:sz="6" w:space="0"/>
              <w:right w:val="single" w:color="auto" w:sz="6" w:space="0"/>
            </w:tcBorders>
            <w:vAlign w:val="center"/>
          </w:tcPr>
          <w:p w14:paraId="5815FA74">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543F93C">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参与本项目的到位情况</w:t>
            </w:r>
          </w:p>
        </w:tc>
      </w:tr>
      <w:tr w14:paraId="1E41A8C4">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33597B4">
            <w:pPr>
              <w:autoSpaceDE w:val="0"/>
              <w:autoSpaceDN w:val="0"/>
              <w:spacing w:line="360" w:lineRule="auto"/>
              <w:jc w:val="center"/>
              <w:rPr>
                <w:rFonts w:ascii="仿宋_GB2312" w:hAnsi="仿宋" w:eastAsia="仿宋_GB2312" w:cs="仿宋_GB2312"/>
                <w:sz w:val="24"/>
              </w:rPr>
            </w:pPr>
          </w:p>
        </w:tc>
        <w:tc>
          <w:tcPr>
            <w:tcW w:w="959" w:type="dxa"/>
            <w:tcBorders>
              <w:top w:val="single" w:color="auto" w:sz="6" w:space="0"/>
              <w:left w:val="single" w:color="auto" w:sz="6" w:space="0"/>
              <w:bottom w:val="single" w:color="auto" w:sz="6" w:space="0"/>
              <w:right w:val="single" w:color="auto" w:sz="6" w:space="0"/>
            </w:tcBorders>
          </w:tcPr>
          <w:p w14:paraId="0DEB14E0">
            <w:pPr>
              <w:autoSpaceDE w:val="0"/>
              <w:autoSpaceDN w:val="0"/>
              <w:spacing w:line="360" w:lineRule="auto"/>
              <w:rPr>
                <w:rFonts w:ascii="仿宋_GB2312" w:hAnsi="仿宋" w:eastAsia="仿宋_GB2312" w:cs="仿宋_GB2312"/>
                <w:sz w:val="24"/>
              </w:rPr>
            </w:pPr>
          </w:p>
        </w:tc>
        <w:tc>
          <w:tcPr>
            <w:tcW w:w="477" w:type="dxa"/>
            <w:tcBorders>
              <w:top w:val="single" w:color="auto" w:sz="6" w:space="0"/>
              <w:left w:val="single" w:color="auto" w:sz="6" w:space="0"/>
              <w:bottom w:val="single" w:color="auto" w:sz="6" w:space="0"/>
              <w:right w:val="single" w:color="auto" w:sz="6" w:space="0"/>
            </w:tcBorders>
          </w:tcPr>
          <w:p w14:paraId="7077417F">
            <w:pPr>
              <w:autoSpaceDE w:val="0"/>
              <w:autoSpaceDN w:val="0"/>
              <w:spacing w:line="360" w:lineRule="auto"/>
              <w:rPr>
                <w:rFonts w:ascii="仿宋_GB2312" w:hAnsi="仿宋" w:eastAsia="仿宋_GB2312" w:cs="仿宋_GB2312"/>
                <w:sz w:val="24"/>
              </w:rPr>
            </w:pPr>
          </w:p>
        </w:tc>
        <w:tc>
          <w:tcPr>
            <w:tcW w:w="623" w:type="dxa"/>
            <w:tcBorders>
              <w:top w:val="single" w:color="auto" w:sz="6" w:space="0"/>
              <w:left w:val="single" w:color="auto" w:sz="6" w:space="0"/>
              <w:bottom w:val="single" w:color="auto" w:sz="6" w:space="0"/>
              <w:right w:val="single" w:color="auto" w:sz="6" w:space="0"/>
            </w:tcBorders>
          </w:tcPr>
          <w:p w14:paraId="1D6BE500">
            <w:pPr>
              <w:autoSpaceDE w:val="0"/>
              <w:autoSpaceDN w:val="0"/>
              <w:spacing w:line="360" w:lineRule="auto"/>
              <w:rPr>
                <w:rFonts w:ascii="仿宋_GB2312" w:hAnsi="仿宋" w:eastAsia="仿宋_GB2312" w:cs="仿宋_GB2312"/>
                <w:sz w:val="24"/>
              </w:rPr>
            </w:pPr>
          </w:p>
        </w:tc>
        <w:tc>
          <w:tcPr>
            <w:tcW w:w="1096" w:type="dxa"/>
            <w:tcBorders>
              <w:top w:val="single" w:color="auto" w:sz="6" w:space="0"/>
              <w:left w:val="single" w:color="auto" w:sz="6" w:space="0"/>
              <w:bottom w:val="single" w:color="auto" w:sz="6" w:space="0"/>
              <w:right w:val="single" w:color="auto" w:sz="6" w:space="0"/>
            </w:tcBorders>
          </w:tcPr>
          <w:p w14:paraId="54AC335C">
            <w:pPr>
              <w:autoSpaceDE w:val="0"/>
              <w:autoSpaceDN w:val="0"/>
              <w:spacing w:line="360" w:lineRule="auto"/>
              <w:rPr>
                <w:rFonts w:ascii="仿宋_GB2312" w:hAnsi="仿宋" w:eastAsia="仿宋_GB2312" w:cs="仿宋_GB2312"/>
                <w:sz w:val="24"/>
              </w:rPr>
            </w:pPr>
          </w:p>
        </w:tc>
        <w:tc>
          <w:tcPr>
            <w:tcW w:w="1189" w:type="dxa"/>
            <w:tcBorders>
              <w:top w:val="single" w:color="auto" w:sz="6" w:space="0"/>
              <w:left w:val="single" w:color="auto" w:sz="6" w:space="0"/>
              <w:bottom w:val="single" w:color="auto" w:sz="6" w:space="0"/>
              <w:right w:val="single" w:color="auto" w:sz="6" w:space="0"/>
            </w:tcBorders>
          </w:tcPr>
          <w:p w14:paraId="412C1740">
            <w:pPr>
              <w:autoSpaceDE w:val="0"/>
              <w:autoSpaceDN w:val="0"/>
              <w:spacing w:line="360" w:lineRule="auto"/>
              <w:rPr>
                <w:rFonts w:ascii="仿宋_GB2312" w:hAnsi="仿宋" w:eastAsia="仿宋_GB2312" w:cs="仿宋_GB2312"/>
                <w:sz w:val="24"/>
              </w:rPr>
            </w:pPr>
          </w:p>
        </w:tc>
        <w:tc>
          <w:tcPr>
            <w:tcW w:w="946" w:type="dxa"/>
            <w:tcBorders>
              <w:top w:val="single" w:color="auto" w:sz="6" w:space="0"/>
              <w:left w:val="single" w:color="auto" w:sz="6" w:space="0"/>
              <w:bottom w:val="single" w:color="auto" w:sz="6" w:space="0"/>
              <w:right w:val="single" w:color="auto" w:sz="6" w:space="0"/>
            </w:tcBorders>
          </w:tcPr>
          <w:p w14:paraId="4BCFB24C">
            <w:pPr>
              <w:autoSpaceDE w:val="0"/>
              <w:autoSpaceDN w:val="0"/>
              <w:spacing w:line="360" w:lineRule="auto"/>
              <w:rPr>
                <w:rFonts w:ascii="仿宋_GB2312" w:hAnsi="仿宋" w:eastAsia="仿宋_GB2312" w:cs="仿宋_GB2312"/>
                <w:sz w:val="24"/>
              </w:rPr>
            </w:pPr>
          </w:p>
        </w:tc>
        <w:tc>
          <w:tcPr>
            <w:tcW w:w="770" w:type="dxa"/>
            <w:tcBorders>
              <w:top w:val="single" w:color="auto" w:sz="6" w:space="0"/>
              <w:left w:val="single" w:color="auto" w:sz="6" w:space="0"/>
              <w:bottom w:val="single" w:color="auto" w:sz="6" w:space="0"/>
              <w:right w:val="single" w:color="auto" w:sz="6" w:space="0"/>
            </w:tcBorders>
          </w:tcPr>
          <w:p w14:paraId="2FDA7BB7">
            <w:pPr>
              <w:autoSpaceDE w:val="0"/>
              <w:autoSpaceDN w:val="0"/>
              <w:spacing w:line="360" w:lineRule="auto"/>
              <w:rPr>
                <w:rFonts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6AB0EA79">
            <w:pPr>
              <w:autoSpaceDE w:val="0"/>
              <w:autoSpaceDN w:val="0"/>
              <w:spacing w:line="360" w:lineRule="auto"/>
              <w:rPr>
                <w:rFonts w:ascii="仿宋_GB2312" w:hAnsi="仿宋" w:eastAsia="仿宋_GB2312" w:cs="仿宋_GB2312"/>
                <w:sz w:val="24"/>
              </w:rPr>
            </w:pPr>
          </w:p>
        </w:tc>
      </w:tr>
      <w:tr w14:paraId="29EC5809">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7EF89B1">
            <w:pPr>
              <w:autoSpaceDE w:val="0"/>
              <w:autoSpaceDN w:val="0"/>
              <w:spacing w:line="360" w:lineRule="auto"/>
              <w:jc w:val="center"/>
              <w:rPr>
                <w:rFonts w:ascii="仿宋_GB2312" w:hAnsi="仿宋" w:eastAsia="仿宋_GB2312" w:cs="仿宋_GB2312"/>
                <w:sz w:val="24"/>
              </w:rPr>
            </w:pPr>
          </w:p>
        </w:tc>
        <w:tc>
          <w:tcPr>
            <w:tcW w:w="959" w:type="dxa"/>
            <w:tcBorders>
              <w:top w:val="single" w:color="auto" w:sz="6" w:space="0"/>
              <w:left w:val="single" w:color="auto" w:sz="6" w:space="0"/>
              <w:bottom w:val="single" w:color="auto" w:sz="6" w:space="0"/>
              <w:right w:val="single" w:color="auto" w:sz="6" w:space="0"/>
            </w:tcBorders>
          </w:tcPr>
          <w:p w14:paraId="29FFAE81">
            <w:pPr>
              <w:autoSpaceDE w:val="0"/>
              <w:autoSpaceDN w:val="0"/>
              <w:spacing w:line="360" w:lineRule="auto"/>
              <w:rPr>
                <w:rFonts w:ascii="仿宋_GB2312" w:hAnsi="仿宋" w:eastAsia="仿宋_GB2312" w:cs="仿宋_GB2312"/>
                <w:sz w:val="24"/>
              </w:rPr>
            </w:pPr>
          </w:p>
        </w:tc>
        <w:tc>
          <w:tcPr>
            <w:tcW w:w="477" w:type="dxa"/>
            <w:tcBorders>
              <w:top w:val="single" w:color="auto" w:sz="6" w:space="0"/>
              <w:left w:val="single" w:color="auto" w:sz="6" w:space="0"/>
              <w:bottom w:val="single" w:color="auto" w:sz="6" w:space="0"/>
              <w:right w:val="single" w:color="auto" w:sz="6" w:space="0"/>
            </w:tcBorders>
          </w:tcPr>
          <w:p w14:paraId="64B2ECED">
            <w:pPr>
              <w:autoSpaceDE w:val="0"/>
              <w:autoSpaceDN w:val="0"/>
              <w:spacing w:line="360" w:lineRule="auto"/>
              <w:rPr>
                <w:rFonts w:ascii="仿宋_GB2312" w:hAnsi="仿宋" w:eastAsia="仿宋_GB2312" w:cs="仿宋_GB2312"/>
                <w:sz w:val="24"/>
              </w:rPr>
            </w:pPr>
          </w:p>
        </w:tc>
        <w:tc>
          <w:tcPr>
            <w:tcW w:w="623" w:type="dxa"/>
            <w:tcBorders>
              <w:top w:val="single" w:color="auto" w:sz="6" w:space="0"/>
              <w:left w:val="single" w:color="auto" w:sz="6" w:space="0"/>
              <w:bottom w:val="single" w:color="auto" w:sz="6" w:space="0"/>
              <w:right w:val="single" w:color="auto" w:sz="6" w:space="0"/>
            </w:tcBorders>
          </w:tcPr>
          <w:p w14:paraId="3D40F8D4">
            <w:pPr>
              <w:autoSpaceDE w:val="0"/>
              <w:autoSpaceDN w:val="0"/>
              <w:spacing w:line="360" w:lineRule="auto"/>
              <w:rPr>
                <w:rFonts w:ascii="仿宋_GB2312" w:hAnsi="仿宋" w:eastAsia="仿宋_GB2312" w:cs="仿宋_GB2312"/>
                <w:sz w:val="24"/>
              </w:rPr>
            </w:pPr>
          </w:p>
        </w:tc>
        <w:tc>
          <w:tcPr>
            <w:tcW w:w="1096" w:type="dxa"/>
            <w:tcBorders>
              <w:top w:val="single" w:color="auto" w:sz="6" w:space="0"/>
              <w:left w:val="single" w:color="auto" w:sz="6" w:space="0"/>
              <w:bottom w:val="single" w:color="auto" w:sz="6" w:space="0"/>
              <w:right w:val="single" w:color="auto" w:sz="6" w:space="0"/>
            </w:tcBorders>
          </w:tcPr>
          <w:p w14:paraId="39C15B0F">
            <w:pPr>
              <w:autoSpaceDE w:val="0"/>
              <w:autoSpaceDN w:val="0"/>
              <w:spacing w:line="360" w:lineRule="auto"/>
              <w:rPr>
                <w:rFonts w:ascii="仿宋_GB2312" w:hAnsi="仿宋" w:eastAsia="仿宋_GB2312" w:cs="仿宋_GB2312"/>
                <w:sz w:val="24"/>
              </w:rPr>
            </w:pPr>
          </w:p>
        </w:tc>
        <w:tc>
          <w:tcPr>
            <w:tcW w:w="1189" w:type="dxa"/>
            <w:tcBorders>
              <w:top w:val="single" w:color="auto" w:sz="6" w:space="0"/>
              <w:left w:val="single" w:color="auto" w:sz="6" w:space="0"/>
              <w:bottom w:val="single" w:color="auto" w:sz="6" w:space="0"/>
              <w:right w:val="single" w:color="auto" w:sz="6" w:space="0"/>
            </w:tcBorders>
          </w:tcPr>
          <w:p w14:paraId="54A9D9EE">
            <w:pPr>
              <w:autoSpaceDE w:val="0"/>
              <w:autoSpaceDN w:val="0"/>
              <w:spacing w:line="360" w:lineRule="auto"/>
              <w:rPr>
                <w:rFonts w:ascii="仿宋_GB2312" w:hAnsi="仿宋" w:eastAsia="仿宋_GB2312" w:cs="仿宋_GB2312"/>
                <w:sz w:val="24"/>
              </w:rPr>
            </w:pPr>
          </w:p>
        </w:tc>
        <w:tc>
          <w:tcPr>
            <w:tcW w:w="946" w:type="dxa"/>
            <w:tcBorders>
              <w:top w:val="single" w:color="auto" w:sz="6" w:space="0"/>
              <w:left w:val="single" w:color="auto" w:sz="6" w:space="0"/>
              <w:bottom w:val="single" w:color="auto" w:sz="6" w:space="0"/>
              <w:right w:val="single" w:color="auto" w:sz="6" w:space="0"/>
            </w:tcBorders>
          </w:tcPr>
          <w:p w14:paraId="1E450590">
            <w:pPr>
              <w:autoSpaceDE w:val="0"/>
              <w:autoSpaceDN w:val="0"/>
              <w:spacing w:line="360" w:lineRule="auto"/>
              <w:rPr>
                <w:rFonts w:ascii="仿宋_GB2312" w:hAnsi="仿宋" w:eastAsia="仿宋_GB2312" w:cs="仿宋_GB2312"/>
                <w:sz w:val="24"/>
              </w:rPr>
            </w:pPr>
          </w:p>
        </w:tc>
        <w:tc>
          <w:tcPr>
            <w:tcW w:w="770" w:type="dxa"/>
            <w:tcBorders>
              <w:top w:val="single" w:color="auto" w:sz="6" w:space="0"/>
              <w:left w:val="single" w:color="auto" w:sz="6" w:space="0"/>
              <w:bottom w:val="single" w:color="auto" w:sz="6" w:space="0"/>
              <w:right w:val="single" w:color="auto" w:sz="6" w:space="0"/>
            </w:tcBorders>
          </w:tcPr>
          <w:p w14:paraId="1953134D">
            <w:pPr>
              <w:autoSpaceDE w:val="0"/>
              <w:autoSpaceDN w:val="0"/>
              <w:spacing w:line="360" w:lineRule="auto"/>
              <w:rPr>
                <w:rFonts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2D4C17EB">
            <w:pPr>
              <w:autoSpaceDE w:val="0"/>
              <w:autoSpaceDN w:val="0"/>
              <w:spacing w:line="360" w:lineRule="auto"/>
              <w:rPr>
                <w:rFonts w:ascii="仿宋_GB2312" w:hAnsi="仿宋" w:eastAsia="仿宋_GB2312" w:cs="仿宋_GB2312"/>
                <w:sz w:val="24"/>
              </w:rPr>
            </w:pPr>
          </w:p>
        </w:tc>
      </w:tr>
    </w:tbl>
    <w:p w14:paraId="50A49054">
      <w:pPr>
        <w:spacing w:line="360" w:lineRule="auto"/>
        <w:rPr>
          <w:rFonts w:ascii="仿宋_GB2312" w:hAnsi="仿宋" w:eastAsia="仿宋_GB2312" w:cs="仿宋_GB2312"/>
          <w:b/>
          <w:bCs/>
          <w:sz w:val="24"/>
        </w:rPr>
      </w:pPr>
      <w:r>
        <w:rPr>
          <w:rFonts w:hint="eastAsia" w:ascii="仿宋_GB2312" w:hAnsi="仿宋" w:eastAsia="仿宋_GB2312" w:cs="仿宋_GB2312"/>
          <w:b/>
          <w:sz w:val="24"/>
        </w:rPr>
        <w:t>注：投标人可参照上述的格式自行编制，并注明所在投标</w:t>
      </w:r>
      <w:r>
        <w:rPr>
          <w:rFonts w:hint="eastAsia" w:ascii="宋体" w:hAnsi="宋体" w:cs="宋体"/>
          <w:b/>
          <w:szCs w:val="21"/>
        </w:rPr>
        <w:t>商务技术文件</w:t>
      </w:r>
      <w:r>
        <w:rPr>
          <w:rFonts w:hint="eastAsia" w:ascii="仿宋_GB2312" w:hAnsi="仿宋" w:eastAsia="仿宋_GB2312" w:cs="仿宋_GB2312"/>
          <w:b/>
          <w:sz w:val="24"/>
        </w:rPr>
        <w:t>页码。</w:t>
      </w:r>
    </w:p>
    <w:p w14:paraId="297B7DCE">
      <w:pPr>
        <w:snapToGrid w:val="0"/>
        <w:spacing w:line="360" w:lineRule="auto"/>
        <w:rPr>
          <w:rFonts w:ascii="仿宋_GB2312" w:hAnsi="仿宋" w:eastAsia="仿宋_GB2312" w:cs="仿宋_GB2312"/>
          <w:kern w:val="0"/>
          <w:sz w:val="24"/>
          <w:lang w:val="zh-CN"/>
        </w:rPr>
      </w:pPr>
    </w:p>
    <w:p w14:paraId="4DE8892D">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投标人名称(盖公章)：</w:t>
      </w:r>
    </w:p>
    <w:p w14:paraId="56660FD2">
      <w:pPr>
        <w:autoSpaceDE w:val="0"/>
        <w:autoSpaceDN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日期：  年  月   日</w:t>
      </w:r>
    </w:p>
    <w:p w14:paraId="36FAA410">
      <w:pPr>
        <w:snapToGrid w:val="0"/>
        <w:spacing w:before="50" w:after="50"/>
        <w:rPr>
          <w:rFonts w:ascii="宋体" w:hAnsi="宋体"/>
          <w:color w:val="000000"/>
          <w:sz w:val="24"/>
        </w:rPr>
      </w:pPr>
    </w:p>
    <w:p w14:paraId="7C859B1C">
      <w:pPr>
        <w:pStyle w:val="13"/>
        <w:jc w:val="center"/>
        <w:outlineLvl w:val="1"/>
        <w:rPr>
          <w:rFonts w:hAnsi="宋体"/>
          <w:b/>
          <w:bCs/>
          <w:color w:val="000000"/>
          <w:sz w:val="28"/>
          <w:szCs w:val="28"/>
        </w:rPr>
      </w:pPr>
      <w:bookmarkStart w:id="376" w:name="_Toc30951"/>
      <w:bookmarkStart w:id="377" w:name="_Toc1343"/>
      <w:bookmarkStart w:id="378" w:name="_Toc3481"/>
      <w:bookmarkStart w:id="379" w:name="_Toc12675"/>
      <w:bookmarkStart w:id="380" w:name="_Toc22926"/>
      <w:bookmarkStart w:id="381" w:name="_Toc9015"/>
      <w:bookmarkStart w:id="382" w:name="_Toc17719"/>
      <w:bookmarkStart w:id="383" w:name="_Toc12868"/>
      <w:bookmarkStart w:id="384" w:name="_Toc31920"/>
      <w:bookmarkStart w:id="385" w:name="_Toc28617"/>
      <w:r>
        <w:rPr>
          <w:rFonts w:hint="eastAsia" w:hAnsi="宋体"/>
          <w:b/>
          <w:bCs/>
          <w:color w:val="000000"/>
          <w:sz w:val="28"/>
          <w:szCs w:val="28"/>
        </w:rPr>
        <w:t>第三节 报价文件格式</w:t>
      </w:r>
      <w:bookmarkEnd w:id="376"/>
      <w:bookmarkEnd w:id="377"/>
      <w:bookmarkEnd w:id="378"/>
      <w:bookmarkEnd w:id="379"/>
      <w:bookmarkEnd w:id="380"/>
      <w:bookmarkEnd w:id="381"/>
      <w:bookmarkEnd w:id="382"/>
      <w:bookmarkEnd w:id="383"/>
      <w:bookmarkEnd w:id="384"/>
      <w:bookmarkEnd w:id="385"/>
    </w:p>
    <w:p w14:paraId="6E3F0BCD">
      <w:pPr>
        <w:snapToGrid w:val="0"/>
        <w:spacing w:before="120" w:beforeLines="50" w:after="50" w:line="400" w:lineRule="exact"/>
        <w:jc w:val="left"/>
        <w:rPr>
          <w:rFonts w:ascii="宋体" w:hAnsi="宋体"/>
          <w:color w:val="000000"/>
          <w:sz w:val="24"/>
        </w:rPr>
      </w:pPr>
      <w:r>
        <w:rPr>
          <w:rFonts w:hint="eastAsia" w:ascii="宋体" w:hAnsi="宋体"/>
          <w:color w:val="000000"/>
          <w:sz w:val="24"/>
        </w:rPr>
        <w:t xml:space="preserve">  </w:t>
      </w:r>
      <w:r>
        <w:rPr>
          <w:rFonts w:hint="eastAsia" w:ascii="宋体" w:hAnsi="宋体" w:cs="宋体"/>
          <w:b/>
          <w:bCs/>
          <w:sz w:val="28"/>
          <w:szCs w:val="28"/>
        </w:rPr>
        <w:t>1.报价文件封面的格式（参照此格式自拟）：</w:t>
      </w:r>
      <w:r>
        <w:rPr>
          <w:rFonts w:hint="eastAsia" w:ascii="宋体" w:hAnsi="宋体"/>
          <w:color w:val="000000"/>
          <w:sz w:val="24"/>
        </w:rPr>
        <w:t xml:space="preserve">                                </w:t>
      </w:r>
    </w:p>
    <w:p w14:paraId="5CCDC61C">
      <w:pPr>
        <w:snapToGrid w:val="0"/>
        <w:spacing w:before="120" w:beforeLines="50" w:after="50" w:line="400" w:lineRule="exact"/>
        <w:rPr>
          <w:rFonts w:ascii="宋体" w:hAnsi="宋体"/>
          <w:color w:val="000000"/>
          <w:sz w:val="24"/>
        </w:rPr>
      </w:pPr>
    </w:p>
    <w:p w14:paraId="69B7EC94">
      <w:pPr>
        <w:snapToGrid w:val="0"/>
        <w:spacing w:before="120" w:beforeLines="50" w:after="50" w:line="400" w:lineRule="exact"/>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电子版投标文件</w:t>
      </w:r>
    </w:p>
    <w:p w14:paraId="3F60B172">
      <w:pPr>
        <w:snapToGrid w:val="0"/>
        <w:spacing w:before="120" w:beforeLines="50" w:after="50" w:line="400" w:lineRule="exact"/>
        <w:jc w:val="center"/>
        <w:rPr>
          <w:rFonts w:ascii="宋体" w:hAnsi="宋体"/>
          <w:bCs/>
          <w:color w:val="000000"/>
          <w:sz w:val="24"/>
          <w:szCs w:val="20"/>
        </w:rPr>
      </w:pPr>
    </w:p>
    <w:p w14:paraId="7079F4F8">
      <w:pPr>
        <w:snapToGrid w:val="0"/>
        <w:spacing w:before="120" w:beforeLines="50" w:after="50" w:line="400" w:lineRule="exact"/>
        <w:jc w:val="center"/>
        <w:rPr>
          <w:rFonts w:ascii="宋体" w:hAnsi="宋体"/>
          <w:b/>
          <w:bCs/>
          <w:color w:val="000000"/>
          <w:sz w:val="32"/>
          <w:szCs w:val="32"/>
        </w:rPr>
      </w:pPr>
      <w:r>
        <w:rPr>
          <w:rFonts w:hint="eastAsia" w:ascii="宋体" w:hAnsi="宋体"/>
          <w:b/>
          <w:bCs/>
          <w:color w:val="000000"/>
          <w:sz w:val="32"/>
          <w:szCs w:val="32"/>
        </w:rPr>
        <w:t>报价文件</w:t>
      </w:r>
    </w:p>
    <w:p w14:paraId="0A279F22">
      <w:pPr>
        <w:snapToGrid w:val="0"/>
        <w:spacing w:before="120" w:beforeLines="50" w:after="50" w:line="400" w:lineRule="exact"/>
        <w:rPr>
          <w:rFonts w:ascii="宋体" w:hAnsi="宋体"/>
          <w:bCs/>
          <w:color w:val="000000"/>
          <w:sz w:val="24"/>
          <w:szCs w:val="20"/>
        </w:rPr>
      </w:pPr>
    </w:p>
    <w:p w14:paraId="2ECE179D">
      <w:pPr>
        <w:snapToGrid w:val="0"/>
        <w:spacing w:before="120" w:beforeLines="50" w:after="50" w:line="400" w:lineRule="exact"/>
        <w:rPr>
          <w:rFonts w:ascii="宋体" w:hAnsi="宋体"/>
          <w:bCs/>
          <w:color w:val="000000"/>
          <w:sz w:val="24"/>
          <w:szCs w:val="20"/>
        </w:rPr>
      </w:pPr>
    </w:p>
    <w:p w14:paraId="057E6F12">
      <w:pPr>
        <w:snapToGrid w:val="0"/>
        <w:spacing w:before="120" w:beforeLines="50" w:after="50" w:line="400" w:lineRule="exact"/>
        <w:rPr>
          <w:rFonts w:ascii="宋体" w:hAnsi="宋体"/>
          <w:bCs/>
          <w:color w:val="000000"/>
          <w:sz w:val="24"/>
          <w:szCs w:val="20"/>
        </w:rPr>
      </w:pPr>
    </w:p>
    <w:p w14:paraId="0EA6D6E9">
      <w:pPr>
        <w:snapToGrid w:val="0"/>
        <w:spacing w:before="120" w:beforeLines="50" w:after="50" w:line="400" w:lineRule="exact"/>
        <w:rPr>
          <w:rFonts w:ascii="宋体" w:hAnsi="宋体"/>
          <w:bCs/>
          <w:color w:val="000000"/>
          <w:sz w:val="24"/>
          <w:szCs w:val="20"/>
        </w:rPr>
      </w:pPr>
    </w:p>
    <w:p w14:paraId="7E3B89CE">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 xml:space="preserve">项目名称： </w:t>
      </w:r>
    </w:p>
    <w:p w14:paraId="360D57A5">
      <w:pPr>
        <w:snapToGrid w:val="0"/>
        <w:spacing w:before="120" w:beforeLines="50" w:after="50" w:line="400" w:lineRule="exact"/>
        <w:ind w:firstLine="360" w:firstLineChars="150"/>
        <w:rPr>
          <w:rFonts w:ascii="宋体" w:hAnsi="宋体"/>
          <w:bCs/>
          <w:color w:val="000000"/>
          <w:sz w:val="24"/>
        </w:rPr>
      </w:pPr>
    </w:p>
    <w:p w14:paraId="67A3C878">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 xml:space="preserve">项目编号： </w:t>
      </w:r>
    </w:p>
    <w:p w14:paraId="52A8C092">
      <w:pPr>
        <w:snapToGrid w:val="0"/>
        <w:spacing w:before="120" w:beforeLines="50" w:after="50" w:line="400" w:lineRule="exact"/>
        <w:ind w:firstLine="360" w:firstLineChars="150"/>
        <w:rPr>
          <w:rFonts w:ascii="宋体" w:hAnsi="宋体"/>
          <w:bCs/>
          <w:color w:val="000000"/>
          <w:sz w:val="24"/>
        </w:rPr>
      </w:pPr>
    </w:p>
    <w:p w14:paraId="5EB661E5">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所投分标（如有则填写，无分标时填写“无”或者留空）：</w:t>
      </w:r>
    </w:p>
    <w:p w14:paraId="690D90FA">
      <w:pPr>
        <w:snapToGrid w:val="0"/>
        <w:spacing w:before="120" w:beforeLines="50" w:after="50" w:line="400" w:lineRule="exact"/>
        <w:ind w:firstLine="360" w:firstLineChars="150"/>
        <w:rPr>
          <w:rFonts w:ascii="宋体" w:hAnsi="宋体"/>
          <w:bCs/>
          <w:color w:val="000000"/>
          <w:sz w:val="24"/>
        </w:rPr>
      </w:pPr>
    </w:p>
    <w:p w14:paraId="35F81D4B">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投标人名称：</w:t>
      </w:r>
    </w:p>
    <w:p w14:paraId="48C391AB">
      <w:pPr>
        <w:snapToGrid w:val="0"/>
        <w:spacing w:before="120" w:beforeLines="50" w:after="50" w:line="400" w:lineRule="exact"/>
        <w:ind w:firstLine="360" w:firstLineChars="150"/>
        <w:rPr>
          <w:rFonts w:ascii="宋体" w:hAnsi="宋体"/>
          <w:bCs/>
          <w:color w:val="000000"/>
          <w:sz w:val="24"/>
        </w:rPr>
      </w:pPr>
    </w:p>
    <w:p w14:paraId="74AC76E4">
      <w:pPr>
        <w:pStyle w:val="6"/>
        <w:snapToGrid w:val="0"/>
        <w:spacing w:before="50" w:after="50" w:line="400" w:lineRule="exact"/>
        <w:ind w:firstLine="960" w:firstLineChars="400"/>
        <w:rPr>
          <w:rFonts w:ascii="宋体" w:hAnsi="宋体"/>
          <w:bCs/>
          <w:color w:val="000000"/>
          <w:sz w:val="24"/>
          <w:szCs w:val="24"/>
        </w:rPr>
      </w:pPr>
    </w:p>
    <w:p w14:paraId="52E66B0E">
      <w:pPr>
        <w:snapToGrid w:val="0"/>
        <w:spacing w:before="120" w:beforeLines="50" w:after="50" w:line="400" w:lineRule="exact"/>
        <w:rPr>
          <w:rFonts w:ascii="宋体" w:hAnsi="宋体"/>
          <w:color w:val="000000"/>
          <w:sz w:val="24"/>
        </w:rPr>
      </w:pPr>
      <w:r>
        <w:rPr>
          <w:rFonts w:hint="eastAsia" w:ascii="宋体" w:hAnsi="宋体"/>
          <w:color w:val="000000"/>
          <w:sz w:val="24"/>
        </w:rPr>
        <w:t xml:space="preserve">                                                     </w:t>
      </w:r>
    </w:p>
    <w:p w14:paraId="38663C2D">
      <w:pPr>
        <w:snapToGrid w:val="0"/>
        <w:spacing w:before="120" w:beforeLines="50" w:after="50" w:line="400" w:lineRule="exact"/>
        <w:ind w:firstLine="3120" w:firstLineChars="1300"/>
        <w:rPr>
          <w:rFonts w:ascii="宋体" w:hAnsi="宋体"/>
          <w:color w:val="000000"/>
          <w:sz w:val="24"/>
        </w:rPr>
      </w:pPr>
    </w:p>
    <w:p w14:paraId="6B3F13CA">
      <w:pPr>
        <w:snapToGrid w:val="0"/>
        <w:spacing w:before="120" w:beforeLines="50" w:after="50" w:line="400" w:lineRule="exact"/>
        <w:ind w:firstLine="4320" w:firstLineChars="1800"/>
        <w:rPr>
          <w:rFonts w:ascii="宋体" w:hAnsi="宋体"/>
          <w:color w:val="000000"/>
          <w:sz w:val="24"/>
        </w:rPr>
      </w:pPr>
      <w:r>
        <w:rPr>
          <w:rFonts w:hint="eastAsia" w:ascii="宋体" w:hAnsi="宋体"/>
          <w:color w:val="000000"/>
          <w:sz w:val="24"/>
        </w:rPr>
        <w:t xml:space="preserve">  年  月  日</w:t>
      </w:r>
    </w:p>
    <w:p w14:paraId="738EDA87">
      <w:pPr>
        <w:widowControl/>
        <w:jc w:val="left"/>
        <w:rPr>
          <w:rFonts w:ascii="宋体" w:hAnsi="宋体"/>
          <w:color w:val="000000"/>
          <w:sz w:val="24"/>
        </w:rPr>
        <w:sectPr>
          <w:pgSz w:w="11905" w:h="16838"/>
          <w:pgMar w:top="1134" w:right="1134" w:bottom="1134" w:left="1134" w:header="850" w:footer="850" w:gutter="0"/>
          <w:cols w:space="0" w:num="1"/>
          <w:titlePg/>
          <w:docGrid w:linePitch="331" w:charSpace="0"/>
        </w:sectPr>
      </w:pPr>
    </w:p>
    <w:p w14:paraId="3BEC51E4">
      <w:pPr>
        <w:snapToGrid w:val="0"/>
        <w:spacing w:before="120" w:beforeLines="50" w:after="50" w:line="360" w:lineRule="auto"/>
        <w:jc w:val="left"/>
        <w:rPr>
          <w:rFonts w:ascii="宋体" w:hAnsi="宋体" w:cs="宋体"/>
          <w:color w:val="000000"/>
          <w:sz w:val="28"/>
          <w:szCs w:val="28"/>
        </w:rPr>
      </w:pPr>
      <w:r>
        <w:rPr>
          <w:rFonts w:hint="eastAsia" w:ascii="宋体" w:hAnsi="宋体" w:cs="宋体"/>
          <w:b/>
          <w:color w:val="000000"/>
          <w:sz w:val="28"/>
          <w:szCs w:val="28"/>
        </w:rPr>
        <w:t>2.</w:t>
      </w:r>
      <w:r>
        <w:rPr>
          <w:rFonts w:hint="eastAsia" w:ascii="宋体" w:hAnsi="宋体" w:cs="宋体"/>
          <w:b/>
          <w:bCs/>
          <w:color w:val="000000"/>
          <w:sz w:val="28"/>
          <w:szCs w:val="28"/>
        </w:rPr>
        <w:t>报价文件目录</w:t>
      </w:r>
    </w:p>
    <w:p w14:paraId="7B2B2878">
      <w:pPr>
        <w:snapToGrid w:val="0"/>
        <w:spacing w:before="50" w:after="120" w:afterLines="50" w:line="360" w:lineRule="auto"/>
        <w:jc w:val="left"/>
        <w:rPr>
          <w:rFonts w:ascii="宋体" w:hAnsi="宋体" w:cs="宋体"/>
          <w:b/>
          <w:color w:val="000000"/>
          <w:sz w:val="28"/>
          <w:szCs w:val="28"/>
        </w:rPr>
      </w:pPr>
      <w:r>
        <w:rPr>
          <w:rFonts w:hint="eastAsia" w:ascii="宋体" w:hAnsi="宋体" w:cs="宋体"/>
          <w:color w:val="000000"/>
          <w:sz w:val="28"/>
          <w:szCs w:val="28"/>
        </w:rPr>
        <w:t>根据招标文件规定及投标人提供的材料自行编写目录</w:t>
      </w:r>
      <w:r>
        <w:rPr>
          <w:rFonts w:hint="eastAsia" w:ascii="宋体" w:hAnsi="宋体" w:cs="宋体"/>
          <w:kern w:val="0"/>
          <w:sz w:val="28"/>
          <w:szCs w:val="28"/>
        </w:rPr>
        <w:t>（部分格式后附）</w:t>
      </w:r>
      <w:r>
        <w:rPr>
          <w:rFonts w:hint="eastAsia" w:ascii="宋体" w:hAnsi="宋体" w:cs="宋体"/>
          <w:color w:val="000000"/>
          <w:sz w:val="28"/>
          <w:szCs w:val="28"/>
        </w:rPr>
        <w:t>。</w:t>
      </w:r>
    </w:p>
    <w:p w14:paraId="0CA28214">
      <w:pPr>
        <w:spacing w:line="500" w:lineRule="exact"/>
        <w:jc w:val="center"/>
        <w:rPr>
          <w:b/>
          <w:bCs/>
          <w:sz w:val="30"/>
          <w:szCs w:val="30"/>
        </w:rPr>
      </w:pPr>
      <w:r>
        <w:rPr>
          <w:rFonts w:hint="eastAsia"/>
          <w:b/>
          <w:bCs/>
          <w:sz w:val="30"/>
          <w:szCs w:val="30"/>
        </w:rPr>
        <w:br w:type="page"/>
      </w:r>
    </w:p>
    <w:p w14:paraId="0672CDA7">
      <w:pPr>
        <w:pStyle w:val="13"/>
        <w:spacing w:line="500" w:lineRule="exact"/>
        <w:jc w:val="left"/>
        <w:rPr>
          <w:rFonts w:ascii="Times New Roman" w:hAnsi="Times New Roman"/>
          <w:b/>
          <w:bCs/>
          <w:sz w:val="30"/>
          <w:szCs w:val="30"/>
        </w:rPr>
      </w:pPr>
      <w:r>
        <w:rPr>
          <w:rFonts w:hint="eastAsia" w:hAnsi="宋体" w:cs="宋体"/>
          <w:b/>
          <w:bCs/>
          <w:sz w:val="28"/>
          <w:szCs w:val="28"/>
        </w:rPr>
        <w:t>3.投标函的格式：</w:t>
      </w:r>
    </w:p>
    <w:p w14:paraId="197E17A7">
      <w:pPr>
        <w:pStyle w:val="13"/>
        <w:spacing w:line="500" w:lineRule="exact"/>
        <w:jc w:val="center"/>
        <w:rPr>
          <w:rFonts w:ascii="Times New Roman" w:hAnsi="Times New Roman"/>
          <w:b/>
          <w:bCs/>
          <w:sz w:val="30"/>
          <w:szCs w:val="30"/>
        </w:rPr>
      </w:pPr>
      <w:r>
        <w:rPr>
          <w:rFonts w:hint="eastAsia" w:ascii="Times New Roman" w:hAnsi="Times New Roman"/>
          <w:b/>
          <w:bCs/>
          <w:sz w:val="30"/>
          <w:szCs w:val="30"/>
        </w:rPr>
        <w:t>投标函</w:t>
      </w:r>
    </w:p>
    <w:p w14:paraId="237916AA">
      <w:pPr>
        <w:pStyle w:val="13"/>
        <w:spacing w:line="440" w:lineRule="exact"/>
        <w:ind w:firstLine="420" w:firstLineChars="200"/>
        <w:rPr>
          <w:rFonts w:ascii="Times New Roman" w:hAnsi="Times New Roman"/>
        </w:rPr>
      </w:pPr>
    </w:p>
    <w:p w14:paraId="3F8EAA34">
      <w:pPr>
        <w:pStyle w:val="13"/>
        <w:spacing w:line="440" w:lineRule="exact"/>
        <w:ind w:firstLine="420" w:firstLineChars="200"/>
        <w:rPr>
          <w:rFonts w:ascii="Times New Roman" w:hAnsi="Times New Roman"/>
        </w:rPr>
      </w:pPr>
      <w:r>
        <w:rPr>
          <w:rFonts w:hint="eastAsia" w:ascii="Times New Roman" w:hAnsi="Times New Roman"/>
        </w:rPr>
        <w:t>致：</w:t>
      </w:r>
      <w:bookmarkStart w:id="386" w:name="PO_3000001866_PM031_4"/>
      <w:r>
        <w:rPr>
          <w:rFonts w:hint="eastAsia" w:ascii="Times New Roman" w:hAnsi="Times New Roman"/>
          <w:u w:val="single"/>
        </w:rPr>
        <w:t>广西科联招标中心有限公司</w:t>
      </w:r>
      <w:bookmarkEnd w:id="386"/>
    </w:p>
    <w:p w14:paraId="4C2157CA">
      <w:pPr>
        <w:pStyle w:val="13"/>
        <w:spacing w:line="440" w:lineRule="exact"/>
        <w:ind w:firstLine="420" w:firstLineChars="200"/>
      </w:pPr>
      <w:r>
        <w:rPr>
          <w:rFonts w:hint="eastAsia"/>
        </w:rPr>
        <w:t>我方已仔细阅读了贵方组织的</w:t>
      </w:r>
      <w:r>
        <w:rPr>
          <w:rFonts w:hint="eastAsia" w:hAnsi="宋体" w:cs="宋体"/>
          <w:i/>
          <w:iCs/>
          <w:u w:val="single"/>
        </w:rPr>
        <w:t>（项目名称）</w:t>
      </w:r>
      <w:r>
        <w:rPr>
          <w:rFonts w:ascii="Times New Roman" w:hAnsi="Times New Roman"/>
          <w:u w:val="single"/>
        </w:rPr>
        <w:t xml:space="preserve"> </w:t>
      </w:r>
      <w:r>
        <w:rPr>
          <w:rFonts w:hint="eastAsia"/>
        </w:rPr>
        <w:t>项目（项目编号：</w:t>
      </w:r>
      <w:r>
        <w:rPr>
          <w:rFonts w:hint="eastAsia"/>
          <w:u w:val="single"/>
        </w:rPr>
        <w:t xml:space="preserve">        </w:t>
      </w:r>
      <w:r>
        <w:rPr>
          <w:rFonts w:hint="eastAsia"/>
        </w:rPr>
        <w:t>）的招标文件的全部内容，授权</w:t>
      </w:r>
      <w:r>
        <w:rPr>
          <w:rFonts w:ascii="Times New Roman" w:hAnsi="Times New Roman"/>
          <w:u w:val="single"/>
        </w:rPr>
        <w:t xml:space="preserve">                      </w:t>
      </w:r>
      <w:r>
        <w:rPr>
          <w:rFonts w:hint="eastAsia"/>
        </w:rPr>
        <w:t>(全权代表姓名)</w:t>
      </w:r>
      <w:r>
        <w:rPr>
          <w:rFonts w:ascii="Times New Roman" w:hAnsi="Times New Roman"/>
          <w:u w:val="single"/>
        </w:rPr>
        <w:t xml:space="preserve">          </w:t>
      </w:r>
      <w:r>
        <w:rPr>
          <w:rFonts w:hint="eastAsia"/>
        </w:rPr>
        <w:t xml:space="preserve"> (职务、职称)为全权代表，现正式提交下述文件参加贵方组织的本次政府采购活动： </w:t>
      </w:r>
    </w:p>
    <w:p w14:paraId="17E2D914">
      <w:pPr>
        <w:pStyle w:val="13"/>
        <w:spacing w:line="440" w:lineRule="exact"/>
        <w:ind w:firstLine="420" w:firstLineChars="200"/>
      </w:pPr>
      <w:r>
        <w:rPr>
          <w:rFonts w:hint="eastAsia"/>
        </w:rPr>
        <w:t>一、报价文件电子版（包含按投标人须知前附表要求提交的全部文件）；</w:t>
      </w:r>
    </w:p>
    <w:p w14:paraId="6B297CB9">
      <w:pPr>
        <w:pStyle w:val="13"/>
        <w:spacing w:line="440" w:lineRule="exact"/>
        <w:ind w:firstLine="482"/>
      </w:pPr>
      <w:r>
        <w:rPr>
          <w:rFonts w:hint="eastAsia"/>
        </w:rPr>
        <w:t>二、资格文件电子版（包含按投标人须知前附表要求提交的全部文件）；</w:t>
      </w:r>
    </w:p>
    <w:p w14:paraId="5B285E39">
      <w:pPr>
        <w:pStyle w:val="13"/>
        <w:spacing w:line="440" w:lineRule="exact"/>
        <w:ind w:firstLine="482"/>
      </w:pPr>
      <w:r>
        <w:rPr>
          <w:rFonts w:hint="eastAsia"/>
        </w:rPr>
        <w:t>三、</w:t>
      </w:r>
      <w:r>
        <w:rPr>
          <w:rFonts w:hint="eastAsia" w:hAnsi="宋体"/>
        </w:rPr>
        <w:t>商务技术文件</w:t>
      </w:r>
      <w:r>
        <w:rPr>
          <w:rFonts w:hint="eastAsia"/>
        </w:rPr>
        <w:t>电子版（包含按投标人须知前附表要求提交的全部文件）；</w:t>
      </w:r>
    </w:p>
    <w:p w14:paraId="69D64B9F">
      <w:pPr>
        <w:pStyle w:val="13"/>
        <w:spacing w:line="440" w:lineRule="exact"/>
        <w:ind w:firstLine="482"/>
        <w:rPr>
          <w:rFonts w:ascii="Times New Roman" w:hAnsi="Times New Roman"/>
        </w:rPr>
      </w:pPr>
      <w:r>
        <w:rPr>
          <w:rFonts w:hint="eastAsia"/>
        </w:rPr>
        <w:t>据此函，我方</w:t>
      </w:r>
      <w:r>
        <w:t>兹</w:t>
      </w:r>
      <w:r>
        <w:rPr>
          <w:rFonts w:hint="eastAsia"/>
        </w:rPr>
        <w:t>宣布：</w:t>
      </w:r>
    </w:p>
    <w:p w14:paraId="62BDA733">
      <w:pPr>
        <w:pStyle w:val="13"/>
        <w:spacing w:line="440" w:lineRule="exact"/>
        <w:ind w:firstLine="420" w:firstLineChars="200"/>
        <w:rPr>
          <w:rFonts w:ascii="Times New Roman" w:hAnsi="Times New Roman"/>
        </w:rPr>
      </w:pPr>
      <w:r>
        <w:rPr>
          <w:rFonts w:hint="eastAsia"/>
        </w:rPr>
        <w:t>1、我方愿意以开标一览表中的投标总报价，提供本项目招标文件“第二章  采购需求”相应的采购内容</w:t>
      </w:r>
      <w:r>
        <w:rPr>
          <w:rFonts w:hint="eastAsia" w:hAnsi="宋体" w:cs="宋体"/>
        </w:rPr>
        <w:t>，具体详见开标一览表</w:t>
      </w:r>
      <w:r>
        <w:rPr>
          <w:rFonts w:hint="eastAsia"/>
        </w:rPr>
        <w:t>。</w:t>
      </w:r>
    </w:p>
    <w:p w14:paraId="65DD7F9A">
      <w:pPr>
        <w:pStyle w:val="13"/>
        <w:spacing w:line="360" w:lineRule="exact"/>
        <w:ind w:firstLine="420" w:firstLineChars="200"/>
        <w:rPr>
          <w:u w:val="single"/>
        </w:rPr>
      </w:pPr>
      <w:r>
        <w:rPr>
          <w:rFonts w:hint="eastAsia"/>
        </w:rPr>
        <w:t>2、我方同意自本项目招标文件“第三章 投标人须知”第一节 投标人须知前附表 第21.1项规定的投标截止时间（开标时间）起遵循</w:t>
      </w:r>
      <w:r>
        <w:rPr>
          <w:rFonts w:hint="eastAsia" w:hAnsi="宋体"/>
        </w:rPr>
        <w:t>本投标函</w:t>
      </w:r>
      <w:r>
        <w:rPr>
          <w:rFonts w:hint="eastAsia"/>
        </w:rPr>
        <w:t>，并承诺在“投标人须知前附表”第17.2项规定的投标有效期内不修改、撤销投标文件。</w:t>
      </w:r>
    </w:p>
    <w:p w14:paraId="05604DFB">
      <w:pPr>
        <w:pStyle w:val="13"/>
        <w:spacing w:line="360" w:lineRule="exact"/>
        <w:ind w:firstLine="420" w:firstLineChars="200"/>
        <w:rPr>
          <w:u w:val="single"/>
        </w:rPr>
      </w:pPr>
      <w:r>
        <w:rPr>
          <w:rFonts w:hint="eastAsia"/>
        </w:rPr>
        <w:t>3、我方所提交的投标文件及有关资料都是内容完整、真实和准确的。</w:t>
      </w:r>
    </w:p>
    <w:p w14:paraId="70BD4E05">
      <w:pPr>
        <w:pStyle w:val="13"/>
        <w:spacing w:line="440" w:lineRule="exact"/>
        <w:ind w:firstLine="420" w:firstLineChars="200"/>
      </w:pPr>
      <w:r>
        <w:rPr>
          <w:rFonts w:hint="eastAsia"/>
        </w:rPr>
        <w:t>4、</w:t>
      </w:r>
      <w:r>
        <w:rPr>
          <w:rFonts w:hint="eastAsia"/>
          <w:szCs w:val="21"/>
        </w:rPr>
        <w:t>如本项目采购内容涉及须符合国家强制规定的，我方承诺我方本次投标（包括资格条件和所投产品）均符合国家有关强制规定。</w:t>
      </w:r>
    </w:p>
    <w:p w14:paraId="364605B8">
      <w:pPr>
        <w:pStyle w:val="13"/>
        <w:spacing w:line="440" w:lineRule="exact"/>
        <w:ind w:firstLine="420" w:firstLineChars="200"/>
      </w:pPr>
      <w:r>
        <w:rPr>
          <w:rFonts w:hint="eastAsia"/>
        </w:rPr>
        <w:t>5、如我方中标，我方承诺在收到中标通知书后，在中标通知书规定的期限内，</w:t>
      </w:r>
      <w:r>
        <w:rPr>
          <w:rFonts w:hint="eastAsia" w:hAnsi="宋体"/>
        </w:rPr>
        <w:t>根据招标文件、我方的投标文件及有关澄清承诺书的要求按第五章“拟签订的合同文本”与采购人订立书面合同，并按照合同约定</w:t>
      </w:r>
      <w:r>
        <w:rPr>
          <w:rFonts w:hint="eastAsia"/>
        </w:rPr>
        <w:t>承担完成合同的责任和义务。</w:t>
      </w:r>
    </w:p>
    <w:p w14:paraId="38947C9A">
      <w:pPr>
        <w:pStyle w:val="13"/>
        <w:spacing w:line="440" w:lineRule="exact"/>
        <w:ind w:firstLine="420" w:firstLineChars="200"/>
      </w:pPr>
      <w:r>
        <w:rPr>
          <w:rFonts w:hint="eastAsia"/>
        </w:rPr>
        <w:t>6、我方已详细审核招标文件，我方知道必须放弃提出含糊不清或误解问题的权利。</w:t>
      </w:r>
    </w:p>
    <w:p w14:paraId="44621297">
      <w:pPr>
        <w:pStyle w:val="13"/>
        <w:spacing w:line="440" w:lineRule="exact"/>
        <w:ind w:firstLine="420" w:firstLineChars="200"/>
      </w:pPr>
      <w:r>
        <w:rPr>
          <w:rFonts w:hint="eastAsia"/>
        </w:rPr>
        <w:t>7、我方同意应贵方要求提供与本投标有关的任何数据或资料。若贵方需要，我方愿意提供我方作出的一切承诺的证明材料。</w:t>
      </w:r>
    </w:p>
    <w:p w14:paraId="14CD9ACD">
      <w:pPr>
        <w:pStyle w:val="13"/>
        <w:spacing w:line="440" w:lineRule="exact"/>
        <w:ind w:firstLine="420" w:firstLineChars="200"/>
      </w:pPr>
      <w:r>
        <w:rPr>
          <w:rFonts w:hint="eastAsia"/>
        </w:rPr>
        <w:t>8、我方完全理解贵方不一定接受投标报价最低的投标人为中标人的行为。</w:t>
      </w:r>
    </w:p>
    <w:p w14:paraId="0E9F7BA0">
      <w:pPr>
        <w:pStyle w:val="13"/>
        <w:spacing w:line="440" w:lineRule="exact"/>
        <w:ind w:firstLine="420" w:firstLineChars="200"/>
      </w:pPr>
      <w:r>
        <w:rPr>
          <w:rFonts w:hint="eastAsia"/>
        </w:rPr>
        <w:t>9、我方将严格遵守《中华人民共和国政府采购法》第七十七条的规定，即供应商有下列情形之一的，处以采购金额千分之五以上千分之十</w:t>
      </w:r>
      <w:r>
        <w:rPr>
          <w:rFonts w:hint="eastAsia" w:hAnsi="宋体"/>
        </w:rPr>
        <w:t>以下的罚款，列入不良行为记录名单，在一至三年内禁止参加政府采购活动，有违法所得的，并处没收违法所得，情节严重的，由工商行政管理机关吊销营业执照；构成犯罪的，依法追究刑事责任：</w:t>
      </w:r>
    </w:p>
    <w:p w14:paraId="28102B3E">
      <w:pPr>
        <w:pStyle w:val="13"/>
        <w:numPr>
          <w:ilvl w:val="0"/>
          <w:numId w:val="3"/>
        </w:numPr>
        <w:spacing w:line="440" w:lineRule="exact"/>
        <w:rPr>
          <w:rFonts w:hAnsi="宋体"/>
        </w:rPr>
      </w:pPr>
      <w:r>
        <w:rPr>
          <w:rFonts w:hint="eastAsia" w:hAnsi="宋体"/>
        </w:rPr>
        <w:t>提供虚假材料谋取中标、成交的；</w:t>
      </w:r>
    </w:p>
    <w:p w14:paraId="70CF8D0C">
      <w:pPr>
        <w:pStyle w:val="13"/>
        <w:numPr>
          <w:ilvl w:val="0"/>
          <w:numId w:val="3"/>
        </w:numPr>
        <w:spacing w:line="440" w:lineRule="exact"/>
        <w:rPr>
          <w:rFonts w:hAnsi="宋体"/>
        </w:rPr>
      </w:pPr>
      <w:r>
        <w:rPr>
          <w:rFonts w:hint="eastAsia" w:hAnsi="宋体"/>
        </w:rPr>
        <w:t>采取不正当手段诋毁、排挤其他供应商的；</w:t>
      </w:r>
    </w:p>
    <w:p w14:paraId="23028C16">
      <w:pPr>
        <w:pStyle w:val="13"/>
        <w:numPr>
          <w:ilvl w:val="0"/>
          <w:numId w:val="3"/>
        </w:numPr>
        <w:spacing w:line="440" w:lineRule="exact"/>
      </w:pPr>
      <w:r>
        <w:rPr>
          <w:rFonts w:hint="eastAsia" w:hAnsi="宋体"/>
        </w:rPr>
        <w:t>与采购人、其他供应商或者采购代理机构恶意串通的；</w:t>
      </w:r>
    </w:p>
    <w:p w14:paraId="37FE5EDF">
      <w:pPr>
        <w:pStyle w:val="13"/>
        <w:numPr>
          <w:ilvl w:val="0"/>
          <w:numId w:val="3"/>
        </w:numPr>
        <w:spacing w:line="440" w:lineRule="exact"/>
      </w:pPr>
      <w:r>
        <w:rPr>
          <w:rFonts w:hint="eastAsia" w:hAnsi="宋体"/>
        </w:rPr>
        <w:t>向采购人、采购代理机构行贿或者提供其他不正当利益的；</w:t>
      </w:r>
    </w:p>
    <w:p w14:paraId="3A2B2AF1">
      <w:pPr>
        <w:pStyle w:val="13"/>
        <w:numPr>
          <w:ilvl w:val="0"/>
          <w:numId w:val="3"/>
        </w:numPr>
        <w:spacing w:line="440" w:lineRule="exact"/>
      </w:pPr>
      <w:r>
        <w:rPr>
          <w:rFonts w:hint="eastAsia" w:hAnsi="宋体"/>
        </w:rPr>
        <w:t>在招标采购过程中与采购人进行协商谈判的；</w:t>
      </w:r>
    </w:p>
    <w:p w14:paraId="0B2643B7">
      <w:pPr>
        <w:pStyle w:val="13"/>
        <w:numPr>
          <w:ilvl w:val="0"/>
          <w:numId w:val="3"/>
        </w:numPr>
        <w:spacing w:line="440" w:lineRule="exact"/>
      </w:pPr>
      <w:r>
        <w:rPr>
          <w:rFonts w:hint="eastAsia" w:hAnsi="宋体"/>
        </w:rPr>
        <w:t>拒绝有关部门监督检查或提供虚假情况的。</w:t>
      </w:r>
    </w:p>
    <w:p w14:paraId="6E1BD3C1">
      <w:pPr>
        <w:pStyle w:val="13"/>
        <w:spacing w:line="360" w:lineRule="auto"/>
        <w:ind w:firstLine="420"/>
        <w:rPr>
          <w:color w:val="000000"/>
        </w:rPr>
      </w:pPr>
      <w:r>
        <w:rPr>
          <w:rFonts w:hint="eastAsia"/>
          <w:color w:val="000000"/>
        </w:rPr>
        <w:t>10、以上事项如有虚假或者隐瞒，我方愿意承担一切后果，并不再寻求任何旨在减轻或者免除法律责任的辩解。</w:t>
      </w:r>
    </w:p>
    <w:p w14:paraId="74B5ECB1">
      <w:pPr>
        <w:pStyle w:val="13"/>
        <w:spacing w:line="360" w:lineRule="auto"/>
        <w:ind w:firstLine="420"/>
        <w:rPr>
          <w:color w:val="000000"/>
        </w:rPr>
      </w:pPr>
      <w:r>
        <w:rPr>
          <w:rFonts w:hint="eastAsia"/>
          <w:color w:val="000000"/>
        </w:rPr>
        <w:t>11、与本投标有关的一切正式往来信函请寄：</w:t>
      </w:r>
    </w:p>
    <w:p w14:paraId="4B1FB4E4">
      <w:pPr>
        <w:pStyle w:val="13"/>
        <w:spacing w:line="360" w:lineRule="auto"/>
        <w:ind w:firstLine="420"/>
      </w:pPr>
      <w:r>
        <w:rPr>
          <w:rFonts w:hint="eastAsia"/>
        </w:rPr>
        <w:t>地址：</w:t>
      </w:r>
      <w:r>
        <w:rPr>
          <w:rFonts w:hint="eastAsia"/>
          <w:u w:val="single"/>
        </w:rPr>
        <w:t xml:space="preserve">                                                        </w:t>
      </w:r>
      <w:r>
        <w:rPr>
          <w:rFonts w:hint="eastAsia"/>
        </w:rPr>
        <w:t xml:space="preserve"> </w:t>
      </w:r>
    </w:p>
    <w:p w14:paraId="1AE8A5E2">
      <w:pPr>
        <w:pStyle w:val="13"/>
        <w:spacing w:line="360" w:lineRule="auto"/>
        <w:ind w:firstLine="420"/>
        <w:rPr>
          <w:u w:val="single"/>
        </w:rPr>
      </w:pPr>
      <w:r>
        <w:rPr>
          <w:rFonts w:hint="eastAsia"/>
        </w:rPr>
        <w:t>电话：</w:t>
      </w:r>
      <w:r>
        <w:rPr>
          <w:rFonts w:hint="eastAsia"/>
          <w:u w:val="single"/>
        </w:rPr>
        <w:t xml:space="preserve">                                      　　　　　　　　　</w:t>
      </w:r>
    </w:p>
    <w:p w14:paraId="1BEB5895">
      <w:pPr>
        <w:pStyle w:val="13"/>
        <w:spacing w:line="360" w:lineRule="auto"/>
        <w:ind w:firstLine="420"/>
        <w:rPr>
          <w:u w:val="single"/>
        </w:rPr>
      </w:pPr>
      <w:r>
        <w:rPr>
          <w:rFonts w:hint="eastAsia"/>
        </w:rPr>
        <w:t>传真：</w:t>
      </w:r>
      <w:r>
        <w:rPr>
          <w:rFonts w:hint="eastAsia"/>
          <w:u w:val="single"/>
        </w:rPr>
        <w:t>　　　　　　　　　　　　　　　　　　　　　　　　　　　　</w:t>
      </w:r>
    </w:p>
    <w:p w14:paraId="354C7784">
      <w:pPr>
        <w:pStyle w:val="7"/>
        <w:spacing w:line="360" w:lineRule="auto"/>
        <w:ind w:left="0" w:firstLine="420" w:firstLineChars="200"/>
      </w:pPr>
      <w:r>
        <w:rPr>
          <w:rFonts w:hint="eastAsia"/>
        </w:rPr>
        <w:t>电子邮箱：</w:t>
      </w:r>
      <w:r>
        <w:rPr>
          <w:rFonts w:hint="eastAsia"/>
          <w:u w:val="single"/>
        </w:rPr>
        <w:t>　　　　　　　　　　　　　　　　　　　　　　　　　　</w:t>
      </w:r>
    </w:p>
    <w:p w14:paraId="48379084">
      <w:pPr>
        <w:pStyle w:val="13"/>
        <w:spacing w:line="360" w:lineRule="auto"/>
        <w:ind w:firstLine="420"/>
        <w:rPr>
          <w:u w:val="single"/>
        </w:rPr>
      </w:pPr>
      <w:r>
        <w:rPr>
          <w:rFonts w:hint="eastAsia"/>
        </w:rPr>
        <w:t>邮政编码：</w:t>
      </w:r>
      <w:r>
        <w:rPr>
          <w:rFonts w:hint="eastAsia"/>
          <w:u w:val="single"/>
        </w:rPr>
        <w:t xml:space="preserve">                                                    </w:t>
      </w:r>
    </w:p>
    <w:p w14:paraId="142E8782">
      <w:pPr>
        <w:pStyle w:val="13"/>
        <w:spacing w:line="360" w:lineRule="auto"/>
        <w:ind w:firstLine="420"/>
        <w:rPr>
          <w:u w:val="single"/>
        </w:rPr>
      </w:pPr>
      <w:r>
        <w:rPr>
          <w:rFonts w:hint="eastAsia"/>
        </w:rPr>
        <w:t>开户名称：</w:t>
      </w:r>
      <w:r>
        <w:rPr>
          <w:rFonts w:hint="eastAsia"/>
          <w:u w:val="single"/>
        </w:rPr>
        <w:t xml:space="preserve">                                                    </w:t>
      </w:r>
    </w:p>
    <w:p w14:paraId="021B1E81">
      <w:pPr>
        <w:pStyle w:val="13"/>
        <w:spacing w:line="360" w:lineRule="auto"/>
        <w:ind w:firstLine="420"/>
        <w:rPr>
          <w:u w:val="single"/>
        </w:rPr>
      </w:pPr>
      <w:r>
        <w:rPr>
          <w:rFonts w:hint="eastAsia"/>
        </w:rPr>
        <w:t>开户银行：</w:t>
      </w:r>
      <w:r>
        <w:rPr>
          <w:rFonts w:hint="eastAsia"/>
          <w:u w:val="single"/>
        </w:rPr>
        <w:t xml:space="preserve">                                                    </w:t>
      </w:r>
    </w:p>
    <w:p w14:paraId="42BE02F3">
      <w:pPr>
        <w:pStyle w:val="13"/>
        <w:spacing w:line="360" w:lineRule="auto"/>
        <w:ind w:firstLine="420"/>
        <w:rPr>
          <w:u w:val="single"/>
        </w:rPr>
      </w:pPr>
      <w:r>
        <w:rPr>
          <w:rFonts w:hint="eastAsia"/>
        </w:rPr>
        <w:t>银行账号：</w:t>
      </w:r>
      <w:r>
        <w:rPr>
          <w:rFonts w:hint="eastAsia"/>
          <w:u w:val="single"/>
        </w:rPr>
        <w:t xml:space="preserve">                                                    </w:t>
      </w:r>
    </w:p>
    <w:p w14:paraId="0EC2B2E0">
      <w:pPr>
        <w:snapToGrid w:val="0"/>
        <w:spacing w:line="360" w:lineRule="auto"/>
        <w:ind w:firstLine="5040" w:firstLineChars="2100"/>
        <w:rPr>
          <w:rFonts w:ascii="仿宋_GB2312" w:hAnsi="仿宋" w:eastAsia="仿宋_GB2312" w:cs="仿宋_GB2312"/>
          <w:kern w:val="0"/>
          <w:sz w:val="24"/>
          <w:lang w:val="zh-CN"/>
        </w:rPr>
      </w:pPr>
    </w:p>
    <w:p w14:paraId="613033B2">
      <w:pPr>
        <w:snapToGrid w:val="0"/>
        <w:spacing w:line="360" w:lineRule="auto"/>
        <w:ind w:firstLine="5040" w:firstLineChars="2100"/>
        <w:rPr>
          <w:rFonts w:ascii="仿宋_GB2312" w:hAnsi="仿宋" w:eastAsia="仿宋_GB2312" w:cs="仿宋_GB2312"/>
          <w:kern w:val="0"/>
          <w:sz w:val="24"/>
          <w:lang w:val="zh-CN"/>
        </w:rPr>
      </w:pPr>
    </w:p>
    <w:p w14:paraId="46286C37">
      <w:pPr>
        <w:snapToGrid w:val="0"/>
        <w:spacing w:line="360" w:lineRule="auto"/>
        <w:ind w:firstLine="5280" w:firstLineChars="2200"/>
        <w:rPr>
          <w:rFonts w:ascii="宋体" w:hAnsi="宋体" w:cs="宋体"/>
          <w:kern w:val="0"/>
          <w:sz w:val="24"/>
        </w:rPr>
      </w:pPr>
      <w:r>
        <w:rPr>
          <w:rFonts w:hint="eastAsia" w:ascii="宋体" w:hAnsi="宋体" w:cs="宋体"/>
          <w:kern w:val="0"/>
          <w:sz w:val="24"/>
          <w:lang w:val="zh-CN"/>
        </w:rPr>
        <w:t>投标人名称(盖公章)：</w:t>
      </w:r>
    </w:p>
    <w:p w14:paraId="35DC0538">
      <w:pPr>
        <w:snapToGrid w:val="0"/>
        <w:spacing w:line="360" w:lineRule="auto"/>
        <w:ind w:firstLine="5280" w:firstLineChars="22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483622C">
      <w:pPr>
        <w:widowControl/>
        <w:spacing w:line="360" w:lineRule="auto"/>
        <w:jc w:val="left"/>
        <w:rPr>
          <w:rFonts w:ascii="仿宋_GB2312" w:hAnsi="仿宋" w:eastAsia="仿宋_GB2312" w:cs="仿宋_GB2312"/>
          <w:kern w:val="0"/>
          <w:sz w:val="24"/>
          <w:lang w:val="zh-CN"/>
        </w:rPr>
        <w:sectPr>
          <w:pgSz w:w="11905" w:h="16838"/>
          <w:pgMar w:top="1134" w:right="1134" w:bottom="1134" w:left="1134" w:header="850" w:footer="850" w:gutter="0"/>
          <w:cols w:space="0" w:num="1"/>
          <w:titlePg/>
          <w:docGrid w:linePitch="331" w:charSpace="0"/>
        </w:sectPr>
      </w:pPr>
    </w:p>
    <w:p w14:paraId="7CB8C73A">
      <w:pPr>
        <w:pStyle w:val="13"/>
        <w:spacing w:line="360" w:lineRule="auto"/>
        <w:jc w:val="left"/>
        <w:rPr>
          <w:rFonts w:hAnsi="宋体" w:cs="宋体"/>
          <w:b/>
          <w:sz w:val="28"/>
          <w:szCs w:val="28"/>
        </w:rPr>
      </w:pPr>
      <w:r>
        <w:rPr>
          <w:rFonts w:hint="eastAsia" w:hAnsi="宋体" w:cs="宋体"/>
          <w:b/>
          <w:color w:val="000000"/>
          <w:sz w:val="28"/>
          <w:szCs w:val="28"/>
        </w:rPr>
        <w:t>4. 开标一览表的格式：</w:t>
      </w:r>
    </w:p>
    <w:p w14:paraId="4EA6879D">
      <w:pPr>
        <w:pStyle w:val="13"/>
        <w:spacing w:line="360" w:lineRule="auto"/>
        <w:jc w:val="center"/>
        <w:rPr>
          <w:b/>
          <w:sz w:val="30"/>
          <w:szCs w:val="30"/>
        </w:rPr>
      </w:pPr>
      <w:r>
        <w:rPr>
          <w:rFonts w:hint="eastAsia"/>
          <w:b/>
          <w:sz w:val="30"/>
          <w:szCs w:val="30"/>
        </w:rPr>
        <w:t>开标一览表</w:t>
      </w:r>
      <w:r>
        <w:rPr>
          <w:rFonts w:hint="eastAsia" w:ascii="仿宋_GB2312" w:hAnsi="仿宋" w:eastAsia="仿宋_GB2312" w:cs="仿宋_GB2312"/>
          <w:b/>
          <w:kern w:val="0"/>
          <w:sz w:val="24"/>
          <w:lang w:val="zh-CN"/>
        </w:rPr>
        <w:t>(单位均为人民币元)</w:t>
      </w:r>
    </w:p>
    <w:p w14:paraId="293A40AB">
      <w:pPr>
        <w:snapToGrid w:val="0"/>
        <w:spacing w:before="50" w:after="50" w:line="360" w:lineRule="auto"/>
        <w:rPr>
          <w:rFonts w:ascii="宋体" w:hAnsi="宋体"/>
          <w:szCs w:val="21"/>
        </w:rPr>
      </w:pPr>
    </w:p>
    <w:p w14:paraId="63E1B033">
      <w:pPr>
        <w:snapToGrid w:val="0"/>
        <w:spacing w:before="50" w:after="50" w:line="360" w:lineRule="auto"/>
        <w:rPr>
          <w:rFonts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p>
    <w:p w14:paraId="7A186836">
      <w:pPr>
        <w:snapToGrid w:val="0"/>
        <w:spacing w:before="50" w:after="50" w:line="360" w:lineRule="auto"/>
        <w:rPr>
          <w:rFonts w:ascii="宋体" w:hAnsi="宋体"/>
          <w:szCs w:val="21"/>
        </w:rPr>
      </w:pP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 xml:space="preserve">   </w:t>
      </w:r>
    </w:p>
    <w:p w14:paraId="6385E0AC">
      <w:pPr>
        <w:snapToGrid w:val="0"/>
        <w:spacing w:before="50" w:after="50" w:line="360" w:lineRule="auto"/>
        <w:rPr>
          <w:rFonts w:hint="eastAsia" w:ascii="宋体" w:hAnsi="宋体"/>
          <w:szCs w:val="21"/>
        </w:rPr>
      </w:pPr>
      <w:r>
        <w:rPr>
          <w:rFonts w:hint="eastAsia" w:ascii="宋体" w:hAnsi="宋体" w:cs="宋体"/>
          <w:bCs/>
          <w:szCs w:val="21"/>
        </w:rPr>
        <w:t>所投分标（如有则填写，无分标时填写“无”或者留空）：</w:t>
      </w:r>
      <w:r>
        <w:rPr>
          <w:rFonts w:hint="eastAsia" w:ascii="宋体" w:hAnsi="宋体" w:cs="宋体"/>
          <w:szCs w:val="21"/>
          <w:u w:val="single"/>
        </w:rPr>
        <w:t xml:space="preserve">           </w:t>
      </w:r>
      <w:r>
        <w:rPr>
          <w:rFonts w:hint="eastAsia" w:ascii="宋体" w:hAnsi="宋体"/>
          <w:szCs w:val="21"/>
        </w:rPr>
        <w:t xml:space="preserve">      </w:t>
      </w:r>
    </w:p>
    <w:tbl>
      <w:tblPr>
        <w:tblStyle w:val="23"/>
        <w:tblW w:w="9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8"/>
        <w:gridCol w:w="972"/>
        <w:gridCol w:w="1695"/>
        <w:gridCol w:w="1080"/>
        <w:gridCol w:w="855"/>
        <w:gridCol w:w="1455"/>
        <w:gridCol w:w="1257"/>
        <w:gridCol w:w="1601"/>
        <w:gridCol w:w="450"/>
      </w:tblGrid>
      <w:tr w14:paraId="62BC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78" w:type="dxa"/>
            <w:vMerge w:val="restart"/>
            <w:noWrap w:val="0"/>
            <w:vAlign w:val="center"/>
          </w:tcPr>
          <w:p w14:paraId="25CDF065">
            <w:pPr>
              <w:widowControl/>
              <w:jc w:val="center"/>
              <w:textAlignment w:val="center"/>
              <w:rPr>
                <w:b/>
                <w:bCs w:val="0"/>
                <w:color w:val="auto"/>
                <w:szCs w:val="21"/>
                <w:highlight w:val="none"/>
              </w:rPr>
            </w:pPr>
            <w:r>
              <w:rPr>
                <w:rFonts w:hint="eastAsia"/>
                <w:b/>
                <w:bCs w:val="0"/>
                <w:color w:val="auto"/>
                <w:kern w:val="0"/>
                <w:szCs w:val="21"/>
                <w:highlight w:val="none"/>
                <w:lang w:val="en-US" w:eastAsia="zh-CN"/>
              </w:rPr>
              <w:t>序</w:t>
            </w:r>
            <w:r>
              <w:rPr>
                <w:b/>
                <w:bCs w:val="0"/>
                <w:color w:val="auto"/>
                <w:kern w:val="0"/>
                <w:szCs w:val="21"/>
                <w:highlight w:val="none"/>
              </w:rPr>
              <w:t>号</w:t>
            </w:r>
          </w:p>
        </w:tc>
        <w:tc>
          <w:tcPr>
            <w:tcW w:w="972" w:type="dxa"/>
            <w:vMerge w:val="restart"/>
            <w:noWrap w:val="0"/>
            <w:vAlign w:val="center"/>
          </w:tcPr>
          <w:p w14:paraId="4B9C598C">
            <w:pPr>
              <w:widowControl/>
              <w:jc w:val="center"/>
              <w:textAlignment w:val="center"/>
              <w:rPr>
                <w:b/>
                <w:bCs w:val="0"/>
                <w:color w:val="auto"/>
                <w:szCs w:val="21"/>
                <w:highlight w:val="none"/>
              </w:rPr>
            </w:pPr>
            <w:r>
              <w:rPr>
                <w:rFonts w:hint="eastAsia" w:ascii="宋体" w:hAnsi="宋体"/>
                <w:b/>
                <w:bCs/>
                <w:color w:val="auto"/>
                <w:szCs w:val="21"/>
                <w:lang w:val="en-US" w:eastAsia="zh-CN"/>
              </w:rPr>
              <w:t>标的名称</w:t>
            </w:r>
          </w:p>
        </w:tc>
        <w:tc>
          <w:tcPr>
            <w:tcW w:w="1695" w:type="dxa"/>
            <w:vMerge w:val="restart"/>
            <w:noWrap w:val="0"/>
            <w:vAlign w:val="center"/>
          </w:tcPr>
          <w:p w14:paraId="01B9E6F7">
            <w:pPr>
              <w:widowControl/>
              <w:jc w:val="center"/>
              <w:textAlignment w:val="center"/>
              <w:rPr>
                <w:rFonts w:hint="eastAsia" w:ascii="宋体" w:hAnsi="宋体"/>
                <w:b/>
                <w:bCs/>
                <w:color w:val="auto"/>
                <w:szCs w:val="21"/>
              </w:rPr>
            </w:pPr>
            <w:r>
              <w:rPr>
                <w:rFonts w:hint="eastAsia" w:ascii="宋体" w:hAnsi="宋体"/>
                <w:b/>
                <w:bCs/>
                <w:color w:val="auto"/>
                <w:szCs w:val="21"/>
              </w:rPr>
              <w:t>服务类别</w:t>
            </w:r>
          </w:p>
        </w:tc>
        <w:tc>
          <w:tcPr>
            <w:tcW w:w="1080" w:type="dxa"/>
            <w:vMerge w:val="restart"/>
            <w:noWrap w:val="0"/>
            <w:vAlign w:val="center"/>
          </w:tcPr>
          <w:p w14:paraId="1A5F9DCD">
            <w:pPr>
              <w:widowControl/>
              <w:jc w:val="center"/>
              <w:textAlignment w:val="center"/>
              <w:rPr>
                <w:rFonts w:hint="eastAsia"/>
                <w:b/>
                <w:bCs w:val="0"/>
                <w:color w:val="auto"/>
                <w:szCs w:val="21"/>
                <w:highlight w:val="none"/>
              </w:rPr>
            </w:pPr>
            <w:r>
              <w:rPr>
                <w:b/>
                <w:bCs w:val="0"/>
                <w:color w:val="auto"/>
                <w:kern w:val="0"/>
                <w:szCs w:val="21"/>
                <w:highlight w:val="none"/>
              </w:rPr>
              <w:t>服务</w:t>
            </w:r>
            <w:r>
              <w:rPr>
                <w:rStyle w:val="45"/>
                <w:rFonts w:hint="eastAsia"/>
                <w:b/>
                <w:bCs w:val="0"/>
                <w:color w:val="auto"/>
                <w:highlight w:val="none"/>
              </w:rPr>
              <w:t>内容及要求</w:t>
            </w:r>
          </w:p>
        </w:tc>
        <w:tc>
          <w:tcPr>
            <w:tcW w:w="855" w:type="dxa"/>
            <w:vMerge w:val="restart"/>
            <w:noWrap w:val="0"/>
            <w:vAlign w:val="center"/>
          </w:tcPr>
          <w:p w14:paraId="3EB84F1D">
            <w:pPr>
              <w:widowControl/>
              <w:jc w:val="center"/>
              <w:textAlignment w:val="center"/>
              <w:rPr>
                <w:b/>
                <w:bCs w:val="0"/>
                <w:color w:val="auto"/>
                <w:szCs w:val="21"/>
                <w:highlight w:val="none"/>
              </w:rPr>
            </w:pPr>
            <w:r>
              <w:rPr>
                <w:rFonts w:hint="eastAsia" w:ascii="宋体" w:hAnsi="宋体" w:eastAsia="宋体" w:cs="宋体"/>
                <w:b/>
                <w:bCs w:val="0"/>
                <w:i w:val="0"/>
                <w:color w:val="auto"/>
                <w:kern w:val="0"/>
                <w:sz w:val="24"/>
                <w:szCs w:val="24"/>
                <w:u w:val="none"/>
                <w:lang w:val="en-US" w:eastAsia="zh-CN" w:bidi="ar"/>
              </w:rPr>
              <w:t>①人数</w:t>
            </w:r>
          </w:p>
        </w:tc>
        <w:tc>
          <w:tcPr>
            <w:tcW w:w="1455" w:type="dxa"/>
            <w:vMerge w:val="restart"/>
            <w:tcBorders>
              <w:right w:val="single" w:color="auto" w:sz="4" w:space="0"/>
            </w:tcBorders>
            <w:noWrap w:val="0"/>
            <w:vAlign w:val="center"/>
          </w:tcPr>
          <w:p w14:paraId="62904C6E">
            <w:pPr>
              <w:widowControl/>
              <w:jc w:val="center"/>
              <w:textAlignment w:val="center"/>
              <w:rPr>
                <w:b/>
                <w:bCs w:val="0"/>
                <w:color w:val="auto"/>
                <w:szCs w:val="21"/>
                <w:highlight w:val="none"/>
              </w:rPr>
            </w:pPr>
            <w:r>
              <w:rPr>
                <w:rFonts w:hint="eastAsia" w:ascii="宋体" w:hAnsi="宋体" w:eastAsia="宋体" w:cs="宋体"/>
                <w:b/>
                <w:bCs w:val="0"/>
                <w:i w:val="0"/>
                <w:color w:val="auto"/>
                <w:kern w:val="0"/>
                <w:sz w:val="24"/>
                <w:szCs w:val="24"/>
                <w:u w:val="none"/>
                <w:lang w:val="en-US" w:eastAsia="zh-CN" w:bidi="ar"/>
              </w:rPr>
              <w:t>②单价</w:t>
            </w:r>
            <w:r>
              <w:rPr>
                <w:rFonts w:hint="eastAsia" w:ascii="宋体" w:hAnsi="宋体" w:eastAsia="宋体" w:cs="宋体"/>
                <w:b/>
                <w:bCs w:val="0"/>
                <w:i w:val="0"/>
                <w:color w:val="auto"/>
                <w:kern w:val="0"/>
                <w:sz w:val="24"/>
                <w:szCs w:val="24"/>
                <w:u w:val="none"/>
                <w:lang w:val="en-US" w:eastAsia="zh-CN" w:bidi="ar"/>
              </w:rPr>
              <w:br w:type="textWrapping"/>
            </w:r>
            <w:r>
              <w:rPr>
                <w:rFonts w:hint="eastAsia" w:ascii="宋体" w:hAnsi="宋体" w:eastAsia="宋体" w:cs="宋体"/>
                <w:b/>
                <w:bCs w:val="0"/>
                <w:i w:val="0"/>
                <w:color w:val="auto"/>
                <w:kern w:val="0"/>
                <w:sz w:val="24"/>
                <w:szCs w:val="24"/>
                <w:u w:val="none"/>
                <w:lang w:val="en-US" w:eastAsia="zh-CN" w:bidi="ar"/>
              </w:rPr>
              <w:t>（元/人/月）</w:t>
            </w:r>
          </w:p>
        </w:tc>
        <w:tc>
          <w:tcPr>
            <w:tcW w:w="1257" w:type="dxa"/>
            <w:vMerge w:val="restart"/>
            <w:tcBorders>
              <w:top w:val="single" w:color="auto" w:sz="4" w:space="0"/>
              <w:left w:val="single" w:color="auto" w:sz="4" w:space="0"/>
              <w:right w:val="single" w:color="auto" w:sz="4" w:space="0"/>
            </w:tcBorders>
            <w:noWrap w:val="0"/>
            <w:vAlign w:val="center"/>
          </w:tcPr>
          <w:p w14:paraId="162F7457">
            <w:pPr>
              <w:widowControl/>
              <w:jc w:val="center"/>
              <w:textAlignment w:val="center"/>
              <w:rPr>
                <w:rFonts w:hint="default" w:eastAsia="宋体"/>
                <w:b/>
                <w:bCs w:val="0"/>
                <w:color w:val="auto"/>
                <w:szCs w:val="21"/>
                <w:highlight w:val="none"/>
                <w:lang w:val="en-US" w:eastAsia="zh-CN"/>
              </w:rPr>
            </w:pPr>
            <w:r>
              <w:rPr>
                <w:b/>
                <w:bCs w:val="0"/>
                <w:color w:val="auto"/>
                <w:kern w:val="0"/>
                <w:szCs w:val="21"/>
                <w:highlight w:val="none"/>
              </w:rPr>
              <w:t>③</w:t>
            </w:r>
            <w:r>
              <w:rPr>
                <w:rFonts w:hint="eastAsia"/>
                <w:b/>
                <w:bCs w:val="0"/>
                <w:color w:val="auto"/>
                <w:kern w:val="0"/>
                <w:szCs w:val="21"/>
                <w:highlight w:val="none"/>
                <w:lang w:val="en-US" w:eastAsia="zh-CN"/>
              </w:rPr>
              <w:t>服务月份</w:t>
            </w:r>
          </w:p>
        </w:tc>
        <w:tc>
          <w:tcPr>
            <w:tcW w:w="1601" w:type="dxa"/>
            <w:tcBorders>
              <w:top w:val="single" w:color="auto" w:sz="4" w:space="0"/>
              <w:left w:val="single" w:color="auto" w:sz="4" w:space="0"/>
              <w:bottom w:val="nil"/>
              <w:right w:val="single" w:color="auto" w:sz="4" w:space="0"/>
            </w:tcBorders>
            <w:noWrap w:val="0"/>
            <w:vAlign w:val="center"/>
          </w:tcPr>
          <w:p w14:paraId="77931355">
            <w:pPr>
              <w:widowControl/>
              <w:jc w:val="center"/>
              <w:textAlignment w:val="center"/>
              <w:rPr>
                <w:rFonts w:hint="default" w:eastAsia="宋体"/>
                <w:b/>
                <w:bCs w:val="0"/>
                <w:color w:val="auto"/>
                <w:szCs w:val="21"/>
                <w:highlight w:val="none"/>
                <w:lang w:val="en-US" w:eastAsia="zh-CN"/>
              </w:rPr>
            </w:pPr>
            <w:r>
              <w:rPr>
                <w:b/>
                <w:bCs w:val="0"/>
                <w:color w:val="auto"/>
                <w:kern w:val="0"/>
                <w:szCs w:val="21"/>
                <w:highlight w:val="none"/>
              </w:rPr>
              <w:t>单项合计</w:t>
            </w:r>
            <w:r>
              <w:rPr>
                <w:rStyle w:val="45"/>
                <w:b/>
                <w:bCs w:val="0"/>
                <w:color w:val="auto"/>
                <w:highlight w:val="none"/>
              </w:rPr>
              <w:t>=</w:t>
            </w:r>
            <w:r>
              <w:rPr>
                <w:rFonts w:hint="eastAsia"/>
                <w:b/>
                <w:bCs w:val="0"/>
                <w:color w:val="auto"/>
                <w:kern w:val="0"/>
                <w:szCs w:val="21"/>
                <w:highlight w:val="none"/>
                <w:lang w:val="en-US" w:eastAsia="zh-CN"/>
              </w:rPr>
              <w:t>人数</w:t>
            </w:r>
            <w:r>
              <w:rPr>
                <w:b/>
                <w:bCs w:val="0"/>
                <w:color w:val="auto"/>
                <w:kern w:val="0"/>
                <w:szCs w:val="21"/>
                <w:highlight w:val="none"/>
              </w:rPr>
              <w:t>×单价×</w:t>
            </w:r>
            <w:r>
              <w:rPr>
                <w:rFonts w:hint="eastAsia"/>
                <w:b/>
                <w:bCs w:val="0"/>
                <w:color w:val="auto"/>
                <w:kern w:val="0"/>
                <w:szCs w:val="21"/>
                <w:highlight w:val="none"/>
                <w:lang w:val="en-US" w:eastAsia="zh-CN"/>
              </w:rPr>
              <w:t>服务月份</w:t>
            </w:r>
          </w:p>
        </w:tc>
        <w:tc>
          <w:tcPr>
            <w:tcW w:w="450" w:type="dxa"/>
            <w:vMerge w:val="restart"/>
            <w:tcBorders>
              <w:left w:val="single" w:color="auto" w:sz="4" w:space="0"/>
            </w:tcBorders>
            <w:noWrap w:val="0"/>
            <w:vAlign w:val="center"/>
          </w:tcPr>
          <w:p w14:paraId="2403B8D0">
            <w:pPr>
              <w:widowControl/>
              <w:jc w:val="center"/>
              <w:textAlignment w:val="center"/>
              <w:rPr>
                <w:b/>
                <w:bCs w:val="0"/>
                <w:color w:val="auto"/>
                <w:szCs w:val="21"/>
                <w:highlight w:val="none"/>
              </w:rPr>
            </w:pPr>
            <w:r>
              <w:rPr>
                <w:b/>
                <w:bCs w:val="0"/>
                <w:color w:val="auto"/>
                <w:kern w:val="0"/>
                <w:szCs w:val="21"/>
                <w:highlight w:val="none"/>
              </w:rPr>
              <w:t>备注</w:t>
            </w:r>
          </w:p>
        </w:tc>
      </w:tr>
      <w:tr w14:paraId="1263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78" w:type="dxa"/>
            <w:vMerge w:val="continue"/>
            <w:tcBorders>
              <w:bottom w:val="single" w:color="auto" w:sz="4" w:space="0"/>
            </w:tcBorders>
            <w:noWrap w:val="0"/>
            <w:vAlign w:val="center"/>
          </w:tcPr>
          <w:p w14:paraId="78A58146">
            <w:pPr>
              <w:jc w:val="center"/>
              <w:rPr>
                <w:b/>
                <w:color w:val="auto"/>
                <w:szCs w:val="21"/>
                <w:highlight w:val="none"/>
              </w:rPr>
            </w:pPr>
          </w:p>
        </w:tc>
        <w:tc>
          <w:tcPr>
            <w:tcW w:w="972" w:type="dxa"/>
            <w:vMerge w:val="continue"/>
            <w:tcBorders>
              <w:bottom w:val="single" w:color="auto" w:sz="4" w:space="0"/>
            </w:tcBorders>
            <w:noWrap w:val="0"/>
            <w:vAlign w:val="center"/>
          </w:tcPr>
          <w:p w14:paraId="4DF8F9C1">
            <w:pPr>
              <w:jc w:val="center"/>
              <w:rPr>
                <w:b/>
                <w:color w:val="auto"/>
                <w:szCs w:val="21"/>
                <w:highlight w:val="none"/>
              </w:rPr>
            </w:pPr>
          </w:p>
        </w:tc>
        <w:tc>
          <w:tcPr>
            <w:tcW w:w="1695" w:type="dxa"/>
            <w:vMerge w:val="continue"/>
            <w:tcBorders>
              <w:bottom w:val="single" w:color="auto" w:sz="4" w:space="0"/>
            </w:tcBorders>
            <w:noWrap w:val="0"/>
            <w:vAlign w:val="center"/>
          </w:tcPr>
          <w:p w14:paraId="63D94E65">
            <w:pPr>
              <w:jc w:val="center"/>
              <w:rPr>
                <w:b/>
                <w:color w:val="auto"/>
                <w:szCs w:val="21"/>
                <w:highlight w:val="none"/>
              </w:rPr>
            </w:pPr>
          </w:p>
        </w:tc>
        <w:tc>
          <w:tcPr>
            <w:tcW w:w="1080" w:type="dxa"/>
            <w:vMerge w:val="continue"/>
            <w:tcBorders>
              <w:bottom w:val="single" w:color="auto" w:sz="4" w:space="0"/>
            </w:tcBorders>
            <w:noWrap w:val="0"/>
            <w:vAlign w:val="center"/>
          </w:tcPr>
          <w:p w14:paraId="775F81CC">
            <w:pPr>
              <w:jc w:val="center"/>
              <w:rPr>
                <w:b/>
                <w:color w:val="auto"/>
                <w:szCs w:val="21"/>
                <w:highlight w:val="none"/>
              </w:rPr>
            </w:pPr>
          </w:p>
        </w:tc>
        <w:tc>
          <w:tcPr>
            <w:tcW w:w="855" w:type="dxa"/>
            <w:vMerge w:val="continue"/>
            <w:tcBorders>
              <w:bottom w:val="single" w:color="auto" w:sz="4" w:space="0"/>
            </w:tcBorders>
            <w:noWrap w:val="0"/>
            <w:vAlign w:val="center"/>
          </w:tcPr>
          <w:p w14:paraId="74979A57">
            <w:pPr>
              <w:jc w:val="center"/>
              <w:rPr>
                <w:b/>
                <w:color w:val="auto"/>
                <w:szCs w:val="21"/>
                <w:highlight w:val="none"/>
              </w:rPr>
            </w:pPr>
          </w:p>
        </w:tc>
        <w:tc>
          <w:tcPr>
            <w:tcW w:w="1455" w:type="dxa"/>
            <w:vMerge w:val="continue"/>
            <w:tcBorders>
              <w:bottom w:val="single" w:color="auto" w:sz="4" w:space="0"/>
              <w:right w:val="single" w:color="auto" w:sz="4" w:space="0"/>
            </w:tcBorders>
            <w:noWrap w:val="0"/>
            <w:vAlign w:val="center"/>
          </w:tcPr>
          <w:p w14:paraId="39D4F266">
            <w:pPr>
              <w:jc w:val="center"/>
              <w:rPr>
                <w:b/>
                <w:color w:val="auto"/>
                <w:szCs w:val="21"/>
                <w:highlight w:val="none"/>
              </w:rPr>
            </w:pPr>
          </w:p>
        </w:tc>
        <w:tc>
          <w:tcPr>
            <w:tcW w:w="1257" w:type="dxa"/>
            <w:vMerge w:val="continue"/>
            <w:tcBorders>
              <w:left w:val="single" w:color="auto" w:sz="4" w:space="0"/>
              <w:bottom w:val="single" w:color="auto" w:sz="4" w:space="0"/>
              <w:right w:val="single" w:color="auto" w:sz="4" w:space="0"/>
            </w:tcBorders>
            <w:noWrap w:val="0"/>
            <w:vAlign w:val="center"/>
          </w:tcPr>
          <w:p w14:paraId="39F8BBAA">
            <w:pPr>
              <w:widowControl/>
              <w:jc w:val="center"/>
              <w:textAlignment w:val="center"/>
              <w:rPr>
                <w:rFonts w:hint="default"/>
                <w:b w:val="0"/>
                <w:bCs/>
                <w:color w:val="auto"/>
                <w:szCs w:val="21"/>
                <w:highlight w:val="none"/>
                <w:lang w:val="en-US"/>
              </w:rPr>
            </w:pPr>
          </w:p>
        </w:tc>
        <w:tc>
          <w:tcPr>
            <w:tcW w:w="1601" w:type="dxa"/>
            <w:tcBorders>
              <w:top w:val="nil"/>
              <w:left w:val="single" w:color="auto" w:sz="4" w:space="0"/>
              <w:bottom w:val="single" w:color="auto" w:sz="4" w:space="0"/>
              <w:right w:val="single" w:color="auto" w:sz="4" w:space="0"/>
            </w:tcBorders>
            <w:noWrap w:val="0"/>
            <w:vAlign w:val="center"/>
          </w:tcPr>
          <w:p w14:paraId="1A5BD21C">
            <w:pPr>
              <w:widowControl/>
              <w:jc w:val="center"/>
              <w:textAlignment w:val="center"/>
              <w:rPr>
                <w:b/>
                <w:color w:val="auto"/>
                <w:szCs w:val="21"/>
                <w:highlight w:val="none"/>
              </w:rPr>
            </w:pPr>
            <w:r>
              <w:rPr>
                <w:rFonts w:hint="eastAsia" w:ascii="宋体" w:hAnsi="宋体" w:eastAsia="宋体" w:cs="宋体"/>
                <w:b/>
                <w:color w:val="auto"/>
                <w:kern w:val="0"/>
                <w:szCs w:val="21"/>
                <w:highlight w:val="none"/>
              </w:rPr>
              <w:t>④</w:t>
            </w:r>
            <w:r>
              <w:rPr>
                <w:b/>
                <w:color w:val="auto"/>
                <w:kern w:val="0"/>
                <w:szCs w:val="21"/>
                <w:highlight w:val="none"/>
              </w:rPr>
              <w:t>＝①×②×③</w:t>
            </w:r>
          </w:p>
        </w:tc>
        <w:tc>
          <w:tcPr>
            <w:tcW w:w="450" w:type="dxa"/>
            <w:vMerge w:val="continue"/>
            <w:tcBorders>
              <w:left w:val="single" w:color="auto" w:sz="4" w:space="0"/>
              <w:bottom w:val="single" w:color="auto" w:sz="4" w:space="0"/>
            </w:tcBorders>
            <w:noWrap w:val="0"/>
            <w:vAlign w:val="center"/>
          </w:tcPr>
          <w:p w14:paraId="42F60F77">
            <w:pPr>
              <w:jc w:val="center"/>
              <w:rPr>
                <w:b/>
                <w:color w:val="auto"/>
                <w:szCs w:val="21"/>
                <w:highlight w:val="none"/>
              </w:rPr>
            </w:pPr>
          </w:p>
        </w:tc>
      </w:tr>
      <w:tr w14:paraId="429E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2" w:hRule="atLeast"/>
        </w:trPr>
        <w:tc>
          <w:tcPr>
            <w:tcW w:w="478" w:type="dxa"/>
            <w:noWrap w:val="0"/>
            <w:vAlign w:val="center"/>
          </w:tcPr>
          <w:p w14:paraId="2868CA39">
            <w:pPr>
              <w:widowControl/>
              <w:spacing w:line="400" w:lineRule="exact"/>
              <w:jc w:val="center"/>
              <w:textAlignment w:val="center"/>
              <w:rPr>
                <w:color w:val="auto"/>
                <w:kern w:val="0"/>
                <w:szCs w:val="21"/>
                <w:highlight w:val="none"/>
              </w:rPr>
            </w:pPr>
            <w:r>
              <w:rPr>
                <w:color w:val="auto"/>
                <w:kern w:val="0"/>
                <w:szCs w:val="21"/>
                <w:highlight w:val="none"/>
              </w:rPr>
              <w:t>1</w:t>
            </w:r>
          </w:p>
        </w:tc>
        <w:tc>
          <w:tcPr>
            <w:tcW w:w="972" w:type="dxa"/>
            <w:vMerge w:val="restart"/>
            <w:noWrap w:val="0"/>
            <w:vAlign w:val="center"/>
          </w:tcPr>
          <w:p w14:paraId="7E2DFD5E">
            <w:pPr>
              <w:spacing w:line="400" w:lineRule="exact"/>
              <w:jc w:val="center"/>
              <w:rPr>
                <w:rFonts w:hint="default"/>
                <w:color w:val="auto"/>
                <w:szCs w:val="21"/>
                <w:highlight w:val="none"/>
                <w:lang w:val="en-US"/>
              </w:rPr>
            </w:pPr>
            <w:bookmarkStart w:id="387" w:name="OLE_LINK16"/>
            <w:r>
              <w:rPr>
                <w:rFonts w:hint="eastAsia"/>
                <w:color w:val="auto"/>
                <w:highlight w:val="none"/>
                <w:lang w:eastAsia="zh-CN"/>
              </w:rPr>
              <w:t>桂林市中西医结合医院安保服务</w:t>
            </w:r>
            <w:bookmarkEnd w:id="387"/>
          </w:p>
        </w:tc>
        <w:tc>
          <w:tcPr>
            <w:tcW w:w="1695" w:type="dxa"/>
            <w:noWrap w:val="0"/>
            <w:vAlign w:val="center"/>
          </w:tcPr>
          <w:p w14:paraId="22047E2D">
            <w:pPr>
              <w:spacing w:line="400" w:lineRule="exact"/>
              <w:jc w:val="center"/>
              <w:rPr>
                <w:rFonts w:hint="eastAsia"/>
                <w:color w:val="auto"/>
                <w:highlight w:val="none"/>
                <w:lang w:eastAsia="zh-CN"/>
              </w:rPr>
            </w:pPr>
            <w:r>
              <w:rPr>
                <w:rFonts w:hint="eastAsia"/>
                <w:color w:val="auto"/>
                <w:highlight w:val="none"/>
                <w:lang w:eastAsia="zh-CN"/>
              </w:rPr>
              <w:t>18-45岁安保人员</w:t>
            </w:r>
          </w:p>
        </w:tc>
        <w:tc>
          <w:tcPr>
            <w:tcW w:w="1080" w:type="dxa"/>
            <w:vMerge w:val="restart"/>
            <w:noWrap w:val="0"/>
            <w:vAlign w:val="center"/>
          </w:tcPr>
          <w:p w14:paraId="02BED6DE">
            <w:pPr>
              <w:spacing w:line="400" w:lineRule="exact"/>
              <w:jc w:val="left"/>
              <w:rPr>
                <w:color w:val="auto"/>
                <w:szCs w:val="21"/>
                <w:highlight w:val="none"/>
              </w:rPr>
            </w:pPr>
            <w:r>
              <w:rPr>
                <w:rFonts w:hint="eastAsia" w:ascii="宋体" w:hAnsi="宋体"/>
                <w:b w:val="0"/>
                <w:bCs w:val="0"/>
                <w:color w:val="auto"/>
                <w:szCs w:val="21"/>
              </w:rPr>
              <w:t>包含《第</w:t>
            </w:r>
            <w:r>
              <w:rPr>
                <w:rFonts w:hint="eastAsia" w:ascii="宋体" w:hAnsi="宋体"/>
                <w:b w:val="0"/>
                <w:bCs w:val="0"/>
                <w:color w:val="auto"/>
                <w:szCs w:val="21"/>
                <w:lang w:val="en-US" w:eastAsia="zh-CN"/>
              </w:rPr>
              <w:t>三</w:t>
            </w:r>
            <w:r>
              <w:rPr>
                <w:rFonts w:hint="eastAsia" w:ascii="宋体" w:hAnsi="宋体"/>
                <w:b w:val="0"/>
                <w:bCs w:val="0"/>
                <w:color w:val="auto"/>
                <w:szCs w:val="21"/>
              </w:rPr>
              <w:t>章</w:t>
            </w:r>
            <w:r>
              <w:rPr>
                <w:rFonts w:hint="eastAsia" w:ascii="宋体" w:hAnsi="宋体"/>
                <w:b w:val="0"/>
                <w:bCs w:val="0"/>
                <w:color w:val="auto"/>
                <w:szCs w:val="21"/>
                <w:lang w:val="en-US" w:eastAsia="zh-CN"/>
              </w:rPr>
              <w:t xml:space="preserve"> </w:t>
            </w:r>
            <w:r>
              <w:rPr>
                <w:rFonts w:hint="eastAsia" w:ascii="宋体" w:hAnsi="宋体"/>
                <w:b w:val="0"/>
                <w:bCs w:val="0"/>
                <w:color w:val="auto"/>
                <w:szCs w:val="21"/>
              </w:rPr>
              <w:t>采购需求》所有服务内容。</w:t>
            </w:r>
          </w:p>
        </w:tc>
        <w:tc>
          <w:tcPr>
            <w:tcW w:w="855" w:type="dxa"/>
            <w:noWrap w:val="0"/>
            <w:vAlign w:val="center"/>
          </w:tcPr>
          <w:p w14:paraId="0FE44F81">
            <w:pPr>
              <w:snapToGrid w:val="0"/>
              <w:spacing w:line="320" w:lineRule="exact"/>
              <w:jc w:val="center"/>
              <w:rPr>
                <w:rFonts w:hint="eastAsia" w:eastAsia="宋体"/>
                <w:color w:val="auto"/>
                <w:szCs w:val="21"/>
                <w:highlight w:val="none"/>
                <w:lang w:val="en-US" w:eastAsia="zh-CN"/>
              </w:rPr>
            </w:pPr>
            <w:r>
              <w:rPr>
                <w:rStyle w:val="46"/>
                <w:rFonts w:ascii="宋体" w:hAnsi="宋体"/>
                <w:color w:val="auto"/>
                <w:szCs w:val="21"/>
                <w:highlight w:val="none"/>
              </w:rPr>
              <w:t>1</w:t>
            </w:r>
            <w:r>
              <w:rPr>
                <w:rStyle w:val="46"/>
                <w:rFonts w:hint="eastAsia" w:ascii="宋体" w:hAnsi="宋体"/>
                <w:color w:val="auto"/>
                <w:szCs w:val="21"/>
                <w:highlight w:val="none"/>
                <w:lang w:val="en-US" w:eastAsia="zh-CN"/>
              </w:rPr>
              <w:t>0</w:t>
            </w:r>
          </w:p>
        </w:tc>
        <w:tc>
          <w:tcPr>
            <w:tcW w:w="1455" w:type="dxa"/>
            <w:noWrap w:val="0"/>
            <w:vAlign w:val="center"/>
          </w:tcPr>
          <w:p w14:paraId="5C819785">
            <w:pPr>
              <w:snapToGrid w:val="0"/>
              <w:spacing w:line="320" w:lineRule="exact"/>
              <w:jc w:val="center"/>
              <w:rPr>
                <w:rFonts w:hint="eastAsia"/>
                <w:color w:val="auto"/>
                <w:szCs w:val="21"/>
                <w:highlight w:val="none"/>
              </w:rPr>
            </w:pPr>
          </w:p>
        </w:tc>
        <w:tc>
          <w:tcPr>
            <w:tcW w:w="1257" w:type="dxa"/>
            <w:noWrap w:val="0"/>
            <w:vAlign w:val="center"/>
          </w:tcPr>
          <w:p w14:paraId="7E225CF1">
            <w:pPr>
              <w:spacing w:line="400" w:lineRule="exact"/>
              <w:jc w:val="center"/>
              <w:rPr>
                <w:rFonts w:hint="default" w:eastAsia="宋体"/>
                <w:b w:val="0"/>
                <w:bCs/>
                <w:color w:val="auto"/>
                <w:szCs w:val="21"/>
                <w:highlight w:val="none"/>
                <w:lang w:val="en-US" w:eastAsia="zh-CN"/>
              </w:rPr>
            </w:pPr>
            <w:r>
              <w:rPr>
                <w:rFonts w:hint="eastAsia"/>
                <w:b w:val="0"/>
                <w:bCs/>
                <w:color w:val="auto"/>
                <w:szCs w:val="21"/>
                <w:highlight w:val="none"/>
                <w:lang w:val="en-US" w:eastAsia="zh-CN"/>
              </w:rPr>
              <w:t>12</w:t>
            </w:r>
          </w:p>
        </w:tc>
        <w:tc>
          <w:tcPr>
            <w:tcW w:w="1601" w:type="dxa"/>
            <w:noWrap w:val="0"/>
            <w:vAlign w:val="center"/>
          </w:tcPr>
          <w:p w14:paraId="23BFBD26">
            <w:pPr>
              <w:spacing w:line="400" w:lineRule="exact"/>
              <w:jc w:val="center"/>
              <w:rPr>
                <w:b/>
                <w:color w:val="auto"/>
                <w:szCs w:val="21"/>
                <w:highlight w:val="none"/>
              </w:rPr>
            </w:pPr>
          </w:p>
        </w:tc>
        <w:tc>
          <w:tcPr>
            <w:tcW w:w="450" w:type="dxa"/>
            <w:noWrap w:val="0"/>
            <w:vAlign w:val="center"/>
          </w:tcPr>
          <w:p w14:paraId="470AE9E2">
            <w:pPr>
              <w:spacing w:line="400" w:lineRule="exact"/>
              <w:jc w:val="center"/>
              <w:rPr>
                <w:b/>
                <w:color w:val="auto"/>
                <w:szCs w:val="21"/>
                <w:highlight w:val="none"/>
              </w:rPr>
            </w:pPr>
          </w:p>
        </w:tc>
      </w:tr>
      <w:tr w14:paraId="3DC2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2" w:hRule="atLeast"/>
        </w:trPr>
        <w:tc>
          <w:tcPr>
            <w:tcW w:w="478" w:type="dxa"/>
            <w:noWrap w:val="0"/>
            <w:vAlign w:val="center"/>
          </w:tcPr>
          <w:p w14:paraId="74396879">
            <w:pPr>
              <w:widowControl/>
              <w:spacing w:line="400" w:lineRule="exact"/>
              <w:jc w:val="center"/>
              <w:textAlignment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2</w:t>
            </w:r>
          </w:p>
        </w:tc>
        <w:tc>
          <w:tcPr>
            <w:tcW w:w="972" w:type="dxa"/>
            <w:vMerge w:val="continue"/>
            <w:noWrap w:val="0"/>
            <w:vAlign w:val="center"/>
          </w:tcPr>
          <w:p w14:paraId="6ECBCAA3">
            <w:pPr>
              <w:spacing w:line="400" w:lineRule="exact"/>
              <w:jc w:val="center"/>
              <w:rPr>
                <w:rFonts w:hint="default"/>
                <w:color w:val="auto"/>
                <w:szCs w:val="21"/>
                <w:highlight w:val="none"/>
                <w:lang w:val="en-US"/>
              </w:rPr>
            </w:pPr>
          </w:p>
        </w:tc>
        <w:tc>
          <w:tcPr>
            <w:tcW w:w="1695" w:type="dxa"/>
            <w:noWrap w:val="0"/>
            <w:vAlign w:val="center"/>
          </w:tcPr>
          <w:p w14:paraId="53CCD926">
            <w:pPr>
              <w:spacing w:line="400" w:lineRule="exact"/>
              <w:jc w:val="center"/>
              <w:rPr>
                <w:rFonts w:hint="default"/>
                <w:color w:val="auto"/>
                <w:szCs w:val="21"/>
                <w:highlight w:val="none"/>
                <w:lang w:val="en-US"/>
              </w:rPr>
            </w:pPr>
            <w:r>
              <w:rPr>
                <w:rFonts w:hint="default"/>
                <w:color w:val="auto"/>
                <w:szCs w:val="21"/>
                <w:highlight w:val="none"/>
                <w:lang w:val="en-US"/>
              </w:rPr>
              <w:t>46-55岁安保人员</w:t>
            </w:r>
          </w:p>
        </w:tc>
        <w:tc>
          <w:tcPr>
            <w:tcW w:w="1080" w:type="dxa"/>
            <w:vMerge w:val="continue"/>
            <w:noWrap w:val="0"/>
            <w:vAlign w:val="center"/>
          </w:tcPr>
          <w:p w14:paraId="6E4A318A">
            <w:pPr>
              <w:spacing w:line="400" w:lineRule="exact"/>
              <w:jc w:val="left"/>
              <w:rPr>
                <w:color w:val="auto"/>
                <w:szCs w:val="21"/>
                <w:highlight w:val="none"/>
              </w:rPr>
            </w:pPr>
          </w:p>
        </w:tc>
        <w:tc>
          <w:tcPr>
            <w:tcW w:w="855" w:type="dxa"/>
            <w:noWrap w:val="0"/>
            <w:vAlign w:val="center"/>
          </w:tcPr>
          <w:p w14:paraId="32BC9B23">
            <w:pPr>
              <w:snapToGrid w:val="0"/>
              <w:spacing w:line="320" w:lineRule="exact"/>
              <w:jc w:val="center"/>
              <w:rPr>
                <w:rStyle w:val="46"/>
                <w:rFonts w:hint="default" w:ascii="宋体" w:hAnsi="宋体" w:eastAsia="宋体"/>
                <w:color w:val="auto"/>
                <w:szCs w:val="21"/>
                <w:highlight w:val="none"/>
                <w:lang w:val="en-US" w:eastAsia="zh-CN"/>
              </w:rPr>
            </w:pPr>
            <w:r>
              <w:rPr>
                <w:rStyle w:val="46"/>
                <w:rFonts w:hint="eastAsia" w:ascii="宋体" w:hAnsi="宋体"/>
                <w:color w:val="auto"/>
                <w:szCs w:val="21"/>
                <w:highlight w:val="none"/>
                <w:lang w:val="en-US" w:eastAsia="zh-CN"/>
              </w:rPr>
              <w:t>11</w:t>
            </w:r>
          </w:p>
        </w:tc>
        <w:tc>
          <w:tcPr>
            <w:tcW w:w="1455" w:type="dxa"/>
            <w:noWrap w:val="0"/>
            <w:vAlign w:val="center"/>
          </w:tcPr>
          <w:p w14:paraId="383561CD">
            <w:pPr>
              <w:snapToGrid w:val="0"/>
              <w:spacing w:line="320" w:lineRule="exact"/>
              <w:jc w:val="center"/>
              <w:rPr>
                <w:rStyle w:val="46"/>
                <w:rFonts w:ascii="宋体" w:hAnsi="宋体"/>
                <w:color w:val="auto"/>
                <w:szCs w:val="21"/>
                <w:highlight w:val="none"/>
              </w:rPr>
            </w:pPr>
          </w:p>
        </w:tc>
        <w:tc>
          <w:tcPr>
            <w:tcW w:w="1257" w:type="dxa"/>
            <w:noWrap w:val="0"/>
            <w:vAlign w:val="center"/>
          </w:tcPr>
          <w:p w14:paraId="19A008D7">
            <w:pPr>
              <w:spacing w:line="400" w:lineRule="exact"/>
              <w:jc w:val="center"/>
              <w:rPr>
                <w:rFonts w:hint="default" w:eastAsia="宋体"/>
                <w:b w:val="0"/>
                <w:bCs/>
                <w:color w:val="auto"/>
                <w:szCs w:val="21"/>
                <w:highlight w:val="none"/>
                <w:lang w:val="en-US" w:eastAsia="zh-CN"/>
              </w:rPr>
            </w:pPr>
            <w:r>
              <w:rPr>
                <w:rFonts w:hint="eastAsia"/>
                <w:b w:val="0"/>
                <w:bCs/>
                <w:color w:val="auto"/>
                <w:szCs w:val="21"/>
                <w:highlight w:val="none"/>
                <w:lang w:val="en-US" w:eastAsia="zh-CN"/>
              </w:rPr>
              <w:t>12</w:t>
            </w:r>
          </w:p>
        </w:tc>
        <w:tc>
          <w:tcPr>
            <w:tcW w:w="1601" w:type="dxa"/>
            <w:noWrap w:val="0"/>
            <w:vAlign w:val="center"/>
          </w:tcPr>
          <w:p w14:paraId="06104031">
            <w:pPr>
              <w:spacing w:line="400" w:lineRule="exact"/>
              <w:jc w:val="center"/>
              <w:rPr>
                <w:b/>
                <w:color w:val="auto"/>
                <w:szCs w:val="21"/>
                <w:highlight w:val="none"/>
              </w:rPr>
            </w:pPr>
          </w:p>
        </w:tc>
        <w:tc>
          <w:tcPr>
            <w:tcW w:w="450" w:type="dxa"/>
            <w:noWrap w:val="0"/>
            <w:vAlign w:val="center"/>
          </w:tcPr>
          <w:p w14:paraId="71E0B67B">
            <w:pPr>
              <w:spacing w:line="400" w:lineRule="exact"/>
              <w:jc w:val="center"/>
              <w:rPr>
                <w:b/>
                <w:color w:val="auto"/>
                <w:szCs w:val="21"/>
                <w:highlight w:val="none"/>
              </w:rPr>
            </w:pPr>
          </w:p>
        </w:tc>
      </w:tr>
      <w:tr w14:paraId="7DFF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2" w:hRule="atLeast"/>
        </w:trPr>
        <w:tc>
          <w:tcPr>
            <w:tcW w:w="478" w:type="dxa"/>
            <w:noWrap w:val="0"/>
            <w:vAlign w:val="center"/>
          </w:tcPr>
          <w:p w14:paraId="00FA3227">
            <w:pPr>
              <w:widowControl/>
              <w:spacing w:line="400" w:lineRule="exact"/>
              <w:jc w:val="center"/>
              <w:textAlignment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3</w:t>
            </w:r>
          </w:p>
        </w:tc>
        <w:tc>
          <w:tcPr>
            <w:tcW w:w="972" w:type="dxa"/>
            <w:vMerge w:val="continue"/>
            <w:noWrap w:val="0"/>
            <w:vAlign w:val="center"/>
          </w:tcPr>
          <w:p w14:paraId="54D6524D">
            <w:pPr>
              <w:spacing w:line="400" w:lineRule="exact"/>
              <w:jc w:val="center"/>
              <w:rPr>
                <w:rFonts w:hint="default"/>
                <w:color w:val="auto"/>
                <w:szCs w:val="21"/>
                <w:highlight w:val="none"/>
                <w:lang w:val="en-US"/>
              </w:rPr>
            </w:pPr>
          </w:p>
        </w:tc>
        <w:tc>
          <w:tcPr>
            <w:tcW w:w="1695" w:type="dxa"/>
            <w:noWrap w:val="0"/>
            <w:vAlign w:val="center"/>
          </w:tcPr>
          <w:p w14:paraId="61B9084B">
            <w:pPr>
              <w:spacing w:line="400" w:lineRule="exact"/>
              <w:jc w:val="center"/>
              <w:rPr>
                <w:rFonts w:hint="eastAsia"/>
                <w:color w:val="auto"/>
                <w:highlight w:val="none"/>
                <w:lang w:eastAsia="zh-CN"/>
              </w:rPr>
            </w:pPr>
            <w:r>
              <w:rPr>
                <w:rFonts w:hint="eastAsia"/>
                <w:color w:val="auto"/>
                <w:highlight w:val="none"/>
                <w:lang w:eastAsia="zh-CN"/>
              </w:rPr>
              <w:t>监控室值班人员</w:t>
            </w:r>
          </w:p>
        </w:tc>
        <w:tc>
          <w:tcPr>
            <w:tcW w:w="1080" w:type="dxa"/>
            <w:vMerge w:val="continue"/>
            <w:noWrap w:val="0"/>
            <w:vAlign w:val="center"/>
          </w:tcPr>
          <w:p w14:paraId="53F4DB33">
            <w:pPr>
              <w:spacing w:line="400" w:lineRule="exact"/>
              <w:jc w:val="left"/>
              <w:rPr>
                <w:color w:val="auto"/>
                <w:szCs w:val="21"/>
                <w:highlight w:val="none"/>
              </w:rPr>
            </w:pPr>
          </w:p>
        </w:tc>
        <w:tc>
          <w:tcPr>
            <w:tcW w:w="855" w:type="dxa"/>
            <w:noWrap w:val="0"/>
            <w:vAlign w:val="center"/>
          </w:tcPr>
          <w:p w14:paraId="33D36D70">
            <w:pPr>
              <w:snapToGrid w:val="0"/>
              <w:spacing w:line="320" w:lineRule="exact"/>
              <w:jc w:val="center"/>
              <w:rPr>
                <w:rStyle w:val="46"/>
                <w:rFonts w:ascii="宋体" w:hAnsi="宋体"/>
                <w:color w:val="auto"/>
                <w:szCs w:val="21"/>
                <w:highlight w:val="none"/>
              </w:rPr>
            </w:pPr>
            <w:r>
              <w:rPr>
                <w:rFonts w:hint="eastAsia"/>
                <w:color w:val="auto"/>
                <w:highlight w:val="none"/>
                <w:lang w:eastAsia="zh-CN"/>
              </w:rPr>
              <w:t>6</w:t>
            </w:r>
          </w:p>
        </w:tc>
        <w:tc>
          <w:tcPr>
            <w:tcW w:w="1455" w:type="dxa"/>
            <w:noWrap w:val="0"/>
            <w:vAlign w:val="center"/>
          </w:tcPr>
          <w:p w14:paraId="0338A7BB">
            <w:pPr>
              <w:snapToGrid w:val="0"/>
              <w:spacing w:line="320" w:lineRule="exact"/>
              <w:jc w:val="center"/>
              <w:rPr>
                <w:rStyle w:val="46"/>
                <w:rFonts w:ascii="宋体" w:hAnsi="宋体"/>
                <w:color w:val="auto"/>
                <w:szCs w:val="21"/>
                <w:highlight w:val="none"/>
              </w:rPr>
            </w:pPr>
          </w:p>
        </w:tc>
        <w:tc>
          <w:tcPr>
            <w:tcW w:w="1257" w:type="dxa"/>
            <w:noWrap w:val="0"/>
            <w:vAlign w:val="center"/>
          </w:tcPr>
          <w:p w14:paraId="6B440A05">
            <w:pPr>
              <w:spacing w:line="400" w:lineRule="exact"/>
              <w:jc w:val="center"/>
              <w:rPr>
                <w:rFonts w:hint="default" w:eastAsia="宋体"/>
                <w:b w:val="0"/>
                <w:bCs/>
                <w:color w:val="auto"/>
                <w:szCs w:val="21"/>
                <w:highlight w:val="none"/>
                <w:lang w:val="en-US" w:eastAsia="zh-CN"/>
              </w:rPr>
            </w:pPr>
            <w:r>
              <w:rPr>
                <w:rFonts w:hint="eastAsia"/>
                <w:b w:val="0"/>
                <w:bCs/>
                <w:color w:val="auto"/>
                <w:szCs w:val="21"/>
                <w:highlight w:val="none"/>
                <w:lang w:val="en-US" w:eastAsia="zh-CN"/>
              </w:rPr>
              <w:t>12</w:t>
            </w:r>
          </w:p>
        </w:tc>
        <w:tc>
          <w:tcPr>
            <w:tcW w:w="1601" w:type="dxa"/>
            <w:noWrap w:val="0"/>
            <w:vAlign w:val="center"/>
          </w:tcPr>
          <w:p w14:paraId="1B0796A7">
            <w:pPr>
              <w:spacing w:line="400" w:lineRule="exact"/>
              <w:jc w:val="center"/>
              <w:rPr>
                <w:b/>
                <w:color w:val="auto"/>
                <w:szCs w:val="21"/>
                <w:highlight w:val="none"/>
              </w:rPr>
            </w:pPr>
          </w:p>
        </w:tc>
        <w:tc>
          <w:tcPr>
            <w:tcW w:w="450" w:type="dxa"/>
            <w:noWrap w:val="0"/>
            <w:vAlign w:val="center"/>
          </w:tcPr>
          <w:p w14:paraId="091F4534">
            <w:pPr>
              <w:spacing w:line="400" w:lineRule="exact"/>
              <w:jc w:val="center"/>
              <w:rPr>
                <w:b/>
                <w:color w:val="auto"/>
                <w:szCs w:val="21"/>
                <w:highlight w:val="none"/>
              </w:rPr>
            </w:pPr>
          </w:p>
        </w:tc>
      </w:tr>
      <w:tr w14:paraId="207B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5" w:hRule="atLeast"/>
        </w:trPr>
        <w:tc>
          <w:tcPr>
            <w:tcW w:w="9843" w:type="dxa"/>
            <w:gridSpan w:val="9"/>
            <w:noWrap w:val="0"/>
            <w:vAlign w:val="center"/>
          </w:tcPr>
          <w:p w14:paraId="367E62FB">
            <w:pPr>
              <w:widowControl/>
              <w:spacing w:line="400" w:lineRule="exact"/>
              <w:jc w:val="left"/>
              <w:textAlignment w:val="center"/>
              <w:rPr>
                <w:color w:val="auto"/>
                <w:szCs w:val="21"/>
                <w:highlight w:val="none"/>
              </w:rPr>
            </w:pPr>
            <w:r>
              <w:rPr>
                <w:rFonts w:hint="eastAsia" w:hAnsi="宋体" w:cs="宋体"/>
                <w:color w:val="auto"/>
                <w:szCs w:val="21"/>
              </w:rPr>
              <w:t>投标总</w:t>
            </w:r>
            <w:r>
              <w:rPr>
                <w:rFonts w:hint="eastAsia" w:ascii="宋体" w:hAnsi="宋体" w:cs="宋体"/>
                <w:color w:val="auto"/>
                <w:szCs w:val="21"/>
              </w:rPr>
              <w:t>报价</w:t>
            </w:r>
            <w:r>
              <w:rPr>
                <w:rFonts w:hint="eastAsia" w:ascii="宋体" w:hAnsi="宋体"/>
                <w:color w:val="auto"/>
                <w:szCs w:val="21"/>
              </w:rPr>
              <w:t>（包含税费等所有费用）：</w:t>
            </w:r>
            <w:r>
              <w:rPr>
                <w:rFonts w:hint="eastAsia" w:ascii="宋体" w:hAnsi="宋体" w:cs="宋体"/>
                <w:color w:val="auto"/>
                <w:szCs w:val="21"/>
              </w:rPr>
              <w:t xml:space="preserve">（大写）人民币 </w:t>
            </w:r>
            <w:r>
              <w:rPr>
                <w:rFonts w:hint="eastAsia" w:ascii="宋体" w:hAnsi="宋体" w:cs="宋体"/>
                <w:color w:val="auto"/>
                <w:szCs w:val="21"/>
                <w:u w:val="single"/>
              </w:rPr>
              <w:t xml:space="preserve">                        </w:t>
            </w:r>
            <w:r>
              <w:rPr>
                <w:rFonts w:hint="eastAsia" w:ascii="宋体" w:hAnsi="宋体" w:cs="宋体"/>
                <w:color w:val="auto"/>
                <w:szCs w:val="21"/>
              </w:rPr>
              <w:t>（小写）¥</w:t>
            </w:r>
            <w:r>
              <w:rPr>
                <w:rFonts w:hint="eastAsia" w:ascii="宋体" w:hAnsi="宋体" w:cs="宋体"/>
                <w:color w:val="auto"/>
                <w:szCs w:val="21"/>
                <w:u w:val="single"/>
              </w:rPr>
              <w:t xml:space="preserve">          </w:t>
            </w:r>
          </w:p>
        </w:tc>
      </w:tr>
      <w:tr w14:paraId="31AA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2" w:hRule="atLeast"/>
        </w:trPr>
        <w:tc>
          <w:tcPr>
            <w:tcW w:w="9843" w:type="dxa"/>
            <w:gridSpan w:val="9"/>
            <w:noWrap w:val="0"/>
            <w:vAlign w:val="center"/>
          </w:tcPr>
          <w:p w14:paraId="746543C2">
            <w:pPr>
              <w:spacing w:line="360" w:lineRule="exact"/>
              <w:jc w:val="left"/>
              <w:rPr>
                <w:b/>
                <w:bCs/>
                <w:color w:val="auto"/>
                <w:szCs w:val="21"/>
                <w:highlight w:val="none"/>
              </w:rPr>
            </w:pPr>
            <w:r>
              <w:rPr>
                <w:rFonts w:hint="eastAsia" w:ascii="宋体" w:hAnsi="宋体" w:cs="宋体"/>
                <w:color w:val="auto"/>
                <w:szCs w:val="21"/>
                <w:highlight w:val="none"/>
              </w:rPr>
              <w:t>服务期限</w:t>
            </w:r>
            <w:r>
              <w:rPr>
                <w:b/>
                <w:bCs/>
                <w:color w:val="auto"/>
                <w:kern w:val="0"/>
                <w:szCs w:val="21"/>
                <w:highlight w:val="none"/>
              </w:rPr>
              <w:t>：</w:t>
            </w:r>
          </w:p>
        </w:tc>
      </w:tr>
      <w:tr w14:paraId="201C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9843" w:type="dxa"/>
            <w:gridSpan w:val="9"/>
            <w:noWrap w:val="0"/>
            <w:vAlign w:val="center"/>
          </w:tcPr>
          <w:p w14:paraId="29E07123">
            <w:pPr>
              <w:widowControl/>
              <w:spacing w:line="400" w:lineRule="exact"/>
              <w:jc w:val="left"/>
              <w:textAlignment w:val="center"/>
              <w:rPr>
                <w:color w:val="auto"/>
                <w:highlight w:val="none"/>
              </w:rPr>
            </w:pPr>
            <w:r>
              <w:rPr>
                <w:color w:val="auto"/>
                <w:highlight w:val="none"/>
              </w:rPr>
              <w:t>说明：</w:t>
            </w:r>
          </w:p>
          <w:p w14:paraId="47BC53A7">
            <w:pPr>
              <w:widowControl/>
              <w:numPr>
                <w:ilvl w:val="0"/>
                <w:numId w:val="0"/>
              </w:numPr>
              <w:spacing w:line="400" w:lineRule="exact"/>
              <w:jc w:val="left"/>
              <w:textAlignment w:val="center"/>
              <w:rPr>
                <w:color w:val="auto"/>
                <w:highlight w:val="none"/>
              </w:rPr>
            </w:pPr>
            <w:r>
              <w:rPr>
                <w:rFonts w:ascii="Times New Roman" w:hAnsi="Times New Roman" w:eastAsia="宋体" w:cs="Times New Roman"/>
                <w:color w:val="auto"/>
                <w:kern w:val="2"/>
                <w:sz w:val="21"/>
                <w:szCs w:val="24"/>
                <w:lang w:val="en-US" w:eastAsia="zh-CN" w:bidi="ar-SA"/>
              </w:rPr>
              <w:t>（1）</w:t>
            </w:r>
            <w:r>
              <w:rPr>
                <w:rFonts w:hint="eastAsia" w:ascii="宋体" w:hAnsi="宋体" w:eastAsia="宋体" w:cs="宋体"/>
                <w:color w:val="auto"/>
                <w:sz w:val="21"/>
                <w:szCs w:val="21"/>
                <w:highlight w:val="none"/>
              </w:rPr>
              <w:t>投标报价应包括本次采购范围内的全部服务价款、</w:t>
            </w:r>
            <w:r>
              <w:rPr>
                <w:rFonts w:hint="eastAsia" w:ascii="宋体" w:hAnsi="宋体" w:eastAsia="宋体" w:cs="宋体"/>
                <w:color w:val="auto"/>
                <w:sz w:val="21"/>
                <w:szCs w:val="21"/>
                <w:highlight w:val="none"/>
                <w:shd w:val="clear" w:color="auto" w:fill="FFFFFF"/>
              </w:rPr>
              <w:t>服务人员费用（包括但不限于人员工资、社保费、劳保、服装、意外伤害保险、奖金、</w:t>
            </w:r>
            <w:r>
              <w:rPr>
                <w:rFonts w:hint="eastAsia" w:ascii="宋体" w:hAnsi="宋体" w:eastAsia="宋体" w:cs="宋体"/>
                <w:color w:val="auto"/>
                <w:sz w:val="21"/>
                <w:szCs w:val="21"/>
                <w:highlight w:val="none"/>
              </w:rPr>
              <w:t>加班费、夜班费、</w:t>
            </w:r>
            <w:r>
              <w:rPr>
                <w:rFonts w:hint="eastAsia"/>
                <w:color w:val="auto"/>
                <w:lang w:val="en-US" w:eastAsia="zh-CN"/>
              </w:rPr>
              <w:t>以</w:t>
            </w:r>
            <w:r>
              <w:rPr>
                <w:rFonts w:hint="eastAsia" w:ascii="宋体" w:hAnsi="宋体" w:eastAsia="宋体" w:cs="宋体"/>
                <w:color w:val="auto"/>
                <w:sz w:val="21"/>
                <w:szCs w:val="21"/>
                <w:highlight w:val="none"/>
              </w:rPr>
              <w:t>及其他各项福利待遇</w:t>
            </w:r>
            <w:r>
              <w:rPr>
                <w:rFonts w:hint="eastAsia" w:ascii="宋体" w:hAnsi="宋体" w:eastAsia="宋体" w:cs="宋体"/>
                <w:color w:val="auto"/>
                <w:sz w:val="21"/>
                <w:szCs w:val="21"/>
                <w:highlight w:val="none"/>
                <w:shd w:val="clear" w:color="auto" w:fill="FFFFFF"/>
              </w:rPr>
              <w:t>等）、办公费用（包括但不限于执勤设备费用、通讯费、办公用品、培训费、维护费、劳保用品等）、管理费、利润、税费等完成合同所需的一切本身和不可或缺的所有开支、政策性文件规定的合同包含的所有风险、责任等各项全部费用的总和。</w:t>
            </w:r>
            <w:r>
              <w:rPr>
                <w:rFonts w:hint="eastAsia"/>
                <w:color w:val="auto"/>
                <w:lang w:val="en-US" w:eastAsia="zh-CN"/>
              </w:rPr>
              <w:t>投标人</w:t>
            </w:r>
            <w:r>
              <w:rPr>
                <w:rFonts w:hint="eastAsia" w:ascii="宋体" w:hAnsi="宋体" w:eastAsia="宋体" w:cs="宋体"/>
                <w:color w:val="auto"/>
                <w:sz w:val="21"/>
                <w:szCs w:val="21"/>
                <w:highlight w:val="none"/>
              </w:rPr>
              <w:t>综合考虑在报价中</w:t>
            </w:r>
            <w:r>
              <w:rPr>
                <w:color w:val="auto"/>
                <w:highlight w:val="none"/>
              </w:rPr>
              <w:t>。</w:t>
            </w:r>
          </w:p>
          <w:p w14:paraId="28FF9FDD">
            <w:pPr>
              <w:spacing w:line="400" w:lineRule="exact"/>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b/>
                <w:bCs/>
                <w:color w:val="auto"/>
                <w:highlight w:val="none"/>
                <w:lang w:eastAsia="zh-CN"/>
              </w:rPr>
              <w:t>本项目需求18-45岁安保人员1</w:t>
            </w:r>
            <w:r>
              <w:rPr>
                <w:rFonts w:hint="eastAsia"/>
                <w:b/>
                <w:bCs/>
                <w:color w:val="auto"/>
                <w:highlight w:val="none"/>
                <w:lang w:val="en-US" w:eastAsia="zh-CN"/>
              </w:rPr>
              <w:t>0</w:t>
            </w:r>
            <w:r>
              <w:rPr>
                <w:rFonts w:hint="eastAsia"/>
                <w:b/>
                <w:bCs/>
                <w:color w:val="auto"/>
                <w:highlight w:val="none"/>
                <w:lang w:eastAsia="zh-CN"/>
              </w:rPr>
              <w:t>名，控制价27</w:t>
            </w:r>
            <w:r>
              <w:rPr>
                <w:rFonts w:hint="eastAsia"/>
                <w:b/>
                <w:bCs/>
                <w:color w:val="auto"/>
                <w:highlight w:val="none"/>
                <w:lang w:val="en-US" w:eastAsia="zh-CN"/>
              </w:rPr>
              <w:t>0</w:t>
            </w:r>
            <w:r>
              <w:rPr>
                <w:rFonts w:hint="eastAsia"/>
                <w:b/>
                <w:bCs/>
                <w:color w:val="auto"/>
                <w:highlight w:val="none"/>
                <w:lang w:eastAsia="zh-CN"/>
              </w:rPr>
              <w:t>0元/人/月，46-55岁安保人员1</w:t>
            </w:r>
            <w:r>
              <w:rPr>
                <w:rFonts w:hint="eastAsia"/>
                <w:b/>
                <w:bCs/>
                <w:color w:val="auto"/>
                <w:highlight w:val="none"/>
                <w:lang w:val="en-US" w:eastAsia="zh-CN"/>
              </w:rPr>
              <w:t>1</w:t>
            </w:r>
            <w:r>
              <w:rPr>
                <w:rFonts w:hint="eastAsia"/>
                <w:b/>
                <w:bCs/>
                <w:color w:val="auto"/>
                <w:highlight w:val="none"/>
                <w:lang w:eastAsia="zh-CN"/>
              </w:rPr>
              <w:t>名，控制价2</w:t>
            </w:r>
            <w:r>
              <w:rPr>
                <w:rFonts w:hint="eastAsia"/>
                <w:b/>
                <w:bCs/>
                <w:color w:val="auto"/>
                <w:highlight w:val="none"/>
                <w:lang w:val="en-US" w:eastAsia="zh-CN"/>
              </w:rPr>
              <w:t>45</w:t>
            </w:r>
            <w:r>
              <w:rPr>
                <w:rFonts w:hint="eastAsia"/>
                <w:b/>
                <w:bCs/>
                <w:color w:val="auto"/>
                <w:highlight w:val="none"/>
                <w:lang w:eastAsia="zh-CN"/>
              </w:rPr>
              <w:t>0元/人/月，监控室值班人员6名（</w:t>
            </w:r>
            <w:r>
              <w:rPr>
                <w:rFonts w:hint="eastAsia"/>
                <w:b/>
                <w:bCs/>
                <w:color w:val="auto"/>
                <w:highlight w:val="none"/>
                <w:lang w:val="en-US" w:eastAsia="zh-CN"/>
              </w:rPr>
              <w:t>须</w:t>
            </w:r>
            <w:r>
              <w:rPr>
                <w:rFonts w:hint="eastAsia"/>
                <w:b/>
                <w:bCs/>
                <w:color w:val="auto"/>
                <w:highlight w:val="none"/>
                <w:lang w:eastAsia="zh-CN"/>
              </w:rPr>
              <w:t>持有国家中级</w:t>
            </w:r>
            <w:r>
              <w:rPr>
                <w:rFonts w:hint="eastAsia"/>
                <w:b/>
                <w:bCs/>
                <w:color w:val="auto"/>
                <w:highlight w:val="none"/>
                <w:lang w:val="en-US" w:eastAsia="zh-CN"/>
              </w:rPr>
              <w:t>及以上</w:t>
            </w:r>
            <w:r>
              <w:rPr>
                <w:rFonts w:hint="eastAsia"/>
                <w:b/>
                <w:bCs/>
                <w:color w:val="auto"/>
                <w:highlight w:val="none"/>
                <w:lang w:eastAsia="zh-CN"/>
              </w:rPr>
              <w:t>消防设施操作员证书），控制价3</w:t>
            </w:r>
            <w:r>
              <w:rPr>
                <w:rFonts w:hint="eastAsia"/>
                <w:b/>
                <w:bCs/>
                <w:color w:val="auto"/>
                <w:highlight w:val="none"/>
                <w:lang w:val="en-US" w:eastAsia="zh-CN"/>
              </w:rPr>
              <w:t>25</w:t>
            </w:r>
            <w:r>
              <w:rPr>
                <w:rFonts w:hint="eastAsia"/>
                <w:b/>
                <w:bCs/>
                <w:color w:val="auto"/>
                <w:highlight w:val="none"/>
                <w:lang w:eastAsia="zh-CN"/>
              </w:rPr>
              <w:t>0元/人/月，</w:t>
            </w:r>
            <w:r>
              <w:rPr>
                <w:rFonts w:hint="eastAsia" w:ascii="宋体" w:hAnsi="宋体"/>
                <w:b/>
                <w:bCs/>
                <w:color w:val="auto"/>
                <w:szCs w:val="21"/>
                <w:highlight w:val="none"/>
              </w:rPr>
              <w:t>报价超过</w:t>
            </w:r>
            <w:r>
              <w:rPr>
                <w:rFonts w:hint="eastAsia" w:ascii="宋体" w:hAnsi="宋体"/>
                <w:b/>
                <w:bCs/>
                <w:color w:val="auto"/>
                <w:szCs w:val="21"/>
                <w:highlight w:val="none"/>
                <w:lang w:val="en-US" w:eastAsia="zh-CN"/>
              </w:rPr>
              <w:t>控制价</w:t>
            </w:r>
            <w:r>
              <w:rPr>
                <w:rFonts w:hint="eastAsia" w:ascii="宋体" w:hAnsi="宋体"/>
                <w:b/>
                <w:bCs/>
                <w:color w:val="auto"/>
                <w:szCs w:val="21"/>
                <w:highlight w:val="none"/>
              </w:rPr>
              <w:t>的，投标文件按无效处理</w:t>
            </w:r>
            <w:r>
              <w:rPr>
                <w:rFonts w:hint="eastAsia" w:ascii="宋体" w:hAnsi="宋体"/>
                <w:color w:val="auto"/>
                <w:szCs w:val="21"/>
                <w:highlight w:val="none"/>
              </w:rPr>
              <w:t>。</w:t>
            </w:r>
          </w:p>
        </w:tc>
      </w:tr>
    </w:tbl>
    <w:p w14:paraId="6F00B9BF">
      <w:pPr>
        <w:snapToGrid w:val="0"/>
        <w:spacing w:before="50" w:after="50" w:line="360" w:lineRule="auto"/>
        <w:rPr>
          <w:rFonts w:ascii="宋体" w:hAnsi="宋体"/>
          <w:szCs w:val="21"/>
          <w:u w:val="single"/>
        </w:rPr>
      </w:pPr>
      <w:r>
        <w:rPr>
          <w:rFonts w:hint="eastAsia" w:ascii="宋体" w:hAnsi="宋体"/>
          <w:szCs w:val="21"/>
        </w:rPr>
        <w:t xml:space="preserve">              </w:t>
      </w:r>
    </w:p>
    <w:p w14:paraId="52141111">
      <w:pPr>
        <w:snapToGrid w:val="0"/>
        <w:spacing w:before="50" w:after="50"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 xml:space="preserve">注： </w:t>
      </w:r>
    </w:p>
    <w:p w14:paraId="7B87273F">
      <w:pPr>
        <w:snapToGrid w:val="0"/>
        <w:spacing w:before="50" w:after="50"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1、 投标人需按本表格式填写，不得自行更改，也不得留空（</w:t>
      </w:r>
      <w:r>
        <w:rPr>
          <w:rFonts w:hint="eastAsia" w:ascii="宋体" w:hAnsi="宋体" w:cs="宋体"/>
          <w:szCs w:val="21"/>
        </w:rPr>
        <w:t>备注栏除外</w:t>
      </w:r>
      <w:r>
        <w:rPr>
          <w:rFonts w:hint="eastAsia" w:ascii="宋体" w:hAnsi="宋体" w:cs="宋体"/>
          <w:kern w:val="0"/>
          <w:szCs w:val="21"/>
          <w:lang w:val="zh-CN"/>
        </w:rPr>
        <w:t>）, 如有多分标，按分标分别提供开标一览表，必须加盖投标人有效公章，</w:t>
      </w:r>
      <w:r>
        <w:rPr>
          <w:rFonts w:hint="eastAsia" w:ascii="宋体" w:hAnsi="宋体" w:cs="宋体"/>
          <w:b/>
          <w:kern w:val="0"/>
          <w:szCs w:val="21"/>
          <w:lang w:val="zh-CN"/>
        </w:rPr>
        <w:t>否则其投标作无效标处理。</w:t>
      </w:r>
    </w:p>
    <w:p w14:paraId="123ACD98">
      <w:pPr>
        <w:snapToGrid w:val="0"/>
        <w:spacing w:before="50" w:after="50"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2、本表内容均不能涂改，</w:t>
      </w:r>
      <w:r>
        <w:rPr>
          <w:rFonts w:hint="eastAsia" w:ascii="宋体" w:hAnsi="宋体" w:cs="宋体"/>
          <w:b/>
          <w:kern w:val="0"/>
          <w:szCs w:val="21"/>
          <w:lang w:val="zh-CN"/>
        </w:rPr>
        <w:t>否则其投标作无效标处理。</w:t>
      </w:r>
    </w:p>
    <w:p w14:paraId="5BA6F275">
      <w:pPr>
        <w:snapToGrid w:val="0"/>
        <w:spacing w:before="50" w:after="50" w:line="360" w:lineRule="auto"/>
        <w:ind w:firstLine="420" w:firstLineChars="200"/>
        <w:jc w:val="left"/>
        <w:rPr>
          <w:rFonts w:ascii="宋体" w:hAnsi="宋体" w:cs="宋体"/>
          <w:b/>
          <w:kern w:val="0"/>
          <w:szCs w:val="21"/>
          <w:lang w:val="zh-CN"/>
        </w:rPr>
      </w:pPr>
      <w:r>
        <w:rPr>
          <w:rFonts w:hint="eastAsia" w:ascii="宋体" w:hAnsi="宋体" w:cs="宋体"/>
          <w:kern w:val="0"/>
          <w:szCs w:val="21"/>
          <w:lang w:val="zh-CN"/>
        </w:rPr>
        <w:t>3、如为联合体投标，“投标人名称”处必须列明联合体各方名称，并标注联合体牵头人名称，且盖章处须加盖联合体各方公章，</w:t>
      </w:r>
      <w:r>
        <w:rPr>
          <w:rFonts w:hint="eastAsia" w:ascii="宋体" w:hAnsi="宋体" w:cs="宋体"/>
          <w:b/>
          <w:kern w:val="0"/>
          <w:szCs w:val="21"/>
          <w:lang w:val="zh-CN"/>
        </w:rPr>
        <w:t>否则其投标作无效标处理。</w:t>
      </w:r>
    </w:p>
    <w:p w14:paraId="6C407B46">
      <w:pPr>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4、</w:t>
      </w:r>
      <w:r>
        <w:rPr>
          <w:rFonts w:hint="eastAsia" w:ascii="宋体" w:hAnsi="宋体" w:cs="宋体"/>
          <w:kern w:val="0"/>
          <w:szCs w:val="21"/>
        </w:rPr>
        <w:t>请</w:t>
      </w:r>
      <w:r>
        <w:rPr>
          <w:rFonts w:hint="eastAsia" w:ascii="宋体" w:hAnsi="宋体" w:cs="宋体"/>
          <w:szCs w:val="21"/>
        </w:rPr>
        <w:t>根据所投</w:t>
      </w:r>
      <w:r>
        <w:rPr>
          <w:rFonts w:hint="eastAsia" w:hAnsi="宋体" w:cs="宋体"/>
          <w:szCs w:val="21"/>
        </w:rPr>
        <w:t>服务内容</w:t>
      </w:r>
      <w:r>
        <w:rPr>
          <w:rFonts w:hint="eastAsia" w:ascii="宋体" w:hAnsi="宋体" w:cs="宋体"/>
          <w:szCs w:val="21"/>
        </w:rPr>
        <w:t>，逐条对应本项目招标文件“第二章 采购需求”中</w:t>
      </w:r>
      <w:r>
        <w:rPr>
          <w:rFonts w:hint="eastAsia" w:ascii="宋体" w:hAnsi="宋体" w:cs="宋体"/>
          <w:kern w:val="0"/>
          <w:szCs w:val="21"/>
          <w:lang w:val="zh-CN"/>
        </w:rPr>
        <w:t>“服务要求”的</w:t>
      </w:r>
      <w:r>
        <w:rPr>
          <w:rFonts w:hint="eastAsia" w:hAnsi="宋体" w:cs="宋体"/>
          <w:szCs w:val="21"/>
        </w:rPr>
        <w:t>内容</w:t>
      </w:r>
      <w:r>
        <w:rPr>
          <w:rFonts w:hint="eastAsia" w:ascii="宋体" w:hAnsi="宋体" w:cs="宋体"/>
          <w:szCs w:val="21"/>
        </w:rPr>
        <w:t>详细填写相应的具体内容。</w:t>
      </w:r>
    </w:p>
    <w:p w14:paraId="3EB1F143">
      <w:pPr>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5、特别提示：采购代理机构将对项目名称和项目编号，中标</w:t>
      </w:r>
      <w:r>
        <w:rPr>
          <w:rFonts w:hint="eastAsia" w:ascii="宋体" w:hAnsi="宋体" w:cs="宋体"/>
          <w:kern w:val="0"/>
          <w:szCs w:val="21"/>
        </w:rPr>
        <w:t>人</w:t>
      </w:r>
      <w:r>
        <w:rPr>
          <w:rFonts w:hint="eastAsia" w:ascii="宋体" w:hAnsi="宋体" w:cs="宋体"/>
          <w:kern w:val="0"/>
          <w:szCs w:val="21"/>
          <w:lang w:val="zh-CN"/>
        </w:rPr>
        <w:t>名称、地址和中标金额，主要中标标的名称、服务范围、服务要求、服务时间、服务标准等予以公示。</w:t>
      </w:r>
    </w:p>
    <w:p w14:paraId="691D1F03">
      <w:pPr>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1602F4E">
      <w:pPr>
        <w:pStyle w:val="9"/>
        <w:spacing w:line="360" w:lineRule="auto"/>
        <w:rPr>
          <w:rFonts w:ascii="宋体" w:hAnsi="宋体" w:cs="宋体"/>
          <w:szCs w:val="21"/>
          <w:lang w:val="zh-CN"/>
        </w:rPr>
      </w:pPr>
    </w:p>
    <w:p w14:paraId="680B430E">
      <w:pPr>
        <w:snapToGrid w:val="0"/>
        <w:spacing w:line="360" w:lineRule="auto"/>
        <w:ind w:firstLine="5670" w:firstLineChars="2700"/>
        <w:rPr>
          <w:rFonts w:ascii="宋体" w:hAnsi="宋体" w:cs="宋体"/>
          <w:kern w:val="0"/>
          <w:szCs w:val="21"/>
        </w:rPr>
      </w:pPr>
      <w:r>
        <w:rPr>
          <w:rFonts w:hint="eastAsia" w:ascii="宋体" w:hAnsi="宋体" w:cs="宋体"/>
          <w:kern w:val="0"/>
          <w:szCs w:val="21"/>
          <w:lang w:val="zh-CN"/>
        </w:rPr>
        <w:t>投标人名称(盖公章)：</w:t>
      </w:r>
    </w:p>
    <w:p w14:paraId="3B4E9651">
      <w:pPr>
        <w:snapToGrid w:val="0"/>
        <w:spacing w:line="360" w:lineRule="auto"/>
        <w:ind w:firstLine="5670" w:firstLineChars="270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14:paraId="04280DDC">
      <w:pPr>
        <w:widowControl/>
        <w:jc w:val="left"/>
        <w:rPr>
          <w:rFonts w:ascii="宋体" w:hAnsi="宋体" w:cs="宋体"/>
          <w:color w:val="000000"/>
          <w:szCs w:val="21"/>
        </w:rPr>
        <w:sectPr>
          <w:pgSz w:w="11905" w:h="16838"/>
          <w:pgMar w:top="1134" w:right="1134" w:bottom="1134" w:left="1134" w:header="850" w:footer="850" w:gutter="0"/>
          <w:cols w:space="0" w:num="1"/>
          <w:titlePg/>
          <w:docGrid w:linePitch="331" w:charSpace="0"/>
        </w:sectPr>
      </w:pPr>
    </w:p>
    <w:p w14:paraId="320F769B">
      <w:pPr>
        <w:snapToGrid w:val="0"/>
        <w:spacing w:before="120" w:beforeLines="50" w:after="50"/>
        <w:jc w:val="center"/>
        <w:outlineLvl w:val="1"/>
        <w:rPr>
          <w:rFonts w:ascii="宋体" w:hAnsi="宋体"/>
          <w:b/>
          <w:bCs/>
          <w:color w:val="000000"/>
          <w:sz w:val="28"/>
          <w:szCs w:val="28"/>
        </w:rPr>
      </w:pPr>
      <w:bookmarkStart w:id="388" w:name="_Toc2783"/>
      <w:r>
        <w:rPr>
          <w:rFonts w:hint="eastAsia" w:ascii="宋体" w:hAnsi="宋体"/>
          <w:b/>
          <w:bCs/>
          <w:color w:val="000000"/>
          <w:sz w:val="28"/>
          <w:szCs w:val="28"/>
        </w:rPr>
        <w:t>第四节 其他文书、文件格式</w:t>
      </w:r>
      <w:bookmarkEnd w:id="388"/>
    </w:p>
    <w:p w14:paraId="100DD712">
      <w:pPr>
        <w:pStyle w:val="13"/>
        <w:jc w:val="center"/>
        <w:rPr>
          <w:rFonts w:ascii="Times New Roman" w:hAnsi="Times New Roman"/>
          <w:b/>
          <w:sz w:val="30"/>
          <w:szCs w:val="30"/>
        </w:rPr>
      </w:pPr>
    </w:p>
    <w:p w14:paraId="1171DE44">
      <w:pPr>
        <w:pStyle w:val="13"/>
        <w:jc w:val="left"/>
        <w:rPr>
          <w:rFonts w:ascii="Times New Roman" w:hAnsi="Times New Roman"/>
          <w:b/>
          <w:sz w:val="30"/>
          <w:szCs w:val="30"/>
        </w:rPr>
      </w:pPr>
      <w:r>
        <w:rPr>
          <w:rFonts w:hint="eastAsia" w:hAnsi="宋体" w:cs="宋体"/>
          <w:b/>
          <w:sz w:val="28"/>
          <w:szCs w:val="28"/>
        </w:rPr>
        <w:t>1.中小企业声明函的格式：</w:t>
      </w:r>
    </w:p>
    <w:p w14:paraId="2AF98943">
      <w:pPr>
        <w:pStyle w:val="13"/>
        <w:jc w:val="center"/>
        <w:rPr>
          <w:rFonts w:ascii="Times New Roman" w:hAnsi="Times New Roman"/>
          <w:b/>
          <w:sz w:val="30"/>
          <w:szCs w:val="30"/>
        </w:rPr>
      </w:pPr>
    </w:p>
    <w:p w14:paraId="6FD59DB3">
      <w:pPr>
        <w:pStyle w:val="13"/>
        <w:jc w:val="center"/>
        <w:rPr>
          <w:rFonts w:ascii="Times New Roman" w:hAnsi="Times New Roman"/>
          <w:b/>
          <w:sz w:val="30"/>
          <w:szCs w:val="30"/>
        </w:rPr>
      </w:pPr>
      <w:r>
        <w:rPr>
          <w:rFonts w:hint="eastAsia" w:ascii="Times New Roman" w:hAnsi="Times New Roman"/>
          <w:b/>
          <w:sz w:val="30"/>
          <w:szCs w:val="30"/>
        </w:rPr>
        <w:t>中小企业声明函</w:t>
      </w:r>
    </w:p>
    <w:p w14:paraId="7D651B50">
      <w:pPr>
        <w:pStyle w:val="11"/>
        <w:spacing w:line="240" w:lineRule="auto"/>
        <w:ind w:firstLine="404" w:firstLineChars="200"/>
        <w:rPr>
          <w:rFonts w:ascii="Times New Roman" w:hAnsi="宋体"/>
          <w:sz w:val="21"/>
          <w:szCs w:val="21"/>
        </w:rPr>
      </w:pPr>
    </w:p>
    <w:p w14:paraId="47A8F812">
      <w:pPr>
        <w:autoSpaceDE w:val="0"/>
        <w:autoSpaceDN w:val="0"/>
        <w:adjustRightInd w:val="0"/>
        <w:spacing w:line="360" w:lineRule="auto"/>
        <w:ind w:firstLine="424" w:firstLineChars="202"/>
        <w:jc w:val="left"/>
        <w:rPr>
          <w:rFonts w:ascii="宋体" w:hAnsi="宋体" w:cs="宋体"/>
          <w:color w:val="000000"/>
          <w:kern w:val="0"/>
          <w:szCs w:val="21"/>
        </w:rPr>
      </w:pPr>
      <w:r>
        <w:rPr>
          <w:rFonts w:hint="eastAsia" w:ascii="宋体" w:hAnsi="宋体" w:cs="宋体"/>
          <w:color w:val="000000"/>
          <w:kern w:val="0"/>
          <w:szCs w:val="21"/>
        </w:rPr>
        <w:t>本公司（联合体）郑重声明，根据《政府采购促进中小企业发展管理办法》（财库﹝2020﹞46 号）的规定，本公司（联合体）参加</w:t>
      </w:r>
      <w:r>
        <w:rPr>
          <w:rFonts w:hint="eastAsia" w:ascii="宋体" w:hAnsi="宋体" w:cs="宋体"/>
          <w:i/>
          <w:color w:val="000000"/>
          <w:kern w:val="0"/>
          <w:szCs w:val="21"/>
          <w:u w:val="single"/>
        </w:rPr>
        <w:t>（单位名称）</w:t>
      </w:r>
      <w:r>
        <w:rPr>
          <w:rFonts w:hint="eastAsia" w:ascii="宋体" w:hAnsi="宋体" w:cs="宋体"/>
          <w:color w:val="000000"/>
          <w:kern w:val="0"/>
          <w:szCs w:val="21"/>
        </w:rPr>
        <w:t>的</w:t>
      </w:r>
      <w:r>
        <w:rPr>
          <w:rFonts w:hint="eastAsia" w:ascii="宋体" w:hAnsi="宋体" w:cs="宋体"/>
          <w:i/>
          <w:color w:val="000000"/>
          <w:kern w:val="0"/>
          <w:szCs w:val="21"/>
          <w:u w:val="single"/>
        </w:rPr>
        <w:t>（项目名称）</w:t>
      </w:r>
      <w:r>
        <w:rPr>
          <w:rFonts w:hint="eastAsia" w:ascii="宋体" w:hAnsi="宋体" w:cs="宋体"/>
          <w:color w:val="000000"/>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69285D3A">
      <w:pPr>
        <w:autoSpaceDE w:val="0"/>
        <w:autoSpaceDN w:val="0"/>
        <w:adjustRightInd w:val="0"/>
        <w:spacing w:line="360" w:lineRule="auto"/>
        <w:ind w:firstLine="424" w:firstLineChars="202"/>
        <w:jc w:val="left"/>
        <w:rPr>
          <w:rFonts w:ascii="宋体" w:hAnsi="宋体" w:cs="宋体"/>
          <w:color w:val="000000"/>
          <w:kern w:val="0"/>
          <w:szCs w:val="21"/>
        </w:rPr>
      </w:pPr>
      <w:r>
        <w:rPr>
          <w:rFonts w:hint="eastAsia" w:ascii="宋体" w:hAnsi="宋体" w:cs="宋体"/>
          <w:color w:val="000000"/>
          <w:kern w:val="0"/>
          <w:szCs w:val="21"/>
        </w:rPr>
        <w:t xml:space="preserve">1. </w:t>
      </w:r>
      <w:r>
        <w:rPr>
          <w:rFonts w:hint="eastAsia" w:ascii="宋体" w:hAnsi="宋体" w:cs="宋体"/>
          <w:i/>
          <w:color w:val="000000"/>
          <w:kern w:val="0"/>
          <w:szCs w:val="21"/>
          <w:u w:val="single"/>
        </w:rPr>
        <w:t>（标的名称）</w:t>
      </w:r>
      <w:r>
        <w:rPr>
          <w:rFonts w:hint="eastAsia" w:ascii="宋体" w:hAnsi="宋体" w:cs="宋体"/>
          <w:color w:val="000000"/>
          <w:kern w:val="0"/>
          <w:szCs w:val="21"/>
        </w:rPr>
        <w:t xml:space="preserve"> ，属于</w:t>
      </w:r>
      <w:r>
        <w:rPr>
          <w:rFonts w:hint="eastAsia" w:ascii="宋体" w:hAnsi="宋体" w:cs="宋体"/>
          <w:i/>
          <w:color w:val="000000"/>
          <w:kern w:val="0"/>
          <w:szCs w:val="21"/>
          <w:u w:val="single"/>
        </w:rPr>
        <w:t>（采购文件中明确的所属行业）</w:t>
      </w:r>
      <w:r>
        <w:rPr>
          <w:rFonts w:hint="eastAsia" w:ascii="宋体" w:hAnsi="宋体" w:cs="宋体"/>
          <w:color w:val="000000"/>
          <w:kern w:val="0"/>
          <w:szCs w:val="21"/>
        </w:rPr>
        <w:t>；承建（承接）企业为</w:t>
      </w:r>
      <w:r>
        <w:rPr>
          <w:rFonts w:hint="eastAsia" w:ascii="宋体" w:hAnsi="宋体" w:cs="宋体"/>
          <w:i/>
          <w:color w:val="000000"/>
          <w:kern w:val="0"/>
          <w:szCs w:val="21"/>
          <w:u w:val="single"/>
        </w:rPr>
        <w:t>（企业名称）</w:t>
      </w:r>
      <w:r>
        <w:rPr>
          <w:rFonts w:hint="eastAsia" w:ascii="宋体" w:hAnsi="宋体" w:cs="宋体"/>
          <w:color w:val="000000"/>
          <w:kern w:val="0"/>
          <w:szCs w:val="21"/>
        </w:rPr>
        <w:t>，从业人员</w:t>
      </w:r>
      <w:r>
        <w:rPr>
          <w:rFonts w:hint="eastAsia" w:ascii="宋体" w:hAnsi="宋体" w:cs="宋体"/>
          <w:color w:val="000000"/>
          <w:kern w:val="0"/>
          <w:szCs w:val="21"/>
          <w:u w:val="single"/>
        </w:rPr>
        <w:t xml:space="preserve">    </w:t>
      </w:r>
      <w:r>
        <w:rPr>
          <w:rFonts w:hint="eastAsia" w:ascii="宋体" w:hAnsi="宋体" w:cs="宋体"/>
          <w:color w:val="000000"/>
          <w:kern w:val="0"/>
          <w:szCs w:val="21"/>
        </w:rPr>
        <w:t>人，营业收入为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万元，资产总额为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万元，属于</w:t>
      </w:r>
      <w:r>
        <w:rPr>
          <w:rFonts w:hint="eastAsia" w:ascii="宋体" w:hAnsi="宋体" w:cs="宋体"/>
          <w:i/>
          <w:color w:val="000000"/>
          <w:kern w:val="0"/>
          <w:szCs w:val="21"/>
          <w:u w:val="single"/>
        </w:rPr>
        <w:t>（中型企业、小型企业、微型企业）</w:t>
      </w:r>
      <w:r>
        <w:rPr>
          <w:rFonts w:hint="eastAsia" w:ascii="宋体" w:hAnsi="宋体" w:cs="宋体"/>
          <w:color w:val="000000"/>
          <w:kern w:val="0"/>
          <w:szCs w:val="21"/>
        </w:rPr>
        <w:t>；</w:t>
      </w:r>
    </w:p>
    <w:p w14:paraId="7EFAB2F4">
      <w:pPr>
        <w:autoSpaceDE w:val="0"/>
        <w:autoSpaceDN w:val="0"/>
        <w:adjustRightInd w:val="0"/>
        <w:spacing w:line="360" w:lineRule="auto"/>
        <w:ind w:firstLine="424" w:firstLineChars="202"/>
        <w:jc w:val="left"/>
        <w:rPr>
          <w:rFonts w:ascii="宋体" w:hAnsi="宋体" w:cs="宋体"/>
          <w:color w:val="000000"/>
          <w:kern w:val="0"/>
          <w:szCs w:val="21"/>
        </w:rPr>
      </w:pPr>
      <w:r>
        <w:rPr>
          <w:rFonts w:hint="eastAsia" w:ascii="宋体" w:hAnsi="宋体" w:cs="宋体"/>
          <w:color w:val="000000"/>
          <w:kern w:val="0"/>
          <w:szCs w:val="21"/>
        </w:rPr>
        <w:t xml:space="preserve">2. </w:t>
      </w:r>
      <w:r>
        <w:rPr>
          <w:rFonts w:hint="eastAsia" w:ascii="宋体" w:hAnsi="宋体" w:cs="宋体"/>
          <w:i/>
          <w:color w:val="000000"/>
          <w:kern w:val="0"/>
          <w:szCs w:val="21"/>
          <w:u w:val="single"/>
        </w:rPr>
        <w:t>（标的名称）</w:t>
      </w:r>
      <w:r>
        <w:rPr>
          <w:rFonts w:hint="eastAsia" w:ascii="宋体" w:hAnsi="宋体" w:cs="宋体"/>
          <w:color w:val="000000"/>
          <w:kern w:val="0"/>
          <w:szCs w:val="21"/>
        </w:rPr>
        <w:t xml:space="preserve"> ，属于</w:t>
      </w:r>
      <w:r>
        <w:rPr>
          <w:rFonts w:hint="eastAsia" w:ascii="宋体" w:hAnsi="宋体" w:cs="宋体"/>
          <w:i/>
          <w:color w:val="000000"/>
          <w:kern w:val="0"/>
          <w:szCs w:val="21"/>
          <w:u w:val="single"/>
        </w:rPr>
        <w:t>（采购文件中明确的所属行业）</w:t>
      </w:r>
      <w:r>
        <w:rPr>
          <w:rFonts w:hint="eastAsia" w:ascii="宋体" w:hAnsi="宋体" w:cs="宋体"/>
          <w:color w:val="000000"/>
          <w:kern w:val="0"/>
          <w:szCs w:val="21"/>
        </w:rPr>
        <w:t>；承建（承接）企业为</w:t>
      </w:r>
      <w:r>
        <w:rPr>
          <w:rFonts w:hint="eastAsia" w:ascii="宋体" w:hAnsi="宋体" w:cs="宋体"/>
          <w:i/>
          <w:color w:val="000000"/>
          <w:kern w:val="0"/>
          <w:szCs w:val="21"/>
          <w:u w:val="single"/>
        </w:rPr>
        <w:t>（企业名称）</w:t>
      </w:r>
      <w:r>
        <w:rPr>
          <w:rFonts w:hint="eastAsia" w:ascii="宋体" w:hAnsi="宋体" w:cs="宋体"/>
          <w:color w:val="000000"/>
          <w:kern w:val="0"/>
          <w:szCs w:val="21"/>
        </w:rPr>
        <w:t>，从业人员</w:t>
      </w:r>
      <w:r>
        <w:rPr>
          <w:rFonts w:hint="eastAsia" w:ascii="宋体" w:hAnsi="宋体" w:cs="宋体"/>
          <w:color w:val="000000"/>
          <w:kern w:val="0"/>
          <w:szCs w:val="21"/>
          <w:u w:val="single"/>
        </w:rPr>
        <w:t xml:space="preserve">    </w:t>
      </w:r>
      <w:r>
        <w:rPr>
          <w:rFonts w:hint="eastAsia" w:ascii="宋体" w:hAnsi="宋体" w:cs="宋体"/>
          <w:color w:val="000000"/>
          <w:kern w:val="0"/>
          <w:szCs w:val="21"/>
        </w:rPr>
        <w:t>人，营业收入为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万元，资产总额为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万元，属于</w:t>
      </w:r>
      <w:r>
        <w:rPr>
          <w:rFonts w:hint="eastAsia" w:ascii="宋体" w:hAnsi="宋体" w:cs="宋体"/>
          <w:i/>
          <w:color w:val="000000"/>
          <w:kern w:val="0"/>
          <w:szCs w:val="21"/>
          <w:u w:val="single"/>
        </w:rPr>
        <w:t>（中型企业、小型企业、微型企业）</w:t>
      </w:r>
      <w:r>
        <w:rPr>
          <w:rFonts w:hint="eastAsia" w:ascii="宋体" w:hAnsi="宋体" w:cs="宋体"/>
          <w:color w:val="000000"/>
          <w:kern w:val="0"/>
          <w:szCs w:val="21"/>
        </w:rPr>
        <w:t>；</w:t>
      </w:r>
    </w:p>
    <w:p w14:paraId="7ACEB410">
      <w:pPr>
        <w:autoSpaceDE w:val="0"/>
        <w:autoSpaceDN w:val="0"/>
        <w:adjustRightInd w:val="0"/>
        <w:spacing w:line="360" w:lineRule="auto"/>
        <w:ind w:firstLine="424" w:firstLineChars="202"/>
        <w:jc w:val="left"/>
        <w:rPr>
          <w:rFonts w:ascii="宋体" w:hAnsi="宋体" w:cs="宋体"/>
          <w:color w:val="000000"/>
          <w:kern w:val="0"/>
          <w:szCs w:val="21"/>
        </w:rPr>
      </w:pPr>
      <w:r>
        <w:rPr>
          <w:rFonts w:hint="eastAsia" w:ascii="宋体" w:hAnsi="宋体" w:cs="宋体"/>
          <w:color w:val="000000"/>
          <w:kern w:val="0"/>
          <w:szCs w:val="21"/>
        </w:rPr>
        <w:t>……</w:t>
      </w:r>
    </w:p>
    <w:p w14:paraId="5A5D5353">
      <w:pPr>
        <w:autoSpaceDE w:val="0"/>
        <w:autoSpaceDN w:val="0"/>
        <w:adjustRightInd w:val="0"/>
        <w:spacing w:line="360" w:lineRule="auto"/>
        <w:ind w:firstLine="424" w:firstLineChars="202"/>
        <w:jc w:val="left"/>
        <w:rPr>
          <w:rFonts w:ascii="宋体" w:hAnsi="宋体" w:cs="宋体"/>
          <w:color w:val="000000"/>
          <w:kern w:val="0"/>
          <w:szCs w:val="21"/>
        </w:rPr>
      </w:pPr>
      <w:r>
        <w:rPr>
          <w:rFonts w:hint="eastAsia" w:ascii="宋体" w:hAnsi="宋体" w:cs="宋体"/>
          <w:color w:val="000000"/>
          <w:kern w:val="0"/>
          <w:szCs w:val="21"/>
        </w:rPr>
        <w:t>以上企业，不属于大企业的分支机构，不存在控股股东为大企业的情形，也不存在与大企业的负责人为同一人的情形。</w:t>
      </w:r>
    </w:p>
    <w:p w14:paraId="6F330A59">
      <w:pPr>
        <w:autoSpaceDE w:val="0"/>
        <w:autoSpaceDN w:val="0"/>
        <w:adjustRightInd w:val="0"/>
        <w:spacing w:line="360" w:lineRule="auto"/>
        <w:ind w:firstLine="424" w:firstLineChars="202"/>
        <w:jc w:val="left"/>
        <w:rPr>
          <w:rFonts w:ascii="宋体" w:hAnsi="宋体" w:cs="宋体"/>
          <w:color w:val="000000"/>
          <w:kern w:val="0"/>
          <w:szCs w:val="21"/>
        </w:rPr>
      </w:pPr>
      <w:r>
        <w:rPr>
          <w:rFonts w:hint="eastAsia" w:ascii="宋体" w:hAnsi="宋体" w:cs="宋体"/>
          <w:color w:val="000000"/>
          <w:kern w:val="0"/>
          <w:szCs w:val="21"/>
        </w:rPr>
        <w:t>本企业对上述声明内容的真实性负责。如有虚假，将依法承担相应责任。</w:t>
      </w:r>
    </w:p>
    <w:p w14:paraId="2E6A8AA4">
      <w:pPr>
        <w:pStyle w:val="13"/>
        <w:spacing w:line="360" w:lineRule="auto"/>
        <w:ind w:firstLine="420" w:firstLineChars="200"/>
        <w:rPr>
          <w:rFonts w:hAnsi="宋体"/>
          <w:szCs w:val="21"/>
        </w:rPr>
      </w:pPr>
    </w:p>
    <w:p w14:paraId="3356F600">
      <w:pPr>
        <w:pStyle w:val="13"/>
        <w:spacing w:line="360" w:lineRule="auto"/>
        <w:ind w:firstLine="420" w:firstLineChars="200"/>
        <w:rPr>
          <w:rFonts w:hAnsi="宋体" w:cs="宋体"/>
          <w:szCs w:val="21"/>
        </w:rPr>
      </w:pPr>
    </w:p>
    <w:p w14:paraId="0A4A883A">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投标人名称(盖公章)：</w:t>
      </w:r>
    </w:p>
    <w:p w14:paraId="0A524D09">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480C7C3">
      <w:pPr>
        <w:pStyle w:val="13"/>
        <w:spacing w:line="360" w:lineRule="auto"/>
        <w:ind w:firstLine="420" w:firstLineChars="200"/>
        <w:rPr>
          <w:rFonts w:hAnsi="宋体"/>
          <w:szCs w:val="21"/>
        </w:rPr>
      </w:pPr>
    </w:p>
    <w:p w14:paraId="572DF67C">
      <w:pPr>
        <w:snapToGrid w:val="0"/>
        <w:spacing w:before="50" w:after="120" w:afterLines="50" w:line="360" w:lineRule="auto"/>
        <w:ind w:firstLine="210" w:firstLineChars="100"/>
        <w:jc w:val="left"/>
        <w:rPr>
          <w:rFonts w:ascii="宋体" w:hAnsi="宋体" w:cs="宋体"/>
          <w:szCs w:val="21"/>
        </w:rPr>
      </w:pPr>
      <w:r>
        <w:rPr>
          <w:rFonts w:hint="eastAsia" w:ascii="宋体" w:hAnsi="宋体" w:cs="宋体"/>
          <w:szCs w:val="21"/>
        </w:rPr>
        <w:t>注：</w:t>
      </w:r>
    </w:p>
    <w:p w14:paraId="0068FAE7">
      <w:pPr>
        <w:numPr>
          <w:ilvl w:val="0"/>
          <w:numId w:val="4"/>
        </w:numPr>
        <w:snapToGrid w:val="0"/>
        <w:spacing w:before="50" w:after="120" w:afterLines="50" w:line="360" w:lineRule="auto"/>
        <w:jc w:val="left"/>
        <w:rPr>
          <w:rFonts w:ascii="宋体" w:hAnsi="宋体" w:cs="宋体"/>
          <w:szCs w:val="21"/>
        </w:rPr>
      </w:pPr>
      <w:r>
        <w:rPr>
          <w:rFonts w:hint="eastAsia" w:ascii="宋体" w:hAnsi="宋体" w:cs="宋体"/>
          <w:szCs w:val="21"/>
        </w:rPr>
        <w:t>从业人员、营业收入、资产总额填报上一年度数据，无上一年度数据的新成立企业可不填报。</w:t>
      </w:r>
    </w:p>
    <w:p w14:paraId="4A132C6C">
      <w:pPr>
        <w:snapToGrid w:val="0"/>
        <w:spacing w:before="50" w:after="120" w:afterLines="50" w:line="360" w:lineRule="auto"/>
        <w:ind w:firstLine="315" w:firstLineChars="150"/>
        <w:jc w:val="left"/>
        <w:rPr>
          <w:rFonts w:ascii="宋体" w:hAnsi="宋体" w:cs="宋体"/>
          <w:szCs w:val="21"/>
        </w:rPr>
      </w:pPr>
      <w:r>
        <w:rPr>
          <w:rFonts w:hint="eastAsia" w:ascii="宋体" w:hAnsi="宋体" w:cs="宋体"/>
          <w:szCs w:val="21"/>
        </w:rPr>
        <w:t>2、请根据自己的真实情况出具《中小企业声明函》。依法享受中小企业扶持政策的，采购人或者采购代理机构在公告中标结果时，同时公告其《中小企业声明函》，接受社会监督。</w:t>
      </w:r>
    </w:p>
    <w:p w14:paraId="2A3FBC72">
      <w:pPr>
        <w:pStyle w:val="11"/>
        <w:spacing w:line="360" w:lineRule="auto"/>
        <w:ind w:firstLine="406" w:firstLineChars="200"/>
        <w:rPr>
          <w:rFonts w:hAnsi="宋体" w:cs="宋体"/>
          <w:b/>
          <w:bCs/>
          <w:sz w:val="21"/>
          <w:szCs w:val="21"/>
        </w:rPr>
      </w:pPr>
      <w:r>
        <w:rPr>
          <w:rFonts w:hint="eastAsia" w:hAnsi="宋体" w:cs="宋体"/>
          <w:b/>
          <w:bCs/>
          <w:sz w:val="21"/>
          <w:szCs w:val="21"/>
        </w:rPr>
        <w:t>3、本声明函主要供参加政府采购活动的中小企业填写，非中小企业无需填写。</w:t>
      </w:r>
    </w:p>
    <w:p w14:paraId="78B99400">
      <w:pPr>
        <w:pStyle w:val="11"/>
        <w:spacing w:line="360" w:lineRule="auto"/>
        <w:ind w:firstLine="406" w:firstLineChars="200"/>
        <w:rPr>
          <w:rFonts w:hAnsi="宋体" w:cs="宋体"/>
          <w:b/>
          <w:bCs/>
          <w:sz w:val="21"/>
          <w:szCs w:val="21"/>
        </w:rPr>
      </w:pPr>
      <w:r>
        <w:rPr>
          <w:rFonts w:hint="eastAsia" w:hAnsi="宋体" w:cs="宋体"/>
          <w:b/>
          <w:bCs/>
          <w:sz w:val="21"/>
          <w:szCs w:val="21"/>
        </w:rPr>
        <w:t>4、小型、微型企业提供中型企业提供的服务的，视同为中型企业。</w:t>
      </w:r>
    </w:p>
    <w:p w14:paraId="7A220F92">
      <w:pPr>
        <w:pStyle w:val="14"/>
        <w:rPr>
          <w:rFonts w:ascii="宋体" w:hAnsi="宋体" w:cs="宋体"/>
          <w:b/>
          <w:bCs/>
        </w:rPr>
        <w:sectPr>
          <w:pgSz w:w="11905" w:h="16838"/>
          <w:pgMar w:top="1134" w:right="1134" w:bottom="1134" w:left="1134" w:header="850" w:footer="850" w:gutter="0"/>
          <w:cols w:space="0" w:num="1"/>
          <w:titlePg/>
          <w:docGrid w:linePitch="331" w:charSpace="0"/>
        </w:sectPr>
      </w:pPr>
    </w:p>
    <w:p w14:paraId="0F7AE7FD">
      <w:pPr>
        <w:jc w:val="left"/>
        <w:rPr>
          <w:rFonts w:ascii="宋体" w:hAnsi="宋体" w:cs="宋体"/>
          <w:b/>
          <w:sz w:val="28"/>
          <w:szCs w:val="28"/>
        </w:rPr>
      </w:pPr>
      <w:r>
        <w:rPr>
          <w:rFonts w:hint="eastAsia" w:ascii="宋体" w:hAnsi="宋体" w:cs="宋体"/>
          <w:b/>
          <w:sz w:val="28"/>
          <w:szCs w:val="28"/>
        </w:rPr>
        <w:t>2.残疾人福利性单位声明函的格式：</w:t>
      </w:r>
    </w:p>
    <w:p w14:paraId="7BFBDD12">
      <w:pPr>
        <w:jc w:val="left"/>
        <w:rPr>
          <w:rFonts w:hAnsi="宋体" w:cs="宋体"/>
          <w:b/>
          <w:sz w:val="28"/>
          <w:szCs w:val="28"/>
        </w:rPr>
      </w:pPr>
    </w:p>
    <w:p w14:paraId="00B08E1C">
      <w:pPr>
        <w:jc w:val="left"/>
        <w:rPr>
          <w:rFonts w:hAnsi="宋体" w:cs="宋体"/>
          <w:b/>
          <w:sz w:val="28"/>
          <w:szCs w:val="28"/>
          <w:lang w:val="en"/>
        </w:rPr>
      </w:pPr>
    </w:p>
    <w:p w14:paraId="7D2C0773">
      <w:pPr>
        <w:pStyle w:val="13"/>
        <w:spacing w:line="360" w:lineRule="auto"/>
        <w:jc w:val="center"/>
        <w:rPr>
          <w:b/>
          <w:sz w:val="30"/>
          <w:szCs w:val="30"/>
        </w:rPr>
      </w:pPr>
      <w:r>
        <w:rPr>
          <w:rFonts w:hint="eastAsia"/>
          <w:b/>
          <w:sz w:val="30"/>
          <w:szCs w:val="30"/>
        </w:rPr>
        <w:t>残疾人福利性单位声明函</w:t>
      </w:r>
    </w:p>
    <w:p w14:paraId="380BB863">
      <w:pPr>
        <w:pStyle w:val="13"/>
        <w:spacing w:line="360" w:lineRule="auto"/>
        <w:jc w:val="center"/>
        <w:rPr>
          <w:b/>
          <w:sz w:val="30"/>
          <w:szCs w:val="30"/>
        </w:rPr>
      </w:pPr>
    </w:p>
    <w:p w14:paraId="586D19E2">
      <w:pPr>
        <w:pStyle w:val="13"/>
        <w:spacing w:line="360" w:lineRule="auto"/>
        <w:jc w:val="left"/>
        <w:rPr>
          <w:rFonts w:hAnsi="宋体" w:cs="宋体"/>
          <w:sz w:val="24"/>
          <w:szCs w:val="24"/>
        </w:rPr>
      </w:pPr>
      <w:r>
        <w:rPr>
          <w:rFonts w:hint="eastAsia"/>
          <w:sz w:val="30"/>
          <w:szCs w:val="30"/>
        </w:rPr>
        <w:t xml:space="preserve"> </w:t>
      </w:r>
      <w:r>
        <w:rPr>
          <w:rFonts w:hint="eastAsia" w:hAnsi="宋体" w:cs="宋体"/>
          <w:sz w:val="30"/>
          <w:szCs w:val="30"/>
        </w:rPr>
        <w:t xml:space="preserve">  </w:t>
      </w:r>
      <w:r>
        <w:rPr>
          <w:rFonts w:hint="eastAsia"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sz w:val="24"/>
          <w:szCs w:val="24"/>
          <w:u w:val="single"/>
        </w:rPr>
        <w:t xml:space="preserve">       </w:t>
      </w:r>
      <w:r>
        <w:rPr>
          <w:rFonts w:hint="eastAsia" w:hAnsi="宋体" w:cs="宋体"/>
          <w:sz w:val="24"/>
          <w:szCs w:val="24"/>
        </w:rPr>
        <w:t>单位的</w:t>
      </w:r>
      <w:r>
        <w:rPr>
          <w:rFonts w:hint="eastAsia" w:hAnsi="宋体" w:cs="宋体"/>
          <w:sz w:val="24"/>
          <w:szCs w:val="24"/>
          <w:u w:val="single"/>
        </w:rPr>
        <w:t xml:space="preserve">              </w:t>
      </w:r>
      <w:r>
        <w:rPr>
          <w:rFonts w:hint="eastAsia"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2E9BE053">
      <w:pPr>
        <w:pStyle w:val="13"/>
        <w:spacing w:line="360" w:lineRule="auto"/>
        <w:ind w:firstLine="480" w:firstLineChars="200"/>
        <w:jc w:val="left"/>
        <w:rPr>
          <w:rFonts w:hAnsi="宋体" w:cs="宋体"/>
          <w:sz w:val="24"/>
          <w:szCs w:val="24"/>
        </w:rPr>
      </w:pPr>
      <w:r>
        <w:rPr>
          <w:rFonts w:hint="eastAsia" w:hAnsi="宋体" w:cs="宋体"/>
          <w:sz w:val="24"/>
          <w:szCs w:val="24"/>
        </w:rPr>
        <w:t>本单位对上述声明的真实性负责。如有虚假，将依法承担相应责任。</w:t>
      </w:r>
    </w:p>
    <w:p w14:paraId="1A6B1D38">
      <w:pPr>
        <w:pStyle w:val="13"/>
        <w:spacing w:line="360" w:lineRule="auto"/>
        <w:jc w:val="left"/>
        <w:rPr>
          <w:rFonts w:hAnsi="宋体" w:cs="宋体"/>
          <w:b/>
          <w:szCs w:val="21"/>
        </w:rPr>
      </w:pPr>
    </w:p>
    <w:p w14:paraId="56DD6F2B">
      <w:pPr>
        <w:pStyle w:val="13"/>
        <w:spacing w:line="360" w:lineRule="auto"/>
        <w:jc w:val="left"/>
        <w:rPr>
          <w:rFonts w:hAnsi="宋体" w:cs="宋体"/>
          <w:b/>
          <w:szCs w:val="21"/>
        </w:rPr>
      </w:pPr>
    </w:p>
    <w:p w14:paraId="1CA8A467">
      <w:pPr>
        <w:snapToGrid w:val="0"/>
        <w:spacing w:line="360" w:lineRule="auto"/>
        <w:ind w:left="5137" w:leftChars="1736" w:hanging="1491" w:hangingChars="825"/>
        <w:rPr>
          <w:rFonts w:ascii="宋体" w:hAnsi="宋体" w:cs="宋体"/>
          <w:kern w:val="0"/>
          <w:sz w:val="24"/>
        </w:rPr>
      </w:pPr>
      <w:r>
        <w:rPr>
          <w:rFonts w:hint="eastAsia" w:ascii="宋体" w:hAnsi="宋体" w:cs="宋体"/>
          <w:b/>
          <w:sz w:val="18"/>
          <w:szCs w:val="18"/>
        </w:rPr>
        <w:t xml:space="preserve">                                                                    </w:t>
      </w:r>
      <w:r>
        <w:rPr>
          <w:rFonts w:hint="eastAsia" w:ascii="宋体" w:hAnsi="宋体" w:cs="宋体"/>
          <w:kern w:val="0"/>
          <w:sz w:val="24"/>
          <w:lang w:val="zh-CN"/>
        </w:rPr>
        <w:t>投标人名称(盖公章)：</w:t>
      </w:r>
    </w:p>
    <w:p w14:paraId="76DE6C42">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84E7A70">
      <w:pPr>
        <w:pStyle w:val="13"/>
        <w:spacing w:line="360" w:lineRule="auto"/>
        <w:ind w:left="5132" w:leftChars="1979" w:hanging="976" w:hangingChars="488"/>
        <w:rPr>
          <w:rFonts w:hAnsi="宋体" w:cs="宋体"/>
          <w:sz w:val="20"/>
        </w:rPr>
      </w:pPr>
    </w:p>
    <w:p w14:paraId="74EBE1C0">
      <w:pPr>
        <w:spacing w:line="360" w:lineRule="auto"/>
        <w:ind w:right="420" w:firstLine="480" w:firstLineChars="200"/>
        <w:rPr>
          <w:rFonts w:ascii="宋体" w:hAnsi="宋体" w:cs="宋体"/>
          <w:sz w:val="24"/>
        </w:rPr>
      </w:pPr>
    </w:p>
    <w:p w14:paraId="37BB8245">
      <w:pPr>
        <w:spacing w:line="360" w:lineRule="auto"/>
        <w:ind w:right="420" w:firstLine="480" w:firstLineChars="200"/>
        <w:rPr>
          <w:rFonts w:ascii="宋体" w:hAnsi="宋体" w:cs="宋体"/>
          <w:sz w:val="24"/>
        </w:rPr>
      </w:pPr>
    </w:p>
    <w:p w14:paraId="1F8E3AF7">
      <w:pPr>
        <w:spacing w:line="360" w:lineRule="auto"/>
        <w:ind w:right="420" w:firstLine="420" w:firstLineChars="200"/>
        <w:rPr>
          <w:rFonts w:ascii="宋体" w:hAnsi="宋体" w:cs="宋体"/>
          <w:szCs w:val="21"/>
        </w:rPr>
      </w:pPr>
      <w:r>
        <w:rPr>
          <w:rFonts w:hint="eastAsia" w:ascii="宋体" w:hAnsi="宋体" w:cs="宋体"/>
          <w:szCs w:val="21"/>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C9FC506">
      <w:pPr>
        <w:widowControl/>
        <w:jc w:val="left"/>
        <w:rPr>
          <w:sz w:val="20"/>
        </w:rPr>
      </w:pPr>
      <w:r>
        <w:rPr>
          <w:rFonts w:hint="eastAsia" w:ascii="宋体" w:hAnsi="宋体" w:cs="宋体"/>
          <w:szCs w:val="21"/>
        </w:rPr>
        <w:br w:type="page"/>
      </w:r>
    </w:p>
    <w:p w14:paraId="3452BDB8">
      <w:pPr>
        <w:pStyle w:val="14"/>
        <w:numPr>
          <w:ilvl w:val="255"/>
          <w:numId w:val="0"/>
        </w:numPr>
        <w:rPr>
          <w:rFonts w:ascii="宋体" w:hAnsi="宋体" w:cs="宋体"/>
          <w:color w:val="000000"/>
          <w:kern w:val="0"/>
          <w:sz w:val="28"/>
          <w:szCs w:val="28"/>
        </w:rPr>
      </w:pP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.政府采购项目合同验收书的格式：</w:t>
      </w:r>
    </w:p>
    <w:p w14:paraId="39EC5E52">
      <w:pPr>
        <w:pStyle w:val="14"/>
        <w:rPr>
          <w:rFonts w:ascii="宋体" w:hAnsi="宋体" w:cs="宋体"/>
          <w:color w:val="000000"/>
          <w:kern w:val="0"/>
          <w:sz w:val="28"/>
          <w:szCs w:val="28"/>
        </w:rPr>
      </w:pPr>
    </w:p>
    <w:p w14:paraId="45311CD5">
      <w:pPr>
        <w:shd w:val="clear" w:color="auto" w:fill="FFFFFF"/>
        <w:spacing w:line="480" w:lineRule="atLeast"/>
        <w:jc w:val="center"/>
        <w:rPr>
          <w:rFonts w:ascii="宋体" w:hAnsi="宋体" w:cs="宋体"/>
          <w:color w:val="000000"/>
          <w:kern w:val="0"/>
          <w:sz w:val="32"/>
          <w:szCs w:val="32"/>
        </w:rPr>
      </w:pPr>
      <w:r>
        <w:rPr>
          <w:rFonts w:hint="eastAsia" w:ascii="宋体" w:hAnsi="宋体" w:cs="宋体"/>
          <w:color w:val="000000"/>
          <w:kern w:val="0"/>
          <w:sz w:val="32"/>
          <w:szCs w:val="32"/>
        </w:rPr>
        <w:t>政府采购项目合同验收书</w:t>
      </w:r>
    </w:p>
    <w:p w14:paraId="5C3AE377">
      <w:pPr>
        <w:shd w:val="clear" w:color="auto" w:fill="FFFFFF"/>
        <w:spacing w:line="480" w:lineRule="atLeast"/>
        <w:jc w:val="center"/>
        <w:rPr>
          <w:rFonts w:ascii="宋体" w:hAnsi="宋体" w:cs="宋体"/>
          <w:color w:val="000000"/>
          <w:kern w:val="0"/>
          <w:sz w:val="32"/>
          <w:szCs w:val="32"/>
        </w:rPr>
      </w:pPr>
    </w:p>
    <w:p w14:paraId="4AD90B1E">
      <w:pPr>
        <w:shd w:val="clear" w:color="auto" w:fill="FFFFFF"/>
        <w:snapToGrid w:val="0"/>
        <w:spacing w:line="320" w:lineRule="atLeast"/>
        <w:ind w:firstLine="480"/>
        <w:jc w:val="left"/>
        <w:rPr>
          <w:rFonts w:ascii="宋体" w:hAnsi="宋体" w:cs="宋体"/>
          <w:color w:val="000000"/>
          <w:kern w:val="0"/>
          <w:szCs w:val="21"/>
        </w:rPr>
      </w:pPr>
      <w:r>
        <w:rPr>
          <w:rFonts w:hint="eastAsia" w:ascii="宋体" w:hAnsi="宋体" w:cs="宋体"/>
          <w:color w:val="000000"/>
          <w:kern w:val="0"/>
          <w:szCs w:val="21"/>
        </w:rPr>
        <w:t>根据政府采购项目（</w:t>
      </w:r>
      <w:r>
        <w:rPr>
          <w:rFonts w:hint="eastAsia" w:ascii="宋体" w:hAnsi="宋体" w:cs="宋体"/>
          <w:color w:val="000000"/>
          <w:kern w:val="0"/>
          <w:szCs w:val="21"/>
          <w:u w:val="single"/>
        </w:rPr>
        <w:t>采购合同编号：</w:t>
      </w:r>
      <w:r>
        <w:rPr>
          <w:rFonts w:hint="eastAsia" w:ascii="宋体" w:hAnsi="宋体" w:cs="宋体"/>
          <w:color w:val="000000"/>
          <w:kern w:val="0"/>
          <w:szCs w:val="21"/>
          <w:u w:val="single"/>
        </w:rPr>
        <w:softHyphen/>
      </w:r>
      <w:r>
        <w:rPr>
          <w:rFonts w:hint="eastAsia" w:ascii="宋体" w:hAnsi="宋体" w:cs="宋体"/>
          <w:color w:val="000000"/>
          <w:kern w:val="0"/>
          <w:szCs w:val="21"/>
          <w:u w:val="single"/>
        </w:rPr>
        <w:t xml:space="preserve"> </w:t>
      </w:r>
      <w:r>
        <w:rPr>
          <w:rFonts w:hint="eastAsia" w:ascii="宋体" w:hAnsi="宋体" w:cs="宋体"/>
          <w:color w:val="000000"/>
          <w:kern w:val="0"/>
          <w:szCs w:val="21"/>
        </w:rPr>
        <w:t>）的约定，我单位对（</w:t>
      </w:r>
      <w:r>
        <w:rPr>
          <w:rFonts w:hint="eastAsia" w:ascii="宋体" w:hAnsi="宋体" w:cs="宋体"/>
          <w:color w:val="000000"/>
          <w:kern w:val="0"/>
          <w:szCs w:val="21"/>
          <w:u w:val="single"/>
        </w:rPr>
        <w:t xml:space="preserve"> 项目名称 </w:t>
      </w:r>
      <w:r>
        <w:rPr>
          <w:rFonts w:hint="eastAsia" w:ascii="宋体" w:hAnsi="宋体" w:cs="宋体"/>
          <w:color w:val="000000"/>
          <w:kern w:val="0"/>
          <w:szCs w:val="21"/>
        </w:rPr>
        <w:t>） 政府采购项目中标（或者成交）投标人（</w:t>
      </w:r>
      <w:r>
        <w:rPr>
          <w:rFonts w:hint="eastAsia" w:ascii="宋体" w:hAnsi="宋体" w:cs="宋体"/>
          <w:color w:val="000000"/>
          <w:kern w:val="0"/>
          <w:szCs w:val="21"/>
          <w:u w:val="single"/>
        </w:rPr>
        <w:t xml:space="preserve"> 公司名称 </w:t>
      </w:r>
      <w:r>
        <w:rPr>
          <w:rFonts w:hint="eastAsia" w:ascii="宋体" w:hAnsi="宋体" w:cs="宋体"/>
          <w:color w:val="000000"/>
          <w:kern w:val="0"/>
          <w:szCs w:val="21"/>
        </w:rPr>
        <w:t>） 提供的货物（或者工程、服务）进行了验收，验收情况如下：</w:t>
      </w:r>
    </w:p>
    <w:tbl>
      <w:tblPr>
        <w:tblStyle w:val="23"/>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39CE810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6ED138AF">
            <w:pPr>
              <w:snapToGrid w:val="0"/>
              <w:spacing w:before="100" w:beforeAutospacing="1" w:after="100" w:afterAutospacing="1" w:line="320" w:lineRule="atLeast"/>
              <w:ind w:firstLine="5"/>
              <w:jc w:val="center"/>
              <w:rPr>
                <w:rFonts w:ascii="宋体" w:hAnsi="宋体" w:cs="宋体"/>
                <w:color w:val="000000"/>
                <w:kern w:val="0"/>
                <w:szCs w:val="21"/>
              </w:rPr>
            </w:pPr>
            <w:r>
              <w:rPr>
                <w:rFonts w:hint="eastAsia" w:ascii="宋体" w:hAnsi="宋体" w:cs="宋体"/>
                <w:color w:val="000000"/>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554C53A1">
            <w:pPr>
              <w:snapToGrid w:val="0"/>
              <w:spacing w:before="100" w:beforeAutospacing="1" w:after="100" w:afterAutospacing="1" w:line="320" w:lineRule="atLeast"/>
              <w:ind w:firstLine="480"/>
              <w:jc w:val="center"/>
              <w:rPr>
                <w:rFonts w:ascii="宋体" w:hAnsi="宋体" w:cs="宋体"/>
                <w:color w:val="000000"/>
                <w:kern w:val="0"/>
                <w:szCs w:val="21"/>
              </w:rPr>
            </w:pPr>
            <w:r>
              <w:rPr>
                <w:rFonts w:hint="eastAsia" w:ascii="宋体" w:hAnsi="宋体" w:cs="宋体"/>
                <w:color w:val="000000"/>
                <w:kern w:val="0"/>
                <w:szCs w:val="21"/>
              </w:rPr>
              <w:t>□自行验收 □委托验收</w:t>
            </w:r>
          </w:p>
        </w:tc>
      </w:tr>
      <w:tr w14:paraId="7837D3B4">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45848824">
            <w:pPr>
              <w:snapToGrid w:val="0"/>
              <w:spacing w:before="100" w:beforeAutospacing="1" w:after="100" w:afterAutospacing="1" w:line="320" w:lineRule="atLeast"/>
              <w:ind w:firstLine="2"/>
              <w:jc w:val="center"/>
              <w:rPr>
                <w:rFonts w:ascii="宋体" w:hAnsi="宋体" w:cs="宋体"/>
                <w:color w:val="000000"/>
                <w:kern w:val="0"/>
                <w:szCs w:val="21"/>
              </w:rPr>
            </w:pPr>
            <w:r>
              <w:rPr>
                <w:rFonts w:hint="eastAsia" w:ascii="宋体" w:hAnsi="宋体" w:cs="宋体"/>
                <w:color w:val="000000"/>
                <w:kern w:val="0"/>
                <w:szCs w:val="21"/>
              </w:rPr>
              <w:t>序号</w:t>
            </w:r>
          </w:p>
        </w:tc>
        <w:tc>
          <w:tcPr>
            <w:tcW w:w="1921" w:type="dxa"/>
            <w:tcBorders>
              <w:top w:val="nil"/>
              <w:left w:val="nil"/>
              <w:bottom w:val="single" w:color="auto" w:sz="8" w:space="0"/>
              <w:right w:val="single" w:color="auto" w:sz="8" w:space="0"/>
            </w:tcBorders>
            <w:vAlign w:val="center"/>
          </w:tcPr>
          <w:p w14:paraId="2F324E8D">
            <w:pPr>
              <w:snapToGrid w:val="0"/>
              <w:spacing w:before="100" w:beforeAutospacing="1" w:after="100" w:afterAutospacing="1" w:line="320" w:lineRule="atLeast"/>
              <w:ind w:firstLine="2"/>
              <w:jc w:val="center"/>
              <w:rPr>
                <w:rFonts w:ascii="宋体" w:hAnsi="宋体" w:cs="宋体"/>
                <w:color w:val="000000"/>
                <w:kern w:val="0"/>
                <w:szCs w:val="21"/>
              </w:rPr>
            </w:pPr>
            <w:r>
              <w:rPr>
                <w:rFonts w:hint="eastAsia" w:ascii="宋体" w:hAnsi="宋体" w:cs="宋体"/>
                <w:color w:val="000000"/>
                <w:kern w:val="0"/>
                <w:szCs w:val="21"/>
              </w:rPr>
              <w:t>名 称</w:t>
            </w:r>
          </w:p>
        </w:tc>
        <w:tc>
          <w:tcPr>
            <w:tcW w:w="2902" w:type="dxa"/>
            <w:gridSpan w:val="3"/>
            <w:tcBorders>
              <w:top w:val="nil"/>
              <w:left w:val="nil"/>
              <w:bottom w:val="single" w:color="auto" w:sz="8" w:space="0"/>
              <w:right w:val="single" w:color="auto" w:sz="8" w:space="0"/>
            </w:tcBorders>
            <w:vAlign w:val="center"/>
          </w:tcPr>
          <w:p w14:paraId="21A75B0C">
            <w:pPr>
              <w:snapToGrid w:val="0"/>
              <w:spacing w:before="100" w:beforeAutospacing="1" w:after="100" w:afterAutospacing="1" w:line="320" w:lineRule="atLeast"/>
              <w:ind w:firstLine="2"/>
              <w:jc w:val="center"/>
              <w:rPr>
                <w:rFonts w:ascii="宋体" w:hAnsi="宋体" w:cs="宋体"/>
                <w:color w:val="000000"/>
                <w:kern w:val="0"/>
                <w:szCs w:val="21"/>
              </w:rPr>
            </w:pPr>
            <w:r>
              <w:rPr>
                <w:rFonts w:hint="eastAsia" w:ascii="宋体" w:hAnsi="宋体" w:cs="宋体"/>
                <w:color w:val="000000"/>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148F2AF">
            <w:pPr>
              <w:snapToGrid w:val="0"/>
              <w:spacing w:before="100" w:beforeAutospacing="1" w:after="100" w:afterAutospacing="1" w:line="320" w:lineRule="atLeast"/>
              <w:jc w:val="center"/>
              <w:rPr>
                <w:rFonts w:ascii="宋体" w:hAnsi="宋体" w:cs="宋体"/>
                <w:color w:val="000000"/>
                <w:kern w:val="0"/>
                <w:szCs w:val="21"/>
              </w:rPr>
            </w:pPr>
            <w:r>
              <w:rPr>
                <w:rFonts w:hint="eastAsia" w:ascii="宋体" w:hAnsi="宋体" w:cs="宋体"/>
                <w:color w:val="000000"/>
                <w:kern w:val="0"/>
                <w:szCs w:val="21"/>
              </w:rPr>
              <w:t>数量</w:t>
            </w:r>
          </w:p>
        </w:tc>
        <w:tc>
          <w:tcPr>
            <w:tcW w:w="2354" w:type="dxa"/>
            <w:tcBorders>
              <w:top w:val="nil"/>
              <w:left w:val="nil"/>
              <w:bottom w:val="single" w:color="auto" w:sz="8" w:space="0"/>
              <w:right w:val="single" w:color="auto" w:sz="8" w:space="0"/>
            </w:tcBorders>
            <w:vAlign w:val="center"/>
          </w:tcPr>
          <w:p w14:paraId="4B606A43">
            <w:pPr>
              <w:snapToGrid w:val="0"/>
              <w:spacing w:before="100" w:beforeAutospacing="1" w:after="100" w:afterAutospacing="1" w:line="320" w:lineRule="atLeast"/>
              <w:ind w:firstLine="2"/>
              <w:jc w:val="center"/>
              <w:rPr>
                <w:rFonts w:ascii="宋体" w:hAnsi="宋体" w:cs="宋体"/>
                <w:color w:val="000000"/>
                <w:kern w:val="0"/>
                <w:szCs w:val="21"/>
              </w:rPr>
            </w:pPr>
            <w:r>
              <w:rPr>
                <w:rFonts w:hint="eastAsia" w:ascii="宋体" w:hAnsi="宋体" w:cs="宋体"/>
                <w:color w:val="000000"/>
                <w:kern w:val="0"/>
                <w:szCs w:val="21"/>
              </w:rPr>
              <w:t>金 额</w:t>
            </w:r>
          </w:p>
        </w:tc>
      </w:tr>
      <w:tr w14:paraId="37F4BC1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737A473">
            <w:pPr>
              <w:spacing w:before="100" w:beforeAutospacing="1" w:after="100" w:afterAutospacing="1" w:line="240" w:lineRule="atLeast"/>
              <w:jc w:val="center"/>
              <w:rPr>
                <w:rFonts w:ascii="宋体" w:hAnsi="宋体" w:cs="宋体"/>
                <w:color w:val="000000"/>
                <w:kern w:val="0"/>
                <w:szCs w:val="21"/>
              </w:rPr>
            </w:pPr>
          </w:p>
        </w:tc>
        <w:tc>
          <w:tcPr>
            <w:tcW w:w="1921" w:type="dxa"/>
            <w:tcBorders>
              <w:top w:val="nil"/>
              <w:left w:val="nil"/>
              <w:bottom w:val="single" w:color="auto" w:sz="8" w:space="0"/>
              <w:right w:val="single" w:color="auto" w:sz="8" w:space="0"/>
            </w:tcBorders>
            <w:vAlign w:val="center"/>
          </w:tcPr>
          <w:p w14:paraId="7AEB9998">
            <w:pPr>
              <w:spacing w:before="100" w:beforeAutospacing="1" w:after="100" w:afterAutospacing="1" w:line="240" w:lineRule="atLeast"/>
              <w:jc w:val="center"/>
              <w:rPr>
                <w:rFonts w:ascii="宋体" w:hAnsi="宋体" w:cs="宋体"/>
                <w:color w:val="000000"/>
                <w:kern w:val="0"/>
                <w:szCs w:val="21"/>
              </w:rPr>
            </w:pPr>
          </w:p>
        </w:tc>
        <w:tc>
          <w:tcPr>
            <w:tcW w:w="2902" w:type="dxa"/>
            <w:gridSpan w:val="3"/>
            <w:tcBorders>
              <w:top w:val="nil"/>
              <w:left w:val="nil"/>
              <w:bottom w:val="single" w:color="auto" w:sz="8" w:space="0"/>
              <w:right w:val="single" w:color="auto" w:sz="8" w:space="0"/>
            </w:tcBorders>
            <w:vAlign w:val="center"/>
          </w:tcPr>
          <w:p w14:paraId="24B55111">
            <w:pPr>
              <w:spacing w:before="100" w:beforeAutospacing="1" w:after="100" w:afterAutospacing="1" w:line="240" w:lineRule="atLeast"/>
              <w:jc w:val="center"/>
              <w:rPr>
                <w:rFonts w:ascii="宋体" w:hAnsi="宋体" w:cs="宋体"/>
                <w:color w:val="000000"/>
                <w:kern w:val="0"/>
                <w:szCs w:val="21"/>
              </w:rPr>
            </w:pPr>
          </w:p>
        </w:tc>
        <w:tc>
          <w:tcPr>
            <w:tcW w:w="863" w:type="dxa"/>
            <w:gridSpan w:val="2"/>
            <w:tcBorders>
              <w:top w:val="nil"/>
              <w:left w:val="nil"/>
              <w:bottom w:val="single" w:color="auto" w:sz="8" w:space="0"/>
              <w:right w:val="single" w:color="auto" w:sz="8" w:space="0"/>
            </w:tcBorders>
            <w:vAlign w:val="center"/>
          </w:tcPr>
          <w:p w14:paraId="1340C4C0">
            <w:pPr>
              <w:spacing w:before="100" w:beforeAutospacing="1" w:after="100" w:afterAutospacing="1" w:line="240" w:lineRule="atLeast"/>
              <w:jc w:val="center"/>
              <w:rPr>
                <w:rFonts w:ascii="宋体" w:hAnsi="宋体" w:cs="宋体"/>
                <w:color w:val="000000"/>
                <w:kern w:val="0"/>
                <w:szCs w:val="21"/>
              </w:rPr>
            </w:pPr>
          </w:p>
        </w:tc>
        <w:tc>
          <w:tcPr>
            <w:tcW w:w="2354" w:type="dxa"/>
            <w:tcBorders>
              <w:top w:val="nil"/>
              <w:left w:val="nil"/>
              <w:bottom w:val="single" w:color="auto" w:sz="8" w:space="0"/>
              <w:right w:val="single" w:color="auto" w:sz="8" w:space="0"/>
            </w:tcBorders>
            <w:vAlign w:val="center"/>
          </w:tcPr>
          <w:p w14:paraId="75101431">
            <w:pPr>
              <w:spacing w:before="100" w:beforeAutospacing="1" w:after="100" w:afterAutospacing="1" w:line="240" w:lineRule="atLeast"/>
              <w:jc w:val="center"/>
              <w:rPr>
                <w:rFonts w:ascii="宋体" w:hAnsi="宋体" w:cs="宋体"/>
                <w:color w:val="000000"/>
                <w:kern w:val="0"/>
                <w:szCs w:val="21"/>
              </w:rPr>
            </w:pPr>
          </w:p>
        </w:tc>
      </w:tr>
      <w:tr w14:paraId="66DD184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E3DA157">
            <w:pPr>
              <w:spacing w:before="100" w:beforeAutospacing="1" w:after="100" w:afterAutospacing="1" w:line="240" w:lineRule="atLeast"/>
              <w:jc w:val="center"/>
              <w:rPr>
                <w:rFonts w:ascii="宋体" w:hAnsi="宋体" w:cs="宋体"/>
                <w:color w:val="000000"/>
                <w:kern w:val="0"/>
                <w:szCs w:val="21"/>
              </w:rPr>
            </w:pPr>
          </w:p>
        </w:tc>
        <w:tc>
          <w:tcPr>
            <w:tcW w:w="1921" w:type="dxa"/>
            <w:tcBorders>
              <w:top w:val="nil"/>
              <w:left w:val="nil"/>
              <w:bottom w:val="single" w:color="auto" w:sz="8" w:space="0"/>
              <w:right w:val="single" w:color="auto" w:sz="8" w:space="0"/>
            </w:tcBorders>
            <w:vAlign w:val="center"/>
          </w:tcPr>
          <w:p w14:paraId="28633740">
            <w:pPr>
              <w:spacing w:before="100" w:beforeAutospacing="1" w:after="100" w:afterAutospacing="1" w:line="240" w:lineRule="atLeast"/>
              <w:jc w:val="center"/>
              <w:rPr>
                <w:rFonts w:ascii="宋体" w:hAnsi="宋体" w:cs="宋体"/>
                <w:color w:val="000000"/>
                <w:kern w:val="0"/>
                <w:szCs w:val="21"/>
              </w:rPr>
            </w:pPr>
          </w:p>
        </w:tc>
        <w:tc>
          <w:tcPr>
            <w:tcW w:w="2902" w:type="dxa"/>
            <w:gridSpan w:val="3"/>
            <w:tcBorders>
              <w:top w:val="nil"/>
              <w:left w:val="nil"/>
              <w:bottom w:val="single" w:color="auto" w:sz="8" w:space="0"/>
              <w:right w:val="single" w:color="auto" w:sz="8" w:space="0"/>
            </w:tcBorders>
            <w:vAlign w:val="center"/>
          </w:tcPr>
          <w:p w14:paraId="32D56D79">
            <w:pPr>
              <w:spacing w:before="100" w:beforeAutospacing="1" w:after="100" w:afterAutospacing="1" w:line="240" w:lineRule="atLeast"/>
              <w:jc w:val="center"/>
              <w:rPr>
                <w:rFonts w:ascii="宋体" w:hAnsi="宋体" w:cs="宋体"/>
                <w:color w:val="000000"/>
                <w:kern w:val="0"/>
                <w:szCs w:val="21"/>
              </w:rPr>
            </w:pPr>
          </w:p>
        </w:tc>
        <w:tc>
          <w:tcPr>
            <w:tcW w:w="863" w:type="dxa"/>
            <w:gridSpan w:val="2"/>
            <w:tcBorders>
              <w:top w:val="nil"/>
              <w:left w:val="nil"/>
              <w:bottom w:val="single" w:color="auto" w:sz="8" w:space="0"/>
              <w:right w:val="single" w:color="auto" w:sz="8" w:space="0"/>
            </w:tcBorders>
            <w:vAlign w:val="center"/>
          </w:tcPr>
          <w:p w14:paraId="4AD9270C">
            <w:pPr>
              <w:spacing w:before="100" w:beforeAutospacing="1" w:after="100" w:afterAutospacing="1" w:line="240" w:lineRule="atLeast"/>
              <w:jc w:val="center"/>
              <w:rPr>
                <w:rFonts w:ascii="宋体" w:hAnsi="宋体" w:cs="宋体"/>
                <w:color w:val="000000"/>
                <w:kern w:val="0"/>
                <w:szCs w:val="21"/>
              </w:rPr>
            </w:pPr>
          </w:p>
        </w:tc>
        <w:tc>
          <w:tcPr>
            <w:tcW w:w="2354" w:type="dxa"/>
            <w:tcBorders>
              <w:top w:val="nil"/>
              <w:left w:val="nil"/>
              <w:bottom w:val="single" w:color="auto" w:sz="8" w:space="0"/>
              <w:right w:val="single" w:color="auto" w:sz="8" w:space="0"/>
            </w:tcBorders>
            <w:vAlign w:val="center"/>
          </w:tcPr>
          <w:p w14:paraId="35B78314">
            <w:pPr>
              <w:spacing w:before="100" w:beforeAutospacing="1" w:after="100" w:afterAutospacing="1" w:line="240" w:lineRule="atLeast"/>
              <w:jc w:val="center"/>
              <w:rPr>
                <w:rFonts w:ascii="宋体" w:hAnsi="宋体" w:cs="宋体"/>
                <w:color w:val="000000"/>
                <w:kern w:val="0"/>
                <w:szCs w:val="21"/>
              </w:rPr>
            </w:pPr>
          </w:p>
        </w:tc>
      </w:tr>
      <w:tr w14:paraId="0D2DA483">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D5140FA">
            <w:pPr>
              <w:spacing w:before="100" w:beforeAutospacing="1" w:after="100" w:afterAutospacing="1" w:line="240" w:lineRule="atLeast"/>
              <w:jc w:val="center"/>
              <w:rPr>
                <w:rFonts w:ascii="宋体" w:hAnsi="宋体" w:cs="宋体"/>
                <w:color w:val="000000"/>
                <w:kern w:val="0"/>
                <w:szCs w:val="21"/>
              </w:rPr>
            </w:pPr>
          </w:p>
        </w:tc>
        <w:tc>
          <w:tcPr>
            <w:tcW w:w="1921" w:type="dxa"/>
            <w:tcBorders>
              <w:top w:val="nil"/>
              <w:left w:val="nil"/>
              <w:bottom w:val="single" w:color="auto" w:sz="8" w:space="0"/>
              <w:right w:val="single" w:color="auto" w:sz="8" w:space="0"/>
            </w:tcBorders>
            <w:vAlign w:val="center"/>
          </w:tcPr>
          <w:p w14:paraId="4A863974">
            <w:pPr>
              <w:spacing w:before="100" w:beforeAutospacing="1" w:after="100" w:afterAutospacing="1" w:line="240" w:lineRule="atLeast"/>
              <w:jc w:val="center"/>
              <w:rPr>
                <w:rFonts w:ascii="宋体" w:hAnsi="宋体" w:cs="宋体"/>
                <w:color w:val="000000"/>
                <w:kern w:val="0"/>
                <w:szCs w:val="21"/>
              </w:rPr>
            </w:pPr>
          </w:p>
        </w:tc>
        <w:tc>
          <w:tcPr>
            <w:tcW w:w="2902" w:type="dxa"/>
            <w:gridSpan w:val="3"/>
            <w:tcBorders>
              <w:top w:val="nil"/>
              <w:left w:val="nil"/>
              <w:bottom w:val="single" w:color="auto" w:sz="8" w:space="0"/>
              <w:right w:val="single" w:color="auto" w:sz="8" w:space="0"/>
            </w:tcBorders>
            <w:vAlign w:val="center"/>
          </w:tcPr>
          <w:p w14:paraId="066F6361">
            <w:pPr>
              <w:spacing w:before="100" w:beforeAutospacing="1" w:after="100" w:afterAutospacing="1" w:line="240" w:lineRule="atLeast"/>
              <w:jc w:val="center"/>
              <w:rPr>
                <w:rFonts w:ascii="宋体" w:hAnsi="宋体" w:cs="宋体"/>
                <w:color w:val="000000"/>
                <w:kern w:val="0"/>
                <w:szCs w:val="21"/>
              </w:rPr>
            </w:pPr>
          </w:p>
        </w:tc>
        <w:tc>
          <w:tcPr>
            <w:tcW w:w="863" w:type="dxa"/>
            <w:gridSpan w:val="2"/>
            <w:tcBorders>
              <w:top w:val="nil"/>
              <w:left w:val="nil"/>
              <w:bottom w:val="single" w:color="auto" w:sz="8" w:space="0"/>
              <w:right w:val="single" w:color="auto" w:sz="8" w:space="0"/>
            </w:tcBorders>
            <w:vAlign w:val="center"/>
          </w:tcPr>
          <w:p w14:paraId="04463564">
            <w:pPr>
              <w:spacing w:before="100" w:beforeAutospacing="1" w:after="100" w:afterAutospacing="1" w:line="240" w:lineRule="atLeast"/>
              <w:jc w:val="center"/>
              <w:rPr>
                <w:rFonts w:ascii="宋体" w:hAnsi="宋体" w:cs="宋体"/>
                <w:color w:val="000000"/>
                <w:kern w:val="0"/>
                <w:szCs w:val="21"/>
              </w:rPr>
            </w:pPr>
          </w:p>
        </w:tc>
        <w:tc>
          <w:tcPr>
            <w:tcW w:w="2354" w:type="dxa"/>
            <w:tcBorders>
              <w:top w:val="nil"/>
              <w:left w:val="nil"/>
              <w:bottom w:val="single" w:color="auto" w:sz="8" w:space="0"/>
              <w:right w:val="single" w:color="auto" w:sz="8" w:space="0"/>
            </w:tcBorders>
            <w:vAlign w:val="center"/>
          </w:tcPr>
          <w:p w14:paraId="109D0A54">
            <w:pPr>
              <w:spacing w:before="100" w:beforeAutospacing="1" w:after="100" w:afterAutospacing="1" w:line="240" w:lineRule="atLeast"/>
              <w:jc w:val="center"/>
              <w:rPr>
                <w:rFonts w:ascii="宋体" w:hAnsi="宋体" w:cs="宋体"/>
                <w:color w:val="000000"/>
                <w:kern w:val="0"/>
                <w:szCs w:val="21"/>
              </w:rPr>
            </w:pPr>
          </w:p>
        </w:tc>
      </w:tr>
      <w:tr w14:paraId="2C2EC0BF">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6616F3F8">
            <w:pPr>
              <w:snapToGrid w:val="0"/>
              <w:spacing w:before="100" w:beforeAutospacing="1" w:after="100" w:afterAutospacing="1" w:line="320" w:lineRule="atLeast"/>
              <w:ind w:firstLine="5"/>
              <w:jc w:val="center"/>
              <w:rPr>
                <w:rFonts w:ascii="宋体" w:hAnsi="宋体" w:cs="宋体"/>
                <w:color w:val="000000"/>
                <w:kern w:val="0"/>
                <w:szCs w:val="21"/>
              </w:rPr>
            </w:pPr>
            <w:r>
              <w:rPr>
                <w:rFonts w:hint="eastAsia" w:ascii="宋体" w:hAnsi="宋体" w:cs="宋体"/>
                <w:color w:val="000000"/>
                <w:kern w:val="0"/>
                <w:szCs w:val="21"/>
              </w:rPr>
              <w:t>合 计</w:t>
            </w:r>
          </w:p>
        </w:tc>
        <w:tc>
          <w:tcPr>
            <w:tcW w:w="863" w:type="dxa"/>
            <w:gridSpan w:val="2"/>
            <w:tcBorders>
              <w:top w:val="nil"/>
              <w:left w:val="nil"/>
              <w:bottom w:val="single" w:color="auto" w:sz="8" w:space="0"/>
              <w:right w:val="single" w:color="auto" w:sz="8" w:space="0"/>
            </w:tcBorders>
            <w:vAlign w:val="center"/>
          </w:tcPr>
          <w:p w14:paraId="61AA6A0E">
            <w:pPr>
              <w:spacing w:before="100" w:beforeAutospacing="1" w:after="100" w:afterAutospacing="1" w:line="240" w:lineRule="atLeast"/>
              <w:jc w:val="center"/>
              <w:rPr>
                <w:rFonts w:ascii="宋体" w:hAnsi="宋体" w:cs="宋体"/>
                <w:color w:val="000000"/>
                <w:kern w:val="0"/>
                <w:szCs w:val="21"/>
              </w:rPr>
            </w:pPr>
          </w:p>
        </w:tc>
        <w:tc>
          <w:tcPr>
            <w:tcW w:w="2354" w:type="dxa"/>
            <w:tcBorders>
              <w:top w:val="nil"/>
              <w:left w:val="nil"/>
              <w:bottom w:val="single" w:color="auto" w:sz="8" w:space="0"/>
              <w:right w:val="single" w:color="auto" w:sz="8" w:space="0"/>
            </w:tcBorders>
            <w:vAlign w:val="center"/>
          </w:tcPr>
          <w:p w14:paraId="4F326579">
            <w:pPr>
              <w:spacing w:before="100" w:beforeAutospacing="1" w:after="100" w:afterAutospacing="1" w:line="240" w:lineRule="atLeast"/>
              <w:jc w:val="center"/>
              <w:rPr>
                <w:rFonts w:ascii="宋体" w:hAnsi="宋体" w:cs="宋体"/>
                <w:color w:val="000000"/>
                <w:kern w:val="0"/>
                <w:szCs w:val="21"/>
              </w:rPr>
            </w:pPr>
          </w:p>
        </w:tc>
      </w:tr>
      <w:tr w14:paraId="4458D8B0">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6B1557BE">
            <w:pPr>
              <w:snapToGrid w:val="0"/>
              <w:spacing w:before="100" w:beforeAutospacing="1" w:after="100" w:afterAutospacing="1" w:line="320" w:lineRule="atLeast"/>
              <w:ind w:firstLine="2"/>
              <w:jc w:val="left"/>
              <w:rPr>
                <w:rFonts w:ascii="宋体" w:hAnsi="宋体" w:cs="宋体"/>
                <w:color w:val="000000"/>
                <w:kern w:val="0"/>
                <w:szCs w:val="21"/>
              </w:rPr>
            </w:pPr>
            <w:r>
              <w:rPr>
                <w:rFonts w:hint="eastAsia" w:ascii="宋体" w:hAnsi="宋体" w:cs="宋体"/>
                <w:color w:val="000000"/>
                <w:kern w:val="0"/>
                <w:szCs w:val="21"/>
              </w:rPr>
              <w:t>合计大写金额： 亿 仟 佰 拾 万 仟 佰 拾 元</w:t>
            </w:r>
          </w:p>
        </w:tc>
      </w:tr>
      <w:tr w14:paraId="01AA84E3">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174DB460">
            <w:pPr>
              <w:snapToGrid w:val="0"/>
              <w:spacing w:before="100" w:beforeAutospacing="1" w:after="100" w:afterAutospacing="1" w:line="320" w:lineRule="atLeast"/>
              <w:ind w:firstLine="2"/>
              <w:jc w:val="center"/>
              <w:rPr>
                <w:rFonts w:ascii="宋体" w:hAnsi="宋体" w:cs="宋体"/>
                <w:color w:val="000000"/>
                <w:kern w:val="0"/>
                <w:szCs w:val="21"/>
              </w:rPr>
            </w:pPr>
            <w:r>
              <w:rPr>
                <w:rFonts w:hint="eastAsia" w:ascii="宋体" w:hAnsi="宋体" w:cs="宋体"/>
                <w:color w:val="000000"/>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20C56243">
            <w:pPr>
              <w:spacing w:before="100" w:beforeAutospacing="1" w:after="100" w:afterAutospacing="1" w:line="240" w:lineRule="atLeast"/>
              <w:jc w:val="center"/>
              <w:rPr>
                <w:rFonts w:ascii="宋体" w:hAnsi="宋体" w:cs="宋体"/>
                <w:color w:val="000000"/>
                <w:kern w:val="0"/>
                <w:szCs w:val="21"/>
              </w:rPr>
            </w:pPr>
          </w:p>
        </w:tc>
        <w:tc>
          <w:tcPr>
            <w:tcW w:w="2282" w:type="dxa"/>
            <w:gridSpan w:val="3"/>
            <w:tcBorders>
              <w:top w:val="nil"/>
              <w:left w:val="nil"/>
              <w:bottom w:val="single" w:color="auto" w:sz="8" w:space="0"/>
              <w:right w:val="single" w:color="auto" w:sz="8" w:space="0"/>
            </w:tcBorders>
            <w:vAlign w:val="center"/>
          </w:tcPr>
          <w:p w14:paraId="540EAF3E">
            <w:pPr>
              <w:snapToGrid w:val="0"/>
              <w:spacing w:before="100" w:beforeAutospacing="1" w:after="100" w:afterAutospacing="1" w:line="320" w:lineRule="atLeast"/>
              <w:ind w:firstLine="46"/>
              <w:jc w:val="center"/>
              <w:rPr>
                <w:rFonts w:ascii="宋体" w:hAnsi="宋体" w:cs="宋体"/>
                <w:color w:val="000000"/>
                <w:kern w:val="0"/>
                <w:szCs w:val="21"/>
              </w:rPr>
            </w:pPr>
            <w:r>
              <w:rPr>
                <w:rFonts w:hint="eastAsia" w:ascii="宋体" w:hAnsi="宋体" w:cs="宋体"/>
                <w:color w:val="000000"/>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3E1FB2BF">
            <w:pPr>
              <w:spacing w:before="100" w:beforeAutospacing="1" w:after="100" w:afterAutospacing="1" w:line="240" w:lineRule="atLeast"/>
              <w:jc w:val="center"/>
              <w:rPr>
                <w:rFonts w:ascii="宋体" w:hAnsi="宋体" w:cs="宋体"/>
                <w:color w:val="000000"/>
                <w:kern w:val="0"/>
                <w:szCs w:val="21"/>
              </w:rPr>
            </w:pPr>
          </w:p>
        </w:tc>
      </w:tr>
      <w:tr w14:paraId="7B17DC91">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46DA9F77">
            <w:pPr>
              <w:spacing w:before="100" w:beforeAutospacing="1" w:after="100" w:afterAutospacing="1" w:line="240" w:lineRule="atLeast"/>
              <w:jc w:val="center"/>
              <w:rPr>
                <w:rFonts w:ascii="宋体" w:hAnsi="宋体" w:cs="宋体"/>
                <w:color w:val="000000"/>
                <w:kern w:val="0"/>
                <w:szCs w:val="21"/>
              </w:rPr>
            </w:pPr>
          </w:p>
        </w:tc>
        <w:tc>
          <w:tcPr>
            <w:tcW w:w="2719" w:type="dxa"/>
            <w:gridSpan w:val="2"/>
            <w:tcBorders>
              <w:top w:val="nil"/>
              <w:left w:val="nil"/>
              <w:bottom w:val="single" w:color="auto" w:sz="8" w:space="0"/>
              <w:right w:val="single" w:color="auto" w:sz="8" w:space="0"/>
            </w:tcBorders>
            <w:vAlign w:val="center"/>
          </w:tcPr>
          <w:p w14:paraId="0D2298A5">
            <w:pPr>
              <w:spacing w:before="100" w:beforeAutospacing="1" w:after="100" w:afterAutospacing="1" w:line="240" w:lineRule="atLeast"/>
              <w:jc w:val="center"/>
              <w:rPr>
                <w:rFonts w:ascii="宋体" w:hAnsi="宋体" w:cs="宋体"/>
                <w:color w:val="000000"/>
                <w:kern w:val="0"/>
                <w:szCs w:val="21"/>
              </w:rPr>
            </w:pPr>
          </w:p>
        </w:tc>
        <w:tc>
          <w:tcPr>
            <w:tcW w:w="2282" w:type="dxa"/>
            <w:gridSpan w:val="3"/>
            <w:tcBorders>
              <w:top w:val="nil"/>
              <w:left w:val="nil"/>
              <w:bottom w:val="single" w:color="auto" w:sz="8" w:space="0"/>
              <w:right w:val="single" w:color="auto" w:sz="8" w:space="0"/>
            </w:tcBorders>
            <w:vAlign w:val="center"/>
          </w:tcPr>
          <w:p w14:paraId="18C85C0D">
            <w:pPr>
              <w:spacing w:before="100" w:beforeAutospacing="1" w:after="100" w:afterAutospacing="1" w:line="240" w:lineRule="atLeast"/>
              <w:jc w:val="center"/>
              <w:rPr>
                <w:rFonts w:ascii="宋体" w:hAnsi="宋体" w:cs="宋体"/>
                <w:color w:val="000000"/>
                <w:kern w:val="0"/>
                <w:szCs w:val="21"/>
              </w:rPr>
            </w:pPr>
          </w:p>
        </w:tc>
        <w:tc>
          <w:tcPr>
            <w:tcW w:w="3039" w:type="dxa"/>
            <w:gridSpan w:val="2"/>
            <w:tcBorders>
              <w:top w:val="nil"/>
              <w:left w:val="nil"/>
              <w:bottom w:val="single" w:color="auto" w:sz="8" w:space="0"/>
              <w:right w:val="single" w:color="auto" w:sz="8" w:space="0"/>
            </w:tcBorders>
            <w:vAlign w:val="center"/>
          </w:tcPr>
          <w:p w14:paraId="300E4C40">
            <w:pPr>
              <w:spacing w:before="100" w:beforeAutospacing="1" w:after="100" w:afterAutospacing="1" w:line="240" w:lineRule="atLeast"/>
              <w:jc w:val="center"/>
              <w:rPr>
                <w:rFonts w:ascii="宋体" w:hAnsi="宋体" w:cs="宋体"/>
                <w:color w:val="000000"/>
                <w:kern w:val="0"/>
                <w:szCs w:val="21"/>
              </w:rPr>
            </w:pPr>
          </w:p>
        </w:tc>
      </w:tr>
      <w:tr w14:paraId="19647D36">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003816">
            <w:pPr>
              <w:snapToGrid w:val="0"/>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AF71614">
            <w:pPr>
              <w:snapToGrid w:val="0"/>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1B8EE137">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907715">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6422E26C">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验收结论性意见：</w:t>
            </w:r>
          </w:p>
        </w:tc>
      </w:tr>
      <w:tr w14:paraId="1283A397">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20052FA3">
            <w:pPr>
              <w:jc w:val="left"/>
              <w:rPr>
                <w:rFonts w:ascii="宋体" w:hAnsi="宋体" w:cs="宋体"/>
                <w:color w:val="000000"/>
                <w:kern w:val="0"/>
                <w:szCs w:val="21"/>
              </w:rPr>
            </w:pPr>
          </w:p>
        </w:tc>
        <w:tc>
          <w:tcPr>
            <w:tcW w:w="8040" w:type="dxa"/>
            <w:gridSpan w:val="7"/>
            <w:tcBorders>
              <w:top w:val="nil"/>
              <w:left w:val="nil"/>
              <w:bottom w:val="single" w:color="auto" w:sz="8" w:space="0"/>
              <w:right w:val="single" w:color="auto" w:sz="8" w:space="0"/>
            </w:tcBorders>
            <w:vAlign w:val="center"/>
          </w:tcPr>
          <w:p w14:paraId="39A7EC2B">
            <w:pPr>
              <w:spacing w:before="100" w:beforeAutospacing="1" w:after="100" w:afterAutospacing="1" w:line="320" w:lineRule="atLeast"/>
              <w:ind w:firstLine="96"/>
              <w:jc w:val="left"/>
              <w:rPr>
                <w:rFonts w:ascii="宋体" w:hAnsi="宋体" w:cs="宋体"/>
                <w:color w:val="000000"/>
                <w:kern w:val="0"/>
                <w:szCs w:val="21"/>
              </w:rPr>
            </w:pPr>
            <w:r>
              <w:rPr>
                <w:rFonts w:hint="eastAsia" w:ascii="宋体" w:hAnsi="宋体" w:cs="宋体"/>
                <w:color w:val="000000"/>
                <w:kern w:val="0"/>
                <w:szCs w:val="21"/>
              </w:rPr>
              <w:t>有异议的意见和说明理由：</w:t>
            </w:r>
          </w:p>
          <w:p w14:paraId="1B3EF70A">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签字：</w:t>
            </w:r>
          </w:p>
        </w:tc>
      </w:tr>
      <w:tr w14:paraId="7704D430">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708322">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验收小组成员签字：</w:t>
            </w:r>
          </w:p>
        </w:tc>
      </w:tr>
      <w:tr w14:paraId="2472FD64">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901D94">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监督人员或者其他相关人员签字：</w:t>
            </w:r>
          </w:p>
          <w:p w14:paraId="4E1C1ECC">
            <w:pPr>
              <w:spacing w:before="100" w:beforeAutospacing="1" w:after="100" w:afterAutospacing="1" w:line="320" w:lineRule="atLeast"/>
              <w:ind w:firstLine="74"/>
              <w:jc w:val="left"/>
              <w:rPr>
                <w:rFonts w:ascii="宋体" w:hAnsi="宋体" w:cs="宋体"/>
                <w:color w:val="000000"/>
                <w:kern w:val="0"/>
                <w:szCs w:val="21"/>
              </w:rPr>
            </w:pPr>
            <w:r>
              <w:rPr>
                <w:rFonts w:hint="eastAsia" w:ascii="宋体" w:hAnsi="宋体" w:cs="宋体"/>
                <w:color w:val="000000"/>
                <w:kern w:val="0"/>
                <w:szCs w:val="21"/>
              </w:rPr>
              <w:t>或者受邀机构的意见（盖章）：</w:t>
            </w:r>
          </w:p>
        </w:tc>
      </w:tr>
      <w:tr w14:paraId="108ACACF">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28AA1097">
            <w:pPr>
              <w:spacing w:before="100" w:beforeAutospacing="1" w:after="100" w:afterAutospacing="1" w:line="320" w:lineRule="atLeast"/>
              <w:ind w:firstLine="74"/>
              <w:jc w:val="left"/>
              <w:rPr>
                <w:rFonts w:ascii="宋体" w:hAnsi="宋体" w:cs="宋体"/>
                <w:color w:val="000000"/>
                <w:kern w:val="0"/>
                <w:szCs w:val="21"/>
              </w:rPr>
            </w:pPr>
            <w:r>
              <w:rPr>
                <w:rFonts w:hint="eastAsia" w:ascii="宋体" w:hAnsi="宋体" w:cs="宋体"/>
                <w:color w:val="000000"/>
                <w:kern w:val="0"/>
                <w:szCs w:val="21"/>
              </w:rPr>
              <w:t>中标或者成交</w:t>
            </w:r>
            <w:r>
              <w:rPr>
                <w:rFonts w:ascii="宋体" w:hAnsi="宋体" w:cs="宋体"/>
                <w:color w:val="000000"/>
                <w:kern w:val="0"/>
                <w:szCs w:val="21"/>
              </w:rPr>
              <w:t>人</w:t>
            </w:r>
            <w:r>
              <w:rPr>
                <w:rFonts w:hint="eastAsia" w:ascii="宋体" w:hAnsi="宋体" w:cs="宋体"/>
                <w:color w:val="000000"/>
                <w:kern w:val="0"/>
                <w:szCs w:val="21"/>
              </w:rPr>
              <w:t>负责人签字或者盖章：</w:t>
            </w:r>
          </w:p>
          <w:p w14:paraId="17B5687F">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 xml:space="preserve">联系电话： </w:t>
            </w:r>
          </w:p>
          <w:p w14:paraId="762D9652">
            <w:pPr>
              <w:spacing w:before="100" w:beforeAutospacing="1" w:after="100" w:afterAutospacing="1" w:line="320" w:lineRule="atLeast"/>
              <w:ind w:firstLine="2730" w:firstLineChars="1300"/>
              <w:jc w:val="left"/>
              <w:rPr>
                <w:rFonts w:ascii="宋体" w:hAnsi="宋体" w:cs="宋体"/>
                <w:color w:val="000000"/>
                <w:kern w:val="0"/>
                <w:szCs w:val="21"/>
              </w:rPr>
            </w:pPr>
            <w:r>
              <w:rPr>
                <w:rFonts w:hint="eastAsia" w:ascii="宋体" w:hAnsi="宋体" w:cs="宋体"/>
                <w:color w:val="000000"/>
                <w:kern w:val="0"/>
                <w:szCs w:val="21"/>
              </w:rPr>
              <w:t>年 月 日</w:t>
            </w:r>
          </w:p>
        </w:tc>
        <w:tc>
          <w:tcPr>
            <w:tcW w:w="5219" w:type="dxa"/>
            <w:gridSpan w:val="4"/>
            <w:tcBorders>
              <w:top w:val="nil"/>
              <w:left w:val="single" w:color="auto" w:sz="4" w:space="0"/>
              <w:bottom w:val="single" w:color="auto" w:sz="8" w:space="0"/>
              <w:right w:val="single" w:color="auto" w:sz="8" w:space="0"/>
            </w:tcBorders>
            <w:vAlign w:val="center"/>
          </w:tcPr>
          <w:p w14:paraId="194C894B">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采购人或者受托机构的意见（盖章）：</w:t>
            </w:r>
          </w:p>
          <w:p w14:paraId="35398CDD">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 xml:space="preserve">联系电话： </w:t>
            </w:r>
          </w:p>
          <w:p w14:paraId="54CAD215">
            <w:pPr>
              <w:spacing w:before="100" w:beforeAutospacing="1" w:after="100" w:afterAutospacing="1" w:line="320" w:lineRule="atLeast"/>
              <w:ind w:firstLine="2520" w:firstLineChars="1200"/>
              <w:jc w:val="left"/>
              <w:rPr>
                <w:rFonts w:ascii="宋体" w:hAnsi="宋体" w:cs="宋体"/>
                <w:color w:val="000000"/>
                <w:kern w:val="0"/>
                <w:szCs w:val="21"/>
              </w:rPr>
            </w:pPr>
            <w:r>
              <w:rPr>
                <w:rFonts w:hint="eastAsia" w:ascii="宋体" w:hAnsi="宋体" w:cs="宋体"/>
                <w:color w:val="000000"/>
                <w:kern w:val="0"/>
                <w:szCs w:val="21"/>
              </w:rPr>
              <w:t>年 月 日</w:t>
            </w:r>
          </w:p>
        </w:tc>
      </w:tr>
    </w:tbl>
    <w:p w14:paraId="506C1546">
      <w:pPr>
        <w:pStyle w:val="14"/>
        <w:rPr>
          <w:rFonts w:ascii="宋体" w:hAnsi="宋体" w:cs="宋体"/>
          <w:color w:val="000000"/>
          <w:kern w:val="0"/>
          <w:sz w:val="28"/>
          <w:szCs w:val="28"/>
        </w:rPr>
        <w:sectPr>
          <w:pgSz w:w="11905" w:h="16838"/>
          <w:pgMar w:top="1134" w:right="1134" w:bottom="1134" w:left="1134" w:header="850" w:footer="850" w:gutter="0"/>
          <w:cols w:space="0" w:num="1"/>
          <w:titlePg/>
          <w:docGrid w:linePitch="331" w:charSpace="0"/>
        </w:sectPr>
      </w:pPr>
      <w:r>
        <w:rPr>
          <w:rFonts w:hint="eastAsia" w:ascii="宋体" w:hAnsi="宋体" w:cs="宋体"/>
          <w:color w:val="000000"/>
        </w:rPr>
        <w:br w:type="page"/>
      </w:r>
    </w:p>
    <w:p w14:paraId="5AE5F19A">
      <w:pPr>
        <w:jc w:val="left"/>
        <w:rPr>
          <w:rFonts w:ascii="宋体" w:hAnsi="宋体" w:cs="宋体"/>
          <w:color w:val="000000"/>
        </w:rPr>
      </w:pPr>
      <w:r>
        <w:rPr>
          <w:rFonts w:hint="eastAsia" w:ascii="宋体" w:hAnsi="宋体" w:cs="宋体"/>
          <w:sz w:val="28"/>
          <w:szCs w:val="28"/>
          <w:lang w:val="en-US" w:eastAsia="zh-CN"/>
        </w:rPr>
        <w:t>4</w:t>
      </w:r>
      <w:r>
        <w:rPr>
          <w:rFonts w:hint="eastAsia" w:ascii="宋体" w:hAnsi="宋体" w:cs="宋体"/>
          <w:sz w:val="28"/>
          <w:szCs w:val="28"/>
        </w:rPr>
        <w:t>.政府采购项目履约保证金退付意见书的格式：</w:t>
      </w:r>
    </w:p>
    <w:p w14:paraId="1DBD360C">
      <w:pPr>
        <w:jc w:val="center"/>
        <w:rPr>
          <w:rFonts w:ascii="宋体" w:hAnsi="宋体" w:cs="宋体"/>
          <w:color w:val="000000"/>
          <w:sz w:val="32"/>
          <w:szCs w:val="32"/>
        </w:rPr>
      </w:pPr>
    </w:p>
    <w:p w14:paraId="5781363B">
      <w:pPr>
        <w:jc w:val="center"/>
        <w:rPr>
          <w:rFonts w:ascii="宋体" w:hAnsi="宋体" w:cs="宋体"/>
          <w:color w:val="000000"/>
          <w:sz w:val="32"/>
          <w:szCs w:val="32"/>
        </w:rPr>
      </w:pPr>
      <w:r>
        <w:rPr>
          <w:rFonts w:hint="eastAsia" w:ascii="宋体" w:hAnsi="宋体" w:cs="宋体"/>
          <w:color w:val="000000"/>
          <w:sz w:val="32"/>
          <w:szCs w:val="32"/>
        </w:rPr>
        <w:t>政府采购项目履约保证金退付意见书（参考）</w:t>
      </w:r>
    </w:p>
    <w:p w14:paraId="3BF1347C">
      <w:pPr>
        <w:jc w:val="center"/>
        <w:rPr>
          <w:rFonts w:ascii="宋体" w:hAnsi="宋体" w:cs="宋体"/>
          <w:color w:val="000000"/>
          <w:sz w:val="36"/>
          <w:szCs w:val="36"/>
        </w:rPr>
      </w:pPr>
    </w:p>
    <w:tbl>
      <w:tblPr>
        <w:tblStyle w:val="23"/>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45B3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2C06BBE6">
            <w:pPr>
              <w:jc w:val="center"/>
              <w:rPr>
                <w:rFonts w:ascii="宋体" w:hAnsi="宋体" w:cs="宋体"/>
                <w:color w:val="000000"/>
                <w:sz w:val="24"/>
              </w:rPr>
            </w:pPr>
            <w:r>
              <w:rPr>
                <w:rFonts w:hint="eastAsia" w:ascii="宋体" w:hAnsi="宋体" w:cs="宋体"/>
                <w:color w:val="000000"/>
                <w:sz w:val="24"/>
              </w:rPr>
              <w:t>供</w:t>
            </w:r>
          </w:p>
          <w:p w14:paraId="3DD34CD0">
            <w:pPr>
              <w:jc w:val="center"/>
              <w:rPr>
                <w:rFonts w:ascii="宋体" w:hAnsi="宋体" w:cs="宋体"/>
                <w:color w:val="000000"/>
                <w:sz w:val="24"/>
              </w:rPr>
            </w:pPr>
            <w:r>
              <w:rPr>
                <w:rFonts w:hint="eastAsia" w:ascii="宋体" w:hAnsi="宋体" w:cs="宋体"/>
                <w:color w:val="000000"/>
                <w:sz w:val="24"/>
              </w:rPr>
              <w:t>应</w:t>
            </w:r>
          </w:p>
          <w:p w14:paraId="630A31EF">
            <w:pPr>
              <w:jc w:val="center"/>
              <w:rPr>
                <w:rFonts w:ascii="宋体" w:hAnsi="宋体" w:cs="宋体"/>
                <w:color w:val="000000"/>
                <w:sz w:val="24"/>
              </w:rPr>
            </w:pPr>
            <w:r>
              <w:rPr>
                <w:rFonts w:hint="eastAsia" w:ascii="宋体" w:hAnsi="宋体" w:cs="宋体"/>
                <w:color w:val="000000"/>
                <w:sz w:val="24"/>
              </w:rPr>
              <w:t>商</w:t>
            </w:r>
          </w:p>
          <w:p w14:paraId="27B6F97B">
            <w:pPr>
              <w:jc w:val="center"/>
              <w:rPr>
                <w:rFonts w:ascii="宋体" w:hAnsi="宋体" w:cs="宋体"/>
                <w:color w:val="000000"/>
                <w:sz w:val="24"/>
              </w:rPr>
            </w:pPr>
            <w:r>
              <w:rPr>
                <w:rFonts w:hint="eastAsia" w:ascii="宋体" w:hAnsi="宋体" w:cs="宋体"/>
                <w:color w:val="000000"/>
                <w:sz w:val="24"/>
              </w:rPr>
              <w:t>申</w:t>
            </w:r>
          </w:p>
          <w:p w14:paraId="3DAA7687">
            <w:pPr>
              <w:jc w:val="center"/>
              <w:rPr>
                <w:rFonts w:ascii="宋体" w:hAnsi="宋体" w:cs="宋体"/>
                <w:color w:val="000000"/>
                <w:sz w:val="24"/>
              </w:rPr>
            </w:pPr>
            <w:r>
              <w:rPr>
                <w:rFonts w:hint="eastAsia" w:ascii="宋体" w:hAnsi="宋体" w:cs="宋体"/>
                <w:color w:val="000000"/>
                <w:sz w:val="24"/>
              </w:rPr>
              <w:t>请</w:t>
            </w:r>
          </w:p>
        </w:tc>
        <w:tc>
          <w:tcPr>
            <w:tcW w:w="8456" w:type="dxa"/>
            <w:vAlign w:val="center"/>
          </w:tcPr>
          <w:p w14:paraId="1811F9A0">
            <w:pPr>
              <w:rPr>
                <w:rFonts w:ascii="宋体" w:hAnsi="宋体" w:cs="宋体"/>
                <w:color w:val="000000"/>
                <w:sz w:val="24"/>
              </w:rPr>
            </w:pPr>
            <w:r>
              <w:rPr>
                <w:rFonts w:hint="eastAsia" w:ascii="宋体" w:hAnsi="宋体" w:cs="宋体"/>
                <w:color w:val="000000"/>
                <w:sz w:val="24"/>
              </w:rPr>
              <w:t>项目编号：</w:t>
            </w:r>
          </w:p>
        </w:tc>
      </w:tr>
      <w:tr w14:paraId="302B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1C14383A">
            <w:pPr>
              <w:rPr>
                <w:rFonts w:ascii="宋体" w:hAnsi="宋体" w:cs="宋体"/>
                <w:color w:val="000000"/>
                <w:sz w:val="24"/>
              </w:rPr>
            </w:pPr>
          </w:p>
        </w:tc>
        <w:tc>
          <w:tcPr>
            <w:tcW w:w="8456" w:type="dxa"/>
            <w:vAlign w:val="center"/>
          </w:tcPr>
          <w:p w14:paraId="4A4930EB">
            <w:pPr>
              <w:rPr>
                <w:rFonts w:ascii="宋体" w:hAnsi="宋体" w:cs="宋体"/>
                <w:color w:val="000000"/>
                <w:sz w:val="24"/>
              </w:rPr>
            </w:pPr>
            <w:r>
              <w:rPr>
                <w:rFonts w:hint="eastAsia" w:ascii="宋体" w:hAnsi="宋体" w:cs="宋体"/>
                <w:color w:val="000000"/>
                <w:sz w:val="24"/>
              </w:rPr>
              <w:t>项目名称：</w:t>
            </w:r>
          </w:p>
        </w:tc>
      </w:tr>
      <w:tr w14:paraId="0645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53C2DBDA">
            <w:pPr>
              <w:rPr>
                <w:rFonts w:ascii="宋体" w:hAnsi="宋体" w:cs="宋体"/>
                <w:color w:val="000000"/>
                <w:sz w:val="24"/>
              </w:rPr>
            </w:pPr>
          </w:p>
        </w:tc>
        <w:tc>
          <w:tcPr>
            <w:tcW w:w="8456" w:type="dxa"/>
          </w:tcPr>
          <w:p w14:paraId="394CE511">
            <w:pPr>
              <w:rPr>
                <w:rFonts w:ascii="宋体" w:hAnsi="宋体" w:cs="宋体"/>
                <w:color w:val="000000"/>
                <w:sz w:val="24"/>
              </w:rPr>
            </w:pPr>
            <w:r>
              <w:rPr>
                <w:rFonts w:hint="eastAsia" w:ascii="宋体" w:hAnsi="宋体" w:cs="宋体"/>
                <w:color w:val="000000"/>
                <w:sz w:val="24"/>
              </w:rPr>
              <w:t xml:space="preserve">  </w:t>
            </w:r>
          </w:p>
          <w:p w14:paraId="504AEAC3">
            <w:pPr>
              <w:spacing w:line="400" w:lineRule="exact"/>
              <w:ind w:firstLine="480" w:firstLineChars="200"/>
              <w:rPr>
                <w:rFonts w:ascii="宋体" w:hAnsi="宋体" w:cs="宋体"/>
                <w:color w:val="000000"/>
                <w:sz w:val="24"/>
              </w:rPr>
            </w:pPr>
            <w:r>
              <w:rPr>
                <w:rFonts w:hint="eastAsia" w:ascii="宋体" w:hAnsi="宋体" w:cs="宋体"/>
                <w:color w:val="000000"/>
                <w:sz w:val="24"/>
              </w:rPr>
              <w:t>该项目已于</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日验收并交付使用。根据合同规定，该项目的履约保证金期限于</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日已满，请将履约保证金（大写）</w:t>
            </w:r>
            <w:r>
              <w:rPr>
                <w:rFonts w:hint="eastAsia" w:ascii="宋体" w:hAnsi="宋体" w:cs="宋体"/>
                <w:color w:val="000000"/>
                <w:sz w:val="24"/>
                <w:u w:val="single"/>
              </w:rPr>
              <w:t xml:space="preserve">人民币                      </w:t>
            </w:r>
            <w:r>
              <w:rPr>
                <w:rFonts w:hint="eastAsia" w:ascii="宋体" w:hAnsi="宋体" w:cs="宋体"/>
                <w:color w:val="000000"/>
                <w:sz w:val="24"/>
              </w:rPr>
              <w:t>（小写）¥</w:t>
            </w:r>
            <w:r>
              <w:rPr>
                <w:rFonts w:hint="eastAsia" w:ascii="宋体" w:hAnsi="宋体" w:cs="宋体"/>
                <w:color w:val="000000"/>
                <w:sz w:val="24"/>
                <w:u w:val="single"/>
              </w:rPr>
              <w:t xml:space="preserve">          </w:t>
            </w:r>
            <w:r>
              <w:rPr>
                <w:rFonts w:hint="eastAsia" w:ascii="宋体" w:hAnsi="宋体" w:cs="宋体"/>
                <w:color w:val="000000"/>
                <w:sz w:val="24"/>
              </w:rPr>
              <w:t>退付到达以下账户。</w:t>
            </w:r>
          </w:p>
          <w:p w14:paraId="5C6749D1">
            <w:pPr>
              <w:spacing w:line="400" w:lineRule="exact"/>
              <w:ind w:firstLine="705"/>
              <w:rPr>
                <w:rFonts w:ascii="宋体" w:hAnsi="宋体" w:cs="宋体"/>
                <w:color w:val="000000"/>
                <w:sz w:val="24"/>
              </w:rPr>
            </w:pPr>
            <w:r>
              <w:rPr>
                <w:rFonts w:hint="eastAsia" w:ascii="宋体" w:hAnsi="宋体" w:cs="宋体"/>
                <w:color w:val="000000"/>
                <w:sz w:val="24"/>
              </w:rPr>
              <w:t>单位名称：</w:t>
            </w:r>
          </w:p>
          <w:p w14:paraId="60FABEC9">
            <w:pPr>
              <w:spacing w:line="400" w:lineRule="exact"/>
              <w:ind w:firstLine="705"/>
              <w:rPr>
                <w:rFonts w:ascii="宋体" w:hAnsi="宋体" w:cs="宋体"/>
                <w:color w:val="000000"/>
                <w:sz w:val="24"/>
              </w:rPr>
            </w:pPr>
            <w:r>
              <w:rPr>
                <w:rFonts w:hint="eastAsia" w:ascii="宋体" w:hAnsi="宋体" w:cs="宋体"/>
                <w:color w:val="000000"/>
                <w:sz w:val="24"/>
              </w:rPr>
              <w:t>开户银行：</w:t>
            </w:r>
          </w:p>
          <w:p w14:paraId="4B80BE7D">
            <w:pPr>
              <w:spacing w:line="400" w:lineRule="exact"/>
              <w:ind w:firstLine="705"/>
              <w:rPr>
                <w:rFonts w:ascii="宋体" w:hAnsi="宋体" w:cs="宋体"/>
                <w:color w:val="000000"/>
                <w:sz w:val="24"/>
              </w:rPr>
            </w:pPr>
            <w:r>
              <w:rPr>
                <w:rFonts w:hint="eastAsia" w:ascii="宋体" w:hAnsi="宋体" w:cs="宋体"/>
                <w:color w:val="000000"/>
                <w:sz w:val="24"/>
              </w:rPr>
              <w:t>账   号：</w:t>
            </w:r>
          </w:p>
          <w:p w14:paraId="0F519064">
            <w:pPr>
              <w:spacing w:line="400" w:lineRule="exact"/>
              <w:rPr>
                <w:rFonts w:ascii="宋体" w:hAnsi="宋体" w:cs="宋体"/>
                <w:color w:val="000000"/>
                <w:sz w:val="24"/>
              </w:rPr>
            </w:pPr>
            <w:r>
              <w:rPr>
                <w:rFonts w:hint="eastAsia" w:ascii="宋体" w:hAnsi="宋体" w:cs="宋体"/>
                <w:color w:val="000000"/>
                <w:sz w:val="24"/>
              </w:rPr>
              <w:t>联系人及电话：</w:t>
            </w:r>
          </w:p>
          <w:p w14:paraId="3E6A3264">
            <w:pPr>
              <w:spacing w:line="400" w:lineRule="exact"/>
              <w:rPr>
                <w:rFonts w:ascii="宋体" w:hAnsi="宋体" w:cs="宋体"/>
                <w:color w:val="000000"/>
                <w:sz w:val="24"/>
              </w:rPr>
            </w:pPr>
          </w:p>
          <w:p w14:paraId="79D841E8">
            <w:pPr>
              <w:spacing w:line="520" w:lineRule="exact"/>
              <w:jc w:val="center"/>
              <w:rPr>
                <w:rFonts w:ascii="宋体" w:hAnsi="宋体" w:cs="宋体"/>
                <w:color w:val="000000"/>
                <w:sz w:val="24"/>
              </w:rPr>
            </w:pPr>
            <w:r>
              <w:rPr>
                <w:rFonts w:hint="eastAsia" w:ascii="宋体" w:hAnsi="宋体" w:cs="宋体"/>
                <w:color w:val="000000"/>
                <w:sz w:val="24"/>
              </w:rPr>
              <w:t xml:space="preserve">         投标人签章：</w:t>
            </w:r>
          </w:p>
          <w:p w14:paraId="1D72B999">
            <w:pPr>
              <w:spacing w:line="520" w:lineRule="exact"/>
              <w:jc w:val="center"/>
              <w:rPr>
                <w:rFonts w:ascii="宋体" w:hAnsi="宋体" w:cs="宋体"/>
                <w:color w:val="000000"/>
                <w:sz w:val="24"/>
              </w:rPr>
            </w:pPr>
            <w:r>
              <w:rPr>
                <w:rFonts w:hint="eastAsia" w:ascii="宋体" w:hAnsi="宋体" w:cs="宋体"/>
                <w:color w:val="000000"/>
                <w:sz w:val="24"/>
              </w:rPr>
              <w:t xml:space="preserve">                           年    月     日</w:t>
            </w:r>
          </w:p>
        </w:tc>
      </w:tr>
      <w:tr w14:paraId="7E93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75DF8469">
            <w:pPr>
              <w:jc w:val="center"/>
              <w:rPr>
                <w:rFonts w:ascii="宋体" w:hAnsi="宋体" w:cs="宋体"/>
                <w:color w:val="000000"/>
                <w:sz w:val="24"/>
              </w:rPr>
            </w:pPr>
            <w:r>
              <w:rPr>
                <w:rFonts w:hint="eastAsia" w:ascii="宋体" w:hAnsi="宋体" w:cs="宋体"/>
                <w:color w:val="000000"/>
                <w:sz w:val="24"/>
              </w:rPr>
              <w:t>采</w:t>
            </w:r>
          </w:p>
          <w:p w14:paraId="5D25621E">
            <w:pPr>
              <w:jc w:val="center"/>
              <w:rPr>
                <w:rFonts w:ascii="宋体" w:hAnsi="宋体" w:cs="宋体"/>
                <w:color w:val="000000"/>
                <w:sz w:val="24"/>
              </w:rPr>
            </w:pPr>
            <w:r>
              <w:rPr>
                <w:rFonts w:hint="eastAsia" w:ascii="宋体" w:hAnsi="宋体" w:cs="宋体"/>
                <w:color w:val="000000"/>
                <w:sz w:val="24"/>
              </w:rPr>
              <w:t>购</w:t>
            </w:r>
          </w:p>
          <w:p w14:paraId="7E8C4615">
            <w:pPr>
              <w:jc w:val="center"/>
              <w:rPr>
                <w:rFonts w:ascii="宋体" w:hAnsi="宋体" w:cs="宋体"/>
                <w:color w:val="000000"/>
                <w:sz w:val="24"/>
              </w:rPr>
            </w:pPr>
            <w:r>
              <w:rPr>
                <w:rFonts w:hint="eastAsia" w:ascii="宋体" w:hAnsi="宋体" w:cs="宋体"/>
                <w:color w:val="000000"/>
                <w:sz w:val="24"/>
              </w:rPr>
              <w:t>人</w:t>
            </w:r>
          </w:p>
          <w:p w14:paraId="0015780C">
            <w:pPr>
              <w:jc w:val="center"/>
              <w:rPr>
                <w:rFonts w:ascii="宋体" w:hAnsi="宋体" w:cs="宋体"/>
                <w:color w:val="000000"/>
                <w:sz w:val="24"/>
              </w:rPr>
            </w:pPr>
            <w:r>
              <w:rPr>
                <w:rFonts w:hint="eastAsia" w:ascii="宋体" w:hAnsi="宋体" w:cs="宋体"/>
                <w:color w:val="000000"/>
                <w:sz w:val="24"/>
              </w:rPr>
              <w:t>意</w:t>
            </w:r>
          </w:p>
          <w:p w14:paraId="4580C70D">
            <w:pPr>
              <w:jc w:val="center"/>
              <w:rPr>
                <w:rFonts w:ascii="宋体" w:hAnsi="宋体" w:cs="宋体"/>
                <w:color w:val="000000"/>
                <w:sz w:val="24"/>
              </w:rPr>
            </w:pPr>
            <w:r>
              <w:rPr>
                <w:rFonts w:hint="eastAsia" w:ascii="宋体" w:hAnsi="宋体" w:cs="宋体"/>
                <w:color w:val="000000"/>
                <w:sz w:val="24"/>
              </w:rPr>
              <w:t>见</w:t>
            </w:r>
          </w:p>
        </w:tc>
        <w:tc>
          <w:tcPr>
            <w:tcW w:w="8456" w:type="dxa"/>
          </w:tcPr>
          <w:p w14:paraId="44B4DE79">
            <w:pPr>
              <w:rPr>
                <w:rFonts w:ascii="宋体" w:hAnsi="宋体" w:cs="宋体"/>
                <w:color w:val="000000"/>
                <w:sz w:val="24"/>
              </w:rPr>
            </w:pPr>
          </w:p>
          <w:p w14:paraId="02AB4DD3">
            <w:pPr>
              <w:rPr>
                <w:rFonts w:ascii="宋体" w:hAnsi="宋体" w:cs="宋体"/>
                <w:color w:val="000000"/>
                <w:sz w:val="24"/>
              </w:rPr>
            </w:pPr>
            <w:r>
              <w:rPr>
                <w:rFonts w:hint="eastAsia" w:ascii="宋体" w:hAnsi="宋体" w:cs="宋体"/>
                <w:color w:val="000000"/>
                <w:sz w:val="24"/>
              </w:rPr>
              <w:t>退付意见：（是否同意退付履约保证金及退付金额）</w:t>
            </w:r>
          </w:p>
          <w:p w14:paraId="0B926100">
            <w:pPr>
              <w:rPr>
                <w:rFonts w:ascii="宋体" w:hAnsi="宋体" w:cs="宋体"/>
                <w:color w:val="000000"/>
                <w:sz w:val="24"/>
              </w:rPr>
            </w:pPr>
          </w:p>
          <w:p w14:paraId="3FCBCE20">
            <w:pPr>
              <w:rPr>
                <w:rFonts w:ascii="宋体" w:hAnsi="宋体" w:cs="宋体"/>
                <w:color w:val="000000"/>
                <w:sz w:val="24"/>
              </w:rPr>
            </w:pPr>
          </w:p>
          <w:p w14:paraId="01F9124D">
            <w:pPr>
              <w:rPr>
                <w:rFonts w:ascii="宋体" w:hAnsi="宋体" w:cs="宋体"/>
                <w:color w:val="000000"/>
                <w:sz w:val="24"/>
              </w:rPr>
            </w:pPr>
          </w:p>
          <w:p w14:paraId="4918BC92">
            <w:pPr>
              <w:rPr>
                <w:rFonts w:ascii="宋体" w:hAnsi="宋体" w:cs="宋体"/>
                <w:color w:val="000000"/>
                <w:sz w:val="24"/>
              </w:rPr>
            </w:pPr>
          </w:p>
          <w:p w14:paraId="2037A972">
            <w:pPr>
              <w:spacing w:line="520" w:lineRule="exact"/>
              <w:rPr>
                <w:rFonts w:ascii="宋体" w:hAnsi="宋体" w:cs="宋体"/>
                <w:color w:val="000000"/>
                <w:sz w:val="24"/>
              </w:rPr>
            </w:pPr>
            <w:r>
              <w:rPr>
                <w:rFonts w:hint="eastAsia" w:ascii="宋体" w:hAnsi="宋体" w:cs="宋体"/>
                <w:color w:val="000000"/>
                <w:sz w:val="24"/>
              </w:rPr>
              <w:t>联系人及电话：                         采购人签章</w:t>
            </w:r>
          </w:p>
          <w:p w14:paraId="5D8BB6BD">
            <w:pPr>
              <w:spacing w:line="520" w:lineRule="exact"/>
              <w:jc w:val="center"/>
              <w:rPr>
                <w:rFonts w:ascii="宋体" w:hAnsi="宋体" w:cs="宋体"/>
                <w:color w:val="000000"/>
                <w:sz w:val="24"/>
              </w:rPr>
            </w:pPr>
            <w:r>
              <w:rPr>
                <w:rFonts w:hint="eastAsia" w:ascii="宋体" w:hAnsi="宋体" w:cs="宋体"/>
                <w:color w:val="000000"/>
                <w:sz w:val="24"/>
              </w:rPr>
              <w:t xml:space="preserve">                                        年    月     日</w:t>
            </w:r>
          </w:p>
        </w:tc>
      </w:tr>
      <w:tr w14:paraId="3384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62F9EFD0">
            <w:pPr>
              <w:jc w:val="center"/>
              <w:rPr>
                <w:rFonts w:ascii="宋体" w:hAnsi="宋体" w:cs="宋体"/>
                <w:color w:val="000000"/>
                <w:sz w:val="24"/>
              </w:rPr>
            </w:pPr>
            <w:r>
              <w:rPr>
                <w:rFonts w:hint="eastAsia" w:ascii="宋体" w:hAnsi="宋体" w:cs="宋体"/>
                <w:color w:val="000000"/>
                <w:sz w:val="24"/>
              </w:rPr>
              <w:t>备注</w:t>
            </w:r>
          </w:p>
        </w:tc>
        <w:tc>
          <w:tcPr>
            <w:tcW w:w="8456" w:type="dxa"/>
          </w:tcPr>
          <w:p w14:paraId="28A14D7D">
            <w:pPr>
              <w:rPr>
                <w:rFonts w:ascii="宋体" w:hAnsi="宋体" w:cs="宋体"/>
                <w:color w:val="000000"/>
                <w:sz w:val="24"/>
              </w:rPr>
            </w:pPr>
          </w:p>
        </w:tc>
      </w:tr>
    </w:tbl>
    <w:p w14:paraId="53933500">
      <w:pPr>
        <w:pStyle w:val="9"/>
        <w:ind w:left="420" w:leftChars="114" w:hanging="181" w:hangingChars="100"/>
        <w:rPr>
          <w:rFonts w:ascii="宋体" w:hAnsi="宋体" w:cs="宋体"/>
          <w:b/>
          <w:bCs/>
          <w:color w:val="000000"/>
          <w:sz w:val="18"/>
        </w:rPr>
      </w:pPr>
      <w:r>
        <w:rPr>
          <w:rFonts w:hint="eastAsia" w:ascii="宋体" w:hAnsi="宋体" w:cs="宋体"/>
          <w:b/>
          <w:bCs/>
          <w:color w:val="000000"/>
          <w:sz w:val="18"/>
        </w:rPr>
        <w:t>注：投标人凭经采购人审批的退付意见书到</w:t>
      </w:r>
      <w:r>
        <w:rPr>
          <w:rFonts w:hint="eastAsia"/>
          <w:b/>
          <w:bCs/>
          <w:sz w:val="18"/>
          <w:szCs w:val="18"/>
        </w:rPr>
        <w:t>履约</w:t>
      </w:r>
      <w:r>
        <w:rPr>
          <w:rFonts w:hint="eastAsia" w:ascii="宋体" w:hAnsi="宋体" w:cs="宋体"/>
          <w:b/>
          <w:bCs/>
          <w:color w:val="000000"/>
          <w:sz w:val="18"/>
        </w:rPr>
        <w:t>保证金收取单位办理履约保证金退付事宜。</w:t>
      </w:r>
    </w:p>
    <w:p w14:paraId="222A6B85">
      <w:pPr>
        <w:pStyle w:val="13"/>
        <w:snapToGrid w:val="0"/>
        <w:spacing w:before="120" w:after="120"/>
        <w:rPr>
          <w:rFonts w:hAnsi="宋体" w:cs="宋体"/>
          <w:color w:val="000000"/>
        </w:rPr>
      </w:pPr>
    </w:p>
    <w:p w14:paraId="3FB4D8F7">
      <w:pPr>
        <w:snapToGrid w:val="0"/>
        <w:spacing w:before="50" w:after="120" w:afterLines="50" w:line="360" w:lineRule="auto"/>
        <w:jc w:val="left"/>
        <w:rPr>
          <w:sz w:val="20"/>
        </w:rPr>
      </w:pPr>
    </w:p>
    <w:p w14:paraId="16371C66">
      <w:pPr>
        <w:pStyle w:val="13"/>
        <w:tabs>
          <w:tab w:val="left" w:pos="2472"/>
        </w:tabs>
        <w:spacing w:line="460" w:lineRule="exact"/>
        <w:jc w:val="center"/>
        <w:rPr>
          <w:rFonts w:ascii="Times New Roman" w:hAnsi="Times New Roman"/>
          <w:b/>
          <w:sz w:val="36"/>
        </w:rPr>
      </w:pPr>
    </w:p>
    <w:p w14:paraId="46BFC2AE">
      <w:pPr>
        <w:pStyle w:val="13"/>
        <w:tabs>
          <w:tab w:val="left" w:pos="2472"/>
        </w:tabs>
        <w:spacing w:line="460" w:lineRule="exact"/>
        <w:jc w:val="center"/>
        <w:rPr>
          <w:rFonts w:ascii="Times New Roman" w:hAnsi="Times New Roman"/>
          <w:b/>
          <w:sz w:val="36"/>
        </w:rPr>
      </w:pPr>
    </w:p>
    <w:p w14:paraId="70B987EA">
      <w:pPr>
        <w:pStyle w:val="13"/>
        <w:tabs>
          <w:tab w:val="left" w:pos="2472"/>
        </w:tabs>
        <w:spacing w:line="460" w:lineRule="exact"/>
        <w:jc w:val="center"/>
        <w:rPr>
          <w:rFonts w:ascii="Times New Roman" w:hAnsi="Times New Roman"/>
          <w:b/>
          <w:sz w:val="36"/>
        </w:rPr>
      </w:pPr>
    </w:p>
    <w:p w14:paraId="6401A3EF">
      <w:pPr>
        <w:pStyle w:val="13"/>
        <w:tabs>
          <w:tab w:val="left" w:pos="2472"/>
        </w:tabs>
        <w:spacing w:line="460" w:lineRule="exact"/>
        <w:jc w:val="center"/>
        <w:rPr>
          <w:rFonts w:ascii="Times New Roman" w:hAnsi="Times New Roman"/>
          <w:b/>
          <w:sz w:val="36"/>
        </w:rPr>
      </w:pPr>
    </w:p>
    <w:p w14:paraId="0EEE16A7">
      <w:pPr>
        <w:pStyle w:val="13"/>
        <w:tabs>
          <w:tab w:val="left" w:pos="2472"/>
        </w:tabs>
        <w:spacing w:line="460" w:lineRule="exact"/>
        <w:jc w:val="center"/>
        <w:rPr>
          <w:rFonts w:ascii="Times New Roman" w:hAnsi="Times New Roman"/>
          <w:b/>
          <w:sz w:val="36"/>
        </w:rPr>
      </w:pPr>
    </w:p>
    <w:p w14:paraId="2E77F6E8">
      <w:pPr>
        <w:pStyle w:val="13"/>
        <w:tabs>
          <w:tab w:val="left" w:pos="2472"/>
        </w:tabs>
        <w:spacing w:line="460" w:lineRule="exact"/>
        <w:jc w:val="center"/>
        <w:rPr>
          <w:rFonts w:ascii="Times New Roman" w:hAnsi="Times New Roman"/>
          <w:b/>
          <w:sz w:val="36"/>
        </w:rPr>
      </w:pPr>
    </w:p>
    <w:p w14:paraId="7F2317E2">
      <w:pPr>
        <w:pStyle w:val="13"/>
        <w:tabs>
          <w:tab w:val="left" w:pos="2472"/>
        </w:tabs>
        <w:spacing w:line="460" w:lineRule="exact"/>
        <w:jc w:val="center"/>
        <w:rPr>
          <w:rFonts w:ascii="Times New Roman" w:hAnsi="Times New Roman"/>
          <w:b/>
          <w:sz w:val="36"/>
        </w:rPr>
      </w:pPr>
    </w:p>
    <w:p w14:paraId="238D9B57">
      <w:pPr>
        <w:pStyle w:val="13"/>
        <w:tabs>
          <w:tab w:val="left" w:pos="2472"/>
        </w:tabs>
        <w:spacing w:line="460" w:lineRule="exact"/>
        <w:jc w:val="center"/>
        <w:rPr>
          <w:rFonts w:ascii="Times New Roman" w:hAnsi="Times New Roman"/>
          <w:b/>
          <w:sz w:val="36"/>
        </w:rPr>
      </w:pPr>
    </w:p>
    <w:p w14:paraId="577F7CE8">
      <w:pPr>
        <w:pStyle w:val="13"/>
        <w:tabs>
          <w:tab w:val="left" w:pos="2472"/>
        </w:tabs>
        <w:spacing w:line="460" w:lineRule="exact"/>
        <w:jc w:val="center"/>
        <w:rPr>
          <w:rFonts w:ascii="Times New Roman" w:hAnsi="Times New Roman"/>
          <w:b/>
          <w:sz w:val="36"/>
        </w:rPr>
      </w:pPr>
    </w:p>
    <w:p w14:paraId="373C33AD">
      <w:pPr>
        <w:pStyle w:val="13"/>
        <w:tabs>
          <w:tab w:val="left" w:pos="2472"/>
        </w:tabs>
        <w:spacing w:line="460" w:lineRule="exact"/>
        <w:jc w:val="center"/>
        <w:rPr>
          <w:rFonts w:ascii="Times New Roman" w:hAnsi="Times New Roman"/>
          <w:b/>
          <w:sz w:val="36"/>
        </w:rPr>
      </w:pPr>
    </w:p>
    <w:p w14:paraId="759E88B7">
      <w:pPr>
        <w:pStyle w:val="13"/>
        <w:tabs>
          <w:tab w:val="left" w:pos="2472"/>
        </w:tabs>
        <w:spacing w:line="460" w:lineRule="exact"/>
        <w:jc w:val="center"/>
        <w:rPr>
          <w:rFonts w:ascii="Times New Roman" w:hAnsi="Times New Roman"/>
          <w:b/>
          <w:sz w:val="36"/>
        </w:rPr>
      </w:pPr>
    </w:p>
    <w:p w14:paraId="2DC3DCFB">
      <w:pPr>
        <w:pStyle w:val="13"/>
        <w:tabs>
          <w:tab w:val="left" w:pos="2472"/>
        </w:tabs>
        <w:spacing w:line="460" w:lineRule="exact"/>
        <w:jc w:val="center"/>
        <w:outlineLvl w:val="0"/>
        <w:rPr>
          <w:rFonts w:ascii="Times New Roman" w:hAnsi="Times New Roman"/>
          <w:b/>
          <w:sz w:val="36"/>
        </w:rPr>
      </w:pPr>
      <w:bookmarkStart w:id="389" w:name="_Toc31310"/>
      <w:bookmarkStart w:id="390" w:name="_Toc2211"/>
      <w:bookmarkStart w:id="391" w:name="_Toc32028"/>
      <w:bookmarkStart w:id="392" w:name="_Toc31429"/>
      <w:bookmarkStart w:id="393" w:name="_Toc18173"/>
      <w:bookmarkStart w:id="394" w:name="_Toc25113"/>
      <w:bookmarkStart w:id="395" w:name="_Toc21753"/>
      <w:bookmarkStart w:id="396" w:name="_Toc17736"/>
      <w:bookmarkStart w:id="397" w:name="_Toc7254"/>
      <w:bookmarkStart w:id="398" w:name="_Toc491"/>
      <w:bookmarkStart w:id="399" w:name="_Toc6635"/>
      <w:bookmarkStart w:id="400" w:name="_Toc7244"/>
      <w:bookmarkStart w:id="401" w:name="_Toc11260"/>
      <w:r>
        <w:rPr>
          <w:rFonts w:hint="eastAsia" w:ascii="Times New Roman" w:hAnsi="Times New Roman"/>
          <w:b/>
          <w:sz w:val="36"/>
        </w:rPr>
        <w:t>第七章</w:t>
      </w:r>
      <w:r>
        <w:rPr>
          <w:rFonts w:ascii="Times New Roman" w:hAnsi="Times New Roman"/>
          <w:b/>
          <w:sz w:val="36"/>
        </w:rPr>
        <w:t xml:space="preserve"> </w:t>
      </w:r>
      <w:r>
        <w:rPr>
          <w:rFonts w:hint="eastAsia" w:ascii="Times New Roman" w:hAnsi="Times New Roman"/>
          <w:b/>
          <w:sz w:val="36"/>
        </w:rPr>
        <w:t>质疑、投诉材料格式</w:t>
      </w:r>
      <w:bookmarkEnd w:id="389"/>
      <w:bookmarkEnd w:id="390"/>
      <w:bookmarkEnd w:id="391"/>
      <w:bookmarkEnd w:id="392"/>
      <w:bookmarkEnd w:id="393"/>
      <w:bookmarkEnd w:id="394"/>
      <w:bookmarkEnd w:id="395"/>
      <w:bookmarkEnd w:id="396"/>
      <w:bookmarkEnd w:id="397"/>
      <w:bookmarkEnd w:id="398"/>
      <w:bookmarkEnd w:id="399"/>
      <w:bookmarkEnd w:id="400"/>
      <w:bookmarkEnd w:id="401"/>
    </w:p>
    <w:p w14:paraId="32DA7267">
      <w:pPr>
        <w:widowControl/>
        <w:spacing w:line="360" w:lineRule="auto"/>
        <w:jc w:val="left"/>
        <w:rPr>
          <w:sz w:val="20"/>
        </w:rPr>
        <w:sectPr>
          <w:pgSz w:w="11905" w:h="16838"/>
          <w:pgMar w:top="1134" w:right="1134" w:bottom="1134" w:left="1134" w:header="850" w:footer="850" w:gutter="0"/>
          <w:cols w:space="0" w:num="1"/>
          <w:titlePg/>
          <w:docGrid w:linePitch="331" w:charSpace="0"/>
        </w:sectPr>
      </w:pPr>
    </w:p>
    <w:p w14:paraId="2193380F">
      <w:pPr>
        <w:pStyle w:val="3"/>
        <w:jc w:val="center"/>
        <w:rPr>
          <w:rFonts w:hint="default" w:ascii="宋体" w:hAnsi="宋体"/>
          <w:b w:val="0"/>
          <w:bCs w:val="0"/>
          <w:color w:val="000000"/>
        </w:rPr>
      </w:pPr>
      <w:bookmarkStart w:id="402" w:name="_Toc31800"/>
      <w:bookmarkStart w:id="403" w:name="_Toc15096"/>
      <w:bookmarkStart w:id="404" w:name="_Toc17610"/>
      <w:bookmarkStart w:id="405" w:name="_Toc22595"/>
      <w:bookmarkStart w:id="406" w:name="_Toc25538"/>
      <w:bookmarkStart w:id="407" w:name="_Toc12016"/>
      <w:bookmarkStart w:id="408" w:name="_Toc3458"/>
      <w:bookmarkStart w:id="409" w:name="_Toc10944"/>
      <w:bookmarkStart w:id="410" w:name="_Toc22540"/>
      <w:bookmarkStart w:id="411" w:name="_Toc990"/>
      <w:r>
        <w:rPr>
          <w:rFonts w:ascii="宋体" w:hAnsi="宋体"/>
          <w:b w:val="0"/>
          <w:bCs w:val="0"/>
          <w:color w:val="000000"/>
        </w:rPr>
        <w:t>第一节 质疑函（格式）</w:t>
      </w:r>
      <w:bookmarkEnd w:id="402"/>
      <w:bookmarkEnd w:id="403"/>
      <w:bookmarkEnd w:id="404"/>
      <w:bookmarkEnd w:id="405"/>
      <w:bookmarkEnd w:id="406"/>
      <w:bookmarkEnd w:id="407"/>
      <w:bookmarkEnd w:id="408"/>
      <w:bookmarkEnd w:id="409"/>
      <w:bookmarkEnd w:id="410"/>
      <w:bookmarkEnd w:id="411"/>
    </w:p>
    <w:p w14:paraId="6DD81F18">
      <w:pPr>
        <w:jc w:val="center"/>
        <w:rPr>
          <w:rFonts w:ascii="黑体" w:hAnsi="黑体" w:eastAsia="黑体" w:cs="仿宋"/>
          <w:bCs/>
          <w:sz w:val="32"/>
          <w:szCs w:val="32"/>
        </w:rPr>
      </w:pPr>
      <w:r>
        <w:rPr>
          <w:rFonts w:hint="eastAsia" w:ascii="仿宋" w:hAnsi="仿宋" w:eastAsia="仿宋" w:cs="仿宋"/>
          <w:b/>
          <w:bCs/>
          <w:sz w:val="32"/>
          <w:szCs w:val="32"/>
        </w:rPr>
        <w:t>质疑函</w:t>
      </w:r>
    </w:p>
    <w:p w14:paraId="5C57912A">
      <w:pPr>
        <w:adjustRightInd w:val="0"/>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671169D1">
      <w:pPr>
        <w:adjustRightInd w:val="0"/>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22F4711B">
      <w:pPr>
        <w:adjustRightInd w:val="0"/>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265394D">
      <w:pPr>
        <w:adjustRightInd w:val="0"/>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8511977">
      <w:pPr>
        <w:adjustRightInd w:val="0"/>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6497A60F">
      <w:pPr>
        <w:adjustRightInd w:val="0"/>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422441F9">
      <w:pPr>
        <w:adjustRightInd w:val="0"/>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CC723D4">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14:paraId="0D96DFC5">
      <w:pPr>
        <w:adjustRightInd w:val="0"/>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60282A22">
      <w:pPr>
        <w:adjustRightInd w:val="0"/>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3044FE49">
      <w:pPr>
        <w:adjustRightInd w:val="0"/>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bookmarkStart w:id="412" w:name="PO_3000001867_PM026_5"/>
      <w:r>
        <w:rPr>
          <w:rFonts w:hint="eastAsia" w:ascii="宋体" w:hAnsi="宋体" w:cs="宋体"/>
          <w:sz w:val="24"/>
          <w:u w:val="dotted"/>
        </w:rPr>
        <w:t xml:space="preserve">                        </w:t>
      </w:r>
      <w:bookmarkEnd w:id="412"/>
      <w:r>
        <w:rPr>
          <w:rFonts w:hint="eastAsia" w:ascii="宋体" w:hAnsi="宋体" w:cs="宋体"/>
          <w:sz w:val="24"/>
          <w:u w:val="dotted"/>
        </w:rPr>
        <w:t xml:space="preserve">  </w:t>
      </w:r>
    </w:p>
    <w:p w14:paraId="425FABA8">
      <w:pPr>
        <w:adjustRightInd w:val="0"/>
        <w:snapToGrid w:val="0"/>
        <w:spacing w:line="360" w:lineRule="auto"/>
        <w:rPr>
          <w:rFonts w:ascii="宋体" w:hAnsi="宋体" w:cs="宋体"/>
          <w:sz w:val="24"/>
          <w:lang w:val="zh-CN"/>
        </w:rPr>
      </w:pPr>
      <w:r>
        <w:rPr>
          <w:rFonts w:hint="eastAsia" w:ascii="宋体" w:hAnsi="宋体" w:cs="宋体"/>
          <w:sz w:val="24"/>
          <w:lang w:val="zh-CN"/>
        </w:rPr>
        <w:t>质疑事项：</w:t>
      </w:r>
    </w:p>
    <w:p w14:paraId="7741A3AB">
      <w:pPr>
        <w:adjustRightInd w:val="0"/>
        <w:snapToGrid w:val="0"/>
        <w:spacing w:line="360" w:lineRule="auto"/>
        <w:rPr>
          <w:rFonts w:ascii="宋体" w:hAnsi="宋体" w:cs="宋体"/>
          <w:sz w:val="24"/>
          <w:lang w:val="zh-CN"/>
        </w:rPr>
      </w:pPr>
      <w:r>
        <w:rPr>
          <w:rFonts w:hint="eastAsia" w:ascii="宋体" w:hAnsi="宋体" w:cs="宋体"/>
          <w:sz w:val="24"/>
          <w:lang w:val="zh-CN"/>
        </w:rPr>
        <w:t>□采购文件   采购文件获取日期：</w:t>
      </w:r>
      <w:r>
        <w:rPr>
          <w:rFonts w:hint="eastAsia" w:ascii="宋体" w:hAnsi="宋体" w:cs="宋体"/>
          <w:sz w:val="24"/>
          <w:u w:val="dotted"/>
        </w:rPr>
        <w:t xml:space="preserve">                         </w:t>
      </w:r>
      <w:r>
        <w:rPr>
          <w:rFonts w:hint="eastAsia" w:ascii="宋体" w:hAnsi="宋体" w:cs="宋体"/>
          <w:sz w:val="24"/>
          <w:lang w:val="zh-CN"/>
        </w:rPr>
        <w:t xml:space="preserve">  </w:t>
      </w:r>
    </w:p>
    <w:p w14:paraId="4C86F655">
      <w:pPr>
        <w:adjustRightInd w:val="0"/>
        <w:snapToGrid w:val="0"/>
        <w:spacing w:line="360" w:lineRule="auto"/>
        <w:rPr>
          <w:rFonts w:ascii="宋体" w:hAnsi="宋体" w:cs="宋体"/>
          <w:sz w:val="24"/>
          <w:lang w:val="zh-CN"/>
        </w:rPr>
      </w:pPr>
      <w:r>
        <w:rPr>
          <w:rFonts w:hint="eastAsia" w:ascii="宋体" w:hAnsi="宋体" w:cs="宋体"/>
          <w:sz w:val="24"/>
          <w:lang w:val="zh-CN"/>
        </w:rPr>
        <w:t xml:space="preserve">□采购过程   </w:t>
      </w:r>
    </w:p>
    <w:p w14:paraId="69D5556F">
      <w:pPr>
        <w:adjustRightInd w:val="0"/>
        <w:snapToGrid w:val="0"/>
        <w:spacing w:line="360" w:lineRule="auto"/>
        <w:rPr>
          <w:rFonts w:ascii="宋体" w:hAnsi="宋体" w:cs="宋体"/>
          <w:sz w:val="24"/>
          <w:lang w:val="zh-CN"/>
        </w:rPr>
      </w:pPr>
      <w:r>
        <w:rPr>
          <w:rFonts w:hint="eastAsia" w:ascii="宋体" w:hAnsi="宋体" w:cs="宋体"/>
          <w:sz w:val="24"/>
          <w:lang w:val="zh-CN"/>
        </w:rPr>
        <w:t xml:space="preserve">□中标结果   </w:t>
      </w:r>
    </w:p>
    <w:p w14:paraId="2F4BD0A6">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14:paraId="4CC61065">
      <w:pPr>
        <w:adjustRightInd w:val="0"/>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7DFAF06">
      <w:pPr>
        <w:adjustRightInd w:val="0"/>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E83A56F">
      <w:pPr>
        <w:adjustRightInd w:val="0"/>
        <w:snapToGrid w:val="0"/>
        <w:spacing w:line="360" w:lineRule="auto"/>
        <w:rPr>
          <w:rFonts w:ascii="宋体" w:hAnsi="宋体" w:cs="宋体"/>
          <w:sz w:val="24"/>
        </w:rPr>
      </w:pPr>
      <w:r>
        <w:rPr>
          <w:rFonts w:hint="eastAsia" w:ascii="宋体" w:hAnsi="宋体" w:cs="宋体"/>
          <w:sz w:val="24"/>
          <w:u w:val="dotted"/>
        </w:rPr>
        <w:t xml:space="preserve">                                                       </w:t>
      </w:r>
    </w:p>
    <w:p w14:paraId="7B3EA927">
      <w:pPr>
        <w:adjustRightInd w:val="0"/>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6F797B5">
      <w:pPr>
        <w:adjustRightInd w:val="0"/>
        <w:snapToGrid w:val="0"/>
        <w:spacing w:line="360" w:lineRule="auto"/>
        <w:rPr>
          <w:rFonts w:ascii="宋体" w:hAnsi="宋体" w:cs="宋体"/>
          <w:sz w:val="24"/>
          <w:u w:val="dotted"/>
        </w:rPr>
      </w:pPr>
      <w:r>
        <w:rPr>
          <w:rFonts w:hint="eastAsia" w:ascii="宋体" w:hAnsi="宋体" w:cs="宋体"/>
          <w:sz w:val="24"/>
          <w:u w:val="dotted"/>
        </w:rPr>
        <w:t xml:space="preserve">                                                     </w:t>
      </w:r>
    </w:p>
    <w:p w14:paraId="5143B234">
      <w:pPr>
        <w:adjustRightInd w:val="0"/>
        <w:snapToGrid w:val="0"/>
        <w:spacing w:line="360" w:lineRule="auto"/>
        <w:rPr>
          <w:rFonts w:ascii="宋体" w:hAnsi="宋体" w:cs="宋体"/>
          <w:sz w:val="24"/>
          <w:u w:val="dotted"/>
        </w:rPr>
      </w:pPr>
      <w:r>
        <w:rPr>
          <w:rFonts w:hint="eastAsia" w:ascii="宋体" w:hAnsi="宋体" w:cs="宋体"/>
          <w:sz w:val="24"/>
        </w:rPr>
        <w:t>质疑事项2</w:t>
      </w:r>
    </w:p>
    <w:p w14:paraId="767AD738">
      <w:pPr>
        <w:adjustRightInd w:val="0"/>
        <w:snapToGrid w:val="0"/>
        <w:spacing w:line="360" w:lineRule="auto"/>
        <w:rPr>
          <w:rFonts w:ascii="宋体" w:hAnsi="宋体" w:cs="宋体"/>
          <w:sz w:val="24"/>
        </w:rPr>
      </w:pPr>
      <w:r>
        <w:rPr>
          <w:rFonts w:hint="eastAsia" w:ascii="宋体" w:hAnsi="宋体" w:cs="宋体"/>
          <w:sz w:val="24"/>
        </w:rPr>
        <w:t>……</w:t>
      </w:r>
    </w:p>
    <w:p w14:paraId="0D86A5ED">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14:paraId="44C50AF2">
      <w:pPr>
        <w:adjustRightInd w:val="0"/>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A55192E">
      <w:pPr>
        <w:spacing w:line="360" w:lineRule="auto"/>
        <w:rPr>
          <w:rFonts w:ascii="宋体" w:hAnsi="宋体" w:cs="宋体"/>
          <w:sz w:val="24"/>
        </w:rPr>
      </w:pPr>
      <w:r>
        <w:rPr>
          <w:rFonts w:hint="eastAsia" w:ascii="宋体" w:hAnsi="宋体" w:cs="宋体"/>
          <w:sz w:val="24"/>
        </w:rPr>
        <w:t xml:space="preserve">签字(签章)：                   公章：                      </w:t>
      </w:r>
    </w:p>
    <w:p w14:paraId="01BF49ED">
      <w:pPr>
        <w:spacing w:line="360" w:lineRule="auto"/>
        <w:rPr>
          <w:rFonts w:ascii="宋体" w:hAnsi="宋体" w:cs="宋体"/>
          <w:sz w:val="24"/>
        </w:rPr>
      </w:pPr>
      <w:r>
        <w:rPr>
          <w:rFonts w:hint="eastAsia" w:ascii="宋体" w:hAnsi="宋体" w:cs="宋体"/>
          <w:sz w:val="24"/>
        </w:rPr>
        <w:t xml:space="preserve">日期：    </w:t>
      </w:r>
    </w:p>
    <w:p w14:paraId="2CD7AFD7">
      <w:pPr>
        <w:spacing w:line="360" w:lineRule="auto"/>
        <w:rPr>
          <w:rFonts w:ascii="宋体" w:hAnsi="宋体" w:cs="宋体"/>
          <w:b/>
          <w:sz w:val="24"/>
        </w:rPr>
      </w:pPr>
      <w:r>
        <w:rPr>
          <w:rFonts w:hint="eastAsia" w:ascii="宋体" w:hAnsi="宋体" w:cs="宋体"/>
          <w:b/>
          <w:sz w:val="24"/>
        </w:rPr>
        <w:t xml:space="preserve">    质疑函制作说明：</w:t>
      </w:r>
    </w:p>
    <w:p w14:paraId="41438BEF">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E2B7C4D">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2622F3C">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2BF28A4A">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2F46CEE4">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0079C578">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317990CB">
      <w:pPr>
        <w:widowControl/>
        <w:spacing w:line="360" w:lineRule="auto"/>
        <w:ind w:firstLine="480" w:firstLineChars="200"/>
        <w:jc w:val="left"/>
        <w:rPr>
          <w:rFonts w:ascii="宋体" w:hAnsi="宋体" w:cs="宋体"/>
          <w:sz w:val="24"/>
        </w:rPr>
      </w:pPr>
    </w:p>
    <w:p w14:paraId="4B2F9CD9">
      <w:pPr>
        <w:widowControl/>
        <w:spacing w:line="360" w:lineRule="auto"/>
        <w:jc w:val="left"/>
        <w:rPr>
          <w:rFonts w:ascii="宋体" w:hAnsi="宋体" w:cs="宋体"/>
          <w:color w:val="000000"/>
          <w:kern w:val="0"/>
          <w:sz w:val="24"/>
        </w:rPr>
        <w:sectPr>
          <w:pgSz w:w="11905" w:h="16838"/>
          <w:pgMar w:top="1134" w:right="1134" w:bottom="1134" w:left="1134" w:header="850" w:footer="850" w:gutter="0"/>
          <w:cols w:space="0" w:num="1"/>
          <w:titlePg/>
          <w:docGrid w:linePitch="331" w:charSpace="0"/>
        </w:sectPr>
      </w:pPr>
    </w:p>
    <w:p w14:paraId="5555B55C">
      <w:pPr>
        <w:pStyle w:val="3"/>
        <w:jc w:val="center"/>
        <w:rPr>
          <w:rFonts w:hint="default" w:ascii="宋体" w:hAnsi="宋体"/>
          <w:b w:val="0"/>
          <w:bCs w:val="0"/>
          <w:color w:val="000000"/>
        </w:rPr>
      </w:pPr>
      <w:bookmarkStart w:id="413" w:name="_Toc11984"/>
      <w:bookmarkStart w:id="414" w:name="_Toc1896"/>
      <w:bookmarkStart w:id="415" w:name="_Toc11428"/>
      <w:bookmarkStart w:id="416" w:name="_Toc24568"/>
      <w:bookmarkStart w:id="417" w:name="_Toc24894"/>
      <w:bookmarkStart w:id="418" w:name="_Toc31203"/>
      <w:bookmarkStart w:id="419" w:name="_Toc8862"/>
      <w:bookmarkStart w:id="420" w:name="_Toc7549"/>
      <w:bookmarkStart w:id="421" w:name="_Toc32540"/>
      <w:bookmarkStart w:id="422" w:name="_Toc6551"/>
      <w:r>
        <w:rPr>
          <w:rFonts w:ascii="宋体" w:hAnsi="宋体"/>
          <w:b w:val="0"/>
          <w:bCs w:val="0"/>
          <w:color w:val="000000"/>
        </w:rPr>
        <w:t>第二节 投诉书（格式）</w:t>
      </w:r>
      <w:bookmarkEnd w:id="413"/>
      <w:bookmarkEnd w:id="414"/>
      <w:bookmarkEnd w:id="415"/>
      <w:bookmarkEnd w:id="416"/>
      <w:bookmarkEnd w:id="417"/>
      <w:bookmarkEnd w:id="418"/>
      <w:bookmarkEnd w:id="419"/>
      <w:bookmarkEnd w:id="420"/>
      <w:bookmarkEnd w:id="421"/>
      <w:bookmarkEnd w:id="422"/>
    </w:p>
    <w:p w14:paraId="32F7DFF3">
      <w:pPr>
        <w:jc w:val="center"/>
        <w:rPr>
          <w:rFonts w:ascii="宋体" w:hAnsi="宋体"/>
          <w:b/>
          <w:sz w:val="44"/>
          <w:szCs w:val="44"/>
        </w:rPr>
      </w:pPr>
      <w:r>
        <w:rPr>
          <w:rFonts w:hint="eastAsia" w:ascii="宋体" w:hAnsi="宋体"/>
          <w:b/>
          <w:sz w:val="32"/>
          <w:szCs w:val="32"/>
        </w:rPr>
        <w:t>投诉书</w:t>
      </w:r>
    </w:p>
    <w:p w14:paraId="2A5BD08E">
      <w:pPr>
        <w:rPr>
          <w:rFonts w:ascii="黑体" w:hAnsi="黑体" w:eastAsia="黑体"/>
          <w:sz w:val="32"/>
          <w:szCs w:val="32"/>
        </w:rPr>
      </w:pPr>
    </w:p>
    <w:p w14:paraId="4E277409">
      <w:pPr>
        <w:spacing w:line="360" w:lineRule="auto"/>
        <w:rPr>
          <w:rFonts w:ascii="宋体" w:hAnsi="宋体" w:cs="宋体"/>
          <w:sz w:val="24"/>
        </w:rPr>
      </w:pPr>
      <w:r>
        <w:rPr>
          <w:rFonts w:hint="eastAsia" w:ascii="宋体" w:hAnsi="宋体" w:cs="宋体"/>
          <w:sz w:val="24"/>
        </w:rPr>
        <w:t>一、投诉相关主体基本情况</w:t>
      </w:r>
    </w:p>
    <w:p w14:paraId="5EC63A18">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7A22E6B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AC56580">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p>
    <w:p w14:paraId="1704FE8E">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3F0FF182">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54ED49C">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D0962F5">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p>
    <w:p w14:paraId="28544976">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B5D60CB">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E64DA1B">
      <w:pPr>
        <w:spacing w:line="360" w:lineRule="auto"/>
        <w:rPr>
          <w:rFonts w:ascii="宋体" w:hAnsi="宋体" w:cs="宋体"/>
          <w:sz w:val="24"/>
        </w:rPr>
      </w:pPr>
      <w:r>
        <w:rPr>
          <w:rFonts w:hint="eastAsia" w:ascii="宋体" w:hAnsi="宋体" w:cs="宋体"/>
          <w:sz w:val="24"/>
        </w:rPr>
        <w:t>被投诉人2</w:t>
      </w:r>
    </w:p>
    <w:p w14:paraId="712F19F4">
      <w:pPr>
        <w:spacing w:line="360" w:lineRule="auto"/>
        <w:rPr>
          <w:rFonts w:ascii="宋体" w:hAnsi="宋体" w:cs="宋体"/>
          <w:sz w:val="24"/>
          <w:u w:val="dotted"/>
        </w:rPr>
      </w:pPr>
      <w:r>
        <w:rPr>
          <w:rFonts w:hint="eastAsia" w:ascii="宋体" w:hAnsi="宋体" w:cs="宋体"/>
          <w:sz w:val="24"/>
        </w:rPr>
        <w:t>……</w:t>
      </w:r>
    </w:p>
    <w:p w14:paraId="21CB3FBD">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p>
    <w:p w14:paraId="4F2A7961">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9E60C19">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1860866">
      <w:pPr>
        <w:spacing w:line="360" w:lineRule="auto"/>
        <w:rPr>
          <w:rFonts w:ascii="宋体" w:hAnsi="宋体" w:cs="宋体"/>
          <w:sz w:val="24"/>
        </w:rPr>
      </w:pPr>
      <w:r>
        <w:rPr>
          <w:rFonts w:hint="eastAsia" w:ascii="宋体" w:hAnsi="宋体" w:cs="宋体"/>
          <w:sz w:val="24"/>
        </w:rPr>
        <w:t>二、投诉项目基本情况</w:t>
      </w:r>
    </w:p>
    <w:p w14:paraId="4C4DF873">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bookmarkStart w:id="423" w:name="PO_3000001867_PM002_12"/>
      <w:r>
        <w:rPr>
          <w:rFonts w:hint="eastAsia" w:ascii="宋体" w:hAnsi="宋体" w:cs="宋体"/>
          <w:sz w:val="24"/>
          <w:u w:val="dotted"/>
        </w:rPr>
        <w:t xml:space="preserve">                    </w:t>
      </w:r>
      <w:bookmarkEnd w:id="423"/>
      <w:r>
        <w:rPr>
          <w:rFonts w:hint="eastAsia" w:ascii="宋体" w:hAnsi="宋体" w:cs="宋体"/>
          <w:sz w:val="24"/>
          <w:u w:val="dotted"/>
        </w:rPr>
        <w:t xml:space="preserve">  </w:t>
      </w:r>
    </w:p>
    <w:p w14:paraId="29DE546E">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bookmarkStart w:id="424" w:name="PO_3000001867_PM001_9"/>
      <w:r>
        <w:rPr>
          <w:rFonts w:hint="eastAsia" w:ascii="宋体" w:hAnsi="宋体" w:cs="宋体"/>
          <w:sz w:val="24"/>
          <w:u w:val="dotted"/>
        </w:rPr>
        <w:t xml:space="preserve">                    </w:t>
      </w:r>
      <w:bookmarkEnd w:id="424"/>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5AA7672">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bookmarkStart w:id="425" w:name="PO_3000001867_PM026_6"/>
      <w:r>
        <w:rPr>
          <w:rFonts w:hint="eastAsia" w:ascii="宋体" w:hAnsi="宋体" w:cs="宋体"/>
          <w:sz w:val="24"/>
          <w:u w:val="dotted"/>
        </w:rPr>
        <w:t xml:space="preserve">                    </w:t>
      </w:r>
      <w:bookmarkEnd w:id="425"/>
      <w:r>
        <w:rPr>
          <w:rFonts w:hint="eastAsia" w:ascii="宋体" w:hAnsi="宋体" w:cs="宋体"/>
          <w:sz w:val="24"/>
          <w:u w:val="dotted"/>
        </w:rPr>
        <w:t xml:space="preserve">  </w:t>
      </w:r>
    </w:p>
    <w:p w14:paraId="0AFC5E53">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66E87384">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1FEB5EC7">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223FEDBF">
      <w:pPr>
        <w:spacing w:line="360" w:lineRule="auto"/>
        <w:rPr>
          <w:rFonts w:ascii="宋体" w:hAnsi="宋体" w:cs="宋体"/>
          <w:sz w:val="24"/>
        </w:rPr>
      </w:pPr>
      <w:r>
        <w:rPr>
          <w:rFonts w:hint="eastAsia" w:ascii="宋体" w:hAnsi="宋体" w:cs="宋体"/>
          <w:sz w:val="24"/>
        </w:rPr>
        <w:t>三、质疑基本情况</w:t>
      </w:r>
    </w:p>
    <w:p w14:paraId="0088ADAE">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18FBD9FA">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2B42D1D1">
      <w:pPr>
        <w:spacing w:line="360" w:lineRule="auto"/>
        <w:ind w:firstLine="360" w:firstLineChars="150"/>
        <w:rPr>
          <w:rFonts w:ascii="宋体" w:hAnsi="宋体" w:cs="宋体"/>
          <w:sz w:val="24"/>
        </w:rPr>
      </w:pPr>
      <w:r>
        <w:rPr>
          <w:rFonts w:hint="eastAsia" w:ascii="宋体" w:hAnsi="宋体" w:cs="宋体"/>
          <w:sz w:val="24"/>
          <w:u w:val="dotted"/>
        </w:rPr>
        <w:t>采购人/采购代理机构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6F207A59">
      <w:pPr>
        <w:spacing w:line="360" w:lineRule="auto"/>
        <w:rPr>
          <w:rFonts w:ascii="宋体" w:hAnsi="宋体" w:cs="宋体"/>
          <w:sz w:val="24"/>
        </w:rPr>
      </w:pPr>
      <w:r>
        <w:rPr>
          <w:rFonts w:hint="eastAsia" w:ascii="宋体" w:hAnsi="宋体" w:cs="宋体"/>
          <w:sz w:val="24"/>
        </w:rPr>
        <w:t>四、投诉事项具体内容</w:t>
      </w:r>
    </w:p>
    <w:p w14:paraId="3D4D553B">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57E4858F">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0BD7FBAB">
      <w:pPr>
        <w:spacing w:line="360" w:lineRule="auto"/>
        <w:rPr>
          <w:rFonts w:ascii="宋体" w:hAnsi="宋体" w:cs="宋体"/>
          <w:sz w:val="24"/>
          <w:u w:val="dotted"/>
        </w:rPr>
      </w:pPr>
      <w:r>
        <w:rPr>
          <w:rFonts w:hint="eastAsia" w:ascii="宋体" w:hAnsi="宋体" w:cs="宋体"/>
          <w:sz w:val="24"/>
          <w:u w:val="dotted"/>
        </w:rPr>
        <w:t xml:space="preserve">                                                      </w:t>
      </w:r>
    </w:p>
    <w:p w14:paraId="3AA96E50">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2253B3C9">
      <w:pPr>
        <w:spacing w:line="360" w:lineRule="auto"/>
        <w:rPr>
          <w:rFonts w:ascii="宋体" w:hAnsi="宋体" w:cs="宋体"/>
          <w:sz w:val="24"/>
          <w:u w:val="dotted"/>
        </w:rPr>
      </w:pPr>
      <w:r>
        <w:rPr>
          <w:rFonts w:hint="eastAsia" w:ascii="宋体" w:hAnsi="宋体" w:cs="宋体"/>
          <w:sz w:val="24"/>
          <w:u w:val="dotted"/>
        </w:rPr>
        <w:t xml:space="preserve">                                                      </w:t>
      </w:r>
    </w:p>
    <w:p w14:paraId="21321639">
      <w:pPr>
        <w:spacing w:line="360" w:lineRule="auto"/>
        <w:rPr>
          <w:rFonts w:ascii="宋体" w:hAnsi="宋体" w:cs="宋体"/>
          <w:sz w:val="24"/>
        </w:rPr>
      </w:pPr>
      <w:r>
        <w:rPr>
          <w:rFonts w:hint="eastAsia" w:ascii="宋体" w:hAnsi="宋体" w:cs="宋体"/>
          <w:sz w:val="24"/>
        </w:rPr>
        <w:t>投诉事项2</w:t>
      </w:r>
    </w:p>
    <w:p w14:paraId="1C34AE0E">
      <w:pPr>
        <w:spacing w:line="360" w:lineRule="auto"/>
        <w:rPr>
          <w:rFonts w:ascii="宋体" w:hAnsi="宋体" w:cs="宋体"/>
          <w:sz w:val="24"/>
          <w:u w:val="dotted"/>
        </w:rPr>
      </w:pPr>
      <w:r>
        <w:rPr>
          <w:rFonts w:hint="eastAsia" w:ascii="宋体" w:hAnsi="宋体" w:cs="宋体"/>
          <w:sz w:val="24"/>
        </w:rPr>
        <w:t>……</w:t>
      </w:r>
    </w:p>
    <w:p w14:paraId="1E08B78B">
      <w:pPr>
        <w:spacing w:line="360" w:lineRule="auto"/>
        <w:rPr>
          <w:rFonts w:ascii="宋体" w:hAnsi="宋体" w:cs="宋体"/>
          <w:sz w:val="24"/>
        </w:rPr>
      </w:pPr>
      <w:r>
        <w:rPr>
          <w:rFonts w:hint="eastAsia" w:ascii="宋体" w:hAnsi="宋体" w:cs="宋体"/>
          <w:sz w:val="24"/>
        </w:rPr>
        <w:t>五、与投诉事项相关的投诉请求</w:t>
      </w:r>
    </w:p>
    <w:p w14:paraId="1C5A475B">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5FB5C2EA">
      <w:pPr>
        <w:spacing w:line="360" w:lineRule="auto"/>
        <w:rPr>
          <w:rFonts w:ascii="宋体" w:hAnsi="宋体" w:cs="宋体"/>
          <w:sz w:val="24"/>
          <w:u w:val="single"/>
        </w:rPr>
      </w:pPr>
      <w:r>
        <w:rPr>
          <w:rFonts w:hint="eastAsia" w:ascii="宋体" w:hAnsi="宋体" w:cs="宋体"/>
          <w:sz w:val="24"/>
        </w:rPr>
        <w:t xml:space="preserve">                                                                                                    </w:t>
      </w:r>
    </w:p>
    <w:p w14:paraId="0B9BF2A0">
      <w:pPr>
        <w:spacing w:line="360" w:lineRule="auto"/>
        <w:rPr>
          <w:rFonts w:ascii="宋体" w:hAnsi="宋体" w:cs="宋体"/>
          <w:sz w:val="24"/>
        </w:rPr>
      </w:pPr>
      <w:r>
        <w:rPr>
          <w:rFonts w:hint="eastAsia" w:ascii="宋体" w:hAnsi="宋体" w:cs="宋体"/>
          <w:sz w:val="24"/>
        </w:rPr>
        <w:t xml:space="preserve">签字(签章)：                   公章：                      </w:t>
      </w:r>
    </w:p>
    <w:p w14:paraId="2143EA98">
      <w:pPr>
        <w:spacing w:line="360" w:lineRule="auto"/>
        <w:rPr>
          <w:rFonts w:ascii="宋体" w:hAnsi="宋体" w:cs="宋体"/>
          <w:sz w:val="24"/>
        </w:rPr>
      </w:pPr>
      <w:r>
        <w:rPr>
          <w:rFonts w:hint="eastAsia" w:ascii="宋体" w:hAnsi="宋体" w:cs="宋体"/>
          <w:sz w:val="24"/>
        </w:rPr>
        <w:t xml:space="preserve">日期：    </w:t>
      </w:r>
    </w:p>
    <w:p w14:paraId="40FD6C13">
      <w:pPr>
        <w:spacing w:line="360" w:lineRule="auto"/>
        <w:rPr>
          <w:rFonts w:ascii="宋体" w:hAnsi="宋体" w:cs="宋体"/>
          <w:b/>
          <w:sz w:val="24"/>
        </w:rPr>
      </w:pPr>
    </w:p>
    <w:p w14:paraId="6EC24F7A">
      <w:pPr>
        <w:spacing w:line="360" w:lineRule="auto"/>
        <w:rPr>
          <w:rFonts w:ascii="宋体" w:hAnsi="宋体" w:cs="宋体"/>
          <w:b/>
          <w:sz w:val="24"/>
        </w:rPr>
      </w:pPr>
      <w:r>
        <w:rPr>
          <w:rFonts w:hint="eastAsia" w:ascii="宋体" w:hAnsi="宋体" w:cs="宋体"/>
          <w:b/>
          <w:sz w:val="24"/>
        </w:rPr>
        <w:t>投诉书制作说明：</w:t>
      </w:r>
    </w:p>
    <w:p w14:paraId="24864A1D">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4CBCF729">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17215128">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1DF1D1A9">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79A93FD8">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1340D05A">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3B8D4860">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49BCEB90"/>
    <w:sectPr>
      <w:footerReference r:id="rId10" w:type="first"/>
      <w:headerReference r:id="rId7" w:type="default"/>
      <w:footerReference r:id="rId8" w:type="default"/>
      <w:footerReference r:id="rId9" w:type="even"/>
      <w:pgSz w:w="11905" w:h="16838"/>
      <w:pgMar w:top="1134" w:right="1134" w:bottom="1134" w:left="1134" w:header="850" w:footer="850" w:gutter="0"/>
      <w:cols w:space="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D384">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1DE70">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861DE70">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7889">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01C8C">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5501C8C">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941FE">
    <w:pPr>
      <w:snapToGrid w:val="0"/>
      <w:jc w:val="center"/>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09FA55F">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9</w:t>
                          </w:r>
                          <w:r>
                            <w:rPr>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pB/xvHAQAAiw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m3oFSWOWxz48dfP4++/xz8/&#10;yFWWpw9QY9ZtwLw0vPcDLs3JD+jMrAcVbf4iH4JxFPdwFlcOiYj8qFq8vcQiAkPVZbVYFHR2/zhE&#10;SB+ktyQbDY04uyIp33+ChI1g6ikl13L+RhtT5mfcAwcmZg/LnY8dZisNm2Gis/HtAdn0OPaGOtxy&#10;SsxHh6rmDTkZ8WRsJiPXgPBul7Bw6SejjlBTMZxRaXPap7wE/95L1v0/tL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GpB/xvHAQAAiwMAAA4AAAAAAAAAAQAgAAAAHwEAAGRycy9lMm9Eb2Mu&#10;eG1sUEsFBgAAAAAGAAYAWQEAAFgFAAAAAA==&#10;">
              <v:fill on="f" focussize="0,0"/>
              <v:stroke on="f"/>
              <v:imagedata o:title=""/>
              <o:lock v:ext="edit" aspectratio="f"/>
              <v:textbox inset="0mm,0mm,0mm,0mm" style="mso-fit-shape-to-text:t;">
                <w:txbxContent>
                  <w:p w14:paraId="309FA55F">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9</w:t>
                    </w:r>
                    <w:r>
                      <w:rPr>
                        <w:sz w:val="18"/>
                        <w:szCs w:val="18"/>
                      </w:rPr>
                      <w:fldChar w:fldCharType="end"/>
                    </w:r>
                  </w:p>
                </w:txbxContent>
              </v:textbox>
            </v:shape>
          </w:pict>
        </mc:Fallback>
      </mc:AlternateContent>
    </w:r>
  </w:p>
  <w:p w14:paraId="7A450872">
    <w:pPr>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235F0">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C41AB">
                          <w:pPr>
                            <w:pStyle w:val="14"/>
                            <w:jc w:val="center"/>
                          </w:pPr>
                          <w:r>
                            <w:fldChar w:fldCharType="begin"/>
                          </w:r>
                          <w:r>
                            <w:instrText xml:space="preserve"> PAGE   \* MERGEFORMAT </w:instrText>
                          </w:r>
                          <w:r>
                            <w:fldChar w:fldCharType="separate"/>
                          </w:r>
                          <w:r>
                            <w:rPr>
                              <w:lang w:val="zh-CN"/>
                            </w:rP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EC41AB">
                    <w:pPr>
                      <w:pStyle w:val="14"/>
                      <w:jc w:val="center"/>
                    </w:pPr>
                    <w:r>
                      <w:fldChar w:fldCharType="begin"/>
                    </w:r>
                    <w:r>
                      <w:instrText xml:space="preserve"> PAGE   \* MERGEFORMAT </w:instrText>
                    </w:r>
                    <w:r>
                      <w:fldChar w:fldCharType="separate"/>
                    </w:r>
                    <w:r>
                      <w:rPr>
                        <w:lang w:val="zh-CN"/>
                      </w:rPr>
                      <w:t>104</w:t>
                    </w:r>
                    <w:r>
                      <w:fldChar w:fldCharType="end"/>
                    </w:r>
                  </w:p>
                </w:txbxContent>
              </v:textbox>
            </v:shape>
          </w:pict>
        </mc:Fallback>
      </mc:AlternateContent>
    </w:r>
  </w:p>
  <w:p w14:paraId="3EC0D7A3">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A9F7">
    <w:pPr>
      <w:pStyle w:val="14"/>
      <w:framePr w:wrap="around" w:vAnchor="text" w:hAnchor="margin" w:xAlign="center" w:y="1"/>
      <w:rPr>
        <w:rStyle w:val="27"/>
      </w:rPr>
    </w:pPr>
    <w:r>
      <w:fldChar w:fldCharType="begin"/>
    </w:r>
    <w:r>
      <w:rPr>
        <w:rStyle w:val="27"/>
      </w:rPr>
      <w:instrText xml:space="preserve">PAGE  </w:instrText>
    </w:r>
    <w:r>
      <w:fldChar w:fldCharType="end"/>
    </w:r>
  </w:p>
  <w:p w14:paraId="1391AE8E">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C9341">
    <w:pPr>
      <w:pStyle w:val="14"/>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4A657">
                          <w:pPr>
                            <w:pStyle w:val="14"/>
                            <w:rPr>
                              <w:rStyle w:val="27"/>
                            </w:rPr>
                          </w:pPr>
                          <w:r>
                            <w:fldChar w:fldCharType="begin"/>
                          </w:r>
                          <w:r>
                            <w:rPr>
                              <w:rStyle w:val="27"/>
                            </w:rPr>
                            <w:instrText xml:space="preserve">PAGE  </w:instrText>
                          </w:r>
                          <w:r>
                            <w:fldChar w:fldCharType="separate"/>
                          </w:r>
                          <w:r>
                            <w:rPr>
                              <w:rStyle w:val="27"/>
                            </w:rPr>
                            <w:t>122</w:t>
                          </w:r>
                          <w:r>
                            <w:fldChar w:fldCharType="end"/>
                          </w:r>
                        </w:p>
                        <w:p w14:paraId="43E3FD4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34A657">
                    <w:pPr>
                      <w:pStyle w:val="14"/>
                      <w:rPr>
                        <w:rStyle w:val="27"/>
                      </w:rPr>
                    </w:pPr>
                    <w:r>
                      <w:fldChar w:fldCharType="begin"/>
                    </w:r>
                    <w:r>
                      <w:rPr>
                        <w:rStyle w:val="27"/>
                      </w:rPr>
                      <w:instrText xml:space="preserve">PAGE  </w:instrText>
                    </w:r>
                    <w:r>
                      <w:fldChar w:fldCharType="separate"/>
                    </w:r>
                    <w:r>
                      <w:rPr>
                        <w:rStyle w:val="27"/>
                      </w:rPr>
                      <w:t>122</w:t>
                    </w:r>
                    <w:r>
                      <w:fldChar w:fldCharType="end"/>
                    </w:r>
                  </w:p>
                  <w:p w14:paraId="43E3FD45"/>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1396">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249C">
    <w:pPr>
      <w:pStyle w:val="15"/>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num w:numId="1">
    <w:abstractNumId w:val="0"/>
  </w:num>
  <w:num w:numId="2">
    <w:abstractNumId w:val="3"/>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Y0NGQ5OGEyODUzY2E3MWM2YjNkMTgwZWQ4MjkifQ=="/>
  </w:docVars>
  <w:rsids>
    <w:rsidRoot w:val="003A0DA1"/>
    <w:rsid w:val="00014047"/>
    <w:rsid w:val="00172FAB"/>
    <w:rsid w:val="00192F3F"/>
    <w:rsid w:val="001A2DDC"/>
    <w:rsid w:val="002566C4"/>
    <w:rsid w:val="002658A7"/>
    <w:rsid w:val="002E29FF"/>
    <w:rsid w:val="002F24BD"/>
    <w:rsid w:val="0031039D"/>
    <w:rsid w:val="003A0DA1"/>
    <w:rsid w:val="003B45FA"/>
    <w:rsid w:val="003C02C2"/>
    <w:rsid w:val="00414312"/>
    <w:rsid w:val="00415A59"/>
    <w:rsid w:val="0046107F"/>
    <w:rsid w:val="00540D57"/>
    <w:rsid w:val="0056092E"/>
    <w:rsid w:val="006A7E60"/>
    <w:rsid w:val="006B5350"/>
    <w:rsid w:val="007D396E"/>
    <w:rsid w:val="00815C89"/>
    <w:rsid w:val="00836875"/>
    <w:rsid w:val="00840ECD"/>
    <w:rsid w:val="00851D48"/>
    <w:rsid w:val="00884AF8"/>
    <w:rsid w:val="008F12C7"/>
    <w:rsid w:val="008F50EE"/>
    <w:rsid w:val="008F63F8"/>
    <w:rsid w:val="00907407"/>
    <w:rsid w:val="009353F5"/>
    <w:rsid w:val="00942526"/>
    <w:rsid w:val="009C2DA1"/>
    <w:rsid w:val="00A12181"/>
    <w:rsid w:val="00A16A9E"/>
    <w:rsid w:val="00A3037D"/>
    <w:rsid w:val="00A5768D"/>
    <w:rsid w:val="00C34DAD"/>
    <w:rsid w:val="00C621D0"/>
    <w:rsid w:val="00C777F6"/>
    <w:rsid w:val="00D23F66"/>
    <w:rsid w:val="00D26508"/>
    <w:rsid w:val="00D47C35"/>
    <w:rsid w:val="00D95B39"/>
    <w:rsid w:val="00DB6B5A"/>
    <w:rsid w:val="00DD5BFD"/>
    <w:rsid w:val="00E34985"/>
    <w:rsid w:val="00EB320F"/>
    <w:rsid w:val="00EB5231"/>
    <w:rsid w:val="00EF5CFA"/>
    <w:rsid w:val="00F436D1"/>
    <w:rsid w:val="00F87861"/>
    <w:rsid w:val="00FA7A17"/>
    <w:rsid w:val="00FF5EBA"/>
    <w:rsid w:val="01095920"/>
    <w:rsid w:val="011B02F9"/>
    <w:rsid w:val="012A54D2"/>
    <w:rsid w:val="014275A5"/>
    <w:rsid w:val="014E69AF"/>
    <w:rsid w:val="015938D3"/>
    <w:rsid w:val="01A72EEF"/>
    <w:rsid w:val="01BE6222"/>
    <w:rsid w:val="01C73E98"/>
    <w:rsid w:val="01C92250"/>
    <w:rsid w:val="02055082"/>
    <w:rsid w:val="0226485E"/>
    <w:rsid w:val="023758F4"/>
    <w:rsid w:val="025949D7"/>
    <w:rsid w:val="0294066D"/>
    <w:rsid w:val="02974B2C"/>
    <w:rsid w:val="02CC6E30"/>
    <w:rsid w:val="02D92142"/>
    <w:rsid w:val="03323B4D"/>
    <w:rsid w:val="03593570"/>
    <w:rsid w:val="035C3D6F"/>
    <w:rsid w:val="036A4118"/>
    <w:rsid w:val="037B5A38"/>
    <w:rsid w:val="038207AB"/>
    <w:rsid w:val="038F07B3"/>
    <w:rsid w:val="04054EA8"/>
    <w:rsid w:val="041C7FB9"/>
    <w:rsid w:val="041E0EAD"/>
    <w:rsid w:val="047475DC"/>
    <w:rsid w:val="04811BB2"/>
    <w:rsid w:val="04975296"/>
    <w:rsid w:val="049A7C20"/>
    <w:rsid w:val="04A309D6"/>
    <w:rsid w:val="04A57753"/>
    <w:rsid w:val="04C31FAE"/>
    <w:rsid w:val="04E34912"/>
    <w:rsid w:val="04E60003"/>
    <w:rsid w:val="054579FD"/>
    <w:rsid w:val="054D6CFB"/>
    <w:rsid w:val="054F5D32"/>
    <w:rsid w:val="056D44BF"/>
    <w:rsid w:val="05A71B3F"/>
    <w:rsid w:val="05B90CE0"/>
    <w:rsid w:val="05BE24D8"/>
    <w:rsid w:val="05EC04F9"/>
    <w:rsid w:val="05F34893"/>
    <w:rsid w:val="06090B03"/>
    <w:rsid w:val="060A5367"/>
    <w:rsid w:val="061760BE"/>
    <w:rsid w:val="0628256A"/>
    <w:rsid w:val="063B339F"/>
    <w:rsid w:val="064F34B3"/>
    <w:rsid w:val="066F5DC3"/>
    <w:rsid w:val="0676474C"/>
    <w:rsid w:val="068C4871"/>
    <w:rsid w:val="069602FF"/>
    <w:rsid w:val="06F62551"/>
    <w:rsid w:val="07041C7C"/>
    <w:rsid w:val="072916E2"/>
    <w:rsid w:val="072D0157"/>
    <w:rsid w:val="075D020D"/>
    <w:rsid w:val="07621280"/>
    <w:rsid w:val="0790327A"/>
    <w:rsid w:val="07A428E3"/>
    <w:rsid w:val="07CB185D"/>
    <w:rsid w:val="07DA4E9C"/>
    <w:rsid w:val="08093A71"/>
    <w:rsid w:val="086F1438"/>
    <w:rsid w:val="08A76D34"/>
    <w:rsid w:val="08BA3246"/>
    <w:rsid w:val="08CA60DE"/>
    <w:rsid w:val="08F00221"/>
    <w:rsid w:val="08FB6F31"/>
    <w:rsid w:val="090C4E18"/>
    <w:rsid w:val="09145975"/>
    <w:rsid w:val="09572877"/>
    <w:rsid w:val="097C1490"/>
    <w:rsid w:val="099E24B2"/>
    <w:rsid w:val="09AA05A6"/>
    <w:rsid w:val="09AB0983"/>
    <w:rsid w:val="09CE1116"/>
    <w:rsid w:val="09E076C7"/>
    <w:rsid w:val="09E80950"/>
    <w:rsid w:val="0A1E7575"/>
    <w:rsid w:val="0A2013A9"/>
    <w:rsid w:val="0A340DC6"/>
    <w:rsid w:val="0A435CEB"/>
    <w:rsid w:val="0A564057"/>
    <w:rsid w:val="0A765A8A"/>
    <w:rsid w:val="0A813285"/>
    <w:rsid w:val="0AA809C6"/>
    <w:rsid w:val="0ACD623F"/>
    <w:rsid w:val="0ACE705D"/>
    <w:rsid w:val="0AD3705F"/>
    <w:rsid w:val="0ADC7345"/>
    <w:rsid w:val="0AE436B1"/>
    <w:rsid w:val="0AF33CCD"/>
    <w:rsid w:val="0AF837E4"/>
    <w:rsid w:val="0B05035F"/>
    <w:rsid w:val="0B136931"/>
    <w:rsid w:val="0B28151A"/>
    <w:rsid w:val="0B2B22F5"/>
    <w:rsid w:val="0B326265"/>
    <w:rsid w:val="0B5140BC"/>
    <w:rsid w:val="0B615CFF"/>
    <w:rsid w:val="0B6D3325"/>
    <w:rsid w:val="0B831A63"/>
    <w:rsid w:val="0B8C6DD9"/>
    <w:rsid w:val="0B8F7AB0"/>
    <w:rsid w:val="0BA95626"/>
    <w:rsid w:val="0BC23C9A"/>
    <w:rsid w:val="0BC62EA5"/>
    <w:rsid w:val="0BD6606C"/>
    <w:rsid w:val="0BFC5617"/>
    <w:rsid w:val="0C01007F"/>
    <w:rsid w:val="0C463AE2"/>
    <w:rsid w:val="0C585D0D"/>
    <w:rsid w:val="0CDC043F"/>
    <w:rsid w:val="0CE25BD4"/>
    <w:rsid w:val="0CF75D40"/>
    <w:rsid w:val="0D004C93"/>
    <w:rsid w:val="0D1150F2"/>
    <w:rsid w:val="0D3B1F2E"/>
    <w:rsid w:val="0D3B4AA2"/>
    <w:rsid w:val="0D543F47"/>
    <w:rsid w:val="0D8E0E0D"/>
    <w:rsid w:val="0D9269B0"/>
    <w:rsid w:val="0D992AED"/>
    <w:rsid w:val="0DBF7189"/>
    <w:rsid w:val="0E0040B4"/>
    <w:rsid w:val="0E0F21BC"/>
    <w:rsid w:val="0E1770D6"/>
    <w:rsid w:val="0E1B77DE"/>
    <w:rsid w:val="0E2B18D5"/>
    <w:rsid w:val="0E3218E4"/>
    <w:rsid w:val="0E73260E"/>
    <w:rsid w:val="0E9B2EC6"/>
    <w:rsid w:val="0EA91BC1"/>
    <w:rsid w:val="0EEF6AAD"/>
    <w:rsid w:val="0EFB7D6B"/>
    <w:rsid w:val="0F012419"/>
    <w:rsid w:val="0F035F56"/>
    <w:rsid w:val="0F17197D"/>
    <w:rsid w:val="0F3410B2"/>
    <w:rsid w:val="0F3550C8"/>
    <w:rsid w:val="0F524821"/>
    <w:rsid w:val="0F6B1F01"/>
    <w:rsid w:val="0F9B3228"/>
    <w:rsid w:val="0FB74DC9"/>
    <w:rsid w:val="0FC306E9"/>
    <w:rsid w:val="0FDB2F20"/>
    <w:rsid w:val="0FDF309C"/>
    <w:rsid w:val="0FE71808"/>
    <w:rsid w:val="101A621B"/>
    <w:rsid w:val="10252529"/>
    <w:rsid w:val="102F0E28"/>
    <w:rsid w:val="10390118"/>
    <w:rsid w:val="10435CE3"/>
    <w:rsid w:val="10501A8E"/>
    <w:rsid w:val="10A25EDA"/>
    <w:rsid w:val="10D4339F"/>
    <w:rsid w:val="10FA4268"/>
    <w:rsid w:val="1102547E"/>
    <w:rsid w:val="1113124C"/>
    <w:rsid w:val="111D336E"/>
    <w:rsid w:val="113C7A86"/>
    <w:rsid w:val="114E32ED"/>
    <w:rsid w:val="11652FD6"/>
    <w:rsid w:val="117479A3"/>
    <w:rsid w:val="11D843F8"/>
    <w:rsid w:val="11F56084"/>
    <w:rsid w:val="12011292"/>
    <w:rsid w:val="120D6C92"/>
    <w:rsid w:val="12275329"/>
    <w:rsid w:val="124B49D0"/>
    <w:rsid w:val="129D1535"/>
    <w:rsid w:val="12A25769"/>
    <w:rsid w:val="12D877C9"/>
    <w:rsid w:val="12DE2AB6"/>
    <w:rsid w:val="12E271C4"/>
    <w:rsid w:val="12E63C04"/>
    <w:rsid w:val="13004370"/>
    <w:rsid w:val="13430886"/>
    <w:rsid w:val="13804B0A"/>
    <w:rsid w:val="13D12F37"/>
    <w:rsid w:val="13D773DA"/>
    <w:rsid w:val="13E62B4A"/>
    <w:rsid w:val="144E3925"/>
    <w:rsid w:val="14523C8E"/>
    <w:rsid w:val="14814229"/>
    <w:rsid w:val="1485642A"/>
    <w:rsid w:val="148C55F5"/>
    <w:rsid w:val="1493579A"/>
    <w:rsid w:val="14A02656"/>
    <w:rsid w:val="14E13062"/>
    <w:rsid w:val="14EF2214"/>
    <w:rsid w:val="15112FB3"/>
    <w:rsid w:val="1517629B"/>
    <w:rsid w:val="154248FB"/>
    <w:rsid w:val="15A71FCF"/>
    <w:rsid w:val="15CE73E7"/>
    <w:rsid w:val="15D714A3"/>
    <w:rsid w:val="15DA6861"/>
    <w:rsid w:val="15F7039E"/>
    <w:rsid w:val="16243806"/>
    <w:rsid w:val="16521360"/>
    <w:rsid w:val="16566BBA"/>
    <w:rsid w:val="168A2AB4"/>
    <w:rsid w:val="169012D2"/>
    <w:rsid w:val="169B63CD"/>
    <w:rsid w:val="169D6CED"/>
    <w:rsid w:val="16CC463A"/>
    <w:rsid w:val="16CF0A25"/>
    <w:rsid w:val="16F94C2D"/>
    <w:rsid w:val="16FC2A4B"/>
    <w:rsid w:val="17016128"/>
    <w:rsid w:val="172A6452"/>
    <w:rsid w:val="17526FA4"/>
    <w:rsid w:val="178A5D34"/>
    <w:rsid w:val="178C2CE1"/>
    <w:rsid w:val="1795379C"/>
    <w:rsid w:val="18063809"/>
    <w:rsid w:val="181A1B33"/>
    <w:rsid w:val="183813D4"/>
    <w:rsid w:val="18471274"/>
    <w:rsid w:val="18817186"/>
    <w:rsid w:val="18A53C2D"/>
    <w:rsid w:val="18E66AB2"/>
    <w:rsid w:val="19097C61"/>
    <w:rsid w:val="19155678"/>
    <w:rsid w:val="194F7902"/>
    <w:rsid w:val="19926815"/>
    <w:rsid w:val="19B81747"/>
    <w:rsid w:val="19DC1C4E"/>
    <w:rsid w:val="19FF33EE"/>
    <w:rsid w:val="1A224809"/>
    <w:rsid w:val="1A2F60BE"/>
    <w:rsid w:val="1A6E5932"/>
    <w:rsid w:val="1A70567B"/>
    <w:rsid w:val="1A774458"/>
    <w:rsid w:val="1A846A93"/>
    <w:rsid w:val="1AA22304"/>
    <w:rsid w:val="1ABD34B5"/>
    <w:rsid w:val="1B1A3D35"/>
    <w:rsid w:val="1B8B4540"/>
    <w:rsid w:val="1B91390D"/>
    <w:rsid w:val="1B980981"/>
    <w:rsid w:val="1BC83144"/>
    <w:rsid w:val="1BEA4C7C"/>
    <w:rsid w:val="1C6665CB"/>
    <w:rsid w:val="1C6C7C4F"/>
    <w:rsid w:val="1C885DAD"/>
    <w:rsid w:val="1C9E7D2D"/>
    <w:rsid w:val="1CA43733"/>
    <w:rsid w:val="1CAB0B30"/>
    <w:rsid w:val="1CCA5C25"/>
    <w:rsid w:val="1CE82961"/>
    <w:rsid w:val="1D3F5364"/>
    <w:rsid w:val="1D556DBC"/>
    <w:rsid w:val="1D6E1386"/>
    <w:rsid w:val="1D7132EA"/>
    <w:rsid w:val="1DEE2222"/>
    <w:rsid w:val="1DF1639C"/>
    <w:rsid w:val="1E037DAC"/>
    <w:rsid w:val="1E175EC1"/>
    <w:rsid w:val="1E224642"/>
    <w:rsid w:val="1E4C215D"/>
    <w:rsid w:val="1E55723C"/>
    <w:rsid w:val="1E771316"/>
    <w:rsid w:val="1E8058BE"/>
    <w:rsid w:val="1EA4279A"/>
    <w:rsid w:val="1EA700B7"/>
    <w:rsid w:val="1ECB27A8"/>
    <w:rsid w:val="1F152A17"/>
    <w:rsid w:val="1F1970AB"/>
    <w:rsid w:val="1F1A09E0"/>
    <w:rsid w:val="1F354AA2"/>
    <w:rsid w:val="1F4E3E9E"/>
    <w:rsid w:val="1F6210D9"/>
    <w:rsid w:val="1F640C4B"/>
    <w:rsid w:val="1F7C3BBA"/>
    <w:rsid w:val="1F8260B3"/>
    <w:rsid w:val="1FC2394D"/>
    <w:rsid w:val="1FCF2A25"/>
    <w:rsid w:val="1FF56CD3"/>
    <w:rsid w:val="202A5D19"/>
    <w:rsid w:val="208D2FA3"/>
    <w:rsid w:val="20910DC7"/>
    <w:rsid w:val="209640CD"/>
    <w:rsid w:val="20967EE2"/>
    <w:rsid w:val="20B83463"/>
    <w:rsid w:val="20D3473E"/>
    <w:rsid w:val="20DD79A8"/>
    <w:rsid w:val="20DE2C0B"/>
    <w:rsid w:val="20E233A0"/>
    <w:rsid w:val="20E3050A"/>
    <w:rsid w:val="21170006"/>
    <w:rsid w:val="212623F1"/>
    <w:rsid w:val="213D7796"/>
    <w:rsid w:val="214D133B"/>
    <w:rsid w:val="215070E1"/>
    <w:rsid w:val="215E6B36"/>
    <w:rsid w:val="21660D84"/>
    <w:rsid w:val="217942F8"/>
    <w:rsid w:val="217D1569"/>
    <w:rsid w:val="21AB6CB3"/>
    <w:rsid w:val="21B4139D"/>
    <w:rsid w:val="21CC6C28"/>
    <w:rsid w:val="21DA28C2"/>
    <w:rsid w:val="21E92535"/>
    <w:rsid w:val="21EA67DF"/>
    <w:rsid w:val="220241DF"/>
    <w:rsid w:val="221E3207"/>
    <w:rsid w:val="22494C50"/>
    <w:rsid w:val="22497BC5"/>
    <w:rsid w:val="22543660"/>
    <w:rsid w:val="22551944"/>
    <w:rsid w:val="225718E5"/>
    <w:rsid w:val="2279283A"/>
    <w:rsid w:val="227A5108"/>
    <w:rsid w:val="22AB5DF9"/>
    <w:rsid w:val="22BC625F"/>
    <w:rsid w:val="22C87A6E"/>
    <w:rsid w:val="22CE4F93"/>
    <w:rsid w:val="22DA3051"/>
    <w:rsid w:val="22DC4C58"/>
    <w:rsid w:val="22F53327"/>
    <w:rsid w:val="2310565C"/>
    <w:rsid w:val="23236BC0"/>
    <w:rsid w:val="234B2556"/>
    <w:rsid w:val="236D655A"/>
    <w:rsid w:val="237F36A3"/>
    <w:rsid w:val="23AD68F9"/>
    <w:rsid w:val="23C31EAF"/>
    <w:rsid w:val="23C46C9C"/>
    <w:rsid w:val="23CD5BEA"/>
    <w:rsid w:val="23D46646"/>
    <w:rsid w:val="23E16DB3"/>
    <w:rsid w:val="23EF07BD"/>
    <w:rsid w:val="240B21ED"/>
    <w:rsid w:val="240F2BD4"/>
    <w:rsid w:val="242D3833"/>
    <w:rsid w:val="246646E9"/>
    <w:rsid w:val="24816B05"/>
    <w:rsid w:val="24941690"/>
    <w:rsid w:val="24C20D54"/>
    <w:rsid w:val="24CC0ED1"/>
    <w:rsid w:val="24CF590E"/>
    <w:rsid w:val="24FD473D"/>
    <w:rsid w:val="25581FF1"/>
    <w:rsid w:val="25665875"/>
    <w:rsid w:val="256C491B"/>
    <w:rsid w:val="257C078C"/>
    <w:rsid w:val="258C1362"/>
    <w:rsid w:val="258F5A73"/>
    <w:rsid w:val="25CF57C2"/>
    <w:rsid w:val="25E2566C"/>
    <w:rsid w:val="26024071"/>
    <w:rsid w:val="262A4707"/>
    <w:rsid w:val="266F771C"/>
    <w:rsid w:val="26815F37"/>
    <w:rsid w:val="26A742E8"/>
    <w:rsid w:val="26CF1553"/>
    <w:rsid w:val="26D83255"/>
    <w:rsid w:val="26DA0542"/>
    <w:rsid w:val="26DD06A7"/>
    <w:rsid w:val="27054F28"/>
    <w:rsid w:val="273259A9"/>
    <w:rsid w:val="27380A7A"/>
    <w:rsid w:val="27503865"/>
    <w:rsid w:val="275A5F00"/>
    <w:rsid w:val="276043B9"/>
    <w:rsid w:val="276258F6"/>
    <w:rsid w:val="279A2560"/>
    <w:rsid w:val="27DA7DAA"/>
    <w:rsid w:val="27F23143"/>
    <w:rsid w:val="28063E8E"/>
    <w:rsid w:val="28427CEE"/>
    <w:rsid w:val="28486D86"/>
    <w:rsid w:val="28790670"/>
    <w:rsid w:val="28D252DE"/>
    <w:rsid w:val="28FD45FE"/>
    <w:rsid w:val="29071944"/>
    <w:rsid w:val="29095C9F"/>
    <w:rsid w:val="291B1976"/>
    <w:rsid w:val="291D4F17"/>
    <w:rsid w:val="291E4894"/>
    <w:rsid w:val="292145DB"/>
    <w:rsid w:val="292D12B6"/>
    <w:rsid w:val="293D4E4D"/>
    <w:rsid w:val="29AB0C3B"/>
    <w:rsid w:val="29BB4910"/>
    <w:rsid w:val="29BD3122"/>
    <w:rsid w:val="29DB234D"/>
    <w:rsid w:val="29DD3939"/>
    <w:rsid w:val="2A1F36F3"/>
    <w:rsid w:val="2A403DF7"/>
    <w:rsid w:val="2A636FF6"/>
    <w:rsid w:val="2A694B22"/>
    <w:rsid w:val="2A80573B"/>
    <w:rsid w:val="2AAF1678"/>
    <w:rsid w:val="2B083239"/>
    <w:rsid w:val="2B3B1E66"/>
    <w:rsid w:val="2B770163"/>
    <w:rsid w:val="2B8434F0"/>
    <w:rsid w:val="2B960D99"/>
    <w:rsid w:val="2B9E3F4D"/>
    <w:rsid w:val="2B9E7E17"/>
    <w:rsid w:val="2BCB247B"/>
    <w:rsid w:val="2C320B95"/>
    <w:rsid w:val="2C6C4F69"/>
    <w:rsid w:val="2C7236FD"/>
    <w:rsid w:val="2C7D12B4"/>
    <w:rsid w:val="2CCA7EB6"/>
    <w:rsid w:val="2CED73A5"/>
    <w:rsid w:val="2CF72413"/>
    <w:rsid w:val="2D3347E7"/>
    <w:rsid w:val="2D4F38E3"/>
    <w:rsid w:val="2D6045A9"/>
    <w:rsid w:val="2D9617F6"/>
    <w:rsid w:val="2D975FD2"/>
    <w:rsid w:val="2DBE7E6A"/>
    <w:rsid w:val="2DCB0FE4"/>
    <w:rsid w:val="2DEC5B1F"/>
    <w:rsid w:val="2E21726B"/>
    <w:rsid w:val="2E7532C5"/>
    <w:rsid w:val="2E9501B1"/>
    <w:rsid w:val="2EB866E8"/>
    <w:rsid w:val="2F3A5A0E"/>
    <w:rsid w:val="2F423753"/>
    <w:rsid w:val="2F575FD4"/>
    <w:rsid w:val="2FB87BD1"/>
    <w:rsid w:val="2FF80F0E"/>
    <w:rsid w:val="304108B1"/>
    <w:rsid w:val="305807BF"/>
    <w:rsid w:val="306B5FE8"/>
    <w:rsid w:val="30700C1C"/>
    <w:rsid w:val="307E46AF"/>
    <w:rsid w:val="30D81EF7"/>
    <w:rsid w:val="30D93356"/>
    <w:rsid w:val="30DA1DD9"/>
    <w:rsid w:val="31000A61"/>
    <w:rsid w:val="318B7F1F"/>
    <w:rsid w:val="318D2CFD"/>
    <w:rsid w:val="31EF7B28"/>
    <w:rsid w:val="32015993"/>
    <w:rsid w:val="321C4F1C"/>
    <w:rsid w:val="322118FB"/>
    <w:rsid w:val="32244DFC"/>
    <w:rsid w:val="322476CF"/>
    <w:rsid w:val="322B55AE"/>
    <w:rsid w:val="32390A38"/>
    <w:rsid w:val="32521B1D"/>
    <w:rsid w:val="326C65A7"/>
    <w:rsid w:val="326D5167"/>
    <w:rsid w:val="326E6C1E"/>
    <w:rsid w:val="32747406"/>
    <w:rsid w:val="3291620A"/>
    <w:rsid w:val="329F5F4A"/>
    <w:rsid w:val="32A221C5"/>
    <w:rsid w:val="32AD00E0"/>
    <w:rsid w:val="32BB403E"/>
    <w:rsid w:val="32DD681E"/>
    <w:rsid w:val="32E30700"/>
    <w:rsid w:val="32E3590E"/>
    <w:rsid w:val="32F37D84"/>
    <w:rsid w:val="32FC3D25"/>
    <w:rsid w:val="33136037"/>
    <w:rsid w:val="3316675F"/>
    <w:rsid w:val="33646F82"/>
    <w:rsid w:val="33800A0F"/>
    <w:rsid w:val="33851C2D"/>
    <w:rsid w:val="338E424C"/>
    <w:rsid w:val="339B377C"/>
    <w:rsid w:val="33D1368F"/>
    <w:rsid w:val="33E32A95"/>
    <w:rsid w:val="345631E3"/>
    <w:rsid w:val="34572A71"/>
    <w:rsid w:val="349026A2"/>
    <w:rsid w:val="3492138F"/>
    <w:rsid w:val="349D7A9E"/>
    <w:rsid w:val="34A00DB1"/>
    <w:rsid w:val="34A40005"/>
    <w:rsid w:val="34B410D3"/>
    <w:rsid w:val="34BB41E0"/>
    <w:rsid w:val="34BC4B4B"/>
    <w:rsid w:val="34F47570"/>
    <w:rsid w:val="3507717E"/>
    <w:rsid w:val="350C2D09"/>
    <w:rsid w:val="351D5634"/>
    <w:rsid w:val="35355E20"/>
    <w:rsid w:val="357D7B25"/>
    <w:rsid w:val="3592350F"/>
    <w:rsid w:val="35A67A5F"/>
    <w:rsid w:val="35A77929"/>
    <w:rsid w:val="35C11552"/>
    <w:rsid w:val="35E1132F"/>
    <w:rsid w:val="3615435C"/>
    <w:rsid w:val="361C37F0"/>
    <w:rsid w:val="361E362C"/>
    <w:rsid w:val="363313F5"/>
    <w:rsid w:val="3635774B"/>
    <w:rsid w:val="3642105E"/>
    <w:rsid w:val="366E1C81"/>
    <w:rsid w:val="366E4460"/>
    <w:rsid w:val="36773E5D"/>
    <w:rsid w:val="36801F8F"/>
    <w:rsid w:val="36A04C6E"/>
    <w:rsid w:val="36AF573D"/>
    <w:rsid w:val="36BB169B"/>
    <w:rsid w:val="36C812F7"/>
    <w:rsid w:val="36CF23CE"/>
    <w:rsid w:val="36D3565B"/>
    <w:rsid w:val="36E0622F"/>
    <w:rsid w:val="36ED0F4B"/>
    <w:rsid w:val="36ED3DEE"/>
    <w:rsid w:val="36FF7BE6"/>
    <w:rsid w:val="370276D6"/>
    <w:rsid w:val="37114C9C"/>
    <w:rsid w:val="3720584E"/>
    <w:rsid w:val="373E024A"/>
    <w:rsid w:val="375D21A8"/>
    <w:rsid w:val="37763FFB"/>
    <w:rsid w:val="3779039B"/>
    <w:rsid w:val="379335B5"/>
    <w:rsid w:val="37FB3273"/>
    <w:rsid w:val="382F62A9"/>
    <w:rsid w:val="383967AA"/>
    <w:rsid w:val="387F5AF8"/>
    <w:rsid w:val="38942EC5"/>
    <w:rsid w:val="38B8629F"/>
    <w:rsid w:val="38E50D89"/>
    <w:rsid w:val="390925EF"/>
    <w:rsid w:val="39186D3D"/>
    <w:rsid w:val="391F7A71"/>
    <w:rsid w:val="39455184"/>
    <w:rsid w:val="39726B7C"/>
    <w:rsid w:val="398048E2"/>
    <w:rsid w:val="398C1743"/>
    <w:rsid w:val="399B6E57"/>
    <w:rsid w:val="39EA3076"/>
    <w:rsid w:val="3A2C1123"/>
    <w:rsid w:val="3A395E36"/>
    <w:rsid w:val="3A3F1AB2"/>
    <w:rsid w:val="3A443C96"/>
    <w:rsid w:val="3A461688"/>
    <w:rsid w:val="3A5618AA"/>
    <w:rsid w:val="3A5E70A9"/>
    <w:rsid w:val="3A605AF2"/>
    <w:rsid w:val="3A9A7630"/>
    <w:rsid w:val="3ADE1AAE"/>
    <w:rsid w:val="3B1A4114"/>
    <w:rsid w:val="3B27770B"/>
    <w:rsid w:val="3B457F98"/>
    <w:rsid w:val="3B6C49BC"/>
    <w:rsid w:val="3B776CDF"/>
    <w:rsid w:val="3B8734FF"/>
    <w:rsid w:val="3B9C35C1"/>
    <w:rsid w:val="3BA30382"/>
    <w:rsid w:val="3BAA39EE"/>
    <w:rsid w:val="3BDB106A"/>
    <w:rsid w:val="3BDF3482"/>
    <w:rsid w:val="3BEA612D"/>
    <w:rsid w:val="3C0359A7"/>
    <w:rsid w:val="3C1F37D2"/>
    <w:rsid w:val="3C457F4A"/>
    <w:rsid w:val="3C9C292F"/>
    <w:rsid w:val="3CCC47C8"/>
    <w:rsid w:val="3CD279F8"/>
    <w:rsid w:val="3D5A6499"/>
    <w:rsid w:val="3D8D4673"/>
    <w:rsid w:val="3DBD339D"/>
    <w:rsid w:val="3DBE69D1"/>
    <w:rsid w:val="3DD07BE6"/>
    <w:rsid w:val="3DDF26DF"/>
    <w:rsid w:val="3DF71617"/>
    <w:rsid w:val="3DFB6F3B"/>
    <w:rsid w:val="3E4F3CEB"/>
    <w:rsid w:val="3E8B7A4C"/>
    <w:rsid w:val="3E9E7462"/>
    <w:rsid w:val="3EDC6BE4"/>
    <w:rsid w:val="3EF54968"/>
    <w:rsid w:val="3F1A06F7"/>
    <w:rsid w:val="3F1B0FC1"/>
    <w:rsid w:val="3F246DEE"/>
    <w:rsid w:val="3F320B28"/>
    <w:rsid w:val="3F4A0470"/>
    <w:rsid w:val="3F5512BA"/>
    <w:rsid w:val="3F5605BF"/>
    <w:rsid w:val="3FD602BE"/>
    <w:rsid w:val="3FE43E1D"/>
    <w:rsid w:val="3FE502DF"/>
    <w:rsid w:val="400468BA"/>
    <w:rsid w:val="40455FBC"/>
    <w:rsid w:val="40AB287D"/>
    <w:rsid w:val="40D60483"/>
    <w:rsid w:val="40EF446D"/>
    <w:rsid w:val="40FD0A5D"/>
    <w:rsid w:val="410F4F02"/>
    <w:rsid w:val="411A3B8A"/>
    <w:rsid w:val="41366D43"/>
    <w:rsid w:val="41390199"/>
    <w:rsid w:val="4152018A"/>
    <w:rsid w:val="416C7DBD"/>
    <w:rsid w:val="41F122DB"/>
    <w:rsid w:val="4234381E"/>
    <w:rsid w:val="42954201"/>
    <w:rsid w:val="429823CB"/>
    <w:rsid w:val="429D5C8C"/>
    <w:rsid w:val="42A178EE"/>
    <w:rsid w:val="42BE0955"/>
    <w:rsid w:val="42EA61D2"/>
    <w:rsid w:val="43050FCE"/>
    <w:rsid w:val="43087E22"/>
    <w:rsid w:val="43095949"/>
    <w:rsid w:val="433831AE"/>
    <w:rsid w:val="433B256A"/>
    <w:rsid w:val="43460D6B"/>
    <w:rsid w:val="43491AA2"/>
    <w:rsid w:val="43D1669A"/>
    <w:rsid w:val="43F31EC1"/>
    <w:rsid w:val="43FA4C4D"/>
    <w:rsid w:val="43FB1131"/>
    <w:rsid w:val="441A2345"/>
    <w:rsid w:val="44385910"/>
    <w:rsid w:val="443F0DB6"/>
    <w:rsid w:val="44537DFF"/>
    <w:rsid w:val="445E4478"/>
    <w:rsid w:val="446A7E1D"/>
    <w:rsid w:val="447E4A26"/>
    <w:rsid w:val="448D327D"/>
    <w:rsid w:val="449F1233"/>
    <w:rsid w:val="44BD70C6"/>
    <w:rsid w:val="44DB1B40"/>
    <w:rsid w:val="44E471D7"/>
    <w:rsid w:val="450E6E58"/>
    <w:rsid w:val="45500698"/>
    <w:rsid w:val="45656583"/>
    <w:rsid w:val="45715D48"/>
    <w:rsid w:val="458F40E0"/>
    <w:rsid w:val="458F795A"/>
    <w:rsid w:val="45D4622A"/>
    <w:rsid w:val="462E0726"/>
    <w:rsid w:val="463505EA"/>
    <w:rsid w:val="4683709C"/>
    <w:rsid w:val="46AF2877"/>
    <w:rsid w:val="46EA50D3"/>
    <w:rsid w:val="47037DE7"/>
    <w:rsid w:val="47093AD8"/>
    <w:rsid w:val="471760F8"/>
    <w:rsid w:val="472812B5"/>
    <w:rsid w:val="47435B56"/>
    <w:rsid w:val="476123B9"/>
    <w:rsid w:val="47720309"/>
    <w:rsid w:val="478009AC"/>
    <w:rsid w:val="47A42B87"/>
    <w:rsid w:val="47B03B4D"/>
    <w:rsid w:val="47FC2563"/>
    <w:rsid w:val="484A0F00"/>
    <w:rsid w:val="484E4048"/>
    <w:rsid w:val="48787FAC"/>
    <w:rsid w:val="489B2F4B"/>
    <w:rsid w:val="48A26F67"/>
    <w:rsid w:val="48B60321"/>
    <w:rsid w:val="48C0305C"/>
    <w:rsid w:val="48CF07C1"/>
    <w:rsid w:val="48D1046F"/>
    <w:rsid w:val="49360D0C"/>
    <w:rsid w:val="493865B5"/>
    <w:rsid w:val="4962010A"/>
    <w:rsid w:val="496C7C8D"/>
    <w:rsid w:val="4977185E"/>
    <w:rsid w:val="498469FF"/>
    <w:rsid w:val="49B4203E"/>
    <w:rsid w:val="49CA5E32"/>
    <w:rsid w:val="49DF5A21"/>
    <w:rsid w:val="49F829E7"/>
    <w:rsid w:val="4A187D2D"/>
    <w:rsid w:val="4A37012A"/>
    <w:rsid w:val="4A5B5235"/>
    <w:rsid w:val="4AC863B5"/>
    <w:rsid w:val="4ADD6C7C"/>
    <w:rsid w:val="4B0F337A"/>
    <w:rsid w:val="4B410C16"/>
    <w:rsid w:val="4B44380D"/>
    <w:rsid w:val="4B520BF8"/>
    <w:rsid w:val="4B7F5BCC"/>
    <w:rsid w:val="4BA94BA1"/>
    <w:rsid w:val="4BB30F42"/>
    <w:rsid w:val="4BC17ABD"/>
    <w:rsid w:val="4BD72A88"/>
    <w:rsid w:val="4BE5658F"/>
    <w:rsid w:val="4BEE18C0"/>
    <w:rsid w:val="4BF33563"/>
    <w:rsid w:val="4BF50CB2"/>
    <w:rsid w:val="4C2061DD"/>
    <w:rsid w:val="4C6A1274"/>
    <w:rsid w:val="4C6E15BF"/>
    <w:rsid w:val="4C6F32AD"/>
    <w:rsid w:val="4C737E6D"/>
    <w:rsid w:val="4C9108BC"/>
    <w:rsid w:val="4CAF6EB5"/>
    <w:rsid w:val="4CB2054A"/>
    <w:rsid w:val="4CC65386"/>
    <w:rsid w:val="4CDC2B50"/>
    <w:rsid w:val="4CDF679D"/>
    <w:rsid w:val="4CFE0910"/>
    <w:rsid w:val="4D165162"/>
    <w:rsid w:val="4D170BB5"/>
    <w:rsid w:val="4D574D34"/>
    <w:rsid w:val="4D640565"/>
    <w:rsid w:val="4D7213D6"/>
    <w:rsid w:val="4D93238B"/>
    <w:rsid w:val="4DA66359"/>
    <w:rsid w:val="4DB67C3F"/>
    <w:rsid w:val="4DB93C1C"/>
    <w:rsid w:val="4DDB3C99"/>
    <w:rsid w:val="4DDC3463"/>
    <w:rsid w:val="4DF11245"/>
    <w:rsid w:val="4DF83D85"/>
    <w:rsid w:val="4E050942"/>
    <w:rsid w:val="4E247E95"/>
    <w:rsid w:val="4E274294"/>
    <w:rsid w:val="4E4207B2"/>
    <w:rsid w:val="4E5649B8"/>
    <w:rsid w:val="4E8731E5"/>
    <w:rsid w:val="4EC84766"/>
    <w:rsid w:val="4ED133E0"/>
    <w:rsid w:val="4EE1639C"/>
    <w:rsid w:val="4EF94B51"/>
    <w:rsid w:val="4F1A414C"/>
    <w:rsid w:val="4F4F2ACB"/>
    <w:rsid w:val="4F51499B"/>
    <w:rsid w:val="4F6B546E"/>
    <w:rsid w:val="4F7A5C1F"/>
    <w:rsid w:val="4F8F33DB"/>
    <w:rsid w:val="4F940DFD"/>
    <w:rsid w:val="4F9D2D1D"/>
    <w:rsid w:val="4FD74729"/>
    <w:rsid w:val="4FE319FB"/>
    <w:rsid w:val="4FF8744B"/>
    <w:rsid w:val="4FFB507E"/>
    <w:rsid w:val="501C5568"/>
    <w:rsid w:val="503F1F7D"/>
    <w:rsid w:val="50815D87"/>
    <w:rsid w:val="50875DDA"/>
    <w:rsid w:val="50A67405"/>
    <w:rsid w:val="50A75917"/>
    <w:rsid w:val="50BF7A86"/>
    <w:rsid w:val="50E61077"/>
    <w:rsid w:val="50F7462E"/>
    <w:rsid w:val="50FC2C3C"/>
    <w:rsid w:val="511C2A01"/>
    <w:rsid w:val="5165451C"/>
    <w:rsid w:val="518F7337"/>
    <w:rsid w:val="51CA2B07"/>
    <w:rsid w:val="51D574B6"/>
    <w:rsid w:val="51D97625"/>
    <w:rsid w:val="520D40AC"/>
    <w:rsid w:val="521A1920"/>
    <w:rsid w:val="52237D21"/>
    <w:rsid w:val="524B5983"/>
    <w:rsid w:val="525C1145"/>
    <w:rsid w:val="527777E7"/>
    <w:rsid w:val="528E2E9A"/>
    <w:rsid w:val="52A248C9"/>
    <w:rsid w:val="52A844C1"/>
    <w:rsid w:val="52F20717"/>
    <w:rsid w:val="531B60E1"/>
    <w:rsid w:val="533E54DE"/>
    <w:rsid w:val="53532AF5"/>
    <w:rsid w:val="5363174A"/>
    <w:rsid w:val="53781CD0"/>
    <w:rsid w:val="53BE66B0"/>
    <w:rsid w:val="53D272B4"/>
    <w:rsid w:val="53E429F3"/>
    <w:rsid w:val="53FC7D3D"/>
    <w:rsid w:val="54126081"/>
    <w:rsid w:val="544F4B17"/>
    <w:rsid w:val="54690E06"/>
    <w:rsid w:val="546B719F"/>
    <w:rsid w:val="547D1B69"/>
    <w:rsid w:val="547D3CA1"/>
    <w:rsid w:val="548D462B"/>
    <w:rsid w:val="548E2449"/>
    <w:rsid w:val="549A78FD"/>
    <w:rsid w:val="54A71544"/>
    <w:rsid w:val="54E03240"/>
    <w:rsid w:val="54E161E6"/>
    <w:rsid w:val="54F21990"/>
    <w:rsid w:val="55384597"/>
    <w:rsid w:val="555E7D76"/>
    <w:rsid w:val="556F7681"/>
    <w:rsid w:val="55717EF0"/>
    <w:rsid w:val="55B83796"/>
    <w:rsid w:val="55BD56C8"/>
    <w:rsid w:val="55BD62FC"/>
    <w:rsid w:val="55BF546A"/>
    <w:rsid w:val="55CF4789"/>
    <w:rsid w:val="55E24205"/>
    <w:rsid w:val="55FF3119"/>
    <w:rsid w:val="56290606"/>
    <w:rsid w:val="562958F0"/>
    <w:rsid w:val="56960007"/>
    <w:rsid w:val="569C33FD"/>
    <w:rsid w:val="56A67268"/>
    <w:rsid w:val="56AD53E1"/>
    <w:rsid w:val="56D976B4"/>
    <w:rsid w:val="56E125A0"/>
    <w:rsid w:val="56E17E4B"/>
    <w:rsid w:val="570C1A38"/>
    <w:rsid w:val="571177FA"/>
    <w:rsid w:val="571A4D54"/>
    <w:rsid w:val="57285324"/>
    <w:rsid w:val="572C50A1"/>
    <w:rsid w:val="57463DA2"/>
    <w:rsid w:val="574A79DE"/>
    <w:rsid w:val="574E744D"/>
    <w:rsid w:val="576858F9"/>
    <w:rsid w:val="5773059A"/>
    <w:rsid w:val="57862A77"/>
    <w:rsid w:val="57CD61A9"/>
    <w:rsid w:val="57D26EB7"/>
    <w:rsid w:val="580653FD"/>
    <w:rsid w:val="580F63AE"/>
    <w:rsid w:val="58435D67"/>
    <w:rsid w:val="586B7753"/>
    <w:rsid w:val="58980645"/>
    <w:rsid w:val="58AA581E"/>
    <w:rsid w:val="58CD4E39"/>
    <w:rsid w:val="58D5070A"/>
    <w:rsid w:val="58FB1BA3"/>
    <w:rsid w:val="59043E01"/>
    <w:rsid w:val="590B354E"/>
    <w:rsid w:val="59413C36"/>
    <w:rsid w:val="59526D7E"/>
    <w:rsid w:val="597B4416"/>
    <w:rsid w:val="599124C8"/>
    <w:rsid w:val="59BB60CF"/>
    <w:rsid w:val="59D34D02"/>
    <w:rsid w:val="5A4E4EC1"/>
    <w:rsid w:val="5A4E7262"/>
    <w:rsid w:val="5A791DEA"/>
    <w:rsid w:val="5A7C75A7"/>
    <w:rsid w:val="5A831B3A"/>
    <w:rsid w:val="5ABC76D3"/>
    <w:rsid w:val="5AC04F5E"/>
    <w:rsid w:val="5AEE72F1"/>
    <w:rsid w:val="5BC24B08"/>
    <w:rsid w:val="5BE34185"/>
    <w:rsid w:val="5BE7549F"/>
    <w:rsid w:val="5BF6728A"/>
    <w:rsid w:val="5C083ADA"/>
    <w:rsid w:val="5C766F57"/>
    <w:rsid w:val="5C7865A7"/>
    <w:rsid w:val="5C9F3A65"/>
    <w:rsid w:val="5CB11B30"/>
    <w:rsid w:val="5CC02802"/>
    <w:rsid w:val="5D082219"/>
    <w:rsid w:val="5D0C1B5E"/>
    <w:rsid w:val="5D0F7FFE"/>
    <w:rsid w:val="5D10309F"/>
    <w:rsid w:val="5D2B4B79"/>
    <w:rsid w:val="5D3D543E"/>
    <w:rsid w:val="5D425978"/>
    <w:rsid w:val="5D6F03B3"/>
    <w:rsid w:val="5D8A46CF"/>
    <w:rsid w:val="5D8F57D0"/>
    <w:rsid w:val="5D9769EF"/>
    <w:rsid w:val="5DB43D5B"/>
    <w:rsid w:val="5DC90AF1"/>
    <w:rsid w:val="5DEC1A1E"/>
    <w:rsid w:val="5DF06B27"/>
    <w:rsid w:val="5E1F3CF6"/>
    <w:rsid w:val="5E345B18"/>
    <w:rsid w:val="5E565CA2"/>
    <w:rsid w:val="5E580D87"/>
    <w:rsid w:val="5E7B08D1"/>
    <w:rsid w:val="5E826CA8"/>
    <w:rsid w:val="5E847D30"/>
    <w:rsid w:val="5E9A24A8"/>
    <w:rsid w:val="5EAA2D41"/>
    <w:rsid w:val="5EAB0D2C"/>
    <w:rsid w:val="5EF62DCD"/>
    <w:rsid w:val="5F2B1805"/>
    <w:rsid w:val="5F476193"/>
    <w:rsid w:val="5F4D6DA2"/>
    <w:rsid w:val="5FA17662"/>
    <w:rsid w:val="5FAE1170"/>
    <w:rsid w:val="5FB76261"/>
    <w:rsid w:val="5FDF280A"/>
    <w:rsid w:val="600462B9"/>
    <w:rsid w:val="60120D35"/>
    <w:rsid w:val="604231D2"/>
    <w:rsid w:val="60573113"/>
    <w:rsid w:val="608A289D"/>
    <w:rsid w:val="608E5357"/>
    <w:rsid w:val="60991863"/>
    <w:rsid w:val="60A9595B"/>
    <w:rsid w:val="60D56C76"/>
    <w:rsid w:val="60E342E4"/>
    <w:rsid w:val="61151723"/>
    <w:rsid w:val="611759A9"/>
    <w:rsid w:val="613432FE"/>
    <w:rsid w:val="614528AC"/>
    <w:rsid w:val="6161067B"/>
    <w:rsid w:val="617B03CB"/>
    <w:rsid w:val="617B565A"/>
    <w:rsid w:val="619D6B85"/>
    <w:rsid w:val="61B363CD"/>
    <w:rsid w:val="61BB6C36"/>
    <w:rsid w:val="61FB170E"/>
    <w:rsid w:val="6239236D"/>
    <w:rsid w:val="62A00E16"/>
    <w:rsid w:val="62A6254F"/>
    <w:rsid w:val="62D14C9E"/>
    <w:rsid w:val="633F463B"/>
    <w:rsid w:val="639C135C"/>
    <w:rsid w:val="639F7DC1"/>
    <w:rsid w:val="63E911CE"/>
    <w:rsid w:val="63EE313D"/>
    <w:rsid w:val="63F30435"/>
    <w:rsid w:val="63F65657"/>
    <w:rsid w:val="63F743E1"/>
    <w:rsid w:val="64050ABF"/>
    <w:rsid w:val="642D1CFD"/>
    <w:rsid w:val="64363468"/>
    <w:rsid w:val="64450522"/>
    <w:rsid w:val="645239A3"/>
    <w:rsid w:val="64622E0B"/>
    <w:rsid w:val="64935E36"/>
    <w:rsid w:val="64B32E2F"/>
    <w:rsid w:val="64C157D9"/>
    <w:rsid w:val="64CA7FBA"/>
    <w:rsid w:val="64D8451F"/>
    <w:rsid w:val="64E250F2"/>
    <w:rsid w:val="6500469F"/>
    <w:rsid w:val="653D75CE"/>
    <w:rsid w:val="65655E31"/>
    <w:rsid w:val="658968F3"/>
    <w:rsid w:val="659F6081"/>
    <w:rsid w:val="65A70C8A"/>
    <w:rsid w:val="65A72374"/>
    <w:rsid w:val="65A76324"/>
    <w:rsid w:val="65A823F2"/>
    <w:rsid w:val="65B460C5"/>
    <w:rsid w:val="65ED414E"/>
    <w:rsid w:val="65EF4D81"/>
    <w:rsid w:val="65FD598B"/>
    <w:rsid w:val="66534994"/>
    <w:rsid w:val="66620E80"/>
    <w:rsid w:val="66707D4C"/>
    <w:rsid w:val="66A71360"/>
    <w:rsid w:val="66B5420B"/>
    <w:rsid w:val="66FB6224"/>
    <w:rsid w:val="67002701"/>
    <w:rsid w:val="670F7889"/>
    <w:rsid w:val="67126567"/>
    <w:rsid w:val="67211260"/>
    <w:rsid w:val="67377C7E"/>
    <w:rsid w:val="67460997"/>
    <w:rsid w:val="674A54CB"/>
    <w:rsid w:val="676557D9"/>
    <w:rsid w:val="676D705E"/>
    <w:rsid w:val="67946156"/>
    <w:rsid w:val="67A05B2A"/>
    <w:rsid w:val="67D0240D"/>
    <w:rsid w:val="67DE2C50"/>
    <w:rsid w:val="67DE7084"/>
    <w:rsid w:val="67E833FD"/>
    <w:rsid w:val="67F7300E"/>
    <w:rsid w:val="68342E8F"/>
    <w:rsid w:val="68483D18"/>
    <w:rsid w:val="687D4BDD"/>
    <w:rsid w:val="688B4D25"/>
    <w:rsid w:val="68952F54"/>
    <w:rsid w:val="68DC3EFE"/>
    <w:rsid w:val="68F8398F"/>
    <w:rsid w:val="69125ADB"/>
    <w:rsid w:val="69481364"/>
    <w:rsid w:val="6949691B"/>
    <w:rsid w:val="69507B39"/>
    <w:rsid w:val="698E0FEB"/>
    <w:rsid w:val="6998799E"/>
    <w:rsid w:val="699A5808"/>
    <w:rsid w:val="69B81534"/>
    <w:rsid w:val="6A2E5B11"/>
    <w:rsid w:val="6A3E6267"/>
    <w:rsid w:val="6A5001F7"/>
    <w:rsid w:val="6A5979DE"/>
    <w:rsid w:val="6A6F3423"/>
    <w:rsid w:val="6A70612A"/>
    <w:rsid w:val="6A8923D3"/>
    <w:rsid w:val="6A896D5A"/>
    <w:rsid w:val="6AA13425"/>
    <w:rsid w:val="6AD84EFA"/>
    <w:rsid w:val="6ADB3525"/>
    <w:rsid w:val="6AEF34F2"/>
    <w:rsid w:val="6B2018FE"/>
    <w:rsid w:val="6B8723B0"/>
    <w:rsid w:val="6B8A321B"/>
    <w:rsid w:val="6B8B2B72"/>
    <w:rsid w:val="6BF02B86"/>
    <w:rsid w:val="6C2A7700"/>
    <w:rsid w:val="6C3170F0"/>
    <w:rsid w:val="6C3C1DA0"/>
    <w:rsid w:val="6CA8352E"/>
    <w:rsid w:val="6CB97733"/>
    <w:rsid w:val="6CD725ED"/>
    <w:rsid w:val="6CEA4165"/>
    <w:rsid w:val="6D025507"/>
    <w:rsid w:val="6D376AFE"/>
    <w:rsid w:val="6D3B35C4"/>
    <w:rsid w:val="6D441A78"/>
    <w:rsid w:val="6D546223"/>
    <w:rsid w:val="6D9557A8"/>
    <w:rsid w:val="6DC146F3"/>
    <w:rsid w:val="6DDD7591"/>
    <w:rsid w:val="6DF53E3B"/>
    <w:rsid w:val="6E0359BE"/>
    <w:rsid w:val="6E0B4668"/>
    <w:rsid w:val="6E141A2A"/>
    <w:rsid w:val="6E2122B7"/>
    <w:rsid w:val="6E4962DA"/>
    <w:rsid w:val="6E5509CC"/>
    <w:rsid w:val="6E8E2BF7"/>
    <w:rsid w:val="6EA05AE1"/>
    <w:rsid w:val="6EAB20CD"/>
    <w:rsid w:val="6EE06FEB"/>
    <w:rsid w:val="6EED307F"/>
    <w:rsid w:val="6EF74287"/>
    <w:rsid w:val="6F0B5819"/>
    <w:rsid w:val="6F153218"/>
    <w:rsid w:val="6F1F0ECB"/>
    <w:rsid w:val="6F651FD5"/>
    <w:rsid w:val="6F6C6F01"/>
    <w:rsid w:val="6F76486B"/>
    <w:rsid w:val="6F924A6F"/>
    <w:rsid w:val="6F9E5EF8"/>
    <w:rsid w:val="6FCD2EB5"/>
    <w:rsid w:val="6FD168FB"/>
    <w:rsid w:val="6FE55BBD"/>
    <w:rsid w:val="6FEF0595"/>
    <w:rsid w:val="6FF11ABB"/>
    <w:rsid w:val="705D0EFE"/>
    <w:rsid w:val="707B47C4"/>
    <w:rsid w:val="70910BA8"/>
    <w:rsid w:val="709B4B83"/>
    <w:rsid w:val="70B64C12"/>
    <w:rsid w:val="70C11755"/>
    <w:rsid w:val="70DD2618"/>
    <w:rsid w:val="70E6544B"/>
    <w:rsid w:val="70ED0986"/>
    <w:rsid w:val="70EE1BE6"/>
    <w:rsid w:val="711772FF"/>
    <w:rsid w:val="712A0992"/>
    <w:rsid w:val="71881060"/>
    <w:rsid w:val="71CB1AC1"/>
    <w:rsid w:val="71CF0D35"/>
    <w:rsid w:val="71D34B0B"/>
    <w:rsid w:val="71D728C9"/>
    <w:rsid w:val="71E003DD"/>
    <w:rsid w:val="71E81269"/>
    <w:rsid w:val="71F41383"/>
    <w:rsid w:val="72021250"/>
    <w:rsid w:val="720F6D7D"/>
    <w:rsid w:val="72472963"/>
    <w:rsid w:val="726532FB"/>
    <w:rsid w:val="72670F93"/>
    <w:rsid w:val="72950198"/>
    <w:rsid w:val="72EA4658"/>
    <w:rsid w:val="72F5294E"/>
    <w:rsid w:val="7320375D"/>
    <w:rsid w:val="734075B0"/>
    <w:rsid w:val="73535070"/>
    <w:rsid w:val="735B55FE"/>
    <w:rsid w:val="736C23ED"/>
    <w:rsid w:val="73CA3D94"/>
    <w:rsid w:val="73F53DA6"/>
    <w:rsid w:val="73F7771D"/>
    <w:rsid w:val="742963D6"/>
    <w:rsid w:val="742B4973"/>
    <w:rsid w:val="74444F9D"/>
    <w:rsid w:val="748725BD"/>
    <w:rsid w:val="74895DC2"/>
    <w:rsid w:val="74A01DFE"/>
    <w:rsid w:val="74B00652"/>
    <w:rsid w:val="74C6075E"/>
    <w:rsid w:val="74D86BD2"/>
    <w:rsid w:val="74EA01F2"/>
    <w:rsid w:val="74F109DD"/>
    <w:rsid w:val="74FB2A94"/>
    <w:rsid w:val="74FD3141"/>
    <w:rsid w:val="74FE7100"/>
    <w:rsid w:val="7509716F"/>
    <w:rsid w:val="753442AC"/>
    <w:rsid w:val="755A26D4"/>
    <w:rsid w:val="75667239"/>
    <w:rsid w:val="756D0B1E"/>
    <w:rsid w:val="757E1548"/>
    <w:rsid w:val="75D828D1"/>
    <w:rsid w:val="75E57090"/>
    <w:rsid w:val="75F57B01"/>
    <w:rsid w:val="75F76D22"/>
    <w:rsid w:val="75FA6B54"/>
    <w:rsid w:val="76124201"/>
    <w:rsid w:val="761B4B26"/>
    <w:rsid w:val="762F10DD"/>
    <w:rsid w:val="76945580"/>
    <w:rsid w:val="769B575F"/>
    <w:rsid w:val="76BE180F"/>
    <w:rsid w:val="76C515AB"/>
    <w:rsid w:val="76E17EFC"/>
    <w:rsid w:val="7718557A"/>
    <w:rsid w:val="771C6DDB"/>
    <w:rsid w:val="774C11E5"/>
    <w:rsid w:val="77563BDF"/>
    <w:rsid w:val="777C4360"/>
    <w:rsid w:val="77852F1D"/>
    <w:rsid w:val="77970501"/>
    <w:rsid w:val="77CE4E49"/>
    <w:rsid w:val="77DD1955"/>
    <w:rsid w:val="77F9150C"/>
    <w:rsid w:val="78492BFF"/>
    <w:rsid w:val="784A2834"/>
    <w:rsid w:val="7872238B"/>
    <w:rsid w:val="78956EAB"/>
    <w:rsid w:val="78986C8F"/>
    <w:rsid w:val="78F316BE"/>
    <w:rsid w:val="78F53EF1"/>
    <w:rsid w:val="79064ACA"/>
    <w:rsid w:val="79200D68"/>
    <w:rsid w:val="79404045"/>
    <w:rsid w:val="79486855"/>
    <w:rsid w:val="794B1CCF"/>
    <w:rsid w:val="794E1F75"/>
    <w:rsid w:val="79635836"/>
    <w:rsid w:val="799737F5"/>
    <w:rsid w:val="799E4EDF"/>
    <w:rsid w:val="79AB42FC"/>
    <w:rsid w:val="79B1379B"/>
    <w:rsid w:val="79C40791"/>
    <w:rsid w:val="7A4D6843"/>
    <w:rsid w:val="7A721263"/>
    <w:rsid w:val="7A98300E"/>
    <w:rsid w:val="7AA812CD"/>
    <w:rsid w:val="7ABE4769"/>
    <w:rsid w:val="7AD0596B"/>
    <w:rsid w:val="7AE5221C"/>
    <w:rsid w:val="7B2241A0"/>
    <w:rsid w:val="7B4E5F74"/>
    <w:rsid w:val="7B5B590C"/>
    <w:rsid w:val="7BC21276"/>
    <w:rsid w:val="7BF232D8"/>
    <w:rsid w:val="7BFF0EC6"/>
    <w:rsid w:val="7C0A10B0"/>
    <w:rsid w:val="7C21154A"/>
    <w:rsid w:val="7C2521C4"/>
    <w:rsid w:val="7C266A5E"/>
    <w:rsid w:val="7C4D471D"/>
    <w:rsid w:val="7C620CEE"/>
    <w:rsid w:val="7C9E151E"/>
    <w:rsid w:val="7CC43F8D"/>
    <w:rsid w:val="7CC81220"/>
    <w:rsid w:val="7CD3033B"/>
    <w:rsid w:val="7CD4773D"/>
    <w:rsid w:val="7CDD2498"/>
    <w:rsid w:val="7CF506B1"/>
    <w:rsid w:val="7CF56C61"/>
    <w:rsid w:val="7D1428F3"/>
    <w:rsid w:val="7D1C52E3"/>
    <w:rsid w:val="7D252D0D"/>
    <w:rsid w:val="7D2E060E"/>
    <w:rsid w:val="7D3714E0"/>
    <w:rsid w:val="7D3A2618"/>
    <w:rsid w:val="7D405FDE"/>
    <w:rsid w:val="7D53229B"/>
    <w:rsid w:val="7D9F232A"/>
    <w:rsid w:val="7DB84B7D"/>
    <w:rsid w:val="7DC018EE"/>
    <w:rsid w:val="7DC03F63"/>
    <w:rsid w:val="7DFC1A8D"/>
    <w:rsid w:val="7E1565ED"/>
    <w:rsid w:val="7E1B0471"/>
    <w:rsid w:val="7E2719D2"/>
    <w:rsid w:val="7E301C88"/>
    <w:rsid w:val="7E5706C0"/>
    <w:rsid w:val="7E730C2B"/>
    <w:rsid w:val="7E797FB0"/>
    <w:rsid w:val="7EA1239A"/>
    <w:rsid w:val="7EC81A6C"/>
    <w:rsid w:val="7ED20DB6"/>
    <w:rsid w:val="7ED617EE"/>
    <w:rsid w:val="7ED9582D"/>
    <w:rsid w:val="7F21731A"/>
    <w:rsid w:val="7F66149A"/>
    <w:rsid w:val="7F9C0797"/>
    <w:rsid w:val="7FCC3B30"/>
    <w:rsid w:val="7FD4593B"/>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2"/>
    <w:next w:val="1"/>
    <w:autoRedefine/>
    <w:semiHidden/>
    <w:unhideWhenUsed/>
    <w:qFormat/>
    <w:uiPriority w:val="0"/>
    <w:pPr>
      <w:keepNext/>
      <w:keepLines/>
      <w:spacing w:before="260" w:after="260" w:line="413" w:lineRule="auto"/>
      <w:jc w:val="both"/>
      <w:outlineLvl w:val="1"/>
    </w:pPr>
    <w:rPr>
      <w:rFonts w:ascii="Arial" w:hAnsi="Arial" w:eastAsia="黑体"/>
      <w:bCs/>
      <w:kern w:val="2"/>
      <w:sz w:val="32"/>
      <w:szCs w:val="32"/>
    </w:rPr>
  </w:style>
  <w:style w:type="paragraph" w:styleId="4">
    <w:name w:val="heading 3"/>
    <w:basedOn w:val="3"/>
    <w:next w:val="1"/>
    <w:autoRedefine/>
    <w:semiHidden/>
    <w:unhideWhenUsed/>
    <w:qFormat/>
    <w:uiPriority w:val="0"/>
    <w:pPr>
      <w:spacing w:line="600" w:lineRule="exact"/>
      <w:ind w:firstLine="643" w:firstLineChars="200"/>
      <w:outlineLvl w:val="2"/>
    </w:pPr>
    <w:rPr>
      <w:rFonts w:ascii="Times New Roman" w:hAnsi="Times New Roman" w:eastAsia="宋体"/>
    </w:rPr>
  </w:style>
  <w:style w:type="paragraph" w:styleId="5">
    <w:name w:val="heading 5"/>
    <w:basedOn w:val="1"/>
    <w:next w:val="6"/>
    <w:autoRedefine/>
    <w:semiHidden/>
    <w:unhideWhenUsed/>
    <w:qFormat/>
    <w:uiPriority w:val="0"/>
    <w:pPr>
      <w:keepNext/>
      <w:keepLines/>
      <w:spacing w:before="280" w:after="290" w:line="376" w:lineRule="auto"/>
      <w:outlineLvl w:val="4"/>
    </w:pPr>
    <w:rPr>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index 8"/>
    <w:basedOn w:val="1"/>
    <w:next w:val="1"/>
    <w:autoRedefine/>
    <w:qFormat/>
    <w:uiPriority w:val="0"/>
    <w:pPr>
      <w:ind w:left="2940"/>
    </w:pPr>
  </w:style>
  <w:style w:type="paragraph" w:styleId="8">
    <w:name w:val="annotation text"/>
    <w:basedOn w:val="1"/>
    <w:link w:val="40"/>
    <w:qFormat/>
    <w:uiPriority w:val="0"/>
    <w:pPr>
      <w:jc w:val="left"/>
    </w:pPr>
  </w:style>
  <w:style w:type="paragraph" w:styleId="9">
    <w:name w:val="Body Text"/>
    <w:basedOn w:val="1"/>
    <w:next w:val="10"/>
    <w:qFormat/>
    <w:uiPriority w:val="0"/>
    <w:pPr>
      <w:spacing w:after="120"/>
    </w:pPr>
  </w:style>
  <w:style w:type="paragraph" w:styleId="10">
    <w:name w:val="Subtitle"/>
    <w:basedOn w:val="1"/>
    <w:next w:val="1"/>
    <w:autoRedefine/>
    <w:qFormat/>
    <w:uiPriority w:val="0"/>
    <w:pPr>
      <w:spacing w:before="240" w:after="60" w:line="312" w:lineRule="auto"/>
      <w:jc w:val="center"/>
      <w:outlineLvl w:val="1"/>
    </w:pPr>
    <w:rPr>
      <w:rFonts w:ascii="Calibri Light" w:hAnsi="Calibri Light"/>
      <w:b/>
      <w:bCs/>
      <w:kern w:val="28"/>
      <w:sz w:val="32"/>
      <w:szCs w:val="32"/>
    </w:rPr>
  </w:style>
  <w:style w:type="paragraph" w:styleId="11">
    <w:name w:val="Body Text Indent"/>
    <w:autoRedefine/>
    <w:qFormat/>
    <w:uiPriority w:val="0"/>
    <w:pPr>
      <w:widowControl w:val="0"/>
      <w:spacing w:line="200" w:lineRule="exact"/>
      <w:ind w:firstLine="301"/>
      <w:jc w:val="both"/>
    </w:pPr>
    <w:rPr>
      <w:rFonts w:ascii="宋体" w:hAnsi="Courier New" w:eastAsia="宋体" w:cs="Times New Roman"/>
      <w:spacing w:val="-4"/>
      <w:kern w:val="2"/>
      <w:sz w:val="18"/>
      <w:lang w:val="en-US" w:eastAsia="zh-CN" w:bidi="ar-SA"/>
    </w:rPr>
  </w:style>
  <w:style w:type="paragraph" w:styleId="12">
    <w:name w:val="toc 3"/>
    <w:next w:val="1"/>
    <w:autoRedefine/>
    <w:qFormat/>
    <w:uiPriority w:val="0"/>
    <w:pPr>
      <w:widowControl w:val="0"/>
    </w:pPr>
    <w:rPr>
      <w:rFonts w:ascii="Calibri" w:hAnsi="Calibri" w:eastAsia="宋体" w:cs="Times New Roman"/>
      <w:smallCaps/>
      <w:kern w:val="2"/>
      <w:sz w:val="22"/>
      <w:szCs w:val="22"/>
      <w:lang w:val="en-US" w:eastAsia="zh-CN" w:bidi="ar-SA"/>
    </w:rPr>
  </w:style>
  <w:style w:type="paragraph" w:styleId="13">
    <w:name w:val="Plain Text"/>
    <w:basedOn w:val="1"/>
    <w:next w:val="7"/>
    <w:link w:val="42"/>
    <w:qFormat/>
    <w:uiPriority w:val="0"/>
    <w:rPr>
      <w:rFonts w:ascii="宋体" w:hAnsi="Courier New"/>
      <w:szCs w:val="20"/>
    </w:rPr>
  </w:style>
  <w:style w:type="paragraph" w:styleId="14">
    <w:name w:val="footer"/>
    <w:basedOn w:val="1"/>
    <w:next w:val="1"/>
    <w:autoRedefine/>
    <w:qFormat/>
    <w:uiPriority w:val="0"/>
    <w:pPr>
      <w:tabs>
        <w:tab w:val="center" w:pos="4153"/>
        <w:tab w:val="right" w:pos="8306"/>
      </w:tabs>
      <w:snapToGrid w:val="0"/>
      <w:jc w:val="left"/>
    </w:pPr>
    <w:rPr>
      <w:sz w:val="18"/>
      <w:szCs w:val="18"/>
    </w:rPr>
  </w:style>
  <w:style w:type="paragraph" w:styleId="15">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6">
    <w:name w:val="toc 1"/>
    <w:next w:val="1"/>
    <w:autoRedefine/>
    <w:qFormat/>
    <w:uiPriority w:val="0"/>
    <w:pPr>
      <w:widowControl w:val="0"/>
      <w:spacing w:before="360" w:after="360"/>
    </w:pPr>
    <w:rPr>
      <w:rFonts w:ascii="Calibri" w:hAnsi="Calibri" w:eastAsia="宋体" w:cs="Times New Roman"/>
      <w:b/>
      <w:bCs/>
      <w:caps/>
      <w:kern w:val="2"/>
      <w:sz w:val="22"/>
      <w:szCs w:val="22"/>
      <w:u w:val="single"/>
      <w:lang w:val="en-US" w:eastAsia="zh-CN" w:bidi="ar-SA"/>
    </w:rPr>
  </w:style>
  <w:style w:type="paragraph" w:styleId="17">
    <w:name w:val="List"/>
    <w:basedOn w:val="1"/>
    <w:autoRedefine/>
    <w:qFormat/>
    <w:uiPriority w:val="0"/>
    <w:pPr>
      <w:ind w:left="200" w:hanging="200" w:hangingChars="200"/>
    </w:pPr>
    <w:rPr>
      <w:sz w:val="28"/>
    </w:rPr>
  </w:style>
  <w:style w:type="paragraph" w:styleId="18">
    <w:name w:val="toc 2"/>
    <w:next w:val="1"/>
    <w:autoRedefine/>
    <w:qFormat/>
    <w:uiPriority w:val="0"/>
    <w:pPr>
      <w:widowControl w:val="0"/>
    </w:pPr>
    <w:rPr>
      <w:rFonts w:ascii="Calibri" w:hAnsi="Calibri" w:eastAsia="宋体" w:cs="Times New Roman"/>
      <w:b/>
      <w:bCs/>
      <w:smallCaps/>
      <w:kern w:val="2"/>
      <w:sz w:val="22"/>
      <w:szCs w:val="22"/>
      <w:lang w:val="en-US" w:eastAsia="zh-CN" w:bidi="ar-SA"/>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lang w:val="en-US" w:eastAsia="zh-CN" w:bidi="ar-SA"/>
    </w:rPr>
  </w:style>
  <w:style w:type="paragraph" w:styleId="21">
    <w:name w:val="annotation subject"/>
    <w:basedOn w:val="8"/>
    <w:next w:val="8"/>
    <w:link w:val="41"/>
    <w:autoRedefine/>
    <w:qFormat/>
    <w:uiPriority w:val="0"/>
    <w:rPr>
      <w:b/>
      <w:bCs/>
    </w:rPr>
  </w:style>
  <w:style w:type="paragraph" w:styleId="22">
    <w:name w:val="Body Text First Indent 2"/>
    <w:basedOn w:val="1"/>
    <w:next w:val="1"/>
    <w:qFormat/>
    <w:uiPriority w:val="0"/>
    <w:pPr>
      <w:autoSpaceDE w:val="0"/>
      <w:autoSpaceDN w:val="0"/>
      <w:spacing w:after="120" w:afterLines="0" w:line="360" w:lineRule="auto"/>
      <w:ind w:left="420" w:leftChars="200" w:firstLine="420" w:firstLineChars="200"/>
    </w:pPr>
    <w:rPr>
      <w:sz w:val="21"/>
      <w:szCs w:val="24"/>
    </w:rPr>
  </w:style>
  <w:style w:type="table" w:styleId="24">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6">
    <w:name w:val="Strong"/>
    <w:basedOn w:val="25"/>
    <w:autoRedefine/>
    <w:qFormat/>
    <w:uiPriority w:val="0"/>
    <w:rPr>
      <w:b/>
    </w:rPr>
  </w:style>
  <w:style w:type="character" w:styleId="27">
    <w:name w:val="page number"/>
    <w:autoRedefine/>
    <w:qFormat/>
    <w:uiPriority w:val="0"/>
  </w:style>
  <w:style w:type="character" w:styleId="28">
    <w:name w:val="FollowedHyperlink"/>
    <w:basedOn w:val="25"/>
    <w:autoRedefine/>
    <w:qFormat/>
    <w:uiPriority w:val="0"/>
    <w:rPr>
      <w:rFonts w:hint="eastAsia" w:ascii="微软雅黑" w:hAnsi="微软雅黑" w:eastAsia="微软雅黑" w:cs="微软雅黑"/>
      <w:color w:val="02396F"/>
      <w:u w:val="single"/>
    </w:rPr>
  </w:style>
  <w:style w:type="character" w:styleId="29">
    <w:name w:val="Emphasis"/>
    <w:basedOn w:val="25"/>
    <w:autoRedefine/>
    <w:qFormat/>
    <w:uiPriority w:val="0"/>
    <w:rPr>
      <w:i/>
    </w:rPr>
  </w:style>
  <w:style w:type="character" w:styleId="30">
    <w:name w:val="Hyperlink"/>
    <w:autoRedefine/>
    <w:qFormat/>
    <w:uiPriority w:val="0"/>
    <w:rPr>
      <w:color w:val="0000FF"/>
      <w:u w:val="single"/>
    </w:rPr>
  </w:style>
  <w:style w:type="character" w:styleId="31">
    <w:name w:val="annotation reference"/>
    <w:autoRedefine/>
    <w:qFormat/>
    <w:uiPriority w:val="0"/>
    <w:rPr>
      <w:sz w:val="21"/>
      <w:szCs w:val="21"/>
    </w:rPr>
  </w:style>
  <w:style w:type="character" w:customStyle="1" w:styleId="32">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3">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lang w:val="en-US" w:eastAsia="zh-CN" w:bidi="ar-SA"/>
    </w:rPr>
  </w:style>
  <w:style w:type="paragraph" w:customStyle="1" w:styleId="34">
    <w:name w:val="正文缩进1"/>
    <w:next w:val="11"/>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5">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6">
    <w:name w:val="List Paragraph"/>
    <w:basedOn w:val="1"/>
    <w:autoRedefine/>
    <w:qFormat/>
    <w:uiPriority w:val="34"/>
    <w:pPr>
      <w:ind w:firstLine="420" w:firstLineChars="200"/>
    </w:pPr>
  </w:style>
  <w:style w:type="paragraph" w:customStyle="1" w:styleId="37">
    <w:name w:val="表格文字"/>
    <w:autoRedefine/>
    <w:qFormat/>
    <w:uiPriority w:val="0"/>
    <w:pPr>
      <w:widowControl w:val="0"/>
      <w:adjustRightInd w:val="0"/>
      <w:spacing w:line="420" w:lineRule="atLeast"/>
      <w:textAlignment w:val="baseline"/>
    </w:pPr>
    <w:rPr>
      <w:rFonts w:ascii="Times New Roman" w:hAnsi="Times New Roman" w:eastAsia="宋体" w:cs="Times New Roman"/>
      <w:sz w:val="21"/>
      <w:szCs w:val="24"/>
      <w:lang w:val="en-US" w:eastAsia="zh-CN" w:bidi="ar-SA"/>
    </w:rPr>
  </w:style>
  <w:style w:type="paragraph" w:customStyle="1" w:styleId="38">
    <w:name w:val="正文图表"/>
    <w:autoRedefine/>
    <w:qFormat/>
    <w:uiPriority w:val="0"/>
    <w:pPr>
      <w:jc w:val="center"/>
    </w:pPr>
    <w:rPr>
      <w:rFonts w:ascii="宋体" w:hAnsi="宋体" w:eastAsia="宋体" w:cs="Times New Roman"/>
      <w:color w:val="000000"/>
      <w:sz w:val="21"/>
      <w:szCs w:val="21"/>
      <w:lang w:val="en-US" w:eastAsia="zh-CN" w:bidi="ar-SA"/>
    </w:rPr>
  </w:style>
  <w:style w:type="paragraph" w:customStyle="1" w:styleId="39">
    <w:name w:val="BodyText"/>
    <w:basedOn w:val="1"/>
    <w:autoRedefine/>
    <w:qFormat/>
    <w:uiPriority w:val="0"/>
    <w:pPr>
      <w:spacing w:line="380" w:lineRule="exact"/>
      <w:textAlignment w:val="baseline"/>
    </w:pPr>
    <w:rPr>
      <w:sz w:val="24"/>
    </w:rPr>
  </w:style>
  <w:style w:type="character" w:customStyle="1" w:styleId="40">
    <w:name w:val="批注文字 字符"/>
    <w:basedOn w:val="25"/>
    <w:link w:val="8"/>
    <w:autoRedefine/>
    <w:qFormat/>
    <w:uiPriority w:val="0"/>
    <w:rPr>
      <w:kern w:val="2"/>
      <w:sz w:val="21"/>
      <w:szCs w:val="24"/>
    </w:rPr>
  </w:style>
  <w:style w:type="character" w:customStyle="1" w:styleId="41">
    <w:name w:val="批注主题 字符"/>
    <w:basedOn w:val="40"/>
    <w:link w:val="21"/>
    <w:autoRedefine/>
    <w:qFormat/>
    <w:uiPriority w:val="0"/>
    <w:rPr>
      <w:b/>
      <w:bCs/>
      <w:kern w:val="2"/>
      <w:sz w:val="21"/>
      <w:szCs w:val="24"/>
    </w:rPr>
  </w:style>
  <w:style w:type="character" w:customStyle="1" w:styleId="42">
    <w:name w:val="纯文本 字符"/>
    <w:link w:val="13"/>
    <w:autoRedefine/>
    <w:qFormat/>
    <w:uiPriority w:val="0"/>
    <w:rPr>
      <w:rFonts w:ascii="宋体" w:hAnsi="Courier New"/>
      <w:kern w:val="2"/>
      <w:sz w:val="21"/>
    </w:rPr>
  </w:style>
  <w:style w:type="paragraph" w:customStyle="1" w:styleId="43">
    <w:name w:val="Table Text"/>
    <w:basedOn w:val="1"/>
    <w:autoRedefine/>
    <w:semiHidden/>
    <w:qFormat/>
    <w:uiPriority w:val="0"/>
    <w:rPr>
      <w:rFonts w:ascii="宋体" w:hAnsi="宋体" w:eastAsia="宋体" w:cs="宋体"/>
      <w:sz w:val="21"/>
      <w:szCs w:val="21"/>
      <w:lang w:val="en-US" w:eastAsia="en-US" w:bidi="ar-SA"/>
    </w:rPr>
  </w:style>
  <w:style w:type="paragraph" w:customStyle="1" w:styleId="44">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font51"/>
    <w:autoRedefine/>
    <w:qFormat/>
    <w:uiPriority w:val="0"/>
    <w:rPr>
      <w:rFonts w:hint="default" w:ascii="Times New Roman" w:hAnsi="Times New Roman" w:eastAsia="宋体" w:cs="Times New Roman"/>
      <w:b/>
      <w:color w:val="000000"/>
      <w:sz w:val="21"/>
      <w:szCs w:val="21"/>
      <w:u w:val="none"/>
    </w:rPr>
  </w:style>
  <w:style w:type="character" w:customStyle="1" w:styleId="46">
    <w:name w:val="NormalCharacter"/>
    <w:autoRedefine/>
    <w:qFormat/>
    <w:uiPriority w:val="0"/>
  </w:style>
  <w:style w:type="table" w:customStyle="1" w:styleId="4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E8F44-31E2-44E7-89D0-00E36451D9BF}">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 Ltd.</Company>
  <Pages>87</Pages>
  <Words>54538</Words>
  <Characters>57226</Characters>
  <Lines>463</Lines>
  <Paragraphs>130</Paragraphs>
  <TotalTime>20</TotalTime>
  <ScaleCrop>false</ScaleCrop>
  <LinksUpToDate>false</LinksUpToDate>
  <CharactersWithSpaces>62083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2026-03-04T06:09:00Z</dcterms:created>
  <dc:creator>Administrator</dc:creator>
  <cp:lastModifiedBy>Ц</cp:lastModifiedBy>
  <cp:lastPrinted>2026-02-13T09:00:00Z</cp:lastPrinted>
  <dcterms:modified xsi:type="dcterms:W3CDTF">2026-04-27T07:50:14Z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45C760C9EA964A72A184AC7EBDE5628E_13</vt:lpwstr>
  </property>
  <property fmtid="{D5CDD505-2E9C-101B-9397-08002B2CF9AE}" pid="4" name="KSOTemplateDocerSaveRecord">
    <vt:lpwstr>eyJoZGlkIjoiYTk5NDJjYjBmZDQ0ZDg0NzcwMDEwODZjNmEzMjQxOGMiLCJ1c2VySWQiOiIxMTQ4NzM2NjUyIn0=</vt:lpwstr>
  </property>
</Properties>
</file>