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6B73F">
      <w:pPr>
        <w:spacing w:before="333" w:beforeLines="100" w:after="166" w:afterLines="50"/>
        <w:jc w:val="left"/>
        <w:rPr>
          <w:rFonts w:hint="eastAsia" w:ascii="仿宋" w:hAnsi="仿宋" w:eastAsia="仿宋" w:cs="仿宋"/>
          <w:color w:val="auto"/>
          <w:sz w:val="52"/>
          <w:szCs w:val="52"/>
          <w:highlight w:val="none"/>
        </w:rPr>
      </w:pPr>
      <w:bookmarkStart w:id="0" w:name="_Toc27979"/>
      <w:r>
        <w:rPr>
          <w:rFonts w:hint="eastAsia" w:ascii="仿宋" w:hAnsi="仿宋" w:eastAsia="仿宋" w:cs="仿宋"/>
          <w:color w:val="auto"/>
          <w:sz w:val="30"/>
          <w:szCs w:val="30"/>
          <w:highlight w:val="none"/>
        </w:rPr>
        <w:t>服务类</w:t>
      </w:r>
    </w:p>
    <w:p w14:paraId="6D24C789">
      <w:pPr>
        <w:spacing w:before="333" w:beforeLines="100" w:after="166" w:afterLines="50"/>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drawing>
          <wp:inline distT="0" distB="0" distL="114300" distR="114300">
            <wp:extent cx="893445" cy="932815"/>
            <wp:effectExtent l="0" t="0" r="1905" b="635"/>
            <wp:docPr id="10"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科文名片"/>
                    <pic:cNvPicPr>
                      <a:picLocks noChangeAspect="1"/>
                    </pic:cNvPicPr>
                  </pic:nvPicPr>
                  <pic:blipFill>
                    <a:blip r:embed="rId22"/>
                    <a:stretch>
                      <a:fillRect/>
                    </a:stretch>
                  </pic:blipFill>
                  <pic:spPr>
                    <a:xfrm>
                      <a:off x="0" y="0"/>
                      <a:ext cx="893445" cy="932815"/>
                    </a:xfrm>
                    <a:prstGeom prst="rect">
                      <a:avLst/>
                    </a:prstGeom>
                    <a:noFill/>
                    <a:ln>
                      <a:noFill/>
                    </a:ln>
                  </pic:spPr>
                </pic:pic>
              </a:graphicData>
            </a:graphic>
          </wp:inline>
        </w:drawing>
      </w:r>
    </w:p>
    <w:p w14:paraId="5E04C4AA">
      <w:pPr>
        <w:spacing w:before="333" w:beforeLines="100" w:after="166" w:afterLines="50"/>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581660</wp:posOffset>
                </wp:positionV>
                <wp:extent cx="4855210" cy="12700"/>
                <wp:effectExtent l="0" t="6350" r="6350" b="11430"/>
                <wp:wrapNone/>
                <wp:docPr id="7" name="直接连接符 7"/>
                <wp:cNvGraphicFramePr/>
                <a:graphic xmlns:a="http://schemas.openxmlformats.org/drawingml/2006/main">
                  <a:graphicData uri="http://schemas.microsoft.com/office/word/2010/wordprocessingShape">
                    <wps:wsp>
                      <wps:cNvCnPr/>
                      <wps:spPr>
                        <a:xfrm flipV="1">
                          <a:off x="0" y="0"/>
                          <a:ext cx="4855210" cy="1270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30.75pt;margin-top:45.8pt;height:1pt;width:382.3pt;z-index:251662336;mso-width-relative:page;mso-height-relative:page;" filled="f" stroked="t" coordsize="21600,21600" o:gfxdata="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jDlm1wAAAAgBAAAPAAAAAAAAAAEAIAAAACIAAABkcnMvZG93bnJldi54&#10;bWxQSwECFAAUAAAACACHTuJAUaCRIfsBAAD1AwAADgAAAAAAAAABACAAAAAmAQAAZHJzL2Uyb0Rv&#10;Yy54bWxQSwUGAAAAAAYABgBZAQAAkwUAAAAA&#10;">
                <v:fill on="f" focussize="0,0"/>
                <v:stroke weight="1pt" color="#000000" joinstyle="round"/>
                <v:imagedata o:title=""/>
                <o:lock v:ext="edit" aspectratio="f"/>
              </v:line>
            </w:pict>
          </mc:Fallback>
        </mc:AlternateContent>
      </w:r>
      <w:r>
        <w:rPr>
          <w:rFonts w:hint="eastAsia" w:ascii="仿宋" w:hAnsi="仿宋" w:eastAsia="仿宋" w:cs="仿宋"/>
          <w:color w:val="auto"/>
          <w:sz w:val="52"/>
          <w:szCs w:val="52"/>
          <w:highlight w:val="none"/>
        </w:rPr>
        <w:t>广 西 科 文 招 标 有 限 公 司</w:t>
      </w:r>
    </w:p>
    <w:p w14:paraId="31547BC1">
      <w:pPr>
        <w:spacing w:before="333" w:beforeLines="100" w:after="166" w:afterLines="50" w:line="600" w:lineRule="exact"/>
        <w:ind w:firstLine="1040"/>
        <w:jc w:val="center"/>
        <w:rPr>
          <w:rFonts w:hint="eastAsia" w:ascii="仿宋" w:hAnsi="仿宋" w:eastAsia="仿宋" w:cs="仿宋"/>
          <w:color w:val="auto"/>
          <w:sz w:val="52"/>
          <w:szCs w:val="52"/>
          <w:highlight w:val="none"/>
        </w:rPr>
      </w:pPr>
    </w:p>
    <w:p w14:paraId="6EF85E6D">
      <w:pPr>
        <w:snapToGrid w:val="0"/>
        <w:spacing w:before="166" w:beforeLines="50" w:line="360" w:lineRule="auto"/>
        <w:ind w:firstLine="1200" w:firstLineChars="100"/>
        <w:rPr>
          <w:rFonts w:hint="eastAsia" w:ascii="仿宋" w:hAnsi="仿宋" w:eastAsia="仿宋" w:cs="仿宋"/>
          <w:color w:val="auto"/>
          <w:sz w:val="72"/>
          <w:szCs w:val="72"/>
          <w:highlight w:val="none"/>
        </w:rPr>
      </w:pPr>
      <w:r>
        <w:rPr>
          <w:rFonts w:hint="eastAsia" w:ascii="仿宋" w:hAnsi="仿宋" w:eastAsia="仿宋" w:cs="仿宋"/>
          <w:color w:val="auto"/>
          <w:sz w:val="120"/>
          <w:szCs w:val="120"/>
          <w:highlight w:val="none"/>
        </w:rPr>
        <w:t>招 标 文 件</w:t>
      </w:r>
    </w:p>
    <w:p w14:paraId="64189A8B">
      <w:pPr>
        <w:snapToGrid w:val="0"/>
        <w:spacing w:before="166" w:beforeLines="50" w:line="360" w:lineRule="auto"/>
        <w:jc w:val="center"/>
        <w:rPr>
          <w:rFonts w:hint="eastAsia" w:ascii="仿宋" w:hAnsi="仿宋" w:eastAsia="仿宋" w:cs="仿宋"/>
          <w:color w:val="auto"/>
          <w:sz w:val="30"/>
          <w:szCs w:val="72"/>
          <w:highlight w:val="none"/>
        </w:rPr>
      </w:pPr>
      <w:r>
        <w:rPr>
          <w:rFonts w:hint="eastAsia" w:ascii="仿宋" w:hAnsi="仿宋" w:eastAsia="仿宋" w:cs="仿宋"/>
          <w:b/>
          <w:color w:val="auto"/>
          <w:sz w:val="24"/>
          <w:highlight w:val="none"/>
        </w:rPr>
        <w:t>（全流程电子化采购）</w:t>
      </w:r>
    </w:p>
    <w:p w14:paraId="6ACBD9AA">
      <w:pPr>
        <w:pStyle w:val="27"/>
        <w:ind w:firstLine="361"/>
        <w:rPr>
          <w:rFonts w:hint="eastAsia" w:ascii="仿宋" w:hAnsi="仿宋" w:eastAsia="仿宋" w:cs="仿宋"/>
          <w:color w:val="auto"/>
          <w:highlight w:val="none"/>
        </w:rPr>
      </w:pPr>
    </w:p>
    <w:p w14:paraId="4975C479">
      <w:pPr>
        <w:snapToGrid w:val="0"/>
        <w:spacing w:line="360" w:lineRule="auto"/>
        <w:ind w:firstLine="0" w:firstLineChars="0"/>
        <w:jc w:val="center"/>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项目名称：</w:t>
      </w:r>
      <w:r>
        <w:rPr>
          <w:rFonts w:hint="eastAsia" w:ascii="仿宋" w:hAnsi="仿宋" w:eastAsia="仿宋" w:cs="仿宋"/>
          <w:b/>
          <w:bCs/>
          <w:color w:val="auto"/>
          <w:w w:val="95"/>
          <w:sz w:val="30"/>
          <w:szCs w:val="30"/>
          <w:highlight w:val="none"/>
          <w:lang w:eastAsia="zh-CN"/>
        </w:rPr>
        <w:t>全区卫星遥感数据统筹获取与处理（2026年优于1米分辨率卫星影像和0.3米分辨率立体卫星遥感影像）</w:t>
      </w:r>
    </w:p>
    <w:p w14:paraId="17EA066F">
      <w:pPr>
        <w:snapToGrid w:val="0"/>
        <w:spacing w:line="360" w:lineRule="auto"/>
        <w:ind w:firstLine="2106" w:firstLineChars="736"/>
        <w:jc w:val="left"/>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项目编号：</w:t>
      </w:r>
      <w:r>
        <w:rPr>
          <w:rFonts w:hint="eastAsia" w:ascii="仿宋" w:hAnsi="仿宋" w:eastAsia="仿宋" w:cs="仿宋"/>
          <w:b/>
          <w:bCs/>
          <w:color w:val="auto"/>
          <w:w w:val="95"/>
          <w:sz w:val="30"/>
          <w:szCs w:val="30"/>
          <w:highlight w:val="none"/>
          <w:lang w:eastAsia="zh-CN"/>
        </w:rPr>
        <w:t>GXZC2026-G3-001277-KWZB</w:t>
      </w:r>
    </w:p>
    <w:p w14:paraId="4A80BAAA">
      <w:pPr>
        <w:snapToGrid w:val="0"/>
        <w:spacing w:line="360" w:lineRule="auto"/>
        <w:ind w:firstLine="2106" w:firstLineChars="736"/>
        <w:jc w:val="left"/>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采购人： 广西壮族自治区自然资源厅</w:t>
      </w:r>
    </w:p>
    <w:p w14:paraId="1C58AE5D">
      <w:pPr>
        <w:snapToGrid w:val="0"/>
        <w:spacing w:line="360" w:lineRule="auto"/>
        <w:ind w:firstLine="2106" w:firstLineChars="736"/>
        <w:jc w:val="left"/>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采购代理机构：广西科文招标有限公司</w:t>
      </w:r>
    </w:p>
    <w:p w14:paraId="662F164B">
      <w:pPr>
        <w:pStyle w:val="22"/>
        <w:snapToGrid w:val="0"/>
        <w:spacing w:line="360" w:lineRule="auto"/>
        <w:ind w:firstLine="1125" w:firstLineChars="393"/>
        <w:rPr>
          <w:rFonts w:hint="eastAsia" w:ascii="仿宋" w:hAnsi="仿宋" w:eastAsia="仿宋" w:cs="仿宋"/>
          <w:b/>
          <w:bCs/>
          <w:color w:val="auto"/>
          <w:w w:val="95"/>
          <w:sz w:val="30"/>
          <w:szCs w:val="30"/>
          <w:highlight w:val="none"/>
        </w:rPr>
      </w:pPr>
    </w:p>
    <w:p w14:paraId="31903BFE">
      <w:pPr>
        <w:pStyle w:val="22"/>
        <w:snapToGrid w:val="0"/>
        <w:spacing w:line="360" w:lineRule="auto"/>
        <w:ind w:firstLine="1125" w:firstLineChars="393"/>
        <w:rPr>
          <w:rFonts w:hint="eastAsia" w:ascii="仿宋" w:hAnsi="仿宋" w:eastAsia="仿宋" w:cs="仿宋"/>
          <w:b/>
          <w:bCs/>
          <w:color w:val="auto"/>
          <w:w w:val="95"/>
          <w:sz w:val="30"/>
          <w:szCs w:val="30"/>
          <w:highlight w:val="none"/>
        </w:rPr>
      </w:pPr>
    </w:p>
    <w:p w14:paraId="00CB85C4">
      <w:pPr>
        <w:pStyle w:val="22"/>
        <w:snapToGrid w:val="0"/>
        <w:spacing w:line="360" w:lineRule="auto"/>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lang w:eastAsia="zh-CN"/>
        </w:rPr>
        <w:t>2026年</w:t>
      </w:r>
      <w:r>
        <w:rPr>
          <w:rFonts w:hint="eastAsia" w:ascii="仿宋" w:hAnsi="仿宋" w:eastAsia="仿宋" w:cs="仿宋"/>
          <w:b/>
          <w:bCs/>
          <w:color w:val="auto"/>
          <w:w w:val="95"/>
          <w:sz w:val="30"/>
          <w:szCs w:val="30"/>
          <w:highlight w:val="none"/>
          <w:lang w:val="en-US" w:eastAsia="zh-CN"/>
        </w:rPr>
        <w:t>5</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18</w:t>
      </w:r>
      <w:r>
        <w:rPr>
          <w:rFonts w:hint="eastAsia" w:ascii="仿宋" w:hAnsi="仿宋" w:eastAsia="仿宋" w:cs="仿宋"/>
          <w:b/>
          <w:bCs/>
          <w:color w:val="auto"/>
          <w:w w:val="95"/>
          <w:sz w:val="30"/>
          <w:szCs w:val="30"/>
          <w:highlight w:val="none"/>
        </w:rPr>
        <w:t>日</w:t>
      </w:r>
    </w:p>
    <w:p w14:paraId="052EA8F9">
      <w:pPr>
        <w:pStyle w:val="22"/>
        <w:spacing w:before="120" w:after="120" w:line="360" w:lineRule="auto"/>
        <w:ind w:firstLine="402"/>
        <w:jc w:val="center"/>
        <w:rPr>
          <w:rFonts w:hint="eastAsia" w:ascii="仿宋" w:hAnsi="仿宋" w:eastAsia="仿宋" w:cs="仿宋"/>
          <w:color w:val="auto"/>
          <w:highlight w:val="none"/>
        </w:rPr>
      </w:pPr>
    </w:p>
    <w:p w14:paraId="05C52DF9">
      <w:pPr>
        <w:tabs>
          <w:tab w:val="right" w:leader="dot" w:pos="8789"/>
        </w:tabs>
        <w:snapToGrid w:val="0"/>
        <w:spacing w:line="480" w:lineRule="auto"/>
        <w:ind w:firstLine="482"/>
        <w:rPr>
          <w:rFonts w:hint="eastAsia" w:ascii="仿宋" w:hAnsi="仿宋" w:eastAsia="仿宋" w:cs="仿宋"/>
          <w:color w:val="auto"/>
          <w:sz w:val="24"/>
          <w:highlight w:val="none"/>
        </w:rPr>
      </w:pPr>
    </w:p>
    <w:p w14:paraId="0AC536BF">
      <w:pPr>
        <w:spacing w:before="166" w:beforeLines="50" w:line="480" w:lineRule="exact"/>
        <w:ind w:firstLine="602"/>
        <w:rPr>
          <w:rFonts w:hint="eastAsia" w:ascii="仿宋" w:hAnsi="仿宋" w:eastAsia="仿宋" w:cs="仿宋"/>
          <w:color w:val="auto"/>
          <w:sz w:val="30"/>
          <w:highlight w:val="none"/>
        </w:rPr>
      </w:pPr>
    </w:p>
    <w:p w14:paraId="7C6CDA19">
      <w:pPr>
        <w:ind w:firstLine="482"/>
        <w:rPr>
          <w:rFonts w:hint="eastAsia" w:ascii="仿宋" w:hAnsi="仿宋" w:eastAsia="仿宋" w:cs="仿宋"/>
          <w:color w:val="auto"/>
          <w:highlight w:val="none"/>
        </w:rPr>
      </w:pPr>
    </w:p>
    <w:sdt>
      <w:sdtPr>
        <w:rPr>
          <w:rFonts w:ascii="宋体" w:hAnsi="宋体" w:eastAsia="宋体" w:cs="Times New Roman"/>
          <w:color w:val="auto"/>
          <w:kern w:val="2"/>
          <w:sz w:val="21"/>
          <w:szCs w:val="24"/>
          <w:highlight w:val="none"/>
          <w:lang w:val="en-US" w:eastAsia="zh-CN" w:bidi="ar-SA"/>
        </w:rPr>
        <w:id w:val="147465437"/>
        <w15:color w:val="DBDBDB"/>
        <w:docPartObj>
          <w:docPartGallery w:val="Table of Contents"/>
          <w:docPartUnique/>
        </w:docPartObj>
      </w:sdtPr>
      <w:sdtEndPr>
        <w:rPr>
          <w:rFonts w:hint="eastAsia" w:ascii="仿宋" w:hAnsi="仿宋" w:eastAsia="仿宋" w:cs="仿宋"/>
          <w:color w:val="auto"/>
          <w:kern w:val="2"/>
          <w:sz w:val="21"/>
          <w:szCs w:val="24"/>
          <w:highlight w:val="none"/>
          <w:lang w:val="en-US" w:eastAsia="zh-CN" w:bidi="ar-SA"/>
        </w:rPr>
      </w:sdtEndPr>
      <w:sdtContent>
        <w:p w14:paraId="74103CEE">
          <w:pPr>
            <w:spacing w:before="0" w:beforeLines="0" w:after="0" w:afterLines="0" w:line="240" w:lineRule="auto"/>
            <w:ind w:left="0" w:leftChars="0" w:right="0" w:rightChars="0" w:firstLine="0" w:firstLineChars="0"/>
            <w:jc w:val="center"/>
            <w:rPr>
              <w:rFonts w:hint="eastAsia" w:ascii="仿宋" w:hAnsi="仿宋" w:eastAsia="仿宋" w:cs="仿宋"/>
              <w:color w:val="auto"/>
              <w:sz w:val="44"/>
              <w:szCs w:val="52"/>
              <w:highlight w:val="none"/>
            </w:rPr>
          </w:pPr>
          <w:r>
            <w:rPr>
              <w:rFonts w:hint="eastAsia" w:ascii="仿宋" w:hAnsi="仿宋" w:eastAsia="仿宋" w:cs="仿宋"/>
              <w:color w:val="auto"/>
              <w:sz w:val="44"/>
              <w:szCs w:val="52"/>
              <w:highlight w:val="none"/>
            </w:rPr>
            <w:t>目</w:t>
          </w:r>
          <w:r>
            <w:rPr>
              <w:rFonts w:hint="eastAsia" w:ascii="仿宋" w:hAnsi="仿宋" w:eastAsia="仿宋" w:cs="仿宋"/>
              <w:color w:val="auto"/>
              <w:sz w:val="44"/>
              <w:szCs w:val="52"/>
              <w:highlight w:val="none"/>
              <w:lang w:val="en-US" w:eastAsia="zh-CN"/>
            </w:rPr>
            <w:t xml:space="preserve"> </w:t>
          </w:r>
          <w:r>
            <w:rPr>
              <w:rFonts w:hint="eastAsia" w:ascii="仿宋" w:hAnsi="仿宋" w:eastAsia="仿宋" w:cs="仿宋"/>
              <w:color w:val="auto"/>
              <w:sz w:val="44"/>
              <w:szCs w:val="52"/>
              <w:highlight w:val="none"/>
            </w:rPr>
            <w:t>录</w:t>
          </w:r>
        </w:p>
        <w:p w14:paraId="5C09FD88">
          <w:pPr>
            <w:pStyle w:val="27"/>
            <w:rPr>
              <w:rFonts w:hint="eastAsia"/>
              <w:color w:val="auto"/>
              <w:highlight w:val="none"/>
            </w:rPr>
          </w:pPr>
        </w:p>
        <w:p w14:paraId="45CBE3E3">
          <w:pPr>
            <w:pStyle w:val="29"/>
            <w:tabs>
              <w:tab w:val="right" w:leader="hyphen" w:pos="9040"/>
            </w:tabs>
            <w:rPr>
              <w:rFonts w:hint="eastAsia" w:ascii="仿宋" w:hAnsi="仿宋" w:eastAsia="仿宋" w:cs="仿宋"/>
              <w:color w:val="auto"/>
              <w:sz w:val="32"/>
              <w:szCs w:val="40"/>
              <w:highlight w:val="none"/>
            </w:rPr>
          </w:pPr>
          <w:r>
            <w:rPr>
              <w:rFonts w:hint="eastAsia" w:ascii="仿宋" w:hAnsi="仿宋" w:eastAsia="仿宋" w:cs="仿宋"/>
              <w:color w:val="auto"/>
              <w:sz w:val="44"/>
              <w:szCs w:val="40"/>
              <w:highlight w:val="none"/>
            </w:rPr>
            <w:fldChar w:fldCharType="begin"/>
          </w:r>
          <w:r>
            <w:rPr>
              <w:rFonts w:hint="eastAsia" w:ascii="仿宋" w:hAnsi="仿宋" w:eastAsia="仿宋" w:cs="仿宋"/>
              <w:color w:val="auto"/>
              <w:sz w:val="44"/>
              <w:szCs w:val="40"/>
              <w:highlight w:val="none"/>
            </w:rPr>
            <w:instrText xml:space="preserve">TOC \o "1-1" \h \u </w:instrText>
          </w:r>
          <w:r>
            <w:rPr>
              <w:rFonts w:hint="eastAsia" w:ascii="仿宋" w:hAnsi="仿宋" w:eastAsia="仿宋" w:cs="仿宋"/>
              <w:color w:val="auto"/>
              <w:sz w:val="44"/>
              <w:szCs w:val="40"/>
              <w:highlight w:val="none"/>
            </w:rPr>
            <w:fldChar w:fldCharType="separate"/>
          </w: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HYPERLINK \l _Toc13509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第一章 招标公告</w:t>
          </w:r>
          <w:r>
            <w:rPr>
              <w:rFonts w:hint="eastAsia" w:ascii="仿宋" w:hAnsi="仿宋" w:eastAsia="仿宋" w:cs="仿宋"/>
              <w:color w:val="auto"/>
              <w:sz w:val="32"/>
              <w:szCs w:val="40"/>
              <w:highlight w:val="none"/>
            </w:rPr>
            <w:tab/>
          </w: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PAGEREF _Toc13509 \h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1</w:t>
          </w:r>
          <w:r>
            <w:rPr>
              <w:rFonts w:hint="eastAsia" w:ascii="仿宋" w:hAnsi="仿宋" w:eastAsia="仿宋" w:cs="仿宋"/>
              <w:color w:val="auto"/>
              <w:sz w:val="32"/>
              <w:szCs w:val="40"/>
              <w:highlight w:val="none"/>
            </w:rPr>
            <w:fldChar w:fldCharType="end"/>
          </w:r>
          <w:r>
            <w:rPr>
              <w:rFonts w:hint="eastAsia" w:ascii="仿宋" w:hAnsi="仿宋" w:eastAsia="仿宋" w:cs="仿宋"/>
              <w:color w:val="auto"/>
              <w:sz w:val="32"/>
              <w:szCs w:val="40"/>
              <w:highlight w:val="none"/>
            </w:rPr>
            <w:fldChar w:fldCharType="end"/>
          </w:r>
        </w:p>
        <w:p w14:paraId="23FA1217">
          <w:pPr>
            <w:pStyle w:val="29"/>
            <w:tabs>
              <w:tab w:val="right" w:leader="hyphen" w:pos="9040"/>
            </w:tabs>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HYPERLINK \l _Toc16016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第二章  采购需求</w:t>
          </w:r>
          <w:r>
            <w:rPr>
              <w:rFonts w:hint="eastAsia" w:ascii="仿宋" w:hAnsi="仿宋" w:eastAsia="仿宋" w:cs="仿宋"/>
              <w:color w:val="auto"/>
              <w:sz w:val="32"/>
              <w:szCs w:val="40"/>
              <w:highlight w:val="none"/>
            </w:rPr>
            <w:tab/>
          </w: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PAGEREF _Toc16016 \h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6</w:t>
          </w:r>
          <w:r>
            <w:rPr>
              <w:rFonts w:hint="eastAsia" w:ascii="仿宋" w:hAnsi="仿宋" w:eastAsia="仿宋" w:cs="仿宋"/>
              <w:color w:val="auto"/>
              <w:sz w:val="32"/>
              <w:szCs w:val="40"/>
              <w:highlight w:val="none"/>
            </w:rPr>
            <w:fldChar w:fldCharType="end"/>
          </w:r>
          <w:r>
            <w:rPr>
              <w:rFonts w:hint="eastAsia" w:ascii="仿宋" w:hAnsi="仿宋" w:eastAsia="仿宋" w:cs="仿宋"/>
              <w:color w:val="auto"/>
              <w:sz w:val="32"/>
              <w:szCs w:val="40"/>
              <w:highlight w:val="none"/>
            </w:rPr>
            <w:fldChar w:fldCharType="end"/>
          </w:r>
        </w:p>
        <w:p w14:paraId="15649911">
          <w:pPr>
            <w:pStyle w:val="29"/>
            <w:tabs>
              <w:tab w:val="right" w:leader="hyphen" w:pos="9040"/>
            </w:tabs>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HYPERLINK \l _Toc7819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第三章  投标人须知</w:t>
          </w:r>
          <w:r>
            <w:rPr>
              <w:rFonts w:hint="eastAsia" w:ascii="仿宋" w:hAnsi="仿宋" w:eastAsia="仿宋" w:cs="仿宋"/>
              <w:color w:val="auto"/>
              <w:sz w:val="32"/>
              <w:szCs w:val="40"/>
              <w:highlight w:val="none"/>
            </w:rPr>
            <w:tab/>
          </w: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PAGEREF _Toc7819 \h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19</w:t>
          </w:r>
          <w:r>
            <w:rPr>
              <w:rFonts w:hint="eastAsia" w:ascii="仿宋" w:hAnsi="仿宋" w:eastAsia="仿宋" w:cs="仿宋"/>
              <w:color w:val="auto"/>
              <w:sz w:val="32"/>
              <w:szCs w:val="40"/>
              <w:highlight w:val="none"/>
            </w:rPr>
            <w:fldChar w:fldCharType="end"/>
          </w:r>
          <w:r>
            <w:rPr>
              <w:rFonts w:hint="eastAsia" w:ascii="仿宋" w:hAnsi="仿宋" w:eastAsia="仿宋" w:cs="仿宋"/>
              <w:color w:val="auto"/>
              <w:sz w:val="32"/>
              <w:szCs w:val="40"/>
              <w:highlight w:val="none"/>
            </w:rPr>
            <w:fldChar w:fldCharType="end"/>
          </w:r>
        </w:p>
        <w:p w14:paraId="4DC01D66">
          <w:pPr>
            <w:pStyle w:val="29"/>
            <w:tabs>
              <w:tab w:val="right" w:leader="hyphen" w:pos="9040"/>
            </w:tabs>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HYPERLINK \l _Toc23976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第四章  评标方法及评标标准</w:t>
          </w:r>
          <w:r>
            <w:rPr>
              <w:rFonts w:hint="eastAsia" w:ascii="仿宋" w:hAnsi="仿宋" w:eastAsia="仿宋" w:cs="仿宋"/>
              <w:color w:val="auto"/>
              <w:sz w:val="32"/>
              <w:szCs w:val="40"/>
              <w:highlight w:val="none"/>
            </w:rPr>
            <w:tab/>
          </w: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PAGEREF _Toc23976 \h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45</w:t>
          </w:r>
          <w:r>
            <w:rPr>
              <w:rFonts w:hint="eastAsia" w:ascii="仿宋" w:hAnsi="仿宋" w:eastAsia="仿宋" w:cs="仿宋"/>
              <w:color w:val="auto"/>
              <w:sz w:val="32"/>
              <w:szCs w:val="40"/>
              <w:highlight w:val="none"/>
            </w:rPr>
            <w:fldChar w:fldCharType="end"/>
          </w:r>
          <w:r>
            <w:rPr>
              <w:rFonts w:hint="eastAsia" w:ascii="仿宋" w:hAnsi="仿宋" w:eastAsia="仿宋" w:cs="仿宋"/>
              <w:color w:val="auto"/>
              <w:sz w:val="32"/>
              <w:szCs w:val="40"/>
              <w:highlight w:val="none"/>
            </w:rPr>
            <w:fldChar w:fldCharType="end"/>
          </w:r>
        </w:p>
        <w:p w14:paraId="32FDE248">
          <w:pPr>
            <w:pStyle w:val="29"/>
            <w:tabs>
              <w:tab w:val="right" w:leader="hyphen" w:pos="9040"/>
            </w:tabs>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HYPERLINK \l _Toc2453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第五章  拟签订的合同文本</w:t>
          </w:r>
          <w:r>
            <w:rPr>
              <w:rFonts w:hint="eastAsia" w:ascii="仿宋" w:hAnsi="仿宋" w:eastAsia="仿宋" w:cs="仿宋"/>
              <w:color w:val="auto"/>
              <w:sz w:val="32"/>
              <w:szCs w:val="40"/>
              <w:highlight w:val="none"/>
            </w:rPr>
            <w:tab/>
          </w: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PAGEREF _Toc2453 \h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57</w:t>
          </w:r>
          <w:r>
            <w:rPr>
              <w:rFonts w:hint="eastAsia" w:ascii="仿宋" w:hAnsi="仿宋" w:eastAsia="仿宋" w:cs="仿宋"/>
              <w:color w:val="auto"/>
              <w:sz w:val="32"/>
              <w:szCs w:val="40"/>
              <w:highlight w:val="none"/>
            </w:rPr>
            <w:fldChar w:fldCharType="end"/>
          </w:r>
          <w:r>
            <w:rPr>
              <w:rFonts w:hint="eastAsia" w:ascii="仿宋" w:hAnsi="仿宋" w:eastAsia="仿宋" w:cs="仿宋"/>
              <w:color w:val="auto"/>
              <w:sz w:val="32"/>
              <w:szCs w:val="40"/>
              <w:highlight w:val="none"/>
            </w:rPr>
            <w:fldChar w:fldCharType="end"/>
          </w:r>
        </w:p>
        <w:p w14:paraId="4EE49DBA">
          <w:pPr>
            <w:pStyle w:val="29"/>
            <w:tabs>
              <w:tab w:val="right" w:leader="hyphen" w:pos="9040"/>
            </w:tabs>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HYPERLINK \l _Toc30387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第六章　投标文件格式</w:t>
          </w:r>
          <w:r>
            <w:rPr>
              <w:rFonts w:hint="eastAsia" w:ascii="仿宋" w:hAnsi="仿宋" w:eastAsia="仿宋" w:cs="仿宋"/>
              <w:color w:val="auto"/>
              <w:sz w:val="32"/>
              <w:szCs w:val="40"/>
              <w:highlight w:val="none"/>
            </w:rPr>
            <w:tab/>
          </w:r>
          <w:r>
            <w:rPr>
              <w:rFonts w:hint="eastAsia" w:ascii="仿宋" w:hAnsi="仿宋" w:eastAsia="仿宋" w:cs="仿宋"/>
              <w:color w:val="auto"/>
              <w:sz w:val="32"/>
              <w:szCs w:val="40"/>
              <w:highlight w:val="none"/>
            </w:rPr>
            <w:fldChar w:fldCharType="begin"/>
          </w:r>
          <w:r>
            <w:rPr>
              <w:rFonts w:hint="eastAsia" w:ascii="仿宋" w:hAnsi="仿宋" w:eastAsia="仿宋" w:cs="仿宋"/>
              <w:color w:val="auto"/>
              <w:sz w:val="32"/>
              <w:szCs w:val="40"/>
              <w:highlight w:val="none"/>
            </w:rPr>
            <w:instrText xml:space="preserve"> PAGEREF _Toc30387 \h </w:instrText>
          </w:r>
          <w:r>
            <w:rPr>
              <w:rFonts w:hint="eastAsia" w:ascii="仿宋" w:hAnsi="仿宋" w:eastAsia="仿宋" w:cs="仿宋"/>
              <w:color w:val="auto"/>
              <w:sz w:val="32"/>
              <w:szCs w:val="40"/>
              <w:highlight w:val="none"/>
            </w:rPr>
            <w:fldChar w:fldCharType="separate"/>
          </w:r>
          <w:r>
            <w:rPr>
              <w:rFonts w:hint="eastAsia" w:ascii="仿宋" w:hAnsi="仿宋" w:eastAsia="仿宋" w:cs="仿宋"/>
              <w:color w:val="auto"/>
              <w:sz w:val="32"/>
              <w:szCs w:val="40"/>
              <w:highlight w:val="none"/>
            </w:rPr>
            <w:t>64</w:t>
          </w:r>
          <w:r>
            <w:rPr>
              <w:rFonts w:hint="eastAsia" w:ascii="仿宋" w:hAnsi="仿宋" w:eastAsia="仿宋" w:cs="仿宋"/>
              <w:color w:val="auto"/>
              <w:sz w:val="32"/>
              <w:szCs w:val="40"/>
              <w:highlight w:val="none"/>
            </w:rPr>
            <w:fldChar w:fldCharType="end"/>
          </w:r>
          <w:r>
            <w:rPr>
              <w:rFonts w:hint="eastAsia" w:ascii="仿宋" w:hAnsi="仿宋" w:eastAsia="仿宋" w:cs="仿宋"/>
              <w:color w:val="auto"/>
              <w:sz w:val="32"/>
              <w:szCs w:val="40"/>
              <w:highlight w:val="none"/>
            </w:rPr>
            <w:fldChar w:fldCharType="end"/>
          </w:r>
        </w:p>
        <w:p w14:paraId="73B3F2DE">
          <w:pPr>
            <w:spacing w:before="166" w:beforeLines="50" w:line="480" w:lineRule="exact"/>
            <w:ind w:firstLine="602"/>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sz w:val="32"/>
              <w:szCs w:val="40"/>
              <w:highlight w:val="none"/>
            </w:rPr>
            <w:fldChar w:fldCharType="end"/>
          </w:r>
        </w:p>
      </w:sdtContent>
    </w:sdt>
    <w:p w14:paraId="5594014A">
      <w:pPr>
        <w:pStyle w:val="27"/>
        <w:rPr>
          <w:rFonts w:hint="eastAsia"/>
          <w:color w:val="auto"/>
          <w:highlight w:val="none"/>
        </w:rPr>
      </w:pPr>
    </w:p>
    <w:p w14:paraId="4DDFA399">
      <w:pPr>
        <w:spacing w:before="166" w:beforeLines="50" w:line="480" w:lineRule="exact"/>
        <w:ind w:firstLine="602"/>
        <w:rPr>
          <w:rFonts w:hint="eastAsia" w:ascii="仿宋" w:hAnsi="仿宋" w:eastAsia="仿宋" w:cs="仿宋"/>
          <w:color w:val="auto"/>
          <w:sz w:val="30"/>
          <w:highlight w:val="none"/>
        </w:rPr>
      </w:pPr>
    </w:p>
    <w:p w14:paraId="226A1662">
      <w:pPr>
        <w:pStyle w:val="16"/>
        <w:rPr>
          <w:rFonts w:hint="eastAsia" w:ascii="仿宋" w:hAnsi="仿宋" w:eastAsia="仿宋" w:cs="仿宋"/>
          <w:color w:val="auto"/>
          <w:highlight w:val="none"/>
        </w:rPr>
      </w:pPr>
      <w:bookmarkStart w:id="1" w:name="_Toc254970630"/>
      <w:bookmarkStart w:id="2" w:name="_Toc254970489"/>
    </w:p>
    <w:p w14:paraId="780B17C5">
      <w:pPr>
        <w:pStyle w:val="2"/>
        <w:keepNext w:val="0"/>
        <w:keepLines w:val="0"/>
        <w:tabs>
          <w:tab w:val="left" w:pos="0"/>
          <w:tab w:val="left" w:pos="3165"/>
          <w:tab w:val="center" w:pos="4153"/>
        </w:tabs>
        <w:autoSpaceDE w:val="0"/>
        <w:autoSpaceDN w:val="0"/>
        <w:adjustRightInd w:val="0"/>
        <w:spacing w:before="120" w:after="0" w:line="360" w:lineRule="auto"/>
        <w:ind w:firstLine="883"/>
        <w:jc w:val="center"/>
        <w:rPr>
          <w:rFonts w:hint="eastAsia" w:ascii="仿宋" w:hAnsi="仿宋" w:eastAsia="仿宋" w:cs="仿宋"/>
          <w:color w:val="auto"/>
          <w:highlight w:val="none"/>
        </w:rPr>
        <w:sectPr>
          <w:footerReference r:id="rId4" w:type="first"/>
          <w:footerReference r:id="rId3" w:type="default"/>
          <w:pgSz w:w="11906" w:h="16838"/>
          <w:pgMar w:top="1417" w:right="1449" w:bottom="1417" w:left="1417" w:header="720" w:footer="720" w:gutter="0"/>
          <w:pgNumType w:start="1"/>
          <w:cols w:space="0" w:num="1"/>
          <w:titlePg/>
          <w:docGrid w:type="lines" w:linePitch="333" w:charSpace="0"/>
        </w:sectPr>
      </w:pPr>
      <w:bookmarkStart w:id="3" w:name="_Toc26956"/>
    </w:p>
    <w:p w14:paraId="5B16205E">
      <w:pPr>
        <w:pStyle w:val="2"/>
        <w:bidi w:val="0"/>
        <w:rPr>
          <w:rFonts w:hint="eastAsia"/>
          <w:color w:val="auto"/>
          <w:highlight w:val="none"/>
        </w:rPr>
      </w:pPr>
      <w:bookmarkStart w:id="4" w:name="_Toc13509"/>
      <w:r>
        <w:rPr>
          <w:rFonts w:hint="eastAsia"/>
          <w:color w:val="auto"/>
          <w:highlight w:val="none"/>
        </w:rPr>
        <w:t>第一章</w:t>
      </w:r>
      <w:bookmarkEnd w:id="1"/>
      <w:bookmarkEnd w:id="2"/>
      <w:bookmarkStart w:id="5" w:name="_Toc28359001"/>
      <w:bookmarkStart w:id="6" w:name="_Toc35393789"/>
      <w:r>
        <w:rPr>
          <w:rFonts w:hint="eastAsia"/>
          <w:color w:val="auto"/>
          <w:highlight w:val="none"/>
        </w:rPr>
        <w:t xml:space="preserve"> 招标公告</w:t>
      </w:r>
      <w:bookmarkEnd w:id="3"/>
      <w:bookmarkEnd w:id="4"/>
      <w:bookmarkEnd w:id="5"/>
      <w:bookmarkEnd w:id="6"/>
    </w:p>
    <w:p w14:paraId="677D75DD">
      <w:pPr>
        <w:pStyle w:val="2"/>
        <w:tabs>
          <w:tab w:val="left" w:pos="0"/>
          <w:tab w:val="left" w:pos="3165"/>
          <w:tab w:val="center" w:pos="4153"/>
        </w:tabs>
        <w:autoSpaceDE w:val="0"/>
        <w:autoSpaceDN w:val="0"/>
        <w:adjustRightInd w:val="0"/>
        <w:spacing w:before="120" w:after="0" w:line="500" w:lineRule="exact"/>
        <w:ind w:firstLine="720"/>
        <w:jc w:val="center"/>
        <w:rPr>
          <w:rFonts w:hint="eastAsia" w:ascii="仿宋" w:hAnsi="仿宋" w:eastAsia="仿宋" w:cs="仿宋"/>
          <w:bCs w:val="0"/>
          <w:color w:val="auto"/>
          <w:kern w:val="2"/>
          <w:sz w:val="36"/>
          <w:szCs w:val="36"/>
          <w:highlight w:val="none"/>
        </w:rPr>
      </w:pPr>
      <w:bookmarkStart w:id="7" w:name="_Toc4780"/>
      <w:r>
        <w:rPr>
          <w:rFonts w:hint="eastAsia" w:ascii="仿宋" w:hAnsi="仿宋" w:eastAsia="仿宋" w:cs="仿宋"/>
          <w:bCs w:val="0"/>
          <w:color w:val="auto"/>
          <w:kern w:val="0"/>
          <w:sz w:val="36"/>
          <w:szCs w:val="36"/>
          <w:highlight w:val="none"/>
        </w:rPr>
        <w:t>广西科文招标有限公司</w:t>
      </w:r>
      <w:r>
        <w:rPr>
          <w:rFonts w:hint="eastAsia" w:ascii="仿宋" w:hAnsi="仿宋" w:eastAsia="仿宋" w:cs="仿宋"/>
          <w:bCs w:val="0"/>
          <w:color w:val="auto"/>
          <w:kern w:val="2"/>
          <w:sz w:val="36"/>
          <w:szCs w:val="36"/>
          <w:highlight w:val="none"/>
          <w:lang w:eastAsia="zh-CN"/>
        </w:rPr>
        <w:t>全区卫星遥感数据统筹获取与处理</w:t>
      </w:r>
      <w:r>
        <w:rPr>
          <w:rFonts w:hint="eastAsia" w:ascii="仿宋" w:hAnsi="仿宋" w:eastAsia="仿宋" w:cs="仿宋"/>
          <w:b/>
          <w:bCs/>
          <w:color w:val="auto"/>
          <w:w w:val="95"/>
          <w:sz w:val="30"/>
          <w:szCs w:val="30"/>
          <w:highlight w:val="none"/>
          <w:lang w:eastAsia="zh-CN"/>
        </w:rPr>
        <w:t>（2026年优于1米分辨率卫星影像和0.3米分辨率立体卫星遥感影像）</w:t>
      </w:r>
      <w:r>
        <w:rPr>
          <w:rFonts w:hint="eastAsia" w:ascii="仿宋" w:hAnsi="仿宋" w:eastAsia="仿宋" w:cs="仿宋"/>
          <w:bCs w:val="0"/>
          <w:color w:val="auto"/>
          <w:kern w:val="2"/>
          <w:sz w:val="36"/>
          <w:szCs w:val="36"/>
          <w:highlight w:val="none"/>
        </w:rPr>
        <w:t>（</w:t>
      </w:r>
      <w:r>
        <w:rPr>
          <w:rFonts w:hint="eastAsia" w:ascii="仿宋" w:hAnsi="仿宋" w:cs="仿宋"/>
          <w:bCs w:val="0"/>
          <w:color w:val="auto"/>
          <w:kern w:val="2"/>
          <w:sz w:val="36"/>
          <w:szCs w:val="36"/>
          <w:highlight w:val="none"/>
          <w:lang w:eastAsia="zh-CN"/>
        </w:rPr>
        <w:t>GXZC2026-G3-001277-KWZB</w:t>
      </w:r>
      <w:r>
        <w:rPr>
          <w:rFonts w:hint="eastAsia" w:ascii="仿宋" w:hAnsi="仿宋" w:eastAsia="仿宋" w:cs="仿宋"/>
          <w:bCs w:val="0"/>
          <w:color w:val="auto"/>
          <w:kern w:val="2"/>
          <w:sz w:val="36"/>
          <w:szCs w:val="36"/>
          <w:highlight w:val="none"/>
        </w:rPr>
        <w:t>）</w:t>
      </w:r>
      <w:bookmarkEnd w:id="7"/>
    </w:p>
    <w:p w14:paraId="5A69FD7C">
      <w:pPr>
        <w:pStyle w:val="2"/>
        <w:tabs>
          <w:tab w:val="left" w:pos="0"/>
          <w:tab w:val="left" w:pos="3165"/>
          <w:tab w:val="center" w:pos="4153"/>
        </w:tabs>
        <w:autoSpaceDE w:val="0"/>
        <w:autoSpaceDN w:val="0"/>
        <w:adjustRightInd w:val="0"/>
        <w:spacing w:before="120" w:after="0" w:line="500" w:lineRule="exact"/>
        <w:ind w:firstLine="720"/>
        <w:jc w:val="center"/>
        <w:rPr>
          <w:rFonts w:hint="eastAsia" w:ascii="仿宋" w:hAnsi="仿宋" w:eastAsia="仿宋" w:cs="仿宋"/>
          <w:color w:val="auto"/>
          <w:szCs w:val="21"/>
          <w:highlight w:val="none"/>
        </w:rPr>
      </w:pPr>
      <w:bookmarkStart w:id="8" w:name="_Toc30005"/>
      <w:r>
        <w:rPr>
          <w:rFonts w:hint="eastAsia" w:ascii="仿宋" w:hAnsi="仿宋" w:eastAsia="仿宋" w:cs="仿宋"/>
          <w:bCs w:val="0"/>
          <w:color w:val="auto"/>
          <w:kern w:val="2"/>
          <w:sz w:val="36"/>
          <w:szCs w:val="36"/>
          <w:highlight w:val="none"/>
        </w:rPr>
        <w:t>公开招标公告</w:t>
      </w:r>
      <w:bookmarkEnd w:id="8"/>
    </w:p>
    <w:p w14:paraId="1FCB2C3B">
      <w:pPr>
        <w:spacing w:line="360" w:lineRule="auto"/>
        <w:ind w:firstLine="482"/>
        <w:rPr>
          <w:rFonts w:hint="eastAsia" w:ascii="仿宋" w:hAnsi="仿宋" w:eastAsia="仿宋" w:cs="仿宋"/>
          <w:color w:val="auto"/>
          <w:szCs w:val="21"/>
          <w:highlight w:val="none"/>
        </w:rPr>
      </w:pPr>
    </w:p>
    <w:p w14:paraId="07CF16E3">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7A25B1A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全区卫星遥感数据统筹获取与处理（2026年优于1米分辨率卫星影像和0.3米分辨率立体卫星遥感影像）</w:t>
      </w:r>
      <w:r>
        <w:rPr>
          <w:rFonts w:hint="eastAsia" w:ascii="仿宋" w:hAnsi="仿宋" w:eastAsia="仿宋" w:cs="仿宋"/>
          <w:color w:val="auto"/>
          <w:sz w:val="24"/>
          <w:highlight w:val="none"/>
        </w:rPr>
        <w:t>招标项目的潜在投标人应在广西政府采购云平台（https：//www.gcy.zfcg.gxzf.gov.cn/）获取（下载）招标文件，并于</w:t>
      </w:r>
      <w:r>
        <w:rPr>
          <w:rFonts w:hint="eastAsia" w:ascii="仿宋" w:hAnsi="仿宋" w:eastAsia="仿宋" w:cs="仿宋"/>
          <w:color w:val="auto"/>
          <w:sz w:val="24"/>
          <w:highlight w:val="none"/>
          <w:u w:val="single"/>
          <w:lang w:eastAsia="zh-CN"/>
        </w:rPr>
        <w:t>2026年</w:t>
      </w:r>
      <w:bookmarkStart w:id="168" w:name="_GoBack"/>
      <w:bookmarkEnd w:id="168"/>
      <w:r>
        <w:rPr>
          <w:rFonts w:hint="eastAsia" w:ascii="仿宋" w:hAnsi="仿宋" w:eastAsia="仿宋" w:cs="仿宋"/>
          <w:color w:val="auto"/>
          <w:sz w:val="24"/>
          <w:highlight w:val="none"/>
          <w:u w:val="single"/>
          <w:lang w:val="en-US" w:eastAsia="zh-CN"/>
        </w:rPr>
        <w:t>6月9日9</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按要求递交（上传）</w:t>
      </w:r>
      <w:r>
        <w:rPr>
          <w:rFonts w:hint="eastAsia" w:ascii="仿宋" w:hAnsi="仿宋" w:eastAsia="仿宋" w:cs="仿宋"/>
          <w:bCs/>
          <w:color w:val="auto"/>
          <w:sz w:val="24"/>
          <w:highlight w:val="none"/>
        </w:rPr>
        <w:t>投标文件</w:t>
      </w:r>
      <w:r>
        <w:rPr>
          <w:rFonts w:hint="eastAsia" w:ascii="仿宋" w:hAnsi="仿宋" w:eastAsia="仿宋" w:cs="仿宋"/>
          <w:color w:val="auto"/>
          <w:sz w:val="24"/>
          <w:highlight w:val="none"/>
        </w:rPr>
        <w:t>。</w:t>
      </w:r>
    </w:p>
    <w:p w14:paraId="5F461E33">
      <w:pPr>
        <w:spacing w:line="360" w:lineRule="auto"/>
        <w:ind w:firstLine="482"/>
        <w:rPr>
          <w:rFonts w:hint="eastAsia" w:ascii="仿宋" w:hAnsi="仿宋" w:eastAsia="仿宋" w:cs="仿宋"/>
          <w:color w:val="auto"/>
          <w:szCs w:val="21"/>
          <w:highlight w:val="none"/>
        </w:rPr>
      </w:pPr>
      <w:bookmarkStart w:id="9" w:name="_Hlk164331375"/>
    </w:p>
    <w:p w14:paraId="0128674D">
      <w:pPr>
        <w:spacing w:line="360" w:lineRule="auto"/>
        <w:ind w:firstLine="480"/>
        <w:rPr>
          <w:rFonts w:hint="eastAsia" w:ascii="仿宋" w:hAnsi="仿宋" w:eastAsia="仿宋" w:cs="仿宋"/>
          <w:b/>
          <w:bCs/>
          <w:color w:val="auto"/>
          <w:sz w:val="24"/>
          <w:highlight w:val="none"/>
        </w:rPr>
      </w:pPr>
      <w:bookmarkStart w:id="10" w:name="_Toc28359002"/>
      <w:bookmarkStart w:id="11" w:name="_Toc35393621"/>
      <w:bookmarkStart w:id="12" w:name="_Toc28359079"/>
      <w:bookmarkStart w:id="13" w:name="_Toc35393790"/>
      <w:bookmarkStart w:id="14" w:name="_Hlk24379207"/>
      <w:r>
        <w:rPr>
          <w:rFonts w:hint="eastAsia" w:ascii="仿宋" w:hAnsi="仿宋" w:eastAsia="仿宋" w:cs="仿宋"/>
          <w:b/>
          <w:bCs/>
          <w:color w:val="auto"/>
          <w:sz w:val="24"/>
          <w:highlight w:val="none"/>
        </w:rPr>
        <w:t>一、项目基本情况</w:t>
      </w:r>
      <w:bookmarkEnd w:id="10"/>
      <w:bookmarkEnd w:id="11"/>
      <w:bookmarkEnd w:id="12"/>
      <w:bookmarkEnd w:id="13"/>
    </w:p>
    <w:bookmarkEnd w:id="14"/>
    <w:p w14:paraId="72D1455E">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全区卫星遥感数据统筹获取与处理（2026年优于1米分辨率卫星影像和0.3米分辨率立体卫星遥感影像）</w:t>
      </w:r>
    </w:p>
    <w:p w14:paraId="00B4B483">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GXZC2026-G3-001277-KWZB</w:t>
      </w:r>
    </w:p>
    <w:p w14:paraId="475FFB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采购计划：广西政采[2026]7563号-001广西政采[2026]7563号-002广西政采[2026]7563号-003广西政采[2026]7563号-004广西政采[2026]7563号-005广西政采[2026]7563号-006广西政采[2026]7563号-007</w:t>
      </w:r>
    </w:p>
    <w:p w14:paraId="1BEB2641">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采购预算：7621450</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元，其中1分标2478158.00元；2分标2326562.00元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3分标2816730.00元，</w:t>
      </w:r>
    </w:p>
    <w:p w14:paraId="4C9135A4">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最高限价：同采购预算</w:t>
      </w:r>
    </w:p>
    <w:p w14:paraId="1546131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tbl>
      <w:tblPr>
        <w:tblStyle w:val="41"/>
        <w:tblW w:w="5184" w:type="pct"/>
        <w:tblInd w:w="0" w:type="dxa"/>
        <w:tblLayout w:type="autofit"/>
        <w:tblCellMar>
          <w:top w:w="0" w:type="dxa"/>
          <w:left w:w="108" w:type="dxa"/>
          <w:bottom w:w="0" w:type="dxa"/>
          <w:right w:w="108" w:type="dxa"/>
        </w:tblCellMar>
      </w:tblPr>
      <w:tblGrid>
        <w:gridCol w:w="799"/>
        <w:gridCol w:w="2824"/>
        <w:gridCol w:w="1266"/>
        <w:gridCol w:w="4484"/>
      </w:tblGrid>
      <w:tr w14:paraId="129AF06C">
        <w:tblPrEx>
          <w:tblCellMar>
            <w:top w:w="0" w:type="dxa"/>
            <w:left w:w="108" w:type="dxa"/>
            <w:bottom w:w="0" w:type="dxa"/>
            <w:right w:w="108" w:type="dxa"/>
          </w:tblCellMar>
        </w:tblPrEx>
        <w:trPr>
          <w:trHeight w:val="9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8800">
            <w:pPr>
              <w:widowControl/>
              <w:jc w:val="center"/>
              <w:textAlignment w:val="top"/>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分标</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A1C2">
            <w:pPr>
              <w:widowControl/>
              <w:jc w:val="center"/>
              <w:textAlignment w:val="top"/>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分标名称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C24C">
            <w:pPr>
              <w:widowControl/>
              <w:jc w:val="center"/>
              <w:textAlignment w:val="top"/>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数量</w:t>
            </w:r>
          </w:p>
          <w:p w14:paraId="68A3342F">
            <w:pPr>
              <w:widowControl/>
              <w:jc w:val="center"/>
              <w:textAlignment w:val="top"/>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及单位</w:t>
            </w:r>
          </w:p>
        </w:tc>
        <w:tc>
          <w:tcPr>
            <w:tcW w:w="2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800C">
            <w:pPr>
              <w:widowControl/>
              <w:jc w:val="center"/>
              <w:textAlignment w:val="top"/>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技术要求（</w:t>
            </w:r>
            <w:r>
              <w:rPr>
                <w:rFonts w:hint="eastAsia" w:ascii="仿宋" w:hAnsi="仿宋" w:eastAsia="仿宋" w:cs="仿宋"/>
                <w:color w:val="auto"/>
                <w:kern w:val="0"/>
                <w:sz w:val="24"/>
                <w:highlight w:val="none"/>
                <w:lang w:bidi="ar"/>
              </w:rPr>
              <w:t>服务内容和要求</w:t>
            </w:r>
            <w:r>
              <w:rPr>
                <w:rFonts w:hint="eastAsia" w:ascii="仿宋" w:hAnsi="仿宋" w:eastAsia="仿宋" w:cs="仿宋"/>
                <w:color w:val="auto"/>
                <w:kern w:val="0"/>
                <w:sz w:val="24"/>
                <w:highlight w:val="none"/>
                <w:lang w:val="en-US" w:eastAsia="zh-CN" w:bidi="ar"/>
              </w:rPr>
              <w:t>）</w:t>
            </w:r>
          </w:p>
        </w:tc>
      </w:tr>
      <w:tr w14:paraId="7BFDE733">
        <w:tblPrEx>
          <w:tblCellMar>
            <w:top w:w="0" w:type="dxa"/>
            <w:left w:w="108" w:type="dxa"/>
            <w:bottom w:w="0" w:type="dxa"/>
            <w:right w:w="108" w:type="dxa"/>
          </w:tblCellMar>
        </w:tblPrEx>
        <w:trPr>
          <w:trHeight w:val="26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C5DC">
            <w:pPr>
              <w:widowControl/>
              <w:jc w:val="center"/>
              <w:textAlignment w:val="top"/>
              <w:rPr>
                <w:rFonts w:hint="eastAsia" w:ascii="仿宋" w:hAnsi="仿宋" w:eastAsia="仿宋" w:cs="仿宋"/>
                <w:color w:val="auto"/>
                <w:sz w:val="24"/>
                <w:highlight w:val="none"/>
                <w:u w:val="none"/>
              </w:rPr>
            </w:pPr>
            <w:r>
              <w:rPr>
                <w:rFonts w:hint="eastAsia" w:ascii="仿宋" w:hAnsi="仿宋" w:eastAsia="仿宋" w:cs="仿宋"/>
                <w:color w:val="auto"/>
                <w:kern w:val="0"/>
                <w:sz w:val="24"/>
                <w:highlight w:val="none"/>
                <w:u w:val="none"/>
                <w:lang w:bidi="ar"/>
              </w:rPr>
              <w:t>1</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B80A">
            <w:pPr>
              <w:widowControl/>
              <w:spacing w:line="360" w:lineRule="auto"/>
              <w:jc w:val="center"/>
              <w:textAlignment w:val="top"/>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eastAsia="zh-CN"/>
              </w:rPr>
              <w:t>全区卫星遥感数据统筹获取与处理（2026年优于1米分辨率卫星影像和0.3米分辨率立体卫星遥感影像）</w:t>
            </w:r>
            <w:r>
              <w:rPr>
                <w:rFonts w:hint="eastAsia" w:ascii="仿宋" w:hAnsi="仿宋" w:eastAsia="仿宋" w:cs="仿宋"/>
                <w:color w:val="auto"/>
                <w:sz w:val="24"/>
                <w:highlight w:val="none"/>
                <w:u w:val="none"/>
                <w:lang w:val="en-US" w:eastAsia="zh-CN"/>
              </w:rPr>
              <w:t>分标1</w:t>
            </w:r>
          </w:p>
        </w:tc>
        <w:tc>
          <w:tcPr>
            <w:tcW w:w="675" w:type="pct"/>
            <w:tcBorders>
              <w:top w:val="single" w:color="000000" w:sz="4" w:space="0"/>
              <w:left w:val="single" w:color="000000" w:sz="4" w:space="0"/>
              <w:bottom w:val="single" w:color="auto" w:sz="4" w:space="0"/>
              <w:right w:val="single" w:color="000000" w:sz="4" w:space="0"/>
            </w:tcBorders>
            <w:shd w:val="clear" w:color="auto" w:fill="auto"/>
            <w:vAlign w:val="center"/>
          </w:tcPr>
          <w:p w14:paraId="31894CBD">
            <w:pPr>
              <w:widowControl/>
              <w:spacing w:line="360" w:lineRule="auto"/>
              <w:jc w:val="center"/>
              <w:textAlignment w:val="top"/>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131</w:t>
            </w:r>
            <w:r>
              <w:rPr>
                <w:rFonts w:hint="eastAsia" w:ascii="仿宋" w:hAnsi="仿宋" w:eastAsia="仿宋" w:cs="仿宋"/>
                <w:color w:val="auto"/>
                <w:sz w:val="24"/>
                <w:highlight w:val="none"/>
                <w:u w:val="none"/>
              </w:rPr>
              <w:t>00平方千米</w:t>
            </w:r>
          </w:p>
        </w:tc>
        <w:tc>
          <w:tcPr>
            <w:tcW w:w="2391" w:type="pct"/>
            <w:tcBorders>
              <w:top w:val="single" w:color="000000" w:sz="4" w:space="0"/>
              <w:left w:val="single" w:color="000000" w:sz="4" w:space="0"/>
              <w:bottom w:val="single" w:color="auto" w:sz="4" w:space="0"/>
              <w:right w:val="single" w:color="000000" w:sz="4" w:space="0"/>
            </w:tcBorders>
            <w:shd w:val="clear" w:color="auto" w:fill="auto"/>
            <w:vAlign w:val="center"/>
          </w:tcPr>
          <w:p w14:paraId="3F3CA6E9">
            <w:pPr>
              <w:pStyle w:val="18"/>
              <w:spacing w:line="360" w:lineRule="auto"/>
              <w:ind w:firstLine="48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采购2026年</w:t>
            </w:r>
            <w:r>
              <w:rPr>
                <w:rFonts w:hint="eastAsia" w:ascii="仿宋" w:hAnsi="仿宋" w:eastAsia="仿宋" w:cs="仿宋"/>
                <w:color w:val="auto"/>
                <w:sz w:val="24"/>
                <w:szCs w:val="24"/>
                <w:highlight w:val="none"/>
                <w:u w:val="none"/>
              </w:rPr>
              <w:t>中越边境及沿海</w:t>
            </w:r>
            <w:r>
              <w:rPr>
                <w:rFonts w:hint="eastAsia" w:ascii="仿宋" w:hAnsi="仿宋" w:eastAsia="仿宋" w:cs="仿宋"/>
                <w:color w:val="auto"/>
                <w:sz w:val="24"/>
                <w:szCs w:val="24"/>
                <w:highlight w:val="none"/>
                <w:u w:val="none"/>
                <w:lang w:val="en-US" w:eastAsia="zh-CN"/>
              </w:rPr>
              <w:t>0.3米分辨率立体卫星影像，面积</w:t>
            </w:r>
            <w:r>
              <w:rPr>
                <w:rFonts w:hint="eastAsia" w:ascii="仿宋" w:hAnsi="仿宋" w:eastAsia="仿宋" w:cs="仿宋"/>
                <w:color w:val="auto"/>
                <w:sz w:val="24"/>
                <w:szCs w:val="24"/>
                <w:highlight w:val="none"/>
                <w:u w:val="none"/>
              </w:rPr>
              <w:t>共</w:t>
            </w:r>
            <w:r>
              <w:rPr>
                <w:rFonts w:hint="eastAsia" w:ascii="仿宋" w:hAnsi="仿宋" w:eastAsia="仿宋" w:cs="仿宋"/>
                <w:color w:val="auto"/>
                <w:sz w:val="24"/>
                <w:szCs w:val="24"/>
                <w:highlight w:val="none"/>
                <w:u w:val="none"/>
                <w:lang w:eastAsia="zh-CN"/>
              </w:rPr>
              <w:t>1</w:t>
            </w:r>
            <w:r>
              <w:rPr>
                <w:rFonts w:hint="eastAsia" w:ascii="仿宋" w:hAnsi="仿宋" w:eastAsia="仿宋" w:cs="仿宋"/>
                <w:color w:val="auto"/>
                <w:sz w:val="24"/>
                <w:szCs w:val="24"/>
                <w:highlight w:val="none"/>
                <w:u w:val="none"/>
                <w:lang w:val="en-US" w:eastAsia="zh-CN"/>
              </w:rPr>
              <w:t>3100</w:t>
            </w:r>
            <w:r>
              <w:rPr>
                <w:rFonts w:hint="eastAsia" w:ascii="仿宋" w:hAnsi="仿宋" w:eastAsia="仿宋" w:cs="仿宋"/>
                <w:color w:val="auto"/>
                <w:sz w:val="24"/>
                <w:szCs w:val="24"/>
                <w:highlight w:val="none"/>
                <w:u w:val="none"/>
              </w:rPr>
              <w:t>平方千米</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其中三视3200平方千米，双视9900平方千米</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具体采购矢量范围由采购人提供。</w:t>
            </w:r>
          </w:p>
          <w:p w14:paraId="3DAC3A3D">
            <w:pPr>
              <w:pStyle w:val="18"/>
              <w:spacing w:line="360" w:lineRule="auto"/>
              <w:ind w:firstLine="480"/>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val="en-US" w:eastAsia="zh-CN" w:bidi="ar"/>
              </w:rPr>
              <w:t>其他详见采购需求。</w:t>
            </w:r>
          </w:p>
        </w:tc>
      </w:tr>
      <w:tr w14:paraId="6EAB721B">
        <w:tblPrEx>
          <w:tblCellMar>
            <w:top w:w="0" w:type="dxa"/>
            <w:left w:w="108" w:type="dxa"/>
            <w:bottom w:w="0" w:type="dxa"/>
            <w:right w:w="108" w:type="dxa"/>
          </w:tblCellMar>
        </w:tblPrEx>
        <w:trPr>
          <w:trHeight w:val="22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DC4D">
            <w:pPr>
              <w:widowControl/>
              <w:jc w:val="center"/>
              <w:textAlignment w:val="top"/>
              <w:rPr>
                <w:rFonts w:hint="eastAsia" w:ascii="仿宋" w:hAnsi="仿宋" w:eastAsia="仿宋" w:cs="仿宋"/>
                <w:color w:val="auto"/>
                <w:sz w:val="24"/>
                <w:highlight w:val="none"/>
                <w:u w:val="none"/>
              </w:rPr>
            </w:pPr>
            <w:r>
              <w:rPr>
                <w:rFonts w:hint="eastAsia" w:ascii="仿宋" w:hAnsi="仿宋" w:eastAsia="仿宋" w:cs="仿宋"/>
                <w:color w:val="auto"/>
                <w:kern w:val="0"/>
                <w:sz w:val="24"/>
                <w:highlight w:val="none"/>
                <w:u w:val="none"/>
                <w:lang w:bidi="ar"/>
              </w:rPr>
              <w:t>2</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C547">
            <w:pPr>
              <w:widowControl/>
              <w:spacing w:line="360" w:lineRule="auto"/>
              <w:jc w:val="center"/>
              <w:textAlignment w:val="top"/>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eastAsia="zh-CN"/>
              </w:rPr>
              <w:t>全区卫星遥感数据统筹获取与处理（2026年优于1米分辨率卫星影像和0.3米分辨率立体卫星遥感影像）</w:t>
            </w:r>
            <w:r>
              <w:rPr>
                <w:rFonts w:hint="eastAsia" w:ascii="仿宋" w:hAnsi="仿宋" w:eastAsia="仿宋" w:cs="仿宋"/>
                <w:color w:val="auto"/>
                <w:sz w:val="24"/>
                <w:highlight w:val="none"/>
                <w:u w:val="none"/>
                <w:lang w:val="en-US" w:eastAsia="zh-CN"/>
              </w:rPr>
              <w:t>分标2</w:t>
            </w:r>
          </w:p>
        </w:tc>
        <w:tc>
          <w:tcPr>
            <w:tcW w:w="675" w:type="pct"/>
            <w:tcBorders>
              <w:top w:val="single" w:color="auto" w:sz="4" w:space="0"/>
              <w:left w:val="single" w:color="000000" w:sz="4" w:space="0"/>
              <w:bottom w:val="single" w:color="000000" w:sz="4" w:space="0"/>
              <w:right w:val="single" w:color="000000" w:sz="4" w:space="0"/>
            </w:tcBorders>
            <w:shd w:val="clear" w:color="auto" w:fill="auto"/>
            <w:vAlign w:val="center"/>
          </w:tcPr>
          <w:p w14:paraId="369C1468">
            <w:pPr>
              <w:widowControl/>
              <w:spacing w:line="360" w:lineRule="auto"/>
              <w:jc w:val="center"/>
              <w:textAlignment w:val="top"/>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114</w:t>
            </w:r>
            <w:r>
              <w:rPr>
                <w:rFonts w:hint="eastAsia" w:ascii="仿宋" w:hAnsi="仿宋" w:eastAsia="仿宋" w:cs="仿宋"/>
                <w:color w:val="auto"/>
                <w:sz w:val="24"/>
                <w:highlight w:val="none"/>
                <w:u w:val="none"/>
              </w:rPr>
              <w:t>00平方千米</w:t>
            </w:r>
          </w:p>
        </w:tc>
        <w:tc>
          <w:tcPr>
            <w:tcW w:w="2391" w:type="pct"/>
            <w:tcBorders>
              <w:top w:val="single" w:color="auto" w:sz="4" w:space="0"/>
              <w:left w:val="single" w:color="000000" w:sz="4" w:space="0"/>
              <w:bottom w:val="single" w:color="000000" w:sz="4" w:space="0"/>
              <w:right w:val="single" w:color="000000" w:sz="4" w:space="0"/>
            </w:tcBorders>
            <w:shd w:val="clear" w:color="auto" w:fill="auto"/>
            <w:vAlign w:val="center"/>
          </w:tcPr>
          <w:p w14:paraId="7907ED8B">
            <w:pPr>
              <w:pStyle w:val="18"/>
              <w:spacing w:line="360" w:lineRule="auto"/>
              <w:ind w:firstLine="48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采购2026年</w:t>
            </w:r>
            <w:r>
              <w:rPr>
                <w:rFonts w:hint="eastAsia" w:ascii="仿宋" w:hAnsi="仿宋" w:eastAsia="仿宋" w:cs="仿宋"/>
                <w:color w:val="auto"/>
                <w:sz w:val="24"/>
                <w:szCs w:val="24"/>
                <w:highlight w:val="none"/>
                <w:u w:val="none"/>
              </w:rPr>
              <w:t>中越边境及沿海</w:t>
            </w:r>
            <w:r>
              <w:rPr>
                <w:rFonts w:hint="eastAsia" w:ascii="仿宋" w:hAnsi="仿宋" w:eastAsia="仿宋" w:cs="仿宋"/>
                <w:color w:val="auto"/>
                <w:sz w:val="24"/>
                <w:szCs w:val="24"/>
                <w:highlight w:val="none"/>
                <w:u w:val="none"/>
                <w:lang w:val="en-US" w:eastAsia="zh-CN"/>
              </w:rPr>
              <w:t>0.3米分辨率立体卫星影像，面积</w:t>
            </w:r>
            <w:r>
              <w:rPr>
                <w:rFonts w:hint="eastAsia" w:ascii="仿宋" w:hAnsi="仿宋" w:eastAsia="仿宋" w:cs="仿宋"/>
                <w:color w:val="auto"/>
                <w:sz w:val="24"/>
                <w:szCs w:val="24"/>
                <w:highlight w:val="none"/>
                <w:u w:val="none"/>
              </w:rPr>
              <w:t>共</w:t>
            </w:r>
            <w:r>
              <w:rPr>
                <w:rFonts w:hint="eastAsia" w:ascii="仿宋" w:hAnsi="仿宋" w:eastAsia="仿宋" w:cs="仿宋"/>
                <w:color w:val="auto"/>
                <w:sz w:val="24"/>
                <w:szCs w:val="24"/>
                <w:highlight w:val="none"/>
                <w:u w:val="none"/>
                <w:lang w:eastAsia="zh-CN"/>
              </w:rPr>
              <w:t>1</w:t>
            </w:r>
            <w:r>
              <w:rPr>
                <w:rFonts w:hint="eastAsia" w:ascii="仿宋" w:hAnsi="仿宋" w:eastAsia="仿宋" w:cs="仿宋"/>
                <w:color w:val="auto"/>
                <w:sz w:val="24"/>
                <w:szCs w:val="24"/>
                <w:highlight w:val="none"/>
                <w:u w:val="none"/>
                <w:lang w:val="en-US" w:eastAsia="zh-CN"/>
              </w:rPr>
              <w:t>1400</w:t>
            </w:r>
            <w:r>
              <w:rPr>
                <w:rFonts w:hint="eastAsia" w:ascii="仿宋" w:hAnsi="仿宋" w:eastAsia="仿宋" w:cs="仿宋"/>
                <w:color w:val="auto"/>
                <w:sz w:val="24"/>
                <w:szCs w:val="24"/>
                <w:highlight w:val="none"/>
                <w:u w:val="none"/>
              </w:rPr>
              <w:t>平方千米</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其中，三视4800平方千米，双视6600平方千米</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具体采购矢量范围由采购人提供</w:t>
            </w:r>
            <w:r>
              <w:rPr>
                <w:rFonts w:hint="eastAsia" w:ascii="仿宋" w:hAnsi="仿宋" w:eastAsia="仿宋" w:cs="仿宋"/>
                <w:color w:val="auto"/>
                <w:sz w:val="24"/>
                <w:szCs w:val="24"/>
                <w:highlight w:val="none"/>
                <w:u w:val="none"/>
              </w:rPr>
              <w:t>；</w:t>
            </w:r>
          </w:p>
          <w:p w14:paraId="4C11A1B0">
            <w:pPr>
              <w:pStyle w:val="18"/>
              <w:spacing w:line="360" w:lineRule="auto"/>
              <w:ind w:firstLine="480"/>
              <w:rPr>
                <w:rFonts w:hint="default"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其他详见采购需求。</w:t>
            </w:r>
          </w:p>
        </w:tc>
      </w:tr>
      <w:tr w14:paraId="6EABDAB3">
        <w:tblPrEx>
          <w:tblCellMar>
            <w:top w:w="0" w:type="dxa"/>
            <w:left w:w="108" w:type="dxa"/>
            <w:bottom w:w="0" w:type="dxa"/>
            <w:right w:w="108" w:type="dxa"/>
          </w:tblCellMar>
        </w:tblPrEx>
        <w:trPr>
          <w:trHeight w:val="19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1FD2">
            <w:pPr>
              <w:widowControl/>
              <w:jc w:val="center"/>
              <w:textAlignment w:val="top"/>
              <w:rPr>
                <w:rFonts w:hint="eastAsia"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3</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C98B">
            <w:pPr>
              <w:widowControl/>
              <w:spacing w:line="360" w:lineRule="auto"/>
              <w:jc w:val="center"/>
              <w:textAlignment w:val="top"/>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eastAsia="zh-CN"/>
              </w:rPr>
              <w:t>全区卫星遥感数据统筹获取与处理（2026年优于1米分辨率卫星影像和0.3米分辨率立体卫星遥感影像）</w:t>
            </w:r>
            <w:r>
              <w:rPr>
                <w:rFonts w:hint="eastAsia" w:ascii="仿宋" w:hAnsi="仿宋" w:eastAsia="仿宋" w:cs="仿宋"/>
                <w:color w:val="auto"/>
                <w:sz w:val="24"/>
                <w:highlight w:val="none"/>
                <w:u w:val="none"/>
                <w:lang w:val="en-US" w:eastAsia="zh-CN"/>
              </w:rPr>
              <w:t>分标3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D184">
            <w:pPr>
              <w:widowControl/>
              <w:spacing w:line="360" w:lineRule="auto"/>
              <w:jc w:val="center"/>
              <w:textAlignment w:val="top"/>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236700平方千米</w:t>
            </w:r>
          </w:p>
        </w:tc>
        <w:tc>
          <w:tcPr>
            <w:tcW w:w="2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32B0">
            <w:pPr>
              <w:pStyle w:val="18"/>
              <w:spacing w:line="360" w:lineRule="auto"/>
              <w:ind w:firstLine="48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在</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获取的“其他影像资源”基础上，补充采购广西全区（面积约</w:t>
            </w:r>
            <w:r>
              <w:rPr>
                <w:rFonts w:hint="eastAsia" w:ascii="仿宋" w:hAnsi="仿宋" w:eastAsia="仿宋" w:cs="仿宋"/>
                <w:color w:val="auto"/>
                <w:kern w:val="0"/>
                <w:sz w:val="24"/>
                <w:highlight w:val="none"/>
                <w:lang w:eastAsia="zh-CN" w:bidi="ar"/>
              </w:rPr>
              <w:t>236700</w:t>
            </w:r>
            <w:r>
              <w:rPr>
                <w:rFonts w:hint="eastAsia" w:ascii="仿宋" w:hAnsi="仿宋" w:eastAsia="仿宋" w:cs="仿宋"/>
                <w:color w:val="auto"/>
                <w:kern w:val="0"/>
                <w:sz w:val="24"/>
                <w:highlight w:val="none"/>
                <w:lang w:bidi="ar"/>
              </w:rPr>
              <w:t>平方千米）优于1米级卫星遥感影像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时相为2026年</w:t>
            </w:r>
            <w:r>
              <w:rPr>
                <w:rFonts w:hint="eastAsia" w:ascii="仿宋" w:hAnsi="仿宋" w:eastAsia="仿宋" w:cs="仿宋"/>
                <w:color w:val="auto"/>
                <w:kern w:val="0"/>
                <w:sz w:val="24"/>
                <w:highlight w:val="none"/>
                <w:lang w:bidi="ar"/>
              </w:rPr>
              <w:t>第三季度</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2027年第一季度</w:t>
            </w:r>
            <w:r>
              <w:rPr>
                <w:rFonts w:hint="eastAsia" w:ascii="仿宋" w:hAnsi="仿宋" w:eastAsia="仿宋" w:cs="仿宋"/>
                <w:color w:val="auto"/>
                <w:kern w:val="0"/>
                <w:sz w:val="24"/>
                <w:highlight w:val="none"/>
                <w:lang w:bidi="ar"/>
              </w:rPr>
              <w:t>。</w:t>
            </w:r>
          </w:p>
        </w:tc>
      </w:tr>
    </w:tbl>
    <w:p w14:paraId="175D7203">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合同履行期限：具体时间按</w:t>
      </w:r>
      <w:r>
        <w:rPr>
          <w:rFonts w:hint="eastAsia" w:ascii="仿宋" w:hAnsi="仿宋" w:eastAsia="仿宋" w:cs="仿宋"/>
          <w:color w:val="auto"/>
          <w:sz w:val="24"/>
          <w:highlight w:val="none"/>
          <w:lang w:val="en-US" w:eastAsia="zh-CN"/>
        </w:rPr>
        <w:t>各分标</w:t>
      </w:r>
      <w:r>
        <w:rPr>
          <w:rFonts w:hint="eastAsia" w:ascii="仿宋" w:hAnsi="仿宋" w:eastAsia="仿宋" w:cs="仿宋"/>
          <w:color w:val="auto"/>
          <w:sz w:val="24"/>
          <w:highlight w:val="none"/>
        </w:rPr>
        <w:t>的具体要求。</w:t>
      </w:r>
    </w:p>
    <w:p w14:paraId="72C86CC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b/>
          <w:color w:val="auto"/>
          <w:sz w:val="24"/>
          <w:highlight w:val="none"/>
        </w:rPr>
        <w:t>是否</w:t>
      </w:r>
      <w:r>
        <w:rPr>
          <w:rFonts w:hint="eastAsia" w:ascii="仿宋" w:hAnsi="仿宋" w:eastAsia="仿宋" w:cs="仿宋"/>
          <w:color w:val="auto"/>
          <w:sz w:val="24"/>
          <w:highlight w:val="none"/>
        </w:rPr>
        <w:t>接受联合体：否。</w:t>
      </w:r>
    </w:p>
    <w:p w14:paraId="3E45AA71">
      <w:pPr>
        <w:spacing w:line="360" w:lineRule="auto"/>
        <w:ind w:firstLine="480"/>
        <w:rPr>
          <w:rFonts w:hint="eastAsia" w:ascii="仿宋" w:hAnsi="仿宋" w:eastAsia="仿宋" w:cs="仿宋"/>
          <w:b/>
          <w:bCs/>
          <w:color w:val="auto"/>
          <w:sz w:val="24"/>
          <w:highlight w:val="none"/>
        </w:rPr>
      </w:pPr>
      <w:bookmarkStart w:id="15" w:name="_Toc35393622"/>
      <w:bookmarkStart w:id="16" w:name="_Toc35393791"/>
      <w:bookmarkStart w:id="17" w:name="_Toc28359080"/>
      <w:bookmarkStart w:id="18" w:name="_Toc28359003"/>
      <w:r>
        <w:rPr>
          <w:rFonts w:hint="eastAsia" w:ascii="仿宋" w:hAnsi="仿宋" w:eastAsia="仿宋" w:cs="仿宋"/>
          <w:b/>
          <w:bCs/>
          <w:color w:val="auto"/>
          <w:sz w:val="24"/>
          <w:highlight w:val="none"/>
        </w:rPr>
        <w:t>二、申请人的资格要求：</w:t>
      </w:r>
      <w:bookmarkEnd w:id="15"/>
      <w:bookmarkEnd w:id="16"/>
      <w:bookmarkEnd w:id="17"/>
      <w:bookmarkEnd w:id="18"/>
    </w:p>
    <w:p w14:paraId="2C51DFFE">
      <w:pPr>
        <w:spacing w:line="360" w:lineRule="auto"/>
        <w:ind w:firstLine="480" w:firstLineChars="200"/>
        <w:rPr>
          <w:rFonts w:hint="eastAsia" w:ascii="仿宋" w:hAnsi="仿宋" w:eastAsia="仿宋" w:cs="仿宋"/>
          <w:color w:val="auto"/>
          <w:sz w:val="24"/>
          <w:highlight w:val="none"/>
        </w:rPr>
      </w:pPr>
      <w:bookmarkStart w:id="19" w:name="_Hlk51746371"/>
      <w:bookmarkStart w:id="20" w:name="_Toc28359081"/>
      <w:bookmarkStart w:id="21" w:name="_Toc35393792"/>
      <w:bookmarkStart w:id="22" w:name="_Toc28359004"/>
      <w:bookmarkStart w:id="23" w:name="_Toc35393623"/>
      <w:r>
        <w:rPr>
          <w:rFonts w:hint="eastAsia" w:ascii="仿宋" w:hAnsi="仿宋" w:eastAsia="仿宋" w:cs="仿宋"/>
          <w:color w:val="auto"/>
          <w:sz w:val="24"/>
          <w:highlight w:val="none"/>
        </w:rPr>
        <w:t>1.满足《中华人民共和国政府采购法》第二十二条规定；</w:t>
      </w:r>
    </w:p>
    <w:p w14:paraId="28A28E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r>
        <w:rPr>
          <w:rFonts w:hint="eastAsia" w:ascii="仿宋" w:hAnsi="仿宋" w:eastAsia="仿宋" w:cs="仿宋"/>
          <w:b/>
          <w:bCs/>
          <w:color w:val="auto"/>
          <w:sz w:val="24"/>
          <w:highlight w:val="none"/>
        </w:rPr>
        <w:t>1分标</w:t>
      </w:r>
      <w:r>
        <w:rPr>
          <w:rFonts w:hint="eastAsia" w:ascii="仿宋" w:hAnsi="仿宋" w:eastAsia="仿宋" w:cs="仿宋"/>
          <w:b/>
          <w:bCs/>
          <w:color w:val="auto"/>
          <w:sz w:val="24"/>
          <w:highlight w:val="none"/>
          <w:lang w:val="en-US" w:eastAsia="zh-CN"/>
        </w:rPr>
        <w:t>和2分标</w:t>
      </w:r>
      <w:r>
        <w:rPr>
          <w:rFonts w:hint="eastAsia" w:ascii="仿宋" w:hAnsi="仿宋" w:eastAsia="仿宋" w:cs="仿宋"/>
          <w:b/>
          <w:bCs/>
          <w:color w:val="auto"/>
          <w:sz w:val="24"/>
          <w:highlight w:val="none"/>
        </w:rPr>
        <w:t>专门面向中小企业采购，</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分标</w:t>
      </w:r>
      <w:r>
        <w:rPr>
          <w:rFonts w:hint="eastAsia" w:ascii="仿宋" w:hAnsi="仿宋" w:eastAsia="仿宋" w:cs="仿宋"/>
          <w:b/>
          <w:bCs/>
          <w:color w:val="auto"/>
          <w:sz w:val="24"/>
          <w:highlight w:val="none"/>
          <w:lang w:val="en-US" w:eastAsia="zh-CN"/>
        </w:rPr>
        <w:t>预留30%份额面向中小企业采购</w:t>
      </w:r>
      <w:r>
        <w:rPr>
          <w:rFonts w:hint="eastAsia" w:ascii="仿宋" w:hAnsi="仿宋" w:eastAsia="仿宋" w:cs="仿宋"/>
          <w:b/>
          <w:bCs/>
          <w:color w:val="auto"/>
          <w:sz w:val="24"/>
          <w:highlight w:val="none"/>
        </w:rPr>
        <w:t>。</w:t>
      </w:r>
    </w:p>
    <w:p w14:paraId="44EB05C1">
      <w:pPr>
        <w:spacing w:line="360" w:lineRule="auto"/>
        <w:ind w:firstLine="480" w:firstLineChars="20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3.本项目的特定资格要求：</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w:t>
      </w:r>
    </w:p>
    <w:bookmarkEnd w:id="9"/>
    <w:bookmarkEnd w:id="19"/>
    <w:p w14:paraId="567D69CD">
      <w:pPr>
        <w:spacing w:line="360" w:lineRule="auto"/>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bookmarkEnd w:id="20"/>
      <w:bookmarkEnd w:id="21"/>
      <w:bookmarkEnd w:id="22"/>
      <w:bookmarkEnd w:id="23"/>
    </w:p>
    <w:p w14:paraId="2002A991">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时间：</w:t>
      </w:r>
      <w:r>
        <w:rPr>
          <w:rFonts w:hint="eastAsia" w:ascii="仿宋" w:hAnsi="仿宋" w:eastAsia="仿宋" w:cs="仿宋"/>
          <w:bCs/>
          <w:color w:val="auto"/>
          <w:kern w:val="0"/>
          <w:sz w:val="24"/>
          <w:highlight w:val="none"/>
          <w:lang w:eastAsia="zh-CN"/>
        </w:rPr>
        <w:t>2026年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日至</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日，每天上午00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00至12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00，下午12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00至23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59（北京时间，法定节假日除外）</w:t>
      </w:r>
    </w:p>
    <w:p w14:paraId="077CF166">
      <w:pPr>
        <w:spacing w:line="360" w:lineRule="auto"/>
        <w:ind w:firstLine="482"/>
        <w:rPr>
          <w:rFonts w:hint="eastAsia" w:ascii="仿宋" w:hAnsi="仿宋" w:eastAsia="仿宋" w:cs="仿宋"/>
          <w:color w:val="auto"/>
          <w:sz w:val="24"/>
          <w:highlight w:val="none"/>
          <w:lang w:bidi="ar"/>
        </w:rPr>
      </w:pPr>
      <w:r>
        <w:rPr>
          <w:rFonts w:hint="eastAsia" w:ascii="仿宋" w:hAnsi="仿宋" w:eastAsia="仿宋" w:cs="仿宋"/>
          <w:bCs/>
          <w:color w:val="auto"/>
          <w:kern w:val="0"/>
          <w:sz w:val="24"/>
          <w:highlight w:val="none"/>
        </w:rPr>
        <w:t>地点：</w:t>
      </w:r>
      <w:r>
        <w:rPr>
          <w:rFonts w:hint="eastAsia" w:ascii="仿宋" w:hAnsi="仿宋" w:eastAsia="仿宋" w:cs="仿宋"/>
          <w:color w:val="auto"/>
          <w:sz w:val="24"/>
          <w:highlight w:val="none"/>
          <w:lang w:bidi="ar"/>
        </w:rPr>
        <w:t>广西政府采购云平台（https：//www.gcy.zfcg.gxzf.gov.cn/）</w:t>
      </w:r>
    </w:p>
    <w:p w14:paraId="79CE91B7">
      <w:pPr>
        <w:spacing w:line="360" w:lineRule="auto"/>
        <w:ind w:firstLine="482"/>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方式：网上下载。本项目不提供纸质文件，供应商应自行在广西政府采购云平台（https：//www.gcy.zfcg.gxzf.gov.cn/）下载招标文件（操作路径：登录广西政府采购云平台</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项目采购</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获取采购文件</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找到本项目</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点击“申请获取采购文件”），电子投标文件制作需要基于广西政府采购云平台获取的招标文件编制，通过其他方式获取招标文件的，将有可能导致供应商无法在广西政府采购云平台编制及上传投标文件。</w:t>
      </w:r>
    </w:p>
    <w:p w14:paraId="27894502">
      <w:pPr>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kern w:val="0"/>
          <w:sz w:val="24"/>
          <w:highlight w:val="none"/>
        </w:rPr>
        <w:t>售价：</w:t>
      </w:r>
      <w:r>
        <w:rPr>
          <w:rFonts w:hint="eastAsia" w:ascii="仿宋" w:hAnsi="仿宋" w:eastAsia="仿宋" w:cs="仿宋"/>
          <w:color w:val="auto"/>
          <w:sz w:val="24"/>
          <w:highlight w:val="none"/>
        </w:rPr>
        <w:t>0元</w:t>
      </w:r>
    </w:p>
    <w:p w14:paraId="7FD8D803">
      <w:pPr>
        <w:spacing w:line="360" w:lineRule="auto"/>
        <w:ind w:firstLine="480"/>
        <w:rPr>
          <w:rFonts w:hint="eastAsia" w:ascii="仿宋" w:hAnsi="仿宋" w:eastAsia="仿宋" w:cs="仿宋"/>
          <w:b/>
          <w:bCs/>
          <w:color w:val="auto"/>
          <w:sz w:val="24"/>
          <w:highlight w:val="none"/>
        </w:rPr>
      </w:pPr>
      <w:bookmarkStart w:id="24" w:name="_Toc28359005"/>
      <w:bookmarkStart w:id="25" w:name="_Toc28359082"/>
      <w:bookmarkStart w:id="26" w:name="_Toc35393793"/>
      <w:bookmarkStart w:id="27" w:name="_Toc35393624"/>
      <w:r>
        <w:rPr>
          <w:rFonts w:hint="eastAsia" w:ascii="仿宋" w:hAnsi="仿宋" w:eastAsia="仿宋" w:cs="仿宋"/>
          <w:b/>
          <w:bCs/>
          <w:color w:val="auto"/>
          <w:sz w:val="24"/>
          <w:highlight w:val="none"/>
        </w:rPr>
        <w:t>四、提交投标文件</w:t>
      </w:r>
      <w:bookmarkEnd w:id="24"/>
      <w:bookmarkEnd w:id="25"/>
      <w:r>
        <w:rPr>
          <w:rFonts w:hint="eastAsia" w:ascii="仿宋" w:hAnsi="仿宋" w:eastAsia="仿宋" w:cs="仿宋"/>
          <w:b/>
          <w:bCs/>
          <w:color w:val="auto"/>
          <w:sz w:val="24"/>
          <w:highlight w:val="none"/>
        </w:rPr>
        <w:t>截止时间、开标时间和地点</w:t>
      </w:r>
      <w:bookmarkEnd w:id="26"/>
      <w:bookmarkEnd w:id="27"/>
    </w:p>
    <w:p w14:paraId="2BD29547">
      <w:pPr>
        <w:spacing w:line="360" w:lineRule="auto"/>
        <w:ind w:firstLine="480" w:firstLineChars="200"/>
        <w:rPr>
          <w:rFonts w:hint="eastAsia" w:ascii="仿宋" w:hAnsi="仿宋" w:eastAsia="仿宋" w:cs="仿宋"/>
          <w:color w:val="auto"/>
          <w:sz w:val="24"/>
          <w:highlight w:val="none"/>
          <w:lang w:bidi="ar"/>
        </w:rPr>
      </w:pPr>
      <w:bookmarkStart w:id="28" w:name="_Toc35393794"/>
      <w:bookmarkStart w:id="29" w:name="_Toc28359084"/>
      <w:bookmarkStart w:id="30" w:name="_Toc28359007"/>
      <w:bookmarkStart w:id="31" w:name="_Toc35393625"/>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bidi="ar"/>
        </w:rPr>
        <w:t>截止时间：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6月9日9</w:t>
      </w:r>
      <w:r>
        <w:rPr>
          <w:rFonts w:hint="eastAsia" w:ascii="仿宋" w:hAnsi="仿宋" w:eastAsia="仿宋" w:cs="仿宋"/>
          <w:color w:val="auto"/>
          <w:sz w:val="24"/>
          <w:highlight w:val="none"/>
          <w:lang w:eastAsia="zh-CN"/>
        </w:rPr>
        <w:t>时</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lang w:eastAsia="zh-CN"/>
        </w:rPr>
        <w:t>分</w:t>
      </w:r>
      <w:r>
        <w:rPr>
          <w:rFonts w:hint="eastAsia" w:ascii="仿宋" w:hAnsi="仿宋" w:eastAsia="仿宋" w:cs="仿宋"/>
          <w:color w:val="auto"/>
          <w:sz w:val="24"/>
          <w:highlight w:val="none"/>
        </w:rPr>
        <w:t>（北京时间）。</w:t>
      </w:r>
    </w:p>
    <w:p w14:paraId="373F7C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.开标时间</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6月9日9</w:t>
      </w:r>
      <w:r>
        <w:rPr>
          <w:rFonts w:hint="eastAsia" w:ascii="仿宋" w:hAnsi="仿宋" w:eastAsia="仿宋" w:cs="仿宋"/>
          <w:color w:val="auto"/>
          <w:sz w:val="24"/>
          <w:highlight w:val="none"/>
          <w:lang w:eastAsia="zh-CN"/>
        </w:rPr>
        <w:t>时</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lang w:eastAsia="zh-CN"/>
        </w:rPr>
        <w:t>分</w:t>
      </w:r>
      <w:r>
        <w:rPr>
          <w:rFonts w:hint="eastAsia" w:ascii="仿宋" w:hAnsi="仿宋" w:eastAsia="仿宋" w:cs="仿宋"/>
          <w:color w:val="auto"/>
          <w:sz w:val="24"/>
          <w:highlight w:val="none"/>
        </w:rPr>
        <w:t>（北京时间）。</w:t>
      </w:r>
    </w:p>
    <w:p w14:paraId="4A969A2E">
      <w:pP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bidi="ar"/>
        </w:rPr>
        <w:t>广西政府采购云平台电子开标大厅。</w:t>
      </w:r>
    </w:p>
    <w:p w14:paraId="3CFB7C28">
      <w:pPr>
        <w:widowControl/>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五、解密、开启</w:t>
      </w:r>
    </w:p>
    <w:p w14:paraId="115DB720">
      <w:pP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rPr>
        <w:t>1.投标文件解密、开启时间：</w:t>
      </w:r>
      <w:r>
        <w:rPr>
          <w:rFonts w:hint="eastAsia" w:ascii="仿宋" w:hAnsi="仿宋" w:eastAsia="仿宋" w:cs="仿宋"/>
          <w:bCs/>
          <w:color w:val="auto"/>
          <w:kern w:val="0"/>
          <w:sz w:val="24"/>
          <w:highlight w:val="none"/>
          <w:lang w:eastAsia="zh-CN"/>
        </w:rPr>
        <w:t>2026年</w:t>
      </w:r>
      <w:r>
        <w:rPr>
          <w:rFonts w:hint="eastAsia" w:ascii="仿宋" w:hAnsi="仿宋" w:eastAsia="仿宋" w:cs="仿宋"/>
          <w:bCs/>
          <w:color w:val="auto"/>
          <w:kern w:val="0"/>
          <w:sz w:val="24"/>
          <w:highlight w:val="none"/>
          <w:lang w:val="en-US" w:eastAsia="zh-CN"/>
        </w:rPr>
        <w:t>6月9日9</w:t>
      </w:r>
      <w:r>
        <w:rPr>
          <w:rFonts w:hint="eastAsia" w:ascii="仿宋" w:hAnsi="仿宋" w:eastAsia="仿宋" w:cs="仿宋"/>
          <w:bCs/>
          <w:color w:val="auto"/>
          <w:kern w:val="0"/>
          <w:sz w:val="24"/>
          <w:highlight w:val="none"/>
          <w:lang w:eastAsia="zh-CN"/>
        </w:rPr>
        <w:t>时</w:t>
      </w:r>
      <w:r>
        <w:rPr>
          <w:rFonts w:hint="eastAsia" w:ascii="仿宋" w:hAnsi="仿宋" w:eastAsia="仿宋" w:cs="仿宋"/>
          <w:bCs/>
          <w:color w:val="auto"/>
          <w:kern w:val="0"/>
          <w:sz w:val="24"/>
          <w:highlight w:val="none"/>
          <w:lang w:val="en-US" w:eastAsia="zh-CN"/>
        </w:rPr>
        <w:t>30</w:t>
      </w:r>
      <w:r>
        <w:rPr>
          <w:rFonts w:hint="eastAsia" w:ascii="仿宋" w:hAnsi="仿宋" w:eastAsia="仿宋" w:cs="仿宋"/>
          <w:bCs/>
          <w:color w:val="auto"/>
          <w:kern w:val="0"/>
          <w:sz w:val="24"/>
          <w:highlight w:val="none"/>
          <w:lang w:eastAsia="zh-CN"/>
        </w:rPr>
        <w:t>分</w:t>
      </w:r>
      <w:r>
        <w:rPr>
          <w:rFonts w:hint="eastAsia" w:ascii="仿宋" w:hAnsi="仿宋" w:eastAsia="仿宋" w:cs="仿宋"/>
          <w:bCs/>
          <w:color w:val="auto"/>
          <w:kern w:val="0"/>
          <w:sz w:val="24"/>
          <w:highlight w:val="none"/>
        </w:rPr>
        <w:t>（北京时间）。</w:t>
      </w:r>
    </w:p>
    <w:p w14:paraId="7B6F20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bidi="ar"/>
        </w:rPr>
        <w:t>本项目将在广西政府采购云平台电子开标大厅解密、开启。</w:t>
      </w:r>
    </w:p>
    <w:p w14:paraId="66C87128">
      <w:pPr>
        <w:spacing w:line="360" w:lineRule="auto"/>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六、公告期限</w:t>
      </w:r>
      <w:bookmarkEnd w:id="28"/>
      <w:bookmarkEnd w:id="29"/>
      <w:bookmarkEnd w:id="30"/>
      <w:bookmarkEnd w:id="31"/>
    </w:p>
    <w:p w14:paraId="6E8214DD">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55DF2D84">
      <w:pPr>
        <w:spacing w:line="360" w:lineRule="auto"/>
        <w:ind w:firstLine="480"/>
        <w:rPr>
          <w:rFonts w:hint="eastAsia" w:ascii="仿宋" w:hAnsi="仿宋" w:eastAsia="仿宋" w:cs="仿宋"/>
          <w:b/>
          <w:bCs/>
          <w:color w:val="auto"/>
          <w:sz w:val="24"/>
          <w:highlight w:val="none"/>
        </w:rPr>
      </w:pPr>
      <w:bookmarkStart w:id="32" w:name="_Toc35393626"/>
      <w:bookmarkStart w:id="33" w:name="_Toc35393795"/>
      <w:r>
        <w:rPr>
          <w:rFonts w:hint="eastAsia" w:ascii="仿宋" w:hAnsi="仿宋" w:eastAsia="仿宋" w:cs="仿宋"/>
          <w:b/>
          <w:bCs/>
          <w:color w:val="auto"/>
          <w:sz w:val="24"/>
          <w:highlight w:val="none"/>
        </w:rPr>
        <w:t>七、其他补充事宜</w:t>
      </w:r>
      <w:bookmarkEnd w:id="32"/>
      <w:bookmarkEnd w:id="33"/>
    </w:p>
    <w:p w14:paraId="7C9ABFB6">
      <w:pPr>
        <w:spacing w:line="360" w:lineRule="auto"/>
        <w:ind w:firstLine="480" w:firstLineChars="200"/>
        <w:rPr>
          <w:rFonts w:hint="eastAsia" w:ascii="仿宋" w:hAnsi="仿宋" w:eastAsia="仿宋" w:cs="仿宋"/>
          <w:color w:val="auto"/>
          <w:kern w:val="0"/>
          <w:sz w:val="24"/>
          <w:highlight w:val="none"/>
        </w:rPr>
      </w:pPr>
      <w:bookmarkStart w:id="34" w:name="_Toc28359085"/>
      <w:bookmarkStart w:id="35" w:name="_Toc28359008"/>
      <w:bookmarkStart w:id="36" w:name="_Toc35393627"/>
      <w:bookmarkStart w:id="37" w:name="_Toc35393796"/>
      <w:r>
        <w:rPr>
          <w:rFonts w:hint="eastAsia" w:ascii="仿宋" w:hAnsi="仿宋" w:eastAsia="仿宋" w:cs="仿宋"/>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D8FE3F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2.根据财政部《关于在政府采购活动中查询及使用信用记录有关问题的通知》（财库〔2016〕125号）的规定，对在“信用中国”网站</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www.creditchina.gov.cn</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、中国政府采购网</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www.ccgp.gov.cn</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被列入失信被执行人、</w:t>
      </w:r>
      <w:r>
        <w:rPr>
          <w:rFonts w:hint="eastAsia" w:ascii="仿宋" w:hAnsi="仿宋" w:eastAsia="仿宋" w:cs="仿宋"/>
          <w:color w:val="auto"/>
          <w:sz w:val="24"/>
          <w:highlight w:val="none"/>
        </w:rPr>
        <w:t>重大税收违法失信主体</w:t>
      </w:r>
      <w:r>
        <w:rPr>
          <w:rFonts w:hint="eastAsia" w:ascii="仿宋" w:hAnsi="仿宋" w:eastAsia="仿宋" w:cs="仿宋"/>
          <w:color w:val="auto"/>
          <w:kern w:val="0"/>
          <w:sz w:val="24"/>
          <w:highlight w:val="none"/>
        </w:rPr>
        <w:t>、政府采购严重违法失信行为记录名单及其他不符合《中华人民共和国政府采购法》第二十二条规定条件的供应商，不得参与政府采购活动。</w:t>
      </w:r>
    </w:p>
    <w:p w14:paraId="227C7A2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3.网上查询地址：</w:t>
      </w:r>
    </w:p>
    <w:p w14:paraId="29A62450">
      <w:pPr>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中国政府采购网（www.ccgp.gov.cn）</w:t>
      </w:r>
      <w:r>
        <w:rPr>
          <w:rFonts w:hint="eastAsia" w:ascii="仿宋" w:hAnsi="仿宋" w:eastAsia="仿宋" w:cs="仿宋"/>
          <w:color w:val="auto"/>
          <w:kern w:val="0"/>
          <w:sz w:val="24"/>
          <w:highlight w:val="none"/>
          <w:lang w:eastAsia="zh-CN"/>
        </w:rPr>
        <w:t>；</w:t>
      </w:r>
    </w:p>
    <w:p w14:paraId="36BF8775">
      <w:pPr>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广西政府采购网（zfcg.gxzf.gov.cn）</w:t>
      </w:r>
      <w:r>
        <w:rPr>
          <w:rFonts w:hint="eastAsia" w:ascii="仿宋" w:hAnsi="仿宋" w:eastAsia="仿宋" w:cs="仿宋"/>
          <w:color w:val="auto"/>
          <w:kern w:val="0"/>
          <w:sz w:val="24"/>
          <w:highlight w:val="none"/>
          <w:lang w:eastAsia="zh-CN"/>
        </w:rPr>
        <w:t>；</w:t>
      </w:r>
    </w:p>
    <w:p w14:paraId="3A24D8E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广西公共资源交易中心网站（http</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//gxggzy.gxzf.gov.cn）。</w:t>
      </w:r>
    </w:p>
    <w:p w14:paraId="2286CACB">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4.本项目需要落实的政府采购政策：</w:t>
      </w:r>
    </w:p>
    <w:p w14:paraId="0BE2A48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（1）政府采购促进中小企业发展。</w:t>
      </w:r>
    </w:p>
    <w:p w14:paraId="10FB7CD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（2）政府采购促进残疾人就业政策。</w:t>
      </w:r>
    </w:p>
    <w:p w14:paraId="1B25E62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）政府采购支持监狱企业发展。</w:t>
      </w:r>
    </w:p>
    <w:p w14:paraId="1199AAA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）扶持不发达地区和少数民族地区政策。</w:t>
      </w:r>
    </w:p>
    <w:p w14:paraId="0537F0CB">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5.投标注意事项：</w:t>
      </w:r>
    </w:p>
    <w:p w14:paraId="30F9EE0E">
      <w:pPr>
        <w:widowControl/>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lang w:bidi="ar"/>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仿宋" w:hAnsi="仿宋" w:eastAsia="仿宋" w:cs="仿宋"/>
          <w:color w:val="auto"/>
          <w:sz w:val="24"/>
          <w:highlight w:val="none"/>
          <w:lang w:eastAsia="zh-CN" w:bidi="ar"/>
        </w:rPr>
        <w:t>。</w:t>
      </w:r>
      <w:r>
        <w:rPr>
          <w:rFonts w:hint="eastAsia" w:ascii="仿宋" w:hAnsi="仿宋" w:eastAsia="仿宋" w:cs="仿宋"/>
          <w:b/>
          <w:color w:val="auto"/>
          <w:sz w:val="24"/>
          <w:highlight w:val="none"/>
          <w:lang w:bidi="ar"/>
        </w:rPr>
        <w:t>供应商在广西政府采购云平台提交电子版投标文件时，请填写参加远程开标活动经办人联系方式。</w:t>
      </w:r>
    </w:p>
    <w:p w14:paraId="54247F31">
      <w:pPr>
        <w:widowControl/>
        <w:wordWrap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（2）供应商应及时熟悉掌握电子标系统操作指南（见广西政府采购云平台电子卖场首页右上角—服务中心—帮助文档—项目采购）</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及时完成CA申领和绑定（见广西壮族自治区政府采购网—办事服务—下载专区</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广西政府采购云平台CA证书办理操作指南）。</w:t>
      </w:r>
    </w:p>
    <w:p w14:paraId="36E777D3">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（3）未进行网上注册并办理数字证书（CA认证）的供应商将无法参与本项目政府采购活动</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潜在供应商应当在投标截止时间前，完成电子交易平台上的CA数字证书办理及投标文件的提交。完成CA数字证书办理预计7日左右，投标人只需办理其中一家CA数字证书及签章，建议各投标人抓紧时间办理。</w:t>
      </w:r>
    </w:p>
    <w:p w14:paraId="7B22F713">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49CF72C0">
      <w:pPr>
        <w:widowControl/>
        <w:spacing w:line="360" w:lineRule="auto"/>
        <w:ind w:firstLine="482" w:firstLineChars="200"/>
        <w:rPr>
          <w:rFonts w:hint="eastAsia" w:ascii="仿宋" w:hAnsi="仿宋" w:eastAsia="仿宋" w:cs="仿宋"/>
          <w:color w:val="auto"/>
          <w:sz w:val="24"/>
          <w:highlight w:val="none"/>
          <w:lang w:bidi="ar"/>
        </w:rPr>
      </w:pPr>
      <w:r>
        <w:rPr>
          <w:rFonts w:hint="eastAsia" w:ascii="仿宋" w:hAnsi="仿宋" w:eastAsia="仿宋" w:cs="仿宋"/>
          <w:b/>
          <w:bCs/>
          <w:color w:val="auto"/>
          <w:sz w:val="24"/>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F247BFC">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bidi="ar"/>
        </w:rPr>
        <w:t>6.CA证书在线解密：供应商投标时，需携带制作投标文件时用来加</w:t>
      </w:r>
      <w:r>
        <w:rPr>
          <w:rFonts w:hint="eastAsia" w:ascii="仿宋" w:hAnsi="仿宋" w:eastAsia="仿宋" w:cs="仿宋"/>
          <w:color w:val="auto"/>
          <w:kern w:val="0"/>
          <w:sz w:val="24"/>
          <w:highlight w:val="none"/>
          <w:lang w:bidi="ar"/>
        </w:rPr>
        <w:t>密的有效数字证书（CA认证）登录广西政府采购云平台电子开标大厅现场按规定时间对加密的投标文件进行解密，否则后果自负。</w:t>
      </w:r>
    </w:p>
    <w:p w14:paraId="3D01F5BA">
      <w:pPr>
        <w:spacing w:line="360" w:lineRule="auto"/>
        <w:ind w:firstLine="484" w:firstLineChars="202"/>
        <w:rPr>
          <w:rFonts w:hint="eastAsia" w:ascii="仿宋" w:hAnsi="仿宋" w:eastAsia="仿宋" w:cs="仿宋"/>
          <w:color w:val="auto"/>
          <w:kern w:val="0"/>
          <w:szCs w:val="21"/>
          <w:highlight w:val="none"/>
        </w:rPr>
      </w:pPr>
      <w:r>
        <w:rPr>
          <w:rFonts w:hint="eastAsia" w:ascii="仿宋" w:hAnsi="仿宋" w:eastAsia="仿宋" w:cs="仿宋"/>
          <w:color w:val="auto"/>
          <w:kern w:val="0"/>
          <w:sz w:val="24"/>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p>
    <w:p w14:paraId="597CF18C">
      <w:pPr>
        <w:spacing w:line="360" w:lineRule="auto"/>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八、对本次招标提出询问，请按以下方式联系。</w:t>
      </w:r>
      <w:bookmarkEnd w:id="34"/>
      <w:bookmarkEnd w:id="35"/>
      <w:bookmarkEnd w:id="36"/>
      <w:bookmarkEnd w:id="37"/>
    </w:p>
    <w:p w14:paraId="3B205579">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627937D2">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名称：广西壮族自治区自然资源厅         </w:t>
      </w:r>
    </w:p>
    <w:p w14:paraId="05356A44">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地址：广西壮族自治区南宁市青秀区中新路2号</w:t>
      </w:r>
    </w:p>
    <w:p w14:paraId="54B8F907">
      <w:pPr>
        <w:spacing w:line="360" w:lineRule="auto"/>
        <w:ind w:firstLine="648" w:firstLineChars="270"/>
        <w:jc w:val="left"/>
        <w:rPr>
          <w:rFonts w:hint="default" w:ascii="仿宋" w:hAnsi="仿宋" w:eastAsia="宋体"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李晓翔</w:t>
      </w:r>
      <w:r>
        <w:rPr>
          <w:rFonts w:hint="eastAsia" w:ascii="仿宋" w:hAnsi="仿宋" w:eastAsia="仿宋" w:cs="仿宋"/>
          <w:color w:val="auto"/>
          <w:sz w:val="24"/>
          <w:highlight w:val="none"/>
        </w:rPr>
        <w:t xml:space="preserve">    联系方式：0771-</w:t>
      </w:r>
      <w:r>
        <w:rPr>
          <w:rFonts w:hint="eastAsia" w:ascii="仿宋" w:hAnsi="仿宋" w:eastAsia="仿宋" w:cs="仿宋"/>
          <w:color w:val="auto"/>
          <w:sz w:val="24"/>
          <w:highlight w:val="none"/>
          <w:lang w:val="en-US" w:eastAsia="zh-CN"/>
        </w:rPr>
        <w:t>5388298</w:t>
      </w:r>
    </w:p>
    <w:p w14:paraId="239D15AD">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3F305215">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名称：广西科文招标有限公司  </w:t>
      </w:r>
    </w:p>
    <w:p w14:paraId="7DAB88FF">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地址：广西南宁市民族大道141号中鼎万象东方D区五层</w:t>
      </w:r>
    </w:p>
    <w:p w14:paraId="10BA2D66">
      <w:pPr>
        <w:spacing w:line="360" w:lineRule="auto"/>
        <w:ind w:firstLine="648" w:firstLineChars="270"/>
        <w:rPr>
          <w:rFonts w:hint="eastAsia" w:ascii="仿宋" w:hAnsi="仿宋" w:eastAsia="仿宋" w:cs="仿宋"/>
          <w:color w:val="auto"/>
          <w:sz w:val="24"/>
          <w:highlight w:val="none"/>
        </w:rPr>
      </w:pPr>
      <w:bookmarkStart w:id="38" w:name="_Toc28359087"/>
      <w:bookmarkStart w:id="39" w:name="_Toc28359010"/>
      <w:r>
        <w:rPr>
          <w:rFonts w:hint="eastAsia" w:ascii="仿宋" w:hAnsi="仿宋" w:eastAsia="仿宋" w:cs="仿宋"/>
          <w:color w:val="auto"/>
          <w:sz w:val="24"/>
          <w:highlight w:val="none"/>
        </w:rPr>
        <w:t>项目联系人：</w:t>
      </w:r>
      <w:r>
        <w:rPr>
          <w:rFonts w:hint="eastAsia" w:ascii="仿宋" w:hAnsi="仿宋" w:eastAsia="仿宋" w:cs="仿宋"/>
          <w:color w:val="auto"/>
          <w:kern w:val="0"/>
          <w:sz w:val="24"/>
          <w:highlight w:val="none"/>
        </w:rPr>
        <w:t>梁伟贞</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 xml:space="preserve">房井兰、严广廷  </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 xml:space="preserve">联系电话：0771-2023650  </w:t>
      </w:r>
    </w:p>
    <w:p w14:paraId="3AEF7A6F">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bookmarkEnd w:id="38"/>
      <w:bookmarkEnd w:id="39"/>
    </w:p>
    <w:p w14:paraId="0C30891A">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项目联系人：梁伟贞</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房井兰、严广廷  </w:t>
      </w:r>
      <w:r>
        <w:rPr>
          <w:rFonts w:hint="eastAsia" w:ascii="仿宋" w:hAnsi="仿宋" w:eastAsia="仿宋" w:cs="仿宋"/>
          <w:color w:val="auto"/>
          <w:sz w:val="24"/>
          <w:highlight w:val="none"/>
        </w:rPr>
        <w:t xml:space="preserve"> 联系电话：0771-2023650</w:t>
      </w:r>
    </w:p>
    <w:p w14:paraId="223D8670">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475587F">
      <w:pPr>
        <w:spacing w:line="360" w:lineRule="auto"/>
        <w:ind w:firstLine="482"/>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代理机构：</w:t>
      </w:r>
      <w:r>
        <w:rPr>
          <w:rFonts w:hint="eastAsia" w:ascii="仿宋" w:hAnsi="仿宋" w:eastAsia="仿宋" w:cs="仿宋"/>
          <w:color w:val="auto"/>
          <w:sz w:val="24"/>
          <w:highlight w:val="none"/>
        </w:rPr>
        <w:t>广西科文招标有限公司</w:t>
      </w:r>
    </w:p>
    <w:p w14:paraId="1CBA2921">
      <w:pPr>
        <w:wordWrap w:val="0"/>
        <w:snapToGrid w:val="0"/>
        <w:spacing w:line="360" w:lineRule="auto"/>
        <w:ind w:left="238" w:firstLine="482"/>
        <w:jc w:val="righ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 xml:space="preserve">日 </w:t>
      </w:r>
    </w:p>
    <w:p w14:paraId="4B06B069">
      <w:pPr>
        <w:ind w:firstLine="482"/>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606FEC5">
      <w:pPr>
        <w:pStyle w:val="2"/>
        <w:bidi w:val="0"/>
        <w:rPr>
          <w:rFonts w:hint="eastAsia"/>
          <w:color w:val="auto"/>
          <w:highlight w:val="none"/>
        </w:rPr>
      </w:pPr>
      <w:bookmarkStart w:id="40" w:name="_Toc16016"/>
      <w:r>
        <w:rPr>
          <w:rFonts w:hint="eastAsia"/>
          <w:color w:val="auto"/>
          <w:highlight w:val="none"/>
        </w:rPr>
        <w:t>第二章  采购需求</w:t>
      </w:r>
      <w:bookmarkEnd w:id="0"/>
      <w:bookmarkEnd w:id="40"/>
    </w:p>
    <w:p w14:paraId="63939EF3">
      <w:pPr>
        <w:spacing w:line="360" w:lineRule="auto"/>
        <w:ind w:firstLine="482"/>
        <w:jc w:val="left"/>
        <w:rPr>
          <w:rFonts w:hint="eastAsia" w:ascii="仿宋" w:hAnsi="仿宋" w:eastAsia="仿宋" w:cs="仿宋"/>
          <w:color w:val="auto"/>
          <w:szCs w:val="21"/>
          <w:highlight w:val="none"/>
        </w:rPr>
      </w:pPr>
      <w:bookmarkStart w:id="41" w:name="_Toc254970490"/>
      <w:bookmarkStart w:id="42" w:name="_Toc254970631"/>
    </w:p>
    <w:p w14:paraId="6B799E08">
      <w:pPr>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5DD27F8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1.为落实政府采购政策需满足的要求：本招标文件所称中小企业必须符合《政府采购促进中小企业发展管理办法》（财库〔2020〕46号）的规定。</w:t>
      </w:r>
    </w:p>
    <w:p w14:paraId="78DF369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2.投标人必须自行为其</w:t>
      </w:r>
      <w:r>
        <w:rPr>
          <w:rFonts w:hint="eastAsia" w:ascii="仿宋" w:hAnsi="仿宋" w:eastAsia="仿宋" w:cs="仿宋"/>
          <w:color w:val="auto"/>
          <w:sz w:val="24"/>
          <w:highlight w:val="none"/>
          <w:lang w:val="en-US" w:eastAsia="zh-CN"/>
        </w:rPr>
        <w:t>服务成果或服务行为或</w:t>
      </w:r>
      <w:r>
        <w:rPr>
          <w:rFonts w:hint="eastAsia" w:ascii="仿宋" w:hAnsi="仿宋" w:eastAsia="仿宋" w:cs="仿宋"/>
          <w:color w:val="auto"/>
          <w:sz w:val="24"/>
          <w:highlight w:val="none"/>
        </w:rPr>
        <w:t>侵犯他人的知识产权或者专利成果的行为承担相应法律责任。</w:t>
      </w:r>
    </w:p>
    <w:p w14:paraId="35C9797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各分标</w:t>
      </w:r>
      <w:r>
        <w:rPr>
          <w:rFonts w:hint="eastAsia" w:ascii="仿宋" w:hAnsi="仿宋" w:eastAsia="仿宋" w:cs="仿宋"/>
          <w:color w:val="auto"/>
          <w:sz w:val="24"/>
          <w:highlight w:val="none"/>
        </w:rPr>
        <w:t>所属行业：信息传输业。</w:t>
      </w:r>
    </w:p>
    <w:tbl>
      <w:tblPr>
        <w:tblStyle w:val="4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209"/>
        <w:gridCol w:w="877"/>
        <w:gridCol w:w="6642"/>
      </w:tblGrid>
      <w:tr w14:paraId="2FED1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80" w:type="dxa"/>
            <w:gridSpan w:val="4"/>
            <w:vAlign w:val="center"/>
          </w:tcPr>
          <w:p w14:paraId="02724482">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1分标</w:t>
            </w:r>
          </w:p>
        </w:tc>
      </w:tr>
      <w:tr w14:paraId="54F7C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2" w:type="dxa"/>
            <w:vAlign w:val="center"/>
          </w:tcPr>
          <w:p w14:paraId="55ACDD96">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09" w:type="dxa"/>
            <w:vAlign w:val="center"/>
          </w:tcPr>
          <w:p w14:paraId="47AC27E1">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w:t>
            </w:r>
          </w:p>
          <w:p w14:paraId="101B8D58">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tc>
        <w:tc>
          <w:tcPr>
            <w:tcW w:w="877" w:type="dxa"/>
            <w:vAlign w:val="center"/>
          </w:tcPr>
          <w:p w14:paraId="3457D8EE">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6642" w:type="dxa"/>
            <w:vAlign w:val="center"/>
          </w:tcPr>
          <w:p w14:paraId="4FAC304E">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lang w:val="en-US" w:eastAsia="zh-CN"/>
              </w:rPr>
              <w:t>技术要求（</w:t>
            </w:r>
            <w:r>
              <w:rPr>
                <w:rFonts w:hint="eastAsia" w:ascii="仿宋" w:hAnsi="仿宋" w:eastAsia="仿宋" w:cs="仿宋"/>
                <w:b/>
                <w:color w:val="auto"/>
                <w:sz w:val="24"/>
                <w:szCs w:val="24"/>
                <w:highlight w:val="none"/>
              </w:rPr>
              <w:t>服务内容和要求</w:t>
            </w:r>
            <w:r>
              <w:rPr>
                <w:rFonts w:hint="eastAsia" w:ascii="仿宋" w:hAnsi="仿宋" w:eastAsia="仿宋" w:cs="仿宋"/>
                <w:b/>
                <w:color w:val="auto"/>
                <w:sz w:val="24"/>
                <w:szCs w:val="24"/>
                <w:highlight w:val="none"/>
                <w:lang w:val="en-US" w:eastAsia="zh-CN"/>
              </w:rPr>
              <w:t>）</w:t>
            </w:r>
          </w:p>
        </w:tc>
      </w:tr>
      <w:tr w14:paraId="2D522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452" w:type="dxa"/>
            <w:vAlign w:val="center"/>
          </w:tcPr>
          <w:p w14:paraId="54B53443">
            <w:pPr>
              <w:tabs>
                <w:tab w:val="left" w:pos="180"/>
                <w:tab w:val="left" w:pos="1620"/>
              </w:tabs>
              <w:spacing w:line="360" w:lineRule="auto"/>
              <w:jc w:val="center"/>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1</w:t>
            </w:r>
          </w:p>
        </w:tc>
        <w:tc>
          <w:tcPr>
            <w:tcW w:w="1209" w:type="dxa"/>
            <w:vAlign w:val="center"/>
          </w:tcPr>
          <w:p w14:paraId="524B76CF">
            <w:pPr>
              <w:tabs>
                <w:tab w:val="left" w:pos="180"/>
                <w:tab w:val="left" w:pos="1620"/>
              </w:tabs>
              <w:spacing w:line="360" w:lineRule="auto"/>
              <w:jc w:val="center"/>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sz w:val="24"/>
                <w:highlight w:val="none"/>
                <w:u w:val="none"/>
                <w:lang w:eastAsia="zh-CN"/>
              </w:rPr>
              <w:t>全区卫星遥感数据统筹获取与处理（2026年优于1米分辨率卫星影像和0.3米分辨率立体卫星遥感影像）</w:t>
            </w:r>
            <w:r>
              <w:rPr>
                <w:rFonts w:hint="eastAsia" w:ascii="仿宋" w:hAnsi="仿宋" w:eastAsia="仿宋" w:cs="仿宋"/>
                <w:color w:val="auto"/>
                <w:sz w:val="24"/>
                <w:highlight w:val="none"/>
                <w:u w:val="none"/>
                <w:lang w:val="en-US" w:eastAsia="zh-CN"/>
              </w:rPr>
              <w:t>分标1</w:t>
            </w:r>
          </w:p>
        </w:tc>
        <w:tc>
          <w:tcPr>
            <w:tcW w:w="877" w:type="dxa"/>
            <w:shd w:val="clear" w:color="auto" w:fill="auto"/>
            <w:vAlign w:val="center"/>
          </w:tcPr>
          <w:p w14:paraId="11306771">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131</w:t>
            </w:r>
            <w:r>
              <w:rPr>
                <w:rFonts w:hint="eastAsia" w:ascii="仿宋" w:hAnsi="仿宋" w:eastAsia="仿宋" w:cs="仿宋"/>
                <w:color w:val="auto"/>
                <w:kern w:val="0"/>
                <w:sz w:val="24"/>
                <w:szCs w:val="24"/>
                <w:highlight w:val="none"/>
              </w:rPr>
              <w:t>00平方千米</w:t>
            </w:r>
          </w:p>
        </w:tc>
        <w:tc>
          <w:tcPr>
            <w:tcW w:w="6642" w:type="dxa"/>
            <w:shd w:val="clear" w:color="auto" w:fill="auto"/>
          </w:tcPr>
          <w:p w14:paraId="7F0764C2">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影像数据范围和数量</w:t>
            </w:r>
          </w:p>
          <w:p w14:paraId="01AC8406">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广西壮族自治区中越边境及沿海共</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3100</w:t>
            </w:r>
            <w:r>
              <w:rPr>
                <w:rFonts w:hint="eastAsia" w:ascii="仿宋" w:hAnsi="仿宋" w:eastAsia="仿宋" w:cs="仿宋"/>
                <w:color w:val="auto"/>
                <w:sz w:val="24"/>
                <w:szCs w:val="24"/>
                <w:highlight w:val="none"/>
              </w:rPr>
              <w:t>平方千米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其中，三视3200平方千米，双视9900平方千米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具体矢量范围由采购人提供</w:t>
            </w:r>
            <w:r>
              <w:rPr>
                <w:rFonts w:hint="eastAsia" w:ascii="仿宋" w:hAnsi="仿宋" w:eastAsia="仿宋" w:cs="仿宋"/>
                <w:color w:val="auto"/>
                <w:sz w:val="24"/>
                <w:szCs w:val="24"/>
                <w:highlight w:val="none"/>
              </w:rPr>
              <w:t>；如因采购人需求变化，在不超过影像获取总面积的情况下，供应商应当配合对数据获取范围进行调整。原始数据要求为由同轨获取的</w:t>
            </w:r>
            <w:r>
              <w:rPr>
                <w:rFonts w:hint="eastAsia" w:ascii="仿宋" w:hAnsi="仿宋" w:eastAsia="仿宋" w:cs="仿宋"/>
                <w:color w:val="auto"/>
                <w:sz w:val="24"/>
                <w:szCs w:val="24"/>
                <w:highlight w:val="none"/>
                <w:lang w:val="en-US" w:eastAsia="zh-CN"/>
              </w:rPr>
              <w:t>双视和</w:t>
            </w: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视</w:t>
            </w:r>
            <w:r>
              <w:rPr>
                <w:rFonts w:hint="eastAsia" w:ascii="仿宋" w:hAnsi="仿宋" w:eastAsia="仿宋" w:cs="仿宋"/>
                <w:color w:val="auto"/>
                <w:sz w:val="24"/>
                <w:szCs w:val="24"/>
                <w:highlight w:val="none"/>
              </w:rPr>
              <w:t>立体数据，其中前后视基高比在0.5～0.</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之间；至少提供由全色数据和多光谱数据组成的四波段捆绑数据，如卫星原始拍摄数据包含其他波段数据应当一并全部提供，影像数据级别为预备正射产品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L1级及以上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21183986">
            <w:pPr>
              <w:pStyle w:val="18"/>
              <w:spacing w:line="360" w:lineRule="auto"/>
              <w:ind w:firstLine="0" w:firstLineChars="0"/>
              <w:jc w:val="both"/>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drawing>
                <wp:inline distT="0" distB="0" distL="114300" distR="114300">
                  <wp:extent cx="4093845" cy="3239135"/>
                  <wp:effectExtent l="0" t="0" r="5715" b="6985"/>
                  <wp:docPr id="1" name="图片 1" descr="db96af9bb5b3156dcbfe8f1472cef7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96af9bb5b3156dcbfe8f1472cef70e"/>
                          <pic:cNvPicPr>
                            <a:picLocks noChangeAspect="1"/>
                          </pic:cNvPicPr>
                        </pic:nvPicPr>
                        <pic:blipFill>
                          <a:blip r:embed="rId23"/>
                          <a:stretch>
                            <a:fillRect/>
                          </a:stretch>
                        </pic:blipFill>
                        <pic:spPr>
                          <a:xfrm>
                            <a:off x="0" y="0"/>
                            <a:ext cx="4093845" cy="3239135"/>
                          </a:xfrm>
                          <a:prstGeom prst="rect">
                            <a:avLst/>
                          </a:prstGeom>
                        </pic:spPr>
                      </pic:pic>
                    </a:graphicData>
                  </a:graphic>
                </wp:inline>
              </w:drawing>
            </w:r>
          </w:p>
          <w:p w14:paraId="67F92F55">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数据分辨率及要求 </w:t>
            </w:r>
          </w:p>
          <w:p w14:paraId="7A163950">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（1）原始数据要求为由同轨获取的</w:t>
            </w:r>
            <w:r>
              <w:rPr>
                <w:rFonts w:hint="eastAsia" w:ascii="仿宋" w:hAnsi="仿宋" w:eastAsia="仿宋" w:cs="仿宋"/>
                <w:color w:val="auto"/>
                <w:sz w:val="24"/>
                <w:szCs w:val="24"/>
                <w:highlight w:val="none"/>
                <w:lang w:eastAsia="zh-CN"/>
              </w:rPr>
              <w:t>双</w:t>
            </w:r>
            <w:r>
              <w:rPr>
                <w:rFonts w:hint="eastAsia" w:ascii="仿宋" w:hAnsi="仿宋" w:eastAsia="仿宋" w:cs="仿宋"/>
                <w:color w:val="auto"/>
                <w:sz w:val="24"/>
                <w:szCs w:val="24"/>
                <w:highlight w:val="none"/>
              </w:rPr>
              <w:t>视立体数据和三视立体数据，包括由全色数据和多光谱数据组成的四波段捆绑数据，其空间分辨率要求全色数据星下点分辨率优于或等于0.3米、四波段多光谱数据优于或等于1.2米；所采购遥感影像数据为编程数据。</w:t>
            </w:r>
          </w:p>
          <w:p w14:paraId="6C165DBF">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（2）获取的影像数据需要覆盖上述“影像数据范围和数量”任务区，且外扩不少于2000米。</w:t>
            </w:r>
          </w:p>
          <w:p w14:paraId="31174A65">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数据时相要求</w:t>
            </w:r>
          </w:p>
          <w:p w14:paraId="658DCEA5">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数据主要时相要求为2026年1月1日至2026年12月31日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要求在数据获取截止时间2026年12月31日前，供应商获取了已供货区域现势性更佳的卫星影像时、应提供更新的卫星影像替代已提供影像，避免因数据时相跨度过长造成的数据时效性问题。受天气条件客观影响或采购人提出需求改变数据时相的，经采购人确认后，可适当延后数据时相要求。</w:t>
            </w:r>
          </w:p>
          <w:p w14:paraId="0C3D7480">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原始数据格式要求</w:t>
            </w:r>
          </w:p>
          <w:p w14:paraId="2CAAFCD6">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卫星遥感影像需提供原始遥感数据及RPC参数等文件，产品级别为预备正射产品（L1级及以上）；影像数据格式为TIF标准格式，压缩包格式为tar.gz格式。</w:t>
            </w:r>
          </w:p>
          <w:p w14:paraId="36B26945">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数据质量要求 </w:t>
            </w:r>
          </w:p>
          <w:p w14:paraId="757D5980">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（1）每景原始数据云雪雾覆盖量小于10%，且云、雪不得覆盖在城市建成区等重点区域和建（构）筑物等重点目标；若原始数据有云雪雾覆盖量超过10%，须重采数据。</w:t>
            </w:r>
          </w:p>
          <w:p w14:paraId="64DF70BE">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（2）卫星遥感影像原始数据无以下现象：光谱溢出、数据质量不稳定和掉线等各种质量问题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其他参照CH/Z1044-2018光学卫星遥感影像质量检验技术规程</w:t>
            </w:r>
            <w:r>
              <w:rPr>
                <w:rFonts w:hint="eastAsia" w:ascii="仿宋" w:hAnsi="仿宋" w:eastAsia="仿宋" w:cs="仿宋"/>
                <w:color w:val="auto"/>
                <w:sz w:val="24"/>
                <w:szCs w:val="24"/>
                <w:highlight w:val="none"/>
              </w:rPr>
              <w:t>。</w:t>
            </w:r>
          </w:p>
          <w:p w14:paraId="6AF522EE">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卫星遥感影像接收的数据要求相邻条带之间原则上有不少于10%的重叠区，同条带相邻两景最低不低于4%的重叠区，以保证成图范围内无缝拼接。针对数据空洞或缝隙问题进行补充拍摄的数据，其重叠区要求参照本条要求执行。</w:t>
            </w:r>
          </w:p>
          <w:p w14:paraId="5949F29B">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（4）卫星遥感影像原始影像数据拍摄侧视角度不超过±35°。</w:t>
            </w:r>
          </w:p>
          <w:p w14:paraId="4D0DBAA1">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（5）卫星遥感影像全色及多光谱遥感影像必须提供全部的星历参数或其他有关参数，使用严格物理模型、以确保正射校正的精度。</w:t>
            </w:r>
          </w:p>
        </w:tc>
      </w:tr>
      <w:tr w14:paraId="4CA6F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4"/>
            <w:tcBorders>
              <w:top w:val="single" w:color="auto" w:sz="4" w:space="0"/>
              <w:left w:val="single" w:color="auto" w:sz="4" w:space="0"/>
              <w:bottom w:val="single" w:color="auto" w:sz="4" w:space="0"/>
              <w:right w:val="single" w:color="auto" w:sz="4" w:space="0"/>
            </w:tcBorders>
          </w:tcPr>
          <w:p w14:paraId="60D6C5FD">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商务要求</w:t>
            </w:r>
          </w:p>
        </w:tc>
      </w:tr>
      <w:tr w14:paraId="50E23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B64902">
            <w:pPr>
              <w:snapToGrid w:val="0"/>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服务成果提交</w:t>
            </w:r>
            <w:r>
              <w:rPr>
                <w:rFonts w:hint="eastAsia" w:ascii="仿宋" w:hAnsi="仿宋" w:eastAsia="仿宋" w:cs="仿宋"/>
                <w:color w:val="auto"/>
                <w:sz w:val="24"/>
                <w:szCs w:val="24"/>
                <w:highlight w:val="none"/>
              </w:rPr>
              <w:t>及地点</w:t>
            </w:r>
          </w:p>
        </w:tc>
        <w:tc>
          <w:tcPr>
            <w:tcW w:w="6642" w:type="dxa"/>
            <w:tcBorders>
              <w:top w:val="single" w:color="auto" w:sz="4" w:space="0"/>
              <w:left w:val="single" w:color="auto" w:sz="4" w:space="0"/>
              <w:bottom w:val="single" w:color="auto" w:sz="4" w:space="0"/>
              <w:right w:val="single" w:color="auto" w:sz="4" w:space="0"/>
            </w:tcBorders>
            <w:shd w:val="clear" w:color="auto" w:fill="auto"/>
            <w:vAlign w:val="center"/>
          </w:tcPr>
          <w:p w14:paraId="5EE26706">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.服务成果提交</w:t>
            </w:r>
            <w:r>
              <w:rPr>
                <w:rFonts w:hint="eastAsia" w:ascii="仿宋" w:hAnsi="仿宋" w:eastAsia="仿宋" w:cs="仿宋"/>
                <w:color w:val="auto"/>
                <w:sz w:val="24"/>
                <w:szCs w:val="24"/>
                <w:highlight w:val="none"/>
              </w:rPr>
              <w:t>：</w:t>
            </w:r>
            <w:r>
              <w:rPr>
                <w:rFonts w:hint="eastAsia" w:ascii="仿宋" w:hAnsi="仿宋" w:eastAsia="仿宋" w:cs="仿宋"/>
                <w:bCs/>
                <w:color w:val="auto"/>
                <w:kern w:val="0"/>
                <w:sz w:val="24"/>
                <w:szCs w:val="24"/>
                <w:highlight w:val="none"/>
              </w:rPr>
              <w:t>202</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年12月底前，具体时间按</w:t>
            </w:r>
            <w:r>
              <w:rPr>
                <w:rFonts w:hint="eastAsia" w:ascii="仿宋" w:hAnsi="仿宋" w:eastAsia="仿宋" w:cs="仿宋"/>
                <w:bCs/>
                <w:color w:val="auto"/>
                <w:kern w:val="0"/>
                <w:sz w:val="24"/>
                <w:szCs w:val="24"/>
                <w:highlight w:val="none"/>
                <w:lang w:eastAsia="zh-CN"/>
              </w:rPr>
              <w:t>采购人</w:t>
            </w:r>
            <w:r>
              <w:rPr>
                <w:rFonts w:hint="eastAsia" w:ascii="仿宋" w:hAnsi="仿宋" w:eastAsia="仿宋" w:cs="仿宋"/>
                <w:bCs/>
                <w:color w:val="auto"/>
                <w:kern w:val="0"/>
                <w:sz w:val="24"/>
                <w:szCs w:val="24"/>
                <w:highlight w:val="none"/>
              </w:rPr>
              <w:t>的具体要求</w:t>
            </w:r>
            <w:r>
              <w:rPr>
                <w:rFonts w:hint="eastAsia" w:ascii="仿宋" w:hAnsi="仿宋" w:eastAsia="仿宋" w:cs="仿宋"/>
                <w:color w:val="auto"/>
                <w:sz w:val="24"/>
                <w:szCs w:val="24"/>
                <w:highlight w:val="none"/>
              </w:rPr>
              <w:t>。</w:t>
            </w:r>
          </w:p>
          <w:p w14:paraId="5E963AC8">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服务地点：广西壮族自治区内采购人指定地点。</w:t>
            </w:r>
          </w:p>
        </w:tc>
      </w:tr>
      <w:tr w14:paraId="5A525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CABF5A">
            <w:pPr>
              <w:spacing w:line="400" w:lineRule="exact"/>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rPr>
              <w:t>合同签订时间</w:t>
            </w:r>
          </w:p>
        </w:tc>
        <w:tc>
          <w:tcPr>
            <w:tcW w:w="6642" w:type="dxa"/>
            <w:tcBorders>
              <w:top w:val="single" w:color="auto" w:sz="4" w:space="0"/>
              <w:left w:val="single" w:color="auto" w:sz="4" w:space="0"/>
              <w:bottom w:val="single" w:color="auto" w:sz="4" w:space="0"/>
              <w:right w:val="single" w:color="auto" w:sz="4" w:space="0"/>
            </w:tcBorders>
            <w:shd w:val="clear" w:color="auto" w:fill="auto"/>
            <w:vAlign w:val="center"/>
          </w:tcPr>
          <w:p w14:paraId="30D13192">
            <w:pPr>
              <w:spacing w:line="400" w:lineRule="exact"/>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rPr>
              <w:t>自中标通知书发出之日起25日内。</w:t>
            </w:r>
          </w:p>
        </w:tc>
      </w:tr>
      <w:tr w14:paraId="47F3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E21C01">
            <w:pPr>
              <w:pStyle w:val="308"/>
              <w:spacing w:line="400" w:lineRule="exact"/>
              <w:ind w:firstLine="0" w:firstLine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rPr>
              <w:t>付款条件</w:t>
            </w:r>
          </w:p>
        </w:tc>
        <w:tc>
          <w:tcPr>
            <w:tcW w:w="6642" w:type="dxa"/>
            <w:tcBorders>
              <w:top w:val="single" w:color="auto" w:sz="4" w:space="0"/>
              <w:left w:val="single" w:color="auto" w:sz="4" w:space="0"/>
              <w:bottom w:val="single" w:color="auto" w:sz="4" w:space="0"/>
              <w:right w:val="single" w:color="auto" w:sz="4" w:space="0"/>
            </w:tcBorders>
            <w:shd w:val="clear" w:color="auto" w:fill="auto"/>
            <w:vAlign w:val="center"/>
          </w:tcPr>
          <w:p w14:paraId="2419E7A5">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自签订合同之日起十个工作日内，采购人向中标人支付合同款总额30%作为预付款；</w:t>
            </w:r>
          </w:p>
          <w:p w14:paraId="21536F49">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后续合同款支付，中标人依据交付的经验收合格的成果资料的实际数量</w:t>
            </w:r>
            <w:r>
              <w:rPr>
                <w:rFonts w:hint="eastAsia" w:ascii="仿宋" w:hAnsi="仿宋" w:eastAsia="仿宋" w:cs="仿宋"/>
                <w:color w:val="auto"/>
                <w:sz w:val="24"/>
                <w:szCs w:val="24"/>
                <w:highlight w:val="none"/>
                <w:lang w:val="en-US" w:eastAsia="zh-CN"/>
              </w:rPr>
              <w:t>（指交付的验收合格成果资料的影像数据数量）及金额</w:t>
            </w:r>
            <w:r>
              <w:rPr>
                <w:rFonts w:hint="eastAsia" w:ascii="仿宋" w:hAnsi="仿宋" w:eastAsia="仿宋" w:cs="仿宋"/>
                <w:color w:val="auto"/>
                <w:sz w:val="24"/>
                <w:szCs w:val="24"/>
                <w:highlight w:val="none"/>
              </w:rPr>
              <w:t>，采购人收到</w:t>
            </w:r>
            <w:r>
              <w:rPr>
                <w:rFonts w:hint="eastAsia" w:ascii="仿宋" w:hAnsi="仿宋" w:eastAsia="仿宋" w:cs="仿宋"/>
                <w:color w:val="auto"/>
                <w:sz w:val="24"/>
                <w:szCs w:val="24"/>
                <w:highlight w:val="none"/>
                <w:lang w:val="en-US" w:eastAsia="zh-CN"/>
              </w:rPr>
              <w:t>供应商的请款材料及等额</w:t>
            </w:r>
            <w:r>
              <w:rPr>
                <w:rFonts w:hint="eastAsia" w:ascii="仿宋" w:hAnsi="仿宋" w:eastAsia="仿宋" w:cs="仿宋"/>
                <w:color w:val="auto"/>
                <w:sz w:val="24"/>
                <w:szCs w:val="24"/>
                <w:highlight w:val="none"/>
              </w:rPr>
              <w:t>发票后10个工作日内办理支付手续。</w:t>
            </w:r>
          </w:p>
          <w:p w14:paraId="74CA28D6">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年度支付限额为自治区财政厅批复的项目预算额度，若采购人当年财政预算资金支付额度用完后，待下一年度再支付中标人合同款。</w:t>
            </w:r>
          </w:p>
          <w:p w14:paraId="6D470278">
            <w:pPr>
              <w:spacing w:line="400" w:lineRule="exac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4.发票开具要求：等额的合法正规的发票。</w:t>
            </w:r>
          </w:p>
        </w:tc>
      </w:tr>
      <w:tr w14:paraId="2983F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6F4D9E">
            <w:pPr>
              <w:pStyle w:val="308"/>
              <w:spacing w:line="400" w:lineRule="exact"/>
              <w:ind w:firstLine="0" w:firstLineChars="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验收要求</w:t>
            </w:r>
          </w:p>
        </w:tc>
        <w:tc>
          <w:tcPr>
            <w:tcW w:w="6642" w:type="dxa"/>
            <w:tcBorders>
              <w:top w:val="single" w:color="auto" w:sz="4" w:space="0"/>
              <w:left w:val="single" w:color="auto" w:sz="4" w:space="0"/>
              <w:bottom w:val="single" w:color="auto" w:sz="4" w:space="0"/>
              <w:right w:val="single" w:color="auto" w:sz="4" w:space="0"/>
            </w:tcBorders>
            <w:shd w:val="clear" w:color="auto" w:fill="auto"/>
            <w:vAlign w:val="center"/>
          </w:tcPr>
          <w:p w14:paraId="56A8A19A">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服务行为及服务成果质量必须符合国家及地方行政主管部门对相关工作的要求，满足国家和广西实施方案、技术规范规程、细则等文件的要求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中标人</w:t>
            </w:r>
            <w:r>
              <w:rPr>
                <w:rFonts w:hint="eastAsia" w:ascii="仿宋" w:hAnsi="仿宋" w:eastAsia="仿宋" w:cs="仿宋"/>
                <w:color w:val="auto"/>
                <w:sz w:val="24"/>
                <w:szCs w:val="24"/>
                <w:highlight w:val="none"/>
                <w:lang w:val="en-US" w:eastAsia="zh-CN"/>
              </w:rPr>
              <w:t>严格</w:t>
            </w:r>
            <w:r>
              <w:rPr>
                <w:rFonts w:hint="eastAsia" w:ascii="仿宋" w:hAnsi="仿宋" w:eastAsia="仿宋" w:cs="仿宋"/>
                <w:color w:val="auto"/>
                <w:sz w:val="24"/>
                <w:szCs w:val="24"/>
                <w:highlight w:val="none"/>
              </w:rPr>
              <w:t>按政策</w:t>
            </w:r>
            <w:r>
              <w:rPr>
                <w:rFonts w:hint="eastAsia" w:ascii="仿宋" w:hAnsi="仿宋" w:eastAsia="仿宋" w:cs="仿宋"/>
                <w:color w:val="auto"/>
                <w:sz w:val="24"/>
                <w:szCs w:val="24"/>
                <w:highlight w:val="none"/>
                <w:lang w:val="en-US" w:eastAsia="zh-CN"/>
              </w:rPr>
              <w:t>及行政主管部门的</w:t>
            </w:r>
            <w:r>
              <w:rPr>
                <w:rFonts w:hint="eastAsia" w:ascii="仿宋" w:hAnsi="仿宋" w:eastAsia="仿宋" w:cs="仿宋"/>
                <w:color w:val="auto"/>
                <w:sz w:val="24"/>
                <w:szCs w:val="24"/>
                <w:highlight w:val="none"/>
              </w:rPr>
              <w:t>要求提交成果</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w:t>
            </w:r>
          </w:p>
          <w:p w14:paraId="061F136A">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2.采购人验收的标准以国家及地方政策和项目采购需求作为验收合格的根据。</w:t>
            </w:r>
          </w:p>
          <w:p w14:paraId="69B53924">
            <w:pPr>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3.采购人验收</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发现</w:t>
            </w:r>
            <w:r>
              <w:rPr>
                <w:rFonts w:hint="eastAsia" w:ascii="仿宋" w:hAnsi="仿宋" w:eastAsia="仿宋" w:cs="仿宋"/>
                <w:color w:val="auto"/>
                <w:sz w:val="24"/>
                <w:szCs w:val="24"/>
                <w:highlight w:val="none"/>
              </w:rPr>
              <w:t>不符合国家及地方政策或招投标文件或项目合同规定的成果</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，采购人有权拒绝接收。中标人须根据相关要求进行无条件返工直至通过验收，所造成的经济损失由中标人承担。给采购人带来不良影响的，</w:t>
            </w:r>
            <w:r>
              <w:rPr>
                <w:rFonts w:hint="eastAsia" w:ascii="仿宋" w:hAnsi="仿宋" w:eastAsia="仿宋" w:cs="仿宋"/>
                <w:color w:val="auto"/>
                <w:sz w:val="24"/>
                <w:szCs w:val="24"/>
                <w:highlight w:val="none"/>
                <w:lang w:val="en-US" w:eastAsia="zh-CN"/>
              </w:rPr>
              <w:t>中标人须做出赔偿。</w:t>
            </w:r>
          </w:p>
        </w:tc>
      </w:tr>
      <w:tr w14:paraId="0A82C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19F3FF">
            <w:pPr>
              <w:pStyle w:val="308"/>
              <w:spacing w:line="400" w:lineRule="exact"/>
              <w:ind w:firstLine="0" w:firstLine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售后服务要求</w:t>
            </w:r>
          </w:p>
        </w:tc>
        <w:tc>
          <w:tcPr>
            <w:tcW w:w="6642" w:type="dxa"/>
            <w:tcBorders>
              <w:top w:val="single" w:color="auto" w:sz="4" w:space="0"/>
              <w:left w:val="single" w:color="auto" w:sz="4" w:space="0"/>
              <w:bottom w:val="single" w:color="auto" w:sz="4" w:space="0"/>
              <w:right w:val="single" w:color="auto" w:sz="4" w:space="0"/>
            </w:tcBorders>
            <w:shd w:val="clear" w:color="auto" w:fill="auto"/>
            <w:vAlign w:val="center"/>
          </w:tcPr>
          <w:p w14:paraId="45E09010">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售后服务期：验收合格交付使用后1年（自提交服务验收合格之日起计，以365日为一年）。</w:t>
            </w:r>
          </w:p>
          <w:p w14:paraId="06413955">
            <w:pPr>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处理问题响应时间：接到采购人处理问题通知后8小时内到达采购人指定现场，24小时内提出解决方案，3个工作日内完成问题处理。</w:t>
            </w:r>
          </w:p>
        </w:tc>
      </w:tr>
      <w:tr w14:paraId="18EE5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505F32">
            <w:pPr>
              <w:pStyle w:val="308"/>
              <w:spacing w:line="400" w:lineRule="exact"/>
              <w:ind w:firstLine="0" w:firstLine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投标报价要求</w:t>
            </w:r>
          </w:p>
        </w:tc>
        <w:tc>
          <w:tcPr>
            <w:tcW w:w="6642" w:type="dxa"/>
            <w:tcBorders>
              <w:top w:val="single" w:color="auto" w:sz="4" w:space="0"/>
              <w:left w:val="single" w:color="auto" w:sz="4" w:space="0"/>
              <w:bottom w:val="single" w:color="auto" w:sz="4" w:space="0"/>
              <w:right w:val="single" w:color="auto" w:sz="4" w:space="0"/>
            </w:tcBorders>
            <w:shd w:val="clear" w:color="auto" w:fill="auto"/>
            <w:vAlign w:val="center"/>
          </w:tcPr>
          <w:p w14:paraId="5A713791">
            <w:pPr>
              <w:pStyle w:val="308"/>
              <w:spacing w:line="400" w:lineRule="exact"/>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本项目实行总价包干；中标金额为完成项目所有服务所需的费用，包括但不限于服务过程中产生的劳务费、设备、机具材料费、</w:t>
            </w:r>
            <w:r>
              <w:rPr>
                <w:rFonts w:hint="eastAsia" w:ascii="仿宋" w:hAnsi="仿宋" w:eastAsia="仿宋" w:cs="仿宋"/>
                <w:color w:val="auto"/>
                <w:sz w:val="24"/>
                <w:szCs w:val="24"/>
                <w:highlight w:val="none"/>
                <w:lang w:eastAsia="zh-CN"/>
              </w:rPr>
              <w:t>交通费、数</w:t>
            </w:r>
            <w:r>
              <w:rPr>
                <w:rFonts w:hint="eastAsia" w:ascii="仿宋" w:hAnsi="仿宋" w:eastAsia="仿宋" w:cs="仿宋"/>
                <w:color w:val="auto"/>
                <w:sz w:val="24"/>
                <w:szCs w:val="24"/>
                <w:highlight w:val="none"/>
              </w:rPr>
              <w:t>据处理、</w:t>
            </w:r>
            <w:r>
              <w:rPr>
                <w:rFonts w:hint="eastAsia" w:ascii="仿宋" w:hAnsi="仿宋" w:eastAsia="仿宋" w:cs="仿宋"/>
                <w:color w:val="auto"/>
                <w:sz w:val="24"/>
                <w:szCs w:val="24"/>
                <w:highlight w:val="none"/>
                <w:lang w:val="en-US" w:eastAsia="zh-CN"/>
              </w:rPr>
              <w:t>技术处理或咨询、</w:t>
            </w:r>
            <w:r>
              <w:rPr>
                <w:rFonts w:hint="eastAsia" w:ascii="仿宋" w:hAnsi="仿宋" w:eastAsia="仿宋" w:cs="仿宋"/>
                <w:color w:val="auto"/>
                <w:sz w:val="24"/>
                <w:szCs w:val="24"/>
                <w:highlight w:val="none"/>
              </w:rPr>
              <w:t>质量检查、培训等各种费用和售后服务、税金及其</w:t>
            </w:r>
            <w:r>
              <w:rPr>
                <w:rFonts w:hint="eastAsia" w:ascii="仿宋" w:hAnsi="仿宋" w:eastAsia="仿宋" w:cs="仿宋"/>
                <w:color w:val="auto"/>
                <w:sz w:val="24"/>
                <w:szCs w:val="24"/>
                <w:highlight w:val="none"/>
                <w:lang w:eastAsia="zh-CN"/>
              </w:rPr>
              <w:t>他</w:t>
            </w:r>
            <w:r>
              <w:rPr>
                <w:rFonts w:hint="eastAsia" w:ascii="仿宋" w:hAnsi="仿宋" w:eastAsia="仿宋" w:cs="仿宋"/>
                <w:color w:val="auto"/>
                <w:sz w:val="24"/>
                <w:szCs w:val="24"/>
                <w:highlight w:val="none"/>
              </w:rPr>
              <w:t>所有成本费用的总和。合同履约期间采购人不再支付其他费用。</w:t>
            </w:r>
          </w:p>
        </w:tc>
      </w:tr>
      <w:tr w14:paraId="62B15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E4E560">
            <w:pPr>
              <w:pStyle w:val="308"/>
              <w:spacing w:line="400" w:lineRule="exact"/>
              <w:ind w:firstLine="0" w:firstLine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其他要求</w:t>
            </w:r>
          </w:p>
        </w:tc>
        <w:tc>
          <w:tcPr>
            <w:tcW w:w="6642" w:type="dxa"/>
            <w:tcBorders>
              <w:top w:val="single" w:color="auto" w:sz="4" w:space="0"/>
              <w:left w:val="single" w:color="auto" w:sz="4" w:space="0"/>
              <w:bottom w:val="single" w:color="auto" w:sz="4" w:space="0"/>
              <w:right w:val="single" w:color="auto" w:sz="4" w:space="0"/>
            </w:tcBorders>
            <w:shd w:val="clear" w:color="auto" w:fill="auto"/>
            <w:vAlign w:val="center"/>
          </w:tcPr>
          <w:p w14:paraId="5FD98EC7">
            <w:pPr>
              <w:pStyle w:val="308"/>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根据采购人的要求，在涉密环境下进行项目实施，全程接受</w:t>
            </w:r>
            <w:r>
              <w:rPr>
                <w:rFonts w:hint="eastAsia" w:ascii="仿宋" w:hAnsi="仿宋" w:eastAsia="仿宋" w:cs="仿宋"/>
                <w:color w:val="auto"/>
                <w:sz w:val="24"/>
                <w:szCs w:val="24"/>
                <w:highlight w:val="none"/>
                <w:lang w:val="en-US" w:eastAsia="zh-CN"/>
              </w:rPr>
              <w:t>采购人的</w:t>
            </w:r>
            <w:r>
              <w:rPr>
                <w:rFonts w:hint="eastAsia" w:ascii="仿宋" w:hAnsi="仿宋" w:eastAsia="仿宋" w:cs="仿宋"/>
                <w:color w:val="auto"/>
                <w:sz w:val="24"/>
                <w:szCs w:val="24"/>
                <w:highlight w:val="none"/>
              </w:rPr>
              <w:t>保密监督及检查。中标人须对服务过程接触或涉及的一切数据资料、成果文件进行保密，确保数据安全。</w:t>
            </w:r>
          </w:p>
          <w:p w14:paraId="0E567094">
            <w:pPr>
              <w:pStyle w:val="308"/>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投标人投标文件中拟投入到本项目的所有人员必须如实投入到项目实施中。合同履约过程中未经采购人书面同意，不得更换。</w:t>
            </w:r>
          </w:p>
          <w:p w14:paraId="048D2A81">
            <w:pPr>
              <w:pStyle w:val="308"/>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采购人在中华人民共和国境内使用</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提供的产品及服务时免受第三方提出的侵犯其专利权或</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知识产权的起诉。如果第三方提出侵权指控，中标人承担由此而引起的一切法律责任和费用。</w:t>
            </w:r>
          </w:p>
          <w:p w14:paraId="34ED2DCB">
            <w:pPr>
              <w:pStyle w:val="308"/>
              <w:spacing w:line="400" w:lineRule="exact"/>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4.服务成果经采购人验收通过后，所有权归采购人所有，未经采购人同意中标人不得挪作他用，不得擅自公开相关项目数据或资料文件。</w:t>
            </w:r>
          </w:p>
        </w:tc>
      </w:tr>
    </w:tbl>
    <w:p w14:paraId="03F1B23D">
      <w:pPr>
        <w:spacing w:line="460" w:lineRule="exact"/>
        <w:ind w:firstLine="480"/>
        <w:rPr>
          <w:rFonts w:hint="eastAsia" w:ascii="仿宋" w:hAnsi="仿宋" w:eastAsia="仿宋" w:cs="仿宋"/>
          <w:b/>
          <w:bCs/>
          <w:color w:val="auto"/>
          <w:sz w:val="24"/>
          <w:highlight w:val="none"/>
        </w:rPr>
      </w:pPr>
    </w:p>
    <w:p w14:paraId="28C63103">
      <w:pPr>
        <w:spacing w:line="24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tbl>
      <w:tblPr>
        <w:tblStyle w:val="4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209"/>
        <w:gridCol w:w="877"/>
        <w:gridCol w:w="6642"/>
      </w:tblGrid>
      <w:tr w14:paraId="61667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C476A">
            <w:pPr>
              <w:spacing w:beforeLines="0" w:afterLines="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分标</w:t>
            </w:r>
          </w:p>
        </w:tc>
      </w:tr>
      <w:tr w14:paraId="4F12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8EC5C">
            <w:pPr>
              <w:tabs>
                <w:tab w:val="left" w:pos="180"/>
                <w:tab w:val="left" w:pos="1620"/>
              </w:tabs>
              <w:spacing w:beforeLines="0" w:afterLines="0"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35593">
            <w:pPr>
              <w:tabs>
                <w:tab w:val="left" w:pos="180"/>
                <w:tab w:val="left" w:pos="1620"/>
              </w:tabs>
              <w:spacing w:beforeLines="0" w:afterLines="0"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w:t>
            </w:r>
          </w:p>
          <w:p w14:paraId="36B59A24">
            <w:pPr>
              <w:tabs>
                <w:tab w:val="left" w:pos="180"/>
                <w:tab w:val="left" w:pos="1620"/>
              </w:tabs>
              <w:spacing w:beforeLines="0" w:afterLines="0"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tc>
        <w:tc>
          <w:tcPr>
            <w:tcW w:w="8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CD002">
            <w:pPr>
              <w:tabs>
                <w:tab w:val="left" w:pos="180"/>
                <w:tab w:val="left" w:pos="1620"/>
              </w:tabs>
              <w:spacing w:beforeLines="0" w:afterLines="0"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66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5EF1C">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lang w:val="en-US" w:eastAsia="zh-CN"/>
              </w:rPr>
              <w:t>技术要求（</w:t>
            </w:r>
            <w:r>
              <w:rPr>
                <w:rFonts w:hint="eastAsia" w:ascii="仿宋" w:hAnsi="仿宋" w:eastAsia="仿宋" w:cs="仿宋"/>
                <w:b/>
                <w:color w:val="auto"/>
                <w:sz w:val="24"/>
                <w:szCs w:val="24"/>
                <w:highlight w:val="none"/>
              </w:rPr>
              <w:t>服务内容和要求</w:t>
            </w:r>
            <w:r>
              <w:rPr>
                <w:rFonts w:hint="eastAsia" w:ascii="仿宋" w:hAnsi="仿宋" w:eastAsia="仿宋" w:cs="仿宋"/>
                <w:b/>
                <w:color w:val="auto"/>
                <w:sz w:val="24"/>
                <w:szCs w:val="24"/>
                <w:highlight w:val="none"/>
                <w:lang w:val="en-US" w:eastAsia="zh-CN"/>
              </w:rPr>
              <w:t>）</w:t>
            </w:r>
          </w:p>
        </w:tc>
      </w:tr>
      <w:tr w14:paraId="0E958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7" w:hRule="atLeast"/>
        </w:trPr>
        <w:tc>
          <w:tcPr>
            <w:tcW w:w="4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6E0E4">
            <w:pPr>
              <w:tabs>
                <w:tab w:val="left" w:pos="180"/>
                <w:tab w:val="left" w:pos="1620"/>
              </w:tabs>
              <w:spacing w:beforeLines="0" w:afterLines="0" w:line="360" w:lineRule="auto"/>
              <w:jc w:val="center"/>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1</w:t>
            </w:r>
          </w:p>
        </w:tc>
        <w:tc>
          <w:tcPr>
            <w:tcW w:w="12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84675">
            <w:pPr>
              <w:widowControl/>
              <w:spacing w:line="360" w:lineRule="auto"/>
              <w:jc w:val="center"/>
              <w:textAlignment w:val="top"/>
              <w:rPr>
                <w:rFonts w:hint="default" w:ascii="仿宋" w:hAnsi="仿宋" w:eastAsia="仿宋" w:cs="仿宋"/>
                <w:color w:val="auto"/>
                <w:kern w:val="0"/>
                <w:sz w:val="24"/>
                <w:szCs w:val="24"/>
                <w:highlight w:val="none"/>
                <w:u w:val="none"/>
                <w:lang w:val="en-US"/>
              </w:rPr>
            </w:pPr>
            <w:r>
              <w:rPr>
                <w:rFonts w:hint="eastAsia" w:ascii="仿宋" w:hAnsi="仿宋" w:eastAsia="仿宋" w:cs="仿宋"/>
                <w:color w:val="auto"/>
                <w:sz w:val="24"/>
                <w:highlight w:val="none"/>
                <w:u w:val="none"/>
                <w:lang w:eastAsia="zh-CN"/>
              </w:rPr>
              <w:t>全区卫星遥感数据统筹获取与处理（2026年优于1米分辨率卫星影像和0.3米分辨率立体卫星遥感影像）</w:t>
            </w:r>
            <w:r>
              <w:rPr>
                <w:rFonts w:hint="eastAsia" w:ascii="仿宋" w:hAnsi="仿宋" w:eastAsia="仿宋" w:cs="仿宋"/>
                <w:color w:val="auto"/>
                <w:sz w:val="24"/>
                <w:highlight w:val="none"/>
                <w:u w:val="none"/>
                <w:lang w:val="en-US" w:eastAsia="zh-CN"/>
              </w:rPr>
              <w:t>分标2</w:t>
            </w:r>
          </w:p>
        </w:tc>
        <w:tc>
          <w:tcPr>
            <w:tcW w:w="8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E104B">
            <w:pPr>
              <w:widowControl/>
              <w:spacing w:line="360" w:lineRule="auto"/>
              <w:jc w:val="center"/>
              <w:textAlignment w:val="top"/>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114</w:t>
            </w:r>
            <w:r>
              <w:rPr>
                <w:rFonts w:hint="eastAsia" w:ascii="仿宋" w:hAnsi="仿宋" w:eastAsia="仿宋" w:cs="仿宋"/>
                <w:color w:val="auto"/>
                <w:sz w:val="24"/>
                <w:highlight w:val="none"/>
              </w:rPr>
              <w:t>00平方千米</w:t>
            </w:r>
          </w:p>
        </w:tc>
        <w:tc>
          <w:tcPr>
            <w:tcW w:w="66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6203FC">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影像数据范围和数量</w:t>
            </w:r>
          </w:p>
          <w:p w14:paraId="0397367E">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广西壮族自治区中越边境及沿海共</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1400</w:t>
            </w:r>
            <w:r>
              <w:rPr>
                <w:rFonts w:hint="eastAsia" w:ascii="仿宋" w:hAnsi="仿宋" w:eastAsia="仿宋" w:cs="仿宋"/>
                <w:color w:val="auto"/>
                <w:sz w:val="24"/>
                <w:szCs w:val="24"/>
                <w:highlight w:val="none"/>
              </w:rPr>
              <w:t>平方千米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其中，三视4800平方千米，双视6600平方千米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具体矢量范围由采购人提供</w:t>
            </w:r>
            <w:r>
              <w:rPr>
                <w:rFonts w:hint="eastAsia" w:ascii="仿宋" w:hAnsi="仿宋" w:eastAsia="仿宋" w:cs="仿宋"/>
                <w:color w:val="auto"/>
                <w:sz w:val="24"/>
                <w:szCs w:val="24"/>
                <w:highlight w:val="none"/>
              </w:rPr>
              <w:t>；如因采购人需求变化，在不超过影像获取总面积的情况下，供应商应当配合对数据获取范围进行调整。原始数据要求为由同轨获取的</w:t>
            </w:r>
            <w:r>
              <w:rPr>
                <w:rFonts w:hint="eastAsia" w:ascii="仿宋" w:hAnsi="仿宋" w:eastAsia="仿宋" w:cs="仿宋"/>
                <w:color w:val="auto"/>
                <w:sz w:val="24"/>
                <w:szCs w:val="24"/>
                <w:highlight w:val="none"/>
                <w:lang w:val="en-US" w:eastAsia="zh-CN"/>
              </w:rPr>
              <w:t>双视和</w:t>
            </w: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视</w:t>
            </w:r>
            <w:r>
              <w:rPr>
                <w:rFonts w:hint="eastAsia" w:ascii="仿宋" w:hAnsi="仿宋" w:eastAsia="仿宋" w:cs="仿宋"/>
                <w:color w:val="auto"/>
                <w:sz w:val="24"/>
                <w:szCs w:val="24"/>
                <w:highlight w:val="none"/>
              </w:rPr>
              <w:t>立体数据，其中前后视基高比在0.5～0.</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之间；至少提供由全色数据和多光谱数据组成的四波段捆绑数据，如卫星原始拍摄数据包含其他波段数据应当一并全部提供，影像数据级别为预备正射产品</w:t>
            </w:r>
            <w:r>
              <w:rPr>
                <w:rFonts w:hint="eastAsia" w:ascii="仿宋" w:hAnsi="仿宋" w:eastAsia="仿宋" w:cs="仿宋"/>
                <w:color w:val="auto"/>
                <w:sz w:val="24"/>
                <w:szCs w:val="24"/>
                <w:highlight w:val="none"/>
                <w:lang w:eastAsia="zh-CN"/>
              </w:rPr>
              <w:t>（L1级及以上）</w:t>
            </w:r>
            <w:r>
              <w:rPr>
                <w:rFonts w:hint="eastAsia" w:ascii="仿宋" w:hAnsi="仿宋" w:eastAsia="仿宋" w:cs="仿宋"/>
                <w:color w:val="auto"/>
                <w:sz w:val="24"/>
                <w:szCs w:val="24"/>
                <w:highlight w:val="none"/>
              </w:rPr>
              <w:t>。</w:t>
            </w:r>
          </w:p>
          <w:p w14:paraId="3BD73A58">
            <w:pPr>
              <w:pStyle w:val="18"/>
              <w:spacing w:line="36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drawing>
                <wp:inline distT="0" distB="0" distL="114300" distR="114300">
                  <wp:extent cx="4110990" cy="3253105"/>
                  <wp:effectExtent l="0" t="0" r="3810" b="8255"/>
                  <wp:docPr id="3" name="图片 3" descr="db96af9bb5b3156dcbfe8f1472cef7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b96af9bb5b3156dcbfe8f1472cef70e"/>
                          <pic:cNvPicPr>
                            <a:picLocks noChangeAspect="1"/>
                          </pic:cNvPicPr>
                        </pic:nvPicPr>
                        <pic:blipFill>
                          <a:blip r:embed="rId23"/>
                          <a:stretch>
                            <a:fillRect/>
                          </a:stretch>
                        </pic:blipFill>
                        <pic:spPr>
                          <a:xfrm>
                            <a:off x="0" y="0"/>
                            <a:ext cx="4110990" cy="3253105"/>
                          </a:xfrm>
                          <a:prstGeom prst="rect">
                            <a:avLst/>
                          </a:prstGeom>
                        </pic:spPr>
                      </pic:pic>
                    </a:graphicData>
                  </a:graphic>
                </wp:inline>
              </w:drawing>
            </w:r>
          </w:p>
          <w:p w14:paraId="4FDA24CE">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数据分辨率及要求 </w:t>
            </w:r>
          </w:p>
          <w:p w14:paraId="270B6FFE">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原始数据要求为由同轨获取的两视立体数据和三视立体数据，包括由全色数据和多光谱数据组成的四波段捆绑数据，其空间分辨率要求全色数据星下点分辨率优于或等于0.3米、四波段多光谱数据优于或等于1.2米；所采购遥感影像数据为编程数据。</w:t>
            </w:r>
          </w:p>
          <w:p w14:paraId="5A4463FB">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（2）获取的影像数据需要覆盖上述“影像数据范围和数量”任务区，且外扩不少于2000米。</w:t>
            </w:r>
          </w:p>
          <w:p w14:paraId="335D826E">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数据时相要求</w:t>
            </w:r>
          </w:p>
          <w:p w14:paraId="6D9A8523">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主要时相要求为2026年1月1日至2026年12月31日。数据时相要求优于2026年，同时要求在数据获取截止时间2026年12月31日前，供应商获取了已供货区域现势性更佳的卫星影像时、应提供更新的卫星影像替代已提供影像，避免因数据时相跨度过长造成的数据时效性问题。受天气条件客观影响或采购人提出需求改变数据时相的，经采购人确认后，可适当延后数据时相要求。</w:t>
            </w:r>
          </w:p>
          <w:p w14:paraId="74E4A907">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原始数据格式要求</w:t>
            </w:r>
          </w:p>
          <w:p w14:paraId="61A7AEF5">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卫星遥感影像需提供原始遥感数据及RPC参数等文件，产品级别为预备正射产品（L1级及以上）；影像数据格式为TIF标准格式，压缩包格式为tar.gz格式。</w:t>
            </w:r>
          </w:p>
          <w:p w14:paraId="485881A1">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数据质量要求 </w:t>
            </w:r>
          </w:p>
          <w:p w14:paraId="2FEC36A1">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（1）每景原始数据云雪雾覆盖量小于10%，且云、雪不得覆盖在城市建成区等重点区域和建（构）筑物等重点目标；若原始数据有云雪雾覆盖量超过10%，须重采数据。</w:t>
            </w:r>
          </w:p>
          <w:p w14:paraId="4EF9C80C">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（2）卫星遥感影像原始数据无以下现象：光谱溢出、数据质量不稳定和掉线等各种质量问题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其他参照CH/Z1044-2018光学卫星遥感影像质量检验技术规程</w:t>
            </w:r>
            <w:r>
              <w:rPr>
                <w:rFonts w:hint="eastAsia" w:ascii="仿宋" w:hAnsi="仿宋" w:eastAsia="仿宋" w:cs="仿宋"/>
                <w:color w:val="auto"/>
                <w:sz w:val="24"/>
                <w:szCs w:val="24"/>
                <w:highlight w:val="none"/>
              </w:rPr>
              <w:t>。</w:t>
            </w:r>
          </w:p>
          <w:p w14:paraId="59D18F5F">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卫星遥感影像接收的数据要求相邻条带之间原则上有不少于10%的重叠区，同条带相邻两景最低不低于4%的重叠区，以保证成图范围内无缝拼接。针对数据空洞或缝隙问题进行补充拍摄的数据，其重叠区要求参照本条要求执行。</w:t>
            </w:r>
          </w:p>
          <w:p w14:paraId="3169BEEC">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（4）卫星遥感影像原始影像数据拍摄侧视角度不超过±35°。</w:t>
            </w:r>
          </w:p>
          <w:p w14:paraId="704B1649">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（5）卫星遥感影像全色及多光谱遥感影像必须提供全部的星历参数或其他有关参数，使用严格物理模型、以确保正射校正的精度。</w:t>
            </w:r>
          </w:p>
        </w:tc>
      </w:tr>
      <w:tr w14:paraId="1FDA8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417C012">
            <w:pPr>
              <w:spacing w:beforeLines="0" w:afterLines="0"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商务要求</w:t>
            </w:r>
          </w:p>
        </w:tc>
      </w:tr>
      <w:tr w14:paraId="12F2D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71BF092">
            <w:pPr>
              <w:snapToGrid w:val="0"/>
              <w:spacing w:beforeLines="0" w:afterLines="0"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服务成果提交</w:t>
            </w:r>
            <w:r>
              <w:rPr>
                <w:rFonts w:hint="eastAsia" w:ascii="仿宋" w:hAnsi="仿宋" w:eastAsia="仿宋" w:cs="仿宋"/>
                <w:color w:val="auto"/>
                <w:sz w:val="24"/>
                <w:szCs w:val="24"/>
                <w:highlight w:val="none"/>
              </w:rPr>
              <w:t>及地点</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22F4E">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服务成果提交</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2026年12月底前，具体时间按采购人的具体要求</w:t>
            </w:r>
            <w:r>
              <w:rPr>
                <w:rFonts w:hint="eastAsia" w:ascii="仿宋" w:hAnsi="仿宋" w:eastAsia="仿宋" w:cs="仿宋"/>
                <w:color w:val="auto"/>
                <w:sz w:val="24"/>
                <w:szCs w:val="24"/>
                <w:highlight w:val="none"/>
              </w:rPr>
              <w:t>。</w:t>
            </w:r>
          </w:p>
          <w:p w14:paraId="4466CCD8">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2.服务地点：广西壮族自治区内采购人指定地点。</w:t>
            </w:r>
          </w:p>
        </w:tc>
      </w:tr>
      <w:tr w14:paraId="6EE67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F831DE8">
            <w:pPr>
              <w:spacing w:beforeLines="0" w:afterLines="0" w:line="40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合同签订时间</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06215">
            <w:pPr>
              <w:spacing w:beforeLines="0" w:afterLines="0" w:line="40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自中标通知书发出之日起25日内。</w:t>
            </w:r>
          </w:p>
        </w:tc>
      </w:tr>
      <w:tr w14:paraId="52BDE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F65C19A">
            <w:pPr>
              <w:pStyle w:val="308"/>
              <w:spacing w:beforeLines="0" w:afterLines="0"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付款条件</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0F8C6">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1.自签订合同之日起十个工作日内，采购人向中标人支付合同款总额30%作为预付款；</w:t>
            </w:r>
          </w:p>
          <w:p w14:paraId="1BFB88AA">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2.后续合同款支付，中标人依据交付的经验收合格的成果资料的实际数量（指交付的验收合格成果资料的影像数据数量）及金额，采购人收到供应商的请款材料及等额发票后10个工作日内办理支付手续。</w:t>
            </w:r>
          </w:p>
          <w:p w14:paraId="22429B6D">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3.年度支付限额为自治区财政厅批复的项目预算额度，若采购人当年财政预算资金支付额度用完后，待下一年度再支付中标人合同款。</w:t>
            </w:r>
          </w:p>
          <w:p w14:paraId="7FAECDC2">
            <w:pPr>
              <w:spacing w:beforeLines="0" w:afterLines="0" w:line="400" w:lineRule="exact"/>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4.发票开具要求：等额的合法正规的发票。</w:t>
            </w:r>
          </w:p>
        </w:tc>
      </w:tr>
      <w:tr w14:paraId="7A0A6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B19511">
            <w:pPr>
              <w:pStyle w:val="308"/>
              <w:spacing w:beforeLines="0" w:afterLines="0"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验收要求</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75DD2">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1.供应商服务行为及服务成果质量必须符合国家及地方行政主管部门对相关工作的要求，满足国家和广西实施方案、技术规范规程、细则等文件的要求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中标人严格按政策及行政主管部门的要求提交成果文件。</w:t>
            </w:r>
          </w:p>
          <w:p w14:paraId="7529985F">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2.采购人验收的标准以国家及地方政策和项目采购需求作为验收合格的根据。</w:t>
            </w:r>
          </w:p>
          <w:p w14:paraId="75AB9BD8">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验收时，发现不符合国家及地方政策或招投标文件或项目合同规定的成果的，采购人有权拒绝接收。中标人须根据相关要求进行无条件返工直至通过验收，所造成的经济损失由中标人承担。给采购人带来不良影响的，中标人须做出赔偿。</w:t>
            </w:r>
          </w:p>
        </w:tc>
      </w:tr>
      <w:tr w14:paraId="5A477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67828DC">
            <w:pPr>
              <w:pStyle w:val="308"/>
              <w:spacing w:beforeLines="0" w:afterLines="0"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售后服务要求</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4A079">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1.售后服务期：验收合格交付使用后1年（自提交服务验收合格之日起计，以365日为一年）。</w:t>
            </w:r>
          </w:p>
          <w:p w14:paraId="08CB2852">
            <w:pPr>
              <w:spacing w:beforeLines="0"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2.处理问题响应时间：接到采购人处理问题通知后8小时内到达采购人指定现场，24小时内提出解决方案，3个工作日内完成问题处理。</w:t>
            </w:r>
          </w:p>
        </w:tc>
      </w:tr>
      <w:tr w14:paraId="354E7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430F703">
            <w:pPr>
              <w:pStyle w:val="308"/>
              <w:spacing w:beforeLines="0" w:afterLines="0"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投标报价要求</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74562">
            <w:pPr>
              <w:pStyle w:val="308"/>
              <w:spacing w:beforeLines="0" w:afterLines="0" w:line="400" w:lineRule="exact"/>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本项目实行总价包干；中标金额为完成项目所有服务所需的费用，包括但不限于服务过程中产生的劳务费、设备、机具材料费、</w:t>
            </w:r>
            <w:r>
              <w:rPr>
                <w:rFonts w:hint="eastAsia" w:ascii="仿宋" w:hAnsi="仿宋" w:eastAsia="仿宋" w:cs="仿宋"/>
                <w:color w:val="auto"/>
                <w:sz w:val="24"/>
                <w:szCs w:val="24"/>
                <w:highlight w:val="none"/>
                <w:lang w:eastAsia="zh-CN"/>
              </w:rPr>
              <w:t>交通费、数</w:t>
            </w:r>
            <w:r>
              <w:rPr>
                <w:rFonts w:hint="eastAsia" w:ascii="仿宋" w:hAnsi="仿宋" w:eastAsia="仿宋" w:cs="仿宋"/>
                <w:color w:val="auto"/>
                <w:sz w:val="24"/>
                <w:szCs w:val="24"/>
                <w:highlight w:val="none"/>
              </w:rPr>
              <w:t>据处理、技术处理或咨询、质量检查、培训等各种费用和售后服务、税金及其</w:t>
            </w:r>
            <w:r>
              <w:rPr>
                <w:rFonts w:hint="eastAsia" w:ascii="仿宋" w:hAnsi="仿宋" w:eastAsia="仿宋" w:cs="仿宋"/>
                <w:color w:val="auto"/>
                <w:sz w:val="24"/>
                <w:szCs w:val="24"/>
                <w:highlight w:val="none"/>
                <w:lang w:eastAsia="zh-CN"/>
              </w:rPr>
              <w:t>他</w:t>
            </w:r>
            <w:r>
              <w:rPr>
                <w:rFonts w:hint="eastAsia" w:ascii="仿宋" w:hAnsi="仿宋" w:eastAsia="仿宋" w:cs="仿宋"/>
                <w:color w:val="auto"/>
                <w:sz w:val="24"/>
                <w:szCs w:val="24"/>
                <w:highlight w:val="none"/>
              </w:rPr>
              <w:t>所有成本费用的总和。合同履约期间采购人不再支付其他费用。</w:t>
            </w:r>
          </w:p>
        </w:tc>
      </w:tr>
      <w:tr w14:paraId="10EA4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61BED85">
            <w:pPr>
              <w:pStyle w:val="308"/>
              <w:spacing w:beforeLines="0" w:afterLines="0"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其他要求</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63BF6F">
            <w:pPr>
              <w:pStyle w:val="308"/>
              <w:spacing w:beforeLines="0" w:afterLines="0"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1.根据采购人的要求，在涉密环境下进行项目实施，全程接受采购人的保密监督及检查。中标人须对服务过程接触或涉及的一切数据资料、成果文件进行保密，确保数据安全。</w:t>
            </w:r>
          </w:p>
          <w:p w14:paraId="68207234">
            <w:pPr>
              <w:pStyle w:val="308"/>
              <w:spacing w:beforeLines="0" w:afterLines="0"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2.投标人投标文件中拟投入到本项目的所有人员必须如实投入到项目实施中。合同履约过程中未经采购人书面同意，不得更换。</w:t>
            </w:r>
          </w:p>
          <w:p w14:paraId="4368E2F4">
            <w:pPr>
              <w:pStyle w:val="308"/>
              <w:spacing w:beforeLines="0" w:afterLines="0"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3.采购人在中华人民共和国境内使用</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提供的产品及服务时免受第三方提出的侵犯其专利权或</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知识产权的起诉。如果第三方提出侵权指控，中标人承担由此而引起的一切法律责任和费用。</w:t>
            </w:r>
          </w:p>
          <w:p w14:paraId="06916511">
            <w:pPr>
              <w:pStyle w:val="308"/>
              <w:spacing w:beforeLines="0" w:afterLines="0"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4.服务成果经采购人验收通过后，所有权归采购人所有，未经采购人同意中标人不得挪作他用，不得擅自公开相关项目数据或资料文件。</w:t>
            </w:r>
          </w:p>
        </w:tc>
      </w:tr>
    </w:tbl>
    <w:p w14:paraId="41DA1F9E">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tbl>
      <w:tblPr>
        <w:tblStyle w:val="4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209"/>
        <w:gridCol w:w="877"/>
        <w:gridCol w:w="6642"/>
      </w:tblGrid>
      <w:tr w14:paraId="4077E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9951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分标</w:t>
            </w:r>
          </w:p>
        </w:tc>
      </w:tr>
      <w:tr w14:paraId="42CE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7C7C8">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5F9D0">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w:t>
            </w:r>
          </w:p>
          <w:p w14:paraId="523F522E">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tc>
        <w:tc>
          <w:tcPr>
            <w:tcW w:w="8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2961B">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66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23EC9">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lang w:val="en-US" w:eastAsia="zh-CN"/>
              </w:rPr>
              <w:t>技术要求（</w:t>
            </w:r>
            <w:r>
              <w:rPr>
                <w:rFonts w:hint="eastAsia" w:ascii="仿宋" w:hAnsi="仿宋" w:eastAsia="仿宋" w:cs="仿宋"/>
                <w:b/>
                <w:color w:val="auto"/>
                <w:sz w:val="24"/>
                <w:szCs w:val="24"/>
                <w:highlight w:val="none"/>
              </w:rPr>
              <w:t>服务内容和要求</w:t>
            </w:r>
            <w:r>
              <w:rPr>
                <w:rFonts w:hint="eastAsia" w:ascii="仿宋" w:hAnsi="仿宋" w:eastAsia="仿宋" w:cs="仿宋"/>
                <w:b/>
                <w:color w:val="auto"/>
                <w:sz w:val="24"/>
                <w:szCs w:val="24"/>
                <w:highlight w:val="none"/>
                <w:lang w:val="en-US" w:eastAsia="zh-CN"/>
              </w:rPr>
              <w:t>）</w:t>
            </w:r>
          </w:p>
        </w:tc>
      </w:tr>
      <w:tr w14:paraId="5B51E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7" w:hRule="atLeast"/>
        </w:trPr>
        <w:tc>
          <w:tcPr>
            <w:tcW w:w="4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F2761">
            <w:pPr>
              <w:tabs>
                <w:tab w:val="left" w:pos="180"/>
                <w:tab w:val="left" w:pos="162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2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004C1">
            <w:pPr>
              <w:widowControl/>
              <w:spacing w:line="360" w:lineRule="auto"/>
              <w:jc w:val="center"/>
              <w:textAlignment w:val="top"/>
              <w:rPr>
                <w:rFonts w:hint="default" w:ascii="仿宋" w:hAnsi="仿宋" w:eastAsia="仿宋" w:cs="仿宋"/>
                <w:color w:val="auto"/>
                <w:kern w:val="0"/>
                <w:sz w:val="24"/>
                <w:szCs w:val="24"/>
                <w:highlight w:val="none"/>
                <w:lang w:val="en-US"/>
              </w:rPr>
            </w:pPr>
            <w:r>
              <w:rPr>
                <w:rFonts w:hint="eastAsia" w:ascii="仿宋" w:hAnsi="仿宋" w:eastAsia="仿宋" w:cs="仿宋"/>
                <w:color w:val="auto"/>
                <w:sz w:val="24"/>
                <w:highlight w:val="none"/>
                <w:lang w:eastAsia="zh-CN"/>
              </w:rPr>
              <w:t>全区卫星遥感数据统筹获取与处理（2026年优于1米分辨率卫星影像和0.3米分辨率立体卫星遥感影像）</w:t>
            </w:r>
            <w:r>
              <w:rPr>
                <w:rFonts w:hint="eastAsia" w:ascii="仿宋" w:hAnsi="仿宋" w:eastAsia="仿宋" w:cs="仿宋"/>
                <w:color w:val="auto"/>
                <w:sz w:val="24"/>
                <w:highlight w:val="none"/>
                <w:lang w:val="en-US" w:eastAsia="zh-CN"/>
              </w:rPr>
              <w:t>分标3</w:t>
            </w:r>
          </w:p>
        </w:tc>
        <w:tc>
          <w:tcPr>
            <w:tcW w:w="8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6D113">
            <w:pPr>
              <w:widowControl/>
              <w:spacing w:line="360" w:lineRule="auto"/>
              <w:jc w:val="center"/>
              <w:textAlignment w:val="top"/>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236700平方千米</w:t>
            </w:r>
          </w:p>
        </w:tc>
        <w:tc>
          <w:tcPr>
            <w:tcW w:w="66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0D27B">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一、影像数据范围和数量</w:t>
            </w:r>
          </w:p>
          <w:p w14:paraId="319DD674">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采购人获取的“其他影像资源”基础上，补充采购广西全区（面积约236700平方千米）优于1米级卫星遥感影像实现2026年第三季度、2027年第一季度2期覆盖，每期覆盖率不低于90%。漏洞补充为事后采购补充，例如：第三季度优于1米分辨率卫星影像广西全域覆盖情况统计完成后，无影像覆盖的漏洞区域，需要采购第三季度优于1米分辨率影像补充。</w:t>
            </w:r>
          </w:p>
          <w:p w14:paraId="2AD72E7D">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预计采购面积为236700平方千米，最终数量以2026年第三季度、2027年第一季度漏洞区域为准。</w:t>
            </w:r>
          </w:p>
          <w:p w14:paraId="5BFEA1B3">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二、卫星遥感影像数据技术要求</w:t>
            </w:r>
          </w:p>
          <w:p w14:paraId="2C2C70DC">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1.数据分辨率及范围要求</w:t>
            </w:r>
          </w:p>
          <w:p w14:paraId="1B0066D7">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（1）原始数据要求为由同时相的全色数据和多光谱数据组成的四波段捆绑数据，其空间分辨率要求全色数据星下点原始分辨率优于或等于1米、四波段多光谱数据优于或等于4米，所采购遥感影像数据为编程数据。</w:t>
            </w:r>
          </w:p>
          <w:p w14:paraId="40AF6ADD">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（2）获取的影像数据范围为采购人获取的“其他影像资源”漏洞区，需要在采购人获取的“其他影像资源”基础上实现2026年第三季度、2027年第一季度覆盖。</w:t>
            </w:r>
          </w:p>
          <w:p w14:paraId="31565CA4">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2.数据时相要求</w:t>
            </w:r>
          </w:p>
          <w:p w14:paraId="72F87F97">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2026年7月1日至2027年3月31日。</w:t>
            </w:r>
          </w:p>
          <w:p w14:paraId="6C806492">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3.原始数据格式要求 </w:t>
            </w:r>
          </w:p>
          <w:p w14:paraId="5870E34B">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卫星遥感影像需提供原始遥感数据及RPC参数等文件，产品级别为预备正射产品（L1级及以上）；影像数据格式为TIF标准格式，压缩包格式为tar.gz格式。</w:t>
            </w:r>
          </w:p>
          <w:p w14:paraId="1A141B59">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4.数据质量要求</w:t>
            </w:r>
          </w:p>
          <w:p w14:paraId="3003C494">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（1）云量：正常情况单景云量≤10%。</w:t>
            </w:r>
          </w:p>
          <w:p w14:paraId="01DF09A3">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（2）侧摆角：一般情况侧摆角≤12°（最大不超过20°）。</w:t>
            </w:r>
          </w:p>
          <w:p w14:paraId="2F291789">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（3）重叠区：相邻条带之间原则上有不少于4%的重叠区（特殊情况不少于2%）；同条带相邻两景最低不低于6%的重叠区。</w:t>
            </w:r>
          </w:p>
          <w:p w14:paraId="7E3AF0B8">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（4）影像质量：无大面积噪声，层次丰富，地物清晰，无明显光谱溢出、数据质量不稳定和掉线等各种质量问题，其他参照CH/Z1044-2018光学卫星遥感影像质量检验技术规程。 </w:t>
            </w:r>
          </w:p>
          <w:p w14:paraId="24AF5827">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（5）影像数据格式：非压缩的TIFF格式存储。</w:t>
            </w:r>
          </w:p>
          <w:p w14:paraId="21DD2C79">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（6）数据级别：经辐射纠正的L1级及以上原始影像产品。</w:t>
            </w:r>
          </w:p>
          <w:p w14:paraId="5362888B">
            <w:pPr>
              <w:pStyle w:val="18"/>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（7）原始产品波段：全色及4波段多光谱。</w:t>
            </w:r>
          </w:p>
          <w:p w14:paraId="05F2E469">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（8）原始产品附件：包括RPC参数，元数据，快视图等</w:t>
            </w:r>
            <w:r>
              <w:rPr>
                <w:rFonts w:hint="eastAsia" w:ascii="仿宋" w:hAnsi="仿宋" w:eastAsia="仿宋" w:cs="仿宋"/>
                <w:color w:val="auto"/>
                <w:sz w:val="24"/>
                <w:szCs w:val="24"/>
                <w:highlight w:val="none"/>
              </w:rPr>
              <w:t>。</w:t>
            </w:r>
          </w:p>
        </w:tc>
      </w:tr>
      <w:tr w14:paraId="1DDB4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60FF4F63">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商务要求</w:t>
            </w:r>
          </w:p>
        </w:tc>
      </w:tr>
      <w:tr w14:paraId="6AC09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F9292BE">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服务成果提交</w:t>
            </w:r>
            <w:r>
              <w:rPr>
                <w:rFonts w:hint="eastAsia" w:ascii="仿宋" w:hAnsi="仿宋" w:eastAsia="仿宋" w:cs="仿宋"/>
                <w:color w:val="auto"/>
                <w:sz w:val="24"/>
                <w:szCs w:val="24"/>
                <w:highlight w:val="none"/>
              </w:rPr>
              <w:t>及地点</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8C478">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服务成果提交</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202</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月底前，具体时间按采购人的具体要求</w:t>
            </w:r>
            <w:r>
              <w:rPr>
                <w:rFonts w:hint="eastAsia" w:ascii="仿宋" w:hAnsi="仿宋" w:eastAsia="仿宋" w:cs="仿宋"/>
                <w:color w:val="auto"/>
                <w:sz w:val="24"/>
                <w:szCs w:val="24"/>
                <w:highlight w:val="none"/>
              </w:rPr>
              <w:t>。</w:t>
            </w:r>
          </w:p>
          <w:p w14:paraId="26BD4CCE">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2.服务地点：广西壮族自治区内采购人指定地点。</w:t>
            </w:r>
          </w:p>
        </w:tc>
      </w:tr>
      <w:tr w14:paraId="0B405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EFC42E2">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合同签订时间</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29E86">
            <w:pPr>
              <w:spacing w:line="40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自中标通知书发出之日起25日内。</w:t>
            </w:r>
          </w:p>
        </w:tc>
      </w:tr>
      <w:tr w14:paraId="3B59E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B32235A">
            <w:pPr>
              <w:pStyle w:val="308"/>
              <w:spacing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付款条件</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87588">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1.自签订合同之日起十个工作日内，</w:t>
            </w:r>
            <w:r>
              <w:rPr>
                <w:rFonts w:hint="eastAsia" w:ascii="仿宋" w:hAnsi="仿宋" w:eastAsia="仿宋" w:cs="仿宋"/>
                <w:color w:val="auto"/>
                <w:sz w:val="24"/>
                <w:szCs w:val="24"/>
                <w:highlight w:val="none"/>
                <w:lang w:val="en-US" w:eastAsia="zh-CN"/>
              </w:rPr>
              <w:t>中标人提供项目实施计划及分包合同后，</w:t>
            </w:r>
            <w:r>
              <w:rPr>
                <w:rFonts w:hint="eastAsia" w:ascii="仿宋" w:hAnsi="仿宋" w:eastAsia="仿宋" w:cs="仿宋"/>
                <w:color w:val="auto"/>
                <w:sz w:val="24"/>
                <w:szCs w:val="24"/>
                <w:highlight w:val="none"/>
              </w:rPr>
              <w:t>采购人向中标人支付合同款总额30%作为预付款；</w:t>
            </w:r>
          </w:p>
          <w:p w14:paraId="2A5A0E54">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2.后续合同款支付，中标人依据交付的经验收合格的成果资料的实际数量（指交付的验收合格成果资料的影像数据数量）及金额，采购人收到供应商的请款材料及等额发票后10个工作日内办理支付手续。</w:t>
            </w:r>
            <w:r>
              <w:rPr>
                <w:rFonts w:hint="eastAsia" w:ascii="仿宋" w:hAnsi="仿宋" w:eastAsia="仿宋" w:cs="仿宋"/>
                <w:color w:val="auto"/>
                <w:sz w:val="24"/>
                <w:szCs w:val="24"/>
                <w:highlight w:val="none"/>
                <w:lang w:val="en-US" w:eastAsia="zh-CN"/>
              </w:rPr>
              <w:t>采购人支付最后一笔款前，供应商须提供项目分包合同到采购人。</w:t>
            </w:r>
          </w:p>
          <w:p w14:paraId="1315F863">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3.年度支付限额为自治区财政厅批复的项目预算额度，若采购人当年财政预算资金支付额度用完后，待下一年度再支付中标人合同款。</w:t>
            </w:r>
          </w:p>
          <w:p w14:paraId="0695ACB6">
            <w:pPr>
              <w:spacing w:line="400" w:lineRule="exact"/>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4.发票开具要求：等额的合法正规的发票。</w:t>
            </w:r>
          </w:p>
        </w:tc>
      </w:tr>
      <w:tr w14:paraId="6EE80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5659439">
            <w:pPr>
              <w:pStyle w:val="308"/>
              <w:spacing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验收要求</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F933C">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1.供应商服务行为及服务成果质量必须符合国家及地方行政主管部门对相关工作的要求，满足国家和广西实施方案、技术规范规程、细则等文件的要求,中标人严格按政策及行政主管部门的要求提交成果文件。</w:t>
            </w:r>
          </w:p>
          <w:p w14:paraId="24867D5B">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2.采购人验收的标准以国家及地方政策和项目采购需求作为验收合格的根据。</w:t>
            </w:r>
          </w:p>
          <w:p w14:paraId="63E357C9">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验收时，发现不符合国家及地方政策或招投标文件或项目合同规定的成果的，采购人有权拒绝接收。中标人须根据相关要求进行无条件返工直至通过验收，所造成的经济损失由中标人承担。给采购人带来不良影响的，中标人须做出赔偿。</w:t>
            </w:r>
          </w:p>
        </w:tc>
      </w:tr>
      <w:tr w14:paraId="7E35D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00158B5">
            <w:pPr>
              <w:pStyle w:val="308"/>
              <w:spacing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售后服务要求</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8439A">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1.售后服务期：验收合格交付使用后1年（自提交服务验收合格之日起计，以365日为一年）。</w:t>
            </w:r>
          </w:p>
          <w:p w14:paraId="1898CEB6">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2.处理问题响应时间：接到采购人处理问题通知后8小时内到达采购人指定现场，24小时内提出解决方案，3个工作日内完成问题处理。</w:t>
            </w:r>
          </w:p>
          <w:p w14:paraId="62B7F131">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r>
      <w:tr w14:paraId="549C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30343C5">
            <w:pPr>
              <w:pStyle w:val="308"/>
              <w:spacing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投标报价要求</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36EA3">
            <w:pPr>
              <w:pStyle w:val="308"/>
              <w:spacing w:line="400" w:lineRule="exact"/>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本项目实行总价包干；中标金额为完成项目所有服务所需的费用，包括但不限于服务过程中产生的劳务费、设备、机具材料费、</w:t>
            </w:r>
            <w:r>
              <w:rPr>
                <w:rFonts w:hint="eastAsia" w:ascii="仿宋" w:hAnsi="仿宋" w:eastAsia="仿宋" w:cs="仿宋"/>
                <w:color w:val="auto"/>
                <w:sz w:val="24"/>
                <w:szCs w:val="24"/>
                <w:highlight w:val="none"/>
                <w:lang w:eastAsia="zh-CN"/>
              </w:rPr>
              <w:t>交通费、数</w:t>
            </w:r>
            <w:r>
              <w:rPr>
                <w:rFonts w:hint="eastAsia" w:ascii="仿宋" w:hAnsi="仿宋" w:eastAsia="仿宋" w:cs="仿宋"/>
                <w:color w:val="auto"/>
                <w:sz w:val="24"/>
                <w:szCs w:val="24"/>
                <w:highlight w:val="none"/>
              </w:rPr>
              <w:t>据处理、技术处理或咨询、质量检查、培训等各种费用和售后服务、税金及其</w:t>
            </w:r>
            <w:r>
              <w:rPr>
                <w:rFonts w:hint="eastAsia" w:ascii="仿宋" w:hAnsi="仿宋" w:eastAsia="仿宋" w:cs="仿宋"/>
                <w:color w:val="auto"/>
                <w:sz w:val="24"/>
                <w:szCs w:val="24"/>
                <w:highlight w:val="none"/>
                <w:lang w:eastAsia="zh-CN"/>
              </w:rPr>
              <w:t>他</w:t>
            </w:r>
            <w:r>
              <w:rPr>
                <w:rFonts w:hint="eastAsia" w:ascii="仿宋" w:hAnsi="仿宋" w:eastAsia="仿宋" w:cs="仿宋"/>
                <w:color w:val="auto"/>
                <w:sz w:val="24"/>
                <w:szCs w:val="24"/>
                <w:highlight w:val="none"/>
              </w:rPr>
              <w:t>所有成本费用的总和。合同履约期间采购人不再支付其他费用。</w:t>
            </w:r>
          </w:p>
        </w:tc>
      </w:tr>
      <w:tr w14:paraId="379DC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50E8387">
            <w:pPr>
              <w:pStyle w:val="308"/>
              <w:spacing w:line="400" w:lineRule="exact"/>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其他要求</w:t>
            </w:r>
          </w:p>
        </w:tc>
        <w:tc>
          <w:tcPr>
            <w:tcW w:w="6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24277">
            <w:pPr>
              <w:pStyle w:val="308"/>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1.根据采购人的要求，在涉密环境下进行项目实施，全程接受采购人的保密监督及检查。中标人须对服务过程接触或涉及的一切数据资料、成果文件进行保密，确保数据安全。</w:t>
            </w:r>
          </w:p>
          <w:p w14:paraId="6CC8EA9C">
            <w:pPr>
              <w:pStyle w:val="308"/>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2.投标人投标文件中拟投入到本项目的所有人员必须如实投入到项目实施中。合同履约过程中未经采购人书面同意，不得更换。</w:t>
            </w:r>
          </w:p>
          <w:p w14:paraId="0AA1058A">
            <w:pPr>
              <w:pStyle w:val="308"/>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3.采购人在中华人民共和国境内使用</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提供的产品及服务时免受第三方提出的侵犯其专利权或</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知识产权的起诉。如果第三方提出侵权指控，中标人承担由此而引起的一切法律责任和费用。</w:t>
            </w:r>
          </w:p>
          <w:p w14:paraId="5E420082">
            <w:pPr>
              <w:pStyle w:val="308"/>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4.服务成果经采购人验收通过后，所有权归采购人所有，未经采购人同意中标人不得挪作他用，不得擅自公开相关项目数据或资料文件。</w:t>
            </w:r>
          </w:p>
        </w:tc>
      </w:tr>
    </w:tbl>
    <w:p w14:paraId="69CAAB98">
      <w:pPr>
        <w:rPr>
          <w:rFonts w:hint="eastAsia" w:ascii="仿宋" w:hAnsi="仿宋" w:eastAsia="仿宋" w:cs="仿宋"/>
          <w:color w:val="auto"/>
          <w:highlight w:val="none"/>
        </w:rPr>
      </w:pPr>
      <w:r>
        <w:rPr>
          <w:rFonts w:hint="eastAsia" w:ascii="仿宋" w:hAnsi="仿宋" w:eastAsia="仿宋" w:cs="仿宋"/>
          <w:b/>
          <w:bCs/>
          <w:color w:val="auto"/>
          <w:sz w:val="24"/>
          <w:highlight w:val="none"/>
        </w:rPr>
        <w:br w:type="page"/>
      </w:r>
      <w:bookmarkEnd w:id="41"/>
      <w:bookmarkEnd w:id="42"/>
      <w:bookmarkStart w:id="43" w:name="_Toc25688"/>
    </w:p>
    <w:p w14:paraId="40424992">
      <w:p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附件1：</w:t>
      </w:r>
    </w:p>
    <w:p w14:paraId="0290D5CA">
      <w:pPr>
        <w:spacing w:line="528" w:lineRule="exact"/>
        <w:ind w:left="22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中小微企业划型标准</w:t>
      </w:r>
    </w:p>
    <w:tbl>
      <w:tblPr>
        <w:tblStyle w:val="41"/>
        <w:tblW w:w="9337" w:type="dxa"/>
        <w:tblInd w:w="250" w:type="dxa"/>
        <w:tblLayout w:type="fixed"/>
        <w:tblCellMar>
          <w:top w:w="0" w:type="dxa"/>
          <w:left w:w="108" w:type="dxa"/>
          <w:bottom w:w="0" w:type="dxa"/>
          <w:right w:w="108" w:type="dxa"/>
        </w:tblCellMar>
      </w:tblPr>
      <w:tblGrid>
        <w:gridCol w:w="1990"/>
        <w:gridCol w:w="1619"/>
        <w:gridCol w:w="1068"/>
        <w:gridCol w:w="1895"/>
        <w:gridCol w:w="1684"/>
        <w:gridCol w:w="1081"/>
      </w:tblGrid>
      <w:tr w14:paraId="338389DB">
        <w:tblPrEx>
          <w:tblCellMar>
            <w:top w:w="0" w:type="dxa"/>
            <w:left w:w="108" w:type="dxa"/>
            <w:bottom w:w="0" w:type="dxa"/>
            <w:right w:w="108" w:type="dxa"/>
          </w:tblCellMar>
        </w:tblPrEx>
        <w:trPr>
          <w:trHeight w:val="368" w:hRule="atLeast"/>
        </w:trPr>
        <w:tc>
          <w:tcPr>
            <w:tcW w:w="1990" w:type="dxa"/>
            <w:tcBorders>
              <w:top w:val="single" w:color="auto" w:sz="4" w:space="0"/>
              <w:left w:val="single" w:color="auto" w:sz="4" w:space="0"/>
              <w:bottom w:val="single" w:color="auto" w:sz="4" w:space="0"/>
              <w:right w:val="single" w:color="auto" w:sz="4" w:space="0"/>
            </w:tcBorders>
            <w:vAlign w:val="center"/>
          </w:tcPr>
          <w:p w14:paraId="5F3610AC">
            <w:pPr>
              <w:widowControl/>
              <w:jc w:val="center"/>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行业名称</w:t>
            </w:r>
          </w:p>
        </w:tc>
        <w:tc>
          <w:tcPr>
            <w:tcW w:w="1619" w:type="dxa"/>
            <w:tcBorders>
              <w:top w:val="single" w:color="auto" w:sz="4" w:space="0"/>
              <w:left w:val="nil"/>
              <w:bottom w:val="single" w:color="auto" w:sz="4" w:space="0"/>
              <w:right w:val="single" w:color="auto" w:sz="4" w:space="0"/>
            </w:tcBorders>
            <w:vAlign w:val="center"/>
          </w:tcPr>
          <w:p w14:paraId="56D233D6">
            <w:pPr>
              <w:widowControl/>
              <w:jc w:val="center"/>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指标名称</w:t>
            </w:r>
          </w:p>
        </w:tc>
        <w:tc>
          <w:tcPr>
            <w:tcW w:w="1068" w:type="dxa"/>
            <w:tcBorders>
              <w:top w:val="single" w:color="auto" w:sz="4" w:space="0"/>
              <w:left w:val="nil"/>
              <w:bottom w:val="single" w:color="auto" w:sz="4" w:space="0"/>
              <w:right w:val="single" w:color="auto" w:sz="4" w:space="0"/>
            </w:tcBorders>
            <w:vAlign w:val="center"/>
          </w:tcPr>
          <w:p w14:paraId="2C7CA8BE">
            <w:pPr>
              <w:widowControl/>
              <w:jc w:val="center"/>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计量单位</w:t>
            </w:r>
          </w:p>
        </w:tc>
        <w:tc>
          <w:tcPr>
            <w:tcW w:w="1895" w:type="dxa"/>
            <w:tcBorders>
              <w:top w:val="single" w:color="auto" w:sz="4" w:space="0"/>
              <w:left w:val="nil"/>
              <w:bottom w:val="single" w:color="auto" w:sz="4" w:space="0"/>
              <w:right w:val="single" w:color="auto" w:sz="4" w:space="0"/>
            </w:tcBorders>
            <w:vAlign w:val="center"/>
          </w:tcPr>
          <w:p w14:paraId="4FF2A99E">
            <w:pPr>
              <w:widowControl/>
              <w:jc w:val="center"/>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中型</w:t>
            </w:r>
          </w:p>
        </w:tc>
        <w:tc>
          <w:tcPr>
            <w:tcW w:w="1684" w:type="dxa"/>
            <w:tcBorders>
              <w:top w:val="single" w:color="auto" w:sz="4" w:space="0"/>
              <w:left w:val="nil"/>
              <w:bottom w:val="single" w:color="auto" w:sz="4" w:space="0"/>
              <w:right w:val="single" w:color="auto" w:sz="4" w:space="0"/>
            </w:tcBorders>
            <w:vAlign w:val="center"/>
          </w:tcPr>
          <w:p w14:paraId="4BA6EFF6">
            <w:pPr>
              <w:widowControl/>
              <w:jc w:val="center"/>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小型</w:t>
            </w:r>
          </w:p>
        </w:tc>
        <w:tc>
          <w:tcPr>
            <w:tcW w:w="1081" w:type="dxa"/>
            <w:tcBorders>
              <w:top w:val="single" w:color="auto" w:sz="4" w:space="0"/>
              <w:left w:val="nil"/>
              <w:bottom w:val="single" w:color="auto" w:sz="4" w:space="0"/>
              <w:right w:val="single" w:color="auto" w:sz="4" w:space="0"/>
            </w:tcBorders>
            <w:vAlign w:val="center"/>
          </w:tcPr>
          <w:p w14:paraId="590D978D">
            <w:pPr>
              <w:widowControl/>
              <w:jc w:val="center"/>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微型</w:t>
            </w:r>
          </w:p>
        </w:tc>
      </w:tr>
      <w:tr w14:paraId="4A08D575">
        <w:tblPrEx>
          <w:tblCellMar>
            <w:top w:w="0" w:type="dxa"/>
            <w:left w:w="108" w:type="dxa"/>
            <w:bottom w:w="0" w:type="dxa"/>
            <w:right w:w="108" w:type="dxa"/>
          </w:tblCellMar>
        </w:tblPrEx>
        <w:trPr>
          <w:trHeight w:val="368" w:hRule="atLeast"/>
        </w:trPr>
        <w:tc>
          <w:tcPr>
            <w:tcW w:w="1990" w:type="dxa"/>
            <w:tcBorders>
              <w:top w:val="nil"/>
              <w:left w:val="single" w:color="auto" w:sz="4" w:space="0"/>
              <w:bottom w:val="single" w:color="auto" w:sz="4" w:space="0"/>
              <w:right w:val="single" w:color="auto" w:sz="4" w:space="0"/>
            </w:tcBorders>
            <w:vAlign w:val="bottom"/>
          </w:tcPr>
          <w:p w14:paraId="488B54F5">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农、林、牧、渔</w:t>
            </w:r>
          </w:p>
        </w:tc>
        <w:tc>
          <w:tcPr>
            <w:tcW w:w="1619" w:type="dxa"/>
            <w:tcBorders>
              <w:top w:val="nil"/>
              <w:left w:val="nil"/>
              <w:bottom w:val="single" w:color="auto" w:sz="4" w:space="0"/>
              <w:right w:val="single" w:color="auto" w:sz="4" w:space="0"/>
            </w:tcBorders>
            <w:vAlign w:val="center"/>
          </w:tcPr>
          <w:p w14:paraId="3FAB3C9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403F83E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2335267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500≤Y＜20000</w:t>
            </w:r>
          </w:p>
        </w:tc>
        <w:tc>
          <w:tcPr>
            <w:tcW w:w="1684" w:type="dxa"/>
            <w:tcBorders>
              <w:top w:val="nil"/>
              <w:left w:val="nil"/>
              <w:bottom w:val="single" w:color="auto" w:sz="4" w:space="0"/>
              <w:right w:val="single" w:color="auto" w:sz="4" w:space="0"/>
            </w:tcBorders>
            <w:vAlign w:val="center"/>
          </w:tcPr>
          <w:p w14:paraId="14DA8CD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50≤Y＜500</w:t>
            </w:r>
          </w:p>
        </w:tc>
        <w:tc>
          <w:tcPr>
            <w:tcW w:w="1081" w:type="dxa"/>
            <w:tcBorders>
              <w:top w:val="nil"/>
              <w:left w:val="nil"/>
              <w:bottom w:val="single" w:color="auto" w:sz="4" w:space="0"/>
              <w:right w:val="single" w:color="auto" w:sz="4" w:space="0"/>
            </w:tcBorders>
            <w:vAlign w:val="center"/>
          </w:tcPr>
          <w:p w14:paraId="7DE88AC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Y＜50</w:t>
            </w:r>
          </w:p>
        </w:tc>
      </w:tr>
      <w:tr w14:paraId="4215F3B8">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1D34EAED">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工业</w:t>
            </w:r>
          </w:p>
        </w:tc>
        <w:tc>
          <w:tcPr>
            <w:tcW w:w="1619" w:type="dxa"/>
            <w:tcBorders>
              <w:top w:val="nil"/>
              <w:left w:val="nil"/>
              <w:bottom w:val="single" w:color="auto" w:sz="4" w:space="0"/>
              <w:right w:val="single" w:color="auto" w:sz="4" w:space="0"/>
            </w:tcBorders>
            <w:vAlign w:val="center"/>
          </w:tcPr>
          <w:p w14:paraId="305655B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7858343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50DFBB0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300≤X＜1000</w:t>
            </w:r>
          </w:p>
        </w:tc>
        <w:tc>
          <w:tcPr>
            <w:tcW w:w="1684" w:type="dxa"/>
            <w:tcBorders>
              <w:top w:val="nil"/>
              <w:left w:val="nil"/>
              <w:bottom w:val="single" w:color="auto" w:sz="4" w:space="0"/>
              <w:right w:val="single" w:color="auto" w:sz="4" w:space="0"/>
            </w:tcBorders>
            <w:vAlign w:val="center"/>
          </w:tcPr>
          <w:p w14:paraId="32D837A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20≤X＜300</w:t>
            </w:r>
          </w:p>
        </w:tc>
        <w:tc>
          <w:tcPr>
            <w:tcW w:w="1081" w:type="dxa"/>
            <w:tcBorders>
              <w:top w:val="nil"/>
              <w:left w:val="nil"/>
              <w:bottom w:val="single" w:color="auto" w:sz="4" w:space="0"/>
              <w:right w:val="single" w:color="auto" w:sz="4" w:space="0"/>
            </w:tcBorders>
            <w:vAlign w:val="center"/>
          </w:tcPr>
          <w:p w14:paraId="000C533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X＜20</w:t>
            </w:r>
          </w:p>
        </w:tc>
      </w:tr>
      <w:tr w14:paraId="73DAE717">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1B48C626">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620CADE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5881FDC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018841F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2000≤Y＜40000</w:t>
            </w:r>
          </w:p>
        </w:tc>
        <w:tc>
          <w:tcPr>
            <w:tcW w:w="1684" w:type="dxa"/>
            <w:tcBorders>
              <w:top w:val="nil"/>
              <w:left w:val="nil"/>
              <w:bottom w:val="single" w:color="auto" w:sz="4" w:space="0"/>
              <w:right w:val="single" w:color="auto" w:sz="4" w:space="0"/>
            </w:tcBorders>
            <w:vAlign w:val="center"/>
          </w:tcPr>
          <w:p w14:paraId="0E0CAC3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300≤Y＜2000</w:t>
            </w:r>
          </w:p>
        </w:tc>
        <w:tc>
          <w:tcPr>
            <w:tcW w:w="1081" w:type="dxa"/>
            <w:tcBorders>
              <w:top w:val="nil"/>
              <w:left w:val="nil"/>
              <w:bottom w:val="single" w:color="auto" w:sz="4" w:space="0"/>
              <w:right w:val="single" w:color="auto" w:sz="4" w:space="0"/>
            </w:tcBorders>
            <w:vAlign w:val="center"/>
          </w:tcPr>
          <w:p w14:paraId="537A1B1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Y＜300</w:t>
            </w:r>
          </w:p>
        </w:tc>
      </w:tr>
      <w:tr w14:paraId="4B5E0387">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7EB6EC48">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建筑业</w:t>
            </w:r>
          </w:p>
        </w:tc>
        <w:tc>
          <w:tcPr>
            <w:tcW w:w="1619" w:type="dxa"/>
            <w:tcBorders>
              <w:top w:val="nil"/>
              <w:left w:val="nil"/>
              <w:bottom w:val="single" w:color="auto" w:sz="4" w:space="0"/>
              <w:right w:val="single" w:color="auto" w:sz="4" w:space="0"/>
            </w:tcBorders>
            <w:vAlign w:val="center"/>
          </w:tcPr>
          <w:p w14:paraId="5EE1A49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483D178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10D0D84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6000≤Y＜80000</w:t>
            </w:r>
          </w:p>
        </w:tc>
        <w:tc>
          <w:tcPr>
            <w:tcW w:w="1684" w:type="dxa"/>
            <w:tcBorders>
              <w:top w:val="nil"/>
              <w:left w:val="nil"/>
              <w:bottom w:val="single" w:color="auto" w:sz="4" w:space="0"/>
              <w:right w:val="single" w:color="auto" w:sz="4" w:space="0"/>
            </w:tcBorders>
            <w:vAlign w:val="center"/>
          </w:tcPr>
          <w:p w14:paraId="43267E5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300≤Y＜6000</w:t>
            </w:r>
          </w:p>
        </w:tc>
        <w:tc>
          <w:tcPr>
            <w:tcW w:w="1081" w:type="dxa"/>
            <w:tcBorders>
              <w:top w:val="nil"/>
              <w:left w:val="nil"/>
              <w:bottom w:val="single" w:color="auto" w:sz="4" w:space="0"/>
              <w:right w:val="single" w:color="auto" w:sz="4" w:space="0"/>
            </w:tcBorders>
            <w:vAlign w:val="center"/>
          </w:tcPr>
          <w:p w14:paraId="6E1D08A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Y＜300</w:t>
            </w:r>
          </w:p>
        </w:tc>
      </w:tr>
      <w:tr w14:paraId="52E07D53">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37B25F24">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6F95A41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资产总额（Z）</w:t>
            </w:r>
          </w:p>
        </w:tc>
        <w:tc>
          <w:tcPr>
            <w:tcW w:w="1068" w:type="dxa"/>
            <w:tcBorders>
              <w:top w:val="nil"/>
              <w:left w:val="nil"/>
              <w:bottom w:val="single" w:color="auto" w:sz="4" w:space="0"/>
              <w:right w:val="single" w:color="auto" w:sz="4" w:space="0"/>
            </w:tcBorders>
            <w:vAlign w:val="center"/>
          </w:tcPr>
          <w:p w14:paraId="37EE561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274557F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5000≤Z＜80000</w:t>
            </w:r>
          </w:p>
        </w:tc>
        <w:tc>
          <w:tcPr>
            <w:tcW w:w="1684" w:type="dxa"/>
            <w:tcBorders>
              <w:top w:val="nil"/>
              <w:left w:val="nil"/>
              <w:bottom w:val="single" w:color="auto" w:sz="4" w:space="0"/>
              <w:right w:val="single" w:color="auto" w:sz="4" w:space="0"/>
            </w:tcBorders>
            <w:vAlign w:val="center"/>
          </w:tcPr>
          <w:p w14:paraId="346E6D8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300≤Z＜5000</w:t>
            </w:r>
          </w:p>
        </w:tc>
        <w:tc>
          <w:tcPr>
            <w:tcW w:w="1081" w:type="dxa"/>
            <w:tcBorders>
              <w:top w:val="nil"/>
              <w:left w:val="nil"/>
              <w:bottom w:val="single" w:color="auto" w:sz="4" w:space="0"/>
              <w:right w:val="single" w:color="auto" w:sz="4" w:space="0"/>
            </w:tcBorders>
            <w:vAlign w:val="center"/>
          </w:tcPr>
          <w:p w14:paraId="5D15F0B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Z＜300</w:t>
            </w:r>
          </w:p>
        </w:tc>
      </w:tr>
      <w:tr w14:paraId="1DA6E029">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10B390A5">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批发业</w:t>
            </w:r>
          </w:p>
        </w:tc>
        <w:tc>
          <w:tcPr>
            <w:tcW w:w="1619" w:type="dxa"/>
            <w:tcBorders>
              <w:top w:val="nil"/>
              <w:left w:val="nil"/>
              <w:bottom w:val="single" w:color="auto" w:sz="4" w:space="0"/>
              <w:right w:val="single" w:color="auto" w:sz="4" w:space="0"/>
            </w:tcBorders>
            <w:vAlign w:val="center"/>
          </w:tcPr>
          <w:p w14:paraId="693F725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7784002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28A166C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20≤X＜200</w:t>
            </w:r>
          </w:p>
        </w:tc>
        <w:tc>
          <w:tcPr>
            <w:tcW w:w="1684" w:type="dxa"/>
            <w:tcBorders>
              <w:top w:val="nil"/>
              <w:left w:val="nil"/>
              <w:bottom w:val="single" w:color="auto" w:sz="4" w:space="0"/>
              <w:right w:val="single" w:color="auto" w:sz="4" w:space="0"/>
            </w:tcBorders>
            <w:vAlign w:val="center"/>
          </w:tcPr>
          <w:p w14:paraId="5F2D84F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5≤X＜20</w:t>
            </w:r>
          </w:p>
        </w:tc>
        <w:tc>
          <w:tcPr>
            <w:tcW w:w="1081" w:type="dxa"/>
            <w:tcBorders>
              <w:top w:val="nil"/>
              <w:left w:val="nil"/>
              <w:bottom w:val="single" w:color="auto" w:sz="4" w:space="0"/>
              <w:right w:val="single" w:color="auto" w:sz="4" w:space="0"/>
            </w:tcBorders>
            <w:vAlign w:val="center"/>
          </w:tcPr>
          <w:p w14:paraId="55CCED9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X＜5</w:t>
            </w:r>
          </w:p>
        </w:tc>
      </w:tr>
      <w:tr w14:paraId="21CF6848">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4018A525">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38E4924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265D51E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5470DC0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5000≤Y＜40000</w:t>
            </w:r>
          </w:p>
        </w:tc>
        <w:tc>
          <w:tcPr>
            <w:tcW w:w="1684" w:type="dxa"/>
            <w:tcBorders>
              <w:top w:val="nil"/>
              <w:left w:val="nil"/>
              <w:bottom w:val="single" w:color="auto" w:sz="4" w:space="0"/>
              <w:right w:val="single" w:color="auto" w:sz="4" w:space="0"/>
            </w:tcBorders>
            <w:vAlign w:val="center"/>
          </w:tcPr>
          <w:p w14:paraId="0E97618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1000≤Y＜5000</w:t>
            </w:r>
          </w:p>
        </w:tc>
        <w:tc>
          <w:tcPr>
            <w:tcW w:w="1081" w:type="dxa"/>
            <w:tcBorders>
              <w:top w:val="nil"/>
              <w:left w:val="nil"/>
              <w:bottom w:val="single" w:color="auto" w:sz="4" w:space="0"/>
              <w:right w:val="single" w:color="auto" w:sz="4" w:space="0"/>
            </w:tcBorders>
            <w:vAlign w:val="center"/>
          </w:tcPr>
          <w:p w14:paraId="4A81527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Y＜1000</w:t>
            </w:r>
          </w:p>
        </w:tc>
      </w:tr>
      <w:tr w14:paraId="72ECD470">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456A556E">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零售业</w:t>
            </w:r>
          </w:p>
        </w:tc>
        <w:tc>
          <w:tcPr>
            <w:tcW w:w="1619" w:type="dxa"/>
            <w:tcBorders>
              <w:top w:val="nil"/>
              <w:left w:val="nil"/>
              <w:bottom w:val="single" w:color="auto" w:sz="4" w:space="0"/>
              <w:right w:val="single" w:color="auto" w:sz="4" w:space="0"/>
            </w:tcBorders>
            <w:vAlign w:val="center"/>
          </w:tcPr>
          <w:p w14:paraId="400CE17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5438EC07">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5579510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50≤X＜300</w:t>
            </w:r>
          </w:p>
        </w:tc>
        <w:tc>
          <w:tcPr>
            <w:tcW w:w="1684" w:type="dxa"/>
            <w:tcBorders>
              <w:top w:val="nil"/>
              <w:left w:val="nil"/>
              <w:bottom w:val="single" w:color="auto" w:sz="4" w:space="0"/>
              <w:right w:val="single" w:color="auto" w:sz="4" w:space="0"/>
            </w:tcBorders>
            <w:vAlign w:val="center"/>
          </w:tcPr>
          <w:p w14:paraId="563E14F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10≤X＜50</w:t>
            </w:r>
          </w:p>
        </w:tc>
        <w:tc>
          <w:tcPr>
            <w:tcW w:w="1081" w:type="dxa"/>
            <w:tcBorders>
              <w:top w:val="nil"/>
              <w:left w:val="nil"/>
              <w:bottom w:val="single" w:color="auto" w:sz="4" w:space="0"/>
              <w:right w:val="single" w:color="auto" w:sz="4" w:space="0"/>
            </w:tcBorders>
            <w:vAlign w:val="center"/>
          </w:tcPr>
          <w:p w14:paraId="78F28EE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614B62B4">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0CD01DDE">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7327333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5C8926C7">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37C99DC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500≤Y＜20000</w:t>
            </w:r>
          </w:p>
        </w:tc>
        <w:tc>
          <w:tcPr>
            <w:tcW w:w="1684" w:type="dxa"/>
            <w:tcBorders>
              <w:top w:val="nil"/>
              <w:left w:val="nil"/>
              <w:bottom w:val="single" w:color="auto" w:sz="4" w:space="0"/>
              <w:right w:val="single" w:color="auto" w:sz="4" w:space="0"/>
            </w:tcBorders>
            <w:vAlign w:val="center"/>
          </w:tcPr>
          <w:p w14:paraId="3B412CF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100≤Y＜500</w:t>
            </w:r>
          </w:p>
        </w:tc>
        <w:tc>
          <w:tcPr>
            <w:tcW w:w="1081" w:type="dxa"/>
            <w:tcBorders>
              <w:top w:val="nil"/>
              <w:left w:val="nil"/>
              <w:bottom w:val="single" w:color="auto" w:sz="4" w:space="0"/>
              <w:right w:val="single" w:color="auto" w:sz="4" w:space="0"/>
            </w:tcBorders>
            <w:vAlign w:val="center"/>
          </w:tcPr>
          <w:p w14:paraId="3E9784C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1C96C78E">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3441BD95">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交通运输业</w:t>
            </w:r>
          </w:p>
        </w:tc>
        <w:tc>
          <w:tcPr>
            <w:tcW w:w="1619" w:type="dxa"/>
            <w:tcBorders>
              <w:top w:val="nil"/>
              <w:left w:val="nil"/>
              <w:bottom w:val="single" w:color="auto" w:sz="4" w:space="0"/>
              <w:right w:val="single" w:color="auto" w:sz="4" w:space="0"/>
            </w:tcBorders>
            <w:vAlign w:val="center"/>
          </w:tcPr>
          <w:p w14:paraId="72DF1E1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3B00B78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04FD4B1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300≤X＜1000</w:t>
            </w:r>
          </w:p>
        </w:tc>
        <w:tc>
          <w:tcPr>
            <w:tcW w:w="1684" w:type="dxa"/>
            <w:tcBorders>
              <w:top w:val="nil"/>
              <w:left w:val="nil"/>
              <w:bottom w:val="single" w:color="auto" w:sz="4" w:space="0"/>
              <w:right w:val="single" w:color="auto" w:sz="4" w:space="0"/>
            </w:tcBorders>
            <w:vAlign w:val="center"/>
          </w:tcPr>
          <w:p w14:paraId="0DCAE0D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20≤X＜300</w:t>
            </w:r>
          </w:p>
        </w:tc>
        <w:tc>
          <w:tcPr>
            <w:tcW w:w="1081" w:type="dxa"/>
            <w:tcBorders>
              <w:top w:val="nil"/>
              <w:left w:val="nil"/>
              <w:bottom w:val="single" w:color="auto" w:sz="4" w:space="0"/>
              <w:right w:val="single" w:color="auto" w:sz="4" w:space="0"/>
            </w:tcBorders>
            <w:vAlign w:val="center"/>
          </w:tcPr>
          <w:p w14:paraId="1D30DFA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X＜20</w:t>
            </w:r>
          </w:p>
        </w:tc>
      </w:tr>
      <w:tr w14:paraId="4B63F320">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6A95E177">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498D83F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5640197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0CCBC55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3000≤Y＜30000</w:t>
            </w:r>
          </w:p>
        </w:tc>
        <w:tc>
          <w:tcPr>
            <w:tcW w:w="1684" w:type="dxa"/>
            <w:tcBorders>
              <w:top w:val="nil"/>
              <w:left w:val="nil"/>
              <w:bottom w:val="single" w:color="auto" w:sz="4" w:space="0"/>
              <w:right w:val="single" w:color="auto" w:sz="4" w:space="0"/>
            </w:tcBorders>
            <w:vAlign w:val="center"/>
          </w:tcPr>
          <w:p w14:paraId="5AD561A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200≤Y＜3000</w:t>
            </w:r>
          </w:p>
        </w:tc>
        <w:tc>
          <w:tcPr>
            <w:tcW w:w="1081" w:type="dxa"/>
            <w:tcBorders>
              <w:top w:val="nil"/>
              <w:left w:val="nil"/>
              <w:bottom w:val="single" w:color="auto" w:sz="4" w:space="0"/>
              <w:right w:val="single" w:color="auto" w:sz="4" w:space="0"/>
            </w:tcBorders>
            <w:vAlign w:val="center"/>
          </w:tcPr>
          <w:p w14:paraId="4B59E4C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Y＜200</w:t>
            </w:r>
          </w:p>
        </w:tc>
      </w:tr>
      <w:tr w14:paraId="61E0DFEE">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508FFB47">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仓储业</w:t>
            </w:r>
          </w:p>
        </w:tc>
        <w:tc>
          <w:tcPr>
            <w:tcW w:w="1619" w:type="dxa"/>
            <w:tcBorders>
              <w:top w:val="nil"/>
              <w:left w:val="nil"/>
              <w:bottom w:val="single" w:color="auto" w:sz="4" w:space="0"/>
              <w:right w:val="single" w:color="auto" w:sz="4" w:space="0"/>
            </w:tcBorders>
            <w:vAlign w:val="center"/>
          </w:tcPr>
          <w:p w14:paraId="13AD688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25E94B8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295D28B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100≤X＜200</w:t>
            </w:r>
          </w:p>
        </w:tc>
        <w:tc>
          <w:tcPr>
            <w:tcW w:w="1684" w:type="dxa"/>
            <w:tcBorders>
              <w:top w:val="nil"/>
              <w:left w:val="nil"/>
              <w:bottom w:val="single" w:color="auto" w:sz="4" w:space="0"/>
              <w:right w:val="single" w:color="auto" w:sz="4" w:space="0"/>
            </w:tcBorders>
            <w:vAlign w:val="center"/>
          </w:tcPr>
          <w:p w14:paraId="41F717D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20≤X＜100</w:t>
            </w:r>
          </w:p>
        </w:tc>
        <w:tc>
          <w:tcPr>
            <w:tcW w:w="1081" w:type="dxa"/>
            <w:tcBorders>
              <w:top w:val="nil"/>
              <w:left w:val="nil"/>
              <w:bottom w:val="single" w:color="auto" w:sz="4" w:space="0"/>
              <w:right w:val="single" w:color="auto" w:sz="4" w:space="0"/>
            </w:tcBorders>
            <w:vAlign w:val="center"/>
          </w:tcPr>
          <w:p w14:paraId="792DD38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X＜20</w:t>
            </w:r>
          </w:p>
        </w:tc>
      </w:tr>
      <w:tr w14:paraId="3552F3DC">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1C003361">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6E7C4C9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6964F50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551AE2B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1000≤Y＜30000</w:t>
            </w:r>
          </w:p>
        </w:tc>
        <w:tc>
          <w:tcPr>
            <w:tcW w:w="1684" w:type="dxa"/>
            <w:tcBorders>
              <w:top w:val="nil"/>
              <w:left w:val="nil"/>
              <w:bottom w:val="single" w:color="auto" w:sz="4" w:space="0"/>
              <w:right w:val="single" w:color="auto" w:sz="4" w:space="0"/>
            </w:tcBorders>
            <w:vAlign w:val="center"/>
          </w:tcPr>
          <w:p w14:paraId="25F3F4A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100≤Y＜1000</w:t>
            </w:r>
          </w:p>
        </w:tc>
        <w:tc>
          <w:tcPr>
            <w:tcW w:w="1081" w:type="dxa"/>
            <w:tcBorders>
              <w:top w:val="nil"/>
              <w:left w:val="nil"/>
              <w:bottom w:val="single" w:color="auto" w:sz="4" w:space="0"/>
              <w:right w:val="single" w:color="auto" w:sz="4" w:space="0"/>
            </w:tcBorders>
            <w:vAlign w:val="center"/>
          </w:tcPr>
          <w:p w14:paraId="7648934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5600B907">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0809E423">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邮政业</w:t>
            </w:r>
          </w:p>
        </w:tc>
        <w:tc>
          <w:tcPr>
            <w:tcW w:w="1619" w:type="dxa"/>
            <w:tcBorders>
              <w:top w:val="nil"/>
              <w:left w:val="nil"/>
              <w:bottom w:val="single" w:color="auto" w:sz="4" w:space="0"/>
              <w:right w:val="single" w:color="auto" w:sz="4" w:space="0"/>
            </w:tcBorders>
            <w:vAlign w:val="center"/>
          </w:tcPr>
          <w:p w14:paraId="12689F8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4A1786E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30DB6C0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300≤X＜1000</w:t>
            </w:r>
          </w:p>
        </w:tc>
        <w:tc>
          <w:tcPr>
            <w:tcW w:w="1684" w:type="dxa"/>
            <w:tcBorders>
              <w:top w:val="nil"/>
              <w:left w:val="nil"/>
              <w:bottom w:val="single" w:color="auto" w:sz="4" w:space="0"/>
              <w:right w:val="single" w:color="auto" w:sz="4" w:space="0"/>
            </w:tcBorders>
            <w:vAlign w:val="center"/>
          </w:tcPr>
          <w:p w14:paraId="0434A27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20≤X＜300</w:t>
            </w:r>
          </w:p>
        </w:tc>
        <w:tc>
          <w:tcPr>
            <w:tcW w:w="1081" w:type="dxa"/>
            <w:tcBorders>
              <w:top w:val="nil"/>
              <w:left w:val="nil"/>
              <w:bottom w:val="single" w:color="auto" w:sz="4" w:space="0"/>
              <w:right w:val="single" w:color="auto" w:sz="4" w:space="0"/>
            </w:tcBorders>
            <w:vAlign w:val="center"/>
          </w:tcPr>
          <w:p w14:paraId="4B29AE1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X＜20</w:t>
            </w:r>
          </w:p>
        </w:tc>
      </w:tr>
      <w:tr w14:paraId="17490B80">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555645DA">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7955ECF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4063CE3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0710862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2000≤Y＜30000</w:t>
            </w:r>
          </w:p>
        </w:tc>
        <w:tc>
          <w:tcPr>
            <w:tcW w:w="1684" w:type="dxa"/>
            <w:tcBorders>
              <w:top w:val="nil"/>
              <w:left w:val="nil"/>
              <w:bottom w:val="single" w:color="auto" w:sz="4" w:space="0"/>
              <w:right w:val="single" w:color="auto" w:sz="4" w:space="0"/>
            </w:tcBorders>
            <w:vAlign w:val="center"/>
          </w:tcPr>
          <w:p w14:paraId="6ED1BFA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100≤Y＜2000</w:t>
            </w:r>
          </w:p>
        </w:tc>
        <w:tc>
          <w:tcPr>
            <w:tcW w:w="1081" w:type="dxa"/>
            <w:tcBorders>
              <w:top w:val="nil"/>
              <w:left w:val="nil"/>
              <w:bottom w:val="single" w:color="auto" w:sz="4" w:space="0"/>
              <w:right w:val="single" w:color="auto" w:sz="4" w:space="0"/>
            </w:tcBorders>
            <w:vAlign w:val="center"/>
          </w:tcPr>
          <w:p w14:paraId="17856A5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0F429D57">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530BE193">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住宿业</w:t>
            </w:r>
          </w:p>
        </w:tc>
        <w:tc>
          <w:tcPr>
            <w:tcW w:w="1619" w:type="dxa"/>
            <w:tcBorders>
              <w:top w:val="nil"/>
              <w:left w:val="nil"/>
              <w:bottom w:val="single" w:color="auto" w:sz="4" w:space="0"/>
              <w:right w:val="single" w:color="auto" w:sz="4" w:space="0"/>
            </w:tcBorders>
            <w:vAlign w:val="center"/>
          </w:tcPr>
          <w:p w14:paraId="03CDF12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023F002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17442D5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84" w:type="dxa"/>
            <w:tcBorders>
              <w:top w:val="nil"/>
              <w:left w:val="nil"/>
              <w:bottom w:val="single" w:color="auto" w:sz="4" w:space="0"/>
              <w:right w:val="single" w:color="auto" w:sz="4" w:space="0"/>
            </w:tcBorders>
            <w:vAlign w:val="center"/>
          </w:tcPr>
          <w:p w14:paraId="449B1F9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81" w:type="dxa"/>
            <w:tcBorders>
              <w:top w:val="nil"/>
              <w:left w:val="nil"/>
              <w:bottom w:val="single" w:color="auto" w:sz="4" w:space="0"/>
              <w:right w:val="single" w:color="auto" w:sz="4" w:space="0"/>
            </w:tcBorders>
            <w:vAlign w:val="center"/>
          </w:tcPr>
          <w:p w14:paraId="2C90D07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6D65E325">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2AC6CE6C">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0A63967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14CA598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5DEB553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2000≤Y＜10000</w:t>
            </w:r>
          </w:p>
        </w:tc>
        <w:tc>
          <w:tcPr>
            <w:tcW w:w="1684" w:type="dxa"/>
            <w:tcBorders>
              <w:top w:val="nil"/>
              <w:left w:val="nil"/>
              <w:bottom w:val="single" w:color="auto" w:sz="4" w:space="0"/>
              <w:right w:val="single" w:color="auto" w:sz="4" w:space="0"/>
            </w:tcBorders>
            <w:vAlign w:val="center"/>
          </w:tcPr>
          <w:p w14:paraId="101AFA1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100≤Y＜2000</w:t>
            </w:r>
          </w:p>
        </w:tc>
        <w:tc>
          <w:tcPr>
            <w:tcW w:w="1081" w:type="dxa"/>
            <w:tcBorders>
              <w:top w:val="nil"/>
              <w:left w:val="nil"/>
              <w:bottom w:val="single" w:color="auto" w:sz="4" w:space="0"/>
              <w:right w:val="single" w:color="auto" w:sz="4" w:space="0"/>
            </w:tcBorders>
            <w:vAlign w:val="center"/>
          </w:tcPr>
          <w:p w14:paraId="6243D3F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4FA097C9">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7E8E0415">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餐饮业</w:t>
            </w:r>
          </w:p>
        </w:tc>
        <w:tc>
          <w:tcPr>
            <w:tcW w:w="1619" w:type="dxa"/>
            <w:tcBorders>
              <w:top w:val="nil"/>
              <w:left w:val="nil"/>
              <w:bottom w:val="single" w:color="auto" w:sz="4" w:space="0"/>
              <w:right w:val="single" w:color="auto" w:sz="4" w:space="0"/>
            </w:tcBorders>
            <w:vAlign w:val="center"/>
          </w:tcPr>
          <w:p w14:paraId="3AEBE16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60D88EE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24D795A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84" w:type="dxa"/>
            <w:tcBorders>
              <w:top w:val="nil"/>
              <w:left w:val="nil"/>
              <w:bottom w:val="single" w:color="auto" w:sz="4" w:space="0"/>
              <w:right w:val="single" w:color="auto" w:sz="4" w:space="0"/>
            </w:tcBorders>
            <w:vAlign w:val="center"/>
          </w:tcPr>
          <w:p w14:paraId="4A71B37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81" w:type="dxa"/>
            <w:tcBorders>
              <w:top w:val="nil"/>
              <w:left w:val="nil"/>
              <w:bottom w:val="single" w:color="auto" w:sz="4" w:space="0"/>
              <w:right w:val="single" w:color="auto" w:sz="4" w:space="0"/>
            </w:tcBorders>
            <w:vAlign w:val="center"/>
          </w:tcPr>
          <w:p w14:paraId="5D1D34A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3A115E29">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364108D7">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01BA99D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0CA52D3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17CBD65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2000≤Y＜10000</w:t>
            </w:r>
          </w:p>
        </w:tc>
        <w:tc>
          <w:tcPr>
            <w:tcW w:w="1684" w:type="dxa"/>
            <w:tcBorders>
              <w:top w:val="nil"/>
              <w:left w:val="nil"/>
              <w:bottom w:val="single" w:color="auto" w:sz="4" w:space="0"/>
              <w:right w:val="single" w:color="auto" w:sz="4" w:space="0"/>
            </w:tcBorders>
            <w:vAlign w:val="center"/>
          </w:tcPr>
          <w:p w14:paraId="5ACA543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100≤Y＜2000</w:t>
            </w:r>
          </w:p>
        </w:tc>
        <w:tc>
          <w:tcPr>
            <w:tcW w:w="1081" w:type="dxa"/>
            <w:tcBorders>
              <w:top w:val="nil"/>
              <w:left w:val="nil"/>
              <w:bottom w:val="single" w:color="auto" w:sz="4" w:space="0"/>
              <w:right w:val="single" w:color="auto" w:sz="4" w:space="0"/>
            </w:tcBorders>
            <w:vAlign w:val="center"/>
          </w:tcPr>
          <w:p w14:paraId="34864C1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3D6EA60B">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278D6825">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信息传输业</w:t>
            </w:r>
          </w:p>
        </w:tc>
        <w:tc>
          <w:tcPr>
            <w:tcW w:w="1619" w:type="dxa"/>
            <w:tcBorders>
              <w:top w:val="nil"/>
              <w:left w:val="nil"/>
              <w:bottom w:val="single" w:color="auto" w:sz="4" w:space="0"/>
              <w:right w:val="single" w:color="auto" w:sz="4" w:space="0"/>
            </w:tcBorders>
            <w:vAlign w:val="center"/>
          </w:tcPr>
          <w:p w14:paraId="23B9EF9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41E95C2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50CCA5C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100≤X＜2000</w:t>
            </w:r>
          </w:p>
        </w:tc>
        <w:tc>
          <w:tcPr>
            <w:tcW w:w="1684" w:type="dxa"/>
            <w:tcBorders>
              <w:top w:val="nil"/>
              <w:left w:val="nil"/>
              <w:bottom w:val="single" w:color="auto" w:sz="4" w:space="0"/>
              <w:right w:val="single" w:color="auto" w:sz="4" w:space="0"/>
            </w:tcBorders>
            <w:vAlign w:val="center"/>
          </w:tcPr>
          <w:p w14:paraId="0EC112C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81" w:type="dxa"/>
            <w:tcBorders>
              <w:top w:val="nil"/>
              <w:left w:val="nil"/>
              <w:bottom w:val="single" w:color="auto" w:sz="4" w:space="0"/>
              <w:right w:val="single" w:color="auto" w:sz="4" w:space="0"/>
            </w:tcBorders>
            <w:vAlign w:val="center"/>
          </w:tcPr>
          <w:p w14:paraId="305C961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6DA18FBF">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05575F80">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5E7075F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0826007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0CCED91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1000≤Y＜100000</w:t>
            </w:r>
          </w:p>
        </w:tc>
        <w:tc>
          <w:tcPr>
            <w:tcW w:w="1684" w:type="dxa"/>
            <w:tcBorders>
              <w:top w:val="nil"/>
              <w:left w:val="nil"/>
              <w:bottom w:val="single" w:color="auto" w:sz="4" w:space="0"/>
              <w:right w:val="single" w:color="auto" w:sz="4" w:space="0"/>
            </w:tcBorders>
            <w:vAlign w:val="center"/>
          </w:tcPr>
          <w:p w14:paraId="68B61D9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100≤Y＜1000</w:t>
            </w:r>
          </w:p>
        </w:tc>
        <w:tc>
          <w:tcPr>
            <w:tcW w:w="1081" w:type="dxa"/>
            <w:tcBorders>
              <w:top w:val="nil"/>
              <w:left w:val="nil"/>
              <w:bottom w:val="single" w:color="auto" w:sz="4" w:space="0"/>
              <w:right w:val="single" w:color="auto" w:sz="4" w:space="0"/>
            </w:tcBorders>
            <w:vAlign w:val="center"/>
          </w:tcPr>
          <w:p w14:paraId="2AB7C93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7C4CE72A">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14EE08BB">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软件和信息技术服务业</w:t>
            </w:r>
          </w:p>
        </w:tc>
        <w:tc>
          <w:tcPr>
            <w:tcW w:w="1619" w:type="dxa"/>
            <w:tcBorders>
              <w:top w:val="nil"/>
              <w:left w:val="nil"/>
              <w:bottom w:val="single" w:color="auto" w:sz="4" w:space="0"/>
              <w:right w:val="single" w:color="auto" w:sz="4" w:space="0"/>
            </w:tcBorders>
            <w:vAlign w:val="center"/>
          </w:tcPr>
          <w:p w14:paraId="425DF38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2F20EF6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1D5CA3B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84" w:type="dxa"/>
            <w:tcBorders>
              <w:top w:val="nil"/>
              <w:left w:val="nil"/>
              <w:bottom w:val="single" w:color="auto" w:sz="4" w:space="0"/>
              <w:right w:val="single" w:color="auto" w:sz="4" w:space="0"/>
            </w:tcBorders>
            <w:vAlign w:val="center"/>
          </w:tcPr>
          <w:p w14:paraId="45809E5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81" w:type="dxa"/>
            <w:tcBorders>
              <w:top w:val="nil"/>
              <w:left w:val="nil"/>
              <w:bottom w:val="single" w:color="auto" w:sz="4" w:space="0"/>
              <w:right w:val="single" w:color="auto" w:sz="4" w:space="0"/>
            </w:tcBorders>
            <w:vAlign w:val="center"/>
          </w:tcPr>
          <w:p w14:paraId="32D9AF1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758D1BAC">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3898BC98">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1D46A2C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4573155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40ADD1B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1000≤Y＜10000</w:t>
            </w:r>
          </w:p>
        </w:tc>
        <w:tc>
          <w:tcPr>
            <w:tcW w:w="1684" w:type="dxa"/>
            <w:tcBorders>
              <w:top w:val="nil"/>
              <w:left w:val="nil"/>
              <w:bottom w:val="single" w:color="auto" w:sz="4" w:space="0"/>
              <w:right w:val="single" w:color="auto" w:sz="4" w:space="0"/>
            </w:tcBorders>
            <w:vAlign w:val="center"/>
          </w:tcPr>
          <w:p w14:paraId="7D97DF3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50≤Y＜1000</w:t>
            </w:r>
          </w:p>
        </w:tc>
        <w:tc>
          <w:tcPr>
            <w:tcW w:w="1081" w:type="dxa"/>
            <w:tcBorders>
              <w:top w:val="nil"/>
              <w:left w:val="nil"/>
              <w:bottom w:val="single" w:color="auto" w:sz="4" w:space="0"/>
              <w:right w:val="single" w:color="auto" w:sz="4" w:space="0"/>
            </w:tcBorders>
            <w:vAlign w:val="center"/>
          </w:tcPr>
          <w:p w14:paraId="52AF46D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Y＜50</w:t>
            </w:r>
          </w:p>
        </w:tc>
      </w:tr>
      <w:tr w14:paraId="2CBF7BA3">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7971832B">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房地产开发经营</w:t>
            </w:r>
          </w:p>
        </w:tc>
        <w:tc>
          <w:tcPr>
            <w:tcW w:w="1619" w:type="dxa"/>
            <w:tcBorders>
              <w:top w:val="nil"/>
              <w:left w:val="nil"/>
              <w:bottom w:val="single" w:color="auto" w:sz="4" w:space="0"/>
              <w:right w:val="single" w:color="auto" w:sz="4" w:space="0"/>
            </w:tcBorders>
            <w:vAlign w:val="center"/>
          </w:tcPr>
          <w:p w14:paraId="70D5B97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0F76C5F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29A490C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1000≤Y＜200000</w:t>
            </w:r>
          </w:p>
        </w:tc>
        <w:tc>
          <w:tcPr>
            <w:tcW w:w="1684" w:type="dxa"/>
            <w:tcBorders>
              <w:top w:val="nil"/>
              <w:left w:val="nil"/>
              <w:bottom w:val="single" w:color="auto" w:sz="4" w:space="0"/>
              <w:right w:val="single" w:color="auto" w:sz="4" w:space="0"/>
            </w:tcBorders>
            <w:vAlign w:val="center"/>
          </w:tcPr>
          <w:p w14:paraId="3204C69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100≤X＜1000</w:t>
            </w:r>
          </w:p>
        </w:tc>
        <w:tc>
          <w:tcPr>
            <w:tcW w:w="1081" w:type="dxa"/>
            <w:tcBorders>
              <w:top w:val="nil"/>
              <w:left w:val="nil"/>
              <w:bottom w:val="single" w:color="auto" w:sz="4" w:space="0"/>
              <w:right w:val="single" w:color="auto" w:sz="4" w:space="0"/>
            </w:tcBorders>
            <w:vAlign w:val="center"/>
          </w:tcPr>
          <w:p w14:paraId="16DBF18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X＜100</w:t>
            </w:r>
          </w:p>
        </w:tc>
      </w:tr>
      <w:tr w14:paraId="6B9087AB">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7942B9EA">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2D0B714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资产总额（Z）</w:t>
            </w:r>
          </w:p>
        </w:tc>
        <w:tc>
          <w:tcPr>
            <w:tcW w:w="1068" w:type="dxa"/>
            <w:tcBorders>
              <w:top w:val="nil"/>
              <w:left w:val="nil"/>
              <w:bottom w:val="single" w:color="auto" w:sz="4" w:space="0"/>
              <w:right w:val="single" w:color="auto" w:sz="4" w:space="0"/>
            </w:tcBorders>
            <w:vAlign w:val="center"/>
          </w:tcPr>
          <w:p w14:paraId="7259EE3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50921A7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5000≤Z＜10000</w:t>
            </w:r>
          </w:p>
        </w:tc>
        <w:tc>
          <w:tcPr>
            <w:tcW w:w="1684" w:type="dxa"/>
            <w:tcBorders>
              <w:top w:val="nil"/>
              <w:left w:val="nil"/>
              <w:bottom w:val="single" w:color="auto" w:sz="4" w:space="0"/>
              <w:right w:val="single" w:color="auto" w:sz="4" w:space="0"/>
            </w:tcBorders>
            <w:vAlign w:val="center"/>
          </w:tcPr>
          <w:p w14:paraId="232E828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2000≤Y＜5000</w:t>
            </w:r>
          </w:p>
        </w:tc>
        <w:tc>
          <w:tcPr>
            <w:tcW w:w="1081" w:type="dxa"/>
            <w:tcBorders>
              <w:top w:val="nil"/>
              <w:left w:val="nil"/>
              <w:bottom w:val="single" w:color="auto" w:sz="4" w:space="0"/>
              <w:right w:val="single" w:color="auto" w:sz="4" w:space="0"/>
            </w:tcBorders>
            <w:vAlign w:val="center"/>
          </w:tcPr>
          <w:p w14:paraId="456639C7">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Y＜2000</w:t>
            </w:r>
          </w:p>
        </w:tc>
      </w:tr>
      <w:tr w14:paraId="7B1998E3">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60CF5706">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物业管理</w:t>
            </w:r>
          </w:p>
        </w:tc>
        <w:tc>
          <w:tcPr>
            <w:tcW w:w="1619" w:type="dxa"/>
            <w:tcBorders>
              <w:top w:val="nil"/>
              <w:left w:val="nil"/>
              <w:bottom w:val="single" w:color="auto" w:sz="4" w:space="0"/>
              <w:right w:val="single" w:color="auto" w:sz="4" w:space="0"/>
            </w:tcBorders>
            <w:vAlign w:val="center"/>
          </w:tcPr>
          <w:p w14:paraId="7220410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1D0B0D4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12E8A2D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300≤X＜1000</w:t>
            </w:r>
          </w:p>
        </w:tc>
        <w:tc>
          <w:tcPr>
            <w:tcW w:w="1684" w:type="dxa"/>
            <w:tcBorders>
              <w:top w:val="nil"/>
              <w:left w:val="nil"/>
              <w:bottom w:val="single" w:color="auto" w:sz="4" w:space="0"/>
              <w:right w:val="single" w:color="auto" w:sz="4" w:space="0"/>
            </w:tcBorders>
            <w:vAlign w:val="center"/>
          </w:tcPr>
          <w:p w14:paraId="57CE976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081" w:type="dxa"/>
            <w:tcBorders>
              <w:top w:val="nil"/>
              <w:left w:val="nil"/>
              <w:bottom w:val="single" w:color="auto" w:sz="4" w:space="0"/>
              <w:right w:val="single" w:color="auto" w:sz="4" w:space="0"/>
            </w:tcBorders>
            <w:vAlign w:val="center"/>
          </w:tcPr>
          <w:p w14:paraId="64DF34A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X＜100</w:t>
            </w:r>
          </w:p>
        </w:tc>
      </w:tr>
      <w:tr w14:paraId="306A1CF1">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4212E1DB">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3FE7EA2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68" w:type="dxa"/>
            <w:tcBorders>
              <w:top w:val="nil"/>
              <w:left w:val="nil"/>
              <w:bottom w:val="single" w:color="auto" w:sz="4" w:space="0"/>
              <w:right w:val="single" w:color="auto" w:sz="4" w:space="0"/>
            </w:tcBorders>
            <w:vAlign w:val="center"/>
          </w:tcPr>
          <w:p w14:paraId="1DE232B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26990CC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1000≤Y＜5000</w:t>
            </w:r>
          </w:p>
        </w:tc>
        <w:tc>
          <w:tcPr>
            <w:tcW w:w="1684" w:type="dxa"/>
            <w:tcBorders>
              <w:top w:val="nil"/>
              <w:left w:val="nil"/>
              <w:bottom w:val="single" w:color="auto" w:sz="4" w:space="0"/>
              <w:right w:val="single" w:color="auto" w:sz="4" w:space="0"/>
            </w:tcBorders>
            <w:vAlign w:val="center"/>
          </w:tcPr>
          <w:p w14:paraId="79FCB6A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500≤Y＜1000</w:t>
            </w:r>
          </w:p>
        </w:tc>
        <w:tc>
          <w:tcPr>
            <w:tcW w:w="1081" w:type="dxa"/>
            <w:tcBorders>
              <w:top w:val="nil"/>
              <w:left w:val="nil"/>
              <w:bottom w:val="single" w:color="auto" w:sz="4" w:space="0"/>
              <w:right w:val="single" w:color="auto" w:sz="4" w:space="0"/>
            </w:tcBorders>
            <w:vAlign w:val="center"/>
          </w:tcPr>
          <w:p w14:paraId="3B1D13D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Y＜500</w:t>
            </w:r>
          </w:p>
        </w:tc>
      </w:tr>
      <w:tr w14:paraId="7661ABFF">
        <w:tblPrEx>
          <w:tblCellMar>
            <w:top w:w="0" w:type="dxa"/>
            <w:left w:w="108" w:type="dxa"/>
            <w:bottom w:w="0" w:type="dxa"/>
            <w:right w:w="108" w:type="dxa"/>
          </w:tblCellMar>
        </w:tblPrEx>
        <w:trPr>
          <w:trHeight w:val="368" w:hRule="atLeast"/>
        </w:trPr>
        <w:tc>
          <w:tcPr>
            <w:tcW w:w="1990" w:type="dxa"/>
            <w:vMerge w:val="restart"/>
            <w:tcBorders>
              <w:top w:val="nil"/>
              <w:left w:val="single" w:color="auto" w:sz="4" w:space="0"/>
              <w:bottom w:val="single" w:color="auto" w:sz="4" w:space="0"/>
              <w:right w:val="single" w:color="auto" w:sz="4" w:space="0"/>
            </w:tcBorders>
            <w:vAlign w:val="bottom"/>
          </w:tcPr>
          <w:p w14:paraId="7FA24F6F">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租赁和商务服务业</w:t>
            </w:r>
          </w:p>
        </w:tc>
        <w:tc>
          <w:tcPr>
            <w:tcW w:w="1619" w:type="dxa"/>
            <w:tcBorders>
              <w:top w:val="nil"/>
              <w:left w:val="nil"/>
              <w:bottom w:val="single" w:color="auto" w:sz="4" w:space="0"/>
              <w:right w:val="single" w:color="auto" w:sz="4" w:space="0"/>
            </w:tcBorders>
            <w:vAlign w:val="center"/>
          </w:tcPr>
          <w:p w14:paraId="54A3532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2100242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569F464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84" w:type="dxa"/>
            <w:tcBorders>
              <w:top w:val="nil"/>
              <w:left w:val="nil"/>
              <w:bottom w:val="single" w:color="auto" w:sz="4" w:space="0"/>
              <w:right w:val="single" w:color="auto" w:sz="4" w:space="0"/>
            </w:tcBorders>
            <w:vAlign w:val="center"/>
          </w:tcPr>
          <w:p w14:paraId="34BCB87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81" w:type="dxa"/>
            <w:tcBorders>
              <w:top w:val="nil"/>
              <w:left w:val="nil"/>
              <w:bottom w:val="single" w:color="auto" w:sz="4" w:space="0"/>
              <w:right w:val="single" w:color="auto" w:sz="4" w:space="0"/>
            </w:tcBorders>
            <w:vAlign w:val="center"/>
          </w:tcPr>
          <w:p w14:paraId="7C49C987">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526B6CA1">
        <w:tblPrEx>
          <w:tblCellMar>
            <w:top w:w="0" w:type="dxa"/>
            <w:left w:w="108" w:type="dxa"/>
            <w:bottom w:w="0" w:type="dxa"/>
            <w:right w:w="108" w:type="dxa"/>
          </w:tblCellMar>
        </w:tblPrEx>
        <w:trPr>
          <w:trHeight w:val="368" w:hRule="atLeast"/>
        </w:trPr>
        <w:tc>
          <w:tcPr>
            <w:tcW w:w="1990" w:type="dxa"/>
            <w:vMerge w:val="continue"/>
            <w:tcBorders>
              <w:top w:val="nil"/>
              <w:left w:val="single" w:color="auto" w:sz="4" w:space="0"/>
              <w:bottom w:val="single" w:color="auto" w:sz="4" w:space="0"/>
              <w:right w:val="single" w:color="auto" w:sz="4" w:space="0"/>
            </w:tcBorders>
            <w:vAlign w:val="center"/>
          </w:tcPr>
          <w:p w14:paraId="14F5DC80">
            <w:pPr>
              <w:widowControl/>
              <w:jc w:val="left"/>
              <w:rPr>
                <w:rFonts w:hint="eastAsia" w:ascii="仿宋" w:hAnsi="仿宋" w:eastAsia="仿宋" w:cs="仿宋"/>
                <w:b/>
                <w:bCs/>
                <w:color w:val="auto"/>
                <w:kern w:val="0"/>
                <w:sz w:val="20"/>
                <w:szCs w:val="20"/>
                <w:highlight w:val="none"/>
              </w:rPr>
            </w:pPr>
          </w:p>
        </w:tc>
        <w:tc>
          <w:tcPr>
            <w:tcW w:w="1619" w:type="dxa"/>
            <w:tcBorders>
              <w:top w:val="nil"/>
              <w:left w:val="nil"/>
              <w:bottom w:val="single" w:color="auto" w:sz="4" w:space="0"/>
              <w:right w:val="single" w:color="auto" w:sz="4" w:space="0"/>
            </w:tcBorders>
            <w:vAlign w:val="center"/>
          </w:tcPr>
          <w:p w14:paraId="3BDA7F0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资产总额（Z）</w:t>
            </w:r>
          </w:p>
        </w:tc>
        <w:tc>
          <w:tcPr>
            <w:tcW w:w="1068" w:type="dxa"/>
            <w:tcBorders>
              <w:top w:val="nil"/>
              <w:left w:val="nil"/>
              <w:bottom w:val="single" w:color="auto" w:sz="4" w:space="0"/>
              <w:right w:val="single" w:color="auto" w:sz="4" w:space="0"/>
            </w:tcBorders>
            <w:vAlign w:val="center"/>
          </w:tcPr>
          <w:p w14:paraId="36DF8D5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895" w:type="dxa"/>
            <w:tcBorders>
              <w:top w:val="nil"/>
              <w:left w:val="nil"/>
              <w:bottom w:val="single" w:color="auto" w:sz="4" w:space="0"/>
              <w:right w:val="single" w:color="auto" w:sz="4" w:space="0"/>
            </w:tcBorders>
            <w:vAlign w:val="center"/>
          </w:tcPr>
          <w:p w14:paraId="2E6AC67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8000≤Z＜120000</w:t>
            </w:r>
          </w:p>
        </w:tc>
        <w:tc>
          <w:tcPr>
            <w:tcW w:w="1684" w:type="dxa"/>
            <w:tcBorders>
              <w:top w:val="nil"/>
              <w:left w:val="nil"/>
              <w:bottom w:val="single" w:color="auto" w:sz="4" w:space="0"/>
              <w:right w:val="single" w:color="auto" w:sz="4" w:space="0"/>
            </w:tcBorders>
            <w:vAlign w:val="center"/>
          </w:tcPr>
          <w:p w14:paraId="1AA11E0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100≤Z＜8000</w:t>
            </w:r>
          </w:p>
        </w:tc>
        <w:tc>
          <w:tcPr>
            <w:tcW w:w="1081" w:type="dxa"/>
            <w:tcBorders>
              <w:top w:val="nil"/>
              <w:left w:val="nil"/>
              <w:bottom w:val="single" w:color="auto" w:sz="4" w:space="0"/>
              <w:right w:val="single" w:color="auto" w:sz="4" w:space="0"/>
            </w:tcBorders>
            <w:vAlign w:val="center"/>
          </w:tcPr>
          <w:p w14:paraId="52E9C85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5CF095CB">
        <w:tblPrEx>
          <w:tblCellMar>
            <w:top w:w="0" w:type="dxa"/>
            <w:left w:w="108" w:type="dxa"/>
            <w:bottom w:w="0" w:type="dxa"/>
            <w:right w:w="108" w:type="dxa"/>
          </w:tblCellMar>
        </w:tblPrEx>
        <w:trPr>
          <w:trHeight w:val="388" w:hRule="atLeast"/>
        </w:trPr>
        <w:tc>
          <w:tcPr>
            <w:tcW w:w="1990" w:type="dxa"/>
            <w:tcBorders>
              <w:top w:val="nil"/>
              <w:left w:val="single" w:color="auto" w:sz="4" w:space="0"/>
              <w:bottom w:val="single" w:color="auto" w:sz="4" w:space="0"/>
              <w:right w:val="single" w:color="auto" w:sz="4" w:space="0"/>
            </w:tcBorders>
            <w:vAlign w:val="bottom"/>
          </w:tcPr>
          <w:p w14:paraId="3DBAB2C3">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其他未列明行业</w:t>
            </w:r>
          </w:p>
        </w:tc>
        <w:tc>
          <w:tcPr>
            <w:tcW w:w="1619" w:type="dxa"/>
            <w:tcBorders>
              <w:top w:val="nil"/>
              <w:left w:val="nil"/>
              <w:bottom w:val="single" w:color="auto" w:sz="4" w:space="0"/>
              <w:right w:val="single" w:color="auto" w:sz="4" w:space="0"/>
            </w:tcBorders>
            <w:vAlign w:val="center"/>
          </w:tcPr>
          <w:p w14:paraId="40CE4EB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68" w:type="dxa"/>
            <w:tcBorders>
              <w:top w:val="nil"/>
              <w:left w:val="nil"/>
              <w:bottom w:val="single" w:color="auto" w:sz="4" w:space="0"/>
              <w:right w:val="single" w:color="auto" w:sz="4" w:space="0"/>
            </w:tcBorders>
            <w:vAlign w:val="center"/>
          </w:tcPr>
          <w:p w14:paraId="4F7720A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895" w:type="dxa"/>
            <w:tcBorders>
              <w:top w:val="nil"/>
              <w:left w:val="nil"/>
              <w:bottom w:val="single" w:color="auto" w:sz="4" w:space="0"/>
              <w:right w:val="single" w:color="auto" w:sz="4" w:space="0"/>
            </w:tcBorders>
            <w:vAlign w:val="center"/>
          </w:tcPr>
          <w:p w14:paraId="2211503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84" w:type="dxa"/>
            <w:tcBorders>
              <w:top w:val="nil"/>
              <w:left w:val="nil"/>
              <w:bottom w:val="single" w:color="auto" w:sz="4" w:space="0"/>
              <w:right w:val="single" w:color="auto" w:sz="4" w:space="0"/>
            </w:tcBorders>
            <w:vAlign w:val="center"/>
          </w:tcPr>
          <w:p w14:paraId="03FEB39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81" w:type="dxa"/>
            <w:tcBorders>
              <w:top w:val="nil"/>
              <w:left w:val="nil"/>
              <w:bottom w:val="single" w:color="auto" w:sz="4" w:space="0"/>
              <w:right w:val="single" w:color="auto" w:sz="4" w:space="0"/>
            </w:tcBorders>
            <w:vAlign w:val="center"/>
          </w:tcPr>
          <w:p w14:paraId="274A2AF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bl>
    <w:p w14:paraId="0F2B4E53">
      <w:pPr>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0320244">
      <w:pPr>
        <w:widowControl/>
        <w:jc w:val="left"/>
        <w:rPr>
          <w:rFonts w:hint="eastAsia" w:ascii="仿宋" w:hAnsi="仿宋" w:eastAsia="仿宋" w:cs="仿宋"/>
          <w:color w:val="auto"/>
          <w:sz w:val="24"/>
          <w:highlight w:val="none"/>
        </w:rPr>
        <w:sectPr>
          <w:footerReference r:id="rId6" w:type="first"/>
          <w:footerReference r:id="rId5" w:type="default"/>
          <w:pgSz w:w="11906" w:h="16838"/>
          <w:pgMar w:top="1417" w:right="1449" w:bottom="1417" w:left="1417" w:header="720" w:footer="720" w:gutter="0"/>
          <w:pgNumType w:fmt="decimal" w:start="1"/>
          <w:cols w:space="0" w:num="1"/>
          <w:titlePg/>
          <w:docGrid w:type="lines" w:linePitch="333" w:charSpace="0"/>
        </w:sectPr>
      </w:pPr>
    </w:p>
    <w:p w14:paraId="5343E848">
      <w:pPr>
        <w:pStyle w:val="2"/>
        <w:bidi w:val="0"/>
        <w:rPr>
          <w:rFonts w:hint="eastAsia"/>
          <w:color w:val="auto"/>
          <w:highlight w:val="none"/>
        </w:rPr>
      </w:pPr>
      <w:bookmarkStart w:id="44" w:name="_Toc7819"/>
      <w:r>
        <w:rPr>
          <w:rFonts w:hint="eastAsia"/>
          <w:color w:val="auto"/>
          <w:highlight w:val="none"/>
        </w:rPr>
        <w:t>第三章  投标人须知</w:t>
      </w:r>
      <w:bookmarkEnd w:id="43"/>
      <w:bookmarkEnd w:id="44"/>
    </w:p>
    <w:p w14:paraId="4154E712">
      <w:pPr>
        <w:ind w:left="0" w:leftChars="0" w:firstLine="0" w:firstLineChars="0"/>
        <w:jc w:val="center"/>
        <w:rPr>
          <w:rFonts w:hint="eastAsia" w:ascii="仿宋" w:hAnsi="仿宋" w:eastAsia="仿宋" w:cs="仿宋"/>
          <w:color w:val="auto"/>
          <w:sz w:val="36"/>
          <w:szCs w:val="36"/>
          <w:highlight w:val="none"/>
        </w:rPr>
      </w:pPr>
      <w:bookmarkStart w:id="45" w:name="_Toc254970526"/>
      <w:bookmarkStart w:id="46" w:name="_Toc254970667"/>
      <w:r>
        <w:rPr>
          <w:rFonts w:hint="eastAsia" w:ascii="仿宋" w:hAnsi="仿宋" w:eastAsia="仿宋" w:cs="仿宋"/>
          <w:color w:val="auto"/>
          <w:sz w:val="36"/>
          <w:szCs w:val="36"/>
          <w:highlight w:val="none"/>
        </w:rPr>
        <w:t>投标人须知前附表</w:t>
      </w:r>
      <w:bookmarkEnd w:id="45"/>
      <w:bookmarkEnd w:id="46"/>
    </w:p>
    <w:p w14:paraId="74EB5429">
      <w:pPr>
        <w:pStyle w:val="27"/>
        <w:ind w:firstLine="361"/>
        <w:rPr>
          <w:rFonts w:hint="eastAsia" w:ascii="仿宋" w:hAnsi="仿宋" w:eastAsia="仿宋" w:cs="仿宋"/>
          <w:color w:val="auto"/>
          <w:highlight w:val="none"/>
        </w:rPr>
      </w:pPr>
    </w:p>
    <w:tbl>
      <w:tblPr>
        <w:tblStyle w:val="41"/>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0C8E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2D355E4">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6A69282C">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43EE8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050B58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0FA9757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1.投标人的资格要求详见招标公告。</w:t>
            </w:r>
          </w:p>
          <w:p w14:paraId="35A2DB87">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2.投标人出现下列情形之一的，不得参加政府采购活动：</w:t>
            </w:r>
          </w:p>
          <w:p w14:paraId="716264E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2436723">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 w:val="24"/>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E474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1794690">
            <w:pPr>
              <w:spacing w:line="360" w:lineRule="auto"/>
              <w:jc w:val="center"/>
              <w:rPr>
                <w:rFonts w:hint="eastAsia" w:ascii="仿宋" w:hAnsi="仿宋" w:eastAsia="仿宋" w:cs="仿宋"/>
                <w:color w:val="auto"/>
                <w:szCs w:val="21"/>
                <w:highlight w:val="none"/>
              </w:rPr>
            </w:pPr>
            <w:bookmarkStart w:id="47" w:name="_9.2"/>
            <w:bookmarkEnd w:id="47"/>
            <w:bookmarkStart w:id="48" w:name="_5"/>
            <w:bookmarkEnd w:id="48"/>
            <w:bookmarkStart w:id="49" w:name="_8.1"/>
            <w:bookmarkEnd w:id="49"/>
            <w:r>
              <w:rPr>
                <w:rFonts w:hint="eastAsia" w:ascii="仿宋" w:hAnsi="仿宋" w:eastAsia="仿宋" w:cs="仿宋"/>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34D1EDB3">
            <w:pPr>
              <w:pStyle w:val="16"/>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本项目是否接受联合体投标：否。</w:t>
            </w:r>
          </w:p>
        </w:tc>
      </w:tr>
      <w:tr w14:paraId="5D359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6FEB8D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61EFC85B">
            <w:pPr>
              <w:pStyle w:val="16"/>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不允许分包</w:t>
            </w:r>
            <w:r>
              <w:rPr>
                <w:rFonts w:hint="eastAsia" w:ascii="仿宋" w:hAnsi="仿宋" w:eastAsia="仿宋" w:cs="仿宋"/>
                <w:b w:val="0"/>
                <w:bCs w:val="0"/>
                <w:color w:val="auto"/>
                <w:highlight w:val="none"/>
                <w:lang w:eastAsia="zh-CN"/>
              </w:rPr>
              <w:t>的</w:t>
            </w:r>
            <w:r>
              <w:rPr>
                <w:rFonts w:hint="eastAsia" w:ascii="仿宋" w:hAnsi="仿宋" w:eastAsia="仿宋" w:cs="仿宋"/>
                <w:b w:val="0"/>
                <w:bCs w:val="0"/>
                <w:color w:val="auto"/>
                <w:highlight w:val="none"/>
                <w:lang w:val="en-US" w:eastAsia="zh-CN"/>
              </w:rPr>
              <w:t>情形</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u w:val="single"/>
                <w:lang w:val="en-US" w:eastAsia="zh-CN"/>
              </w:rPr>
              <w:t>1分标2分标不允许分包，3分标投标人是中小企业的不允许分包</w:t>
            </w:r>
            <w:r>
              <w:rPr>
                <w:rFonts w:hint="eastAsia" w:ascii="仿宋" w:hAnsi="仿宋" w:eastAsia="仿宋" w:cs="仿宋"/>
                <w:b w:val="0"/>
                <w:bCs w:val="0"/>
                <w:color w:val="auto"/>
                <w:highlight w:val="none"/>
              </w:rPr>
              <w:t>。</w:t>
            </w:r>
          </w:p>
          <w:p w14:paraId="495EC718">
            <w:pPr>
              <w:pStyle w:val="16"/>
              <w:rPr>
                <w:rFonts w:hint="eastAsia" w:ascii="仿宋" w:hAnsi="仿宋" w:eastAsia="仿宋" w:cs="仿宋"/>
                <w:b w:val="0"/>
                <w:bCs w:val="0"/>
                <w:color w:val="auto"/>
                <w:highlight w:val="none"/>
                <w:u w:val="single"/>
              </w:rPr>
            </w:pPr>
            <w:r>
              <w:rPr>
                <w:rFonts w:hint="eastAsia" w:ascii="仿宋" w:hAnsi="仿宋" w:eastAsia="仿宋" w:cs="仿宋"/>
                <w:b w:val="0"/>
                <w:bCs w:val="0"/>
                <w:color w:val="auto"/>
                <w:highlight w:val="none"/>
              </w:rPr>
              <w:t>允许分包</w:t>
            </w:r>
            <w:r>
              <w:rPr>
                <w:rFonts w:hint="eastAsia" w:ascii="仿宋" w:hAnsi="仿宋" w:eastAsia="仿宋" w:cs="仿宋"/>
                <w:b w:val="0"/>
                <w:bCs w:val="0"/>
                <w:color w:val="auto"/>
                <w:highlight w:val="none"/>
                <w:lang w:eastAsia="zh-CN"/>
              </w:rPr>
              <w:t>的</w:t>
            </w:r>
            <w:r>
              <w:rPr>
                <w:rFonts w:hint="eastAsia" w:ascii="仿宋" w:hAnsi="仿宋" w:eastAsia="仿宋" w:cs="仿宋"/>
                <w:b w:val="0"/>
                <w:bCs w:val="0"/>
                <w:color w:val="auto"/>
                <w:highlight w:val="none"/>
                <w:lang w:val="en-US" w:eastAsia="zh-CN"/>
              </w:rPr>
              <w:t>情形</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u w:val="single"/>
                <w:lang w:val="en-US" w:eastAsia="zh-CN"/>
              </w:rPr>
              <w:t>3分标投标人不是中小企业的，必须将不低于30%的中标份额分包给中小企业实施</w:t>
            </w:r>
            <w:r>
              <w:rPr>
                <w:rFonts w:hint="eastAsia" w:ascii="仿宋" w:hAnsi="仿宋" w:eastAsia="仿宋" w:cs="仿宋"/>
                <w:b w:val="0"/>
                <w:bCs w:val="0"/>
                <w:color w:val="auto"/>
                <w:highlight w:val="none"/>
              </w:rPr>
              <w:t>。</w:t>
            </w:r>
          </w:p>
        </w:tc>
      </w:tr>
      <w:tr w14:paraId="320B4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0C47F1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vAlign w:val="center"/>
          </w:tcPr>
          <w:p w14:paraId="222B21D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不组织现场考察</w:t>
            </w:r>
          </w:p>
          <w:p w14:paraId="1C5654C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□组织现场考察：</w:t>
            </w:r>
          </w:p>
          <w:p w14:paraId="4EB7D0CD">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集中时间：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，逾期后果自负。集中地点：</w:t>
            </w:r>
            <w:r>
              <w:rPr>
                <w:rFonts w:hint="eastAsia" w:ascii="仿宋" w:hAnsi="仿宋" w:eastAsia="仿宋" w:cs="仿宋"/>
                <w:color w:val="auto"/>
                <w:sz w:val="24"/>
                <w:highlight w:val="none"/>
                <w:u w:val="single"/>
              </w:rPr>
              <w:t xml:space="preserve">              </w:t>
            </w:r>
          </w:p>
          <w:p w14:paraId="1280669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tc>
      </w:tr>
      <w:tr w14:paraId="7BFF6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54AD0831">
            <w:pPr>
              <w:spacing w:line="360" w:lineRule="auto"/>
              <w:ind w:firstLine="482"/>
              <w:jc w:val="center"/>
              <w:rPr>
                <w:rFonts w:hint="eastAsia" w:ascii="仿宋" w:hAnsi="仿宋" w:eastAsia="仿宋" w:cs="仿宋"/>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49AC99C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不组织召开开标前答疑会</w:t>
            </w:r>
          </w:p>
          <w:p w14:paraId="756F377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□组织召开开标前答疑会</w:t>
            </w:r>
          </w:p>
          <w:p w14:paraId="2C71A75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会议开始时间：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w:t>
            </w:r>
          </w:p>
          <w:p w14:paraId="545F783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会议地点：</w:t>
            </w:r>
            <w:r>
              <w:rPr>
                <w:rFonts w:hint="eastAsia" w:ascii="仿宋" w:hAnsi="仿宋" w:eastAsia="仿宋" w:cs="仿宋"/>
                <w:color w:val="auto"/>
                <w:sz w:val="24"/>
                <w:highlight w:val="none"/>
                <w:u w:val="single"/>
              </w:rPr>
              <w:t xml:space="preserve">              </w:t>
            </w:r>
          </w:p>
        </w:tc>
      </w:tr>
      <w:tr w14:paraId="7FE95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0C6D63FB">
            <w:pPr>
              <w:spacing w:line="360" w:lineRule="auto"/>
              <w:jc w:val="center"/>
              <w:rPr>
                <w:rFonts w:hint="eastAsia" w:ascii="仿宋" w:hAnsi="仿宋" w:eastAsia="仿宋" w:cs="仿宋"/>
                <w:color w:val="auto"/>
                <w:szCs w:val="21"/>
                <w:highlight w:val="none"/>
              </w:rPr>
            </w:pPr>
            <w:bookmarkStart w:id="50" w:name="_13.1"/>
            <w:bookmarkEnd w:id="50"/>
            <w:r>
              <w:rPr>
                <w:rFonts w:hint="eastAsia" w:ascii="仿宋" w:hAnsi="仿宋" w:eastAsia="仿宋" w:cs="仿宋"/>
                <w:color w:val="auto"/>
                <w:szCs w:val="21"/>
                <w:highlight w:val="none"/>
              </w:rPr>
              <w:t>13.1</w:t>
            </w:r>
          </w:p>
        </w:tc>
        <w:tc>
          <w:tcPr>
            <w:tcW w:w="8175" w:type="dxa"/>
            <w:tcBorders>
              <w:top w:val="single" w:color="auto" w:sz="4" w:space="0"/>
              <w:left w:val="single" w:color="auto" w:sz="4" w:space="0"/>
              <w:bottom w:val="single" w:color="auto" w:sz="4" w:space="0"/>
              <w:right w:val="single" w:color="auto" w:sz="4" w:space="0"/>
            </w:tcBorders>
            <w:vAlign w:val="center"/>
          </w:tcPr>
          <w:p w14:paraId="01BB39B5">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报价文件：</w:t>
            </w:r>
          </w:p>
          <w:p w14:paraId="7EBB83B5">
            <w:pPr>
              <w:tabs>
                <w:tab w:val="left" w:pos="459"/>
              </w:tabs>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1.投标函（格式后附）；</w:t>
            </w:r>
            <w:r>
              <w:rPr>
                <w:rFonts w:hint="eastAsia" w:ascii="仿宋" w:hAnsi="仿宋" w:eastAsia="仿宋" w:cs="仿宋"/>
                <w:b/>
                <w:color w:val="auto"/>
                <w:sz w:val="24"/>
                <w:highlight w:val="none"/>
              </w:rPr>
              <w:t>（必须提供，否则按无效投标处理）</w:t>
            </w:r>
          </w:p>
          <w:p w14:paraId="58BD1078">
            <w:pPr>
              <w:tabs>
                <w:tab w:val="left" w:pos="459"/>
              </w:tabs>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2.开标一览表（格式后附）； （</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04D5A986">
            <w:pPr>
              <w:tabs>
                <w:tab w:val="left" w:pos="459"/>
              </w:tabs>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3.投标人针对报价需要说明的其他文件和说明（格式自拟）。</w:t>
            </w:r>
          </w:p>
          <w:p w14:paraId="19046EC4">
            <w:pPr>
              <w:tabs>
                <w:tab w:val="left" w:pos="459"/>
              </w:tabs>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注：投标函、开标一览表必须由法定代表人或者委托代理人在规定签章处逐一签字并加盖投标人公章，否则按无效投标处理。</w:t>
            </w:r>
          </w:p>
        </w:tc>
      </w:tr>
      <w:tr w14:paraId="26398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4355DFCC">
            <w:pPr>
              <w:spacing w:line="360" w:lineRule="auto"/>
              <w:ind w:firstLine="482"/>
              <w:jc w:val="center"/>
              <w:rPr>
                <w:rFonts w:hint="eastAsia" w:ascii="仿宋" w:hAnsi="仿宋" w:eastAsia="仿宋" w:cs="仿宋"/>
                <w:color w:val="auto"/>
                <w:szCs w:val="21"/>
                <w:highlight w:val="none"/>
              </w:rPr>
            </w:pPr>
            <w:bookmarkStart w:id="51" w:name="_13.2"/>
            <w:bookmarkEnd w:id="51"/>
          </w:p>
        </w:tc>
        <w:tc>
          <w:tcPr>
            <w:tcW w:w="8175" w:type="dxa"/>
            <w:tcBorders>
              <w:top w:val="single" w:color="auto" w:sz="4" w:space="0"/>
              <w:left w:val="single" w:color="auto" w:sz="4" w:space="0"/>
              <w:bottom w:val="single" w:color="auto" w:sz="4" w:space="0"/>
              <w:right w:val="single" w:color="auto" w:sz="4" w:space="0"/>
            </w:tcBorders>
            <w:vAlign w:val="center"/>
          </w:tcPr>
          <w:p w14:paraId="0F0B06B9">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w:t>
            </w:r>
          </w:p>
          <w:p w14:paraId="29EC1E29">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1.投标人为法人或者其他组织的，提供营业执照等证明文件（如营业执照或者事业单位法人证书或者</w:t>
            </w:r>
            <w:r>
              <w:rPr>
                <w:rStyle w:val="98"/>
                <w:rFonts w:hint="eastAsia" w:ascii="仿宋" w:hAnsi="仿宋" w:eastAsia="仿宋" w:cs="仿宋"/>
                <w:color w:val="auto"/>
                <w:sz w:val="24"/>
                <w:szCs w:val="24"/>
                <w:highlight w:val="none"/>
              </w:rPr>
              <w:t>执业许可证</w:t>
            </w:r>
            <w:r>
              <w:rPr>
                <w:rFonts w:hint="eastAsia" w:ascii="仿宋" w:hAnsi="仿宋" w:eastAsia="仿宋" w:cs="仿宋"/>
                <w:color w:val="auto"/>
                <w:sz w:val="24"/>
                <w:highlight w:val="none"/>
              </w:rPr>
              <w:t>或者登记证书等），投标人为自然人的，提供身份证复印件；（</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47D821DC">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2.投标人依法缴纳税收的相关材料（投标截止之日止前半年内连续三个月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0962351C">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3.投标人依法缴纳社会保障资金的相关材料[投标截止之日止前半年内连续三个月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一个月的依法缴纳社会保障资金的相应证明文件]；（</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7D2B7FB5">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4.投标人财务状况报告（提供202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或202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度</w:t>
            </w:r>
            <w:r>
              <w:rPr>
                <w:rFonts w:hint="eastAsia" w:ascii="仿宋" w:hAnsi="仿宋" w:eastAsia="仿宋" w:cs="仿宋"/>
                <w:color w:val="auto"/>
                <w:sz w:val="24"/>
                <w:highlight w:val="none"/>
              </w:rPr>
              <w:t>财务状况报告复印件，或者银行出具的资信证明（资信证明应在有效期内，未注明有效期的，银行出具时间至投标截止时间不超过一年）；供应商成立不满一年的应按提供投标文件提交截止时间上一个月的财务状况报告复印件）；（</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0394735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5.投标人直接控股、管理关系信息表（格式后附）；（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532AC7F6">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6.投标声明（格式后附）；（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0EDF189E">
            <w:pPr>
              <w:pStyle w:val="51"/>
              <w:autoSpaceDE w:val="0"/>
              <w:autoSpaceDN w:val="0"/>
              <w:snapToGrid w:val="0"/>
              <w:spacing w:line="360" w:lineRule="auto"/>
              <w:ind w:firstLine="0" w:firstLineChars="0"/>
              <w:textAlignment w:val="bottom"/>
              <w:rPr>
                <w:rFonts w:hint="eastAsia" w:ascii="仿宋" w:hAnsi="仿宋" w:eastAsia="仿宋" w:cs="仿宋"/>
                <w:b/>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bCs/>
                <w:color w:val="auto"/>
                <w:sz w:val="24"/>
                <w:highlight w:val="none"/>
              </w:rPr>
              <w:t>.中小企业声明函（或残疾人福利性单位声明函或监狱企业声明函，残疾人福利性单位或监狱企业视同小微企业）（格式后附）；</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1分标和</w:t>
            </w:r>
            <w:r>
              <w:rPr>
                <w:rFonts w:hint="eastAsia" w:ascii="仿宋" w:hAnsi="仿宋" w:eastAsia="仿宋" w:cs="仿宋"/>
                <w:b/>
                <w:color w:val="auto"/>
                <w:sz w:val="24"/>
                <w:highlight w:val="none"/>
              </w:rPr>
              <w:t>2分标必须提供</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3分标：投标人是中小企业的，必须提供中小企业声明函；投标人不是中小企业的，必须提供预留份额的实施单位的中小企业声明函；</w:t>
            </w:r>
            <w:r>
              <w:rPr>
                <w:rFonts w:hint="eastAsia" w:ascii="仿宋" w:hAnsi="仿宋" w:eastAsia="仿宋" w:cs="仿宋"/>
                <w:b/>
                <w:color w:val="auto"/>
                <w:sz w:val="24"/>
                <w:highlight w:val="none"/>
              </w:rPr>
              <w:t>否则按无效投标处理）</w:t>
            </w:r>
          </w:p>
          <w:p w14:paraId="70A36BAB">
            <w:pPr>
              <w:autoSpaceDE w:val="0"/>
              <w:autoSpaceDN w:val="0"/>
              <w:snapToGrid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中小企业实施份额分包承诺（格式附后）</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3分标投标人不是中小企业的必须提供，</w:t>
            </w:r>
            <w:r>
              <w:rPr>
                <w:rFonts w:hint="eastAsia" w:ascii="仿宋" w:hAnsi="仿宋" w:eastAsia="仿宋" w:cs="仿宋"/>
                <w:b/>
                <w:color w:val="auto"/>
                <w:sz w:val="24"/>
                <w:highlight w:val="none"/>
              </w:rPr>
              <w:t>否则按无效投标处理）</w:t>
            </w:r>
          </w:p>
          <w:p w14:paraId="3B9A8135">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除招标文件规定必须提供以外，投标人认为需要提供的其他证明材料。</w:t>
            </w:r>
          </w:p>
          <w:p w14:paraId="58D20172">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3AD8ADA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以上标明“必须提供”的材料属于复印件的，必须加盖投标人公章，否则按无效投标处理。</w:t>
            </w:r>
          </w:p>
          <w:p w14:paraId="02D51FC1">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投标声明必须由法定代表人在规定签章处签字并加盖投标人公章，否则按无效投标处理。</w:t>
            </w:r>
          </w:p>
          <w:p w14:paraId="5D66CE44">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投标人直接控股、管理关系信息表必须由法定代表人或者委托代理人在规定签章处签字并加盖投标人公章，否则按无效投标处理。</w:t>
            </w:r>
          </w:p>
          <w:p w14:paraId="20FF395C">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bCs/>
                <w:color w:val="auto"/>
                <w:sz w:val="24"/>
                <w:highlight w:val="none"/>
              </w:rPr>
              <w:t>.</w:t>
            </w:r>
            <w:r>
              <w:rPr>
                <w:rFonts w:hint="eastAsia" w:ascii="仿宋" w:hAnsi="仿宋" w:eastAsia="仿宋" w:cs="仿宋"/>
                <w:b/>
                <w:bCs/>
                <w:color w:val="auto"/>
                <w:sz w:val="24"/>
                <w:highlight w:val="none"/>
              </w:rPr>
              <w:t>联合体投标时，第1-5项资格证明文件联合体各方均必须分别提供，联合体各方分别盖章，否则按无效投标处理。</w:t>
            </w:r>
          </w:p>
          <w:p w14:paraId="7B841BD9">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分公司参加投标的，应当取得总公司授权，否则按无效投标处理。</w:t>
            </w:r>
          </w:p>
        </w:tc>
      </w:tr>
      <w:tr w14:paraId="63ED5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00D8C19F">
            <w:pPr>
              <w:spacing w:line="360" w:lineRule="auto"/>
              <w:ind w:firstLine="482"/>
              <w:jc w:val="center"/>
              <w:rPr>
                <w:rFonts w:hint="eastAsia" w:ascii="仿宋" w:hAnsi="仿宋" w:eastAsia="仿宋" w:cs="仿宋"/>
                <w:color w:val="auto"/>
                <w:szCs w:val="21"/>
                <w:highlight w:val="none"/>
              </w:rPr>
            </w:pPr>
            <w:bookmarkStart w:id="52" w:name="_13.3"/>
            <w:bookmarkEnd w:id="52"/>
          </w:p>
        </w:tc>
        <w:tc>
          <w:tcPr>
            <w:tcW w:w="8175" w:type="dxa"/>
            <w:tcBorders>
              <w:top w:val="single" w:color="auto" w:sz="4" w:space="0"/>
              <w:left w:val="single" w:color="auto" w:sz="4" w:space="0"/>
              <w:bottom w:val="single" w:color="auto" w:sz="4" w:space="0"/>
              <w:right w:val="single" w:color="auto" w:sz="4" w:space="0"/>
            </w:tcBorders>
            <w:vAlign w:val="center"/>
          </w:tcPr>
          <w:p w14:paraId="41BB1CCF">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商务要求文件：</w:t>
            </w:r>
          </w:p>
          <w:p w14:paraId="330A0D1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1.无串通投标行为的承诺函（格式后附）；（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21BFBC8C">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2.法定代表人身份证明及法定代表人有效身份证正反面复印件（格式后附）；（</w:t>
            </w:r>
            <w:r>
              <w:rPr>
                <w:rFonts w:hint="eastAsia" w:ascii="仿宋" w:hAnsi="仿宋" w:eastAsia="仿宋" w:cs="仿宋"/>
                <w:b/>
                <w:bCs/>
                <w:color w:val="auto"/>
                <w:sz w:val="24"/>
                <w:highlight w:val="none"/>
              </w:rPr>
              <w:t>除自然人投标外</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1B9731C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3.授权委托书及委托代理人有效身份证正反面复印件（格式后附）；（</w:t>
            </w:r>
            <w:r>
              <w:rPr>
                <w:rFonts w:hint="eastAsia" w:ascii="仿宋" w:hAnsi="仿宋" w:eastAsia="仿宋" w:cs="仿宋"/>
                <w:b/>
                <w:color w:val="auto"/>
                <w:sz w:val="24"/>
                <w:highlight w:val="none"/>
              </w:rPr>
              <w:t>委托时必须提供，否则按无效投标处理</w:t>
            </w:r>
            <w:r>
              <w:rPr>
                <w:rFonts w:hint="eastAsia" w:ascii="仿宋" w:hAnsi="仿宋" w:eastAsia="仿宋" w:cs="仿宋"/>
                <w:color w:val="auto"/>
                <w:sz w:val="24"/>
                <w:highlight w:val="none"/>
              </w:rPr>
              <w:t>）</w:t>
            </w:r>
          </w:p>
          <w:p w14:paraId="4DC4CBE1">
            <w:pPr>
              <w:snapToGrid w:val="0"/>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投标保证金缴纳凭证（无格式要求）；</w:t>
            </w:r>
            <w:r>
              <w:rPr>
                <w:rFonts w:hint="eastAsia" w:ascii="仿宋" w:hAnsi="仿宋" w:eastAsia="仿宋" w:cs="仿宋"/>
                <w:b/>
                <w:bCs/>
                <w:color w:val="auto"/>
                <w:sz w:val="24"/>
                <w:highlight w:val="none"/>
                <w:lang w:val="en-US" w:eastAsia="zh-CN"/>
              </w:rPr>
              <w:t>（必须提供，否则按无效投标处理）</w:t>
            </w:r>
          </w:p>
          <w:p w14:paraId="35A9336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商务要求偏离表（格式后附）；（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160F2562">
            <w:pPr>
              <w:pStyle w:val="51"/>
              <w:snapToGrid w:val="0"/>
              <w:spacing w:line="360" w:lineRule="auto"/>
              <w:ind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.投标人情况介绍（格式自拟）；</w:t>
            </w:r>
          </w:p>
          <w:p w14:paraId="49678B44">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4B5F734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p>
          <w:p w14:paraId="42A732C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法定代表人授权委托书必须由法定代表人及委托代理人签字，并加盖投标人公章，否则做无效投标处理。</w:t>
            </w:r>
          </w:p>
          <w:p w14:paraId="49CC2CE7">
            <w:pPr>
              <w:snapToGrid w:val="0"/>
              <w:spacing w:line="360" w:lineRule="auto"/>
              <w:jc w:val="left"/>
              <w:rPr>
                <w:rFonts w:hint="eastAsia" w:ascii="仿宋" w:hAnsi="仿宋" w:eastAsia="仿宋" w:cs="仿宋"/>
                <w:b/>
                <w:color w:val="auto"/>
                <w:szCs w:val="21"/>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以上标明“必须提供”的材料属于复印件的，必须加盖投标人公章，否则按无效投标处理。</w:t>
            </w:r>
          </w:p>
        </w:tc>
      </w:tr>
      <w:tr w14:paraId="52243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bottom w:val="single" w:color="auto" w:sz="4" w:space="0"/>
              <w:right w:val="single" w:color="auto" w:sz="4" w:space="0"/>
            </w:tcBorders>
            <w:vAlign w:val="center"/>
          </w:tcPr>
          <w:p w14:paraId="07099822">
            <w:pPr>
              <w:spacing w:line="360" w:lineRule="auto"/>
              <w:ind w:firstLine="482"/>
              <w:jc w:val="center"/>
              <w:rPr>
                <w:rFonts w:hint="eastAsia" w:ascii="仿宋" w:hAnsi="仿宋" w:eastAsia="仿宋" w:cs="仿宋"/>
                <w:color w:val="auto"/>
                <w:szCs w:val="21"/>
                <w:highlight w:val="none"/>
              </w:rPr>
            </w:pPr>
            <w:bookmarkStart w:id="53" w:name="_13.4"/>
            <w:bookmarkEnd w:id="53"/>
          </w:p>
        </w:tc>
        <w:tc>
          <w:tcPr>
            <w:tcW w:w="8175" w:type="dxa"/>
            <w:tcBorders>
              <w:top w:val="single" w:color="auto" w:sz="4" w:space="0"/>
              <w:left w:val="single" w:color="auto" w:sz="4" w:space="0"/>
              <w:bottom w:val="single" w:color="auto" w:sz="4" w:space="0"/>
              <w:right w:val="single" w:color="auto" w:sz="4" w:space="0"/>
            </w:tcBorders>
            <w:vAlign w:val="center"/>
          </w:tcPr>
          <w:p w14:paraId="14C52D1D">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技术要求</w:t>
            </w:r>
            <w:r>
              <w:rPr>
                <w:rFonts w:hint="eastAsia" w:ascii="仿宋" w:hAnsi="仿宋" w:eastAsia="仿宋" w:cs="仿宋"/>
                <w:b/>
                <w:color w:val="auto"/>
                <w:sz w:val="24"/>
                <w:highlight w:val="none"/>
              </w:rPr>
              <w:t>文件：</w:t>
            </w:r>
          </w:p>
          <w:p w14:paraId="7D6926F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技术要求偏离表</w:t>
            </w:r>
            <w:r>
              <w:rPr>
                <w:rFonts w:hint="eastAsia" w:ascii="仿宋" w:hAnsi="仿宋" w:eastAsia="仿宋" w:cs="仿宋"/>
                <w:color w:val="auto"/>
                <w:sz w:val="24"/>
                <w:highlight w:val="none"/>
              </w:rPr>
              <w:t>（格式后附）；（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418973C0">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2.服务方案（格式自拟）；（</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283ECED6">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3.项目实施人员一览表（格式后附）；（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40D1C2BB">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4.投标人对本项目的合理化建议和改进措施（格式自拟）；</w:t>
            </w:r>
          </w:p>
          <w:p w14:paraId="052F8409">
            <w:pPr>
              <w:snapToGrid w:val="0"/>
              <w:spacing w:line="360" w:lineRule="auto"/>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5.除招标文件规定必须提供以外，投标人需要说明的其他文件和说明（格式自拟）。</w:t>
            </w:r>
          </w:p>
          <w:p w14:paraId="3FD2A282">
            <w:pPr>
              <w:snapToGri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 w:val="24"/>
                <w:highlight w:val="none"/>
              </w:rPr>
              <w:t>注：以上标明“必须提供”的材料属于复印件的，必须加盖投标人公章，否则按无效投标</w:t>
            </w:r>
            <w:r>
              <w:rPr>
                <w:rFonts w:hint="eastAsia" w:ascii="仿宋" w:hAnsi="仿宋" w:eastAsia="仿宋" w:cs="仿宋"/>
                <w:b/>
                <w:color w:val="auto"/>
                <w:sz w:val="24"/>
                <w:highlight w:val="none"/>
              </w:rPr>
              <w:t>处理</w:t>
            </w:r>
            <w:r>
              <w:rPr>
                <w:rFonts w:hint="eastAsia" w:ascii="仿宋" w:hAnsi="仿宋" w:eastAsia="仿宋" w:cs="仿宋"/>
                <w:b/>
                <w:bCs/>
                <w:color w:val="auto"/>
                <w:sz w:val="24"/>
                <w:highlight w:val="none"/>
              </w:rPr>
              <w:t>。</w:t>
            </w:r>
          </w:p>
        </w:tc>
      </w:tr>
      <w:tr w14:paraId="61983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0FD90F6">
            <w:pPr>
              <w:spacing w:line="360" w:lineRule="auto"/>
              <w:jc w:val="center"/>
              <w:rPr>
                <w:rFonts w:hint="eastAsia" w:ascii="仿宋" w:hAnsi="仿宋" w:eastAsia="仿宋" w:cs="仿宋"/>
                <w:color w:val="auto"/>
                <w:szCs w:val="21"/>
                <w:highlight w:val="none"/>
              </w:rPr>
            </w:pPr>
            <w:bookmarkStart w:id="54" w:name="_16.2"/>
            <w:bookmarkEnd w:id="54"/>
            <w:bookmarkStart w:id="55" w:name="_13.5"/>
            <w:bookmarkEnd w:id="55"/>
            <w:r>
              <w:rPr>
                <w:rFonts w:hint="eastAsia" w:ascii="仿宋" w:hAnsi="仿宋" w:eastAsia="仿宋" w:cs="仿宋"/>
                <w:color w:val="auto"/>
                <w:szCs w:val="21"/>
                <w:highlight w:val="none"/>
              </w:rPr>
              <w:t>16</w:t>
            </w:r>
            <w:bookmarkStart w:id="56" w:name="_Hlt19693758"/>
            <w:bookmarkStart w:id="57" w:name="_Hlt19194067"/>
            <w:bookmarkStart w:id="58" w:name="_Hlt19693759"/>
            <w:bookmarkStart w:id="59" w:name="_Hlt19194066"/>
            <w:r>
              <w:rPr>
                <w:rFonts w:hint="eastAsia" w:ascii="仿宋" w:hAnsi="仿宋" w:eastAsia="仿宋" w:cs="仿宋"/>
                <w:color w:val="auto"/>
                <w:szCs w:val="21"/>
                <w:highlight w:val="none"/>
              </w:rPr>
              <w:t>.</w:t>
            </w:r>
            <w:bookmarkEnd w:id="56"/>
            <w:bookmarkEnd w:id="57"/>
            <w:bookmarkEnd w:id="58"/>
            <w:bookmarkEnd w:id="59"/>
            <w:r>
              <w:rPr>
                <w:rFonts w:hint="eastAsia" w:ascii="仿宋" w:hAnsi="仿宋" w:eastAsia="仿宋" w:cs="仿宋"/>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55BDFEA1">
            <w:pPr>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投标报价为完成项目所有服务所需的费用，包括但不限于劳务费、软硬件设备、机具材料费、</w:t>
            </w:r>
            <w:r>
              <w:rPr>
                <w:rFonts w:hint="eastAsia" w:ascii="仿宋" w:hAnsi="仿宋" w:eastAsia="仿宋" w:cs="仿宋"/>
                <w:color w:val="auto"/>
                <w:sz w:val="24"/>
                <w:highlight w:val="none"/>
                <w:lang w:eastAsia="zh-CN"/>
              </w:rPr>
              <w:t>交通费、数</w:t>
            </w:r>
            <w:r>
              <w:rPr>
                <w:rFonts w:hint="eastAsia" w:ascii="仿宋" w:hAnsi="仿宋" w:eastAsia="仿宋" w:cs="仿宋"/>
                <w:color w:val="auto"/>
                <w:sz w:val="24"/>
                <w:highlight w:val="none"/>
              </w:rPr>
              <w:t>据处理、成果文件编制印刷、质量检查、培训等各种费用和售后服务、税金及其</w:t>
            </w:r>
            <w:r>
              <w:rPr>
                <w:rFonts w:hint="eastAsia" w:ascii="仿宋" w:hAnsi="仿宋" w:eastAsia="仿宋" w:cs="仿宋"/>
                <w:color w:val="auto"/>
                <w:sz w:val="24"/>
                <w:highlight w:val="none"/>
                <w:lang w:eastAsia="zh-CN"/>
              </w:rPr>
              <w:t>他</w:t>
            </w:r>
            <w:r>
              <w:rPr>
                <w:rFonts w:hint="eastAsia" w:ascii="仿宋" w:hAnsi="仿宋" w:eastAsia="仿宋" w:cs="仿宋"/>
                <w:color w:val="auto"/>
                <w:sz w:val="24"/>
                <w:highlight w:val="none"/>
              </w:rPr>
              <w:t>所有成本费用的总和。合同履约期间采购人不再支付其他费用。（采购需求另有约定的，从其约定）</w:t>
            </w:r>
          </w:p>
        </w:tc>
      </w:tr>
      <w:tr w14:paraId="6235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992742F">
            <w:pPr>
              <w:spacing w:line="360" w:lineRule="auto"/>
              <w:jc w:val="center"/>
              <w:rPr>
                <w:rFonts w:hint="eastAsia" w:ascii="仿宋" w:hAnsi="仿宋" w:eastAsia="仿宋" w:cs="仿宋"/>
                <w:color w:val="auto"/>
                <w:szCs w:val="21"/>
                <w:highlight w:val="none"/>
              </w:rPr>
            </w:pPr>
            <w:bookmarkStart w:id="60" w:name="_17.1"/>
            <w:bookmarkEnd w:id="60"/>
            <w:r>
              <w:rPr>
                <w:rFonts w:hint="eastAsia" w:ascii="仿宋" w:hAnsi="仿宋" w:eastAsia="仿宋" w:cs="仿宋"/>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vAlign w:val="center"/>
          </w:tcPr>
          <w:p w14:paraId="0B17D581">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 w:val="24"/>
                <w:highlight w:val="none"/>
              </w:rPr>
              <w:t>投标有效期：自投标截止之日起</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0天内。</w:t>
            </w:r>
          </w:p>
        </w:tc>
      </w:tr>
      <w:tr w14:paraId="70AD9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7E8962E">
            <w:pPr>
              <w:spacing w:line="360" w:lineRule="auto"/>
              <w:jc w:val="center"/>
              <w:rPr>
                <w:rFonts w:hint="eastAsia" w:ascii="仿宋" w:hAnsi="仿宋" w:eastAsia="仿宋" w:cs="仿宋"/>
                <w:color w:val="auto"/>
                <w:szCs w:val="21"/>
                <w:highlight w:val="none"/>
              </w:rPr>
            </w:pPr>
            <w:bookmarkStart w:id="61" w:name="_18"/>
            <w:bookmarkEnd w:id="61"/>
            <w:r>
              <w:rPr>
                <w:rFonts w:hint="eastAsia" w:ascii="仿宋" w:hAnsi="仿宋" w:eastAsia="仿宋" w:cs="仿宋"/>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vAlign w:val="center"/>
          </w:tcPr>
          <w:p w14:paraId="01087867">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本项目不收取投标保证金。</w:t>
            </w:r>
          </w:p>
          <w:p w14:paraId="1140BE62">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本项目收取投标保证金。</w:t>
            </w:r>
          </w:p>
          <w:p w14:paraId="138DF7E7">
            <w:pPr>
              <w:autoSpaceDE w:val="0"/>
              <w:autoSpaceDN w:val="0"/>
              <w:snapToGrid w:val="0"/>
              <w:spacing w:line="360" w:lineRule="auto"/>
              <w:textAlignment w:val="bottom"/>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1.投标保证金金额：</w:t>
            </w:r>
            <w:r>
              <w:rPr>
                <w:rFonts w:hint="eastAsia" w:ascii="仿宋" w:hAnsi="仿宋" w:eastAsia="仿宋" w:cs="仿宋"/>
                <w:color w:val="auto"/>
                <w:sz w:val="24"/>
                <w:highlight w:val="none"/>
                <w:lang w:val="en-US" w:eastAsia="zh-CN"/>
              </w:rPr>
              <w:t>1分标24000元；2分标23000元；3分标28000元。</w:t>
            </w:r>
          </w:p>
          <w:p w14:paraId="59BB468B">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2.保证金专用银行账号信息如下：</w:t>
            </w:r>
          </w:p>
          <w:p w14:paraId="61E341BC">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开户名称：广西科文招标有限公司</w:t>
            </w:r>
          </w:p>
          <w:p w14:paraId="39F5F0A6">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开户银行：广西北部湾银行南宁分行</w:t>
            </w:r>
          </w:p>
          <w:p w14:paraId="41543463">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银行账号：0101012090615689</w:t>
            </w:r>
          </w:p>
          <w:p w14:paraId="13FA27C2">
            <w:pPr>
              <w:autoSpaceDE w:val="0"/>
              <w:autoSpaceDN w:val="0"/>
              <w:snapToGrid w:val="0"/>
              <w:spacing w:line="360" w:lineRule="auto"/>
              <w:textAlignment w:val="bottom"/>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3.投标保证金的交纳方式：银行转账、支票、汇票、本票或者银行、保险机构出具的保函，禁止采</w:t>
            </w:r>
            <w:r>
              <w:rPr>
                <w:rFonts w:hint="eastAsia" w:ascii="仿宋" w:hAnsi="仿宋" w:eastAsia="仿宋" w:cs="仿宋"/>
                <w:color w:val="auto"/>
                <w:kern w:val="0"/>
                <w:sz w:val="24"/>
                <w:highlight w:val="none"/>
              </w:rPr>
              <w:t>用现钞方式。</w:t>
            </w:r>
          </w:p>
          <w:p w14:paraId="0E29108A">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采用银行转账方式的，在投标截止时间前交至指定账户并且到账；采用支票、汇票、本票或者保函等方式的，在投标截止时间前，投标人必须递交单独密封的支票、汇票、本票或者保函原件</w:t>
            </w:r>
            <w:r>
              <w:rPr>
                <w:rFonts w:hint="eastAsia" w:ascii="仿宋" w:hAnsi="仿宋" w:eastAsia="仿宋" w:cs="仿宋"/>
                <w:color w:val="auto"/>
                <w:kern w:val="0"/>
                <w:sz w:val="24"/>
                <w:highlight w:val="none"/>
                <w:lang w:val="en-US" w:eastAsia="zh-CN"/>
              </w:rPr>
              <w:t>到代理机构</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否则视为无效投标保证金。</w:t>
            </w:r>
          </w:p>
          <w:p w14:paraId="44BF01C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.投标人为联合体的，可以由联合体中的一方或者多方共同交纳投标保证金，其交纳的保证金对联合体各方均具有约束力。</w:t>
            </w:r>
          </w:p>
          <w:p w14:paraId="63A6C0BC">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项目如有分标，投标人根据各分标保证金金额要求，单独提交所投分标的保证金，且提交时请备注项目编号+分标序号。</w:t>
            </w:r>
          </w:p>
          <w:p w14:paraId="60FF8FC4">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.无效保证金的情形：投标保证金在投标截止时间后提交的，或者不按规定交纳方式交纳的，或者未足额交纳的（包含保函额度不足的），或者采用现钞方式或者从个人账户（自然人投标除外）转出的</w:t>
            </w:r>
            <w:r>
              <w:rPr>
                <w:rFonts w:hint="eastAsia" w:ascii="仿宋" w:hAnsi="仿宋" w:eastAsia="仿宋" w:cs="仿宋"/>
                <w:b/>
                <w:color w:val="auto"/>
                <w:sz w:val="24"/>
                <w:highlight w:val="none"/>
                <w:lang w:eastAsia="zh-CN"/>
              </w:rPr>
              <w:t>，或者</w:t>
            </w:r>
            <w:r>
              <w:rPr>
                <w:rFonts w:hint="eastAsia" w:ascii="仿宋" w:hAnsi="仿宋" w:eastAsia="仿宋" w:cs="仿宋"/>
                <w:b/>
                <w:color w:val="auto"/>
                <w:sz w:val="24"/>
                <w:highlight w:val="none"/>
              </w:rPr>
              <w:t>支票、汇票或者本票出现无效或者背书情形的，或者保函有效期低于投标有效期的，</w:t>
            </w:r>
            <w:r>
              <w:rPr>
                <w:rFonts w:hint="eastAsia" w:ascii="仿宋" w:hAnsi="仿宋" w:eastAsia="仿宋" w:cs="仿宋"/>
                <w:b/>
                <w:color w:val="auto"/>
                <w:sz w:val="24"/>
                <w:highlight w:val="none"/>
                <w:lang w:val="en-US" w:eastAsia="zh-CN"/>
              </w:rPr>
              <w:t>均</w:t>
            </w:r>
            <w:r>
              <w:rPr>
                <w:rFonts w:hint="eastAsia" w:ascii="仿宋" w:hAnsi="仿宋" w:eastAsia="仿宋" w:cs="仿宋"/>
                <w:b/>
                <w:color w:val="auto"/>
                <w:sz w:val="24"/>
                <w:highlight w:val="none"/>
              </w:rPr>
              <w:t>视为无效投标保证金。</w:t>
            </w:r>
          </w:p>
          <w:p w14:paraId="4A21150F">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采用银行、保险机构出具保函的，必须为无条件保函，否则视为无效投标保证金。</w:t>
            </w:r>
          </w:p>
        </w:tc>
      </w:tr>
      <w:tr w14:paraId="069D6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1142D88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 w:val="24"/>
                <w:highlight w:val="none"/>
              </w:rPr>
              <w:t>19.2</w:t>
            </w:r>
          </w:p>
        </w:tc>
        <w:tc>
          <w:tcPr>
            <w:tcW w:w="8175" w:type="dxa"/>
            <w:tcBorders>
              <w:top w:val="single" w:color="auto" w:sz="4" w:space="0"/>
              <w:left w:val="single" w:color="auto" w:sz="4" w:space="0"/>
              <w:bottom w:val="single" w:color="auto" w:sz="4" w:space="0"/>
              <w:right w:val="single" w:color="auto" w:sz="4" w:space="0"/>
            </w:tcBorders>
            <w:vAlign w:val="center"/>
          </w:tcPr>
          <w:p w14:paraId="3090FA8B">
            <w:pPr>
              <w:autoSpaceDE w:val="0"/>
              <w:autoSpaceDN w:val="0"/>
              <w:snapToGrid w:val="0"/>
              <w:spacing w:line="360" w:lineRule="auto"/>
              <w:textAlignment w:val="bottom"/>
              <w:rPr>
                <w:rFonts w:hint="eastAsia" w:ascii="仿宋" w:hAnsi="仿宋" w:eastAsia="仿宋" w:cs="仿宋"/>
                <w:color w:val="auto"/>
                <w:szCs w:val="21"/>
                <w:highlight w:val="none"/>
              </w:rPr>
            </w:pPr>
            <w:r>
              <w:rPr>
                <w:rFonts w:hint="eastAsia" w:ascii="仿宋" w:hAnsi="仿宋" w:eastAsia="仿宋" w:cs="仿宋"/>
                <w:color w:val="auto"/>
                <w:sz w:val="24"/>
                <w:highlight w:val="none"/>
              </w:rPr>
              <w:t>投标文件应按报价文件、资格证明文件、商务文件、技术文件分别编制，</w:t>
            </w:r>
            <w:r>
              <w:rPr>
                <w:rFonts w:hint="eastAsia" w:ascii="仿宋" w:hAnsi="仿宋" w:eastAsia="仿宋" w:cs="仿宋"/>
                <w:color w:val="auto"/>
                <w:sz w:val="24"/>
                <w:highlight w:val="none"/>
                <w:lang w:bidi="ar"/>
              </w:rPr>
              <w:t>并按广西政府采购云平台的要求编制、加密、上传。</w:t>
            </w:r>
          </w:p>
        </w:tc>
      </w:tr>
      <w:tr w14:paraId="3675C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2D231B51">
            <w:pPr>
              <w:spacing w:line="360" w:lineRule="auto"/>
              <w:jc w:val="center"/>
              <w:rPr>
                <w:rFonts w:hint="eastAsia" w:ascii="仿宋" w:hAnsi="仿宋" w:eastAsia="仿宋" w:cs="仿宋"/>
                <w:color w:val="auto"/>
                <w:sz w:val="24"/>
                <w:highlight w:val="none"/>
              </w:rPr>
            </w:pPr>
            <w:bookmarkStart w:id="62" w:name="_21.1"/>
            <w:bookmarkEnd w:id="62"/>
            <w:bookmarkStart w:id="63" w:name="_19.2"/>
            <w:bookmarkEnd w:id="63"/>
            <w:r>
              <w:rPr>
                <w:rFonts w:hint="eastAsia" w:ascii="仿宋" w:hAnsi="仿宋" w:eastAsia="仿宋" w:cs="仿宋"/>
                <w:color w:val="auto"/>
                <w:sz w:val="24"/>
                <w:highlight w:val="none"/>
              </w:rPr>
              <w:t>20.1</w:t>
            </w:r>
          </w:p>
        </w:tc>
        <w:tc>
          <w:tcPr>
            <w:tcW w:w="8175" w:type="dxa"/>
            <w:tcBorders>
              <w:top w:val="single" w:color="auto" w:sz="4" w:space="0"/>
              <w:left w:val="single" w:color="auto" w:sz="4" w:space="0"/>
              <w:bottom w:val="single" w:color="auto" w:sz="4" w:space="0"/>
              <w:right w:val="single" w:color="auto" w:sz="4" w:space="0"/>
            </w:tcBorders>
            <w:vAlign w:val="center"/>
          </w:tcPr>
          <w:p w14:paraId="34E474C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电子投标文件应在制作完成后，投标人应按广西政府采购云平台的要求进行加密，并在规定时间内解密，否则，由此产生的后果由投标人自行负责。</w:t>
            </w:r>
          </w:p>
        </w:tc>
      </w:tr>
      <w:tr w14:paraId="2CF7E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08EE59B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p>
        </w:tc>
        <w:tc>
          <w:tcPr>
            <w:tcW w:w="8175" w:type="dxa"/>
            <w:tcBorders>
              <w:top w:val="single" w:color="auto" w:sz="4" w:space="0"/>
              <w:left w:val="single" w:color="auto" w:sz="4" w:space="0"/>
              <w:bottom w:val="single" w:color="auto" w:sz="4" w:space="0"/>
              <w:right w:val="single" w:color="auto" w:sz="4" w:space="0"/>
            </w:tcBorders>
            <w:vAlign w:val="center"/>
          </w:tcPr>
          <w:p w14:paraId="6D3A4A0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本项目不接受电子备份投标文件</w:t>
            </w:r>
          </w:p>
        </w:tc>
      </w:tr>
      <w:tr w14:paraId="741F5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5AEDF9D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17C0F6E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1.投标文件提交截止时间：详见招标公告</w:t>
            </w:r>
          </w:p>
          <w:p w14:paraId="3D1F3A4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2.投标地点：详见招标公告</w:t>
            </w:r>
          </w:p>
        </w:tc>
      </w:tr>
      <w:tr w14:paraId="5A127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126FC04">
            <w:pPr>
              <w:snapToGrid w:val="0"/>
              <w:spacing w:line="360" w:lineRule="auto"/>
              <w:jc w:val="center"/>
              <w:rPr>
                <w:rFonts w:hint="eastAsia" w:ascii="仿宋" w:hAnsi="仿宋" w:eastAsia="仿宋" w:cs="仿宋"/>
                <w:color w:val="auto"/>
                <w:sz w:val="24"/>
                <w:highlight w:val="none"/>
              </w:rPr>
            </w:pPr>
            <w:bookmarkStart w:id="64" w:name="_23"/>
            <w:bookmarkEnd w:id="64"/>
            <w:r>
              <w:rPr>
                <w:rFonts w:hint="eastAsia" w:ascii="仿宋" w:hAnsi="仿宋" w:eastAsia="仿宋" w:cs="仿宋"/>
                <w:color w:val="auto"/>
                <w:sz w:val="24"/>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63FB24A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1.开标时间：详见招标公告</w:t>
            </w:r>
          </w:p>
          <w:p w14:paraId="7FA4207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2.开标地点：详见招标公告</w:t>
            </w:r>
          </w:p>
        </w:tc>
      </w:tr>
      <w:tr w14:paraId="10BC7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AC74B9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24.2（1）</w:t>
            </w:r>
          </w:p>
        </w:tc>
        <w:tc>
          <w:tcPr>
            <w:tcW w:w="8175" w:type="dxa"/>
            <w:tcBorders>
              <w:top w:val="single" w:color="auto" w:sz="4" w:space="0"/>
              <w:left w:val="single" w:color="auto" w:sz="4" w:space="0"/>
              <w:bottom w:val="single" w:color="auto" w:sz="4" w:space="0"/>
              <w:right w:val="single" w:color="auto" w:sz="4" w:space="0"/>
            </w:tcBorders>
            <w:vAlign w:val="center"/>
          </w:tcPr>
          <w:p w14:paraId="5D39C60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电子投标文件解密时间：30分钟。</w:t>
            </w:r>
          </w:p>
        </w:tc>
      </w:tr>
      <w:tr w14:paraId="4ED94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B71A55F">
            <w:pPr>
              <w:snapToGrid w:val="0"/>
              <w:spacing w:line="360" w:lineRule="auto"/>
              <w:jc w:val="center"/>
              <w:rPr>
                <w:rFonts w:hint="eastAsia" w:ascii="仿宋" w:hAnsi="仿宋" w:eastAsia="仿宋" w:cs="仿宋"/>
                <w:color w:val="auto"/>
                <w:sz w:val="24"/>
                <w:highlight w:val="none"/>
              </w:rPr>
            </w:pPr>
            <w:bookmarkStart w:id="65" w:name="_25.3"/>
            <w:bookmarkEnd w:id="65"/>
            <w:r>
              <w:rPr>
                <w:rFonts w:hint="eastAsia" w:ascii="仿宋" w:hAnsi="仿宋" w:eastAsia="仿宋" w:cs="仿宋"/>
                <w:color w:val="auto"/>
                <w:sz w:val="24"/>
                <w:highlight w:val="none"/>
              </w:rPr>
              <w:t>25.3（3）</w:t>
            </w:r>
          </w:p>
        </w:tc>
        <w:tc>
          <w:tcPr>
            <w:tcW w:w="8175" w:type="dxa"/>
            <w:tcBorders>
              <w:top w:val="single" w:color="auto" w:sz="4" w:space="0"/>
              <w:left w:val="single" w:color="auto" w:sz="4" w:space="0"/>
              <w:bottom w:val="single" w:color="auto" w:sz="4" w:space="0"/>
              <w:right w:val="single" w:color="auto" w:sz="4" w:space="0"/>
            </w:tcBorders>
            <w:vAlign w:val="center"/>
          </w:tcPr>
          <w:p w14:paraId="6F51BA0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采购人或者采购代理机构在资格审查结束前，对投标人进行信用查询。</w:t>
            </w:r>
          </w:p>
          <w:p w14:paraId="2B194ED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查询渠道：“信用中国”网站（www.creditchina.gov.cn） 、中国政府采购网（www.ccgp.gov.cn）。</w:t>
            </w:r>
          </w:p>
          <w:p w14:paraId="3E60088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信用查询截止时点：资格审查结束前</w:t>
            </w:r>
          </w:p>
          <w:p w14:paraId="3519EF67">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查询记录和证据留存方式：将查询网站中的查询记录截图并作为评审资料保存。</w:t>
            </w:r>
          </w:p>
          <w:p w14:paraId="269C5A85">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4AE8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B343230">
            <w:pPr>
              <w:spacing w:line="360" w:lineRule="auto"/>
              <w:jc w:val="center"/>
              <w:rPr>
                <w:rFonts w:hint="eastAsia" w:ascii="仿宋" w:hAnsi="仿宋" w:eastAsia="仿宋" w:cs="仿宋"/>
                <w:color w:val="auto"/>
                <w:sz w:val="24"/>
                <w:highlight w:val="none"/>
              </w:rPr>
            </w:pPr>
            <w:bookmarkStart w:id="66" w:name="_26"/>
            <w:bookmarkEnd w:id="66"/>
            <w:r>
              <w:rPr>
                <w:rFonts w:hint="eastAsia" w:ascii="仿宋" w:hAnsi="仿宋" w:eastAsia="仿宋" w:cs="仿宋"/>
                <w:color w:val="auto"/>
                <w:sz w:val="24"/>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20A40FA5">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评标委员会的人数：5人或以上单数</w:t>
            </w:r>
          </w:p>
        </w:tc>
      </w:tr>
      <w:tr w14:paraId="1D243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14882C7">
            <w:pPr>
              <w:spacing w:line="360" w:lineRule="auto"/>
              <w:jc w:val="center"/>
              <w:rPr>
                <w:rFonts w:hint="eastAsia" w:ascii="仿宋" w:hAnsi="仿宋" w:eastAsia="仿宋" w:cs="仿宋"/>
                <w:color w:val="auto"/>
                <w:sz w:val="24"/>
                <w:highlight w:val="none"/>
              </w:rPr>
            </w:pPr>
            <w:bookmarkStart w:id="67" w:name="_28.3"/>
            <w:bookmarkEnd w:id="67"/>
            <w:r>
              <w:rPr>
                <w:rFonts w:hint="eastAsia" w:ascii="仿宋" w:hAnsi="仿宋" w:eastAsia="仿宋" w:cs="仿宋"/>
                <w:color w:val="auto"/>
                <w:sz w:val="24"/>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531FF757">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评标方法：☑综合评分法     □最低评标价法</w:t>
            </w:r>
          </w:p>
        </w:tc>
      </w:tr>
      <w:tr w14:paraId="36CC6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vMerge w:val="restart"/>
            <w:tcBorders>
              <w:top w:val="single" w:color="auto" w:sz="4" w:space="0"/>
              <w:left w:val="single" w:color="auto" w:sz="4" w:space="0"/>
              <w:right w:val="single" w:color="auto" w:sz="4" w:space="0"/>
            </w:tcBorders>
            <w:vAlign w:val="center"/>
          </w:tcPr>
          <w:p w14:paraId="7CA676B8">
            <w:pPr>
              <w:spacing w:line="360" w:lineRule="auto"/>
              <w:jc w:val="center"/>
              <w:rPr>
                <w:rFonts w:hint="eastAsia" w:ascii="仿宋" w:hAnsi="仿宋" w:eastAsia="仿宋" w:cs="仿宋"/>
                <w:color w:val="auto"/>
                <w:sz w:val="24"/>
                <w:highlight w:val="none"/>
              </w:rPr>
            </w:pPr>
            <w:bookmarkStart w:id="68" w:name="_29.2.2（2）"/>
            <w:bookmarkEnd w:id="68"/>
            <w:r>
              <w:rPr>
                <w:rFonts w:hint="eastAsia" w:ascii="仿宋" w:hAnsi="仿宋" w:eastAsia="仿宋" w:cs="仿宋"/>
                <w:color w:val="auto"/>
                <w:sz w:val="24"/>
                <w:highlight w:val="none"/>
              </w:rPr>
              <w:t>29.2</w:t>
            </w:r>
          </w:p>
        </w:tc>
        <w:tc>
          <w:tcPr>
            <w:tcW w:w="8175" w:type="dxa"/>
            <w:tcBorders>
              <w:top w:val="single" w:color="auto" w:sz="4" w:space="0"/>
              <w:left w:val="single" w:color="auto" w:sz="4" w:space="0"/>
              <w:right w:val="single" w:color="auto" w:sz="4" w:space="0"/>
            </w:tcBorders>
            <w:vAlign w:val="center"/>
          </w:tcPr>
          <w:p w14:paraId="42CC294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每个分标商务要求评审中允许负偏离的条款数为0项。</w:t>
            </w:r>
          </w:p>
          <w:p w14:paraId="41CB226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每个分标</w:t>
            </w:r>
            <w:r>
              <w:rPr>
                <w:rFonts w:hint="eastAsia" w:ascii="仿宋" w:hAnsi="仿宋" w:eastAsia="仿宋" w:cs="仿宋"/>
                <w:color w:val="auto"/>
                <w:sz w:val="24"/>
                <w:highlight w:val="none"/>
                <w:lang w:eastAsia="zh-CN"/>
              </w:rPr>
              <w:t>技术要求</w:t>
            </w:r>
            <w:r>
              <w:rPr>
                <w:rFonts w:hint="eastAsia" w:ascii="仿宋" w:hAnsi="仿宋" w:eastAsia="仿宋" w:cs="仿宋"/>
                <w:color w:val="auto"/>
                <w:sz w:val="24"/>
                <w:highlight w:val="none"/>
              </w:rPr>
              <w:t>评审中允许负偏离的条款数为</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项。</w:t>
            </w:r>
          </w:p>
        </w:tc>
      </w:tr>
      <w:tr w14:paraId="23B44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vMerge w:val="continue"/>
            <w:tcBorders>
              <w:left w:val="single" w:color="auto" w:sz="4" w:space="0"/>
              <w:right w:val="single" w:color="auto" w:sz="4" w:space="0"/>
            </w:tcBorders>
            <w:vAlign w:val="center"/>
          </w:tcPr>
          <w:p w14:paraId="6DCF09DF">
            <w:pPr>
              <w:spacing w:line="360" w:lineRule="auto"/>
              <w:ind w:firstLine="482"/>
              <w:jc w:val="center"/>
              <w:rPr>
                <w:rFonts w:hint="eastAsia" w:ascii="仿宋" w:hAnsi="仿宋" w:eastAsia="仿宋" w:cs="仿宋"/>
                <w:color w:val="auto"/>
                <w:szCs w:val="21"/>
                <w:highlight w:val="none"/>
              </w:rPr>
            </w:pPr>
          </w:p>
        </w:tc>
        <w:tc>
          <w:tcPr>
            <w:tcW w:w="8175" w:type="dxa"/>
            <w:tcBorders>
              <w:top w:val="single" w:color="auto" w:sz="4" w:space="0"/>
              <w:left w:val="single" w:color="auto" w:sz="4" w:space="0"/>
              <w:right w:val="single" w:color="auto" w:sz="4" w:space="0"/>
            </w:tcBorders>
            <w:vAlign w:val="center"/>
          </w:tcPr>
          <w:p w14:paraId="60CF051C">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中标候选人推荐数量：3家</w:t>
            </w:r>
          </w:p>
        </w:tc>
      </w:tr>
      <w:tr w14:paraId="6F869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BBA6E2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vAlign w:val="center"/>
          </w:tcPr>
          <w:p w14:paraId="04833A04">
            <w:pPr>
              <w:numPr>
                <w:ilvl w:val="0"/>
                <w:numId w:val="5"/>
              </w:numPr>
              <w:autoSpaceDE w:val="0"/>
              <w:autoSpaceDN w:val="0"/>
              <w:snapToGrid w:val="0"/>
              <w:spacing w:line="360" w:lineRule="auto"/>
              <w:textAlignment w:val="bottom"/>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采用综合评分法的采购项目，采购人确定中标人时，出现中标候选人并列的情形，采购人按以下的方式确定中标人：</w:t>
            </w:r>
            <w:r>
              <w:rPr>
                <w:rFonts w:hint="eastAsia" w:ascii="仿宋" w:hAnsi="仿宋" w:eastAsia="仿宋" w:cs="仿宋"/>
                <w:b/>
                <w:bCs/>
                <w:color w:val="auto"/>
                <w:sz w:val="24"/>
                <w:highlight w:val="none"/>
              </w:rPr>
              <w:t>依次按投标报价低的优先、</w:t>
            </w:r>
            <w:r>
              <w:rPr>
                <w:rFonts w:hint="eastAsia" w:ascii="仿宋" w:hAnsi="仿宋" w:eastAsia="仿宋" w:cs="仿宋"/>
                <w:b/>
                <w:bCs/>
                <w:color w:val="auto"/>
                <w:sz w:val="24"/>
                <w:highlight w:val="none"/>
                <w:lang w:val="en-US" w:eastAsia="zh-CN"/>
              </w:rPr>
              <w:t>技术</w:t>
            </w:r>
            <w:r>
              <w:rPr>
                <w:rFonts w:hint="eastAsia" w:ascii="仿宋" w:hAnsi="仿宋" w:eastAsia="仿宋" w:cs="仿宋"/>
                <w:b/>
                <w:bCs/>
                <w:color w:val="auto"/>
                <w:sz w:val="24"/>
                <w:highlight w:val="none"/>
              </w:rPr>
              <w:t>评分高的优先、商务评分高的优先的顺序确定。</w:t>
            </w:r>
          </w:p>
          <w:p w14:paraId="00A3953A">
            <w:pPr>
              <w:autoSpaceDE w:val="0"/>
              <w:autoSpaceDN w:val="0"/>
              <w:snapToGrid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color w:val="auto"/>
                <w:sz w:val="24"/>
                <w:highlight w:val="none"/>
              </w:rPr>
              <w:t>2.采用最低评标价法的采购项目，评标价相同时按以下原则确定成交候选人的顺序：依次按服务水平技术指标高优先、</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方案好优先、拟投入人员多优先、服务响应时间短优先的顺序排列。</w:t>
            </w:r>
          </w:p>
        </w:tc>
      </w:tr>
      <w:tr w14:paraId="30A34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189CEBE8">
            <w:pPr>
              <w:spacing w:line="360" w:lineRule="auto"/>
              <w:jc w:val="center"/>
              <w:rPr>
                <w:rFonts w:hint="eastAsia" w:ascii="仿宋" w:hAnsi="仿宋" w:eastAsia="仿宋" w:cs="仿宋"/>
                <w:color w:val="auto"/>
                <w:szCs w:val="21"/>
                <w:highlight w:val="none"/>
              </w:rPr>
            </w:pPr>
            <w:bookmarkStart w:id="69" w:name="_39.1"/>
            <w:bookmarkEnd w:id="69"/>
            <w:r>
              <w:rPr>
                <w:rFonts w:hint="eastAsia" w:ascii="仿宋" w:hAnsi="仿宋" w:eastAsia="仿宋" w:cs="仿宋"/>
                <w:color w:val="auto"/>
                <w:sz w:val="24"/>
                <w:highlight w:val="none"/>
              </w:rPr>
              <w:t>35.1</w:t>
            </w:r>
          </w:p>
        </w:tc>
        <w:tc>
          <w:tcPr>
            <w:tcW w:w="8175" w:type="dxa"/>
            <w:tcBorders>
              <w:top w:val="single" w:color="auto" w:sz="4" w:space="0"/>
              <w:left w:val="single" w:color="auto" w:sz="4" w:space="0"/>
              <w:bottom w:val="single" w:color="auto" w:sz="4" w:space="0"/>
              <w:right w:val="single" w:color="auto" w:sz="4" w:space="0"/>
            </w:tcBorders>
            <w:vAlign w:val="center"/>
          </w:tcPr>
          <w:p w14:paraId="7634BAAB">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☑本项目不收取履约保证金。</w:t>
            </w:r>
          </w:p>
          <w:p w14:paraId="1D877C33">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本项目收取履约保证金，详见商务条款。</w:t>
            </w:r>
          </w:p>
          <w:p w14:paraId="4F03938E">
            <w:pPr>
              <w:autoSpaceDE w:val="0"/>
              <w:autoSpaceDN w:val="0"/>
              <w:snapToGrid w:val="0"/>
              <w:spacing w:line="360" w:lineRule="auto"/>
              <w:textAlignment w:val="bottom"/>
              <w:rPr>
                <w:rFonts w:hint="eastAsia" w:ascii="仿宋" w:hAnsi="仿宋" w:eastAsia="仿宋" w:cs="仿宋"/>
                <w:color w:val="auto"/>
                <w:szCs w:val="21"/>
                <w:highlight w:val="none"/>
              </w:rPr>
            </w:pPr>
            <w:r>
              <w:rPr>
                <w:rFonts w:hint="eastAsia" w:ascii="仿宋" w:hAnsi="仿宋" w:eastAsia="仿宋" w:cs="仿宋"/>
                <w:color w:val="auto"/>
                <w:sz w:val="24"/>
                <w:highlight w:val="none"/>
              </w:rPr>
              <w:t>履约保证金递交方式：详见商务条款</w:t>
            </w:r>
          </w:p>
          <w:p w14:paraId="7D3B32EF">
            <w:pPr>
              <w:autoSpaceDE w:val="0"/>
              <w:autoSpaceDN w:val="0"/>
              <w:snapToGrid w:val="0"/>
              <w:spacing w:line="360" w:lineRule="auto"/>
              <w:textAlignment w:val="bottom"/>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履约保证金退付方式、时间及条件详见商务条款。</w:t>
            </w:r>
          </w:p>
          <w:p w14:paraId="623C67FE">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p w14:paraId="75AE72FB">
            <w:pPr>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1</w:t>
            </w:r>
            <w:bookmarkStart w:id="70" w:name="_Hlk54170335"/>
            <w:r>
              <w:rPr>
                <w:rFonts w:hint="eastAsia" w:ascii="仿宋" w:hAnsi="仿宋" w:eastAsia="仿宋" w:cs="仿宋"/>
                <w:bCs/>
                <w:color w:val="auto"/>
                <w:sz w:val="24"/>
                <w:highlight w:val="none"/>
              </w:rPr>
              <w:t>.</w:t>
            </w:r>
            <w:r>
              <w:rPr>
                <w:rFonts w:hint="eastAsia" w:ascii="仿宋" w:hAnsi="仿宋" w:eastAsia="仿宋" w:cs="仿宋"/>
                <w:b/>
                <w:color w:val="auto"/>
                <w:sz w:val="24"/>
                <w:highlight w:val="none"/>
              </w:rPr>
              <w:t>根据《桂财规〔2022〕8号 广西壮族自治区财政厅关于规范政府采购货物和服务项目保证金管理的通知》，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70"/>
          </w:p>
          <w:p w14:paraId="701A7B4A">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2.履约保证金不足额缴纳的（包含保函额度不足的），或者不按规定提交方式提交的，或者保函有效期低于合同履行期限（即签订采购合同之日起至履行完合同约定的权利及义务之日止）的，不予签订合同。</w:t>
            </w:r>
          </w:p>
          <w:p w14:paraId="4AE19E35">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3.采用银行出具的保函的，必须为无条件保函，否则不予签订合同。</w:t>
            </w:r>
          </w:p>
          <w:p w14:paraId="6F75E58C">
            <w:pPr>
              <w:spacing w:line="360" w:lineRule="auto"/>
              <w:jc w:val="left"/>
              <w:rPr>
                <w:rFonts w:hint="eastAsia" w:ascii="仿宋" w:hAnsi="仿宋" w:eastAsia="仿宋" w:cs="仿宋"/>
                <w:color w:val="auto"/>
                <w:kern w:val="0"/>
                <w:szCs w:val="21"/>
                <w:highlight w:val="none"/>
              </w:rPr>
            </w:pPr>
            <w:r>
              <w:rPr>
                <w:rFonts w:hint="eastAsia" w:ascii="仿宋" w:hAnsi="仿宋" w:eastAsia="仿宋" w:cs="仿宋"/>
                <w:b/>
                <w:color w:val="auto"/>
                <w:sz w:val="24"/>
                <w:highlight w:val="none"/>
              </w:rPr>
              <w:t>4.投标人为联合体的，由联合体其中一方按规定提交的履约保证金，视为有效履约保证金。</w:t>
            </w:r>
          </w:p>
        </w:tc>
      </w:tr>
      <w:tr w14:paraId="50641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6E9DBB0">
            <w:pPr>
              <w:spacing w:line="360" w:lineRule="auto"/>
              <w:jc w:val="center"/>
              <w:rPr>
                <w:rFonts w:hint="eastAsia" w:ascii="仿宋" w:hAnsi="仿宋" w:eastAsia="仿宋" w:cs="仿宋"/>
                <w:color w:val="auto"/>
                <w:sz w:val="24"/>
                <w:highlight w:val="none"/>
              </w:rPr>
            </w:pPr>
            <w:bookmarkStart w:id="71" w:name="_40.1"/>
            <w:bookmarkEnd w:id="71"/>
            <w:r>
              <w:rPr>
                <w:rFonts w:hint="eastAsia" w:ascii="仿宋" w:hAnsi="仿宋" w:eastAsia="仿宋" w:cs="仿宋"/>
                <w:color w:val="auto"/>
                <w:sz w:val="24"/>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1B68C87D">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签订合同携带的证明材料： </w:t>
            </w:r>
          </w:p>
          <w:p w14:paraId="0EB3586F">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委托代理人负责签订合同的，须携带授权委托书及委托代理人身份证原件等其他资格证件。</w:t>
            </w:r>
          </w:p>
          <w:p w14:paraId="0107A94C">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法定代表人负责签订合同的，须携带法定代表人身份证明原件及身份证原件等其他证明材料。</w:t>
            </w:r>
          </w:p>
        </w:tc>
      </w:tr>
      <w:tr w14:paraId="389CE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5BAAB1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38.2</w:t>
            </w:r>
          </w:p>
        </w:tc>
        <w:tc>
          <w:tcPr>
            <w:tcW w:w="8175" w:type="dxa"/>
            <w:tcBorders>
              <w:top w:val="single" w:color="auto" w:sz="4" w:space="0"/>
              <w:left w:val="single" w:color="auto" w:sz="4" w:space="0"/>
              <w:bottom w:val="single" w:color="auto" w:sz="4" w:space="0"/>
              <w:right w:val="single" w:color="auto" w:sz="4" w:space="0"/>
            </w:tcBorders>
            <w:vAlign w:val="center"/>
          </w:tcPr>
          <w:p w14:paraId="7ECB984C">
            <w:pPr>
              <w:pStyle w:val="2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接收质疑函方式：以书面形式。</w:t>
            </w:r>
          </w:p>
          <w:p w14:paraId="6AF638AB">
            <w:pPr>
              <w:pStyle w:val="2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质疑联系部门及联系方式：广西科文招标有限公司</w:t>
            </w:r>
          </w:p>
          <w:p w14:paraId="457420AB">
            <w:pPr>
              <w:pStyle w:val="2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w:t>
            </w:r>
            <w:r>
              <w:rPr>
                <w:rFonts w:hint="eastAsia" w:ascii="仿宋" w:hAnsi="仿宋" w:eastAsia="仿宋" w:cs="仿宋"/>
                <w:color w:val="auto"/>
                <w:sz w:val="24"/>
                <w:szCs w:val="24"/>
                <w:highlight w:val="none"/>
                <w:lang w:val="en-US" w:eastAsia="zh-CN"/>
              </w:rPr>
              <w:t>人及联系</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梁伟贞，</w:t>
            </w:r>
            <w:r>
              <w:rPr>
                <w:rFonts w:hint="eastAsia" w:ascii="仿宋" w:hAnsi="仿宋" w:eastAsia="仿宋" w:cs="仿宋"/>
                <w:color w:val="auto"/>
                <w:sz w:val="24"/>
                <w:szCs w:val="24"/>
                <w:highlight w:val="none"/>
              </w:rPr>
              <w:t>0771-2023650</w:t>
            </w:r>
          </w:p>
          <w:p w14:paraId="2060E732">
            <w:pPr>
              <w:pStyle w:val="2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通讯地址：广西南宁市民族大道141号中鼎万象东方D区五层</w:t>
            </w:r>
          </w:p>
          <w:p w14:paraId="3D041081">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业务时间：工作日，上午8：00-12：00；下午15：00-18：00（北京时间）</w:t>
            </w:r>
          </w:p>
        </w:tc>
      </w:tr>
      <w:tr w14:paraId="0CED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6BE42A5">
            <w:pPr>
              <w:spacing w:line="360" w:lineRule="auto"/>
              <w:jc w:val="center"/>
              <w:rPr>
                <w:rFonts w:hint="eastAsia" w:ascii="仿宋" w:hAnsi="仿宋" w:eastAsia="仿宋" w:cs="仿宋"/>
                <w:color w:val="auto"/>
                <w:szCs w:val="21"/>
                <w:highlight w:val="none"/>
              </w:rPr>
            </w:pPr>
            <w:bookmarkStart w:id="72" w:name="_41"/>
            <w:bookmarkEnd w:id="72"/>
            <w:bookmarkStart w:id="73" w:name="_42"/>
            <w:bookmarkEnd w:id="73"/>
            <w:bookmarkStart w:id="74" w:name="_Hlt17709148"/>
            <w:r>
              <w:rPr>
                <w:rFonts w:hint="eastAsia" w:ascii="仿宋" w:hAnsi="仿宋" w:eastAsia="仿宋" w:cs="仿宋"/>
                <w:color w:val="auto"/>
                <w:szCs w:val="21"/>
                <w:highlight w:val="none"/>
              </w:rPr>
              <w:t>3</w:t>
            </w:r>
            <w:bookmarkEnd w:id="74"/>
            <w:r>
              <w:rPr>
                <w:rFonts w:hint="eastAsia" w:ascii="仿宋" w:hAnsi="仿宋" w:eastAsia="仿宋" w:cs="仿宋"/>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30A3EC49">
            <w:pPr>
              <w:pStyle w:val="2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1.采购代理费支付方式：由</w:t>
            </w:r>
            <w:r>
              <w:rPr>
                <w:rFonts w:hint="eastAsia" w:ascii="仿宋" w:hAnsi="仿宋" w:eastAsia="仿宋" w:cs="仿宋"/>
                <w:color w:val="auto"/>
                <w:sz w:val="24"/>
                <w:szCs w:val="24"/>
                <w:highlight w:val="none"/>
                <w:u w:val="single"/>
              </w:rPr>
              <w:t>中标人</w:t>
            </w:r>
            <w:r>
              <w:rPr>
                <w:rFonts w:hint="eastAsia" w:ascii="仿宋" w:hAnsi="仿宋" w:eastAsia="仿宋" w:cs="仿宋"/>
                <w:color w:val="auto"/>
                <w:sz w:val="24"/>
                <w:szCs w:val="24"/>
                <w:highlight w:val="none"/>
              </w:rPr>
              <w:t>在领取中标通知书前，一次性向采购代理机构支付。</w:t>
            </w:r>
          </w:p>
          <w:p w14:paraId="0CBD9678">
            <w:pPr>
              <w:pStyle w:val="2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2.采购代理费收取标准：以各个分标的中标金额为计费额，按下表规定的收费计算标准（服务类）下浮</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0%，采用差额定率累进法计算出招标代理服务费。</w:t>
            </w:r>
          </w:p>
          <w:tbl>
            <w:tblPr>
              <w:tblStyle w:val="42"/>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20"/>
              <w:gridCol w:w="2020"/>
              <w:gridCol w:w="2020"/>
            </w:tblGrid>
            <w:tr w14:paraId="1881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20" w:type="dxa"/>
                  <w:shd w:val="clear" w:color="auto" w:fill="auto"/>
                  <w:vAlign w:val="center"/>
                </w:tcPr>
                <w:p w14:paraId="11C6F9DF">
                  <w:pPr>
                    <w:spacing w:line="360" w:lineRule="auto"/>
                    <w:jc w:val="left"/>
                    <w:rPr>
                      <w:rFonts w:hint="eastAsia" w:ascii="仿宋" w:hAnsi="仿宋" w:eastAsia="仿宋" w:cs="仿宋"/>
                      <w:color w:val="auto"/>
                      <w:sz w:val="24"/>
                      <w:highlight w:val="none"/>
                    </w:rPr>
                  </w:pPr>
                </w:p>
                <w:p w14:paraId="1085CD6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中标价</w:t>
                  </w:r>
                </w:p>
                <w:p w14:paraId="50E50676">
                  <w:pP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费率</w:t>
                  </w:r>
                </w:p>
              </w:tc>
              <w:tc>
                <w:tcPr>
                  <w:tcW w:w="2020" w:type="dxa"/>
                  <w:shd w:val="clear" w:color="auto" w:fill="auto"/>
                  <w:vAlign w:val="center"/>
                </w:tcPr>
                <w:p w14:paraId="7ED580B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货物招标</w:t>
                  </w:r>
                </w:p>
              </w:tc>
              <w:tc>
                <w:tcPr>
                  <w:tcW w:w="2020" w:type="dxa"/>
                  <w:shd w:val="clear" w:color="auto" w:fill="auto"/>
                  <w:vAlign w:val="center"/>
                </w:tcPr>
                <w:p w14:paraId="0949F8A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服务招标</w:t>
                  </w:r>
                </w:p>
              </w:tc>
              <w:tc>
                <w:tcPr>
                  <w:tcW w:w="2020" w:type="dxa"/>
                  <w:shd w:val="clear" w:color="auto" w:fill="auto"/>
                  <w:vAlign w:val="center"/>
                </w:tcPr>
                <w:p w14:paraId="7F31917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工程招标</w:t>
                  </w:r>
                </w:p>
              </w:tc>
            </w:tr>
            <w:tr w14:paraId="7841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shd w:val="clear" w:color="auto" w:fill="auto"/>
                </w:tcPr>
                <w:p w14:paraId="19A7712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2020" w:type="dxa"/>
                  <w:shd w:val="clear" w:color="auto" w:fill="auto"/>
                </w:tcPr>
                <w:p w14:paraId="085A185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2020" w:type="dxa"/>
                  <w:shd w:val="clear" w:color="auto" w:fill="auto"/>
                </w:tcPr>
                <w:p w14:paraId="3088300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2020" w:type="dxa"/>
                  <w:shd w:val="clear" w:color="auto" w:fill="auto"/>
                </w:tcPr>
                <w:p w14:paraId="6F96932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r>
            <w:tr w14:paraId="747D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shd w:val="clear" w:color="auto" w:fill="auto"/>
                </w:tcPr>
                <w:p w14:paraId="57EF57C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2020" w:type="dxa"/>
                  <w:shd w:val="clear" w:color="auto" w:fill="auto"/>
                </w:tcPr>
                <w:p w14:paraId="491DC9B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2020" w:type="dxa"/>
                  <w:shd w:val="clear" w:color="auto" w:fill="auto"/>
                </w:tcPr>
                <w:p w14:paraId="6E4B83C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0.8%</w:t>
                  </w:r>
                </w:p>
              </w:tc>
              <w:tc>
                <w:tcPr>
                  <w:tcW w:w="2020" w:type="dxa"/>
                  <w:shd w:val="clear" w:color="auto" w:fill="auto"/>
                </w:tcPr>
                <w:p w14:paraId="47AE5A9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0.7%</w:t>
                  </w:r>
                </w:p>
              </w:tc>
            </w:tr>
            <w:tr w14:paraId="1EAF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shd w:val="clear" w:color="auto" w:fill="auto"/>
                </w:tcPr>
                <w:p w14:paraId="1492650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2020" w:type="dxa"/>
                  <w:shd w:val="clear" w:color="auto" w:fill="auto"/>
                </w:tcPr>
                <w:p w14:paraId="45E1A97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0.8%</w:t>
                  </w:r>
                </w:p>
              </w:tc>
              <w:tc>
                <w:tcPr>
                  <w:tcW w:w="2020" w:type="dxa"/>
                  <w:shd w:val="clear" w:color="auto" w:fill="auto"/>
                </w:tcPr>
                <w:p w14:paraId="618BE8B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0.45%</w:t>
                  </w:r>
                </w:p>
              </w:tc>
              <w:tc>
                <w:tcPr>
                  <w:tcW w:w="2020" w:type="dxa"/>
                  <w:shd w:val="clear" w:color="auto" w:fill="auto"/>
                </w:tcPr>
                <w:p w14:paraId="7C0F337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0.55%</w:t>
                  </w:r>
                </w:p>
              </w:tc>
            </w:tr>
            <w:tr w14:paraId="38B7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shd w:val="clear" w:color="auto" w:fill="auto"/>
                </w:tcPr>
                <w:p w14:paraId="49CA967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2020" w:type="dxa"/>
                  <w:shd w:val="clear" w:color="auto" w:fill="auto"/>
                </w:tcPr>
                <w:p w14:paraId="0CD916A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w:t>
                  </w:r>
                </w:p>
              </w:tc>
              <w:tc>
                <w:tcPr>
                  <w:tcW w:w="2020" w:type="dxa"/>
                  <w:shd w:val="clear" w:color="auto" w:fill="auto"/>
                </w:tcPr>
                <w:p w14:paraId="184BC62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0.25%</w:t>
                  </w:r>
                </w:p>
              </w:tc>
              <w:tc>
                <w:tcPr>
                  <w:tcW w:w="2020" w:type="dxa"/>
                  <w:shd w:val="clear" w:color="auto" w:fill="auto"/>
                </w:tcPr>
                <w:p w14:paraId="07856D4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0.35%</w:t>
                  </w:r>
                </w:p>
              </w:tc>
            </w:tr>
          </w:tbl>
          <w:p w14:paraId="38FA4D7B">
            <w:pPr>
              <w:pStyle w:val="2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2"/>
                <w:sz w:val="24"/>
                <w:szCs w:val="24"/>
                <w:highlight w:val="none"/>
              </w:rPr>
              <w:t>代理服务费收费专用银行账户名称：</w:t>
            </w:r>
          </w:p>
          <w:p w14:paraId="7DDFFDDE">
            <w:pPr>
              <w:pStyle w:val="2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账户名称：广西科文招标有限公司南宁咨询一分公司</w:t>
            </w:r>
          </w:p>
          <w:p w14:paraId="7B477704">
            <w:pPr>
              <w:pStyle w:val="2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开户银行：广西北部湾银行股份有限公司南宁市云景支行</w:t>
            </w:r>
          </w:p>
          <w:p w14:paraId="05C816C0">
            <w:pPr>
              <w:pStyle w:val="22"/>
              <w:snapToGrid w:val="0"/>
              <w:spacing w:line="360" w:lineRule="auto"/>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银行账号：805030137000001</w:t>
            </w:r>
          </w:p>
        </w:tc>
      </w:tr>
      <w:tr w14:paraId="0B881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03AAF19">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53EB199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76AB7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63E0A92">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14B265F1">
            <w:pPr>
              <w:pStyle w:val="22"/>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1.本招标文件中描述投标人的“公章”是指根据我国对公章的管理规定，用投标人法定主体名称制作的印章</w:t>
            </w:r>
            <w:r>
              <w:rPr>
                <w:rFonts w:hint="eastAsia" w:ascii="仿宋" w:hAnsi="仿宋" w:eastAsia="仿宋" w:cs="仿宋"/>
                <w:color w:val="auto"/>
                <w:sz w:val="24"/>
                <w:szCs w:val="24"/>
                <w:highlight w:val="none"/>
              </w:rPr>
              <w:t>或投标人通过指定电子化政府采购平台办理数字证书（CA认证）获得的以法定主体名称制作的电子印章。</w:t>
            </w:r>
            <w:r>
              <w:rPr>
                <w:rFonts w:hint="eastAsia" w:ascii="仿宋" w:hAnsi="仿宋" w:eastAsia="仿宋" w:cs="仿宋"/>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5CBAED1D">
            <w:pPr>
              <w:pStyle w:val="22"/>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6BAB2FE">
            <w:pPr>
              <w:pStyle w:val="22"/>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3.本招标文件中描述投标人的“签字”是指投标人的法定代表人或者委托代理人</w:t>
            </w:r>
            <w:r>
              <w:rPr>
                <w:rFonts w:hint="eastAsia" w:ascii="仿宋" w:hAnsi="仿宋" w:eastAsia="仿宋" w:cs="仿宋"/>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ascii="仿宋" w:hAnsi="仿宋" w:eastAsia="仿宋" w:cs="仿宋"/>
                <w:bCs/>
                <w:color w:val="auto"/>
                <w:sz w:val="24"/>
                <w:szCs w:val="24"/>
                <w:highlight w:val="none"/>
              </w:rPr>
              <w:t>。</w:t>
            </w:r>
          </w:p>
          <w:p w14:paraId="7079EBEC">
            <w:pPr>
              <w:pStyle w:val="22"/>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4AE67524">
            <w:pPr>
              <w:pStyle w:val="22"/>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5.自然人投标的，招标文件规定盖公章处由自然人摁手指指印。</w:t>
            </w:r>
          </w:p>
          <w:p w14:paraId="684A3804">
            <w:pPr>
              <w:spacing w:line="360" w:lineRule="auto"/>
              <w:jc w:val="left"/>
              <w:rPr>
                <w:rFonts w:hint="eastAsia" w:ascii="仿宋" w:hAnsi="仿宋" w:eastAsia="仿宋" w:cs="仿宋"/>
                <w:color w:val="auto"/>
                <w:szCs w:val="21"/>
                <w:highlight w:val="none"/>
              </w:rPr>
            </w:pPr>
            <w:r>
              <w:rPr>
                <w:rFonts w:hint="eastAsia" w:ascii="仿宋" w:hAnsi="仿宋" w:eastAsia="仿宋" w:cs="仿宋"/>
                <w:bCs/>
                <w:color w:val="auto"/>
                <w:sz w:val="24"/>
                <w:highlight w:val="none"/>
              </w:rPr>
              <w:t>6.本招标文件所称的“以上”“以下”“以内”“届满”，包括本数；所称的“不满”“超过”“以外”，不包括本数。</w:t>
            </w:r>
          </w:p>
        </w:tc>
      </w:tr>
    </w:tbl>
    <w:p w14:paraId="020561B6">
      <w:pPr>
        <w:snapToGrid w:val="0"/>
        <w:ind w:firstLine="482"/>
        <w:rPr>
          <w:rFonts w:hint="eastAsia" w:ascii="仿宋" w:hAnsi="仿宋" w:eastAsia="仿宋" w:cs="仿宋"/>
          <w:color w:val="auto"/>
          <w:sz w:val="24"/>
          <w:szCs w:val="20"/>
          <w:highlight w:val="none"/>
        </w:rPr>
      </w:pPr>
    </w:p>
    <w:p w14:paraId="7033834C">
      <w:pPr>
        <w:snapToGrid w:val="0"/>
        <w:ind w:firstLine="482"/>
        <w:rPr>
          <w:rFonts w:hint="eastAsia" w:ascii="仿宋" w:hAnsi="仿宋" w:eastAsia="仿宋" w:cs="仿宋"/>
          <w:color w:val="auto"/>
          <w:sz w:val="24"/>
          <w:szCs w:val="20"/>
          <w:highlight w:val="none"/>
        </w:rPr>
      </w:pPr>
    </w:p>
    <w:p w14:paraId="23862F8F">
      <w:pPr>
        <w:pStyle w:val="4"/>
        <w:ind w:firstLine="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投标人须知正文</w:t>
      </w:r>
    </w:p>
    <w:p w14:paraId="56043B6B">
      <w:pPr>
        <w:pStyle w:val="4"/>
        <w:ind w:firstLine="0"/>
        <w:rPr>
          <w:rFonts w:hint="eastAsia" w:ascii="仿宋" w:hAnsi="仿宋" w:eastAsia="仿宋" w:cs="仿宋"/>
          <w:color w:val="auto"/>
          <w:highlight w:val="none"/>
        </w:rPr>
      </w:pPr>
      <w:r>
        <w:rPr>
          <w:rFonts w:hint="eastAsia" w:ascii="仿宋" w:hAnsi="仿宋" w:eastAsia="仿宋" w:cs="仿宋"/>
          <w:color w:val="auto"/>
          <w:highlight w:val="none"/>
        </w:rPr>
        <w:t>一、总  则</w:t>
      </w:r>
    </w:p>
    <w:p w14:paraId="5CD644B8">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75" w:name="_Toc254970668"/>
      <w:bookmarkStart w:id="76" w:name="_Toc254970527"/>
      <w:r>
        <w:rPr>
          <w:rFonts w:hint="eastAsia" w:ascii="仿宋" w:hAnsi="仿宋" w:eastAsia="仿宋" w:cs="仿宋"/>
          <w:color w:val="auto"/>
          <w:sz w:val="24"/>
          <w:highlight w:val="none"/>
        </w:rPr>
        <w:t>1.适用范围</w:t>
      </w:r>
      <w:bookmarkEnd w:id="75"/>
      <w:bookmarkEnd w:id="76"/>
    </w:p>
    <w:p w14:paraId="38E4ADB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和保护。</w:t>
      </w:r>
    </w:p>
    <w:p w14:paraId="4BCF4B42">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1.2本招标文件适用于本项目的所有采购程序和环节（法律法规另有规定的，从其规定）。</w:t>
      </w:r>
    </w:p>
    <w:p w14:paraId="737455D1">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77" w:name="_Toc254970528"/>
      <w:bookmarkStart w:id="78" w:name="_Toc254970669"/>
      <w:r>
        <w:rPr>
          <w:rFonts w:hint="eastAsia" w:ascii="仿宋" w:hAnsi="仿宋" w:eastAsia="仿宋" w:cs="仿宋"/>
          <w:color w:val="auto"/>
          <w:sz w:val="24"/>
          <w:highlight w:val="none"/>
        </w:rPr>
        <w:t>2.定义</w:t>
      </w:r>
      <w:bookmarkEnd w:id="77"/>
      <w:bookmarkEnd w:id="78"/>
    </w:p>
    <w:p w14:paraId="68C7B5F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2.1“采购人”是指依法进行政府采购的国家机关、事业单位、团体组织。</w:t>
      </w:r>
    </w:p>
    <w:p w14:paraId="1A13B8F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2.2“采购代理机构”是指政府采购集中采购机构和集中采购机构以外的采购代理机构。</w:t>
      </w:r>
    </w:p>
    <w:p w14:paraId="2514A324">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2.3“供应商”是指向采购人提供货物、工程或者服务的法人、其他组织或者自然人。</w:t>
      </w:r>
    </w:p>
    <w:p w14:paraId="35D2AD60">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2.4“投标人”是指响应招标、参加投标竞争的法人、其他组织或者自然人。</w:t>
      </w:r>
    </w:p>
    <w:p w14:paraId="41CB40FD">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2.5“服务”是指除货物和工程以外的其他政府采购对象。</w:t>
      </w:r>
    </w:p>
    <w:p w14:paraId="61CB28EB">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2.6“书面形式”是指合同书、信件和数据电文（包括电报、电传、传真、电子数据交换和电子邮件）等可以有形地表现所载内容的形式。</w:t>
      </w:r>
    </w:p>
    <w:p w14:paraId="7035CC7B">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2.7“实质性要求”是指招标文件中已经指明不满足则投标无效的条款，或者不容许负偏离的条款，或者采购需求中带“▲”的条款。</w:t>
      </w:r>
    </w:p>
    <w:p w14:paraId="326DF84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2.8“正偏离”，是指投标文件对招标文件“采购需求”中有关条款作出的响应优于条款要求并有利于采购人的情形。</w:t>
      </w:r>
    </w:p>
    <w:p w14:paraId="3443DD80">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2.9“负偏离”，是指投标文件对招标文件“采购需求”中有关条款作出的响应不满足条款要求，导致采购人要求不能得到满足的情形。</w:t>
      </w:r>
    </w:p>
    <w:p w14:paraId="6867A9C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2.10“允许负偏离的条款”是指采购需求中的不属于“实质性要求”的条款。</w:t>
      </w:r>
      <w:bookmarkStart w:id="79" w:name="_Toc254970670"/>
      <w:bookmarkStart w:id="80" w:name="_Toc254970529"/>
    </w:p>
    <w:p w14:paraId="1CFC9B78">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79"/>
      <w:bookmarkEnd w:id="80"/>
      <w:r>
        <w:rPr>
          <w:rFonts w:hint="eastAsia" w:ascii="仿宋" w:hAnsi="仿宋" w:eastAsia="仿宋" w:cs="仿宋"/>
          <w:color w:val="auto"/>
          <w:sz w:val="24"/>
          <w:highlight w:val="none"/>
        </w:rPr>
        <w:t>投标人的资格要求</w:t>
      </w:r>
    </w:p>
    <w:p w14:paraId="346620E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投标人的资格要求详见“投标人须知前附表”。</w:t>
      </w:r>
    </w:p>
    <w:p w14:paraId="5D2B4EC7">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81" w:name="_Toc254970530"/>
      <w:bookmarkStart w:id="82" w:name="_Toc254970671"/>
      <w:r>
        <w:rPr>
          <w:rFonts w:hint="eastAsia" w:ascii="仿宋" w:hAnsi="仿宋" w:eastAsia="仿宋" w:cs="仿宋"/>
          <w:color w:val="auto"/>
          <w:sz w:val="24"/>
          <w:highlight w:val="none"/>
        </w:rPr>
        <w:t>4.投标委托</w:t>
      </w:r>
      <w:bookmarkEnd w:id="81"/>
      <w:bookmarkEnd w:id="82"/>
    </w:p>
    <w:p w14:paraId="5F6EFE4F">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投标人代表参加投标活动过程中必须携带个人有效身份证件。如投标人代表不是法定代表人，须持有授权委托书（按第六章要求格式填写）。</w:t>
      </w:r>
    </w:p>
    <w:p w14:paraId="196FA457">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83" w:name="_5.投标费用"/>
      <w:bookmarkEnd w:id="83"/>
      <w:bookmarkStart w:id="84" w:name="_Toc254970672"/>
      <w:bookmarkStart w:id="85" w:name="_Toc254970531"/>
      <w:r>
        <w:rPr>
          <w:rFonts w:hint="eastAsia" w:ascii="仿宋" w:hAnsi="仿宋" w:eastAsia="仿宋" w:cs="仿宋"/>
          <w:color w:val="auto"/>
          <w:sz w:val="24"/>
          <w:highlight w:val="none"/>
        </w:rPr>
        <w:t>5.投标费用</w:t>
      </w:r>
      <w:bookmarkEnd w:id="84"/>
      <w:bookmarkEnd w:id="85"/>
    </w:p>
    <w:p w14:paraId="0CF6720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06059F8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6.联合体投标</w:t>
      </w:r>
    </w:p>
    <w:p w14:paraId="68854852">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6.1本项目不接受联合体投标。</w:t>
      </w:r>
    </w:p>
    <w:p w14:paraId="3536E014">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7.转包与分包             </w:t>
      </w:r>
    </w:p>
    <w:p w14:paraId="073CB0E1">
      <w:pPr>
        <w:pStyle w:val="6"/>
        <w:keepNext w:val="0"/>
        <w:keepLines w:val="0"/>
        <w:spacing w:before="120" w:after="0" w:line="360" w:lineRule="auto"/>
        <w:ind w:firstLine="480" w:firstLineChars="200"/>
        <w:rPr>
          <w:rFonts w:hint="eastAsia" w:ascii="仿宋" w:hAnsi="仿宋" w:eastAsia="仿宋" w:cs="仿宋"/>
          <w:b w:val="0"/>
          <w:bCs/>
          <w:color w:val="auto"/>
          <w:sz w:val="24"/>
          <w:szCs w:val="22"/>
          <w:highlight w:val="none"/>
        </w:rPr>
      </w:pPr>
      <w:bookmarkStart w:id="86" w:name="_Toc254970673"/>
      <w:bookmarkStart w:id="87" w:name="_Toc254970532"/>
      <w:r>
        <w:rPr>
          <w:rFonts w:hint="eastAsia" w:ascii="仿宋" w:hAnsi="仿宋" w:eastAsia="仿宋" w:cs="仿宋"/>
          <w:b w:val="0"/>
          <w:bCs/>
          <w:color w:val="auto"/>
          <w:sz w:val="24"/>
          <w:szCs w:val="22"/>
          <w:highlight w:val="none"/>
        </w:rPr>
        <w:t>7.1本项目不允许转包。</w:t>
      </w:r>
    </w:p>
    <w:p w14:paraId="578161EF">
      <w:pPr>
        <w:pStyle w:val="6"/>
        <w:keepNext w:val="0"/>
        <w:keepLines w:val="0"/>
        <w:spacing w:before="120" w:after="0" w:line="360" w:lineRule="auto"/>
        <w:ind w:firstLine="480" w:firstLineChars="200"/>
        <w:rPr>
          <w:rFonts w:hint="eastAsia" w:ascii="仿宋" w:hAnsi="仿宋" w:eastAsia="仿宋" w:cs="仿宋"/>
          <w:b w:val="0"/>
          <w:bCs/>
          <w:color w:val="auto"/>
          <w:sz w:val="24"/>
          <w:szCs w:val="22"/>
          <w:highlight w:val="none"/>
        </w:rPr>
      </w:pPr>
      <w:r>
        <w:rPr>
          <w:rFonts w:hint="eastAsia" w:ascii="仿宋" w:hAnsi="仿宋" w:eastAsia="仿宋" w:cs="仿宋"/>
          <w:b w:val="0"/>
          <w:bCs/>
          <w:color w:val="auto"/>
          <w:sz w:val="24"/>
          <w:szCs w:val="22"/>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51B887F">
      <w:pPr>
        <w:pStyle w:val="6"/>
        <w:keepNext w:val="0"/>
        <w:keepLines w:val="0"/>
        <w:spacing w:before="120" w:after="0" w:line="360" w:lineRule="auto"/>
        <w:ind w:firstLine="480" w:firstLineChars="200"/>
        <w:rPr>
          <w:rFonts w:hint="eastAsia" w:ascii="仿宋" w:hAnsi="仿宋" w:eastAsia="仿宋" w:cs="仿宋"/>
          <w:b w:val="0"/>
          <w:bCs/>
          <w:color w:val="auto"/>
          <w:sz w:val="24"/>
          <w:szCs w:val="22"/>
          <w:highlight w:val="none"/>
        </w:rPr>
      </w:pPr>
      <w:r>
        <w:rPr>
          <w:rFonts w:hint="eastAsia" w:ascii="仿宋" w:hAnsi="仿宋" w:eastAsia="仿宋" w:cs="仿宋"/>
          <w:b w:val="0"/>
          <w:bCs/>
          <w:color w:val="auto"/>
          <w:sz w:val="24"/>
          <w:szCs w:val="22"/>
          <w:highlight w:val="none"/>
        </w:rPr>
        <w:t>7.3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合计金额30%以上的，采购人、采购代理机构应当对大中型企业的报价给予4%-6%的扣除，用扣除后的价格参加评审。接受分包的小微企业与分包企业之间存在直接控股、管理关系的，不享受价格扣除优惠政策。</w:t>
      </w:r>
    </w:p>
    <w:p w14:paraId="050965F4">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8.特别说明</w:t>
      </w:r>
      <w:bookmarkEnd w:id="86"/>
      <w:bookmarkEnd w:id="87"/>
    </w:p>
    <w:p w14:paraId="6B7D7A03">
      <w:pPr>
        <w:pStyle w:val="6"/>
        <w:keepNext w:val="0"/>
        <w:keepLines w:val="0"/>
        <w:spacing w:before="120" w:after="0" w:line="360" w:lineRule="auto"/>
        <w:ind w:firstLine="492" w:firstLineChars="175"/>
        <w:rPr>
          <w:rFonts w:hint="eastAsia" w:ascii="仿宋" w:hAnsi="仿宋" w:eastAsia="仿宋" w:cs="仿宋"/>
          <w:b w:val="0"/>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"_8.1" </w:instrText>
      </w:r>
      <w:r>
        <w:rPr>
          <w:rFonts w:hint="eastAsia" w:ascii="仿宋" w:hAnsi="仿宋" w:eastAsia="仿宋" w:cs="仿宋"/>
          <w:color w:val="auto"/>
          <w:highlight w:val="none"/>
        </w:rPr>
        <w:fldChar w:fldCharType="separate"/>
      </w:r>
      <w:r>
        <w:rPr>
          <w:rFonts w:hint="eastAsia" w:ascii="仿宋" w:hAnsi="仿宋" w:eastAsia="仿宋" w:cs="仿宋"/>
          <w:b w:val="0"/>
          <w:color w:val="auto"/>
          <w:sz w:val="24"/>
          <w:highlight w:val="none"/>
        </w:rPr>
        <w:t>8.1</w:t>
      </w:r>
      <w:r>
        <w:rPr>
          <w:rFonts w:hint="eastAsia" w:ascii="仿宋" w:hAnsi="仿宋" w:eastAsia="仿宋" w:cs="仿宋"/>
          <w:b w:val="0"/>
          <w:color w:val="auto"/>
          <w:sz w:val="24"/>
          <w:highlight w:val="none"/>
        </w:rPr>
        <w:fldChar w:fldCharType="end"/>
      </w:r>
      <w:r>
        <w:rPr>
          <w:rFonts w:hint="eastAsia" w:ascii="仿宋" w:hAnsi="仿宋" w:eastAsia="仿宋" w:cs="仿宋"/>
          <w:b w:val="0"/>
          <w:color w:val="auto"/>
          <w:sz w:val="24"/>
          <w:highlight w:val="none"/>
        </w:rPr>
        <w:t>如果本招标文件要求提供投标人资格、信誉、荣誉、业绩与企业认证等材料的，资格、信誉、荣誉、业绩与企业认证等必须为投标人所拥有或自身获得 。</w:t>
      </w:r>
    </w:p>
    <w:p w14:paraId="52328245">
      <w:pPr>
        <w:pStyle w:val="6"/>
        <w:keepNext w:val="0"/>
        <w:keepLines w:val="0"/>
        <w:spacing w:before="12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8.</w:t>
      </w:r>
      <w:r>
        <w:rPr>
          <w:rFonts w:hint="eastAsia" w:ascii="仿宋" w:hAnsi="仿宋" w:eastAsia="仿宋" w:cs="仿宋"/>
          <w:b w:val="0"/>
          <w:color w:val="auto"/>
          <w:sz w:val="24"/>
          <w:highlight w:val="none"/>
          <w:lang w:val="en-US" w:eastAsia="zh-CN"/>
        </w:rPr>
        <w:t>2</w:t>
      </w:r>
      <w:r>
        <w:rPr>
          <w:rFonts w:hint="eastAsia" w:ascii="仿宋" w:hAnsi="仿宋" w:eastAsia="仿宋" w:cs="仿宋"/>
          <w:b w:val="0"/>
          <w:color w:val="auto"/>
          <w:sz w:val="24"/>
          <w:highlight w:val="none"/>
        </w:rPr>
        <w:t>投标人应仔细阅读招标文件的所有内容，按照招标文件的要求提交投标文件，并对所提供的全部资料的真实性承担法律责任。</w:t>
      </w:r>
    </w:p>
    <w:p w14:paraId="1BF27087">
      <w:pPr>
        <w:pStyle w:val="6"/>
        <w:keepNext w:val="0"/>
        <w:keepLines w:val="0"/>
        <w:spacing w:before="12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8.</w:t>
      </w:r>
      <w:r>
        <w:rPr>
          <w:rFonts w:hint="eastAsia" w:ascii="仿宋" w:hAnsi="仿宋" w:eastAsia="仿宋" w:cs="仿宋"/>
          <w:b w:val="0"/>
          <w:color w:val="auto"/>
          <w:sz w:val="24"/>
          <w:highlight w:val="none"/>
          <w:lang w:val="en-US" w:eastAsia="zh-CN"/>
        </w:rPr>
        <w:t>3</w:t>
      </w:r>
      <w:r>
        <w:rPr>
          <w:rFonts w:hint="eastAsia" w:ascii="仿宋" w:hAnsi="仿宋" w:eastAsia="仿宋" w:cs="仿宋"/>
          <w:b w:val="0"/>
          <w:color w:val="auto"/>
          <w:sz w:val="24"/>
          <w:highlight w:val="none"/>
        </w:rPr>
        <w:t>投标人在投标活动中提供任何虚假材料，将报监管部门查处；中标后发现的，中标人须依法赔偿采购人，且民事赔偿并不免除违法投标人的行政与刑事责任。</w:t>
      </w:r>
    </w:p>
    <w:p w14:paraId="660C457D">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9.回避与串通投标</w:t>
      </w:r>
    </w:p>
    <w:p w14:paraId="630459F8">
      <w:pPr>
        <w:pStyle w:val="6"/>
        <w:keepNext w:val="0"/>
        <w:keepLines w:val="0"/>
        <w:spacing w:before="12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9.1在政府采购活动中，采购人员及相关人员与供应商有下列利害关系之一的，应当回避：</w:t>
      </w:r>
    </w:p>
    <w:p w14:paraId="0BEF02E7">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（1）参加采购活动前3年内与供应商存在劳动关系；</w:t>
      </w:r>
    </w:p>
    <w:p w14:paraId="57077DDD">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（2）参加采购活动前3年内担任供应商的董事、监事；</w:t>
      </w:r>
    </w:p>
    <w:p w14:paraId="6F656801">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（3）参加采购活动前3年内是供应商的控股股东或者实际控制人；</w:t>
      </w:r>
    </w:p>
    <w:p w14:paraId="39904AE6">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（4）与供应商的法定代表人或者负责人有夫妻、直系血亲、三代以内旁系血亲或者近姻亲关系；</w:t>
      </w:r>
    </w:p>
    <w:p w14:paraId="07E6F662">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（5）与供应商有其他可能影响政府采购活动公平、公正进行的关系。</w:t>
      </w:r>
    </w:p>
    <w:p w14:paraId="3BD65611">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2629A5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9.2有下列情形之一的视为投标人相互串通投标，投标文件将被视为无效：</w:t>
      </w:r>
    </w:p>
    <w:p w14:paraId="55B2855F">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 xml:space="preserve">（1）不同投标人的投标文件由同一单位或者个人编制； </w:t>
      </w:r>
    </w:p>
    <w:p w14:paraId="6F765620">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（2）不同投标人委托同一单位或者个人办理投标事宜；</w:t>
      </w:r>
    </w:p>
    <w:p w14:paraId="66DC7C8B">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（3）不同的投标人的投标文件载明的项目管理员为同一个人；</w:t>
      </w:r>
    </w:p>
    <w:p w14:paraId="09469FA3">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（4）不同投标人的投标文件异常一致或者投标报价呈规律性差异；</w:t>
      </w:r>
    </w:p>
    <w:p w14:paraId="77ABD03D">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（5）不同投标人的投标文件相互混装；</w:t>
      </w:r>
    </w:p>
    <w:p w14:paraId="4FAE208D">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（6）不同投标人的投标保证金从同一单位或者个人账户转出。</w:t>
      </w:r>
    </w:p>
    <w:p w14:paraId="4FB3EC4C">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（7）投标人之间协商投标报价等投标文件的实质性内容；</w:t>
      </w:r>
    </w:p>
    <w:p w14:paraId="4C94361B">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（8）投标人之间约定中标人；</w:t>
      </w:r>
    </w:p>
    <w:p w14:paraId="782F2CE1">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（9）投标人之间约定部分投标人放弃投标或者中标；</w:t>
      </w:r>
    </w:p>
    <w:p w14:paraId="0E8A7E9E">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（10）属于同一集团、协会、商会等组织成员的投标人按照该组织要求协同投标；</w:t>
      </w:r>
    </w:p>
    <w:p w14:paraId="7EB0CAF7">
      <w:pPr>
        <w:pStyle w:val="22"/>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（11）投标人之间为谋取中标或者排斥特定投标人而采取的其他联合行动。</w:t>
      </w:r>
    </w:p>
    <w:p w14:paraId="07E0E30E">
      <w:pPr>
        <w:pStyle w:val="6"/>
        <w:keepNext w:val="0"/>
        <w:keepLines w:val="0"/>
        <w:spacing w:before="120" w:after="0" w:line="360" w:lineRule="auto"/>
        <w:ind w:left="420" w:leftChars="200"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9.3供应商有下列情形之一的，属于恶意串通行为，将报同级监督管理部门：</w:t>
      </w:r>
    </w:p>
    <w:p w14:paraId="515CCCC6">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（1）供应商直接或者间接从采购人或者采购代理机构处获得其他供应商的相关信息并修改其投标文件或者响应文件；</w:t>
      </w:r>
    </w:p>
    <w:p w14:paraId="028BE228">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（2）供应商按照采购人或者采购代理机构的授意撤换、修改投标文件或者响应文件；</w:t>
      </w:r>
    </w:p>
    <w:p w14:paraId="2FEBFA2B">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（3）供应商之间协商报价、技术方案等投标文件或者响应文件的实质性内容；</w:t>
      </w:r>
    </w:p>
    <w:p w14:paraId="6AF1DA6D">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（4）属于同一集团、协会、商会等组织成员的供应商按照该组织要求协同参加政府采购活动；</w:t>
      </w:r>
    </w:p>
    <w:p w14:paraId="491D75D0">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75A98F2A">
      <w:pPr>
        <w:pStyle w:val="22"/>
        <w:snapToGrid w:val="0"/>
        <w:spacing w:line="360" w:lineRule="auto"/>
        <w:ind w:left="2" w:leftChars="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（6）供应商之间商定部分供应商放弃参加政府采购活动或者放弃中标；</w:t>
      </w:r>
    </w:p>
    <w:p w14:paraId="39D3CFD4">
      <w:pPr>
        <w:pStyle w:val="22"/>
        <w:snapToGrid w:val="0"/>
        <w:spacing w:line="360" w:lineRule="auto"/>
        <w:ind w:left="2" w:leftChars="1" w:firstLine="48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4"/>
          <w:szCs w:val="24"/>
          <w:highlight w:val="none"/>
        </w:rPr>
        <w:t>（7）供应商与采购人或者采购代理机构之间、供应商相互之间，为谋求特定供应商中标或者排斥其他供应商的其他串通行为。</w:t>
      </w:r>
    </w:p>
    <w:p w14:paraId="5A946502">
      <w:pPr>
        <w:pStyle w:val="22"/>
        <w:snapToGrid w:val="0"/>
        <w:spacing w:line="360" w:lineRule="auto"/>
        <w:ind w:left="2" w:leftChars="1" w:firstLine="422" w:firstLineChars="200"/>
        <w:rPr>
          <w:rFonts w:hint="eastAsia" w:ascii="仿宋" w:hAnsi="仿宋" w:eastAsia="仿宋" w:cs="仿宋"/>
          <w:b/>
          <w:color w:val="auto"/>
          <w:kern w:val="2"/>
          <w:sz w:val="21"/>
          <w:highlight w:val="none"/>
        </w:rPr>
      </w:pPr>
    </w:p>
    <w:p w14:paraId="32116120">
      <w:pPr>
        <w:pStyle w:val="4"/>
        <w:ind w:firstLine="640"/>
        <w:rPr>
          <w:rFonts w:hint="eastAsia" w:ascii="仿宋" w:hAnsi="仿宋" w:eastAsia="仿宋" w:cs="仿宋"/>
          <w:color w:val="auto"/>
          <w:highlight w:val="none"/>
        </w:rPr>
      </w:pPr>
      <w:bookmarkStart w:id="88" w:name="_Toc254970675"/>
      <w:bookmarkStart w:id="89" w:name="_Toc254970534"/>
      <w:r>
        <w:rPr>
          <w:rFonts w:hint="eastAsia" w:ascii="仿宋" w:hAnsi="仿宋" w:eastAsia="仿宋" w:cs="仿宋"/>
          <w:color w:val="auto"/>
          <w:highlight w:val="none"/>
        </w:rPr>
        <w:t>二、招标文件</w:t>
      </w:r>
      <w:bookmarkEnd w:id="88"/>
      <w:bookmarkEnd w:id="89"/>
    </w:p>
    <w:p w14:paraId="0B2BC000">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10.招标文件的组成</w:t>
      </w:r>
    </w:p>
    <w:p w14:paraId="2AA7F45A">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（1）招标公告；</w:t>
      </w:r>
    </w:p>
    <w:p w14:paraId="4EFE7D60">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（2）采购需求； </w:t>
      </w:r>
    </w:p>
    <w:p w14:paraId="195B56AA">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（3）投标人须知；</w:t>
      </w:r>
    </w:p>
    <w:p w14:paraId="2BA8A11A">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（4）评标方法及评标标准；</w:t>
      </w:r>
    </w:p>
    <w:p w14:paraId="185CC7A3">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（5）拟签订的合同文本；</w:t>
      </w:r>
    </w:p>
    <w:p w14:paraId="08F16308">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（6）投标文件格式。</w:t>
      </w:r>
    </w:p>
    <w:p w14:paraId="065465C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11.招标文件的澄清、修改 、现场考察和答疑会</w:t>
      </w:r>
    </w:p>
    <w:p w14:paraId="4B9F989F">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w:t>
      </w:r>
      <w:bookmarkStart w:id="90" w:name="_Hlk53134511"/>
      <w:r>
        <w:rPr>
          <w:rFonts w:hint="eastAsia" w:ascii="仿宋" w:hAnsi="仿宋" w:eastAsia="仿宋" w:cs="仿宋"/>
          <w:b w:val="0"/>
          <w:color w:val="auto"/>
          <w:sz w:val="24"/>
          <w:highlight w:val="none"/>
        </w:rPr>
        <w:t>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4EE76C49">
      <w:pPr>
        <w:pStyle w:val="6"/>
        <w:keepNext w:val="0"/>
        <w:keepLines w:val="0"/>
        <w:numPr>
          <w:ilvl w:val="0"/>
          <w:numId w:val="0"/>
        </w:numPr>
        <w:spacing w:before="12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25626C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11.3采购人和采购代理机构可以视采购具体情况，变更投标截止时间和开标时间，并在原公告发布媒体上发布更正公告。</w:t>
      </w:r>
    </w:p>
    <w:p w14:paraId="67BB1F7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11.4招标文件澄清、答复、修改、补充的内容为招标文件的组成部分。</w:t>
      </w:r>
      <w:r>
        <w:rPr>
          <w:rFonts w:hint="eastAsia" w:ascii="仿宋" w:hAnsi="仿宋" w:eastAsia="仿宋" w:cs="仿宋"/>
          <w:b/>
          <w:color w:val="auto"/>
          <w:sz w:val="24"/>
          <w:highlight w:val="none"/>
        </w:rPr>
        <w:t>当招标文件与招标文件的澄清、答复、修改、补充通知就同一内容的表述不一致时，以最后发出的文件为准。</w:t>
      </w:r>
    </w:p>
    <w:p w14:paraId="4FE05730">
      <w:pPr>
        <w:pStyle w:val="22"/>
        <w:snapToGrid w:val="0"/>
        <w:spacing w:line="360" w:lineRule="auto"/>
        <w:ind w:firstLine="480" w:firstLineChars="200"/>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11.5采购人或者采购代理机构可以在招标文件提供期限截止后，组织已获取招标文件的潜在投标人现场考察或者召开开标前答疑会，具体详见“投标人须知前附表”。</w:t>
      </w:r>
    </w:p>
    <w:p w14:paraId="10489249">
      <w:pPr>
        <w:pStyle w:val="6"/>
        <w:keepNext w:val="0"/>
        <w:keepLines w:val="0"/>
        <w:spacing w:before="120" w:after="0" w:line="360" w:lineRule="auto"/>
        <w:ind w:firstLine="361" w:firstLineChars="150"/>
        <w:rPr>
          <w:rFonts w:hint="eastAsia" w:ascii="仿宋" w:hAnsi="仿宋" w:eastAsia="仿宋" w:cs="仿宋"/>
          <w:color w:val="auto"/>
          <w:sz w:val="24"/>
          <w:highlight w:val="none"/>
        </w:rPr>
      </w:pPr>
    </w:p>
    <w:bookmarkEnd w:id="90"/>
    <w:p w14:paraId="0E4C042D">
      <w:pPr>
        <w:pStyle w:val="4"/>
        <w:ind w:firstLine="640"/>
        <w:rPr>
          <w:rFonts w:hint="eastAsia" w:ascii="仿宋" w:hAnsi="仿宋" w:eastAsia="仿宋" w:cs="仿宋"/>
          <w:color w:val="auto"/>
          <w:highlight w:val="none"/>
        </w:rPr>
      </w:pPr>
      <w:bookmarkStart w:id="91" w:name="_Toc254970535"/>
      <w:bookmarkStart w:id="92" w:name="_Toc254970676"/>
      <w:r>
        <w:rPr>
          <w:rFonts w:hint="eastAsia" w:ascii="仿宋" w:hAnsi="仿宋" w:eastAsia="仿宋" w:cs="仿宋"/>
          <w:color w:val="auto"/>
          <w:highlight w:val="none"/>
        </w:rPr>
        <w:t>三、投标文件的编制</w:t>
      </w:r>
      <w:bookmarkEnd w:id="91"/>
      <w:bookmarkEnd w:id="92"/>
    </w:p>
    <w:p w14:paraId="66BBC3AC">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93" w:name="_Toc254970677"/>
      <w:bookmarkStart w:id="94" w:name="_Toc254970536"/>
      <w:r>
        <w:rPr>
          <w:rFonts w:hint="eastAsia" w:ascii="仿宋" w:hAnsi="仿宋" w:eastAsia="仿宋" w:cs="仿宋"/>
          <w:color w:val="auto"/>
          <w:sz w:val="24"/>
          <w:highlight w:val="none"/>
        </w:rPr>
        <w:t>12.投标文件的编制原则</w:t>
      </w:r>
    </w:p>
    <w:p w14:paraId="48A37F9C">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投标人必须按照招标文件的要求编制投标文件。投标文件必须对招标文件提出的要求和条件作出明确响应。</w:t>
      </w:r>
    </w:p>
    <w:p w14:paraId="632D5627">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13.投标文件的组成</w:t>
      </w:r>
      <w:bookmarkEnd w:id="93"/>
      <w:bookmarkEnd w:id="94"/>
    </w:p>
    <w:p w14:paraId="423EB6A0">
      <w:pPr>
        <w:pStyle w:val="6"/>
        <w:keepNext w:val="0"/>
        <w:keepLines w:val="0"/>
        <w:spacing w:before="120" w:after="0" w:line="360" w:lineRule="auto"/>
        <w:ind w:firstLine="361" w:firstLineChars="150"/>
        <w:rPr>
          <w:rFonts w:hint="eastAsia" w:ascii="仿宋" w:hAnsi="仿宋" w:eastAsia="仿宋" w:cs="仿宋"/>
          <w:b w:val="0"/>
          <w:color w:val="auto"/>
          <w:sz w:val="24"/>
          <w:highlight w:val="none"/>
        </w:rPr>
      </w:pPr>
      <w:r>
        <w:rPr>
          <w:rFonts w:hint="eastAsia" w:ascii="仿宋" w:hAnsi="仿宋" w:eastAsia="仿宋" w:cs="仿宋"/>
          <w:color w:val="auto"/>
          <w:sz w:val="24"/>
          <w:highlight w:val="none"/>
        </w:rPr>
        <w:t>13.</w:t>
      </w:r>
      <w:r>
        <w:rPr>
          <w:rFonts w:hint="eastAsia" w:ascii="仿宋" w:hAnsi="仿宋" w:eastAsia="仿宋" w:cs="仿宋"/>
          <w:b w:val="0"/>
          <w:color w:val="auto"/>
          <w:sz w:val="24"/>
          <w:highlight w:val="none"/>
        </w:rPr>
        <w:t>1投标文件由报价文件、资格证明文件、商务要求文件、</w:t>
      </w:r>
      <w:r>
        <w:rPr>
          <w:rFonts w:hint="eastAsia" w:ascii="仿宋" w:hAnsi="仿宋" w:eastAsia="仿宋" w:cs="仿宋"/>
          <w:b w:val="0"/>
          <w:color w:val="auto"/>
          <w:sz w:val="24"/>
          <w:highlight w:val="none"/>
          <w:lang w:eastAsia="zh-CN"/>
        </w:rPr>
        <w:t>技术要求</w:t>
      </w:r>
      <w:r>
        <w:rPr>
          <w:rFonts w:hint="eastAsia" w:ascii="仿宋" w:hAnsi="仿宋" w:eastAsia="仿宋" w:cs="仿宋"/>
          <w:b w:val="0"/>
          <w:color w:val="auto"/>
          <w:sz w:val="24"/>
          <w:highlight w:val="none"/>
        </w:rPr>
        <w:t>文件四部分组成。</w:t>
      </w:r>
    </w:p>
    <w:p w14:paraId="579D345F">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95" w:name="_13.1报价文件:_具体材料见“投标人须知前附表”。"/>
      <w:bookmarkEnd w:id="95"/>
      <w:r>
        <w:rPr>
          <w:rFonts w:hint="eastAsia" w:ascii="仿宋" w:hAnsi="仿宋" w:eastAsia="仿宋" w:cs="仿宋"/>
          <w:b w:val="0"/>
          <w:color w:val="auto"/>
          <w:sz w:val="24"/>
          <w:highlight w:val="none"/>
        </w:rPr>
        <w:t>（1）报价文件： 具体材料见“投标人须知前附表”。</w:t>
      </w:r>
    </w:p>
    <w:p w14:paraId="34429A5E">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96" w:name="_13.2资格证明文件：具体材料见“投标人须知前附表”。"/>
      <w:bookmarkEnd w:id="96"/>
      <w:r>
        <w:rPr>
          <w:rFonts w:hint="eastAsia" w:ascii="仿宋" w:hAnsi="仿宋" w:eastAsia="仿宋" w:cs="仿宋"/>
          <w:b w:val="0"/>
          <w:color w:val="auto"/>
          <w:sz w:val="24"/>
          <w:highlight w:val="none"/>
        </w:rPr>
        <w:t>（2）资格证明文件：具体材料见“投标人须知前附表”。</w:t>
      </w:r>
    </w:p>
    <w:p w14:paraId="6F044EAE">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97" w:name="_13.3商务文件:_具体材料见“投标人须知前附表”。"/>
      <w:bookmarkEnd w:id="97"/>
      <w:r>
        <w:rPr>
          <w:rFonts w:hint="eastAsia" w:ascii="仿宋" w:hAnsi="仿宋" w:eastAsia="仿宋" w:cs="仿宋"/>
          <w:b w:val="0"/>
          <w:color w:val="auto"/>
          <w:sz w:val="24"/>
          <w:highlight w:val="none"/>
        </w:rPr>
        <w:t>（3）商务要求文件：具体材料见“投标人须知前附表”。</w:t>
      </w:r>
    </w:p>
    <w:p w14:paraId="32C9B953">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98" w:name="_13.4技术文件：具体材料见“投标人须知前附表”。"/>
      <w:bookmarkEnd w:id="98"/>
      <w:r>
        <w:rPr>
          <w:rFonts w:hint="eastAsia" w:ascii="仿宋" w:hAnsi="仿宋" w:eastAsia="仿宋" w:cs="仿宋"/>
          <w:b w:val="0"/>
          <w:color w:val="auto"/>
          <w:sz w:val="24"/>
          <w:highlight w:val="none"/>
        </w:rPr>
        <w:t>（4）</w:t>
      </w:r>
      <w:r>
        <w:rPr>
          <w:rFonts w:hint="eastAsia" w:ascii="仿宋" w:hAnsi="仿宋" w:eastAsia="仿宋" w:cs="仿宋"/>
          <w:b w:val="0"/>
          <w:color w:val="auto"/>
          <w:sz w:val="24"/>
          <w:highlight w:val="none"/>
          <w:lang w:eastAsia="zh-CN"/>
        </w:rPr>
        <w:t>技术要求</w:t>
      </w:r>
      <w:r>
        <w:rPr>
          <w:rFonts w:hint="eastAsia" w:ascii="仿宋" w:hAnsi="仿宋" w:eastAsia="仿宋" w:cs="仿宋"/>
          <w:b w:val="0"/>
          <w:color w:val="auto"/>
          <w:sz w:val="24"/>
          <w:highlight w:val="none"/>
        </w:rPr>
        <w:t>文件：具体材料见“投标人须知前附表”。</w:t>
      </w:r>
    </w:p>
    <w:p w14:paraId="58F1FDF4">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99" w:name="_13.5投标文件电子版：具体材料见“投标人须知前附表”。"/>
      <w:bookmarkEnd w:id="99"/>
      <w:bookmarkStart w:id="100" w:name="_Toc254970537"/>
      <w:bookmarkStart w:id="101" w:name="_Toc254970678"/>
      <w:r>
        <w:rPr>
          <w:rFonts w:hint="eastAsia" w:ascii="仿宋" w:hAnsi="仿宋" w:eastAsia="仿宋" w:cs="仿宋"/>
          <w:color w:val="auto"/>
          <w:sz w:val="24"/>
          <w:highlight w:val="none"/>
        </w:rPr>
        <w:t>14.投标文件的语言及计量</w:t>
      </w:r>
      <w:bookmarkEnd w:id="100"/>
      <w:bookmarkEnd w:id="101"/>
    </w:p>
    <w:p w14:paraId="5BE5C726">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14.1语言文字</w:t>
      </w:r>
    </w:p>
    <w:p w14:paraId="45AAAD70">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E3A540E">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14.2投标计量单位</w:t>
      </w:r>
    </w:p>
    <w:p w14:paraId="03EC063E">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招标文件已有明确规定的，使用招标文件规定的计量单位；招标文件没有规定的，应采用中华人民共和国法定计量单位，货币种类为人民币</w:t>
      </w:r>
      <w:r>
        <w:rPr>
          <w:rFonts w:hint="eastAsia" w:ascii="仿宋" w:hAnsi="仿宋" w:eastAsia="仿宋" w:cs="仿宋"/>
          <w:bCs/>
          <w:color w:val="auto"/>
          <w:sz w:val="24"/>
          <w:highlight w:val="none"/>
        </w:rPr>
        <w:t>，否则视同未响应。</w:t>
      </w:r>
    </w:p>
    <w:p w14:paraId="7E99D150">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15.投标的风险</w:t>
      </w:r>
    </w:p>
    <w:p w14:paraId="4D895075">
      <w:pPr>
        <w:pStyle w:val="22"/>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投标人没有按照招标文件要求提供全部资料，或者投标人没有对招标文件作出实质性响应是投标人的风险，并可能导致其投标被拒绝。</w:t>
      </w:r>
    </w:p>
    <w:p w14:paraId="4DB2E210">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102" w:name="_Toc254970679"/>
      <w:bookmarkStart w:id="103" w:name="_Toc254970538"/>
      <w:r>
        <w:rPr>
          <w:rFonts w:hint="eastAsia" w:ascii="仿宋" w:hAnsi="仿宋" w:eastAsia="仿宋" w:cs="仿宋"/>
          <w:color w:val="auto"/>
          <w:sz w:val="24"/>
          <w:highlight w:val="none"/>
        </w:rPr>
        <w:t>16.投标报价</w:t>
      </w:r>
      <w:bookmarkEnd w:id="102"/>
      <w:bookmarkEnd w:id="103"/>
    </w:p>
    <w:p w14:paraId="7AB16C0B">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16.1投标报价应按“第六章　投标文件格式”中“开标一览表”格式填写。</w:t>
      </w:r>
    </w:p>
    <w:p w14:paraId="30B01E4A">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104" w:name="_16.2投标报价具体定义见投标人须知前附表。"/>
      <w:bookmarkEnd w:id="104"/>
      <w:r>
        <w:rPr>
          <w:rFonts w:hint="eastAsia" w:ascii="仿宋" w:hAnsi="仿宋" w:eastAsia="仿宋" w:cs="仿宋"/>
          <w:b w:val="0"/>
          <w:color w:val="auto"/>
          <w:sz w:val="24"/>
          <w:highlight w:val="none"/>
        </w:rPr>
        <w:t>16.2投标报价具体包括内容详见“投标人须知前附表”。</w:t>
      </w:r>
    </w:p>
    <w:p w14:paraId="6CF8AF1B">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16.3投标人必须就所投每个分标的全部内容分别作完整唯一总价报价，不得存在漏项报价；投标人必须就所投分标的单项内容作唯一报价。</w:t>
      </w:r>
    </w:p>
    <w:p w14:paraId="2AC0612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17.投标有效期</w:t>
      </w:r>
    </w:p>
    <w:p w14:paraId="0753F717">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105" w:name="_17.1投标有效期应按“投标人须知中的前附表”规定的期限。"/>
      <w:bookmarkEnd w:id="105"/>
      <w:r>
        <w:rPr>
          <w:rFonts w:hint="eastAsia" w:ascii="仿宋" w:hAnsi="仿宋" w:eastAsia="仿宋" w:cs="仿宋"/>
          <w:b w:val="0"/>
          <w:color w:val="auto"/>
          <w:sz w:val="24"/>
          <w:highlight w:val="none"/>
        </w:rPr>
        <w:t>17.1投标有效期是指为保证采购人有足够的时间在开标后完成评标、定标、合同签订等工作而要求投标人提交的投标文件在一定时间内保持有效的期限。</w:t>
      </w:r>
    </w:p>
    <w:p w14:paraId="3EA440F3">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17.2</w:t>
      </w:r>
      <w:bookmarkStart w:id="106" w:name="_Toc254970540"/>
      <w:bookmarkStart w:id="107" w:name="_Toc254970681"/>
      <w:r>
        <w:rPr>
          <w:rFonts w:hint="eastAsia" w:ascii="仿宋" w:hAnsi="仿宋" w:eastAsia="仿宋" w:cs="仿宋"/>
          <w:b w:val="0"/>
          <w:color w:val="auto"/>
          <w:sz w:val="24"/>
          <w:highlight w:val="none"/>
        </w:rPr>
        <w:t xml:space="preserve"> 投标有效期应按规定的期限作出承诺，具体详见“投标人须知前附表”。</w:t>
      </w:r>
    </w:p>
    <w:p w14:paraId="32A7F5EC">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17.3投标人的投标文件在投标有效期内均保持有效。</w:t>
      </w:r>
      <w:bookmarkEnd w:id="106"/>
      <w:bookmarkEnd w:id="107"/>
    </w:p>
    <w:p w14:paraId="4F552A1E">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108" w:name="_18.投标保证金"/>
      <w:bookmarkEnd w:id="108"/>
      <w:bookmarkStart w:id="109" w:name="_Toc254970682"/>
      <w:bookmarkStart w:id="110" w:name="_Toc254970541"/>
      <w:r>
        <w:rPr>
          <w:rFonts w:hint="eastAsia" w:ascii="仿宋" w:hAnsi="仿宋" w:eastAsia="仿宋" w:cs="仿宋"/>
          <w:color w:val="auto"/>
          <w:sz w:val="24"/>
          <w:highlight w:val="none"/>
        </w:rPr>
        <w:t>18.投标保证金</w:t>
      </w:r>
      <w:bookmarkEnd w:id="109"/>
      <w:bookmarkEnd w:id="110"/>
    </w:p>
    <w:p w14:paraId="74700405">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18.1投标人须按“投标人须知前附表” 的规定提交投标保证金。</w:t>
      </w:r>
    </w:p>
    <w:p w14:paraId="3DADB7B1">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18.2投标保证金的退还</w:t>
      </w:r>
    </w:p>
    <w:p w14:paraId="33FB0BA4">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未中标人的投标保证金自中标通知书发出之日起5个工作日内退还；中标人的投标保证金自政府采购合同签订之日起5个工作日内退还。 </w:t>
      </w:r>
    </w:p>
    <w:p w14:paraId="7B90A568">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18.3除逾期退还投标保证金和终止招标的情形以外，投标保证金不计息。</w:t>
      </w:r>
    </w:p>
    <w:p w14:paraId="2E2D34C4">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18.4投标人有下列情形之一的，投标保证金将不予退还： </w:t>
      </w:r>
    </w:p>
    <w:p w14:paraId="2B87BAD6">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111" w:name="_Toc254970542"/>
      <w:bookmarkStart w:id="112" w:name="_Toc254970683"/>
      <w:r>
        <w:rPr>
          <w:rFonts w:hint="eastAsia" w:ascii="仿宋" w:hAnsi="仿宋" w:eastAsia="仿宋" w:cs="仿宋"/>
          <w:b w:val="0"/>
          <w:color w:val="auto"/>
          <w:sz w:val="24"/>
          <w:highlight w:val="none"/>
        </w:rPr>
        <w:t>（1）投标人在投标截止时间后至有效期内撤回投标文件的；</w:t>
      </w:r>
    </w:p>
    <w:p w14:paraId="0FD4818A">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（2）中标后未按规定提交履约保证金的；</w:t>
      </w:r>
    </w:p>
    <w:p w14:paraId="20BB77A9">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（3）投标人在投标过程中弄虚作假，提供虚假材料的；</w:t>
      </w:r>
    </w:p>
    <w:p w14:paraId="1AC76877">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（4）中标人无正当理由不与采购人签订合同的；</w:t>
      </w:r>
    </w:p>
    <w:p w14:paraId="0CD2A4BC">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（5）投标人出现本章第9.2、9.3、30.4条情形的；</w:t>
      </w:r>
    </w:p>
    <w:p w14:paraId="0DD240F7">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（6）法律法规规定的其他情形。</w:t>
      </w:r>
    </w:p>
    <w:bookmarkEnd w:id="111"/>
    <w:bookmarkEnd w:id="112"/>
    <w:p w14:paraId="40B36751">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19.投标文件的编制</w:t>
      </w:r>
    </w:p>
    <w:p w14:paraId="00BC77E2">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7F04A049">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113" w:name="_19.2投标文件应按报价文件、资格证明文件、商务文件、技术文件分别编制"/>
      <w:bookmarkEnd w:id="113"/>
      <w:r>
        <w:rPr>
          <w:rFonts w:hint="eastAsia" w:ascii="仿宋" w:hAnsi="仿宋" w:eastAsia="仿宋" w:cs="仿宋"/>
          <w:b w:val="0"/>
          <w:color w:val="auto"/>
          <w:sz w:val="24"/>
          <w:highlight w:val="none"/>
        </w:rPr>
        <w:t>19.2投标文件应按报价文件、资格证明文件、商务要求文件、</w:t>
      </w:r>
      <w:r>
        <w:rPr>
          <w:rFonts w:hint="eastAsia" w:ascii="仿宋" w:hAnsi="仿宋" w:eastAsia="仿宋" w:cs="仿宋"/>
          <w:b w:val="0"/>
          <w:color w:val="auto"/>
          <w:sz w:val="24"/>
          <w:highlight w:val="none"/>
          <w:lang w:eastAsia="zh-CN"/>
        </w:rPr>
        <w:t>技术要求</w:t>
      </w:r>
      <w:r>
        <w:rPr>
          <w:rFonts w:hint="eastAsia" w:ascii="仿宋" w:hAnsi="仿宋" w:eastAsia="仿宋" w:cs="仿宋"/>
          <w:b w:val="0"/>
          <w:color w:val="auto"/>
          <w:sz w:val="24"/>
          <w:highlight w:val="none"/>
        </w:rPr>
        <w:t>文件分别编制电子文件，并按广西政府采购云平台的要求编制、加密、上传。</w:t>
      </w:r>
    </w:p>
    <w:p w14:paraId="4D291330">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19.</w:t>
      </w:r>
      <w:bookmarkStart w:id="114" w:name="_Hlk65832616"/>
      <w:r>
        <w:rPr>
          <w:rFonts w:hint="eastAsia" w:ascii="仿宋" w:hAnsi="仿宋" w:eastAsia="仿宋" w:cs="仿宋"/>
          <w:b w:val="0"/>
          <w:color w:val="auto"/>
          <w:sz w:val="24"/>
          <w:highlight w:val="none"/>
        </w:rPr>
        <w:t>3投标文件须由投标人在规定位置盖公章并签字</w:t>
      </w:r>
      <w:bookmarkStart w:id="115" w:name="_Hlk65832569"/>
      <w:r>
        <w:rPr>
          <w:rFonts w:hint="eastAsia" w:ascii="仿宋" w:hAnsi="仿宋" w:eastAsia="仿宋" w:cs="仿宋"/>
          <w:b w:val="0"/>
          <w:color w:val="auto"/>
          <w:sz w:val="24"/>
          <w:highlight w:val="none"/>
        </w:rPr>
        <w:t>（具体以投标人须知前附表或投标文件格式规定为准）</w:t>
      </w:r>
      <w:bookmarkEnd w:id="114"/>
      <w:bookmarkEnd w:id="115"/>
      <w:r>
        <w:rPr>
          <w:rFonts w:hint="eastAsia" w:ascii="仿宋" w:hAnsi="仿宋" w:eastAsia="仿宋" w:cs="仿宋"/>
          <w:b w:val="0"/>
          <w:color w:val="auto"/>
          <w:sz w:val="24"/>
          <w:highlight w:val="none"/>
        </w:rPr>
        <w:t>，否则按无效投标处理。</w:t>
      </w:r>
    </w:p>
    <w:p w14:paraId="40AC35DC">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19.4投标文件中标注的投标人名称应与主体资格证明（如营业执照、事业单位法人证书、执业许可证、自然人身份证等）及公章一致，否则按无效投标处理。</w:t>
      </w:r>
    </w:p>
    <w:p w14:paraId="4751F99D">
      <w:pPr>
        <w:pStyle w:val="6"/>
        <w:keepNext w:val="0"/>
        <w:keepLines w:val="0"/>
        <w:spacing w:before="120" w:after="0" w:line="360" w:lineRule="auto"/>
        <w:ind w:firstLine="360"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840B233">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20.投标文件的加密、解密</w:t>
      </w:r>
    </w:p>
    <w:p w14:paraId="29A1FCFD">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20.1电子投标文件编制完成后，投标人应按广西政府采购云平台的要求进行加密，并在规定时间内解密，否则，由此产生的后果由投标人自行负责。</w:t>
      </w:r>
    </w:p>
    <w:p w14:paraId="22A9488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21.投标文件的提交</w:t>
      </w:r>
    </w:p>
    <w:p w14:paraId="4B4AEDE0">
      <w:pPr>
        <w:pStyle w:val="6"/>
        <w:keepNext w:val="0"/>
        <w:keepLines w:val="0"/>
        <w:numPr>
          <w:ilvl w:val="0"/>
          <w:numId w:val="0"/>
        </w:numPr>
        <w:spacing w:before="120" w:after="0" w:line="360" w:lineRule="auto"/>
        <w:ind w:firstLine="480" w:firstLineChars="200"/>
        <w:rPr>
          <w:rFonts w:hint="eastAsia" w:ascii="仿宋" w:hAnsi="仿宋" w:eastAsia="仿宋" w:cs="仿宋"/>
          <w:b w:val="0"/>
          <w:color w:val="auto"/>
          <w:sz w:val="24"/>
          <w:highlight w:val="none"/>
        </w:rPr>
      </w:pPr>
      <w:bookmarkStart w:id="116" w:name="_21.1投标人必须在“投标人须知中的前附表”规定的投标文件接收时间和投"/>
      <w:bookmarkEnd w:id="116"/>
      <w:r>
        <w:rPr>
          <w:rFonts w:hint="eastAsia" w:ascii="仿宋" w:hAnsi="仿宋" w:eastAsia="仿宋" w:cs="仿宋"/>
          <w:b w:val="0"/>
          <w:color w:val="auto"/>
          <w:sz w:val="24"/>
          <w:highlight w:val="none"/>
        </w:rPr>
        <w:t>21.1投标人必须在“投标人须知前附表”规定的投标文件接收时间和投标地点提交投标文件。</w:t>
      </w:r>
    </w:p>
    <w:p w14:paraId="2D7B5FBA">
      <w:pPr>
        <w:pStyle w:val="6"/>
        <w:keepNext w:val="0"/>
        <w:keepLines w:val="0"/>
        <w:numPr>
          <w:ilvl w:val="0"/>
          <w:numId w:val="0"/>
        </w:numPr>
        <w:spacing w:before="12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0C4B9811">
      <w:pPr>
        <w:pStyle w:val="6"/>
        <w:keepNext w:val="0"/>
        <w:keepLines w:val="0"/>
        <w:numPr>
          <w:ilvl w:val="0"/>
          <w:numId w:val="0"/>
        </w:numPr>
        <w:spacing w:before="120" w:after="0" w:line="360" w:lineRule="auto"/>
        <w:ind w:firstLine="480" w:firstLineChars="200"/>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21.3未在规定时间内上传或者未按广西政府采购云平台的要求编制、加密的电子投标文件，广西政府采购云平台将拒收。</w:t>
      </w:r>
    </w:p>
    <w:p w14:paraId="274666B1">
      <w:pPr>
        <w:spacing w:line="360" w:lineRule="auto"/>
        <w:ind w:firstLine="480" w:firstLineChars="200"/>
        <w:rPr>
          <w:rFonts w:hint="eastAsia" w:ascii="仿宋" w:hAnsi="仿宋" w:eastAsia="仿宋" w:cs="仿宋"/>
          <w:b/>
          <w:color w:val="auto"/>
          <w:szCs w:val="20"/>
          <w:highlight w:val="none"/>
        </w:rPr>
      </w:pPr>
      <w:r>
        <w:rPr>
          <w:rFonts w:hint="eastAsia" w:ascii="仿宋" w:hAnsi="仿宋" w:eastAsia="仿宋" w:cs="仿宋"/>
          <w:color w:val="auto"/>
          <w:sz w:val="24"/>
          <w:highlight w:val="none"/>
        </w:rPr>
        <w:t>21.4电子投标文件提交方式见“招标公告”中“四、提交投标文件截止时间、开标时间和地点”。</w:t>
      </w:r>
    </w:p>
    <w:p w14:paraId="3A1B5BA5">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 投标文件的补充、修改、撤回与退回</w:t>
      </w:r>
    </w:p>
    <w:p w14:paraId="4AFC5457">
      <w:pPr>
        <w:snapToGrid w:val="0"/>
        <w:spacing w:line="360" w:lineRule="auto"/>
        <w:ind w:firstLine="482"/>
        <w:jc w:val="left"/>
        <w:rPr>
          <w:rFonts w:hint="eastAsia" w:ascii="仿宋" w:hAnsi="仿宋" w:eastAsia="仿宋" w:cs="仿宋"/>
          <w:color w:val="auto"/>
          <w:sz w:val="24"/>
          <w:highlight w:val="none"/>
        </w:rPr>
      </w:pPr>
      <w:bookmarkStart w:id="117" w:name="_Toc254970543"/>
      <w:bookmarkStart w:id="118" w:name="_Toc254970684"/>
      <w:r>
        <w:rPr>
          <w:rFonts w:hint="eastAsia" w:ascii="仿宋" w:hAnsi="仿宋" w:eastAsia="仿宋" w:cs="仿宋"/>
          <w:color w:val="auto"/>
          <w:sz w:val="24"/>
          <w:highlight w:val="none"/>
        </w:rPr>
        <w:t>22.1</w:t>
      </w:r>
      <w:r>
        <w:rPr>
          <w:rFonts w:hint="eastAsia" w:ascii="仿宋" w:hAnsi="仿宋" w:eastAsia="仿宋" w:cs="仿宋"/>
          <w:bCs/>
          <w:color w:val="auto"/>
          <w:sz w:val="24"/>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仿宋" w:hAnsi="仿宋" w:eastAsia="仿宋" w:cs="仿宋"/>
          <w:color w:val="auto"/>
          <w:sz w:val="24"/>
          <w:highlight w:val="none"/>
        </w:rPr>
        <w:t>（补充、修改或者撤回方式可登陆</w:t>
      </w:r>
      <w:r>
        <w:rPr>
          <w:rFonts w:hint="eastAsia" w:ascii="仿宋" w:hAnsi="仿宋" w:eastAsia="仿宋" w:cs="仿宋"/>
          <w:color w:val="auto"/>
          <w:kern w:val="0"/>
          <w:sz w:val="24"/>
          <w:highlight w:val="none"/>
        </w:rPr>
        <w:t>广西政府采购云平台，</w:t>
      </w:r>
      <w:r>
        <w:rPr>
          <w:rFonts w:hint="eastAsia" w:ascii="仿宋" w:hAnsi="仿宋" w:eastAsia="仿宋" w:cs="仿宋"/>
          <w:color w:val="auto"/>
          <w:sz w:val="24"/>
          <w:highlight w:val="none"/>
        </w:rPr>
        <w:t>依次进入“服务中心”中查看 “电子投标文件制作与投送教程”）</w:t>
      </w:r>
    </w:p>
    <w:bookmarkEnd w:id="117"/>
    <w:bookmarkEnd w:id="118"/>
    <w:p w14:paraId="03F38962">
      <w:pPr>
        <w:snapToGrid w:val="0"/>
        <w:spacing w:line="360" w:lineRule="auto"/>
        <w:ind w:firstLine="482"/>
        <w:jc w:val="left"/>
        <w:rPr>
          <w:rFonts w:hint="eastAsia" w:ascii="仿宋" w:hAnsi="仿宋" w:eastAsia="仿宋" w:cs="仿宋"/>
          <w:color w:val="auto"/>
          <w:sz w:val="24"/>
          <w:highlight w:val="none"/>
        </w:rPr>
      </w:pPr>
      <w:bookmarkStart w:id="119" w:name="_Toc254970685"/>
      <w:bookmarkStart w:id="120" w:name="_Toc254970544"/>
      <w:r>
        <w:rPr>
          <w:rFonts w:hint="eastAsia" w:ascii="仿宋" w:hAnsi="仿宋" w:eastAsia="仿宋" w:cs="仿宋"/>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7C9635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 投标人在投标截止时间后书面通知采购人、采购代理机构撤回投标文件的，将根据本须知正文18.4的规定不予退还其投标保证金。</w:t>
      </w:r>
    </w:p>
    <w:p w14:paraId="6B6F52FB">
      <w:pPr>
        <w:pStyle w:val="4"/>
        <w:ind w:firstLine="640"/>
        <w:rPr>
          <w:rFonts w:hint="eastAsia" w:ascii="仿宋" w:hAnsi="仿宋" w:eastAsia="仿宋" w:cs="仿宋"/>
          <w:color w:val="auto"/>
          <w:highlight w:val="none"/>
        </w:rPr>
      </w:pPr>
      <w:r>
        <w:rPr>
          <w:rFonts w:hint="eastAsia" w:ascii="仿宋" w:hAnsi="仿宋" w:eastAsia="仿宋" w:cs="仿宋"/>
          <w:color w:val="auto"/>
          <w:highlight w:val="none"/>
        </w:rPr>
        <w:t>四、开    标</w:t>
      </w:r>
      <w:bookmarkEnd w:id="119"/>
      <w:bookmarkEnd w:id="120"/>
    </w:p>
    <w:p w14:paraId="79C249AC">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121" w:name="_23.开标时间和地点"/>
      <w:bookmarkEnd w:id="121"/>
      <w:r>
        <w:rPr>
          <w:rFonts w:hint="eastAsia" w:ascii="仿宋" w:hAnsi="仿宋" w:eastAsia="仿宋" w:cs="仿宋"/>
          <w:color w:val="auto"/>
          <w:sz w:val="24"/>
          <w:highlight w:val="none"/>
        </w:rPr>
        <w:t>23.开标时间和地点</w:t>
      </w:r>
    </w:p>
    <w:p w14:paraId="12796603">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bCs/>
          <w:color w:val="auto"/>
          <w:sz w:val="24"/>
          <w:highlight w:val="none"/>
        </w:rPr>
        <w:t>开标时间及地点详见“投标人须知前附表”</w:t>
      </w:r>
    </w:p>
    <w:p w14:paraId="4A8F929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52B53F87">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24.开标程序</w:t>
      </w:r>
    </w:p>
    <w:p w14:paraId="5F16DB49">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 xml:space="preserve">24.1 </w:t>
      </w:r>
      <w:r>
        <w:rPr>
          <w:rFonts w:hint="eastAsia" w:ascii="仿宋" w:hAnsi="仿宋" w:eastAsia="仿宋" w:cs="仿宋"/>
          <w:color w:val="auto"/>
          <w:kern w:val="0"/>
          <w:sz w:val="24"/>
          <w:highlight w:val="none"/>
        </w:rPr>
        <w:t>开标形式：</w:t>
      </w:r>
    </w:p>
    <w:p w14:paraId="07A59F52">
      <w:pPr>
        <w:autoSpaceDE w:val="0"/>
        <w:autoSpaceDN w:val="0"/>
        <w:adjustRightIn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1AB305B">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24.2开标程序</w:t>
      </w:r>
    </w:p>
    <w:p w14:paraId="3C3D6745">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（1）解密电子投标文件。广西政府采购云平台按开标时间自动提取所有投标文件。采购代理机构依托广西政府采购云平台向各投标人发出电子加密投标文件【开始解密】通知，</w:t>
      </w:r>
      <w:r>
        <w:rPr>
          <w:rFonts w:hint="eastAsia" w:ascii="仿宋" w:hAnsi="仿宋" w:eastAsia="仿宋" w:cs="仿宋"/>
          <w:bCs/>
          <w:color w:val="auto"/>
          <w:sz w:val="24"/>
          <w:highlight w:val="none"/>
        </w:rPr>
        <w:t>由投标人进行投标文件解密。</w:t>
      </w:r>
      <w:r>
        <w:rPr>
          <w:rFonts w:hint="eastAsia" w:ascii="仿宋" w:hAnsi="仿宋" w:eastAsia="仿宋" w:cs="仿宋"/>
          <w:b/>
          <w:bCs/>
          <w:color w:val="auto"/>
          <w:sz w:val="24"/>
          <w:highlight w:val="none"/>
        </w:rPr>
        <w:t>投标人的法定代表人或其委托代理人须携带加密时所用的CA锁准时登录到广西政府采购云平台电子开标大厅签到</w:t>
      </w:r>
      <w:r>
        <w:rPr>
          <w:rFonts w:hint="eastAsia" w:ascii="仿宋" w:hAnsi="仿宋" w:eastAsia="仿宋" w:cs="仿宋"/>
          <w:b/>
          <w:color w:val="auto"/>
          <w:sz w:val="24"/>
          <w:highlight w:val="none"/>
        </w:rPr>
        <w:t>并在发起解密</w:t>
      </w:r>
      <w:r>
        <w:rPr>
          <w:rFonts w:hint="eastAsia" w:ascii="仿宋" w:hAnsi="仿宋" w:eastAsia="仿宋" w:cs="仿宋"/>
          <w:b/>
          <w:bCs/>
          <w:color w:val="auto"/>
          <w:sz w:val="24"/>
          <w:highlight w:val="none"/>
        </w:rPr>
        <w:t>通知</w:t>
      </w:r>
      <w:r>
        <w:rPr>
          <w:rFonts w:hint="eastAsia" w:ascii="仿宋" w:hAnsi="仿宋" w:eastAsia="仿宋" w:cs="仿宋"/>
          <w:b/>
          <w:color w:val="auto"/>
          <w:sz w:val="24"/>
          <w:highlight w:val="none"/>
        </w:rPr>
        <w:t>之时起30分钟内完成</w:t>
      </w:r>
      <w:r>
        <w:rPr>
          <w:rFonts w:hint="eastAsia" w:ascii="仿宋" w:hAnsi="仿宋" w:eastAsia="仿宋" w:cs="仿宋"/>
          <w:b/>
          <w:bCs/>
          <w:color w:val="auto"/>
          <w:sz w:val="24"/>
          <w:highlight w:val="none"/>
        </w:rPr>
        <w:t>对电子投标文件解密。投标文件未按时解密的，视为无效投标。</w:t>
      </w:r>
    </w:p>
    <w:p w14:paraId="758D7537">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（2）电子唱标。投标文件解密结束，宣布的内容均在广西政府采购云平台远程开标大厅展示，具体详见</w:t>
      </w:r>
      <w:r>
        <w:rPr>
          <w:rFonts w:hint="eastAsia" w:ascii="仿宋" w:hAnsi="仿宋" w:eastAsia="仿宋" w:cs="仿宋"/>
          <w:bCs/>
          <w:color w:val="auto"/>
          <w:sz w:val="24"/>
          <w:szCs w:val="24"/>
          <w:highlight w:val="none"/>
        </w:rPr>
        <w:t>“投标人须知前附表”</w:t>
      </w:r>
      <w:r>
        <w:rPr>
          <w:rFonts w:hint="eastAsia" w:ascii="仿宋" w:hAnsi="仿宋" w:eastAsia="仿宋" w:cs="仿宋"/>
          <w:color w:val="auto"/>
          <w:sz w:val="24"/>
          <w:szCs w:val="24"/>
          <w:highlight w:val="none"/>
        </w:rPr>
        <w:t>；</w:t>
      </w:r>
    </w:p>
    <w:p w14:paraId="42118531">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21756F8A">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FD0EE05">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（5）开标结束。</w:t>
      </w:r>
    </w:p>
    <w:p w14:paraId="6AF99A7A">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特别说明：如遇广西政府采购云平台电子化开标或评审程序调整的，按调整后执行。</w:t>
      </w:r>
    </w:p>
    <w:p w14:paraId="3EE0B5D9">
      <w:pPr>
        <w:pStyle w:val="22"/>
        <w:snapToGrid w:val="0"/>
        <w:spacing w:line="360" w:lineRule="auto"/>
        <w:ind w:left="689" w:leftChars="228" w:hanging="210" w:hangingChars="100"/>
        <w:rPr>
          <w:rFonts w:hint="eastAsia" w:ascii="仿宋" w:hAnsi="仿宋" w:eastAsia="仿宋" w:cs="仿宋"/>
          <w:color w:val="auto"/>
          <w:sz w:val="21"/>
          <w:highlight w:val="none"/>
        </w:rPr>
      </w:pPr>
    </w:p>
    <w:p w14:paraId="3CA61625">
      <w:pPr>
        <w:pStyle w:val="4"/>
        <w:ind w:firstLine="640"/>
        <w:rPr>
          <w:rFonts w:hint="eastAsia" w:ascii="仿宋" w:hAnsi="仿宋" w:eastAsia="仿宋" w:cs="仿宋"/>
          <w:color w:val="auto"/>
          <w:highlight w:val="none"/>
        </w:rPr>
      </w:pPr>
      <w:r>
        <w:rPr>
          <w:rFonts w:hint="eastAsia" w:ascii="仿宋" w:hAnsi="仿宋" w:eastAsia="仿宋" w:cs="仿宋"/>
          <w:color w:val="auto"/>
          <w:highlight w:val="none"/>
        </w:rPr>
        <w:t>五、资格审查</w:t>
      </w:r>
    </w:p>
    <w:p w14:paraId="50DA7BA0">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25.资格审查</w:t>
      </w:r>
    </w:p>
    <w:p w14:paraId="795D2F89">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25.1开标结束后，采购人或者采购代理机构通过电子开评标系统依据招标文件对电子投标文件进行线上资格审查。</w:t>
      </w:r>
    </w:p>
    <w:p w14:paraId="6A7469E4">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14:paraId="3052BB4B">
      <w:pPr>
        <w:pStyle w:val="6"/>
        <w:keepNext w:val="0"/>
        <w:keepLines w:val="0"/>
        <w:numPr>
          <w:ilvl w:val="0"/>
          <w:numId w:val="0"/>
        </w:numPr>
        <w:spacing w:before="120" w:after="0" w:line="360" w:lineRule="auto"/>
        <w:ind w:firstLine="482" w:firstLineChars="200"/>
        <w:rPr>
          <w:rFonts w:hint="eastAsia" w:ascii="仿宋" w:hAnsi="仿宋" w:eastAsia="仿宋" w:cs="仿宋"/>
          <w:color w:val="auto"/>
          <w:sz w:val="24"/>
          <w:highlight w:val="none"/>
        </w:rPr>
      </w:pPr>
      <w:bookmarkStart w:id="122" w:name="_25.3_投标人有下列情形之一的，资格审查不通过而导致其投标无效："/>
      <w:bookmarkEnd w:id="122"/>
      <w:r>
        <w:rPr>
          <w:rFonts w:hint="eastAsia" w:ascii="仿宋" w:hAnsi="仿宋" w:eastAsia="仿宋" w:cs="仿宋"/>
          <w:color w:val="auto"/>
          <w:sz w:val="24"/>
          <w:highlight w:val="none"/>
        </w:rPr>
        <w:t>25.3 投标人有下列情形之一的，资格审查不通过，作无效投标处理：</w:t>
      </w:r>
    </w:p>
    <w:p w14:paraId="4414A29B">
      <w:pPr>
        <w:pStyle w:val="22"/>
        <w:snapToGrid w:val="0"/>
        <w:spacing w:line="36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sz w:val="24"/>
          <w:szCs w:val="24"/>
          <w:highlight w:val="none"/>
        </w:rPr>
        <w:t>（1）未按招标文件规定的方式获取本招标文件的投标人；</w:t>
      </w:r>
    </w:p>
    <w:p w14:paraId="5A020F68">
      <w:pPr>
        <w:pStyle w:val="22"/>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（2）不具备招标文件中规定的资格要求的；</w:t>
      </w:r>
    </w:p>
    <w:p w14:paraId="59CE6E28">
      <w:pPr>
        <w:pStyle w:val="22"/>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0CF2F04">
      <w:pPr>
        <w:pStyle w:val="22"/>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1F1AAECB">
      <w:pPr>
        <w:pStyle w:val="22"/>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（5）投标文件中的资格证明文件缺少任一项“投标人须知前附表”资格证明文件规定“必须提供”的文件资料的；</w:t>
      </w:r>
    </w:p>
    <w:p w14:paraId="091DB1FC">
      <w:pPr>
        <w:pStyle w:val="22"/>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（6）投标文件中的资格证明文件出现任一项不符合“投标人须知前附表”资格证明文件规定“必须提供”的文件资料要求或者无效的。</w:t>
      </w:r>
    </w:p>
    <w:p w14:paraId="08953DEA">
      <w:pPr>
        <w:pStyle w:val="6"/>
        <w:keepNext w:val="0"/>
        <w:keepLines w:val="0"/>
        <w:spacing w:before="120" w:after="0" w:line="360" w:lineRule="auto"/>
        <w:ind w:left="420" w:leftChars="200" w:firstLine="480"/>
        <w:rPr>
          <w:rFonts w:hint="eastAsia" w:ascii="仿宋" w:hAnsi="仿宋" w:eastAsia="仿宋" w:cs="仿宋"/>
          <w:b w:val="0"/>
          <w:color w:val="auto"/>
          <w:sz w:val="24"/>
          <w:highlight w:val="none"/>
        </w:rPr>
      </w:pPr>
      <w:r>
        <w:rPr>
          <w:rFonts w:hint="eastAsia" w:ascii="仿宋" w:hAnsi="仿宋" w:eastAsia="仿宋" w:cs="仿宋"/>
          <w:color w:val="auto"/>
          <w:sz w:val="24"/>
          <w:highlight w:val="none"/>
        </w:rPr>
        <w:t>25.4合格投标人不足3家的，不得评标。</w:t>
      </w:r>
    </w:p>
    <w:p w14:paraId="2C8421CF">
      <w:pPr>
        <w:pStyle w:val="22"/>
        <w:snapToGrid w:val="0"/>
        <w:spacing w:line="360" w:lineRule="auto"/>
        <w:ind w:left="689" w:leftChars="228" w:hanging="210" w:hangingChars="100"/>
        <w:rPr>
          <w:rFonts w:hint="eastAsia" w:ascii="仿宋" w:hAnsi="仿宋" w:eastAsia="仿宋" w:cs="仿宋"/>
          <w:color w:val="auto"/>
          <w:sz w:val="21"/>
          <w:highlight w:val="none"/>
        </w:rPr>
      </w:pPr>
    </w:p>
    <w:p w14:paraId="4C3F3BB7">
      <w:pPr>
        <w:pStyle w:val="4"/>
        <w:ind w:firstLine="640"/>
        <w:rPr>
          <w:rFonts w:hint="eastAsia" w:ascii="仿宋" w:hAnsi="仿宋" w:eastAsia="仿宋" w:cs="仿宋"/>
          <w:color w:val="auto"/>
          <w:highlight w:val="none"/>
        </w:rPr>
      </w:pPr>
      <w:r>
        <w:rPr>
          <w:rFonts w:hint="eastAsia" w:ascii="仿宋" w:hAnsi="仿宋" w:eastAsia="仿宋" w:cs="仿宋"/>
          <w:color w:val="auto"/>
          <w:highlight w:val="none"/>
        </w:rPr>
        <w:t>六、评   标</w:t>
      </w:r>
    </w:p>
    <w:p w14:paraId="31084AAA">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123" w:name="_26.组建评标委员会"/>
      <w:bookmarkEnd w:id="123"/>
      <w:r>
        <w:rPr>
          <w:rFonts w:hint="eastAsia" w:ascii="仿宋" w:hAnsi="仿宋" w:eastAsia="仿宋" w:cs="仿宋"/>
          <w:color w:val="auto"/>
          <w:sz w:val="24"/>
          <w:highlight w:val="none"/>
        </w:rPr>
        <w:t>26.组建评标委员会</w:t>
      </w:r>
    </w:p>
    <w:p w14:paraId="1C7419E5">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26.1评标委员会由采购人代表和评审专家组成，具体人数详见“投标人须知前附表”，其中评审专家不得少于成员总数的三分之二。</w:t>
      </w:r>
    </w:p>
    <w:p w14:paraId="574DE780">
      <w:pPr>
        <w:pStyle w:val="22"/>
        <w:snapToGrid w:val="0"/>
        <w:spacing w:line="360" w:lineRule="auto"/>
        <w:ind w:left="2" w:leftChars="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26.2参加过采购项目前期咨询论证的专家，不得参加该采购项目的评审活动。</w:t>
      </w:r>
    </w:p>
    <w:p w14:paraId="58C3B1B7">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27.评标的依据</w:t>
      </w:r>
    </w:p>
    <w:p w14:paraId="6023D16C">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评标委员会以“第四章 评标方法和评标标准”为依据对投标文件进行评审，没有规定的方法、评审因素和标准，不作为评标依据。</w:t>
      </w:r>
    </w:p>
    <w:p w14:paraId="4C3FCC25">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28.评标原则</w:t>
      </w:r>
    </w:p>
    <w:p w14:paraId="6D54AEFF">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1A7B93A">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w:t>
      </w:r>
      <w:bookmarkStart w:id="124" w:name="_28.3评标方法。本项目将按须知前附表规定的评标办法进行评标，具体评标"/>
      <w:bookmarkEnd w:id="124"/>
      <w:r>
        <w:rPr>
          <w:rFonts w:hint="eastAsia" w:ascii="仿宋" w:hAnsi="仿宋" w:eastAsia="仿宋" w:cs="仿宋"/>
          <w:color w:val="auto"/>
          <w:sz w:val="24"/>
          <w:szCs w:val="24"/>
          <w:highlight w:val="none"/>
        </w:rPr>
        <w:t>评委表决。评标委员会成员对需要共同认定的事项存在争议的，应当按照少数服从多数的原则作出结论。</w:t>
      </w:r>
    </w:p>
    <w:p w14:paraId="4599F5C8">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5FC88B4">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28.4评标过程的监控。本项目电子评标过程实行网上留痕、全程录音、录像监控，</w:t>
      </w:r>
      <w:r>
        <w:rPr>
          <w:rFonts w:hint="eastAsia" w:ascii="仿宋" w:hAnsi="仿宋" w:eastAsia="仿宋" w:cs="仿宋"/>
          <w:b/>
          <w:color w:val="auto"/>
          <w:sz w:val="24"/>
          <w:szCs w:val="24"/>
          <w:highlight w:val="none"/>
        </w:rPr>
        <w:t>投标人在评标过程中所进行的试图影响评标结果的不公正活动，可能导致其投标按无效处理。</w:t>
      </w:r>
    </w:p>
    <w:p w14:paraId="72AE117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29.评标方法及中标候选人推荐</w:t>
      </w:r>
    </w:p>
    <w:p w14:paraId="0F713B22">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29.1本项目的评标方法详见“投标人须知前附表”。</w:t>
      </w:r>
    </w:p>
    <w:p w14:paraId="136B9AD8">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 中标候选人推荐数量详见“投标人须知前附表”。</w:t>
      </w:r>
    </w:p>
    <w:p w14:paraId="1EA612A5">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 评标委员会将按照“第四章 评标方法和评标标准”规定的方法、评审因素、标准和程序对投标文件进行评审。</w:t>
      </w:r>
    </w:p>
    <w:p w14:paraId="2CBEF8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29.4 电子交易活动的中止。采购过程中出现以下情形，导致电子交易平台无法正常运行，或者无法保证电子交易的公平、公正和安全时，采购代理机构可以中止电子交易活动：</w:t>
      </w:r>
    </w:p>
    <w:p w14:paraId="3EA18BD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（1）电子交易平台发生故障而无法登录访问的； </w:t>
      </w:r>
    </w:p>
    <w:p w14:paraId="5943A4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（2）电子交易平台应用或数据库出现错误，不能进行正常操作的；</w:t>
      </w:r>
    </w:p>
    <w:p w14:paraId="1DBB4A8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（3）电子交易平台发现严重安全漏洞，有潜在泄密危险的；</w:t>
      </w:r>
    </w:p>
    <w:p w14:paraId="05C0407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（4）病毒发作导致不能进行正常操作的； </w:t>
      </w:r>
    </w:p>
    <w:p w14:paraId="1E10357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（5）其他无法保证电子交易的公平、公正和安全的情况。</w:t>
      </w:r>
    </w:p>
    <w:p w14:paraId="2C44A2A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29.5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22BE1ABD">
      <w:pPr>
        <w:pStyle w:val="22"/>
        <w:snapToGrid w:val="0"/>
        <w:spacing w:line="360" w:lineRule="auto"/>
        <w:ind w:firstLine="422"/>
        <w:rPr>
          <w:rFonts w:hint="eastAsia" w:ascii="仿宋" w:hAnsi="仿宋" w:eastAsia="仿宋" w:cs="仿宋"/>
          <w:color w:val="auto"/>
          <w:sz w:val="21"/>
          <w:highlight w:val="none"/>
        </w:rPr>
      </w:pPr>
    </w:p>
    <w:p w14:paraId="7A905D4C">
      <w:pPr>
        <w:pStyle w:val="4"/>
        <w:ind w:firstLine="640"/>
        <w:rPr>
          <w:rFonts w:hint="eastAsia" w:ascii="仿宋" w:hAnsi="仿宋" w:eastAsia="仿宋" w:cs="仿宋"/>
          <w:color w:val="auto"/>
          <w:highlight w:val="none"/>
        </w:rPr>
      </w:pPr>
      <w:bookmarkStart w:id="125" w:name="_Toc254970546"/>
      <w:bookmarkStart w:id="126" w:name="_Toc254970687"/>
      <w:r>
        <w:rPr>
          <w:rFonts w:hint="eastAsia" w:ascii="仿宋" w:hAnsi="仿宋" w:eastAsia="仿宋" w:cs="仿宋"/>
          <w:color w:val="auto"/>
          <w:highlight w:val="none"/>
        </w:rPr>
        <w:t>七、</w:t>
      </w:r>
      <w:bookmarkEnd w:id="125"/>
      <w:bookmarkEnd w:id="126"/>
      <w:r>
        <w:rPr>
          <w:rFonts w:hint="eastAsia" w:ascii="仿宋" w:hAnsi="仿宋" w:eastAsia="仿宋" w:cs="仿宋"/>
          <w:color w:val="auto"/>
          <w:highlight w:val="none"/>
        </w:rPr>
        <w:t>中标和合同</w:t>
      </w:r>
    </w:p>
    <w:p w14:paraId="5D177197">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30 确定中标人</w:t>
      </w:r>
    </w:p>
    <w:p w14:paraId="48E7FEA7">
      <w:pPr>
        <w:pStyle w:val="6"/>
        <w:keepNext w:val="0"/>
        <w:keepLines w:val="0"/>
        <w:spacing w:before="12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F78D52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2F8761F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30.3出现下列情形之一的，应予废标：</w:t>
      </w:r>
    </w:p>
    <w:p w14:paraId="7C4F70D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（1）符合专业条件的供应商或者对招标文件作实质响应的供应商不足三家的；</w:t>
      </w:r>
    </w:p>
    <w:p w14:paraId="1FE681C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14:paraId="6A4521C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（3）投标人的报价均超过了采购预算，采购人不能支付的；</w:t>
      </w:r>
    </w:p>
    <w:p w14:paraId="1029EDA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（4）因重大变故，采购任务取消的。</w:t>
      </w:r>
    </w:p>
    <w:p w14:paraId="7C52091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废标后，采购人应当将废标理由通知所有投标人。</w:t>
      </w:r>
    </w:p>
    <w:p w14:paraId="79EC06E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7748C91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放弃中标项目，拒绝与采购人签订合同的，其投标保证金不予退还，并上缴国库。给采购人造成损失，或（并）因此延误采购人工作计划的，须依据《中华人民共和国民法典》第五百条、《招标投标法》第四十五条等规定承担赔偿损失等法律责任，采购人有权将中标人的失信行为报财政部门记入诚信档案，以示惩戒。</w:t>
      </w:r>
    </w:p>
    <w:p w14:paraId="4A6D56B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 结果公告</w:t>
      </w:r>
    </w:p>
    <w:p w14:paraId="64EA7F0F">
      <w:pPr>
        <w:pStyle w:val="6"/>
        <w:keepNext w:val="0"/>
        <w:keepLines w:val="0"/>
        <w:snapToGrid w:val="0"/>
        <w:spacing w:before="120" w:after="0"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543BE0B1">
      <w:pPr>
        <w:pStyle w:val="6"/>
        <w:keepNext w:val="0"/>
        <w:keepLines w:val="0"/>
        <w:spacing w:before="12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4B184196">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32.发出中标通知书</w:t>
      </w:r>
    </w:p>
    <w:p w14:paraId="1077D200">
      <w:pPr>
        <w:pStyle w:val="6"/>
        <w:keepNext w:val="0"/>
        <w:keepLines w:val="0"/>
        <w:spacing w:before="12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58053A6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33. 无义务解释未中标原因</w:t>
      </w:r>
    </w:p>
    <w:p w14:paraId="18454AE1">
      <w:pPr>
        <w:pStyle w:val="6"/>
        <w:keepNext w:val="0"/>
        <w:keepLines w:val="0"/>
        <w:numPr>
          <w:ilvl w:val="4"/>
          <w:numId w:val="0"/>
        </w:numPr>
        <w:spacing w:before="12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采购代理机构无义务向未中标的投标人解释未中标原因。</w:t>
      </w:r>
    </w:p>
    <w:p w14:paraId="010C8E2B">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34.合同授予标准</w:t>
      </w:r>
    </w:p>
    <w:p w14:paraId="2F785F9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合同将授予被确定实质上响应招标文件要求，具备履行合同能力的中标人。</w:t>
      </w:r>
    </w:p>
    <w:p w14:paraId="47D58343">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35.履约保证金</w:t>
      </w:r>
    </w:p>
    <w:p w14:paraId="17720E43">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127" w:name="_39.1中标人须于签订合同前按本须知前附表规定的金额转账或电汇到指定账"/>
      <w:bookmarkEnd w:id="127"/>
      <w:r>
        <w:rPr>
          <w:rFonts w:hint="eastAsia" w:ascii="仿宋" w:hAnsi="仿宋" w:eastAsia="仿宋" w:cs="仿宋"/>
          <w:b w:val="0"/>
          <w:color w:val="auto"/>
          <w:sz w:val="24"/>
          <w:highlight w:val="none"/>
        </w:rPr>
        <w:t xml:space="preserve"> 35.1 履约保证金的金额、提交方式、退付的时间和条件详见 “投标人须知前附表”。中标人未按规定提交履约保证金的，视为拒绝与采购人签订合同。</w:t>
      </w:r>
    </w:p>
    <w:p w14:paraId="5FD960C3">
      <w:pPr>
        <w:pStyle w:val="6"/>
        <w:keepNext w:val="0"/>
        <w:keepLines w:val="0"/>
        <w:spacing w:before="120" w:after="0" w:line="360" w:lineRule="auto"/>
        <w:ind w:firstLine="361"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val="0"/>
          <w:bCs/>
          <w:color w:val="auto"/>
          <w:sz w:val="24"/>
          <w:highlight w:val="none"/>
        </w:rPr>
        <w:t>35.2在履约保证金退还日期前，若中标人的开户名称、开户银行、帐号有变动的，请以书面形式通知履约保证金收取单位，否则由此产生的后果由中标人自行承担。</w:t>
      </w:r>
    </w:p>
    <w:p w14:paraId="35568ECC">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36.签订合同</w:t>
      </w:r>
    </w:p>
    <w:p w14:paraId="72132AF1">
      <w:pPr>
        <w:pStyle w:val="6"/>
        <w:keepNext w:val="0"/>
        <w:keepLines w:val="0"/>
        <w:spacing w:before="120" w:after="0" w:line="360" w:lineRule="auto"/>
        <w:ind w:firstLine="360" w:firstLineChars="150"/>
        <w:rPr>
          <w:rFonts w:hint="eastAsia" w:ascii="仿宋" w:hAnsi="仿宋" w:eastAsia="仿宋" w:cs="仿宋"/>
          <w:b w:val="0"/>
          <w:bCs/>
          <w:color w:val="auto"/>
          <w:sz w:val="24"/>
          <w:highlight w:val="none"/>
        </w:rPr>
      </w:pPr>
      <w:bookmarkStart w:id="128" w:name="_40.1投标人接到中标通知书后，按须知前附表规定向采购人出示相关资格证"/>
      <w:bookmarkEnd w:id="128"/>
      <w:r>
        <w:rPr>
          <w:rFonts w:hint="eastAsia" w:ascii="仿宋" w:hAnsi="仿宋" w:eastAsia="仿宋" w:cs="仿宋"/>
          <w:b w:val="0"/>
          <w:bCs/>
          <w:color w:val="auto"/>
          <w:sz w:val="24"/>
          <w:highlight w:val="none"/>
        </w:rPr>
        <w:t xml:space="preserve"> 36.1投标人领取中标通知书（书面或电子）后，按“投标人须知前附表”规定向采购人出示相关证明材料，经采购人核验合格后方可签订采购合同（书面或电子）。如中标人为联合体的，联合体各方应当共同与采购人签订采购合同，就采购合同约定的事项对采购人承担连带责任。</w:t>
      </w:r>
    </w:p>
    <w:p w14:paraId="5ECC4EE2">
      <w:pPr>
        <w:pStyle w:val="6"/>
        <w:keepNext w:val="0"/>
        <w:keepLines w:val="0"/>
        <w:spacing w:before="12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36.2签订合同时间：按中标通知书规定的时间与采购人签订合同（最长不能超过25日）。</w:t>
      </w:r>
    </w:p>
    <w:p w14:paraId="7BA4FC5A">
      <w:pPr>
        <w:pStyle w:val="6"/>
        <w:keepNext w:val="0"/>
        <w:keepLines w:val="0"/>
        <w:spacing w:before="12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36.3中标人拒绝与采购人签订合同的，按照本文件之《投标人须知正文》第30.4条的规定执行。</w:t>
      </w:r>
    </w:p>
    <w:p w14:paraId="1DC12F47">
      <w:pPr>
        <w:pStyle w:val="6"/>
        <w:keepNext w:val="0"/>
        <w:keepLines w:val="0"/>
        <w:spacing w:before="12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3B235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332269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36.6如签订合同并生效后，供应商无故拒绝或延期，除按照合同条款处理外，将承担相应的法律责任。</w:t>
      </w:r>
    </w:p>
    <w:p w14:paraId="3EB56F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2B9E63A">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129" w:name="_41.政府采购合同公告"/>
      <w:bookmarkEnd w:id="129"/>
      <w:r>
        <w:rPr>
          <w:rFonts w:hint="eastAsia" w:ascii="仿宋" w:hAnsi="仿宋" w:eastAsia="仿宋" w:cs="仿宋"/>
          <w:color w:val="auto"/>
          <w:sz w:val="24"/>
          <w:highlight w:val="none"/>
        </w:rPr>
        <w:t>37.政府采购合同公告</w:t>
      </w:r>
    </w:p>
    <w:p w14:paraId="1E263BE5">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0D25349">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38. 询问、质疑和投诉</w:t>
      </w:r>
    </w:p>
    <w:p w14:paraId="7D35B417">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4AF16CE3">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FA10C67">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（1）对可以质疑的招标文件提出质疑的，为收到招标文件之日或者招标文件公告期限届满之日；</w:t>
      </w:r>
    </w:p>
    <w:p w14:paraId="28E64E52">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（2）对采购过程提出质疑的，为各采购程序环节结束之日；</w:t>
      </w:r>
    </w:p>
    <w:p w14:paraId="6908A35C">
      <w:pPr>
        <w:pStyle w:val="2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（3）对中标结果提出质疑的，为中标结果公告期限届满之日。</w:t>
      </w:r>
    </w:p>
    <w:p w14:paraId="62E951C8">
      <w:pPr>
        <w:pStyle w:val="6"/>
        <w:keepNext w:val="0"/>
        <w:keepLines w:val="0"/>
        <w:spacing w:before="120" w:after="0" w:line="360" w:lineRule="auto"/>
        <w:ind w:firstLine="360" w:firstLineChars="150"/>
        <w:rPr>
          <w:rFonts w:hint="eastAsia" w:ascii="仿宋" w:hAnsi="仿宋" w:eastAsia="仿宋" w:cs="仿宋"/>
          <w:b w:val="0"/>
          <w:color w:val="auto"/>
          <w:sz w:val="24"/>
          <w:highlight w:val="none"/>
        </w:rPr>
      </w:pPr>
      <w:bookmarkStart w:id="130" w:name="_9.2质疑、投诉应当采用书面形式，质疑函、投诉书均应明确阐述招标文件、"/>
      <w:bookmarkEnd w:id="130"/>
      <w:r>
        <w:rPr>
          <w:rFonts w:hint="eastAsia" w:ascii="仿宋" w:hAnsi="仿宋" w:eastAsia="仿宋" w:cs="仿宋"/>
          <w:b w:val="0"/>
          <w:color w:val="auto"/>
          <w:sz w:val="24"/>
          <w:highlight w:val="none"/>
        </w:rPr>
        <w:t xml:space="preserve"> 38.3 </w:t>
      </w:r>
      <w:r>
        <w:rPr>
          <w:rFonts w:hint="eastAsia" w:ascii="仿宋" w:hAnsi="仿宋" w:eastAsia="仿宋" w:cs="仿宋"/>
          <w:b w:val="0"/>
          <w:bCs/>
          <w:color w:val="auto"/>
          <w:sz w:val="24"/>
          <w:highlight w:val="none"/>
        </w:rPr>
        <w:t>供应商提出质疑应当提交质疑函和必要的证明材料，针对同一采购程序环节的质疑必须在法定质疑期内一次性提出。质疑函应当包括下列内容（质疑函格式后附）：</w:t>
      </w:r>
    </w:p>
    <w:p w14:paraId="1CFDF9D9">
      <w:pPr>
        <w:pStyle w:val="2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（1）供应商的姓名或者名称、地址、邮编、联系人及联系电话；</w:t>
      </w:r>
    </w:p>
    <w:p w14:paraId="007CE000">
      <w:pPr>
        <w:pStyle w:val="2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（2）质疑项目的名称、编号；</w:t>
      </w:r>
    </w:p>
    <w:p w14:paraId="1D9B9389">
      <w:pPr>
        <w:pStyle w:val="2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（3）具体、明确的质疑事项和与质疑事项相关的请求；</w:t>
      </w:r>
    </w:p>
    <w:p w14:paraId="6436866D">
      <w:pPr>
        <w:pStyle w:val="2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（4）事实依据；</w:t>
      </w:r>
    </w:p>
    <w:p w14:paraId="7233D324">
      <w:pPr>
        <w:pStyle w:val="2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（5）必要的法律依据；</w:t>
      </w:r>
    </w:p>
    <w:p w14:paraId="1A62611A">
      <w:pPr>
        <w:pStyle w:val="2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（6）提出质疑的日期。</w:t>
      </w:r>
    </w:p>
    <w:p w14:paraId="3C447E64">
      <w:pPr>
        <w:pStyle w:val="2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供应商为自然人的，应当由本人签字；供应商为法人或者其他组织的，应当由法定代表人、主要负责人，或者其委托代理人签字或者盖章，并加盖公章。</w:t>
      </w:r>
    </w:p>
    <w:p w14:paraId="32A34A06">
      <w:pPr>
        <w:pStyle w:val="6"/>
        <w:keepNext w:val="0"/>
        <w:keepLines w:val="0"/>
        <w:snapToGrid w:val="0"/>
        <w:spacing w:before="12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color w:val="auto"/>
          <w:sz w:val="24"/>
          <w:highlight w:val="none"/>
        </w:rPr>
        <w:t>3</w:t>
      </w:r>
      <w:r>
        <w:rPr>
          <w:rFonts w:hint="eastAsia" w:ascii="仿宋" w:hAnsi="仿宋" w:eastAsia="仿宋" w:cs="仿宋"/>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29EA6A74">
      <w:pPr>
        <w:pStyle w:val="22"/>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14:paraId="2B252867">
      <w:pPr>
        <w:pStyle w:val="22"/>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14:paraId="02B03A09">
      <w:pPr>
        <w:pStyle w:val="22"/>
        <w:snapToGrid w:val="0"/>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质疑答复导致中标结果改变的，采购人或者采购代理机构应当将有关情况书面报告本级财政部门。</w:t>
      </w:r>
    </w:p>
    <w:p w14:paraId="5A7B7815">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5CFB868">
      <w:pPr>
        <w:pStyle w:val="4"/>
        <w:ind w:firstLine="640"/>
        <w:rPr>
          <w:rFonts w:hint="eastAsia" w:ascii="仿宋" w:hAnsi="仿宋" w:eastAsia="仿宋" w:cs="仿宋"/>
          <w:color w:val="auto"/>
          <w:highlight w:val="none"/>
        </w:rPr>
      </w:pPr>
      <w:bookmarkStart w:id="131" w:name="_八、其他事项"/>
      <w:bookmarkEnd w:id="131"/>
      <w:r>
        <w:rPr>
          <w:rFonts w:hint="eastAsia" w:ascii="仿宋" w:hAnsi="仿宋" w:eastAsia="仿宋" w:cs="仿宋"/>
          <w:color w:val="auto"/>
          <w:highlight w:val="none"/>
        </w:rPr>
        <w:t>八、其他事项</w:t>
      </w:r>
    </w:p>
    <w:p w14:paraId="192901E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bookmarkStart w:id="132" w:name="_42.代理服务费"/>
      <w:bookmarkEnd w:id="132"/>
      <w:r>
        <w:rPr>
          <w:rFonts w:hint="eastAsia" w:ascii="仿宋" w:hAnsi="仿宋" w:eastAsia="仿宋" w:cs="仿宋"/>
          <w:color w:val="auto"/>
          <w:sz w:val="24"/>
          <w:highlight w:val="none"/>
        </w:rPr>
        <w:t>39.代理服务费</w:t>
      </w:r>
    </w:p>
    <w:p w14:paraId="15B9FD36">
      <w:pPr>
        <w:pStyle w:val="2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39.1代理服务收取标准及缴费账户详见“投标人须知前附表”，投标人为联合体的，可以由联合体中的一方或者多方共同交纳代理服务费。</w:t>
      </w:r>
    </w:p>
    <w:p w14:paraId="6C956F50">
      <w:pPr>
        <w:pStyle w:val="22"/>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39.2代理</w:t>
      </w:r>
      <w:r>
        <w:rPr>
          <w:rFonts w:hint="eastAsia" w:ascii="仿宋" w:hAnsi="仿宋" w:eastAsia="仿宋" w:cs="仿宋"/>
          <w:color w:val="auto"/>
          <w:sz w:val="24"/>
          <w:highlight w:val="none"/>
        </w:rPr>
        <w:t>服务收费标准：</w:t>
      </w:r>
    </w:p>
    <w:tbl>
      <w:tblPr>
        <w:tblStyle w:val="4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E7D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28FE8AF8">
            <w:pPr>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476BAF65">
            <w:pPr>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中标金额（人民币）</w:t>
            </w:r>
          </w:p>
        </w:tc>
        <w:tc>
          <w:tcPr>
            <w:tcW w:w="1659" w:type="dxa"/>
            <w:vAlign w:val="center"/>
          </w:tcPr>
          <w:p w14:paraId="70F5D0F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货物招标</w:t>
            </w:r>
          </w:p>
        </w:tc>
        <w:tc>
          <w:tcPr>
            <w:tcW w:w="1687" w:type="dxa"/>
            <w:vAlign w:val="center"/>
          </w:tcPr>
          <w:p w14:paraId="11A8910B">
            <w:pPr>
              <w:spacing w:line="360" w:lineRule="auto"/>
              <w:ind w:firstLine="48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服务招标</w:t>
            </w:r>
          </w:p>
        </w:tc>
        <w:tc>
          <w:tcPr>
            <w:tcW w:w="1659" w:type="dxa"/>
            <w:vAlign w:val="center"/>
          </w:tcPr>
          <w:p w14:paraId="2C83DFB5">
            <w:pPr>
              <w:spacing w:line="360" w:lineRule="auto"/>
              <w:ind w:firstLine="48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工程招标</w:t>
            </w:r>
          </w:p>
        </w:tc>
      </w:tr>
      <w:tr w14:paraId="166E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shd w:val="clear" w:color="auto" w:fill="auto"/>
          </w:tcPr>
          <w:p w14:paraId="68BB805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shd w:val="clear" w:color="auto" w:fill="auto"/>
          </w:tcPr>
          <w:p w14:paraId="763BFC5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687" w:type="dxa"/>
            <w:shd w:val="clear" w:color="auto" w:fill="auto"/>
          </w:tcPr>
          <w:p w14:paraId="3302B53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659" w:type="dxa"/>
            <w:shd w:val="clear" w:color="auto" w:fill="auto"/>
          </w:tcPr>
          <w:p w14:paraId="12FAF1F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r>
      <w:tr w14:paraId="1D69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shd w:val="clear" w:color="auto" w:fill="auto"/>
          </w:tcPr>
          <w:p w14:paraId="367EDA1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shd w:val="clear" w:color="auto" w:fill="auto"/>
          </w:tcPr>
          <w:p w14:paraId="268482C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687" w:type="dxa"/>
            <w:shd w:val="clear" w:color="auto" w:fill="auto"/>
          </w:tcPr>
          <w:p w14:paraId="13E0E50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0.8%</w:t>
            </w:r>
          </w:p>
        </w:tc>
        <w:tc>
          <w:tcPr>
            <w:tcW w:w="1659" w:type="dxa"/>
            <w:shd w:val="clear" w:color="auto" w:fill="auto"/>
          </w:tcPr>
          <w:p w14:paraId="58B73E9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0.7%</w:t>
            </w:r>
          </w:p>
        </w:tc>
      </w:tr>
      <w:tr w14:paraId="2E83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shd w:val="clear" w:color="auto" w:fill="auto"/>
          </w:tcPr>
          <w:p w14:paraId="548C540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shd w:val="clear" w:color="auto" w:fill="auto"/>
          </w:tcPr>
          <w:p w14:paraId="02B111B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0.8%</w:t>
            </w:r>
          </w:p>
        </w:tc>
        <w:tc>
          <w:tcPr>
            <w:tcW w:w="1687" w:type="dxa"/>
            <w:shd w:val="clear" w:color="auto" w:fill="auto"/>
          </w:tcPr>
          <w:p w14:paraId="284BBB6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0.45%</w:t>
            </w:r>
          </w:p>
        </w:tc>
        <w:tc>
          <w:tcPr>
            <w:tcW w:w="1659" w:type="dxa"/>
            <w:shd w:val="clear" w:color="auto" w:fill="auto"/>
          </w:tcPr>
          <w:p w14:paraId="722A893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0.55%</w:t>
            </w:r>
          </w:p>
        </w:tc>
      </w:tr>
      <w:tr w14:paraId="241A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shd w:val="clear" w:color="auto" w:fill="auto"/>
          </w:tcPr>
          <w:p w14:paraId="4741F7A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shd w:val="clear" w:color="auto" w:fill="auto"/>
          </w:tcPr>
          <w:p w14:paraId="4553534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w:t>
            </w:r>
          </w:p>
        </w:tc>
        <w:tc>
          <w:tcPr>
            <w:tcW w:w="1687" w:type="dxa"/>
            <w:shd w:val="clear" w:color="auto" w:fill="auto"/>
          </w:tcPr>
          <w:p w14:paraId="6098498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0.25%</w:t>
            </w:r>
          </w:p>
        </w:tc>
        <w:tc>
          <w:tcPr>
            <w:tcW w:w="1659" w:type="dxa"/>
            <w:shd w:val="clear" w:color="auto" w:fill="auto"/>
          </w:tcPr>
          <w:p w14:paraId="6F2E85C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0.35%</w:t>
            </w:r>
          </w:p>
        </w:tc>
      </w:tr>
    </w:tbl>
    <w:p w14:paraId="208D65DE">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注： </w:t>
      </w:r>
    </w:p>
    <w:p w14:paraId="02E1C6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（1）按本表费率计算的收费标准下浮</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0%为采购代理的收费基准价格；</w:t>
      </w:r>
    </w:p>
    <w:p w14:paraId="0A0364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（2）采购代理收费按差额定率累进法计算。</w:t>
      </w:r>
    </w:p>
    <w:p w14:paraId="5501A650">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40. 需要补充的其他内容</w:t>
      </w:r>
    </w:p>
    <w:p w14:paraId="384D1B5D">
      <w:pPr>
        <w:pStyle w:val="2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40.1本招标文件解释规则详见“投标人须知前附表”。</w:t>
      </w:r>
    </w:p>
    <w:p w14:paraId="155D1E6E">
      <w:pPr>
        <w:pStyle w:val="2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40.2 其他事项详见“投标人须知前附表”。</w:t>
      </w:r>
    </w:p>
    <w:p w14:paraId="26280037">
      <w:pPr>
        <w:pStyle w:val="2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5D7A130">
      <w:pPr>
        <w:pStyle w:val="2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2DD6F945">
      <w:pPr>
        <w:pStyle w:val="2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（2）在工程采购项目中，工程由中小企业承建，即工程施工单位为中小企业，不对其中涉及的货物的制造商和服务的承接商作出要求；</w:t>
      </w:r>
    </w:p>
    <w:p w14:paraId="2FA0F731">
      <w:pPr>
        <w:pStyle w:val="2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DD7D6BF">
      <w:pPr>
        <w:pStyle w:val="2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C460D82">
      <w:pPr>
        <w:pStyle w:val="22"/>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依据本招标文件规定享受扶持政策获得政府采购合同的，小微企业不得将合同分包给大中型企业，中型企业不得将合同分包给大型企业。</w:t>
      </w:r>
      <w:r>
        <w:rPr>
          <w:rFonts w:hint="eastAsia" w:ascii="仿宋" w:hAnsi="仿宋" w:eastAsia="仿宋" w:cs="仿宋"/>
          <w:color w:val="auto"/>
          <w:sz w:val="24"/>
          <w:szCs w:val="24"/>
          <w:highlight w:val="none"/>
        </w:rPr>
        <w:br w:type="page"/>
      </w:r>
    </w:p>
    <w:p w14:paraId="6A0BC1F0">
      <w:pPr>
        <w:pStyle w:val="2"/>
        <w:bidi w:val="0"/>
        <w:rPr>
          <w:rFonts w:hint="eastAsia" w:ascii="仿宋" w:hAnsi="仿宋" w:eastAsia="仿宋" w:cs="仿宋"/>
          <w:b/>
          <w:color w:val="auto"/>
          <w:sz w:val="24"/>
          <w:highlight w:val="none"/>
        </w:rPr>
      </w:pPr>
      <w:bookmarkStart w:id="133" w:name="_Toc15687"/>
      <w:bookmarkStart w:id="134" w:name="_Toc23976"/>
      <w:bookmarkStart w:id="135" w:name="_Toc330456896"/>
      <w:bookmarkStart w:id="136" w:name="_Toc254970548"/>
      <w:bookmarkStart w:id="137" w:name="_Toc254970689"/>
      <w:r>
        <w:rPr>
          <w:rFonts w:hint="eastAsia"/>
          <w:color w:val="auto"/>
          <w:highlight w:val="none"/>
        </w:rPr>
        <w:t>第四章  评标方法及评标标准</w:t>
      </w:r>
      <w:bookmarkEnd w:id="133"/>
      <w:bookmarkEnd w:id="134"/>
      <w:bookmarkEnd w:id="135"/>
      <w:bookmarkEnd w:id="136"/>
      <w:bookmarkEnd w:id="137"/>
    </w:p>
    <w:p w14:paraId="23A7D01F">
      <w:pPr>
        <w:pStyle w:val="22"/>
        <w:spacing w:line="360" w:lineRule="exact"/>
        <w:ind w:firstLine="402"/>
        <w:rPr>
          <w:rFonts w:hint="eastAsia" w:ascii="仿宋" w:hAnsi="仿宋" w:eastAsia="仿宋" w:cs="仿宋"/>
          <w:bCs/>
          <w:color w:val="auto"/>
          <w:highlight w:val="none"/>
        </w:rPr>
      </w:pPr>
      <w:r>
        <w:rPr>
          <w:rFonts w:hint="eastAsia" w:ascii="仿宋" w:hAnsi="仿宋" w:eastAsia="仿宋" w:cs="仿宋"/>
          <w:bCs/>
          <w:color w:val="auto"/>
          <w:highlight w:val="none"/>
        </w:rPr>
        <w:t xml:space="preserve"> </w:t>
      </w:r>
    </w:p>
    <w:p w14:paraId="4EE26CA4">
      <w:pPr>
        <w:pStyle w:val="4"/>
        <w:rPr>
          <w:rFonts w:hint="eastAsia" w:ascii="仿宋" w:hAnsi="仿宋" w:eastAsia="仿宋" w:cs="仿宋"/>
          <w:color w:val="auto"/>
          <w:highlight w:val="none"/>
        </w:rPr>
      </w:pPr>
      <w:r>
        <w:rPr>
          <w:rFonts w:hint="eastAsia" w:ascii="仿宋" w:hAnsi="仿宋" w:eastAsia="仿宋" w:cs="仿宋"/>
          <w:color w:val="auto"/>
          <w:highlight w:val="none"/>
        </w:rPr>
        <w:t>一、评标方法</w:t>
      </w:r>
    </w:p>
    <w:p w14:paraId="28E389B5">
      <w:pPr>
        <w:pStyle w:val="22"/>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w:t>
      </w:r>
    </w:p>
    <w:p w14:paraId="2B8C9BB0">
      <w:pPr>
        <w:pStyle w:val="4"/>
        <w:rPr>
          <w:rFonts w:hint="eastAsia" w:ascii="仿宋" w:hAnsi="仿宋" w:eastAsia="仿宋" w:cs="仿宋"/>
          <w:color w:val="auto"/>
          <w:highlight w:val="none"/>
        </w:rPr>
      </w:pPr>
      <w:r>
        <w:rPr>
          <w:rFonts w:hint="eastAsia" w:ascii="仿宋" w:hAnsi="仿宋" w:eastAsia="仿宋" w:cs="仿宋"/>
          <w:color w:val="auto"/>
          <w:highlight w:val="none"/>
        </w:rPr>
        <w:t>二、评标程序</w:t>
      </w:r>
    </w:p>
    <w:p w14:paraId="5363FED2">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1.符合性审查</w:t>
      </w:r>
    </w:p>
    <w:p w14:paraId="51B88AE1">
      <w:pPr>
        <w:pStyle w:val="22"/>
        <w:snapToGrid w:val="0"/>
        <w:spacing w:line="360" w:lineRule="auto"/>
        <w:ind w:left="1" w:firstLine="48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评标委员会应当对符合资格的投标人的投标文件进行投标报价、商务要求、</w:t>
      </w:r>
      <w:r>
        <w:rPr>
          <w:rFonts w:hint="eastAsia" w:ascii="仿宋" w:hAnsi="仿宋" w:eastAsia="仿宋" w:cs="仿宋"/>
          <w:b/>
          <w:color w:val="auto"/>
          <w:kern w:val="2"/>
          <w:sz w:val="24"/>
          <w:szCs w:val="24"/>
          <w:highlight w:val="none"/>
          <w:lang w:eastAsia="zh-CN"/>
        </w:rPr>
        <w:t>技术要求</w:t>
      </w:r>
      <w:r>
        <w:rPr>
          <w:rFonts w:hint="eastAsia" w:ascii="仿宋" w:hAnsi="仿宋" w:eastAsia="仿宋" w:cs="仿宋"/>
          <w:b/>
          <w:color w:val="auto"/>
          <w:kern w:val="2"/>
          <w:sz w:val="24"/>
          <w:szCs w:val="24"/>
          <w:highlight w:val="none"/>
        </w:rPr>
        <w:t>等实质性内容符合性审查，以确定其是否满足招标文件的实质性要求。</w:t>
      </w:r>
    </w:p>
    <w:p w14:paraId="4A2AE690">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2.符合性审查不通过而导致投标无效的情形</w:t>
      </w:r>
    </w:p>
    <w:p w14:paraId="12D6995E">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投标人的投标文件中存在对招标文件的任何实质性要求和条件的负偏离，将被视为投标无效。</w:t>
      </w:r>
    </w:p>
    <w:p w14:paraId="5205887F">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2.1在报价评审时，如发现下列情形之一的，将被视为投标无效：</w:t>
      </w:r>
    </w:p>
    <w:p w14:paraId="435F9787">
      <w:pPr>
        <w:pStyle w:val="7"/>
        <w:numPr>
          <w:ilvl w:val="0"/>
          <w:numId w:val="6"/>
        </w:numPr>
        <w:spacing w:line="360" w:lineRule="auto"/>
        <w:ind w:firstLine="458" w:firstLineChars="200"/>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报价文件未提供“投标人须知前附表”第13.1条规定中“必须提供”的文件资料的；</w:t>
      </w:r>
    </w:p>
    <w:p w14:paraId="36634EFC">
      <w:pPr>
        <w:pStyle w:val="7"/>
        <w:numPr>
          <w:ilvl w:val="0"/>
          <w:numId w:val="6"/>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未采用人民币报价或者未按照招标文件标明的币种报价的；</w:t>
      </w:r>
    </w:p>
    <w:p w14:paraId="67787330">
      <w:pPr>
        <w:pStyle w:val="7"/>
        <w:numPr>
          <w:ilvl w:val="0"/>
          <w:numId w:val="6"/>
        </w:numPr>
        <w:spacing w:line="360" w:lineRule="auto"/>
        <w:ind w:left="-2" w:firstLine="456"/>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各分标报价超出招标文件相应分标规定最高限价，或者超出相应分标采购预算金额的；</w:t>
      </w:r>
    </w:p>
    <w:p w14:paraId="0F00DE56">
      <w:pPr>
        <w:pStyle w:val="7"/>
        <w:numPr>
          <w:ilvl w:val="0"/>
          <w:numId w:val="6"/>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EC27067">
      <w:pPr>
        <w:pStyle w:val="7"/>
        <w:numPr>
          <w:ilvl w:val="0"/>
          <w:numId w:val="6"/>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修正后的报价，投标人不确认的；</w:t>
      </w:r>
    </w:p>
    <w:p w14:paraId="4ECB978F">
      <w:pPr>
        <w:pStyle w:val="7"/>
        <w:numPr>
          <w:ilvl w:val="0"/>
          <w:numId w:val="6"/>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投标人属于本章第5.1条（</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）或者第5.2条（2）项情形的。</w:t>
      </w:r>
    </w:p>
    <w:p w14:paraId="400BD1F0">
      <w:pPr>
        <w:pStyle w:val="7"/>
        <w:numPr>
          <w:ilvl w:val="0"/>
          <w:numId w:val="6"/>
        </w:numPr>
        <w:spacing w:line="360" w:lineRule="auto"/>
        <w:ind w:firstLine="458" w:firstLineChars="200"/>
        <w:rPr>
          <w:rFonts w:hint="eastAsia" w:ascii="仿宋" w:hAnsi="仿宋" w:eastAsia="仿宋" w:cs="仿宋"/>
          <w:b/>
          <w:color w:val="auto"/>
          <w:sz w:val="24"/>
          <w:szCs w:val="24"/>
          <w:highlight w:val="none"/>
        </w:rPr>
      </w:pPr>
      <w:r>
        <w:rPr>
          <w:rFonts w:hint="eastAsia" w:ascii="仿宋" w:hAnsi="仿宋" w:eastAsia="仿宋" w:cs="仿宋"/>
          <w:b/>
          <w:color w:val="auto"/>
          <w:spacing w:val="-6"/>
          <w:sz w:val="24"/>
          <w:szCs w:val="24"/>
          <w:highlight w:val="none"/>
        </w:rPr>
        <w:t>报价文件</w:t>
      </w:r>
      <w:r>
        <w:rPr>
          <w:rFonts w:hint="eastAsia" w:ascii="仿宋" w:hAnsi="仿宋" w:eastAsia="仿宋" w:cs="仿宋"/>
          <w:b/>
          <w:color w:val="auto"/>
          <w:sz w:val="24"/>
          <w:szCs w:val="24"/>
          <w:highlight w:val="none"/>
        </w:rPr>
        <w:t>响应的标的数量及单位与招标文件要求实质性不一致的。</w:t>
      </w:r>
    </w:p>
    <w:p w14:paraId="67ECA0B3">
      <w:pPr>
        <w:pStyle w:val="7"/>
        <w:numPr>
          <w:ilvl w:val="0"/>
          <w:numId w:val="6"/>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评标委员会根据《关于推动解决政府采购异常低价问题的通知》 财库〔2026〕2号</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按照本章5.1（3）</w:t>
      </w:r>
      <w:r>
        <w:rPr>
          <w:rFonts w:hint="eastAsia" w:ascii="仿宋" w:hAnsi="仿宋" w:eastAsia="仿宋" w:cs="仿宋"/>
          <w:b/>
          <w:color w:val="auto"/>
          <w:sz w:val="24"/>
          <w:szCs w:val="24"/>
          <w:highlight w:val="none"/>
        </w:rPr>
        <w:t>启动异常低价</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审查程序</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不能提供书面说明、证明材料，或者提供的书面说明、证明材料不能证明其报价合理性的</w:t>
      </w:r>
      <w:r>
        <w:rPr>
          <w:rFonts w:hint="eastAsia" w:ascii="仿宋" w:hAnsi="仿宋" w:eastAsia="仿宋" w:cs="仿宋"/>
          <w:b/>
          <w:color w:val="auto"/>
          <w:sz w:val="24"/>
          <w:szCs w:val="24"/>
          <w:highlight w:val="none"/>
          <w:lang w:eastAsia="zh-CN"/>
        </w:rPr>
        <w:t>。</w:t>
      </w:r>
    </w:p>
    <w:p w14:paraId="1BE1B0C9">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2.2在商务评审时，如发现下列情形之一的，将被视为投标无效：</w:t>
      </w:r>
    </w:p>
    <w:p w14:paraId="74841D1B">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投标文件未按招标文件要求签署、盖章的；</w:t>
      </w:r>
    </w:p>
    <w:p w14:paraId="01AC4525">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委托代理人未能出具有效身份证或者出具的身份证与授权委托书中的信息不符的； </w:t>
      </w:r>
    </w:p>
    <w:p w14:paraId="098294DF">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为无效投标保证金的或者未按照招标文件的规定提交投标保证金的；</w:t>
      </w:r>
    </w:p>
    <w:p w14:paraId="7DD4A620">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投标文件未提供“投标人须知前附表”第13.1条规定中“必须提供”或者“委托时必须提供”的文件资料的；</w:t>
      </w:r>
    </w:p>
    <w:p w14:paraId="16E214A9">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商务要求评审允许负偏离的条款数超过“投标人须知前附表”规定项数的；</w:t>
      </w:r>
    </w:p>
    <w:p w14:paraId="55E35E42">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投标文件的实质性内容未使用中文表述、使用计量单位不符合招标文件要求的；</w:t>
      </w:r>
    </w:p>
    <w:p w14:paraId="15F1A8AA">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投标文件中的文件资料因填写不齐全或者内容虚假或者出现其他情形而导致被评标委员会认定无效的；</w:t>
      </w:r>
    </w:p>
    <w:p w14:paraId="180D981E">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w:t>
      </w:r>
    </w:p>
    <w:p w14:paraId="32A1F09A">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属于投标人须知正文第9.2条情形的；</w:t>
      </w:r>
    </w:p>
    <w:p w14:paraId="54FDFB81">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投标文件标注的项目名称或者项目编号与招标文件标注的项目名称或者项目编号不一致的；</w:t>
      </w:r>
    </w:p>
    <w:p w14:paraId="5DD04636">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招标文件明确不允许分包，投标文件拟分包的；</w:t>
      </w:r>
    </w:p>
    <w:p w14:paraId="270A1310">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未响应招标文件实质性要求的；</w:t>
      </w:r>
    </w:p>
    <w:p w14:paraId="2372ACA4">
      <w:pPr>
        <w:numPr>
          <w:ilvl w:val="0"/>
          <w:numId w:val="7"/>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法律法规和招标文件规定的其他无效情形。</w:t>
      </w:r>
    </w:p>
    <w:p w14:paraId="0CE104CD">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2.3在</w:t>
      </w:r>
      <w:r>
        <w:rPr>
          <w:rFonts w:hint="eastAsia" w:ascii="仿宋" w:hAnsi="仿宋" w:eastAsia="仿宋" w:cs="仿宋"/>
          <w:color w:val="auto"/>
          <w:sz w:val="24"/>
          <w:highlight w:val="none"/>
          <w:lang w:eastAsia="zh-CN"/>
        </w:rPr>
        <w:t>技术要求</w:t>
      </w:r>
      <w:r>
        <w:rPr>
          <w:rFonts w:hint="eastAsia" w:ascii="仿宋" w:hAnsi="仿宋" w:eastAsia="仿宋" w:cs="仿宋"/>
          <w:color w:val="auto"/>
          <w:sz w:val="24"/>
          <w:highlight w:val="none"/>
        </w:rPr>
        <w:t>评审时，如发现下列情形之一的，将被视为投标无效：</w:t>
      </w:r>
    </w:p>
    <w:p w14:paraId="5B753912">
      <w:pPr>
        <w:pStyle w:val="19"/>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w:t>
      </w:r>
      <w:r>
        <w:rPr>
          <w:rFonts w:hint="eastAsia" w:ascii="仿宋" w:hAnsi="仿宋" w:eastAsia="仿宋" w:cs="仿宋"/>
          <w:b/>
          <w:color w:val="auto"/>
          <w:kern w:val="2"/>
          <w:sz w:val="24"/>
          <w:szCs w:val="24"/>
          <w:highlight w:val="none"/>
          <w:lang w:eastAsia="zh-CN"/>
        </w:rPr>
        <w:t>技术要求</w:t>
      </w:r>
      <w:r>
        <w:rPr>
          <w:rFonts w:hint="eastAsia" w:ascii="仿宋" w:hAnsi="仿宋" w:eastAsia="仿宋" w:cs="仿宋"/>
          <w:b/>
          <w:color w:val="auto"/>
          <w:kern w:val="2"/>
          <w:sz w:val="24"/>
          <w:szCs w:val="24"/>
          <w:highlight w:val="none"/>
        </w:rPr>
        <w:t>评审允许负偏离的条款数超过“投标人须知前附表”规定项数的；</w:t>
      </w:r>
    </w:p>
    <w:p w14:paraId="365223E9">
      <w:pPr>
        <w:pStyle w:val="19"/>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（2）投标文件未提供“投标人须知前附表”第13.1条规定中“必须提供”的文件资料的；</w:t>
      </w:r>
    </w:p>
    <w:p w14:paraId="00E6CF61">
      <w:pPr>
        <w:pStyle w:val="19"/>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（3）虚假投标，或者出现其他情形而导致被评标委员会认定无效的；</w:t>
      </w:r>
    </w:p>
    <w:p w14:paraId="173EBE57">
      <w:pPr>
        <w:pStyle w:val="19"/>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w:t>
      </w:r>
      <w:bookmarkStart w:id="138" w:name="_Hlk71706244"/>
      <w:r>
        <w:rPr>
          <w:rFonts w:hint="eastAsia" w:ascii="仿宋" w:hAnsi="仿宋" w:eastAsia="仿宋" w:cs="仿宋"/>
          <w:b/>
          <w:color w:val="auto"/>
          <w:kern w:val="2"/>
          <w:sz w:val="24"/>
          <w:szCs w:val="24"/>
          <w:highlight w:val="none"/>
        </w:rPr>
        <w:t>招标文件未载明允许提供备选（替代）投标方案或明确不允许提供备选（替代）投标方案时，投标人提供了备选（替代）投标方案的；</w:t>
      </w:r>
      <w:bookmarkEnd w:id="138"/>
    </w:p>
    <w:p w14:paraId="19296839">
      <w:pPr>
        <w:pStyle w:val="19"/>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（5）未响应招标文件实质性要求的。</w:t>
      </w:r>
    </w:p>
    <w:p w14:paraId="03EA9EFC">
      <w:pPr>
        <w:pStyle w:val="19"/>
        <w:snapToGrid w:val="0"/>
        <w:spacing w:after="120" w:line="360" w:lineRule="auto"/>
        <w:ind w:firstLine="472" w:firstLineChars="196"/>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4"/>
          <w:szCs w:val="24"/>
          <w:highlight w:val="none"/>
        </w:rPr>
        <w:t>2.4通过符合性审查的投标人不足3家，评标委员会不得继续评标，并出具评标报告。</w:t>
      </w:r>
    </w:p>
    <w:p w14:paraId="0E942994">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3.澄清补正</w:t>
      </w:r>
    </w:p>
    <w:p w14:paraId="615D1CC4">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AD31B0C">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4.投标文件修正</w:t>
      </w:r>
    </w:p>
    <w:p w14:paraId="77406C14">
      <w:pPr>
        <w:pStyle w:val="6"/>
        <w:keepNext w:val="0"/>
        <w:keepLines w:val="0"/>
        <w:numPr>
          <w:ilvl w:val="4"/>
          <w:numId w:val="0"/>
        </w:numPr>
        <w:spacing w:before="12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4.1投标文件报价出现前后不一致的，按照下列规定修正： </w:t>
      </w:r>
    </w:p>
    <w:p w14:paraId="2497FBDE">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（1）投标文件中开标一览表（报价表）内容与投标文件中相应内容不一致的，以开标一览表（报价表）为准；</w:t>
      </w:r>
    </w:p>
    <w:p w14:paraId="08934916">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223AA0D0">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（3）单价金额小数点或者百分比有明显错位的，以开标一览表的总价为准，并修改单价；</w:t>
      </w:r>
    </w:p>
    <w:p w14:paraId="1C07313C">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0E5F47B2">
      <w:pPr>
        <w:pStyle w:val="2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同时出现两种以上不一致的，按照以上（1）-（4）规定的顺序修正。修正后的报价经投标人确认后产生约束力，投标人不确认的，</w:t>
      </w:r>
      <w:r>
        <w:rPr>
          <w:rFonts w:hint="eastAsia" w:ascii="仿宋" w:hAnsi="仿宋" w:eastAsia="仿宋" w:cs="仿宋"/>
          <w:b/>
          <w:color w:val="auto"/>
          <w:kern w:val="2"/>
          <w:sz w:val="24"/>
          <w:szCs w:val="24"/>
          <w:highlight w:val="none"/>
        </w:rPr>
        <w:t>其投标无效</w:t>
      </w:r>
      <w:r>
        <w:rPr>
          <w:rFonts w:hint="eastAsia" w:ascii="仿宋" w:hAnsi="仿宋" w:eastAsia="仿宋" w:cs="仿宋"/>
          <w:color w:val="auto"/>
          <w:sz w:val="24"/>
          <w:szCs w:val="24"/>
          <w:highlight w:val="none"/>
        </w:rPr>
        <w:t>。</w:t>
      </w:r>
    </w:p>
    <w:p w14:paraId="61689EEC">
      <w:pPr>
        <w:pStyle w:val="6"/>
        <w:keepNext w:val="0"/>
        <w:keepLines w:val="0"/>
        <w:spacing w:before="12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4.2经投标人确认修正后的报价若超过采购预算金额或者最高限价，</w:t>
      </w:r>
      <w:r>
        <w:rPr>
          <w:rFonts w:hint="eastAsia" w:ascii="仿宋" w:hAnsi="仿宋" w:eastAsia="仿宋" w:cs="仿宋"/>
          <w:color w:val="auto"/>
          <w:sz w:val="24"/>
          <w:highlight w:val="none"/>
        </w:rPr>
        <w:t>投标人的投标文件作无效投标处理</w:t>
      </w:r>
      <w:r>
        <w:rPr>
          <w:rFonts w:hint="eastAsia" w:ascii="仿宋" w:hAnsi="仿宋" w:eastAsia="仿宋" w:cs="仿宋"/>
          <w:b w:val="0"/>
          <w:color w:val="auto"/>
          <w:sz w:val="24"/>
          <w:highlight w:val="none"/>
        </w:rPr>
        <w:t>。</w:t>
      </w:r>
    </w:p>
    <w:p w14:paraId="1B53BEA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4.3经投标人确认修正后的报价作为签订合同的依据，并以此报价计算价格分。</w:t>
      </w:r>
    </w:p>
    <w:p w14:paraId="74AB3DBA">
      <w:pPr>
        <w:pStyle w:val="6"/>
        <w:keepNext w:val="0"/>
        <w:keepLines w:val="0"/>
        <w:spacing w:before="120" w:after="0" w:line="360" w:lineRule="auto"/>
        <w:ind w:left="420" w:leftChars="20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5.比较与评价</w:t>
      </w:r>
    </w:p>
    <w:p w14:paraId="14407C9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5.1采用综合评分法的</w:t>
      </w:r>
    </w:p>
    <w:p w14:paraId="1FF77A3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（1）评标委员会按照招标文件中规定的评标方法及评标标准，对符合性审查合格的投标文件进行商务和技术评估，综合比较与评价。</w:t>
      </w:r>
    </w:p>
    <w:p w14:paraId="242B7A6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（2）评标委员会独立对每个投标人的投标文件进行评价，并汇总每个投标人的得分。</w:t>
      </w:r>
    </w:p>
    <w:p w14:paraId="59C58932">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b w:val="0"/>
          <w:bCs/>
          <w:color w:val="auto"/>
          <w:sz w:val="24"/>
          <w:highlight w:val="none"/>
          <w:lang w:val="en-US" w:eastAsia="zh-CN"/>
        </w:rPr>
        <w:t>根据《</w:t>
      </w:r>
      <w:bookmarkStart w:id="139" w:name="_Toc17599"/>
      <w:bookmarkStart w:id="140" w:name="_Toc30593"/>
      <w:r>
        <w:rPr>
          <w:rFonts w:hint="eastAsia" w:ascii="仿宋" w:hAnsi="仿宋" w:eastAsia="仿宋" w:cs="仿宋"/>
          <w:b w:val="0"/>
          <w:bCs/>
          <w:color w:val="auto"/>
          <w:sz w:val="24"/>
          <w:highlight w:val="none"/>
          <w:lang w:val="en-US" w:eastAsia="zh-CN"/>
        </w:rPr>
        <w:t>关于推动解决政府采购异常低价问题的通知</w:t>
      </w:r>
      <w:bookmarkEnd w:id="139"/>
      <w:bookmarkEnd w:id="140"/>
      <w:r>
        <w:rPr>
          <w:rFonts w:hint="eastAsia" w:ascii="仿宋" w:hAnsi="仿宋" w:eastAsia="仿宋" w:cs="仿宋"/>
          <w:b w:val="0"/>
          <w:bCs/>
          <w:color w:val="auto"/>
          <w:sz w:val="24"/>
          <w:highlight w:val="none"/>
          <w:lang w:val="en-US" w:eastAsia="zh-CN"/>
        </w:rPr>
        <w:t>》 财库〔2026〕2号</w:t>
      </w:r>
      <w:r>
        <w:rPr>
          <w:rFonts w:hint="eastAsia" w:ascii="仿宋" w:hAnsi="仿宋" w:eastAsia="仿宋" w:cs="仿宋"/>
          <w:b w:val="0"/>
          <w:bCs/>
          <w:color w:val="auto"/>
          <w:sz w:val="24"/>
          <w:highlight w:val="none"/>
        </w:rPr>
        <w:t>，政府采购评审中出现下列情形之一的，评审委员会应当启动异常低价</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审查程序：</w:t>
      </w:r>
    </w:p>
    <w:p w14:paraId="54FF5980">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①</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报价</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全部通过符合性审查供应商</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报价平均值×50%；</w:t>
      </w:r>
    </w:p>
    <w:p w14:paraId="1F0C9932">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②</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报价</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通过符合性审查的次低报价供应商</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报价×50%；</w:t>
      </w:r>
    </w:p>
    <w:p w14:paraId="236DBE3F">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③</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报价</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采购项目最高限价×45%；</w:t>
      </w:r>
    </w:p>
    <w:p w14:paraId="7A2AA6BD">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④</w:t>
      </w:r>
      <w:r>
        <w:rPr>
          <w:rFonts w:hint="eastAsia" w:ascii="仿宋" w:hAnsi="仿宋" w:eastAsia="仿宋" w:cs="仿宋"/>
          <w:b w:val="0"/>
          <w:bCs/>
          <w:color w:val="auto"/>
          <w:sz w:val="24"/>
          <w:highlight w:val="none"/>
        </w:rPr>
        <w:t>评审委员会基于专业判断，认为供应商报价过低，有可能影响</w:t>
      </w:r>
      <w:r>
        <w:rPr>
          <w:rFonts w:hint="eastAsia" w:ascii="仿宋" w:hAnsi="仿宋" w:eastAsia="仿宋" w:cs="仿宋"/>
          <w:b w:val="0"/>
          <w:bCs/>
          <w:color w:val="auto"/>
          <w:sz w:val="24"/>
          <w:highlight w:val="none"/>
          <w:lang w:eastAsia="zh-CN"/>
        </w:rPr>
        <w:t>服务质量</w:t>
      </w:r>
      <w:r>
        <w:rPr>
          <w:rFonts w:hint="eastAsia" w:ascii="仿宋" w:hAnsi="仿宋" w:eastAsia="仿宋" w:cs="仿宋"/>
          <w:b w:val="0"/>
          <w:bCs/>
          <w:color w:val="auto"/>
          <w:sz w:val="24"/>
          <w:highlight w:val="none"/>
        </w:rPr>
        <w:t>或者不能诚信履约的其他情形。</w:t>
      </w:r>
    </w:p>
    <w:p w14:paraId="223DC8A2">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评审委员会启动异常低价</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审查后，属于前述第</w:t>
      </w:r>
      <w:r>
        <w:rPr>
          <w:rFonts w:hint="eastAsia" w:ascii="仿宋" w:hAnsi="仿宋" w:eastAsia="仿宋" w:cs="仿宋"/>
          <w:b w:val="0"/>
          <w:bCs/>
          <w:color w:val="auto"/>
          <w:sz w:val="24"/>
          <w:highlight w:val="none"/>
          <w:lang w:val="en-US" w:eastAsia="zh-CN"/>
        </w:rPr>
        <w:t>①</w:t>
      </w:r>
      <w:r>
        <w:rPr>
          <w:rFonts w:hint="eastAsia" w:ascii="仿宋" w:hAnsi="仿宋" w:eastAsia="仿宋" w:cs="仿宋"/>
          <w:b w:val="0"/>
          <w:bCs/>
          <w:color w:val="auto"/>
          <w:sz w:val="24"/>
          <w:highlight w:val="none"/>
        </w:rPr>
        <w:t>项至第</w:t>
      </w:r>
      <w:r>
        <w:rPr>
          <w:rFonts w:hint="eastAsia" w:ascii="仿宋" w:hAnsi="仿宋" w:eastAsia="仿宋" w:cs="仿宋"/>
          <w:b w:val="0"/>
          <w:bCs/>
          <w:color w:val="auto"/>
          <w:sz w:val="24"/>
          <w:highlight w:val="none"/>
          <w:lang w:val="en-US" w:eastAsia="zh-CN"/>
        </w:rPr>
        <w:t>④</w:t>
      </w:r>
      <w:r>
        <w:rPr>
          <w:rFonts w:hint="eastAsia" w:ascii="仿宋" w:hAnsi="仿宋" w:eastAsia="仿宋" w:cs="仿宋"/>
          <w:b w:val="0"/>
          <w:bCs/>
          <w:color w:val="auto"/>
          <w:sz w:val="24"/>
          <w:highlight w:val="none"/>
        </w:rPr>
        <w:t>项情形的，应当要求相关供应商在合理的时间内</w:t>
      </w:r>
      <w:r>
        <w:rPr>
          <w:rFonts w:hint="eastAsia" w:ascii="仿宋" w:hAnsi="仿宋" w:eastAsia="仿宋" w:cs="仿宋"/>
          <w:b w:val="0"/>
          <w:bCs/>
          <w:color w:val="auto"/>
          <w:sz w:val="24"/>
          <w:highlight w:val="none"/>
          <w:lang w:val="en-US" w:eastAsia="zh-CN"/>
        </w:rPr>
        <w:t>于广西政府采购云平台线上</w:t>
      </w:r>
      <w:r>
        <w:rPr>
          <w:rFonts w:hint="eastAsia" w:ascii="仿宋" w:hAnsi="仿宋" w:eastAsia="仿宋" w:cs="仿宋"/>
          <w:b w:val="0"/>
          <w:bCs/>
          <w:color w:val="auto"/>
          <w:sz w:val="24"/>
          <w:highlight w:val="none"/>
        </w:rPr>
        <w:t>对</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hAnsi="仿宋" w:eastAsia="仿宋" w:cs="仿宋"/>
          <w:b w:val="0"/>
          <w:bCs/>
          <w:color w:val="auto"/>
          <w:sz w:val="24"/>
          <w:highlight w:val="none"/>
          <w:lang w:val="en-US" w:eastAsia="zh-CN"/>
        </w:rPr>
        <w:t>③</w:t>
      </w:r>
      <w:r>
        <w:rPr>
          <w:rFonts w:hint="eastAsia" w:ascii="仿宋" w:hAnsi="仿宋" w:eastAsia="仿宋" w:cs="仿宋"/>
          <w:b w:val="0"/>
          <w:bCs/>
          <w:color w:val="auto"/>
          <w:sz w:val="24"/>
          <w:highlight w:val="none"/>
        </w:rPr>
        <w:t>项情形，供应商已随</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文件一并提交相关书面说明及必要的证明材料的，在评审现场可不再重复提交。</w:t>
      </w:r>
    </w:p>
    <w:p w14:paraId="05D99691">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b/>
          <w:bCs w:val="0"/>
          <w:color w:val="auto"/>
          <w:sz w:val="24"/>
          <w:highlight w:val="none"/>
          <w:lang w:eastAsia="zh-CN"/>
        </w:rPr>
        <w:t>投标人</w:t>
      </w:r>
      <w:r>
        <w:rPr>
          <w:rFonts w:hint="eastAsia" w:ascii="仿宋" w:hAnsi="仿宋" w:eastAsia="仿宋" w:cs="仿宋"/>
          <w:b/>
          <w:bCs w:val="0"/>
          <w:color w:val="auto"/>
          <w:sz w:val="24"/>
          <w:highlight w:val="none"/>
        </w:rPr>
        <w:t>不能提供书面说明、证明材料，或者提供的书面说明、证明材料不能证明其报价合理性的，评审委员会应当将其作为无效</w:t>
      </w:r>
      <w:r>
        <w:rPr>
          <w:rFonts w:hint="eastAsia" w:ascii="仿宋" w:hAnsi="仿宋" w:eastAsia="仿宋" w:cs="仿宋"/>
          <w:b/>
          <w:bCs w:val="0"/>
          <w:color w:val="auto"/>
          <w:sz w:val="24"/>
          <w:highlight w:val="none"/>
          <w:lang w:eastAsia="zh-CN"/>
        </w:rPr>
        <w:t>投标</w:t>
      </w:r>
      <w:r>
        <w:rPr>
          <w:rFonts w:hint="eastAsia" w:ascii="仿宋" w:hAnsi="仿宋" w:eastAsia="仿宋" w:cs="仿宋"/>
          <w:b/>
          <w:bCs w:val="0"/>
          <w:color w:val="auto"/>
          <w:sz w:val="24"/>
          <w:highlight w:val="none"/>
        </w:rPr>
        <w:t>处理。</w:t>
      </w:r>
    </w:p>
    <w:p w14:paraId="2C11CFD8">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C8A7063">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异常低价</w:t>
      </w:r>
      <w:r>
        <w:rPr>
          <w:rFonts w:hint="eastAsia" w:ascii="仿宋" w:hAnsi="仿宋" w:eastAsia="仿宋" w:cs="仿宋"/>
          <w:b w:val="0"/>
          <w:bCs/>
          <w:color w:val="auto"/>
          <w:sz w:val="24"/>
          <w:highlight w:val="none"/>
          <w:lang w:eastAsia="zh-CN"/>
        </w:rPr>
        <w:t>投标</w:t>
      </w:r>
      <w:r>
        <w:rPr>
          <w:rFonts w:hint="eastAsia" w:ascii="仿宋" w:hAnsi="仿宋" w:eastAsia="仿宋" w:cs="仿宋"/>
          <w:b w:val="0"/>
          <w:bCs/>
          <w:color w:val="auto"/>
          <w:sz w:val="24"/>
          <w:highlight w:val="none"/>
        </w:rPr>
        <w:t>审查的启动原因、审查意见和审查结果应当在评审报告中记录，并随供应商提供的相关书面说明及证明材料，以及评审委员会有关互联网浏览、查询历史一并归档。</w:t>
      </w:r>
    </w:p>
    <w:p w14:paraId="1D7A886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）评标委员会按照招标文件中规定的评标方法和标准计算各投标人的报价得分。在计算过程中，不得去掉最高报价或者最低报价。</w:t>
      </w:r>
    </w:p>
    <w:p w14:paraId="4D97D0A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）各投标人的得分为所有评委的有效评分的算术平均数。</w:t>
      </w:r>
    </w:p>
    <w:p w14:paraId="0C42228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）评标委员会按照招标文件中的规定推荐中标候选人。</w:t>
      </w:r>
    </w:p>
    <w:p w14:paraId="507941F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1E5C09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5.2采用最低评标价法的</w:t>
      </w:r>
    </w:p>
    <w:p w14:paraId="0989E8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（1）评标委员会按照招标文件中规定的评标方法及评标标准，对符合性审查合格的投标文件报价进行比较。</w:t>
      </w:r>
    </w:p>
    <w:p w14:paraId="63AAF823">
      <w:pPr>
        <w:snapToGrid w:val="0"/>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（2）评标委员会认为投标人的报价明显低于其他通过符合性审查投标人的报价，有可能影响</w:t>
      </w:r>
      <w:r>
        <w:rPr>
          <w:rFonts w:hint="eastAsia" w:ascii="仿宋" w:hAnsi="仿宋" w:eastAsia="仿宋" w:cs="仿宋"/>
          <w:color w:val="auto"/>
          <w:sz w:val="24"/>
          <w:highlight w:val="none"/>
          <w:lang w:eastAsia="zh-CN"/>
        </w:rPr>
        <w:t>服务质量</w:t>
      </w:r>
      <w:r>
        <w:rPr>
          <w:rFonts w:hint="eastAsia" w:ascii="仿宋" w:hAnsi="仿宋" w:eastAsia="仿宋" w:cs="仿宋"/>
          <w:color w:val="auto"/>
          <w:sz w:val="24"/>
          <w:highlight w:val="none"/>
        </w:rPr>
        <w:t>或者不能诚信履约的，应当</w:t>
      </w:r>
      <w:r>
        <w:rPr>
          <w:rFonts w:hint="eastAsia" w:ascii="仿宋" w:hAnsi="仿宋" w:eastAsia="仿宋" w:cs="仿宋"/>
          <w:color w:val="auto"/>
          <w:sz w:val="24"/>
          <w:highlight w:val="none"/>
          <w:lang w:val="en-US" w:eastAsia="zh-CN"/>
        </w:rPr>
        <w:t>按照第5.1（3）启动异常低价投标审查程序</w:t>
      </w:r>
      <w:r>
        <w:rPr>
          <w:rFonts w:hint="eastAsia" w:ascii="仿宋" w:hAnsi="仿宋" w:eastAsia="仿宋" w:cs="仿宋"/>
          <w:color w:val="auto"/>
          <w:sz w:val="24"/>
          <w:highlight w:val="none"/>
        </w:rPr>
        <w:t>；投标人不能证明其报价合理性的，评标委员会将其作为无效投标处理。</w:t>
      </w:r>
    </w:p>
    <w:p w14:paraId="2C3647FA">
      <w:pPr>
        <w:snapToGrid w:val="0"/>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（3）评标委员会按照招标文件中的规定推荐中标候选人。</w:t>
      </w:r>
    </w:p>
    <w:p w14:paraId="775A3AE7">
      <w:pPr>
        <w:snapToGrid w:val="0"/>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8076610">
      <w:pPr>
        <w:snapToGrid w:val="0"/>
        <w:spacing w:line="360" w:lineRule="auto"/>
        <w:ind w:firstLine="424" w:firstLineChars="202"/>
        <w:jc w:val="center"/>
        <w:rPr>
          <w:rFonts w:hint="eastAsia" w:ascii="仿宋" w:hAnsi="仿宋" w:eastAsia="仿宋" w:cs="仿宋"/>
          <w:color w:val="auto"/>
          <w:szCs w:val="21"/>
          <w:highlight w:val="none"/>
        </w:rPr>
      </w:pPr>
    </w:p>
    <w:p w14:paraId="4357857B">
      <w:pPr>
        <w:rPr>
          <w:rFonts w:hint="eastAsia" w:ascii="仿宋" w:hAnsi="仿宋" w:eastAsia="仿宋" w:cs="仿宋"/>
          <w:b/>
          <w:bCs/>
          <w:color w:val="auto"/>
          <w:sz w:val="32"/>
          <w:szCs w:val="32"/>
          <w:highlight w:val="none"/>
        </w:rPr>
      </w:pPr>
      <w:bookmarkStart w:id="141" w:name="_Hlk71707917"/>
      <w:r>
        <w:rPr>
          <w:rFonts w:hint="eastAsia" w:ascii="仿宋" w:hAnsi="仿宋" w:eastAsia="仿宋" w:cs="仿宋"/>
          <w:b/>
          <w:bCs/>
          <w:color w:val="auto"/>
          <w:sz w:val="32"/>
          <w:szCs w:val="32"/>
          <w:highlight w:val="none"/>
        </w:rPr>
        <w:br w:type="page"/>
      </w:r>
    </w:p>
    <w:p w14:paraId="2C5DA958">
      <w:pPr>
        <w:snapToGrid w:val="0"/>
        <w:spacing w:line="360" w:lineRule="auto"/>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rPr>
        <w:t>三、评标标准</w:t>
      </w:r>
    </w:p>
    <w:p w14:paraId="35E0E10D">
      <w:pPr>
        <w:pStyle w:val="4"/>
        <w:rPr>
          <w:rFonts w:hint="eastAsia" w:ascii="仿宋" w:hAnsi="仿宋" w:eastAsia="仿宋" w:cs="仿宋"/>
          <w:color w:val="auto"/>
          <w:highlight w:val="none"/>
          <w:lang w:eastAsia="zh-CN"/>
        </w:rPr>
      </w:pPr>
      <w:r>
        <w:rPr>
          <w:rFonts w:hint="eastAsia" w:ascii="仿宋" w:hAnsi="仿宋" w:eastAsia="仿宋" w:cs="仿宋"/>
          <w:color w:val="auto"/>
          <w:kern w:val="2"/>
          <w:highlight w:val="none"/>
        </w:rPr>
        <w:t>综合评分</w:t>
      </w:r>
      <w:r>
        <w:rPr>
          <w:rFonts w:hint="eastAsia" w:ascii="仿宋" w:hAnsi="仿宋" w:eastAsia="仿宋" w:cs="仿宋"/>
          <w:color w:val="auto"/>
          <w:highlight w:val="none"/>
        </w:rPr>
        <w:t>法</w:t>
      </w:r>
    </w:p>
    <w:bookmarkEnd w:id="141"/>
    <w:p w14:paraId="1F8C91D1">
      <w:pPr>
        <w:pStyle w:val="22"/>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注：1.计分方法按四舍五入取至百分位；</w:t>
      </w:r>
    </w:p>
    <w:p w14:paraId="192C573E">
      <w:pPr>
        <w:pStyle w:val="22"/>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因落实政府采购政策进行价格调整的，以调整后的价格计算评标基准价和投标报价。</w:t>
      </w:r>
    </w:p>
    <w:p w14:paraId="3614FBDA">
      <w:pPr>
        <w:pStyle w:val="51"/>
        <w:numPr>
          <w:ilvl w:val="255"/>
          <w:numId w:val="0"/>
        </w:numPr>
        <w:ind w:firstLine="200"/>
        <w:rPr>
          <w:rFonts w:hint="eastAsia" w:ascii="仿宋" w:hAnsi="仿宋" w:eastAsia="仿宋" w:cs="仿宋"/>
          <w:bCs/>
          <w:color w:val="auto"/>
          <w:sz w:val="24"/>
          <w:highlight w:val="none"/>
        </w:rPr>
      </w:pPr>
    </w:p>
    <w:tbl>
      <w:tblPr>
        <w:tblStyle w:val="4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1134"/>
        <w:gridCol w:w="6804"/>
      </w:tblGrid>
      <w:tr w14:paraId="40A6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525059">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94E70">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w:t>
            </w:r>
          </w:p>
          <w:p w14:paraId="6E3323BC">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因素</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3D165">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1分标2分标适用</w:t>
            </w:r>
            <w:r>
              <w:rPr>
                <w:rFonts w:hint="eastAsia" w:ascii="仿宋" w:hAnsi="仿宋" w:eastAsia="仿宋" w:cs="仿宋"/>
                <w:b/>
                <w:color w:val="auto"/>
                <w:sz w:val="24"/>
                <w:szCs w:val="24"/>
                <w:highlight w:val="none"/>
                <w:lang w:eastAsia="zh-CN"/>
              </w:rPr>
              <w:t>）</w:t>
            </w:r>
          </w:p>
        </w:tc>
      </w:tr>
      <w:tr w14:paraId="2ADC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3D3E0">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3E184">
            <w:pPr>
              <w:adjustRightInd w:val="0"/>
              <w:spacing w:line="360" w:lineRule="auto"/>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价格分</w:t>
            </w:r>
          </w:p>
          <w:p w14:paraId="6E94D961">
            <w:pPr>
              <w:adjustRightInd w:val="0"/>
              <w:spacing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（20分）</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C735E">
            <w:pPr>
              <w:adjustRightInd w:val="0"/>
              <w:spacing w:line="360" w:lineRule="auto"/>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w:t>
            </w:r>
          </w:p>
          <w:p w14:paraId="7E896942">
            <w:pPr>
              <w:adjustRightInd w:val="0"/>
              <w:spacing w:line="360" w:lineRule="auto"/>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w:t>
            </w:r>
          </w:p>
          <w:p w14:paraId="45C898FE">
            <w:pPr>
              <w:adjustRightInd w:val="0"/>
              <w:spacing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（满分20分）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EF85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1.本项目1和2分标专门面向中小企业采购，不再执行政策价格扣除。评审价=投标报价。</w:t>
            </w:r>
          </w:p>
          <w:p w14:paraId="2479593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2.以进入比较与评价环节的最低投标报价为基准价，基准价得20 分。</w:t>
            </w:r>
          </w:p>
          <w:p w14:paraId="35765A5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3.价格分计算公式：</w:t>
            </w:r>
          </w:p>
          <w:p w14:paraId="34F7455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某投标人价格分=基准价/某投标人投标报价×20分。</w:t>
            </w:r>
          </w:p>
        </w:tc>
      </w:tr>
      <w:tr w14:paraId="2F42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0512D4">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4939926">
            <w:pPr>
              <w:adjustRightInd w:val="0"/>
              <w:spacing w:line="360" w:lineRule="auto"/>
              <w:ind w:left="-105" w:leftChars="-50" w:right="-105" w:rightChars="-50"/>
              <w:jc w:val="center"/>
              <w:textAlignment w:val="baseline"/>
              <w:rPr>
                <w:rFonts w:hint="eastAsia" w:ascii="仿宋" w:hAnsi="仿宋" w:eastAsia="仿宋" w:cs="仿宋"/>
                <w:color w:val="auto"/>
                <w:spacing w:val="-18"/>
                <w:sz w:val="24"/>
                <w:szCs w:val="24"/>
                <w:highlight w:val="none"/>
              </w:rPr>
            </w:pPr>
            <w:r>
              <w:rPr>
                <w:rFonts w:hint="eastAsia" w:ascii="仿宋" w:hAnsi="仿宋" w:eastAsia="仿宋" w:cs="仿宋"/>
                <w:b/>
                <w:color w:val="auto"/>
                <w:sz w:val="24"/>
                <w:highlight w:val="none"/>
              </w:rPr>
              <w:t>技术方案分（满分</w:t>
            </w:r>
            <w:r>
              <w:rPr>
                <w:rFonts w:hint="eastAsia" w:ascii="仿宋" w:hAnsi="仿宋" w:eastAsia="仿宋" w:cs="仿宋"/>
                <w:b/>
                <w:color w:val="auto"/>
                <w:sz w:val="24"/>
                <w:highlight w:val="none"/>
                <w:lang w:val="en-US" w:eastAsia="zh-CN"/>
              </w:rPr>
              <w:t>54</w:t>
            </w:r>
            <w:r>
              <w:rPr>
                <w:rFonts w:hint="eastAsia" w:ascii="仿宋" w:hAnsi="仿宋" w:eastAsia="仿宋" w:cs="仿宋"/>
                <w:b/>
                <w:color w:val="auto"/>
                <w:sz w:val="24"/>
                <w:highlight w:val="none"/>
              </w:rPr>
              <w:t>分）</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09353">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卫星投入及数据保障能力（满分</w:t>
            </w:r>
            <w:r>
              <w:rPr>
                <w:rFonts w:hint="eastAsia" w:ascii="仿宋" w:hAnsi="仿宋" w:eastAsia="仿宋" w:cs="仿宋"/>
                <w:b/>
                <w:color w:val="auto"/>
                <w:sz w:val="24"/>
                <w:highlight w:val="none"/>
                <w:lang w:val="en-US" w:eastAsia="zh-CN"/>
              </w:rPr>
              <w:t>18</w:t>
            </w:r>
            <w:r>
              <w:rPr>
                <w:rFonts w:hint="eastAsia" w:ascii="仿宋" w:hAnsi="仿宋" w:eastAsia="仿宋" w:cs="仿宋"/>
                <w:b/>
                <w:color w:val="auto"/>
                <w:sz w:val="24"/>
                <w:highlight w:val="none"/>
              </w:rPr>
              <w:t>分）</w:t>
            </w:r>
          </w:p>
          <w:p w14:paraId="396BCEE9">
            <w:pPr>
              <w:adjustRightInd w:val="0"/>
              <w:snapToGrid w:val="0"/>
              <w:spacing w:line="360" w:lineRule="auto"/>
              <w:rPr>
                <w:rFonts w:hint="eastAsia" w:ascii="仿宋" w:hAnsi="仿宋" w:eastAsia="仿宋" w:cs="仿宋"/>
                <w:b/>
                <w:color w:val="auto"/>
                <w:sz w:val="24"/>
                <w:szCs w:val="24"/>
                <w:highlight w:val="none"/>
              </w:rPr>
            </w:pP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46DB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针对本项目0.3米分辨率立体卫星影像范围投入的正常在轨运行卫星数量，同时具有同轨两立体和同轨三立体采集能力的卫星每颗得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分，满分</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分。</w:t>
            </w:r>
          </w:p>
          <w:p w14:paraId="216425D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为保障数据质量的稳定性，投入的卫星须是自发射之日起算，正常在轨运行一年以上的卫星。</w:t>
            </w:r>
          </w:p>
          <w:p w14:paraId="200D387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文件中需提供相关卫星的参数说明文件、以及拟投入的全部卫星源来源合法，如卫星数据源为投标人所有须提供所有权或运营权材料并加盖公章，如卫星数据源不为投标人所有，须提供卫星数据原厂商技术支持的有效证明材料并加盖投标人公章，否则不计分。</w:t>
            </w:r>
          </w:p>
        </w:tc>
      </w:tr>
      <w:tr w14:paraId="3A28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F992C3">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162060">
            <w:pPr>
              <w:adjustRightInd w:val="0"/>
              <w:spacing w:line="360" w:lineRule="auto"/>
              <w:ind w:left="-105" w:leftChars="-50" w:right="-105" w:rightChars="-50"/>
              <w:jc w:val="center"/>
              <w:textAlignment w:val="baseline"/>
              <w:rPr>
                <w:rFonts w:hint="eastAsia" w:ascii="仿宋" w:hAnsi="仿宋" w:eastAsia="仿宋" w:cs="仿宋"/>
                <w:b/>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FB4B4">
            <w:pPr>
              <w:adjustRightInd w:val="0"/>
              <w:snapToGrid w:val="0"/>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color w:val="auto"/>
                <w:sz w:val="24"/>
                <w:highlight w:val="none"/>
              </w:rPr>
              <w:t>数据采集方案（满分1</w:t>
            </w: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470CB6">
            <w:pPr>
              <w:spacing w:line="360" w:lineRule="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未提供的不得分。</w:t>
            </w:r>
          </w:p>
          <w:p w14:paraId="438D3681">
            <w:pPr>
              <w:spacing w:line="360" w:lineRule="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一档（</w:t>
            </w:r>
            <w:r>
              <w:rPr>
                <w:rFonts w:hint="eastAsia" w:ascii="仿宋" w:hAnsi="仿宋" w:eastAsia="仿宋" w:cs="仿宋"/>
                <w:color w:val="auto"/>
                <w:sz w:val="24"/>
                <w:highlight w:val="none"/>
                <w:lang w:val="en-US" w:bidi="zh-CN"/>
              </w:rPr>
              <w:t>5</w:t>
            </w:r>
            <w:r>
              <w:rPr>
                <w:rFonts w:hint="eastAsia" w:ascii="仿宋" w:hAnsi="仿宋" w:eastAsia="仿宋" w:cs="仿宋"/>
                <w:color w:val="auto"/>
                <w:sz w:val="24"/>
                <w:highlight w:val="none"/>
                <w:lang w:bidi="zh-CN"/>
              </w:rPr>
              <w:t>分）：作业流程</w:t>
            </w:r>
            <w:r>
              <w:rPr>
                <w:rFonts w:hint="eastAsia" w:ascii="仿宋" w:hAnsi="仿宋" w:eastAsia="仿宋" w:cs="仿宋"/>
                <w:color w:val="auto"/>
                <w:sz w:val="24"/>
                <w:highlight w:val="none"/>
                <w:lang w:val="en-US" w:bidi="zh-CN"/>
              </w:rPr>
              <w:t>及</w:t>
            </w:r>
            <w:r>
              <w:rPr>
                <w:rFonts w:hint="eastAsia" w:ascii="仿宋" w:hAnsi="仿宋" w:eastAsia="仿宋" w:cs="仿宋"/>
                <w:color w:val="auto"/>
                <w:sz w:val="24"/>
                <w:highlight w:val="none"/>
                <w:lang w:bidi="zh-CN"/>
              </w:rPr>
              <w:t>规范</w:t>
            </w:r>
            <w:r>
              <w:rPr>
                <w:rFonts w:hint="eastAsia" w:ascii="仿宋" w:hAnsi="仿宋" w:eastAsia="仿宋" w:cs="仿宋"/>
                <w:color w:val="auto"/>
                <w:sz w:val="24"/>
                <w:highlight w:val="none"/>
                <w:lang w:val="en-US" w:bidi="zh-CN"/>
              </w:rPr>
              <w:t>清晰，符合项目实施要求</w:t>
            </w:r>
            <w:r>
              <w:rPr>
                <w:rFonts w:hint="eastAsia" w:ascii="仿宋" w:hAnsi="仿宋" w:eastAsia="仿宋" w:cs="仿宋"/>
                <w:color w:val="auto"/>
                <w:sz w:val="24"/>
                <w:highlight w:val="none"/>
                <w:lang w:bidi="zh-CN"/>
              </w:rPr>
              <w:t>。</w:t>
            </w:r>
          </w:p>
          <w:p w14:paraId="6F7D1818">
            <w:pPr>
              <w:spacing w:line="360" w:lineRule="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二档（</w:t>
            </w:r>
            <w:r>
              <w:rPr>
                <w:rFonts w:hint="eastAsia" w:ascii="仿宋" w:hAnsi="仿宋" w:eastAsia="仿宋" w:cs="仿宋"/>
                <w:color w:val="auto"/>
                <w:sz w:val="24"/>
                <w:highlight w:val="none"/>
                <w:lang w:val="en-US" w:bidi="zh-CN"/>
              </w:rPr>
              <w:t>11</w:t>
            </w:r>
            <w:r>
              <w:rPr>
                <w:rFonts w:hint="eastAsia" w:ascii="仿宋" w:hAnsi="仿宋" w:eastAsia="仿宋" w:cs="仿宋"/>
                <w:color w:val="auto"/>
                <w:sz w:val="24"/>
                <w:highlight w:val="none"/>
                <w:lang w:bidi="zh-CN"/>
              </w:rPr>
              <w:t>分）：作业流程</w:t>
            </w:r>
            <w:r>
              <w:rPr>
                <w:rFonts w:hint="eastAsia" w:ascii="仿宋" w:hAnsi="仿宋" w:eastAsia="仿宋" w:cs="仿宋"/>
                <w:color w:val="auto"/>
                <w:sz w:val="24"/>
                <w:highlight w:val="none"/>
                <w:lang w:val="en-US" w:bidi="zh-CN"/>
              </w:rPr>
              <w:t>及</w:t>
            </w:r>
            <w:r>
              <w:rPr>
                <w:rFonts w:hint="eastAsia" w:ascii="仿宋" w:hAnsi="仿宋" w:eastAsia="仿宋" w:cs="仿宋"/>
                <w:color w:val="auto"/>
                <w:sz w:val="24"/>
                <w:highlight w:val="none"/>
                <w:lang w:bidi="zh-CN"/>
              </w:rPr>
              <w:t>规范</w:t>
            </w:r>
            <w:r>
              <w:rPr>
                <w:rFonts w:hint="eastAsia" w:ascii="仿宋" w:hAnsi="仿宋" w:eastAsia="仿宋" w:cs="仿宋"/>
                <w:color w:val="auto"/>
                <w:sz w:val="24"/>
                <w:highlight w:val="none"/>
                <w:lang w:val="en-US" w:bidi="zh-CN"/>
              </w:rPr>
              <w:t>详细，内容正确且符合项目实施要求</w:t>
            </w:r>
            <w:r>
              <w:rPr>
                <w:rFonts w:hint="eastAsia" w:ascii="仿宋" w:hAnsi="仿宋" w:eastAsia="仿宋" w:cs="仿宋"/>
                <w:color w:val="auto"/>
                <w:sz w:val="24"/>
                <w:highlight w:val="none"/>
                <w:lang w:bidi="zh-CN"/>
              </w:rPr>
              <w:t>，且对数据采集手段有具体的说明，能够保障技术服务质量。</w:t>
            </w:r>
          </w:p>
          <w:p w14:paraId="0D480C31">
            <w:pPr>
              <w:spacing w:line="360" w:lineRule="auto"/>
              <w:rPr>
                <w:rFonts w:hint="eastAsia" w:ascii="仿宋" w:hAnsi="仿宋" w:eastAsia="仿宋" w:cs="仿宋"/>
                <w:color w:val="auto"/>
                <w:sz w:val="24"/>
                <w:szCs w:val="24"/>
                <w:highlight w:val="none"/>
                <w:lang w:bidi="zh-CN"/>
              </w:rPr>
            </w:pPr>
            <w:r>
              <w:rPr>
                <w:rFonts w:hint="eastAsia" w:ascii="仿宋" w:hAnsi="仿宋" w:eastAsia="仿宋" w:cs="仿宋"/>
                <w:color w:val="auto"/>
                <w:sz w:val="24"/>
                <w:highlight w:val="none"/>
                <w:lang w:bidi="zh-CN"/>
              </w:rPr>
              <w:t>三档（1</w:t>
            </w:r>
            <w:r>
              <w:rPr>
                <w:rFonts w:hint="eastAsia" w:ascii="仿宋" w:hAnsi="仿宋" w:eastAsia="仿宋" w:cs="仿宋"/>
                <w:color w:val="auto"/>
                <w:sz w:val="24"/>
                <w:highlight w:val="none"/>
                <w:lang w:val="en-US" w:bidi="zh-CN"/>
              </w:rPr>
              <w:t>7</w:t>
            </w:r>
            <w:r>
              <w:rPr>
                <w:rFonts w:hint="eastAsia" w:ascii="仿宋" w:hAnsi="仿宋" w:eastAsia="仿宋" w:cs="仿宋"/>
                <w:color w:val="auto"/>
                <w:sz w:val="24"/>
                <w:highlight w:val="none"/>
                <w:lang w:bidi="zh-CN"/>
              </w:rPr>
              <w:t>分）：在满足二档的基础上，有具体的数据质量保障方案及措施，</w:t>
            </w:r>
            <w:r>
              <w:rPr>
                <w:rFonts w:hint="eastAsia" w:ascii="仿宋" w:hAnsi="仿宋" w:eastAsia="仿宋" w:cs="仿宋"/>
                <w:color w:val="auto"/>
                <w:sz w:val="24"/>
                <w:highlight w:val="none"/>
                <w:lang w:val="en-US" w:bidi="zh-CN"/>
              </w:rPr>
              <w:t>对数据采集过程可能出现的问题进行分析</w:t>
            </w:r>
            <w:r>
              <w:rPr>
                <w:rFonts w:hint="eastAsia" w:ascii="仿宋" w:hAnsi="仿宋" w:eastAsia="仿宋" w:cs="仿宋"/>
                <w:color w:val="auto"/>
                <w:sz w:val="24"/>
                <w:highlight w:val="none"/>
                <w:lang w:bidi="zh-CN"/>
              </w:rPr>
              <w:t>并提供有可操作性的解决办法及措施。整体方案内容</w:t>
            </w:r>
            <w:r>
              <w:rPr>
                <w:rFonts w:hint="eastAsia" w:ascii="仿宋" w:hAnsi="仿宋" w:eastAsia="仿宋" w:cs="仿宋"/>
                <w:color w:val="auto"/>
                <w:sz w:val="24"/>
                <w:highlight w:val="none"/>
                <w:lang w:val="en-US" w:bidi="zh-CN"/>
              </w:rPr>
              <w:t>正确</w:t>
            </w:r>
            <w:r>
              <w:rPr>
                <w:rFonts w:hint="eastAsia" w:ascii="仿宋" w:hAnsi="仿宋" w:eastAsia="仿宋" w:cs="仿宋"/>
                <w:color w:val="auto"/>
                <w:sz w:val="24"/>
                <w:highlight w:val="none"/>
                <w:lang w:bidi="zh-CN"/>
              </w:rPr>
              <w:t>且</w:t>
            </w:r>
            <w:r>
              <w:rPr>
                <w:rFonts w:hint="eastAsia" w:ascii="仿宋" w:hAnsi="仿宋" w:eastAsia="仿宋" w:cs="仿宋"/>
                <w:color w:val="auto"/>
                <w:sz w:val="24"/>
                <w:highlight w:val="none"/>
                <w:lang w:val="en-US" w:bidi="zh-CN"/>
              </w:rPr>
              <w:t>能够针对广西地区数据采集特点加以分析</w:t>
            </w:r>
            <w:r>
              <w:rPr>
                <w:rFonts w:hint="eastAsia" w:ascii="仿宋" w:hAnsi="仿宋" w:eastAsia="仿宋" w:cs="仿宋"/>
                <w:color w:val="auto"/>
                <w:sz w:val="24"/>
                <w:highlight w:val="none"/>
                <w:lang w:bidi="zh-CN"/>
              </w:rPr>
              <w:t>。</w:t>
            </w:r>
          </w:p>
        </w:tc>
      </w:tr>
      <w:tr w14:paraId="2A3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573065">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02D851">
            <w:pPr>
              <w:adjustRightInd w:val="0"/>
              <w:spacing w:line="360" w:lineRule="auto"/>
              <w:ind w:left="-105" w:leftChars="-50" w:right="-105" w:rightChars="-50"/>
              <w:jc w:val="center"/>
              <w:textAlignment w:val="baseline"/>
              <w:rPr>
                <w:rFonts w:hint="eastAsia" w:ascii="仿宋" w:hAnsi="仿宋" w:eastAsia="仿宋" w:cs="仿宋"/>
                <w:b/>
                <w:color w:val="auto"/>
                <w:sz w:val="24"/>
                <w:szCs w:val="24"/>
                <w:highlight w:val="none"/>
              </w:rPr>
            </w:pPr>
          </w:p>
        </w:tc>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20BC2B0">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管理与服务方案（满分19分）</w:t>
            </w:r>
          </w:p>
          <w:p w14:paraId="17641BDB">
            <w:pPr>
              <w:adjustRightInd w:val="0"/>
              <w:snapToGrid w:val="0"/>
              <w:spacing w:line="360" w:lineRule="auto"/>
              <w:rPr>
                <w:rFonts w:hint="eastAsia" w:ascii="仿宋" w:hAnsi="仿宋" w:eastAsia="仿宋" w:cs="仿宋"/>
                <w:b/>
                <w:bCs w:val="0"/>
                <w:color w:val="auto"/>
                <w:sz w:val="24"/>
                <w:szCs w:val="24"/>
                <w:highlight w:val="none"/>
              </w:rPr>
            </w:pP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7519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①</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项目管理方案（满分6分），未提供的不得分。</w:t>
            </w:r>
          </w:p>
          <w:p w14:paraId="02E65AD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提供有</w:t>
            </w:r>
            <w:r>
              <w:rPr>
                <w:rFonts w:hint="eastAsia" w:ascii="仿宋" w:hAnsi="仿宋" w:eastAsia="仿宋" w:cs="仿宋"/>
                <w:color w:val="auto"/>
                <w:sz w:val="24"/>
                <w:highlight w:val="none"/>
              </w:rPr>
              <w:t>管理方案及项目管理计划表，时间节点</w:t>
            </w:r>
            <w:r>
              <w:rPr>
                <w:rFonts w:hint="eastAsia" w:ascii="仿宋" w:hAnsi="仿宋" w:eastAsia="仿宋" w:cs="仿宋"/>
                <w:color w:val="auto"/>
                <w:sz w:val="24"/>
                <w:highlight w:val="none"/>
                <w:lang w:val="en-US" w:eastAsia="zh-CN"/>
              </w:rPr>
              <w:t>符合项目成果交付期限的要求</w:t>
            </w:r>
            <w:r>
              <w:rPr>
                <w:rFonts w:hint="eastAsia" w:ascii="仿宋" w:hAnsi="仿宋" w:eastAsia="仿宋" w:cs="仿宋"/>
                <w:color w:val="auto"/>
                <w:sz w:val="24"/>
                <w:highlight w:val="none"/>
              </w:rPr>
              <w:t>。</w:t>
            </w:r>
          </w:p>
          <w:p w14:paraId="7998D14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分）：能够针对项目提供切合实际的管理方案及项目管理计划表，针对成果交付时间要求能提供时间节点甘特图或项目进度计划表，</w:t>
            </w:r>
            <w:r>
              <w:rPr>
                <w:rFonts w:hint="eastAsia" w:ascii="仿宋" w:hAnsi="仿宋" w:eastAsia="仿宋" w:cs="仿宋"/>
                <w:color w:val="auto"/>
                <w:sz w:val="24"/>
                <w:highlight w:val="none"/>
                <w:lang w:val="en-US" w:eastAsia="zh-CN"/>
              </w:rPr>
              <w:t>并针对关键节点编制有进度</w:t>
            </w:r>
            <w:r>
              <w:rPr>
                <w:rFonts w:hint="eastAsia" w:ascii="仿宋" w:hAnsi="仿宋" w:eastAsia="仿宋" w:cs="仿宋"/>
                <w:color w:val="auto"/>
                <w:sz w:val="24"/>
                <w:highlight w:val="none"/>
              </w:rPr>
              <w:t>保障措施。</w:t>
            </w:r>
          </w:p>
          <w:p w14:paraId="08E1D72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三档（6分）：能够针对项目提供切合实际的管理方案及项目管理计划表，针对成果交付时间要求能提供时间节点甘特图或项目进度计划表，各阶段进度安排及工期保证措施详细合理，并能够投入与项目相关的技术人员，</w:t>
            </w:r>
            <w:r>
              <w:rPr>
                <w:rFonts w:hint="eastAsia" w:ascii="仿宋" w:hAnsi="仿宋" w:eastAsia="仿宋" w:cs="仿宋"/>
                <w:color w:val="auto"/>
                <w:sz w:val="24"/>
                <w:highlight w:val="none"/>
                <w:lang w:val="en-US" w:eastAsia="zh-CN"/>
              </w:rPr>
              <w:t>列明技术人员分工及岗位职责</w:t>
            </w:r>
            <w:r>
              <w:rPr>
                <w:rFonts w:hint="eastAsia" w:ascii="仿宋" w:hAnsi="仿宋" w:eastAsia="仿宋" w:cs="仿宋"/>
                <w:color w:val="auto"/>
                <w:sz w:val="24"/>
                <w:highlight w:val="none"/>
              </w:rPr>
              <w:t>，能够保障项目技术服务工作。</w:t>
            </w:r>
          </w:p>
        </w:tc>
      </w:tr>
      <w:tr w14:paraId="4A46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F4B26C">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FE32AB">
            <w:pPr>
              <w:adjustRightInd w:val="0"/>
              <w:spacing w:line="360" w:lineRule="auto"/>
              <w:ind w:left="-105" w:leftChars="-50" w:right="-105" w:rightChars="-50"/>
              <w:jc w:val="center"/>
              <w:textAlignment w:val="baseline"/>
              <w:rPr>
                <w:rFonts w:hint="eastAsia" w:ascii="仿宋" w:hAnsi="仿宋" w:eastAsia="仿宋" w:cs="仿宋"/>
                <w:b/>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011699">
            <w:pPr>
              <w:spacing w:line="360" w:lineRule="auto"/>
              <w:rPr>
                <w:rFonts w:hint="eastAsia" w:ascii="仿宋" w:hAnsi="仿宋" w:eastAsia="仿宋" w:cs="仿宋"/>
                <w:b/>
                <w:bCs w:val="0"/>
                <w:color w:val="auto"/>
                <w:sz w:val="24"/>
                <w:szCs w:val="24"/>
                <w:highlight w:val="none"/>
              </w:rPr>
            </w:pP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7764D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②</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项目重难点分析、应对措施及合理化建议（满分6分），未提供的不得分。</w:t>
            </w:r>
          </w:p>
          <w:p w14:paraId="3F3BABC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分）：对项目重难点</w:t>
            </w:r>
            <w:r>
              <w:rPr>
                <w:rFonts w:hint="eastAsia" w:ascii="仿宋" w:hAnsi="仿宋" w:eastAsia="仿宋" w:cs="仿宋"/>
                <w:color w:val="auto"/>
                <w:sz w:val="24"/>
                <w:highlight w:val="none"/>
                <w:lang w:val="en-US" w:eastAsia="zh-CN"/>
              </w:rPr>
              <w:t>理解正确</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编制有重难点保障</w:t>
            </w:r>
            <w:r>
              <w:rPr>
                <w:rFonts w:hint="eastAsia" w:ascii="仿宋" w:hAnsi="仿宋" w:eastAsia="仿宋" w:cs="仿宋"/>
                <w:color w:val="auto"/>
                <w:sz w:val="24"/>
                <w:highlight w:val="none"/>
              </w:rPr>
              <w:t>措施。</w:t>
            </w:r>
          </w:p>
          <w:p w14:paraId="5904CE1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分）：对项目重难点</w:t>
            </w:r>
            <w:r>
              <w:rPr>
                <w:rFonts w:hint="eastAsia" w:ascii="仿宋" w:hAnsi="仿宋" w:eastAsia="仿宋" w:cs="仿宋"/>
                <w:color w:val="auto"/>
                <w:sz w:val="24"/>
                <w:highlight w:val="none"/>
                <w:lang w:val="en-US" w:eastAsia="zh-CN"/>
              </w:rPr>
              <w:t>理解正确并详细</w:t>
            </w:r>
            <w:r>
              <w:rPr>
                <w:rFonts w:hint="eastAsia" w:ascii="仿宋" w:hAnsi="仿宋" w:eastAsia="仿宋" w:cs="仿宋"/>
                <w:color w:val="auto"/>
                <w:sz w:val="24"/>
                <w:highlight w:val="none"/>
              </w:rPr>
              <w:t>分析，</w:t>
            </w:r>
            <w:r>
              <w:rPr>
                <w:rFonts w:hint="eastAsia" w:ascii="仿宋" w:hAnsi="仿宋" w:eastAsia="仿宋" w:cs="仿宋"/>
                <w:color w:val="auto"/>
                <w:sz w:val="24"/>
                <w:highlight w:val="none"/>
                <w:lang w:val="en-US" w:eastAsia="zh-CN"/>
              </w:rPr>
              <w:t>针对难重点问题编制有保障</w:t>
            </w:r>
            <w:r>
              <w:rPr>
                <w:rFonts w:hint="eastAsia" w:ascii="仿宋" w:hAnsi="仿宋" w:eastAsia="仿宋" w:cs="仿宋"/>
                <w:color w:val="auto"/>
                <w:sz w:val="24"/>
                <w:highlight w:val="none"/>
              </w:rPr>
              <w:t>措施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并提出利于项目实施的合理化建议</w:t>
            </w:r>
            <w:r>
              <w:rPr>
                <w:rFonts w:hint="eastAsia" w:ascii="仿宋" w:hAnsi="仿宋" w:eastAsia="仿宋" w:cs="仿宋"/>
                <w:color w:val="auto"/>
                <w:sz w:val="24"/>
                <w:highlight w:val="none"/>
              </w:rPr>
              <w:t>。</w:t>
            </w:r>
          </w:p>
          <w:p w14:paraId="1621E5A1">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三档（6分）：对项目重难点</w:t>
            </w:r>
            <w:r>
              <w:rPr>
                <w:rFonts w:hint="eastAsia" w:ascii="仿宋" w:hAnsi="仿宋" w:eastAsia="仿宋" w:cs="仿宋"/>
                <w:color w:val="auto"/>
                <w:sz w:val="24"/>
                <w:highlight w:val="none"/>
                <w:lang w:val="en-US" w:eastAsia="zh-CN"/>
              </w:rPr>
              <w:t>理解正确并详细</w:t>
            </w:r>
            <w:r>
              <w:rPr>
                <w:rFonts w:hint="eastAsia" w:ascii="仿宋" w:hAnsi="仿宋" w:eastAsia="仿宋" w:cs="仿宋"/>
                <w:color w:val="auto"/>
                <w:sz w:val="24"/>
                <w:highlight w:val="none"/>
              </w:rPr>
              <w:t>分析，</w:t>
            </w:r>
            <w:r>
              <w:rPr>
                <w:rFonts w:hint="eastAsia" w:ascii="仿宋" w:hAnsi="仿宋" w:eastAsia="仿宋" w:cs="仿宋"/>
                <w:color w:val="auto"/>
                <w:sz w:val="24"/>
                <w:highlight w:val="none"/>
                <w:lang w:val="en-US" w:eastAsia="zh-CN"/>
              </w:rPr>
              <w:t>结合广西地区特点以及项目实施的难重点问题编制有保障</w:t>
            </w:r>
            <w:r>
              <w:rPr>
                <w:rFonts w:hint="eastAsia" w:ascii="仿宋" w:hAnsi="仿宋" w:eastAsia="仿宋" w:cs="仿宋"/>
                <w:color w:val="auto"/>
                <w:sz w:val="24"/>
                <w:highlight w:val="none"/>
              </w:rPr>
              <w:t>措施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并提出利于项目实施的合理化建议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分析项目实施过程可能存在风险隐患，并编制专项应急预案，满足项目工作推进需求。</w:t>
            </w:r>
          </w:p>
        </w:tc>
      </w:tr>
      <w:tr w14:paraId="04BC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DB076C">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D90EF7">
            <w:pPr>
              <w:adjustRightInd w:val="0"/>
              <w:spacing w:line="360" w:lineRule="auto"/>
              <w:ind w:left="-105" w:leftChars="-50" w:right="-105" w:rightChars="-50"/>
              <w:jc w:val="center"/>
              <w:textAlignment w:val="baseline"/>
              <w:rPr>
                <w:rFonts w:hint="eastAsia" w:ascii="仿宋" w:hAnsi="仿宋" w:eastAsia="仿宋" w:cs="仿宋"/>
                <w:b/>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ECC083">
            <w:pPr>
              <w:adjustRightInd w:val="0"/>
              <w:snapToGrid w:val="0"/>
              <w:spacing w:line="360" w:lineRule="auto"/>
              <w:jc w:val="center"/>
              <w:rPr>
                <w:rFonts w:hint="default" w:ascii="仿宋" w:hAnsi="仿宋" w:eastAsia="仿宋" w:cs="仿宋"/>
                <w:b/>
                <w:color w:val="auto"/>
                <w:sz w:val="24"/>
                <w:szCs w:val="24"/>
                <w:highlight w:val="none"/>
                <w:lang w:val="en-US" w:eastAsia="zh-CN"/>
              </w:rPr>
            </w:pP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5AB29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后续服务方案（满分7分），未提供的不得分。</w:t>
            </w:r>
          </w:p>
          <w:p w14:paraId="2042703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一档（1分）：</w:t>
            </w:r>
            <w:r>
              <w:rPr>
                <w:rFonts w:hint="eastAsia" w:ascii="仿宋" w:hAnsi="仿宋" w:eastAsia="仿宋" w:cs="仿宋"/>
                <w:color w:val="auto"/>
                <w:sz w:val="24"/>
                <w:highlight w:val="none"/>
                <w:lang w:val="en-US" w:eastAsia="zh-CN"/>
              </w:rPr>
              <w:t>能够列明后续服务的具体工作内容和人员安排</w:t>
            </w:r>
            <w:r>
              <w:rPr>
                <w:rFonts w:hint="eastAsia" w:ascii="仿宋" w:hAnsi="仿宋" w:eastAsia="仿宋" w:cs="仿宋"/>
                <w:color w:val="auto"/>
                <w:sz w:val="24"/>
                <w:highlight w:val="none"/>
              </w:rPr>
              <w:t>。</w:t>
            </w:r>
          </w:p>
          <w:p w14:paraId="4AD04FF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满足上一档，并且提供</w:t>
            </w:r>
            <w:r>
              <w:rPr>
                <w:rFonts w:hint="eastAsia" w:ascii="仿宋" w:hAnsi="仿宋" w:eastAsia="仿宋" w:cs="仿宋"/>
                <w:color w:val="auto"/>
                <w:sz w:val="24"/>
                <w:highlight w:val="none"/>
              </w:rPr>
              <w:t>有数据使用培训计划，</w:t>
            </w:r>
            <w:r>
              <w:rPr>
                <w:rFonts w:hint="eastAsia" w:ascii="仿宋" w:hAnsi="仿宋" w:eastAsia="仿宋" w:cs="仿宋"/>
                <w:color w:val="auto"/>
                <w:sz w:val="24"/>
                <w:highlight w:val="none"/>
                <w:lang w:val="en-US" w:eastAsia="zh-CN"/>
              </w:rPr>
              <w:t>建立有后续服务组织机构且人员岗位职责清晰</w:t>
            </w:r>
            <w:r>
              <w:rPr>
                <w:rFonts w:hint="eastAsia" w:ascii="仿宋" w:hAnsi="仿宋" w:eastAsia="仿宋" w:cs="仿宋"/>
                <w:color w:val="auto"/>
                <w:sz w:val="24"/>
                <w:highlight w:val="none"/>
              </w:rPr>
              <w:t>。</w:t>
            </w:r>
          </w:p>
          <w:p w14:paraId="3ADBA57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三档（7分）：</w:t>
            </w:r>
            <w:r>
              <w:rPr>
                <w:rFonts w:hint="eastAsia" w:ascii="仿宋" w:hAnsi="仿宋" w:eastAsia="仿宋" w:cs="仿宋"/>
                <w:color w:val="auto"/>
                <w:sz w:val="24"/>
                <w:highlight w:val="none"/>
                <w:lang w:val="en-US" w:eastAsia="zh-CN"/>
              </w:rPr>
              <w:t>满足上一档，并且</w:t>
            </w:r>
            <w:r>
              <w:rPr>
                <w:rFonts w:hint="eastAsia" w:ascii="仿宋" w:hAnsi="仿宋" w:eastAsia="仿宋" w:cs="仿宋"/>
                <w:color w:val="auto"/>
                <w:sz w:val="24"/>
                <w:highlight w:val="none"/>
              </w:rPr>
              <w:t>数据使用培训计划</w:t>
            </w:r>
            <w:r>
              <w:rPr>
                <w:rFonts w:hint="eastAsia" w:ascii="仿宋" w:hAnsi="仿宋" w:eastAsia="仿宋" w:cs="仿宋"/>
                <w:color w:val="auto"/>
                <w:sz w:val="24"/>
                <w:highlight w:val="none"/>
                <w:lang w:val="en-US" w:eastAsia="zh-CN"/>
              </w:rPr>
              <w:t>及培训内容详细</w:t>
            </w:r>
            <w:r>
              <w:rPr>
                <w:rFonts w:hint="eastAsia" w:ascii="仿宋" w:hAnsi="仿宋" w:eastAsia="仿宋" w:cs="仿宋"/>
                <w:color w:val="auto"/>
                <w:sz w:val="24"/>
                <w:highlight w:val="none"/>
              </w:rPr>
              <w:t>，服务承诺及后续服务</w:t>
            </w:r>
            <w:r>
              <w:rPr>
                <w:rFonts w:hint="eastAsia" w:ascii="仿宋" w:hAnsi="仿宋" w:eastAsia="仿宋" w:cs="仿宋"/>
                <w:color w:val="auto"/>
                <w:sz w:val="24"/>
                <w:highlight w:val="none"/>
                <w:lang w:val="en-US" w:eastAsia="zh-CN"/>
              </w:rPr>
              <w:t>措施满足工作要求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后续服务工作制度、工作内容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服务体系</w:t>
            </w:r>
            <w:r>
              <w:rPr>
                <w:rFonts w:hint="eastAsia" w:ascii="仿宋" w:hAnsi="仿宋" w:eastAsia="仿宋" w:cs="仿宋"/>
                <w:color w:val="auto"/>
                <w:sz w:val="24"/>
                <w:highlight w:val="none"/>
                <w:lang w:val="en-US" w:eastAsia="zh-CN"/>
              </w:rPr>
              <w:t>等内容健全，确保项目后续各项目工作平稳开展</w:t>
            </w:r>
            <w:r>
              <w:rPr>
                <w:rFonts w:hint="eastAsia" w:ascii="仿宋" w:hAnsi="仿宋" w:eastAsia="仿宋" w:cs="仿宋"/>
                <w:color w:val="auto"/>
                <w:sz w:val="24"/>
                <w:highlight w:val="none"/>
              </w:rPr>
              <w:t>。</w:t>
            </w:r>
          </w:p>
        </w:tc>
      </w:tr>
      <w:tr w14:paraId="270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10887D">
            <w:pPr>
              <w:spacing w:beforeLines="0" w:afterLines="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C4E4FE">
            <w:pPr>
              <w:widowControl/>
              <w:spacing w:line="360" w:lineRule="auto"/>
              <w:rPr>
                <w:rFonts w:hint="eastAsia" w:ascii="仿宋" w:hAnsi="仿宋" w:eastAsia="仿宋" w:cs="仿宋"/>
                <w:color w:val="auto"/>
                <w:spacing w:val="-18"/>
                <w:sz w:val="24"/>
                <w:szCs w:val="24"/>
                <w:highlight w:val="none"/>
              </w:rPr>
            </w:pPr>
            <w:r>
              <w:rPr>
                <w:rFonts w:hint="eastAsia" w:ascii="仿宋" w:hAnsi="仿宋" w:eastAsia="仿宋" w:cs="仿宋"/>
                <w:b/>
                <w:color w:val="auto"/>
                <w:sz w:val="24"/>
                <w:highlight w:val="none"/>
              </w:rPr>
              <w:t>商务资信分（满分</w:t>
            </w:r>
            <w:r>
              <w:rPr>
                <w:rFonts w:hint="eastAsia" w:ascii="仿宋" w:hAnsi="仿宋" w:eastAsia="仿宋" w:cs="仿宋"/>
                <w:b/>
                <w:color w:val="auto"/>
                <w:sz w:val="24"/>
                <w:highlight w:val="none"/>
                <w:lang w:val="en-US" w:eastAsia="zh-CN"/>
              </w:rPr>
              <w:t>26</w:t>
            </w:r>
            <w:r>
              <w:rPr>
                <w:rFonts w:hint="eastAsia" w:ascii="仿宋" w:hAnsi="仿宋" w:eastAsia="仿宋" w:cs="仿宋"/>
                <w:b/>
                <w:color w:val="auto"/>
                <w:sz w:val="24"/>
                <w:highlight w:val="none"/>
              </w:rPr>
              <w:t>分）</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B81AE1">
            <w:pPr>
              <w:adjustRightInd w:val="0"/>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highlight w:val="none"/>
              </w:rPr>
              <w:t>企业信誉（满分6分）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719DFA">
            <w:pPr>
              <w:autoSpaceDE w:val="0"/>
              <w:autoSpaceDN w:val="0"/>
              <w:adjustRightIn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投标人具有有效的质量管理体系认证证书、信息技术服务管理体系认证证书、信息安全管理体系认证证书的，每项得2分，满分6分（投标文件中需提供证书复印件并加盖投标单位公章，不提供不得分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以上认证证书的认证范围需包含本项目相关的范围，如摄影测量与遥感、地理信息系统工程及相关服务、信息系统集成及服务、遥感影像数据代理服务等相关内容，否则不</w:t>
            </w:r>
            <w:r>
              <w:rPr>
                <w:rFonts w:hint="eastAsia"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rPr>
              <w:t>分。）</w:t>
            </w:r>
          </w:p>
        </w:tc>
      </w:tr>
      <w:tr w14:paraId="7716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29C984">
            <w:pPr>
              <w:spacing w:beforeLines="0" w:afterLines="0" w:line="360" w:lineRule="auto"/>
              <w:jc w:val="center"/>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F21634">
            <w:pPr>
              <w:spacing w:line="360" w:lineRule="auto"/>
              <w:jc w:val="left"/>
              <w:rPr>
                <w:rFonts w:hint="eastAsia" w:ascii="仿宋" w:hAnsi="仿宋" w:eastAsia="仿宋" w:cs="仿宋"/>
                <w:b/>
                <w:color w:val="auto"/>
                <w:spacing w:val="-18"/>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EC2D4">
            <w:pPr>
              <w:pStyle w:val="18"/>
              <w:spacing w:line="360" w:lineRule="auto"/>
              <w:ind w:firstLine="0" w:firstLineChars="0"/>
              <w:jc w:val="center"/>
              <w:rPr>
                <w:rFonts w:hint="eastAsia" w:ascii="仿宋" w:hAnsi="仿宋" w:eastAsia="仿宋" w:cs="仿宋"/>
                <w:b/>
                <w:color w:val="auto"/>
                <w:sz w:val="24"/>
                <w:szCs w:val="24"/>
                <w:highlight w:val="none"/>
                <w:lang w:bidi="zh-CN"/>
              </w:rPr>
            </w:pPr>
            <w:r>
              <w:rPr>
                <w:rFonts w:hint="eastAsia" w:ascii="仿宋" w:hAnsi="仿宋" w:eastAsia="仿宋" w:cs="仿宋"/>
                <w:b/>
                <w:color w:val="auto"/>
                <w:sz w:val="24"/>
                <w:szCs w:val="24"/>
                <w:highlight w:val="none"/>
                <w:lang w:bidi="zh-CN"/>
              </w:rPr>
              <w:t>企业业绩（满分1</w:t>
            </w:r>
            <w:r>
              <w:rPr>
                <w:rFonts w:hint="eastAsia" w:ascii="仿宋" w:hAnsi="仿宋" w:eastAsia="仿宋" w:cs="仿宋"/>
                <w:b/>
                <w:color w:val="auto"/>
                <w:sz w:val="24"/>
                <w:szCs w:val="24"/>
                <w:highlight w:val="none"/>
                <w:lang w:val="en-US" w:bidi="zh-CN"/>
              </w:rPr>
              <w:t>0</w:t>
            </w:r>
            <w:r>
              <w:rPr>
                <w:rFonts w:hint="eastAsia" w:ascii="仿宋" w:hAnsi="仿宋" w:eastAsia="仿宋" w:cs="仿宋"/>
                <w:b/>
                <w:color w:val="auto"/>
                <w:sz w:val="24"/>
                <w:szCs w:val="24"/>
                <w:highlight w:val="none"/>
                <w:lang w:bidi="zh-CN"/>
              </w:rPr>
              <w:t>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ABE3B">
            <w:pPr>
              <w:pStyle w:val="18"/>
              <w:spacing w:line="360" w:lineRule="auto"/>
              <w:ind w:firstLine="480"/>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投标人自202</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bidi="zh-CN"/>
              </w:rPr>
              <w:t>年1月1日以来具有同类项目业绩的，每有一个得</w:t>
            </w:r>
            <w:r>
              <w:rPr>
                <w:rFonts w:hint="eastAsia" w:ascii="仿宋" w:hAnsi="仿宋" w:eastAsia="仿宋" w:cs="仿宋"/>
                <w:color w:val="auto"/>
                <w:sz w:val="24"/>
                <w:szCs w:val="24"/>
                <w:highlight w:val="none"/>
                <w:lang w:val="en-US" w:bidi="zh-CN"/>
              </w:rPr>
              <w:t>2</w:t>
            </w:r>
            <w:r>
              <w:rPr>
                <w:rFonts w:hint="eastAsia" w:ascii="仿宋" w:hAnsi="仿宋" w:eastAsia="仿宋" w:cs="仿宋"/>
                <w:color w:val="auto"/>
                <w:sz w:val="24"/>
                <w:szCs w:val="24"/>
                <w:highlight w:val="none"/>
                <w:lang w:bidi="zh-CN"/>
              </w:rPr>
              <w:t>分，满分1</w:t>
            </w:r>
            <w:r>
              <w:rPr>
                <w:rFonts w:hint="eastAsia" w:ascii="仿宋" w:hAnsi="仿宋" w:eastAsia="仿宋" w:cs="仿宋"/>
                <w:color w:val="auto"/>
                <w:sz w:val="24"/>
                <w:szCs w:val="24"/>
                <w:highlight w:val="none"/>
                <w:lang w:val="en-US" w:bidi="zh-CN"/>
              </w:rPr>
              <w:t>0</w:t>
            </w:r>
            <w:r>
              <w:rPr>
                <w:rFonts w:hint="eastAsia" w:ascii="仿宋" w:hAnsi="仿宋" w:eastAsia="仿宋" w:cs="仿宋"/>
                <w:color w:val="auto"/>
                <w:sz w:val="24"/>
                <w:szCs w:val="24"/>
                <w:highlight w:val="none"/>
                <w:lang w:bidi="zh-CN"/>
              </w:rPr>
              <w:t>分。</w:t>
            </w:r>
          </w:p>
          <w:p w14:paraId="3213D1B1">
            <w:pPr>
              <w:pStyle w:val="18"/>
              <w:spacing w:line="360" w:lineRule="auto"/>
              <w:ind w:firstLine="480" w:firstLineChars="200"/>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（需提供相应业绩的合同复印件（含盖章页）并加盖投标人公章，否则不得分；同类项目业绩指：0.3米分辨率立体卫星遥感影像数据获取）</w:t>
            </w:r>
          </w:p>
        </w:tc>
      </w:tr>
      <w:tr w14:paraId="6FB8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62E613">
            <w:pPr>
              <w:pStyle w:val="18"/>
              <w:spacing w:beforeLines="0" w:afterLines="0" w:line="360" w:lineRule="auto"/>
              <w:rPr>
                <w:rFonts w:hint="eastAsia" w:ascii="仿宋" w:hAnsi="仿宋" w:eastAsia="仿宋" w:cs="仿宋"/>
                <w:color w:val="auto"/>
                <w:kern w:val="2"/>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9F02C4">
            <w:pPr>
              <w:pStyle w:val="18"/>
              <w:spacing w:line="360" w:lineRule="auto"/>
              <w:ind w:firstLine="480" w:firstLineChars="200"/>
              <w:rPr>
                <w:rFonts w:hint="eastAsia" w:ascii="仿宋" w:hAnsi="仿宋" w:eastAsia="仿宋" w:cs="仿宋"/>
                <w:color w:val="auto"/>
                <w:kern w:val="2"/>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46FB6">
            <w:pPr>
              <w:pStyle w:val="18"/>
              <w:spacing w:line="360" w:lineRule="auto"/>
              <w:ind w:firstLine="0" w:firstLineChars="0"/>
              <w:jc w:val="center"/>
              <w:rPr>
                <w:rFonts w:hint="eastAsia" w:ascii="仿宋" w:hAnsi="仿宋" w:eastAsia="仿宋" w:cs="仿宋"/>
                <w:b/>
                <w:color w:val="auto"/>
                <w:sz w:val="24"/>
                <w:szCs w:val="24"/>
                <w:highlight w:val="none"/>
                <w:lang w:bidi="zh-CN"/>
              </w:rPr>
            </w:pPr>
            <w:r>
              <w:rPr>
                <w:rFonts w:hint="eastAsia" w:ascii="仿宋" w:hAnsi="仿宋" w:eastAsia="仿宋" w:cs="仿宋"/>
                <w:b/>
                <w:color w:val="auto"/>
                <w:sz w:val="24"/>
                <w:szCs w:val="24"/>
                <w:highlight w:val="none"/>
                <w:lang w:bidi="zh-CN"/>
              </w:rPr>
              <w:t>企业实力（满分10分）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17350">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由评委对供应商具备满足采购单位后续可能追加的服务成果标准或要求、服务范围的自主应对能力（卫星运营可控性）进行评审，未提供的不得分。</w:t>
            </w:r>
          </w:p>
          <w:p w14:paraId="33B589E1">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一档（2分）：对拟投入项目的部分卫星的运营情况有描述。</w:t>
            </w:r>
          </w:p>
          <w:p w14:paraId="2647602D">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二档（6分）：对拟投入项目的部分卫星的运营情况有描述并提供</w:t>
            </w:r>
            <w:r>
              <w:rPr>
                <w:rFonts w:hint="eastAsia" w:ascii="仿宋" w:hAnsi="仿宋" w:eastAsia="仿宋" w:cs="仿宋"/>
                <w:color w:val="auto"/>
                <w:sz w:val="24"/>
                <w:szCs w:val="24"/>
                <w:highlight w:val="none"/>
                <w:lang w:val="en-US" w:eastAsia="zh-CN"/>
              </w:rPr>
              <w:t>卫星运营的</w:t>
            </w:r>
            <w:r>
              <w:rPr>
                <w:rFonts w:hint="eastAsia" w:ascii="仿宋" w:hAnsi="仿宋" w:eastAsia="仿宋" w:cs="仿宋"/>
                <w:color w:val="auto"/>
                <w:sz w:val="24"/>
                <w:szCs w:val="24"/>
                <w:highlight w:val="none"/>
              </w:rPr>
              <w:t>证明文件</w:t>
            </w:r>
            <w:r>
              <w:rPr>
                <w:rFonts w:hint="eastAsia" w:ascii="仿宋" w:hAnsi="仿宋" w:eastAsia="仿宋" w:cs="仿宋"/>
                <w:color w:val="auto"/>
                <w:sz w:val="24"/>
                <w:szCs w:val="24"/>
                <w:highlight w:val="none"/>
                <w:lang w:val="en-US" w:eastAsia="zh-CN"/>
              </w:rPr>
              <w:t>及运营技术</w:t>
            </w:r>
            <w:r>
              <w:rPr>
                <w:rFonts w:hint="eastAsia" w:ascii="仿宋" w:hAnsi="仿宋" w:eastAsia="仿宋" w:cs="仿宋"/>
                <w:color w:val="auto"/>
                <w:sz w:val="24"/>
                <w:szCs w:val="24"/>
                <w:highlight w:val="none"/>
              </w:rPr>
              <w:t>措施。</w:t>
            </w:r>
          </w:p>
          <w:p w14:paraId="05E91D5A">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三档（10分）：对拟投入项目的所有卫星的运营情况有描述并提供证明文件，拟投入的所有卫星</w:t>
            </w:r>
            <w:r>
              <w:rPr>
                <w:rFonts w:hint="eastAsia" w:ascii="仿宋" w:hAnsi="仿宋" w:eastAsia="仿宋" w:cs="仿宋"/>
                <w:color w:val="auto"/>
                <w:sz w:val="24"/>
                <w:szCs w:val="24"/>
                <w:highlight w:val="none"/>
                <w:lang w:val="en-US" w:eastAsia="zh-CN"/>
              </w:rPr>
              <w:t>均具有</w:t>
            </w:r>
            <w:r>
              <w:rPr>
                <w:rFonts w:hint="eastAsia" w:ascii="仿宋" w:hAnsi="仿宋" w:eastAsia="仿宋" w:cs="仿宋"/>
                <w:color w:val="auto"/>
                <w:sz w:val="24"/>
                <w:szCs w:val="24"/>
                <w:highlight w:val="none"/>
              </w:rPr>
              <w:t>控制权，</w:t>
            </w:r>
            <w:r>
              <w:rPr>
                <w:rFonts w:hint="eastAsia" w:ascii="仿宋" w:hAnsi="仿宋" w:eastAsia="仿宋" w:cs="仿宋"/>
                <w:color w:val="auto"/>
                <w:sz w:val="24"/>
                <w:szCs w:val="24"/>
                <w:highlight w:val="none"/>
                <w:lang w:val="en-US" w:eastAsia="zh-CN"/>
              </w:rPr>
              <w:t>卫星运营技术措施详细，操作规范清晰，列明</w:t>
            </w:r>
            <w:r>
              <w:rPr>
                <w:rFonts w:hint="eastAsia" w:ascii="仿宋" w:hAnsi="仿宋" w:eastAsia="仿宋" w:cs="仿宋"/>
                <w:color w:val="auto"/>
                <w:sz w:val="24"/>
                <w:szCs w:val="24"/>
                <w:highlight w:val="none"/>
              </w:rPr>
              <w:t>数据采集的可控性、稳定性及数据采集效率等方面</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技术保障措施</w:t>
            </w:r>
            <w:r>
              <w:rPr>
                <w:rFonts w:hint="eastAsia" w:ascii="仿宋" w:hAnsi="仿宋" w:eastAsia="仿宋" w:cs="仿宋"/>
                <w:color w:val="auto"/>
                <w:sz w:val="24"/>
                <w:szCs w:val="24"/>
                <w:highlight w:val="none"/>
              </w:rPr>
              <w:t>。</w:t>
            </w:r>
          </w:p>
          <w:p w14:paraId="664CAB44">
            <w:pPr>
              <w:pStyle w:val="18"/>
              <w:spacing w:line="360" w:lineRule="auto"/>
              <w:ind w:firstLine="480" w:firstLineChars="200"/>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rPr>
              <w:t>（需在投标文件中提供卫星的自主运营权文件并加盖投标单位公章，否则不得分。）</w:t>
            </w:r>
          </w:p>
        </w:tc>
      </w:tr>
      <w:tr w14:paraId="68F9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DCAFE2F">
            <w:pPr>
              <w:pStyle w:val="18"/>
              <w:spacing w:beforeLines="0" w:afterLines="0"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总得分=1+2+3</w:t>
            </w:r>
          </w:p>
        </w:tc>
      </w:tr>
    </w:tbl>
    <w:p w14:paraId="45B013BB">
      <w:pPr>
        <w:pStyle w:val="51"/>
        <w:numPr>
          <w:ilvl w:val="255"/>
          <w:numId w:val="0"/>
        </w:numPr>
        <w:spacing w:line="360" w:lineRule="auto"/>
        <w:ind w:firstLine="200"/>
        <w:rPr>
          <w:rFonts w:hint="eastAsia" w:ascii="仿宋" w:hAnsi="仿宋" w:eastAsia="仿宋" w:cs="仿宋"/>
          <w:bCs/>
          <w:color w:val="auto"/>
          <w:sz w:val="24"/>
          <w:szCs w:val="24"/>
          <w:highlight w:val="none"/>
        </w:rPr>
      </w:pPr>
    </w:p>
    <w:p w14:paraId="71F5C2BE">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tbl>
      <w:tblPr>
        <w:tblStyle w:val="4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1134"/>
        <w:gridCol w:w="6804"/>
      </w:tblGrid>
      <w:tr w14:paraId="1019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19F60A">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B5CA3">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w:t>
            </w:r>
          </w:p>
          <w:p w14:paraId="02634D02">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因素</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A2F80">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3分标适用</w:t>
            </w:r>
            <w:r>
              <w:rPr>
                <w:rFonts w:hint="eastAsia" w:ascii="仿宋" w:hAnsi="仿宋" w:eastAsia="仿宋" w:cs="仿宋"/>
                <w:b/>
                <w:color w:val="auto"/>
                <w:sz w:val="24"/>
                <w:szCs w:val="24"/>
                <w:highlight w:val="none"/>
                <w:lang w:eastAsia="zh-CN"/>
              </w:rPr>
              <w:t>）</w:t>
            </w:r>
          </w:p>
        </w:tc>
      </w:tr>
      <w:tr w14:paraId="2860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C15DD">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962A3">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价格分</w:t>
            </w:r>
          </w:p>
          <w:p w14:paraId="2EB5CC20">
            <w:pPr>
              <w:adjustRightInd w:val="0"/>
              <w:spacing w:beforeLines="0" w:afterLines="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（30分）</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2D020">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w:t>
            </w:r>
          </w:p>
          <w:p w14:paraId="0FDFE95A">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w:t>
            </w:r>
          </w:p>
          <w:p w14:paraId="77A7F8D5">
            <w:pPr>
              <w:adjustRightInd w:val="0"/>
              <w:spacing w:beforeLines="0" w:afterLines="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（满分30分）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78439">
            <w:pPr>
              <w:snapToGrid w:val="0"/>
              <w:spacing w:beforeLines="0" w:after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.3分标预留份额面向中小企业采购，不再执行政策价格扣除。评审价=投标报价。</w:t>
            </w:r>
          </w:p>
          <w:p w14:paraId="22AB936A">
            <w:pPr>
              <w:snapToGrid w:val="0"/>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以进入比较与评价环节的最低投标报价为基准价，基准价得30 分。</w:t>
            </w:r>
          </w:p>
          <w:p w14:paraId="3D7E3D3B">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价格分计算公式：</w:t>
            </w:r>
          </w:p>
          <w:p w14:paraId="097596D4">
            <w:pPr>
              <w:spacing w:beforeLines="0" w:afterLines="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某投标人价格分=基准价/某投标人投标报价×30分。</w:t>
            </w:r>
          </w:p>
        </w:tc>
      </w:tr>
      <w:tr w14:paraId="3984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9EAA8F">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3A3E8DC">
            <w:pPr>
              <w:adjustRightInd w:val="0"/>
              <w:spacing w:beforeLines="0" w:afterLines="0" w:line="360" w:lineRule="auto"/>
              <w:ind w:left="-105" w:leftChars="-50" w:right="-105" w:rightChars="-50"/>
              <w:jc w:val="center"/>
              <w:textAlignment w:val="baseline"/>
              <w:rPr>
                <w:rFonts w:hint="eastAsia" w:ascii="仿宋" w:hAnsi="仿宋" w:eastAsia="仿宋" w:cs="仿宋"/>
                <w:color w:val="auto"/>
                <w:spacing w:val="-18"/>
                <w:sz w:val="24"/>
                <w:szCs w:val="24"/>
                <w:highlight w:val="none"/>
              </w:rPr>
            </w:pPr>
            <w:r>
              <w:rPr>
                <w:rFonts w:hint="eastAsia" w:ascii="仿宋" w:hAnsi="仿宋" w:eastAsia="仿宋" w:cs="仿宋"/>
                <w:b/>
                <w:color w:val="auto"/>
                <w:sz w:val="24"/>
                <w:szCs w:val="24"/>
                <w:highlight w:val="none"/>
              </w:rPr>
              <w:t>技术方案分（满分45分）</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AD251">
            <w:pPr>
              <w:spacing w:beforeLines="0" w:afterLines="0"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卫星投入及数据保障能力（满分20分）</w:t>
            </w:r>
          </w:p>
          <w:p w14:paraId="181662FC">
            <w:pPr>
              <w:adjustRightInd w:val="0"/>
              <w:snapToGrid w:val="0"/>
              <w:spacing w:beforeLines="0" w:afterLines="0" w:line="360" w:lineRule="auto"/>
              <w:rPr>
                <w:rFonts w:hint="eastAsia" w:ascii="仿宋" w:hAnsi="仿宋" w:eastAsia="仿宋" w:cs="仿宋"/>
                <w:b/>
                <w:color w:val="auto"/>
                <w:sz w:val="24"/>
                <w:szCs w:val="24"/>
                <w:highlight w:val="none"/>
              </w:rPr>
            </w:pP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E204E">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投入本项目的卫星数据源在满足波段要求的同时，满足分辨率要求的卫星数量情况（本项最高得10分）：</w:t>
            </w:r>
          </w:p>
          <w:p w14:paraId="72D80B8B">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优于1米（含1米）但低于0.5米的，每颗卫星得0.5分，最高</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596F61BA">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优于0.5米（含0.5米）的，每颗卫星得1分，最高</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14:paraId="031F5D71">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投入本项目的满足卫星数据源影像幅宽要求的卫星数量情况（本项最高得10分）： </w:t>
            </w:r>
          </w:p>
          <w:p w14:paraId="3E4C0B23">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所投入的卫星数据源幅宽优于100千米（含100千米）的，每颗卫星得1分，最高</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2C92F7AE">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所投入的卫星数据源幅宽优于40千米（含40千米）但低于100千米（不含100千米）的，每颗卫星得1分，最高2分；</w:t>
            </w:r>
          </w:p>
          <w:p w14:paraId="38F45D0D">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所投入的卫星数据源幅宽优于15千米（含15千米）但低于40千米（不含40千米）的，每颗卫星得0.5分，最高</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073145E2">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所投入的卫星数据源幅宽低于</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千米的，不得分。</w:t>
            </w:r>
          </w:p>
          <w:p w14:paraId="0EB50300">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注：每颗卫星仅得分一次，不重复计分。</w:t>
            </w:r>
            <w:r>
              <w:rPr>
                <w:rFonts w:hint="eastAsia" w:ascii="仿宋" w:hAnsi="仿宋" w:eastAsia="仿宋" w:cs="仿宋"/>
                <w:color w:val="auto"/>
                <w:sz w:val="24"/>
                <w:szCs w:val="24"/>
                <w:highlight w:val="none"/>
                <w:lang w:val="en-US" w:eastAsia="zh-CN"/>
              </w:rPr>
              <w:t>投标文件中</w:t>
            </w:r>
            <w:r>
              <w:rPr>
                <w:rFonts w:hint="eastAsia" w:ascii="仿宋" w:hAnsi="仿宋" w:eastAsia="仿宋" w:cs="仿宋"/>
                <w:color w:val="auto"/>
                <w:sz w:val="24"/>
                <w:szCs w:val="24"/>
                <w:highlight w:val="none"/>
              </w:rPr>
              <w:t>提供所有权或运营权证明材料（包括但不限于政府部门出具的卫星平台所有权、卫星在轨运营证明等相关证明材料复印件），并加盖公章。</w:t>
            </w:r>
          </w:p>
        </w:tc>
      </w:tr>
      <w:tr w14:paraId="18FC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729A58">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E3D119">
            <w:pPr>
              <w:adjustRightInd w:val="0"/>
              <w:spacing w:beforeLines="0" w:afterLines="0" w:line="360" w:lineRule="auto"/>
              <w:ind w:left="-105" w:leftChars="-50" w:right="-105" w:rightChars="-50"/>
              <w:jc w:val="center"/>
              <w:textAlignment w:val="baseline"/>
              <w:rPr>
                <w:rFonts w:hint="eastAsia" w:ascii="仿宋" w:hAnsi="仿宋" w:eastAsia="仿宋" w:cs="仿宋"/>
                <w:b/>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6629A2">
            <w:pPr>
              <w:adjustRightInd w:val="0"/>
              <w:snapToGrid w:val="0"/>
              <w:spacing w:beforeLines="0" w:afterLines="0"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数据采集方案（满分10分）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2A05D">
            <w:pPr>
              <w:spacing w:beforeLines="0" w:afterLines="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一档（0分）：未提供数据采集方案或缺失核心内容，或提供的方案不满足采购需求基本要求。</w:t>
            </w:r>
          </w:p>
          <w:p w14:paraId="10BBAD2F">
            <w:pPr>
              <w:spacing w:beforeLines="0" w:afterLines="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档（4分）：数据采集方案提供有广西全区云量基础预测分析，如季度平均云量数据；卫星影像拍摄计划至少包含对核心区域的描述；质量检查计划覆盖数据体现关键指标；数据推送机制阐明常规交付方式及基础时效要求等。</w:t>
            </w:r>
          </w:p>
          <w:p w14:paraId="20B0F9FA">
            <w:pPr>
              <w:spacing w:beforeLines="0" w:afterLines="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档（7分）：方案满足上一档要求，数据采集方案提供有广西全区云量季度趋势预测分析，区域细分数据等；卫星影像拍摄计划包含重点区域的拍摄条带示意图；质量检查流程体现数据、精度等各项指标，且人工复核机制合理；数据推送交付方式、交付时效、交付标准等有明确约定。</w:t>
            </w:r>
          </w:p>
          <w:p w14:paraId="2690E365">
            <w:pPr>
              <w:spacing w:beforeLines="0" w:afterLines="0" w:line="360" w:lineRule="auto"/>
              <w:rPr>
                <w:rFonts w:hint="eastAsia" w:ascii="仿宋" w:hAnsi="仿宋" w:eastAsia="仿宋" w:cs="仿宋"/>
                <w:color w:val="auto"/>
                <w:sz w:val="24"/>
                <w:szCs w:val="24"/>
                <w:highlight w:val="none"/>
                <w:lang w:bidi="zh-CN"/>
              </w:rPr>
            </w:pPr>
            <w:r>
              <w:rPr>
                <w:rFonts w:hint="eastAsia" w:ascii="仿宋" w:hAnsi="仿宋" w:eastAsia="仿宋" w:cs="仿宋"/>
                <w:color w:val="auto"/>
                <w:kern w:val="2"/>
                <w:sz w:val="24"/>
                <w:szCs w:val="24"/>
                <w:highlight w:val="none"/>
                <w:lang w:val="en-US" w:eastAsia="zh-CN" w:bidi="ar-SA"/>
              </w:rPr>
              <w:t>四档（10分）：方案满足上一档要求，数据采集方案对于广西全区云量预测分析详细，包含月度云量预测分析、区域细分数据、月度动态预测及应对策略等；卫星影像拍摄计划契合工作 开展要求，提供拍摄条带示意图详细的拍摄计划及时间统筹方案等；卫星影像质量检查工作流程清晰，人工复核与自动化检测的结合机制；设计多节点备份的数据推送交付机制，编制有在线传输、物理介质备份、云平台同步等多种交付措施，提供有交付时效、交付标准符合国家及地方行政主管部门的规范要求的保障措施。</w:t>
            </w:r>
          </w:p>
        </w:tc>
      </w:tr>
      <w:tr w14:paraId="498C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074660">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85C201">
            <w:pPr>
              <w:adjustRightInd w:val="0"/>
              <w:spacing w:beforeLines="0" w:afterLines="0" w:line="360" w:lineRule="auto"/>
              <w:ind w:left="-105" w:leftChars="-50" w:right="-105" w:rightChars="-50"/>
              <w:jc w:val="center"/>
              <w:textAlignment w:val="baseline"/>
              <w:rPr>
                <w:rFonts w:hint="eastAsia" w:ascii="仿宋" w:hAnsi="仿宋" w:eastAsia="仿宋" w:cs="仿宋"/>
                <w:b/>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21CED">
            <w:pPr>
              <w:spacing w:beforeLines="0" w:afterLines="0"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项目实施方案（满分5分）</w:t>
            </w:r>
          </w:p>
          <w:p w14:paraId="1D9F5404">
            <w:pPr>
              <w:adjustRightInd w:val="0"/>
              <w:snapToGrid w:val="0"/>
              <w:spacing w:beforeLines="0" w:afterLines="0" w:line="360" w:lineRule="auto"/>
              <w:rPr>
                <w:rFonts w:hint="eastAsia" w:ascii="仿宋" w:hAnsi="仿宋" w:eastAsia="仿宋" w:cs="仿宋"/>
                <w:b/>
                <w:bCs w:val="0"/>
                <w:color w:val="auto"/>
                <w:sz w:val="24"/>
                <w:szCs w:val="24"/>
                <w:highlight w:val="none"/>
              </w:rPr>
            </w:pP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58639">
            <w:pPr>
              <w:spacing w:beforeLines="0" w:after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一档（0分）：无实施方案或实施方案不符合项目实际的。</w:t>
            </w:r>
          </w:p>
          <w:p w14:paraId="14EC2F4D">
            <w:pPr>
              <w:spacing w:beforeLines="0" w:after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二档（1分）：实施方案能说明具体实施本项目的工作计划，工作进度安排，明确各阶段任务分工及责任人，具备基础实施条件；</w:t>
            </w:r>
          </w:p>
          <w:p w14:paraId="6DFEC6D6">
            <w:pPr>
              <w:spacing w:beforeLines="0" w:after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档（3分）：方案满足上一档要求，且进一步对项目实施全过程的人员组织及保障机制、设备配置及保障措施、技术方案及保障体系进行了系统性分析，明确了各环节的责任主体、资源配置策略，形成完整的实施保障框架。</w:t>
            </w:r>
          </w:p>
          <w:p w14:paraId="1E9C3624">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档（5分）：方案满足上一档要求，能够针对广西地区特点，分析项目实施过程的重点工作和难点工作，并编制专项方案。针对项目实施过程中的风险隐患进行识别和评估，编制有云量超标、数据延迟等多类应急预案。</w:t>
            </w:r>
          </w:p>
        </w:tc>
      </w:tr>
      <w:tr w14:paraId="4A86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FF69AF">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E3797D">
            <w:pPr>
              <w:adjustRightInd w:val="0"/>
              <w:spacing w:beforeLines="0" w:afterLines="0" w:line="360" w:lineRule="auto"/>
              <w:ind w:left="-105" w:leftChars="-50" w:right="-105" w:rightChars="-50"/>
              <w:jc w:val="center"/>
              <w:textAlignment w:val="baseline"/>
              <w:rPr>
                <w:rFonts w:hint="eastAsia" w:ascii="仿宋" w:hAnsi="仿宋" w:eastAsia="仿宋" w:cs="仿宋"/>
                <w:b/>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39657">
            <w:pPr>
              <w:spacing w:beforeLines="0" w:afterLines="0"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项目漏洞区域应急数据采集服务</w:t>
            </w:r>
            <w:r>
              <w:rPr>
                <w:rFonts w:hint="eastAsia" w:ascii="仿宋" w:hAnsi="仿宋" w:eastAsia="仿宋" w:cs="仿宋"/>
                <w:b/>
                <w:bCs w:val="0"/>
                <w:color w:val="auto"/>
                <w:sz w:val="24"/>
                <w:szCs w:val="24"/>
                <w:highlight w:val="none"/>
                <w:lang w:val="en-US" w:eastAsia="zh-CN"/>
              </w:rPr>
              <w:t>方案</w:t>
            </w:r>
            <w:r>
              <w:rPr>
                <w:rFonts w:hint="eastAsia" w:ascii="仿宋" w:hAnsi="仿宋" w:eastAsia="仿宋" w:cs="仿宋"/>
                <w:b/>
                <w:bCs w:val="0"/>
                <w:color w:val="auto"/>
                <w:sz w:val="24"/>
                <w:szCs w:val="24"/>
                <w:highlight w:val="none"/>
              </w:rPr>
              <w:t>（满分5分）</w:t>
            </w:r>
          </w:p>
          <w:p w14:paraId="65758917">
            <w:pPr>
              <w:adjustRightInd w:val="0"/>
              <w:snapToGrid w:val="0"/>
              <w:spacing w:beforeLines="0" w:afterLines="0" w:line="360" w:lineRule="auto"/>
              <w:rPr>
                <w:rFonts w:hint="eastAsia" w:ascii="仿宋" w:hAnsi="仿宋" w:eastAsia="仿宋" w:cs="仿宋"/>
                <w:b/>
                <w:bCs w:val="0"/>
                <w:color w:val="auto"/>
                <w:sz w:val="24"/>
                <w:szCs w:val="24"/>
                <w:highlight w:val="none"/>
              </w:rPr>
            </w:pP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E251F">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一档（0分）：无应急数据采集服务方案或方案不符合项目实际的；</w:t>
            </w:r>
          </w:p>
          <w:p w14:paraId="7EE99808">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二档（1分）：编制有应急数据采集的具体方式方法及应急组织机构；</w:t>
            </w:r>
          </w:p>
          <w:p w14:paraId="136D20F7">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三档（3分）：方案满足上一档要求，且应急数据采集有专人负责，正确分析应急数据采集流程，提供有紧急响应承诺；</w:t>
            </w:r>
          </w:p>
          <w:p w14:paraId="5057345B">
            <w:pP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en-US" w:eastAsia="zh-CN" w:bidi="ar-SA"/>
              </w:rPr>
              <w:t>四档（5分）：在三档基础上，阐述可能生成漏洞的原因并编制预防措施，降低漏洞率；承诺按采购人需求补充全部指定漏洞，满足突发情况处理需求。</w:t>
            </w:r>
          </w:p>
        </w:tc>
      </w:tr>
      <w:tr w14:paraId="1258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0289F8">
            <w:pPr>
              <w:adjustRightInd w:val="0"/>
              <w:spacing w:beforeLines="0" w:afterLines="0" w:line="360" w:lineRule="auto"/>
              <w:jc w:val="center"/>
              <w:textAlignment w:val="baseline"/>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00AC6D">
            <w:pPr>
              <w:adjustRightInd w:val="0"/>
              <w:spacing w:beforeLines="0" w:afterLines="0" w:line="360" w:lineRule="auto"/>
              <w:ind w:left="-105" w:leftChars="-50" w:right="-105" w:rightChars="-50"/>
              <w:jc w:val="center"/>
              <w:textAlignment w:val="baseline"/>
              <w:rPr>
                <w:rFonts w:hint="eastAsia" w:ascii="仿宋" w:hAnsi="仿宋" w:eastAsia="仿宋" w:cs="仿宋"/>
                <w:b/>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5DC1E">
            <w:pPr>
              <w:adjustRightInd w:val="0"/>
              <w:snapToGrid w:val="0"/>
              <w:spacing w:beforeLines="0" w:afterLines="0" w:line="360" w:lineRule="auto"/>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团队配置方案（满分5分）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3D38E8">
            <w:pPr>
              <w:spacing w:beforeLines="0" w:after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专职技术团队成员中：</w:t>
            </w:r>
          </w:p>
          <w:p w14:paraId="3A1EF074">
            <w:pPr>
              <w:spacing w:beforeLines="0" w:after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①具有项目服务内容相关专业高级职称的，一人得0.5分，满分3分；</w:t>
            </w:r>
          </w:p>
          <w:p w14:paraId="5F92594B">
            <w:pPr>
              <w:spacing w:beforeLines="0" w:after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②具有项目服务内容相关专业中级职称的，一人得0.4分，满分2分。</w:t>
            </w:r>
          </w:p>
          <w:p w14:paraId="07F07BDB">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投标文件中提供实施人员一览表及人员证书、劳动合同等证明材料并加盖投标单位公章，证明材料不未体现评分点的不得分。</w:t>
            </w:r>
          </w:p>
        </w:tc>
      </w:tr>
      <w:tr w14:paraId="35F0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D19AA0">
            <w:pPr>
              <w:spacing w:beforeLines="0" w:afterLines="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E35ED9">
            <w:pPr>
              <w:widowControl/>
              <w:spacing w:beforeLines="0" w:afterLines="0" w:line="360" w:lineRule="auto"/>
              <w:rPr>
                <w:rFonts w:hint="eastAsia" w:ascii="仿宋" w:hAnsi="仿宋" w:eastAsia="仿宋" w:cs="仿宋"/>
                <w:color w:val="auto"/>
                <w:spacing w:val="-18"/>
                <w:sz w:val="24"/>
                <w:szCs w:val="24"/>
                <w:highlight w:val="none"/>
              </w:rPr>
            </w:pPr>
            <w:r>
              <w:rPr>
                <w:rFonts w:hint="eastAsia" w:ascii="仿宋" w:hAnsi="仿宋" w:eastAsia="仿宋" w:cs="仿宋"/>
                <w:b/>
                <w:color w:val="auto"/>
                <w:sz w:val="24"/>
                <w:szCs w:val="24"/>
                <w:highlight w:val="none"/>
              </w:rPr>
              <w:t>商务资信分（满分25分）</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29B2B">
            <w:pPr>
              <w:adjustRightInd w:val="0"/>
              <w:snapToGrid w:val="0"/>
              <w:spacing w:beforeLines="0" w:afterLines="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企业信誉（满分6分）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1F658">
            <w:pPr>
              <w:autoSpaceDE w:val="0"/>
              <w:autoSpaceDN w:val="0"/>
              <w:adjustRightInd w:val="0"/>
              <w:spacing w:beforeLines="0" w:afterLines="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投标人具有有效的质量管理体系认证证书、信息技术服务管理体系认证证书、信息安全管理体系认证证书的，每项得2分，满分6分（投标文件中需提供证书复印件并加盖投标单位公章，不提供不得分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以上认证证书的认证范围需包含本项目相关的范围，如摄影测量与遥感、地理信息系统工程及相关服务、信息系统集成及服务、遥感影像数据代理服务等相关内容，否则不</w:t>
            </w:r>
            <w:r>
              <w:rPr>
                <w:rFonts w:hint="eastAsia"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rPr>
              <w:t>分。）</w:t>
            </w:r>
          </w:p>
        </w:tc>
      </w:tr>
      <w:tr w14:paraId="52E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74B3F8">
            <w:pPr>
              <w:spacing w:beforeLines="0" w:afterLines="0" w:line="360" w:lineRule="auto"/>
              <w:jc w:val="center"/>
              <w:rPr>
                <w:rFonts w:hint="eastAsia" w:ascii="仿宋" w:hAnsi="仿宋" w:eastAsia="仿宋" w:cs="仿宋"/>
                <w:b/>
                <w:color w:val="auto"/>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C01577">
            <w:pPr>
              <w:spacing w:beforeLines="0" w:afterLines="0" w:line="360" w:lineRule="auto"/>
              <w:jc w:val="left"/>
              <w:rPr>
                <w:rFonts w:hint="eastAsia" w:ascii="仿宋" w:hAnsi="仿宋" w:eastAsia="仿宋" w:cs="仿宋"/>
                <w:b/>
                <w:color w:val="auto"/>
                <w:spacing w:val="-18"/>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93956">
            <w:pPr>
              <w:pStyle w:val="18"/>
              <w:spacing w:beforeLines="0" w:afterLines="0" w:line="360" w:lineRule="auto"/>
              <w:ind w:left="0" w:leftChars="0" w:firstLine="0" w:firstLineChars="0"/>
              <w:jc w:val="center"/>
              <w:rPr>
                <w:rFonts w:hint="eastAsia" w:ascii="仿宋" w:hAnsi="仿宋" w:eastAsia="仿宋" w:cs="仿宋"/>
                <w:b/>
                <w:color w:val="auto"/>
                <w:sz w:val="24"/>
                <w:szCs w:val="24"/>
                <w:highlight w:val="none"/>
                <w:lang w:bidi="zh-CN"/>
              </w:rPr>
            </w:pPr>
            <w:r>
              <w:rPr>
                <w:rFonts w:hint="eastAsia" w:ascii="仿宋" w:hAnsi="仿宋" w:eastAsia="仿宋" w:cs="仿宋"/>
                <w:b/>
                <w:color w:val="auto"/>
                <w:sz w:val="24"/>
                <w:szCs w:val="24"/>
                <w:highlight w:val="none"/>
                <w:lang w:bidi="zh-CN"/>
              </w:rPr>
              <w:t>业绩分（满分10分）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22F16">
            <w:pPr>
              <w:pStyle w:val="18"/>
              <w:spacing w:beforeLines="0" w:afterLines="0" w:line="360" w:lineRule="auto"/>
              <w:rPr>
                <w:rFonts w:hint="eastAsia" w:ascii="仿宋" w:hAnsi="仿宋" w:eastAsia="仿宋" w:cs="仿宋"/>
                <w:color w:val="auto"/>
                <w:sz w:val="24"/>
                <w:szCs w:val="24"/>
                <w:highlight w:val="none"/>
                <w:lang w:bidi="zh-CN"/>
              </w:rPr>
            </w:pPr>
            <w:r>
              <w:rPr>
                <w:rFonts w:hint="eastAsia" w:ascii="仿宋" w:hAnsi="仿宋" w:eastAsia="仿宋" w:cs="仿宋"/>
                <w:color w:val="auto"/>
                <w:kern w:val="2"/>
                <w:sz w:val="24"/>
                <w:szCs w:val="24"/>
                <w:highlight w:val="none"/>
              </w:rPr>
              <w:t>202</w:t>
            </w: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年1月1日以来，投标人承担过的类似业绩</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lang w:eastAsia="zh-CN"/>
              </w:rPr>
              <w:t>优于1米（含1米）省级（或区域）</w:t>
            </w:r>
            <w:r>
              <w:rPr>
                <w:rFonts w:hint="eastAsia" w:ascii="仿宋" w:hAnsi="仿宋" w:eastAsia="仿宋" w:cs="仿宋"/>
                <w:color w:val="auto"/>
                <w:kern w:val="2"/>
                <w:sz w:val="24"/>
                <w:szCs w:val="24"/>
                <w:highlight w:val="none"/>
              </w:rPr>
              <w:t>卫星遥感影像获取项目</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，每个得2分，满分10分。（</w:t>
            </w:r>
            <w:r>
              <w:rPr>
                <w:rFonts w:hint="eastAsia" w:ascii="仿宋" w:hAnsi="仿宋" w:eastAsia="仿宋" w:cs="仿宋"/>
                <w:color w:val="auto"/>
                <w:kern w:val="2"/>
                <w:sz w:val="24"/>
                <w:szCs w:val="24"/>
                <w:highlight w:val="none"/>
                <w:lang w:val="en-US" w:eastAsia="zh-CN"/>
              </w:rPr>
              <w:t>投标文件中</w:t>
            </w:r>
            <w:r>
              <w:rPr>
                <w:rFonts w:hint="eastAsia" w:ascii="仿宋" w:hAnsi="仿宋" w:eastAsia="仿宋" w:cs="仿宋"/>
                <w:color w:val="auto"/>
                <w:kern w:val="2"/>
                <w:sz w:val="24"/>
                <w:szCs w:val="24"/>
                <w:highlight w:val="none"/>
              </w:rPr>
              <w:t>提供合同复印件并加盖单位公章，否则不得分）</w:t>
            </w:r>
          </w:p>
        </w:tc>
      </w:tr>
      <w:tr w14:paraId="5856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48F338">
            <w:pPr>
              <w:pStyle w:val="18"/>
              <w:spacing w:beforeLines="0" w:afterLines="0" w:line="360" w:lineRule="auto"/>
              <w:rPr>
                <w:rFonts w:hint="eastAsia" w:ascii="仿宋" w:hAnsi="仿宋" w:eastAsia="仿宋" w:cs="仿宋"/>
                <w:color w:val="auto"/>
                <w:kern w:val="2"/>
                <w:sz w:val="24"/>
                <w:szCs w:val="24"/>
                <w:highlight w:val="none"/>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57E5FD">
            <w:pPr>
              <w:pStyle w:val="18"/>
              <w:spacing w:beforeLines="0" w:afterLines="0" w:line="360" w:lineRule="auto"/>
              <w:rPr>
                <w:rFonts w:hint="eastAsia" w:ascii="仿宋" w:hAnsi="仿宋" w:eastAsia="仿宋" w:cs="仿宋"/>
                <w:color w:val="auto"/>
                <w:kern w:val="2"/>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626BD">
            <w:pPr>
              <w:pStyle w:val="18"/>
              <w:spacing w:beforeLines="0" w:afterLines="0" w:line="360" w:lineRule="auto"/>
              <w:ind w:left="0" w:leftChars="0" w:firstLine="0" w:firstLineChars="0"/>
              <w:jc w:val="center"/>
              <w:rPr>
                <w:rFonts w:hint="eastAsia" w:ascii="仿宋" w:hAnsi="仿宋" w:eastAsia="仿宋" w:cs="仿宋"/>
                <w:b/>
                <w:color w:val="auto"/>
                <w:sz w:val="24"/>
                <w:szCs w:val="24"/>
                <w:highlight w:val="none"/>
                <w:lang w:bidi="zh-CN"/>
              </w:rPr>
            </w:pPr>
            <w:r>
              <w:rPr>
                <w:rFonts w:hint="eastAsia" w:ascii="仿宋" w:hAnsi="仿宋" w:eastAsia="仿宋" w:cs="仿宋"/>
                <w:b/>
                <w:color w:val="auto"/>
                <w:sz w:val="24"/>
                <w:szCs w:val="24"/>
                <w:highlight w:val="none"/>
                <w:lang w:bidi="zh-CN"/>
              </w:rPr>
              <w:t>企业实力（满分9分）</w:t>
            </w:r>
          </w:p>
        </w:tc>
        <w:tc>
          <w:tcPr>
            <w:tcW w:w="68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83CCF5">
            <w:pPr>
              <w:pStyle w:val="18"/>
              <w:spacing w:beforeLines="0" w:afterLines="0"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数据获取稳定性：投标人对投入本项目的卫星数据源具有自主测控权的，每颗卫星得0.5分，最高得6分。</w:t>
            </w:r>
          </w:p>
          <w:p w14:paraId="2F1D3165">
            <w:pPr>
              <w:pStyle w:val="18"/>
              <w:spacing w:beforeLines="0" w:afterLines="0"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数据获取时效性：投标人拥有地面卫星接收站，可以快速接收获取卫星数据的，每个地面站得1分，最高得3分。</w:t>
            </w:r>
          </w:p>
          <w:p w14:paraId="4EE60737">
            <w:pPr>
              <w:pStyle w:val="18"/>
              <w:spacing w:beforeLines="0" w:afterLines="0" w:line="360" w:lineRule="auto"/>
              <w:rPr>
                <w:rFonts w:hint="default" w:ascii="仿宋" w:hAnsi="仿宋" w:eastAsia="仿宋" w:cs="仿宋"/>
                <w:color w:val="auto"/>
                <w:kern w:val="2"/>
                <w:sz w:val="24"/>
                <w:szCs w:val="24"/>
                <w:highlight w:val="none"/>
                <w:lang w:val="en-US" w:eastAsia="zh-CN"/>
              </w:rPr>
            </w:pPr>
            <w:r>
              <w:rPr>
                <w:rFonts w:hint="default" w:ascii="仿宋" w:hAnsi="仿宋" w:eastAsia="仿宋" w:cs="仿宋"/>
                <w:color w:val="auto"/>
                <w:kern w:val="2"/>
                <w:sz w:val="24"/>
                <w:szCs w:val="24"/>
                <w:highlight w:val="none"/>
                <w:lang w:val="en-US" w:eastAsia="zh-CN"/>
              </w:rPr>
              <w:t>投标文件中提供证明材料，未提供证明材料或证明材料不体现</w:t>
            </w:r>
            <w:r>
              <w:rPr>
                <w:rFonts w:hint="eastAsia" w:ascii="仿宋" w:hAnsi="仿宋" w:eastAsia="仿宋" w:cs="仿宋"/>
                <w:color w:val="auto"/>
                <w:kern w:val="2"/>
                <w:sz w:val="24"/>
                <w:szCs w:val="24"/>
                <w:highlight w:val="none"/>
                <w:lang w:val="en-US" w:eastAsia="zh-CN"/>
              </w:rPr>
              <w:t>评分要求的不得分。</w:t>
            </w:r>
          </w:p>
        </w:tc>
      </w:tr>
      <w:tr w14:paraId="039B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5031314">
            <w:pPr>
              <w:pStyle w:val="18"/>
              <w:spacing w:beforeLines="0" w:afterLines="0"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总得分=1+2+3</w:t>
            </w:r>
          </w:p>
        </w:tc>
      </w:tr>
    </w:tbl>
    <w:p w14:paraId="5A40B4EB">
      <w:pPr>
        <w:pStyle w:val="4"/>
        <w:ind w:firstLine="640"/>
        <w:rPr>
          <w:rFonts w:hint="eastAsia" w:ascii="仿宋" w:hAnsi="仿宋" w:eastAsia="仿宋" w:cs="仿宋"/>
          <w:color w:val="auto"/>
          <w:highlight w:val="none"/>
        </w:rPr>
      </w:pPr>
    </w:p>
    <w:p w14:paraId="4065293C">
      <w:pPr>
        <w:pStyle w:val="4"/>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四、中标候选人推荐原则</w:t>
      </w:r>
    </w:p>
    <w:p w14:paraId="4D03BC70">
      <w:pPr>
        <w:pStyle w:val="22"/>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评标委员会将根据总得分由高到低排列次序并推荐中标候选人。得分相同的，按投标报价由低到高顺序排列。得分且投标报价相同的并列，依次按</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评分高的优先、商务评分高的优先的顺序确定中标候选人。</w:t>
      </w:r>
    </w:p>
    <w:p w14:paraId="1F647B84">
      <w:pPr>
        <w:pStyle w:val="22"/>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保证服务质量，本项目3个分标，投标人可以兼投但不能兼中，每个投标人仅能中标一个分标。评标委员会按1分标、2分标、3分标的顺序依次推荐，已推荐为前一个分标第一中标候选人的，不再推荐为下一个分标的中标候选人。</w:t>
      </w:r>
    </w:p>
    <w:p w14:paraId="124D0EDE">
      <w:pPr>
        <w:pStyle w:val="22"/>
        <w:spacing w:line="360" w:lineRule="auto"/>
        <w:ind w:firstLine="643" w:firstLineChars="200"/>
        <w:contextualSpacing/>
        <w:jc w:val="center"/>
        <w:rPr>
          <w:rFonts w:hint="eastAsia" w:ascii="仿宋" w:hAnsi="仿宋" w:eastAsia="仿宋" w:cs="仿宋"/>
          <w:b/>
          <w:bCs/>
          <w:color w:val="auto"/>
          <w:kern w:val="0"/>
          <w:sz w:val="32"/>
          <w:szCs w:val="32"/>
          <w:highlight w:val="none"/>
          <w:lang w:val="en-US" w:eastAsia="zh-CN" w:bidi="ar-SA"/>
        </w:rPr>
      </w:pPr>
      <w:bookmarkStart w:id="142" w:name="_Toc11545"/>
      <w:bookmarkStart w:id="143" w:name="_Toc7971"/>
      <w:bookmarkStart w:id="144" w:name="_Toc13625"/>
      <w:bookmarkStart w:id="145" w:name="_Toc9602"/>
      <w:bookmarkStart w:id="146" w:name="_Toc11695"/>
      <w:bookmarkStart w:id="147" w:name="_Toc22384"/>
      <w:bookmarkStart w:id="148" w:name="_Toc11073"/>
      <w:bookmarkStart w:id="149" w:name="_Toc13808"/>
      <w:bookmarkStart w:id="150" w:name="_Toc27419"/>
      <w:bookmarkStart w:id="151" w:name="_Toc29218"/>
    </w:p>
    <w:bookmarkEnd w:id="142"/>
    <w:bookmarkEnd w:id="143"/>
    <w:bookmarkEnd w:id="144"/>
    <w:bookmarkEnd w:id="145"/>
    <w:bookmarkEnd w:id="146"/>
    <w:bookmarkEnd w:id="147"/>
    <w:bookmarkEnd w:id="148"/>
    <w:bookmarkEnd w:id="149"/>
    <w:bookmarkEnd w:id="150"/>
    <w:bookmarkEnd w:id="151"/>
    <w:p w14:paraId="08847FA9">
      <w:pPr>
        <w:pStyle w:val="2"/>
        <w:bidi w:val="0"/>
        <w:rPr>
          <w:rFonts w:hint="eastAsia" w:ascii="仿宋" w:hAnsi="仿宋" w:eastAsia="仿宋" w:cs="仿宋"/>
          <w:color w:val="auto"/>
          <w:highlight w:val="none"/>
        </w:rPr>
      </w:pPr>
      <w:r>
        <w:rPr>
          <w:rFonts w:hint="eastAsia" w:ascii="仿宋" w:hAnsi="仿宋" w:eastAsia="仿宋" w:cs="仿宋"/>
          <w:color w:val="auto"/>
          <w:sz w:val="24"/>
          <w:highlight w:val="none"/>
        </w:rPr>
        <w:br w:type="page"/>
      </w:r>
      <w:bookmarkStart w:id="152" w:name="_Toc25250"/>
      <w:bookmarkStart w:id="153" w:name="_Toc2453"/>
      <w:r>
        <w:rPr>
          <w:rFonts w:hint="eastAsia" w:ascii="仿宋" w:hAnsi="仿宋" w:eastAsia="仿宋" w:cs="仿宋"/>
          <w:color w:val="auto"/>
          <w:highlight w:val="none"/>
        </w:rPr>
        <w:t>第五章  拟签订的合同文本</w:t>
      </w:r>
      <w:bookmarkEnd w:id="152"/>
      <w:bookmarkEnd w:id="153"/>
    </w:p>
    <w:p w14:paraId="41CAC135">
      <w:pPr>
        <w:spacing w:line="360" w:lineRule="auto"/>
        <w:ind w:firstLine="482"/>
        <w:rPr>
          <w:rFonts w:hint="eastAsia" w:ascii="仿宋" w:hAnsi="仿宋" w:eastAsia="仿宋" w:cs="仿宋"/>
          <w:color w:val="auto"/>
          <w:sz w:val="24"/>
          <w:highlight w:val="none"/>
        </w:rPr>
      </w:pPr>
    </w:p>
    <w:p w14:paraId="3F4881A9">
      <w:pPr>
        <w:widowControl/>
        <w:spacing w:line="980" w:lineRule="exact"/>
        <w:jc w:val="center"/>
        <w:rPr>
          <w:rFonts w:hint="eastAsia" w:ascii="仿宋" w:hAnsi="仿宋" w:eastAsia="仿宋" w:cs="仿宋"/>
          <w:b/>
          <w:color w:val="auto"/>
          <w:sz w:val="52"/>
          <w:szCs w:val="52"/>
          <w:highlight w:val="none"/>
        </w:rPr>
      </w:pPr>
    </w:p>
    <w:p w14:paraId="06FA566A">
      <w:pPr>
        <w:widowControl/>
        <w:spacing w:line="980" w:lineRule="exact"/>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广西壮族自治区政府采购合同书</w:t>
      </w:r>
    </w:p>
    <w:p w14:paraId="18189416">
      <w:pPr>
        <w:widowControl/>
        <w:spacing w:line="580" w:lineRule="exact"/>
        <w:ind w:left="1584" w:hanging="1584" w:hangingChars="495"/>
        <w:jc w:val="left"/>
        <w:rPr>
          <w:rFonts w:hint="eastAsia" w:ascii="仿宋" w:hAnsi="仿宋" w:eastAsia="仿宋" w:cs="仿宋"/>
          <w:color w:val="auto"/>
          <w:sz w:val="32"/>
          <w:highlight w:val="none"/>
        </w:rPr>
      </w:pPr>
    </w:p>
    <w:p w14:paraId="37F8C7DA">
      <w:pPr>
        <w:widowControl/>
        <w:spacing w:line="580" w:lineRule="exact"/>
        <w:ind w:left="1584" w:hanging="1584" w:hangingChars="495"/>
        <w:jc w:val="left"/>
        <w:rPr>
          <w:rFonts w:hint="eastAsia" w:ascii="仿宋" w:hAnsi="仿宋" w:eastAsia="仿宋" w:cs="仿宋"/>
          <w:color w:val="auto"/>
          <w:sz w:val="32"/>
          <w:highlight w:val="none"/>
        </w:rPr>
      </w:pPr>
    </w:p>
    <w:p w14:paraId="19DCFE69">
      <w:pPr>
        <w:widowControl/>
        <w:spacing w:line="580" w:lineRule="exact"/>
        <w:ind w:left="164" w:leftChars="78" w:firstLine="1734" w:firstLineChars="542"/>
        <w:jc w:val="left"/>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项目名称：</w:t>
      </w:r>
      <w:r>
        <w:rPr>
          <w:rFonts w:hint="eastAsia" w:ascii="仿宋" w:hAnsi="仿宋" w:eastAsia="仿宋" w:cs="仿宋"/>
          <w:color w:val="auto"/>
          <w:sz w:val="32"/>
          <w:highlight w:val="none"/>
          <w:lang w:eastAsia="zh-CN"/>
        </w:rPr>
        <w:t>全区卫星遥感数据统筹获取与处理（2026年优于1米分辨率卫星影像和0.3米分辨率立体卫星遥感影像</w:t>
      </w:r>
    </w:p>
    <w:p w14:paraId="5391140C">
      <w:pPr>
        <w:widowControl/>
        <w:spacing w:line="580" w:lineRule="exact"/>
        <w:ind w:left="164" w:leftChars="78" w:firstLine="1734" w:firstLineChars="542"/>
        <w:jc w:val="left"/>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项目编号：</w:t>
      </w:r>
      <w:r>
        <w:rPr>
          <w:rFonts w:hint="eastAsia" w:ascii="仿宋" w:hAnsi="仿宋" w:eastAsia="仿宋" w:cs="仿宋"/>
          <w:color w:val="auto"/>
          <w:sz w:val="32"/>
          <w:highlight w:val="none"/>
          <w:lang w:eastAsia="zh-CN"/>
        </w:rPr>
        <w:t>GXZC2026-G3-001277-KWZB</w:t>
      </w:r>
    </w:p>
    <w:p w14:paraId="1BEDD12A">
      <w:pPr>
        <w:widowControl/>
        <w:spacing w:line="580" w:lineRule="exact"/>
        <w:ind w:left="164" w:leftChars="78" w:firstLine="1734" w:firstLineChars="542"/>
        <w:jc w:val="left"/>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合同编号：</w:t>
      </w:r>
      <w:r>
        <w:rPr>
          <w:rFonts w:hint="eastAsia" w:ascii="仿宋" w:hAnsi="仿宋" w:eastAsia="仿宋" w:cs="仿宋"/>
          <w:color w:val="auto"/>
          <w:sz w:val="32"/>
          <w:highlight w:val="none"/>
          <w:lang w:eastAsia="zh-CN"/>
        </w:rPr>
        <w:t>GXZC2026-G3-001277-KWZB</w:t>
      </w:r>
    </w:p>
    <w:p w14:paraId="02839DAE">
      <w:pPr>
        <w:widowControl/>
        <w:spacing w:line="580" w:lineRule="exact"/>
        <w:ind w:left="164" w:leftChars="78" w:firstLine="1734" w:firstLineChars="542"/>
        <w:jc w:val="left"/>
        <w:rPr>
          <w:rFonts w:hint="eastAsia" w:ascii="仿宋" w:hAnsi="仿宋" w:eastAsia="仿宋" w:cs="仿宋"/>
          <w:b/>
          <w:color w:val="auto"/>
          <w:sz w:val="32"/>
          <w:highlight w:val="none"/>
          <w:u w:val="single"/>
        </w:rPr>
      </w:pPr>
      <w:r>
        <w:rPr>
          <w:rFonts w:hint="eastAsia" w:ascii="仿宋" w:hAnsi="仿宋" w:eastAsia="仿宋" w:cs="仿宋"/>
          <w:color w:val="auto"/>
          <w:sz w:val="32"/>
          <w:highlight w:val="none"/>
          <w:lang w:val="en-US" w:eastAsia="zh-CN"/>
        </w:rPr>
        <w:t>分标号：</w:t>
      </w:r>
    </w:p>
    <w:p w14:paraId="47BCFEAF">
      <w:pPr>
        <w:widowControl/>
        <w:spacing w:line="580" w:lineRule="exact"/>
        <w:jc w:val="center"/>
        <w:rPr>
          <w:rFonts w:hint="eastAsia" w:ascii="仿宋" w:hAnsi="仿宋" w:eastAsia="仿宋" w:cs="仿宋"/>
          <w:color w:val="auto"/>
          <w:sz w:val="32"/>
          <w:highlight w:val="none"/>
        </w:rPr>
      </w:pPr>
    </w:p>
    <w:p w14:paraId="16D98730">
      <w:pPr>
        <w:spacing w:line="580" w:lineRule="exact"/>
        <w:rPr>
          <w:rFonts w:hint="eastAsia" w:ascii="仿宋" w:hAnsi="仿宋" w:eastAsia="仿宋" w:cs="仿宋"/>
          <w:color w:val="auto"/>
          <w:sz w:val="24"/>
          <w:highlight w:val="none"/>
        </w:rPr>
      </w:pPr>
    </w:p>
    <w:p w14:paraId="4DA528F8">
      <w:pPr>
        <w:widowControl/>
        <w:spacing w:line="580" w:lineRule="exact"/>
        <w:ind w:firstLine="1453"/>
        <w:jc w:val="left"/>
        <w:rPr>
          <w:rFonts w:hint="eastAsia" w:ascii="仿宋" w:hAnsi="仿宋" w:eastAsia="仿宋" w:cs="仿宋"/>
          <w:color w:val="auto"/>
          <w:sz w:val="28"/>
          <w:highlight w:val="none"/>
          <w:u w:val="single"/>
        </w:rPr>
      </w:pPr>
    </w:p>
    <w:p w14:paraId="7C87CDC7">
      <w:pPr>
        <w:widowControl/>
        <w:tabs>
          <w:tab w:val="left" w:pos="7200"/>
        </w:tabs>
        <w:spacing w:line="580" w:lineRule="exact"/>
        <w:ind w:firstLine="1283" w:firstLineChars="401"/>
        <w:jc w:val="left"/>
        <w:rPr>
          <w:rFonts w:hint="eastAsia" w:ascii="仿宋" w:hAnsi="仿宋" w:eastAsia="仿宋" w:cs="仿宋"/>
          <w:color w:val="auto"/>
          <w:sz w:val="32"/>
          <w:highlight w:val="none"/>
        </w:rPr>
      </w:pPr>
      <w:r>
        <w:rPr>
          <w:rFonts w:hint="eastAsia" w:ascii="仿宋" w:hAnsi="仿宋" w:eastAsia="仿宋" w:cs="仿宋"/>
          <w:color w:val="auto"/>
          <w:sz w:val="32"/>
          <w:highlight w:val="none"/>
        </w:rPr>
        <w:t>采购人（甲方）：</w:t>
      </w:r>
      <w:r>
        <w:rPr>
          <w:rFonts w:hint="eastAsia" w:ascii="仿宋" w:hAnsi="仿宋" w:eastAsia="仿宋" w:cs="仿宋"/>
          <w:color w:val="auto"/>
          <w:sz w:val="32"/>
          <w:highlight w:val="none"/>
          <w:u w:val="single"/>
        </w:rPr>
        <w:t>广西壮族自治区自然资源厅</w:t>
      </w:r>
    </w:p>
    <w:p w14:paraId="61235B6F">
      <w:pPr>
        <w:widowControl/>
        <w:tabs>
          <w:tab w:val="left" w:pos="7380"/>
        </w:tabs>
        <w:spacing w:line="580" w:lineRule="exact"/>
        <w:ind w:firstLine="1283" w:firstLineChars="401"/>
        <w:jc w:val="left"/>
        <w:rPr>
          <w:rFonts w:hint="eastAsia" w:ascii="仿宋" w:hAnsi="仿宋" w:eastAsia="仿宋" w:cs="仿宋"/>
          <w:color w:val="auto"/>
          <w:sz w:val="32"/>
          <w:highlight w:val="none"/>
        </w:rPr>
      </w:pPr>
      <w:r>
        <w:rPr>
          <w:rFonts w:hint="eastAsia" w:ascii="仿宋" w:hAnsi="仿宋" w:eastAsia="仿宋" w:cs="仿宋"/>
          <w:color w:val="auto"/>
          <w:sz w:val="32"/>
          <w:highlight w:val="none"/>
        </w:rPr>
        <w:t>中标人（乙方）：</w:t>
      </w:r>
      <w:r>
        <w:rPr>
          <w:rFonts w:hint="eastAsia" w:ascii="仿宋" w:hAnsi="仿宋" w:eastAsia="仿宋" w:cs="仿宋"/>
          <w:color w:val="auto"/>
          <w:sz w:val="32"/>
          <w:highlight w:val="none"/>
          <w:u w:val="single"/>
        </w:rPr>
        <w:t xml:space="preserve">                        </w:t>
      </w:r>
      <w:r>
        <w:rPr>
          <w:rFonts w:hint="eastAsia" w:ascii="仿宋" w:hAnsi="仿宋" w:eastAsia="仿宋" w:cs="仿宋"/>
          <w:color w:val="auto"/>
          <w:sz w:val="32"/>
          <w:highlight w:val="none"/>
        </w:rPr>
        <w:t xml:space="preserve"> </w:t>
      </w:r>
    </w:p>
    <w:p w14:paraId="57778D9A">
      <w:pPr>
        <w:widowControl/>
        <w:tabs>
          <w:tab w:val="left" w:pos="7380"/>
        </w:tabs>
        <w:spacing w:line="580" w:lineRule="exact"/>
        <w:jc w:val="center"/>
        <w:rPr>
          <w:rFonts w:hint="eastAsia" w:ascii="仿宋" w:hAnsi="仿宋" w:eastAsia="仿宋" w:cs="仿宋"/>
          <w:color w:val="auto"/>
          <w:sz w:val="32"/>
          <w:highlight w:val="none"/>
        </w:rPr>
      </w:pPr>
    </w:p>
    <w:p w14:paraId="1CA4B608">
      <w:pPr>
        <w:jc w:val="center"/>
        <w:rPr>
          <w:rFonts w:hint="eastAsia" w:ascii="仿宋" w:hAnsi="仿宋" w:eastAsia="仿宋" w:cs="仿宋"/>
          <w:color w:val="auto"/>
          <w:highlight w:val="none"/>
        </w:rPr>
      </w:pPr>
      <w:r>
        <w:rPr>
          <w:rFonts w:hint="eastAsia" w:ascii="仿宋" w:hAnsi="仿宋" w:eastAsia="仿宋" w:cs="仿宋"/>
          <w:color w:val="auto"/>
          <w:sz w:val="32"/>
          <w:highlight w:val="none"/>
          <w:lang w:eastAsia="zh-CN"/>
        </w:rPr>
        <w:t>2026年</w:t>
      </w:r>
      <w:r>
        <w:rPr>
          <w:rFonts w:hint="eastAsia" w:ascii="仿宋" w:hAnsi="仿宋" w:eastAsia="仿宋" w:cs="仿宋"/>
          <w:color w:val="auto"/>
          <w:sz w:val="32"/>
          <w:highlight w:val="none"/>
        </w:rPr>
        <w:t xml:space="preserve">   月</w:t>
      </w:r>
      <w:r>
        <w:rPr>
          <w:rFonts w:hint="eastAsia" w:ascii="仿宋" w:hAnsi="仿宋" w:eastAsia="仿宋" w:cs="仿宋"/>
          <w:color w:val="auto"/>
          <w:sz w:val="32"/>
          <w:highlight w:val="none"/>
          <w:lang w:val="en-US" w:eastAsia="zh-CN"/>
        </w:rPr>
        <w:t xml:space="preserve">  日</w:t>
      </w:r>
      <w:r>
        <w:rPr>
          <w:rFonts w:hint="eastAsia" w:ascii="仿宋" w:hAnsi="仿宋" w:eastAsia="仿宋" w:cs="仿宋"/>
          <w:color w:val="auto"/>
          <w:highlight w:val="none"/>
        </w:rPr>
        <w:br w:type="page"/>
      </w:r>
    </w:p>
    <w:p w14:paraId="49B9943D">
      <w:pPr>
        <w:jc w:val="center"/>
        <w:rPr>
          <w:rFonts w:hint="eastAsia" w:ascii="仿宋" w:hAnsi="仿宋" w:eastAsia="仿宋" w:cs="仿宋"/>
          <w:color w:val="auto"/>
          <w:highlight w:val="none"/>
        </w:rPr>
      </w:pPr>
    </w:p>
    <w:p w14:paraId="294591AE">
      <w:pPr>
        <w:widowControl/>
        <w:spacing w:line="52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广西壮族自治区采购合同书</w:t>
      </w:r>
    </w:p>
    <w:p w14:paraId="500C0489">
      <w:pPr>
        <w:widowControl/>
        <w:snapToGrid w:val="0"/>
        <w:spacing w:line="360" w:lineRule="exact"/>
        <w:jc w:val="left"/>
        <w:rPr>
          <w:rFonts w:hint="eastAsia" w:ascii="仿宋" w:hAnsi="仿宋" w:eastAsia="仿宋" w:cs="仿宋"/>
          <w:color w:val="auto"/>
          <w:sz w:val="32"/>
          <w:highlight w:val="none"/>
        </w:rPr>
      </w:pPr>
    </w:p>
    <w:p w14:paraId="43ABC6AA">
      <w:pPr>
        <w:keepNext w:val="0"/>
        <w:keepLines w:val="0"/>
        <w:pageBreakBefore w:val="0"/>
        <w:widowControl/>
        <w:kinsoku/>
        <w:wordWrap/>
        <w:overflowPunct/>
        <w:topLinePunct w:val="0"/>
        <w:autoSpaceDE/>
        <w:autoSpaceDN/>
        <w:bidi w:val="0"/>
        <w:adjustRightInd/>
        <w:snapToGrid w:val="0"/>
        <w:spacing w:line="360" w:lineRule="auto"/>
        <w:ind w:left="0" w:right="0"/>
        <w:jc w:val="left"/>
        <w:textAlignment w:val="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lang w:eastAsia="zh-CN"/>
        </w:rPr>
        <w:t>GXZC2026-G3-001277-KWZB</w:t>
      </w:r>
    </w:p>
    <w:p w14:paraId="7F2163BC">
      <w:pPr>
        <w:keepNext w:val="0"/>
        <w:keepLines w:val="0"/>
        <w:pageBreakBefore w:val="0"/>
        <w:widowControl/>
        <w:kinsoku/>
        <w:wordWrap/>
        <w:overflowPunct/>
        <w:topLinePunct w:val="0"/>
        <w:autoSpaceDE/>
        <w:autoSpaceDN/>
        <w:bidi w:val="0"/>
        <w:adjustRightInd/>
        <w:snapToGrid w:val="0"/>
        <w:spacing w:line="360" w:lineRule="auto"/>
        <w:ind w:left="0"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采购计划号：      </w:t>
      </w:r>
    </w:p>
    <w:p w14:paraId="2FAB5D42">
      <w:pPr>
        <w:keepNext w:val="0"/>
        <w:keepLines w:val="0"/>
        <w:pageBreakBefore w:val="0"/>
        <w:widowControl/>
        <w:kinsoku/>
        <w:wordWrap/>
        <w:overflowPunct/>
        <w:topLinePunct w:val="0"/>
        <w:autoSpaceDE/>
        <w:autoSpaceDN/>
        <w:bidi w:val="0"/>
        <w:adjustRightInd/>
        <w:snapToGrid w:val="0"/>
        <w:spacing w:line="360" w:lineRule="auto"/>
        <w:ind w:left="0"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采购人（甲方）：</w:t>
      </w:r>
      <w:r>
        <w:rPr>
          <w:rFonts w:hint="eastAsia" w:ascii="仿宋" w:hAnsi="仿宋" w:eastAsia="仿宋" w:cs="仿宋"/>
          <w:color w:val="auto"/>
          <w:sz w:val="24"/>
          <w:highlight w:val="none"/>
          <w:u w:val="single"/>
        </w:rPr>
        <w:t>广西壮族自治区自然资源厅</w:t>
      </w:r>
    </w:p>
    <w:p w14:paraId="41B9477A">
      <w:pPr>
        <w:keepNext w:val="0"/>
        <w:keepLines w:val="0"/>
        <w:pageBreakBefore w:val="0"/>
        <w:widowControl/>
        <w:kinsoku/>
        <w:wordWrap/>
        <w:overflowPunct/>
        <w:topLinePunct w:val="0"/>
        <w:autoSpaceDE/>
        <w:autoSpaceDN/>
        <w:bidi w:val="0"/>
        <w:adjustRightInd/>
        <w:snapToGrid w:val="0"/>
        <w:spacing w:line="360" w:lineRule="auto"/>
        <w:ind w:left="0" w:right="0"/>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供应商（乙方）：</w:t>
      </w:r>
      <w:r>
        <w:rPr>
          <w:rFonts w:hint="eastAsia" w:ascii="仿宋" w:hAnsi="仿宋" w:eastAsia="仿宋" w:cs="仿宋"/>
          <w:color w:val="auto"/>
          <w:sz w:val="24"/>
          <w:highlight w:val="none"/>
          <w:u w:val="single"/>
        </w:rPr>
        <w:t xml:space="preserve">                       </w:t>
      </w:r>
    </w:p>
    <w:p w14:paraId="2C779D5D">
      <w:pPr>
        <w:keepNext w:val="0"/>
        <w:keepLines w:val="0"/>
        <w:pageBreakBefore w:val="0"/>
        <w:widowControl/>
        <w:kinsoku/>
        <w:wordWrap/>
        <w:overflowPunct/>
        <w:topLinePunct w:val="0"/>
        <w:autoSpaceDE/>
        <w:autoSpaceDN/>
        <w:bidi w:val="0"/>
        <w:adjustRightInd/>
        <w:snapToGrid w:val="0"/>
        <w:spacing w:line="360" w:lineRule="auto"/>
        <w:ind w:left="0" w:right="0"/>
        <w:jc w:val="left"/>
        <w:textAlignment w:val="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全区卫星遥感数据统筹获取与处理（2026年优于1米分辨率卫星影像和0.3米分辨率立体卫星遥感影像）</w:t>
      </w:r>
    </w:p>
    <w:p w14:paraId="692E6F1D">
      <w:pPr>
        <w:keepNext w:val="0"/>
        <w:keepLines w:val="0"/>
        <w:pageBreakBefore w:val="0"/>
        <w:widowControl/>
        <w:kinsoku/>
        <w:wordWrap/>
        <w:overflowPunct/>
        <w:topLinePunct w:val="0"/>
        <w:autoSpaceDE/>
        <w:autoSpaceDN/>
        <w:bidi w:val="0"/>
        <w:adjustRightInd/>
        <w:snapToGrid w:val="0"/>
        <w:spacing w:line="360" w:lineRule="auto"/>
        <w:ind w:left="0" w:right="0"/>
        <w:jc w:val="left"/>
        <w:textAlignment w:val="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GXZC2026-G3-001277-KWZB</w:t>
      </w:r>
    </w:p>
    <w:p w14:paraId="6672AFE3">
      <w:pPr>
        <w:keepNext w:val="0"/>
        <w:keepLines w:val="0"/>
        <w:pageBreakBefore w:val="0"/>
        <w:widowControl/>
        <w:kinsoku/>
        <w:wordWrap/>
        <w:overflowPunct/>
        <w:topLinePunct w:val="0"/>
        <w:autoSpaceDE/>
        <w:autoSpaceDN/>
        <w:bidi w:val="0"/>
        <w:adjustRightInd/>
        <w:snapToGrid w:val="0"/>
        <w:spacing w:line="360" w:lineRule="auto"/>
        <w:ind w:left="0" w:right="0"/>
        <w:jc w:val="left"/>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分标号：</w:t>
      </w:r>
      <w:r>
        <w:rPr>
          <w:rFonts w:hint="eastAsia" w:ascii="仿宋" w:hAnsi="仿宋" w:eastAsia="仿宋" w:cs="仿宋"/>
          <w:color w:val="auto"/>
          <w:sz w:val="24"/>
          <w:highlight w:val="none"/>
          <w:u w:val="single"/>
          <w:lang w:val="en-US" w:eastAsia="zh-CN"/>
        </w:rPr>
        <w:t xml:space="preserve">       </w:t>
      </w:r>
    </w:p>
    <w:p w14:paraId="260BAE14">
      <w:pPr>
        <w:keepNext w:val="0"/>
        <w:keepLines w:val="0"/>
        <w:pageBreakBefore w:val="0"/>
        <w:widowControl/>
        <w:kinsoku/>
        <w:wordWrap/>
        <w:overflowPunct/>
        <w:topLinePunct w:val="0"/>
        <w:autoSpaceDE/>
        <w:autoSpaceDN/>
        <w:bidi w:val="0"/>
        <w:adjustRightInd/>
        <w:snapToGrid w:val="0"/>
        <w:spacing w:line="360" w:lineRule="auto"/>
        <w:ind w:left="0" w:right="0"/>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签订地点：</w:t>
      </w:r>
      <w:r>
        <w:rPr>
          <w:rFonts w:hint="eastAsia" w:ascii="仿宋" w:hAnsi="仿宋" w:eastAsia="仿宋" w:cs="仿宋"/>
          <w:color w:val="auto"/>
          <w:sz w:val="24"/>
          <w:highlight w:val="none"/>
          <w:u w:val="single"/>
        </w:rPr>
        <w:t>广西壮族自治区南宁市青秀区中新路2号</w:t>
      </w:r>
      <w:r>
        <w:rPr>
          <w:rFonts w:hint="eastAsia" w:ascii="仿宋" w:hAnsi="仿宋" w:eastAsia="仿宋" w:cs="仿宋"/>
          <w:color w:val="auto"/>
          <w:sz w:val="24"/>
          <w:highlight w:val="none"/>
        </w:rPr>
        <w:t xml:space="preserve">    </w:t>
      </w:r>
    </w:p>
    <w:p w14:paraId="5A59D4FF">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szCs w:val="32"/>
          <w:highlight w:val="none"/>
        </w:rPr>
      </w:pPr>
    </w:p>
    <w:p w14:paraId="58D59B6D">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szCs w:val="32"/>
          <w:highlight w:val="none"/>
          <w:u w:val="single"/>
        </w:rPr>
      </w:pPr>
      <w:r>
        <w:rPr>
          <w:rFonts w:hint="eastAsia" w:ascii="仿宋" w:hAnsi="仿宋" w:eastAsia="仿宋" w:cs="仿宋"/>
          <w:color w:val="auto"/>
          <w:sz w:val="24"/>
          <w:szCs w:val="32"/>
          <w:highlight w:val="none"/>
        </w:rPr>
        <w:t>根据《中华人民共和国政府采购法》《中华人民共和国民法典》等法律、法规规定，按照招标文件规定条款和中标人投标文件及其承诺，甲乙双方签订本合同。</w:t>
      </w:r>
    </w:p>
    <w:p w14:paraId="6DA874E8">
      <w:pPr>
        <w:keepNext w:val="0"/>
        <w:keepLines w:val="0"/>
        <w:pageBreakBefore w:val="0"/>
        <w:numPr>
          <w:ilvl w:val="0"/>
          <w:numId w:val="0"/>
        </w:numPr>
        <w:kinsoku/>
        <w:wordWrap/>
        <w:overflowPunct/>
        <w:topLinePunct w:val="0"/>
        <w:autoSpaceDE/>
        <w:autoSpaceDN/>
        <w:bidi w:val="0"/>
        <w:adjustRightInd/>
        <w:spacing w:line="360" w:lineRule="auto"/>
        <w:ind w:right="0" w:rightChars="0" w:firstLine="240" w:firstLineChars="1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1.</w:t>
      </w:r>
      <w:r>
        <w:rPr>
          <w:rFonts w:hint="eastAsia" w:ascii="仿宋" w:hAnsi="仿宋" w:eastAsia="仿宋" w:cs="仿宋"/>
          <w:color w:val="auto"/>
          <w:sz w:val="24"/>
          <w:szCs w:val="32"/>
          <w:highlight w:val="none"/>
        </w:rPr>
        <w:t>项目一览表</w:t>
      </w:r>
    </w:p>
    <w:tbl>
      <w:tblPr>
        <w:tblStyle w:val="41"/>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842"/>
        <w:gridCol w:w="2526"/>
        <w:gridCol w:w="1122"/>
        <w:gridCol w:w="1350"/>
        <w:gridCol w:w="1395"/>
      </w:tblGrid>
      <w:tr w14:paraId="72C5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71259AB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42" w:type="dxa"/>
            <w:vAlign w:val="center"/>
          </w:tcPr>
          <w:p w14:paraId="3722A7E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2526" w:type="dxa"/>
            <w:vAlign w:val="center"/>
          </w:tcPr>
          <w:p w14:paraId="0AD4391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1122" w:type="dxa"/>
            <w:vAlign w:val="center"/>
          </w:tcPr>
          <w:p w14:paraId="35BAC4E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数量及单位①</w:t>
            </w:r>
          </w:p>
        </w:tc>
        <w:tc>
          <w:tcPr>
            <w:tcW w:w="1350" w:type="dxa"/>
            <w:vAlign w:val="center"/>
          </w:tcPr>
          <w:p w14:paraId="7D44687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单价②  </w:t>
            </w:r>
          </w:p>
        </w:tc>
        <w:tc>
          <w:tcPr>
            <w:tcW w:w="1395" w:type="dxa"/>
            <w:vAlign w:val="center"/>
          </w:tcPr>
          <w:p w14:paraId="2C6608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单项合计</w:t>
            </w:r>
          </w:p>
          <w:p w14:paraId="5A46B45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③＝①×②</w:t>
            </w:r>
          </w:p>
        </w:tc>
      </w:tr>
      <w:tr w14:paraId="3E21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0B994B5E">
            <w:pPr>
              <w:spacing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42" w:type="dxa"/>
            <w:vAlign w:val="center"/>
          </w:tcPr>
          <w:p w14:paraId="530F218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全区卫星遥感数据统筹获取与处理（</w:t>
            </w:r>
            <w:r>
              <w:rPr>
                <w:rFonts w:hint="eastAsia" w:ascii="仿宋" w:hAnsi="仿宋" w:eastAsia="仿宋" w:cs="仿宋"/>
                <w:color w:val="auto"/>
                <w:sz w:val="24"/>
                <w:szCs w:val="24"/>
                <w:highlight w:val="none"/>
                <w:lang w:eastAsia="zh-CN"/>
              </w:rPr>
              <w:t>2026年优于1米分辨率卫星影像和0.3米分辨率立体卫星遥感影像</w:t>
            </w:r>
            <w:r>
              <w:rPr>
                <w:rFonts w:hint="eastAsia" w:ascii="仿宋" w:hAnsi="仿宋" w:eastAsia="仿宋" w:cs="仿宋"/>
                <w:color w:val="auto"/>
                <w:sz w:val="24"/>
                <w:szCs w:val="24"/>
                <w:highlight w:val="none"/>
              </w:rPr>
              <w:t>）</w:t>
            </w:r>
          </w:p>
        </w:tc>
        <w:tc>
          <w:tcPr>
            <w:tcW w:w="2526" w:type="dxa"/>
            <w:vAlign w:val="center"/>
          </w:tcPr>
          <w:p w14:paraId="126C36F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详见各分标采购需求</w:t>
            </w:r>
          </w:p>
        </w:tc>
        <w:tc>
          <w:tcPr>
            <w:tcW w:w="1122" w:type="dxa"/>
            <w:vAlign w:val="center"/>
          </w:tcPr>
          <w:p w14:paraId="0ABB213C">
            <w:pPr>
              <w:spacing w:after="120"/>
              <w:jc w:val="center"/>
              <w:rPr>
                <w:rFonts w:hint="eastAsia" w:ascii="仿宋" w:hAnsi="仿宋" w:eastAsia="仿宋" w:cs="仿宋"/>
                <w:color w:val="auto"/>
                <w:sz w:val="24"/>
                <w:szCs w:val="24"/>
                <w:highlight w:val="none"/>
              </w:rPr>
            </w:pPr>
          </w:p>
        </w:tc>
        <w:tc>
          <w:tcPr>
            <w:tcW w:w="1350" w:type="dxa"/>
            <w:vAlign w:val="center"/>
          </w:tcPr>
          <w:p w14:paraId="74BE284F">
            <w:pPr>
              <w:spacing w:after="120"/>
              <w:jc w:val="center"/>
              <w:rPr>
                <w:rFonts w:hint="eastAsia" w:ascii="仿宋" w:hAnsi="仿宋" w:eastAsia="仿宋" w:cs="仿宋"/>
                <w:color w:val="auto"/>
                <w:sz w:val="24"/>
                <w:szCs w:val="24"/>
                <w:highlight w:val="none"/>
              </w:rPr>
            </w:pPr>
          </w:p>
        </w:tc>
        <w:tc>
          <w:tcPr>
            <w:tcW w:w="1395" w:type="dxa"/>
            <w:vAlign w:val="center"/>
          </w:tcPr>
          <w:p w14:paraId="324D4A6C">
            <w:pPr>
              <w:spacing w:after="120"/>
              <w:jc w:val="center"/>
              <w:rPr>
                <w:rFonts w:hint="eastAsia" w:ascii="仿宋" w:hAnsi="仿宋" w:eastAsia="仿宋" w:cs="仿宋"/>
                <w:color w:val="auto"/>
                <w:sz w:val="24"/>
                <w:szCs w:val="24"/>
                <w:highlight w:val="none"/>
              </w:rPr>
            </w:pPr>
          </w:p>
        </w:tc>
      </w:tr>
      <w:tr w14:paraId="74B1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2" w:type="dxa"/>
            <w:gridSpan w:val="6"/>
            <w:vAlign w:val="center"/>
          </w:tcPr>
          <w:p w14:paraId="40C1BB69">
            <w:pPr>
              <w:spacing w:after="1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总价合计（包含税费所有的费用）：（大写）</w:t>
            </w:r>
            <w:r>
              <w:rPr>
                <w:rFonts w:hint="eastAsia" w:ascii="仿宋" w:hAnsi="仿宋" w:eastAsia="仿宋" w:cs="仿宋"/>
                <w:color w:val="auto"/>
                <w:sz w:val="24"/>
                <w:szCs w:val="24"/>
                <w:highlight w:val="none"/>
                <w:u w:val="single"/>
              </w:rPr>
              <w:t>人民币       元整（￥    元）</w:t>
            </w:r>
          </w:p>
        </w:tc>
      </w:tr>
    </w:tbl>
    <w:p w14:paraId="4E7A9AEB">
      <w:pPr>
        <w:keepNext w:val="0"/>
        <w:keepLines w:val="0"/>
        <w:pageBreakBefore w:val="0"/>
        <w:kinsoku/>
        <w:wordWrap/>
        <w:overflowPunct/>
        <w:topLinePunct w:val="0"/>
        <w:autoSpaceDE/>
        <w:autoSpaceDN/>
        <w:bidi w:val="0"/>
        <w:adjustRightInd/>
        <w:spacing w:line="360" w:lineRule="auto"/>
        <w:ind w:left="0" w:right="0" w:firstLine="420"/>
        <w:textAlignment w:val="auto"/>
        <w:rPr>
          <w:rFonts w:hint="eastAsia" w:ascii="仿宋" w:hAnsi="仿宋" w:eastAsia="仿宋" w:cs="仿宋"/>
          <w:color w:val="auto"/>
          <w:sz w:val="24"/>
          <w:highlight w:val="none"/>
        </w:rPr>
      </w:pPr>
    </w:p>
    <w:p w14:paraId="0FD98C42">
      <w:pPr>
        <w:keepNext w:val="0"/>
        <w:keepLines w:val="0"/>
        <w:pageBreakBefore w:val="0"/>
        <w:kinsoku/>
        <w:wordWrap/>
        <w:overflowPunct/>
        <w:topLinePunct w:val="0"/>
        <w:autoSpaceDE/>
        <w:autoSpaceDN/>
        <w:bidi w:val="0"/>
        <w:adjustRightInd/>
        <w:spacing w:line="360" w:lineRule="auto"/>
        <w:ind w:left="0" w:right="0"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甲方不再支付合同合计金额以外的其他费用。</w:t>
      </w:r>
    </w:p>
    <w:p w14:paraId="379EA2BF">
      <w:pPr>
        <w:keepNext w:val="0"/>
        <w:keepLines w:val="0"/>
        <w:pageBreakBefore w:val="0"/>
        <w:kinsoku/>
        <w:wordWrap/>
        <w:overflowPunct/>
        <w:topLinePunct w:val="0"/>
        <w:autoSpaceDE/>
        <w:autoSpaceDN/>
        <w:bidi w:val="0"/>
        <w:adjustRightInd/>
        <w:spacing w:line="360" w:lineRule="auto"/>
        <w:ind w:left="0" w:right="0" w:firstLine="42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第二条 质量要求</w:t>
      </w:r>
    </w:p>
    <w:p w14:paraId="19B19C2F">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4FA8BCDD">
      <w:pPr>
        <w:keepNext w:val="0"/>
        <w:keepLines w:val="0"/>
        <w:pageBreakBefore w:val="0"/>
        <w:kinsoku/>
        <w:wordWrap/>
        <w:overflowPunct/>
        <w:topLinePunct w:val="0"/>
        <w:autoSpaceDE/>
        <w:autoSpaceDN/>
        <w:bidi w:val="0"/>
        <w:adjustRightInd/>
        <w:spacing w:line="360" w:lineRule="auto"/>
        <w:ind w:left="0" w:righ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第三条 权利保证</w:t>
      </w:r>
    </w:p>
    <w:p w14:paraId="6F752794">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1.乙方应保证所提供服务在使用时不会侵犯任何第三方的专利权、商标权、工业设计权等知识产权及其他合法权利，且所有权、处分权等没有受到任何限制，服务过程中形成的所有知识产权成果归甲方所有。</w:t>
      </w:r>
    </w:p>
    <w:p w14:paraId="579E886D">
      <w:pPr>
        <w:pStyle w:val="51"/>
        <w:keepNext w:val="0"/>
        <w:keepLines w:val="0"/>
        <w:pageBreakBefore w:val="0"/>
        <w:kinsoku/>
        <w:wordWrap/>
        <w:overflowPunct/>
        <w:topLinePunct w:val="0"/>
        <w:autoSpaceDE/>
        <w:autoSpaceDN/>
        <w:bidi w:val="0"/>
        <w:adjustRightInd/>
        <w:snapToGrid w:val="0"/>
        <w:spacing w:line="360" w:lineRule="auto"/>
        <w:ind w:left="0" w:righ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2.乙方配合甲方开展绩效评价相关工作。</w:t>
      </w:r>
    </w:p>
    <w:p w14:paraId="796398B8">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40A858B">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4.乙方应按采购文件规定的时间向甲方提供使用服务成果的有关技术资料。</w:t>
      </w:r>
    </w:p>
    <w:p w14:paraId="292FECE9">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5.乙方保证所交付的服务成果的所有权完全属于乙方且无任何抵押、质押、查封等产权瑕疵。如乙方所交付服务成果有产权瑕疵的，视为乙方违约，按照本合同第</w:t>
      </w: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条约定处理。但在已经全部支付完合同款后才发现有产权瑕疵的，乙方除了支付违约金还应负担甲方由此产生的一切损失。</w:t>
      </w:r>
    </w:p>
    <w:p w14:paraId="2CEEB111">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根据《广西民用遥感卫星数据开放共享管理暂行办法》，甲方有权将本服务采购的数据向有工作需求的广西壮族自治区各级政府部门、单位提供使用</w:t>
      </w:r>
      <w:r>
        <w:rPr>
          <w:rFonts w:hint="eastAsia" w:ascii="仿宋" w:hAnsi="仿宋" w:eastAsia="仿宋" w:cs="仿宋"/>
          <w:color w:val="auto"/>
          <w:sz w:val="24"/>
          <w:highlight w:val="none"/>
        </w:rPr>
        <w:t>。</w:t>
      </w:r>
    </w:p>
    <w:p w14:paraId="32679A6D">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乙方应委派具有相应能力、经验的员工为甲方提供服务，合同行过程中，未经甲方同意，乙方不得随意更换项目人员</w:t>
      </w:r>
      <w:r>
        <w:rPr>
          <w:rFonts w:hint="eastAsia" w:ascii="仿宋" w:hAnsi="仿宋" w:eastAsia="仿宋" w:cs="仿宋"/>
          <w:color w:val="auto"/>
          <w:sz w:val="24"/>
          <w:highlight w:val="none"/>
          <w:lang w:eastAsia="zh-CN"/>
        </w:rPr>
        <w:t>。</w:t>
      </w:r>
    </w:p>
    <w:p w14:paraId="411EAD9D">
      <w:pPr>
        <w:keepNext w:val="0"/>
        <w:keepLines w:val="0"/>
        <w:pageBreakBefore w:val="0"/>
        <w:kinsoku/>
        <w:wordWrap/>
        <w:overflowPunct/>
        <w:topLinePunct w:val="0"/>
        <w:autoSpaceDE/>
        <w:autoSpaceDN/>
        <w:bidi w:val="0"/>
        <w:adjustRightInd/>
        <w:spacing w:line="360" w:lineRule="auto"/>
        <w:ind w:left="0" w:righ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交付和验收等</w:t>
      </w:r>
    </w:p>
    <w:p w14:paraId="4E8EB997">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1.服务</w:t>
      </w:r>
      <w:r>
        <w:rPr>
          <w:rFonts w:hint="eastAsia" w:ascii="仿宋" w:hAnsi="仿宋" w:eastAsia="仿宋" w:cs="仿宋"/>
          <w:color w:val="auto"/>
          <w:sz w:val="24"/>
          <w:highlight w:val="none"/>
          <w:lang w:val="en-US" w:eastAsia="zh-CN"/>
        </w:rPr>
        <w:t>成果交付</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lang w:val="en-US" w:eastAsia="zh-CN"/>
        </w:rPr>
        <w:t xml:space="preserve">     年   月底前，具体时间按甲方的具体要求</w:t>
      </w:r>
      <w:r>
        <w:rPr>
          <w:rFonts w:hint="eastAsia" w:ascii="仿宋" w:hAnsi="仿宋" w:eastAsia="仿宋" w:cs="仿宋"/>
          <w:color w:val="auto"/>
          <w:sz w:val="24"/>
          <w:highlight w:val="none"/>
        </w:rPr>
        <w:t>。</w:t>
      </w:r>
    </w:p>
    <w:p w14:paraId="4E9AE0D1">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服务地点：</w:t>
      </w:r>
      <w:r>
        <w:rPr>
          <w:rFonts w:hint="eastAsia" w:ascii="仿宋" w:hAnsi="仿宋" w:eastAsia="仿宋" w:cs="仿宋"/>
          <w:color w:val="auto"/>
          <w:sz w:val="24"/>
          <w:highlight w:val="none"/>
          <w:u w:val="single"/>
        </w:rPr>
        <w:t>广西</w:t>
      </w:r>
      <w:r>
        <w:rPr>
          <w:rFonts w:hint="eastAsia" w:ascii="仿宋" w:hAnsi="仿宋" w:eastAsia="仿宋" w:cs="仿宋"/>
          <w:color w:val="auto"/>
          <w:sz w:val="24"/>
          <w:highlight w:val="none"/>
          <w:u w:val="single"/>
          <w:lang w:val="en-US" w:eastAsia="zh-CN"/>
        </w:rPr>
        <w:t>壮族自治区内甲方指定地点</w:t>
      </w:r>
      <w:r>
        <w:rPr>
          <w:rFonts w:hint="eastAsia" w:ascii="仿宋" w:hAnsi="仿宋" w:eastAsia="仿宋" w:cs="仿宋"/>
          <w:color w:val="auto"/>
          <w:sz w:val="24"/>
          <w:highlight w:val="none"/>
        </w:rPr>
        <w:t>。</w:t>
      </w:r>
    </w:p>
    <w:p w14:paraId="103B4329">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2.乙方应按投标文件的承诺向甲方提供相应的服务，并提供所服务内容的相关技术资料。</w:t>
      </w:r>
    </w:p>
    <w:p w14:paraId="4661E60B">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3.乙方提供不符合招标文件要求和投标文件承诺和本合同规定的服务成果，甲方有权拒绝接受。</w:t>
      </w:r>
    </w:p>
    <w:p w14:paraId="389897FF">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4.乙方完成服务后应及时书面通知甲方进行验收，甲方应在收到通知后7个工作日内进行验收，逾期不开始验收的，乙方可视同验收合格。验收合格后由甲乙双方签署验收单并加盖采购人公章，甲乙双方各执壹份。</w:t>
      </w:r>
    </w:p>
    <w:p w14:paraId="3661062A">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rPr>
        <w:t>5.甲乙双方应按照《广西壮族自治区政府采购项目履约验收管理办法》、双方</w:t>
      </w:r>
      <w:r>
        <w:rPr>
          <w:rFonts w:hint="eastAsia" w:ascii="仿宋" w:hAnsi="仿宋" w:eastAsia="仿宋" w:cs="仿宋"/>
          <w:color w:val="auto"/>
          <w:spacing w:val="-6"/>
          <w:sz w:val="24"/>
          <w:highlight w:val="none"/>
        </w:rPr>
        <w:t>合同、投标文件</w:t>
      </w:r>
      <w:r>
        <w:rPr>
          <w:rFonts w:hint="eastAsia" w:ascii="仿宋" w:hAnsi="仿宋" w:eastAsia="仿宋" w:cs="仿宋"/>
          <w:color w:val="auto"/>
          <w:spacing w:val="-6"/>
          <w:sz w:val="24"/>
          <w:highlight w:val="none"/>
          <w:lang w:eastAsia="zh-CN"/>
        </w:rPr>
        <w:t>、《广西民用遥感卫星数据开放共享管理暂行办法》</w:t>
      </w:r>
      <w:r>
        <w:rPr>
          <w:rFonts w:hint="eastAsia" w:ascii="仿宋" w:hAnsi="仿宋" w:eastAsia="仿宋" w:cs="仿宋"/>
          <w:color w:val="auto"/>
          <w:spacing w:val="-6"/>
          <w:sz w:val="24"/>
          <w:highlight w:val="none"/>
        </w:rPr>
        <w:t>验收。</w:t>
      </w:r>
    </w:p>
    <w:p w14:paraId="55846CCF">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rPr>
        <w:t>6.甲方在验收后如发现乙方提供的服务成果不满足投标文件</w:t>
      </w:r>
      <w:r>
        <w:rPr>
          <w:rFonts w:hint="eastAsia" w:ascii="仿宋" w:hAnsi="仿宋" w:eastAsia="仿宋" w:cs="仿宋"/>
          <w:color w:val="auto"/>
          <w:spacing w:val="-6"/>
          <w:sz w:val="24"/>
          <w:highlight w:val="none"/>
        </w:rPr>
        <w:t>及本合同规定的可暂缓向乙方付款，直到乙方及时完善并提交相应的服务成果且经甲方验收合格后，方可办理付款。</w:t>
      </w:r>
    </w:p>
    <w:p w14:paraId="5A76295B">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7.甲方验收时以书面形式提出异议的，乙方应自收到甲方书面异议后5个</w:t>
      </w:r>
      <w:r>
        <w:rPr>
          <w:rFonts w:hint="eastAsia" w:ascii="仿宋" w:hAnsi="仿宋" w:eastAsia="仿宋" w:cs="仿宋"/>
          <w:color w:val="auto"/>
          <w:sz w:val="24"/>
          <w:highlight w:val="none"/>
        </w:rPr>
        <w:t>工作日内及时予以解决，否则甲方有权不出具服务验收合格单。</w:t>
      </w:r>
    </w:p>
    <w:p w14:paraId="259F9629">
      <w:pPr>
        <w:keepNext w:val="0"/>
        <w:keepLines w:val="0"/>
        <w:pageBreakBefore w:val="0"/>
        <w:kinsoku/>
        <w:wordWrap/>
        <w:overflowPunct/>
        <w:topLinePunct w:val="0"/>
        <w:autoSpaceDE/>
        <w:autoSpaceDN/>
        <w:bidi w:val="0"/>
        <w:adjustRightInd/>
        <w:snapToGrid w:val="0"/>
        <w:spacing w:line="360" w:lineRule="auto"/>
        <w:ind w:left="0" w:right="0" w:firstLine="514"/>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8.验收时乙方必须在现场，验收完毕后作出验收结果报告；验收过程所产生的一切费用均由乙方承担。</w:t>
      </w:r>
    </w:p>
    <w:p w14:paraId="2ECC0794">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9.本合同的验收条款与采购需求商务条款中的“验收要求”互为补充。</w:t>
      </w:r>
    </w:p>
    <w:p w14:paraId="27D6ED06">
      <w:pPr>
        <w:keepNext w:val="0"/>
        <w:keepLines w:val="0"/>
        <w:pageBreakBefore w:val="0"/>
        <w:kinsoku/>
        <w:wordWrap/>
        <w:overflowPunct/>
        <w:topLinePunct w:val="0"/>
        <w:autoSpaceDE/>
        <w:autoSpaceDN/>
        <w:bidi w:val="0"/>
        <w:adjustRightInd/>
        <w:snapToGrid w:val="0"/>
        <w:spacing w:line="360" w:lineRule="auto"/>
        <w:ind w:left="0" w:righ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第五条  售后服务及培训</w:t>
      </w:r>
    </w:p>
    <w:p w14:paraId="766F4925">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1.乙方应按照国家有关法律法规和本合同所附的《服务承诺》要求为甲方提供相应的售后服务。</w:t>
      </w:r>
    </w:p>
    <w:p w14:paraId="62F246A4">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2.甲方应提供必要测试条件（如场地、电源、水源等）。</w:t>
      </w:r>
    </w:p>
    <w:p w14:paraId="2BCF100A">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3.乙方负责甲方有关人员的培训。培训时间、地点：</w:t>
      </w:r>
      <w:r>
        <w:rPr>
          <w:rFonts w:hint="eastAsia" w:ascii="仿宋" w:hAnsi="仿宋" w:eastAsia="仿宋" w:cs="仿宋"/>
          <w:color w:val="auto"/>
          <w:sz w:val="24"/>
          <w:highlight w:val="none"/>
          <w:u w:val="single"/>
        </w:rPr>
        <w:t>按照甲方需求和通知</w:t>
      </w:r>
      <w:r>
        <w:rPr>
          <w:rFonts w:hint="eastAsia" w:ascii="仿宋" w:hAnsi="仿宋" w:eastAsia="仿宋" w:cs="仿宋"/>
          <w:color w:val="auto"/>
          <w:sz w:val="24"/>
          <w:highlight w:val="none"/>
        </w:rPr>
        <w:t>。</w:t>
      </w:r>
    </w:p>
    <w:p w14:paraId="047D78D4">
      <w:pPr>
        <w:keepNext w:val="0"/>
        <w:keepLines w:val="0"/>
        <w:pageBreakBefore w:val="0"/>
        <w:kinsoku/>
        <w:wordWrap/>
        <w:overflowPunct/>
        <w:topLinePunct w:val="0"/>
        <w:autoSpaceDE/>
        <w:autoSpaceDN/>
        <w:bidi w:val="0"/>
        <w:adjustRightInd/>
        <w:spacing w:line="360" w:lineRule="auto"/>
        <w:ind w:left="0" w:right="0" w:firstLine="482" w:firstLineChars="200"/>
        <w:textAlignment w:val="auto"/>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第六条 付款方式</w:t>
      </w:r>
    </w:p>
    <w:p w14:paraId="009DA2E0">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lang w:eastAsia="zh-CN"/>
        </w:rPr>
        <w:t>1.</w:t>
      </w:r>
      <w:r>
        <w:rPr>
          <w:rFonts w:hint="eastAsia" w:ascii="仿宋" w:hAnsi="仿宋" w:eastAsia="仿宋" w:cs="仿宋"/>
          <w:color w:val="auto"/>
          <w:spacing w:val="-6"/>
          <w:sz w:val="24"/>
          <w:highlight w:val="none"/>
        </w:rPr>
        <w:t>当采购的服务成果数量与实际使用数量不一致时，乙方应根据实际使用量提供服务成果。</w:t>
      </w:r>
    </w:p>
    <w:p w14:paraId="5D27EA9B">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lang w:eastAsia="zh-CN"/>
        </w:rPr>
        <w:t>2.</w:t>
      </w:r>
      <w:r>
        <w:rPr>
          <w:rFonts w:hint="eastAsia" w:ascii="仿宋" w:hAnsi="仿宋" w:eastAsia="仿宋" w:cs="仿宋"/>
          <w:color w:val="auto"/>
          <w:spacing w:val="-6"/>
          <w:sz w:val="24"/>
          <w:highlight w:val="none"/>
        </w:rPr>
        <w:t>资金性质：财政资金。</w:t>
      </w:r>
    </w:p>
    <w:p w14:paraId="6591FB6B">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lang w:val="en-US" w:eastAsia="zh-CN"/>
        </w:rPr>
        <w:t>3</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付款方式：</w:t>
      </w:r>
    </w:p>
    <w:p w14:paraId="7934CDEC">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u w:val="single"/>
          <w:lang w:val="en-US" w:eastAsia="zh-CN"/>
        </w:rPr>
      </w:pPr>
      <w:r>
        <w:rPr>
          <w:rFonts w:hint="eastAsia" w:ascii="仿宋" w:hAnsi="仿宋" w:eastAsia="仿宋" w:cs="仿宋"/>
          <w:color w:val="auto"/>
          <w:spacing w:val="-6"/>
          <w:sz w:val="24"/>
          <w:highlight w:val="none"/>
          <w:u w:val="single"/>
          <w:lang w:val="en-US" w:eastAsia="zh-CN"/>
        </w:rPr>
        <w:t>（1）自签订合同之日起十个工作日内，甲方向乙方支付合同款总额30%作为预付款；</w:t>
      </w:r>
    </w:p>
    <w:p w14:paraId="3A80580B">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u w:val="single"/>
          <w:lang w:val="en-US" w:eastAsia="zh-CN"/>
        </w:rPr>
      </w:pPr>
      <w:r>
        <w:rPr>
          <w:rFonts w:hint="eastAsia" w:ascii="仿宋" w:hAnsi="仿宋" w:eastAsia="仿宋" w:cs="仿宋"/>
          <w:color w:val="auto"/>
          <w:spacing w:val="-6"/>
          <w:sz w:val="24"/>
          <w:highlight w:val="none"/>
          <w:u w:val="single"/>
          <w:lang w:val="en-US" w:eastAsia="zh-CN"/>
        </w:rPr>
        <w:t>（2）后续合同款支付，乙方依据交付的经验收合格的成果资料的实际数量（指交付的验收合格成果资料的影像数据数量）及金额，甲方收到乙方的请款材料及等额发票后10个工作日内办理支付手续。（3分标甲方支付最后一笔款前，乙方须提供项目分包合同到甲方）</w:t>
      </w:r>
    </w:p>
    <w:p w14:paraId="34785497">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u w:val="single"/>
          <w:lang w:val="en-US" w:eastAsia="zh-CN"/>
        </w:rPr>
      </w:pPr>
      <w:r>
        <w:rPr>
          <w:rFonts w:hint="eastAsia" w:ascii="仿宋" w:hAnsi="仿宋" w:eastAsia="仿宋" w:cs="仿宋"/>
          <w:color w:val="auto"/>
          <w:spacing w:val="-6"/>
          <w:sz w:val="24"/>
          <w:highlight w:val="none"/>
          <w:u w:val="single"/>
          <w:lang w:val="en-US" w:eastAsia="zh-CN"/>
        </w:rPr>
        <w:t>（3）年度支付限额为广西壮族自治区财政厅批复的项目预算额度，若甲方当年财政预算资金支付额度用完后，待下一年度再支付乙方合同款。</w:t>
      </w:r>
    </w:p>
    <w:p w14:paraId="72D8C250">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u w:val="none"/>
          <w:lang w:val="en-US" w:eastAsia="zh-CN"/>
        </w:rPr>
        <w:t>4.发票开具方式：</w:t>
      </w:r>
      <w:r>
        <w:rPr>
          <w:rFonts w:hint="eastAsia" w:ascii="仿宋" w:hAnsi="仿宋" w:eastAsia="仿宋" w:cs="仿宋"/>
          <w:color w:val="auto"/>
          <w:spacing w:val="-6"/>
          <w:sz w:val="24"/>
          <w:highlight w:val="none"/>
          <w:u w:val="single"/>
          <w:lang w:val="en-US" w:eastAsia="zh-CN"/>
        </w:rPr>
        <w:t>等额的合法正规的发票</w:t>
      </w:r>
      <w:r>
        <w:rPr>
          <w:rFonts w:hint="eastAsia" w:ascii="仿宋" w:hAnsi="仿宋" w:eastAsia="仿宋" w:cs="仿宋"/>
          <w:color w:val="auto"/>
          <w:spacing w:val="-6"/>
          <w:sz w:val="24"/>
          <w:highlight w:val="none"/>
        </w:rPr>
        <w:t>。</w:t>
      </w:r>
    </w:p>
    <w:p w14:paraId="2B82401B">
      <w:pPr>
        <w:keepNext w:val="0"/>
        <w:keepLines w:val="0"/>
        <w:pageBreakBefore w:val="0"/>
        <w:kinsoku/>
        <w:wordWrap/>
        <w:overflowPunct/>
        <w:topLinePunct w:val="0"/>
        <w:autoSpaceDE/>
        <w:autoSpaceDN/>
        <w:bidi w:val="0"/>
        <w:adjustRightInd/>
        <w:spacing w:line="360" w:lineRule="auto"/>
        <w:ind w:left="0" w:right="0" w:firstLine="482" w:firstLineChars="200"/>
        <w:textAlignment w:val="auto"/>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第七条 履约保证金</w:t>
      </w:r>
    </w:p>
    <w:p w14:paraId="3A2BC703">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本项目无履约保证金。</w:t>
      </w:r>
    </w:p>
    <w:p w14:paraId="40250DB8">
      <w:pPr>
        <w:keepNext w:val="0"/>
        <w:keepLines w:val="0"/>
        <w:pageBreakBefore w:val="0"/>
        <w:kinsoku/>
        <w:wordWrap/>
        <w:overflowPunct/>
        <w:topLinePunct w:val="0"/>
        <w:autoSpaceDE/>
        <w:autoSpaceDN/>
        <w:bidi w:val="0"/>
        <w:adjustRightInd/>
        <w:spacing w:line="360" w:lineRule="auto"/>
        <w:ind w:left="0" w:right="0" w:firstLine="482" w:firstLineChars="200"/>
        <w:textAlignment w:val="auto"/>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第八条  税费</w:t>
      </w:r>
    </w:p>
    <w:p w14:paraId="2C5B0840">
      <w:pPr>
        <w:keepNext w:val="0"/>
        <w:keepLines w:val="0"/>
        <w:pageBreakBefore w:val="0"/>
        <w:kinsoku/>
        <w:wordWrap/>
        <w:overflowPunct/>
        <w:topLinePunct w:val="0"/>
        <w:autoSpaceDE/>
        <w:autoSpaceDN/>
        <w:bidi w:val="0"/>
        <w:adjustRightInd/>
        <w:spacing w:line="360" w:lineRule="auto"/>
        <w:ind w:left="0" w:right="0" w:firstLine="456"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本合同执行中相关的一切税费均由乙方负担。</w:t>
      </w:r>
    </w:p>
    <w:p w14:paraId="6B27B737">
      <w:pPr>
        <w:keepNext w:val="0"/>
        <w:keepLines w:val="0"/>
        <w:pageBreakBefore w:val="0"/>
        <w:kinsoku/>
        <w:wordWrap/>
        <w:overflowPunct/>
        <w:topLinePunct w:val="0"/>
        <w:autoSpaceDE/>
        <w:autoSpaceDN/>
        <w:bidi w:val="0"/>
        <w:adjustRightInd/>
        <w:snapToGrid w:val="0"/>
        <w:spacing w:line="360" w:lineRule="auto"/>
        <w:ind w:left="0" w:righ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szCs w:val="20"/>
          <w:highlight w:val="none"/>
        </w:rPr>
        <w:t>第九条 违约责任</w:t>
      </w:r>
    </w:p>
    <w:p w14:paraId="0EE611BF">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乙方所提交的服务成果内容、数量、服务项目要求(技术参数需求)等不符合招投标文件、国家有关质量标准或本合同约定的，应及时调整，调整不及时的按本条第3款的约定按逾期提交成果处理；因特殊情况甲方同意接收不符合招投标文件、国家有关质量标准或本合同约定的服务或报告的，乙方除承担逾期违约责任外，还应向甲方支付合同总价5%违约金。因乙方无法提供质量符合招投标文件、国家有关质量标准或本合同约定的服务或报告的，甲方有权解除合同。</w:t>
      </w:r>
    </w:p>
    <w:p w14:paraId="1F289D81">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14:paraId="746A5323">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3.乙方逾期交付服务成果的，每天向甲方支付合同总价5‰的违约金，但违约金累计不超过合同总价的5% 。乙方逾期交付超过30日的，甲方有权解除合同。</w:t>
      </w:r>
    </w:p>
    <w:p w14:paraId="55B41D94">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4.乙方未按本合同和投标文件中规定的服务承诺提供售后服务的，乙方应按合同总价的5 %向甲方支付违约金。</w:t>
      </w:r>
    </w:p>
    <w:p w14:paraId="73DD1271">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5.乙方有其它违约行为的，每发生一次按合同总价的5%向甲方支付违约金。</w:t>
      </w:r>
    </w:p>
    <w:p w14:paraId="22056D65">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甲方根据本合同约定解除合同的，有权不予支付任何款项给乙方，已经支付的，乙方应当自甲方要求返还之日起5日内予以返还，此外乙方还应支付合同总价5%的违约金给甲方。但甲方接受或利用乙方已完成的服务的，应按乙方完成的工作量支付费用。</w:t>
      </w:r>
    </w:p>
    <w:p w14:paraId="13AE30AB">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7.甲方逾期付款的，每逾期一天，应向乙方支付应付未付款项金额万分之五的违约金。</w:t>
      </w:r>
    </w:p>
    <w:p w14:paraId="78E64170">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仲裁费、调查费、公证费、鉴定费等。</w:t>
      </w:r>
    </w:p>
    <w:p w14:paraId="43894D85">
      <w:pPr>
        <w:keepNext w:val="0"/>
        <w:keepLines w:val="0"/>
        <w:pageBreakBefore w:val="0"/>
        <w:kinsoku/>
        <w:wordWrap/>
        <w:overflowPunct/>
        <w:topLinePunct w:val="0"/>
        <w:autoSpaceDE/>
        <w:autoSpaceDN/>
        <w:bidi w:val="0"/>
        <w:adjustRightInd/>
        <w:snapToGrid w:val="0"/>
        <w:spacing w:line="360" w:lineRule="auto"/>
        <w:ind w:left="0" w:righ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第十条  不可抗力事件处理</w:t>
      </w:r>
    </w:p>
    <w:p w14:paraId="4A0296CA">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1.在合同有效期内，任何一方因不可抗力事件导致不能履行合同，则合同履行期可延长，其延长期与不可抗力影响期相同。</w:t>
      </w:r>
    </w:p>
    <w:p w14:paraId="15F5006F">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2.不可抗力事件发生后，应立即通知对方，并寄送有关权威机构出具的证明。</w:t>
      </w:r>
    </w:p>
    <w:p w14:paraId="7D1CCF90">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3.不可抗力事件延续60天以上，双方应通过友好协商，确定是否继续履行合同。</w:t>
      </w:r>
    </w:p>
    <w:p w14:paraId="2FF399CD">
      <w:pPr>
        <w:keepNext w:val="0"/>
        <w:keepLines w:val="0"/>
        <w:pageBreakBefore w:val="0"/>
        <w:kinsoku/>
        <w:wordWrap/>
        <w:overflowPunct/>
        <w:topLinePunct w:val="0"/>
        <w:autoSpaceDE/>
        <w:autoSpaceDN/>
        <w:bidi w:val="0"/>
        <w:adjustRightInd/>
        <w:snapToGrid w:val="0"/>
        <w:spacing w:line="360" w:lineRule="auto"/>
        <w:ind w:left="0" w:righ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第十一条  合同争议解决</w:t>
      </w:r>
    </w:p>
    <w:p w14:paraId="62FB84C8">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1.因服务质量问题发生争议的，应邀请国家认可的质量检测机构进行鉴定。服务符合标准的，鉴定费由甲方承担；</w:t>
      </w:r>
      <w:r>
        <w:rPr>
          <w:rFonts w:hint="eastAsia" w:ascii="仿宋" w:hAnsi="仿宋" w:eastAsia="仿宋" w:cs="仿宋"/>
          <w:color w:val="auto"/>
          <w:sz w:val="24"/>
          <w:highlight w:val="none"/>
        </w:rPr>
        <w:t>服务不符合标准的，鉴定费由乙方承担。</w:t>
      </w:r>
    </w:p>
    <w:p w14:paraId="3AED5C29">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2.因履行本合同引起的或者与本合同有关的争议，甲乙双方应首先通过友好协商解决，如果协商不能解决，可向甲方所在地有管辖权的人民法院提起诉讼。</w:t>
      </w:r>
    </w:p>
    <w:p w14:paraId="3658CADA">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3.诉讼期间，本合同无争议部分须继续履行。</w:t>
      </w:r>
    </w:p>
    <w:p w14:paraId="56BB536C">
      <w:pPr>
        <w:keepNext w:val="0"/>
        <w:keepLines w:val="0"/>
        <w:pageBreakBefore w:val="0"/>
        <w:kinsoku/>
        <w:wordWrap/>
        <w:overflowPunct/>
        <w:topLinePunct w:val="0"/>
        <w:autoSpaceDE/>
        <w:autoSpaceDN/>
        <w:bidi w:val="0"/>
        <w:adjustRightInd/>
        <w:snapToGrid w:val="0"/>
        <w:spacing w:line="360" w:lineRule="auto"/>
        <w:ind w:left="0" w:righ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第十二条  合同生效及其它</w:t>
      </w:r>
    </w:p>
    <w:p w14:paraId="60586DD6">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1.合同经双方法定代表人或者授权代表签字并加盖单位公章或合同专用章后生效（委托代理人签字的需后附授权委托书，格式自拟）。</w:t>
      </w:r>
    </w:p>
    <w:p w14:paraId="1E57B34E">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2.本合同未尽事宜，遵照《中华人民共和国民法典》有关条文执行。</w:t>
      </w:r>
    </w:p>
    <w:p w14:paraId="262621E9">
      <w:pPr>
        <w:keepNext w:val="0"/>
        <w:keepLines w:val="0"/>
        <w:pageBreakBefore w:val="0"/>
        <w:kinsoku/>
        <w:wordWrap/>
        <w:overflowPunct/>
        <w:topLinePunct w:val="0"/>
        <w:autoSpaceDE/>
        <w:autoSpaceDN/>
        <w:bidi w:val="0"/>
        <w:adjustRightInd/>
        <w:snapToGrid w:val="0"/>
        <w:spacing w:line="360" w:lineRule="auto"/>
        <w:ind w:left="0" w:right="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3.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1D4A1FCF">
      <w:pPr>
        <w:keepNext w:val="0"/>
        <w:keepLines w:val="0"/>
        <w:pageBreakBefore w:val="0"/>
        <w:kinsoku/>
        <w:wordWrap/>
        <w:overflowPunct/>
        <w:topLinePunct w:val="0"/>
        <w:autoSpaceDE/>
        <w:autoSpaceDN/>
        <w:bidi w:val="0"/>
        <w:adjustRightInd/>
        <w:spacing w:line="360" w:lineRule="auto"/>
        <w:ind w:left="0" w:righ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第十三条 合同的变更、终止与转让</w:t>
      </w:r>
    </w:p>
    <w:p w14:paraId="181E6FF4">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1.除《中华人民共和国政府采购法》第五十条规定的情形外，本合同一经签订，甲乙双方不得擅自变更、中止或者终止。</w:t>
      </w:r>
    </w:p>
    <w:p w14:paraId="1E33ECEE">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2.乙方不得擅自转让其应履行的合同义务。</w:t>
      </w:r>
    </w:p>
    <w:p w14:paraId="704BDE7D">
      <w:pPr>
        <w:keepNext w:val="0"/>
        <w:keepLines w:val="0"/>
        <w:pageBreakBefore w:val="0"/>
        <w:kinsoku/>
        <w:wordWrap/>
        <w:overflowPunct/>
        <w:topLinePunct w:val="0"/>
        <w:autoSpaceDE/>
        <w:autoSpaceDN/>
        <w:bidi w:val="0"/>
        <w:adjustRightInd/>
        <w:spacing w:line="360" w:lineRule="auto"/>
        <w:ind w:left="0" w:righ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第十四条 签订本合同依据</w:t>
      </w:r>
    </w:p>
    <w:p w14:paraId="7B20F3E8">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1.中标通知书；</w:t>
      </w:r>
    </w:p>
    <w:p w14:paraId="0C4D9A3F">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2.采购需求；</w:t>
      </w:r>
    </w:p>
    <w:p w14:paraId="7854BA02">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3.投标函及开标一览表；</w:t>
      </w:r>
    </w:p>
    <w:p w14:paraId="305FB2D1">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4.商务要求偏离表和服务需求偏离表；</w:t>
      </w:r>
    </w:p>
    <w:p w14:paraId="1DAEBBF3">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5.投标文件中的其他相关文件。</w:t>
      </w:r>
    </w:p>
    <w:p w14:paraId="389C4C2C">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6.上述合同文件互相补充和解释。如果合同文件之间存在矛盾或者不一致之处，以上述文件的排列顺序在先者为准。</w:t>
      </w:r>
    </w:p>
    <w:p w14:paraId="59B3C9A2">
      <w:pPr>
        <w:keepNext w:val="0"/>
        <w:keepLines w:val="0"/>
        <w:pageBreakBefore w:val="0"/>
        <w:kinsoku/>
        <w:wordWrap/>
        <w:overflowPunct/>
        <w:topLinePunct w:val="0"/>
        <w:autoSpaceDE/>
        <w:autoSpaceDN/>
        <w:bidi w:val="0"/>
        <w:adjustRightInd/>
        <w:spacing w:line="360" w:lineRule="auto"/>
        <w:ind w:left="0" w:righ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第十五条 </w:t>
      </w: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lang w:val="en-US" w:eastAsia="zh-CN"/>
        </w:rPr>
        <w:t>陆</w:t>
      </w:r>
      <w:r>
        <w:rPr>
          <w:rFonts w:hint="eastAsia" w:ascii="仿宋" w:hAnsi="仿宋" w:eastAsia="仿宋" w:cs="仿宋"/>
          <w:color w:val="auto"/>
          <w:sz w:val="24"/>
          <w:highlight w:val="none"/>
        </w:rPr>
        <w:t>份，具有同等法律效力，甲方叁份，乙方</w:t>
      </w:r>
      <w:r>
        <w:rPr>
          <w:rFonts w:hint="eastAsia" w:ascii="仿宋" w:hAnsi="仿宋" w:eastAsia="仿宋" w:cs="仿宋"/>
          <w:color w:val="auto"/>
          <w:sz w:val="24"/>
          <w:highlight w:val="none"/>
          <w:lang w:val="en-US" w:eastAsia="zh-CN"/>
        </w:rPr>
        <w:t>贰</w:t>
      </w:r>
      <w:r>
        <w:rPr>
          <w:rFonts w:hint="eastAsia" w:ascii="仿宋" w:hAnsi="仿宋" w:eastAsia="仿宋" w:cs="仿宋"/>
          <w:color w:val="auto"/>
          <w:sz w:val="24"/>
          <w:highlight w:val="none"/>
        </w:rPr>
        <w:t>份，采购代理机构壹份。</w:t>
      </w:r>
    </w:p>
    <w:p w14:paraId="08D45B86">
      <w:pPr>
        <w:keepNext w:val="0"/>
        <w:keepLines w:val="0"/>
        <w:pageBreakBefore w:val="0"/>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本合同自签订之日起2个工作日内，甲方应当将采购合同在广西壮族自治区财政厅指定的媒体上公告。</w:t>
      </w:r>
    </w:p>
    <w:p w14:paraId="06CD9EA0">
      <w:pPr>
        <w:keepNext w:val="0"/>
        <w:keepLines w:val="0"/>
        <w:pageBreakBefore w:val="0"/>
        <w:kinsoku/>
        <w:wordWrap/>
        <w:overflowPunct/>
        <w:topLinePunct w:val="0"/>
        <w:autoSpaceDE/>
        <w:autoSpaceDN/>
        <w:bidi w:val="0"/>
        <w:adjustRightInd/>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以下无正文。</w:t>
      </w:r>
    </w:p>
    <w:tbl>
      <w:tblPr>
        <w:tblStyle w:val="41"/>
        <w:tblpPr w:leftFromText="180" w:rightFromText="180" w:vertAnchor="text" w:horzAnchor="margin" w:tblpXSpec="center" w:tblpY="214"/>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9"/>
        <w:gridCol w:w="4560"/>
      </w:tblGrid>
      <w:tr w14:paraId="7EE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3" w:hRule="atLeast"/>
        </w:trPr>
        <w:tc>
          <w:tcPr>
            <w:tcW w:w="4559" w:type="dxa"/>
            <w:tcBorders>
              <w:top w:val="single" w:color="auto" w:sz="4" w:space="0"/>
              <w:left w:val="single" w:color="auto" w:sz="4" w:space="0"/>
              <w:bottom w:val="single" w:color="auto" w:sz="4" w:space="0"/>
              <w:right w:val="single" w:color="auto" w:sz="4" w:space="0"/>
            </w:tcBorders>
            <w:vAlign w:val="center"/>
          </w:tcPr>
          <w:p w14:paraId="79875381">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甲方：（章）</w:t>
            </w:r>
          </w:p>
          <w:p w14:paraId="2F254B29">
            <w:pPr>
              <w:keepNext w:val="0"/>
              <w:keepLines w:val="0"/>
              <w:pageBreakBefore w:val="0"/>
              <w:kinsoku/>
              <w:wordWrap/>
              <w:overflowPunct/>
              <w:topLinePunct w:val="0"/>
              <w:autoSpaceDE/>
              <w:autoSpaceDN/>
              <w:bidi w:val="0"/>
              <w:adjustRightInd/>
              <w:snapToGrid w:val="0"/>
              <w:spacing w:line="360" w:lineRule="auto"/>
              <w:ind w:left="0" w:right="0" w:firstLine="1080" w:firstLineChars="450"/>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560" w:type="dxa"/>
            <w:tcBorders>
              <w:top w:val="single" w:color="auto" w:sz="4" w:space="0"/>
              <w:left w:val="single" w:color="auto" w:sz="4" w:space="0"/>
              <w:bottom w:val="single" w:color="auto" w:sz="4" w:space="0"/>
              <w:right w:val="single" w:color="auto" w:sz="4" w:space="0"/>
            </w:tcBorders>
            <w:vAlign w:val="center"/>
          </w:tcPr>
          <w:p w14:paraId="7829F6F2">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14:paraId="0020C3B5">
            <w:pPr>
              <w:keepNext w:val="0"/>
              <w:keepLines w:val="0"/>
              <w:pageBreakBefore w:val="0"/>
              <w:kinsoku/>
              <w:wordWrap/>
              <w:overflowPunct/>
              <w:topLinePunct w:val="0"/>
              <w:autoSpaceDE/>
              <w:autoSpaceDN/>
              <w:bidi w:val="0"/>
              <w:adjustRightInd/>
              <w:snapToGrid w:val="0"/>
              <w:spacing w:line="360" w:lineRule="auto"/>
              <w:ind w:left="0" w:right="0"/>
              <w:jc w:val="right"/>
              <w:textAlignment w:val="auto"/>
              <w:rPr>
                <w:rFonts w:hint="eastAsia" w:ascii="仿宋" w:hAnsi="仿宋" w:eastAsia="仿宋" w:cs="仿宋"/>
                <w:color w:val="auto"/>
                <w:sz w:val="24"/>
                <w:highlight w:val="none"/>
              </w:rPr>
            </w:pPr>
          </w:p>
          <w:p w14:paraId="675DD3F4">
            <w:pPr>
              <w:keepNext w:val="0"/>
              <w:keepLines w:val="0"/>
              <w:pageBreakBefore w:val="0"/>
              <w:kinsoku/>
              <w:wordWrap/>
              <w:overflowPunct/>
              <w:topLinePunct w:val="0"/>
              <w:autoSpaceDE/>
              <w:autoSpaceDN/>
              <w:bidi w:val="0"/>
              <w:adjustRightInd/>
              <w:snapToGrid w:val="0"/>
              <w:spacing w:line="360" w:lineRule="auto"/>
              <w:ind w:left="0" w:right="0"/>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09D1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559" w:type="dxa"/>
            <w:tcBorders>
              <w:top w:val="single" w:color="auto" w:sz="4" w:space="0"/>
              <w:left w:val="single" w:color="auto" w:sz="4" w:space="0"/>
              <w:bottom w:val="single" w:color="auto" w:sz="4" w:space="0"/>
              <w:right w:val="single" w:color="auto" w:sz="4" w:space="0"/>
            </w:tcBorders>
            <w:vAlign w:val="center"/>
          </w:tcPr>
          <w:p w14:paraId="43D0B61C">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c>
          <w:tcPr>
            <w:tcW w:w="4560" w:type="dxa"/>
            <w:tcBorders>
              <w:top w:val="single" w:color="auto" w:sz="4" w:space="0"/>
              <w:left w:val="single" w:color="auto" w:sz="4" w:space="0"/>
              <w:bottom w:val="single" w:color="auto" w:sz="4" w:space="0"/>
              <w:right w:val="single" w:color="auto" w:sz="4" w:space="0"/>
            </w:tcBorders>
            <w:vAlign w:val="center"/>
          </w:tcPr>
          <w:p w14:paraId="6AFE381F">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r>
      <w:tr w14:paraId="3D55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4559" w:type="dxa"/>
            <w:tcBorders>
              <w:top w:val="single" w:color="auto" w:sz="4" w:space="0"/>
              <w:left w:val="single" w:color="auto" w:sz="4" w:space="0"/>
              <w:bottom w:val="single" w:color="auto" w:sz="4" w:space="0"/>
              <w:right w:val="single" w:color="auto" w:sz="4" w:space="0"/>
            </w:tcBorders>
            <w:vAlign w:val="center"/>
          </w:tcPr>
          <w:p w14:paraId="6586F035">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p>
          <w:p w14:paraId="7E0992A1">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4560" w:type="dxa"/>
            <w:tcBorders>
              <w:top w:val="single" w:color="auto" w:sz="4" w:space="0"/>
              <w:left w:val="single" w:color="auto" w:sz="4" w:space="0"/>
              <w:bottom w:val="single" w:color="auto" w:sz="4" w:space="0"/>
              <w:right w:val="single" w:color="auto" w:sz="4" w:space="0"/>
            </w:tcBorders>
            <w:vAlign w:val="center"/>
          </w:tcPr>
          <w:p w14:paraId="723B0CE7">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p>
          <w:p w14:paraId="6A150EDA">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r>
      <w:tr w14:paraId="4911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559" w:type="dxa"/>
            <w:tcBorders>
              <w:top w:val="single" w:color="auto" w:sz="4" w:space="0"/>
              <w:left w:val="single" w:color="auto" w:sz="4" w:space="0"/>
              <w:bottom w:val="single" w:color="auto" w:sz="4" w:space="0"/>
              <w:right w:val="single" w:color="auto" w:sz="4" w:space="0"/>
            </w:tcBorders>
            <w:vAlign w:val="center"/>
          </w:tcPr>
          <w:p w14:paraId="1078BEE5">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560" w:type="dxa"/>
            <w:tcBorders>
              <w:top w:val="single" w:color="auto" w:sz="4" w:space="0"/>
              <w:left w:val="single" w:color="auto" w:sz="4" w:space="0"/>
              <w:bottom w:val="single" w:color="auto" w:sz="4" w:space="0"/>
              <w:right w:val="single" w:color="auto" w:sz="4" w:space="0"/>
            </w:tcBorders>
            <w:vAlign w:val="center"/>
          </w:tcPr>
          <w:p w14:paraId="1CC7DCCC">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r>
      <w:tr w14:paraId="4051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559" w:type="dxa"/>
            <w:tcBorders>
              <w:top w:val="single" w:color="auto" w:sz="4" w:space="0"/>
              <w:left w:val="single" w:color="auto" w:sz="4" w:space="0"/>
              <w:bottom w:val="single" w:color="auto" w:sz="4" w:space="0"/>
              <w:right w:val="single" w:color="auto" w:sz="4" w:space="0"/>
            </w:tcBorders>
            <w:vAlign w:val="center"/>
          </w:tcPr>
          <w:p w14:paraId="05AC5920">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w:t>
            </w:r>
          </w:p>
        </w:tc>
        <w:tc>
          <w:tcPr>
            <w:tcW w:w="4560" w:type="dxa"/>
            <w:tcBorders>
              <w:top w:val="single" w:color="auto" w:sz="4" w:space="0"/>
              <w:left w:val="single" w:color="auto" w:sz="4" w:space="0"/>
              <w:bottom w:val="single" w:color="auto" w:sz="4" w:space="0"/>
              <w:right w:val="single" w:color="auto" w:sz="4" w:space="0"/>
            </w:tcBorders>
            <w:vAlign w:val="center"/>
          </w:tcPr>
          <w:p w14:paraId="472A9034">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w:t>
            </w:r>
          </w:p>
        </w:tc>
      </w:tr>
      <w:tr w14:paraId="07FE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559" w:type="dxa"/>
            <w:tcBorders>
              <w:top w:val="single" w:color="auto" w:sz="4" w:space="0"/>
              <w:left w:val="single" w:color="auto" w:sz="4" w:space="0"/>
              <w:bottom w:val="single" w:color="auto" w:sz="4" w:space="0"/>
              <w:right w:val="single" w:color="auto" w:sz="4" w:space="0"/>
            </w:tcBorders>
            <w:vAlign w:val="center"/>
          </w:tcPr>
          <w:p w14:paraId="4060197B">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4560" w:type="dxa"/>
            <w:tcBorders>
              <w:top w:val="single" w:color="auto" w:sz="4" w:space="0"/>
              <w:left w:val="single" w:color="auto" w:sz="4" w:space="0"/>
              <w:bottom w:val="single" w:color="auto" w:sz="4" w:space="0"/>
              <w:right w:val="single" w:color="auto" w:sz="4" w:space="0"/>
            </w:tcBorders>
            <w:vAlign w:val="center"/>
          </w:tcPr>
          <w:p w14:paraId="4140B054">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r>
      <w:tr w14:paraId="7795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4559" w:type="dxa"/>
            <w:tcBorders>
              <w:top w:val="single" w:color="auto" w:sz="4" w:space="0"/>
              <w:left w:val="single" w:color="auto" w:sz="4" w:space="0"/>
              <w:bottom w:val="single" w:color="auto" w:sz="4" w:space="0"/>
              <w:right w:val="single" w:color="auto" w:sz="4" w:space="0"/>
            </w:tcBorders>
            <w:vAlign w:val="center"/>
          </w:tcPr>
          <w:p w14:paraId="43B61708">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4560" w:type="dxa"/>
            <w:tcBorders>
              <w:top w:val="single" w:color="auto" w:sz="4" w:space="0"/>
              <w:left w:val="single" w:color="auto" w:sz="4" w:space="0"/>
              <w:bottom w:val="single" w:color="auto" w:sz="4" w:space="0"/>
              <w:right w:val="single" w:color="auto" w:sz="4" w:space="0"/>
            </w:tcBorders>
            <w:vAlign w:val="center"/>
          </w:tcPr>
          <w:p w14:paraId="76CDB9D2">
            <w:pPr>
              <w:keepNext w:val="0"/>
              <w:keepLines w:val="0"/>
              <w:pageBreakBefore w:val="0"/>
              <w:kinsoku/>
              <w:wordWrap/>
              <w:overflowPunct/>
              <w:topLinePunct w:val="0"/>
              <w:autoSpaceDE/>
              <w:autoSpaceDN/>
              <w:bidi w:val="0"/>
              <w:adjustRightInd/>
              <w:snapToGrid w:val="0"/>
              <w:spacing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r>
    </w:tbl>
    <w:p w14:paraId="60745607">
      <w:pPr>
        <w:keepNext w:val="0"/>
        <w:keepLines w:val="0"/>
        <w:pageBreakBefore w:val="0"/>
        <w:kinsoku/>
        <w:wordWrap/>
        <w:overflowPunct/>
        <w:topLinePunct w:val="0"/>
        <w:autoSpaceDE/>
        <w:autoSpaceDN/>
        <w:bidi w:val="0"/>
        <w:adjustRightInd/>
        <w:spacing w:line="360" w:lineRule="auto"/>
        <w:ind w:left="0" w:right="0"/>
        <w:textAlignment w:val="auto"/>
        <w:rPr>
          <w:rFonts w:hint="eastAsia" w:ascii="仿宋" w:hAnsi="仿宋" w:eastAsia="仿宋" w:cs="仿宋"/>
          <w:color w:val="auto"/>
          <w:highlight w:val="none"/>
        </w:rPr>
      </w:pPr>
    </w:p>
    <w:p w14:paraId="56944A7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A7882E9">
      <w:pPr>
        <w:pStyle w:val="2"/>
        <w:bidi w:val="0"/>
        <w:rPr>
          <w:rFonts w:hint="eastAsia"/>
          <w:color w:val="auto"/>
          <w:highlight w:val="none"/>
        </w:rPr>
      </w:pPr>
      <w:bookmarkStart w:id="154" w:name="_Toc25289"/>
      <w:bookmarkStart w:id="155" w:name="_Toc30387"/>
      <w:r>
        <w:rPr>
          <w:rFonts w:hint="eastAsia"/>
          <w:color w:val="auto"/>
          <w:highlight w:val="none"/>
        </w:rPr>
        <w:t>第六章　投标文件格式</w:t>
      </w:r>
      <w:bookmarkEnd w:id="154"/>
      <w:bookmarkEnd w:id="155"/>
    </w:p>
    <w:p w14:paraId="74BDFF72">
      <w:pPr>
        <w:ind w:firstLine="560"/>
        <w:rPr>
          <w:rFonts w:hint="eastAsia" w:ascii="仿宋" w:hAnsi="仿宋" w:eastAsia="仿宋" w:cs="仿宋"/>
          <w:b/>
          <w:color w:val="auto"/>
          <w:sz w:val="28"/>
          <w:szCs w:val="28"/>
          <w:highlight w:val="none"/>
        </w:rPr>
      </w:pPr>
      <w:bookmarkStart w:id="156" w:name="_Toc19686836"/>
      <w:bookmarkStart w:id="157" w:name="_Toc254970698"/>
      <w:bookmarkStart w:id="158" w:name="_Toc254970557"/>
      <w:r>
        <w:rPr>
          <w:rFonts w:hint="eastAsia" w:ascii="仿宋" w:hAnsi="仿宋" w:eastAsia="仿宋" w:cs="仿宋"/>
          <w:b/>
          <w:color w:val="auto"/>
          <w:sz w:val="28"/>
          <w:szCs w:val="28"/>
          <w:highlight w:val="none"/>
        </w:rPr>
        <w:t>一、报价文件格式</w:t>
      </w:r>
      <w:bookmarkEnd w:id="156"/>
    </w:p>
    <w:p w14:paraId="462E0F75">
      <w:pPr>
        <w:snapToGrid w:val="0"/>
        <w:spacing w:before="120" w:beforeLines="50" w:after="50" w:line="360" w:lineRule="auto"/>
        <w:ind w:left="142" w:firstLine="480"/>
        <w:jc w:val="left"/>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t xml:space="preserve">1. 报价文件封面格式： </w:t>
      </w:r>
    </w:p>
    <w:p w14:paraId="0303E4C0">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1890FEF6">
      <w:pPr>
        <w:snapToGrid w:val="0"/>
        <w:spacing w:before="120" w:beforeLines="50" w:after="50" w:line="400" w:lineRule="exact"/>
        <w:ind w:firstLine="482"/>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14CC5640">
      <w:pPr>
        <w:snapToGrid w:val="0"/>
        <w:spacing w:before="120" w:beforeLines="50" w:after="50" w:line="400" w:lineRule="exact"/>
        <w:ind w:firstLine="482"/>
        <w:jc w:val="center"/>
        <w:rPr>
          <w:rFonts w:hint="eastAsia" w:ascii="仿宋" w:hAnsi="仿宋" w:eastAsia="仿宋" w:cs="仿宋"/>
          <w:bCs/>
          <w:color w:val="auto"/>
          <w:sz w:val="24"/>
          <w:szCs w:val="20"/>
          <w:highlight w:val="none"/>
        </w:rPr>
      </w:pPr>
    </w:p>
    <w:p w14:paraId="4766F235">
      <w:pPr>
        <w:snapToGrid w:val="0"/>
        <w:spacing w:before="120" w:beforeLines="50" w:after="50" w:line="400" w:lineRule="exact"/>
        <w:ind w:firstLine="964"/>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报  价  文  件</w:t>
      </w:r>
    </w:p>
    <w:p w14:paraId="2BC404CC">
      <w:pPr>
        <w:snapToGrid w:val="0"/>
        <w:spacing w:before="120" w:beforeLines="50" w:after="50" w:line="400" w:lineRule="exact"/>
        <w:ind w:firstLine="482"/>
        <w:rPr>
          <w:rFonts w:hint="eastAsia" w:ascii="仿宋" w:hAnsi="仿宋" w:eastAsia="仿宋" w:cs="仿宋"/>
          <w:bCs/>
          <w:color w:val="auto"/>
          <w:sz w:val="24"/>
          <w:szCs w:val="20"/>
          <w:highlight w:val="none"/>
        </w:rPr>
      </w:pPr>
    </w:p>
    <w:p w14:paraId="03092D07">
      <w:pPr>
        <w:snapToGrid w:val="0"/>
        <w:spacing w:before="120" w:beforeLines="50" w:after="50" w:line="400" w:lineRule="exact"/>
        <w:ind w:firstLine="1960" w:firstLineChars="700"/>
        <w:rPr>
          <w:rFonts w:hint="eastAsia" w:ascii="仿宋" w:hAnsi="仿宋" w:eastAsia="仿宋" w:cs="仿宋"/>
          <w:bCs/>
          <w:color w:val="auto"/>
          <w:sz w:val="28"/>
          <w:szCs w:val="28"/>
          <w:highlight w:val="none"/>
        </w:rPr>
      </w:pPr>
    </w:p>
    <w:p w14:paraId="7B4BDB1E">
      <w:pPr>
        <w:snapToGrid w:val="0"/>
        <w:spacing w:before="120" w:beforeLines="50" w:after="50" w:line="400" w:lineRule="exact"/>
        <w:ind w:firstLine="1960" w:firstLineChars="7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项目名称： </w:t>
      </w:r>
    </w:p>
    <w:p w14:paraId="6FF40076">
      <w:pPr>
        <w:snapToGrid w:val="0"/>
        <w:spacing w:before="120" w:beforeLines="50" w:after="50" w:line="400" w:lineRule="exact"/>
        <w:ind w:firstLine="1960" w:firstLineChars="7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项目编号： </w:t>
      </w:r>
    </w:p>
    <w:p w14:paraId="54BFD0E1">
      <w:pPr>
        <w:snapToGrid w:val="0"/>
        <w:spacing w:before="120" w:beforeLines="50" w:after="50" w:line="400" w:lineRule="exact"/>
        <w:ind w:firstLine="1960" w:firstLineChars="7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投标人名称：</w:t>
      </w:r>
    </w:p>
    <w:p w14:paraId="2895B3EE">
      <w:pPr>
        <w:snapToGrid w:val="0"/>
        <w:spacing w:before="120" w:beforeLines="50" w:after="50" w:line="400" w:lineRule="exact"/>
        <w:ind w:firstLine="1960" w:firstLineChars="7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投标人地址：</w:t>
      </w:r>
    </w:p>
    <w:p w14:paraId="168B4C6D">
      <w:pPr>
        <w:snapToGrid w:val="0"/>
        <w:spacing w:before="120" w:beforeLines="50" w:after="50" w:line="400" w:lineRule="exact"/>
        <w:ind w:firstLine="1960" w:firstLineChars="700"/>
        <w:rPr>
          <w:rFonts w:hint="eastAsia" w:ascii="仿宋" w:hAnsi="仿宋" w:eastAsia="仿宋" w:cs="仿宋"/>
          <w:bCs/>
          <w:color w:val="auto"/>
          <w:sz w:val="28"/>
          <w:szCs w:val="28"/>
          <w:highlight w:val="none"/>
        </w:rPr>
      </w:pPr>
    </w:p>
    <w:p w14:paraId="36D21459">
      <w:pPr>
        <w:snapToGrid w:val="0"/>
        <w:spacing w:before="120" w:beforeLines="50" w:after="50" w:line="400" w:lineRule="exact"/>
        <w:ind w:firstLine="482"/>
        <w:rPr>
          <w:rFonts w:hint="eastAsia" w:ascii="仿宋" w:hAnsi="仿宋" w:eastAsia="仿宋" w:cs="仿宋"/>
          <w:color w:val="auto"/>
          <w:sz w:val="30"/>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sz w:val="28"/>
          <w:szCs w:val="28"/>
          <w:highlight w:val="none"/>
        </w:rPr>
        <w:t>年  月  日</w:t>
      </w:r>
    </w:p>
    <w:p w14:paraId="52E18421">
      <w:pPr>
        <w:snapToGrid w:val="0"/>
        <w:spacing w:before="120" w:beforeLines="50" w:after="50" w:line="360" w:lineRule="auto"/>
        <w:ind w:firstLine="48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2.</w:t>
      </w:r>
      <w:r>
        <w:rPr>
          <w:rFonts w:hint="eastAsia" w:ascii="仿宋" w:hAnsi="仿宋" w:eastAsia="仿宋" w:cs="仿宋"/>
          <w:b/>
          <w:bCs/>
          <w:color w:val="auto"/>
          <w:sz w:val="24"/>
          <w:highlight w:val="none"/>
        </w:rPr>
        <w:t>报价文件目录</w:t>
      </w:r>
    </w:p>
    <w:p w14:paraId="34E25001">
      <w:pPr>
        <w:snapToGrid w:val="0"/>
        <w:spacing w:before="120" w:after="120" w:afterLines="50" w:line="360" w:lineRule="auto"/>
        <w:ind w:firstLine="482"/>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根据招标文件规定及投标人提供的材料自行编写目录。</w:t>
      </w:r>
    </w:p>
    <w:p w14:paraId="13490455">
      <w:pPr>
        <w:snapToGrid w:val="0"/>
        <w:spacing w:before="120" w:beforeLines="50" w:after="50"/>
        <w:ind w:firstLine="480"/>
        <w:rPr>
          <w:rFonts w:hint="eastAsia" w:ascii="仿宋" w:hAnsi="仿宋" w:eastAsia="仿宋" w:cs="仿宋"/>
          <w:b/>
          <w:color w:val="auto"/>
          <w:sz w:val="24"/>
          <w:highlight w:val="none"/>
        </w:rPr>
      </w:pPr>
    </w:p>
    <w:p w14:paraId="041464DD">
      <w:pPr>
        <w:snapToGrid w:val="0"/>
        <w:spacing w:before="120" w:beforeLines="50" w:after="50"/>
        <w:ind w:firstLine="480"/>
        <w:rPr>
          <w:rFonts w:hint="eastAsia" w:ascii="仿宋" w:hAnsi="仿宋" w:eastAsia="仿宋" w:cs="仿宋"/>
          <w:b/>
          <w:color w:val="auto"/>
          <w:sz w:val="24"/>
          <w:highlight w:val="none"/>
        </w:rPr>
      </w:pPr>
    </w:p>
    <w:p w14:paraId="6952EE4B">
      <w:pPr>
        <w:snapToGrid w:val="0"/>
        <w:spacing w:before="120" w:beforeLines="50" w:after="50"/>
        <w:ind w:firstLine="480"/>
        <w:rPr>
          <w:rFonts w:hint="eastAsia" w:ascii="仿宋" w:hAnsi="仿宋" w:eastAsia="仿宋" w:cs="仿宋"/>
          <w:b/>
          <w:color w:val="auto"/>
          <w:sz w:val="24"/>
          <w:highlight w:val="none"/>
        </w:rPr>
      </w:pPr>
    </w:p>
    <w:p w14:paraId="434B0E2E">
      <w:pPr>
        <w:snapToGrid w:val="0"/>
        <w:spacing w:before="120" w:beforeLines="50" w:after="50"/>
        <w:ind w:left="142"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3. 投标函格式：</w:t>
      </w:r>
    </w:p>
    <w:p w14:paraId="38CB0FC2">
      <w:pPr>
        <w:snapToGrid w:val="0"/>
        <w:spacing w:before="120" w:beforeLines="50" w:after="50"/>
        <w:ind w:firstLine="88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投 标 函</w:t>
      </w:r>
    </w:p>
    <w:p w14:paraId="33F0F086">
      <w:pPr>
        <w:snapToGrid w:val="0"/>
        <w:spacing w:before="120" w:beforeLines="50" w:after="50" w:line="320" w:lineRule="exact"/>
        <w:ind w:firstLine="480"/>
        <w:jc w:val="center"/>
        <w:rPr>
          <w:rFonts w:hint="eastAsia" w:ascii="仿宋" w:hAnsi="仿宋" w:eastAsia="仿宋" w:cs="仿宋"/>
          <w:b/>
          <w:color w:val="auto"/>
          <w:sz w:val="24"/>
          <w:highlight w:val="none"/>
        </w:rPr>
      </w:pPr>
    </w:p>
    <w:p w14:paraId="1365963E">
      <w:pPr>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64303438">
      <w:pPr>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）的招标公告，签字代表______</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（姓名）经正式授权并代表投标人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（投标人名称）提交投标文件。</w:t>
      </w:r>
    </w:p>
    <w:p w14:paraId="0930C69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据此函，我方宣布同意如下：</w:t>
      </w:r>
    </w:p>
    <w:p w14:paraId="32ADBA5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3F0A7C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2.我方在投标之前已经完全理解并接受招标文件的各项规定和要求，对招标文件的合理性、合法性不再有异议。</w:t>
      </w:r>
    </w:p>
    <w:p w14:paraId="54B5F39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3.本投标有效期自投标截止之日起</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日。</w:t>
      </w:r>
    </w:p>
    <w:p w14:paraId="2DAD75A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4.如中标，本投标文件至本项目合同履行完毕止均保持有效，我方将按“招标文件”及政府采购法律法规的规定履行合同责任和义务。</w:t>
      </w:r>
    </w:p>
    <w:p w14:paraId="7A13588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5.我方同意按照贵方要求提供与投标有关的一切数据或者资料。</w:t>
      </w:r>
    </w:p>
    <w:p w14:paraId="57BE6D0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6.我方向贵方提交的所有投标文件、资料都是准确的和真实的。</w:t>
      </w:r>
    </w:p>
    <w:p w14:paraId="5C028D9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7.以上事项如有虚假或者隐瞒，我方愿意承担一切后果，并不再寻求任何旨在减轻或者免除法律责任的辩解。</w:t>
      </w:r>
    </w:p>
    <w:p w14:paraId="02B9DE9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BBE54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563CAFF1">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9D3E72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9.我方若中标，除非发生不可抗力，承诺与采购人及时签订《采购合同》。如果放弃，自愿按照本文件之《投标人须知正文》第30.4条的要求承担法律责任和失信惩戒。</w:t>
      </w:r>
    </w:p>
    <w:p w14:paraId="01744FB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10.与本投标有关的一切正式往来信函请寄：</w:t>
      </w:r>
    </w:p>
    <w:p w14:paraId="0EBFBB8A">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xml:space="preserve">            </w:t>
      </w:r>
    </w:p>
    <w:p w14:paraId="3EE5FAD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电子邮箱：</w:t>
      </w:r>
      <w:r>
        <w:rPr>
          <w:rFonts w:hint="eastAsia" w:ascii="仿宋" w:hAnsi="仿宋" w:eastAsia="仿宋" w:cs="仿宋"/>
          <w:color w:val="auto"/>
          <w:sz w:val="24"/>
          <w:highlight w:val="none"/>
          <w:u w:val="single"/>
        </w:rPr>
        <w:t xml:space="preserve">         </w:t>
      </w:r>
    </w:p>
    <w:p w14:paraId="50B3419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5BE9D86A">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银行帐号：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D2514CA">
      <w:pPr>
        <w:snapToGrid w:val="0"/>
        <w:spacing w:line="360" w:lineRule="auto"/>
        <w:ind w:firstLine="480" w:firstLineChars="200"/>
        <w:jc w:val="left"/>
        <w:rPr>
          <w:rFonts w:hint="eastAsia" w:ascii="仿宋" w:hAnsi="仿宋" w:eastAsia="仿宋" w:cs="仿宋"/>
          <w:color w:val="auto"/>
          <w:sz w:val="24"/>
          <w:highlight w:val="none"/>
        </w:rPr>
      </w:pPr>
    </w:p>
    <w:p w14:paraId="69548D13">
      <w:pPr>
        <w:snapToGrid w:val="0"/>
        <w:spacing w:line="360" w:lineRule="auto"/>
        <w:ind w:firstLine="480" w:firstLineChars="200"/>
        <w:jc w:val="left"/>
        <w:rPr>
          <w:rFonts w:hint="eastAsia" w:ascii="仿宋" w:hAnsi="仿宋" w:eastAsia="仿宋" w:cs="仿宋"/>
          <w:color w:val="auto"/>
          <w:sz w:val="24"/>
          <w:highlight w:val="none"/>
        </w:rPr>
      </w:pPr>
    </w:p>
    <w:p w14:paraId="37FD0184">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法定代表人或者委托代理人（签字）：_______     </w:t>
      </w:r>
    </w:p>
    <w:p w14:paraId="10C5C2B1">
      <w:pPr>
        <w:snapToGrid w:val="0"/>
        <w:spacing w:line="360" w:lineRule="auto"/>
        <w:ind w:firstLine="2400" w:firstLineChars="10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投标人名称（公章）：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2672F333">
      <w:pPr>
        <w:snapToGrid w:val="0"/>
        <w:spacing w:before="120" w:after="295"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 期：</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14:paraId="2FB5B4E9">
      <w:pPr>
        <w:snapToGrid w:val="0"/>
        <w:spacing w:before="120" w:beforeLines="50" w:after="50"/>
        <w:ind w:firstLine="482"/>
        <w:jc w:val="left"/>
        <w:rPr>
          <w:rFonts w:hint="eastAsia" w:ascii="仿宋" w:hAnsi="仿宋" w:eastAsia="仿宋" w:cs="仿宋"/>
          <w:b/>
          <w:color w:val="auto"/>
          <w:sz w:val="24"/>
          <w:highlight w:val="none"/>
        </w:rPr>
      </w:pPr>
      <w:r>
        <w:rPr>
          <w:rFonts w:hint="eastAsia" w:ascii="仿宋" w:hAnsi="仿宋" w:eastAsia="仿宋" w:cs="仿宋"/>
          <w:color w:val="auto"/>
          <w:highlight w:val="none"/>
          <w:u w:val="single"/>
        </w:rPr>
        <w:br w:type="page"/>
      </w:r>
      <w:r>
        <w:rPr>
          <w:rFonts w:hint="eastAsia" w:ascii="仿宋" w:hAnsi="仿宋" w:eastAsia="仿宋" w:cs="仿宋"/>
          <w:b/>
          <w:color w:val="auto"/>
          <w:sz w:val="24"/>
          <w:highlight w:val="none"/>
        </w:rPr>
        <w:t>4. 开标一览表（服务类格式）</w:t>
      </w:r>
    </w:p>
    <w:p w14:paraId="067DDA1A">
      <w:pPr>
        <w:snapToGrid w:val="0"/>
        <w:spacing w:before="120" w:after="50"/>
        <w:ind w:firstLine="88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开标一览表</w:t>
      </w:r>
    </w:p>
    <w:p w14:paraId="296822E5">
      <w:pPr>
        <w:snapToGrid w:val="0"/>
        <w:spacing w:before="120" w:after="50"/>
        <w:ind w:firstLine="480"/>
        <w:jc w:val="center"/>
        <w:rPr>
          <w:rFonts w:hint="eastAsia" w:ascii="仿宋" w:hAnsi="仿宋" w:eastAsia="仿宋" w:cs="仿宋"/>
          <w:b/>
          <w:color w:val="auto"/>
          <w:sz w:val="24"/>
          <w:highlight w:val="none"/>
        </w:rPr>
      </w:pPr>
    </w:p>
    <w:p w14:paraId="69FAC310">
      <w:pPr>
        <w:snapToGrid w:val="0"/>
        <w:spacing w:before="120" w:after="50"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ED9612C">
      <w:pPr>
        <w:snapToGrid w:val="0"/>
        <w:spacing w:before="120" w:after="50" w:line="360" w:lineRule="auto"/>
        <w:ind w:firstLine="48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分标序号及分标名称：</w:t>
      </w:r>
      <w:r>
        <w:rPr>
          <w:rFonts w:hint="eastAsia" w:ascii="仿宋" w:hAnsi="仿宋" w:eastAsia="仿宋" w:cs="仿宋"/>
          <w:color w:val="auto"/>
          <w:sz w:val="24"/>
          <w:highlight w:val="none"/>
          <w:u w:val="single"/>
        </w:rPr>
        <w:t xml:space="preserve">           </w:t>
      </w:r>
    </w:p>
    <w:p w14:paraId="591A72A6">
      <w:pPr>
        <w:snapToGrid w:val="0"/>
        <w:spacing w:before="120" w:after="50" w:line="360" w:lineRule="auto"/>
        <w:ind w:firstLine="48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tbl>
      <w:tblPr>
        <w:tblStyle w:val="41"/>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684"/>
        <w:gridCol w:w="2385"/>
        <w:gridCol w:w="1059"/>
        <w:gridCol w:w="1274"/>
        <w:gridCol w:w="1317"/>
      </w:tblGrid>
      <w:tr w14:paraId="444D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BF7282">
            <w:pPr>
              <w:spacing w:beforeLines="0" w:afterLines="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134F8">
            <w:pPr>
              <w:spacing w:beforeLines="0" w:afterLines="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23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AED63">
            <w:pPr>
              <w:spacing w:beforeLines="0" w:afterLines="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10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C305F">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数量及单位①</w:t>
            </w: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605B0">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单价②  </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2FF2C">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单项合计</w:t>
            </w:r>
          </w:p>
          <w:p w14:paraId="3FE454D6">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③＝①×②</w:t>
            </w:r>
          </w:p>
        </w:tc>
      </w:tr>
      <w:tr w14:paraId="2C73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7D46B">
            <w:pPr>
              <w:spacing w:beforeLines="0" w:after="120" w:afterLines="0"/>
              <w:jc w:val="center"/>
              <w:rPr>
                <w:rFonts w:hint="eastAsia" w:ascii="仿宋" w:hAnsi="仿宋" w:eastAsia="仿宋" w:cs="仿宋"/>
                <w:color w:val="auto"/>
                <w:sz w:val="24"/>
                <w:szCs w:val="24"/>
                <w:highlight w:val="none"/>
              </w:rPr>
            </w:pPr>
          </w:p>
        </w:tc>
        <w:tc>
          <w:tcPr>
            <w:tcW w:w="2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25668">
            <w:pPr>
              <w:spacing w:beforeLines="0" w:afterLines="0" w:line="360" w:lineRule="auto"/>
              <w:jc w:val="center"/>
              <w:rPr>
                <w:rFonts w:hint="eastAsia" w:ascii="仿宋" w:hAnsi="仿宋" w:eastAsia="仿宋" w:cs="仿宋"/>
                <w:color w:val="auto"/>
                <w:sz w:val="24"/>
                <w:szCs w:val="24"/>
                <w:highlight w:val="none"/>
              </w:rPr>
            </w:pPr>
          </w:p>
        </w:tc>
        <w:tc>
          <w:tcPr>
            <w:tcW w:w="23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0E8BA">
            <w:pPr>
              <w:spacing w:beforeLines="0" w:afterLines="0" w:line="360" w:lineRule="auto"/>
              <w:jc w:val="left"/>
              <w:rPr>
                <w:rFonts w:hint="eastAsia" w:ascii="仿宋" w:hAnsi="仿宋" w:eastAsia="仿宋" w:cs="仿宋"/>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4AC43">
            <w:pPr>
              <w:spacing w:beforeLines="0" w:after="120" w:afterLines="0"/>
              <w:jc w:val="center"/>
              <w:rPr>
                <w:rFonts w:hint="eastAsia" w:ascii="仿宋" w:hAnsi="仿宋" w:eastAsia="仿宋" w:cs="仿宋"/>
                <w:color w:val="auto"/>
                <w:sz w:val="24"/>
                <w:szCs w:val="24"/>
                <w:highlight w:val="none"/>
              </w:rPr>
            </w:pP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D6389">
            <w:pPr>
              <w:spacing w:beforeLines="0" w:after="120" w:afterLines="0"/>
              <w:jc w:val="center"/>
              <w:rPr>
                <w:rFonts w:hint="eastAsia" w:ascii="仿宋" w:hAnsi="仿宋" w:eastAsia="仿宋" w:cs="仿宋"/>
                <w:color w:val="auto"/>
                <w:sz w:val="24"/>
                <w:szCs w:val="24"/>
                <w:highlight w:val="none"/>
              </w:rPr>
            </w:pP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434685">
            <w:pPr>
              <w:spacing w:beforeLines="0" w:after="120" w:afterLines="0"/>
              <w:jc w:val="center"/>
              <w:rPr>
                <w:rFonts w:hint="eastAsia" w:ascii="仿宋" w:hAnsi="仿宋" w:eastAsia="仿宋" w:cs="仿宋"/>
                <w:color w:val="auto"/>
                <w:sz w:val="24"/>
                <w:szCs w:val="24"/>
                <w:highlight w:val="none"/>
              </w:rPr>
            </w:pPr>
          </w:p>
        </w:tc>
      </w:tr>
      <w:tr w14:paraId="5797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7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A2A32A8">
            <w:pPr>
              <w:spacing w:beforeLines="0" w:after="120" w:afterLines="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合计金额（人民币大写）：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55763121">
      <w:pPr>
        <w:pStyle w:val="18"/>
        <w:rPr>
          <w:rFonts w:hint="eastAsia" w:ascii="仿宋" w:hAnsi="仿宋" w:eastAsia="仿宋" w:cs="仿宋"/>
          <w:color w:val="auto"/>
          <w:sz w:val="24"/>
          <w:highlight w:val="none"/>
          <w:u w:val="single"/>
        </w:rPr>
      </w:pPr>
    </w:p>
    <w:bookmarkEnd w:id="157"/>
    <w:bookmarkEnd w:id="158"/>
    <w:p w14:paraId="2742C0B0">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注： </w:t>
      </w:r>
    </w:p>
    <w:p w14:paraId="102A45D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1.投标人的开标一览表必须加盖投标人公章并由法定代表人或者委托代理人签字或者电子签名，</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538D0EE6">
      <w:pPr>
        <w:snapToGrid w:val="0"/>
        <w:spacing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报价一经涂改，应在涂改处加盖投标人公章或者由法定代表人或者委托代理人签字（或者电子签名）</w:t>
      </w:r>
      <w:r>
        <w:rPr>
          <w:rFonts w:hint="eastAsia" w:ascii="仿宋" w:hAnsi="仿宋" w:eastAsia="仿宋" w:cs="仿宋"/>
          <w:b/>
          <w:color w:val="auto"/>
          <w:sz w:val="24"/>
          <w:highlight w:val="none"/>
        </w:rPr>
        <w:t>，否则其投标作无效标处理。</w:t>
      </w:r>
    </w:p>
    <w:p w14:paraId="65258851">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022B6F3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265541A4">
      <w:pPr>
        <w:snapToGrid w:val="0"/>
        <w:spacing w:line="360" w:lineRule="auto"/>
        <w:ind w:firstLine="456" w:firstLineChars="200"/>
        <w:jc w:val="lef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5.如为联合体投标，盖章处须加盖联合体牵头人公章，签字处为联合体牵头人签字，</w:t>
      </w:r>
      <w:r>
        <w:rPr>
          <w:rFonts w:hint="eastAsia" w:ascii="仿宋" w:hAnsi="仿宋" w:eastAsia="仿宋" w:cs="仿宋"/>
          <w:b/>
          <w:color w:val="auto"/>
          <w:spacing w:val="-6"/>
          <w:sz w:val="24"/>
          <w:highlight w:val="none"/>
        </w:rPr>
        <w:t>否则其投标作无效标处理。</w:t>
      </w:r>
    </w:p>
    <w:p w14:paraId="5DF33BC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6.如有多分标，按分标分别提供开标一览表，</w:t>
      </w:r>
      <w:r>
        <w:rPr>
          <w:rFonts w:hint="eastAsia" w:ascii="仿宋" w:hAnsi="仿宋" w:eastAsia="仿宋" w:cs="仿宋"/>
          <w:b/>
          <w:color w:val="auto"/>
          <w:sz w:val="24"/>
          <w:highlight w:val="none"/>
        </w:rPr>
        <w:t>否则投标无效。</w:t>
      </w:r>
      <w:r>
        <w:rPr>
          <w:rFonts w:hint="eastAsia" w:ascii="仿宋" w:hAnsi="仿宋" w:eastAsia="仿宋" w:cs="仿宋"/>
          <w:color w:val="auto"/>
          <w:sz w:val="24"/>
          <w:highlight w:val="none"/>
        </w:rPr>
        <w:t xml:space="preserve">                           </w:t>
      </w:r>
    </w:p>
    <w:p w14:paraId="27F6C1A0">
      <w:pPr>
        <w:snapToGrid w:val="0"/>
        <w:spacing w:before="120" w:beforeLines="50" w:line="360" w:lineRule="auto"/>
        <w:ind w:right="480" w:firstLine="2640" w:firstLineChars="11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1EE54D8D">
      <w:pPr>
        <w:snapToGrid w:val="0"/>
        <w:spacing w:before="120" w:beforeLines="50" w:after="50" w:line="360" w:lineRule="auto"/>
        <w:ind w:right="480" w:firstLine="2640" w:firstLineChars="11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p>
    <w:p w14:paraId="73D85931">
      <w:pPr>
        <w:snapToGrid w:val="0"/>
        <w:spacing w:line="360" w:lineRule="auto"/>
        <w:ind w:left="-2" w:leftChars="-1" w:right="-817" w:rightChars="-389" w:firstLine="2640" w:firstLineChars="1100"/>
        <w:rPr>
          <w:rFonts w:hint="eastAsia" w:ascii="仿宋" w:hAnsi="仿宋" w:eastAsia="仿宋" w:cs="仿宋"/>
          <w:color w:val="auto"/>
          <w:szCs w:val="21"/>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0C347FB">
      <w:pPr>
        <w:ind w:firstLine="480"/>
        <w:rPr>
          <w:rFonts w:hint="eastAsia" w:ascii="仿宋" w:hAnsi="仿宋" w:eastAsia="仿宋" w:cs="仿宋"/>
          <w:b/>
          <w:color w:val="auto"/>
          <w:sz w:val="28"/>
          <w:szCs w:val="28"/>
          <w:highlight w:val="none"/>
        </w:rPr>
      </w:pPr>
      <w:r>
        <w:rPr>
          <w:rFonts w:hint="eastAsia" w:ascii="仿宋" w:hAnsi="仿宋" w:eastAsia="仿宋" w:cs="仿宋"/>
          <w:b/>
          <w:bCs/>
          <w:color w:val="auto"/>
          <w:sz w:val="24"/>
          <w:highlight w:val="none"/>
        </w:rPr>
        <w:br w:type="page"/>
      </w:r>
      <w:bookmarkStart w:id="159" w:name="_Toc19686837"/>
      <w:r>
        <w:rPr>
          <w:rFonts w:hint="eastAsia" w:ascii="仿宋" w:hAnsi="仿宋" w:eastAsia="仿宋" w:cs="仿宋"/>
          <w:b/>
          <w:color w:val="auto"/>
          <w:sz w:val="28"/>
          <w:szCs w:val="28"/>
          <w:highlight w:val="none"/>
        </w:rPr>
        <w:t>二、资格证明文件格式</w:t>
      </w:r>
      <w:bookmarkEnd w:id="159"/>
    </w:p>
    <w:p w14:paraId="3F260C5E">
      <w:pPr>
        <w:numPr>
          <w:ilvl w:val="2"/>
          <w:numId w:val="8"/>
        </w:numPr>
        <w:snapToGrid w:val="0"/>
        <w:spacing w:before="120" w:beforeLines="50" w:after="50"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资格证明文件封面格式： </w:t>
      </w:r>
    </w:p>
    <w:p w14:paraId="39BCB722">
      <w:pPr>
        <w:snapToGrid w:val="0"/>
        <w:spacing w:before="120" w:beforeLines="50" w:after="50"/>
        <w:ind w:firstLine="482"/>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 xml:space="preserve">                 </w:t>
      </w:r>
    </w:p>
    <w:p w14:paraId="303F6BC9">
      <w:pPr>
        <w:snapToGrid w:val="0"/>
        <w:spacing w:before="120" w:beforeLines="50" w:after="50"/>
        <w:ind w:firstLine="640"/>
        <w:jc w:val="center"/>
        <w:rPr>
          <w:rFonts w:hint="eastAsia" w:ascii="仿宋" w:hAnsi="仿宋" w:eastAsia="仿宋" w:cs="仿宋"/>
          <w:b/>
          <w:color w:val="auto"/>
          <w:sz w:val="24"/>
          <w:szCs w:val="20"/>
          <w:highlight w:val="none"/>
        </w:rPr>
      </w:pPr>
      <w:r>
        <w:rPr>
          <w:rFonts w:hint="eastAsia" w:ascii="仿宋" w:hAnsi="仿宋" w:eastAsia="仿宋" w:cs="仿宋"/>
          <w:b/>
          <w:color w:val="auto"/>
          <w:sz w:val="32"/>
          <w:szCs w:val="32"/>
          <w:highlight w:val="none"/>
        </w:rPr>
        <w:t>资格证明文件</w:t>
      </w:r>
    </w:p>
    <w:p w14:paraId="4CB9D828">
      <w:pPr>
        <w:snapToGrid w:val="0"/>
        <w:spacing w:before="120" w:beforeLines="50" w:after="50"/>
        <w:ind w:firstLine="482"/>
        <w:rPr>
          <w:rFonts w:hint="eastAsia" w:ascii="仿宋" w:hAnsi="仿宋" w:eastAsia="仿宋" w:cs="仿宋"/>
          <w:bCs/>
          <w:color w:val="auto"/>
          <w:sz w:val="24"/>
          <w:szCs w:val="20"/>
          <w:highlight w:val="none"/>
        </w:rPr>
      </w:pPr>
    </w:p>
    <w:p w14:paraId="0F0D7060">
      <w:pPr>
        <w:snapToGrid w:val="0"/>
        <w:spacing w:before="120" w:beforeLines="50" w:after="50"/>
        <w:ind w:firstLine="482"/>
        <w:rPr>
          <w:rFonts w:hint="eastAsia" w:ascii="仿宋" w:hAnsi="仿宋" w:eastAsia="仿宋" w:cs="仿宋"/>
          <w:bCs/>
          <w:color w:val="auto"/>
          <w:sz w:val="24"/>
          <w:szCs w:val="20"/>
          <w:highlight w:val="none"/>
        </w:rPr>
      </w:pPr>
    </w:p>
    <w:p w14:paraId="073C4E3E">
      <w:pPr>
        <w:snapToGrid w:val="0"/>
        <w:spacing w:before="120" w:beforeLines="50" w:after="50"/>
        <w:ind w:firstLine="482"/>
        <w:rPr>
          <w:rFonts w:hint="eastAsia" w:ascii="仿宋" w:hAnsi="仿宋" w:eastAsia="仿宋" w:cs="仿宋"/>
          <w:bCs/>
          <w:color w:val="auto"/>
          <w:sz w:val="24"/>
          <w:szCs w:val="20"/>
          <w:highlight w:val="none"/>
        </w:rPr>
      </w:pPr>
    </w:p>
    <w:p w14:paraId="3E459742">
      <w:pPr>
        <w:snapToGrid w:val="0"/>
        <w:spacing w:before="120" w:beforeLines="50" w:after="50"/>
        <w:ind w:firstLine="482"/>
        <w:rPr>
          <w:rFonts w:hint="eastAsia" w:ascii="仿宋" w:hAnsi="仿宋" w:eastAsia="仿宋" w:cs="仿宋"/>
          <w:bCs/>
          <w:color w:val="auto"/>
          <w:sz w:val="24"/>
          <w:szCs w:val="20"/>
          <w:highlight w:val="none"/>
        </w:rPr>
      </w:pPr>
    </w:p>
    <w:p w14:paraId="26659E3E">
      <w:pPr>
        <w:snapToGrid w:val="0"/>
        <w:spacing w:before="120" w:after="50"/>
        <w:ind w:firstLine="2318" w:firstLineChars="966"/>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项目名称： </w:t>
      </w:r>
    </w:p>
    <w:p w14:paraId="6FA76751">
      <w:pPr>
        <w:snapToGrid w:val="0"/>
        <w:spacing w:before="120" w:after="50"/>
        <w:ind w:firstLine="2318" w:firstLineChars="966"/>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项目编号： </w:t>
      </w:r>
    </w:p>
    <w:p w14:paraId="2A475230">
      <w:pPr>
        <w:snapToGrid w:val="0"/>
        <w:spacing w:before="120" w:after="50"/>
        <w:ind w:firstLine="2318" w:firstLineChars="966"/>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17EDA0D9">
      <w:pPr>
        <w:snapToGrid w:val="0"/>
        <w:spacing w:before="120" w:after="50"/>
        <w:ind w:firstLine="2318" w:firstLineChars="966"/>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投标人地址：</w:t>
      </w:r>
    </w:p>
    <w:p w14:paraId="37EB5D1E">
      <w:pPr>
        <w:snapToGrid w:val="0"/>
        <w:spacing w:before="120" w:after="50"/>
        <w:ind w:firstLine="540" w:firstLineChars="225"/>
        <w:rPr>
          <w:rFonts w:hint="eastAsia" w:ascii="仿宋" w:hAnsi="仿宋" w:eastAsia="仿宋" w:cs="仿宋"/>
          <w:bCs/>
          <w:color w:val="auto"/>
          <w:sz w:val="24"/>
          <w:highlight w:val="none"/>
        </w:rPr>
      </w:pPr>
    </w:p>
    <w:p w14:paraId="0B585374">
      <w:pPr>
        <w:snapToGrid w:val="0"/>
        <w:spacing w:before="120" w:after="50"/>
        <w:ind w:firstLine="540" w:firstLineChars="225"/>
        <w:rPr>
          <w:rFonts w:hint="eastAsia" w:ascii="仿宋" w:hAnsi="仿宋" w:eastAsia="仿宋" w:cs="仿宋"/>
          <w:bCs/>
          <w:color w:val="auto"/>
          <w:sz w:val="24"/>
          <w:highlight w:val="none"/>
        </w:rPr>
      </w:pPr>
    </w:p>
    <w:p w14:paraId="6B05A9C7">
      <w:pPr>
        <w:snapToGrid w:val="0"/>
        <w:spacing w:before="120" w:after="50"/>
        <w:ind w:firstLine="960" w:firstLineChars="400"/>
        <w:rPr>
          <w:rFonts w:hint="eastAsia" w:ascii="仿宋" w:hAnsi="仿宋" w:eastAsia="仿宋" w:cs="仿宋"/>
          <w:bCs/>
          <w:color w:val="auto"/>
          <w:sz w:val="24"/>
          <w:highlight w:val="none"/>
        </w:rPr>
      </w:pPr>
    </w:p>
    <w:p w14:paraId="47331328">
      <w:pPr>
        <w:snapToGrid w:val="0"/>
        <w:spacing w:before="120" w:beforeLines="50" w:after="50"/>
        <w:ind w:firstLine="48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2363CC71">
      <w:pPr>
        <w:snapToGrid w:val="0"/>
        <w:spacing w:before="120" w:beforeLines="50" w:after="50"/>
        <w:ind w:firstLine="482"/>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51DF0290">
      <w:pPr>
        <w:snapToGrid w:val="0"/>
        <w:spacing w:before="120" w:beforeLines="50" w:after="50"/>
        <w:ind w:firstLine="482"/>
        <w:rPr>
          <w:rFonts w:hint="eastAsia" w:ascii="仿宋" w:hAnsi="仿宋" w:eastAsia="仿宋" w:cs="仿宋"/>
          <w:color w:val="auto"/>
          <w:sz w:val="24"/>
          <w:szCs w:val="20"/>
          <w:highlight w:val="none"/>
        </w:rPr>
      </w:pPr>
    </w:p>
    <w:p w14:paraId="7F0799DD">
      <w:pPr>
        <w:numPr>
          <w:ilvl w:val="2"/>
          <w:numId w:val="8"/>
        </w:numPr>
        <w:snapToGrid w:val="0"/>
        <w:spacing w:before="120" w:beforeLines="50" w:after="50" w:line="360" w:lineRule="auto"/>
        <w:ind w:firstLine="48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资格证明文件目录</w:t>
      </w:r>
    </w:p>
    <w:p w14:paraId="16BEF863">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根据招标文件规定及投标人提供的材料自行编写目录。</w:t>
      </w:r>
    </w:p>
    <w:p w14:paraId="5C16E7B7">
      <w:pPr>
        <w:snapToGrid w:val="0"/>
        <w:spacing w:before="120" w:after="120" w:afterLines="50"/>
        <w:ind w:firstLine="482"/>
        <w:jc w:val="left"/>
        <w:rPr>
          <w:rFonts w:hint="eastAsia" w:ascii="仿宋" w:hAnsi="仿宋" w:eastAsia="仿宋" w:cs="仿宋"/>
          <w:color w:val="auto"/>
          <w:sz w:val="24"/>
          <w:highlight w:val="none"/>
        </w:rPr>
      </w:pPr>
    </w:p>
    <w:p w14:paraId="2A20DFE2">
      <w:pPr>
        <w:snapToGrid w:val="0"/>
        <w:spacing w:before="120" w:after="120" w:afterLines="50"/>
        <w:ind w:firstLine="482"/>
        <w:jc w:val="left"/>
        <w:rPr>
          <w:rFonts w:hint="eastAsia" w:ascii="仿宋" w:hAnsi="仿宋" w:eastAsia="仿宋" w:cs="仿宋"/>
          <w:color w:val="auto"/>
          <w:sz w:val="24"/>
          <w:highlight w:val="none"/>
        </w:rPr>
      </w:pPr>
    </w:p>
    <w:p w14:paraId="116C434E">
      <w:pPr>
        <w:numPr>
          <w:ilvl w:val="2"/>
          <w:numId w:val="8"/>
        </w:numPr>
        <w:snapToGrid w:val="0"/>
        <w:spacing w:before="120" w:beforeLines="50" w:after="50"/>
        <w:ind w:hanging="82"/>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8"/>
          <w:szCs w:val="28"/>
          <w:highlight w:val="none"/>
        </w:rPr>
        <w:t>投标人直接控股、管理关系信息表</w:t>
      </w:r>
    </w:p>
    <w:p w14:paraId="46510BB3">
      <w:pPr>
        <w:snapToGrid w:val="0"/>
        <w:spacing w:before="120" w:after="120" w:afterLines="50"/>
        <w:ind w:firstLine="560"/>
        <w:jc w:val="center"/>
        <w:rPr>
          <w:rFonts w:hint="eastAsia" w:ascii="仿宋" w:hAnsi="仿宋" w:eastAsia="仿宋" w:cs="仿宋"/>
          <w:b/>
          <w:color w:val="auto"/>
          <w:sz w:val="28"/>
          <w:szCs w:val="28"/>
          <w:highlight w:val="none"/>
        </w:rPr>
      </w:pPr>
    </w:p>
    <w:p w14:paraId="676E7D65">
      <w:pPr>
        <w:snapToGrid w:val="0"/>
        <w:spacing w:before="120" w:after="120" w:afterLines="50"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投标人直接控股股东信息表</w:t>
      </w:r>
    </w:p>
    <w:tbl>
      <w:tblPr>
        <w:tblStyle w:val="4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78CF9C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688BBA">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A8F343">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7B42A9">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E1DBB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2991C4">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6D39322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145CF1">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D8C682">
            <w:pPr>
              <w:spacing w:line="360" w:lineRule="auto"/>
              <w:ind w:firstLine="482"/>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2667EE">
            <w:pPr>
              <w:spacing w:line="360" w:lineRule="auto"/>
              <w:ind w:firstLine="482"/>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D53D2B">
            <w:pPr>
              <w:spacing w:line="360" w:lineRule="auto"/>
              <w:ind w:firstLine="482"/>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9A86C8">
            <w:pPr>
              <w:spacing w:line="360" w:lineRule="auto"/>
              <w:ind w:firstLine="482"/>
              <w:jc w:val="center"/>
              <w:rPr>
                <w:rFonts w:hint="eastAsia" w:ascii="仿宋" w:hAnsi="仿宋" w:eastAsia="仿宋" w:cs="仿宋"/>
                <w:color w:val="auto"/>
                <w:kern w:val="0"/>
                <w:sz w:val="24"/>
                <w:highlight w:val="none"/>
              </w:rPr>
            </w:pPr>
          </w:p>
        </w:tc>
      </w:tr>
      <w:tr w14:paraId="3DC1BB3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76D36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DE1D21">
            <w:pPr>
              <w:spacing w:line="360" w:lineRule="auto"/>
              <w:ind w:firstLine="482"/>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9DFD7B">
            <w:pPr>
              <w:spacing w:line="360" w:lineRule="auto"/>
              <w:ind w:firstLine="482"/>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D236C9">
            <w:pPr>
              <w:spacing w:line="360" w:lineRule="auto"/>
              <w:ind w:firstLine="482"/>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BFADC6">
            <w:pPr>
              <w:spacing w:line="360" w:lineRule="auto"/>
              <w:ind w:firstLine="482"/>
              <w:jc w:val="center"/>
              <w:rPr>
                <w:rFonts w:hint="eastAsia" w:ascii="仿宋" w:hAnsi="仿宋" w:eastAsia="仿宋" w:cs="仿宋"/>
                <w:color w:val="auto"/>
                <w:kern w:val="0"/>
                <w:sz w:val="24"/>
                <w:highlight w:val="none"/>
              </w:rPr>
            </w:pPr>
          </w:p>
        </w:tc>
      </w:tr>
      <w:tr w14:paraId="58AD726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BD8FC2">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837AA">
            <w:pPr>
              <w:spacing w:line="360" w:lineRule="auto"/>
              <w:ind w:firstLine="482"/>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E12228">
            <w:pPr>
              <w:spacing w:line="360" w:lineRule="auto"/>
              <w:ind w:firstLine="482"/>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7805E">
            <w:pPr>
              <w:spacing w:line="360" w:lineRule="auto"/>
              <w:ind w:firstLine="482"/>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CD0E9">
            <w:pPr>
              <w:spacing w:line="360" w:lineRule="auto"/>
              <w:ind w:firstLine="482"/>
              <w:jc w:val="center"/>
              <w:rPr>
                <w:rFonts w:hint="eastAsia" w:ascii="仿宋" w:hAnsi="仿宋" w:eastAsia="仿宋" w:cs="仿宋"/>
                <w:color w:val="auto"/>
                <w:kern w:val="0"/>
                <w:sz w:val="24"/>
                <w:highlight w:val="none"/>
              </w:rPr>
            </w:pPr>
          </w:p>
        </w:tc>
      </w:tr>
      <w:tr w14:paraId="6F17BF8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3C8442">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D09EA8">
            <w:pPr>
              <w:spacing w:line="360" w:lineRule="auto"/>
              <w:ind w:firstLine="482"/>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282D90">
            <w:pPr>
              <w:spacing w:line="360" w:lineRule="auto"/>
              <w:ind w:firstLine="482"/>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46B35F">
            <w:pPr>
              <w:spacing w:line="360" w:lineRule="auto"/>
              <w:ind w:firstLine="482"/>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656FA6">
            <w:pPr>
              <w:spacing w:line="360" w:lineRule="auto"/>
              <w:ind w:firstLine="482"/>
              <w:jc w:val="center"/>
              <w:rPr>
                <w:rFonts w:hint="eastAsia" w:ascii="仿宋" w:hAnsi="仿宋" w:eastAsia="仿宋" w:cs="仿宋"/>
                <w:color w:val="auto"/>
                <w:kern w:val="0"/>
                <w:sz w:val="24"/>
                <w:highlight w:val="none"/>
              </w:rPr>
            </w:pPr>
          </w:p>
        </w:tc>
      </w:tr>
    </w:tbl>
    <w:p w14:paraId="7B0F466A">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4994C3A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6A683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5CE8A812">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3.供应商不存在直接控股股东的，则在“</w:t>
      </w:r>
      <w:r>
        <w:rPr>
          <w:rFonts w:hint="eastAsia" w:ascii="仿宋" w:hAnsi="仿宋" w:eastAsia="仿宋" w:cs="仿宋"/>
          <w:b/>
          <w:bCs/>
          <w:color w:val="auto"/>
          <w:kern w:val="0"/>
          <w:sz w:val="24"/>
          <w:highlight w:val="none"/>
        </w:rPr>
        <w:t>直接控股股东名称</w:t>
      </w:r>
      <w:r>
        <w:rPr>
          <w:rFonts w:hint="eastAsia" w:ascii="仿宋" w:hAnsi="仿宋" w:eastAsia="仿宋" w:cs="仿宋"/>
          <w:color w:val="auto"/>
          <w:sz w:val="24"/>
          <w:highlight w:val="none"/>
        </w:rPr>
        <w:t>”中填“无”。</w:t>
      </w:r>
    </w:p>
    <w:p w14:paraId="380731F8">
      <w:pPr>
        <w:snapToGrid w:val="0"/>
        <w:spacing w:line="360" w:lineRule="auto"/>
        <w:jc w:val="left"/>
        <w:rPr>
          <w:rFonts w:hint="eastAsia" w:ascii="仿宋" w:hAnsi="仿宋" w:eastAsia="仿宋" w:cs="仿宋"/>
          <w:color w:val="auto"/>
          <w:sz w:val="24"/>
          <w:highlight w:val="none"/>
        </w:rPr>
      </w:pPr>
    </w:p>
    <w:p w14:paraId="51271A94">
      <w:pPr>
        <w:snapToGrid w:val="0"/>
        <w:spacing w:line="360" w:lineRule="auto"/>
        <w:ind w:firstLine="482"/>
        <w:jc w:val="left"/>
        <w:rPr>
          <w:rFonts w:hint="eastAsia" w:ascii="仿宋" w:hAnsi="仿宋" w:eastAsia="仿宋" w:cs="仿宋"/>
          <w:color w:val="auto"/>
          <w:sz w:val="24"/>
          <w:highlight w:val="none"/>
        </w:rPr>
      </w:pPr>
    </w:p>
    <w:p w14:paraId="6DA20FC4">
      <w:pPr>
        <w:snapToGrid w:val="0"/>
        <w:spacing w:line="360" w:lineRule="auto"/>
        <w:ind w:firstLine="482"/>
        <w:jc w:val="left"/>
        <w:rPr>
          <w:rFonts w:hint="eastAsia" w:ascii="仿宋" w:hAnsi="仿宋" w:eastAsia="仿宋" w:cs="仿宋"/>
          <w:color w:val="auto"/>
          <w:sz w:val="24"/>
          <w:highlight w:val="none"/>
        </w:rPr>
      </w:pPr>
    </w:p>
    <w:p w14:paraId="69D2EB85">
      <w:pPr>
        <w:snapToGrid w:val="0"/>
        <w:spacing w:before="120" w:beforeLines="50" w:line="360" w:lineRule="auto"/>
        <w:ind w:right="480" w:firstLine="2400" w:firstLineChars="1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0C3812AD">
      <w:pPr>
        <w:snapToGrid w:val="0"/>
        <w:spacing w:before="120" w:beforeLines="50" w:after="50" w:line="360" w:lineRule="auto"/>
        <w:ind w:right="480" w:firstLine="2400" w:firstLineChars="1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p>
    <w:p w14:paraId="369009F2">
      <w:pPr>
        <w:snapToGrid w:val="0"/>
        <w:spacing w:before="120" w:beforeLines="50" w:after="50" w:line="360" w:lineRule="auto"/>
        <w:ind w:right="480" w:firstLine="2400" w:firstLineChars="1000"/>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b/>
          <w:color w:val="auto"/>
          <w:sz w:val="28"/>
          <w:szCs w:val="28"/>
          <w:highlight w:val="none"/>
        </w:rPr>
        <w:br w:type="page"/>
      </w:r>
    </w:p>
    <w:p w14:paraId="37EFBAAB">
      <w:pPr>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投标人直接管理关系信息表</w:t>
      </w:r>
    </w:p>
    <w:tbl>
      <w:tblPr>
        <w:tblStyle w:val="41"/>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9AAE4D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5CE700">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394984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9105EE">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D3C2D8">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3CF8690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8168F8">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9F8889">
            <w:pPr>
              <w:spacing w:line="360" w:lineRule="auto"/>
              <w:ind w:firstLine="482"/>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EC952D">
            <w:pPr>
              <w:spacing w:line="360" w:lineRule="auto"/>
              <w:ind w:firstLine="482"/>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DD609C">
            <w:pPr>
              <w:spacing w:line="360" w:lineRule="auto"/>
              <w:ind w:firstLine="482"/>
              <w:jc w:val="center"/>
              <w:rPr>
                <w:rFonts w:hint="eastAsia" w:ascii="仿宋" w:hAnsi="仿宋" w:eastAsia="仿宋" w:cs="仿宋"/>
                <w:color w:val="auto"/>
                <w:kern w:val="0"/>
                <w:sz w:val="24"/>
                <w:highlight w:val="none"/>
              </w:rPr>
            </w:pPr>
          </w:p>
        </w:tc>
      </w:tr>
      <w:tr w14:paraId="7ABD17B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630AC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8C0E78">
            <w:pPr>
              <w:spacing w:line="360" w:lineRule="auto"/>
              <w:ind w:firstLine="482"/>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CCE14E">
            <w:pPr>
              <w:spacing w:line="360" w:lineRule="auto"/>
              <w:ind w:firstLine="482"/>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C29CD5">
            <w:pPr>
              <w:spacing w:line="360" w:lineRule="auto"/>
              <w:ind w:firstLine="482"/>
              <w:jc w:val="center"/>
              <w:rPr>
                <w:rFonts w:hint="eastAsia" w:ascii="仿宋" w:hAnsi="仿宋" w:eastAsia="仿宋" w:cs="仿宋"/>
                <w:color w:val="auto"/>
                <w:kern w:val="0"/>
                <w:sz w:val="24"/>
                <w:highlight w:val="none"/>
              </w:rPr>
            </w:pPr>
          </w:p>
        </w:tc>
      </w:tr>
      <w:tr w14:paraId="25BCBDC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E25369">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28A58F">
            <w:pPr>
              <w:spacing w:line="360" w:lineRule="auto"/>
              <w:ind w:firstLine="482"/>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B0144F">
            <w:pPr>
              <w:spacing w:line="360" w:lineRule="auto"/>
              <w:ind w:firstLine="482"/>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6D201">
            <w:pPr>
              <w:spacing w:line="360" w:lineRule="auto"/>
              <w:ind w:firstLine="482"/>
              <w:jc w:val="center"/>
              <w:rPr>
                <w:rFonts w:hint="eastAsia" w:ascii="仿宋" w:hAnsi="仿宋" w:eastAsia="仿宋" w:cs="仿宋"/>
                <w:color w:val="auto"/>
                <w:kern w:val="0"/>
                <w:sz w:val="24"/>
                <w:highlight w:val="none"/>
              </w:rPr>
            </w:pPr>
          </w:p>
        </w:tc>
      </w:tr>
      <w:tr w14:paraId="7D62C4D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AB022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A877F7">
            <w:pPr>
              <w:spacing w:line="360" w:lineRule="auto"/>
              <w:ind w:firstLine="482"/>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AFF807">
            <w:pPr>
              <w:spacing w:line="360" w:lineRule="auto"/>
              <w:ind w:firstLine="482"/>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781F57">
            <w:pPr>
              <w:spacing w:line="360" w:lineRule="auto"/>
              <w:ind w:firstLine="482"/>
              <w:jc w:val="center"/>
              <w:rPr>
                <w:rFonts w:hint="eastAsia" w:ascii="仿宋" w:hAnsi="仿宋" w:eastAsia="仿宋" w:cs="仿宋"/>
                <w:color w:val="auto"/>
                <w:kern w:val="0"/>
                <w:sz w:val="24"/>
                <w:highlight w:val="none"/>
              </w:rPr>
            </w:pPr>
          </w:p>
        </w:tc>
      </w:tr>
    </w:tbl>
    <w:p w14:paraId="147E67E3">
      <w:pPr>
        <w:snapToGrid w:val="0"/>
        <w:spacing w:line="360" w:lineRule="auto"/>
        <w:ind w:firstLine="480"/>
        <w:jc w:val="left"/>
        <w:rPr>
          <w:rFonts w:hint="eastAsia" w:ascii="仿宋" w:hAnsi="仿宋" w:eastAsia="仿宋" w:cs="仿宋"/>
          <w:b/>
          <w:color w:val="auto"/>
          <w:sz w:val="24"/>
          <w:highlight w:val="none"/>
        </w:rPr>
      </w:pPr>
    </w:p>
    <w:p w14:paraId="011844DE">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1A235453">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64EE650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05E636C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3.供应商不存在直接管理关系的，则在“</w:t>
      </w:r>
      <w:r>
        <w:rPr>
          <w:rFonts w:hint="eastAsia" w:ascii="仿宋" w:hAnsi="仿宋" w:eastAsia="仿宋" w:cs="仿宋"/>
          <w:b/>
          <w:bCs/>
          <w:color w:val="auto"/>
          <w:kern w:val="0"/>
          <w:sz w:val="24"/>
          <w:highlight w:val="none"/>
        </w:rPr>
        <w:t>直接管理关系单位名称</w:t>
      </w:r>
      <w:r>
        <w:rPr>
          <w:rFonts w:hint="eastAsia" w:ascii="仿宋" w:hAnsi="仿宋" w:eastAsia="仿宋" w:cs="仿宋"/>
          <w:color w:val="auto"/>
          <w:sz w:val="24"/>
          <w:highlight w:val="none"/>
        </w:rPr>
        <w:t>”中填“无”。</w:t>
      </w:r>
    </w:p>
    <w:p w14:paraId="31692443">
      <w:pPr>
        <w:snapToGrid w:val="0"/>
        <w:spacing w:line="360" w:lineRule="auto"/>
        <w:ind w:firstLine="480" w:firstLineChars="200"/>
        <w:jc w:val="left"/>
        <w:rPr>
          <w:rFonts w:hint="eastAsia" w:ascii="仿宋" w:hAnsi="仿宋" w:eastAsia="仿宋" w:cs="仿宋"/>
          <w:color w:val="auto"/>
          <w:sz w:val="24"/>
          <w:highlight w:val="none"/>
        </w:rPr>
      </w:pPr>
    </w:p>
    <w:p w14:paraId="1F62E098">
      <w:pPr>
        <w:snapToGrid w:val="0"/>
        <w:spacing w:line="360" w:lineRule="auto"/>
        <w:ind w:firstLine="482"/>
        <w:jc w:val="left"/>
        <w:rPr>
          <w:rFonts w:hint="eastAsia" w:ascii="仿宋" w:hAnsi="仿宋" w:eastAsia="仿宋" w:cs="仿宋"/>
          <w:color w:val="auto"/>
          <w:sz w:val="24"/>
          <w:highlight w:val="none"/>
        </w:rPr>
      </w:pPr>
    </w:p>
    <w:p w14:paraId="6504563B">
      <w:pPr>
        <w:snapToGrid w:val="0"/>
        <w:spacing w:line="360" w:lineRule="auto"/>
        <w:jc w:val="left"/>
        <w:rPr>
          <w:rFonts w:hint="eastAsia" w:ascii="仿宋" w:hAnsi="仿宋" w:eastAsia="仿宋" w:cs="仿宋"/>
          <w:color w:val="auto"/>
          <w:sz w:val="24"/>
          <w:highlight w:val="none"/>
        </w:rPr>
      </w:pPr>
    </w:p>
    <w:p w14:paraId="75B5145B">
      <w:pPr>
        <w:snapToGrid w:val="0"/>
        <w:spacing w:line="360" w:lineRule="auto"/>
        <w:ind w:firstLine="482"/>
        <w:jc w:val="left"/>
        <w:rPr>
          <w:rFonts w:hint="eastAsia" w:ascii="仿宋" w:hAnsi="仿宋" w:eastAsia="仿宋" w:cs="仿宋"/>
          <w:color w:val="auto"/>
          <w:sz w:val="24"/>
          <w:highlight w:val="none"/>
        </w:rPr>
      </w:pPr>
    </w:p>
    <w:p w14:paraId="1EA25A7D">
      <w:pPr>
        <w:snapToGrid w:val="0"/>
        <w:spacing w:line="360" w:lineRule="auto"/>
        <w:ind w:firstLine="482"/>
        <w:jc w:val="left"/>
        <w:rPr>
          <w:rFonts w:hint="eastAsia" w:ascii="仿宋" w:hAnsi="仿宋" w:eastAsia="仿宋" w:cs="仿宋"/>
          <w:color w:val="auto"/>
          <w:sz w:val="24"/>
          <w:highlight w:val="none"/>
        </w:rPr>
      </w:pPr>
    </w:p>
    <w:p w14:paraId="0124F802">
      <w:pPr>
        <w:snapToGrid w:val="0"/>
        <w:spacing w:line="360" w:lineRule="auto"/>
        <w:ind w:firstLine="482"/>
        <w:jc w:val="left"/>
        <w:rPr>
          <w:rFonts w:hint="eastAsia" w:ascii="仿宋" w:hAnsi="仿宋" w:eastAsia="仿宋" w:cs="仿宋"/>
          <w:color w:val="auto"/>
          <w:sz w:val="24"/>
          <w:highlight w:val="none"/>
        </w:rPr>
      </w:pPr>
    </w:p>
    <w:p w14:paraId="74F4FE92">
      <w:pPr>
        <w:snapToGrid w:val="0"/>
        <w:spacing w:before="120" w:beforeLines="50" w:line="360" w:lineRule="auto"/>
        <w:ind w:right="480" w:firstLine="1680" w:firstLineChars="7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04A46A79">
      <w:pPr>
        <w:snapToGrid w:val="0"/>
        <w:spacing w:before="120" w:beforeLines="50" w:after="50" w:line="360" w:lineRule="auto"/>
        <w:ind w:right="480" w:firstLine="1680" w:firstLineChars="7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p>
    <w:p w14:paraId="3974E15D">
      <w:pPr>
        <w:snapToGrid w:val="0"/>
        <w:spacing w:before="120" w:beforeLines="50" w:after="50" w:line="360" w:lineRule="auto"/>
        <w:ind w:right="1440" w:firstLine="1680" w:firstLineChars="7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48157A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EB3F9D4">
      <w:pPr>
        <w:pStyle w:val="18"/>
        <w:rPr>
          <w:rFonts w:hint="eastAsia" w:ascii="仿宋" w:hAnsi="仿宋" w:eastAsia="仿宋" w:cs="仿宋"/>
          <w:color w:val="auto"/>
          <w:highlight w:val="none"/>
        </w:rPr>
      </w:pPr>
    </w:p>
    <w:p w14:paraId="455F7C8B">
      <w:pPr>
        <w:numPr>
          <w:ilvl w:val="2"/>
          <w:numId w:val="8"/>
        </w:numPr>
        <w:snapToGrid w:val="0"/>
        <w:spacing w:before="120" w:beforeLines="50" w:after="50"/>
        <w:ind w:hanging="82"/>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t>投标声明</w:t>
      </w:r>
    </w:p>
    <w:p w14:paraId="384807F1">
      <w:pPr>
        <w:snapToGrid w:val="0"/>
        <w:spacing w:before="120" w:after="120" w:afterLines="50"/>
        <w:jc w:val="left"/>
        <w:rPr>
          <w:rFonts w:hint="eastAsia" w:ascii="仿宋" w:hAnsi="仿宋" w:eastAsia="仿宋" w:cs="仿宋"/>
          <w:color w:val="auto"/>
          <w:highlight w:val="none"/>
        </w:rPr>
      </w:pPr>
    </w:p>
    <w:p w14:paraId="07D246D7">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投标声明</w:t>
      </w:r>
    </w:p>
    <w:p w14:paraId="2793E262">
      <w:pPr>
        <w:spacing w:line="400" w:lineRule="exact"/>
        <w:ind w:firstLine="482"/>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p w14:paraId="78A82742">
      <w:pPr>
        <w:spacing w:line="400" w:lineRule="exact"/>
        <w:ind w:firstLine="523" w:firstLineChars="218"/>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我方参加贵单位组织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）的政府采购活动。我方在此郑重声明：</w:t>
      </w:r>
    </w:p>
    <w:p w14:paraId="54005BEC">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B5103BF">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w:t>
      </w:r>
    </w:p>
    <w:p w14:paraId="34542560">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3.我方承诺符合《中华人民共和国政府采购法》第二十二条规定：</w:t>
      </w:r>
    </w:p>
    <w:p w14:paraId="187EC5AB">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w:t>
      </w:r>
    </w:p>
    <w:p w14:paraId="302BEA00">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14:paraId="54DE9E32">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14:paraId="6B3F0256">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14:paraId="5AA7C90D">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（五）参加政府采购活动前三年内，在经营活动中没有重大违法记录；</w:t>
      </w:r>
    </w:p>
    <w:p w14:paraId="0AE4EFA0">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（六）法律、行政法规规定的其他条件。</w:t>
      </w:r>
    </w:p>
    <w:p w14:paraId="2E19A116">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4.我方若投标成功，除非发生不可抗力，承诺与采购人及时签订《合同书》。如果放弃，自愿按照本文件之《投标人须知正文》条款第30.4条的要求承担法律责任和失信惩戒。</w:t>
      </w:r>
    </w:p>
    <w:p w14:paraId="4C3D7398">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5.以上事项如有虚假或者隐瞒，我方愿意承担一切后果，并不再寻求任何旨在减轻或者免除法律责任的辩解。</w:t>
      </w:r>
    </w:p>
    <w:p w14:paraId="13589A8A">
      <w:pPr>
        <w:spacing w:line="400" w:lineRule="exact"/>
        <w:ind w:firstLine="482"/>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380E7F7">
      <w:pPr>
        <w:pStyle w:val="18"/>
        <w:rPr>
          <w:rFonts w:hint="eastAsia" w:ascii="仿宋" w:hAnsi="仿宋" w:eastAsia="仿宋" w:cs="仿宋"/>
          <w:color w:val="auto"/>
          <w:highlight w:val="none"/>
        </w:rPr>
      </w:pPr>
    </w:p>
    <w:p w14:paraId="53A07C76">
      <w:pPr>
        <w:spacing w:line="400" w:lineRule="exact"/>
        <w:ind w:firstLine="480"/>
        <w:contextualSpacing/>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u w:val="single"/>
        </w:rPr>
        <w:t xml:space="preserve">             </w:t>
      </w:r>
    </w:p>
    <w:p w14:paraId="065FAEAA">
      <w:pPr>
        <w:spacing w:line="400" w:lineRule="exact"/>
        <w:ind w:firstLine="482"/>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投标人名称（公章）：</w:t>
      </w:r>
      <w:r>
        <w:rPr>
          <w:rFonts w:hint="eastAsia" w:ascii="仿宋" w:hAnsi="仿宋" w:eastAsia="仿宋" w:cs="仿宋"/>
          <w:color w:val="auto"/>
          <w:sz w:val="24"/>
          <w:highlight w:val="none"/>
          <w:u w:val="single"/>
        </w:rPr>
        <w:t xml:space="preserve">                 </w:t>
      </w:r>
    </w:p>
    <w:p w14:paraId="426A0675">
      <w:pPr>
        <w:spacing w:line="400" w:lineRule="exact"/>
        <w:ind w:firstLine="482"/>
        <w:contextualSpacing/>
        <w:jc w:val="left"/>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02AABC9">
      <w:pPr>
        <w:spacing w:line="440" w:lineRule="exact"/>
        <w:ind w:firstLine="48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注：如为联合体投标，盖章处须加盖联合体牵头人公章并由联合体牵头人法定代表人分别签字，否则投标无效。</w:t>
      </w:r>
    </w:p>
    <w:p w14:paraId="6E1F1D9C">
      <w:pPr>
        <w:rPr>
          <w:rFonts w:hint="eastAsia" w:ascii="仿宋" w:hAnsi="仿宋" w:eastAsia="仿宋" w:cs="仿宋"/>
          <w:b/>
          <w:color w:val="auto"/>
          <w:sz w:val="28"/>
          <w:szCs w:val="28"/>
          <w:highlight w:val="none"/>
        </w:rPr>
      </w:pPr>
      <w:bookmarkStart w:id="160" w:name="_Toc19686838"/>
      <w:r>
        <w:rPr>
          <w:rFonts w:hint="eastAsia" w:ascii="仿宋" w:hAnsi="仿宋" w:eastAsia="仿宋" w:cs="仿宋"/>
          <w:b/>
          <w:color w:val="auto"/>
          <w:sz w:val="28"/>
          <w:szCs w:val="28"/>
          <w:highlight w:val="none"/>
        </w:rPr>
        <w:br w:type="page"/>
      </w:r>
    </w:p>
    <w:p w14:paraId="2962C480">
      <w:pPr>
        <w:snapToGrid w:val="0"/>
        <w:spacing w:before="120" w:beforeLines="50" w:after="50" w:afterLines="0"/>
        <w:ind w:firstLine="480"/>
        <w:jc w:val="left"/>
        <w:rPr>
          <w:rFonts w:hint="eastAsia" w:ascii="仿宋" w:hAnsi="仿宋" w:eastAsia="仿宋" w:cs="仿宋"/>
          <w:color w:val="auto"/>
          <w:sz w:val="21"/>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.中小企业声明函格式</w:t>
      </w:r>
    </w:p>
    <w:p w14:paraId="167DDF28">
      <w:pPr>
        <w:spacing w:beforeLines="0" w:afterLines="0"/>
        <w:ind w:firstLine="482"/>
        <w:rPr>
          <w:rFonts w:hint="eastAsia" w:ascii="仿宋" w:hAnsi="仿宋" w:eastAsia="仿宋" w:cs="仿宋"/>
          <w:color w:val="auto"/>
          <w:sz w:val="21"/>
          <w:szCs w:val="24"/>
          <w:highlight w:val="none"/>
        </w:rPr>
      </w:pPr>
    </w:p>
    <w:p w14:paraId="2A4CDC8D">
      <w:pPr>
        <w:overflowPunct w:val="0"/>
        <w:spacing w:beforeLines="0" w:afterLines="0"/>
        <w:jc w:val="center"/>
        <w:rPr>
          <w:rFonts w:hint="eastAsia" w:ascii="仿宋" w:hAnsi="仿宋" w:eastAsia="仿宋" w:cs="仿宋"/>
          <w:color w:val="auto"/>
          <w:sz w:val="44"/>
          <w:szCs w:val="44"/>
          <w:highlight w:val="none"/>
        </w:rPr>
      </w:pPr>
      <w:r>
        <w:rPr>
          <w:rFonts w:hint="eastAsia" w:ascii="仿宋" w:hAnsi="仿宋" w:eastAsia="仿宋" w:cs="仿宋"/>
          <w:b/>
          <w:color w:val="auto"/>
          <w:sz w:val="32"/>
          <w:szCs w:val="32"/>
          <w:highlight w:val="none"/>
        </w:rPr>
        <w:t>中小企业声明函（服务）</w:t>
      </w:r>
    </w:p>
    <w:p w14:paraId="65FF1594">
      <w:pPr>
        <w:spacing w:before="120" w:beforeLines="0" w:afterLines="0" w:line="500" w:lineRule="exact"/>
        <w:ind w:firstLine="480"/>
        <w:rPr>
          <w:rFonts w:hint="eastAsia" w:ascii="仿宋" w:hAnsi="仿宋" w:eastAsia="仿宋" w:cs="仿宋"/>
          <w:b/>
          <w:color w:val="auto"/>
          <w:sz w:val="24"/>
          <w:szCs w:val="24"/>
          <w:highlight w:val="none"/>
        </w:rPr>
      </w:pPr>
    </w:p>
    <w:p w14:paraId="48871EEE">
      <w:pPr>
        <w:spacing w:beforeLines="0" w:afterLines="0" w:line="360" w:lineRule="auto"/>
        <w:ind w:right="142"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（项目名称）</w:t>
      </w:r>
      <w:r>
        <w:rPr>
          <w:rFonts w:hint="eastAsia" w:ascii="仿宋" w:hAnsi="仿宋" w:eastAsia="仿宋" w:cs="仿宋"/>
          <w:color w:val="auto"/>
          <w:kern w:val="0"/>
          <w:sz w:val="24"/>
          <w:szCs w:val="24"/>
          <w:highlight w:val="none"/>
        </w:rPr>
        <w:t>采购活动，服务全部由符合政策要求的中小企业承接。相关企业（含联合体中的中小企业、签订分包意向协议的中小企业）的具体情况如下：</w:t>
      </w:r>
    </w:p>
    <w:p w14:paraId="5729F672">
      <w:pPr>
        <w:tabs>
          <w:tab w:val="left" w:pos="1384"/>
          <w:tab w:val="left" w:pos="4562"/>
          <w:tab w:val="left" w:pos="6803"/>
        </w:tabs>
        <w:spacing w:before="120" w:beforeLines="0" w:afterLines="0" w:line="360" w:lineRule="auto"/>
        <w:ind w:right="142" w:firstLine="686" w:firstLineChars="2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38281183">
      <w:pPr>
        <w:tabs>
          <w:tab w:val="left" w:pos="1065"/>
          <w:tab w:val="left" w:pos="4262"/>
          <w:tab w:val="left" w:pos="6477"/>
        </w:tabs>
        <w:spacing w:before="120" w:beforeLines="0" w:afterLines="0" w:line="360" w:lineRule="auto"/>
        <w:ind w:right="84" w:firstLine="686" w:firstLineChars="286"/>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50AA2627">
      <w:pPr>
        <w:spacing w:before="120" w:beforeLines="0" w:afterLines="0" w:line="360" w:lineRule="auto"/>
        <w:ind w:left="765" w:right="142"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2AE2B72B">
      <w:pPr>
        <w:spacing w:before="120" w:beforeLines="0" w:afterLines="0" w:line="360" w:lineRule="auto"/>
        <w:ind w:right="142"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6CDA0082">
      <w:pPr>
        <w:spacing w:before="120" w:beforeLines="0" w:afterLines="0" w:line="360" w:lineRule="auto"/>
        <w:ind w:right="142"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7934F883">
      <w:pPr>
        <w:spacing w:before="120" w:beforeLines="0" w:afterLines="0" w:line="360" w:lineRule="auto"/>
        <w:ind w:right="1808" w:firstLine="2640" w:firstLineChars="1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24"/>
          <w:sz w:val="24"/>
          <w:szCs w:val="24"/>
          <w:highlight w:val="none"/>
        </w:rPr>
        <w:t>企业名称（公章）：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rPr>
        <w:t xml:space="preserve">                </w:t>
      </w:r>
    </w:p>
    <w:p w14:paraId="49E55BD1">
      <w:pPr>
        <w:spacing w:beforeLines="0" w:afterLines="0" w:line="360" w:lineRule="auto"/>
        <w:ind w:firstLine="3120" w:firstLineChars="1300"/>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pacing w:val="6"/>
          <w:sz w:val="24"/>
          <w:szCs w:val="24"/>
          <w:highlight w:val="none"/>
        </w:rPr>
        <w:t xml:space="preserve"> </w:t>
      </w:r>
    </w:p>
    <w:p w14:paraId="3C8227F2">
      <w:pPr>
        <w:spacing w:beforeLines="0" w:afterLines="0" w:line="360" w:lineRule="auto"/>
        <w:ind w:firstLine="480" w:firstLineChars="200"/>
        <w:rPr>
          <w:rFonts w:hint="eastAsia" w:ascii="仿宋" w:hAnsi="仿宋" w:eastAsia="仿宋" w:cs="仿宋"/>
          <w:color w:val="auto"/>
          <w:sz w:val="24"/>
          <w:szCs w:val="24"/>
          <w:highlight w:val="none"/>
        </w:rPr>
      </w:pPr>
    </w:p>
    <w:p w14:paraId="726445CD">
      <w:pPr>
        <w:spacing w:beforeLines="0" w:afterLines="0"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14:paraId="4599F96A">
      <w:pPr>
        <w:spacing w:beforeLines="0" w:afterLines="0"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仿宋" w:hAnsi="仿宋" w:eastAsia="仿宋" w:cs="仿宋"/>
          <w:color w:val="auto"/>
          <w:sz w:val="24"/>
          <w:szCs w:val="24"/>
          <w:highlight w:val="none"/>
        </w:rPr>
        <w:br w:type="page"/>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.残疾人福利性单位声明函格式</w:t>
      </w:r>
    </w:p>
    <w:p w14:paraId="59BF24C5">
      <w:pPr>
        <w:overflowPunct w:val="0"/>
        <w:spacing w:beforeLines="0" w:afterLines="0"/>
        <w:jc w:val="center"/>
        <w:rPr>
          <w:rFonts w:hint="eastAsia" w:ascii="仿宋" w:hAnsi="仿宋" w:eastAsia="仿宋" w:cs="仿宋"/>
          <w:color w:val="auto"/>
          <w:sz w:val="44"/>
          <w:szCs w:val="44"/>
          <w:highlight w:val="none"/>
        </w:rPr>
      </w:pPr>
      <w:bookmarkStart w:id="161" w:name="OLE_LINK14"/>
      <w:bookmarkStart w:id="162" w:name="OLE_LINK13"/>
    </w:p>
    <w:p w14:paraId="34860BEA">
      <w:pPr>
        <w:overflowPunct w:val="0"/>
        <w:spacing w:beforeLines="0" w:afterLines="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残疾人福利性单位声明函</w:t>
      </w:r>
    </w:p>
    <w:bookmarkEnd w:id="161"/>
    <w:bookmarkEnd w:id="162"/>
    <w:p w14:paraId="16E514B6">
      <w:pPr>
        <w:spacing w:beforeLines="0" w:afterLines="0" w:line="588" w:lineRule="exact"/>
        <w:ind w:firstLine="624"/>
        <w:rPr>
          <w:rFonts w:hint="eastAsia" w:ascii="仿宋" w:hAnsi="仿宋" w:eastAsia="仿宋" w:cs="仿宋"/>
          <w:b/>
          <w:color w:val="auto"/>
          <w:spacing w:val="6"/>
          <w:sz w:val="30"/>
          <w:szCs w:val="30"/>
          <w:highlight w:val="none"/>
        </w:rPr>
      </w:pPr>
    </w:p>
    <w:p w14:paraId="0CCA1AA9">
      <w:pPr>
        <w:spacing w:beforeLines="0" w:afterLines="0"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s="仿宋"/>
          <w:color w:val="auto"/>
          <w:spacing w:val="-6"/>
          <w:sz w:val="24"/>
          <w:szCs w:val="24"/>
          <w:highlight w:val="none"/>
        </w:rPr>
        <w:t>疾人福利性单位制造的货物（不包括使用非残疾人福利性单位注册商标的货物）。</w:t>
      </w:r>
    </w:p>
    <w:p w14:paraId="5DC35FE6">
      <w:pPr>
        <w:spacing w:beforeLines="0" w:afterLines="0"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71614F19">
      <w:pPr>
        <w:spacing w:beforeLines="0" w:afterLines="0" w:line="360" w:lineRule="auto"/>
        <w:ind w:firstLine="504" w:firstLineChars="200"/>
        <w:rPr>
          <w:rFonts w:hint="eastAsia" w:ascii="仿宋" w:hAnsi="仿宋" w:eastAsia="仿宋" w:cs="仿宋"/>
          <w:color w:val="auto"/>
          <w:spacing w:val="6"/>
          <w:sz w:val="24"/>
          <w:szCs w:val="24"/>
          <w:highlight w:val="none"/>
        </w:rPr>
      </w:pPr>
    </w:p>
    <w:p w14:paraId="17B1AA6B">
      <w:pPr>
        <w:spacing w:beforeLines="0" w:afterLines="0" w:line="360" w:lineRule="auto"/>
        <w:ind w:firstLine="504" w:firstLineChars="200"/>
        <w:rPr>
          <w:rFonts w:hint="eastAsia" w:ascii="仿宋" w:hAnsi="仿宋" w:eastAsia="仿宋" w:cs="仿宋"/>
          <w:color w:val="auto"/>
          <w:spacing w:val="6"/>
          <w:sz w:val="24"/>
          <w:szCs w:val="24"/>
          <w:highlight w:val="none"/>
        </w:rPr>
      </w:pPr>
    </w:p>
    <w:p w14:paraId="528A28DA">
      <w:pPr>
        <w:tabs>
          <w:tab w:val="left" w:pos="4860"/>
        </w:tabs>
        <w:spacing w:beforeLines="0" w:afterLines="0" w:line="360" w:lineRule="auto"/>
        <w:ind w:right="1560" w:firstLine="504" w:firstLineChars="200"/>
        <w:jc w:val="center"/>
        <w:rPr>
          <w:rFonts w:hint="eastAsia" w:ascii="仿宋" w:hAnsi="仿宋" w:eastAsia="仿宋" w:cs="仿宋"/>
          <w:color w:val="auto"/>
          <w:spacing w:val="6"/>
          <w:sz w:val="24"/>
          <w:szCs w:val="24"/>
          <w:highlight w:val="none"/>
          <w:u w:val="single"/>
        </w:rPr>
      </w:pPr>
      <w:r>
        <w:rPr>
          <w:rFonts w:hint="eastAsia" w:ascii="仿宋" w:hAnsi="仿宋" w:eastAsia="仿宋" w:cs="仿宋"/>
          <w:color w:val="auto"/>
          <w:spacing w:val="6"/>
          <w:sz w:val="24"/>
          <w:szCs w:val="24"/>
          <w:highlight w:val="none"/>
        </w:rPr>
        <w:t>单位名称（公章）：</w:t>
      </w:r>
      <w:r>
        <w:rPr>
          <w:rFonts w:hint="eastAsia" w:ascii="仿宋" w:hAnsi="仿宋" w:eastAsia="仿宋" w:cs="仿宋"/>
          <w:color w:val="auto"/>
          <w:spacing w:val="6"/>
          <w:sz w:val="24"/>
          <w:szCs w:val="24"/>
          <w:highlight w:val="none"/>
          <w:u w:val="single"/>
        </w:rPr>
        <w:t xml:space="preserve">                      </w:t>
      </w:r>
    </w:p>
    <w:p w14:paraId="6AB1BEC5">
      <w:pPr>
        <w:spacing w:beforeLines="0" w:afterLines="0" w:line="360" w:lineRule="auto"/>
        <w:ind w:firstLine="50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                    日 期：</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年</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月</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日</w:t>
      </w:r>
    </w:p>
    <w:p w14:paraId="7FDBDCB7">
      <w:pPr>
        <w:spacing w:beforeLines="0" w:afterLines="0" w:line="360" w:lineRule="auto"/>
        <w:ind w:firstLine="482"/>
        <w:rPr>
          <w:rFonts w:hint="eastAsia" w:ascii="仿宋" w:hAnsi="仿宋" w:eastAsia="仿宋" w:cs="仿宋"/>
          <w:color w:val="auto"/>
          <w:sz w:val="24"/>
          <w:szCs w:val="24"/>
          <w:highlight w:val="none"/>
        </w:rPr>
      </w:pPr>
    </w:p>
    <w:p w14:paraId="1D1723D7">
      <w:pPr>
        <w:spacing w:beforeLines="0" w:afterLines="0" w:line="360" w:lineRule="auto"/>
        <w:ind w:firstLine="482"/>
        <w:rPr>
          <w:rFonts w:hint="eastAsia" w:ascii="仿宋" w:hAnsi="仿宋" w:eastAsia="仿宋" w:cs="仿宋"/>
          <w:color w:val="auto"/>
          <w:sz w:val="24"/>
          <w:szCs w:val="24"/>
          <w:highlight w:val="none"/>
        </w:rPr>
      </w:pPr>
    </w:p>
    <w:p w14:paraId="4D009C8E">
      <w:pPr>
        <w:spacing w:beforeLines="0" w:afterLines="0"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14:paraId="6AF2EB8E">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29302433">
      <w:pPr>
        <w:spacing w:beforeLines="0" w:afterLine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p>
    <w:p w14:paraId="0E2FE536">
      <w:pPr>
        <w:snapToGrid w:val="0"/>
        <w:spacing w:line="360" w:lineRule="auto"/>
        <w:ind w:firstLine="482" w:firstLineChars="20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kern w:val="0"/>
          <w:sz w:val="24"/>
          <w:szCs w:val="24"/>
          <w:highlight w:val="none"/>
          <w:lang w:val="en-US" w:eastAsia="zh-CN" w:bidi="ar-SA"/>
        </w:rPr>
        <w:t>中小企业实施份额分包承诺（3分标格式）</w:t>
      </w:r>
    </w:p>
    <w:p w14:paraId="645EBF98">
      <w:pPr>
        <w:jc w:val="center"/>
        <w:rPr>
          <w:rFonts w:hint="eastAsia" w:ascii="仿宋" w:hAnsi="仿宋" w:eastAsia="仿宋" w:cs="仿宋"/>
          <w:b/>
          <w:color w:val="auto"/>
          <w:sz w:val="28"/>
          <w:szCs w:val="28"/>
          <w:highlight w:val="none"/>
          <w:lang w:val="en-US" w:eastAsia="zh-CN"/>
        </w:rPr>
      </w:pPr>
    </w:p>
    <w:p w14:paraId="6F4C7860">
      <w:pPr>
        <w:jc w:val="center"/>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中小企业实施份额分包承诺（3分标格式）</w:t>
      </w:r>
    </w:p>
    <w:p w14:paraId="392C3000">
      <w:pPr>
        <w:spacing w:line="360" w:lineRule="auto"/>
        <w:rPr>
          <w:rFonts w:hint="eastAsia" w:ascii="仿宋" w:hAnsi="仿宋" w:eastAsia="仿宋" w:cs="仿宋"/>
          <w:color w:val="auto"/>
          <w:sz w:val="24"/>
          <w:szCs w:val="24"/>
          <w:highlight w:val="none"/>
        </w:rPr>
      </w:pPr>
    </w:p>
    <w:p w14:paraId="06C3682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致：</w:t>
      </w:r>
      <w:r>
        <w:rPr>
          <w:rFonts w:hint="eastAsia" w:ascii="仿宋" w:hAnsi="仿宋" w:eastAsia="仿宋" w:cs="仿宋"/>
          <w:color w:val="auto"/>
          <w:kern w:val="0"/>
          <w:sz w:val="24"/>
          <w:szCs w:val="24"/>
          <w:highlight w:val="none"/>
          <w:u w:val="single"/>
          <w:lang w:val="en-US" w:eastAsia="zh-CN" w:bidi="ar-SA"/>
        </w:rPr>
        <w:t>广西壮族自治区自然资源厅</w:t>
      </w:r>
    </w:p>
    <w:p w14:paraId="4329BDAF">
      <w:pPr>
        <w:spacing w:line="360" w:lineRule="auto"/>
        <w:ind w:firstLine="480" w:firstLineChars="200"/>
        <w:rPr>
          <w:rFonts w:hint="eastAsia" w:ascii="仿宋" w:hAnsi="仿宋" w:eastAsia="仿宋" w:cs="仿宋"/>
          <w:bCs/>
          <w:color w:val="auto"/>
          <w:kern w:val="0"/>
          <w:sz w:val="24"/>
          <w:szCs w:val="24"/>
          <w:highlight w:val="none"/>
          <w:lang w:val="en-US" w:eastAsia="zh-CN" w:bidi="ar-SA"/>
        </w:rPr>
      </w:pPr>
    </w:p>
    <w:p w14:paraId="720E5151">
      <w:p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根据《政府采购促进中小企业发展管理办法》及</w:t>
      </w:r>
      <w:r>
        <w:rPr>
          <w:rFonts w:hint="eastAsia" w:ascii="仿宋" w:hAnsi="仿宋" w:eastAsia="仿宋" w:cs="仿宋"/>
          <w:color w:val="auto"/>
          <w:kern w:val="0"/>
          <w:sz w:val="24"/>
          <w:szCs w:val="24"/>
          <w:highlight w:val="none"/>
          <w:u w:val="single"/>
          <w:lang w:val="en-US" w:eastAsia="zh-CN" w:bidi="ar-SA"/>
        </w:rPr>
        <w:t>（项目名称及项目编号）</w:t>
      </w:r>
      <w:r>
        <w:rPr>
          <w:rFonts w:hint="eastAsia" w:ascii="仿宋" w:hAnsi="仿宋" w:eastAsia="仿宋" w:cs="仿宋"/>
          <w:bCs/>
          <w:color w:val="auto"/>
          <w:kern w:val="0"/>
          <w:sz w:val="24"/>
          <w:szCs w:val="24"/>
          <w:highlight w:val="none"/>
          <w:lang w:val="en-US" w:eastAsia="zh-CN" w:bidi="ar-SA"/>
        </w:rPr>
        <w:t>招标文件要求，我公司</w:t>
      </w:r>
      <w:r>
        <w:rPr>
          <w:rFonts w:hint="eastAsia" w:ascii="仿宋" w:hAnsi="仿宋" w:eastAsia="仿宋" w:cs="仿宋"/>
          <w:bCs/>
          <w:color w:val="auto"/>
          <w:kern w:val="0"/>
          <w:sz w:val="24"/>
          <w:szCs w:val="24"/>
          <w:highlight w:val="none"/>
          <w:u w:val="single"/>
          <w:lang w:val="en-US" w:eastAsia="zh-CN" w:bidi="ar-SA"/>
        </w:rPr>
        <w:t>（投标人名称）</w:t>
      </w:r>
      <w:r>
        <w:rPr>
          <w:rFonts w:hint="eastAsia" w:ascii="仿宋" w:hAnsi="仿宋" w:eastAsia="仿宋" w:cs="仿宋"/>
          <w:bCs/>
          <w:color w:val="auto"/>
          <w:kern w:val="0"/>
          <w:sz w:val="24"/>
          <w:szCs w:val="24"/>
          <w:highlight w:val="none"/>
          <w:lang w:val="en-US" w:eastAsia="zh-CN" w:bidi="ar-SA"/>
        </w:rPr>
        <w:t>就项目分包事宜承诺如下：</w:t>
      </w:r>
    </w:p>
    <w:p w14:paraId="49761586">
      <w:p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若我公司中标本项目3分标，承诺将不少于合同金额的30%份额分包中小企业实施，且与接受分包合同的中小企业不存在直接控股、管理关系。</w:t>
      </w:r>
    </w:p>
    <w:p w14:paraId="5386E02D">
      <w:pPr>
        <w:spacing w:line="360" w:lineRule="auto"/>
        <w:ind w:firstLine="480" w:firstLineChars="200"/>
        <w:rPr>
          <w:rFonts w:hint="default" w:ascii="仿宋" w:hAnsi="仿宋" w:eastAsia="仿宋" w:cs="仿宋"/>
          <w:bCs/>
          <w:color w:val="auto"/>
          <w:kern w:val="0"/>
          <w:sz w:val="24"/>
          <w:szCs w:val="24"/>
          <w:highlight w:val="none"/>
          <w:lang w:val="en-US" w:eastAsia="zh-CN" w:bidi="ar-SA"/>
        </w:rPr>
      </w:pPr>
    </w:p>
    <w:p w14:paraId="06CF8DA1">
      <w:pPr>
        <w:spacing w:line="360" w:lineRule="auto"/>
        <w:jc w:val="righ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投标人（盖章）：________________________</w:t>
      </w:r>
    </w:p>
    <w:p w14:paraId="349CFC72">
      <w:pPr>
        <w:widowControl w:val="0"/>
        <w:spacing w:line="360" w:lineRule="auto"/>
        <w:ind w:firstLine="480" w:firstLineChars="200"/>
        <w:jc w:val="righ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法定代表人或授权代表（签字）：________________________</w:t>
      </w:r>
    </w:p>
    <w:p w14:paraId="7F9751D8">
      <w:pPr>
        <w:widowControl w:val="0"/>
        <w:spacing w:line="360" w:lineRule="auto"/>
        <w:ind w:firstLine="480" w:firstLineChars="200"/>
        <w:jc w:val="righ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日期：______年______月______日</w:t>
      </w:r>
    </w:p>
    <w:p w14:paraId="711A5311">
      <w:pPr>
        <w:widowControl w:val="0"/>
        <w:spacing w:line="360" w:lineRule="auto"/>
        <w:ind w:firstLine="480" w:firstLineChars="200"/>
        <w:jc w:val="right"/>
        <w:rPr>
          <w:rFonts w:hint="eastAsia" w:ascii="仿宋" w:hAnsi="仿宋" w:eastAsia="仿宋" w:cs="仿宋"/>
          <w:color w:val="auto"/>
          <w:kern w:val="2"/>
          <w:sz w:val="24"/>
          <w:szCs w:val="24"/>
          <w:highlight w:val="none"/>
          <w:lang w:val="en-US" w:eastAsia="zh-CN" w:bidi="ar-SA"/>
        </w:rPr>
      </w:pPr>
    </w:p>
    <w:p w14:paraId="19894D8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322F2CAF">
      <w:pPr>
        <w:ind w:firstLine="56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三、商务文件格式</w:t>
      </w:r>
      <w:bookmarkEnd w:id="160"/>
    </w:p>
    <w:p w14:paraId="2FD117AF">
      <w:pPr>
        <w:snapToGrid w:val="0"/>
        <w:spacing w:before="120" w:beforeLines="50" w:after="50"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1.商务文件封面格式： </w:t>
      </w:r>
    </w:p>
    <w:p w14:paraId="2F0C2E7F">
      <w:pPr>
        <w:snapToGrid w:val="0"/>
        <w:spacing w:before="120" w:beforeLines="50" w:after="50"/>
        <w:ind w:firstLine="482"/>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 xml:space="preserve">                </w:t>
      </w:r>
    </w:p>
    <w:p w14:paraId="406715F2">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商务文件</w:t>
      </w:r>
    </w:p>
    <w:p w14:paraId="45C938A8">
      <w:pPr>
        <w:snapToGrid w:val="0"/>
        <w:spacing w:before="120" w:beforeLines="50" w:after="50"/>
        <w:ind w:firstLine="482"/>
        <w:rPr>
          <w:rFonts w:hint="eastAsia" w:ascii="仿宋" w:hAnsi="仿宋" w:eastAsia="仿宋" w:cs="仿宋"/>
          <w:bCs/>
          <w:color w:val="auto"/>
          <w:sz w:val="24"/>
          <w:szCs w:val="20"/>
          <w:highlight w:val="none"/>
        </w:rPr>
      </w:pPr>
    </w:p>
    <w:p w14:paraId="3A750DE4">
      <w:pPr>
        <w:snapToGrid w:val="0"/>
        <w:spacing w:before="120" w:beforeLines="50" w:after="50"/>
        <w:ind w:firstLine="482"/>
        <w:rPr>
          <w:rFonts w:hint="eastAsia" w:ascii="仿宋" w:hAnsi="仿宋" w:eastAsia="仿宋" w:cs="仿宋"/>
          <w:bCs/>
          <w:color w:val="auto"/>
          <w:sz w:val="24"/>
          <w:szCs w:val="20"/>
          <w:highlight w:val="none"/>
        </w:rPr>
      </w:pPr>
    </w:p>
    <w:p w14:paraId="5B0B9DB0">
      <w:pPr>
        <w:snapToGrid w:val="0"/>
        <w:spacing w:before="120" w:beforeLines="50" w:after="50"/>
        <w:ind w:firstLine="482"/>
        <w:rPr>
          <w:rFonts w:hint="eastAsia" w:ascii="仿宋" w:hAnsi="仿宋" w:eastAsia="仿宋" w:cs="仿宋"/>
          <w:bCs/>
          <w:color w:val="auto"/>
          <w:sz w:val="24"/>
          <w:szCs w:val="20"/>
          <w:highlight w:val="none"/>
        </w:rPr>
      </w:pPr>
    </w:p>
    <w:p w14:paraId="28527A70">
      <w:pPr>
        <w:snapToGrid w:val="0"/>
        <w:spacing w:before="120" w:beforeLines="50" w:after="50"/>
        <w:ind w:firstLine="482"/>
        <w:rPr>
          <w:rFonts w:hint="eastAsia" w:ascii="仿宋" w:hAnsi="仿宋" w:eastAsia="仿宋" w:cs="仿宋"/>
          <w:bCs/>
          <w:color w:val="auto"/>
          <w:sz w:val="24"/>
          <w:szCs w:val="20"/>
          <w:highlight w:val="none"/>
        </w:rPr>
      </w:pPr>
    </w:p>
    <w:p w14:paraId="6E4B3EDC">
      <w:pPr>
        <w:snapToGrid w:val="0"/>
        <w:spacing w:before="120" w:beforeLines="50" w:after="50"/>
        <w:ind w:firstLine="482"/>
        <w:rPr>
          <w:rFonts w:hint="eastAsia" w:ascii="仿宋" w:hAnsi="仿宋" w:eastAsia="仿宋" w:cs="仿宋"/>
          <w:bCs/>
          <w:color w:val="auto"/>
          <w:sz w:val="24"/>
          <w:szCs w:val="20"/>
          <w:highlight w:val="none"/>
        </w:rPr>
      </w:pPr>
    </w:p>
    <w:p w14:paraId="26798375">
      <w:pPr>
        <w:snapToGrid w:val="0"/>
        <w:spacing w:before="120" w:after="50"/>
        <w:ind w:firstLine="2100" w:firstLineChars="87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项目名称： </w:t>
      </w:r>
    </w:p>
    <w:p w14:paraId="65CD229A">
      <w:pPr>
        <w:snapToGrid w:val="0"/>
        <w:spacing w:before="120" w:after="50"/>
        <w:ind w:firstLine="2100" w:firstLineChars="87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项目编号： </w:t>
      </w:r>
    </w:p>
    <w:p w14:paraId="46691901">
      <w:pPr>
        <w:snapToGrid w:val="0"/>
        <w:spacing w:before="120" w:after="50"/>
        <w:ind w:firstLine="2100" w:firstLineChars="87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43765FE7">
      <w:pPr>
        <w:snapToGrid w:val="0"/>
        <w:spacing w:before="120" w:after="50"/>
        <w:ind w:firstLine="2100" w:firstLineChars="87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投标人地址：</w:t>
      </w:r>
    </w:p>
    <w:p w14:paraId="73A3D6EC">
      <w:pPr>
        <w:snapToGrid w:val="0"/>
        <w:spacing w:before="120" w:after="50"/>
        <w:ind w:firstLine="960" w:firstLineChars="400"/>
        <w:rPr>
          <w:rFonts w:hint="eastAsia" w:ascii="仿宋" w:hAnsi="仿宋" w:eastAsia="仿宋" w:cs="仿宋"/>
          <w:bCs/>
          <w:color w:val="auto"/>
          <w:sz w:val="24"/>
          <w:highlight w:val="none"/>
        </w:rPr>
      </w:pPr>
    </w:p>
    <w:p w14:paraId="718B927C">
      <w:pPr>
        <w:snapToGrid w:val="0"/>
        <w:spacing w:before="120" w:beforeLines="50" w:after="50"/>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0732CE6">
      <w:pPr>
        <w:snapToGrid w:val="0"/>
        <w:spacing w:before="120" w:beforeLines="50" w:after="50"/>
        <w:ind w:firstLine="482"/>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0339996F">
      <w:pPr>
        <w:snapToGrid w:val="0"/>
        <w:spacing w:line="360" w:lineRule="auto"/>
        <w:ind w:firstLine="482"/>
        <w:jc w:val="left"/>
        <w:rPr>
          <w:rFonts w:hint="eastAsia" w:ascii="仿宋" w:hAnsi="仿宋" w:eastAsia="仿宋" w:cs="仿宋"/>
          <w:b/>
          <w:bCs/>
          <w:color w:val="auto"/>
          <w:sz w:val="28"/>
          <w:szCs w:val="28"/>
          <w:highlight w:val="none"/>
        </w:rPr>
      </w:pPr>
      <w:r>
        <w:rPr>
          <w:rFonts w:hint="eastAsia" w:ascii="仿宋" w:hAnsi="仿宋" w:eastAsia="仿宋" w:cs="仿宋"/>
          <w:color w:val="auto"/>
          <w:sz w:val="24"/>
          <w:szCs w:val="20"/>
          <w:highlight w:val="none"/>
        </w:rPr>
        <w:br w:type="page"/>
      </w:r>
      <w:r>
        <w:rPr>
          <w:rFonts w:hint="eastAsia" w:ascii="仿宋" w:hAnsi="仿宋" w:eastAsia="仿宋" w:cs="仿宋"/>
          <w:b/>
          <w:bCs/>
          <w:color w:val="auto"/>
          <w:sz w:val="28"/>
          <w:szCs w:val="28"/>
          <w:highlight w:val="none"/>
        </w:rPr>
        <w:t>2.商务文件目录</w:t>
      </w:r>
    </w:p>
    <w:p w14:paraId="7FA60007">
      <w:pPr>
        <w:snapToGrid w:val="0"/>
        <w:spacing w:before="120" w:after="120" w:afterLines="50" w:line="360" w:lineRule="auto"/>
        <w:ind w:firstLine="482"/>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根据招标文件规定及投标人提供的材料自行编写目录。</w:t>
      </w:r>
    </w:p>
    <w:p w14:paraId="18DCB437">
      <w:pPr>
        <w:snapToGrid w:val="0"/>
        <w:spacing w:before="120" w:after="120" w:afterLines="50"/>
        <w:ind w:firstLine="482"/>
        <w:jc w:val="left"/>
        <w:rPr>
          <w:rFonts w:hint="eastAsia" w:ascii="仿宋" w:hAnsi="仿宋" w:eastAsia="仿宋" w:cs="仿宋"/>
          <w:color w:val="auto"/>
          <w:highlight w:val="none"/>
        </w:rPr>
      </w:pPr>
    </w:p>
    <w:p w14:paraId="38F52073">
      <w:pPr>
        <w:snapToGrid w:val="0"/>
        <w:spacing w:before="120" w:beforeLines="50" w:after="50"/>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3.投标人参加本项目无围标串标行为的承诺</w:t>
      </w:r>
    </w:p>
    <w:p w14:paraId="5895BFE6">
      <w:pPr>
        <w:snapToGrid w:val="0"/>
        <w:spacing w:before="120" w:beforeLines="50" w:after="50"/>
        <w:ind w:firstLine="480"/>
        <w:jc w:val="left"/>
        <w:rPr>
          <w:rFonts w:hint="eastAsia" w:ascii="仿宋" w:hAnsi="仿宋" w:eastAsia="仿宋" w:cs="仿宋"/>
          <w:b/>
          <w:color w:val="auto"/>
          <w:sz w:val="24"/>
          <w:highlight w:val="none"/>
        </w:rPr>
      </w:pPr>
    </w:p>
    <w:p w14:paraId="33F2B4AB">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投标人参加本项目无围标串标行为的承诺函</w:t>
      </w:r>
    </w:p>
    <w:p w14:paraId="6F3330D9">
      <w:pPr>
        <w:spacing w:line="400" w:lineRule="exact"/>
        <w:ind w:firstLine="480"/>
        <w:contextualSpacing/>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一、我方承诺无下列相互串通投标的情形：</w:t>
      </w:r>
    </w:p>
    <w:p w14:paraId="366DF16F">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1.不同投标人的投标文件由同一单位或者个人编制； </w:t>
      </w:r>
    </w:p>
    <w:p w14:paraId="3C28D18E">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2.不同投标人委托同一单位或者个人办理投标事宜；</w:t>
      </w:r>
    </w:p>
    <w:p w14:paraId="15B02615">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3.不同的投标人的投标文件载明的项目管理员为同一个人；</w:t>
      </w:r>
    </w:p>
    <w:p w14:paraId="1B6DDDA5">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4.不同投标人的投标文件异常一致或者投标报价呈规律性差异；</w:t>
      </w:r>
    </w:p>
    <w:p w14:paraId="43BC6C48">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5.不同投标人的投标文件相互混装；</w:t>
      </w:r>
    </w:p>
    <w:p w14:paraId="454D7634">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6.不同投标人的投标保证金从同一单位或者个人账户转出。</w:t>
      </w:r>
    </w:p>
    <w:p w14:paraId="73200EBD">
      <w:pPr>
        <w:spacing w:line="400" w:lineRule="exact"/>
        <w:ind w:firstLine="480"/>
        <w:contextualSpacing/>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二、我方承诺无下列恶意串通的情形：</w:t>
      </w:r>
    </w:p>
    <w:p w14:paraId="450C9155">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1.投标人直接或者间接从采购人或者采购代理机构处获得其他投标人的相关信息并修改其投标文件或者响应文件；</w:t>
      </w:r>
    </w:p>
    <w:p w14:paraId="2D715574">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2.投标人按照采购人或者采购代理机构的授意撤换、修改投标文件或者响应文件；</w:t>
      </w:r>
    </w:p>
    <w:p w14:paraId="38CD9F6D">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3.投标人之间协商报价、技术方案等投标文件或者响应文件的实质性内容；</w:t>
      </w:r>
    </w:p>
    <w:p w14:paraId="03FD7D4A">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4.属于同一集团、协会、商会等组织成员的投标人按照该组织要求协同参加政府采购活动；</w:t>
      </w:r>
    </w:p>
    <w:p w14:paraId="38CEDBFA">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2D21BC59">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6.投标人之间商定部分投标人放弃参加政府采购活动或者放弃中标；</w:t>
      </w:r>
    </w:p>
    <w:p w14:paraId="5F92B828">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7.投标人与采购人或者采购代理机构之间、投标人相互之间，为谋求特定投标人中标或者排斥其他投标人的其他串通行为。</w:t>
      </w:r>
    </w:p>
    <w:p w14:paraId="6AE98AD3">
      <w:pPr>
        <w:spacing w:line="400" w:lineRule="exact"/>
        <w:ind w:firstLine="472" w:firstLineChars="196"/>
        <w:contextualSpacing/>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以上情形一经核查属实，我方愿意承担一切后果，并不再寻求任何旨在减轻或者免除法律责任的辩解。</w:t>
      </w:r>
    </w:p>
    <w:p w14:paraId="221C7987">
      <w:pPr>
        <w:spacing w:line="400" w:lineRule="exact"/>
        <w:ind w:firstLine="6840" w:firstLineChars="2850"/>
        <w:contextualSpacing/>
        <w:rPr>
          <w:rFonts w:hint="eastAsia" w:ascii="仿宋" w:hAnsi="仿宋" w:eastAsia="仿宋" w:cs="仿宋"/>
          <w:color w:val="auto"/>
          <w:kern w:val="0"/>
          <w:sz w:val="24"/>
          <w:highlight w:val="none"/>
        </w:rPr>
      </w:pPr>
    </w:p>
    <w:p w14:paraId="4754BC1F">
      <w:pPr>
        <w:spacing w:line="400" w:lineRule="exact"/>
        <w:ind w:firstLine="482"/>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投标人名称（公章）：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399A84EB">
      <w:pPr>
        <w:spacing w:line="400" w:lineRule="exact"/>
        <w:ind w:firstLine="482"/>
        <w:contextualSpacing/>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 xml:space="preserve">                                         日 期： </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年</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月     日</w:t>
      </w:r>
    </w:p>
    <w:p w14:paraId="44042BDD">
      <w:pPr>
        <w:snapToGrid w:val="0"/>
        <w:spacing w:before="120" w:beforeLines="50" w:after="50"/>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4.法定代表人身份证明</w:t>
      </w:r>
    </w:p>
    <w:p w14:paraId="5C56B9F0">
      <w:pPr>
        <w:snapToGrid w:val="0"/>
        <w:spacing w:before="120" w:beforeLines="50" w:after="50"/>
        <w:ind w:firstLine="472" w:firstLineChars="196"/>
        <w:jc w:val="left"/>
        <w:rPr>
          <w:rFonts w:hint="eastAsia" w:ascii="仿宋" w:hAnsi="仿宋" w:eastAsia="仿宋" w:cs="仿宋"/>
          <w:b/>
          <w:color w:val="auto"/>
          <w:sz w:val="24"/>
          <w:szCs w:val="20"/>
          <w:highlight w:val="none"/>
        </w:rPr>
      </w:pPr>
    </w:p>
    <w:p w14:paraId="2C967CD6">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法定代表人身份证明</w:t>
      </w:r>
    </w:p>
    <w:p w14:paraId="629B3063">
      <w:pPr>
        <w:spacing w:line="500" w:lineRule="exact"/>
        <w:ind w:left="54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65C561CE">
      <w:pPr>
        <w:spacing w:line="500" w:lineRule="exact"/>
        <w:ind w:left="54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4B469F61">
      <w:pPr>
        <w:spacing w:line="500" w:lineRule="exact"/>
        <w:ind w:left="54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16DA7B56">
      <w:pPr>
        <w:spacing w:line="500" w:lineRule="exact"/>
        <w:ind w:left="540" w:firstLine="48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47C2B86C">
      <w:pPr>
        <w:spacing w:line="500" w:lineRule="exact"/>
        <w:ind w:left="54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2F6734C6">
      <w:pPr>
        <w:spacing w:line="500" w:lineRule="exact"/>
        <w:ind w:left="54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w:t>
      </w:r>
    </w:p>
    <w:p w14:paraId="45CD69BD">
      <w:pPr>
        <w:spacing w:line="500" w:lineRule="exact"/>
        <w:ind w:left="54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3451B65C">
      <w:pPr>
        <w:spacing w:line="500" w:lineRule="exact"/>
        <w:ind w:left="540" w:firstLine="482"/>
        <w:rPr>
          <w:rFonts w:hint="eastAsia" w:ascii="仿宋" w:hAnsi="仿宋" w:eastAsia="仿宋" w:cs="仿宋"/>
          <w:color w:val="auto"/>
          <w:sz w:val="24"/>
          <w:highlight w:val="none"/>
        </w:rPr>
      </w:pPr>
    </w:p>
    <w:p w14:paraId="5362FB41">
      <w:pPr>
        <w:spacing w:line="500" w:lineRule="exact"/>
        <w:ind w:left="540" w:firstLine="482"/>
        <w:rPr>
          <w:rFonts w:hint="eastAsia" w:ascii="仿宋" w:hAnsi="仿宋" w:eastAsia="仿宋" w:cs="仿宋"/>
          <w:color w:val="auto"/>
          <w:sz w:val="24"/>
          <w:highlight w:val="none"/>
        </w:rPr>
      </w:pPr>
    </w:p>
    <w:p w14:paraId="3698797A">
      <w:pPr>
        <w:spacing w:line="500" w:lineRule="exact"/>
        <w:ind w:left="54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300AAF82">
      <w:pPr>
        <w:spacing w:line="500" w:lineRule="exact"/>
        <w:ind w:left="540" w:firstLine="482"/>
        <w:rPr>
          <w:rFonts w:hint="eastAsia" w:ascii="仿宋" w:hAnsi="仿宋" w:eastAsia="仿宋" w:cs="仿宋"/>
          <w:color w:val="auto"/>
          <w:sz w:val="24"/>
          <w:highlight w:val="none"/>
        </w:rPr>
      </w:pPr>
    </w:p>
    <w:p w14:paraId="3BF9C5A4">
      <w:pPr>
        <w:wordWrap w:val="0"/>
        <w:spacing w:line="500" w:lineRule="exact"/>
        <w:ind w:left="540" w:firstLine="482"/>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投标人名称（公章）：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D031D86">
      <w:pPr>
        <w:snapToGrid w:val="0"/>
        <w:spacing w:before="120" w:beforeLines="50" w:after="50"/>
        <w:ind w:left="540" w:right="960" w:firstLine="48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日</w:t>
      </w:r>
    </w:p>
    <w:p w14:paraId="1F12B25D">
      <w:pPr>
        <w:snapToGrid w:val="0"/>
        <w:spacing w:before="120" w:beforeLines="50" w:after="50"/>
        <w:ind w:firstLine="480"/>
        <w:jc w:val="center"/>
        <w:rPr>
          <w:rFonts w:hint="eastAsia" w:ascii="仿宋" w:hAnsi="仿宋" w:eastAsia="仿宋" w:cs="仿宋"/>
          <w:b/>
          <w:color w:val="auto"/>
          <w:sz w:val="24"/>
          <w:highlight w:val="none"/>
        </w:rPr>
      </w:pPr>
    </w:p>
    <w:p w14:paraId="68B492D0">
      <w:pPr>
        <w:snapToGrid w:val="0"/>
        <w:spacing w:before="120" w:beforeLines="50" w:after="50"/>
        <w:ind w:firstLine="48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自然人投标的无需提供</w:t>
      </w:r>
    </w:p>
    <w:p w14:paraId="6BAE5D1E">
      <w:pPr>
        <w:snapToGrid w:val="0"/>
        <w:spacing w:before="120" w:beforeLines="50" w:after="50"/>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5.授权委托书格式</w:t>
      </w:r>
    </w:p>
    <w:p w14:paraId="11D32DCD">
      <w:pPr>
        <w:snapToGrid w:val="0"/>
        <w:spacing w:before="120" w:beforeLines="50" w:after="50"/>
        <w:ind w:firstLine="480"/>
        <w:jc w:val="left"/>
        <w:rPr>
          <w:rFonts w:hint="eastAsia" w:ascii="仿宋" w:hAnsi="仿宋" w:eastAsia="仿宋" w:cs="仿宋"/>
          <w:b/>
          <w:color w:val="auto"/>
          <w:sz w:val="24"/>
          <w:szCs w:val="20"/>
          <w:highlight w:val="none"/>
        </w:rPr>
      </w:pPr>
    </w:p>
    <w:p w14:paraId="46A85D21">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授权委托书</w:t>
      </w:r>
    </w:p>
    <w:p w14:paraId="7F60B809">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（非联合体投标格式）</w:t>
      </w:r>
    </w:p>
    <w:p w14:paraId="7343610E">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（如有委托时）</w:t>
      </w:r>
    </w:p>
    <w:p w14:paraId="55FC5921">
      <w:pPr>
        <w:snapToGrid w:val="0"/>
        <w:spacing w:before="120" w:beforeLines="50" w:after="50"/>
        <w:ind w:firstLine="480"/>
        <w:jc w:val="center"/>
        <w:rPr>
          <w:rFonts w:hint="eastAsia" w:ascii="仿宋" w:hAnsi="仿宋" w:eastAsia="仿宋" w:cs="仿宋"/>
          <w:b/>
          <w:color w:val="auto"/>
          <w:sz w:val="24"/>
          <w:highlight w:val="none"/>
        </w:rPr>
      </w:pPr>
    </w:p>
    <w:p w14:paraId="563B16B2">
      <w:pPr>
        <w:spacing w:line="360" w:lineRule="auto"/>
        <w:ind w:firstLine="482"/>
        <w:contextualSpacing/>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145B8654">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500996D4">
      <w:pPr>
        <w:spacing w:line="360" w:lineRule="auto"/>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7A4E64DD">
      <w:pPr>
        <w:spacing w:line="360" w:lineRule="auto"/>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本授权书自签署之日起生效，在撤销授权的书面通知以前，本授权书一直有效。委托代理人在授权书有效期内签署的所有文件不因授权的撤销而失效。</w:t>
      </w:r>
    </w:p>
    <w:p w14:paraId="13347D04">
      <w:pPr>
        <w:spacing w:line="360" w:lineRule="auto"/>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2FEA13C3">
      <w:pPr>
        <w:spacing w:line="360" w:lineRule="auto"/>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附：法定代表人身份证明及委托代理人有效身份证正反面复印件</w:t>
      </w:r>
    </w:p>
    <w:p w14:paraId="43AF86E9">
      <w:pPr>
        <w:spacing w:line="360" w:lineRule="auto"/>
        <w:ind w:firstLine="482"/>
        <w:contextualSpacing/>
        <w:rPr>
          <w:rFonts w:hint="eastAsia" w:ascii="仿宋" w:hAnsi="仿宋" w:eastAsia="仿宋" w:cs="仿宋"/>
          <w:color w:val="auto"/>
          <w:sz w:val="24"/>
          <w:highlight w:val="none"/>
        </w:rPr>
      </w:pPr>
    </w:p>
    <w:p w14:paraId="00BF53F0">
      <w:pPr>
        <w:spacing w:line="440" w:lineRule="exact"/>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718CBDB">
      <w:pPr>
        <w:spacing w:line="440" w:lineRule="exact"/>
        <w:ind w:firstLine="482"/>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u w:val="single"/>
        </w:rPr>
        <w:t xml:space="preserve">                             </w:t>
      </w:r>
    </w:p>
    <w:p w14:paraId="0D932376">
      <w:pPr>
        <w:spacing w:line="440" w:lineRule="exact"/>
        <w:ind w:firstLine="482"/>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u w:val="single"/>
        </w:rPr>
        <w:t xml:space="preserve">              </w:t>
      </w:r>
    </w:p>
    <w:p w14:paraId="712701E2">
      <w:pPr>
        <w:spacing w:line="440" w:lineRule="exact"/>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03C7CD7">
      <w:pPr>
        <w:spacing w:line="440" w:lineRule="exact"/>
        <w:ind w:firstLine="482"/>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投标人名称（公章）：</w:t>
      </w:r>
      <w:r>
        <w:rPr>
          <w:rFonts w:hint="eastAsia" w:ascii="仿宋" w:hAnsi="仿宋" w:eastAsia="仿宋" w:cs="仿宋"/>
          <w:color w:val="auto"/>
          <w:sz w:val="24"/>
          <w:highlight w:val="none"/>
          <w:u w:val="single"/>
        </w:rPr>
        <w:t xml:space="preserve">       </w:t>
      </w:r>
    </w:p>
    <w:p w14:paraId="735FF0AB">
      <w:pPr>
        <w:spacing w:line="440" w:lineRule="exact"/>
        <w:ind w:firstLine="482"/>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BBA9C3E">
      <w:pPr>
        <w:spacing w:line="440" w:lineRule="exact"/>
        <w:ind w:firstLine="48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3F83DA21">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bookmarkStart w:id="163" w:name="_Hlk65851555"/>
      <w:bookmarkStart w:id="164" w:name="_Hlk65851620"/>
      <w:r>
        <w:rPr>
          <w:rFonts w:hint="eastAsia" w:ascii="仿宋" w:hAnsi="仿宋" w:eastAsia="仿宋" w:cs="仿宋"/>
          <w:color w:val="auto"/>
          <w:sz w:val="24"/>
          <w:highlight w:val="none"/>
        </w:rPr>
        <w:t>法定代表人必须在授权委托书上签字或者盖章，</w:t>
      </w:r>
      <w:bookmarkEnd w:id="163"/>
      <w:r>
        <w:rPr>
          <w:rFonts w:hint="eastAsia" w:ascii="仿宋" w:hAnsi="仿宋" w:eastAsia="仿宋" w:cs="仿宋"/>
          <w:color w:val="auto"/>
          <w:sz w:val="24"/>
          <w:highlight w:val="none"/>
        </w:rPr>
        <w:t>委托代理人必须在授权委托书上签字，</w:t>
      </w:r>
      <w:r>
        <w:rPr>
          <w:rFonts w:hint="eastAsia" w:ascii="仿宋" w:hAnsi="仿宋" w:eastAsia="仿宋" w:cs="仿宋"/>
          <w:b/>
          <w:bCs/>
          <w:color w:val="auto"/>
          <w:sz w:val="24"/>
          <w:highlight w:val="none"/>
        </w:rPr>
        <w:t>否则按无效投标处理</w:t>
      </w:r>
      <w:r>
        <w:rPr>
          <w:rFonts w:hint="eastAsia" w:ascii="仿宋" w:hAnsi="仿宋" w:eastAsia="仿宋" w:cs="仿宋"/>
          <w:color w:val="auto"/>
          <w:sz w:val="24"/>
          <w:highlight w:val="none"/>
        </w:rPr>
        <w:t>；</w:t>
      </w:r>
      <w:bookmarkEnd w:id="164"/>
    </w:p>
    <w:p w14:paraId="0728B264">
      <w:pPr>
        <w:spacing w:line="44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2.法人、其他组织投标时“我方”是指“我单位”，自然人投标时“我方”是指“本人”。</w:t>
      </w:r>
    </w:p>
    <w:p w14:paraId="337E47B3">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2"/>
          <w:szCs w:val="32"/>
          <w:highlight w:val="none"/>
        </w:rPr>
        <w:t>授权委托书</w:t>
      </w:r>
    </w:p>
    <w:p w14:paraId="4181CC1F">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（联合体投标格式）</w:t>
      </w:r>
    </w:p>
    <w:p w14:paraId="548475C8">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（如有委托时）</w:t>
      </w:r>
    </w:p>
    <w:p w14:paraId="594438DD">
      <w:pPr>
        <w:spacing w:line="360" w:lineRule="auto"/>
        <w:ind w:firstLine="482"/>
        <w:contextualSpacing/>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0C208148">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根据 </w:t>
      </w:r>
      <w:r>
        <w:rPr>
          <w:rFonts w:hint="eastAsia" w:ascii="仿宋" w:hAnsi="仿宋" w:eastAsia="仿宋" w:cs="仿宋"/>
          <w:color w:val="auto"/>
          <w:sz w:val="24"/>
          <w:highlight w:val="none"/>
          <w:u w:val="single"/>
        </w:rPr>
        <w:t xml:space="preserve"> （牵头人名称）</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u w:val="single"/>
        </w:rPr>
        <w:t>（联合体其他成员名称）</w:t>
      </w:r>
      <w:r>
        <w:rPr>
          <w:rFonts w:hint="eastAsia" w:ascii="仿宋" w:hAnsi="仿宋" w:eastAsia="仿宋" w:cs="仿宋"/>
          <w:color w:val="auto"/>
          <w:sz w:val="24"/>
          <w:highlight w:val="none"/>
        </w:rPr>
        <w:t>签订的《联合体投标协议书》的内容，</w:t>
      </w:r>
      <w:r>
        <w:rPr>
          <w:rFonts w:hint="eastAsia" w:ascii="仿宋" w:hAnsi="仿宋" w:eastAsia="仿宋" w:cs="仿宋"/>
          <w:color w:val="auto"/>
          <w:sz w:val="24"/>
          <w:highlight w:val="none"/>
          <w:u w:val="single"/>
        </w:rPr>
        <w:t>（牵头人名称）</w:t>
      </w:r>
      <w:r>
        <w:rPr>
          <w:rFonts w:hint="eastAsia" w:ascii="仿宋" w:hAnsi="仿宋" w:eastAsia="仿宋" w:cs="仿宋"/>
          <w:color w:val="auto"/>
          <w:sz w:val="24"/>
          <w:highlight w:val="none"/>
        </w:rPr>
        <w:t>的法定代表人</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5F9A553B">
      <w:pPr>
        <w:spacing w:line="440" w:lineRule="exact"/>
        <w:ind w:firstLine="566" w:firstLineChars="236"/>
        <w:contextualSpacing/>
        <w:rPr>
          <w:rFonts w:hint="eastAsia" w:ascii="仿宋" w:hAnsi="仿宋" w:eastAsia="仿宋" w:cs="仿宋"/>
          <w:color w:val="auto"/>
          <w:sz w:val="24"/>
          <w:highlight w:val="none"/>
        </w:rPr>
      </w:pPr>
      <w:bookmarkStart w:id="165" w:name="_Hlk65852658"/>
      <w:r>
        <w:rPr>
          <w:rFonts w:hint="eastAsia" w:ascii="仿宋" w:hAnsi="仿宋" w:eastAsia="仿宋" w:cs="仿宋"/>
          <w:color w:val="auto"/>
          <w:sz w:val="24"/>
          <w:highlight w:val="none"/>
        </w:rPr>
        <w:t>我方对委托代理人的签字事项负全部责任。</w:t>
      </w:r>
    </w:p>
    <w:p w14:paraId="074C9194">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38A10044">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4BD4D4DD">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附：牵头人法定代表人身份证明及委托代理人有效身份证正反面复印件</w:t>
      </w:r>
    </w:p>
    <w:p w14:paraId="374FB0EC">
      <w:pPr>
        <w:spacing w:line="440" w:lineRule="exact"/>
        <w:ind w:firstLine="566" w:firstLineChars="236"/>
        <w:contextualSpacing/>
        <w:rPr>
          <w:rFonts w:hint="eastAsia" w:ascii="仿宋" w:hAnsi="仿宋" w:eastAsia="仿宋" w:cs="仿宋"/>
          <w:color w:val="auto"/>
          <w:sz w:val="24"/>
          <w:highlight w:val="none"/>
        </w:rPr>
      </w:pPr>
    </w:p>
    <w:p w14:paraId="7261D721">
      <w:pPr>
        <w:spacing w:line="440" w:lineRule="exact"/>
        <w:ind w:firstLine="566" w:firstLineChars="236"/>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牵头人法定代表人（签字）：</w:t>
      </w:r>
      <w:r>
        <w:rPr>
          <w:rFonts w:hint="eastAsia" w:ascii="仿宋" w:hAnsi="仿宋" w:eastAsia="仿宋" w:cs="仿宋"/>
          <w:color w:val="auto"/>
          <w:sz w:val="24"/>
          <w:highlight w:val="none"/>
          <w:u w:val="single"/>
        </w:rPr>
        <w:t xml:space="preserve">          </w:t>
      </w:r>
    </w:p>
    <w:p w14:paraId="1CAB5430">
      <w:pPr>
        <w:spacing w:line="440" w:lineRule="exact"/>
        <w:ind w:firstLine="566" w:firstLineChars="236"/>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牵头人（公章）：</w:t>
      </w:r>
      <w:r>
        <w:rPr>
          <w:rFonts w:hint="eastAsia" w:ascii="仿宋" w:hAnsi="仿宋" w:eastAsia="仿宋" w:cs="仿宋"/>
          <w:color w:val="auto"/>
          <w:sz w:val="24"/>
          <w:highlight w:val="none"/>
          <w:u w:val="single"/>
        </w:rPr>
        <w:t xml:space="preserve">                </w:t>
      </w:r>
    </w:p>
    <w:p w14:paraId="5E1410FC">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3E16FF5">
      <w:pPr>
        <w:spacing w:line="440" w:lineRule="exact"/>
        <w:ind w:firstLine="566" w:firstLineChars="236"/>
        <w:contextualSpacing/>
        <w:rPr>
          <w:rFonts w:hint="eastAsia" w:ascii="仿宋" w:hAnsi="仿宋" w:eastAsia="仿宋" w:cs="仿宋"/>
          <w:color w:val="auto"/>
          <w:sz w:val="24"/>
          <w:highlight w:val="none"/>
        </w:rPr>
      </w:pPr>
    </w:p>
    <w:p w14:paraId="1FFDB50D">
      <w:pPr>
        <w:spacing w:line="440" w:lineRule="exact"/>
        <w:ind w:firstLine="566" w:firstLineChars="236"/>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被授权人（签字）：</w:t>
      </w:r>
      <w:r>
        <w:rPr>
          <w:rFonts w:hint="eastAsia" w:ascii="仿宋" w:hAnsi="仿宋" w:eastAsia="仿宋" w:cs="仿宋"/>
          <w:color w:val="auto"/>
          <w:sz w:val="24"/>
          <w:highlight w:val="none"/>
          <w:u w:val="single"/>
        </w:rPr>
        <w:t xml:space="preserve">            </w:t>
      </w:r>
    </w:p>
    <w:p w14:paraId="19DB0EB9">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1430D94">
      <w:pPr>
        <w:spacing w:line="440" w:lineRule="exact"/>
        <w:ind w:firstLine="48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2B7AE606">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1.法定代表人必须在授权委托书上签字或者盖章，委托代理人必须在授权委托书上签字，</w:t>
      </w:r>
      <w:r>
        <w:rPr>
          <w:rFonts w:hint="eastAsia" w:ascii="仿宋" w:hAnsi="仿宋" w:eastAsia="仿宋" w:cs="仿宋"/>
          <w:b/>
          <w:bCs/>
          <w:color w:val="auto"/>
          <w:sz w:val="24"/>
          <w:highlight w:val="none"/>
        </w:rPr>
        <w:t>否则按无效投标处理</w:t>
      </w:r>
      <w:r>
        <w:rPr>
          <w:rFonts w:hint="eastAsia" w:ascii="仿宋" w:hAnsi="仿宋" w:eastAsia="仿宋" w:cs="仿宋"/>
          <w:color w:val="auto"/>
          <w:sz w:val="24"/>
          <w:highlight w:val="none"/>
        </w:rPr>
        <w:t>；</w:t>
      </w:r>
    </w:p>
    <w:p w14:paraId="75A60016">
      <w:pPr>
        <w:spacing w:line="44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2.法人、其他组织投标时“我方”是指“我单位”，自然人投标时“我方”是指“本人”。</w:t>
      </w:r>
    </w:p>
    <w:p w14:paraId="2AF74C1E">
      <w:pPr>
        <w:spacing w:line="440" w:lineRule="exact"/>
        <w:ind w:firstLine="482"/>
        <w:contextualSpacing/>
        <w:rPr>
          <w:rFonts w:hint="eastAsia" w:ascii="仿宋" w:hAnsi="仿宋" w:eastAsia="仿宋" w:cs="仿宋"/>
          <w:color w:val="auto"/>
          <w:sz w:val="24"/>
          <w:highlight w:val="none"/>
        </w:rPr>
      </w:pPr>
    </w:p>
    <w:bookmarkEnd w:id="165"/>
    <w:p w14:paraId="50BC6052">
      <w:pPr>
        <w:snapToGrid w:val="0"/>
        <w:spacing w:before="120" w:after="120" w:afterLines="50"/>
        <w:ind w:firstLine="480" w:firstLineChars="200"/>
        <w:jc w:val="left"/>
        <w:rPr>
          <w:rFonts w:hint="eastAsia" w:ascii="仿宋" w:hAnsi="仿宋" w:eastAsia="仿宋" w:cs="仿宋"/>
          <w:color w:val="auto"/>
          <w:sz w:val="24"/>
          <w:highlight w:val="none"/>
        </w:rPr>
        <w:sectPr>
          <w:headerReference r:id="rId8" w:type="first"/>
          <w:footerReference r:id="rId11" w:type="first"/>
          <w:headerReference r:id="rId7" w:type="default"/>
          <w:footerReference r:id="rId9" w:type="default"/>
          <w:footerReference r:id="rId10" w:type="even"/>
          <w:pgSz w:w="11906" w:h="16838"/>
          <w:pgMar w:top="1417" w:right="1417" w:bottom="1417" w:left="1417" w:header="851" w:footer="992" w:gutter="0"/>
          <w:pgNumType w:fmt="decimal"/>
          <w:cols w:space="0" w:num="1"/>
          <w:titlePg/>
          <w:docGrid w:linePitch="312" w:charSpace="0"/>
        </w:sectPr>
      </w:pPr>
    </w:p>
    <w:p w14:paraId="0F286799">
      <w:pPr>
        <w:ind w:firstLine="482"/>
        <w:rPr>
          <w:rFonts w:hint="eastAsia" w:ascii="仿宋" w:hAnsi="仿宋" w:eastAsia="仿宋" w:cs="仿宋"/>
          <w:color w:val="auto"/>
          <w:sz w:val="24"/>
          <w:highlight w:val="none"/>
        </w:rPr>
      </w:pPr>
    </w:p>
    <w:p w14:paraId="46A7D47E">
      <w:pPr>
        <w:ind w:firstLine="480"/>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t>6.商务要求偏离表格式</w:t>
      </w:r>
    </w:p>
    <w:p w14:paraId="062C7BF5">
      <w:pPr>
        <w:snapToGrid w:val="0"/>
        <w:spacing w:before="120"/>
        <w:ind w:firstLine="482"/>
        <w:jc w:val="left"/>
        <w:rPr>
          <w:rFonts w:hint="eastAsia" w:ascii="仿宋" w:hAnsi="仿宋" w:eastAsia="仿宋" w:cs="仿宋"/>
          <w:color w:val="auto"/>
          <w:sz w:val="24"/>
          <w:highlight w:val="none"/>
        </w:rPr>
      </w:pPr>
    </w:p>
    <w:p w14:paraId="4718E05B">
      <w:pPr>
        <w:snapToGrid w:val="0"/>
        <w:spacing w:before="120" w:after="12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商务要求偏离表</w:t>
      </w:r>
    </w:p>
    <w:p w14:paraId="097E1F91">
      <w:pPr>
        <w:snapToGrid w:val="0"/>
        <w:spacing w:before="120" w:after="50" w:line="360" w:lineRule="auto"/>
        <w:ind w:firstLine="482"/>
        <w:rPr>
          <w:rFonts w:hint="eastAsia" w:ascii="仿宋" w:hAnsi="仿宋" w:eastAsia="仿宋" w:cs="仿宋"/>
          <w:color w:val="auto"/>
          <w:sz w:val="24"/>
          <w:highlight w:val="none"/>
        </w:rPr>
      </w:pPr>
    </w:p>
    <w:p w14:paraId="24C6D8E4">
      <w:pPr>
        <w:snapToGrid w:val="0"/>
        <w:spacing w:before="120" w:after="50"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1EDF903">
      <w:pPr>
        <w:snapToGrid w:val="0"/>
        <w:spacing w:before="120" w:after="50" w:line="360" w:lineRule="auto"/>
        <w:ind w:firstLine="48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tbl>
      <w:tblPr>
        <w:tblStyle w:val="41"/>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7"/>
        <w:gridCol w:w="3575"/>
        <w:gridCol w:w="1885"/>
        <w:gridCol w:w="2180"/>
      </w:tblGrid>
      <w:tr w14:paraId="7BBCC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617" w:type="dxa"/>
            <w:tcBorders>
              <w:top w:val="single" w:color="auto" w:sz="4" w:space="0"/>
              <w:left w:val="single" w:color="auto" w:sz="4" w:space="0"/>
              <w:bottom w:val="single" w:color="auto" w:sz="4" w:space="0"/>
              <w:right w:val="single" w:color="auto" w:sz="4" w:space="0"/>
            </w:tcBorders>
          </w:tcPr>
          <w:p w14:paraId="777FFA27">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3575" w:type="dxa"/>
            <w:tcBorders>
              <w:top w:val="single" w:color="auto" w:sz="4" w:space="0"/>
              <w:left w:val="single" w:color="auto" w:sz="4" w:space="0"/>
              <w:bottom w:val="single" w:color="auto" w:sz="4" w:space="0"/>
              <w:right w:val="single" w:color="auto" w:sz="4" w:space="0"/>
            </w:tcBorders>
          </w:tcPr>
          <w:p w14:paraId="0C104118">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招标文件商务要求</w:t>
            </w:r>
          </w:p>
        </w:tc>
        <w:tc>
          <w:tcPr>
            <w:tcW w:w="1885" w:type="dxa"/>
            <w:tcBorders>
              <w:top w:val="single" w:color="auto" w:sz="4" w:space="0"/>
              <w:left w:val="single" w:color="auto" w:sz="4" w:space="0"/>
              <w:bottom w:val="single" w:color="auto" w:sz="4" w:space="0"/>
              <w:right w:val="single" w:color="auto" w:sz="4" w:space="0"/>
            </w:tcBorders>
          </w:tcPr>
          <w:p w14:paraId="373DCDB5">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投标人的承诺</w:t>
            </w:r>
          </w:p>
        </w:tc>
        <w:tc>
          <w:tcPr>
            <w:tcW w:w="2180" w:type="dxa"/>
            <w:tcBorders>
              <w:top w:val="single" w:color="auto" w:sz="4" w:space="0"/>
              <w:left w:val="single" w:color="auto" w:sz="4" w:space="0"/>
              <w:bottom w:val="single" w:color="auto" w:sz="4" w:space="0"/>
              <w:right w:val="single" w:color="auto" w:sz="4" w:space="0"/>
            </w:tcBorders>
          </w:tcPr>
          <w:p w14:paraId="13F1AA22">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66711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617" w:type="dxa"/>
            <w:tcBorders>
              <w:top w:val="single" w:color="auto" w:sz="4" w:space="0"/>
              <w:left w:val="single" w:color="auto" w:sz="4" w:space="0"/>
              <w:bottom w:val="single" w:color="auto" w:sz="4" w:space="0"/>
              <w:right w:val="single" w:color="auto" w:sz="4" w:space="0"/>
            </w:tcBorders>
            <w:vAlign w:val="center"/>
          </w:tcPr>
          <w:p w14:paraId="307A290A">
            <w:pPr>
              <w:snapToGrid w:val="0"/>
              <w:spacing w:before="120" w:beforeLines="50"/>
              <w:jc w:val="center"/>
              <w:rPr>
                <w:rFonts w:hint="eastAsia" w:ascii="仿宋" w:hAnsi="仿宋" w:eastAsia="仿宋" w:cs="仿宋"/>
                <w:color w:val="auto"/>
                <w:sz w:val="24"/>
                <w:highlight w:val="none"/>
              </w:rPr>
            </w:pPr>
          </w:p>
        </w:tc>
        <w:tc>
          <w:tcPr>
            <w:tcW w:w="3575" w:type="dxa"/>
            <w:tcBorders>
              <w:top w:val="single" w:color="auto" w:sz="4" w:space="0"/>
              <w:left w:val="single" w:color="auto" w:sz="4" w:space="0"/>
              <w:bottom w:val="single" w:color="auto" w:sz="4" w:space="0"/>
              <w:right w:val="single" w:color="auto" w:sz="4" w:space="0"/>
            </w:tcBorders>
            <w:vAlign w:val="center"/>
          </w:tcPr>
          <w:p w14:paraId="0126314B">
            <w:pPr>
              <w:ind w:firstLine="482"/>
              <w:jc w:val="left"/>
              <w:rPr>
                <w:rFonts w:hint="eastAsia" w:ascii="仿宋" w:hAnsi="仿宋" w:eastAsia="仿宋" w:cs="仿宋"/>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tcPr>
          <w:p w14:paraId="36E8D389">
            <w:pPr>
              <w:snapToGrid w:val="0"/>
              <w:spacing w:before="120" w:beforeLines="50"/>
              <w:ind w:firstLine="482"/>
              <w:jc w:val="center"/>
              <w:rPr>
                <w:rFonts w:hint="eastAsia" w:ascii="仿宋" w:hAnsi="仿宋" w:eastAsia="仿宋" w:cs="仿宋"/>
                <w:color w:val="auto"/>
                <w:sz w:val="24"/>
                <w:highlight w:val="none"/>
              </w:rPr>
            </w:pPr>
          </w:p>
        </w:tc>
        <w:tc>
          <w:tcPr>
            <w:tcW w:w="2180" w:type="dxa"/>
            <w:tcBorders>
              <w:top w:val="single" w:color="auto" w:sz="4" w:space="0"/>
              <w:left w:val="single" w:color="auto" w:sz="4" w:space="0"/>
              <w:bottom w:val="single" w:color="auto" w:sz="4" w:space="0"/>
              <w:right w:val="single" w:color="auto" w:sz="4" w:space="0"/>
            </w:tcBorders>
          </w:tcPr>
          <w:p w14:paraId="16B8A464">
            <w:pPr>
              <w:snapToGrid w:val="0"/>
              <w:spacing w:before="120" w:beforeLines="50"/>
              <w:ind w:firstLine="482"/>
              <w:jc w:val="center"/>
              <w:rPr>
                <w:rFonts w:hint="eastAsia" w:ascii="仿宋" w:hAnsi="仿宋" w:eastAsia="仿宋" w:cs="仿宋"/>
                <w:color w:val="auto"/>
                <w:sz w:val="24"/>
                <w:highlight w:val="none"/>
              </w:rPr>
            </w:pPr>
          </w:p>
        </w:tc>
      </w:tr>
      <w:tr w14:paraId="2211D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617" w:type="dxa"/>
            <w:tcBorders>
              <w:top w:val="single" w:color="auto" w:sz="4" w:space="0"/>
              <w:left w:val="single" w:color="auto" w:sz="4" w:space="0"/>
              <w:bottom w:val="single" w:color="auto" w:sz="4" w:space="0"/>
              <w:right w:val="single" w:color="auto" w:sz="4" w:space="0"/>
            </w:tcBorders>
            <w:vAlign w:val="center"/>
          </w:tcPr>
          <w:p w14:paraId="411A6DF9">
            <w:pPr>
              <w:snapToGrid w:val="0"/>
              <w:spacing w:before="120" w:beforeLines="50"/>
              <w:jc w:val="center"/>
              <w:rPr>
                <w:rFonts w:hint="eastAsia" w:ascii="仿宋" w:hAnsi="仿宋" w:eastAsia="仿宋" w:cs="仿宋"/>
                <w:color w:val="auto"/>
                <w:sz w:val="24"/>
                <w:highlight w:val="none"/>
              </w:rPr>
            </w:pPr>
          </w:p>
        </w:tc>
        <w:tc>
          <w:tcPr>
            <w:tcW w:w="3575" w:type="dxa"/>
            <w:tcBorders>
              <w:top w:val="single" w:color="auto" w:sz="4" w:space="0"/>
              <w:left w:val="single" w:color="auto" w:sz="4" w:space="0"/>
              <w:bottom w:val="single" w:color="auto" w:sz="4" w:space="0"/>
              <w:right w:val="single" w:color="auto" w:sz="4" w:space="0"/>
            </w:tcBorders>
            <w:vAlign w:val="center"/>
          </w:tcPr>
          <w:p w14:paraId="738BAD4E">
            <w:pPr>
              <w:ind w:firstLine="482"/>
              <w:jc w:val="left"/>
              <w:rPr>
                <w:rFonts w:hint="eastAsia" w:ascii="仿宋" w:hAnsi="仿宋" w:eastAsia="仿宋" w:cs="仿宋"/>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tcPr>
          <w:p w14:paraId="62086D3D">
            <w:pPr>
              <w:snapToGrid w:val="0"/>
              <w:spacing w:before="120" w:beforeLines="50"/>
              <w:ind w:left="43" w:firstLine="482"/>
              <w:jc w:val="center"/>
              <w:rPr>
                <w:rFonts w:hint="eastAsia" w:ascii="仿宋" w:hAnsi="仿宋" w:eastAsia="仿宋" w:cs="仿宋"/>
                <w:color w:val="auto"/>
                <w:sz w:val="24"/>
                <w:highlight w:val="none"/>
              </w:rPr>
            </w:pPr>
          </w:p>
        </w:tc>
        <w:tc>
          <w:tcPr>
            <w:tcW w:w="2180" w:type="dxa"/>
            <w:tcBorders>
              <w:top w:val="single" w:color="auto" w:sz="4" w:space="0"/>
              <w:left w:val="single" w:color="auto" w:sz="4" w:space="0"/>
              <w:bottom w:val="single" w:color="auto" w:sz="4" w:space="0"/>
              <w:right w:val="single" w:color="auto" w:sz="4" w:space="0"/>
            </w:tcBorders>
          </w:tcPr>
          <w:p w14:paraId="0BE194D9">
            <w:pPr>
              <w:snapToGrid w:val="0"/>
              <w:spacing w:before="120" w:beforeLines="50"/>
              <w:ind w:left="43" w:firstLine="482"/>
              <w:jc w:val="center"/>
              <w:rPr>
                <w:rFonts w:hint="eastAsia" w:ascii="仿宋" w:hAnsi="仿宋" w:eastAsia="仿宋" w:cs="仿宋"/>
                <w:color w:val="auto"/>
                <w:sz w:val="24"/>
                <w:highlight w:val="none"/>
              </w:rPr>
            </w:pPr>
          </w:p>
        </w:tc>
      </w:tr>
      <w:tr w14:paraId="19A52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617" w:type="dxa"/>
            <w:tcBorders>
              <w:top w:val="single" w:color="auto" w:sz="4" w:space="0"/>
              <w:left w:val="single" w:color="auto" w:sz="4" w:space="0"/>
              <w:bottom w:val="single" w:color="auto" w:sz="4" w:space="0"/>
              <w:right w:val="single" w:color="auto" w:sz="4" w:space="0"/>
            </w:tcBorders>
          </w:tcPr>
          <w:p w14:paraId="4FA9D182">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575" w:type="dxa"/>
            <w:tcBorders>
              <w:top w:val="single" w:color="auto" w:sz="4" w:space="0"/>
              <w:left w:val="single" w:color="auto" w:sz="4" w:space="0"/>
              <w:bottom w:val="single" w:color="auto" w:sz="4" w:space="0"/>
              <w:right w:val="single" w:color="auto" w:sz="4" w:space="0"/>
            </w:tcBorders>
          </w:tcPr>
          <w:p w14:paraId="5FEDF974">
            <w:pPr>
              <w:snapToGrid w:val="0"/>
              <w:spacing w:before="120" w:beforeLines="50"/>
              <w:ind w:firstLine="482"/>
              <w:jc w:val="center"/>
              <w:rPr>
                <w:rFonts w:hint="eastAsia" w:ascii="仿宋" w:hAnsi="仿宋" w:eastAsia="仿宋" w:cs="仿宋"/>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tcPr>
          <w:p w14:paraId="0A039BE8">
            <w:pPr>
              <w:snapToGrid w:val="0"/>
              <w:spacing w:before="120" w:beforeLines="50"/>
              <w:ind w:firstLine="482"/>
              <w:jc w:val="center"/>
              <w:rPr>
                <w:rFonts w:hint="eastAsia" w:ascii="仿宋" w:hAnsi="仿宋" w:eastAsia="仿宋" w:cs="仿宋"/>
                <w:color w:val="auto"/>
                <w:sz w:val="24"/>
                <w:highlight w:val="none"/>
              </w:rPr>
            </w:pPr>
          </w:p>
        </w:tc>
        <w:tc>
          <w:tcPr>
            <w:tcW w:w="2180" w:type="dxa"/>
            <w:tcBorders>
              <w:top w:val="single" w:color="auto" w:sz="4" w:space="0"/>
              <w:left w:val="single" w:color="auto" w:sz="4" w:space="0"/>
              <w:bottom w:val="single" w:color="auto" w:sz="4" w:space="0"/>
              <w:right w:val="single" w:color="auto" w:sz="4" w:space="0"/>
            </w:tcBorders>
          </w:tcPr>
          <w:p w14:paraId="24F39045">
            <w:pPr>
              <w:snapToGrid w:val="0"/>
              <w:spacing w:before="120" w:beforeLines="50"/>
              <w:ind w:firstLine="482"/>
              <w:jc w:val="center"/>
              <w:rPr>
                <w:rFonts w:hint="eastAsia" w:ascii="仿宋" w:hAnsi="仿宋" w:eastAsia="仿宋" w:cs="仿宋"/>
                <w:color w:val="auto"/>
                <w:sz w:val="24"/>
                <w:highlight w:val="none"/>
              </w:rPr>
            </w:pPr>
          </w:p>
        </w:tc>
      </w:tr>
    </w:tbl>
    <w:p w14:paraId="2422C4C9">
      <w:pPr>
        <w:spacing w:line="500" w:lineRule="exact"/>
        <w:ind w:firstLine="48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注：</w:t>
      </w:r>
    </w:p>
    <w:p w14:paraId="33307F04">
      <w:pPr>
        <w:spacing w:line="520" w:lineRule="exact"/>
        <w:ind w:firstLine="48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24"/>
          <w:highlight w:val="none"/>
        </w:rPr>
        <w:t>1.说明：应对照招标文件“第二章 采购需求”中的商务要求逐条作明确的投标响应，并作出偏离说明。</w:t>
      </w:r>
    </w:p>
    <w:p w14:paraId="3D72B802">
      <w:pPr>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2.投标人应根据自身的承诺，对照招标文件要求在“偏离说明”中注明“</w:t>
      </w:r>
      <w:r>
        <w:rPr>
          <w:rFonts w:hint="eastAsia" w:ascii="仿宋" w:hAnsi="仿宋" w:eastAsia="仿宋" w:cs="仿宋"/>
          <w:b/>
          <w:bCs/>
          <w:color w:val="auto"/>
          <w:kern w:val="0"/>
          <w:sz w:val="24"/>
          <w:highlight w:val="none"/>
        </w:rPr>
        <w:t>正偏离</w:t>
      </w:r>
      <w:r>
        <w:rPr>
          <w:rFonts w:hint="eastAsia" w:ascii="仿宋" w:hAnsi="仿宋" w:eastAsia="仿宋" w:cs="仿宋"/>
          <w:color w:val="auto"/>
          <w:kern w:val="0"/>
          <w:sz w:val="24"/>
          <w:highlight w:val="none"/>
        </w:rPr>
        <w:t>”、“</w:t>
      </w:r>
      <w:r>
        <w:rPr>
          <w:rFonts w:hint="eastAsia" w:ascii="仿宋" w:hAnsi="仿宋" w:eastAsia="仿宋" w:cs="仿宋"/>
          <w:b/>
          <w:bCs/>
          <w:color w:val="auto"/>
          <w:kern w:val="0"/>
          <w:sz w:val="24"/>
          <w:highlight w:val="none"/>
        </w:rPr>
        <w:t>负偏离</w:t>
      </w:r>
      <w:r>
        <w:rPr>
          <w:rFonts w:hint="eastAsia" w:ascii="仿宋" w:hAnsi="仿宋" w:eastAsia="仿宋" w:cs="仿宋"/>
          <w:color w:val="auto"/>
          <w:kern w:val="0"/>
          <w:sz w:val="24"/>
          <w:highlight w:val="none"/>
        </w:rPr>
        <w:t>”或者“</w:t>
      </w:r>
      <w:r>
        <w:rPr>
          <w:rFonts w:hint="eastAsia" w:ascii="仿宋" w:hAnsi="仿宋" w:eastAsia="仿宋" w:cs="仿宋"/>
          <w:b/>
          <w:bCs/>
          <w:color w:val="auto"/>
          <w:kern w:val="0"/>
          <w:sz w:val="24"/>
          <w:highlight w:val="none"/>
        </w:rPr>
        <w:t>无偏离</w:t>
      </w:r>
      <w:r>
        <w:rPr>
          <w:rFonts w:hint="eastAsia" w:ascii="仿宋" w:hAnsi="仿宋" w:eastAsia="仿宋" w:cs="仿宋"/>
          <w:color w:val="auto"/>
          <w:kern w:val="0"/>
          <w:sz w:val="24"/>
          <w:highlight w:val="none"/>
        </w:rPr>
        <w:t>”。既不属于“</w:t>
      </w:r>
      <w:r>
        <w:rPr>
          <w:rFonts w:hint="eastAsia" w:ascii="仿宋" w:hAnsi="仿宋" w:eastAsia="仿宋" w:cs="仿宋"/>
          <w:b/>
          <w:bCs/>
          <w:color w:val="auto"/>
          <w:kern w:val="0"/>
          <w:sz w:val="24"/>
          <w:highlight w:val="none"/>
        </w:rPr>
        <w:t>正偏离</w:t>
      </w:r>
      <w:r>
        <w:rPr>
          <w:rFonts w:hint="eastAsia" w:ascii="仿宋" w:hAnsi="仿宋" w:eastAsia="仿宋" w:cs="仿宋"/>
          <w:color w:val="auto"/>
          <w:kern w:val="0"/>
          <w:sz w:val="24"/>
          <w:highlight w:val="none"/>
        </w:rPr>
        <w:t>”也不属于“</w:t>
      </w:r>
      <w:r>
        <w:rPr>
          <w:rFonts w:hint="eastAsia" w:ascii="仿宋" w:hAnsi="仿宋" w:eastAsia="仿宋" w:cs="仿宋"/>
          <w:b/>
          <w:bCs/>
          <w:color w:val="auto"/>
          <w:kern w:val="0"/>
          <w:sz w:val="24"/>
          <w:highlight w:val="none"/>
        </w:rPr>
        <w:t>负偏离</w:t>
      </w:r>
      <w:r>
        <w:rPr>
          <w:rFonts w:hint="eastAsia" w:ascii="仿宋" w:hAnsi="仿宋" w:eastAsia="仿宋" w:cs="仿宋"/>
          <w:color w:val="auto"/>
          <w:kern w:val="0"/>
          <w:sz w:val="24"/>
          <w:highlight w:val="none"/>
        </w:rPr>
        <w:t>”即为“</w:t>
      </w:r>
      <w:r>
        <w:rPr>
          <w:rFonts w:hint="eastAsia" w:ascii="仿宋" w:hAnsi="仿宋" w:eastAsia="仿宋" w:cs="仿宋"/>
          <w:b/>
          <w:bCs/>
          <w:color w:val="auto"/>
          <w:kern w:val="0"/>
          <w:sz w:val="24"/>
          <w:highlight w:val="none"/>
        </w:rPr>
        <w:t>无偏离</w:t>
      </w:r>
      <w:r>
        <w:rPr>
          <w:rFonts w:hint="eastAsia" w:ascii="仿宋" w:hAnsi="仿宋" w:eastAsia="仿宋" w:cs="仿宋"/>
          <w:color w:val="auto"/>
          <w:kern w:val="0"/>
          <w:sz w:val="24"/>
          <w:highlight w:val="none"/>
        </w:rPr>
        <w:t>”。</w:t>
      </w:r>
    </w:p>
    <w:p w14:paraId="1FBACDF3">
      <w:pPr>
        <w:snapToGrid w:val="0"/>
        <w:spacing w:before="120" w:after="50"/>
        <w:ind w:firstLine="482"/>
        <w:rPr>
          <w:rFonts w:hint="eastAsia" w:ascii="仿宋" w:hAnsi="仿宋" w:eastAsia="仿宋" w:cs="仿宋"/>
          <w:color w:val="auto"/>
          <w:sz w:val="24"/>
          <w:highlight w:val="none"/>
        </w:rPr>
      </w:pPr>
    </w:p>
    <w:p w14:paraId="69841D72">
      <w:pPr>
        <w:snapToGrid w:val="0"/>
        <w:spacing w:before="120" w:after="50"/>
        <w:ind w:firstLine="482"/>
        <w:rPr>
          <w:rFonts w:hint="eastAsia" w:ascii="仿宋" w:hAnsi="仿宋" w:eastAsia="仿宋" w:cs="仿宋"/>
          <w:color w:val="auto"/>
          <w:sz w:val="24"/>
          <w:highlight w:val="none"/>
        </w:rPr>
      </w:pPr>
    </w:p>
    <w:p w14:paraId="29C10408">
      <w:pPr>
        <w:snapToGrid w:val="0"/>
        <w:spacing w:before="120" w:after="50"/>
        <w:ind w:firstLine="1440" w:firstLineChars="600"/>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1F912DEA">
      <w:pPr>
        <w:snapToGrid w:val="0"/>
        <w:spacing w:before="120" w:beforeLines="50"/>
        <w:ind w:firstLine="1400" w:firstLineChars="500"/>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投标人名称（公章）：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36584FCD">
      <w:pPr>
        <w:snapToGrid w:val="0"/>
        <w:spacing w:before="120" w:beforeLines="50"/>
        <w:ind w:firstLine="1400" w:firstLineChars="500"/>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年</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月</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日</w:t>
      </w:r>
    </w:p>
    <w:p w14:paraId="06274A51">
      <w:pPr>
        <w:snapToGrid w:val="0"/>
        <w:spacing w:before="120" w:beforeLines="50"/>
        <w:ind w:firstLine="482"/>
        <w:rPr>
          <w:rFonts w:hint="eastAsia" w:ascii="仿宋" w:hAnsi="仿宋" w:eastAsia="仿宋" w:cs="仿宋"/>
          <w:color w:val="auto"/>
          <w:sz w:val="24"/>
          <w:szCs w:val="20"/>
          <w:highlight w:val="none"/>
        </w:rPr>
      </w:pPr>
    </w:p>
    <w:p w14:paraId="0F9C798A">
      <w:pPr>
        <w:snapToGrid w:val="0"/>
        <w:spacing w:before="120" w:beforeLines="50" w:after="50"/>
        <w:ind w:firstLine="482"/>
        <w:jc w:val="left"/>
        <w:rPr>
          <w:rFonts w:hint="eastAsia" w:ascii="仿宋" w:hAnsi="仿宋" w:eastAsia="仿宋" w:cs="仿宋"/>
          <w:color w:val="auto"/>
          <w:sz w:val="24"/>
          <w:szCs w:val="20"/>
          <w:highlight w:val="none"/>
        </w:rPr>
        <w:sectPr>
          <w:footerReference r:id="rId15" w:type="first"/>
          <w:headerReference r:id="rId12" w:type="default"/>
          <w:footerReference r:id="rId13" w:type="default"/>
          <w:footerReference r:id="rId14" w:type="even"/>
          <w:pgSz w:w="11906" w:h="16838"/>
          <w:pgMar w:top="1417" w:right="1417" w:bottom="1417" w:left="1417" w:header="851" w:footer="992" w:gutter="0"/>
          <w:pgNumType w:fmt="decimal"/>
          <w:cols w:space="0" w:num="1"/>
          <w:titlePg/>
          <w:docGrid w:linePitch="312" w:charSpace="0"/>
        </w:sectPr>
      </w:pPr>
    </w:p>
    <w:p w14:paraId="34BCDD38">
      <w:pPr>
        <w:snapToGrid w:val="0"/>
        <w:spacing w:before="120" w:beforeLines="50" w:after="50"/>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7.投标人业绩证明材料</w:t>
      </w:r>
    </w:p>
    <w:p w14:paraId="5A3EBEC1">
      <w:pPr>
        <w:snapToGrid w:val="0"/>
        <w:ind w:left="480" w:hanging="480" w:hangingChars="200"/>
        <w:rPr>
          <w:rFonts w:hint="eastAsia" w:ascii="仿宋" w:hAnsi="仿宋" w:eastAsia="仿宋" w:cs="仿宋"/>
          <w:color w:val="auto"/>
          <w:sz w:val="24"/>
          <w:highlight w:val="none"/>
        </w:rPr>
      </w:pPr>
    </w:p>
    <w:p w14:paraId="7D0B043C">
      <w:pPr>
        <w:snapToGrid w:val="0"/>
        <w:ind w:left="643" w:hanging="643" w:hangingChars="20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投标人业绩情况一览表（格式）</w:t>
      </w:r>
    </w:p>
    <w:p w14:paraId="4BD77822">
      <w:pPr>
        <w:snapToGrid w:val="0"/>
        <w:spacing w:before="120" w:after="50" w:line="360" w:lineRule="auto"/>
        <w:ind w:firstLine="482"/>
        <w:rPr>
          <w:rFonts w:hint="eastAsia" w:ascii="仿宋" w:hAnsi="仿宋" w:eastAsia="仿宋" w:cs="仿宋"/>
          <w:color w:val="auto"/>
          <w:sz w:val="24"/>
          <w:highlight w:val="none"/>
        </w:rPr>
      </w:pPr>
    </w:p>
    <w:p w14:paraId="01B81E96">
      <w:pPr>
        <w:snapToGrid w:val="0"/>
        <w:spacing w:before="120" w:after="50"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728C0F8">
      <w:pPr>
        <w:snapToGrid w:val="0"/>
        <w:spacing w:before="120" w:after="50" w:line="360" w:lineRule="auto"/>
        <w:ind w:firstLine="482"/>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tbl>
      <w:tblPr>
        <w:tblStyle w:val="41"/>
        <w:tblW w:w="493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4"/>
        <w:gridCol w:w="1854"/>
        <w:gridCol w:w="1854"/>
        <w:gridCol w:w="2993"/>
      </w:tblGrid>
      <w:tr w14:paraId="6EB53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31D15778">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037" w:type="pct"/>
            <w:vMerge w:val="restart"/>
            <w:tcBorders>
              <w:top w:val="single" w:color="auto" w:sz="4" w:space="0"/>
              <w:left w:val="single" w:color="auto" w:sz="4" w:space="0"/>
              <w:bottom w:val="single" w:color="auto" w:sz="4" w:space="0"/>
              <w:right w:val="single" w:color="auto" w:sz="4" w:space="0"/>
            </w:tcBorders>
            <w:vAlign w:val="center"/>
          </w:tcPr>
          <w:p w14:paraId="5603D9F5">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037" w:type="pct"/>
            <w:vMerge w:val="restart"/>
            <w:tcBorders>
              <w:top w:val="single" w:color="auto" w:sz="4" w:space="0"/>
              <w:left w:val="single" w:color="auto" w:sz="4" w:space="0"/>
              <w:bottom w:val="single" w:color="auto" w:sz="4" w:space="0"/>
              <w:right w:val="single" w:color="auto" w:sz="4" w:space="0"/>
            </w:tcBorders>
            <w:vAlign w:val="center"/>
          </w:tcPr>
          <w:p w14:paraId="3DDC4C4A">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p w14:paraId="32785E78">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3489B976">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w:t>
            </w:r>
          </w:p>
          <w:p w14:paraId="6CBAA4E2">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14:paraId="03F9E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9"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520267EF">
            <w:pPr>
              <w:ind w:firstLine="482"/>
              <w:jc w:val="left"/>
              <w:rPr>
                <w:rFonts w:hint="eastAsia" w:ascii="仿宋" w:hAnsi="仿宋" w:eastAsia="仿宋" w:cs="仿宋"/>
                <w:color w:val="auto"/>
                <w:sz w:val="24"/>
                <w:highlight w:val="none"/>
              </w:rPr>
            </w:pPr>
          </w:p>
        </w:tc>
        <w:tc>
          <w:tcPr>
            <w:tcW w:w="1037" w:type="pct"/>
            <w:vMerge w:val="continue"/>
            <w:tcBorders>
              <w:top w:val="single" w:color="auto" w:sz="4" w:space="0"/>
              <w:left w:val="single" w:color="auto" w:sz="4" w:space="0"/>
              <w:bottom w:val="single" w:color="auto" w:sz="4" w:space="0"/>
              <w:right w:val="single" w:color="auto" w:sz="4" w:space="0"/>
            </w:tcBorders>
            <w:vAlign w:val="center"/>
          </w:tcPr>
          <w:p w14:paraId="35A7BC82">
            <w:pPr>
              <w:ind w:firstLine="482"/>
              <w:jc w:val="left"/>
              <w:rPr>
                <w:rFonts w:hint="eastAsia" w:ascii="仿宋" w:hAnsi="仿宋" w:eastAsia="仿宋" w:cs="仿宋"/>
                <w:color w:val="auto"/>
                <w:sz w:val="24"/>
                <w:highlight w:val="none"/>
              </w:rPr>
            </w:pPr>
          </w:p>
        </w:tc>
        <w:tc>
          <w:tcPr>
            <w:tcW w:w="1037" w:type="pct"/>
            <w:vMerge w:val="continue"/>
            <w:tcBorders>
              <w:top w:val="single" w:color="auto" w:sz="4" w:space="0"/>
              <w:left w:val="single" w:color="auto" w:sz="4" w:space="0"/>
              <w:bottom w:val="single" w:color="auto" w:sz="4" w:space="0"/>
              <w:right w:val="single" w:color="auto" w:sz="4" w:space="0"/>
            </w:tcBorders>
            <w:vAlign w:val="center"/>
          </w:tcPr>
          <w:p w14:paraId="5495455B">
            <w:pPr>
              <w:ind w:firstLine="482"/>
              <w:jc w:val="left"/>
              <w:rPr>
                <w:rFonts w:hint="eastAsia" w:ascii="仿宋" w:hAnsi="仿宋" w:eastAsia="仿宋" w:cs="仿宋"/>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98EDC2A">
            <w:pPr>
              <w:ind w:firstLine="482"/>
              <w:jc w:val="left"/>
              <w:rPr>
                <w:rFonts w:hint="eastAsia" w:ascii="仿宋" w:hAnsi="仿宋" w:eastAsia="仿宋" w:cs="仿宋"/>
                <w:color w:val="auto"/>
                <w:sz w:val="24"/>
                <w:highlight w:val="none"/>
              </w:rPr>
            </w:pPr>
          </w:p>
        </w:tc>
      </w:tr>
      <w:tr w14:paraId="7C55A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250" w:type="pct"/>
            <w:tcBorders>
              <w:top w:val="single" w:color="auto" w:sz="4" w:space="0"/>
              <w:left w:val="single" w:color="auto" w:sz="4" w:space="0"/>
              <w:bottom w:val="single" w:color="auto" w:sz="4" w:space="0"/>
              <w:right w:val="single" w:color="auto" w:sz="4" w:space="0"/>
            </w:tcBorders>
          </w:tcPr>
          <w:p w14:paraId="380EB281">
            <w:pPr>
              <w:snapToGrid w:val="0"/>
              <w:spacing w:line="24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3035BD9D">
            <w:pPr>
              <w:snapToGrid w:val="0"/>
              <w:spacing w:line="24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48998613">
            <w:pPr>
              <w:snapToGrid w:val="0"/>
              <w:spacing w:line="240" w:lineRule="exact"/>
              <w:ind w:firstLine="482"/>
              <w:jc w:val="left"/>
              <w:rPr>
                <w:rFonts w:hint="eastAsia" w:ascii="仿宋" w:hAnsi="仿宋" w:eastAsia="仿宋" w:cs="仿宋"/>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8C8F547">
            <w:pPr>
              <w:snapToGrid w:val="0"/>
              <w:spacing w:line="240" w:lineRule="exact"/>
              <w:ind w:firstLine="482"/>
              <w:jc w:val="left"/>
              <w:rPr>
                <w:rFonts w:hint="eastAsia" w:ascii="仿宋" w:hAnsi="仿宋" w:eastAsia="仿宋" w:cs="仿宋"/>
                <w:color w:val="auto"/>
                <w:sz w:val="24"/>
                <w:highlight w:val="none"/>
              </w:rPr>
            </w:pPr>
          </w:p>
        </w:tc>
      </w:tr>
      <w:tr w14:paraId="2F43D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50" w:type="pct"/>
            <w:tcBorders>
              <w:top w:val="single" w:color="auto" w:sz="4" w:space="0"/>
              <w:left w:val="single" w:color="auto" w:sz="4" w:space="0"/>
              <w:bottom w:val="single" w:color="auto" w:sz="4" w:space="0"/>
              <w:right w:val="single" w:color="auto" w:sz="4" w:space="0"/>
            </w:tcBorders>
          </w:tcPr>
          <w:p w14:paraId="26676CC5">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0BB98D78">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2C70370A">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90262FB">
            <w:pPr>
              <w:snapToGrid w:val="0"/>
              <w:spacing w:before="120" w:after="120" w:afterLines="50" w:line="400" w:lineRule="exact"/>
              <w:ind w:firstLine="482"/>
              <w:jc w:val="left"/>
              <w:rPr>
                <w:rFonts w:hint="eastAsia" w:ascii="仿宋" w:hAnsi="仿宋" w:eastAsia="仿宋" w:cs="仿宋"/>
                <w:color w:val="auto"/>
                <w:sz w:val="24"/>
                <w:highlight w:val="none"/>
              </w:rPr>
            </w:pPr>
          </w:p>
        </w:tc>
      </w:tr>
      <w:tr w14:paraId="47DC9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50" w:type="pct"/>
            <w:tcBorders>
              <w:top w:val="single" w:color="auto" w:sz="4" w:space="0"/>
              <w:left w:val="single" w:color="auto" w:sz="4" w:space="0"/>
              <w:bottom w:val="single" w:color="auto" w:sz="4" w:space="0"/>
              <w:right w:val="single" w:color="auto" w:sz="4" w:space="0"/>
            </w:tcBorders>
          </w:tcPr>
          <w:p w14:paraId="61488B8D">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6A41463A">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4A894489">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57819F6">
            <w:pPr>
              <w:snapToGrid w:val="0"/>
              <w:spacing w:before="120" w:after="120" w:afterLines="50" w:line="400" w:lineRule="exact"/>
              <w:ind w:firstLine="482"/>
              <w:jc w:val="left"/>
              <w:rPr>
                <w:rFonts w:hint="eastAsia" w:ascii="仿宋" w:hAnsi="仿宋" w:eastAsia="仿宋" w:cs="仿宋"/>
                <w:color w:val="auto"/>
                <w:sz w:val="24"/>
                <w:highlight w:val="none"/>
              </w:rPr>
            </w:pPr>
          </w:p>
        </w:tc>
      </w:tr>
      <w:tr w14:paraId="4DB20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50" w:type="pct"/>
            <w:tcBorders>
              <w:top w:val="single" w:color="auto" w:sz="4" w:space="0"/>
              <w:left w:val="single" w:color="auto" w:sz="4" w:space="0"/>
              <w:bottom w:val="single" w:color="auto" w:sz="4" w:space="0"/>
              <w:right w:val="single" w:color="auto" w:sz="4" w:space="0"/>
            </w:tcBorders>
          </w:tcPr>
          <w:p w14:paraId="559EF66F">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11684D2F">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3E818BE1">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3792509">
            <w:pPr>
              <w:snapToGrid w:val="0"/>
              <w:spacing w:before="120" w:after="120" w:afterLines="50" w:line="400" w:lineRule="exact"/>
              <w:ind w:firstLine="482"/>
              <w:jc w:val="left"/>
              <w:rPr>
                <w:rFonts w:hint="eastAsia" w:ascii="仿宋" w:hAnsi="仿宋" w:eastAsia="仿宋" w:cs="仿宋"/>
                <w:color w:val="auto"/>
                <w:sz w:val="24"/>
                <w:highlight w:val="none"/>
              </w:rPr>
            </w:pPr>
          </w:p>
        </w:tc>
      </w:tr>
      <w:tr w14:paraId="239DE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250" w:type="pct"/>
            <w:tcBorders>
              <w:top w:val="single" w:color="auto" w:sz="4" w:space="0"/>
              <w:left w:val="single" w:color="auto" w:sz="4" w:space="0"/>
              <w:bottom w:val="single" w:color="auto" w:sz="4" w:space="0"/>
              <w:right w:val="single" w:color="auto" w:sz="4" w:space="0"/>
            </w:tcBorders>
          </w:tcPr>
          <w:p w14:paraId="5DD0AA5C">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70DABC1D">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tcPr>
          <w:p w14:paraId="4308FB49">
            <w:pPr>
              <w:snapToGrid w:val="0"/>
              <w:spacing w:before="120" w:after="120" w:afterLines="50" w:line="400" w:lineRule="exact"/>
              <w:ind w:firstLine="482"/>
              <w:jc w:val="left"/>
              <w:rPr>
                <w:rFonts w:hint="eastAsia" w:ascii="仿宋" w:hAnsi="仿宋" w:eastAsia="仿宋" w:cs="仿宋"/>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D0CEDCC">
            <w:pPr>
              <w:snapToGrid w:val="0"/>
              <w:spacing w:before="120" w:after="120" w:afterLines="50" w:line="400" w:lineRule="exact"/>
              <w:ind w:firstLine="482"/>
              <w:jc w:val="left"/>
              <w:rPr>
                <w:rFonts w:hint="eastAsia" w:ascii="仿宋" w:hAnsi="仿宋" w:eastAsia="仿宋" w:cs="仿宋"/>
                <w:color w:val="auto"/>
                <w:sz w:val="24"/>
                <w:highlight w:val="none"/>
              </w:rPr>
            </w:pPr>
          </w:p>
        </w:tc>
      </w:tr>
    </w:tbl>
    <w:p w14:paraId="0CC99E13">
      <w:pPr>
        <w:pStyle w:val="14"/>
        <w:spacing w:before="120" w:after="0" w:line="360" w:lineRule="auto"/>
        <w:contextualSpacing/>
        <w:rPr>
          <w:rFonts w:hint="eastAsia" w:ascii="仿宋" w:hAnsi="仿宋" w:eastAsia="仿宋" w:cs="仿宋"/>
          <w:color w:val="auto"/>
          <w:sz w:val="24"/>
          <w:szCs w:val="24"/>
          <w:highlight w:val="none"/>
        </w:rPr>
      </w:pPr>
    </w:p>
    <w:p w14:paraId="130378C1">
      <w:pPr>
        <w:pStyle w:val="14"/>
        <w:spacing w:before="120" w:after="0" w:line="360" w:lineRule="auto"/>
        <w:ind w:firstLine="480"/>
        <w:contextualSpacing/>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highlight w:val="none"/>
        </w:rPr>
        <w:t>投标人根据评标标准具体要求附业绩证明材料。</w:t>
      </w:r>
    </w:p>
    <w:p w14:paraId="1A756E6D">
      <w:pPr>
        <w:pStyle w:val="14"/>
        <w:spacing w:before="120" w:after="0" w:line="360" w:lineRule="auto"/>
        <w:contextualSpacing/>
        <w:jc w:val="left"/>
        <w:rPr>
          <w:rFonts w:hint="eastAsia" w:ascii="仿宋" w:hAnsi="仿宋" w:eastAsia="仿宋" w:cs="仿宋"/>
          <w:color w:val="auto"/>
          <w:sz w:val="24"/>
          <w:szCs w:val="24"/>
          <w:highlight w:val="none"/>
        </w:rPr>
      </w:pPr>
    </w:p>
    <w:p w14:paraId="6081C325">
      <w:pPr>
        <w:pStyle w:val="14"/>
        <w:spacing w:before="120" w:after="0" w:line="360" w:lineRule="auto"/>
        <w:ind w:firstLine="2400" w:firstLineChars="1000"/>
        <w:contextualSpacing/>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法定代表人或者委托代理人（签字）：</w:t>
      </w:r>
      <w:r>
        <w:rPr>
          <w:rFonts w:hint="eastAsia" w:ascii="仿宋" w:hAnsi="仿宋" w:eastAsia="仿宋" w:cs="仿宋"/>
          <w:color w:val="auto"/>
          <w:sz w:val="24"/>
          <w:szCs w:val="24"/>
          <w:highlight w:val="none"/>
          <w:u w:val="single"/>
        </w:rPr>
        <w:t>　　　　　</w:t>
      </w:r>
    </w:p>
    <w:p w14:paraId="11941C21">
      <w:pPr>
        <w:snapToGrid w:val="0"/>
        <w:spacing w:before="120" w:beforeLines="50"/>
        <w:ind w:firstLine="2400" w:firstLineChars="10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 xml:space="preserve">投标人名称（公章）：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0547070">
      <w:pPr>
        <w:snapToGrid w:val="0"/>
        <w:spacing w:before="120" w:beforeLines="50"/>
        <w:ind w:firstLine="2400" w:firstLineChars="10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   </w:t>
      </w:r>
      <w:r>
        <w:rPr>
          <w:rFonts w:hint="eastAsia" w:ascii="仿宋" w:hAnsi="仿宋" w:eastAsia="仿宋" w:cs="仿宋"/>
          <w:b/>
          <w:color w:val="auto"/>
          <w:kern w:val="0"/>
          <w:sz w:val="24"/>
          <w:highlight w:val="none"/>
          <w:u w:val="singl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14:paraId="598463A5">
      <w:pPr>
        <w:spacing w:line="360" w:lineRule="auto"/>
        <w:ind w:left="1260" w:leftChars="600" w:right="480" w:firstLine="482"/>
        <w:contextualSpacing/>
        <w:jc w:val="left"/>
        <w:rPr>
          <w:rFonts w:hint="eastAsia" w:ascii="仿宋" w:hAnsi="仿宋" w:eastAsia="仿宋" w:cs="仿宋"/>
          <w:color w:val="auto"/>
          <w:sz w:val="24"/>
          <w:szCs w:val="20"/>
          <w:highlight w:val="none"/>
        </w:rPr>
      </w:pPr>
    </w:p>
    <w:p w14:paraId="65744005">
      <w:pPr>
        <w:snapToGrid w:val="0"/>
        <w:spacing w:before="120"/>
        <w:ind w:firstLine="480" w:firstLineChars="200"/>
        <w:jc w:val="left"/>
        <w:rPr>
          <w:rFonts w:hint="eastAsia" w:ascii="仿宋" w:hAnsi="仿宋" w:eastAsia="仿宋" w:cs="仿宋"/>
          <w:color w:val="auto"/>
          <w:sz w:val="24"/>
          <w:szCs w:val="20"/>
          <w:highlight w:val="none"/>
        </w:rPr>
      </w:pPr>
    </w:p>
    <w:p w14:paraId="5679B1C4">
      <w:pPr>
        <w:snapToGrid w:val="0"/>
        <w:spacing w:before="120"/>
        <w:ind w:firstLine="482"/>
        <w:jc w:val="left"/>
        <w:rPr>
          <w:rFonts w:hint="eastAsia" w:ascii="仿宋" w:hAnsi="仿宋" w:eastAsia="仿宋" w:cs="仿宋"/>
          <w:color w:val="auto"/>
          <w:sz w:val="24"/>
          <w:highlight w:val="none"/>
        </w:rPr>
      </w:pPr>
    </w:p>
    <w:p w14:paraId="116C91EA">
      <w:pPr>
        <w:snapToGrid w:val="0"/>
        <w:spacing w:before="120" w:beforeLines="50"/>
        <w:ind w:firstLine="482"/>
        <w:rPr>
          <w:rFonts w:hint="eastAsia" w:ascii="仿宋" w:hAnsi="仿宋" w:eastAsia="仿宋" w:cs="仿宋"/>
          <w:color w:val="auto"/>
          <w:sz w:val="24"/>
          <w:szCs w:val="20"/>
          <w:highlight w:val="none"/>
        </w:rPr>
        <w:sectPr>
          <w:pgSz w:w="11906" w:h="16838"/>
          <w:pgMar w:top="1417" w:right="1417" w:bottom="1417" w:left="1417" w:header="851" w:footer="992" w:gutter="0"/>
          <w:pgNumType w:fmt="decimal"/>
          <w:cols w:space="0" w:num="1"/>
          <w:titlePg/>
          <w:docGrid w:linePitch="312" w:charSpace="0"/>
        </w:sectPr>
      </w:pPr>
    </w:p>
    <w:p w14:paraId="0EC5BBBB">
      <w:pPr>
        <w:ind w:firstLine="560"/>
        <w:rPr>
          <w:rFonts w:hint="eastAsia" w:ascii="仿宋" w:hAnsi="仿宋" w:eastAsia="仿宋" w:cs="仿宋"/>
          <w:b/>
          <w:color w:val="auto"/>
          <w:sz w:val="28"/>
          <w:szCs w:val="28"/>
          <w:highlight w:val="none"/>
        </w:rPr>
      </w:pPr>
      <w:bookmarkStart w:id="166" w:name="_Toc19686839"/>
      <w:r>
        <w:rPr>
          <w:rFonts w:hint="eastAsia" w:ascii="仿宋" w:hAnsi="仿宋" w:eastAsia="仿宋" w:cs="仿宋"/>
          <w:b/>
          <w:color w:val="auto"/>
          <w:sz w:val="28"/>
          <w:szCs w:val="28"/>
          <w:highlight w:val="none"/>
        </w:rPr>
        <w:t>四、技术文件格式</w:t>
      </w:r>
      <w:bookmarkEnd w:id="166"/>
    </w:p>
    <w:p w14:paraId="30950A2A">
      <w:pPr>
        <w:snapToGrid w:val="0"/>
        <w:spacing w:before="120" w:beforeLines="50" w:after="50"/>
        <w:ind w:left="142"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 技术文件封面格式： </w:t>
      </w:r>
    </w:p>
    <w:p w14:paraId="52BFC270">
      <w:pPr>
        <w:snapToGrid w:val="0"/>
        <w:spacing w:before="120" w:beforeLines="50" w:after="50"/>
        <w:ind w:firstLine="640"/>
        <w:jc w:val="center"/>
        <w:rPr>
          <w:rFonts w:hint="eastAsia" w:ascii="仿宋" w:hAnsi="仿宋" w:eastAsia="仿宋" w:cs="仿宋"/>
          <w:b/>
          <w:bCs/>
          <w:color w:val="auto"/>
          <w:sz w:val="32"/>
          <w:szCs w:val="32"/>
          <w:highlight w:val="none"/>
        </w:rPr>
      </w:pPr>
    </w:p>
    <w:p w14:paraId="740EEDB5">
      <w:pPr>
        <w:snapToGrid w:val="0"/>
        <w:spacing w:before="120" w:beforeLines="50" w:after="50"/>
        <w:ind w:firstLine="640"/>
        <w:jc w:val="center"/>
        <w:rPr>
          <w:rFonts w:hint="eastAsia" w:ascii="仿宋" w:hAnsi="仿宋" w:eastAsia="仿宋" w:cs="仿宋"/>
          <w:b/>
          <w:bCs/>
          <w:color w:val="auto"/>
          <w:sz w:val="32"/>
          <w:szCs w:val="32"/>
          <w:highlight w:val="none"/>
        </w:rPr>
      </w:pPr>
    </w:p>
    <w:p w14:paraId="68AFC40C">
      <w:pPr>
        <w:snapToGrid w:val="0"/>
        <w:spacing w:before="120" w:beforeLines="50" w:after="50"/>
        <w:ind w:firstLine="64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技术文件</w:t>
      </w:r>
    </w:p>
    <w:p w14:paraId="71C59D82">
      <w:pPr>
        <w:snapToGrid w:val="0"/>
        <w:spacing w:before="120" w:beforeLines="50" w:after="50"/>
        <w:ind w:firstLine="482"/>
        <w:rPr>
          <w:rFonts w:hint="eastAsia" w:ascii="仿宋" w:hAnsi="仿宋" w:eastAsia="仿宋" w:cs="仿宋"/>
          <w:bCs/>
          <w:color w:val="auto"/>
          <w:sz w:val="24"/>
          <w:szCs w:val="20"/>
          <w:highlight w:val="none"/>
        </w:rPr>
      </w:pPr>
    </w:p>
    <w:p w14:paraId="3CC5C738">
      <w:pPr>
        <w:snapToGrid w:val="0"/>
        <w:spacing w:before="120" w:beforeLines="50" w:after="50" w:line="400" w:lineRule="exact"/>
        <w:ind w:firstLine="1680" w:firstLineChars="7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项目名称： </w:t>
      </w:r>
    </w:p>
    <w:p w14:paraId="5F6EE2C9">
      <w:pPr>
        <w:snapToGrid w:val="0"/>
        <w:spacing w:before="120" w:beforeLines="50" w:after="50" w:line="400" w:lineRule="exact"/>
        <w:ind w:firstLine="1680" w:firstLineChars="7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项目编号： </w:t>
      </w:r>
    </w:p>
    <w:p w14:paraId="25DB04E9">
      <w:pPr>
        <w:snapToGrid w:val="0"/>
        <w:spacing w:before="120" w:beforeLines="50" w:after="50" w:line="400" w:lineRule="exact"/>
        <w:ind w:firstLine="1680" w:firstLineChars="7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4CAB33EA">
      <w:pPr>
        <w:snapToGrid w:val="0"/>
        <w:spacing w:before="120" w:beforeLines="50" w:after="50" w:line="400" w:lineRule="exact"/>
        <w:ind w:firstLine="1680" w:firstLineChars="7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投标人地址：</w:t>
      </w:r>
    </w:p>
    <w:p w14:paraId="0862E282">
      <w:pPr>
        <w:snapToGrid w:val="0"/>
        <w:spacing w:before="120" w:beforeLines="50" w:after="50" w:line="400" w:lineRule="exact"/>
        <w:ind w:firstLine="360" w:firstLineChars="150"/>
        <w:rPr>
          <w:rFonts w:hint="eastAsia" w:ascii="仿宋" w:hAnsi="仿宋" w:eastAsia="仿宋" w:cs="仿宋"/>
          <w:bCs/>
          <w:color w:val="auto"/>
          <w:sz w:val="24"/>
          <w:highlight w:val="none"/>
        </w:rPr>
      </w:pPr>
    </w:p>
    <w:p w14:paraId="4F812942">
      <w:pPr>
        <w:snapToGrid w:val="0"/>
        <w:spacing w:before="120" w:beforeLines="50" w:after="50"/>
        <w:ind w:firstLine="48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ABA8DAA">
      <w:pPr>
        <w:snapToGrid w:val="0"/>
        <w:spacing w:before="120" w:beforeLines="50" w:after="50"/>
        <w:ind w:firstLine="482"/>
        <w:jc w:val="center"/>
        <w:rPr>
          <w:rFonts w:hint="eastAsia" w:ascii="仿宋" w:hAnsi="仿宋" w:eastAsia="仿宋" w:cs="仿宋"/>
          <w:color w:val="auto"/>
          <w:sz w:val="24"/>
          <w:highlight w:val="none"/>
        </w:rPr>
      </w:pPr>
    </w:p>
    <w:p w14:paraId="1B915994">
      <w:pPr>
        <w:snapToGrid w:val="0"/>
        <w:spacing w:before="120" w:beforeLines="50" w:after="50"/>
        <w:ind w:firstLine="48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EC9EF1E">
      <w:pPr>
        <w:snapToGrid w:val="0"/>
        <w:spacing w:before="120" w:beforeLines="50" w:after="50"/>
        <w:jc w:val="left"/>
        <w:rPr>
          <w:rFonts w:hint="eastAsia" w:ascii="仿宋" w:hAnsi="仿宋" w:eastAsia="仿宋" w:cs="仿宋"/>
          <w:b/>
          <w:bCs/>
          <w:color w:val="auto"/>
          <w:sz w:val="24"/>
          <w:highlight w:val="none"/>
        </w:rPr>
      </w:pPr>
    </w:p>
    <w:p w14:paraId="34E775E6">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2.技术文件目录</w:t>
      </w:r>
    </w:p>
    <w:p w14:paraId="148CFE35">
      <w:pPr>
        <w:ind w:firstLine="56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根据招标文件规定及投标人提供的材料自行编写目录。</w:t>
      </w:r>
    </w:p>
    <w:p w14:paraId="1839A79D">
      <w:pPr>
        <w:ind w:firstLine="560"/>
        <w:rPr>
          <w:rFonts w:hint="eastAsia" w:ascii="仿宋" w:hAnsi="仿宋" w:eastAsia="仿宋" w:cs="仿宋"/>
          <w:b/>
          <w:color w:val="auto"/>
          <w:sz w:val="28"/>
          <w:szCs w:val="28"/>
          <w:highlight w:val="none"/>
        </w:rPr>
      </w:pPr>
    </w:p>
    <w:p w14:paraId="0062AB6D">
      <w:pPr>
        <w:ind w:firstLine="56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3.</w:t>
      </w:r>
      <w:r>
        <w:rPr>
          <w:rFonts w:hint="eastAsia" w:ascii="仿宋" w:hAnsi="仿宋" w:eastAsia="仿宋" w:cs="仿宋"/>
          <w:b/>
          <w:color w:val="auto"/>
          <w:sz w:val="28"/>
          <w:szCs w:val="28"/>
          <w:highlight w:val="none"/>
          <w:lang w:eastAsia="zh-CN"/>
        </w:rPr>
        <w:t>技术要求偏离表</w:t>
      </w:r>
      <w:r>
        <w:rPr>
          <w:rFonts w:hint="eastAsia" w:ascii="仿宋" w:hAnsi="仿宋" w:eastAsia="仿宋" w:cs="仿宋"/>
          <w:b/>
          <w:color w:val="auto"/>
          <w:sz w:val="28"/>
          <w:szCs w:val="28"/>
          <w:highlight w:val="none"/>
        </w:rPr>
        <w:t>格式</w:t>
      </w:r>
    </w:p>
    <w:p w14:paraId="7408545B">
      <w:pPr>
        <w:snapToGrid w:val="0"/>
        <w:spacing w:before="120" w:beforeLines="50" w:after="50"/>
        <w:ind w:left="142" w:firstLine="480"/>
        <w:jc w:val="left"/>
        <w:rPr>
          <w:rFonts w:hint="eastAsia" w:ascii="仿宋" w:hAnsi="仿宋" w:eastAsia="仿宋" w:cs="仿宋"/>
          <w:b/>
          <w:color w:val="auto"/>
          <w:sz w:val="24"/>
          <w:highlight w:val="none"/>
        </w:rPr>
      </w:pPr>
    </w:p>
    <w:p w14:paraId="644A0C30">
      <w:pPr>
        <w:snapToGrid w:val="0"/>
        <w:ind w:left="643" w:hanging="643" w:hangingChars="20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技术要求偏离表</w:t>
      </w:r>
    </w:p>
    <w:p w14:paraId="593A538A">
      <w:pPr>
        <w:snapToGrid w:val="0"/>
        <w:spacing w:before="120" w:after="50"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68CE2CD">
      <w:pPr>
        <w:snapToGrid w:val="0"/>
        <w:spacing w:before="120" w:after="50" w:line="360" w:lineRule="auto"/>
        <w:ind w:firstLine="482"/>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3D0F5B94">
      <w:pPr>
        <w:ind w:firstLine="482"/>
        <w:rPr>
          <w:rFonts w:hint="eastAsia" w:ascii="仿宋" w:hAnsi="仿宋" w:eastAsia="仿宋" w:cs="仿宋"/>
          <w:color w:val="auto"/>
          <w:kern w:val="0"/>
          <w:sz w:val="24"/>
          <w:highlight w:val="none"/>
        </w:rPr>
      </w:pPr>
    </w:p>
    <w:tbl>
      <w:tblPr>
        <w:tblStyle w:val="41"/>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161"/>
        <w:gridCol w:w="1849"/>
        <w:gridCol w:w="2199"/>
        <w:gridCol w:w="1950"/>
      </w:tblGrid>
      <w:tr w14:paraId="7D6A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59" w:type="dxa"/>
            <w:vAlign w:val="center"/>
          </w:tcPr>
          <w:p w14:paraId="3EC5350F">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项号</w:t>
            </w:r>
          </w:p>
        </w:tc>
        <w:tc>
          <w:tcPr>
            <w:tcW w:w="2161" w:type="dxa"/>
            <w:vAlign w:val="center"/>
          </w:tcPr>
          <w:p w14:paraId="6F1BDB14">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1849" w:type="dxa"/>
            <w:vAlign w:val="center"/>
          </w:tcPr>
          <w:p w14:paraId="442CE836">
            <w:pPr>
              <w:snapToGrid w:val="0"/>
              <w:spacing w:before="120" w:beforeLines="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技术要求</w:t>
            </w:r>
          </w:p>
        </w:tc>
        <w:tc>
          <w:tcPr>
            <w:tcW w:w="2199" w:type="dxa"/>
            <w:vAlign w:val="center"/>
          </w:tcPr>
          <w:p w14:paraId="6A8470DC">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950" w:type="dxa"/>
            <w:vAlign w:val="center"/>
          </w:tcPr>
          <w:p w14:paraId="39E195C5">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7284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59" w:type="dxa"/>
          </w:tcPr>
          <w:p w14:paraId="1ED7496E">
            <w:pPr>
              <w:spacing w:line="600" w:lineRule="exact"/>
              <w:ind w:firstLine="482"/>
              <w:jc w:val="center"/>
              <w:rPr>
                <w:rFonts w:hint="eastAsia" w:ascii="仿宋" w:hAnsi="仿宋" w:eastAsia="仿宋" w:cs="仿宋"/>
                <w:color w:val="auto"/>
                <w:sz w:val="24"/>
                <w:highlight w:val="none"/>
              </w:rPr>
            </w:pPr>
          </w:p>
        </w:tc>
        <w:tc>
          <w:tcPr>
            <w:tcW w:w="2161" w:type="dxa"/>
            <w:vAlign w:val="center"/>
          </w:tcPr>
          <w:p w14:paraId="03921AD5">
            <w:pPr>
              <w:spacing w:line="600" w:lineRule="exact"/>
              <w:ind w:firstLine="482"/>
              <w:jc w:val="center"/>
              <w:rPr>
                <w:rFonts w:hint="eastAsia" w:ascii="仿宋" w:hAnsi="仿宋" w:eastAsia="仿宋" w:cs="仿宋"/>
                <w:color w:val="auto"/>
                <w:sz w:val="24"/>
                <w:highlight w:val="none"/>
              </w:rPr>
            </w:pPr>
          </w:p>
        </w:tc>
        <w:tc>
          <w:tcPr>
            <w:tcW w:w="1849" w:type="dxa"/>
            <w:vAlign w:val="center"/>
          </w:tcPr>
          <w:p w14:paraId="14E3D653">
            <w:pPr>
              <w:spacing w:line="600" w:lineRule="exact"/>
              <w:ind w:firstLine="482"/>
              <w:jc w:val="center"/>
              <w:rPr>
                <w:rFonts w:hint="eastAsia" w:ascii="仿宋" w:hAnsi="仿宋" w:eastAsia="仿宋" w:cs="仿宋"/>
                <w:color w:val="auto"/>
                <w:sz w:val="24"/>
                <w:highlight w:val="none"/>
              </w:rPr>
            </w:pPr>
          </w:p>
        </w:tc>
        <w:tc>
          <w:tcPr>
            <w:tcW w:w="2199" w:type="dxa"/>
            <w:vAlign w:val="center"/>
          </w:tcPr>
          <w:p w14:paraId="161773F1">
            <w:pPr>
              <w:spacing w:line="600" w:lineRule="exact"/>
              <w:ind w:firstLine="482"/>
              <w:jc w:val="center"/>
              <w:rPr>
                <w:rFonts w:hint="eastAsia" w:ascii="仿宋" w:hAnsi="仿宋" w:eastAsia="仿宋" w:cs="仿宋"/>
                <w:color w:val="auto"/>
                <w:sz w:val="24"/>
                <w:highlight w:val="none"/>
              </w:rPr>
            </w:pPr>
          </w:p>
        </w:tc>
        <w:tc>
          <w:tcPr>
            <w:tcW w:w="1950" w:type="dxa"/>
            <w:vAlign w:val="center"/>
          </w:tcPr>
          <w:p w14:paraId="1B5CD837">
            <w:pPr>
              <w:spacing w:line="600" w:lineRule="exact"/>
              <w:ind w:firstLine="482"/>
              <w:jc w:val="center"/>
              <w:rPr>
                <w:rFonts w:hint="eastAsia" w:ascii="仿宋" w:hAnsi="仿宋" w:eastAsia="仿宋" w:cs="仿宋"/>
                <w:color w:val="auto"/>
                <w:sz w:val="24"/>
                <w:highlight w:val="none"/>
              </w:rPr>
            </w:pPr>
          </w:p>
        </w:tc>
      </w:tr>
      <w:tr w14:paraId="078A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59" w:type="dxa"/>
          </w:tcPr>
          <w:p w14:paraId="20F41B52">
            <w:pPr>
              <w:spacing w:line="600" w:lineRule="exact"/>
              <w:ind w:firstLine="482"/>
              <w:rPr>
                <w:rFonts w:hint="eastAsia" w:ascii="仿宋" w:hAnsi="仿宋" w:eastAsia="仿宋" w:cs="仿宋"/>
                <w:color w:val="auto"/>
                <w:sz w:val="24"/>
                <w:highlight w:val="none"/>
              </w:rPr>
            </w:pPr>
          </w:p>
        </w:tc>
        <w:tc>
          <w:tcPr>
            <w:tcW w:w="2161" w:type="dxa"/>
          </w:tcPr>
          <w:p w14:paraId="6A8470E1">
            <w:pPr>
              <w:spacing w:line="600" w:lineRule="exact"/>
              <w:ind w:firstLine="482"/>
              <w:rPr>
                <w:rFonts w:hint="eastAsia" w:ascii="仿宋" w:hAnsi="仿宋" w:eastAsia="仿宋" w:cs="仿宋"/>
                <w:color w:val="auto"/>
                <w:sz w:val="24"/>
                <w:highlight w:val="none"/>
              </w:rPr>
            </w:pPr>
          </w:p>
        </w:tc>
        <w:tc>
          <w:tcPr>
            <w:tcW w:w="1849" w:type="dxa"/>
          </w:tcPr>
          <w:p w14:paraId="57ACBA8C">
            <w:pPr>
              <w:spacing w:line="600" w:lineRule="exact"/>
              <w:ind w:firstLine="482"/>
              <w:rPr>
                <w:rFonts w:hint="eastAsia" w:ascii="仿宋" w:hAnsi="仿宋" w:eastAsia="仿宋" w:cs="仿宋"/>
                <w:color w:val="auto"/>
                <w:sz w:val="24"/>
                <w:highlight w:val="none"/>
              </w:rPr>
            </w:pPr>
          </w:p>
        </w:tc>
        <w:tc>
          <w:tcPr>
            <w:tcW w:w="2199" w:type="dxa"/>
          </w:tcPr>
          <w:p w14:paraId="42D8E145">
            <w:pPr>
              <w:spacing w:line="600" w:lineRule="exact"/>
              <w:ind w:firstLine="482"/>
              <w:rPr>
                <w:rFonts w:hint="eastAsia" w:ascii="仿宋" w:hAnsi="仿宋" w:eastAsia="仿宋" w:cs="仿宋"/>
                <w:color w:val="auto"/>
                <w:sz w:val="24"/>
                <w:highlight w:val="none"/>
              </w:rPr>
            </w:pPr>
          </w:p>
        </w:tc>
        <w:tc>
          <w:tcPr>
            <w:tcW w:w="1950" w:type="dxa"/>
          </w:tcPr>
          <w:p w14:paraId="2ABC2A53">
            <w:pPr>
              <w:spacing w:line="600" w:lineRule="exact"/>
              <w:ind w:firstLine="482"/>
              <w:rPr>
                <w:rFonts w:hint="eastAsia" w:ascii="仿宋" w:hAnsi="仿宋" w:eastAsia="仿宋" w:cs="仿宋"/>
                <w:color w:val="auto"/>
                <w:sz w:val="24"/>
                <w:highlight w:val="none"/>
              </w:rPr>
            </w:pPr>
          </w:p>
        </w:tc>
      </w:tr>
      <w:tr w14:paraId="75CC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59" w:type="dxa"/>
          </w:tcPr>
          <w:p w14:paraId="6A19D1EA">
            <w:pPr>
              <w:spacing w:line="600" w:lineRule="exact"/>
              <w:ind w:firstLine="482"/>
              <w:rPr>
                <w:rFonts w:hint="eastAsia" w:ascii="仿宋" w:hAnsi="仿宋" w:eastAsia="仿宋" w:cs="仿宋"/>
                <w:color w:val="auto"/>
                <w:sz w:val="24"/>
                <w:highlight w:val="none"/>
              </w:rPr>
            </w:pPr>
          </w:p>
        </w:tc>
        <w:tc>
          <w:tcPr>
            <w:tcW w:w="2161" w:type="dxa"/>
          </w:tcPr>
          <w:p w14:paraId="03AE2A7B">
            <w:pPr>
              <w:spacing w:line="600" w:lineRule="exact"/>
              <w:ind w:firstLine="482"/>
              <w:rPr>
                <w:rFonts w:hint="eastAsia" w:ascii="仿宋" w:hAnsi="仿宋" w:eastAsia="仿宋" w:cs="仿宋"/>
                <w:color w:val="auto"/>
                <w:sz w:val="24"/>
                <w:highlight w:val="none"/>
              </w:rPr>
            </w:pPr>
          </w:p>
        </w:tc>
        <w:tc>
          <w:tcPr>
            <w:tcW w:w="1849" w:type="dxa"/>
          </w:tcPr>
          <w:p w14:paraId="075E80CE">
            <w:pPr>
              <w:spacing w:line="600" w:lineRule="exact"/>
              <w:ind w:firstLine="482"/>
              <w:rPr>
                <w:rFonts w:hint="eastAsia" w:ascii="仿宋" w:hAnsi="仿宋" w:eastAsia="仿宋" w:cs="仿宋"/>
                <w:color w:val="auto"/>
                <w:sz w:val="24"/>
                <w:highlight w:val="none"/>
              </w:rPr>
            </w:pPr>
          </w:p>
        </w:tc>
        <w:tc>
          <w:tcPr>
            <w:tcW w:w="2199" w:type="dxa"/>
          </w:tcPr>
          <w:p w14:paraId="6978BFB4">
            <w:pPr>
              <w:spacing w:line="600" w:lineRule="exact"/>
              <w:ind w:firstLine="482"/>
              <w:rPr>
                <w:rFonts w:hint="eastAsia" w:ascii="仿宋" w:hAnsi="仿宋" w:eastAsia="仿宋" w:cs="仿宋"/>
                <w:color w:val="auto"/>
                <w:sz w:val="24"/>
                <w:highlight w:val="none"/>
              </w:rPr>
            </w:pPr>
          </w:p>
        </w:tc>
        <w:tc>
          <w:tcPr>
            <w:tcW w:w="1950" w:type="dxa"/>
          </w:tcPr>
          <w:p w14:paraId="5C761419">
            <w:pPr>
              <w:spacing w:line="600" w:lineRule="exact"/>
              <w:ind w:firstLine="482"/>
              <w:rPr>
                <w:rFonts w:hint="eastAsia" w:ascii="仿宋" w:hAnsi="仿宋" w:eastAsia="仿宋" w:cs="仿宋"/>
                <w:color w:val="auto"/>
                <w:sz w:val="24"/>
                <w:highlight w:val="none"/>
              </w:rPr>
            </w:pPr>
          </w:p>
        </w:tc>
      </w:tr>
      <w:tr w14:paraId="5BD0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59" w:type="dxa"/>
          </w:tcPr>
          <w:p w14:paraId="0BDDBD01">
            <w:pPr>
              <w:spacing w:line="600" w:lineRule="exact"/>
              <w:ind w:firstLine="482"/>
              <w:rPr>
                <w:rFonts w:hint="eastAsia" w:ascii="仿宋" w:hAnsi="仿宋" w:eastAsia="仿宋" w:cs="仿宋"/>
                <w:color w:val="auto"/>
                <w:sz w:val="24"/>
                <w:highlight w:val="none"/>
              </w:rPr>
            </w:pPr>
          </w:p>
        </w:tc>
        <w:tc>
          <w:tcPr>
            <w:tcW w:w="2161" w:type="dxa"/>
          </w:tcPr>
          <w:p w14:paraId="65F1B0F4">
            <w:pPr>
              <w:spacing w:line="600" w:lineRule="exact"/>
              <w:ind w:firstLine="482"/>
              <w:rPr>
                <w:rFonts w:hint="eastAsia" w:ascii="仿宋" w:hAnsi="仿宋" w:eastAsia="仿宋" w:cs="仿宋"/>
                <w:color w:val="auto"/>
                <w:sz w:val="24"/>
                <w:highlight w:val="none"/>
              </w:rPr>
            </w:pPr>
          </w:p>
        </w:tc>
        <w:tc>
          <w:tcPr>
            <w:tcW w:w="1849" w:type="dxa"/>
          </w:tcPr>
          <w:p w14:paraId="0A01CB29">
            <w:pPr>
              <w:spacing w:line="600" w:lineRule="exact"/>
              <w:ind w:firstLine="482"/>
              <w:rPr>
                <w:rFonts w:hint="eastAsia" w:ascii="仿宋" w:hAnsi="仿宋" w:eastAsia="仿宋" w:cs="仿宋"/>
                <w:color w:val="auto"/>
                <w:sz w:val="24"/>
                <w:highlight w:val="none"/>
              </w:rPr>
            </w:pPr>
          </w:p>
        </w:tc>
        <w:tc>
          <w:tcPr>
            <w:tcW w:w="2199" w:type="dxa"/>
          </w:tcPr>
          <w:p w14:paraId="53567D0E">
            <w:pPr>
              <w:spacing w:line="600" w:lineRule="exact"/>
              <w:ind w:firstLine="482"/>
              <w:rPr>
                <w:rFonts w:hint="eastAsia" w:ascii="仿宋" w:hAnsi="仿宋" w:eastAsia="仿宋" w:cs="仿宋"/>
                <w:color w:val="auto"/>
                <w:sz w:val="24"/>
                <w:highlight w:val="none"/>
              </w:rPr>
            </w:pPr>
          </w:p>
        </w:tc>
        <w:tc>
          <w:tcPr>
            <w:tcW w:w="1950" w:type="dxa"/>
          </w:tcPr>
          <w:p w14:paraId="2F84BD16">
            <w:pPr>
              <w:spacing w:line="600" w:lineRule="exact"/>
              <w:ind w:firstLine="482"/>
              <w:rPr>
                <w:rFonts w:hint="eastAsia" w:ascii="仿宋" w:hAnsi="仿宋" w:eastAsia="仿宋" w:cs="仿宋"/>
                <w:color w:val="auto"/>
                <w:sz w:val="24"/>
                <w:highlight w:val="none"/>
              </w:rPr>
            </w:pPr>
          </w:p>
        </w:tc>
      </w:tr>
      <w:tr w14:paraId="21C8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59" w:type="dxa"/>
          </w:tcPr>
          <w:p w14:paraId="0D63F9BD">
            <w:pPr>
              <w:spacing w:line="600" w:lineRule="exact"/>
              <w:ind w:firstLine="482"/>
              <w:rPr>
                <w:rFonts w:hint="eastAsia" w:ascii="仿宋" w:hAnsi="仿宋" w:eastAsia="仿宋" w:cs="仿宋"/>
                <w:color w:val="auto"/>
                <w:sz w:val="24"/>
                <w:highlight w:val="none"/>
              </w:rPr>
            </w:pPr>
          </w:p>
        </w:tc>
        <w:tc>
          <w:tcPr>
            <w:tcW w:w="2161" w:type="dxa"/>
          </w:tcPr>
          <w:p w14:paraId="71E7E254">
            <w:pPr>
              <w:spacing w:line="600" w:lineRule="exact"/>
              <w:ind w:firstLine="482"/>
              <w:rPr>
                <w:rFonts w:hint="eastAsia" w:ascii="仿宋" w:hAnsi="仿宋" w:eastAsia="仿宋" w:cs="仿宋"/>
                <w:color w:val="auto"/>
                <w:sz w:val="24"/>
                <w:highlight w:val="none"/>
              </w:rPr>
            </w:pPr>
          </w:p>
        </w:tc>
        <w:tc>
          <w:tcPr>
            <w:tcW w:w="1849" w:type="dxa"/>
          </w:tcPr>
          <w:p w14:paraId="2419F58A">
            <w:pPr>
              <w:spacing w:line="600" w:lineRule="exact"/>
              <w:ind w:firstLine="482"/>
              <w:rPr>
                <w:rFonts w:hint="eastAsia" w:ascii="仿宋" w:hAnsi="仿宋" w:eastAsia="仿宋" w:cs="仿宋"/>
                <w:color w:val="auto"/>
                <w:sz w:val="24"/>
                <w:highlight w:val="none"/>
              </w:rPr>
            </w:pPr>
          </w:p>
        </w:tc>
        <w:tc>
          <w:tcPr>
            <w:tcW w:w="2199" w:type="dxa"/>
          </w:tcPr>
          <w:p w14:paraId="7BCBAC93">
            <w:pPr>
              <w:spacing w:line="600" w:lineRule="exact"/>
              <w:ind w:firstLine="482"/>
              <w:rPr>
                <w:rFonts w:hint="eastAsia" w:ascii="仿宋" w:hAnsi="仿宋" w:eastAsia="仿宋" w:cs="仿宋"/>
                <w:color w:val="auto"/>
                <w:sz w:val="24"/>
                <w:highlight w:val="none"/>
              </w:rPr>
            </w:pPr>
          </w:p>
        </w:tc>
        <w:tc>
          <w:tcPr>
            <w:tcW w:w="1950" w:type="dxa"/>
          </w:tcPr>
          <w:p w14:paraId="6D4A9143">
            <w:pPr>
              <w:spacing w:line="600" w:lineRule="exact"/>
              <w:ind w:firstLine="482"/>
              <w:rPr>
                <w:rFonts w:hint="eastAsia" w:ascii="仿宋" w:hAnsi="仿宋" w:eastAsia="仿宋" w:cs="仿宋"/>
                <w:color w:val="auto"/>
                <w:sz w:val="24"/>
                <w:highlight w:val="none"/>
              </w:rPr>
            </w:pPr>
          </w:p>
        </w:tc>
      </w:tr>
      <w:tr w14:paraId="7B75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59" w:type="dxa"/>
          </w:tcPr>
          <w:p w14:paraId="4131E967">
            <w:pPr>
              <w:spacing w:line="600" w:lineRule="exact"/>
              <w:ind w:firstLine="482"/>
              <w:rPr>
                <w:rFonts w:hint="eastAsia" w:ascii="仿宋" w:hAnsi="仿宋" w:eastAsia="仿宋" w:cs="仿宋"/>
                <w:color w:val="auto"/>
                <w:sz w:val="24"/>
                <w:highlight w:val="none"/>
              </w:rPr>
            </w:pPr>
          </w:p>
        </w:tc>
        <w:tc>
          <w:tcPr>
            <w:tcW w:w="2161" w:type="dxa"/>
          </w:tcPr>
          <w:p w14:paraId="0D9B7633">
            <w:pPr>
              <w:spacing w:line="600" w:lineRule="exact"/>
              <w:ind w:firstLine="482"/>
              <w:rPr>
                <w:rFonts w:hint="eastAsia" w:ascii="仿宋" w:hAnsi="仿宋" w:eastAsia="仿宋" w:cs="仿宋"/>
                <w:color w:val="auto"/>
                <w:sz w:val="24"/>
                <w:highlight w:val="none"/>
              </w:rPr>
            </w:pPr>
          </w:p>
        </w:tc>
        <w:tc>
          <w:tcPr>
            <w:tcW w:w="1849" w:type="dxa"/>
          </w:tcPr>
          <w:p w14:paraId="631762E7">
            <w:pPr>
              <w:spacing w:line="600" w:lineRule="exact"/>
              <w:ind w:firstLine="482"/>
              <w:rPr>
                <w:rFonts w:hint="eastAsia" w:ascii="仿宋" w:hAnsi="仿宋" w:eastAsia="仿宋" w:cs="仿宋"/>
                <w:color w:val="auto"/>
                <w:sz w:val="24"/>
                <w:highlight w:val="none"/>
              </w:rPr>
            </w:pPr>
          </w:p>
        </w:tc>
        <w:tc>
          <w:tcPr>
            <w:tcW w:w="2199" w:type="dxa"/>
          </w:tcPr>
          <w:p w14:paraId="28468E8E">
            <w:pPr>
              <w:spacing w:line="600" w:lineRule="exact"/>
              <w:ind w:firstLine="482"/>
              <w:rPr>
                <w:rFonts w:hint="eastAsia" w:ascii="仿宋" w:hAnsi="仿宋" w:eastAsia="仿宋" w:cs="仿宋"/>
                <w:color w:val="auto"/>
                <w:sz w:val="24"/>
                <w:highlight w:val="none"/>
              </w:rPr>
            </w:pPr>
          </w:p>
        </w:tc>
        <w:tc>
          <w:tcPr>
            <w:tcW w:w="1950" w:type="dxa"/>
          </w:tcPr>
          <w:p w14:paraId="25E25F86">
            <w:pPr>
              <w:spacing w:line="600" w:lineRule="exact"/>
              <w:ind w:firstLine="482"/>
              <w:rPr>
                <w:rFonts w:hint="eastAsia" w:ascii="仿宋" w:hAnsi="仿宋" w:eastAsia="仿宋" w:cs="仿宋"/>
                <w:color w:val="auto"/>
                <w:sz w:val="24"/>
                <w:highlight w:val="none"/>
              </w:rPr>
            </w:pPr>
          </w:p>
        </w:tc>
      </w:tr>
      <w:tr w14:paraId="484F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59" w:type="dxa"/>
          </w:tcPr>
          <w:p w14:paraId="0DEBEFB2">
            <w:pPr>
              <w:spacing w:line="600" w:lineRule="exact"/>
              <w:ind w:firstLine="482"/>
              <w:rPr>
                <w:rFonts w:hint="eastAsia" w:ascii="仿宋" w:hAnsi="仿宋" w:eastAsia="仿宋" w:cs="仿宋"/>
                <w:color w:val="auto"/>
                <w:sz w:val="24"/>
                <w:highlight w:val="none"/>
              </w:rPr>
            </w:pPr>
          </w:p>
        </w:tc>
        <w:tc>
          <w:tcPr>
            <w:tcW w:w="2161" w:type="dxa"/>
          </w:tcPr>
          <w:p w14:paraId="2D5EF6EB">
            <w:pPr>
              <w:spacing w:line="600" w:lineRule="exact"/>
              <w:ind w:firstLine="482"/>
              <w:rPr>
                <w:rFonts w:hint="eastAsia" w:ascii="仿宋" w:hAnsi="仿宋" w:eastAsia="仿宋" w:cs="仿宋"/>
                <w:color w:val="auto"/>
                <w:sz w:val="24"/>
                <w:highlight w:val="none"/>
              </w:rPr>
            </w:pPr>
          </w:p>
        </w:tc>
        <w:tc>
          <w:tcPr>
            <w:tcW w:w="1849" w:type="dxa"/>
          </w:tcPr>
          <w:p w14:paraId="7FA3696C">
            <w:pPr>
              <w:spacing w:line="600" w:lineRule="exact"/>
              <w:ind w:firstLine="482"/>
              <w:rPr>
                <w:rFonts w:hint="eastAsia" w:ascii="仿宋" w:hAnsi="仿宋" w:eastAsia="仿宋" w:cs="仿宋"/>
                <w:color w:val="auto"/>
                <w:sz w:val="24"/>
                <w:highlight w:val="none"/>
              </w:rPr>
            </w:pPr>
          </w:p>
        </w:tc>
        <w:tc>
          <w:tcPr>
            <w:tcW w:w="2199" w:type="dxa"/>
          </w:tcPr>
          <w:p w14:paraId="342CE2AA">
            <w:pPr>
              <w:spacing w:line="600" w:lineRule="exact"/>
              <w:ind w:firstLine="482"/>
              <w:rPr>
                <w:rFonts w:hint="eastAsia" w:ascii="仿宋" w:hAnsi="仿宋" w:eastAsia="仿宋" w:cs="仿宋"/>
                <w:color w:val="auto"/>
                <w:sz w:val="24"/>
                <w:highlight w:val="none"/>
              </w:rPr>
            </w:pPr>
          </w:p>
        </w:tc>
        <w:tc>
          <w:tcPr>
            <w:tcW w:w="1950" w:type="dxa"/>
          </w:tcPr>
          <w:p w14:paraId="5325B4E6">
            <w:pPr>
              <w:spacing w:line="600" w:lineRule="exact"/>
              <w:ind w:firstLine="482"/>
              <w:rPr>
                <w:rFonts w:hint="eastAsia" w:ascii="仿宋" w:hAnsi="仿宋" w:eastAsia="仿宋" w:cs="仿宋"/>
                <w:color w:val="auto"/>
                <w:sz w:val="24"/>
                <w:highlight w:val="none"/>
              </w:rPr>
            </w:pPr>
          </w:p>
        </w:tc>
      </w:tr>
    </w:tbl>
    <w:p w14:paraId="71FEDE7A">
      <w:pPr>
        <w:spacing w:line="360" w:lineRule="auto"/>
        <w:ind w:firstLine="480"/>
        <w:contextualSpacing/>
        <w:rPr>
          <w:rFonts w:hint="eastAsia" w:ascii="仿宋" w:hAnsi="仿宋" w:eastAsia="仿宋" w:cs="仿宋"/>
          <w:b/>
          <w:bCs/>
          <w:color w:val="auto"/>
          <w:kern w:val="0"/>
          <w:sz w:val="24"/>
          <w:highlight w:val="none"/>
        </w:rPr>
      </w:pPr>
    </w:p>
    <w:p w14:paraId="04C254F0">
      <w:pPr>
        <w:spacing w:line="360" w:lineRule="auto"/>
        <w:ind w:firstLine="480"/>
        <w:contextualSpacing/>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注：</w:t>
      </w:r>
    </w:p>
    <w:p w14:paraId="071BEEF2">
      <w:pPr>
        <w:spacing w:line="360" w:lineRule="auto"/>
        <w:ind w:firstLine="480" w:firstLineChars="200"/>
        <w:contextualSpacing/>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24"/>
          <w:highlight w:val="none"/>
        </w:rPr>
        <w:t>1.说明：应对照招标文件“第二章 采购需求”中的服务内容和要求逐条作明确的投标响应，并作出偏离说明。</w:t>
      </w:r>
    </w:p>
    <w:p w14:paraId="2E6D5B10">
      <w:pPr>
        <w:spacing w:line="360" w:lineRule="auto"/>
        <w:ind w:firstLine="480" w:firstLineChars="200"/>
        <w:contextualSpacing/>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2.投标人应根据自身的承诺，对照招标文件要求，在“偏离说明”中注明“</w:t>
      </w:r>
      <w:r>
        <w:rPr>
          <w:rFonts w:hint="eastAsia" w:ascii="仿宋" w:hAnsi="仿宋" w:eastAsia="仿宋" w:cs="仿宋"/>
          <w:b/>
          <w:bCs/>
          <w:color w:val="auto"/>
          <w:kern w:val="0"/>
          <w:sz w:val="24"/>
          <w:highlight w:val="none"/>
        </w:rPr>
        <w:t>正偏离</w:t>
      </w:r>
      <w:r>
        <w:rPr>
          <w:rFonts w:hint="eastAsia" w:ascii="仿宋" w:hAnsi="仿宋" w:eastAsia="仿宋" w:cs="仿宋"/>
          <w:color w:val="auto"/>
          <w:kern w:val="0"/>
          <w:sz w:val="24"/>
          <w:highlight w:val="none"/>
        </w:rPr>
        <w:t>”、“</w:t>
      </w:r>
      <w:r>
        <w:rPr>
          <w:rFonts w:hint="eastAsia" w:ascii="仿宋" w:hAnsi="仿宋" w:eastAsia="仿宋" w:cs="仿宋"/>
          <w:b/>
          <w:bCs/>
          <w:color w:val="auto"/>
          <w:kern w:val="0"/>
          <w:sz w:val="24"/>
          <w:highlight w:val="none"/>
        </w:rPr>
        <w:t>负偏离</w:t>
      </w:r>
      <w:r>
        <w:rPr>
          <w:rFonts w:hint="eastAsia" w:ascii="仿宋" w:hAnsi="仿宋" w:eastAsia="仿宋" w:cs="仿宋"/>
          <w:color w:val="auto"/>
          <w:kern w:val="0"/>
          <w:sz w:val="24"/>
          <w:highlight w:val="none"/>
        </w:rPr>
        <w:t>”或者“</w:t>
      </w:r>
      <w:r>
        <w:rPr>
          <w:rFonts w:hint="eastAsia" w:ascii="仿宋" w:hAnsi="仿宋" w:eastAsia="仿宋" w:cs="仿宋"/>
          <w:b/>
          <w:bCs/>
          <w:color w:val="auto"/>
          <w:kern w:val="0"/>
          <w:sz w:val="24"/>
          <w:highlight w:val="none"/>
        </w:rPr>
        <w:t>无偏离</w:t>
      </w:r>
      <w:r>
        <w:rPr>
          <w:rFonts w:hint="eastAsia" w:ascii="仿宋" w:hAnsi="仿宋" w:eastAsia="仿宋" w:cs="仿宋"/>
          <w:color w:val="auto"/>
          <w:kern w:val="0"/>
          <w:sz w:val="24"/>
          <w:highlight w:val="none"/>
        </w:rPr>
        <w:t>”。既不属于“</w:t>
      </w:r>
      <w:r>
        <w:rPr>
          <w:rFonts w:hint="eastAsia" w:ascii="仿宋" w:hAnsi="仿宋" w:eastAsia="仿宋" w:cs="仿宋"/>
          <w:b/>
          <w:bCs/>
          <w:color w:val="auto"/>
          <w:kern w:val="0"/>
          <w:sz w:val="24"/>
          <w:highlight w:val="none"/>
        </w:rPr>
        <w:t>正偏离</w:t>
      </w:r>
      <w:r>
        <w:rPr>
          <w:rFonts w:hint="eastAsia" w:ascii="仿宋" w:hAnsi="仿宋" w:eastAsia="仿宋" w:cs="仿宋"/>
          <w:color w:val="auto"/>
          <w:kern w:val="0"/>
          <w:sz w:val="24"/>
          <w:highlight w:val="none"/>
        </w:rPr>
        <w:t>”也不属于“</w:t>
      </w:r>
      <w:r>
        <w:rPr>
          <w:rFonts w:hint="eastAsia" w:ascii="仿宋" w:hAnsi="仿宋" w:eastAsia="仿宋" w:cs="仿宋"/>
          <w:b/>
          <w:bCs/>
          <w:color w:val="auto"/>
          <w:kern w:val="0"/>
          <w:sz w:val="24"/>
          <w:highlight w:val="none"/>
        </w:rPr>
        <w:t>负偏离</w:t>
      </w:r>
      <w:r>
        <w:rPr>
          <w:rFonts w:hint="eastAsia" w:ascii="仿宋" w:hAnsi="仿宋" w:eastAsia="仿宋" w:cs="仿宋"/>
          <w:color w:val="auto"/>
          <w:kern w:val="0"/>
          <w:sz w:val="24"/>
          <w:highlight w:val="none"/>
        </w:rPr>
        <w:t>”即为“</w:t>
      </w:r>
      <w:r>
        <w:rPr>
          <w:rFonts w:hint="eastAsia" w:ascii="仿宋" w:hAnsi="仿宋" w:eastAsia="仿宋" w:cs="仿宋"/>
          <w:b/>
          <w:bCs/>
          <w:color w:val="auto"/>
          <w:kern w:val="0"/>
          <w:sz w:val="24"/>
          <w:highlight w:val="none"/>
        </w:rPr>
        <w:t>无偏离</w:t>
      </w:r>
      <w:r>
        <w:rPr>
          <w:rFonts w:hint="eastAsia" w:ascii="仿宋" w:hAnsi="仿宋" w:eastAsia="仿宋" w:cs="仿宋"/>
          <w:color w:val="auto"/>
          <w:kern w:val="0"/>
          <w:sz w:val="24"/>
          <w:highlight w:val="none"/>
        </w:rPr>
        <w:t>”。</w:t>
      </w:r>
    </w:p>
    <w:p w14:paraId="094C1BCD">
      <w:pPr>
        <w:spacing w:line="360" w:lineRule="auto"/>
        <w:ind w:firstLine="560"/>
        <w:contextualSpacing/>
        <w:rPr>
          <w:rFonts w:hint="eastAsia" w:ascii="仿宋" w:hAnsi="仿宋" w:eastAsia="仿宋" w:cs="仿宋"/>
          <w:b/>
          <w:bCs/>
          <w:color w:val="auto"/>
          <w:spacing w:val="20"/>
          <w:kern w:val="0"/>
          <w:sz w:val="24"/>
          <w:highlight w:val="none"/>
        </w:rPr>
      </w:pPr>
    </w:p>
    <w:p w14:paraId="15FBD57D">
      <w:pPr>
        <w:spacing w:line="360" w:lineRule="auto"/>
        <w:ind w:firstLine="1680" w:firstLineChars="700"/>
        <w:contextualSpacing/>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1874D708">
      <w:pPr>
        <w:spacing w:line="360" w:lineRule="auto"/>
        <w:ind w:firstLine="1680" w:firstLineChars="600"/>
        <w:contextualSpacing/>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投标人名称（公章）：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41314D9C">
      <w:pPr>
        <w:spacing w:line="360" w:lineRule="auto"/>
        <w:ind w:firstLine="1680" w:firstLineChars="600"/>
        <w:contextualSpacing/>
        <w:rPr>
          <w:rFonts w:hint="eastAsia"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年</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月</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日</w:t>
      </w:r>
    </w:p>
    <w:p w14:paraId="28ECA70C">
      <w:pPr>
        <w:spacing w:line="360" w:lineRule="auto"/>
        <w:ind w:firstLine="482"/>
        <w:contextualSpacing/>
        <w:rPr>
          <w:rFonts w:hint="eastAsia" w:ascii="仿宋" w:hAnsi="仿宋" w:eastAsia="仿宋" w:cs="仿宋"/>
          <w:color w:val="auto"/>
          <w:sz w:val="24"/>
          <w:szCs w:val="20"/>
          <w:highlight w:val="none"/>
        </w:rPr>
      </w:pPr>
    </w:p>
    <w:p w14:paraId="4E852E7E">
      <w:pPr>
        <w:snapToGrid w:val="0"/>
        <w:spacing w:before="120" w:beforeLines="50" w:after="50"/>
        <w:ind w:left="142"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4.项目实施人员一览表格式</w:t>
      </w:r>
    </w:p>
    <w:p w14:paraId="6919DF16">
      <w:pPr>
        <w:snapToGrid w:val="0"/>
        <w:spacing w:before="120" w:beforeLines="50" w:after="50"/>
        <w:ind w:left="142" w:firstLine="480"/>
        <w:jc w:val="left"/>
        <w:rPr>
          <w:rFonts w:hint="eastAsia" w:ascii="仿宋" w:hAnsi="仿宋" w:eastAsia="仿宋" w:cs="仿宋"/>
          <w:b/>
          <w:color w:val="auto"/>
          <w:sz w:val="24"/>
          <w:highlight w:val="none"/>
        </w:rPr>
      </w:pPr>
    </w:p>
    <w:p w14:paraId="707553CD">
      <w:pPr>
        <w:snapToGrid w:val="0"/>
        <w:spacing w:before="120" w:beforeLines="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项目实施人员一览表</w:t>
      </w:r>
    </w:p>
    <w:p w14:paraId="116E2D20">
      <w:pPr>
        <w:snapToGrid w:val="0"/>
        <w:spacing w:before="120" w:after="50"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7268198">
      <w:pPr>
        <w:snapToGrid w:val="0"/>
        <w:spacing w:before="120" w:after="50" w:line="360" w:lineRule="auto"/>
        <w:ind w:firstLine="482"/>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08C9207B">
      <w:pPr>
        <w:ind w:firstLine="482"/>
        <w:rPr>
          <w:rFonts w:hint="eastAsia" w:ascii="仿宋" w:hAnsi="仿宋" w:eastAsia="仿宋" w:cs="仿宋"/>
          <w:color w:val="auto"/>
          <w:kern w:val="0"/>
          <w:sz w:val="24"/>
          <w:highlight w:val="none"/>
        </w:rPr>
      </w:pP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223"/>
        <w:gridCol w:w="4647"/>
        <w:gridCol w:w="1779"/>
      </w:tblGrid>
      <w:tr w14:paraId="6798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Align w:val="center"/>
          </w:tcPr>
          <w:p w14:paraId="17462992">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675" w:type="pct"/>
            <w:vAlign w:val="center"/>
          </w:tcPr>
          <w:p w14:paraId="2F03D61A">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2564" w:type="pct"/>
            <w:vAlign w:val="center"/>
          </w:tcPr>
          <w:p w14:paraId="6C10F2C5">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专业技术资格（职称）或者职业资格或者执业资格证或者其他证书</w:t>
            </w:r>
          </w:p>
        </w:tc>
        <w:tc>
          <w:tcPr>
            <w:tcW w:w="982" w:type="pct"/>
            <w:vAlign w:val="center"/>
          </w:tcPr>
          <w:p w14:paraId="28E0C635">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r>
      <w:tr w14:paraId="7735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Align w:val="center"/>
          </w:tcPr>
          <w:p w14:paraId="53A7171D">
            <w:pPr>
              <w:snapToGrid w:val="0"/>
              <w:spacing w:before="120" w:after="120" w:afterLines="50"/>
              <w:ind w:firstLine="482"/>
              <w:jc w:val="center"/>
              <w:rPr>
                <w:rFonts w:hint="eastAsia" w:ascii="仿宋" w:hAnsi="仿宋" w:eastAsia="仿宋" w:cs="仿宋"/>
                <w:color w:val="auto"/>
                <w:sz w:val="24"/>
                <w:szCs w:val="20"/>
                <w:highlight w:val="none"/>
              </w:rPr>
            </w:pPr>
          </w:p>
        </w:tc>
        <w:tc>
          <w:tcPr>
            <w:tcW w:w="675" w:type="pct"/>
            <w:vAlign w:val="center"/>
          </w:tcPr>
          <w:p w14:paraId="0DA7B9AC">
            <w:pPr>
              <w:snapToGrid w:val="0"/>
              <w:spacing w:before="120" w:after="120" w:afterLines="50"/>
              <w:ind w:firstLine="482"/>
              <w:jc w:val="center"/>
              <w:rPr>
                <w:rFonts w:hint="eastAsia" w:ascii="仿宋" w:hAnsi="仿宋" w:eastAsia="仿宋" w:cs="仿宋"/>
                <w:color w:val="auto"/>
                <w:sz w:val="24"/>
                <w:szCs w:val="20"/>
                <w:highlight w:val="none"/>
              </w:rPr>
            </w:pPr>
          </w:p>
        </w:tc>
        <w:tc>
          <w:tcPr>
            <w:tcW w:w="2564" w:type="pct"/>
            <w:vAlign w:val="center"/>
          </w:tcPr>
          <w:p w14:paraId="72CA3069">
            <w:pPr>
              <w:snapToGrid w:val="0"/>
              <w:spacing w:before="120" w:after="120" w:afterLines="50"/>
              <w:ind w:firstLine="482"/>
              <w:jc w:val="center"/>
              <w:rPr>
                <w:rFonts w:hint="eastAsia" w:ascii="仿宋" w:hAnsi="仿宋" w:eastAsia="仿宋" w:cs="仿宋"/>
                <w:color w:val="auto"/>
                <w:sz w:val="24"/>
                <w:szCs w:val="20"/>
                <w:highlight w:val="none"/>
              </w:rPr>
            </w:pPr>
          </w:p>
        </w:tc>
        <w:tc>
          <w:tcPr>
            <w:tcW w:w="982" w:type="pct"/>
            <w:vAlign w:val="center"/>
          </w:tcPr>
          <w:p w14:paraId="68BFC834">
            <w:pPr>
              <w:snapToGrid w:val="0"/>
              <w:spacing w:before="120" w:after="120" w:afterLines="50"/>
              <w:ind w:firstLine="482"/>
              <w:jc w:val="center"/>
              <w:rPr>
                <w:rFonts w:hint="eastAsia" w:ascii="仿宋" w:hAnsi="仿宋" w:eastAsia="仿宋" w:cs="仿宋"/>
                <w:color w:val="auto"/>
                <w:sz w:val="24"/>
                <w:szCs w:val="20"/>
                <w:highlight w:val="none"/>
              </w:rPr>
            </w:pPr>
          </w:p>
        </w:tc>
      </w:tr>
      <w:tr w14:paraId="5AFD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Align w:val="center"/>
          </w:tcPr>
          <w:p w14:paraId="70B1C27B">
            <w:pPr>
              <w:snapToGrid w:val="0"/>
              <w:spacing w:before="120" w:after="120" w:afterLines="50"/>
              <w:ind w:firstLine="482"/>
              <w:jc w:val="center"/>
              <w:rPr>
                <w:rFonts w:hint="eastAsia" w:ascii="仿宋" w:hAnsi="仿宋" w:eastAsia="仿宋" w:cs="仿宋"/>
                <w:color w:val="auto"/>
                <w:sz w:val="24"/>
                <w:szCs w:val="20"/>
                <w:highlight w:val="none"/>
              </w:rPr>
            </w:pPr>
          </w:p>
        </w:tc>
        <w:tc>
          <w:tcPr>
            <w:tcW w:w="675" w:type="pct"/>
            <w:vAlign w:val="center"/>
          </w:tcPr>
          <w:p w14:paraId="280D7787">
            <w:pPr>
              <w:snapToGrid w:val="0"/>
              <w:spacing w:before="120" w:after="120" w:afterLines="50"/>
              <w:ind w:firstLine="482"/>
              <w:jc w:val="center"/>
              <w:rPr>
                <w:rFonts w:hint="eastAsia" w:ascii="仿宋" w:hAnsi="仿宋" w:eastAsia="仿宋" w:cs="仿宋"/>
                <w:color w:val="auto"/>
                <w:sz w:val="24"/>
                <w:szCs w:val="20"/>
                <w:highlight w:val="none"/>
              </w:rPr>
            </w:pPr>
          </w:p>
        </w:tc>
        <w:tc>
          <w:tcPr>
            <w:tcW w:w="2564" w:type="pct"/>
            <w:vAlign w:val="center"/>
          </w:tcPr>
          <w:p w14:paraId="341A3BFF">
            <w:pPr>
              <w:snapToGrid w:val="0"/>
              <w:spacing w:before="120" w:after="120" w:afterLines="50"/>
              <w:ind w:firstLine="482"/>
              <w:jc w:val="center"/>
              <w:rPr>
                <w:rFonts w:hint="eastAsia" w:ascii="仿宋" w:hAnsi="仿宋" w:eastAsia="仿宋" w:cs="仿宋"/>
                <w:color w:val="auto"/>
                <w:sz w:val="24"/>
                <w:szCs w:val="20"/>
                <w:highlight w:val="none"/>
              </w:rPr>
            </w:pPr>
          </w:p>
        </w:tc>
        <w:tc>
          <w:tcPr>
            <w:tcW w:w="982" w:type="pct"/>
            <w:vAlign w:val="center"/>
          </w:tcPr>
          <w:p w14:paraId="59600277">
            <w:pPr>
              <w:snapToGrid w:val="0"/>
              <w:spacing w:before="120" w:after="120" w:afterLines="50"/>
              <w:ind w:firstLine="482"/>
              <w:jc w:val="center"/>
              <w:rPr>
                <w:rFonts w:hint="eastAsia" w:ascii="仿宋" w:hAnsi="仿宋" w:eastAsia="仿宋" w:cs="仿宋"/>
                <w:color w:val="auto"/>
                <w:sz w:val="24"/>
                <w:szCs w:val="20"/>
                <w:highlight w:val="none"/>
              </w:rPr>
            </w:pPr>
          </w:p>
        </w:tc>
      </w:tr>
      <w:tr w14:paraId="55E7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Align w:val="center"/>
          </w:tcPr>
          <w:p w14:paraId="746B591A">
            <w:pPr>
              <w:snapToGrid w:val="0"/>
              <w:spacing w:before="120" w:after="120" w:afterLines="50"/>
              <w:ind w:firstLine="482"/>
              <w:jc w:val="center"/>
              <w:rPr>
                <w:rFonts w:hint="eastAsia" w:ascii="仿宋" w:hAnsi="仿宋" w:eastAsia="仿宋" w:cs="仿宋"/>
                <w:color w:val="auto"/>
                <w:sz w:val="24"/>
                <w:szCs w:val="20"/>
                <w:highlight w:val="none"/>
              </w:rPr>
            </w:pPr>
          </w:p>
        </w:tc>
        <w:tc>
          <w:tcPr>
            <w:tcW w:w="675" w:type="pct"/>
            <w:vAlign w:val="center"/>
          </w:tcPr>
          <w:p w14:paraId="387D6BB4">
            <w:pPr>
              <w:snapToGrid w:val="0"/>
              <w:spacing w:before="120" w:after="120" w:afterLines="50"/>
              <w:ind w:firstLine="482"/>
              <w:jc w:val="center"/>
              <w:rPr>
                <w:rFonts w:hint="eastAsia" w:ascii="仿宋" w:hAnsi="仿宋" w:eastAsia="仿宋" w:cs="仿宋"/>
                <w:color w:val="auto"/>
                <w:sz w:val="24"/>
                <w:szCs w:val="20"/>
                <w:highlight w:val="none"/>
              </w:rPr>
            </w:pPr>
          </w:p>
        </w:tc>
        <w:tc>
          <w:tcPr>
            <w:tcW w:w="2564" w:type="pct"/>
            <w:vAlign w:val="center"/>
          </w:tcPr>
          <w:p w14:paraId="791AC833">
            <w:pPr>
              <w:snapToGrid w:val="0"/>
              <w:spacing w:before="120" w:after="120" w:afterLines="50"/>
              <w:ind w:firstLine="482"/>
              <w:jc w:val="center"/>
              <w:rPr>
                <w:rFonts w:hint="eastAsia" w:ascii="仿宋" w:hAnsi="仿宋" w:eastAsia="仿宋" w:cs="仿宋"/>
                <w:color w:val="auto"/>
                <w:sz w:val="24"/>
                <w:szCs w:val="20"/>
                <w:highlight w:val="none"/>
              </w:rPr>
            </w:pPr>
          </w:p>
        </w:tc>
        <w:tc>
          <w:tcPr>
            <w:tcW w:w="982" w:type="pct"/>
            <w:vAlign w:val="center"/>
          </w:tcPr>
          <w:p w14:paraId="77EA1509">
            <w:pPr>
              <w:snapToGrid w:val="0"/>
              <w:spacing w:before="120" w:after="120" w:afterLines="50"/>
              <w:ind w:firstLine="482"/>
              <w:jc w:val="center"/>
              <w:rPr>
                <w:rFonts w:hint="eastAsia" w:ascii="仿宋" w:hAnsi="仿宋" w:eastAsia="仿宋" w:cs="仿宋"/>
                <w:color w:val="auto"/>
                <w:sz w:val="24"/>
                <w:szCs w:val="20"/>
                <w:highlight w:val="none"/>
              </w:rPr>
            </w:pPr>
          </w:p>
        </w:tc>
      </w:tr>
    </w:tbl>
    <w:p w14:paraId="05951D2A">
      <w:pPr>
        <w:snapToGrid w:val="0"/>
        <w:spacing w:before="120" w:after="120" w:afterLines="50"/>
        <w:ind w:firstLine="482"/>
        <w:jc w:val="left"/>
        <w:rPr>
          <w:rFonts w:hint="eastAsia" w:ascii="仿宋" w:hAnsi="仿宋" w:eastAsia="仿宋" w:cs="仿宋"/>
          <w:color w:val="auto"/>
          <w:sz w:val="24"/>
          <w:szCs w:val="20"/>
          <w:highlight w:val="none"/>
        </w:rPr>
      </w:pPr>
    </w:p>
    <w:p w14:paraId="5DCCFC36">
      <w:pPr>
        <w:spacing w:line="360" w:lineRule="auto"/>
        <w:ind w:firstLine="480"/>
        <w:contextualSpacing/>
        <w:jc w:val="left"/>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注：</w:t>
      </w:r>
    </w:p>
    <w:p w14:paraId="641601B9">
      <w:pPr>
        <w:spacing w:line="360" w:lineRule="auto"/>
        <w:ind w:firstLine="480" w:firstLineChars="200"/>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1.在填写时，如本表格不适合投标单位的实际情况，可根据本表格式自行制表填写。</w:t>
      </w:r>
    </w:p>
    <w:p w14:paraId="1F2DD009">
      <w:pPr>
        <w:spacing w:line="360" w:lineRule="auto"/>
        <w:ind w:firstLine="480" w:firstLineChars="200"/>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2.投标人应当附本表所列证书的复印件并加盖投标人公章。</w:t>
      </w:r>
    </w:p>
    <w:p w14:paraId="67EDCDA1">
      <w:pPr>
        <w:spacing w:line="360" w:lineRule="auto"/>
        <w:ind w:firstLine="482"/>
        <w:contextualSpacing/>
        <w:rPr>
          <w:rFonts w:hint="eastAsia" w:ascii="仿宋" w:hAnsi="仿宋" w:eastAsia="仿宋" w:cs="仿宋"/>
          <w:color w:val="auto"/>
          <w:sz w:val="24"/>
          <w:highlight w:val="none"/>
        </w:rPr>
      </w:pPr>
    </w:p>
    <w:p w14:paraId="1BA43A71">
      <w:pPr>
        <w:spacing w:line="360" w:lineRule="auto"/>
        <w:ind w:firstLine="482"/>
        <w:contextualSpacing/>
        <w:rPr>
          <w:rFonts w:hint="eastAsia" w:ascii="仿宋" w:hAnsi="仿宋" w:eastAsia="仿宋" w:cs="仿宋"/>
          <w:color w:val="auto"/>
          <w:sz w:val="24"/>
          <w:highlight w:val="none"/>
        </w:rPr>
      </w:pPr>
    </w:p>
    <w:p w14:paraId="3BF2ADE5">
      <w:pPr>
        <w:spacing w:line="360" w:lineRule="auto"/>
        <w:ind w:firstLine="1920" w:firstLineChars="800"/>
        <w:contextualSpacing/>
        <w:rPr>
          <w:rFonts w:hint="eastAsia" w:ascii="仿宋" w:hAnsi="仿宋" w:eastAsia="仿宋" w:cs="仿宋"/>
          <w:color w:val="auto"/>
          <w:spacing w:val="20"/>
          <w:sz w:val="24"/>
          <w:szCs w:val="20"/>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566E8913">
      <w:pPr>
        <w:spacing w:line="360" w:lineRule="auto"/>
        <w:ind w:firstLine="1960" w:firstLineChars="700"/>
        <w:contextualSpacing/>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投标人名称（公章）：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6797BBC9">
      <w:pPr>
        <w:spacing w:line="360" w:lineRule="auto"/>
        <w:ind w:firstLine="1960" w:firstLineChars="700"/>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年</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月</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日</w:t>
      </w:r>
    </w:p>
    <w:p w14:paraId="6A4B1975">
      <w:pPr>
        <w:snapToGrid w:val="0"/>
        <w:spacing w:before="120" w:after="120" w:afterLines="50"/>
        <w:ind w:firstLine="482"/>
        <w:jc w:val="left"/>
        <w:rPr>
          <w:rFonts w:hint="eastAsia" w:ascii="仿宋" w:hAnsi="仿宋" w:eastAsia="仿宋" w:cs="仿宋"/>
          <w:color w:val="auto"/>
          <w:sz w:val="24"/>
          <w:szCs w:val="20"/>
          <w:highlight w:val="none"/>
        </w:rPr>
      </w:pPr>
    </w:p>
    <w:p w14:paraId="1F0C867D">
      <w:pPr>
        <w:ind w:firstLine="480"/>
        <w:rPr>
          <w:rFonts w:hint="eastAsia" w:ascii="仿宋" w:hAnsi="仿宋" w:eastAsia="仿宋" w:cs="仿宋"/>
          <w:b/>
          <w:color w:val="auto"/>
          <w:sz w:val="28"/>
          <w:szCs w:val="28"/>
          <w:highlight w:val="none"/>
        </w:rPr>
      </w:pPr>
      <w:r>
        <w:rPr>
          <w:rFonts w:hint="eastAsia" w:ascii="仿宋" w:hAnsi="仿宋" w:eastAsia="仿宋" w:cs="仿宋"/>
          <w:b/>
          <w:bCs/>
          <w:color w:val="auto"/>
          <w:sz w:val="24"/>
          <w:highlight w:val="none"/>
        </w:rPr>
        <w:br w:type="page"/>
      </w:r>
      <w:bookmarkStart w:id="167" w:name="_Toc19686840"/>
      <w:r>
        <w:rPr>
          <w:rFonts w:hint="eastAsia" w:ascii="仿宋" w:hAnsi="仿宋" w:eastAsia="仿宋" w:cs="仿宋"/>
          <w:b/>
          <w:color w:val="auto"/>
          <w:sz w:val="28"/>
          <w:szCs w:val="28"/>
          <w:highlight w:val="none"/>
        </w:rPr>
        <w:t>五、其他文书、文件格式</w:t>
      </w:r>
      <w:bookmarkEnd w:id="167"/>
    </w:p>
    <w:p w14:paraId="22619FF7">
      <w:pPr>
        <w:spacing w:before="120" w:beforeLines="50" w:after="120" w:afterLines="50" w:line="400" w:lineRule="exact"/>
        <w:ind w:firstLine="482"/>
        <w:rPr>
          <w:rFonts w:hint="eastAsia" w:ascii="仿宋" w:hAnsi="仿宋" w:eastAsia="仿宋" w:cs="仿宋"/>
          <w:color w:val="auto"/>
          <w:sz w:val="24"/>
          <w:highlight w:val="none"/>
        </w:rPr>
      </w:pPr>
    </w:p>
    <w:p w14:paraId="3A87A9D8">
      <w:pPr>
        <w:snapToGrid w:val="0"/>
        <w:spacing w:before="120" w:beforeLines="50" w:after="50"/>
        <w:ind w:left="142" w:firstLine="560"/>
        <w:jc w:val="left"/>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1.联合投标协议书格式</w:t>
      </w:r>
    </w:p>
    <w:p w14:paraId="34082BC5">
      <w:pPr>
        <w:snapToGrid w:val="0"/>
        <w:ind w:left="643" w:hanging="643" w:hangingChars="20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联合体协议书</w:t>
      </w:r>
    </w:p>
    <w:p w14:paraId="430A71AD">
      <w:pPr>
        <w:overflowPunct w:val="0"/>
        <w:spacing w:line="360" w:lineRule="auto"/>
        <w:ind w:firstLine="482"/>
        <w:contextualSpacing/>
        <w:rPr>
          <w:rFonts w:hint="eastAsia" w:ascii="仿宋" w:hAnsi="仿宋" w:eastAsia="仿宋" w:cs="仿宋"/>
          <w:color w:val="auto"/>
          <w:sz w:val="24"/>
          <w:szCs w:val="20"/>
          <w:highlight w:val="none"/>
        </w:rPr>
      </w:pPr>
    </w:p>
    <w:p w14:paraId="6A4D1E65">
      <w:pPr>
        <w:overflowPunct w:val="0"/>
        <w:spacing w:line="360" w:lineRule="auto"/>
        <w:ind w:firstLine="482"/>
        <w:contextualSpacing/>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u w:val="single"/>
        </w:rPr>
        <w:tab/>
      </w:r>
      <w:r>
        <w:rPr>
          <w:rFonts w:hint="eastAsia" w:ascii="仿宋" w:hAnsi="仿宋" w:eastAsia="仿宋" w:cs="仿宋"/>
          <w:color w:val="auto"/>
          <w:sz w:val="24"/>
          <w:szCs w:val="20"/>
          <w:highlight w:val="none"/>
        </w:rPr>
        <w:t>（所有成员单位名称）自愿组成</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u w:val="single"/>
        </w:rPr>
        <w:tab/>
      </w:r>
      <w:r>
        <w:rPr>
          <w:rFonts w:hint="eastAsia" w:ascii="仿宋" w:hAnsi="仿宋" w:eastAsia="仿宋" w:cs="仿宋"/>
          <w:color w:val="auto"/>
          <w:sz w:val="24"/>
          <w:szCs w:val="20"/>
          <w:highlight w:val="none"/>
        </w:rPr>
        <w:t>（联合体名称）联合体，共同参加</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u w:val="single"/>
        </w:rPr>
        <w:tab/>
      </w:r>
      <w:r>
        <w:rPr>
          <w:rFonts w:hint="eastAsia" w:ascii="仿宋" w:hAnsi="仿宋" w:eastAsia="仿宋" w:cs="仿宋"/>
          <w:color w:val="auto"/>
          <w:sz w:val="24"/>
          <w:szCs w:val="20"/>
          <w:highlight w:val="none"/>
          <w:u w:val="single"/>
        </w:rPr>
        <w:t>（项</w:t>
      </w:r>
      <w:r>
        <w:rPr>
          <w:rFonts w:hint="eastAsia" w:ascii="仿宋" w:hAnsi="仿宋" w:eastAsia="仿宋" w:cs="仿宋"/>
          <w:color w:val="auto"/>
          <w:sz w:val="24"/>
          <w:szCs w:val="20"/>
          <w:highlight w:val="none"/>
        </w:rPr>
        <w:t>目名称）采购招标项目投标。现就联合体投标事宜订立如下协议。</w:t>
      </w:r>
    </w:p>
    <w:p w14:paraId="4434D64C">
      <w:pPr>
        <w:overflowPunct w:val="0"/>
        <w:spacing w:line="360" w:lineRule="auto"/>
        <w:ind w:firstLine="482"/>
        <w:contextualSpacing/>
        <w:rPr>
          <w:rFonts w:hint="eastAsia" w:ascii="仿宋" w:hAnsi="仿宋" w:eastAsia="仿宋" w:cs="仿宋"/>
          <w:color w:val="auto"/>
          <w:sz w:val="24"/>
          <w:szCs w:val="20"/>
          <w:highlight w:val="none"/>
        </w:rPr>
      </w:pPr>
    </w:p>
    <w:p w14:paraId="48148661">
      <w:pPr>
        <w:overflowPunct w:val="0"/>
        <w:spacing w:line="360" w:lineRule="auto"/>
        <w:ind w:firstLine="420" w:firstLineChars="175"/>
        <w:contextualSpacing/>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1.  </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u w:val="single"/>
        </w:rPr>
        <w:tab/>
      </w:r>
      <w:r>
        <w:rPr>
          <w:rFonts w:hint="eastAsia" w:ascii="仿宋" w:hAnsi="仿宋" w:eastAsia="仿宋" w:cs="仿宋"/>
          <w:color w:val="auto"/>
          <w:sz w:val="24"/>
          <w:szCs w:val="20"/>
          <w:highlight w:val="none"/>
        </w:rPr>
        <w:t>（某成员单位名称）为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u w:val="single"/>
        </w:rPr>
        <w:tab/>
      </w:r>
      <w:r>
        <w:rPr>
          <w:rFonts w:hint="eastAsia" w:ascii="仿宋" w:hAnsi="仿宋" w:eastAsia="仿宋" w:cs="仿宋"/>
          <w:color w:val="auto"/>
          <w:sz w:val="24"/>
          <w:szCs w:val="20"/>
          <w:highlight w:val="none"/>
        </w:rPr>
        <w:t>（联合体名称）牵头人。</w:t>
      </w:r>
    </w:p>
    <w:p w14:paraId="39F462F9">
      <w:pPr>
        <w:overflowPunct w:val="0"/>
        <w:spacing w:line="360" w:lineRule="auto"/>
        <w:ind w:firstLine="420" w:firstLineChars="175"/>
        <w:contextualSpacing/>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34AE9C2D">
      <w:pPr>
        <w:overflowPunct w:val="0"/>
        <w:spacing w:line="360" w:lineRule="auto"/>
        <w:ind w:firstLine="420" w:firstLineChars="175"/>
        <w:contextualSpacing/>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358153FC">
      <w:pPr>
        <w:overflowPunct w:val="0"/>
        <w:spacing w:line="360" w:lineRule="auto"/>
        <w:ind w:firstLine="420" w:firstLineChars="175"/>
        <w:contextualSpacing/>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4.联合体各成员单位内部的职责分工如下：</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u w:val="single"/>
        </w:rPr>
        <w:tab/>
      </w:r>
      <w:r>
        <w:rPr>
          <w:rFonts w:hint="eastAsia" w:ascii="仿宋" w:hAnsi="仿宋" w:eastAsia="仿宋" w:cs="仿宋"/>
          <w:color w:val="auto"/>
          <w:sz w:val="24"/>
          <w:szCs w:val="20"/>
          <w:highlight w:val="none"/>
        </w:rPr>
        <w:t>。</w:t>
      </w:r>
    </w:p>
    <w:p w14:paraId="546C9F6F">
      <w:pPr>
        <w:overflowPunct w:val="0"/>
        <w:spacing w:line="360" w:lineRule="auto"/>
        <w:ind w:firstLine="420" w:firstLineChars="175"/>
        <w:contextualSpacing/>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5.本协议书自所有成员单位法定代表人或者其委托代理人签字或者盖公章之日起生效，合同履行完毕后自动失效。</w:t>
      </w:r>
    </w:p>
    <w:p w14:paraId="5544FB13">
      <w:pPr>
        <w:overflowPunct w:val="0"/>
        <w:spacing w:line="360" w:lineRule="auto"/>
        <w:ind w:firstLine="420" w:firstLineChars="175"/>
        <w:contextualSpacing/>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6.本协议书一式</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u w:val="single"/>
        </w:rPr>
        <w:tab/>
      </w:r>
      <w:r>
        <w:rPr>
          <w:rFonts w:hint="eastAsia" w:ascii="仿宋" w:hAnsi="仿宋" w:eastAsia="仿宋" w:cs="仿宋"/>
          <w:color w:val="auto"/>
          <w:sz w:val="24"/>
          <w:szCs w:val="20"/>
          <w:highlight w:val="none"/>
        </w:rPr>
        <w:t>份，联合体成员和招标人各执壹份。</w:t>
      </w:r>
    </w:p>
    <w:p w14:paraId="2ADA4BFD">
      <w:pPr>
        <w:overflowPunct w:val="0"/>
        <w:spacing w:line="360" w:lineRule="auto"/>
        <w:ind w:firstLine="420" w:firstLineChars="175"/>
        <w:contextualSpacing/>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注：本协议书应附法定代表人身份证明；有委托代理的，应附授权委托书（格式自拟）。</w:t>
      </w:r>
    </w:p>
    <w:p w14:paraId="70B092C5">
      <w:pPr>
        <w:overflowPunct w:val="0"/>
        <w:spacing w:line="360" w:lineRule="auto"/>
        <w:ind w:firstLine="420" w:firstLineChars="175"/>
        <w:contextualSpacing/>
        <w:rPr>
          <w:rFonts w:hint="eastAsia" w:ascii="仿宋" w:hAnsi="仿宋" w:eastAsia="仿宋" w:cs="仿宋"/>
          <w:color w:val="auto"/>
          <w:sz w:val="24"/>
          <w:szCs w:val="20"/>
          <w:highlight w:val="none"/>
        </w:rPr>
      </w:pPr>
    </w:p>
    <w:p w14:paraId="390D576F">
      <w:pPr>
        <w:overflowPunct w:val="0"/>
        <w:spacing w:line="360" w:lineRule="auto"/>
        <w:ind w:firstLine="420" w:firstLineChars="175"/>
        <w:contextualSpacing/>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rPr>
        <w:t>联合体牵头人名称（公章）：</w:t>
      </w:r>
      <w:r>
        <w:rPr>
          <w:rFonts w:hint="eastAsia" w:ascii="仿宋" w:hAnsi="仿宋" w:eastAsia="仿宋" w:cs="仿宋"/>
          <w:color w:val="auto"/>
          <w:sz w:val="24"/>
          <w:szCs w:val="20"/>
          <w:highlight w:val="none"/>
          <w:u w:val="single"/>
        </w:rPr>
        <w:t xml:space="preserve">            </w:t>
      </w:r>
    </w:p>
    <w:p w14:paraId="74ABFBA4">
      <w:pPr>
        <w:overflowPunct w:val="0"/>
        <w:spacing w:line="360" w:lineRule="auto"/>
        <w:ind w:firstLine="420" w:firstLineChars="175"/>
        <w:contextualSpacing/>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rPr>
        <w:t>法定代表人或者其委托代理人（签字）：</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u w:val="single"/>
        </w:rPr>
        <w:tab/>
      </w:r>
      <w:r>
        <w:rPr>
          <w:rFonts w:hint="eastAsia" w:ascii="仿宋" w:hAnsi="仿宋" w:eastAsia="仿宋" w:cs="仿宋"/>
          <w:color w:val="auto"/>
          <w:sz w:val="24"/>
          <w:szCs w:val="20"/>
          <w:highlight w:val="none"/>
          <w:u w:val="single"/>
        </w:rPr>
        <w:t xml:space="preserve">              </w:t>
      </w:r>
    </w:p>
    <w:p w14:paraId="1DC8D678">
      <w:pPr>
        <w:overflowPunct w:val="0"/>
        <w:spacing w:line="360" w:lineRule="auto"/>
        <w:ind w:firstLine="420" w:firstLineChars="175"/>
        <w:contextualSpacing/>
        <w:rPr>
          <w:rFonts w:hint="eastAsia" w:ascii="仿宋" w:hAnsi="仿宋" w:eastAsia="仿宋" w:cs="仿宋"/>
          <w:color w:val="auto"/>
          <w:sz w:val="24"/>
          <w:szCs w:val="20"/>
          <w:highlight w:val="none"/>
        </w:rPr>
      </w:pPr>
    </w:p>
    <w:p w14:paraId="64CC63D3">
      <w:pPr>
        <w:overflowPunct w:val="0"/>
        <w:spacing w:line="360" w:lineRule="auto"/>
        <w:ind w:firstLine="420" w:firstLineChars="175"/>
        <w:contextualSpacing/>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rPr>
        <w:t>联合体成员名称（公章）：</w:t>
      </w:r>
      <w:r>
        <w:rPr>
          <w:rFonts w:hint="eastAsia" w:ascii="仿宋" w:hAnsi="仿宋" w:eastAsia="仿宋" w:cs="仿宋"/>
          <w:color w:val="auto"/>
          <w:sz w:val="24"/>
          <w:szCs w:val="20"/>
          <w:highlight w:val="none"/>
          <w:u w:val="single"/>
        </w:rPr>
        <w:t xml:space="preserve">                     </w:t>
      </w:r>
    </w:p>
    <w:p w14:paraId="1DB3AC76">
      <w:pPr>
        <w:overflowPunct w:val="0"/>
        <w:spacing w:line="360" w:lineRule="auto"/>
        <w:ind w:firstLine="420" w:firstLineChars="175"/>
        <w:contextualSpacing/>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rPr>
        <w:t>法定代表人或者其委托代理人（签字）：</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u w:val="single"/>
        </w:rPr>
        <w:tab/>
      </w:r>
      <w:r>
        <w:rPr>
          <w:rFonts w:hint="eastAsia" w:ascii="仿宋" w:hAnsi="仿宋" w:eastAsia="仿宋" w:cs="仿宋"/>
          <w:color w:val="auto"/>
          <w:sz w:val="24"/>
          <w:szCs w:val="20"/>
          <w:highlight w:val="none"/>
          <w:u w:val="single"/>
        </w:rPr>
        <w:t xml:space="preserve">                </w:t>
      </w:r>
    </w:p>
    <w:p w14:paraId="0F88110B">
      <w:pPr>
        <w:overflowPunct w:val="0"/>
        <w:spacing w:line="360" w:lineRule="auto"/>
        <w:ind w:firstLine="420" w:firstLineChars="175"/>
        <w:contextualSpacing/>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w:t>
      </w:r>
    </w:p>
    <w:p w14:paraId="467A5B60">
      <w:pPr>
        <w:snapToGrid w:val="0"/>
        <w:spacing w:before="120" w:beforeLines="50" w:after="50"/>
        <w:ind w:firstLine="4320" w:firstLineChars="18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日</w:t>
      </w:r>
    </w:p>
    <w:p w14:paraId="48F443BD">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121C619F">
      <w:pPr>
        <w:numPr>
          <w:ilvl w:val="255"/>
          <w:numId w:val="0"/>
        </w:numPr>
        <w:spacing w:line="360" w:lineRule="auto"/>
        <w:ind w:left="420"/>
        <w:jc w:val="left"/>
        <w:rPr>
          <w:rFonts w:hint="eastAsia" w:ascii="仿宋" w:hAnsi="仿宋" w:eastAsia="仿宋" w:cs="仿宋"/>
          <w:b/>
          <w:bCs/>
          <w:color w:val="auto"/>
          <w:sz w:val="32"/>
          <w:szCs w:val="32"/>
          <w:highlight w:val="none"/>
        </w:rPr>
      </w:pPr>
      <w:r>
        <w:rPr>
          <w:rFonts w:hint="eastAsia" w:ascii="仿宋" w:hAnsi="仿宋" w:eastAsia="仿宋" w:cs="仿宋"/>
          <w:b/>
          <w:color w:val="auto"/>
          <w:sz w:val="24"/>
          <w:highlight w:val="none"/>
        </w:rPr>
        <w:t>5.质疑函（格式）</w:t>
      </w:r>
    </w:p>
    <w:p w14:paraId="5903A4E4">
      <w:pPr>
        <w:overflowPunct w:val="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质疑函（格式）</w:t>
      </w:r>
    </w:p>
    <w:p w14:paraId="793E8CF2">
      <w:pPr>
        <w:snapToGrid w:val="0"/>
        <w:spacing w:line="360" w:lineRule="auto"/>
        <w:ind w:firstLine="482" w:firstLineChars="200"/>
        <w:rPr>
          <w:rFonts w:hint="eastAsia" w:ascii="仿宋" w:hAnsi="仿宋" w:eastAsia="仿宋" w:cs="仿宋"/>
          <w:b/>
          <w:bCs/>
          <w:color w:val="auto"/>
          <w:kern w:val="0"/>
          <w:sz w:val="24"/>
          <w:highlight w:val="none"/>
        </w:rPr>
      </w:pPr>
    </w:p>
    <w:p w14:paraId="069E575D">
      <w:pPr>
        <w:snapToGrid w:val="0"/>
        <w:spacing w:line="360"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一、质疑供应商基本信息：</w:t>
      </w:r>
    </w:p>
    <w:p w14:paraId="6E19322E">
      <w:pPr>
        <w:snapToGrid w:val="0"/>
        <w:spacing w:line="360" w:lineRule="auto"/>
        <w:ind w:firstLine="480" w:firstLineChars="200"/>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质疑供应商：</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 xml:space="preserve">                 </w:t>
      </w:r>
    </w:p>
    <w:p w14:paraId="4731447C">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地址：</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邮编：</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 xml:space="preserve">                 </w:t>
      </w:r>
    </w:p>
    <w:p w14:paraId="70FBF5C7">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联系人：</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联系电话：</w:t>
      </w:r>
      <w:r>
        <w:rPr>
          <w:rFonts w:hint="eastAsia" w:ascii="仿宋" w:hAnsi="仿宋" w:eastAsia="仿宋" w:cs="仿宋"/>
          <w:bCs/>
          <w:color w:val="auto"/>
          <w:kern w:val="0"/>
          <w:sz w:val="24"/>
          <w:highlight w:val="none"/>
          <w:u w:val="single"/>
        </w:rPr>
        <w:t xml:space="preserve">                 </w:t>
      </w:r>
    </w:p>
    <w:p w14:paraId="023954F6">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授权代表：</w:t>
      </w:r>
      <w:r>
        <w:rPr>
          <w:rFonts w:hint="eastAsia" w:ascii="仿宋" w:hAnsi="仿宋" w:eastAsia="仿宋" w:cs="仿宋"/>
          <w:bCs/>
          <w:color w:val="auto"/>
          <w:kern w:val="0"/>
          <w:sz w:val="24"/>
          <w:highlight w:val="none"/>
          <w:u w:val="single"/>
        </w:rPr>
        <w:t xml:space="preserve">                      </w:t>
      </w:r>
    </w:p>
    <w:p w14:paraId="4E0DC2D6">
      <w:pPr>
        <w:snapToGrid w:val="0"/>
        <w:spacing w:line="360" w:lineRule="auto"/>
        <w:ind w:firstLine="480" w:firstLineChars="200"/>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联系电话：</w:t>
      </w:r>
      <w:r>
        <w:rPr>
          <w:rFonts w:hint="eastAsia" w:ascii="仿宋" w:hAnsi="仿宋" w:eastAsia="仿宋" w:cs="仿宋"/>
          <w:bCs/>
          <w:color w:val="auto"/>
          <w:kern w:val="0"/>
          <w:sz w:val="24"/>
          <w:highlight w:val="none"/>
          <w:u w:val="single"/>
        </w:rPr>
        <w:t xml:space="preserve">                      </w:t>
      </w:r>
    </w:p>
    <w:p w14:paraId="0745D784">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地址：</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邮编：</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 xml:space="preserve">     </w:t>
      </w:r>
    </w:p>
    <w:p w14:paraId="2F7CB43B">
      <w:pPr>
        <w:snapToGrid w:val="0"/>
        <w:spacing w:line="360"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二、质疑项目基本情况：</w:t>
      </w:r>
    </w:p>
    <w:p w14:paraId="5CA1B9BC">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质疑</w:t>
      </w:r>
      <w:r>
        <w:rPr>
          <w:rFonts w:hint="eastAsia" w:ascii="仿宋" w:hAnsi="仿宋" w:eastAsia="仿宋" w:cs="仿宋"/>
          <w:color w:val="auto"/>
          <w:kern w:val="0"/>
          <w:sz w:val="24"/>
          <w:highlight w:val="none"/>
        </w:rPr>
        <w:t>项目的名称：</w:t>
      </w:r>
      <w:r>
        <w:rPr>
          <w:rFonts w:hint="eastAsia" w:ascii="仿宋" w:hAnsi="仿宋" w:eastAsia="仿宋" w:cs="仿宋"/>
          <w:bCs/>
          <w:color w:val="auto"/>
          <w:kern w:val="0"/>
          <w:sz w:val="24"/>
          <w:highlight w:val="none"/>
          <w:u w:val="single"/>
        </w:rPr>
        <w:t xml:space="preserve">                                     </w:t>
      </w:r>
    </w:p>
    <w:p w14:paraId="60B4FE23">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质疑</w:t>
      </w:r>
      <w:r>
        <w:rPr>
          <w:rFonts w:hint="eastAsia" w:ascii="仿宋" w:hAnsi="仿宋" w:eastAsia="仿宋" w:cs="仿宋"/>
          <w:color w:val="auto"/>
          <w:kern w:val="0"/>
          <w:sz w:val="24"/>
          <w:highlight w:val="none"/>
        </w:rPr>
        <w:t>项目的编号：</w:t>
      </w:r>
      <w:r>
        <w:rPr>
          <w:rFonts w:hint="eastAsia" w:ascii="仿宋" w:hAnsi="仿宋" w:eastAsia="仿宋" w:cs="仿宋"/>
          <w:bCs/>
          <w:color w:val="auto"/>
          <w:kern w:val="0"/>
          <w:sz w:val="24"/>
          <w:highlight w:val="none"/>
          <w:u w:val="single"/>
        </w:rPr>
        <w:t xml:space="preserve">                                     </w:t>
      </w:r>
    </w:p>
    <w:p w14:paraId="5DF8A60C">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采购人名称：</w:t>
      </w:r>
      <w:r>
        <w:rPr>
          <w:rFonts w:hint="eastAsia" w:ascii="仿宋" w:hAnsi="仿宋" w:eastAsia="仿宋" w:cs="仿宋"/>
          <w:bCs/>
          <w:color w:val="auto"/>
          <w:kern w:val="0"/>
          <w:sz w:val="24"/>
          <w:highlight w:val="none"/>
          <w:u w:val="single"/>
        </w:rPr>
        <w:t xml:space="preserve">                                         </w:t>
      </w:r>
    </w:p>
    <w:p w14:paraId="28E96AC8">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质疑事项：</w:t>
      </w:r>
    </w:p>
    <w:p w14:paraId="3805E6ED">
      <w:pPr>
        <w:spacing w:line="360" w:lineRule="auto"/>
        <w:ind w:left="25" w:leftChars="12" w:firstLine="352" w:firstLineChars="14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□采购文件   采购文件获取日期：</w:t>
      </w:r>
      <w:r>
        <w:rPr>
          <w:rFonts w:hint="eastAsia" w:ascii="仿宋" w:hAnsi="仿宋" w:eastAsia="仿宋" w:cs="仿宋"/>
          <w:bCs/>
          <w:color w:val="auto"/>
          <w:kern w:val="0"/>
          <w:sz w:val="24"/>
          <w:highlight w:val="none"/>
          <w:u w:val="single"/>
        </w:rPr>
        <w:t xml:space="preserve">                                   </w:t>
      </w:r>
    </w:p>
    <w:p w14:paraId="20374447">
      <w:pPr>
        <w:spacing w:line="360" w:lineRule="auto"/>
        <w:ind w:left="25" w:leftChars="12" w:firstLine="352" w:firstLineChars="14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□采购过程   </w:t>
      </w:r>
    </w:p>
    <w:p w14:paraId="71F8130A">
      <w:pPr>
        <w:spacing w:line="360" w:lineRule="auto"/>
        <w:ind w:left="25" w:leftChars="12" w:firstLine="352" w:firstLineChars="147"/>
        <w:rPr>
          <w:rFonts w:hint="eastAsia" w:ascii="仿宋" w:hAnsi="仿宋" w:eastAsia="仿宋" w:cs="仿宋"/>
          <w:bCs/>
          <w:color w:val="auto"/>
          <w:kern w:val="0"/>
          <w:sz w:val="24"/>
          <w:highlight w:val="none"/>
          <w:u w:val="single"/>
        </w:rPr>
      </w:pPr>
      <w:r>
        <w:rPr>
          <w:rFonts w:hint="eastAsia" w:ascii="仿宋" w:hAnsi="仿宋" w:eastAsia="仿宋" w:cs="仿宋"/>
          <w:color w:val="auto"/>
          <w:kern w:val="0"/>
          <w:sz w:val="24"/>
          <w:highlight w:val="none"/>
        </w:rPr>
        <w:t xml:space="preserve">□采购结果   </w:t>
      </w:r>
    </w:p>
    <w:p w14:paraId="443DE9CD">
      <w:pPr>
        <w:spacing w:line="360" w:lineRule="auto"/>
        <w:ind w:left="25" w:leftChars="12"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三、质疑事项具体内容</w:t>
      </w:r>
    </w:p>
    <w:p w14:paraId="580723F4">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质疑事项1：</w:t>
      </w:r>
      <w:r>
        <w:rPr>
          <w:rFonts w:hint="eastAsia" w:ascii="仿宋" w:hAnsi="仿宋" w:eastAsia="仿宋" w:cs="仿宋"/>
          <w:bCs/>
          <w:color w:val="auto"/>
          <w:kern w:val="0"/>
          <w:sz w:val="24"/>
          <w:highlight w:val="none"/>
          <w:u w:val="single"/>
        </w:rPr>
        <w:t xml:space="preserve">                                                                    </w:t>
      </w:r>
    </w:p>
    <w:p w14:paraId="691BE6A0">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事实依据：</w:t>
      </w:r>
      <w:r>
        <w:rPr>
          <w:rFonts w:hint="eastAsia" w:ascii="仿宋" w:hAnsi="仿宋" w:eastAsia="仿宋" w:cs="仿宋"/>
          <w:bCs/>
          <w:color w:val="auto"/>
          <w:kern w:val="0"/>
          <w:sz w:val="24"/>
          <w:highlight w:val="none"/>
          <w:u w:val="single"/>
        </w:rPr>
        <w:t xml:space="preserve">                                                                      </w:t>
      </w:r>
    </w:p>
    <w:p w14:paraId="53B3CF2A">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法律依据：</w:t>
      </w:r>
      <w:r>
        <w:rPr>
          <w:rFonts w:hint="eastAsia" w:ascii="仿宋" w:hAnsi="仿宋" w:eastAsia="仿宋" w:cs="仿宋"/>
          <w:color w:val="auto"/>
          <w:kern w:val="0"/>
          <w:sz w:val="24"/>
          <w:highlight w:val="none"/>
          <w:u w:val="single"/>
        </w:rPr>
        <w:t xml:space="preserve">                                                        </w:t>
      </w:r>
      <w:r>
        <w:rPr>
          <w:rFonts w:hint="eastAsia" w:ascii="仿宋" w:hAnsi="仿宋" w:eastAsia="仿宋" w:cs="仿宋"/>
          <w:bCs/>
          <w:color w:val="auto"/>
          <w:kern w:val="0"/>
          <w:sz w:val="24"/>
          <w:highlight w:val="none"/>
          <w:u w:val="single"/>
        </w:rPr>
        <w:t xml:space="preserve">               </w:t>
      </w:r>
    </w:p>
    <w:p w14:paraId="6E298F82">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质疑事项2</w:t>
      </w:r>
    </w:p>
    <w:p w14:paraId="2AAF4C64">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1732865F">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四、与质疑事项相关的质疑请求：</w:t>
      </w:r>
    </w:p>
    <w:p w14:paraId="05345C34">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请求：</w:t>
      </w:r>
      <w:r>
        <w:rPr>
          <w:rFonts w:hint="eastAsia" w:ascii="仿宋" w:hAnsi="仿宋" w:eastAsia="仿宋" w:cs="仿宋"/>
          <w:bCs/>
          <w:color w:val="auto"/>
          <w:kern w:val="0"/>
          <w:sz w:val="24"/>
          <w:highlight w:val="none"/>
          <w:u w:val="single"/>
        </w:rPr>
        <w:t xml:space="preserve">                                                                </w:t>
      </w:r>
    </w:p>
    <w:p w14:paraId="4FC1E626">
      <w:pPr>
        <w:spacing w:line="360" w:lineRule="auto"/>
        <w:ind w:left="25" w:leftChars="12" w:firstLine="4552" w:firstLineChars="18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签字（签章）：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4D962CD2">
      <w:pPr>
        <w:spacing w:line="360" w:lineRule="auto"/>
        <w:ind w:left="25" w:leftChars="12" w:firstLine="4312" w:firstLineChars="17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公章：</w:t>
      </w:r>
      <w:r>
        <w:rPr>
          <w:rFonts w:hint="eastAsia" w:ascii="仿宋" w:hAnsi="仿宋" w:eastAsia="仿宋" w:cs="仿宋"/>
          <w:color w:val="auto"/>
          <w:kern w:val="0"/>
          <w:sz w:val="24"/>
          <w:highlight w:val="none"/>
          <w:u w:val="single"/>
        </w:rPr>
        <w:t xml:space="preserve">                                </w:t>
      </w:r>
    </w:p>
    <w:p w14:paraId="4C43D6B3">
      <w:pPr>
        <w:snapToGrid w:val="0"/>
        <w:spacing w:line="360" w:lineRule="auto"/>
        <w:ind w:firstLine="4320" w:firstLineChars="18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     日</w:t>
      </w:r>
    </w:p>
    <w:p w14:paraId="281BE5DE">
      <w:pPr>
        <w:snapToGrid w:val="0"/>
        <w:spacing w:line="360" w:lineRule="auto"/>
        <w:ind w:firstLine="480"/>
        <w:rPr>
          <w:rFonts w:hint="eastAsia" w:ascii="仿宋" w:hAnsi="仿宋" w:eastAsia="仿宋" w:cs="仿宋"/>
          <w:b/>
          <w:color w:val="auto"/>
          <w:kern w:val="0"/>
          <w:sz w:val="24"/>
          <w:highlight w:val="none"/>
        </w:rPr>
      </w:pPr>
    </w:p>
    <w:p w14:paraId="4402C14F">
      <w:pPr>
        <w:snapToGrid w:val="0"/>
        <w:spacing w:line="360" w:lineRule="auto"/>
        <w:ind w:firstLine="48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说明：</w:t>
      </w:r>
    </w:p>
    <w:p w14:paraId="4899510A">
      <w:pPr>
        <w:spacing w:line="360" w:lineRule="auto"/>
        <w:ind w:left="25" w:leftChars="12" w:firstLine="354" w:firstLineChars="147"/>
        <w:rPr>
          <w:rFonts w:hint="eastAsia" w:ascii="仿宋" w:hAnsi="仿宋" w:eastAsia="仿宋" w:cs="仿宋"/>
          <w:b/>
          <w:bCs/>
          <w:color w:val="auto"/>
          <w:kern w:val="0"/>
          <w:sz w:val="24"/>
          <w:highlight w:val="none"/>
        </w:rPr>
      </w:pPr>
      <w:r>
        <w:rPr>
          <w:rFonts w:hint="eastAsia" w:ascii="仿宋" w:hAnsi="仿宋" w:eastAsia="仿宋" w:cs="仿宋"/>
          <w:b/>
          <w:color w:val="auto"/>
          <w:kern w:val="0"/>
          <w:sz w:val="24"/>
          <w:highlight w:val="none"/>
        </w:rPr>
        <w:t>1.供应商提出质疑时，应提交质疑函和必要的证明材料</w:t>
      </w:r>
      <w:r>
        <w:rPr>
          <w:rFonts w:hint="eastAsia" w:ascii="仿宋" w:hAnsi="仿宋" w:eastAsia="仿宋" w:cs="仿宋"/>
          <w:b/>
          <w:bCs/>
          <w:color w:val="auto"/>
          <w:kern w:val="0"/>
          <w:sz w:val="24"/>
          <w:highlight w:val="none"/>
        </w:rPr>
        <w:t>。</w:t>
      </w:r>
    </w:p>
    <w:p w14:paraId="3984A245">
      <w:pPr>
        <w:spacing w:line="360" w:lineRule="auto"/>
        <w:ind w:left="25" w:leftChars="12" w:firstLine="354" w:firstLineChars="147"/>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C2C9A95">
      <w:pPr>
        <w:spacing w:line="360" w:lineRule="auto"/>
        <w:ind w:left="25" w:leftChars="12" w:firstLine="354" w:firstLineChars="147"/>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3.质疑函的质疑事项应具体、明确，并有必要的事实依据和法律依据。</w:t>
      </w:r>
    </w:p>
    <w:p w14:paraId="54F72AB9">
      <w:pPr>
        <w:spacing w:line="360" w:lineRule="auto"/>
        <w:ind w:left="25" w:leftChars="12" w:firstLine="354" w:firstLineChars="147"/>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4.质疑函的质疑请求应与质疑事项相关。</w:t>
      </w:r>
    </w:p>
    <w:p w14:paraId="6626A296">
      <w:pPr>
        <w:spacing w:line="360" w:lineRule="auto"/>
        <w:ind w:left="25" w:leftChars="12" w:firstLine="354" w:firstLineChars="147"/>
        <w:rPr>
          <w:rFonts w:hint="eastAsia" w:ascii="仿宋" w:hAnsi="仿宋" w:eastAsia="仿宋" w:cs="仿宋"/>
          <w:b/>
          <w:color w:val="auto"/>
          <w:kern w:val="0"/>
          <w:sz w:val="20"/>
          <w:szCs w:val="21"/>
          <w:highlight w:val="none"/>
        </w:rPr>
      </w:pPr>
      <w:r>
        <w:rPr>
          <w:rFonts w:hint="eastAsia" w:ascii="仿宋" w:hAnsi="仿宋" w:eastAsia="仿宋" w:cs="仿宋"/>
          <w:b/>
          <w:color w:val="auto"/>
          <w:kern w:val="0"/>
          <w:sz w:val="24"/>
          <w:highlight w:val="none"/>
        </w:rPr>
        <w:t>5.质疑供应商为法人或者其他组织的，质疑函应由法定代表人、主要负责人，或者其授权代表签字或者盖章，并加盖公章。</w:t>
      </w:r>
    </w:p>
    <w:p w14:paraId="28F29280">
      <w:pPr>
        <w:spacing w:line="460" w:lineRule="exact"/>
        <w:ind w:firstLine="883"/>
        <w:rPr>
          <w:rFonts w:hint="eastAsia" w:ascii="仿宋" w:hAnsi="仿宋" w:eastAsia="仿宋" w:cs="仿宋"/>
          <w:color w:val="auto"/>
          <w:sz w:val="44"/>
          <w:highlight w:val="none"/>
        </w:rPr>
      </w:pPr>
    </w:p>
    <w:p w14:paraId="7E6A94E5">
      <w:pPr>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6.投诉书（格式）</w:t>
      </w:r>
    </w:p>
    <w:p w14:paraId="0F4D8651">
      <w:pPr>
        <w:spacing w:line="360" w:lineRule="auto"/>
        <w:ind w:firstLine="482"/>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4AF1DF83">
      <w:pPr>
        <w:snapToGrid w:val="0"/>
        <w:spacing w:line="360"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一、投诉相关主体基本情况：</w:t>
      </w:r>
    </w:p>
    <w:p w14:paraId="0A01691F">
      <w:pPr>
        <w:snapToGrid w:val="0"/>
        <w:spacing w:line="360" w:lineRule="auto"/>
        <w:ind w:firstLine="480" w:firstLineChars="200"/>
        <w:jc w:val="left"/>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投标人：</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 xml:space="preserve">                 </w:t>
      </w:r>
    </w:p>
    <w:p w14:paraId="0988C378">
      <w:pPr>
        <w:snapToGri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地址：</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邮编：</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 xml:space="preserve">                 </w:t>
      </w:r>
    </w:p>
    <w:p w14:paraId="673214E5">
      <w:pPr>
        <w:snapToGrid w:val="0"/>
        <w:spacing w:line="360" w:lineRule="auto"/>
        <w:ind w:firstLine="480" w:firstLineChars="200"/>
        <w:jc w:val="left"/>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法定代表人/主要负责人：</w:t>
      </w:r>
      <w:r>
        <w:rPr>
          <w:rFonts w:hint="eastAsia" w:ascii="仿宋" w:hAnsi="仿宋" w:eastAsia="仿宋" w:cs="仿宋"/>
          <w:bCs/>
          <w:color w:val="auto"/>
          <w:kern w:val="0"/>
          <w:sz w:val="24"/>
          <w:highlight w:val="none"/>
          <w:u w:val="single"/>
        </w:rPr>
        <w:t xml:space="preserve">                                                         </w:t>
      </w:r>
    </w:p>
    <w:p w14:paraId="63C3EE98">
      <w:pPr>
        <w:snapToGri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联系电话：</w:t>
      </w:r>
      <w:r>
        <w:rPr>
          <w:rFonts w:hint="eastAsia" w:ascii="仿宋" w:hAnsi="仿宋" w:eastAsia="仿宋" w:cs="仿宋"/>
          <w:bCs/>
          <w:color w:val="auto"/>
          <w:kern w:val="0"/>
          <w:sz w:val="24"/>
          <w:highlight w:val="none"/>
          <w:u w:val="single"/>
        </w:rPr>
        <w:t xml:space="preserve">                                         </w:t>
      </w:r>
    </w:p>
    <w:p w14:paraId="6BC94930">
      <w:pPr>
        <w:snapToGrid w:val="0"/>
        <w:spacing w:line="360" w:lineRule="auto"/>
        <w:ind w:firstLine="480" w:firstLineChars="200"/>
        <w:jc w:val="left"/>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授权代表：</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联系电话：</w:t>
      </w:r>
      <w:r>
        <w:rPr>
          <w:rFonts w:hint="eastAsia" w:ascii="仿宋" w:hAnsi="仿宋" w:eastAsia="仿宋" w:cs="仿宋"/>
          <w:bCs/>
          <w:color w:val="auto"/>
          <w:kern w:val="0"/>
          <w:sz w:val="24"/>
          <w:highlight w:val="none"/>
          <w:u w:val="single"/>
        </w:rPr>
        <w:t xml:space="preserve">                   </w:t>
      </w:r>
    </w:p>
    <w:p w14:paraId="1242E522">
      <w:pPr>
        <w:snapToGrid w:val="0"/>
        <w:spacing w:line="360" w:lineRule="auto"/>
        <w:ind w:firstLine="480" w:firstLineChars="200"/>
        <w:jc w:val="left"/>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地址：</w:t>
      </w:r>
      <w:r>
        <w:rPr>
          <w:rFonts w:hint="eastAsia" w:ascii="仿宋" w:hAnsi="仿宋" w:eastAsia="仿宋" w:cs="仿宋"/>
          <w:bCs/>
          <w:color w:val="auto"/>
          <w:kern w:val="0"/>
          <w:sz w:val="24"/>
          <w:highlight w:val="none"/>
          <w:u w:val="single"/>
        </w:rPr>
        <w:t xml:space="preserve">                                                            </w:t>
      </w:r>
    </w:p>
    <w:p w14:paraId="0B2E2D19">
      <w:pPr>
        <w:snapToGri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邮编：</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 xml:space="preserve">   </w:t>
      </w:r>
    </w:p>
    <w:p w14:paraId="5B162F39">
      <w:pPr>
        <w:snapToGri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被投诉人1：</w:t>
      </w:r>
    </w:p>
    <w:p w14:paraId="5F7690AE">
      <w:pPr>
        <w:snapToGrid w:val="0"/>
        <w:spacing w:line="360" w:lineRule="auto"/>
        <w:ind w:firstLine="480" w:firstLineChars="200"/>
        <w:jc w:val="left"/>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地址：</w:t>
      </w:r>
      <w:r>
        <w:rPr>
          <w:rFonts w:hint="eastAsia" w:ascii="仿宋" w:hAnsi="仿宋" w:eastAsia="仿宋" w:cs="仿宋"/>
          <w:bCs/>
          <w:color w:val="auto"/>
          <w:kern w:val="0"/>
          <w:sz w:val="24"/>
          <w:highlight w:val="none"/>
          <w:u w:val="single"/>
        </w:rPr>
        <w:t xml:space="preserve">                                                            </w:t>
      </w:r>
    </w:p>
    <w:p w14:paraId="1EE13A25">
      <w:pPr>
        <w:snapToGri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邮编：</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 xml:space="preserve">  </w:t>
      </w:r>
    </w:p>
    <w:p w14:paraId="2A587DB5">
      <w:pPr>
        <w:snapToGrid w:val="0"/>
        <w:spacing w:line="360" w:lineRule="auto"/>
        <w:ind w:firstLine="480" w:firstLineChars="200"/>
        <w:jc w:val="left"/>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联系人：</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联系电话：</w:t>
      </w:r>
      <w:r>
        <w:rPr>
          <w:rFonts w:hint="eastAsia" w:ascii="仿宋" w:hAnsi="仿宋" w:eastAsia="仿宋" w:cs="仿宋"/>
          <w:bCs/>
          <w:color w:val="auto"/>
          <w:kern w:val="0"/>
          <w:sz w:val="24"/>
          <w:highlight w:val="none"/>
          <w:u w:val="single"/>
        </w:rPr>
        <w:t xml:space="preserve">                </w:t>
      </w:r>
    </w:p>
    <w:p w14:paraId="29FBCCDE">
      <w:pPr>
        <w:snapToGri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被投诉人2：</w:t>
      </w:r>
    </w:p>
    <w:p w14:paraId="30253F64">
      <w:pPr>
        <w:snapToGri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w:t>
      </w:r>
    </w:p>
    <w:p w14:paraId="67C007DE">
      <w:pPr>
        <w:snapToGrid w:val="0"/>
        <w:spacing w:line="360" w:lineRule="auto"/>
        <w:ind w:firstLine="480" w:firstLineChars="200"/>
        <w:jc w:val="left"/>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相关供应商：</w:t>
      </w:r>
      <w:r>
        <w:rPr>
          <w:rFonts w:hint="eastAsia" w:ascii="仿宋" w:hAnsi="仿宋" w:eastAsia="仿宋" w:cs="仿宋"/>
          <w:bCs/>
          <w:color w:val="auto"/>
          <w:kern w:val="0"/>
          <w:sz w:val="24"/>
          <w:highlight w:val="none"/>
          <w:u w:val="single"/>
        </w:rPr>
        <w:t xml:space="preserve">                                                                       </w:t>
      </w:r>
    </w:p>
    <w:p w14:paraId="2E326A0F">
      <w:pPr>
        <w:snapToGrid w:val="0"/>
        <w:spacing w:line="360" w:lineRule="auto"/>
        <w:ind w:firstLine="480" w:firstLineChars="200"/>
        <w:jc w:val="left"/>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地址：</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邮编：</w:t>
      </w:r>
      <w:r>
        <w:rPr>
          <w:rFonts w:hint="eastAsia" w:ascii="仿宋" w:hAnsi="仿宋" w:eastAsia="仿宋" w:cs="仿宋"/>
          <w:bCs/>
          <w:color w:val="auto"/>
          <w:kern w:val="0"/>
          <w:sz w:val="24"/>
          <w:highlight w:val="none"/>
          <w:u w:val="single"/>
        </w:rPr>
        <w:t xml:space="preserve">                         </w:t>
      </w:r>
    </w:p>
    <w:p w14:paraId="5970D922">
      <w:pPr>
        <w:snapToGri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联系人：</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联系电话：</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 xml:space="preserve">                </w:t>
      </w:r>
    </w:p>
    <w:p w14:paraId="02842E19">
      <w:pPr>
        <w:snapToGrid w:val="0"/>
        <w:spacing w:line="360"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二、投诉项目基本情况：</w:t>
      </w:r>
    </w:p>
    <w:p w14:paraId="01BB2D1E">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采购</w:t>
      </w:r>
      <w:r>
        <w:rPr>
          <w:rFonts w:hint="eastAsia" w:ascii="仿宋" w:hAnsi="仿宋" w:eastAsia="仿宋" w:cs="仿宋"/>
          <w:color w:val="auto"/>
          <w:kern w:val="0"/>
          <w:sz w:val="24"/>
          <w:highlight w:val="none"/>
        </w:rPr>
        <w:t>项目的名称：</w:t>
      </w:r>
      <w:r>
        <w:rPr>
          <w:rFonts w:hint="eastAsia" w:ascii="仿宋" w:hAnsi="仿宋" w:eastAsia="仿宋" w:cs="仿宋"/>
          <w:bCs/>
          <w:color w:val="auto"/>
          <w:kern w:val="0"/>
          <w:sz w:val="24"/>
          <w:highlight w:val="none"/>
          <w:u w:val="single"/>
        </w:rPr>
        <w:t xml:space="preserve">                                                                   </w:t>
      </w:r>
    </w:p>
    <w:p w14:paraId="54F918DD">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采购</w:t>
      </w:r>
      <w:r>
        <w:rPr>
          <w:rFonts w:hint="eastAsia" w:ascii="仿宋" w:hAnsi="仿宋" w:eastAsia="仿宋" w:cs="仿宋"/>
          <w:color w:val="auto"/>
          <w:kern w:val="0"/>
          <w:sz w:val="24"/>
          <w:highlight w:val="none"/>
        </w:rPr>
        <w:t>项目的编号：</w:t>
      </w:r>
      <w:r>
        <w:rPr>
          <w:rFonts w:hint="eastAsia" w:ascii="仿宋" w:hAnsi="仿宋" w:eastAsia="仿宋" w:cs="仿宋"/>
          <w:bCs/>
          <w:color w:val="auto"/>
          <w:kern w:val="0"/>
          <w:sz w:val="24"/>
          <w:highlight w:val="none"/>
          <w:u w:val="single"/>
        </w:rPr>
        <w:t xml:space="preserve">                                          </w:t>
      </w:r>
    </w:p>
    <w:p w14:paraId="53AE9371">
      <w:pPr>
        <w:spacing w:line="360" w:lineRule="auto"/>
        <w:ind w:left="25" w:leftChars="12" w:firstLine="472" w:firstLineChars="197"/>
        <w:rPr>
          <w:rFonts w:hint="eastAsia" w:ascii="仿宋" w:hAnsi="仿宋" w:eastAsia="仿宋" w:cs="仿宋"/>
          <w:bCs/>
          <w:color w:val="auto"/>
          <w:kern w:val="0"/>
          <w:sz w:val="24"/>
          <w:highlight w:val="none"/>
          <w:u w:val="single"/>
        </w:rPr>
      </w:pPr>
      <w:r>
        <w:rPr>
          <w:rFonts w:hint="eastAsia" w:ascii="仿宋" w:hAnsi="仿宋" w:eastAsia="仿宋" w:cs="仿宋"/>
          <w:color w:val="auto"/>
          <w:kern w:val="0"/>
          <w:sz w:val="24"/>
          <w:highlight w:val="none"/>
        </w:rPr>
        <w:t>采购人名称：</w:t>
      </w:r>
      <w:r>
        <w:rPr>
          <w:rFonts w:hint="eastAsia" w:ascii="仿宋" w:hAnsi="仿宋" w:eastAsia="仿宋" w:cs="仿宋"/>
          <w:bCs/>
          <w:color w:val="auto"/>
          <w:kern w:val="0"/>
          <w:sz w:val="24"/>
          <w:highlight w:val="none"/>
          <w:u w:val="single"/>
        </w:rPr>
        <w:t xml:space="preserve">                                                                        </w:t>
      </w:r>
    </w:p>
    <w:p w14:paraId="7870E12D">
      <w:pPr>
        <w:spacing w:line="360" w:lineRule="auto"/>
        <w:ind w:left="25" w:leftChars="12" w:firstLine="472" w:firstLineChars="197"/>
        <w:rPr>
          <w:rFonts w:hint="eastAsia" w:ascii="仿宋" w:hAnsi="仿宋" w:eastAsia="仿宋" w:cs="仿宋"/>
          <w:bCs/>
          <w:color w:val="auto"/>
          <w:kern w:val="0"/>
          <w:sz w:val="24"/>
          <w:highlight w:val="none"/>
          <w:u w:val="single"/>
        </w:rPr>
      </w:pPr>
      <w:r>
        <w:rPr>
          <w:rFonts w:hint="eastAsia" w:ascii="仿宋" w:hAnsi="仿宋" w:eastAsia="仿宋" w:cs="仿宋"/>
          <w:color w:val="auto"/>
          <w:kern w:val="0"/>
          <w:sz w:val="24"/>
          <w:highlight w:val="none"/>
        </w:rPr>
        <w:t>代理机构名称：</w:t>
      </w:r>
      <w:r>
        <w:rPr>
          <w:rFonts w:hint="eastAsia" w:ascii="仿宋" w:hAnsi="仿宋" w:eastAsia="仿宋" w:cs="仿宋"/>
          <w:bCs/>
          <w:color w:val="auto"/>
          <w:kern w:val="0"/>
          <w:sz w:val="24"/>
          <w:highlight w:val="none"/>
          <w:u w:val="single"/>
        </w:rPr>
        <w:t xml:space="preserve">                                                                      </w:t>
      </w:r>
    </w:p>
    <w:p w14:paraId="476A1799">
      <w:pPr>
        <w:spacing w:line="360" w:lineRule="auto"/>
        <w:ind w:left="25" w:leftChars="12" w:firstLine="472" w:firstLineChars="197"/>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采购文件公告：</w:t>
      </w:r>
      <w:r>
        <w:rPr>
          <w:rFonts w:hint="eastAsia" w:ascii="仿宋" w:hAnsi="仿宋" w:eastAsia="仿宋" w:cs="仿宋"/>
          <w:bCs/>
          <w:color w:val="auto"/>
          <w:kern w:val="0"/>
          <w:sz w:val="24"/>
          <w:highlight w:val="none"/>
          <w:u w:val="single"/>
        </w:rPr>
        <w:t>是/否</w:t>
      </w:r>
      <w:r>
        <w:rPr>
          <w:rFonts w:hint="eastAsia" w:ascii="仿宋" w:hAnsi="仿宋" w:eastAsia="仿宋" w:cs="仿宋"/>
          <w:bCs/>
          <w:color w:val="auto"/>
          <w:kern w:val="0"/>
          <w:sz w:val="24"/>
          <w:highlight w:val="none"/>
        </w:rPr>
        <w:t>公告期限：</w:t>
      </w:r>
      <w:r>
        <w:rPr>
          <w:rFonts w:hint="eastAsia" w:ascii="仿宋" w:hAnsi="仿宋" w:eastAsia="仿宋" w:cs="仿宋"/>
          <w:bCs/>
          <w:color w:val="auto"/>
          <w:kern w:val="0"/>
          <w:sz w:val="24"/>
          <w:highlight w:val="none"/>
          <w:u w:val="single"/>
        </w:rPr>
        <w:t xml:space="preserve">                                                       </w:t>
      </w:r>
    </w:p>
    <w:p w14:paraId="2D9DE78C">
      <w:pPr>
        <w:spacing w:line="360" w:lineRule="auto"/>
        <w:ind w:left="25" w:leftChars="12" w:firstLine="472" w:firstLineChars="197"/>
        <w:rPr>
          <w:rFonts w:hint="eastAsia" w:ascii="仿宋" w:hAnsi="仿宋" w:eastAsia="仿宋" w:cs="仿宋"/>
          <w:b/>
          <w:color w:val="auto"/>
          <w:kern w:val="0"/>
          <w:sz w:val="24"/>
          <w:highlight w:val="none"/>
        </w:rPr>
      </w:pPr>
      <w:r>
        <w:rPr>
          <w:rFonts w:hint="eastAsia" w:ascii="仿宋" w:hAnsi="仿宋" w:eastAsia="仿宋" w:cs="仿宋"/>
          <w:bCs/>
          <w:color w:val="auto"/>
          <w:kern w:val="0"/>
          <w:sz w:val="24"/>
          <w:highlight w:val="none"/>
        </w:rPr>
        <w:t>采购结果公告：</w:t>
      </w:r>
      <w:r>
        <w:rPr>
          <w:rFonts w:hint="eastAsia" w:ascii="仿宋" w:hAnsi="仿宋" w:eastAsia="仿宋" w:cs="仿宋"/>
          <w:bCs/>
          <w:color w:val="auto"/>
          <w:kern w:val="0"/>
          <w:sz w:val="24"/>
          <w:highlight w:val="none"/>
          <w:u w:val="single"/>
        </w:rPr>
        <w:t>是/否</w:t>
      </w:r>
      <w:r>
        <w:rPr>
          <w:rFonts w:hint="eastAsia" w:ascii="仿宋" w:hAnsi="仿宋" w:eastAsia="仿宋" w:cs="仿宋"/>
          <w:bCs/>
          <w:color w:val="auto"/>
          <w:kern w:val="0"/>
          <w:sz w:val="24"/>
          <w:highlight w:val="none"/>
        </w:rPr>
        <w:t>公告期限：</w:t>
      </w:r>
      <w:r>
        <w:rPr>
          <w:rFonts w:hint="eastAsia" w:ascii="仿宋" w:hAnsi="仿宋" w:eastAsia="仿宋" w:cs="仿宋"/>
          <w:bCs/>
          <w:color w:val="auto"/>
          <w:kern w:val="0"/>
          <w:sz w:val="24"/>
          <w:highlight w:val="none"/>
          <w:u w:val="single"/>
        </w:rPr>
        <w:t xml:space="preserve">                                                       </w:t>
      </w:r>
    </w:p>
    <w:p w14:paraId="70BD17A1">
      <w:pPr>
        <w:spacing w:line="360" w:lineRule="auto"/>
        <w:ind w:left="25" w:leftChars="12"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三、质疑基本情况</w:t>
      </w:r>
    </w:p>
    <w:p w14:paraId="5DA93597">
      <w:pPr>
        <w:spacing w:line="360" w:lineRule="auto"/>
        <w:ind w:left="25" w:leftChars="12" w:firstLine="480" w:firstLineChars="200"/>
        <w:rPr>
          <w:rFonts w:hint="eastAsia" w:ascii="仿宋" w:hAnsi="仿宋" w:eastAsia="仿宋" w:cs="仿宋"/>
          <w:bCs/>
          <w:color w:val="auto"/>
          <w:kern w:val="0"/>
          <w:sz w:val="24"/>
          <w:highlight w:val="none"/>
          <w:u w:val="single"/>
        </w:rPr>
      </w:pPr>
      <w:r>
        <w:rPr>
          <w:rFonts w:hint="eastAsia" w:ascii="仿宋" w:hAnsi="仿宋" w:eastAsia="仿宋" w:cs="仿宋"/>
          <w:color w:val="auto"/>
          <w:kern w:val="0"/>
          <w:sz w:val="24"/>
          <w:highlight w:val="none"/>
        </w:rPr>
        <w:t>投诉人于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日，向</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提出质疑，质疑事项为： </w:t>
      </w:r>
      <w:r>
        <w:rPr>
          <w:rFonts w:hint="eastAsia" w:ascii="仿宋" w:hAnsi="仿宋" w:eastAsia="仿宋" w:cs="仿宋"/>
          <w:bCs/>
          <w:color w:val="auto"/>
          <w:kern w:val="0"/>
          <w:sz w:val="24"/>
          <w:highlight w:val="none"/>
          <w:u w:val="single"/>
        </w:rPr>
        <w:t xml:space="preserve">                                                                                    </w:t>
      </w:r>
    </w:p>
    <w:p w14:paraId="0D840E74">
      <w:pPr>
        <w:spacing w:line="360" w:lineRule="auto"/>
        <w:ind w:firstLine="482"/>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 xml:space="preserve">    </w:t>
      </w:r>
      <w:r>
        <w:rPr>
          <w:rFonts w:hint="eastAsia" w:ascii="仿宋" w:hAnsi="仿宋" w:eastAsia="仿宋" w:cs="仿宋"/>
          <w:bCs/>
          <w:color w:val="auto"/>
          <w:kern w:val="0"/>
          <w:sz w:val="24"/>
          <w:highlight w:val="none"/>
          <w:u w:val="single"/>
        </w:rPr>
        <w:t xml:space="preserve">                                                                                      </w:t>
      </w:r>
    </w:p>
    <w:p w14:paraId="7814B4F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u w:val="single"/>
        </w:rPr>
        <w:t>采购人/代理机构</w:t>
      </w:r>
      <w:r>
        <w:rPr>
          <w:rFonts w:hint="eastAsia" w:ascii="仿宋" w:hAnsi="仿宋" w:eastAsia="仿宋" w:cs="仿宋"/>
          <w:bCs/>
          <w:color w:val="auto"/>
          <w:kern w:val="0"/>
          <w:sz w:val="24"/>
          <w:highlight w:val="none"/>
        </w:rPr>
        <w:t>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r>
        <w:rPr>
          <w:rFonts w:hint="eastAsia" w:ascii="仿宋" w:hAnsi="仿宋" w:eastAsia="仿宋" w:cs="仿宋"/>
          <w:bCs/>
          <w:color w:val="auto"/>
          <w:kern w:val="0"/>
          <w:sz w:val="24"/>
          <w:highlight w:val="none"/>
        </w:rPr>
        <w:t xml:space="preserve">就质疑事项作出了答复/没有在法定期限内作出答复。                                                                                             </w:t>
      </w:r>
    </w:p>
    <w:p w14:paraId="63CE0C7F">
      <w:pPr>
        <w:spacing w:line="360" w:lineRule="auto"/>
        <w:ind w:left="25" w:leftChars="12"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四、投诉事项具体内容</w:t>
      </w:r>
    </w:p>
    <w:p w14:paraId="04E1CB04">
      <w:pPr>
        <w:spacing w:line="360" w:lineRule="auto"/>
        <w:ind w:left="25" w:leftChars="12" w:firstLine="472" w:firstLineChars="197"/>
        <w:rPr>
          <w:rFonts w:hint="eastAsia" w:ascii="仿宋" w:hAnsi="仿宋" w:eastAsia="仿宋" w:cs="仿宋"/>
          <w:bCs/>
          <w:color w:val="auto"/>
          <w:kern w:val="0"/>
          <w:sz w:val="24"/>
          <w:highlight w:val="none"/>
          <w:u w:val="single"/>
        </w:rPr>
      </w:pPr>
      <w:r>
        <w:rPr>
          <w:rFonts w:hint="eastAsia" w:ascii="仿宋" w:hAnsi="仿宋" w:eastAsia="仿宋" w:cs="仿宋"/>
          <w:color w:val="auto"/>
          <w:kern w:val="0"/>
          <w:sz w:val="24"/>
          <w:highlight w:val="none"/>
        </w:rPr>
        <w:t>投诉事项1：</w:t>
      </w:r>
      <w:r>
        <w:rPr>
          <w:rFonts w:hint="eastAsia" w:ascii="仿宋" w:hAnsi="仿宋" w:eastAsia="仿宋" w:cs="仿宋"/>
          <w:bCs/>
          <w:color w:val="auto"/>
          <w:kern w:val="0"/>
          <w:sz w:val="24"/>
          <w:highlight w:val="none"/>
          <w:u w:val="single"/>
        </w:rPr>
        <w:t xml:space="preserve">                                                                           </w:t>
      </w:r>
    </w:p>
    <w:p w14:paraId="5696D1A4">
      <w:pPr>
        <w:spacing w:line="360" w:lineRule="auto"/>
        <w:ind w:firstLine="480" w:firstLineChars="200"/>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事实依据：</w:t>
      </w:r>
      <w:r>
        <w:rPr>
          <w:rFonts w:hint="eastAsia" w:ascii="仿宋" w:hAnsi="仿宋" w:eastAsia="仿宋" w:cs="仿宋"/>
          <w:color w:val="auto"/>
          <w:kern w:val="0"/>
          <w:sz w:val="24"/>
          <w:highlight w:val="none"/>
        </w:rPr>
        <w:t xml:space="preserve"> </w:t>
      </w:r>
      <w:r>
        <w:rPr>
          <w:rFonts w:hint="eastAsia" w:ascii="仿宋" w:hAnsi="仿宋" w:eastAsia="仿宋" w:cs="仿宋"/>
          <w:bCs/>
          <w:color w:val="auto"/>
          <w:kern w:val="0"/>
          <w:sz w:val="24"/>
          <w:highlight w:val="none"/>
          <w:u w:val="single"/>
        </w:rPr>
        <w:t xml:space="preserve">                                                                                      </w:t>
      </w:r>
    </w:p>
    <w:p w14:paraId="17D486F3">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u w:val="single"/>
        </w:rPr>
        <w:t xml:space="preserve">                                                                                        </w:t>
      </w:r>
    </w:p>
    <w:p w14:paraId="4DAEE0A1">
      <w:pPr>
        <w:spacing w:line="360" w:lineRule="auto"/>
        <w:ind w:firstLine="480" w:firstLineChars="200"/>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法律依据：</w:t>
      </w:r>
      <w:r>
        <w:rPr>
          <w:rFonts w:hint="eastAsia" w:ascii="仿宋" w:hAnsi="仿宋" w:eastAsia="仿宋" w:cs="仿宋"/>
          <w:color w:val="auto"/>
          <w:kern w:val="0"/>
          <w:sz w:val="24"/>
          <w:highlight w:val="none"/>
        </w:rPr>
        <w:t xml:space="preserve"> </w:t>
      </w:r>
      <w:r>
        <w:rPr>
          <w:rFonts w:hint="eastAsia" w:ascii="仿宋" w:hAnsi="仿宋" w:eastAsia="仿宋" w:cs="仿宋"/>
          <w:bCs/>
          <w:color w:val="auto"/>
          <w:kern w:val="0"/>
          <w:sz w:val="24"/>
          <w:highlight w:val="none"/>
          <w:u w:val="single"/>
        </w:rPr>
        <w:t xml:space="preserve">                                                                                      </w:t>
      </w:r>
    </w:p>
    <w:p w14:paraId="638110E6">
      <w:pPr>
        <w:spacing w:line="360" w:lineRule="auto"/>
        <w:ind w:left="25" w:leftChars="12" w:firstLine="352" w:firstLineChars="147"/>
        <w:rPr>
          <w:rFonts w:hint="eastAsia" w:ascii="仿宋" w:hAnsi="仿宋" w:eastAsia="仿宋" w:cs="仿宋"/>
          <w:bCs/>
          <w:color w:val="auto"/>
          <w:kern w:val="0"/>
          <w:sz w:val="24"/>
          <w:highlight w:val="none"/>
          <w:u w:val="single"/>
        </w:rPr>
      </w:pPr>
      <w:r>
        <w:rPr>
          <w:rFonts w:hint="eastAsia" w:ascii="仿宋" w:hAnsi="仿宋" w:eastAsia="仿宋" w:cs="仿宋"/>
          <w:bCs/>
          <w:color w:val="auto"/>
          <w:kern w:val="0"/>
          <w:sz w:val="24"/>
          <w:highlight w:val="none"/>
        </w:rPr>
        <w:t xml:space="preserve"> </w:t>
      </w:r>
      <w:r>
        <w:rPr>
          <w:rFonts w:hint="eastAsia" w:ascii="仿宋" w:hAnsi="仿宋" w:eastAsia="仿宋" w:cs="仿宋"/>
          <w:bCs/>
          <w:color w:val="auto"/>
          <w:kern w:val="0"/>
          <w:sz w:val="24"/>
          <w:highlight w:val="none"/>
          <w:u w:val="single"/>
        </w:rPr>
        <w:t xml:space="preserve">                                                                                        </w:t>
      </w:r>
    </w:p>
    <w:p w14:paraId="76FB88B9">
      <w:pPr>
        <w:spacing w:line="360" w:lineRule="auto"/>
        <w:ind w:left="25" w:leftChars="12" w:firstLine="472" w:firstLineChars="197"/>
        <w:rPr>
          <w:rFonts w:hint="eastAsia" w:ascii="仿宋" w:hAnsi="仿宋" w:eastAsia="仿宋" w:cs="仿宋"/>
          <w:bCs/>
          <w:color w:val="auto"/>
          <w:kern w:val="0"/>
          <w:sz w:val="24"/>
          <w:highlight w:val="none"/>
        </w:rPr>
      </w:pPr>
      <w:r>
        <w:rPr>
          <w:rFonts w:hint="eastAsia" w:ascii="仿宋" w:hAnsi="仿宋" w:eastAsia="仿宋" w:cs="仿宋"/>
          <w:color w:val="auto"/>
          <w:kern w:val="0"/>
          <w:sz w:val="24"/>
          <w:highlight w:val="none"/>
        </w:rPr>
        <w:t xml:space="preserve">投诉事项2  </w:t>
      </w:r>
      <w:r>
        <w:rPr>
          <w:rFonts w:hint="eastAsia" w:ascii="仿宋" w:hAnsi="仿宋" w:eastAsia="仿宋" w:cs="仿宋"/>
          <w:bCs/>
          <w:color w:val="auto"/>
          <w:kern w:val="0"/>
          <w:sz w:val="24"/>
          <w:highlight w:val="none"/>
        </w:rPr>
        <w:t xml:space="preserve">   </w:t>
      </w:r>
    </w:p>
    <w:p w14:paraId="1E3F77EC">
      <w:pPr>
        <w:spacing w:line="360" w:lineRule="auto"/>
        <w:ind w:left="25" w:leftChars="12" w:firstLine="472" w:firstLineChars="197"/>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w:t>
      </w:r>
    </w:p>
    <w:p w14:paraId="7D4FDAC9">
      <w:pPr>
        <w:spacing w:line="360" w:lineRule="auto"/>
        <w:ind w:left="25" w:leftChars="12"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五、与投诉事项相关的投诉请求：</w:t>
      </w:r>
    </w:p>
    <w:p w14:paraId="0F873FEF">
      <w:pPr>
        <w:spacing w:line="360" w:lineRule="auto"/>
        <w:ind w:left="25" w:leftChars="12" w:firstLine="472" w:firstLineChars="1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请求：</w:t>
      </w:r>
      <w:r>
        <w:rPr>
          <w:rFonts w:hint="eastAsia" w:ascii="仿宋" w:hAnsi="仿宋" w:eastAsia="仿宋" w:cs="仿宋"/>
          <w:bCs/>
          <w:color w:val="auto"/>
          <w:kern w:val="0"/>
          <w:sz w:val="24"/>
          <w:highlight w:val="none"/>
          <w:u w:val="single"/>
        </w:rPr>
        <w:t xml:space="preserve">                                                                                 </w:t>
      </w:r>
    </w:p>
    <w:p w14:paraId="4C5E806A">
      <w:pPr>
        <w:spacing w:line="360" w:lineRule="auto"/>
        <w:ind w:left="25" w:leftChars="12" w:firstLine="352" w:firstLineChars="147"/>
        <w:rPr>
          <w:rFonts w:hint="eastAsia" w:ascii="仿宋" w:hAnsi="仿宋" w:eastAsia="仿宋" w:cs="仿宋"/>
          <w:color w:val="auto"/>
          <w:kern w:val="0"/>
          <w:sz w:val="24"/>
          <w:highlight w:val="none"/>
        </w:rPr>
      </w:pPr>
    </w:p>
    <w:p w14:paraId="670BFA48">
      <w:pPr>
        <w:spacing w:line="360" w:lineRule="auto"/>
        <w:ind w:left="25" w:leftChars="12" w:firstLine="3352" w:firstLineChars="139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签字（签章）：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308E309C">
      <w:pPr>
        <w:spacing w:line="360" w:lineRule="auto"/>
        <w:ind w:left="25" w:leftChars="12" w:firstLine="472" w:firstLineChars="197"/>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 xml:space="preserve">                        公章：</w:t>
      </w:r>
      <w:r>
        <w:rPr>
          <w:rFonts w:hint="eastAsia" w:ascii="仿宋" w:hAnsi="仿宋" w:eastAsia="仿宋" w:cs="仿宋"/>
          <w:color w:val="auto"/>
          <w:kern w:val="0"/>
          <w:sz w:val="24"/>
          <w:highlight w:val="none"/>
          <w:u w:val="single"/>
        </w:rPr>
        <w:t xml:space="preserve">                       </w:t>
      </w:r>
    </w:p>
    <w:p w14:paraId="537EC265">
      <w:pPr>
        <w:spacing w:line="360" w:lineRule="auto"/>
        <w:ind w:left="25" w:leftChars="12" w:firstLine="3352" w:firstLineChars="1397"/>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r>
        <w:rPr>
          <w:rFonts w:hint="eastAsia" w:ascii="仿宋" w:hAnsi="仿宋" w:eastAsia="仿宋" w:cs="仿宋"/>
          <w:bCs/>
          <w:color w:val="auto"/>
          <w:kern w:val="0"/>
          <w:sz w:val="24"/>
          <w:highlight w:val="none"/>
        </w:rPr>
        <w:t xml:space="preserve">                                                                                </w:t>
      </w:r>
      <w:r>
        <w:rPr>
          <w:rFonts w:hint="eastAsia" w:ascii="仿宋" w:hAnsi="仿宋" w:eastAsia="仿宋" w:cs="仿宋"/>
          <w:b/>
          <w:color w:val="auto"/>
          <w:kern w:val="0"/>
          <w:sz w:val="24"/>
          <w:highlight w:val="none"/>
        </w:rPr>
        <w:t>说明：</w:t>
      </w:r>
    </w:p>
    <w:p w14:paraId="2D35B1F8">
      <w:pPr>
        <w:spacing w:line="360" w:lineRule="auto"/>
        <w:ind w:left="25" w:leftChars="12" w:firstLine="354" w:firstLineChars="147"/>
        <w:rPr>
          <w:rFonts w:hint="eastAsia" w:ascii="仿宋" w:hAnsi="仿宋" w:eastAsia="仿宋" w:cs="仿宋"/>
          <w:b/>
          <w:bCs/>
          <w:color w:val="auto"/>
          <w:kern w:val="0"/>
          <w:sz w:val="24"/>
          <w:highlight w:val="none"/>
        </w:rPr>
      </w:pPr>
      <w:r>
        <w:rPr>
          <w:rFonts w:hint="eastAsia" w:ascii="仿宋" w:hAnsi="仿宋" w:eastAsia="仿宋" w:cs="仿宋"/>
          <w:b/>
          <w:color w:val="auto"/>
          <w:kern w:val="0"/>
          <w:sz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kern w:val="0"/>
          <w:sz w:val="24"/>
          <w:highlight w:val="none"/>
        </w:rPr>
        <w:t>。</w:t>
      </w:r>
    </w:p>
    <w:p w14:paraId="4D43ABD0">
      <w:pPr>
        <w:spacing w:line="360" w:lineRule="auto"/>
        <w:ind w:left="25" w:leftChars="12" w:firstLine="354" w:firstLineChars="147"/>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93B52F2">
      <w:pPr>
        <w:spacing w:line="360" w:lineRule="auto"/>
        <w:ind w:left="25" w:leftChars="12" w:firstLine="354" w:firstLineChars="147"/>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3.投诉书应简要列明质疑事项，质疑函、质疑答复等作为附件材料提供。</w:t>
      </w:r>
    </w:p>
    <w:p w14:paraId="30E15590">
      <w:pPr>
        <w:spacing w:line="360" w:lineRule="auto"/>
        <w:ind w:left="25" w:leftChars="12" w:firstLine="354" w:firstLineChars="147"/>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4.投诉书的投诉事项应具体、明确，并有必要的事实依据和法律依据。</w:t>
      </w:r>
    </w:p>
    <w:p w14:paraId="4E42C31B">
      <w:pPr>
        <w:spacing w:line="360" w:lineRule="auto"/>
        <w:ind w:left="25" w:leftChars="12" w:firstLine="354" w:firstLineChars="147"/>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5.投诉书的投诉请求应与投诉事项相关。</w:t>
      </w:r>
    </w:p>
    <w:p w14:paraId="6BEAA222">
      <w:pPr>
        <w:spacing w:line="360" w:lineRule="auto"/>
        <w:ind w:left="25" w:leftChars="12" w:firstLine="354" w:firstLineChars="147"/>
        <w:rPr>
          <w:rFonts w:hint="eastAsia" w:ascii="仿宋" w:hAnsi="仿宋" w:eastAsia="仿宋" w:cs="仿宋"/>
          <w:b/>
          <w:color w:val="auto"/>
          <w:kern w:val="0"/>
          <w:sz w:val="20"/>
          <w:szCs w:val="21"/>
          <w:highlight w:val="none"/>
        </w:rPr>
      </w:pPr>
      <w:r>
        <w:rPr>
          <w:rFonts w:hint="eastAsia" w:ascii="仿宋" w:hAnsi="仿宋" w:eastAsia="仿宋" w:cs="仿宋"/>
          <w:b/>
          <w:color w:val="auto"/>
          <w:kern w:val="0"/>
          <w:sz w:val="24"/>
          <w:highlight w:val="none"/>
        </w:rPr>
        <w:t>6.投诉人为法人或者其他组织的，投诉书应由法定代表人、主要负责人，或者其授权代表签字或者盖章，并加盖公章。</w:t>
      </w:r>
    </w:p>
    <w:p w14:paraId="540EE763">
      <w:pPr>
        <w:rPr>
          <w:rFonts w:hint="eastAsia" w:ascii="仿宋" w:hAnsi="仿宋" w:eastAsia="仿宋" w:cs="仿宋"/>
          <w:color w:val="auto"/>
          <w:sz w:val="24"/>
          <w:highlight w:val="none"/>
        </w:rPr>
      </w:pPr>
    </w:p>
    <w:sectPr>
      <w:headerReference r:id="rId17" w:type="first"/>
      <w:footerReference r:id="rId20" w:type="first"/>
      <w:headerReference r:id="rId16" w:type="default"/>
      <w:footerReference r:id="rId18" w:type="default"/>
      <w:footerReference r:id="rId19" w:type="even"/>
      <w:pgSz w:w="11906" w:h="16838"/>
      <w:pgMar w:top="1417" w:right="1417" w:bottom="1417" w:left="1417" w:header="851" w:footer="992" w:gutter="0"/>
      <w:pgNumType w:fmt="decimal"/>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w:panose1 w:val="020B0604020202020204"/>
    <w:charset w:val="00"/>
    <w:family w:val="swiss"/>
    <w:pitch w:val="default"/>
    <w:sig w:usb0="00000000" w:usb1="00000000" w:usb2="00000000" w:usb3="00000000" w:csb0="00000000"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3f软3f雅3f黑3f">
    <w:altName w:val="黑体"/>
    <w:panose1 w:val="00000000000000000000"/>
    <w:charset w:val="86"/>
    <w:family w:val="auto"/>
    <w:pitch w:val="default"/>
    <w:sig w:usb0="00000000" w:usb1="00000000" w:usb2="00000010" w:usb3="00000000" w:csb0="00040000" w:csb1="00000000"/>
  </w:font>
  <w:font w:name="BatangChe">
    <w:altName w:val="Adobe Myungjo Std M"/>
    <w:panose1 w:val="02030609000101010101"/>
    <w:charset w:val="81"/>
    <w:family w:val="modern"/>
    <w:pitch w:val="default"/>
    <w:sig w:usb0="00000000" w:usb1="00000000" w:usb2="00000030" w:usb3="00000000" w:csb0="4008009F" w:csb1="DFD70000"/>
  </w:font>
  <w:font w:name="Adobe Myungjo Std M">
    <w:panose1 w:val="02020600000000000000"/>
    <w:charset w:val="80"/>
    <w:family w:val="auto"/>
    <w:pitch w:val="default"/>
    <w:sig w:usb0="00000001" w:usb1="21D72C10" w:usb2="00000010" w:usb3="00000000" w:csb0="602A0005"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74AA3">
    <w:pPr>
      <w:tabs>
        <w:tab w:val="center" w:pos="4153"/>
        <w:tab w:val="right" w:pos="8306"/>
      </w:tabs>
      <w:snapToGrid w:val="0"/>
      <w:jc w:val="left"/>
      <w:rPr>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7C609">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F7C609">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4832">
    <w:pPr>
      <w:snapToGrid w:val="0"/>
      <w:ind w:right="360"/>
      <w:rPr>
        <w:kern w:val="0"/>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BDE0E">
                          <w:pPr>
                            <w:pStyle w:val="2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6BDE0E">
                    <w:pPr>
                      <w:pStyle w:val="2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C896A">
    <w:pPr>
      <w:pStyle w:val="27"/>
      <w:ind w:firstLine="36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E07EE">
                          <w:pPr>
                            <w:pStyle w:val="2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1E07EE">
                    <w:pPr>
                      <w:pStyle w:val="27"/>
                    </w:pPr>
                    <w:r>
                      <w:fldChar w:fldCharType="begin"/>
                    </w:r>
                    <w:r>
                      <w:instrText xml:space="preserve"> PAGE  \* MERGEFORMAT </w:instrText>
                    </w:r>
                    <w:r>
                      <w:fldChar w:fldCharType="separate"/>
                    </w:r>
                    <w:r>
                      <w:t>86</w:t>
                    </w:r>
                    <w:r>
                      <w:fldChar w:fldCharType="end"/>
                    </w:r>
                  </w:p>
                </w:txbxContent>
              </v:textbox>
            </v:shape>
          </w:pict>
        </mc:Fallback>
      </mc:AlternateContent>
    </w:r>
  </w:p>
  <w:p w14:paraId="33ED10B1">
    <w:pPr>
      <w:pStyle w:val="27"/>
      <w:ind w:firstLine="36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B98">
    <w:pPr>
      <w:pStyle w:val="27"/>
      <w:framePr w:wrap="around" w:vAnchor="text" w:hAnchor="margin" w:xAlign="center" w:y="1"/>
      <w:ind w:firstLine="361"/>
      <w:rPr>
        <w:rStyle w:val="45"/>
      </w:rPr>
    </w:pPr>
    <w:r>
      <w:fldChar w:fldCharType="begin"/>
    </w:r>
    <w:r>
      <w:rPr>
        <w:rStyle w:val="45"/>
      </w:rPr>
      <w:instrText xml:space="preserve">PAGE  </w:instrText>
    </w:r>
    <w:r>
      <w:fldChar w:fldCharType="end"/>
    </w:r>
  </w:p>
  <w:p w14:paraId="7D0ACF11">
    <w:pPr>
      <w:pStyle w:val="27"/>
      <w:ind w:firstLine="361"/>
    </w:pPr>
  </w:p>
  <w:p w14:paraId="5EEC91D4"/>
  <w:p w14:paraId="3F9977BB"/>
  <w:p w14:paraId="3C4D9C5A"/>
  <w:p w14:paraId="164A07B9"/>
  <w:p w14:paraId="57022B93"/>
  <w:p w14:paraId="16DC1019"/>
  <w:p w14:paraId="3440E92B"/>
  <w:p w14:paraId="41707F5E"/>
  <w:p w14:paraId="4D776D2B"/>
  <w:p w14:paraId="743CACA8"/>
  <w:p w14:paraId="2AE15415"/>
  <w:p w14:paraId="0F279D54"/>
  <w:p w14:paraId="7F6EA05A"/>
  <w:p w14:paraId="08021372"/>
  <w:p w14:paraId="15658700"/>
  <w:p w14:paraId="533D6CC0"/>
  <w:p w14:paraId="45012A9B"/>
  <w:p w14:paraId="79420A20"/>
  <w:p w14:paraId="14A17DFE"/>
  <w:p w14:paraId="745DF34A"/>
  <w:p w14:paraId="274EB2A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A520E">
    <w:pPr>
      <w:pStyle w:val="27"/>
      <w:ind w:right="360" w:firstLine="361"/>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645FE">
                          <w:pPr>
                            <w:pStyle w:val="2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28645FE">
                    <w:pPr>
                      <w:pStyle w:val="2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B562">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6425D">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D6425D">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AB6A">
    <w:pPr>
      <w:tabs>
        <w:tab w:val="center" w:pos="4153"/>
        <w:tab w:val="right" w:pos="8306"/>
      </w:tabs>
      <w:snapToGrid w:val="0"/>
      <w:jc w:val="left"/>
      <w:rPr>
        <w:kern w:val="0"/>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381E2">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D8381E2">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DB5A">
    <w:pPr>
      <w:pStyle w:val="2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031DD">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34031DD">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0B4C">
    <w:pPr>
      <w:snapToGrid w:val="0"/>
      <w:jc w:val="center"/>
      <w:rPr>
        <w:kern w:val="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F6D8B">
                          <w:pPr>
                            <w:pStyle w:val="2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9F6D8B">
                    <w:pPr>
                      <w:pStyle w:val="27"/>
                    </w:pPr>
                    <w:r>
                      <w:fldChar w:fldCharType="begin"/>
                    </w:r>
                    <w:r>
                      <w:instrText xml:space="preserve"> PAGE  \* MERGEFORMAT </w:instrText>
                    </w:r>
                    <w:r>
                      <w:fldChar w:fldCharType="separate"/>
                    </w:r>
                    <w:r>
                      <w:t>20</w:t>
                    </w:r>
                    <w:r>
                      <w:fldChar w:fldCharType="end"/>
                    </w:r>
                  </w:p>
                </w:txbxContent>
              </v:textbox>
            </v:shape>
          </w:pict>
        </mc:Fallback>
      </mc:AlternateContent>
    </w:r>
  </w:p>
  <w:p w14:paraId="230C2423">
    <w:pPr>
      <w:snapToGrid w:val="0"/>
      <w:jc w:val="left"/>
      <w:rPr>
        <w:kern w:val="0"/>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B4A2">
    <w:pPr>
      <w:framePr w:wrap="around" w:vAnchor="text" w:hAnchor="margin" w:xAlign="center" w:y="1"/>
      <w:snapToGrid w:val="0"/>
      <w:jc w:val="left"/>
      <w:rPr>
        <w:rStyle w:val="45"/>
        <w:kern w:val="0"/>
        <w:sz w:val="18"/>
        <w:szCs w:val="18"/>
      </w:rPr>
    </w:pPr>
    <w:r>
      <w:rPr>
        <w:kern w:val="0"/>
        <w:sz w:val="18"/>
        <w:szCs w:val="18"/>
      </w:rPr>
      <w:fldChar w:fldCharType="begin"/>
    </w:r>
    <w:r>
      <w:rPr>
        <w:rStyle w:val="45"/>
      </w:rPr>
      <w:instrText xml:space="preserve">PAGE  </w:instrText>
    </w:r>
    <w:r>
      <w:rPr>
        <w:kern w:val="0"/>
        <w:sz w:val="18"/>
        <w:szCs w:val="18"/>
      </w:rPr>
      <w:fldChar w:fldCharType="end"/>
    </w:r>
  </w:p>
  <w:p w14:paraId="7AA53925">
    <w:pPr>
      <w:snapToGrid w:val="0"/>
      <w:jc w:val="left"/>
      <w:rPr>
        <w:kern w:val="0"/>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6E77C">
    <w:pPr>
      <w:snapToGrid w:val="0"/>
      <w:ind w:right="360"/>
      <w:rPr>
        <w:kern w:val="0"/>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2CFE2">
                          <w:pPr>
                            <w:pStyle w:val="2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42CFE2">
                    <w:pPr>
                      <w:pStyle w:val="2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BF58">
    <w:pPr>
      <w:snapToGrid w:val="0"/>
      <w:jc w:val="center"/>
      <w:rPr>
        <w:kern w:val="0"/>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6E06E">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76E06E">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118BC8A9">
    <w:pPr>
      <w:snapToGrid w:val="0"/>
      <w:jc w:val="left"/>
      <w:rPr>
        <w:kern w:val="0"/>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4125">
    <w:pPr>
      <w:framePr w:wrap="around" w:vAnchor="text" w:hAnchor="margin" w:xAlign="center" w:y="1"/>
      <w:snapToGrid w:val="0"/>
      <w:jc w:val="left"/>
      <w:rPr>
        <w:rStyle w:val="45"/>
        <w:kern w:val="0"/>
        <w:sz w:val="18"/>
        <w:szCs w:val="18"/>
      </w:rPr>
    </w:pPr>
    <w:r>
      <w:rPr>
        <w:kern w:val="0"/>
        <w:sz w:val="18"/>
        <w:szCs w:val="18"/>
      </w:rPr>
      <w:fldChar w:fldCharType="begin"/>
    </w:r>
    <w:r>
      <w:rPr>
        <w:rStyle w:val="45"/>
      </w:rPr>
      <w:instrText xml:space="preserve">PAGE  </w:instrText>
    </w:r>
    <w:r>
      <w:rPr>
        <w:kern w:val="0"/>
        <w:sz w:val="18"/>
        <w:szCs w:val="18"/>
      </w:rPr>
      <w:fldChar w:fldCharType="end"/>
    </w:r>
  </w:p>
  <w:p w14:paraId="486D8B14">
    <w:pPr>
      <w:snapToGrid w:val="0"/>
      <w:jc w:val="left"/>
      <w:rPr>
        <w:ker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88D61">
    <w:pP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77C36">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52CA">
    <w:pPr>
      <w:snapToGrid w:val="0"/>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2526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5625264">
                    <w:pPr>
                      <w:pStyle w:val="28"/>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A7CA">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3F7DF">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B83F7DF">
                    <w:pPr>
                      <w:pStyle w:val="28"/>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1521">
    <w:pPr>
      <w:pStyle w:val="28"/>
      <w:pBdr>
        <w:bottom w:val="none" w:color="auto" w:sz="0" w:space="1"/>
      </w:pBdr>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E14A8"/>
    <w:multiLevelType w:val="singleLevel"/>
    <w:tmpl w:val="CADE14A8"/>
    <w:lvl w:ilvl="0" w:tentative="0">
      <w:start w:val="1"/>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pStyle w:val="155"/>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6670228A"/>
    <w:multiLevelType w:val="multilevel"/>
    <w:tmpl w:val="6670228A"/>
    <w:lvl w:ilvl="0" w:tentative="0">
      <w:start w:val="1"/>
      <w:numFmt w:val="decimal"/>
      <w:pStyle w:val="21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BD51E6"/>
    <w:multiLevelType w:val="multilevel"/>
    <w:tmpl w:val="70BD51E6"/>
    <w:lvl w:ilvl="0" w:tentative="0">
      <w:start w:val="1"/>
      <w:numFmt w:val="decimal"/>
      <w:pStyle w:val="233"/>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33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MDkzMTgyMzY0ZjBiMWJiYmVjOTA0OTNiYWIzZTcifQ=="/>
  </w:docVars>
  <w:rsids>
    <w:rsidRoot w:val="00172A27"/>
    <w:rsid w:val="0000010C"/>
    <w:rsid w:val="00000D21"/>
    <w:rsid w:val="00000FE0"/>
    <w:rsid w:val="00001068"/>
    <w:rsid w:val="0000114A"/>
    <w:rsid w:val="00001731"/>
    <w:rsid w:val="00001951"/>
    <w:rsid w:val="00001971"/>
    <w:rsid w:val="00001C2D"/>
    <w:rsid w:val="00001C55"/>
    <w:rsid w:val="00001CA8"/>
    <w:rsid w:val="00001FAE"/>
    <w:rsid w:val="00002291"/>
    <w:rsid w:val="00002644"/>
    <w:rsid w:val="00002DBF"/>
    <w:rsid w:val="00002EC0"/>
    <w:rsid w:val="00003224"/>
    <w:rsid w:val="000033F5"/>
    <w:rsid w:val="000034EA"/>
    <w:rsid w:val="0000358C"/>
    <w:rsid w:val="00003BB9"/>
    <w:rsid w:val="00003BEF"/>
    <w:rsid w:val="00004130"/>
    <w:rsid w:val="0000431F"/>
    <w:rsid w:val="00004634"/>
    <w:rsid w:val="00004D8B"/>
    <w:rsid w:val="0000581E"/>
    <w:rsid w:val="000059E2"/>
    <w:rsid w:val="00005C19"/>
    <w:rsid w:val="00006AE7"/>
    <w:rsid w:val="00006B9B"/>
    <w:rsid w:val="00006C35"/>
    <w:rsid w:val="00006F6C"/>
    <w:rsid w:val="000072B1"/>
    <w:rsid w:val="00007329"/>
    <w:rsid w:val="00007C9A"/>
    <w:rsid w:val="00007E28"/>
    <w:rsid w:val="00007E84"/>
    <w:rsid w:val="00010401"/>
    <w:rsid w:val="000105A1"/>
    <w:rsid w:val="000107AD"/>
    <w:rsid w:val="00010835"/>
    <w:rsid w:val="00011842"/>
    <w:rsid w:val="00012137"/>
    <w:rsid w:val="000121EE"/>
    <w:rsid w:val="000121FF"/>
    <w:rsid w:val="00012293"/>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C7E"/>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18D"/>
    <w:rsid w:val="00025A93"/>
    <w:rsid w:val="0002646A"/>
    <w:rsid w:val="0002651D"/>
    <w:rsid w:val="00026CFD"/>
    <w:rsid w:val="000272CC"/>
    <w:rsid w:val="000279F9"/>
    <w:rsid w:val="00027A11"/>
    <w:rsid w:val="00027C8B"/>
    <w:rsid w:val="00027CD9"/>
    <w:rsid w:val="00030242"/>
    <w:rsid w:val="00030B06"/>
    <w:rsid w:val="00030D9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1B9"/>
    <w:rsid w:val="00043BE5"/>
    <w:rsid w:val="00044003"/>
    <w:rsid w:val="00044527"/>
    <w:rsid w:val="0004469E"/>
    <w:rsid w:val="00044897"/>
    <w:rsid w:val="00044ACF"/>
    <w:rsid w:val="00044D83"/>
    <w:rsid w:val="00044E06"/>
    <w:rsid w:val="000454F4"/>
    <w:rsid w:val="00045670"/>
    <w:rsid w:val="00045D1E"/>
    <w:rsid w:val="00045E69"/>
    <w:rsid w:val="00045EF4"/>
    <w:rsid w:val="00045F13"/>
    <w:rsid w:val="00046547"/>
    <w:rsid w:val="000466D7"/>
    <w:rsid w:val="00046753"/>
    <w:rsid w:val="00047254"/>
    <w:rsid w:val="000472FD"/>
    <w:rsid w:val="0005022B"/>
    <w:rsid w:val="00050771"/>
    <w:rsid w:val="000513F3"/>
    <w:rsid w:val="00052287"/>
    <w:rsid w:val="000522E0"/>
    <w:rsid w:val="00052609"/>
    <w:rsid w:val="000532F4"/>
    <w:rsid w:val="000535C8"/>
    <w:rsid w:val="000536AE"/>
    <w:rsid w:val="00054298"/>
    <w:rsid w:val="00054AFB"/>
    <w:rsid w:val="00054CD5"/>
    <w:rsid w:val="00054D03"/>
    <w:rsid w:val="000550AC"/>
    <w:rsid w:val="0005580E"/>
    <w:rsid w:val="0005584D"/>
    <w:rsid w:val="00055CC3"/>
    <w:rsid w:val="00055CEE"/>
    <w:rsid w:val="0005629B"/>
    <w:rsid w:val="000566FA"/>
    <w:rsid w:val="00056A2B"/>
    <w:rsid w:val="00056E37"/>
    <w:rsid w:val="00056EC4"/>
    <w:rsid w:val="00056EE2"/>
    <w:rsid w:val="00056FE2"/>
    <w:rsid w:val="000570FB"/>
    <w:rsid w:val="000575B8"/>
    <w:rsid w:val="00060131"/>
    <w:rsid w:val="0006026B"/>
    <w:rsid w:val="00060293"/>
    <w:rsid w:val="00061A97"/>
    <w:rsid w:val="00061BDA"/>
    <w:rsid w:val="000621FE"/>
    <w:rsid w:val="00062B90"/>
    <w:rsid w:val="00062C70"/>
    <w:rsid w:val="00062DD0"/>
    <w:rsid w:val="00062E6F"/>
    <w:rsid w:val="00062EC8"/>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75A"/>
    <w:rsid w:val="00067993"/>
    <w:rsid w:val="00067B1C"/>
    <w:rsid w:val="00067CED"/>
    <w:rsid w:val="00067D39"/>
    <w:rsid w:val="00067F66"/>
    <w:rsid w:val="0007041A"/>
    <w:rsid w:val="00070634"/>
    <w:rsid w:val="00070725"/>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258"/>
    <w:rsid w:val="000804EF"/>
    <w:rsid w:val="00080558"/>
    <w:rsid w:val="00081230"/>
    <w:rsid w:val="000814E2"/>
    <w:rsid w:val="000818C9"/>
    <w:rsid w:val="00081CBB"/>
    <w:rsid w:val="00081D42"/>
    <w:rsid w:val="000822EF"/>
    <w:rsid w:val="0008241E"/>
    <w:rsid w:val="000826F5"/>
    <w:rsid w:val="000829B1"/>
    <w:rsid w:val="00082AAB"/>
    <w:rsid w:val="00082C5E"/>
    <w:rsid w:val="0008307D"/>
    <w:rsid w:val="000831E9"/>
    <w:rsid w:val="00083288"/>
    <w:rsid w:val="000833BB"/>
    <w:rsid w:val="00083BB1"/>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19F"/>
    <w:rsid w:val="000922D8"/>
    <w:rsid w:val="000932E7"/>
    <w:rsid w:val="0009333A"/>
    <w:rsid w:val="00093459"/>
    <w:rsid w:val="00093B8B"/>
    <w:rsid w:val="000951E7"/>
    <w:rsid w:val="00095B82"/>
    <w:rsid w:val="00096098"/>
    <w:rsid w:val="000961C5"/>
    <w:rsid w:val="000968AF"/>
    <w:rsid w:val="000969D9"/>
    <w:rsid w:val="00096F37"/>
    <w:rsid w:val="00097FE5"/>
    <w:rsid w:val="000A0354"/>
    <w:rsid w:val="000A091F"/>
    <w:rsid w:val="000A0958"/>
    <w:rsid w:val="000A0FCC"/>
    <w:rsid w:val="000A1033"/>
    <w:rsid w:val="000A252C"/>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11C"/>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194"/>
    <w:rsid w:val="000B395E"/>
    <w:rsid w:val="000B39C3"/>
    <w:rsid w:val="000B3A00"/>
    <w:rsid w:val="000B3BFD"/>
    <w:rsid w:val="000B4840"/>
    <w:rsid w:val="000B4D79"/>
    <w:rsid w:val="000B5627"/>
    <w:rsid w:val="000B5671"/>
    <w:rsid w:val="000B6398"/>
    <w:rsid w:val="000B6BF0"/>
    <w:rsid w:val="000B6C11"/>
    <w:rsid w:val="000B6CE8"/>
    <w:rsid w:val="000B7DAF"/>
    <w:rsid w:val="000C01A9"/>
    <w:rsid w:val="000C071C"/>
    <w:rsid w:val="000C0A50"/>
    <w:rsid w:val="000C0BB4"/>
    <w:rsid w:val="000C0BEE"/>
    <w:rsid w:val="000C135E"/>
    <w:rsid w:val="000C1CB5"/>
    <w:rsid w:val="000C1CB9"/>
    <w:rsid w:val="000C2159"/>
    <w:rsid w:val="000C21BB"/>
    <w:rsid w:val="000C289B"/>
    <w:rsid w:val="000C34B8"/>
    <w:rsid w:val="000C3F01"/>
    <w:rsid w:val="000C420D"/>
    <w:rsid w:val="000C4773"/>
    <w:rsid w:val="000C4944"/>
    <w:rsid w:val="000C4E24"/>
    <w:rsid w:val="000C5C4A"/>
    <w:rsid w:val="000C5CAF"/>
    <w:rsid w:val="000C5F01"/>
    <w:rsid w:val="000C5F6E"/>
    <w:rsid w:val="000C5FE7"/>
    <w:rsid w:val="000C6148"/>
    <w:rsid w:val="000C63C4"/>
    <w:rsid w:val="000C665F"/>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953"/>
    <w:rsid w:val="00101E7C"/>
    <w:rsid w:val="00102260"/>
    <w:rsid w:val="001023DC"/>
    <w:rsid w:val="0010256D"/>
    <w:rsid w:val="00102572"/>
    <w:rsid w:val="00102946"/>
    <w:rsid w:val="00102FBF"/>
    <w:rsid w:val="0010333D"/>
    <w:rsid w:val="0010372A"/>
    <w:rsid w:val="001039E8"/>
    <w:rsid w:val="00103F41"/>
    <w:rsid w:val="00104E77"/>
    <w:rsid w:val="00104F34"/>
    <w:rsid w:val="00104F3E"/>
    <w:rsid w:val="001053C5"/>
    <w:rsid w:val="001055AD"/>
    <w:rsid w:val="00105C14"/>
    <w:rsid w:val="00105EE4"/>
    <w:rsid w:val="001065A3"/>
    <w:rsid w:val="0010691D"/>
    <w:rsid w:val="00106B33"/>
    <w:rsid w:val="00106DA6"/>
    <w:rsid w:val="00106E69"/>
    <w:rsid w:val="00110AC5"/>
    <w:rsid w:val="00110F0B"/>
    <w:rsid w:val="0011108B"/>
    <w:rsid w:val="00111136"/>
    <w:rsid w:val="00111164"/>
    <w:rsid w:val="00111761"/>
    <w:rsid w:val="00112164"/>
    <w:rsid w:val="0011241F"/>
    <w:rsid w:val="00112572"/>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17D3A"/>
    <w:rsid w:val="001205A8"/>
    <w:rsid w:val="00120948"/>
    <w:rsid w:val="0012180B"/>
    <w:rsid w:val="00121ADA"/>
    <w:rsid w:val="001223AE"/>
    <w:rsid w:val="00122A64"/>
    <w:rsid w:val="00123641"/>
    <w:rsid w:val="0012388A"/>
    <w:rsid w:val="0012388C"/>
    <w:rsid w:val="00123AFA"/>
    <w:rsid w:val="00123C8C"/>
    <w:rsid w:val="00123D68"/>
    <w:rsid w:val="00123E8B"/>
    <w:rsid w:val="00123FE0"/>
    <w:rsid w:val="00124B43"/>
    <w:rsid w:val="00124DF8"/>
    <w:rsid w:val="001253EA"/>
    <w:rsid w:val="00125B99"/>
    <w:rsid w:val="00126160"/>
    <w:rsid w:val="00126757"/>
    <w:rsid w:val="00126DB5"/>
    <w:rsid w:val="00127178"/>
    <w:rsid w:val="00127D2B"/>
    <w:rsid w:val="00127F09"/>
    <w:rsid w:val="0013002A"/>
    <w:rsid w:val="0013085D"/>
    <w:rsid w:val="0013089C"/>
    <w:rsid w:val="00130A2D"/>
    <w:rsid w:val="00130F54"/>
    <w:rsid w:val="00131888"/>
    <w:rsid w:val="00131F17"/>
    <w:rsid w:val="001323F9"/>
    <w:rsid w:val="0013251F"/>
    <w:rsid w:val="00132EA1"/>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1B9"/>
    <w:rsid w:val="001405A3"/>
    <w:rsid w:val="00140757"/>
    <w:rsid w:val="00140B62"/>
    <w:rsid w:val="00140D07"/>
    <w:rsid w:val="00141A3A"/>
    <w:rsid w:val="001422F4"/>
    <w:rsid w:val="001423FA"/>
    <w:rsid w:val="001427B5"/>
    <w:rsid w:val="001428CF"/>
    <w:rsid w:val="00142D0C"/>
    <w:rsid w:val="00142E3C"/>
    <w:rsid w:val="00143D1E"/>
    <w:rsid w:val="00144013"/>
    <w:rsid w:val="00144E4F"/>
    <w:rsid w:val="001454B8"/>
    <w:rsid w:val="00145A17"/>
    <w:rsid w:val="00145BBE"/>
    <w:rsid w:val="00145D7F"/>
    <w:rsid w:val="001460B5"/>
    <w:rsid w:val="0014641F"/>
    <w:rsid w:val="001464A8"/>
    <w:rsid w:val="001464EE"/>
    <w:rsid w:val="00146618"/>
    <w:rsid w:val="001467BB"/>
    <w:rsid w:val="00146AB3"/>
    <w:rsid w:val="00146CA8"/>
    <w:rsid w:val="001472A5"/>
    <w:rsid w:val="00147884"/>
    <w:rsid w:val="00147D04"/>
    <w:rsid w:val="00150669"/>
    <w:rsid w:val="00150827"/>
    <w:rsid w:val="0015085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5EFD"/>
    <w:rsid w:val="00166223"/>
    <w:rsid w:val="00166492"/>
    <w:rsid w:val="001670D8"/>
    <w:rsid w:val="0016793E"/>
    <w:rsid w:val="00167D4D"/>
    <w:rsid w:val="00170635"/>
    <w:rsid w:val="0017070D"/>
    <w:rsid w:val="00170837"/>
    <w:rsid w:val="00171035"/>
    <w:rsid w:val="001713B7"/>
    <w:rsid w:val="0017161A"/>
    <w:rsid w:val="00171ADB"/>
    <w:rsid w:val="00172029"/>
    <w:rsid w:val="00172A27"/>
    <w:rsid w:val="00172E25"/>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382"/>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439"/>
    <w:rsid w:val="00183911"/>
    <w:rsid w:val="0018392B"/>
    <w:rsid w:val="001845FB"/>
    <w:rsid w:val="00184CDD"/>
    <w:rsid w:val="00184DAB"/>
    <w:rsid w:val="00185490"/>
    <w:rsid w:val="001854C0"/>
    <w:rsid w:val="00185DA6"/>
    <w:rsid w:val="00185F64"/>
    <w:rsid w:val="00186096"/>
    <w:rsid w:val="001869B8"/>
    <w:rsid w:val="00186F7C"/>
    <w:rsid w:val="0018772E"/>
    <w:rsid w:val="00187A94"/>
    <w:rsid w:val="0019029E"/>
    <w:rsid w:val="00190329"/>
    <w:rsid w:val="00190804"/>
    <w:rsid w:val="0019088F"/>
    <w:rsid w:val="00190C51"/>
    <w:rsid w:val="00192FA5"/>
    <w:rsid w:val="00193084"/>
    <w:rsid w:val="0019336B"/>
    <w:rsid w:val="00193910"/>
    <w:rsid w:val="001939A6"/>
    <w:rsid w:val="00193ACC"/>
    <w:rsid w:val="00193BFE"/>
    <w:rsid w:val="00193E79"/>
    <w:rsid w:val="00194323"/>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C0C"/>
    <w:rsid w:val="001A2D02"/>
    <w:rsid w:val="001A2DFE"/>
    <w:rsid w:val="001A2F68"/>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0D80"/>
    <w:rsid w:val="001B2104"/>
    <w:rsid w:val="001B2279"/>
    <w:rsid w:val="001B2729"/>
    <w:rsid w:val="001B2866"/>
    <w:rsid w:val="001B2881"/>
    <w:rsid w:val="001B3201"/>
    <w:rsid w:val="001B348F"/>
    <w:rsid w:val="001B34A3"/>
    <w:rsid w:val="001B3675"/>
    <w:rsid w:val="001B37C8"/>
    <w:rsid w:val="001B4B2C"/>
    <w:rsid w:val="001B4F10"/>
    <w:rsid w:val="001B5026"/>
    <w:rsid w:val="001B5154"/>
    <w:rsid w:val="001B5B75"/>
    <w:rsid w:val="001B62B5"/>
    <w:rsid w:val="001B6E30"/>
    <w:rsid w:val="001B7C83"/>
    <w:rsid w:val="001B7F9E"/>
    <w:rsid w:val="001C019F"/>
    <w:rsid w:val="001C0206"/>
    <w:rsid w:val="001C0246"/>
    <w:rsid w:val="001C04D4"/>
    <w:rsid w:val="001C0B34"/>
    <w:rsid w:val="001C12A3"/>
    <w:rsid w:val="001C17BB"/>
    <w:rsid w:val="001C187E"/>
    <w:rsid w:val="001C1A37"/>
    <w:rsid w:val="001C1C49"/>
    <w:rsid w:val="001C1D93"/>
    <w:rsid w:val="001C286F"/>
    <w:rsid w:val="001C2B86"/>
    <w:rsid w:val="001C2F54"/>
    <w:rsid w:val="001C2FBE"/>
    <w:rsid w:val="001C3308"/>
    <w:rsid w:val="001C3867"/>
    <w:rsid w:val="001C3BBB"/>
    <w:rsid w:val="001C40D1"/>
    <w:rsid w:val="001C42F6"/>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22"/>
    <w:rsid w:val="001D756E"/>
    <w:rsid w:val="001D784A"/>
    <w:rsid w:val="001E04A4"/>
    <w:rsid w:val="001E04EE"/>
    <w:rsid w:val="001E0595"/>
    <w:rsid w:val="001E07C5"/>
    <w:rsid w:val="001E07DF"/>
    <w:rsid w:val="001E176D"/>
    <w:rsid w:val="001E1BCE"/>
    <w:rsid w:val="001E1E05"/>
    <w:rsid w:val="001E2086"/>
    <w:rsid w:val="001E339F"/>
    <w:rsid w:val="001E3629"/>
    <w:rsid w:val="001E3B2C"/>
    <w:rsid w:val="001E40F0"/>
    <w:rsid w:val="001E4172"/>
    <w:rsid w:val="001E4184"/>
    <w:rsid w:val="001E4AC7"/>
    <w:rsid w:val="001E5490"/>
    <w:rsid w:val="001E5513"/>
    <w:rsid w:val="001E5730"/>
    <w:rsid w:val="001E5E2E"/>
    <w:rsid w:val="001E6352"/>
    <w:rsid w:val="001E66A9"/>
    <w:rsid w:val="001E70AD"/>
    <w:rsid w:val="001E7237"/>
    <w:rsid w:val="001E7AF6"/>
    <w:rsid w:val="001E7FBF"/>
    <w:rsid w:val="001F01B8"/>
    <w:rsid w:val="001F0869"/>
    <w:rsid w:val="001F0FC3"/>
    <w:rsid w:val="001F1188"/>
    <w:rsid w:val="001F1B8D"/>
    <w:rsid w:val="001F274F"/>
    <w:rsid w:val="001F289C"/>
    <w:rsid w:val="001F2BF9"/>
    <w:rsid w:val="001F2E69"/>
    <w:rsid w:val="001F3AF2"/>
    <w:rsid w:val="001F6008"/>
    <w:rsid w:val="001F6267"/>
    <w:rsid w:val="001F641B"/>
    <w:rsid w:val="001F6C19"/>
    <w:rsid w:val="001F6D4D"/>
    <w:rsid w:val="001F7C00"/>
    <w:rsid w:val="0020042C"/>
    <w:rsid w:val="002009A3"/>
    <w:rsid w:val="00200F1A"/>
    <w:rsid w:val="0020130D"/>
    <w:rsid w:val="00201D06"/>
    <w:rsid w:val="00201E9F"/>
    <w:rsid w:val="00202790"/>
    <w:rsid w:val="00202F25"/>
    <w:rsid w:val="002035B3"/>
    <w:rsid w:val="002038DB"/>
    <w:rsid w:val="00203929"/>
    <w:rsid w:val="00203CD6"/>
    <w:rsid w:val="00203F08"/>
    <w:rsid w:val="00203F0A"/>
    <w:rsid w:val="00204460"/>
    <w:rsid w:val="002051EA"/>
    <w:rsid w:val="00205246"/>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4C52"/>
    <w:rsid w:val="00215834"/>
    <w:rsid w:val="00215CC2"/>
    <w:rsid w:val="00215ED8"/>
    <w:rsid w:val="00217700"/>
    <w:rsid w:val="002177E2"/>
    <w:rsid w:val="002205F3"/>
    <w:rsid w:val="0022085B"/>
    <w:rsid w:val="00220E53"/>
    <w:rsid w:val="0022176C"/>
    <w:rsid w:val="00221DBC"/>
    <w:rsid w:val="002225D1"/>
    <w:rsid w:val="002230FA"/>
    <w:rsid w:val="002235D9"/>
    <w:rsid w:val="00223AB9"/>
    <w:rsid w:val="00223DF2"/>
    <w:rsid w:val="00224355"/>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244A"/>
    <w:rsid w:val="002336E2"/>
    <w:rsid w:val="00233AC2"/>
    <w:rsid w:val="00233BAF"/>
    <w:rsid w:val="002346F9"/>
    <w:rsid w:val="00235420"/>
    <w:rsid w:val="002356A5"/>
    <w:rsid w:val="00235DAA"/>
    <w:rsid w:val="0024065B"/>
    <w:rsid w:val="002406CC"/>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47E1A"/>
    <w:rsid w:val="00250100"/>
    <w:rsid w:val="00250A1F"/>
    <w:rsid w:val="00250A29"/>
    <w:rsid w:val="00250ADA"/>
    <w:rsid w:val="00250F1D"/>
    <w:rsid w:val="0025194E"/>
    <w:rsid w:val="00251BE0"/>
    <w:rsid w:val="00251FF1"/>
    <w:rsid w:val="002520BA"/>
    <w:rsid w:val="00252234"/>
    <w:rsid w:val="002524A9"/>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6E66"/>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2F23"/>
    <w:rsid w:val="00263AE7"/>
    <w:rsid w:val="00263EC7"/>
    <w:rsid w:val="00264441"/>
    <w:rsid w:val="0026491B"/>
    <w:rsid w:val="00264A36"/>
    <w:rsid w:val="00264B06"/>
    <w:rsid w:val="00264C1B"/>
    <w:rsid w:val="002658FA"/>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BCB"/>
    <w:rsid w:val="00273FBB"/>
    <w:rsid w:val="00274CAB"/>
    <w:rsid w:val="00274E8A"/>
    <w:rsid w:val="0027507D"/>
    <w:rsid w:val="0027572C"/>
    <w:rsid w:val="00275FCE"/>
    <w:rsid w:val="002766B8"/>
    <w:rsid w:val="0027680F"/>
    <w:rsid w:val="002778E6"/>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6ACF"/>
    <w:rsid w:val="0028702A"/>
    <w:rsid w:val="0028732A"/>
    <w:rsid w:val="00287F87"/>
    <w:rsid w:val="00290F01"/>
    <w:rsid w:val="00291035"/>
    <w:rsid w:val="00291492"/>
    <w:rsid w:val="00291527"/>
    <w:rsid w:val="0029199A"/>
    <w:rsid w:val="00291BBE"/>
    <w:rsid w:val="00291FEB"/>
    <w:rsid w:val="002920B3"/>
    <w:rsid w:val="00293146"/>
    <w:rsid w:val="0029361E"/>
    <w:rsid w:val="00293D68"/>
    <w:rsid w:val="0029417C"/>
    <w:rsid w:val="0029431E"/>
    <w:rsid w:val="00294352"/>
    <w:rsid w:val="002944A0"/>
    <w:rsid w:val="002946E4"/>
    <w:rsid w:val="0029495C"/>
    <w:rsid w:val="00294CEE"/>
    <w:rsid w:val="002957D9"/>
    <w:rsid w:val="00295B52"/>
    <w:rsid w:val="00296024"/>
    <w:rsid w:val="00296293"/>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3ECA"/>
    <w:rsid w:val="002A41F7"/>
    <w:rsid w:val="002A44F9"/>
    <w:rsid w:val="002A46D1"/>
    <w:rsid w:val="002A49EF"/>
    <w:rsid w:val="002A4B8B"/>
    <w:rsid w:val="002A4C3D"/>
    <w:rsid w:val="002A5107"/>
    <w:rsid w:val="002A535E"/>
    <w:rsid w:val="002A6406"/>
    <w:rsid w:val="002A6AD0"/>
    <w:rsid w:val="002A6CF0"/>
    <w:rsid w:val="002A6F4F"/>
    <w:rsid w:val="002A6FFC"/>
    <w:rsid w:val="002A7010"/>
    <w:rsid w:val="002A70BA"/>
    <w:rsid w:val="002A7A57"/>
    <w:rsid w:val="002A7A59"/>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326"/>
    <w:rsid w:val="002B66AC"/>
    <w:rsid w:val="002B6852"/>
    <w:rsid w:val="002B77E1"/>
    <w:rsid w:val="002C06F0"/>
    <w:rsid w:val="002C0714"/>
    <w:rsid w:val="002C0A96"/>
    <w:rsid w:val="002C10A8"/>
    <w:rsid w:val="002C1B92"/>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04E"/>
    <w:rsid w:val="002D0128"/>
    <w:rsid w:val="002D0E85"/>
    <w:rsid w:val="002D0FA7"/>
    <w:rsid w:val="002D12FB"/>
    <w:rsid w:val="002D1306"/>
    <w:rsid w:val="002D19D1"/>
    <w:rsid w:val="002D1F35"/>
    <w:rsid w:val="002D1FA3"/>
    <w:rsid w:val="002D20CD"/>
    <w:rsid w:val="002D23C6"/>
    <w:rsid w:val="002D24F0"/>
    <w:rsid w:val="002D25EB"/>
    <w:rsid w:val="002D29F3"/>
    <w:rsid w:val="002D2BE5"/>
    <w:rsid w:val="002D3126"/>
    <w:rsid w:val="002D3529"/>
    <w:rsid w:val="002D3837"/>
    <w:rsid w:val="002D3D0A"/>
    <w:rsid w:val="002D478E"/>
    <w:rsid w:val="002D47AE"/>
    <w:rsid w:val="002D4A94"/>
    <w:rsid w:val="002D5523"/>
    <w:rsid w:val="002D5805"/>
    <w:rsid w:val="002D5CBF"/>
    <w:rsid w:val="002D65FF"/>
    <w:rsid w:val="002D6D10"/>
    <w:rsid w:val="002D71E2"/>
    <w:rsid w:val="002D7367"/>
    <w:rsid w:val="002D738C"/>
    <w:rsid w:val="002D7961"/>
    <w:rsid w:val="002D7B6A"/>
    <w:rsid w:val="002D7E36"/>
    <w:rsid w:val="002E0026"/>
    <w:rsid w:val="002E08E8"/>
    <w:rsid w:val="002E0918"/>
    <w:rsid w:val="002E0BAA"/>
    <w:rsid w:val="002E0D96"/>
    <w:rsid w:val="002E0DE1"/>
    <w:rsid w:val="002E0EA5"/>
    <w:rsid w:val="002E1B5C"/>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134"/>
    <w:rsid w:val="002E72E4"/>
    <w:rsid w:val="002E739D"/>
    <w:rsid w:val="002F0F36"/>
    <w:rsid w:val="002F1276"/>
    <w:rsid w:val="002F1986"/>
    <w:rsid w:val="002F1E5F"/>
    <w:rsid w:val="002F2265"/>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380"/>
    <w:rsid w:val="00301E89"/>
    <w:rsid w:val="00302052"/>
    <w:rsid w:val="00302142"/>
    <w:rsid w:val="00302169"/>
    <w:rsid w:val="00302364"/>
    <w:rsid w:val="00302450"/>
    <w:rsid w:val="00302611"/>
    <w:rsid w:val="00302612"/>
    <w:rsid w:val="00302F9B"/>
    <w:rsid w:val="00303254"/>
    <w:rsid w:val="00303B08"/>
    <w:rsid w:val="0030408D"/>
    <w:rsid w:val="003044D9"/>
    <w:rsid w:val="00304D8A"/>
    <w:rsid w:val="00305216"/>
    <w:rsid w:val="0030555B"/>
    <w:rsid w:val="00305BFD"/>
    <w:rsid w:val="003061F5"/>
    <w:rsid w:val="00306D27"/>
    <w:rsid w:val="0030739C"/>
    <w:rsid w:val="00310D51"/>
    <w:rsid w:val="00310EA1"/>
    <w:rsid w:val="00311B36"/>
    <w:rsid w:val="00311C92"/>
    <w:rsid w:val="003133AE"/>
    <w:rsid w:val="00313414"/>
    <w:rsid w:val="0031371B"/>
    <w:rsid w:val="00313F2D"/>
    <w:rsid w:val="00314156"/>
    <w:rsid w:val="00315081"/>
    <w:rsid w:val="0031535B"/>
    <w:rsid w:val="003170F4"/>
    <w:rsid w:val="0031750F"/>
    <w:rsid w:val="00317CC7"/>
    <w:rsid w:val="0032035D"/>
    <w:rsid w:val="003205E9"/>
    <w:rsid w:val="00320B28"/>
    <w:rsid w:val="0032123E"/>
    <w:rsid w:val="003216D5"/>
    <w:rsid w:val="003216FF"/>
    <w:rsid w:val="00321866"/>
    <w:rsid w:val="00321A83"/>
    <w:rsid w:val="00321C1A"/>
    <w:rsid w:val="00321CDB"/>
    <w:rsid w:val="00321F6B"/>
    <w:rsid w:val="00322389"/>
    <w:rsid w:val="00322BE5"/>
    <w:rsid w:val="00322D88"/>
    <w:rsid w:val="00322E87"/>
    <w:rsid w:val="0032312D"/>
    <w:rsid w:val="00323AA5"/>
    <w:rsid w:val="003242E4"/>
    <w:rsid w:val="0032468D"/>
    <w:rsid w:val="003246BE"/>
    <w:rsid w:val="00324926"/>
    <w:rsid w:val="00324B25"/>
    <w:rsid w:val="0032522F"/>
    <w:rsid w:val="003253C4"/>
    <w:rsid w:val="0032550F"/>
    <w:rsid w:val="00325992"/>
    <w:rsid w:val="00325B74"/>
    <w:rsid w:val="0032638F"/>
    <w:rsid w:val="00326B59"/>
    <w:rsid w:val="00327183"/>
    <w:rsid w:val="003272C6"/>
    <w:rsid w:val="0032746C"/>
    <w:rsid w:val="00327752"/>
    <w:rsid w:val="00327C7C"/>
    <w:rsid w:val="00330009"/>
    <w:rsid w:val="003301E6"/>
    <w:rsid w:val="003310AB"/>
    <w:rsid w:val="0033135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5E50"/>
    <w:rsid w:val="00336481"/>
    <w:rsid w:val="0033650E"/>
    <w:rsid w:val="003366EF"/>
    <w:rsid w:val="00336907"/>
    <w:rsid w:val="003369DF"/>
    <w:rsid w:val="00336C71"/>
    <w:rsid w:val="00336D96"/>
    <w:rsid w:val="00336DFC"/>
    <w:rsid w:val="00337230"/>
    <w:rsid w:val="00337588"/>
    <w:rsid w:val="003377D0"/>
    <w:rsid w:val="00337C93"/>
    <w:rsid w:val="00337D75"/>
    <w:rsid w:val="00340020"/>
    <w:rsid w:val="0034081A"/>
    <w:rsid w:val="003410C5"/>
    <w:rsid w:val="00341162"/>
    <w:rsid w:val="00341205"/>
    <w:rsid w:val="00341866"/>
    <w:rsid w:val="00341DAF"/>
    <w:rsid w:val="00342181"/>
    <w:rsid w:val="00342330"/>
    <w:rsid w:val="0034339B"/>
    <w:rsid w:val="00343560"/>
    <w:rsid w:val="00343A20"/>
    <w:rsid w:val="0034402B"/>
    <w:rsid w:val="0034449E"/>
    <w:rsid w:val="00344621"/>
    <w:rsid w:val="00344D46"/>
    <w:rsid w:val="00344EB6"/>
    <w:rsid w:val="00345ACB"/>
    <w:rsid w:val="0034621B"/>
    <w:rsid w:val="003465A5"/>
    <w:rsid w:val="00346817"/>
    <w:rsid w:val="00346F99"/>
    <w:rsid w:val="003470E9"/>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57AEE"/>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72E"/>
    <w:rsid w:val="003663D9"/>
    <w:rsid w:val="003666BF"/>
    <w:rsid w:val="00366707"/>
    <w:rsid w:val="00366FA9"/>
    <w:rsid w:val="00367E49"/>
    <w:rsid w:val="003700E6"/>
    <w:rsid w:val="00370E70"/>
    <w:rsid w:val="00371C86"/>
    <w:rsid w:val="0037236C"/>
    <w:rsid w:val="003729DE"/>
    <w:rsid w:val="003735D3"/>
    <w:rsid w:val="0037386D"/>
    <w:rsid w:val="00373956"/>
    <w:rsid w:val="00373CAE"/>
    <w:rsid w:val="00374153"/>
    <w:rsid w:val="003750E0"/>
    <w:rsid w:val="00375AF1"/>
    <w:rsid w:val="00375AFC"/>
    <w:rsid w:val="00375C2F"/>
    <w:rsid w:val="00375FC5"/>
    <w:rsid w:val="00375FE1"/>
    <w:rsid w:val="003769BA"/>
    <w:rsid w:val="00376D46"/>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ADE"/>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8BB"/>
    <w:rsid w:val="00397DC6"/>
    <w:rsid w:val="00397FDE"/>
    <w:rsid w:val="003A0E82"/>
    <w:rsid w:val="003A0FAC"/>
    <w:rsid w:val="003A184D"/>
    <w:rsid w:val="003A1C35"/>
    <w:rsid w:val="003A1FB7"/>
    <w:rsid w:val="003A23A7"/>
    <w:rsid w:val="003A25FC"/>
    <w:rsid w:val="003A2962"/>
    <w:rsid w:val="003A33E3"/>
    <w:rsid w:val="003A371E"/>
    <w:rsid w:val="003A462A"/>
    <w:rsid w:val="003A4A8B"/>
    <w:rsid w:val="003A4CE8"/>
    <w:rsid w:val="003A595F"/>
    <w:rsid w:val="003A5EEC"/>
    <w:rsid w:val="003A660F"/>
    <w:rsid w:val="003A6BAF"/>
    <w:rsid w:val="003A6ED9"/>
    <w:rsid w:val="003A79AE"/>
    <w:rsid w:val="003A7CA3"/>
    <w:rsid w:val="003B00B6"/>
    <w:rsid w:val="003B01C4"/>
    <w:rsid w:val="003B0BB0"/>
    <w:rsid w:val="003B0FB0"/>
    <w:rsid w:val="003B11EE"/>
    <w:rsid w:val="003B1332"/>
    <w:rsid w:val="003B15F8"/>
    <w:rsid w:val="003B18EB"/>
    <w:rsid w:val="003B230B"/>
    <w:rsid w:val="003B23BC"/>
    <w:rsid w:val="003B2DB5"/>
    <w:rsid w:val="003B2F05"/>
    <w:rsid w:val="003B3966"/>
    <w:rsid w:val="003B39B7"/>
    <w:rsid w:val="003B490A"/>
    <w:rsid w:val="003B4EB0"/>
    <w:rsid w:val="003B57DF"/>
    <w:rsid w:val="003B5E35"/>
    <w:rsid w:val="003B5F6A"/>
    <w:rsid w:val="003B6B7F"/>
    <w:rsid w:val="003B7820"/>
    <w:rsid w:val="003C01A4"/>
    <w:rsid w:val="003C0219"/>
    <w:rsid w:val="003C07FE"/>
    <w:rsid w:val="003C0C12"/>
    <w:rsid w:val="003C12F8"/>
    <w:rsid w:val="003C16EE"/>
    <w:rsid w:val="003C1C87"/>
    <w:rsid w:val="003C2C85"/>
    <w:rsid w:val="003C2F61"/>
    <w:rsid w:val="003C345E"/>
    <w:rsid w:val="003C3A7A"/>
    <w:rsid w:val="003C4409"/>
    <w:rsid w:val="003C4997"/>
    <w:rsid w:val="003C4DA5"/>
    <w:rsid w:val="003C5666"/>
    <w:rsid w:val="003C6304"/>
    <w:rsid w:val="003C64F4"/>
    <w:rsid w:val="003C6DE1"/>
    <w:rsid w:val="003C724B"/>
    <w:rsid w:val="003C73DB"/>
    <w:rsid w:val="003D0185"/>
    <w:rsid w:val="003D02CB"/>
    <w:rsid w:val="003D0382"/>
    <w:rsid w:val="003D057A"/>
    <w:rsid w:val="003D0623"/>
    <w:rsid w:val="003D069C"/>
    <w:rsid w:val="003D0BC2"/>
    <w:rsid w:val="003D1373"/>
    <w:rsid w:val="003D191E"/>
    <w:rsid w:val="003D22A5"/>
    <w:rsid w:val="003D22C7"/>
    <w:rsid w:val="003D23A4"/>
    <w:rsid w:val="003D2963"/>
    <w:rsid w:val="003D3414"/>
    <w:rsid w:val="003D3426"/>
    <w:rsid w:val="003D3721"/>
    <w:rsid w:val="003D46BA"/>
    <w:rsid w:val="003D4DD2"/>
    <w:rsid w:val="003D5709"/>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AE2"/>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1D4"/>
    <w:rsid w:val="003F68E9"/>
    <w:rsid w:val="003F73EA"/>
    <w:rsid w:val="003F7D6E"/>
    <w:rsid w:val="003F7E15"/>
    <w:rsid w:val="003F7FDA"/>
    <w:rsid w:val="00400DE4"/>
    <w:rsid w:val="004013AD"/>
    <w:rsid w:val="00401E69"/>
    <w:rsid w:val="004021C0"/>
    <w:rsid w:val="004028CE"/>
    <w:rsid w:val="004028E8"/>
    <w:rsid w:val="0040313D"/>
    <w:rsid w:val="004043FA"/>
    <w:rsid w:val="00404970"/>
    <w:rsid w:val="00405181"/>
    <w:rsid w:val="0040567F"/>
    <w:rsid w:val="00405873"/>
    <w:rsid w:val="00405F09"/>
    <w:rsid w:val="004066F4"/>
    <w:rsid w:val="00406A32"/>
    <w:rsid w:val="0040760B"/>
    <w:rsid w:val="00410117"/>
    <w:rsid w:val="004102E3"/>
    <w:rsid w:val="00410C32"/>
    <w:rsid w:val="004111FB"/>
    <w:rsid w:val="00411237"/>
    <w:rsid w:val="00411557"/>
    <w:rsid w:val="00411994"/>
    <w:rsid w:val="00411D74"/>
    <w:rsid w:val="00411DDE"/>
    <w:rsid w:val="00411F84"/>
    <w:rsid w:val="00411FB5"/>
    <w:rsid w:val="00412069"/>
    <w:rsid w:val="004121A1"/>
    <w:rsid w:val="00412477"/>
    <w:rsid w:val="00412570"/>
    <w:rsid w:val="004127A2"/>
    <w:rsid w:val="0041280A"/>
    <w:rsid w:val="00412A9D"/>
    <w:rsid w:val="00412C12"/>
    <w:rsid w:val="00412CB1"/>
    <w:rsid w:val="004133A5"/>
    <w:rsid w:val="00413B02"/>
    <w:rsid w:val="00413D45"/>
    <w:rsid w:val="00414197"/>
    <w:rsid w:val="00414D68"/>
    <w:rsid w:val="00414FD9"/>
    <w:rsid w:val="00415773"/>
    <w:rsid w:val="00415CAE"/>
    <w:rsid w:val="00415EC9"/>
    <w:rsid w:val="00415EE7"/>
    <w:rsid w:val="004160FA"/>
    <w:rsid w:val="004164AE"/>
    <w:rsid w:val="0041669E"/>
    <w:rsid w:val="0041692B"/>
    <w:rsid w:val="00416ACA"/>
    <w:rsid w:val="00416C56"/>
    <w:rsid w:val="00417011"/>
    <w:rsid w:val="00417125"/>
    <w:rsid w:val="00417294"/>
    <w:rsid w:val="004176B8"/>
    <w:rsid w:val="00417B99"/>
    <w:rsid w:val="00417CE0"/>
    <w:rsid w:val="004209D5"/>
    <w:rsid w:val="00420FAF"/>
    <w:rsid w:val="00421184"/>
    <w:rsid w:val="004212C1"/>
    <w:rsid w:val="004214B7"/>
    <w:rsid w:val="00421988"/>
    <w:rsid w:val="00421FB5"/>
    <w:rsid w:val="0042219F"/>
    <w:rsid w:val="004226ED"/>
    <w:rsid w:val="00422AF4"/>
    <w:rsid w:val="004235F4"/>
    <w:rsid w:val="004236C9"/>
    <w:rsid w:val="00423CF3"/>
    <w:rsid w:val="00423E18"/>
    <w:rsid w:val="00424B7C"/>
    <w:rsid w:val="0042500C"/>
    <w:rsid w:val="00425026"/>
    <w:rsid w:val="00425514"/>
    <w:rsid w:val="004256BD"/>
    <w:rsid w:val="00425863"/>
    <w:rsid w:val="00425D02"/>
    <w:rsid w:val="00425EDC"/>
    <w:rsid w:val="00426C3E"/>
    <w:rsid w:val="004275CD"/>
    <w:rsid w:val="00427AEA"/>
    <w:rsid w:val="00427FEB"/>
    <w:rsid w:val="00427FF2"/>
    <w:rsid w:val="004300DF"/>
    <w:rsid w:val="004305C0"/>
    <w:rsid w:val="00430B20"/>
    <w:rsid w:val="00430B6C"/>
    <w:rsid w:val="0043135D"/>
    <w:rsid w:val="0043227C"/>
    <w:rsid w:val="004335C0"/>
    <w:rsid w:val="00433AFC"/>
    <w:rsid w:val="00433E8E"/>
    <w:rsid w:val="00434193"/>
    <w:rsid w:val="00435068"/>
    <w:rsid w:val="00435715"/>
    <w:rsid w:val="0043571B"/>
    <w:rsid w:val="0043578E"/>
    <w:rsid w:val="004358D6"/>
    <w:rsid w:val="00435EE0"/>
    <w:rsid w:val="00435F29"/>
    <w:rsid w:val="0043610C"/>
    <w:rsid w:val="00436527"/>
    <w:rsid w:val="004366FF"/>
    <w:rsid w:val="004376D3"/>
    <w:rsid w:val="0043777D"/>
    <w:rsid w:val="00437D83"/>
    <w:rsid w:val="004401DD"/>
    <w:rsid w:val="00440344"/>
    <w:rsid w:val="00441264"/>
    <w:rsid w:val="00441B0F"/>
    <w:rsid w:val="004425C6"/>
    <w:rsid w:val="00443512"/>
    <w:rsid w:val="00443A55"/>
    <w:rsid w:val="00443CA6"/>
    <w:rsid w:val="00443D5D"/>
    <w:rsid w:val="0044523C"/>
    <w:rsid w:val="00445CBA"/>
    <w:rsid w:val="004463CB"/>
    <w:rsid w:val="004466F7"/>
    <w:rsid w:val="00446858"/>
    <w:rsid w:val="00447304"/>
    <w:rsid w:val="00450127"/>
    <w:rsid w:val="0045075F"/>
    <w:rsid w:val="00451394"/>
    <w:rsid w:val="004516AD"/>
    <w:rsid w:val="00451E84"/>
    <w:rsid w:val="00451EA3"/>
    <w:rsid w:val="00451F01"/>
    <w:rsid w:val="00453349"/>
    <w:rsid w:val="004546A7"/>
    <w:rsid w:val="00454831"/>
    <w:rsid w:val="004548DF"/>
    <w:rsid w:val="0045536B"/>
    <w:rsid w:val="00455B98"/>
    <w:rsid w:val="00455E25"/>
    <w:rsid w:val="00456CC0"/>
    <w:rsid w:val="0045755C"/>
    <w:rsid w:val="00457933"/>
    <w:rsid w:val="00457C78"/>
    <w:rsid w:val="00460136"/>
    <w:rsid w:val="00460735"/>
    <w:rsid w:val="00460AD5"/>
    <w:rsid w:val="00460EB8"/>
    <w:rsid w:val="00461090"/>
    <w:rsid w:val="004611D5"/>
    <w:rsid w:val="004612FA"/>
    <w:rsid w:val="004617D8"/>
    <w:rsid w:val="00461991"/>
    <w:rsid w:val="00461A6B"/>
    <w:rsid w:val="00461C43"/>
    <w:rsid w:val="00462125"/>
    <w:rsid w:val="00463216"/>
    <w:rsid w:val="0046334D"/>
    <w:rsid w:val="00463848"/>
    <w:rsid w:val="00463BBF"/>
    <w:rsid w:val="00463C95"/>
    <w:rsid w:val="00463DAB"/>
    <w:rsid w:val="00463E1C"/>
    <w:rsid w:val="00464052"/>
    <w:rsid w:val="00464C9C"/>
    <w:rsid w:val="00465153"/>
    <w:rsid w:val="00465602"/>
    <w:rsid w:val="004669A6"/>
    <w:rsid w:val="00466AFD"/>
    <w:rsid w:val="00466E99"/>
    <w:rsid w:val="00467C65"/>
    <w:rsid w:val="00470563"/>
    <w:rsid w:val="00470696"/>
    <w:rsid w:val="004724C9"/>
    <w:rsid w:val="00472585"/>
    <w:rsid w:val="00473045"/>
    <w:rsid w:val="00474130"/>
    <w:rsid w:val="00474C0F"/>
    <w:rsid w:val="004754EE"/>
    <w:rsid w:val="00475A6C"/>
    <w:rsid w:val="00475D32"/>
    <w:rsid w:val="004764AF"/>
    <w:rsid w:val="00476D04"/>
    <w:rsid w:val="0047775E"/>
    <w:rsid w:val="00477AAE"/>
    <w:rsid w:val="00477AF6"/>
    <w:rsid w:val="00477B3B"/>
    <w:rsid w:val="00477BCB"/>
    <w:rsid w:val="004801A7"/>
    <w:rsid w:val="00480E47"/>
    <w:rsid w:val="00481666"/>
    <w:rsid w:val="0048181B"/>
    <w:rsid w:val="00481B89"/>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86FD1"/>
    <w:rsid w:val="00487132"/>
    <w:rsid w:val="004902A5"/>
    <w:rsid w:val="0049030D"/>
    <w:rsid w:val="00490954"/>
    <w:rsid w:val="004911AA"/>
    <w:rsid w:val="004921DC"/>
    <w:rsid w:val="0049277A"/>
    <w:rsid w:val="00492B38"/>
    <w:rsid w:val="00492FE4"/>
    <w:rsid w:val="00493035"/>
    <w:rsid w:val="00493321"/>
    <w:rsid w:val="004936DE"/>
    <w:rsid w:val="0049544E"/>
    <w:rsid w:val="00495670"/>
    <w:rsid w:val="0049604B"/>
    <w:rsid w:val="004963D3"/>
    <w:rsid w:val="00496AC9"/>
    <w:rsid w:val="0049752C"/>
    <w:rsid w:val="004A040E"/>
    <w:rsid w:val="004A042D"/>
    <w:rsid w:val="004A11E0"/>
    <w:rsid w:val="004A19B7"/>
    <w:rsid w:val="004A1FC5"/>
    <w:rsid w:val="004A2158"/>
    <w:rsid w:val="004A29A5"/>
    <w:rsid w:val="004A3225"/>
    <w:rsid w:val="004A374A"/>
    <w:rsid w:val="004A395B"/>
    <w:rsid w:val="004A39D9"/>
    <w:rsid w:val="004A3C59"/>
    <w:rsid w:val="004A3FE2"/>
    <w:rsid w:val="004A480D"/>
    <w:rsid w:val="004A4D76"/>
    <w:rsid w:val="004A50A2"/>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47F"/>
    <w:rsid w:val="004B7995"/>
    <w:rsid w:val="004C02B3"/>
    <w:rsid w:val="004C098E"/>
    <w:rsid w:val="004C0BBE"/>
    <w:rsid w:val="004C0E2F"/>
    <w:rsid w:val="004C1194"/>
    <w:rsid w:val="004C129D"/>
    <w:rsid w:val="004C222E"/>
    <w:rsid w:val="004C2561"/>
    <w:rsid w:val="004C2806"/>
    <w:rsid w:val="004C3ADD"/>
    <w:rsid w:val="004C428E"/>
    <w:rsid w:val="004C4775"/>
    <w:rsid w:val="004C4776"/>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0CE2"/>
    <w:rsid w:val="004D15FD"/>
    <w:rsid w:val="004D2369"/>
    <w:rsid w:val="004D2485"/>
    <w:rsid w:val="004D2998"/>
    <w:rsid w:val="004D3A57"/>
    <w:rsid w:val="004D3B2A"/>
    <w:rsid w:val="004D3EB8"/>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3B"/>
    <w:rsid w:val="004E58F6"/>
    <w:rsid w:val="004E5E37"/>
    <w:rsid w:val="004E5E4C"/>
    <w:rsid w:val="004E623E"/>
    <w:rsid w:val="004E6CF9"/>
    <w:rsid w:val="004E734E"/>
    <w:rsid w:val="004E7EC0"/>
    <w:rsid w:val="004E7F48"/>
    <w:rsid w:val="004F014E"/>
    <w:rsid w:val="004F0BC6"/>
    <w:rsid w:val="004F1123"/>
    <w:rsid w:val="004F1508"/>
    <w:rsid w:val="004F1715"/>
    <w:rsid w:val="004F17DA"/>
    <w:rsid w:val="004F184C"/>
    <w:rsid w:val="004F2927"/>
    <w:rsid w:val="004F3BD2"/>
    <w:rsid w:val="004F4372"/>
    <w:rsid w:val="004F43E0"/>
    <w:rsid w:val="004F45EB"/>
    <w:rsid w:val="004F495D"/>
    <w:rsid w:val="004F521B"/>
    <w:rsid w:val="004F52BB"/>
    <w:rsid w:val="004F53BF"/>
    <w:rsid w:val="004F5582"/>
    <w:rsid w:val="004F59B8"/>
    <w:rsid w:val="004F5BD9"/>
    <w:rsid w:val="004F5EB3"/>
    <w:rsid w:val="004F62A7"/>
    <w:rsid w:val="004F62F9"/>
    <w:rsid w:val="004F66B3"/>
    <w:rsid w:val="004F674C"/>
    <w:rsid w:val="004F7352"/>
    <w:rsid w:val="004F7EE2"/>
    <w:rsid w:val="0050015C"/>
    <w:rsid w:val="00500418"/>
    <w:rsid w:val="005008DA"/>
    <w:rsid w:val="00500CCF"/>
    <w:rsid w:val="00500E62"/>
    <w:rsid w:val="005010DE"/>
    <w:rsid w:val="005011FD"/>
    <w:rsid w:val="00501321"/>
    <w:rsid w:val="0050164B"/>
    <w:rsid w:val="00502958"/>
    <w:rsid w:val="00502BD2"/>
    <w:rsid w:val="00502DA4"/>
    <w:rsid w:val="00503F83"/>
    <w:rsid w:val="0050421C"/>
    <w:rsid w:val="0050461A"/>
    <w:rsid w:val="00504A9B"/>
    <w:rsid w:val="00504E9A"/>
    <w:rsid w:val="00504F83"/>
    <w:rsid w:val="005059B9"/>
    <w:rsid w:val="00505C51"/>
    <w:rsid w:val="00505F64"/>
    <w:rsid w:val="00506DCD"/>
    <w:rsid w:val="00507325"/>
    <w:rsid w:val="00507A61"/>
    <w:rsid w:val="00507C56"/>
    <w:rsid w:val="00507F13"/>
    <w:rsid w:val="00510809"/>
    <w:rsid w:val="005109D4"/>
    <w:rsid w:val="00510CF4"/>
    <w:rsid w:val="0051160A"/>
    <w:rsid w:val="005116C2"/>
    <w:rsid w:val="005118BA"/>
    <w:rsid w:val="00512D87"/>
    <w:rsid w:val="005130DA"/>
    <w:rsid w:val="00513998"/>
    <w:rsid w:val="00513DDA"/>
    <w:rsid w:val="00513E19"/>
    <w:rsid w:val="005148B4"/>
    <w:rsid w:val="00514B29"/>
    <w:rsid w:val="00514C19"/>
    <w:rsid w:val="005152B1"/>
    <w:rsid w:val="005152F0"/>
    <w:rsid w:val="00515411"/>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759"/>
    <w:rsid w:val="00523BC7"/>
    <w:rsid w:val="00523C08"/>
    <w:rsid w:val="00523C10"/>
    <w:rsid w:val="005245D5"/>
    <w:rsid w:val="00524889"/>
    <w:rsid w:val="005254C6"/>
    <w:rsid w:val="0052575D"/>
    <w:rsid w:val="00525A53"/>
    <w:rsid w:val="00525C1F"/>
    <w:rsid w:val="00526569"/>
    <w:rsid w:val="00526726"/>
    <w:rsid w:val="00527256"/>
    <w:rsid w:val="00527B57"/>
    <w:rsid w:val="00527C8D"/>
    <w:rsid w:val="0053021B"/>
    <w:rsid w:val="0053088D"/>
    <w:rsid w:val="00530AC4"/>
    <w:rsid w:val="00532115"/>
    <w:rsid w:val="0053265B"/>
    <w:rsid w:val="00533169"/>
    <w:rsid w:val="00533194"/>
    <w:rsid w:val="005332C8"/>
    <w:rsid w:val="0053464E"/>
    <w:rsid w:val="005346C8"/>
    <w:rsid w:val="00534FE3"/>
    <w:rsid w:val="005352C8"/>
    <w:rsid w:val="005354C1"/>
    <w:rsid w:val="00535F99"/>
    <w:rsid w:val="00536356"/>
    <w:rsid w:val="00536CBB"/>
    <w:rsid w:val="00536DDD"/>
    <w:rsid w:val="00537033"/>
    <w:rsid w:val="00537085"/>
    <w:rsid w:val="00537545"/>
    <w:rsid w:val="00540A37"/>
    <w:rsid w:val="00540B49"/>
    <w:rsid w:val="0054123B"/>
    <w:rsid w:val="005418DB"/>
    <w:rsid w:val="005434EA"/>
    <w:rsid w:val="00544FC3"/>
    <w:rsid w:val="00545845"/>
    <w:rsid w:val="00545D55"/>
    <w:rsid w:val="005461AB"/>
    <w:rsid w:val="00546C6A"/>
    <w:rsid w:val="00546FBA"/>
    <w:rsid w:val="0054782D"/>
    <w:rsid w:val="00547F04"/>
    <w:rsid w:val="00550924"/>
    <w:rsid w:val="00550D63"/>
    <w:rsid w:val="00550EF1"/>
    <w:rsid w:val="00551075"/>
    <w:rsid w:val="005513C8"/>
    <w:rsid w:val="00551B99"/>
    <w:rsid w:val="0055248E"/>
    <w:rsid w:val="0055352C"/>
    <w:rsid w:val="00553672"/>
    <w:rsid w:val="005538A6"/>
    <w:rsid w:val="00554F94"/>
    <w:rsid w:val="00555161"/>
    <w:rsid w:val="005555DA"/>
    <w:rsid w:val="00555DE6"/>
    <w:rsid w:val="00555E59"/>
    <w:rsid w:val="00555EB3"/>
    <w:rsid w:val="005567F6"/>
    <w:rsid w:val="00556E29"/>
    <w:rsid w:val="00557474"/>
    <w:rsid w:val="005575C9"/>
    <w:rsid w:val="00557DAA"/>
    <w:rsid w:val="00557DAD"/>
    <w:rsid w:val="00561138"/>
    <w:rsid w:val="00561699"/>
    <w:rsid w:val="0056194F"/>
    <w:rsid w:val="005619E1"/>
    <w:rsid w:val="0056208B"/>
    <w:rsid w:val="00562629"/>
    <w:rsid w:val="005628FE"/>
    <w:rsid w:val="0056330E"/>
    <w:rsid w:val="0056364B"/>
    <w:rsid w:val="00563697"/>
    <w:rsid w:val="0056417C"/>
    <w:rsid w:val="00564191"/>
    <w:rsid w:val="00564343"/>
    <w:rsid w:val="00564557"/>
    <w:rsid w:val="0056458C"/>
    <w:rsid w:val="00564628"/>
    <w:rsid w:val="005647C2"/>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2DC2"/>
    <w:rsid w:val="005730DB"/>
    <w:rsid w:val="00573251"/>
    <w:rsid w:val="005733A8"/>
    <w:rsid w:val="00573B5B"/>
    <w:rsid w:val="00573F55"/>
    <w:rsid w:val="0057540E"/>
    <w:rsid w:val="005757B6"/>
    <w:rsid w:val="005764EC"/>
    <w:rsid w:val="00576A85"/>
    <w:rsid w:val="00576EB8"/>
    <w:rsid w:val="0058000F"/>
    <w:rsid w:val="00580557"/>
    <w:rsid w:val="0058074F"/>
    <w:rsid w:val="005808F3"/>
    <w:rsid w:val="00580A76"/>
    <w:rsid w:val="00581042"/>
    <w:rsid w:val="00581703"/>
    <w:rsid w:val="00581B15"/>
    <w:rsid w:val="005821DD"/>
    <w:rsid w:val="00582B13"/>
    <w:rsid w:val="00582E42"/>
    <w:rsid w:val="00583908"/>
    <w:rsid w:val="005842FB"/>
    <w:rsid w:val="00584757"/>
    <w:rsid w:val="00584E21"/>
    <w:rsid w:val="005856D5"/>
    <w:rsid w:val="0058608B"/>
    <w:rsid w:val="005863C1"/>
    <w:rsid w:val="0058654D"/>
    <w:rsid w:val="00586786"/>
    <w:rsid w:val="005870CA"/>
    <w:rsid w:val="00587729"/>
    <w:rsid w:val="00587886"/>
    <w:rsid w:val="00587A66"/>
    <w:rsid w:val="00590147"/>
    <w:rsid w:val="0059067D"/>
    <w:rsid w:val="00590BD1"/>
    <w:rsid w:val="00590D26"/>
    <w:rsid w:val="00591276"/>
    <w:rsid w:val="005913DE"/>
    <w:rsid w:val="00591490"/>
    <w:rsid w:val="0059151A"/>
    <w:rsid w:val="005916C9"/>
    <w:rsid w:val="00591C7E"/>
    <w:rsid w:val="00591DCF"/>
    <w:rsid w:val="005929B4"/>
    <w:rsid w:val="00592A3C"/>
    <w:rsid w:val="0059367F"/>
    <w:rsid w:val="005936FE"/>
    <w:rsid w:val="00593720"/>
    <w:rsid w:val="00593909"/>
    <w:rsid w:val="00593A71"/>
    <w:rsid w:val="00593F12"/>
    <w:rsid w:val="005941E1"/>
    <w:rsid w:val="005943E2"/>
    <w:rsid w:val="005946A0"/>
    <w:rsid w:val="00594B8A"/>
    <w:rsid w:val="00595009"/>
    <w:rsid w:val="005954B7"/>
    <w:rsid w:val="00595A05"/>
    <w:rsid w:val="00595B1C"/>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6D4"/>
    <w:rsid w:val="005A1FBF"/>
    <w:rsid w:val="005A2081"/>
    <w:rsid w:val="005A29B1"/>
    <w:rsid w:val="005A2EBF"/>
    <w:rsid w:val="005A380B"/>
    <w:rsid w:val="005A4890"/>
    <w:rsid w:val="005A49D4"/>
    <w:rsid w:val="005A4D7C"/>
    <w:rsid w:val="005A51C9"/>
    <w:rsid w:val="005A5DC0"/>
    <w:rsid w:val="005A6857"/>
    <w:rsid w:val="005A6B6D"/>
    <w:rsid w:val="005A6F0E"/>
    <w:rsid w:val="005A6F57"/>
    <w:rsid w:val="005A7079"/>
    <w:rsid w:val="005A7235"/>
    <w:rsid w:val="005A76C9"/>
    <w:rsid w:val="005A795B"/>
    <w:rsid w:val="005A7A1A"/>
    <w:rsid w:val="005A7BAF"/>
    <w:rsid w:val="005B0652"/>
    <w:rsid w:val="005B1213"/>
    <w:rsid w:val="005B1329"/>
    <w:rsid w:val="005B1512"/>
    <w:rsid w:val="005B1B55"/>
    <w:rsid w:val="005B1DBD"/>
    <w:rsid w:val="005B2769"/>
    <w:rsid w:val="005B3EBD"/>
    <w:rsid w:val="005B447D"/>
    <w:rsid w:val="005B48E8"/>
    <w:rsid w:val="005B5212"/>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5B23"/>
    <w:rsid w:val="005C6234"/>
    <w:rsid w:val="005C6605"/>
    <w:rsid w:val="005C6DE2"/>
    <w:rsid w:val="005C71A0"/>
    <w:rsid w:val="005C7229"/>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638"/>
    <w:rsid w:val="005D4D7D"/>
    <w:rsid w:val="005D4DC5"/>
    <w:rsid w:val="005D5C22"/>
    <w:rsid w:val="005D5E6C"/>
    <w:rsid w:val="005D63A9"/>
    <w:rsid w:val="005D65D5"/>
    <w:rsid w:val="005D6C56"/>
    <w:rsid w:val="005D6F49"/>
    <w:rsid w:val="005D7E8A"/>
    <w:rsid w:val="005E0458"/>
    <w:rsid w:val="005E06FA"/>
    <w:rsid w:val="005E11A5"/>
    <w:rsid w:val="005E13D4"/>
    <w:rsid w:val="005E1435"/>
    <w:rsid w:val="005E21F3"/>
    <w:rsid w:val="005E235C"/>
    <w:rsid w:val="005E3078"/>
    <w:rsid w:val="005E34C0"/>
    <w:rsid w:val="005E34DF"/>
    <w:rsid w:val="005E3D71"/>
    <w:rsid w:val="005E44F1"/>
    <w:rsid w:val="005E49CA"/>
    <w:rsid w:val="005E541E"/>
    <w:rsid w:val="005E5427"/>
    <w:rsid w:val="005E5428"/>
    <w:rsid w:val="005E5A7C"/>
    <w:rsid w:val="005E5C33"/>
    <w:rsid w:val="005E5F53"/>
    <w:rsid w:val="005E6976"/>
    <w:rsid w:val="005E6E12"/>
    <w:rsid w:val="005E70CD"/>
    <w:rsid w:val="005E74B3"/>
    <w:rsid w:val="005E74EC"/>
    <w:rsid w:val="005E74F4"/>
    <w:rsid w:val="005E7AB6"/>
    <w:rsid w:val="005E7B1E"/>
    <w:rsid w:val="005E7CBC"/>
    <w:rsid w:val="005F0808"/>
    <w:rsid w:val="005F0A62"/>
    <w:rsid w:val="005F0FA8"/>
    <w:rsid w:val="005F1224"/>
    <w:rsid w:val="005F122C"/>
    <w:rsid w:val="005F1C5D"/>
    <w:rsid w:val="005F2042"/>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4D29"/>
    <w:rsid w:val="005F5009"/>
    <w:rsid w:val="005F5054"/>
    <w:rsid w:val="005F530F"/>
    <w:rsid w:val="005F65D9"/>
    <w:rsid w:val="005F6768"/>
    <w:rsid w:val="005F69CF"/>
    <w:rsid w:val="005F6E39"/>
    <w:rsid w:val="005F6E58"/>
    <w:rsid w:val="005F704C"/>
    <w:rsid w:val="005F7A22"/>
    <w:rsid w:val="005F7B9D"/>
    <w:rsid w:val="00600501"/>
    <w:rsid w:val="006006CD"/>
    <w:rsid w:val="00600B0C"/>
    <w:rsid w:val="00601078"/>
    <w:rsid w:val="00602543"/>
    <w:rsid w:val="0060254C"/>
    <w:rsid w:val="00602DFA"/>
    <w:rsid w:val="006031D1"/>
    <w:rsid w:val="0060338D"/>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619"/>
    <w:rsid w:val="0061279A"/>
    <w:rsid w:val="00613009"/>
    <w:rsid w:val="006132EA"/>
    <w:rsid w:val="0061401C"/>
    <w:rsid w:val="0061420B"/>
    <w:rsid w:val="00614931"/>
    <w:rsid w:val="00614D33"/>
    <w:rsid w:val="0061537D"/>
    <w:rsid w:val="0061537F"/>
    <w:rsid w:val="0061545A"/>
    <w:rsid w:val="00615ABA"/>
    <w:rsid w:val="00615DEA"/>
    <w:rsid w:val="00616A60"/>
    <w:rsid w:val="00616EE6"/>
    <w:rsid w:val="006171FB"/>
    <w:rsid w:val="00617A2A"/>
    <w:rsid w:val="006207F4"/>
    <w:rsid w:val="00620C67"/>
    <w:rsid w:val="00621646"/>
    <w:rsid w:val="00621803"/>
    <w:rsid w:val="006220F1"/>
    <w:rsid w:val="0062388F"/>
    <w:rsid w:val="00623C68"/>
    <w:rsid w:val="00623E46"/>
    <w:rsid w:val="00624604"/>
    <w:rsid w:val="00624D2C"/>
    <w:rsid w:val="00624EF1"/>
    <w:rsid w:val="00625145"/>
    <w:rsid w:val="00626A19"/>
    <w:rsid w:val="00627402"/>
    <w:rsid w:val="00630480"/>
    <w:rsid w:val="0063058E"/>
    <w:rsid w:val="006305F8"/>
    <w:rsid w:val="00631DA7"/>
    <w:rsid w:val="00632B9C"/>
    <w:rsid w:val="00632F18"/>
    <w:rsid w:val="006332D7"/>
    <w:rsid w:val="0063333D"/>
    <w:rsid w:val="00634225"/>
    <w:rsid w:val="00634AD0"/>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34A"/>
    <w:rsid w:val="00641761"/>
    <w:rsid w:val="006421D9"/>
    <w:rsid w:val="006424FE"/>
    <w:rsid w:val="006425FC"/>
    <w:rsid w:val="00642631"/>
    <w:rsid w:val="00642C3C"/>
    <w:rsid w:val="00642DF5"/>
    <w:rsid w:val="0064304A"/>
    <w:rsid w:val="0064329C"/>
    <w:rsid w:val="006435A5"/>
    <w:rsid w:val="0064380B"/>
    <w:rsid w:val="00643A4F"/>
    <w:rsid w:val="00643FF5"/>
    <w:rsid w:val="006441FD"/>
    <w:rsid w:val="006442B5"/>
    <w:rsid w:val="00644E5A"/>
    <w:rsid w:val="00644F2C"/>
    <w:rsid w:val="00645141"/>
    <w:rsid w:val="00645635"/>
    <w:rsid w:val="00645AEE"/>
    <w:rsid w:val="00645E0C"/>
    <w:rsid w:val="00646428"/>
    <w:rsid w:val="00646A69"/>
    <w:rsid w:val="0064707F"/>
    <w:rsid w:val="006471E8"/>
    <w:rsid w:val="00647BFB"/>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46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3D2A"/>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023"/>
    <w:rsid w:val="00672482"/>
    <w:rsid w:val="00672A18"/>
    <w:rsid w:val="006735D0"/>
    <w:rsid w:val="006739E9"/>
    <w:rsid w:val="006748B3"/>
    <w:rsid w:val="00674AF5"/>
    <w:rsid w:val="00674D52"/>
    <w:rsid w:val="00674F93"/>
    <w:rsid w:val="0067546F"/>
    <w:rsid w:val="00675A94"/>
    <w:rsid w:val="00676CE4"/>
    <w:rsid w:val="00676D49"/>
    <w:rsid w:val="00676EC2"/>
    <w:rsid w:val="00676FA5"/>
    <w:rsid w:val="006771A4"/>
    <w:rsid w:val="006771AD"/>
    <w:rsid w:val="006774A8"/>
    <w:rsid w:val="00677572"/>
    <w:rsid w:val="00681229"/>
    <w:rsid w:val="00681277"/>
    <w:rsid w:val="0068185E"/>
    <w:rsid w:val="00681BE5"/>
    <w:rsid w:val="00681E30"/>
    <w:rsid w:val="00682A66"/>
    <w:rsid w:val="0068379B"/>
    <w:rsid w:val="00683D98"/>
    <w:rsid w:val="00683D99"/>
    <w:rsid w:val="00684079"/>
    <w:rsid w:val="00685DAA"/>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1DF7"/>
    <w:rsid w:val="00692147"/>
    <w:rsid w:val="00692242"/>
    <w:rsid w:val="0069236E"/>
    <w:rsid w:val="00692704"/>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2C6"/>
    <w:rsid w:val="006A14A3"/>
    <w:rsid w:val="006A14E3"/>
    <w:rsid w:val="006A159D"/>
    <w:rsid w:val="006A18B0"/>
    <w:rsid w:val="006A18BF"/>
    <w:rsid w:val="006A1F58"/>
    <w:rsid w:val="006A242E"/>
    <w:rsid w:val="006A26AB"/>
    <w:rsid w:val="006A298D"/>
    <w:rsid w:val="006A2F80"/>
    <w:rsid w:val="006A3FD6"/>
    <w:rsid w:val="006A4076"/>
    <w:rsid w:val="006A436F"/>
    <w:rsid w:val="006A4E5B"/>
    <w:rsid w:val="006A5825"/>
    <w:rsid w:val="006A59D8"/>
    <w:rsid w:val="006A5A45"/>
    <w:rsid w:val="006A5C13"/>
    <w:rsid w:val="006A608E"/>
    <w:rsid w:val="006A6B7B"/>
    <w:rsid w:val="006A73D2"/>
    <w:rsid w:val="006A78F8"/>
    <w:rsid w:val="006A7991"/>
    <w:rsid w:val="006A7C26"/>
    <w:rsid w:val="006A7E27"/>
    <w:rsid w:val="006B010E"/>
    <w:rsid w:val="006B091F"/>
    <w:rsid w:val="006B0CAF"/>
    <w:rsid w:val="006B0ED0"/>
    <w:rsid w:val="006B0EED"/>
    <w:rsid w:val="006B147E"/>
    <w:rsid w:val="006B1A52"/>
    <w:rsid w:val="006B1DF6"/>
    <w:rsid w:val="006B233F"/>
    <w:rsid w:val="006B23DB"/>
    <w:rsid w:val="006B275E"/>
    <w:rsid w:val="006B28EA"/>
    <w:rsid w:val="006B2DA3"/>
    <w:rsid w:val="006B2FBB"/>
    <w:rsid w:val="006B378A"/>
    <w:rsid w:val="006B3BD5"/>
    <w:rsid w:val="006B3FC6"/>
    <w:rsid w:val="006B4185"/>
    <w:rsid w:val="006B4224"/>
    <w:rsid w:val="006B43AB"/>
    <w:rsid w:val="006B4493"/>
    <w:rsid w:val="006B4B62"/>
    <w:rsid w:val="006B53DC"/>
    <w:rsid w:val="006B5423"/>
    <w:rsid w:val="006B5855"/>
    <w:rsid w:val="006B5AB2"/>
    <w:rsid w:val="006B5C67"/>
    <w:rsid w:val="006B6B5D"/>
    <w:rsid w:val="006B6C0D"/>
    <w:rsid w:val="006B7825"/>
    <w:rsid w:val="006B78FA"/>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AAF"/>
    <w:rsid w:val="006C5D29"/>
    <w:rsid w:val="006C5D88"/>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C8"/>
    <w:rsid w:val="006D3FDF"/>
    <w:rsid w:val="006D4527"/>
    <w:rsid w:val="006D4B05"/>
    <w:rsid w:val="006D4EE5"/>
    <w:rsid w:val="006D4F86"/>
    <w:rsid w:val="006D5601"/>
    <w:rsid w:val="006D5D8E"/>
    <w:rsid w:val="006D5F98"/>
    <w:rsid w:val="006D5FB3"/>
    <w:rsid w:val="006D6665"/>
    <w:rsid w:val="006D6DEA"/>
    <w:rsid w:val="006D7098"/>
    <w:rsid w:val="006D740E"/>
    <w:rsid w:val="006D7C8A"/>
    <w:rsid w:val="006D7F72"/>
    <w:rsid w:val="006E00B7"/>
    <w:rsid w:val="006E0CB5"/>
    <w:rsid w:val="006E0E5B"/>
    <w:rsid w:val="006E132F"/>
    <w:rsid w:val="006E1A28"/>
    <w:rsid w:val="006E1AA2"/>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4F"/>
    <w:rsid w:val="006F5374"/>
    <w:rsid w:val="006F60DF"/>
    <w:rsid w:val="006F6763"/>
    <w:rsid w:val="006F68C1"/>
    <w:rsid w:val="006F6B60"/>
    <w:rsid w:val="006F6CE2"/>
    <w:rsid w:val="006F6E10"/>
    <w:rsid w:val="006F7800"/>
    <w:rsid w:val="00700794"/>
    <w:rsid w:val="00700944"/>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4EB2"/>
    <w:rsid w:val="00715441"/>
    <w:rsid w:val="00715739"/>
    <w:rsid w:val="0071576C"/>
    <w:rsid w:val="007158A6"/>
    <w:rsid w:val="00715C94"/>
    <w:rsid w:val="00715EA7"/>
    <w:rsid w:val="0071692C"/>
    <w:rsid w:val="00716A09"/>
    <w:rsid w:val="007170DB"/>
    <w:rsid w:val="00717880"/>
    <w:rsid w:val="00717CA8"/>
    <w:rsid w:val="007205E7"/>
    <w:rsid w:val="007209C4"/>
    <w:rsid w:val="00721ACB"/>
    <w:rsid w:val="00721E9E"/>
    <w:rsid w:val="007227FE"/>
    <w:rsid w:val="0072290A"/>
    <w:rsid w:val="007233C3"/>
    <w:rsid w:val="007238BF"/>
    <w:rsid w:val="00723C95"/>
    <w:rsid w:val="007244E7"/>
    <w:rsid w:val="0072505F"/>
    <w:rsid w:val="00725B00"/>
    <w:rsid w:val="00725E54"/>
    <w:rsid w:val="0072680C"/>
    <w:rsid w:val="0072698B"/>
    <w:rsid w:val="00726A25"/>
    <w:rsid w:val="00726B3D"/>
    <w:rsid w:val="00726C01"/>
    <w:rsid w:val="00726C64"/>
    <w:rsid w:val="007307CD"/>
    <w:rsid w:val="007310B7"/>
    <w:rsid w:val="00731237"/>
    <w:rsid w:val="0073207E"/>
    <w:rsid w:val="00732664"/>
    <w:rsid w:val="00732BA7"/>
    <w:rsid w:val="007333EA"/>
    <w:rsid w:val="00733535"/>
    <w:rsid w:val="00733601"/>
    <w:rsid w:val="00733772"/>
    <w:rsid w:val="00733A57"/>
    <w:rsid w:val="00733F36"/>
    <w:rsid w:val="007340CE"/>
    <w:rsid w:val="00734781"/>
    <w:rsid w:val="007349FC"/>
    <w:rsid w:val="00734B6F"/>
    <w:rsid w:val="00735293"/>
    <w:rsid w:val="00735376"/>
    <w:rsid w:val="0073555D"/>
    <w:rsid w:val="007363EA"/>
    <w:rsid w:val="00736E06"/>
    <w:rsid w:val="00736E37"/>
    <w:rsid w:val="00737286"/>
    <w:rsid w:val="007373DB"/>
    <w:rsid w:val="00737F27"/>
    <w:rsid w:val="00737FD3"/>
    <w:rsid w:val="007407DB"/>
    <w:rsid w:val="0074085F"/>
    <w:rsid w:val="00740BFC"/>
    <w:rsid w:val="00740F76"/>
    <w:rsid w:val="00741037"/>
    <w:rsid w:val="0074144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0D6C"/>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4AA2"/>
    <w:rsid w:val="00764BD6"/>
    <w:rsid w:val="00765366"/>
    <w:rsid w:val="00765614"/>
    <w:rsid w:val="00765914"/>
    <w:rsid w:val="0076614D"/>
    <w:rsid w:val="0076624C"/>
    <w:rsid w:val="0076627D"/>
    <w:rsid w:val="007662C4"/>
    <w:rsid w:val="00766304"/>
    <w:rsid w:val="00767A28"/>
    <w:rsid w:val="00767DD2"/>
    <w:rsid w:val="0077082B"/>
    <w:rsid w:val="00770B12"/>
    <w:rsid w:val="00770E60"/>
    <w:rsid w:val="007711E4"/>
    <w:rsid w:val="00771C8F"/>
    <w:rsid w:val="00772019"/>
    <w:rsid w:val="007721C4"/>
    <w:rsid w:val="0077266E"/>
    <w:rsid w:val="0077292E"/>
    <w:rsid w:val="007737D8"/>
    <w:rsid w:val="0077391C"/>
    <w:rsid w:val="00773D24"/>
    <w:rsid w:val="00774576"/>
    <w:rsid w:val="00774E16"/>
    <w:rsid w:val="0077508A"/>
    <w:rsid w:val="00775567"/>
    <w:rsid w:val="00775E0D"/>
    <w:rsid w:val="00776343"/>
    <w:rsid w:val="00776416"/>
    <w:rsid w:val="00776C7B"/>
    <w:rsid w:val="00776CEF"/>
    <w:rsid w:val="0077790B"/>
    <w:rsid w:val="00777E7E"/>
    <w:rsid w:val="007804DD"/>
    <w:rsid w:val="0078095A"/>
    <w:rsid w:val="00780F3B"/>
    <w:rsid w:val="007816EE"/>
    <w:rsid w:val="00781CFE"/>
    <w:rsid w:val="00782071"/>
    <w:rsid w:val="00782946"/>
    <w:rsid w:val="00782A4F"/>
    <w:rsid w:val="00782AB1"/>
    <w:rsid w:val="00782ECD"/>
    <w:rsid w:val="00782F74"/>
    <w:rsid w:val="00782FDC"/>
    <w:rsid w:val="0078363B"/>
    <w:rsid w:val="00783CCF"/>
    <w:rsid w:val="00783F5B"/>
    <w:rsid w:val="007842D6"/>
    <w:rsid w:val="00784609"/>
    <w:rsid w:val="00784720"/>
    <w:rsid w:val="0078481D"/>
    <w:rsid w:val="007852F7"/>
    <w:rsid w:val="007859FC"/>
    <w:rsid w:val="00785F4C"/>
    <w:rsid w:val="0078609C"/>
    <w:rsid w:val="00786355"/>
    <w:rsid w:val="00787370"/>
    <w:rsid w:val="007874AE"/>
    <w:rsid w:val="0078750B"/>
    <w:rsid w:val="00787F5E"/>
    <w:rsid w:val="0079024D"/>
    <w:rsid w:val="007911B8"/>
    <w:rsid w:val="00791DAE"/>
    <w:rsid w:val="007930E8"/>
    <w:rsid w:val="007934FC"/>
    <w:rsid w:val="007935F5"/>
    <w:rsid w:val="00793D04"/>
    <w:rsid w:val="00793F28"/>
    <w:rsid w:val="00793FDB"/>
    <w:rsid w:val="00794252"/>
    <w:rsid w:val="007944D2"/>
    <w:rsid w:val="007949F0"/>
    <w:rsid w:val="00794B19"/>
    <w:rsid w:val="00795B8D"/>
    <w:rsid w:val="00795EB9"/>
    <w:rsid w:val="00795F0E"/>
    <w:rsid w:val="007960A9"/>
    <w:rsid w:val="00797D8F"/>
    <w:rsid w:val="007A0C00"/>
    <w:rsid w:val="007A0E15"/>
    <w:rsid w:val="007A1147"/>
    <w:rsid w:val="007A176E"/>
    <w:rsid w:val="007A19BF"/>
    <w:rsid w:val="007A19E4"/>
    <w:rsid w:val="007A2A69"/>
    <w:rsid w:val="007A2CF1"/>
    <w:rsid w:val="007A41B5"/>
    <w:rsid w:val="007A4486"/>
    <w:rsid w:val="007A4682"/>
    <w:rsid w:val="007A5879"/>
    <w:rsid w:val="007A58A8"/>
    <w:rsid w:val="007A59B7"/>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59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2DEB"/>
    <w:rsid w:val="007C357D"/>
    <w:rsid w:val="007C3A55"/>
    <w:rsid w:val="007C3B27"/>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6B35"/>
    <w:rsid w:val="007D71B7"/>
    <w:rsid w:val="007D7C66"/>
    <w:rsid w:val="007D7CF3"/>
    <w:rsid w:val="007E0274"/>
    <w:rsid w:val="007E02A7"/>
    <w:rsid w:val="007E0415"/>
    <w:rsid w:val="007E05BD"/>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705"/>
    <w:rsid w:val="00800C97"/>
    <w:rsid w:val="00800E69"/>
    <w:rsid w:val="008015BF"/>
    <w:rsid w:val="0080220F"/>
    <w:rsid w:val="00802735"/>
    <w:rsid w:val="008028C2"/>
    <w:rsid w:val="00802DDB"/>
    <w:rsid w:val="00803165"/>
    <w:rsid w:val="008037D8"/>
    <w:rsid w:val="00803B7E"/>
    <w:rsid w:val="00803DA6"/>
    <w:rsid w:val="008040C6"/>
    <w:rsid w:val="008040D9"/>
    <w:rsid w:val="0080436E"/>
    <w:rsid w:val="00804937"/>
    <w:rsid w:val="00804E1E"/>
    <w:rsid w:val="00804E43"/>
    <w:rsid w:val="008050F5"/>
    <w:rsid w:val="00805112"/>
    <w:rsid w:val="0080512F"/>
    <w:rsid w:val="0080519C"/>
    <w:rsid w:val="00805960"/>
    <w:rsid w:val="00805C83"/>
    <w:rsid w:val="0080680C"/>
    <w:rsid w:val="00810BC2"/>
    <w:rsid w:val="00811683"/>
    <w:rsid w:val="008118B2"/>
    <w:rsid w:val="00811AFF"/>
    <w:rsid w:val="00812102"/>
    <w:rsid w:val="00812373"/>
    <w:rsid w:val="008131FC"/>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DCB"/>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1FB"/>
    <w:rsid w:val="00830C0E"/>
    <w:rsid w:val="008313E0"/>
    <w:rsid w:val="00831742"/>
    <w:rsid w:val="008317EC"/>
    <w:rsid w:val="0083195D"/>
    <w:rsid w:val="00831B7B"/>
    <w:rsid w:val="00831D90"/>
    <w:rsid w:val="008324F3"/>
    <w:rsid w:val="00832691"/>
    <w:rsid w:val="0083296B"/>
    <w:rsid w:val="00832E87"/>
    <w:rsid w:val="00833547"/>
    <w:rsid w:val="00833852"/>
    <w:rsid w:val="00833AB9"/>
    <w:rsid w:val="00833D4B"/>
    <w:rsid w:val="008344EC"/>
    <w:rsid w:val="00834820"/>
    <w:rsid w:val="00834C82"/>
    <w:rsid w:val="00834DB6"/>
    <w:rsid w:val="00834F93"/>
    <w:rsid w:val="00835238"/>
    <w:rsid w:val="008354DB"/>
    <w:rsid w:val="00836F23"/>
    <w:rsid w:val="00837509"/>
    <w:rsid w:val="00840C4A"/>
    <w:rsid w:val="008411B9"/>
    <w:rsid w:val="0084122F"/>
    <w:rsid w:val="00841573"/>
    <w:rsid w:val="00841D08"/>
    <w:rsid w:val="00842D43"/>
    <w:rsid w:val="0084323E"/>
    <w:rsid w:val="0084375D"/>
    <w:rsid w:val="00843D50"/>
    <w:rsid w:val="00844068"/>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176B"/>
    <w:rsid w:val="00852003"/>
    <w:rsid w:val="0085212C"/>
    <w:rsid w:val="00852F9E"/>
    <w:rsid w:val="00853A8B"/>
    <w:rsid w:val="00853F63"/>
    <w:rsid w:val="00854053"/>
    <w:rsid w:val="008543AC"/>
    <w:rsid w:val="008548B8"/>
    <w:rsid w:val="00854965"/>
    <w:rsid w:val="008554D1"/>
    <w:rsid w:val="0085573C"/>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3F7"/>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98B"/>
    <w:rsid w:val="00876B13"/>
    <w:rsid w:val="00880017"/>
    <w:rsid w:val="00880305"/>
    <w:rsid w:val="00880315"/>
    <w:rsid w:val="0088031C"/>
    <w:rsid w:val="0088056A"/>
    <w:rsid w:val="0088088A"/>
    <w:rsid w:val="00880A3F"/>
    <w:rsid w:val="00880EE2"/>
    <w:rsid w:val="00881318"/>
    <w:rsid w:val="00881732"/>
    <w:rsid w:val="008818A2"/>
    <w:rsid w:val="00881A57"/>
    <w:rsid w:val="00881E6D"/>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5CC7"/>
    <w:rsid w:val="008866CF"/>
    <w:rsid w:val="00886782"/>
    <w:rsid w:val="008869A1"/>
    <w:rsid w:val="00886B3F"/>
    <w:rsid w:val="0089015D"/>
    <w:rsid w:val="0089021A"/>
    <w:rsid w:val="0089022E"/>
    <w:rsid w:val="00890475"/>
    <w:rsid w:val="00890A7C"/>
    <w:rsid w:val="00890D11"/>
    <w:rsid w:val="008910EE"/>
    <w:rsid w:val="00891889"/>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875"/>
    <w:rsid w:val="008959E5"/>
    <w:rsid w:val="00895BA9"/>
    <w:rsid w:val="00895D79"/>
    <w:rsid w:val="0089601B"/>
    <w:rsid w:val="0089655D"/>
    <w:rsid w:val="00896784"/>
    <w:rsid w:val="00896CB0"/>
    <w:rsid w:val="00897508"/>
    <w:rsid w:val="00897824"/>
    <w:rsid w:val="008979DB"/>
    <w:rsid w:val="00897BCB"/>
    <w:rsid w:val="00897C07"/>
    <w:rsid w:val="00897DBA"/>
    <w:rsid w:val="008A02FA"/>
    <w:rsid w:val="008A06A8"/>
    <w:rsid w:val="008A104C"/>
    <w:rsid w:val="008A13F2"/>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24E"/>
    <w:rsid w:val="008A650C"/>
    <w:rsid w:val="008A6A36"/>
    <w:rsid w:val="008A6CB9"/>
    <w:rsid w:val="008A6DC1"/>
    <w:rsid w:val="008A7100"/>
    <w:rsid w:val="008A7139"/>
    <w:rsid w:val="008A773C"/>
    <w:rsid w:val="008A776D"/>
    <w:rsid w:val="008A7C74"/>
    <w:rsid w:val="008B0107"/>
    <w:rsid w:val="008B04C0"/>
    <w:rsid w:val="008B0A83"/>
    <w:rsid w:val="008B0E93"/>
    <w:rsid w:val="008B198D"/>
    <w:rsid w:val="008B1D3A"/>
    <w:rsid w:val="008B29A4"/>
    <w:rsid w:val="008B2BB4"/>
    <w:rsid w:val="008B2C30"/>
    <w:rsid w:val="008B2D73"/>
    <w:rsid w:val="008B3AB6"/>
    <w:rsid w:val="008B3C2B"/>
    <w:rsid w:val="008B3DE7"/>
    <w:rsid w:val="008B4507"/>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30D"/>
    <w:rsid w:val="008C0773"/>
    <w:rsid w:val="008C0A89"/>
    <w:rsid w:val="008C0E71"/>
    <w:rsid w:val="008C1852"/>
    <w:rsid w:val="008C2123"/>
    <w:rsid w:val="008C27B4"/>
    <w:rsid w:val="008C2CFF"/>
    <w:rsid w:val="008C2E1E"/>
    <w:rsid w:val="008C2E22"/>
    <w:rsid w:val="008C2ED2"/>
    <w:rsid w:val="008C3D4D"/>
    <w:rsid w:val="008C4026"/>
    <w:rsid w:val="008C417E"/>
    <w:rsid w:val="008C5B51"/>
    <w:rsid w:val="008C5F0A"/>
    <w:rsid w:val="008C6105"/>
    <w:rsid w:val="008C6124"/>
    <w:rsid w:val="008C6334"/>
    <w:rsid w:val="008C6353"/>
    <w:rsid w:val="008C661C"/>
    <w:rsid w:val="008C66BD"/>
    <w:rsid w:val="008C6968"/>
    <w:rsid w:val="008C6F7C"/>
    <w:rsid w:val="008C742A"/>
    <w:rsid w:val="008C74C7"/>
    <w:rsid w:val="008C7714"/>
    <w:rsid w:val="008C7F4F"/>
    <w:rsid w:val="008D00F3"/>
    <w:rsid w:val="008D0F27"/>
    <w:rsid w:val="008D15A2"/>
    <w:rsid w:val="008D18CD"/>
    <w:rsid w:val="008D1C34"/>
    <w:rsid w:val="008D1F86"/>
    <w:rsid w:val="008D20E0"/>
    <w:rsid w:val="008D220E"/>
    <w:rsid w:val="008D2796"/>
    <w:rsid w:val="008D2B6E"/>
    <w:rsid w:val="008D335C"/>
    <w:rsid w:val="008D35B7"/>
    <w:rsid w:val="008D4007"/>
    <w:rsid w:val="008D436A"/>
    <w:rsid w:val="008D4C72"/>
    <w:rsid w:val="008D4D0E"/>
    <w:rsid w:val="008D50BA"/>
    <w:rsid w:val="008D546D"/>
    <w:rsid w:val="008D561B"/>
    <w:rsid w:val="008D570D"/>
    <w:rsid w:val="008D582B"/>
    <w:rsid w:val="008D5CF9"/>
    <w:rsid w:val="008D5D0A"/>
    <w:rsid w:val="008D5D9B"/>
    <w:rsid w:val="008D6794"/>
    <w:rsid w:val="008D7F65"/>
    <w:rsid w:val="008E0178"/>
    <w:rsid w:val="008E02F8"/>
    <w:rsid w:val="008E0BA8"/>
    <w:rsid w:val="008E1189"/>
    <w:rsid w:val="008E12AF"/>
    <w:rsid w:val="008E1592"/>
    <w:rsid w:val="008E211C"/>
    <w:rsid w:val="008E2BB3"/>
    <w:rsid w:val="008E2BC5"/>
    <w:rsid w:val="008E2C79"/>
    <w:rsid w:val="008E3176"/>
    <w:rsid w:val="008E3564"/>
    <w:rsid w:val="008E3827"/>
    <w:rsid w:val="008E3A0B"/>
    <w:rsid w:val="008E3A90"/>
    <w:rsid w:val="008E3AAB"/>
    <w:rsid w:val="008E4043"/>
    <w:rsid w:val="008E4163"/>
    <w:rsid w:val="008E41E2"/>
    <w:rsid w:val="008E4520"/>
    <w:rsid w:val="008E4A22"/>
    <w:rsid w:val="008E54E8"/>
    <w:rsid w:val="008E5740"/>
    <w:rsid w:val="008E5868"/>
    <w:rsid w:val="008E5DC8"/>
    <w:rsid w:val="008E6465"/>
    <w:rsid w:val="008E6C57"/>
    <w:rsid w:val="008E6E66"/>
    <w:rsid w:val="008E7082"/>
    <w:rsid w:val="008E72AF"/>
    <w:rsid w:val="008F0952"/>
    <w:rsid w:val="008F0DED"/>
    <w:rsid w:val="008F1154"/>
    <w:rsid w:val="008F1B84"/>
    <w:rsid w:val="008F1B9D"/>
    <w:rsid w:val="008F1DB6"/>
    <w:rsid w:val="008F1DDC"/>
    <w:rsid w:val="008F3368"/>
    <w:rsid w:val="008F39C0"/>
    <w:rsid w:val="008F3CC0"/>
    <w:rsid w:val="008F4137"/>
    <w:rsid w:val="008F484E"/>
    <w:rsid w:val="008F55C2"/>
    <w:rsid w:val="008F57CD"/>
    <w:rsid w:val="008F5960"/>
    <w:rsid w:val="008F5CD0"/>
    <w:rsid w:val="008F6100"/>
    <w:rsid w:val="008F629A"/>
    <w:rsid w:val="008F6A9B"/>
    <w:rsid w:val="008F6AB2"/>
    <w:rsid w:val="008F6F03"/>
    <w:rsid w:val="008F6F9D"/>
    <w:rsid w:val="008F7505"/>
    <w:rsid w:val="008F7603"/>
    <w:rsid w:val="008F769D"/>
    <w:rsid w:val="008F76DC"/>
    <w:rsid w:val="008F7A06"/>
    <w:rsid w:val="008F7A8F"/>
    <w:rsid w:val="008F7D2F"/>
    <w:rsid w:val="0090127B"/>
    <w:rsid w:val="009013C5"/>
    <w:rsid w:val="0090147B"/>
    <w:rsid w:val="00901649"/>
    <w:rsid w:val="00901CBA"/>
    <w:rsid w:val="00901DC6"/>
    <w:rsid w:val="009021DC"/>
    <w:rsid w:val="00903026"/>
    <w:rsid w:val="0090357B"/>
    <w:rsid w:val="00903832"/>
    <w:rsid w:val="00903ADC"/>
    <w:rsid w:val="009044BE"/>
    <w:rsid w:val="009048EB"/>
    <w:rsid w:val="00904913"/>
    <w:rsid w:val="00904D4B"/>
    <w:rsid w:val="00904F25"/>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8B"/>
    <w:rsid w:val="009117D0"/>
    <w:rsid w:val="00911C77"/>
    <w:rsid w:val="00911D1C"/>
    <w:rsid w:val="00912F38"/>
    <w:rsid w:val="00913C58"/>
    <w:rsid w:val="00913FCD"/>
    <w:rsid w:val="009140B4"/>
    <w:rsid w:val="00914174"/>
    <w:rsid w:val="0091428A"/>
    <w:rsid w:val="0091439C"/>
    <w:rsid w:val="00914733"/>
    <w:rsid w:val="00914AA5"/>
    <w:rsid w:val="00914B01"/>
    <w:rsid w:val="009151C8"/>
    <w:rsid w:val="009162DD"/>
    <w:rsid w:val="009163E7"/>
    <w:rsid w:val="00916653"/>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473"/>
    <w:rsid w:val="00930632"/>
    <w:rsid w:val="009309D4"/>
    <w:rsid w:val="009310BC"/>
    <w:rsid w:val="009318E9"/>
    <w:rsid w:val="00931D3F"/>
    <w:rsid w:val="009324C4"/>
    <w:rsid w:val="00932671"/>
    <w:rsid w:val="00932A7A"/>
    <w:rsid w:val="009330BF"/>
    <w:rsid w:val="00933580"/>
    <w:rsid w:val="00933817"/>
    <w:rsid w:val="00933C07"/>
    <w:rsid w:val="00934510"/>
    <w:rsid w:val="0093476C"/>
    <w:rsid w:val="00935A1E"/>
    <w:rsid w:val="00935B7C"/>
    <w:rsid w:val="00935E3A"/>
    <w:rsid w:val="00936005"/>
    <w:rsid w:val="0093607C"/>
    <w:rsid w:val="00937A83"/>
    <w:rsid w:val="00937B51"/>
    <w:rsid w:val="00940008"/>
    <w:rsid w:val="0094015B"/>
    <w:rsid w:val="00940AB3"/>
    <w:rsid w:val="00940FFA"/>
    <w:rsid w:val="00941503"/>
    <w:rsid w:val="00941543"/>
    <w:rsid w:val="0094187D"/>
    <w:rsid w:val="00942C90"/>
    <w:rsid w:val="00942F29"/>
    <w:rsid w:val="00942FB6"/>
    <w:rsid w:val="009434EB"/>
    <w:rsid w:val="00943AA9"/>
    <w:rsid w:val="00943EA6"/>
    <w:rsid w:val="00944400"/>
    <w:rsid w:val="009448F2"/>
    <w:rsid w:val="009448F3"/>
    <w:rsid w:val="0094524B"/>
    <w:rsid w:val="009456E3"/>
    <w:rsid w:val="00945759"/>
    <w:rsid w:val="00945D7D"/>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68A"/>
    <w:rsid w:val="009607AB"/>
    <w:rsid w:val="00960A9A"/>
    <w:rsid w:val="009613AD"/>
    <w:rsid w:val="009615DB"/>
    <w:rsid w:val="00962683"/>
    <w:rsid w:val="00962E23"/>
    <w:rsid w:val="00963149"/>
    <w:rsid w:val="0096317B"/>
    <w:rsid w:val="0096456D"/>
    <w:rsid w:val="0096487C"/>
    <w:rsid w:val="00964BC2"/>
    <w:rsid w:val="00964D4A"/>
    <w:rsid w:val="00964EAE"/>
    <w:rsid w:val="00965023"/>
    <w:rsid w:val="009650B7"/>
    <w:rsid w:val="0096515D"/>
    <w:rsid w:val="0096522D"/>
    <w:rsid w:val="00965841"/>
    <w:rsid w:val="009659AA"/>
    <w:rsid w:val="00965EE1"/>
    <w:rsid w:val="00966623"/>
    <w:rsid w:val="009668D5"/>
    <w:rsid w:val="00966B62"/>
    <w:rsid w:val="00966D23"/>
    <w:rsid w:val="009678DB"/>
    <w:rsid w:val="00967A7D"/>
    <w:rsid w:val="00970728"/>
    <w:rsid w:val="009707C9"/>
    <w:rsid w:val="0097082A"/>
    <w:rsid w:val="00971E0B"/>
    <w:rsid w:val="00972101"/>
    <w:rsid w:val="00972D22"/>
    <w:rsid w:val="00972E38"/>
    <w:rsid w:val="00972E6F"/>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BE4"/>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5145"/>
    <w:rsid w:val="00986326"/>
    <w:rsid w:val="00986849"/>
    <w:rsid w:val="0098698D"/>
    <w:rsid w:val="00986B18"/>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1E1A"/>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6D"/>
    <w:rsid w:val="009A7FD7"/>
    <w:rsid w:val="009B00F2"/>
    <w:rsid w:val="009B0FB2"/>
    <w:rsid w:val="009B1113"/>
    <w:rsid w:val="009B17DC"/>
    <w:rsid w:val="009B1C34"/>
    <w:rsid w:val="009B1D22"/>
    <w:rsid w:val="009B1E86"/>
    <w:rsid w:val="009B277C"/>
    <w:rsid w:val="009B27C4"/>
    <w:rsid w:val="009B2D92"/>
    <w:rsid w:val="009B3250"/>
    <w:rsid w:val="009B3344"/>
    <w:rsid w:val="009B338D"/>
    <w:rsid w:val="009B42D2"/>
    <w:rsid w:val="009B4A06"/>
    <w:rsid w:val="009B5E9C"/>
    <w:rsid w:val="009B609E"/>
    <w:rsid w:val="009B70C8"/>
    <w:rsid w:val="009B722F"/>
    <w:rsid w:val="009B737C"/>
    <w:rsid w:val="009B742E"/>
    <w:rsid w:val="009C0AC6"/>
    <w:rsid w:val="009C0E66"/>
    <w:rsid w:val="009C11B2"/>
    <w:rsid w:val="009C12A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4440"/>
    <w:rsid w:val="009D5BDB"/>
    <w:rsid w:val="009D5CCA"/>
    <w:rsid w:val="009D6B03"/>
    <w:rsid w:val="009D6B3D"/>
    <w:rsid w:val="009D6FCD"/>
    <w:rsid w:val="009D7422"/>
    <w:rsid w:val="009D77A4"/>
    <w:rsid w:val="009D78E7"/>
    <w:rsid w:val="009E0505"/>
    <w:rsid w:val="009E056F"/>
    <w:rsid w:val="009E0742"/>
    <w:rsid w:val="009E125D"/>
    <w:rsid w:val="009E1291"/>
    <w:rsid w:val="009E12BC"/>
    <w:rsid w:val="009E224D"/>
    <w:rsid w:val="009E26D5"/>
    <w:rsid w:val="009E276C"/>
    <w:rsid w:val="009E2A07"/>
    <w:rsid w:val="009E2C7A"/>
    <w:rsid w:val="009E3398"/>
    <w:rsid w:val="009E3577"/>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904"/>
    <w:rsid w:val="009F6A91"/>
    <w:rsid w:val="009F71A6"/>
    <w:rsid w:val="009F71AA"/>
    <w:rsid w:val="009F7326"/>
    <w:rsid w:val="009F754A"/>
    <w:rsid w:val="009F791F"/>
    <w:rsid w:val="009F7F86"/>
    <w:rsid w:val="00A0034D"/>
    <w:rsid w:val="00A00BFB"/>
    <w:rsid w:val="00A00DCF"/>
    <w:rsid w:val="00A0126C"/>
    <w:rsid w:val="00A012DA"/>
    <w:rsid w:val="00A0187E"/>
    <w:rsid w:val="00A02182"/>
    <w:rsid w:val="00A02450"/>
    <w:rsid w:val="00A026F0"/>
    <w:rsid w:val="00A02E2B"/>
    <w:rsid w:val="00A02F2D"/>
    <w:rsid w:val="00A02F61"/>
    <w:rsid w:val="00A03E0E"/>
    <w:rsid w:val="00A040D1"/>
    <w:rsid w:val="00A04424"/>
    <w:rsid w:val="00A04A0A"/>
    <w:rsid w:val="00A050A8"/>
    <w:rsid w:val="00A056A3"/>
    <w:rsid w:val="00A056AA"/>
    <w:rsid w:val="00A0588F"/>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6B6B"/>
    <w:rsid w:val="00A174AE"/>
    <w:rsid w:val="00A17813"/>
    <w:rsid w:val="00A17C1D"/>
    <w:rsid w:val="00A17CCC"/>
    <w:rsid w:val="00A20013"/>
    <w:rsid w:val="00A20582"/>
    <w:rsid w:val="00A20C65"/>
    <w:rsid w:val="00A214B2"/>
    <w:rsid w:val="00A21767"/>
    <w:rsid w:val="00A21FD5"/>
    <w:rsid w:val="00A22751"/>
    <w:rsid w:val="00A22768"/>
    <w:rsid w:val="00A22940"/>
    <w:rsid w:val="00A23102"/>
    <w:rsid w:val="00A23284"/>
    <w:rsid w:val="00A2343F"/>
    <w:rsid w:val="00A23505"/>
    <w:rsid w:val="00A23598"/>
    <w:rsid w:val="00A2428B"/>
    <w:rsid w:val="00A2476B"/>
    <w:rsid w:val="00A247E5"/>
    <w:rsid w:val="00A24C7F"/>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DF6"/>
    <w:rsid w:val="00A32EEC"/>
    <w:rsid w:val="00A336C5"/>
    <w:rsid w:val="00A33D53"/>
    <w:rsid w:val="00A3510A"/>
    <w:rsid w:val="00A3515F"/>
    <w:rsid w:val="00A35751"/>
    <w:rsid w:val="00A35762"/>
    <w:rsid w:val="00A3577F"/>
    <w:rsid w:val="00A35BBC"/>
    <w:rsid w:val="00A35DAB"/>
    <w:rsid w:val="00A36724"/>
    <w:rsid w:val="00A367AF"/>
    <w:rsid w:val="00A36AA0"/>
    <w:rsid w:val="00A36C13"/>
    <w:rsid w:val="00A377C2"/>
    <w:rsid w:val="00A37A31"/>
    <w:rsid w:val="00A4058D"/>
    <w:rsid w:val="00A405B6"/>
    <w:rsid w:val="00A40B1F"/>
    <w:rsid w:val="00A40B4D"/>
    <w:rsid w:val="00A411E2"/>
    <w:rsid w:val="00A41373"/>
    <w:rsid w:val="00A41403"/>
    <w:rsid w:val="00A41638"/>
    <w:rsid w:val="00A41B15"/>
    <w:rsid w:val="00A4224E"/>
    <w:rsid w:val="00A4229F"/>
    <w:rsid w:val="00A428A9"/>
    <w:rsid w:val="00A428AE"/>
    <w:rsid w:val="00A42ACA"/>
    <w:rsid w:val="00A43AAB"/>
    <w:rsid w:val="00A43AFE"/>
    <w:rsid w:val="00A44AAD"/>
    <w:rsid w:val="00A44E8A"/>
    <w:rsid w:val="00A4515E"/>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2F0"/>
    <w:rsid w:val="00A53E2F"/>
    <w:rsid w:val="00A53F7B"/>
    <w:rsid w:val="00A54090"/>
    <w:rsid w:val="00A54282"/>
    <w:rsid w:val="00A549D3"/>
    <w:rsid w:val="00A54DF0"/>
    <w:rsid w:val="00A56B7B"/>
    <w:rsid w:val="00A56BA2"/>
    <w:rsid w:val="00A56E99"/>
    <w:rsid w:val="00A5702A"/>
    <w:rsid w:val="00A57212"/>
    <w:rsid w:val="00A5761B"/>
    <w:rsid w:val="00A57E98"/>
    <w:rsid w:val="00A60849"/>
    <w:rsid w:val="00A6105B"/>
    <w:rsid w:val="00A61355"/>
    <w:rsid w:val="00A61515"/>
    <w:rsid w:val="00A61668"/>
    <w:rsid w:val="00A621D3"/>
    <w:rsid w:val="00A6245F"/>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6D4"/>
    <w:rsid w:val="00A80857"/>
    <w:rsid w:val="00A80A39"/>
    <w:rsid w:val="00A80DF0"/>
    <w:rsid w:val="00A80E64"/>
    <w:rsid w:val="00A81151"/>
    <w:rsid w:val="00A81A16"/>
    <w:rsid w:val="00A81FD6"/>
    <w:rsid w:val="00A823A7"/>
    <w:rsid w:val="00A825C8"/>
    <w:rsid w:val="00A82742"/>
    <w:rsid w:val="00A83984"/>
    <w:rsid w:val="00A83A1E"/>
    <w:rsid w:val="00A84198"/>
    <w:rsid w:val="00A841AB"/>
    <w:rsid w:val="00A84497"/>
    <w:rsid w:val="00A84FFD"/>
    <w:rsid w:val="00A854D9"/>
    <w:rsid w:val="00A86104"/>
    <w:rsid w:val="00A8655A"/>
    <w:rsid w:val="00A87203"/>
    <w:rsid w:val="00A87744"/>
    <w:rsid w:val="00A87AE6"/>
    <w:rsid w:val="00A87B09"/>
    <w:rsid w:val="00A87C22"/>
    <w:rsid w:val="00A90590"/>
    <w:rsid w:val="00A90A97"/>
    <w:rsid w:val="00A90CB4"/>
    <w:rsid w:val="00A910DA"/>
    <w:rsid w:val="00A91C7D"/>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E46"/>
    <w:rsid w:val="00AA4FB4"/>
    <w:rsid w:val="00AA5C0B"/>
    <w:rsid w:val="00AA5E3B"/>
    <w:rsid w:val="00AA63AD"/>
    <w:rsid w:val="00AA65B4"/>
    <w:rsid w:val="00AA745E"/>
    <w:rsid w:val="00AA7A9F"/>
    <w:rsid w:val="00AA7E43"/>
    <w:rsid w:val="00AB0352"/>
    <w:rsid w:val="00AB047A"/>
    <w:rsid w:val="00AB04AB"/>
    <w:rsid w:val="00AB0733"/>
    <w:rsid w:val="00AB09D2"/>
    <w:rsid w:val="00AB0B64"/>
    <w:rsid w:val="00AB0C30"/>
    <w:rsid w:val="00AB161B"/>
    <w:rsid w:val="00AB176B"/>
    <w:rsid w:val="00AB2D66"/>
    <w:rsid w:val="00AB31CD"/>
    <w:rsid w:val="00AB37E6"/>
    <w:rsid w:val="00AB3DBA"/>
    <w:rsid w:val="00AB431C"/>
    <w:rsid w:val="00AB470E"/>
    <w:rsid w:val="00AB5A7E"/>
    <w:rsid w:val="00AB7538"/>
    <w:rsid w:val="00AB75A7"/>
    <w:rsid w:val="00AB77F3"/>
    <w:rsid w:val="00AB7BE7"/>
    <w:rsid w:val="00AC0AAD"/>
    <w:rsid w:val="00AC0C2A"/>
    <w:rsid w:val="00AC1231"/>
    <w:rsid w:val="00AC1384"/>
    <w:rsid w:val="00AC15D4"/>
    <w:rsid w:val="00AC1992"/>
    <w:rsid w:val="00AC1E14"/>
    <w:rsid w:val="00AC2BCE"/>
    <w:rsid w:val="00AC2CFA"/>
    <w:rsid w:val="00AC3263"/>
    <w:rsid w:val="00AC3E12"/>
    <w:rsid w:val="00AC406E"/>
    <w:rsid w:val="00AC430C"/>
    <w:rsid w:val="00AC4A6B"/>
    <w:rsid w:val="00AC5C19"/>
    <w:rsid w:val="00AC60F0"/>
    <w:rsid w:val="00AC6513"/>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4B4"/>
    <w:rsid w:val="00AD194B"/>
    <w:rsid w:val="00AD19F0"/>
    <w:rsid w:val="00AD1FCE"/>
    <w:rsid w:val="00AD26E1"/>
    <w:rsid w:val="00AD29CC"/>
    <w:rsid w:val="00AD3268"/>
    <w:rsid w:val="00AD3DE2"/>
    <w:rsid w:val="00AD4261"/>
    <w:rsid w:val="00AD4473"/>
    <w:rsid w:val="00AD46F5"/>
    <w:rsid w:val="00AD51A3"/>
    <w:rsid w:val="00AD55A7"/>
    <w:rsid w:val="00AD598B"/>
    <w:rsid w:val="00AD5EC4"/>
    <w:rsid w:val="00AD7154"/>
    <w:rsid w:val="00AD7844"/>
    <w:rsid w:val="00AD797D"/>
    <w:rsid w:val="00AD7C94"/>
    <w:rsid w:val="00AD7D56"/>
    <w:rsid w:val="00AD7E02"/>
    <w:rsid w:val="00AE0483"/>
    <w:rsid w:val="00AE08DD"/>
    <w:rsid w:val="00AE13BD"/>
    <w:rsid w:val="00AE1681"/>
    <w:rsid w:val="00AE1AF9"/>
    <w:rsid w:val="00AE1E60"/>
    <w:rsid w:val="00AE2068"/>
    <w:rsid w:val="00AE2258"/>
    <w:rsid w:val="00AE23C4"/>
    <w:rsid w:val="00AE277E"/>
    <w:rsid w:val="00AE2A36"/>
    <w:rsid w:val="00AE2A90"/>
    <w:rsid w:val="00AE2BC6"/>
    <w:rsid w:val="00AE2E70"/>
    <w:rsid w:val="00AE3251"/>
    <w:rsid w:val="00AE3FE0"/>
    <w:rsid w:val="00AE44A2"/>
    <w:rsid w:val="00AE45B0"/>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96C"/>
    <w:rsid w:val="00AF0A7C"/>
    <w:rsid w:val="00AF11FF"/>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E99"/>
    <w:rsid w:val="00B03F3D"/>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64C"/>
    <w:rsid w:val="00B128C5"/>
    <w:rsid w:val="00B12B11"/>
    <w:rsid w:val="00B12C94"/>
    <w:rsid w:val="00B135AB"/>
    <w:rsid w:val="00B137BF"/>
    <w:rsid w:val="00B13A1B"/>
    <w:rsid w:val="00B13A59"/>
    <w:rsid w:val="00B142D9"/>
    <w:rsid w:val="00B14BC4"/>
    <w:rsid w:val="00B156C8"/>
    <w:rsid w:val="00B158A3"/>
    <w:rsid w:val="00B15B25"/>
    <w:rsid w:val="00B15EA0"/>
    <w:rsid w:val="00B165AB"/>
    <w:rsid w:val="00B17919"/>
    <w:rsid w:val="00B17A4E"/>
    <w:rsid w:val="00B17B30"/>
    <w:rsid w:val="00B17C2F"/>
    <w:rsid w:val="00B2089A"/>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278C9"/>
    <w:rsid w:val="00B30003"/>
    <w:rsid w:val="00B31201"/>
    <w:rsid w:val="00B3167E"/>
    <w:rsid w:val="00B319F7"/>
    <w:rsid w:val="00B31B4B"/>
    <w:rsid w:val="00B31CD5"/>
    <w:rsid w:val="00B31E36"/>
    <w:rsid w:val="00B32AF3"/>
    <w:rsid w:val="00B32E26"/>
    <w:rsid w:val="00B338B7"/>
    <w:rsid w:val="00B34061"/>
    <w:rsid w:val="00B3440A"/>
    <w:rsid w:val="00B34441"/>
    <w:rsid w:val="00B35534"/>
    <w:rsid w:val="00B35A87"/>
    <w:rsid w:val="00B35AB6"/>
    <w:rsid w:val="00B35AFD"/>
    <w:rsid w:val="00B35F9A"/>
    <w:rsid w:val="00B36043"/>
    <w:rsid w:val="00B36236"/>
    <w:rsid w:val="00B363CC"/>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01"/>
    <w:rsid w:val="00B45E54"/>
    <w:rsid w:val="00B461E5"/>
    <w:rsid w:val="00B464E4"/>
    <w:rsid w:val="00B4689A"/>
    <w:rsid w:val="00B46D5F"/>
    <w:rsid w:val="00B46E7B"/>
    <w:rsid w:val="00B4756F"/>
    <w:rsid w:val="00B47DC5"/>
    <w:rsid w:val="00B505B3"/>
    <w:rsid w:val="00B50A74"/>
    <w:rsid w:val="00B520A0"/>
    <w:rsid w:val="00B5257E"/>
    <w:rsid w:val="00B525CE"/>
    <w:rsid w:val="00B52CFD"/>
    <w:rsid w:val="00B52D67"/>
    <w:rsid w:val="00B537B2"/>
    <w:rsid w:val="00B5384C"/>
    <w:rsid w:val="00B545A8"/>
    <w:rsid w:val="00B548E8"/>
    <w:rsid w:val="00B5596D"/>
    <w:rsid w:val="00B55C66"/>
    <w:rsid w:val="00B56527"/>
    <w:rsid w:val="00B56918"/>
    <w:rsid w:val="00B576DA"/>
    <w:rsid w:val="00B57710"/>
    <w:rsid w:val="00B601C9"/>
    <w:rsid w:val="00B6066F"/>
    <w:rsid w:val="00B60D04"/>
    <w:rsid w:val="00B61C53"/>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1F2C"/>
    <w:rsid w:val="00B82024"/>
    <w:rsid w:val="00B8276E"/>
    <w:rsid w:val="00B83997"/>
    <w:rsid w:val="00B83A62"/>
    <w:rsid w:val="00B83B59"/>
    <w:rsid w:val="00B84252"/>
    <w:rsid w:val="00B84677"/>
    <w:rsid w:val="00B8468F"/>
    <w:rsid w:val="00B84FC6"/>
    <w:rsid w:val="00B8522E"/>
    <w:rsid w:val="00B857F5"/>
    <w:rsid w:val="00B85A56"/>
    <w:rsid w:val="00B85B2C"/>
    <w:rsid w:val="00B86D6C"/>
    <w:rsid w:val="00B86F47"/>
    <w:rsid w:val="00B874B4"/>
    <w:rsid w:val="00B875E9"/>
    <w:rsid w:val="00B8787A"/>
    <w:rsid w:val="00B87887"/>
    <w:rsid w:val="00B878F0"/>
    <w:rsid w:val="00B90123"/>
    <w:rsid w:val="00B90196"/>
    <w:rsid w:val="00B9072B"/>
    <w:rsid w:val="00B90FBE"/>
    <w:rsid w:val="00B911C1"/>
    <w:rsid w:val="00B92008"/>
    <w:rsid w:val="00B922C3"/>
    <w:rsid w:val="00B9272E"/>
    <w:rsid w:val="00B927A7"/>
    <w:rsid w:val="00B92B9E"/>
    <w:rsid w:val="00B93315"/>
    <w:rsid w:val="00B93519"/>
    <w:rsid w:val="00B9372A"/>
    <w:rsid w:val="00B93CAA"/>
    <w:rsid w:val="00B93FD0"/>
    <w:rsid w:val="00B9425C"/>
    <w:rsid w:val="00B94AAF"/>
    <w:rsid w:val="00B94DB1"/>
    <w:rsid w:val="00B953FF"/>
    <w:rsid w:val="00B957B4"/>
    <w:rsid w:val="00B9622D"/>
    <w:rsid w:val="00B96263"/>
    <w:rsid w:val="00B968A5"/>
    <w:rsid w:val="00B96992"/>
    <w:rsid w:val="00B96CC5"/>
    <w:rsid w:val="00B972CD"/>
    <w:rsid w:val="00B9769B"/>
    <w:rsid w:val="00B97D02"/>
    <w:rsid w:val="00BA0256"/>
    <w:rsid w:val="00BA0304"/>
    <w:rsid w:val="00BA0557"/>
    <w:rsid w:val="00BA282E"/>
    <w:rsid w:val="00BA2A34"/>
    <w:rsid w:val="00BA3038"/>
    <w:rsid w:val="00BA3319"/>
    <w:rsid w:val="00BA370A"/>
    <w:rsid w:val="00BA3826"/>
    <w:rsid w:val="00BA48BC"/>
    <w:rsid w:val="00BA4A29"/>
    <w:rsid w:val="00BA4BE7"/>
    <w:rsid w:val="00BA4F72"/>
    <w:rsid w:val="00BA5F20"/>
    <w:rsid w:val="00BA67AE"/>
    <w:rsid w:val="00BA68D9"/>
    <w:rsid w:val="00BA7172"/>
    <w:rsid w:val="00BA7B01"/>
    <w:rsid w:val="00BB02D7"/>
    <w:rsid w:val="00BB0B19"/>
    <w:rsid w:val="00BB0D9F"/>
    <w:rsid w:val="00BB0DEE"/>
    <w:rsid w:val="00BB1031"/>
    <w:rsid w:val="00BB1B33"/>
    <w:rsid w:val="00BB2480"/>
    <w:rsid w:val="00BB297C"/>
    <w:rsid w:val="00BB2C4E"/>
    <w:rsid w:val="00BB2E29"/>
    <w:rsid w:val="00BB2F74"/>
    <w:rsid w:val="00BB3206"/>
    <w:rsid w:val="00BB32C2"/>
    <w:rsid w:val="00BB3B0D"/>
    <w:rsid w:val="00BB3E39"/>
    <w:rsid w:val="00BB524C"/>
    <w:rsid w:val="00BB5DAB"/>
    <w:rsid w:val="00BB6195"/>
    <w:rsid w:val="00BB61A3"/>
    <w:rsid w:val="00BB707E"/>
    <w:rsid w:val="00BB7568"/>
    <w:rsid w:val="00BB7F82"/>
    <w:rsid w:val="00BC007C"/>
    <w:rsid w:val="00BC0A01"/>
    <w:rsid w:val="00BC0AB2"/>
    <w:rsid w:val="00BC1308"/>
    <w:rsid w:val="00BC1BF4"/>
    <w:rsid w:val="00BC20D3"/>
    <w:rsid w:val="00BC2600"/>
    <w:rsid w:val="00BC2928"/>
    <w:rsid w:val="00BC2F24"/>
    <w:rsid w:val="00BC3364"/>
    <w:rsid w:val="00BC33BE"/>
    <w:rsid w:val="00BC3A47"/>
    <w:rsid w:val="00BC3EEB"/>
    <w:rsid w:val="00BC4780"/>
    <w:rsid w:val="00BC4DD7"/>
    <w:rsid w:val="00BC4F46"/>
    <w:rsid w:val="00BC52C8"/>
    <w:rsid w:val="00BC5485"/>
    <w:rsid w:val="00BC549C"/>
    <w:rsid w:val="00BC570E"/>
    <w:rsid w:val="00BC576E"/>
    <w:rsid w:val="00BC5A6C"/>
    <w:rsid w:val="00BC5AF6"/>
    <w:rsid w:val="00BC5B4B"/>
    <w:rsid w:val="00BC5E63"/>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C86"/>
    <w:rsid w:val="00BD3E76"/>
    <w:rsid w:val="00BD3EE2"/>
    <w:rsid w:val="00BD3FCF"/>
    <w:rsid w:val="00BD42D2"/>
    <w:rsid w:val="00BD47D7"/>
    <w:rsid w:val="00BD4EFB"/>
    <w:rsid w:val="00BD4F00"/>
    <w:rsid w:val="00BD5076"/>
    <w:rsid w:val="00BD5551"/>
    <w:rsid w:val="00BD5AF1"/>
    <w:rsid w:val="00BD6D43"/>
    <w:rsid w:val="00BD6DCF"/>
    <w:rsid w:val="00BD7090"/>
    <w:rsid w:val="00BD7490"/>
    <w:rsid w:val="00BD767F"/>
    <w:rsid w:val="00BE09C3"/>
    <w:rsid w:val="00BE0C27"/>
    <w:rsid w:val="00BE15BB"/>
    <w:rsid w:val="00BE198F"/>
    <w:rsid w:val="00BE1A78"/>
    <w:rsid w:val="00BE2E78"/>
    <w:rsid w:val="00BE3971"/>
    <w:rsid w:val="00BE473E"/>
    <w:rsid w:val="00BE5135"/>
    <w:rsid w:val="00BE5964"/>
    <w:rsid w:val="00BE5D62"/>
    <w:rsid w:val="00BE5F2B"/>
    <w:rsid w:val="00BE660B"/>
    <w:rsid w:val="00BE6AFE"/>
    <w:rsid w:val="00BE6BBE"/>
    <w:rsid w:val="00BE6FDA"/>
    <w:rsid w:val="00BE7021"/>
    <w:rsid w:val="00BE7300"/>
    <w:rsid w:val="00BE784F"/>
    <w:rsid w:val="00BE78CE"/>
    <w:rsid w:val="00BE7FEC"/>
    <w:rsid w:val="00BF00D4"/>
    <w:rsid w:val="00BF0238"/>
    <w:rsid w:val="00BF0717"/>
    <w:rsid w:val="00BF071D"/>
    <w:rsid w:val="00BF1750"/>
    <w:rsid w:val="00BF178E"/>
    <w:rsid w:val="00BF189F"/>
    <w:rsid w:val="00BF1B44"/>
    <w:rsid w:val="00BF1F01"/>
    <w:rsid w:val="00BF21FF"/>
    <w:rsid w:val="00BF23CC"/>
    <w:rsid w:val="00BF243F"/>
    <w:rsid w:val="00BF25B7"/>
    <w:rsid w:val="00BF284E"/>
    <w:rsid w:val="00BF2EDB"/>
    <w:rsid w:val="00BF2F93"/>
    <w:rsid w:val="00BF392D"/>
    <w:rsid w:val="00BF3ACF"/>
    <w:rsid w:val="00BF3C2A"/>
    <w:rsid w:val="00BF4C2B"/>
    <w:rsid w:val="00BF507A"/>
    <w:rsid w:val="00BF53F1"/>
    <w:rsid w:val="00BF56F3"/>
    <w:rsid w:val="00BF5717"/>
    <w:rsid w:val="00BF5B9D"/>
    <w:rsid w:val="00BF5CD8"/>
    <w:rsid w:val="00BF5FA3"/>
    <w:rsid w:val="00BF62F2"/>
    <w:rsid w:val="00BF63A5"/>
    <w:rsid w:val="00BF72A7"/>
    <w:rsid w:val="00BF7558"/>
    <w:rsid w:val="00C0111E"/>
    <w:rsid w:val="00C02676"/>
    <w:rsid w:val="00C029AB"/>
    <w:rsid w:val="00C02A6A"/>
    <w:rsid w:val="00C03BD5"/>
    <w:rsid w:val="00C03C8B"/>
    <w:rsid w:val="00C03F3C"/>
    <w:rsid w:val="00C049BE"/>
    <w:rsid w:val="00C04A71"/>
    <w:rsid w:val="00C04DF0"/>
    <w:rsid w:val="00C05588"/>
    <w:rsid w:val="00C05A4C"/>
    <w:rsid w:val="00C05A67"/>
    <w:rsid w:val="00C073E0"/>
    <w:rsid w:val="00C1001D"/>
    <w:rsid w:val="00C10B5A"/>
    <w:rsid w:val="00C11113"/>
    <w:rsid w:val="00C11687"/>
    <w:rsid w:val="00C117BE"/>
    <w:rsid w:val="00C11E28"/>
    <w:rsid w:val="00C1225B"/>
    <w:rsid w:val="00C122F9"/>
    <w:rsid w:val="00C12459"/>
    <w:rsid w:val="00C1253A"/>
    <w:rsid w:val="00C126F6"/>
    <w:rsid w:val="00C128C9"/>
    <w:rsid w:val="00C12CF3"/>
    <w:rsid w:val="00C12F88"/>
    <w:rsid w:val="00C131A8"/>
    <w:rsid w:val="00C1322D"/>
    <w:rsid w:val="00C135A3"/>
    <w:rsid w:val="00C1477A"/>
    <w:rsid w:val="00C14A62"/>
    <w:rsid w:val="00C158EB"/>
    <w:rsid w:val="00C159B1"/>
    <w:rsid w:val="00C15F02"/>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27AA6"/>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584"/>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69D"/>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1F86"/>
    <w:rsid w:val="00C6211D"/>
    <w:rsid w:val="00C62B32"/>
    <w:rsid w:val="00C63DED"/>
    <w:rsid w:val="00C63E88"/>
    <w:rsid w:val="00C63F9C"/>
    <w:rsid w:val="00C640D6"/>
    <w:rsid w:val="00C64F97"/>
    <w:rsid w:val="00C65585"/>
    <w:rsid w:val="00C656EB"/>
    <w:rsid w:val="00C65C5A"/>
    <w:rsid w:val="00C65D7B"/>
    <w:rsid w:val="00C65DF4"/>
    <w:rsid w:val="00C6762C"/>
    <w:rsid w:val="00C67B49"/>
    <w:rsid w:val="00C70942"/>
    <w:rsid w:val="00C711F5"/>
    <w:rsid w:val="00C713A1"/>
    <w:rsid w:val="00C71828"/>
    <w:rsid w:val="00C72105"/>
    <w:rsid w:val="00C72BCE"/>
    <w:rsid w:val="00C73B6D"/>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0CFC"/>
    <w:rsid w:val="00C921C4"/>
    <w:rsid w:val="00C9235F"/>
    <w:rsid w:val="00C9257F"/>
    <w:rsid w:val="00C93108"/>
    <w:rsid w:val="00C9319C"/>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086C"/>
    <w:rsid w:val="00CA12BA"/>
    <w:rsid w:val="00CA165C"/>
    <w:rsid w:val="00CA1C0D"/>
    <w:rsid w:val="00CA1DAE"/>
    <w:rsid w:val="00CA2267"/>
    <w:rsid w:val="00CA36BE"/>
    <w:rsid w:val="00CA38AD"/>
    <w:rsid w:val="00CA413F"/>
    <w:rsid w:val="00CA461D"/>
    <w:rsid w:val="00CA5098"/>
    <w:rsid w:val="00CA5503"/>
    <w:rsid w:val="00CA55C3"/>
    <w:rsid w:val="00CA65B3"/>
    <w:rsid w:val="00CA66C3"/>
    <w:rsid w:val="00CA6CAD"/>
    <w:rsid w:val="00CA70A8"/>
    <w:rsid w:val="00CA70D0"/>
    <w:rsid w:val="00CA74A4"/>
    <w:rsid w:val="00CA7683"/>
    <w:rsid w:val="00CA7D74"/>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34A"/>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2D84"/>
    <w:rsid w:val="00CD305C"/>
    <w:rsid w:val="00CD30B4"/>
    <w:rsid w:val="00CD3A6D"/>
    <w:rsid w:val="00CD3B3A"/>
    <w:rsid w:val="00CD3E5A"/>
    <w:rsid w:val="00CD3E63"/>
    <w:rsid w:val="00CD40A3"/>
    <w:rsid w:val="00CD496C"/>
    <w:rsid w:val="00CD4CD3"/>
    <w:rsid w:val="00CD53F4"/>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4F5"/>
    <w:rsid w:val="00CE3700"/>
    <w:rsid w:val="00CE3862"/>
    <w:rsid w:val="00CE3B69"/>
    <w:rsid w:val="00CE3B77"/>
    <w:rsid w:val="00CE4559"/>
    <w:rsid w:val="00CE5118"/>
    <w:rsid w:val="00CE5487"/>
    <w:rsid w:val="00CE59B5"/>
    <w:rsid w:val="00CE59DB"/>
    <w:rsid w:val="00CE5D3A"/>
    <w:rsid w:val="00CE6816"/>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5D2F"/>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6F6"/>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CC1"/>
    <w:rsid w:val="00D16ECB"/>
    <w:rsid w:val="00D16EEE"/>
    <w:rsid w:val="00D16F3F"/>
    <w:rsid w:val="00D17167"/>
    <w:rsid w:val="00D1794C"/>
    <w:rsid w:val="00D17BA5"/>
    <w:rsid w:val="00D17EC9"/>
    <w:rsid w:val="00D2058D"/>
    <w:rsid w:val="00D208B6"/>
    <w:rsid w:val="00D2176E"/>
    <w:rsid w:val="00D2182A"/>
    <w:rsid w:val="00D22105"/>
    <w:rsid w:val="00D2211C"/>
    <w:rsid w:val="00D22945"/>
    <w:rsid w:val="00D22B55"/>
    <w:rsid w:val="00D23055"/>
    <w:rsid w:val="00D230AD"/>
    <w:rsid w:val="00D2507E"/>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69BF"/>
    <w:rsid w:val="00D37006"/>
    <w:rsid w:val="00D3712C"/>
    <w:rsid w:val="00D3740E"/>
    <w:rsid w:val="00D40609"/>
    <w:rsid w:val="00D40983"/>
    <w:rsid w:val="00D41188"/>
    <w:rsid w:val="00D412DA"/>
    <w:rsid w:val="00D41760"/>
    <w:rsid w:val="00D417D3"/>
    <w:rsid w:val="00D418D5"/>
    <w:rsid w:val="00D41A6B"/>
    <w:rsid w:val="00D41DB1"/>
    <w:rsid w:val="00D42045"/>
    <w:rsid w:val="00D4276D"/>
    <w:rsid w:val="00D42798"/>
    <w:rsid w:val="00D42970"/>
    <w:rsid w:val="00D42D26"/>
    <w:rsid w:val="00D43451"/>
    <w:rsid w:val="00D43492"/>
    <w:rsid w:val="00D4364E"/>
    <w:rsid w:val="00D43AED"/>
    <w:rsid w:val="00D43E28"/>
    <w:rsid w:val="00D445EF"/>
    <w:rsid w:val="00D44916"/>
    <w:rsid w:val="00D44ED8"/>
    <w:rsid w:val="00D45CA4"/>
    <w:rsid w:val="00D45EA7"/>
    <w:rsid w:val="00D45F22"/>
    <w:rsid w:val="00D46485"/>
    <w:rsid w:val="00D46E9E"/>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207"/>
    <w:rsid w:val="00D547E0"/>
    <w:rsid w:val="00D54992"/>
    <w:rsid w:val="00D54A9D"/>
    <w:rsid w:val="00D55291"/>
    <w:rsid w:val="00D55942"/>
    <w:rsid w:val="00D55C48"/>
    <w:rsid w:val="00D55E47"/>
    <w:rsid w:val="00D56997"/>
    <w:rsid w:val="00D570E6"/>
    <w:rsid w:val="00D5730F"/>
    <w:rsid w:val="00D5774F"/>
    <w:rsid w:val="00D578B1"/>
    <w:rsid w:val="00D57A52"/>
    <w:rsid w:val="00D605C9"/>
    <w:rsid w:val="00D60809"/>
    <w:rsid w:val="00D60D7F"/>
    <w:rsid w:val="00D61382"/>
    <w:rsid w:val="00D61C9C"/>
    <w:rsid w:val="00D62111"/>
    <w:rsid w:val="00D62229"/>
    <w:rsid w:val="00D625B8"/>
    <w:rsid w:val="00D626F8"/>
    <w:rsid w:val="00D634CD"/>
    <w:rsid w:val="00D636DC"/>
    <w:rsid w:val="00D63F4C"/>
    <w:rsid w:val="00D64265"/>
    <w:rsid w:val="00D64613"/>
    <w:rsid w:val="00D64702"/>
    <w:rsid w:val="00D6691A"/>
    <w:rsid w:val="00D66BD9"/>
    <w:rsid w:val="00D66BFD"/>
    <w:rsid w:val="00D66C91"/>
    <w:rsid w:val="00D674EE"/>
    <w:rsid w:val="00D67535"/>
    <w:rsid w:val="00D67B2A"/>
    <w:rsid w:val="00D67BC9"/>
    <w:rsid w:val="00D67DBC"/>
    <w:rsid w:val="00D67E93"/>
    <w:rsid w:val="00D704D9"/>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1C8"/>
    <w:rsid w:val="00D822FA"/>
    <w:rsid w:val="00D82D02"/>
    <w:rsid w:val="00D82D0F"/>
    <w:rsid w:val="00D83A5A"/>
    <w:rsid w:val="00D83C72"/>
    <w:rsid w:val="00D84157"/>
    <w:rsid w:val="00D84BD7"/>
    <w:rsid w:val="00D84DCA"/>
    <w:rsid w:val="00D850FC"/>
    <w:rsid w:val="00D85114"/>
    <w:rsid w:val="00D857BC"/>
    <w:rsid w:val="00D85AE3"/>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08"/>
    <w:rsid w:val="00D92F7F"/>
    <w:rsid w:val="00D93188"/>
    <w:rsid w:val="00D9379F"/>
    <w:rsid w:val="00D9459D"/>
    <w:rsid w:val="00D94730"/>
    <w:rsid w:val="00D94858"/>
    <w:rsid w:val="00D94972"/>
    <w:rsid w:val="00D954A1"/>
    <w:rsid w:val="00D95519"/>
    <w:rsid w:val="00D95744"/>
    <w:rsid w:val="00D958FC"/>
    <w:rsid w:val="00D959AE"/>
    <w:rsid w:val="00D95DC2"/>
    <w:rsid w:val="00D960E1"/>
    <w:rsid w:val="00D96678"/>
    <w:rsid w:val="00D96C73"/>
    <w:rsid w:val="00D96D46"/>
    <w:rsid w:val="00D97C27"/>
    <w:rsid w:val="00DA0526"/>
    <w:rsid w:val="00DA0639"/>
    <w:rsid w:val="00DA0CF7"/>
    <w:rsid w:val="00DA0E96"/>
    <w:rsid w:val="00DA1203"/>
    <w:rsid w:val="00DA18DA"/>
    <w:rsid w:val="00DA191D"/>
    <w:rsid w:val="00DA1DDE"/>
    <w:rsid w:val="00DA1F0C"/>
    <w:rsid w:val="00DA1F38"/>
    <w:rsid w:val="00DA2F0F"/>
    <w:rsid w:val="00DA3565"/>
    <w:rsid w:val="00DA3A2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4CEE"/>
    <w:rsid w:val="00DB540E"/>
    <w:rsid w:val="00DB5A63"/>
    <w:rsid w:val="00DB6166"/>
    <w:rsid w:val="00DB656B"/>
    <w:rsid w:val="00DB691E"/>
    <w:rsid w:val="00DB6C11"/>
    <w:rsid w:val="00DB73C2"/>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97E"/>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1AC"/>
    <w:rsid w:val="00DD1298"/>
    <w:rsid w:val="00DD1415"/>
    <w:rsid w:val="00DD17A1"/>
    <w:rsid w:val="00DD2300"/>
    <w:rsid w:val="00DD2309"/>
    <w:rsid w:val="00DD28B3"/>
    <w:rsid w:val="00DD2DE3"/>
    <w:rsid w:val="00DD2DE8"/>
    <w:rsid w:val="00DD316F"/>
    <w:rsid w:val="00DD357C"/>
    <w:rsid w:val="00DD37CA"/>
    <w:rsid w:val="00DD39EF"/>
    <w:rsid w:val="00DD3D55"/>
    <w:rsid w:val="00DD3DF7"/>
    <w:rsid w:val="00DD4326"/>
    <w:rsid w:val="00DD4AE2"/>
    <w:rsid w:val="00DD4BFA"/>
    <w:rsid w:val="00DD51F8"/>
    <w:rsid w:val="00DD6388"/>
    <w:rsid w:val="00DD6C53"/>
    <w:rsid w:val="00DD7198"/>
    <w:rsid w:val="00DD7199"/>
    <w:rsid w:val="00DD7C44"/>
    <w:rsid w:val="00DD7CB6"/>
    <w:rsid w:val="00DE0077"/>
    <w:rsid w:val="00DE0137"/>
    <w:rsid w:val="00DE01BA"/>
    <w:rsid w:val="00DE0DCF"/>
    <w:rsid w:val="00DE0E3C"/>
    <w:rsid w:val="00DE137B"/>
    <w:rsid w:val="00DE13D4"/>
    <w:rsid w:val="00DE13FD"/>
    <w:rsid w:val="00DE19D9"/>
    <w:rsid w:val="00DE1C18"/>
    <w:rsid w:val="00DE1DC6"/>
    <w:rsid w:val="00DE1F77"/>
    <w:rsid w:val="00DE21C6"/>
    <w:rsid w:val="00DE22AA"/>
    <w:rsid w:val="00DE288F"/>
    <w:rsid w:val="00DE2D49"/>
    <w:rsid w:val="00DE2E4A"/>
    <w:rsid w:val="00DE388A"/>
    <w:rsid w:val="00DE3E66"/>
    <w:rsid w:val="00DE3F75"/>
    <w:rsid w:val="00DE45F5"/>
    <w:rsid w:val="00DE4AAD"/>
    <w:rsid w:val="00DE4C0C"/>
    <w:rsid w:val="00DE4E67"/>
    <w:rsid w:val="00DE4FC8"/>
    <w:rsid w:val="00DE53B5"/>
    <w:rsid w:val="00DE5A50"/>
    <w:rsid w:val="00DE5DCD"/>
    <w:rsid w:val="00DE60C5"/>
    <w:rsid w:val="00DE7323"/>
    <w:rsid w:val="00DE75F0"/>
    <w:rsid w:val="00DE77CB"/>
    <w:rsid w:val="00DE7D0E"/>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20D1"/>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59C2"/>
    <w:rsid w:val="00E161E6"/>
    <w:rsid w:val="00E167C9"/>
    <w:rsid w:val="00E1698C"/>
    <w:rsid w:val="00E172BE"/>
    <w:rsid w:val="00E17CF7"/>
    <w:rsid w:val="00E205D6"/>
    <w:rsid w:val="00E20FBF"/>
    <w:rsid w:val="00E216EC"/>
    <w:rsid w:val="00E2189A"/>
    <w:rsid w:val="00E222A6"/>
    <w:rsid w:val="00E22B5A"/>
    <w:rsid w:val="00E22B68"/>
    <w:rsid w:val="00E231C9"/>
    <w:rsid w:val="00E23379"/>
    <w:rsid w:val="00E23EBF"/>
    <w:rsid w:val="00E23FD5"/>
    <w:rsid w:val="00E24669"/>
    <w:rsid w:val="00E248B2"/>
    <w:rsid w:val="00E24C48"/>
    <w:rsid w:val="00E24D50"/>
    <w:rsid w:val="00E24E79"/>
    <w:rsid w:val="00E25981"/>
    <w:rsid w:val="00E25BC1"/>
    <w:rsid w:val="00E26141"/>
    <w:rsid w:val="00E266F5"/>
    <w:rsid w:val="00E26C87"/>
    <w:rsid w:val="00E26F90"/>
    <w:rsid w:val="00E270D3"/>
    <w:rsid w:val="00E27FC7"/>
    <w:rsid w:val="00E30700"/>
    <w:rsid w:val="00E30D87"/>
    <w:rsid w:val="00E30D9C"/>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2FA"/>
    <w:rsid w:val="00E40CBF"/>
    <w:rsid w:val="00E40E7D"/>
    <w:rsid w:val="00E40EE4"/>
    <w:rsid w:val="00E413C6"/>
    <w:rsid w:val="00E415D4"/>
    <w:rsid w:val="00E41B80"/>
    <w:rsid w:val="00E41C4E"/>
    <w:rsid w:val="00E420D5"/>
    <w:rsid w:val="00E42517"/>
    <w:rsid w:val="00E42D55"/>
    <w:rsid w:val="00E42FFE"/>
    <w:rsid w:val="00E4316E"/>
    <w:rsid w:val="00E435AB"/>
    <w:rsid w:val="00E44275"/>
    <w:rsid w:val="00E44777"/>
    <w:rsid w:val="00E452B8"/>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2F60"/>
    <w:rsid w:val="00E53785"/>
    <w:rsid w:val="00E53B76"/>
    <w:rsid w:val="00E53DB1"/>
    <w:rsid w:val="00E540BB"/>
    <w:rsid w:val="00E540CA"/>
    <w:rsid w:val="00E54710"/>
    <w:rsid w:val="00E54B37"/>
    <w:rsid w:val="00E54DE9"/>
    <w:rsid w:val="00E55B28"/>
    <w:rsid w:val="00E56D4A"/>
    <w:rsid w:val="00E56FCC"/>
    <w:rsid w:val="00E57119"/>
    <w:rsid w:val="00E5719E"/>
    <w:rsid w:val="00E5786C"/>
    <w:rsid w:val="00E57D7B"/>
    <w:rsid w:val="00E57F4B"/>
    <w:rsid w:val="00E602E5"/>
    <w:rsid w:val="00E602F8"/>
    <w:rsid w:val="00E6085B"/>
    <w:rsid w:val="00E60FBA"/>
    <w:rsid w:val="00E60FBF"/>
    <w:rsid w:val="00E616F9"/>
    <w:rsid w:val="00E61852"/>
    <w:rsid w:val="00E61A0C"/>
    <w:rsid w:val="00E61D22"/>
    <w:rsid w:val="00E61D96"/>
    <w:rsid w:val="00E61E4B"/>
    <w:rsid w:val="00E622D9"/>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063F"/>
    <w:rsid w:val="00E70BEB"/>
    <w:rsid w:val="00E715FC"/>
    <w:rsid w:val="00E71A45"/>
    <w:rsid w:val="00E71C21"/>
    <w:rsid w:val="00E7230B"/>
    <w:rsid w:val="00E72D84"/>
    <w:rsid w:val="00E730FC"/>
    <w:rsid w:val="00E7318D"/>
    <w:rsid w:val="00E7385A"/>
    <w:rsid w:val="00E73CE6"/>
    <w:rsid w:val="00E74780"/>
    <w:rsid w:val="00E7487D"/>
    <w:rsid w:val="00E74956"/>
    <w:rsid w:val="00E74DDA"/>
    <w:rsid w:val="00E752F7"/>
    <w:rsid w:val="00E75848"/>
    <w:rsid w:val="00E759D4"/>
    <w:rsid w:val="00E7605F"/>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75"/>
    <w:rsid w:val="00E87CDC"/>
    <w:rsid w:val="00E906E0"/>
    <w:rsid w:val="00E90B33"/>
    <w:rsid w:val="00E911E0"/>
    <w:rsid w:val="00E92A04"/>
    <w:rsid w:val="00E93407"/>
    <w:rsid w:val="00E940A8"/>
    <w:rsid w:val="00E94759"/>
    <w:rsid w:val="00E947A2"/>
    <w:rsid w:val="00E947E8"/>
    <w:rsid w:val="00E94B0F"/>
    <w:rsid w:val="00E94B48"/>
    <w:rsid w:val="00E9503F"/>
    <w:rsid w:val="00E962ED"/>
    <w:rsid w:val="00E96726"/>
    <w:rsid w:val="00E96E68"/>
    <w:rsid w:val="00E96F3E"/>
    <w:rsid w:val="00E973BA"/>
    <w:rsid w:val="00E97EA1"/>
    <w:rsid w:val="00EA0BBE"/>
    <w:rsid w:val="00EA1FBC"/>
    <w:rsid w:val="00EA20A1"/>
    <w:rsid w:val="00EA212B"/>
    <w:rsid w:val="00EA2217"/>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BA7"/>
    <w:rsid w:val="00EA7C47"/>
    <w:rsid w:val="00EB0C01"/>
    <w:rsid w:val="00EB0F0F"/>
    <w:rsid w:val="00EB1053"/>
    <w:rsid w:val="00EB12A5"/>
    <w:rsid w:val="00EB24D8"/>
    <w:rsid w:val="00EB277B"/>
    <w:rsid w:val="00EB2D65"/>
    <w:rsid w:val="00EB2F20"/>
    <w:rsid w:val="00EB2F35"/>
    <w:rsid w:val="00EB31DB"/>
    <w:rsid w:val="00EB3422"/>
    <w:rsid w:val="00EB3A31"/>
    <w:rsid w:val="00EB3C8B"/>
    <w:rsid w:val="00EB3DA2"/>
    <w:rsid w:val="00EB4EAF"/>
    <w:rsid w:val="00EB548E"/>
    <w:rsid w:val="00EB5C41"/>
    <w:rsid w:val="00EB5F5A"/>
    <w:rsid w:val="00EB657E"/>
    <w:rsid w:val="00EB695E"/>
    <w:rsid w:val="00EB69D1"/>
    <w:rsid w:val="00EB6FE9"/>
    <w:rsid w:val="00EB72FF"/>
    <w:rsid w:val="00EB756F"/>
    <w:rsid w:val="00EB79C8"/>
    <w:rsid w:val="00EB7A57"/>
    <w:rsid w:val="00EB7E78"/>
    <w:rsid w:val="00EC0301"/>
    <w:rsid w:val="00EC09C6"/>
    <w:rsid w:val="00EC0EA5"/>
    <w:rsid w:val="00EC1056"/>
    <w:rsid w:val="00EC1470"/>
    <w:rsid w:val="00EC215F"/>
    <w:rsid w:val="00EC222E"/>
    <w:rsid w:val="00EC2233"/>
    <w:rsid w:val="00EC25CD"/>
    <w:rsid w:val="00EC2716"/>
    <w:rsid w:val="00EC2DBB"/>
    <w:rsid w:val="00EC3107"/>
    <w:rsid w:val="00EC358E"/>
    <w:rsid w:val="00EC3D25"/>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1C6"/>
    <w:rsid w:val="00ED04FE"/>
    <w:rsid w:val="00ED0DD0"/>
    <w:rsid w:val="00ED1989"/>
    <w:rsid w:val="00ED28F2"/>
    <w:rsid w:val="00ED3145"/>
    <w:rsid w:val="00ED3309"/>
    <w:rsid w:val="00ED356E"/>
    <w:rsid w:val="00ED3BDA"/>
    <w:rsid w:val="00ED3DA4"/>
    <w:rsid w:val="00ED45E5"/>
    <w:rsid w:val="00ED4B67"/>
    <w:rsid w:val="00ED4B69"/>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BF7"/>
    <w:rsid w:val="00EE2FC2"/>
    <w:rsid w:val="00EE3B88"/>
    <w:rsid w:val="00EE48F1"/>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648"/>
    <w:rsid w:val="00F0175F"/>
    <w:rsid w:val="00F01C5B"/>
    <w:rsid w:val="00F03280"/>
    <w:rsid w:val="00F0362A"/>
    <w:rsid w:val="00F0385C"/>
    <w:rsid w:val="00F03ABE"/>
    <w:rsid w:val="00F04345"/>
    <w:rsid w:val="00F047A4"/>
    <w:rsid w:val="00F04F52"/>
    <w:rsid w:val="00F050BE"/>
    <w:rsid w:val="00F0510F"/>
    <w:rsid w:val="00F0563F"/>
    <w:rsid w:val="00F061DE"/>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11EF"/>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B32"/>
    <w:rsid w:val="00F40C5E"/>
    <w:rsid w:val="00F40E3E"/>
    <w:rsid w:val="00F40E40"/>
    <w:rsid w:val="00F4163A"/>
    <w:rsid w:val="00F41873"/>
    <w:rsid w:val="00F419C3"/>
    <w:rsid w:val="00F41D91"/>
    <w:rsid w:val="00F41E2B"/>
    <w:rsid w:val="00F423BE"/>
    <w:rsid w:val="00F424A5"/>
    <w:rsid w:val="00F425EF"/>
    <w:rsid w:val="00F428AC"/>
    <w:rsid w:val="00F42EE3"/>
    <w:rsid w:val="00F43660"/>
    <w:rsid w:val="00F43DD8"/>
    <w:rsid w:val="00F44542"/>
    <w:rsid w:val="00F448DD"/>
    <w:rsid w:val="00F44C5F"/>
    <w:rsid w:val="00F44DB8"/>
    <w:rsid w:val="00F45760"/>
    <w:rsid w:val="00F45925"/>
    <w:rsid w:val="00F46BA6"/>
    <w:rsid w:val="00F46C97"/>
    <w:rsid w:val="00F4703E"/>
    <w:rsid w:val="00F50511"/>
    <w:rsid w:val="00F50781"/>
    <w:rsid w:val="00F5096A"/>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57DE5"/>
    <w:rsid w:val="00F602F0"/>
    <w:rsid w:val="00F6098E"/>
    <w:rsid w:val="00F60C90"/>
    <w:rsid w:val="00F6163E"/>
    <w:rsid w:val="00F619EE"/>
    <w:rsid w:val="00F61CF5"/>
    <w:rsid w:val="00F61FF9"/>
    <w:rsid w:val="00F62069"/>
    <w:rsid w:val="00F62159"/>
    <w:rsid w:val="00F62A7C"/>
    <w:rsid w:val="00F62B93"/>
    <w:rsid w:val="00F633E5"/>
    <w:rsid w:val="00F63A07"/>
    <w:rsid w:val="00F63C89"/>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37FF"/>
    <w:rsid w:val="00F74216"/>
    <w:rsid w:val="00F74F0F"/>
    <w:rsid w:val="00F75731"/>
    <w:rsid w:val="00F75841"/>
    <w:rsid w:val="00F761FA"/>
    <w:rsid w:val="00F76333"/>
    <w:rsid w:val="00F77100"/>
    <w:rsid w:val="00F77C84"/>
    <w:rsid w:val="00F8090F"/>
    <w:rsid w:val="00F80D2A"/>
    <w:rsid w:val="00F8139A"/>
    <w:rsid w:val="00F82AAE"/>
    <w:rsid w:val="00F834BE"/>
    <w:rsid w:val="00F838A9"/>
    <w:rsid w:val="00F849E3"/>
    <w:rsid w:val="00F84B4E"/>
    <w:rsid w:val="00F84C44"/>
    <w:rsid w:val="00F851B7"/>
    <w:rsid w:val="00F8566C"/>
    <w:rsid w:val="00F858D4"/>
    <w:rsid w:val="00F85C65"/>
    <w:rsid w:val="00F860EB"/>
    <w:rsid w:val="00F86268"/>
    <w:rsid w:val="00F866DD"/>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222"/>
    <w:rsid w:val="00F92A66"/>
    <w:rsid w:val="00F92F8F"/>
    <w:rsid w:val="00F931CF"/>
    <w:rsid w:val="00F93A31"/>
    <w:rsid w:val="00F93BA1"/>
    <w:rsid w:val="00F93D6E"/>
    <w:rsid w:val="00F9423D"/>
    <w:rsid w:val="00F94609"/>
    <w:rsid w:val="00F94E8F"/>
    <w:rsid w:val="00F95182"/>
    <w:rsid w:val="00F957D2"/>
    <w:rsid w:val="00F95D94"/>
    <w:rsid w:val="00F96F78"/>
    <w:rsid w:val="00F96F86"/>
    <w:rsid w:val="00F97711"/>
    <w:rsid w:val="00FA02B8"/>
    <w:rsid w:val="00FA0980"/>
    <w:rsid w:val="00FA1028"/>
    <w:rsid w:val="00FA10F7"/>
    <w:rsid w:val="00FA1153"/>
    <w:rsid w:val="00FA157E"/>
    <w:rsid w:val="00FA1651"/>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3D99"/>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20F"/>
    <w:rsid w:val="00FC7862"/>
    <w:rsid w:val="00FC79D5"/>
    <w:rsid w:val="00FC7B35"/>
    <w:rsid w:val="00FC7B53"/>
    <w:rsid w:val="00FD0177"/>
    <w:rsid w:val="00FD051A"/>
    <w:rsid w:val="00FD0AE7"/>
    <w:rsid w:val="00FD0B44"/>
    <w:rsid w:val="00FD0F70"/>
    <w:rsid w:val="00FD2315"/>
    <w:rsid w:val="00FD29A7"/>
    <w:rsid w:val="00FD2B15"/>
    <w:rsid w:val="00FD2C42"/>
    <w:rsid w:val="00FD3092"/>
    <w:rsid w:val="00FD35A1"/>
    <w:rsid w:val="00FD40FC"/>
    <w:rsid w:val="00FD412E"/>
    <w:rsid w:val="00FD420F"/>
    <w:rsid w:val="00FD4F2F"/>
    <w:rsid w:val="00FD51F7"/>
    <w:rsid w:val="00FD5258"/>
    <w:rsid w:val="00FD5602"/>
    <w:rsid w:val="00FD5A2A"/>
    <w:rsid w:val="00FD5AE2"/>
    <w:rsid w:val="00FD5EBD"/>
    <w:rsid w:val="00FD62B4"/>
    <w:rsid w:val="00FD7142"/>
    <w:rsid w:val="00FD750F"/>
    <w:rsid w:val="00FE011C"/>
    <w:rsid w:val="00FE07DC"/>
    <w:rsid w:val="00FE1116"/>
    <w:rsid w:val="00FE1E64"/>
    <w:rsid w:val="00FE2075"/>
    <w:rsid w:val="00FE2080"/>
    <w:rsid w:val="00FE2320"/>
    <w:rsid w:val="00FE2647"/>
    <w:rsid w:val="00FE27B9"/>
    <w:rsid w:val="00FE2E37"/>
    <w:rsid w:val="00FE3156"/>
    <w:rsid w:val="00FE3640"/>
    <w:rsid w:val="00FE3780"/>
    <w:rsid w:val="00FE3954"/>
    <w:rsid w:val="00FE3CF7"/>
    <w:rsid w:val="00FE4071"/>
    <w:rsid w:val="00FE42E3"/>
    <w:rsid w:val="00FE4BDB"/>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5F9D"/>
    <w:rsid w:val="00FF6126"/>
    <w:rsid w:val="00FF61F5"/>
    <w:rsid w:val="00FF62AA"/>
    <w:rsid w:val="00FF64D7"/>
    <w:rsid w:val="00FF6B6C"/>
    <w:rsid w:val="012612A2"/>
    <w:rsid w:val="01420B2A"/>
    <w:rsid w:val="01AA2C10"/>
    <w:rsid w:val="01CF7A8C"/>
    <w:rsid w:val="029D5097"/>
    <w:rsid w:val="02CB76A6"/>
    <w:rsid w:val="02D7201B"/>
    <w:rsid w:val="037738D8"/>
    <w:rsid w:val="03EE579D"/>
    <w:rsid w:val="050224B2"/>
    <w:rsid w:val="05145BD8"/>
    <w:rsid w:val="058B4436"/>
    <w:rsid w:val="05A96137"/>
    <w:rsid w:val="05B53FF0"/>
    <w:rsid w:val="06452916"/>
    <w:rsid w:val="064C40EC"/>
    <w:rsid w:val="07064B6A"/>
    <w:rsid w:val="07592003"/>
    <w:rsid w:val="075F0692"/>
    <w:rsid w:val="076014AC"/>
    <w:rsid w:val="077B78D4"/>
    <w:rsid w:val="08F53B23"/>
    <w:rsid w:val="09F943E0"/>
    <w:rsid w:val="0A070656"/>
    <w:rsid w:val="0A913ED8"/>
    <w:rsid w:val="0B24171E"/>
    <w:rsid w:val="0B4D661D"/>
    <w:rsid w:val="0BB33687"/>
    <w:rsid w:val="0BF51381"/>
    <w:rsid w:val="0D081F34"/>
    <w:rsid w:val="0D584403"/>
    <w:rsid w:val="0DB24A47"/>
    <w:rsid w:val="0DCB52A1"/>
    <w:rsid w:val="0DDA523F"/>
    <w:rsid w:val="0E130B28"/>
    <w:rsid w:val="0E2D18B6"/>
    <w:rsid w:val="0E870CBD"/>
    <w:rsid w:val="0EFC52F7"/>
    <w:rsid w:val="0F333B7C"/>
    <w:rsid w:val="0F59068B"/>
    <w:rsid w:val="101C0A97"/>
    <w:rsid w:val="10F67974"/>
    <w:rsid w:val="111F125F"/>
    <w:rsid w:val="114A0C4D"/>
    <w:rsid w:val="116353E3"/>
    <w:rsid w:val="117C7228"/>
    <w:rsid w:val="124D2289"/>
    <w:rsid w:val="12631F4C"/>
    <w:rsid w:val="12D6790A"/>
    <w:rsid w:val="12F438A7"/>
    <w:rsid w:val="13977E74"/>
    <w:rsid w:val="140036D6"/>
    <w:rsid w:val="140164DF"/>
    <w:rsid w:val="141B7F51"/>
    <w:rsid w:val="146F2C7A"/>
    <w:rsid w:val="149E4992"/>
    <w:rsid w:val="14BB36A0"/>
    <w:rsid w:val="15415E49"/>
    <w:rsid w:val="156B4F9A"/>
    <w:rsid w:val="15732B3D"/>
    <w:rsid w:val="15A217AD"/>
    <w:rsid w:val="15A45F3F"/>
    <w:rsid w:val="15C026F1"/>
    <w:rsid w:val="15DF7B3C"/>
    <w:rsid w:val="167F4AB6"/>
    <w:rsid w:val="16B34B25"/>
    <w:rsid w:val="16C94348"/>
    <w:rsid w:val="17064457"/>
    <w:rsid w:val="177004A7"/>
    <w:rsid w:val="17FB2C27"/>
    <w:rsid w:val="18427458"/>
    <w:rsid w:val="186C0187"/>
    <w:rsid w:val="189439F5"/>
    <w:rsid w:val="18C643E3"/>
    <w:rsid w:val="197131A1"/>
    <w:rsid w:val="19BD7FCA"/>
    <w:rsid w:val="1A442DE9"/>
    <w:rsid w:val="1A471AEC"/>
    <w:rsid w:val="1AE04761"/>
    <w:rsid w:val="1BD45C69"/>
    <w:rsid w:val="1C352A21"/>
    <w:rsid w:val="1CEE12C8"/>
    <w:rsid w:val="1D321E13"/>
    <w:rsid w:val="1E081918"/>
    <w:rsid w:val="1E1D5C42"/>
    <w:rsid w:val="1EE42371"/>
    <w:rsid w:val="1F462152"/>
    <w:rsid w:val="1F6B6784"/>
    <w:rsid w:val="20780ECB"/>
    <w:rsid w:val="209B523C"/>
    <w:rsid w:val="211132C0"/>
    <w:rsid w:val="21455F84"/>
    <w:rsid w:val="214D0123"/>
    <w:rsid w:val="21837F15"/>
    <w:rsid w:val="218E645E"/>
    <w:rsid w:val="219F0AC7"/>
    <w:rsid w:val="224176AA"/>
    <w:rsid w:val="228C1199"/>
    <w:rsid w:val="22FF286E"/>
    <w:rsid w:val="233142AC"/>
    <w:rsid w:val="235634BB"/>
    <w:rsid w:val="238B2498"/>
    <w:rsid w:val="242D24F6"/>
    <w:rsid w:val="244D1F9C"/>
    <w:rsid w:val="24801EBF"/>
    <w:rsid w:val="24977600"/>
    <w:rsid w:val="25101CDA"/>
    <w:rsid w:val="254856B7"/>
    <w:rsid w:val="25616417"/>
    <w:rsid w:val="26622FF7"/>
    <w:rsid w:val="26AA0F6E"/>
    <w:rsid w:val="26CE2A5C"/>
    <w:rsid w:val="2717256C"/>
    <w:rsid w:val="272F1A96"/>
    <w:rsid w:val="276F1D03"/>
    <w:rsid w:val="27AC0841"/>
    <w:rsid w:val="27B84691"/>
    <w:rsid w:val="27B85848"/>
    <w:rsid w:val="27D651C1"/>
    <w:rsid w:val="282B09BF"/>
    <w:rsid w:val="28355CE1"/>
    <w:rsid w:val="2848646B"/>
    <w:rsid w:val="284D4BF2"/>
    <w:rsid w:val="284D528F"/>
    <w:rsid w:val="296543A4"/>
    <w:rsid w:val="297B0CF7"/>
    <w:rsid w:val="299D4150"/>
    <w:rsid w:val="29F0592E"/>
    <w:rsid w:val="2A51423E"/>
    <w:rsid w:val="2B1E0D76"/>
    <w:rsid w:val="2B4E40A4"/>
    <w:rsid w:val="2C050ED1"/>
    <w:rsid w:val="2C5322FA"/>
    <w:rsid w:val="2CAB5B33"/>
    <w:rsid w:val="2CF76D9A"/>
    <w:rsid w:val="2E061591"/>
    <w:rsid w:val="2E166889"/>
    <w:rsid w:val="2E674331"/>
    <w:rsid w:val="2E9F3DDD"/>
    <w:rsid w:val="2EBB3B0C"/>
    <w:rsid w:val="2EDD2DD9"/>
    <w:rsid w:val="2EFA61AC"/>
    <w:rsid w:val="2F3A7F7C"/>
    <w:rsid w:val="2F5A2EE5"/>
    <w:rsid w:val="2F723467"/>
    <w:rsid w:val="2FAC6889"/>
    <w:rsid w:val="30A8076B"/>
    <w:rsid w:val="30E87D95"/>
    <w:rsid w:val="31855066"/>
    <w:rsid w:val="318555E4"/>
    <w:rsid w:val="32666DBF"/>
    <w:rsid w:val="328E18A2"/>
    <w:rsid w:val="32903736"/>
    <w:rsid w:val="32A02B99"/>
    <w:rsid w:val="32C91062"/>
    <w:rsid w:val="331C55F4"/>
    <w:rsid w:val="335069BC"/>
    <w:rsid w:val="337C6777"/>
    <w:rsid w:val="33964B8B"/>
    <w:rsid w:val="33B11CFC"/>
    <w:rsid w:val="33D41194"/>
    <w:rsid w:val="33D414D0"/>
    <w:rsid w:val="33F73052"/>
    <w:rsid w:val="3412408B"/>
    <w:rsid w:val="34BE3DF6"/>
    <w:rsid w:val="35CD358A"/>
    <w:rsid w:val="362A09EF"/>
    <w:rsid w:val="369C1105"/>
    <w:rsid w:val="36C91572"/>
    <w:rsid w:val="36DA749A"/>
    <w:rsid w:val="37467D39"/>
    <w:rsid w:val="374970B3"/>
    <w:rsid w:val="374B2F24"/>
    <w:rsid w:val="375B54E1"/>
    <w:rsid w:val="37D51BB1"/>
    <w:rsid w:val="382F43FF"/>
    <w:rsid w:val="38325D99"/>
    <w:rsid w:val="385F359C"/>
    <w:rsid w:val="388C0C94"/>
    <w:rsid w:val="38E835C7"/>
    <w:rsid w:val="39070FD4"/>
    <w:rsid w:val="392A36AD"/>
    <w:rsid w:val="3A5E38A7"/>
    <w:rsid w:val="3AF11C2B"/>
    <w:rsid w:val="3AF15EA0"/>
    <w:rsid w:val="3B3F16C0"/>
    <w:rsid w:val="3B662B12"/>
    <w:rsid w:val="3BA80B19"/>
    <w:rsid w:val="3BF51E30"/>
    <w:rsid w:val="3C4240EC"/>
    <w:rsid w:val="3C8F262A"/>
    <w:rsid w:val="3D100D04"/>
    <w:rsid w:val="3D9B4DA3"/>
    <w:rsid w:val="3E193E83"/>
    <w:rsid w:val="3E997760"/>
    <w:rsid w:val="3F367E02"/>
    <w:rsid w:val="3F3A1FEB"/>
    <w:rsid w:val="3F901E40"/>
    <w:rsid w:val="3FAB69FD"/>
    <w:rsid w:val="3FE406A9"/>
    <w:rsid w:val="3FEC144F"/>
    <w:rsid w:val="405F6B9A"/>
    <w:rsid w:val="40885740"/>
    <w:rsid w:val="413D1A37"/>
    <w:rsid w:val="41714ED0"/>
    <w:rsid w:val="41934623"/>
    <w:rsid w:val="41CB5019"/>
    <w:rsid w:val="41E37CC8"/>
    <w:rsid w:val="41EC6FB9"/>
    <w:rsid w:val="42246D51"/>
    <w:rsid w:val="42253D73"/>
    <w:rsid w:val="42C8119D"/>
    <w:rsid w:val="42DC0426"/>
    <w:rsid w:val="43291B47"/>
    <w:rsid w:val="432F7CA3"/>
    <w:rsid w:val="43BF32E9"/>
    <w:rsid w:val="43C76649"/>
    <w:rsid w:val="442473E2"/>
    <w:rsid w:val="44360331"/>
    <w:rsid w:val="44B91A5D"/>
    <w:rsid w:val="44D834EC"/>
    <w:rsid w:val="45023B6B"/>
    <w:rsid w:val="452F03D4"/>
    <w:rsid w:val="456077A5"/>
    <w:rsid w:val="457C1D07"/>
    <w:rsid w:val="459A3BBF"/>
    <w:rsid w:val="45A44242"/>
    <w:rsid w:val="460560B7"/>
    <w:rsid w:val="46102BF8"/>
    <w:rsid w:val="461D1214"/>
    <w:rsid w:val="46DD1652"/>
    <w:rsid w:val="474B1C86"/>
    <w:rsid w:val="47843179"/>
    <w:rsid w:val="479538EE"/>
    <w:rsid w:val="48340AB2"/>
    <w:rsid w:val="48D6451F"/>
    <w:rsid w:val="48DF482D"/>
    <w:rsid w:val="48F876A9"/>
    <w:rsid w:val="4A113742"/>
    <w:rsid w:val="4A142618"/>
    <w:rsid w:val="4A18309E"/>
    <w:rsid w:val="4A5A1589"/>
    <w:rsid w:val="4A842484"/>
    <w:rsid w:val="4A870247"/>
    <w:rsid w:val="4AF875FC"/>
    <w:rsid w:val="4B0762E4"/>
    <w:rsid w:val="4B3273DF"/>
    <w:rsid w:val="4B4D3198"/>
    <w:rsid w:val="4C730254"/>
    <w:rsid w:val="4CF27F48"/>
    <w:rsid w:val="4DBF5582"/>
    <w:rsid w:val="4DC112FA"/>
    <w:rsid w:val="4E6268C7"/>
    <w:rsid w:val="4EAC5711"/>
    <w:rsid w:val="4EDA0D8F"/>
    <w:rsid w:val="4F2C30EB"/>
    <w:rsid w:val="4F337528"/>
    <w:rsid w:val="4F7A20A8"/>
    <w:rsid w:val="4FB401B5"/>
    <w:rsid w:val="5011636D"/>
    <w:rsid w:val="505C7478"/>
    <w:rsid w:val="507F7220"/>
    <w:rsid w:val="50916C0A"/>
    <w:rsid w:val="50AD2009"/>
    <w:rsid w:val="50B213CE"/>
    <w:rsid w:val="50F54C60"/>
    <w:rsid w:val="513D15DF"/>
    <w:rsid w:val="51B2004B"/>
    <w:rsid w:val="5235330A"/>
    <w:rsid w:val="52412613"/>
    <w:rsid w:val="527C2D46"/>
    <w:rsid w:val="52B1623B"/>
    <w:rsid w:val="52BC396D"/>
    <w:rsid w:val="533C0A0F"/>
    <w:rsid w:val="53B32928"/>
    <w:rsid w:val="54157164"/>
    <w:rsid w:val="54191677"/>
    <w:rsid w:val="54471854"/>
    <w:rsid w:val="54634315"/>
    <w:rsid w:val="547D0BE8"/>
    <w:rsid w:val="54DD215E"/>
    <w:rsid w:val="550A5658"/>
    <w:rsid w:val="55622629"/>
    <w:rsid w:val="55660D57"/>
    <w:rsid w:val="557701D2"/>
    <w:rsid w:val="55F72237"/>
    <w:rsid w:val="563A7E9B"/>
    <w:rsid w:val="56666187"/>
    <w:rsid w:val="56D51578"/>
    <w:rsid w:val="57684EDC"/>
    <w:rsid w:val="57A8438B"/>
    <w:rsid w:val="581E2406"/>
    <w:rsid w:val="58704048"/>
    <w:rsid w:val="58AF00E8"/>
    <w:rsid w:val="590649AC"/>
    <w:rsid w:val="59941FB8"/>
    <w:rsid w:val="59A044B9"/>
    <w:rsid w:val="5A3A2DDD"/>
    <w:rsid w:val="5C4E2889"/>
    <w:rsid w:val="5D0B35B7"/>
    <w:rsid w:val="5D201747"/>
    <w:rsid w:val="5D8D3526"/>
    <w:rsid w:val="5DA31D4F"/>
    <w:rsid w:val="5DF76D59"/>
    <w:rsid w:val="5E8303FB"/>
    <w:rsid w:val="5F110489"/>
    <w:rsid w:val="60447752"/>
    <w:rsid w:val="61501C31"/>
    <w:rsid w:val="62535346"/>
    <w:rsid w:val="63A14D89"/>
    <w:rsid w:val="64441196"/>
    <w:rsid w:val="64677D9C"/>
    <w:rsid w:val="646978EA"/>
    <w:rsid w:val="647911E5"/>
    <w:rsid w:val="649B2A1E"/>
    <w:rsid w:val="659A5116"/>
    <w:rsid w:val="65E360EC"/>
    <w:rsid w:val="66972F54"/>
    <w:rsid w:val="67894104"/>
    <w:rsid w:val="67D1245A"/>
    <w:rsid w:val="67D7796D"/>
    <w:rsid w:val="68401B55"/>
    <w:rsid w:val="684A6FB7"/>
    <w:rsid w:val="685C6397"/>
    <w:rsid w:val="68C70FC8"/>
    <w:rsid w:val="69731BEA"/>
    <w:rsid w:val="699102C2"/>
    <w:rsid w:val="6B241A17"/>
    <w:rsid w:val="6B28556D"/>
    <w:rsid w:val="6B7A2359"/>
    <w:rsid w:val="6BE5156F"/>
    <w:rsid w:val="6C072BCA"/>
    <w:rsid w:val="6C4F0719"/>
    <w:rsid w:val="6D434A7C"/>
    <w:rsid w:val="6DA15E84"/>
    <w:rsid w:val="6DAB7ECD"/>
    <w:rsid w:val="6E5E4B3E"/>
    <w:rsid w:val="6E9C0F6F"/>
    <w:rsid w:val="6EEE47E4"/>
    <w:rsid w:val="6F3F5BD9"/>
    <w:rsid w:val="6F4A6F49"/>
    <w:rsid w:val="6F6D5DAB"/>
    <w:rsid w:val="6F983C7A"/>
    <w:rsid w:val="6FC13B19"/>
    <w:rsid w:val="70245BC2"/>
    <w:rsid w:val="7103031A"/>
    <w:rsid w:val="71121F70"/>
    <w:rsid w:val="71673F9B"/>
    <w:rsid w:val="71AD7318"/>
    <w:rsid w:val="71F6497B"/>
    <w:rsid w:val="720C671A"/>
    <w:rsid w:val="72115F01"/>
    <w:rsid w:val="7218633D"/>
    <w:rsid w:val="726D70E7"/>
    <w:rsid w:val="744D5EC9"/>
    <w:rsid w:val="744F3E92"/>
    <w:rsid w:val="753D0727"/>
    <w:rsid w:val="759A04FF"/>
    <w:rsid w:val="76275962"/>
    <w:rsid w:val="76487ACB"/>
    <w:rsid w:val="76854D0B"/>
    <w:rsid w:val="76C6379C"/>
    <w:rsid w:val="772D716C"/>
    <w:rsid w:val="776224AB"/>
    <w:rsid w:val="77682CF7"/>
    <w:rsid w:val="77CC74DE"/>
    <w:rsid w:val="77DB784B"/>
    <w:rsid w:val="78CC4E73"/>
    <w:rsid w:val="791407B4"/>
    <w:rsid w:val="795B2D9C"/>
    <w:rsid w:val="79E65A52"/>
    <w:rsid w:val="7A2551CC"/>
    <w:rsid w:val="7A3538A9"/>
    <w:rsid w:val="7A412AB0"/>
    <w:rsid w:val="7A7C4102"/>
    <w:rsid w:val="7AA4610A"/>
    <w:rsid w:val="7AAF67FA"/>
    <w:rsid w:val="7B1403CC"/>
    <w:rsid w:val="7B762E74"/>
    <w:rsid w:val="7B7A2964"/>
    <w:rsid w:val="7C10067A"/>
    <w:rsid w:val="7C61163B"/>
    <w:rsid w:val="7C744EE5"/>
    <w:rsid w:val="7C9C4E59"/>
    <w:rsid w:val="7DC74994"/>
    <w:rsid w:val="7E1700E3"/>
    <w:rsid w:val="7E477448"/>
    <w:rsid w:val="7E7A2C7B"/>
    <w:rsid w:val="7E7E04AA"/>
    <w:rsid w:val="7ED2669B"/>
    <w:rsid w:val="7F133C5A"/>
    <w:rsid w:val="7F5B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9"/>
    <w:pPr>
      <w:keepNext/>
      <w:keepLines/>
      <w:spacing w:before="340" w:after="330" w:line="578" w:lineRule="auto"/>
      <w:jc w:val="center"/>
      <w:outlineLvl w:val="0"/>
    </w:pPr>
    <w:rPr>
      <w:rFonts w:ascii="Times New Roman" w:hAnsi="Times New Roman" w:eastAsia="仿宋"/>
      <w:b/>
      <w:bCs/>
      <w:kern w:val="44"/>
      <w:sz w:val="44"/>
      <w:szCs w:val="44"/>
    </w:rPr>
  </w:style>
  <w:style w:type="paragraph" w:styleId="3">
    <w:name w:val="heading 2"/>
    <w:basedOn w:val="1"/>
    <w:next w:val="1"/>
    <w:link w:val="55"/>
    <w:autoRedefine/>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autoRedefine/>
    <w:qFormat/>
    <w:uiPriority w:val="9"/>
    <w:pPr>
      <w:spacing w:before="120" w:after="260" w:line="416" w:lineRule="auto"/>
      <w:jc w:val="center"/>
      <w:outlineLvl w:val="2"/>
    </w:pPr>
    <w:rPr>
      <w:b/>
      <w:bCs/>
      <w:kern w:val="0"/>
      <w:sz w:val="32"/>
      <w:szCs w:val="32"/>
    </w:rPr>
  </w:style>
  <w:style w:type="paragraph" w:styleId="5">
    <w:name w:val="heading 4"/>
    <w:basedOn w:val="1"/>
    <w:next w:val="1"/>
    <w:link w:val="57"/>
    <w:autoRedefine/>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7"/>
    <w:link w:val="58"/>
    <w:autoRedefine/>
    <w:qFormat/>
    <w:uiPriority w:val="9"/>
    <w:pPr>
      <w:keepNext/>
      <w:keepLines/>
      <w:numPr>
        <w:ilvl w:val="4"/>
        <w:numId w:val="1"/>
      </w:numPr>
      <w:spacing w:before="280" w:after="290" w:line="376" w:lineRule="auto"/>
      <w:outlineLvl w:val="4"/>
    </w:pPr>
    <w:rPr>
      <w:b/>
      <w:sz w:val="28"/>
    </w:rPr>
  </w:style>
  <w:style w:type="paragraph" w:styleId="8">
    <w:name w:val="heading 6"/>
    <w:basedOn w:val="1"/>
    <w:next w:val="7"/>
    <w:link w:val="60"/>
    <w:autoRedefine/>
    <w:qFormat/>
    <w:uiPriority w:val="9"/>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1"/>
    <w:autoRedefine/>
    <w:qFormat/>
    <w:uiPriority w:val="9"/>
    <w:pPr>
      <w:keepNext/>
      <w:keepLines/>
      <w:numPr>
        <w:ilvl w:val="6"/>
        <w:numId w:val="1"/>
      </w:numPr>
      <w:spacing w:before="240" w:after="64" w:line="320" w:lineRule="auto"/>
      <w:outlineLvl w:val="6"/>
    </w:pPr>
    <w:rPr>
      <w:b/>
      <w:sz w:val="24"/>
    </w:rPr>
  </w:style>
  <w:style w:type="paragraph" w:styleId="10">
    <w:name w:val="heading 8"/>
    <w:basedOn w:val="1"/>
    <w:next w:val="7"/>
    <w:link w:val="62"/>
    <w:autoRedefine/>
    <w:qFormat/>
    <w:uiPriority w:val="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3"/>
    <w:autoRedefine/>
    <w:qFormat/>
    <w:uiPriority w:val="9"/>
    <w:pPr>
      <w:keepNext/>
      <w:keepLines/>
      <w:numPr>
        <w:ilvl w:val="8"/>
        <w:numId w:val="1"/>
      </w:numPr>
      <w:spacing w:before="240" w:after="64" w:line="320"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9"/>
    <w:autoRedefine/>
    <w:qFormat/>
    <w:uiPriority w:val="0"/>
    <w:pPr>
      <w:ind w:firstLine="420"/>
    </w:pPr>
    <w:rPr>
      <w:szCs w:val="20"/>
    </w:rPr>
  </w:style>
  <w:style w:type="paragraph" w:styleId="12">
    <w:name w:val="index 8"/>
    <w:basedOn w:val="1"/>
    <w:next w:val="1"/>
    <w:autoRedefine/>
    <w:unhideWhenUsed/>
    <w:qFormat/>
    <w:uiPriority w:val="99"/>
    <w:pPr>
      <w:ind w:left="1400" w:leftChars="1400"/>
    </w:pPr>
  </w:style>
  <w:style w:type="paragraph" w:styleId="13">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Document Map"/>
    <w:basedOn w:val="1"/>
    <w:link w:val="65"/>
    <w:autoRedefine/>
    <w:unhideWhenUsed/>
    <w:qFormat/>
    <w:uiPriority w:val="99"/>
    <w:pPr>
      <w:widowControl/>
    </w:pPr>
    <w:rPr>
      <w:rFonts w:ascii="宋体"/>
      <w:sz w:val="18"/>
      <w:szCs w:val="18"/>
    </w:rPr>
  </w:style>
  <w:style w:type="paragraph" w:styleId="16">
    <w:name w:val="annotation text"/>
    <w:basedOn w:val="1"/>
    <w:link w:val="66"/>
    <w:autoRedefine/>
    <w:unhideWhenUsed/>
    <w:qFormat/>
    <w:uiPriority w:val="0"/>
    <w:pPr>
      <w:spacing w:line="360" w:lineRule="auto"/>
      <w:jc w:val="left"/>
    </w:pPr>
    <w:rPr>
      <w:rFonts w:ascii="宋体" w:hAnsi="宋体" w:cs="宋体"/>
      <w:b/>
      <w:bCs/>
      <w:sz w:val="24"/>
    </w:rPr>
  </w:style>
  <w:style w:type="paragraph" w:styleId="17">
    <w:name w:val="Body Text 3"/>
    <w:basedOn w:val="1"/>
    <w:link w:val="67"/>
    <w:autoRedefine/>
    <w:qFormat/>
    <w:uiPriority w:val="0"/>
    <w:pPr>
      <w:spacing w:line="500" w:lineRule="exact"/>
    </w:pPr>
    <w:rPr>
      <w:b/>
      <w:bCs/>
      <w:kern w:val="0"/>
      <w:sz w:val="24"/>
    </w:rPr>
  </w:style>
  <w:style w:type="paragraph" w:styleId="18">
    <w:name w:val="Body Text"/>
    <w:basedOn w:val="1"/>
    <w:link w:val="68"/>
    <w:autoRedefine/>
    <w:qFormat/>
    <w:uiPriority w:val="0"/>
    <w:pPr>
      <w:spacing w:line="380" w:lineRule="exact"/>
      <w:ind w:firstLine="420" w:firstLineChars="200"/>
    </w:pPr>
    <w:rPr>
      <w:rFonts w:ascii="宋体" w:hAnsi="宋体" w:cs="宋体"/>
      <w:color w:val="FF0000"/>
      <w:szCs w:val="21"/>
    </w:rPr>
  </w:style>
  <w:style w:type="paragraph" w:styleId="19">
    <w:name w:val="Body Text Indent"/>
    <w:basedOn w:val="1"/>
    <w:link w:val="69"/>
    <w:autoRedefine/>
    <w:qFormat/>
    <w:uiPriority w:val="99"/>
    <w:pPr>
      <w:ind w:firstLine="830" w:firstLineChars="352"/>
    </w:pPr>
    <w:rPr>
      <w:rFonts w:ascii="仿宋_GB2312" w:eastAsia="仿宋_GB2312"/>
      <w:kern w:val="0"/>
      <w:sz w:val="32"/>
      <w:szCs w:val="20"/>
    </w:rPr>
  </w:style>
  <w:style w:type="paragraph" w:styleId="20">
    <w:name w:val="List Number 3"/>
    <w:basedOn w:val="1"/>
    <w:autoRedefine/>
    <w:qFormat/>
    <w:uiPriority w:val="0"/>
    <w:pPr>
      <w:numPr>
        <w:ilvl w:val="0"/>
        <w:numId w:val="2"/>
      </w:numPr>
    </w:pPr>
  </w:style>
  <w:style w:type="paragraph" w:styleId="21">
    <w:name w:val="List 2"/>
    <w:basedOn w:val="1"/>
    <w:autoRedefine/>
    <w:qFormat/>
    <w:uiPriority w:val="0"/>
    <w:pPr>
      <w:ind w:left="100" w:leftChars="200" w:hanging="200" w:hangingChars="200"/>
    </w:pPr>
    <w:rPr>
      <w:sz w:val="28"/>
    </w:rPr>
  </w:style>
  <w:style w:type="paragraph" w:styleId="22">
    <w:name w:val="Plain Text"/>
    <w:basedOn w:val="1"/>
    <w:next w:val="12"/>
    <w:link w:val="72"/>
    <w:autoRedefine/>
    <w:qFormat/>
    <w:uiPriority w:val="99"/>
    <w:rPr>
      <w:rFonts w:ascii="宋体" w:hAnsi="Courier New"/>
      <w:kern w:val="0"/>
      <w:sz w:val="20"/>
      <w:szCs w:val="21"/>
    </w:rPr>
  </w:style>
  <w:style w:type="paragraph" w:styleId="23">
    <w:name w:val="Date"/>
    <w:basedOn w:val="1"/>
    <w:next w:val="1"/>
    <w:link w:val="74"/>
    <w:autoRedefine/>
    <w:qFormat/>
    <w:uiPriority w:val="99"/>
    <w:pPr>
      <w:ind w:left="100" w:leftChars="2500"/>
    </w:pPr>
    <w:rPr>
      <w:rFonts w:ascii="宋体" w:hAnsi="Courier New"/>
      <w:kern w:val="0"/>
      <w:sz w:val="20"/>
      <w:szCs w:val="21"/>
    </w:rPr>
  </w:style>
  <w:style w:type="paragraph" w:styleId="24">
    <w:name w:val="Body Text Indent 2"/>
    <w:basedOn w:val="1"/>
    <w:link w:val="75"/>
    <w:autoRedefine/>
    <w:qFormat/>
    <w:uiPriority w:val="99"/>
    <w:pPr>
      <w:ind w:firstLine="630"/>
    </w:pPr>
    <w:rPr>
      <w:kern w:val="0"/>
      <w:sz w:val="32"/>
      <w:szCs w:val="20"/>
    </w:rPr>
  </w:style>
  <w:style w:type="paragraph" w:styleId="25">
    <w:name w:val="endnote text"/>
    <w:basedOn w:val="1"/>
    <w:link w:val="76"/>
    <w:autoRedefine/>
    <w:unhideWhenUsed/>
    <w:qFormat/>
    <w:uiPriority w:val="99"/>
    <w:pPr>
      <w:snapToGrid w:val="0"/>
      <w:jc w:val="left"/>
    </w:pPr>
  </w:style>
  <w:style w:type="paragraph" w:styleId="26">
    <w:name w:val="Balloon Text"/>
    <w:basedOn w:val="1"/>
    <w:link w:val="77"/>
    <w:autoRedefine/>
    <w:semiHidden/>
    <w:qFormat/>
    <w:uiPriority w:val="99"/>
    <w:rPr>
      <w:kern w:val="0"/>
      <w:sz w:val="18"/>
      <w:szCs w:val="18"/>
    </w:rPr>
  </w:style>
  <w:style w:type="paragraph" w:styleId="27">
    <w:name w:val="footer"/>
    <w:basedOn w:val="1"/>
    <w:next w:val="1"/>
    <w:link w:val="78"/>
    <w:autoRedefine/>
    <w:unhideWhenUsed/>
    <w:qFormat/>
    <w:uiPriority w:val="99"/>
    <w:pPr>
      <w:tabs>
        <w:tab w:val="center" w:pos="4153"/>
        <w:tab w:val="right" w:pos="8306"/>
      </w:tabs>
      <w:snapToGrid w:val="0"/>
      <w:jc w:val="left"/>
    </w:pPr>
    <w:rPr>
      <w:kern w:val="0"/>
      <w:sz w:val="18"/>
      <w:szCs w:val="18"/>
    </w:rPr>
  </w:style>
  <w:style w:type="paragraph" w:styleId="28">
    <w:name w:val="header"/>
    <w:basedOn w:val="1"/>
    <w:link w:val="79"/>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29">
    <w:name w:val="toc 1"/>
    <w:basedOn w:val="1"/>
    <w:next w:val="1"/>
    <w:autoRedefine/>
    <w:qFormat/>
    <w:uiPriority w:val="39"/>
  </w:style>
  <w:style w:type="paragraph" w:styleId="30">
    <w:name w:val="List"/>
    <w:basedOn w:val="1"/>
    <w:autoRedefine/>
    <w:qFormat/>
    <w:uiPriority w:val="0"/>
    <w:pPr>
      <w:ind w:left="200" w:hanging="200" w:hangingChars="200"/>
    </w:pPr>
    <w:rPr>
      <w:sz w:val="28"/>
    </w:rPr>
  </w:style>
  <w:style w:type="paragraph" w:styleId="31">
    <w:name w:val="footnote text"/>
    <w:basedOn w:val="1"/>
    <w:link w:val="82"/>
    <w:autoRedefine/>
    <w:unhideWhenUsed/>
    <w:qFormat/>
    <w:uiPriority w:val="99"/>
    <w:pPr>
      <w:snapToGrid w:val="0"/>
      <w:jc w:val="left"/>
    </w:pPr>
    <w:rPr>
      <w:sz w:val="18"/>
      <w:szCs w:val="18"/>
    </w:rPr>
  </w:style>
  <w:style w:type="paragraph" w:styleId="32">
    <w:name w:val="Body Text Indent 3"/>
    <w:basedOn w:val="1"/>
    <w:link w:val="84"/>
    <w:autoRedefine/>
    <w:qFormat/>
    <w:uiPriority w:val="0"/>
    <w:pPr>
      <w:spacing w:after="120"/>
      <w:ind w:left="420" w:leftChars="200"/>
    </w:pPr>
    <w:rPr>
      <w:kern w:val="0"/>
      <w:sz w:val="16"/>
      <w:szCs w:val="16"/>
    </w:rPr>
  </w:style>
  <w:style w:type="paragraph" w:styleId="33">
    <w:name w:val="Body Text 2"/>
    <w:basedOn w:val="1"/>
    <w:link w:val="87"/>
    <w:autoRedefine/>
    <w:qFormat/>
    <w:uiPriority w:val="0"/>
    <w:pPr>
      <w:spacing w:after="120" w:line="480" w:lineRule="auto"/>
    </w:pPr>
    <w:rPr>
      <w:kern w:val="0"/>
      <w:sz w:val="20"/>
    </w:rPr>
  </w:style>
  <w:style w:type="paragraph" w:styleId="34">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5">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7">
    <w:name w:val="Title"/>
    <w:basedOn w:val="1"/>
    <w:next w:val="1"/>
    <w:link w:val="89"/>
    <w:autoRedefine/>
    <w:qFormat/>
    <w:uiPriority w:val="10"/>
    <w:pPr>
      <w:spacing w:before="240" w:after="60"/>
      <w:jc w:val="center"/>
      <w:outlineLvl w:val="0"/>
    </w:pPr>
    <w:rPr>
      <w:rFonts w:ascii="Cambria" w:hAnsi="Cambria"/>
      <w:b/>
      <w:bCs/>
      <w:sz w:val="32"/>
      <w:szCs w:val="32"/>
    </w:rPr>
  </w:style>
  <w:style w:type="paragraph" w:styleId="38">
    <w:name w:val="annotation subject"/>
    <w:basedOn w:val="16"/>
    <w:next w:val="16"/>
    <w:link w:val="90"/>
    <w:autoRedefine/>
    <w:unhideWhenUsed/>
    <w:qFormat/>
    <w:uiPriority w:val="99"/>
    <w:rPr>
      <w:b w:val="0"/>
      <w:bCs w:val="0"/>
    </w:rPr>
  </w:style>
  <w:style w:type="paragraph" w:styleId="39">
    <w:name w:val="Body Text First Indent"/>
    <w:basedOn w:val="18"/>
    <w:next w:val="1"/>
    <w:qFormat/>
    <w:uiPriority w:val="0"/>
    <w:pPr>
      <w:spacing w:after="120" w:line="240" w:lineRule="auto"/>
      <w:ind w:firstLine="100" w:firstLineChars="100"/>
    </w:pPr>
  </w:style>
  <w:style w:type="paragraph" w:styleId="40">
    <w:name w:val="Body Text First Indent 2"/>
    <w:basedOn w:val="1"/>
    <w:next w:val="39"/>
    <w:unhideWhenUsed/>
    <w:qFormat/>
    <w:uiPriority w:val="0"/>
    <w:pPr>
      <w:spacing w:after="120"/>
      <w:ind w:left="420" w:leftChars="200" w:firstLine="420" w:firstLineChars="200"/>
    </w:pPr>
    <w:rPr>
      <w:rFonts w:ascii="宋体"/>
      <w:sz w:val="34"/>
    </w:rPr>
  </w:style>
  <w:style w:type="table" w:styleId="42">
    <w:name w:val="Table Grid"/>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endnote reference"/>
    <w:autoRedefine/>
    <w:unhideWhenUsed/>
    <w:qFormat/>
    <w:uiPriority w:val="99"/>
    <w:rPr>
      <w:vertAlign w:val="superscript"/>
    </w:rPr>
  </w:style>
  <w:style w:type="character" w:styleId="45">
    <w:name w:val="page number"/>
    <w:autoRedefine/>
    <w:qFormat/>
    <w:uiPriority w:val="0"/>
  </w:style>
  <w:style w:type="character" w:styleId="46">
    <w:name w:val="FollowedHyperlink"/>
    <w:autoRedefine/>
    <w:qFormat/>
    <w:uiPriority w:val="99"/>
    <w:rPr>
      <w:color w:val="800080"/>
      <w:u w:val="single"/>
    </w:rPr>
  </w:style>
  <w:style w:type="character" w:styleId="47">
    <w:name w:val="Emphasis"/>
    <w:autoRedefine/>
    <w:qFormat/>
    <w:uiPriority w:val="0"/>
    <w:rPr>
      <w:rFonts w:hint="default" w:ascii="Calibri" w:hAnsi="Calibri" w:cs="Calibri"/>
      <w:b/>
      <w:i/>
      <w:iCs/>
    </w:rPr>
  </w:style>
  <w:style w:type="character" w:styleId="48">
    <w:name w:val="Hyperlink"/>
    <w:autoRedefine/>
    <w:qFormat/>
    <w:uiPriority w:val="99"/>
    <w:rPr>
      <w:color w:val="0000FF"/>
      <w:u w:val="single"/>
    </w:rPr>
  </w:style>
  <w:style w:type="character" w:styleId="49">
    <w:name w:val="annotation reference"/>
    <w:autoRedefine/>
    <w:unhideWhenUsed/>
    <w:qFormat/>
    <w:uiPriority w:val="0"/>
    <w:rPr>
      <w:sz w:val="21"/>
      <w:szCs w:val="21"/>
    </w:rPr>
  </w:style>
  <w:style w:type="character" w:styleId="50">
    <w:name w:val="footnote reference"/>
    <w:autoRedefine/>
    <w:unhideWhenUsed/>
    <w:qFormat/>
    <w:uiPriority w:val="99"/>
    <w:rPr>
      <w:vertAlign w:val="superscript"/>
    </w:rPr>
  </w:style>
  <w:style w:type="paragraph" w:customStyle="1" w:styleId="51">
    <w:name w:val="段"/>
    <w:next w:val="1"/>
    <w:autoRedefine/>
    <w:qFormat/>
    <w:uiPriority w:val="99"/>
    <w:pPr>
      <w:ind w:firstLine="200" w:firstLineChars="200"/>
      <w:jc w:val="both"/>
    </w:pPr>
    <w:rPr>
      <w:rFonts w:ascii="宋体" w:hAnsi="Times New Roman" w:eastAsia="宋体" w:cs="Times New Roman"/>
      <w:sz w:val="21"/>
      <w:szCs w:val="22"/>
      <w:lang w:val="en-US" w:eastAsia="zh-CN" w:bidi="ar-SA"/>
    </w:rPr>
  </w:style>
  <w:style w:type="paragraph" w:customStyle="1" w:styleId="52">
    <w:name w:val="正文（厅）"/>
    <w:basedOn w:val="1"/>
    <w:qFormat/>
    <w:uiPriority w:val="0"/>
    <w:pPr>
      <w:spacing w:line="580" w:lineRule="exact"/>
      <w:ind w:firstLine="420" w:firstLineChars="200"/>
    </w:pPr>
    <w:rPr>
      <w:rFonts w:eastAsia="仿宋_GB2312" w:asciiTheme="minorHAnsi" w:hAnsiTheme="minorHAnsi"/>
      <w:sz w:val="32"/>
    </w:rPr>
  </w:style>
  <w:style w:type="paragraph" w:customStyle="1" w:styleId="53">
    <w:name w:val="标题2级"/>
    <w:basedOn w:val="1"/>
    <w:next w:val="52"/>
    <w:qFormat/>
    <w:uiPriority w:val="0"/>
    <w:pPr>
      <w:spacing w:line="580" w:lineRule="exact"/>
      <w:ind w:firstLine="420" w:firstLineChars="200"/>
      <w:outlineLvl w:val="1"/>
    </w:pPr>
    <w:rPr>
      <w:rFonts w:eastAsia="楷体_GB2312" w:asciiTheme="minorHAnsi" w:hAnsiTheme="minorHAnsi"/>
      <w:b/>
      <w:sz w:val="32"/>
    </w:rPr>
  </w:style>
  <w:style w:type="character" w:customStyle="1" w:styleId="54">
    <w:name w:val="标题 1 字符2"/>
    <w:link w:val="2"/>
    <w:autoRedefine/>
    <w:qFormat/>
    <w:uiPriority w:val="9"/>
    <w:rPr>
      <w:rFonts w:ascii="Times New Roman" w:hAnsi="Times New Roman" w:eastAsia="仿宋" w:cs="Times New Roman"/>
      <w:b/>
      <w:bCs/>
      <w:kern w:val="44"/>
      <w:sz w:val="44"/>
      <w:szCs w:val="44"/>
    </w:rPr>
  </w:style>
  <w:style w:type="character" w:customStyle="1" w:styleId="55">
    <w:name w:val="标题 2 字符"/>
    <w:link w:val="3"/>
    <w:autoRedefine/>
    <w:qFormat/>
    <w:uiPriority w:val="9"/>
    <w:rPr>
      <w:rFonts w:ascii="Arial" w:hAnsi="Arial" w:eastAsia="黑体" w:cs="Times New Roman"/>
      <w:b/>
      <w:bCs/>
      <w:sz w:val="32"/>
      <w:szCs w:val="32"/>
    </w:rPr>
  </w:style>
  <w:style w:type="character" w:customStyle="1" w:styleId="56">
    <w:name w:val="标题 3 字符"/>
    <w:link w:val="4"/>
    <w:autoRedefine/>
    <w:qFormat/>
    <w:uiPriority w:val="9"/>
    <w:rPr>
      <w:b/>
      <w:bCs/>
      <w:sz w:val="32"/>
      <w:szCs w:val="32"/>
    </w:rPr>
  </w:style>
  <w:style w:type="character" w:customStyle="1" w:styleId="57">
    <w:name w:val="标题 4 字符"/>
    <w:link w:val="5"/>
    <w:autoRedefine/>
    <w:semiHidden/>
    <w:qFormat/>
    <w:locked/>
    <w:uiPriority w:val="0"/>
    <w:rPr>
      <w:rFonts w:ascii="Cambria" w:hAnsi="Cambria" w:cs="宋体"/>
      <w:b/>
      <w:bCs/>
      <w:kern w:val="2"/>
      <w:sz w:val="28"/>
      <w:szCs w:val="28"/>
    </w:rPr>
  </w:style>
  <w:style w:type="character" w:customStyle="1" w:styleId="58">
    <w:name w:val="标题 5 字符1"/>
    <w:link w:val="6"/>
    <w:autoRedefine/>
    <w:qFormat/>
    <w:uiPriority w:val="9"/>
    <w:rPr>
      <w:b/>
      <w:kern w:val="2"/>
      <w:sz w:val="28"/>
      <w:szCs w:val="24"/>
    </w:rPr>
  </w:style>
  <w:style w:type="character" w:customStyle="1" w:styleId="59">
    <w:name w:val="正文缩进 字符"/>
    <w:link w:val="7"/>
    <w:autoRedefine/>
    <w:qFormat/>
    <w:locked/>
    <w:uiPriority w:val="0"/>
    <w:rPr>
      <w:kern w:val="2"/>
      <w:sz w:val="21"/>
    </w:rPr>
  </w:style>
  <w:style w:type="character" w:customStyle="1" w:styleId="60">
    <w:name w:val="标题 6 字符"/>
    <w:link w:val="8"/>
    <w:autoRedefine/>
    <w:qFormat/>
    <w:uiPriority w:val="9"/>
    <w:rPr>
      <w:rFonts w:ascii="Arial" w:hAnsi="Arial" w:eastAsia="黑体"/>
      <w:b/>
      <w:kern w:val="2"/>
      <w:sz w:val="24"/>
      <w:szCs w:val="24"/>
    </w:rPr>
  </w:style>
  <w:style w:type="character" w:customStyle="1" w:styleId="61">
    <w:name w:val="标题 7 字符"/>
    <w:link w:val="9"/>
    <w:autoRedefine/>
    <w:qFormat/>
    <w:uiPriority w:val="9"/>
    <w:rPr>
      <w:rFonts w:ascii="Times New Roman" w:hAnsi="Times New Roman"/>
      <w:b/>
      <w:kern w:val="2"/>
      <w:sz w:val="24"/>
      <w:szCs w:val="24"/>
    </w:rPr>
  </w:style>
  <w:style w:type="character" w:customStyle="1" w:styleId="62">
    <w:name w:val="标题 8 字符"/>
    <w:link w:val="10"/>
    <w:autoRedefine/>
    <w:qFormat/>
    <w:uiPriority w:val="9"/>
    <w:rPr>
      <w:rFonts w:ascii="Arial" w:hAnsi="Arial" w:eastAsia="黑体"/>
      <w:kern w:val="2"/>
      <w:sz w:val="24"/>
      <w:szCs w:val="24"/>
    </w:rPr>
  </w:style>
  <w:style w:type="character" w:customStyle="1" w:styleId="63">
    <w:name w:val="标题 9 字符"/>
    <w:link w:val="11"/>
    <w:autoRedefine/>
    <w:qFormat/>
    <w:uiPriority w:val="9"/>
    <w:rPr>
      <w:rFonts w:ascii="Arial" w:hAnsi="Arial" w:eastAsia="黑体"/>
      <w:kern w:val="2"/>
      <w:sz w:val="21"/>
      <w:szCs w:val="24"/>
    </w:rPr>
  </w:style>
  <w:style w:type="paragraph" w:customStyle="1" w:styleId="64">
    <w:name w:val="目录 71"/>
    <w:basedOn w:val="1"/>
    <w:next w:val="1"/>
    <w:autoRedefine/>
    <w:unhideWhenUsed/>
    <w:qFormat/>
    <w:uiPriority w:val="39"/>
    <w:pPr>
      <w:ind w:left="2520" w:leftChars="1200"/>
    </w:pPr>
    <w:rPr>
      <w:rFonts w:ascii="Calibri" w:hAnsi="Calibri"/>
      <w:szCs w:val="22"/>
    </w:rPr>
  </w:style>
  <w:style w:type="character" w:customStyle="1" w:styleId="65">
    <w:name w:val="文档结构图 字符"/>
    <w:link w:val="15"/>
    <w:autoRedefine/>
    <w:semiHidden/>
    <w:qFormat/>
    <w:locked/>
    <w:uiPriority w:val="99"/>
    <w:rPr>
      <w:rFonts w:ascii="宋体"/>
      <w:kern w:val="2"/>
      <w:sz w:val="18"/>
      <w:szCs w:val="18"/>
    </w:rPr>
  </w:style>
  <w:style w:type="character" w:customStyle="1" w:styleId="66">
    <w:name w:val="批注文字 字符1"/>
    <w:link w:val="16"/>
    <w:autoRedefine/>
    <w:qFormat/>
    <w:uiPriority w:val="0"/>
    <w:rPr>
      <w:rFonts w:ascii="宋体" w:hAnsi="宋体" w:cs="宋体"/>
      <w:b/>
      <w:bCs/>
      <w:kern w:val="2"/>
      <w:sz w:val="24"/>
      <w:szCs w:val="24"/>
    </w:rPr>
  </w:style>
  <w:style w:type="character" w:customStyle="1" w:styleId="67">
    <w:name w:val="正文文本 3 字符"/>
    <w:link w:val="17"/>
    <w:autoRedefine/>
    <w:qFormat/>
    <w:uiPriority w:val="0"/>
    <w:rPr>
      <w:rFonts w:ascii="Times New Roman" w:hAnsi="Times New Roman" w:eastAsia="宋体" w:cs="Times New Roman"/>
      <w:b/>
      <w:bCs/>
      <w:sz w:val="24"/>
      <w:szCs w:val="24"/>
    </w:rPr>
  </w:style>
  <w:style w:type="character" w:customStyle="1" w:styleId="68">
    <w:name w:val="正文文本 字符"/>
    <w:link w:val="18"/>
    <w:autoRedefine/>
    <w:qFormat/>
    <w:uiPriority w:val="0"/>
    <w:rPr>
      <w:rFonts w:ascii="宋体" w:hAnsi="宋体" w:cs="宋体"/>
      <w:color w:val="FF0000"/>
      <w:kern w:val="2"/>
      <w:sz w:val="21"/>
      <w:szCs w:val="21"/>
    </w:rPr>
  </w:style>
  <w:style w:type="character" w:customStyle="1" w:styleId="69">
    <w:name w:val="正文文本缩进 字符2"/>
    <w:link w:val="19"/>
    <w:autoRedefine/>
    <w:qFormat/>
    <w:uiPriority w:val="99"/>
    <w:rPr>
      <w:rFonts w:ascii="仿宋_GB2312" w:hAnsi="Times New Roman" w:eastAsia="仿宋_GB2312" w:cs="Times New Roman"/>
      <w:sz w:val="32"/>
      <w:szCs w:val="20"/>
    </w:rPr>
  </w:style>
  <w:style w:type="paragraph" w:customStyle="1" w:styleId="70">
    <w:name w:val="目录 51"/>
    <w:basedOn w:val="1"/>
    <w:next w:val="1"/>
    <w:autoRedefine/>
    <w:unhideWhenUsed/>
    <w:qFormat/>
    <w:uiPriority w:val="39"/>
    <w:pPr>
      <w:ind w:left="1680" w:leftChars="800"/>
    </w:pPr>
    <w:rPr>
      <w:rFonts w:ascii="Calibri" w:hAnsi="Calibri"/>
      <w:szCs w:val="22"/>
    </w:rPr>
  </w:style>
  <w:style w:type="paragraph" w:customStyle="1" w:styleId="71">
    <w:name w:val="目录 31"/>
    <w:basedOn w:val="1"/>
    <w:next w:val="1"/>
    <w:autoRedefine/>
    <w:unhideWhenUsed/>
    <w:qFormat/>
    <w:uiPriority w:val="39"/>
    <w:pPr>
      <w:ind w:left="840" w:leftChars="400"/>
    </w:pPr>
    <w:rPr>
      <w:rFonts w:ascii="Calibri" w:hAnsi="Calibri"/>
      <w:szCs w:val="22"/>
    </w:rPr>
  </w:style>
  <w:style w:type="character" w:customStyle="1" w:styleId="72">
    <w:name w:val="纯文本 字符4"/>
    <w:link w:val="22"/>
    <w:autoRedefine/>
    <w:qFormat/>
    <w:uiPriority w:val="99"/>
    <w:rPr>
      <w:rFonts w:ascii="宋体" w:hAnsi="Courier New" w:eastAsia="宋体" w:cs="Courier New"/>
      <w:szCs w:val="21"/>
    </w:rPr>
  </w:style>
  <w:style w:type="paragraph" w:customStyle="1" w:styleId="73">
    <w:name w:val="目录 81"/>
    <w:basedOn w:val="1"/>
    <w:next w:val="1"/>
    <w:autoRedefine/>
    <w:unhideWhenUsed/>
    <w:qFormat/>
    <w:uiPriority w:val="39"/>
    <w:pPr>
      <w:ind w:left="2940" w:leftChars="1400"/>
    </w:pPr>
    <w:rPr>
      <w:rFonts w:ascii="Calibri" w:hAnsi="Calibri"/>
      <w:szCs w:val="22"/>
    </w:rPr>
  </w:style>
  <w:style w:type="character" w:customStyle="1" w:styleId="74">
    <w:name w:val="日期 字符"/>
    <w:link w:val="23"/>
    <w:autoRedefine/>
    <w:qFormat/>
    <w:uiPriority w:val="99"/>
    <w:rPr>
      <w:rFonts w:ascii="宋体" w:hAnsi="Courier New" w:eastAsia="宋体" w:cs="Courier New"/>
      <w:szCs w:val="21"/>
    </w:rPr>
  </w:style>
  <w:style w:type="character" w:customStyle="1" w:styleId="75">
    <w:name w:val="正文文本缩进 2 字符"/>
    <w:link w:val="24"/>
    <w:autoRedefine/>
    <w:qFormat/>
    <w:uiPriority w:val="99"/>
    <w:rPr>
      <w:rFonts w:ascii="Times New Roman" w:hAnsi="Times New Roman" w:eastAsia="宋体" w:cs="Times New Roman"/>
      <w:sz w:val="32"/>
      <w:szCs w:val="20"/>
    </w:rPr>
  </w:style>
  <w:style w:type="character" w:customStyle="1" w:styleId="76">
    <w:name w:val="尾注文本 字符"/>
    <w:link w:val="25"/>
    <w:autoRedefine/>
    <w:semiHidden/>
    <w:qFormat/>
    <w:uiPriority w:val="99"/>
    <w:rPr>
      <w:rFonts w:ascii="Times New Roman" w:hAnsi="Times New Roman"/>
      <w:kern w:val="2"/>
      <w:sz w:val="21"/>
      <w:szCs w:val="24"/>
    </w:rPr>
  </w:style>
  <w:style w:type="character" w:customStyle="1" w:styleId="77">
    <w:name w:val="批注框文本 字符"/>
    <w:link w:val="26"/>
    <w:autoRedefine/>
    <w:semiHidden/>
    <w:qFormat/>
    <w:uiPriority w:val="99"/>
    <w:rPr>
      <w:rFonts w:ascii="Times New Roman" w:hAnsi="Times New Roman" w:eastAsia="宋体" w:cs="Times New Roman"/>
      <w:sz w:val="18"/>
      <w:szCs w:val="18"/>
    </w:rPr>
  </w:style>
  <w:style w:type="character" w:customStyle="1" w:styleId="78">
    <w:name w:val="页脚 字符"/>
    <w:link w:val="27"/>
    <w:autoRedefine/>
    <w:qFormat/>
    <w:uiPriority w:val="99"/>
    <w:rPr>
      <w:sz w:val="18"/>
      <w:szCs w:val="18"/>
    </w:rPr>
  </w:style>
  <w:style w:type="character" w:customStyle="1" w:styleId="79">
    <w:name w:val="页眉 字符"/>
    <w:link w:val="28"/>
    <w:autoRedefine/>
    <w:qFormat/>
    <w:uiPriority w:val="99"/>
    <w:rPr>
      <w:rFonts w:ascii="Times New Roman" w:hAnsi="Times New Roman"/>
      <w:kern w:val="2"/>
      <w:sz w:val="18"/>
      <w:szCs w:val="18"/>
    </w:rPr>
  </w:style>
  <w:style w:type="paragraph" w:customStyle="1" w:styleId="80">
    <w:name w:val="目录 1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81">
    <w:name w:val="目录 41"/>
    <w:basedOn w:val="1"/>
    <w:next w:val="1"/>
    <w:autoRedefine/>
    <w:unhideWhenUsed/>
    <w:qFormat/>
    <w:uiPriority w:val="39"/>
    <w:pPr>
      <w:ind w:left="1260" w:leftChars="600"/>
    </w:pPr>
    <w:rPr>
      <w:rFonts w:ascii="Calibri" w:hAnsi="Calibri"/>
      <w:szCs w:val="22"/>
    </w:rPr>
  </w:style>
  <w:style w:type="character" w:customStyle="1" w:styleId="82">
    <w:name w:val="脚注文本 字符"/>
    <w:link w:val="31"/>
    <w:autoRedefine/>
    <w:semiHidden/>
    <w:qFormat/>
    <w:uiPriority w:val="99"/>
    <w:rPr>
      <w:rFonts w:ascii="Times New Roman" w:hAnsi="Times New Roman"/>
      <w:kern w:val="2"/>
      <w:sz w:val="18"/>
      <w:szCs w:val="18"/>
    </w:rPr>
  </w:style>
  <w:style w:type="paragraph" w:customStyle="1" w:styleId="83">
    <w:name w:val="目录 61"/>
    <w:basedOn w:val="1"/>
    <w:next w:val="1"/>
    <w:autoRedefine/>
    <w:unhideWhenUsed/>
    <w:qFormat/>
    <w:uiPriority w:val="39"/>
    <w:pPr>
      <w:ind w:left="2100" w:leftChars="1000"/>
    </w:pPr>
    <w:rPr>
      <w:rFonts w:ascii="Calibri" w:hAnsi="Calibri"/>
      <w:szCs w:val="22"/>
    </w:rPr>
  </w:style>
  <w:style w:type="character" w:customStyle="1" w:styleId="84">
    <w:name w:val="正文文本缩进 3 字符"/>
    <w:link w:val="32"/>
    <w:autoRedefine/>
    <w:qFormat/>
    <w:uiPriority w:val="0"/>
    <w:rPr>
      <w:rFonts w:ascii="Times New Roman" w:hAnsi="Times New Roman" w:eastAsia="宋体" w:cs="Times New Roman"/>
      <w:sz w:val="16"/>
      <w:szCs w:val="16"/>
    </w:rPr>
  </w:style>
  <w:style w:type="paragraph" w:customStyle="1" w:styleId="85">
    <w:name w:val="目录 21"/>
    <w:basedOn w:val="1"/>
    <w:next w:val="1"/>
    <w:autoRedefine/>
    <w:unhideWhenUsed/>
    <w:qFormat/>
    <w:uiPriority w:val="39"/>
    <w:pPr>
      <w:ind w:left="420" w:leftChars="200"/>
    </w:pPr>
  </w:style>
  <w:style w:type="paragraph" w:customStyle="1" w:styleId="86">
    <w:name w:val="目录 91"/>
    <w:basedOn w:val="1"/>
    <w:next w:val="1"/>
    <w:autoRedefine/>
    <w:unhideWhenUsed/>
    <w:qFormat/>
    <w:uiPriority w:val="39"/>
    <w:pPr>
      <w:ind w:left="3360" w:leftChars="1600"/>
    </w:pPr>
    <w:rPr>
      <w:rFonts w:ascii="Calibri" w:hAnsi="Calibri"/>
      <w:szCs w:val="22"/>
    </w:rPr>
  </w:style>
  <w:style w:type="character" w:customStyle="1" w:styleId="87">
    <w:name w:val="正文文本 2 字符"/>
    <w:link w:val="33"/>
    <w:autoRedefine/>
    <w:qFormat/>
    <w:uiPriority w:val="0"/>
    <w:rPr>
      <w:rFonts w:ascii="Times New Roman" w:hAnsi="Times New Roman" w:eastAsia="宋体" w:cs="Times New Roman"/>
      <w:szCs w:val="24"/>
    </w:rPr>
  </w:style>
  <w:style w:type="character" w:customStyle="1" w:styleId="88">
    <w:name w:val="HTML 预设格式 字符"/>
    <w:link w:val="34"/>
    <w:autoRedefine/>
    <w:semiHidden/>
    <w:qFormat/>
    <w:uiPriority w:val="99"/>
    <w:rPr>
      <w:rFonts w:ascii="宋体" w:hAnsi="宋体" w:cs="宋体"/>
      <w:sz w:val="24"/>
      <w:szCs w:val="24"/>
    </w:rPr>
  </w:style>
  <w:style w:type="character" w:customStyle="1" w:styleId="89">
    <w:name w:val="标题 字符"/>
    <w:link w:val="37"/>
    <w:autoRedefine/>
    <w:qFormat/>
    <w:uiPriority w:val="10"/>
    <w:rPr>
      <w:rFonts w:ascii="Cambria" w:hAnsi="Cambria" w:cs="Times New Roman"/>
      <w:b/>
      <w:bCs/>
      <w:kern w:val="2"/>
      <w:sz w:val="32"/>
      <w:szCs w:val="32"/>
    </w:rPr>
  </w:style>
  <w:style w:type="character" w:customStyle="1" w:styleId="90">
    <w:name w:val="批注主题 字符"/>
    <w:link w:val="38"/>
    <w:autoRedefine/>
    <w:semiHidden/>
    <w:qFormat/>
    <w:uiPriority w:val="99"/>
    <w:rPr>
      <w:rFonts w:ascii="Times New Roman" w:hAnsi="Times New Roman"/>
      <w:b/>
      <w:bCs/>
      <w:kern w:val="2"/>
      <w:sz w:val="21"/>
      <w:szCs w:val="24"/>
    </w:rPr>
  </w:style>
  <w:style w:type="paragraph" w:customStyle="1" w:styleId="91">
    <w:name w:val="正文首行缩进 21"/>
    <w:basedOn w:val="19"/>
    <w:link w:val="92"/>
    <w:autoRedefine/>
    <w:unhideWhenUsed/>
    <w:qFormat/>
    <w:uiPriority w:val="99"/>
    <w:pPr>
      <w:spacing w:after="120"/>
      <w:ind w:left="420" w:leftChars="200" w:firstLine="420" w:firstLineChars="200"/>
    </w:pPr>
    <w:rPr>
      <w:sz w:val="21"/>
      <w:szCs w:val="24"/>
    </w:rPr>
  </w:style>
  <w:style w:type="character" w:customStyle="1" w:styleId="92">
    <w:name w:val="正文首行缩进 2 字符"/>
    <w:link w:val="91"/>
    <w:autoRedefine/>
    <w:semiHidden/>
    <w:qFormat/>
    <w:locked/>
    <w:uiPriority w:val="99"/>
    <w:rPr>
      <w:rFonts w:ascii="仿宋_GB2312" w:eastAsia="仿宋_GB2312"/>
      <w:sz w:val="21"/>
      <w:szCs w:val="24"/>
    </w:rPr>
  </w:style>
  <w:style w:type="character" w:customStyle="1" w:styleId="93">
    <w:name w:val="纯文本 字符1"/>
    <w:autoRedefine/>
    <w:qFormat/>
    <w:uiPriority w:val="0"/>
    <w:rPr>
      <w:rFonts w:ascii="宋体" w:hAnsi="Courier New"/>
    </w:rPr>
  </w:style>
  <w:style w:type="character" w:customStyle="1" w:styleId="94">
    <w:name w:val="批注文字 Char1"/>
    <w:autoRedefine/>
    <w:qFormat/>
    <w:locked/>
    <w:uiPriority w:val="0"/>
    <w:rPr>
      <w:rFonts w:ascii="Times New Roman" w:hAnsi="Times New Roman"/>
      <w:kern w:val="2"/>
      <w:sz w:val="21"/>
      <w:szCs w:val="24"/>
    </w:rPr>
  </w:style>
  <w:style w:type="character" w:customStyle="1" w:styleId="95">
    <w:name w:val="headline-content4"/>
    <w:autoRedefine/>
    <w:qFormat/>
    <w:uiPriority w:val="0"/>
  </w:style>
  <w:style w:type="character" w:customStyle="1" w:styleId="96">
    <w:name w:val="批注文字 字符"/>
    <w:autoRedefine/>
    <w:qFormat/>
    <w:uiPriority w:val="0"/>
    <w:rPr>
      <w:rFonts w:ascii="Times New Roman" w:hAnsi="Times New Roman"/>
      <w:kern w:val="2"/>
      <w:sz w:val="21"/>
      <w:szCs w:val="24"/>
    </w:rPr>
  </w:style>
  <w:style w:type="character" w:customStyle="1" w:styleId="97">
    <w:name w:val="标题 5 Char"/>
    <w:autoRedefine/>
    <w:qFormat/>
    <w:uiPriority w:val="9"/>
    <w:rPr>
      <w:b/>
      <w:kern w:val="2"/>
      <w:sz w:val="28"/>
      <w:szCs w:val="24"/>
    </w:rPr>
  </w:style>
  <w:style w:type="character" w:customStyle="1" w:styleId="9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9">
    <w:name w:val="批注文字 Char"/>
    <w:autoRedefine/>
    <w:qFormat/>
    <w:uiPriority w:val="0"/>
    <w:rPr>
      <w:rFonts w:ascii="Times New Roman" w:hAnsi="Times New Roman"/>
      <w:kern w:val="2"/>
      <w:sz w:val="21"/>
      <w:szCs w:val="24"/>
    </w:rPr>
  </w:style>
  <w:style w:type="character" w:customStyle="1" w:styleId="100">
    <w:name w:val="标题 1 字符"/>
    <w:autoRedefine/>
    <w:qFormat/>
    <w:uiPriority w:val="9"/>
    <w:rPr>
      <w:rFonts w:ascii="Times New Roman" w:hAnsi="Times New Roman" w:eastAsia="宋体" w:cs="Times New Roman"/>
      <w:b/>
      <w:bCs/>
      <w:kern w:val="44"/>
      <w:sz w:val="44"/>
      <w:szCs w:val="44"/>
    </w:rPr>
  </w:style>
  <w:style w:type="character" w:customStyle="1" w:styleId="101">
    <w:name w:val="apple-style-span"/>
    <w:autoRedefine/>
    <w:qFormat/>
    <w:uiPriority w:val="0"/>
  </w:style>
  <w:style w:type="character" w:customStyle="1" w:styleId="102">
    <w:name w:val="正文文本缩进 字符"/>
    <w:autoRedefine/>
    <w:qFormat/>
    <w:uiPriority w:val="0"/>
    <w:rPr>
      <w:rFonts w:ascii="仿宋_GB2312" w:hAnsi="Times New Roman" w:eastAsia="仿宋_GB2312" w:cs="Times New Roman"/>
      <w:sz w:val="32"/>
      <w:szCs w:val="20"/>
    </w:rPr>
  </w:style>
  <w:style w:type="character" w:customStyle="1" w:styleId="103">
    <w:name w:val="case31"/>
    <w:autoRedefine/>
    <w:qFormat/>
    <w:uiPriority w:val="0"/>
    <w:rPr>
      <w:rFonts w:hint="default"/>
      <w:sz w:val="21"/>
      <w:szCs w:val="21"/>
    </w:rPr>
  </w:style>
  <w:style w:type="character" w:customStyle="1" w:styleId="104">
    <w:name w:val="纯文本 字符"/>
    <w:autoRedefine/>
    <w:qFormat/>
    <w:uiPriority w:val="99"/>
    <w:rPr>
      <w:rFonts w:ascii="宋体" w:hAnsi="Courier New" w:eastAsia="宋体" w:cs="Courier New"/>
      <w:szCs w:val="21"/>
    </w:rPr>
  </w:style>
  <w:style w:type="character" w:customStyle="1" w:styleId="105">
    <w:name w:val="textcontents"/>
    <w:autoRedefine/>
    <w:qFormat/>
    <w:uiPriority w:val="0"/>
  </w:style>
  <w:style w:type="character" w:customStyle="1" w:styleId="106">
    <w:name w:val="普通文字 Char Char2"/>
    <w:autoRedefine/>
    <w:qFormat/>
    <w:uiPriority w:val="0"/>
    <w:rPr>
      <w:rFonts w:ascii="宋体" w:hAnsi="Courier New" w:eastAsia="宋体"/>
      <w:kern w:val="2"/>
      <w:sz w:val="21"/>
      <w:lang w:val="en-US" w:eastAsia="zh-CN" w:bidi="ar-SA"/>
    </w:rPr>
  </w:style>
  <w:style w:type="paragraph" w:customStyle="1" w:styleId="107">
    <w:name w:val="正文段"/>
    <w:basedOn w:val="1"/>
    <w:autoRedefine/>
    <w:qFormat/>
    <w:uiPriority w:val="0"/>
    <w:pPr>
      <w:widowControl/>
      <w:snapToGrid w:val="0"/>
      <w:spacing w:after="50" w:afterLines="50"/>
      <w:ind w:firstLine="200" w:firstLineChars="200"/>
    </w:pPr>
    <w:rPr>
      <w:kern w:val="0"/>
      <w:sz w:val="24"/>
      <w:szCs w:val="20"/>
    </w:rPr>
  </w:style>
  <w:style w:type="paragraph" w:customStyle="1" w:styleId="108">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默认段落字体 Para Char Char Char Char Char Char Char Char Char1 Char Char Char Char"/>
    <w:basedOn w:val="1"/>
    <w:autoRedefine/>
    <w:qFormat/>
    <w:uiPriority w:val="0"/>
    <w:rPr>
      <w:rFonts w:ascii="Tahoma" w:hAnsi="Tahoma"/>
      <w:sz w:val="24"/>
      <w:szCs w:val="20"/>
    </w:rPr>
  </w:style>
  <w:style w:type="paragraph" w:customStyle="1" w:styleId="110">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1">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13">
    <w:name w:val="Table Paragraph"/>
    <w:basedOn w:val="1"/>
    <w:autoRedefine/>
    <w:qFormat/>
    <w:uiPriority w:val="1"/>
    <w:pPr>
      <w:jc w:val="left"/>
    </w:pPr>
    <w:rPr>
      <w:rFonts w:ascii="Calibri" w:hAnsi="Calibri"/>
      <w:kern w:val="0"/>
      <w:sz w:val="22"/>
      <w:szCs w:val="22"/>
      <w:lang w:eastAsia="en-US"/>
    </w:rPr>
  </w:style>
  <w:style w:type="paragraph" w:customStyle="1" w:styleId="114">
    <w:name w:val="Char1"/>
    <w:basedOn w:val="1"/>
    <w:autoRedefine/>
    <w:qFormat/>
    <w:uiPriority w:val="0"/>
    <w:rPr>
      <w:szCs w:val="21"/>
    </w:rPr>
  </w:style>
  <w:style w:type="paragraph" w:customStyle="1" w:styleId="115">
    <w:name w:val="正文首行缩进两字符"/>
    <w:basedOn w:val="1"/>
    <w:autoRedefine/>
    <w:qFormat/>
    <w:uiPriority w:val="0"/>
    <w:pPr>
      <w:spacing w:line="360" w:lineRule="auto"/>
      <w:ind w:firstLine="200" w:firstLineChars="200"/>
    </w:pPr>
  </w:style>
  <w:style w:type="paragraph" w:customStyle="1" w:styleId="116">
    <w:name w:val="表格"/>
    <w:basedOn w:val="1"/>
    <w:autoRedefine/>
    <w:qFormat/>
    <w:uiPriority w:val="0"/>
    <w:pPr>
      <w:spacing w:line="400" w:lineRule="exact"/>
    </w:pPr>
    <w:rPr>
      <w:sz w:val="24"/>
    </w:rPr>
  </w:style>
  <w:style w:type="paragraph" w:customStyle="1" w:styleId="117">
    <w:name w:val="样式 首行缩进:  2 字符"/>
    <w:basedOn w:val="1"/>
    <w:autoRedefine/>
    <w:qFormat/>
    <w:uiPriority w:val="0"/>
    <w:pPr>
      <w:spacing w:line="400" w:lineRule="exact"/>
      <w:ind w:firstLine="200" w:firstLineChars="200"/>
    </w:pPr>
    <w:rPr>
      <w:rFonts w:cs="宋体"/>
      <w:sz w:val="24"/>
    </w:rPr>
  </w:style>
  <w:style w:type="paragraph" w:customStyle="1" w:styleId="118">
    <w:name w:val="纯文本1"/>
    <w:basedOn w:val="1"/>
    <w:autoRedefine/>
    <w:qFormat/>
    <w:uiPriority w:val="0"/>
    <w:rPr>
      <w:rFonts w:ascii="宋体" w:hAnsi="Courier New" w:cs="Century"/>
      <w:szCs w:val="21"/>
    </w:rPr>
  </w:style>
  <w:style w:type="paragraph" w:customStyle="1" w:styleId="11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20">
    <w:name w:val="列出段落1"/>
    <w:basedOn w:val="1"/>
    <w:autoRedefine/>
    <w:qFormat/>
    <w:uiPriority w:val="34"/>
    <w:pPr>
      <w:ind w:firstLine="420" w:firstLineChars="200"/>
    </w:pPr>
  </w:style>
  <w:style w:type="table" w:customStyle="1" w:styleId="121">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22">
    <w:name w:val="纯文本 Char1"/>
    <w:autoRedefine/>
    <w:qFormat/>
    <w:uiPriority w:val="99"/>
    <w:rPr>
      <w:rFonts w:ascii="宋体" w:hAnsi="Courier New" w:eastAsia="宋体" w:cs="Courier New"/>
      <w:szCs w:val="21"/>
    </w:rPr>
  </w:style>
  <w:style w:type="character" w:customStyle="1" w:styleId="123">
    <w:name w:val="标题 5 Char1"/>
    <w:autoRedefine/>
    <w:qFormat/>
    <w:uiPriority w:val="0"/>
    <w:rPr>
      <w:b/>
      <w:kern w:val="2"/>
      <w:sz w:val="28"/>
      <w:szCs w:val="24"/>
    </w:rPr>
  </w:style>
  <w:style w:type="character" w:customStyle="1" w:styleId="124">
    <w:name w:val="批注文字 字符2"/>
    <w:autoRedefine/>
    <w:qFormat/>
    <w:uiPriority w:val="0"/>
    <w:rPr>
      <w:rFonts w:ascii="Times New Roman" w:hAnsi="Times New Roman"/>
      <w:kern w:val="2"/>
      <w:sz w:val="21"/>
      <w:szCs w:val="24"/>
    </w:rPr>
  </w:style>
  <w:style w:type="character" w:customStyle="1" w:styleId="125">
    <w:name w:val="纯文本 Char"/>
    <w:autoRedefine/>
    <w:qFormat/>
    <w:uiPriority w:val="99"/>
    <w:rPr>
      <w:rFonts w:ascii="宋体" w:hAnsi="Courier New" w:eastAsia="宋体" w:cs="Courier New"/>
      <w:szCs w:val="21"/>
    </w:rPr>
  </w:style>
  <w:style w:type="paragraph" w:customStyle="1" w:styleId="126">
    <w:name w:val="正文2"/>
    <w:basedOn w:val="1"/>
    <w:autoRedefine/>
    <w:qFormat/>
    <w:uiPriority w:val="0"/>
    <w:pPr>
      <w:adjustRightInd w:val="0"/>
      <w:spacing w:before="156" w:line="360" w:lineRule="auto"/>
      <w:ind w:firstLine="510" w:firstLineChars="200"/>
    </w:pPr>
    <w:rPr>
      <w:sz w:val="24"/>
      <w:szCs w:val="20"/>
    </w:rPr>
  </w:style>
  <w:style w:type="character" w:customStyle="1" w:styleId="127">
    <w:name w:val="标题 1 字符1"/>
    <w:autoRedefine/>
    <w:qFormat/>
    <w:uiPriority w:val="0"/>
    <w:rPr>
      <w:rFonts w:ascii="Times New Roman" w:hAnsi="Times New Roman" w:eastAsia="宋体" w:cs="Times New Roman"/>
      <w:b/>
      <w:bCs/>
      <w:kern w:val="44"/>
      <w:sz w:val="44"/>
      <w:szCs w:val="44"/>
    </w:rPr>
  </w:style>
  <w:style w:type="character" w:customStyle="1" w:styleId="128">
    <w:name w:val="纯文本 字符2"/>
    <w:autoRedefine/>
    <w:qFormat/>
    <w:uiPriority w:val="0"/>
    <w:rPr>
      <w:rFonts w:ascii="宋体" w:hAnsi="Courier New" w:eastAsia="宋体" w:cs="Courier New"/>
      <w:szCs w:val="21"/>
    </w:rPr>
  </w:style>
  <w:style w:type="paragraph" w:customStyle="1" w:styleId="12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30">
    <w:name w:val="标题 5 字符"/>
    <w:autoRedefine/>
    <w:qFormat/>
    <w:uiPriority w:val="0"/>
    <w:rPr>
      <w:b/>
      <w:kern w:val="2"/>
      <w:sz w:val="28"/>
      <w:szCs w:val="24"/>
    </w:rPr>
  </w:style>
  <w:style w:type="character" w:customStyle="1" w:styleId="131">
    <w:name w:val="正文文本缩进 字符1"/>
    <w:autoRedefine/>
    <w:qFormat/>
    <w:uiPriority w:val="0"/>
    <w:rPr>
      <w:rFonts w:ascii="仿宋_GB2312" w:hAnsi="Times New Roman" w:eastAsia="仿宋_GB2312" w:cs="Times New Roman"/>
      <w:sz w:val="32"/>
      <w:szCs w:val="20"/>
    </w:rPr>
  </w:style>
  <w:style w:type="character" w:customStyle="1" w:styleId="132">
    <w:name w:val="纯文本 字符3"/>
    <w:autoRedefine/>
    <w:qFormat/>
    <w:uiPriority w:val="0"/>
    <w:rPr>
      <w:rFonts w:ascii="宋体" w:hAnsi="Courier New" w:eastAsia="宋体" w:cs="Times New Roman"/>
      <w:kern w:val="0"/>
      <w:sz w:val="20"/>
      <w:szCs w:val="21"/>
    </w:rPr>
  </w:style>
  <w:style w:type="character" w:customStyle="1" w:styleId="133">
    <w:name w:val="标题 4 Char"/>
    <w:autoRedefine/>
    <w:semiHidden/>
    <w:qFormat/>
    <w:uiPriority w:val="9"/>
    <w:rPr>
      <w:rFonts w:ascii="Calibri Light" w:hAnsi="Calibri Light" w:eastAsia="宋体" w:cs="Times New Roman"/>
      <w:b/>
      <w:bCs/>
      <w:kern w:val="2"/>
      <w:sz w:val="28"/>
      <w:szCs w:val="28"/>
    </w:rPr>
  </w:style>
  <w:style w:type="character" w:customStyle="1" w:styleId="134">
    <w:name w:val="正文首行缩进 2 Char"/>
    <w:autoRedefine/>
    <w:semiHidden/>
    <w:qFormat/>
    <w:uiPriority w:val="99"/>
    <w:rPr>
      <w:rFonts w:ascii="仿宋_GB2312" w:hAnsi="Times New Roman" w:eastAsia="仿宋_GB2312" w:cs="Times New Roman"/>
      <w:kern w:val="2"/>
      <w:sz w:val="21"/>
      <w:szCs w:val="24"/>
    </w:rPr>
  </w:style>
  <w:style w:type="character" w:customStyle="1" w:styleId="135">
    <w:name w:val="文档结构图 Char"/>
    <w:autoRedefine/>
    <w:semiHidden/>
    <w:qFormat/>
    <w:uiPriority w:val="99"/>
    <w:rPr>
      <w:rFonts w:ascii="Microsoft YaHei UI" w:eastAsia="Microsoft YaHei UI"/>
      <w:kern w:val="2"/>
      <w:sz w:val="18"/>
      <w:szCs w:val="18"/>
    </w:rPr>
  </w:style>
  <w:style w:type="character" w:customStyle="1" w:styleId="136">
    <w:name w:val="无间隔 字符"/>
    <w:link w:val="137"/>
    <w:autoRedefine/>
    <w:qFormat/>
    <w:locked/>
    <w:uiPriority w:val="0"/>
    <w:rPr>
      <w:kern w:val="2"/>
      <w:sz w:val="21"/>
      <w:szCs w:val="24"/>
      <w:lang w:val="en-US" w:eastAsia="zh-CN" w:bidi="ar-SA"/>
    </w:rPr>
  </w:style>
  <w:style w:type="paragraph" w:styleId="137">
    <w:name w:val="No Spacing"/>
    <w:link w:val="13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msonormal"/>
    <w:basedOn w:val="1"/>
    <w:autoRedefine/>
    <w:qFormat/>
    <w:uiPriority w:val="0"/>
    <w:pPr>
      <w:widowControl/>
      <w:spacing w:before="100" w:beforeAutospacing="1" w:after="100" w:afterAutospacing="1" w:line="400" w:lineRule="exact"/>
      <w:jc w:val="left"/>
    </w:pPr>
    <w:rPr>
      <w:rFonts w:ascii="宋体" w:hAnsi="宋体"/>
      <w:kern w:val="0"/>
      <w:sz w:val="24"/>
    </w:rPr>
  </w:style>
  <w:style w:type="paragraph" w:customStyle="1" w:styleId="139">
    <w:name w:val="_Style 2"/>
    <w:basedOn w:val="1"/>
    <w:autoRedefine/>
    <w:qFormat/>
    <w:uiPriority w:val="34"/>
    <w:pPr>
      <w:adjustRightInd w:val="0"/>
      <w:snapToGrid w:val="0"/>
      <w:spacing w:before="120" w:after="120" w:line="360" w:lineRule="auto"/>
      <w:ind w:left="578" w:firstLine="420" w:firstLineChars="200"/>
    </w:pPr>
    <w:rPr>
      <w:sz w:val="24"/>
      <w:lang w:eastAsia="zh-TW"/>
    </w:rPr>
  </w:style>
  <w:style w:type="paragraph" w:customStyle="1" w:styleId="140">
    <w:name w:val="List Paragraph1"/>
    <w:basedOn w:val="1"/>
    <w:autoRedefine/>
    <w:qFormat/>
    <w:uiPriority w:val="0"/>
    <w:pPr>
      <w:spacing w:line="400" w:lineRule="exact"/>
      <w:ind w:firstLine="420" w:firstLineChars="200"/>
    </w:pPr>
    <w:rPr>
      <w:szCs w:val="20"/>
    </w:rPr>
  </w:style>
  <w:style w:type="paragraph" w:customStyle="1" w:styleId="141">
    <w:name w:val="正文（首行不缩进）"/>
    <w:basedOn w:val="1"/>
    <w:autoRedefine/>
    <w:qFormat/>
    <w:uiPriority w:val="99"/>
  </w:style>
  <w:style w:type="paragraph" w:customStyle="1" w:styleId="142">
    <w:name w:val="Char Char Char Char Char Char Char"/>
    <w:basedOn w:val="1"/>
    <w:autoRedefine/>
    <w:qFormat/>
    <w:uiPriority w:val="99"/>
    <w:rPr>
      <w:rFonts w:ascii="Calibri" w:hAnsi="Calibri"/>
    </w:rPr>
  </w:style>
  <w:style w:type="paragraph" w:customStyle="1" w:styleId="143">
    <w:name w:val="_Style 1"/>
    <w:basedOn w:val="1"/>
    <w:autoRedefine/>
    <w:qFormat/>
    <w:uiPriority w:val="34"/>
    <w:pPr>
      <w:ind w:firstLine="420" w:firstLineChars="200"/>
    </w:pPr>
    <w:rPr>
      <w:rFonts w:ascii="Calibri" w:hAnsi="Calibri"/>
    </w:rPr>
  </w:style>
  <w:style w:type="paragraph" w:customStyle="1" w:styleId="144">
    <w:name w:val="纯文本11"/>
    <w:basedOn w:val="1"/>
    <w:autoRedefine/>
    <w:qFormat/>
    <w:uiPriority w:val="99"/>
    <w:pPr>
      <w:suppressAutoHyphens/>
    </w:pPr>
    <w:rPr>
      <w:rFonts w:ascii="宋体" w:hAnsi="宋体" w:cs="Courier New"/>
      <w:szCs w:val="21"/>
      <w:lang w:eastAsia="ar-SA"/>
    </w:rPr>
  </w:style>
  <w:style w:type="paragraph" w:customStyle="1" w:styleId="145">
    <w:name w:val="text"/>
    <w:basedOn w:val="1"/>
    <w:autoRedefine/>
    <w:qFormat/>
    <w:uiPriority w:val="99"/>
    <w:pPr>
      <w:widowControl/>
      <w:ind w:firstLine="200" w:firstLineChars="200"/>
      <w:jc w:val="left"/>
    </w:pPr>
    <w:rPr>
      <w:rFonts w:ascii="Arial" w:hAnsi="Arial"/>
      <w:kern w:val="0"/>
      <w:sz w:val="24"/>
      <w:szCs w:val="20"/>
      <w:lang w:eastAsia="en-US"/>
    </w:rPr>
  </w:style>
  <w:style w:type="paragraph" w:customStyle="1" w:styleId="146">
    <w:name w:val="herd"/>
    <w:basedOn w:val="1"/>
    <w:autoRedefine/>
    <w:qFormat/>
    <w:uiPriority w:val="99"/>
    <w:pPr>
      <w:autoSpaceDE w:val="0"/>
      <w:autoSpaceDN w:val="0"/>
      <w:adjustRightInd w:val="0"/>
      <w:spacing w:line="360" w:lineRule="auto"/>
      <w:ind w:firstLine="562" w:firstLineChars="200"/>
    </w:pPr>
    <w:rPr>
      <w:rFonts w:ascii="楷体_GB2312"/>
    </w:rPr>
  </w:style>
  <w:style w:type="paragraph" w:customStyle="1" w:styleId="147">
    <w:name w:val="缺省文本"/>
    <w:basedOn w:val="1"/>
    <w:autoRedefine/>
    <w:qFormat/>
    <w:uiPriority w:val="99"/>
    <w:pPr>
      <w:autoSpaceDE w:val="0"/>
      <w:autoSpaceDN w:val="0"/>
      <w:adjustRightInd w:val="0"/>
      <w:jc w:val="left"/>
    </w:pPr>
    <w:rPr>
      <w:kern w:val="0"/>
      <w:sz w:val="24"/>
    </w:rPr>
  </w:style>
  <w:style w:type="character" w:customStyle="1" w:styleId="148">
    <w:name w:val="列出段落 字符"/>
    <w:link w:val="149"/>
    <w:autoRedefine/>
    <w:qFormat/>
    <w:locked/>
    <w:uiPriority w:val="34"/>
    <w:rPr>
      <w:kern w:val="2"/>
      <w:sz w:val="24"/>
    </w:rPr>
  </w:style>
  <w:style w:type="paragraph" w:customStyle="1" w:styleId="149">
    <w:name w:val="列出段落11"/>
    <w:basedOn w:val="1"/>
    <w:link w:val="148"/>
    <w:autoRedefine/>
    <w:qFormat/>
    <w:uiPriority w:val="34"/>
    <w:pPr>
      <w:ind w:firstLine="420" w:firstLineChars="200"/>
    </w:pPr>
    <w:rPr>
      <w:sz w:val="24"/>
      <w:szCs w:val="20"/>
    </w:rPr>
  </w:style>
  <w:style w:type="paragraph" w:customStyle="1" w:styleId="150">
    <w:name w:val="_Style 57"/>
    <w:basedOn w:val="1"/>
    <w:next w:val="120"/>
    <w:autoRedefine/>
    <w:qFormat/>
    <w:uiPriority w:val="34"/>
    <w:pPr>
      <w:spacing w:line="400" w:lineRule="exact"/>
      <w:ind w:firstLine="420" w:firstLineChars="200"/>
    </w:pPr>
  </w:style>
  <w:style w:type="paragraph" w:customStyle="1" w:styleId="151">
    <w:name w:val="_Style 4"/>
    <w:basedOn w:val="1"/>
    <w:autoRedefine/>
    <w:qFormat/>
    <w:uiPriority w:val="99"/>
    <w:pPr>
      <w:ind w:firstLine="420" w:firstLineChars="200"/>
    </w:pPr>
  </w:style>
  <w:style w:type="character" w:customStyle="1" w:styleId="152">
    <w:name w:val="彩色列表 - 强调文字颜色 1 Char"/>
    <w:link w:val="153"/>
    <w:autoRedefine/>
    <w:qFormat/>
    <w:locked/>
    <w:uiPriority w:val="34"/>
    <w:rPr>
      <w:kern w:val="2"/>
      <w:sz w:val="21"/>
      <w:szCs w:val="24"/>
    </w:rPr>
  </w:style>
  <w:style w:type="paragraph" w:customStyle="1" w:styleId="153">
    <w:name w:val="彩色列表 - 强调文字颜色 11"/>
    <w:basedOn w:val="1"/>
    <w:link w:val="152"/>
    <w:autoRedefine/>
    <w:qFormat/>
    <w:uiPriority w:val="34"/>
    <w:pPr>
      <w:ind w:firstLine="420" w:firstLineChars="200"/>
    </w:pPr>
  </w:style>
  <w:style w:type="character" w:customStyle="1" w:styleId="154">
    <w:name w:val="样式1 Char Char"/>
    <w:link w:val="155"/>
    <w:autoRedefine/>
    <w:qFormat/>
    <w:locked/>
    <w:uiPriority w:val="0"/>
    <w:rPr>
      <w:kern w:val="2"/>
      <w:sz w:val="24"/>
      <w:szCs w:val="24"/>
    </w:rPr>
  </w:style>
  <w:style w:type="paragraph" w:customStyle="1" w:styleId="155">
    <w:name w:val="样式1"/>
    <w:basedOn w:val="1"/>
    <w:link w:val="154"/>
    <w:autoRedefine/>
    <w:qFormat/>
    <w:uiPriority w:val="0"/>
    <w:pPr>
      <w:numPr>
        <w:ilvl w:val="2"/>
        <w:numId w:val="1"/>
      </w:numPr>
      <w:spacing w:line="480" w:lineRule="exact"/>
      <w:ind w:firstLine="200" w:firstLineChars="200"/>
    </w:pPr>
    <w:rPr>
      <w:sz w:val="24"/>
    </w:rPr>
  </w:style>
  <w:style w:type="paragraph" w:customStyle="1" w:styleId="156">
    <w:name w:val="列出段落2"/>
    <w:basedOn w:val="1"/>
    <w:autoRedefine/>
    <w:qFormat/>
    <w:uiPriority w:val="0"/>
    <w:pPr>
      <w:spacing w:line="480" w:lineRule="exact"/>
      <w:ind w:firstLine="420" w:firstLineChars="200"/>
    </w:pPr>
    <w:rPr>
      <w:sz w:val="24"/>
    </w:rPr>
  </w:style>
  <w:style w:type="paragraph" w:customStyle="1" w:styleId="157">
    <w:name w:val="Default"/>
    <w:autoRedefine/>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158">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9">
    <w:name w:val="Medium Grid 2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60">
    <w:name w:val="列出段落3"/>
    <w:basedOn w:val="1"/>
    <w:autoRedefine/>
    <w:qFormat/>
    <w:uiPriority w:val="99"/>
    <w:pPr>
      <w:spacing w:line="480" w:lineRule="exact"/>
      <w:ind w:firstLine="420" w:firstLineChars="200"/>
    </w:pPr>
    <w:rPr>
      <w:sz w:val="24"/>
    </w:rPr>
  </w:style>
  <w:style w:type="paragraph" w:customStyle="1" w:styleId="161">
    <w:name w:val="样式 正文缩进 + 首行缩进:  2 字符"/>
    <w:basedOn w:val="7"/>
    <w:autoRedefine/>
    <w:qFormat/>
    <w:uiPriority w:val="0"/>
    <w:pPr>
      <w:spacing w:line="360" w:lineRule="auto"/>
      <w:ind w:firstLine="200" w:firstLineChars="200"/>
    </w:pPr>
    <w:rPr>
      <w:rFonts w:ascii="Calibri" w:hAnsi="Calibri" w:cs="宋体"/>
      <w:sz w:val="24"/>
    </w:rPr>
  </w:style>
  <w:style w:type="paragraph" w:customStyle="1" w:styleId="162">
    <w:name w:val="表"/>
    <w:basedOn w:val="1"/>
    <w:autoRedefine/>
    <w:qFormat/>
    <w:uiPriority w:val="99"/>
    <w:pPr>
      <w:spacing w:line="600" w:lineRule="exact"/>
      <w:jc w:val="center"/>
    </w:pPr>
    <w:rPr>
      <w:rFonts w:ascii="Calibri" w:hAnsi="Calibri" w:eastAsia="仿宋"/>
      <w:szCs w:val="22"/>
    </w:rPr>
  </w:style>
  <w:style w:type="paragraph" w:customStyle="1" w:styleId="163">
    <w:name w:val="正文 A"/>
    <w:autoRedefine/>
    <w:qFormat/>
    <w:uiPriority w:val="0"/>
    <w:pPr>
      <w:widowControl w:val="0"/>
      <w:spacing w:line="400" w:lineRule="exact"/>
      <w:jc w:val="both"/>
    </w:pPr>
    <w:rPr>
      <w:rFonts w:ascii="Calibri" w:hAnsi="Calibri" w:eastAsia="Calibri" w:cs="Calibri"/>
      <w:color w:val="000000"/>
      <w:kern w:val="2"/>
      <w:sz w:val="21"/>
      <w:szCs w:val="21"/>
      <w:u w:color="000000"/>
      <w:lang w:val="en-US" w:eastAsia="zh-CN" w:bidi="ar-SA"/>
    </w:rPr>
  </w:style>
  <w:style w:type="paragraph" w:customStyle="1" w:styleId="164">
    <w:name w:val="xl159"/>
    <w:basedOn w:val="1"/>
    <w:autoRedefine/>
    <w:qFormat/>
    <w:uiPriority w:val="0"/>
    <w:pPr>
      <w:widowControl/>
      <w:pBdr>
        <w:left w:val="dotted" w:color="808080" w:sz="4" w:space="0"/>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65">
    <w:name w:val="xl7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8"/>
      <w:szCs w:val="28"/>
    </w:rPr>
  </w:style>
  <w:style w:type="character" w:customStyle="1" w:styleId="166">
    <w:name w:val="标准文本 Char Char"/>
    <w:link w:val="167"/>
    <w:autoRedefine/>
    <w:qFormat/>
    <w:locked/>
    <w:uiPriority w:val="0"/>
    <w:rPr>
      <w:kern w:val="2"/>
      <w:sz w:val="24"/>
    </w:rPr>
  </w:style>
  <w:style w:type="paragraph" w:customStyle="1" w:styleId="167">
    <w:name w:val="标准文本"/>
    <w:basedOn w:val="1"/>
    <w:link w:val="166"/>
    <w:autoRedefine/>
    <w:qFormat/>
    <w:uiPriority w:val="0"/>
    <w:pPr>
      <w:spacing w:line="360" w:lineRule="auto"/>
      <w:ind w:firstLine="480" w:firstLineChars="200"/>
    </w:pPr>
    <w:rPr>
      <w:sz w:val="24"/>
      <w:szCs w:val="20"/>
    </w:rPr>
  </w:style>
  <w:style w:type="paragraph" w:customStyle="1" w:styleId="168">
    <w:name w:val="Char28"/>
    <w:basedOn w:val="1"/>
    <w:autoRedefine/>
    <w:qFormat/>
    <w:uiPriority w:val="0"/>
    <w:pPr>
      <w:widowControl/>
      <w:spacing w:after="160" w:line="240" w:lineRule="exact"/>
      <w:ind w:firstLine="480" w:firstLineChars="200"/>
      <w:jc w:val="left"/>
    </w:pPr>
    <w:rPr>
      <w:rFonts w:ascii="Verdana" w:hAnsi="Verdana"/>
      <w:kern w:val="0"/>
      <w:sz w:val="20"/>
      <w:szCs w:val="20"/>
      <w:lang w:val="zh-CN" w:eastAsia="en-US"/>
    </w:rPr>
  </w:style>
  <w:style w:type="paragraph" w:customStyle="1" w:styleId="169">
    <w:name w:val="xl128"/>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170">
    <w:name w:val="xl124"/>
    <w:basedOn w:val="1"/>
    <w:autoRedefine/>
    <w:qFormat/>
    <w:uiPriority w:val="0"/>
    <w:pPr>
      <w:widowControl/>
      <w:pBdr>
        <w:top w:val="single" w:color="auto" w:sz="4" w:space="0"/>
        <w:left w:val="single" w:color="auto" w:sz="4" w:space="0"/>
        <w:bottom w:val="single" w:color="auto" w:sz="8" w:space="0"/>
        <w:right w:val="single" w:color="auto" w:sz="8"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character" w:customStyle="1" w:styleId="171">
    <w:name w:val="_正文段落 Char"/>
    <w:link w:val="172"/>
    <w:autoRedefine/>
    <w:qFormat/>
    <w:locked/>
    <w:uiPriority w:val="0"/>
    <w:rPr>
      <w:sz w:val="24"/>
      <w:szCs w:val="24"/>
    </w:rPr>
  </w:style>
  <w:style w:type="paragraph" w:customStyle="1" w:styleId="172">
    <w:name w:val="_正文段落"/>
    <w:basedOn w:val="1"/>
    <w:link w:val="171"/>
    <w:autoRedefine/>
    <w:qFormat/>
    <w:uiPriority w:val="0"/>
    <w:pPr>
      <w:spacing w:beforeLines="15" w:line="360" w:lineRule="auto"/>
      <w:ind w:firstLine="200" w:firstLineChars="200"/>
    </w:pPr>
    <w:rPr>
      <w:kern w:val="0"/>
      <w:sz w:val="24"/>
    </w:rPr>
  </w:style>
  <w:style w:type="paragraph" w:customStyle="1" w:styleId="173">
    <w:name w:val="xl145"/>
    <w:basedOn w:val="1"/>
    <w:autoRedefine/>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74">
    <w:name w:val="xl144"/>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75">
    <w:name w:val="xl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76">
    <w:name w:val="xl149"/>
    <w:basedOn w:val="1"/>
    <w:autoRedefine/>
    <w:qFormat/>
    <w:uiPriority w:val="0"/>
    <w:pPr>
      <w:widowControl/>
      <w:pBdr>
        <w:top w:val="single" w:color="auto" w:sz="4" w:space="0"/>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77">
    <w:name w:val="Char Char1"/>
    <w:basedOn w:val="1"/>
    <w:autoRedefine/>
    <w:qFormat/>
    <w:uiPriority w:val="0"/>
    <w:pPr>
      <w:widowControl/>
      <w:spacing w:after="160" w:line="240" w:lineRule="exact"/>
      <w:ind w:firstLine="480" w:firstLineChars="200"/>
      <w:jc w:val="left"/>
    </w:pPr>
    <w:rPr>
      <w:rFonts w:ascii="Verdana" w:hAnsi="Verdana" w:eastAsia="仿宋_GB2312"/>
      <w:kern w:val="0"/>
      <w:sz w:val="24"/>
      <w:szCs w:val="20"/>
      <w:lang w:val="zh-CN" w:eastAsia="en-US"/>
    </w:rPr>
  </w:style>
  <w:style w:type="paragraph" w:customStyle="1" w:styleId="178">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79">
    <w:name w:val="xl115"/>
    <w:basedOn w:val="1"/>
    <w:autoRedefine/>
    <w:qFormat/>
    <w:uiPriority w:val="0"/>
    <w:pPr>
      <w:widowControl/>
      <w:pBdr>
        <w:top w:val="single" w:color="A6A6A6" w:sz="4" w:space="0"/>
        <w:left w:val="single" w:color="auto" w:sz="8"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80">
    <w:name w:val="xl6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8"/>
      <w:szCs w:val="28"/>
    </w:rPr>
  </w:style>
  <w:style w:type="paragraph" w:customStyle="1" w:styleId="181">
    <w:name w:val="xl137"/>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character" w:customStyle="1" w:styleId="182">
    <w:name w:val="aaaaaaaaaaaaaaaaa Char"/>
    <w:link w:val="183"/>
    <w:autoRedefine/>
    <w:qFormat/>
    <w:locked/>
    <w:uiPriority w:val="0"/>
    <w:rPr>
      <w:rFonts w:ascii="仿宋_GB2312" w:eastAsia="仿宋_GB2312"/>
      <w:kern w:val="2"/>
      <w:sz w:val="24"/>
      <w:szCs w:val="24"/>
    </w:rPr>
  </w:style>
  <w:style w:type="paragraph" w:customStyle="1" w:styleId="183">
    <w:name w:val="aaaaaaaaaaaaaaaaa"/>
    <w:basedOn w:val="91"/>
    <w:link w:val="182"/>
    <w:autoRedefine/>
    <w:qFormat/>
    <w:uiPriority w:val="0"/>
    <w:pPr>
      <w:spacing w:after="0" w:line="360" w:lineRule="auto"/>
      <w:ind w:left="0" w:leftChars="0" w:firstLine="480"/>
    </w:pPr>
    <w:rPr>
      <w:kern w:val="2"/>
      <w:sz w:val="24"/>
    </w:rPr>
  </w:style>
  <w:style w:type="paragraph" w:customStyle="1" w:styleId="184">
    <w:name w:val="xl142"/>
    <w:basedOn w:val="1"/>
    <w:autoRedefine/>
    <w:qFormat/>
    <w:uiPriority w:val="0"/>
    <w:pPr>
      <w:widowControl/>
      <w:pBdr>
        <w:top w:val="single" w:color="auto" w:sz="4" w:space="0"/>
        <w:bottom w:val="single" w:color="auto" w:sz="8" w:space="0"/>
        <w:right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85">
    <w:name w:val="xl6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186">
    <w:name w:val="xl133"/>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187">
    <w:name w:val="Bullets"/>
    <w:autoRedefine/>
    <w:qFormat/>
    <w:uiPriority w:val="0"/>
    <w:pPr>
      <w:spacing w:line="360" w:lineRule="auto"/>
      <w:ind w:firstLine="200"/>
      <w:jc w:val="both"/>
    </w:pPr>
    <w:rPr>
      <w:rFonts w:ascii="Arial" w:hAnsi="Arial" w:eastAsia="Arial Unicode MS" w:cs="Arial Unicode MS"/>
      <w:color w:val="000000"/>
      <w:sz w:val="21"/>
      <w:szCs w:val="21"/>
      <w:u w:color="000000"/>
      <w:lang w:val="en-US" w:eastAsia="zh-CN" w:bidi="ar-SA"/>
    </w:rPr>
  </w:style>
  <w:style w:type="paragraph" w:customStyle="1" w:styleId="188">
    <w:name w:val="xl116"/>
    <w:basedOn w:val="1"/>
    <w:autoRedefine/>
    <w:qFormat/>
    <w:uiPriority w:val="0"/>
    <w:pPr>
      <w:widowControl/>
      <w:pBdr>
        <w:top w:val="single" w:color="A6A6A6" w:sz="4"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89">
    <w:name w:val="xl136"/>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90">
    <w:name w:val="xl134"/>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91">
    <w:name w:val="xl118"/>
    <w:basedOn w:val="1"/>
    <w:autoRedefine/>
    <w:qFormat/>
    <w:uiPriority w:val="0"/>
    <w:pPr>
      <w:widowControl/>
      <w:pBdr>
        <w:top w:val="single" w:color="A6A6A6" w:sz="4" w:space="0"/>
        <w:left w:val="single" w:color="A6A6A6" w:sz="4"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92">
    <w:name w:val="xl130"/>
    <w:basedOn w:val="1"/>
    <w:autoRedefine/>
    <w:qFormat/>
    <w:uiPriority w:val="0"/>
    <w:pPr>
      <w:widowControl/>
      <w:pBdr>
        <w:top w:val="single" w:color="auto" w:sz="4" w:space="0"/>
        <w:left w:val="single" w:color="auto" w:sz="8" w:space="0"/>
        <w:bottom w:val="single" w:color="A6A6A6" w:sz="4" w:space="0"/>
        <w:right w:val="dotted" w:color="808080"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93">
    <w:name w:val="Char Char Char Char"/>
    <w:basedOn w:val="15"/>
    <w:autoRedefine/>
    <w:qFormat/>
    <w:uiPriority w:val="0"/>
    <w:pPr>
      <w:widowControl w:val="0"/>
      <w:shd w:val="clear" w:color="auto" w:fill="000080"/>
      <w:adjustRightInd w:val="0"/>
      <w:snapToGrid w:val="0"/>
      <w:spacing w:line="360" w:lineRule="auto"/>
      <w:ind w:firstLine="480" w:firstLineChars="200"/>
    </w:pPr>
    <w:rPr>
      <w:rFonts w:ascii="Times New Roman" w:hAnsi="Calibri"/>
      <w:sz w:val="21"/>
      <w:szCs w:val="24"/>
    </w:rPr>
  </w:style>
  <w:style w:type="paragraph" w:customStyle="1" w:styleId="194">
    <w:name w:val="xl76"/>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95">
    <w:name w:val="xl123"/>
    <w:basedOn w:val="1"/>
    <w:autoRedefine/>
    <w:qFormat/>
    <w:uiPriority w:val="0"/>
    <w:pPr>
      <w:widowControl/>
      <w:pBdr>
        <w:top w:val="single" w:color="A6A6A6" w:sz="4" w:space="0"/>
        <w:left w:val="single" w:color="A6A6A6" w:sz="4" w:space="0"/>
        <w:bottom w:val="single" w:color="A6A6A6" w:sz="4" w:space="0"/>
        <w:right w:val="single" w:color="auto" w:sz="8"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96">
    <w:name w:val="xl127"/>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197">
    <w:name w:val="一级正文"/>
    <w:basedOn w:val="1"/>
    <w:autoRedefine/>
    <w:qFormat/>
    <w:uiPriority w:val="0"/>
    <w:pPr>
      <w:spacing w:line="360" w:lineRule="auto"/>
      <w:ind w:firstLine="480" w:firstLineChars="200"/>
    </w:pPr>
    <w:rPr>
      <w:sz w:val="24"/>
    </w:rPr>
  </w:style>
  <w:style w:type="paragraph" w:customStyle="1" w:styleId="198">
    <w:name w:val="xl139"/>
    <w:basedOn w:val="1"/>
    <w:autoRedefine/>
    <w:qFormat/>
    <w:uiPriority w:val="0"/>
    <w:pPr>
      <w:widowControl/>
      <w:pBdr>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199">
    <w:name w:val="xl121"/>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00">
    <w:name w:val="浅色网格 - 强调文字颜色 31"/>
    <w:basedOn w:val="1"/>
    <w:autoRedefine/>
    <w:qFormat/>
    <w:uiPriority w:val="0"/>
    <w:pPr>
      <w:ind w:firstLine="420" w:firstLineChars="200"/>
    </w:pPr>
    <w:rPr>
      <w:rFonts w:ascii="Calibri" w:hAnsi="Calibri"/>
      <w:kern w:val="0"/>
      <w:sz w:val="20"/>
      <w:szCs w:val="20"/>
    </w:rPr>
  </w:style>
  <w:style w:type="paragraph" w:customStyle="1" w:styleId="201">
    <w:name w:val="xl122"/>
    <w:basedOn w:val="1"/>
    <w:autoRedefine/>
    <w:qFormat/>
    <w:uiPriority w:val="0"/>
    <w:pPr>
      <w:widowControl/>
      <w:pBdr>
        <w:top w:val="single" w:color="A6A6A6" w:sz="4" w:space="0"/>
        <w:left w:val="single" w:color="A6A6A6" w:sz="4"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character" w:customStyle="1" w:styleId="202">
    <w:name w:val="无间隔 Char"/>
    <w:link w:val="203"/>
    <w:autoRedefine/>
    <w:qFormat/>
    <w:locked/>
    <w:uiPriority w:val="0"/>
    <w:rPr>
      <w:kern w:val="2"/>
      <w:sz w:val="22"/>
      <w:szCs w:val="22"/>
      <w:lang w:val="en-US" w:eastAsia="zh-CN" w:bidi="ar-SA"/>
    </w:rPr>
  </w:style>
  <w:style w:type="paragraph" w:customStyle="1" w:styleId="203">
    <w:name w:val="无间距1"/>
    <w:link w:val="202"/>
    <w:autoRedefine/>
    <w:qFormat/>
    <w:uiPriority w:val="0"/>
    <w:rPr>
      <w:rFonts w:ascii="Times New Roman" w:hAnsi="Times New Roman" w:eastAsia="宋体" w:cs="Times New Roman"/>
      <w:kern w:val="2"/>
      <w:sz w:val="22"/>
      <w:szCs w:val="22"/>
      <w:lang w:val="en-US" w:eastAsia="zh-CN" w:bidi="ar-SA"/>
    </w:rPr>
  </w:style>
  <w:style w:type="paragraph" w:customStyle="1" w:styleId="204">
    <w:name w:val="font5"/>
    <w:basedOn w:val="1"/>
    <w:autoRedefine/>
    <w:qFormat/>
    <w:uiPriority w:val="0"/>
    <w:pPr>
      <w:widowControl/>
      <w:spacing w:before="100" w:beforeAutospacing="1" w:after="100" w:afterAutospacing="1"/>
      <w:jc w:val="left"/>
    </w:pPr>
    <w:rPr>
      <w:rFonts w:ascii="宋体" w:hAnsi="宋体" w:cs="宋体"/>
      <w:kern w:val="0"/>
      <w:sz w:val="28"/>
      <w:szCs w:val="28"/>
    </w:rPr>
  </w:style>
  <w:style w:type="paragraph" w:customStyle="1" w:styleId="205">
    <w:name w:val="xl155"/>
    <w:basedOn w:val="1"/>
    <w:autoRedefine/>
    <w:qFormat/>
    <w:uiPriority w:val="0"/>
    <w:pPr>
      <w:widowControl/>
      <w:pBdr>
        <w:top w:val="single" w:color="auto" w:sz="8" w:space="0"/>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06">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07">
    <w:name w:val="xl158"/>
    <w:basedOn w:val="1"/>
    <w:autoRedefine/>
    <w:qFormat/>
    <w:uiPriority w:val="0"/>
    <w:pPr>
      <w:widowControl/>
      <w:pBdr>
        <w:top w:val="single" w:color="auto" w:sz="4" w:space="0"/>
        <w:bottom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08">
    <w:name w:val="xl126"/>
    <w:basedOn w:val="1"/>
    <w:autoRedefine/>
    <w:qFormat/>
    <w:uiPriority w:val="0"/>
    <w:pPr>
      <w:widowControl/>
      <w:pBdr>
        <w:left w:val="single" w:color="auto" w:sz="8" w:space="0"/>
      </w:pBdr>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09">
    <w:name w:val="xl152"/>
    <w:basedOn w:val="1"/>
    <w:autoRedefine/>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10">
    <w:name w:val="xl129"/>
    <w:basedOn w:val="1"/>
    <w:autoRedefine/>
    <w:qFormat/>
    <w:uiPriority w:val="0"/>
    <w:pPr>
      <w:widowControl/>
      <w:pBdr>
        <w:right w:val="single" w:color="auto" w:sz="8" w:space="0"/>
      </w:pBdr>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11">
    <w:name w:val="xl135"/>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character" w:customStyle="1" w:styleId="212">
    <w:name w:val="浅色网格 - 强调文字颜色 3 Char"/>
    <w:link w:val="213"/>
    <w:autoRedefine/>
    <w:qFormat/>
    <w:locked/>
    <w:uiPriority w:val="0"/>
  </w:style>
  <w:style w:type="paragraph" w:customStyle="1" w:styleId="213">
    <w:name w:val="浅色网格 - 强调文字颜色 32"/>
    <w:basedOn w:val="1"/>
    <w:link w:val="212"/>
    <w:autoRedefine/>
    <w:qFormat/>
    <w:uiPriority w:val="0"/>
    <w:pPr>
      <w:ind w:firstLine="420" w:firstLineChars="200"/>
    </w:pPr>
    <w:rPr>
      <w:kern w:val="0"/>
      <w:sz w:val="20"/>
      <w:szCs w:val="20"/>
    </w:rPr>
  </w:style>
  <w:style w:type="paragraph" w:customStyle="1" w:styleId="214">
    <w:name w:val="xl108"/>
    <w:basedOn w:val="1"/>
    <w:autoRedefine/>
    <w:qFormat/>
    <w:uiPriority w:val="0"/>
    <w:pPr>
      <w:widowControl/>
      <w:pBdr>
        <w:top w:val="single" w:color="A6A6A6" w:sz="4" w:space="0"/>
        <w:left w:val="single" w:color="A6A6A6" w:sz="4"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15">
    <w:name w:val="xl120"/>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16">
    <w:name w:val="默认"/>
    <w:autoRedefine/>
    <w:qFormat/>
    <w:uiPriority w:val="0"/>
    <w:rPr>
      <w:rFonts w:ascii="Helvetica" w:hAnsi="Helvetica" w:eastAsia="Times New Roman" w:cs="Helvetica"/>
      <w:color w:val="000000"/>
      <w:sz w:val="22"/>
      <w:szCs w:val="22"/>
      <w:u w:color="000000"/>
      <w:lang w:val="en-US" w:eastAsia="zh-CN" w:bidi="ar-SA"/>
    </w:rPr>
  </w:style>
  <w:style w:type="paragraph" w:customStyle="1" w:styleId="217">
    <w:name w:val="表编号"/>
    <w:basedOn w:val="1"/>
    <w:autoRedefine/>
    <w:qFormat/>
    <w:uiPriority w:val="0"/>
    <w:pPr>
      <w:numPr>
        <w:ilvl w:val="0"/>
        <w:numId w:val="3"/>
      </w:numPr>
      <w:spacing w:line="360" w:lineRule="auto"/>
      <w:jc w:val="center"/>
    </w:pPr>
    <w:rPr>
      <w:rFonts w:eastAsia="黑体"/>
      <w:sz w:val="24"/>
    </w:rPr>
  </w:style>
  <w:style w:type="paragraph" w:customStyle="1" w:styleId="218">
    <w:name w:val="正文首行缩进2字"/>
    <w:basedOn w:val="1"/>
    <w:autoRedefine/>
    <w:qFormat/>
    <w:uiPriority w:val="0"/>
    <w:pPr>
      <w:spacing w:before="100" w:beforeAutospacing="1" w:after="100" w:afterAutospacing="1"/>
      <w:ind w:firstLine="567"/>
    </w:pPr>
    <w:rPr>
      <w:rFonts w:eastAsia="楷体_GB2312"/>
      <w:kern w:val="0"/>
      <w:sz w:val="28"/>
      <w:szCs w:val="20"/>
    </w:rPr>
  </w:style>
  <w:style w:type="paragraph" w:customStyle="1" w:styleId="219">
    <w:name w:val="正文缩进2"/>
    <w:basedOn w:val="1"/>
    <w:autoRedefine/>
    <w:qFormat/>
    <w:uiPriority w:val="0"/>
    <w:pPr>
      <w:ind w:firstLine="420" w:firstLineChars="200"/>
    </w:pPr>
  </w:style>
  <w:style w:type="paragraph" w:customStyle="1" w:styleId="220">
    <w:name w:val="xl117"/>
    <w:basedOn w:val="1"/>
    <w:autoRedefine/>
    <w:qFormat/>
    <w:uiPriority w:val="0"/>
    <w:pPr>
      <w:widowControl/>
      <w:pBdr>
        <w:top w:val="single" w:color="A6A6A6" w:sz="4" w:space="0"/>
        <w:left w:val="single" w:color="A6A6A6" w:sz="4"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21">
    <w:name w:val="xl7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8"/>
      <w:szCs w:val="28"/>
    </w:rPr>
  </w:style>
  <w:style w:type="paragraph" w:customStyle="1" w:styleId="222">
    <w:name w:val="xl72"/>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8"/>
      <w:szCs w:val="28"/>
    </w:rPr>
  </w:style>
  <w:style w:type="paragraph" w:customStyle="1" w:styleId="223">
    <w:name w:val="卷标题"/>
    <w:autoRedefine/>
    <w:qFormat/>
    <w:uiPriority w:val="0"/>
    <w:pPr>
      <w:keepNext/>
      <w:keepLines/>
      <w:widowControl w:val="0"/>
      <w:spacing w:line="360" w:lineRule="auto"/>
      <w:ind w:firstLine="200"/>
      <w:jc w:val="center"/>
      <w:outlineLvl w:val="4"/>
    </w:pPr>
    <w:rPr>
      <w:rFonts w:ascii="宋体" w:hAnsi="宋体" w:eastAsia="宋体" w:cs="宋体"/>
      <w:b/>
      <w:bCs/>
      <w:color w:val="000000"/>
      <w:kern w:val="44"/>
      <w:sz w:val="32"/>
      <w:szCs w:val="32"/>
      <w:u w:color="000000"/>
      <w:lang w:val="en-US" w:eastAsia="zh-CN" w:bidi="ar-SA"/>
    </w:rPr>
  </w:style>
  <w:style w:type="paragraph" w:customStyle="1" w:styleId="224">
    <w:name w:val="xl114"/>
    <w:basedOn w:val="1"/>
    <w:autoRedefine/>
    <w:qFormat/>
    <w:uiPriority w:val="0"/>
    <w:pPr>
      <w:widowControl/>
      <w:pBdr>
        <w:top w:val="single" w:color="auto" w:sz="8" w:space="0"/>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25">
    <w:name w:val="p0"/>
    <w:basedOn w:val="1"/>
    <w:autoRedefine/>
    <w:qFormat/>
    <w:uiPriority w:val="0"/>
    <w:pPr>
      <w:widowControl/>
    </w:pPr>
    <w:rPr>
      <w:kern w:val="0"/>
      <w:szCs w:val="21"/>
    </w:rPr>
  </w:style>
  <w:style w:type="paragraph" w:customStyle="1" w:styleId="226">
    <w:name w:val="xl148"/>
    <w:basedOn w:val="1"/>
    <w:autoRedefine/>
    <w:qFormat/>
    <w:uiPriority w:val="0"/>
    <w:pPr>
      <w:widowControl/>
      <w:pBdr>
        <w:top w:val="single" w:color="auto" w:sz="4" w:space="0"/>
        <w:left w:val="dotted" w:color="808080" w:sz="4" w:space="0"/>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27">
    <w:name w:val="xl138"/>
    <w:basedOn w:val="1"/>
    <w:autoRedefine/>
    <w:qFormat/>
    <w:uiPriority w:val="0"/>
    <w:pPr>
      <w:widowControl/>
      <w:pBdr>
        <w:left w:val="single" w:color="auto" w:sz="8" w:space="0"/>
        <w:bottom w:val="single" w:color="A6A6A6" w:sz="4" w:space="0"/>
        <w:right w:val="dotted" w:color="808080"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28">
    <w:name w:val="p15"/>
    <w:basedOn w:val="1"/>
    <w:autoRedefine/>
    <w:qFormat/>
    <w:uiPriority w:val="0"/>
    <w:pPr>
      <w:widowControl/>
    </w:pPr>
    <w:rPr>
      <w:rFonts w:ascii="宋体" w:hAnsi="宋体" w:cs="宋体"/>
      <w:kern w:val="0"/>
      <w:sz w:val="20"/>
      <w:szCs w:val="20"/>
    </w:rPr>
  </w:style>
  <w:style w:type="paragraph" w:customStyle="1" w:styleId="229">
    <w:name w:val="图表"/>
    <w:basedOn w:val="1"/>
    <w:autoRedefine/>
    <w:qFormat/>
    <w:uiPriority w:val="0"/>
    <w:pPr>
      <w:jc w:val="center"/>
    </w:pPr>
    <w:rPr>
      <w:rFonts w:ascii="Arial" w:hAnsi="Arial" w:cs="Arial"/>
      <w:bCs/>
      <w:color w:val="0070C0"/>
      <w:kern w:val="0"/>
      <w:sz w:val="20"/>
      <w:szCs w:val="20"/>
    </w:rPr>
  </w:style>
  <w:style w:type="paragraph" w:customStyle="1" w:styleId="230">
    <w:name w:val="xl6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31">
    <w:name w:val="xl154"/>
    <w:basedOn w:val="1"/>
    <w:autoRedefine/>
    <w:qFormat/>
    <w:uiPriority w:val="0"/>
    <w:pPr>
      <w:widowControl/>
      <w:pBdr>
        <w:top w:val="single" w:color="auto" w:sz="8" w:space="0"/>
        <w:left w:val="dotted" w:color="808080" w:sz="4" w:space="0"/>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32">
    <w:name w:val="1"/>
    <w:basedOn w:val="1"/>
    <w:next w:val="22"/>
    <w:autoRedefine/>
    <w:qFormat/>
    <w:uiPriority w:val="0"/>
    <w:rPr>
      <w:rFonts w:ascii="宋体" w:hAnsi="Courier New"/>
      <w:szCs w:val="20"/>
    </w:rPr>
  </w:style>
  <w:style w:type="paragraph" w:customStyle="1" w:styleId="233">
    <w:name w:val="一级列项"/>
    <w:basedOn w:val="1"/>
    <w:autoRedefine/>
    <w:qFormat/>
    <w:uiPriority w:val="0"/>
    <w:pPr>
      <w:numPr>
        <w:ilvl w:val="0"/>
        <w:numId w:val="4"/>
      </w:numPr>
      <w:ind w:firstLine="0"/>
    </w:pPr>
    <w:rPr>
      <w:rFonts w:ascii="宋体" w:hAnsi="宋体"/>
      <w:szCs w:val="22"/>
    </w:rPr>
  </w:style>
  <w:style w:type="paragraph" w:customStyle="1" w:styleId="234">
    <w:name w:val="xl74"/>
    <w:basedOn w:val="1"/>
    <w:autoRedefine/>
    <w:qFormat/>
    <w:uiPriority w:val="0"/>
    <w:pPr>
      <w:widowControl/>
      <w:spacing w:before="100" w:beforeAutospacing="1" w:after="100" w:afterAutospacing="1"/>
      <w:jc w:val="center"/>
    </w:pPr>
    <w:rPr>
      <w:rFonts w:ascii="宋体" w:hAnsi="宋体" w:cs="宋体"/>
      <w:b/>
      <w:bCs/>
      <w:kern w:val="0"/>
      <w:sz w:val="40"/>
      <w:szCs w:val="40"/>
    </w:rPr>
  </w:style>
  <w:style w:type="paragraph" w:customStyle="1" w:styleId="235">
    <w:name w:val="xl125"/>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36">
    <w:name w:val="xl141"/>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37">
    <w:name w:val="xl131"/>
    <w:basedOn w:val="1"/>
    <w:autoRedefine/>
    <w:qFormat/>
    <w:uiPriority w:val="0"/>
    <w:pPr>
      <w:widowControl/>
      <w:pBdr>
        <w:top w:val="single" w:color="auto" w:sz="4" w:space="0"/>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38">
    <w:name w:val="默3f认3f"/>
    <w:autoRedefine/>
    <w:qFormat/>
    <w:uiPriority w:val="0"/>
    <w:pPr>
      <w:widowControl w:val="0"/>
      <w:autoSpaceDE w:val="0"/>
      <w:autoSpaceDN w:val="0"/>
      <w:adjustRightInd w:val="0"/>
      <w:spacing w:line="200" w:lineRule="exact"/>
    </w:pPr>
    <w:rPr>
      <w:rFonts w:ascii="Mangal" w:hAnsi="Mangal" w:eastAsia="微3f软3f雅3f黑3f" w:cs="Mangal"/>
      <w:kern w:val="2"/>
      <w:sz w:val="36"/>
      <w:szCs w:val="36"/>
      <w:lang w:val="en-US" w:eastAsia="zh-CN" w:bidi="ar-SA"/>
    </w:rPr>
  </w:style>
  <w:style w:type="paragraph" w:customStyle="1" w:styleId="239">
    <w:name w:val="xl110"/>
    <w:basedOn w:val="1"/>
    <w:autoRedefine/>
    <w:qFormat/>
    <w:uiPriority w:val="0"/>
    <w:pPr>
      <w:widowControl/>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40">
    <w:name w:val="xl113"/>
    <w:basedOn w:val="1"/>
    <w:autoRedefine/>
    <w:qFormat/>
    <w:uiPriority w:val="0"/>
    <w:pPr>
      <w:widowControl/>
      <w:pBdr>
        <w:top w:val="single" w:color="auto" w:sz="8" w:space="0"/>
        <w:left w:val="single" w:color="auto" w:sz="8" w:space="0"/>
        <w:bottom w:val="single" w:color="A6A6A6" w:sz="4" w:space="0"/>
        <w:right w:val="dotted" w:color="808080"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41">
    <w:name w:val="标书_正文"/>
    <w:basedOn w:val="1"/>
    <w:autoRedefine/>
    <w:qFormat/>
    <w:uiPriority w:val="0"/>
    <w:pPr>
      <w:spacing w:line="360" w:lineRule="auto"/>
      <w:ind w:firstLine="420" w:firstLineChars="200"/>
    </w:pPr>
    <w:rPr>
      <w:rFonts w:ascii="宋体" w:hAnsi="宋体"/>
      <w:color w:val="000000"/>
      <w:sz w:val="24"/>
      <w:szCs w:val="21"/>
      <w:lang w:val="zh-CN"/>
    </w:rPr>
  </w:style>
  <w:style w:type="paragraph" w:customStyle="1" w:styleId="242">
    <w:name w:val="font6"/>
    <w:basedOn w:val="1"/>
    <w:autoRedefine/>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243">
    <w:name w:val="xl112"/>
    <w:basedOn w:val="1"/>
    <w:autoRedefine/>
    <w:qFormat/>
    <w:uiPriority w:val="0"/>
    <w:pPr>
      <w:widowControl/>
      <w:pBdr>
        <w:top w:val="single" w:color="A6A6A6" w:sz="4"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i/>
      <w:iCs/>
      <w:kern w:val="0"/>
      <w:sz w:val="20"/>
      <w:szCs w:val="20"/>
      <w:u w:color="000000"/>
    </w:rPr>
  </w:style>
  <w:style w:type="character" w:customStyle="1" w:styleId="244">
    <w:name w:val="表格内容 Char"/>
    <w:link w:val="245"/>
    <w:autoRedefine/>
    <w:qFormat/>
    <w:locked/>
    <w:uiPriority w:val="0"/>
    <w:rPr>
      <w:kern w:val="2"/>
      <w:sz w:val="21"/>
      <w:szCs w:val="22"/>
    </w:rPr>
  </w:style>
  <w:style w:type="paragraph" w:customStyle="1" w:styleId="245">
    <w:name w:val="表格内容"/>
    <w:basedOn w:val="1"/>
    <w:link w:val="244"/>
    <w:autoRedefine/>
    <w:qFormat/>
    <w:uiPriority w:val="0"/>
    <w:pPr>
      <w:jc w:val="center"/>
    </w:pPr>
    <w:rPr>
      <w:szCs w:val="22"/>
    </w:rPr>
  </w:style>
  <w:style w:type="paragraph" w:customStyle="1" w:styleId="246">
    <w:name w:val="表格正文"/>
    <w:basedOn w:val="1"/>
    <w:autoRedefine/>
    <w:qFormat/>
    <w:uiPriority w:val="0"/>
    <w:pPr>
      <w:spacing w:line="240" w:lineRule="exact"/>
    </w:pPr>
    <w:rPr>
      <w:rFonts w:eastAsia="楷体_GB2312"/>
      <w:sz w:val="24"/>
      <w:szCs w:val="20"/>
    </w:rPr>
  </w:style>
  <w:style w:type="paragraph" w:customStyle="1" w:styleId="247">
    <w:name w:val="正文缩进1"/>
    <w:basedOn w:val="1"/>
    <w:autoRedefine/>
    <w:qFormat/>
    <w:uiPriority w:val="0"/>
    <w:pPr>
      <w:spacing w:line="360" w:lineRule="auto"/>
      <w:ind w:firstLine="420" w:firstLineChars="200"/>
    </w:pPr>
    <w:rPr>
      <w:rFonts w:ascii="Calibri" w:hAnsi="Calibri"/>
    </w:rPr>
  </w:style>
  <w:style w:type="paragraph" w:customStyle="1" w:styleId="248">
    <w:name w:val="样式2"/>
    <w:basedOn w:val="120"/>
    <w:autoRedefine/>
    <w:qFormat/>
    <w:uiPriority w:val="0"/>
    <w:pPr>
      <w:spacing w:line="360" w:lineRule="auto"/>
      <w:ind w:left="900" w:firstLine="0" w:firstLineChars="0"/>
      <w:jc w:val="center"/>
    </w:pPr>
    <w:rPr>
      <w:rFonts w:ascii="宋体" w:hAnsi="宋体"/>
      <w:b/>
      <w:sz w:val="24"/>
      <w:szCs w:val="30"/>
      <w:lang w:val="zh-CN"/>
    </w:rPr>
  </w:style>
  <w:style w:type="paragraph" w:customStyle="1" w:styleId="249">
    <w:name w:val="xl105"/>
    <w:basedOn w:val="1"/>
    <w:autoRedefine/>
    <w:qFormat/>
    <w:uiPriority w:val="0"/>
    <w:pPr>
      <w:widowControl/>
      <w:pBdr>
        <w:top w:val="single" w:color="A6A6A6" w:sz="4" w:space="0"/>
        <w:left w:val="single" w:color="auto" w:sz="8"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i/>
      <w:iCs/>
      <w:kern w:val="0"/>
      <w:sz w:val="20"/>
      <w:szCs w:val="20"/>
      <w:u w:color="000000"/>
    </w:rPr>
  </w:style>
  <w:style w:type="paragraph" w:customStyle="1" w:styleId="250">
    <w:name w:val="xl147"/>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5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252">
    <w:name w:val="xl132"/>
    <w:basedOn w:val="1"/>
    <w:autoRedefine/>
    <w:qFormat/>
    <w:uiPriority w:val="0"/>
    <w:pPr>
      <w:widowControl/>
      <w:pBdr>
        <w:top w:val="single" w:color="auto" w:sz="4" w:space="0"/>
        <w:left w:val="single" w:color="auto" w:sz="8" w:space="0"/>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53">
    <w:name w:val="xl106"/>
    <w:basedOn w:val="1"/>
    <w:autoRedefine/>
    <w:qFormat/>
    <w:uiPriority w:val="0"/>
    <w:pPr>
      <w:widowControl/>
      <w:pBdr>
        <w:top w:val="single" w:color="A6A6A6" w:sz="4" w:space="0"/>
        <w:left w:val="single" w:color="A6A6A6" w:sz="4"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54">
    <w:name w:val="font7"/>
    <w:basedOn w:val="1"/>
    <w:autoRedefine/>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255">
    <w:name w:val="表格标题"/>
    <w:basedOn w:val="246"/>
    <w:autoRedefine/>
    <w:qFormat/>
    <w:uiPriority w:val="0"/>
    <w:pPr>
      <w:jc w:val="center"/>
    </w:pPr>
    <w:rPr>
      <w:b/>
    </w:rPr>
  </w:style>
  <w:style w:type="paragraph" w:customStyle="1" w:styleId="256">
    <w:name w:val="xl161"/>
    <w:basedOn w:val="1"/>
    <w:autoRedefine/>
    <w:qFormat/>
    <w:uiPriority w:val="0"/>
    <w:pPr>
      <w:widowControl/>
      <w:pBdr>
        <w:bottom w:val="single" w:color="A6A6A6" w:sz="4" w:space="0"/>
        <w:right w:val="single" w:color="auto" w:sz="8"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57">
    <w:name w:val="样式3"/>
    <w:basedOn w:val="120"/>
    <w:autoRedefine/>
    <w:qFormat/>
    <w:uiPriority w:val="0"/>
    <w:pPr>
      <w:spacing w:line="360" w:lineRule="auto"/>
      <w:ind w:left="900" w:firstLine="0" w:firstLineChars="0"/>
      <w:jc w:val="center"/>
    </w:pPr>
    <w:rPr>
      <w:rFonts w:ascii="宋体" w:hAnsi="宋体"/>
      <w:sz w:val="24"/>
      <w:szCs w:val="28"/>
      <w:lang w:val="zh-CN"/>
    </w:rPr>
  </w:style>
  <w:style w:type="paragraph" w:customStyle="1" w:styleId="258">
    <w:name w:val="xl71"/>
    <w:basedOn w:val="1"/>
    <w:autoRedefine/>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259">
    <w:name w:val="xl119"/>
    <w:basedOn w:val="1"/>
    <w:autoRedefine/>
    <w:qFormat/>
    <w:uiPriority w:val="0"/>
    <w:pPr>
      <w:widowControl/>
      <w:pBdr>
        <w:top w:val="single" w:color="A6A6A6" w:sz="4" w:space="0"/>
        <w:left w:val="single" w:color="A6A6A6" w:sz="4" w:space="0"/>
        <w:bottom w:val="single" w:color="A6A6A6" w:sz="4" w:space="0"/>
        <w:right w:val="single" w:color="auto" w:sz="8"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character" w:customStyle="1" w:styleId="260">
    <w:name w:val="自定义正文 Char Char"/>
    <w:link w:val="261"/>
    <w:autoRedefine/>
    <w:qFormat/>
    <w:locked/>
    <w:uiPriority w:val="0"/>
    <w:rPr>
      <w:kern w:val="2"/>
      <w:sz w:val="24"/>
      <w:szCs w:val="24"/>
    </w:rPr>
  </w:style>
  <w:style w:type="paragraph" w:customStyle="1" w:styleId="261">
    <w:name w:val="自定义正文"/>
    <w:basedOn w:val="1"/>
    <w:link w:val="260"/>
    <w:autoRedefine/>
    <w:qFormat/>
    <w:uiPriority w:val="0"/>
    <w:pPr>
      <w:spacing w:line="360" w:lineRule="auto"/>
      <w:ind w:firstLine="200" w:firstLineChars="200"/>
      <w:jc w:val="left"/>
    </w:pPr>
    <w:rPr>
      <w:sz w:val="24"/>
    </w:rPr>
  </w:style>
  <w:style w:type="paragraph" w:customStyle="1" w:styleId="262">
    <w:name w:val="xl111"/>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63">
    <w:name w:val="xl151"/>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64">
    <w:name w:val="xl143"/>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65">
    <w:name w:val="xl107"/>
    <w:basedOn w:val="1"/>
    <w:autoRedefine/>
    <w:qFormat/>
    <w:uiPriority w:val="0"/>
    <w:pPr>
      <w:widowControl/>
      <w:pBdr>
        <w:top w:val="single" w:color="A6A6A6" w:sz="4" w:space="0"/>
        <w:left w:val="single" w:color="A6A6A6" w:sz="4" w:space="0"/>
        <w:bottom w:val="single" w:color="A6A6A6" w:sz="4" w:space="0"/>
        <w:right w:val="single" w:color="A6A6A6" w:sz="4" w:space="0"/>
      </w:pBdr>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66">
    <w:name w:val="font8"/>
    <w:basedOn w:val="1"/>
    <w:autoRedefine/>
    <w:qFormat/>
    <w:uiPriority w:val="0"/>
    <w:pPr>
      <w:widowControl/>
      <w:spacing w:before="100" w:beforeAutospacing="1" w:after="100" w:afterAutospacing="1"/>
      <w:jc w:val="left"/>
    </w:pPr>
    <w:rPr>
      <w:rFonts w:ascii="BatangChe" w:hAnsi="BatangChe" w:eastAsia="BatangChe" w:cs="宋体"/>
      <w:kern w:val="0"/>
      <w:sz w:val="20"/>
      <w:szCs w:val="20"/>
      <w:u w:color="000000"/>
    </w:rPr>
  </w:style>
  <w:style w:type="paragraph" w:customStyle="1" w:styleId="267">
    <w:name w:val="页眉与页脚"/>
    <w:autoRedefine/>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268">
    <w:name w:val="列表段落1"/>
    <w:basedOn w:val="1"/>
    <w:autoRedefine/>
    <w:qFormat/>
    <w:uiPriority w:val="0"/>
    <w:pPr>
      <w:ind w:firstLine="420" w:firstLineChars="200"/>
    </w:pPr>
    <w:rPr>
      <w:rFonts w:ascii="Calibri" w:hAnsi="Calibri" w:cs="黑体"/>
      <w:szCs w:val="22"/>
    </w:rPr>
  </w:style>
  <w:style w:type="paragraph" w:customStyle="1" w:styleId="269">
    <w:name w:val="xl156"/>
    <w:basedOn w:val="1"/>
    <w:autoRedefine/>
    <w:qFormat/>
    <w:uiPriority w:val="0"/>
    <w:pPr>
      <w:widowControl/>
      <w:pBdr>
        <w:top w:val="single" w:color="auto" w:sz="8" w:space="0"/>
        <w:bottom w:val="single" w:color="A6A6A6" w:sz="4" w:space="0"/>
        <w:right w:val="single" w:color="auto" w:sz="8"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70">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71">
    <w:name w:val="xl109"/>
    <w:basedOn w:val="1"/>
    <w:autoRedefine/>
    <w:qFormat/>
    <w:uiPriority w:val="0"/>
    <w:pPr>
      <w:widowControl/>
      <w:pBdr>
        <w:top w:val="single" w:color="A6A6A6" w:sz="4" w:space="0"/>
        <w:left w:val="single" w:color="A6A6A6" w:sz="4" w:space="0"/>
        <w:bottom w:val="single" w:color="A6A6A6" w:sz="4" w:space="0"/>
        <w:right w:val="single" w:color="auto" w:sz="8" w:space="0"/>
      </w:pBdr>
      <w:shd w:val="clear" w:color="auto"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272">
    <w:name w:val="xl150"/>
    <w:basedOn w:val="1"/>
    <w:autoRedefine/>
    <w:qFormat/>
    <w:uiPriority w:val="0"/>
    <w:pPr>
      <w:widowControl/>
      <w:pBdr>
        <w:top w:val="single" w:color="auto" w:sz="4" w:space="0"/>
        <w:bottom w:val="single" w:color="A6A6A6" w:sz="4" w:space="0"/>
        <w:right w:val="single" w:color="auto" w:sz="8"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73">
    <w:name w:val="xl69"/>
    <w:basedOn w:val="1"/>
    <w:autoRedefine/>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color w:val="000000"/>
      <w:kern w:val="0"/>
      <w:sz w:val="28"/>
      <w:szCs w:val="28"/>
    </w:rPr>
  </w:style>
  <w:style w:type="paragraph" w:customStyle="1" w:styleId="274">
    <w:name w:val="xl157"/>
    <w:basedOn w:val="1"/>
    <w:autoRedefine/>
    <w:qFormat/>
    <w:uiPriority w:val="0"/>
    <w:pPr>
      <w:widowControl/>
      <w:pBdr>
        <w:top w:val="single" w:color="auto" w:sz="4" w:space="0"/>
        <w:left w:val="single" w:color="auto" w:sz="8" w:space="0"/>
        <w:bottom w:val="single" w:color="auto"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275">
    <w:name w:val="xl140"/>
    <w:basedOn w:val="1"/>
    <w:autoRedefine/>
    <w:qFormat/>
    <w:uiPriority w:val="0"/>
    <w:pPr>
      <w:widowControl/>
      <w:pBdr>
        <w:top w:val="single" w:color="A6A6A6" w:sz="4" w:space="0"/>
        <w:left w:val="single" w:color="A6A6A6" w:sz="4" w:space="0"/>
        <w:bottom w:val="single" w:color="A6A6A6" w:sz="4" w:space="0"/>
        <w:right w:val="single" w:color="A6A6A6" w:sz="4" w:space="0"/>
      </w:pBdr>
      <w:shd w:val="clear" w:color="auto" w:fill="FFFFFF"/>
      <w:spacing w:before="100" w:beforeAutospacing="1" w:after="100" w:afterAutospacing="1"/>
      <w:jc w:val="center"/>
    </w:pPr>
    <w:rPr>
      <w:rFonts w:ascii="微软雅黑" w:hAnsi="微软雅黑" w:eastAsia="微软雅黑" w:cs="宋体"/>
      <w:b/>
      <w:bCs/>
      <w:kern w:val="0"/>
      <w:sz w:val="20"/>
      <w:szCs w:val="20"/>
      <w:u w:color="000000"/>
    </w:rPr>
  </w:style>
  <w:style w:type="paragraph" w:customStyle="1" w:styleId="276">
    <w:name w:val="xl160"/>
    <w:basedOn w:val="1"/>
    <w:autoRedefine/>
    <w:qFormat/>
    <w:uiPriority w:val="0"/>
    <w:pPr>
      <w:widowControl/>
      <w:pBdr>
        <w:bottom w:val="single" w:color="A6A6A6" w:sz="4" w:space="0"/>
      </w:pBdr>
      <w:shd w:val="clear" w:color="auto" w:fill="FFFFFF"/>
      <w:spacing w:before="100" w:beforeAutospacing="1" w:after="100" w:afterAutospacing="1"/>
      <w:jc w:val="left"/>
    </w:pPr>
    <w:rPr>
      <w:rFonts w:ascii="微软雅黑" w:hAnsi="微软雅黑" w:eastAsia="微软雅黑" w:cs="宋体"/>
      <w:b/>
      <w:bCs/>
      <w:kern w:val="0"/>
      <w:sz w:val="20"/>
      <w:szCs w:val="20"/>
      <w:u w:color="000000"/>
    </w:rPr>
  </w:style>
  <w:style w:type="character" w:customStyle="1" w:styleId="277">
    <w:name w:val="书籍标题1"/>
    <w:autoRedefine/>
    <w:qFormat/>
    <w:uiPriority w:val="0"/>
    <w:rPr>
      <w:b/>
      <w:bCs/>
      <w:smallCaps/>
      <w:spacing w:val="5"/>
    </w:rPr>
  </w:style>
  <w:style w:type="character" w:customStyle="1" w:styleId="278">
    <w:name w:val="标题 1 Char1"/>
    <w:autoRedefine/>
    <w:qFormat/>
    <w:locked/>
    <w:uiPriority w:val="9"/>
    <w:rPr>
      <w:b/>
      <w:bCs/>
      <w:kern w:val="44"/>
      <w:sz w:val="44"/>
      <w:szCs w:val="44"/>
    </w:rPr>
  </w:style>
  <w:style w:type="character" w:customStyle="1" w:styleId="279">
    <w:name w:val="标题 Char2"/>
    <w:autoRedefine/>
    <w:qFormat/>
    <w:locked/>
    <w:uiPriority w:val="10"/>
    <w:rPr>
      <w:rFonts w:ascii="Cambria" w:hAnsi="Cambria"/>
      <w:b/>
      <w:bCs/>
      <w:kern w:val="2"/>
      <w:sz w:val="32"/>
      <w:szCs w:val="32"/>
    </w:rPr>
  </w:style>
  <w:style w:type="character" w:customStyle="1" w:styleId="280">
    <w:name w:val="font11"/>
    <w:autoRedefine/>
    <w:qFormat/>
    <w:uiPriority w:val="0"/>
    <w:rPr>
      <w:rFonts w:hint="eastAsia" w:ascii="宋体" w:hAnsi="宋体" w:eastAsia="宋体" w:cs="宋体"/>
      <w:color w:val="000000"/>
      <w:sz w:val="20"/>
      <w:szCs w:val="20"/>
      <w:u w:val="none"/>
    </w:rPr>
  </w:style>
  <w:style w:type="character" w:customStyle="1" w:styleId="281">
    <w:name w:val="无"/>
    <w:autoRedefine/>
    <w:qFormat/>
    <w:uiPriority w:val="0"/>
  </w:style>
  <w:style w:type="character" w:customStyle="1" w:styleId="282">
    <w:name w:val="标题 Char1"/>
    <w:autoRedefine/>
    <w:qFormat/>
    <w:locked/>
    <w:uiPriority w:val="10"/>
    <w:rPr>
      <w:rFonts w:hint="default" w:ascii="Cambria" w:hAnsi="Cambria"/>
      <w:b/>
      <w:bCs/>
      <w:kern w:val="2"/>
      <w:sz w:val="32"/>
      <w:szCs w:val="32"/>
    </w:rPr>
  </w:style>
  <w:style w:type="character" w:customStyle="1" w:styleId="283">
    <w:name w:val="列出段落 Char"/>
    <w:autoRedefine/>
    <w:qFormat/>
    <w:uiPriority w:val="0"/>
  </w:style>
  <w:style w:type="character" w:customStyle="1" w:styleId="284">
    <w:name w:val="页眉 字符1"/>
    <w:autoRedefine/>
    <w:qFormat/>
    <w:uiPriority w:val="99"/>
    <w:rPr>
      <w:rFonts w:hint="default" w:ascii="Times New Roman" w:hAnsi="Times New Roman" w:cs="Times New Roman"/>
      <w:kern w:val="2"/>
      <w:sz w:val="18"/>
      <w:szCs w:val="18"/>
    </w:rPr>
  </w:style>
  <w:style w:type="character" w:customStyle="1" w:styleId="285">
    <w:name w:val="sh141"/>
    <w:autoRedefine/>
    <w:qFormat/>
    <w:uiPriority w:val="0"/>
    <w:rPr>
      <w:color w:val="2B2B2B"/>
      <w:sz w:val="12"/>
      <w:szCs w:val="12"/>
    </w:rPr>
  </w:style>
  <w:style w:type="character" w:customStyle="1" w:styleId="286">
    <w:name w:val="HTML 预设格式 Char1"/>
    <w:autoRedefine/>
    <w:qFormat/>
    <w:locked/>
    <w:uiPriority w:val="99"/>
    <w:rPr>
      <w:rFonts w:hint="eastAsia" w:ascii="宋体" w:hAnsi="宋体" w:eastAsia="宋体" w:cs="宋体"/>
      <w:sz w:val="24"/>
      <w:szCs w:val="24"/>
    </w:rPr>
  </w:style>
  <w:style w:type="character" w:customStyle="1" w:styleId="287">
    <w:name w:val="font21"/>
    <w:autoRedefine/>
    <w:qFormat/>
    <w:uiPriority w:val="0"/>
    <w:rPr>
      <w:rFonts w:hint="eastAsia" w:ascii="宋体" w:hAnsi="宋体" w:eastAsia="宋体" w:cs="宋体"/>
      <w:b/>
      <w:color w:val="000000"/>
      <w:sz w:val="20"/>
      <w:szCs w:val="20"/>
      <w:u w:val="none"/>
    </w:rPr>
  </w:style>
  <w:style w:type="character" w:customStyle="1" w:styleId="288">
    <w:name w:val="标题 字符2"/>
    <w:autoRedefine/>
    <w:qFormat/>
    <w:locked/>
    <w:uiPriority w:val="10"/>
    <w:rPr>
      <w:rFonts w:hint="default" w:ascii="Cambria" w:hAnsi="Cambria"/>
      <w:b/>
      <w:bCs/>
      <w:kern w:val="2"/>
      <w:sz w:val="32"/>
      <w:szCs w:val="32"/>
    </w:rPr>
  </w:style>
  <w:style w:type="character" w:customStyle="1" w:styleId="289">
    <w:name w:val="apple-converted-space"/>
    <w:autoRedefine/>
    <w:qFormat/>
    <w:uiPriority w:val="0"/>
  </w:style>
  <w:style w:type="character" w:customStyle="1" w:styleId="290">
    <w:name w:val="文档结构图 Char2"/>
    <w:autoRedefine/>
    <w:qFormat/>
    <w:locked/>
    <w:uiPriority w:val="99"/>
    <w:rPr>
      <w:rFonts w:hint="eastAsia" w:ascii="宋体" w:hAnsi="宋体" w:eastAsia="宋体"/>
      <w:kern w:val="2"/>
      <w:sz w:val="18"/>
      <w:szCs w:val="18"/>
    </w:rPr>
  </w:style>
  <w:style w:type="character" w:customStyle="1" w:styleId="291">
    <w:name w:val="标题 字符1"/>
    <w:autoRedefine/>
    <w:qFormat/>
    <w:uiPriority w:val="10"/>
    <w:rPr>
      <w:rFonts w:hint="eastAsia" w:ascii="等线 Light" w:hAnsi="等线 Light" w:eastAsia="等线 Light" w:cs="Times New Roman"/>
      <w:b/>
      <w:bCs/>
      <w:kern w:val="2"/>
      <w:sz w:val="32"/>
      <w:szCs w:val="32"/>
    </w:rPr>
  </w:style>
  <w:style w:type="character" w:customStyle="1" w:styleId="292">
    <w:name w:val="font01"/>
    <w:autoRedefine/>
    <w:qFormat/>
    <w:uiPriority w:val="0"/>
    <w:rPr>
      <w:rFonts w:hint="eastAsia" w:ascii="宋体" w:hAnsi="宋体" w:eastAsia="宋体" w:cs="宋体"/>
      <w:color w:val="000000"/>
      <w:sz w:val="22"/>
      <w:szCs w:val="22"/>
      <w:u w:val="none"/>
    </w:rPr>
  </w:style>
  <w:style w:type="character" w:customStyle="1" w:styleId="293">
    <w:name w:val="Hyperlink.0"/>
    <w:autoRedefine/>
    <w:qFormat/>
    <w:uiPriority w:val="0"/>
    <w:rPr>
      <w:rFonts w:hint="default" w:ascii="Times New Roman" w:hAnsi="Times New Roman" w:cs="Times New Roman"/>
      <w:lang w:val="en-US"/>
    </w:rPr>
  </w:style>
  <w:style w:type="character" w:customStyle="1" w:styleId="294">
    <w:name w:val="Char Char4"/>
    <w:autoRedefine/>
    <w:qFormat/>
    <w:locked/>
    <w:uiPriority w:val="0"/>
    <w:rPr>
      <w:rFonts w:hint="eastAsia" w:ascii="宋体" w:hAnsi="宋体" w:eastAsia="宋体"/>
      <w:kern w:val="2"/>
      <w:sz w:val="21"/>
      <w:szCs w:val="24"/>
      <w:lang w:val="en-US" w:eastAsia="zh-CN" w:bidi="ar-SA"/>
    </w:rPr>
  </w:style>
  <w:style w:type="character" w:customStyle="1" w:styleId="295">
    <w:name w:val="Header Char"/>
    <w:autoRedefine/>
    <w:qFormat/>
    <w:locked/>
    <w:uiPriority w:val="0"/>
    <w:rPr>
      <w:rFonts w:hint="default" w:ascii="Arial" w:hAnsi="Arial" w:eastAsia="Arial Unicode MS" w:cs="Arial Unicode MS"/>
      <w:color w:val="000000"/>
      <w:sz w:val="18"/>
      <w:szCs w:val="18"/>
      <w:u w:color="000000"/>
    </w:rPr>
  </w:style>
  <w:style w:type="character" w:customStyle="1" w:styleId="296">
    <w:name w:val="样式1 Char"/>
    <w:autoRedefine/>
    <w:qFormat/>
    <w:uiPriority w:val="0"/>
    <w:rPr>
      <w:rFonts w:hint="default" w:ascii="Calibri" w:hAnsi="Calibri" w:cs="Calibri"/>
      <w:b/>
      <w:color w:val="000000"/>
      <w:kern w:val="2"/>
      <w:sz w:val="24"/>
      <w:szCs w:val="36"/>
    </w:rPr>
  </w:style>
  <w:style w:type="character" w:customStyle="1" w:styleId="297">
    <w:name w:val="lineheigh201"/>
    <w:autoRedefine/>
    <w:qFormat/>
    <w:uiPriority w:val="0"/>
    <w:rPr>
      <w:rFonts w:hint="default" w:ascii="Times New Roman" w:hAnsi="Times New Roman" w:cs="Times New Roman"/>
    </w:rPr>
  </w:style>
  <w:style w:type="character" w:customStyle="1" w:styleId="298">
    <w:name w:val="标准文本 Char"/>
    <w:autoRedefine/>
    <w:qFormat/>
    <w:uiPriority w:val="0"/>
    <w:rPr>
      <w:rFonts w:hint="eastAsia" w:ascii="宋体" w:hAnsi="宋体" w:eastAsia="宋体" w:cs="宋体"/>
      <w:kern w:val="2"/>
      <w:sz w:val="24"/>
      <w:lang w:val="en-US" w:eastAsia="zh-CN" w:bidi="ar-SA"/>
    </w:rPr>
  </w:style>
  <w:style w:type="character" w:customStyle="1" w:styleId="299">
    <w:name w:val="font161"/>
    <w:autoRedefine/>
    <w:qFormat/>
    <w:uiPriority w:val="0"/>
    <w:rPr>
      <w:rFonts w:hint="eastAsia" w:ascii="宋体" w:hAnsi="宋体" w:eastAsia="宋体" w:cs="宋体"/>
      <w:color w:val="FF0000"/>
      <w:sz w:val="22"/>
      <w:szCs w:val="22"/>
      <w:u w:val="none"/>
    </w:rPr>
  </w:style>
  <w:style w:type="character" w:customStyle="1" w:styleId="300">
    <w:name w:val="Hyperlink.3"/>
    <w:autoRedefine/>
    <w:qFormat/>
    <w:uiPriority w:val="0"/>
    <w:rPr>
      <w:rFonts w:hint="default" w:ascii="Calibri" w:hAnsi="Calibri" w:eastAsia="Times New Roman" w:cs="Calibri"/>
      <w:color w:val="FF0000"/>
      <w:spacing w:val="0"/>
      <w:kern w:val="0"/>
      <w:position w:val="0"/>
      <w:sz w:val="24"/>
      <w:szCs w:val="24"/>
      <w:u w:val="none" w:color="FF0000"/>
      <w:vertAlign w:val="baseline"/>
      <w:lang w:val="zh-TW" w:eastAsia="zh-TW"/>
    </w:rPr>
  </w:style>
  <w:style w:type="character" w:customStyle="1" w:styleId="301">
    <w:name w:val="Hyperlink.4"/>
    <w:autoRedefine/>
    <w:qFormat/>
    <w:uiPriority w:val="0"/>
    <w:rPr>
      <w:rFonts w:hint="default" w:ascii="Calibri" w:hAnsi="Calibri" w:eastAsia="Times New Roman" w:cs="Calibri"/>
      <w:color w:val="FF0000"/>
      <w:spacing w:val="0"/>
      <w:kern w:val="0"/>
      <w:position w:val="0"/>
      <w:sz w:val="24"/>
      <w:szCs w:val="24"/>
      <w:u w:val="none" w:color="FF0000"/>
      <w:vertAlign w:val="baseline"/>
      <w:lang w:val="en-US"/>
    </w:rPr>
  </w:style>
  <w:style w:type="character" w:customStyle="1" w:styleId="302">
    <w:name w:val="Footer Char"/>
    <w:autoRedefine/>
    <w:qFormat/>
    <w:locked/>
    <w:uiPriority w:val="0"/>
    <w:rPr>
      <w:rFonts w:hint="default" w:ascii="Times New Roman" w:hAnsi="Times New Roman" w:eastAsia="宋体" w:cs="Times New Roman"/>
      <w:sz w:val="18"/>
      <w:szCs w:val="18"/>
    </w:rPr>
  </w:style>
  <w:style w:type="character" w:customStyle="1" w:styleId="303">
    <w:name w:val="Hyperlink.1"/>
    <w:autoRedefine/>
    <w:qFormat/>
    <w:uiPriority w:val="0"/>
    <w:rPr>
      <w:rFonts w:hint="default" w:ascii="Calibri" w:hAnsi="Calibri" w:eastAsia="Times New Roman" w:cs="Calibri"/>
      <w:color w:val="000000"/>
      <w:spacing w:val="0"/>
      <w:kern w:val="0"/>
      <w:position w:val="0"/>
      <w:sz w:val="24"/>
      <w:szCs w:val="24"/>
      <w:u w:val="none" w:color="000000"/>
      <w:vertAlign w:val="baseline"/>
      <w:lang w:val="en-US"/>
    </w:rPr>
  </w:style>
  <w:style w:type="character" w:customStyle="1" w:styleId="304">
    <w:name w:val="Hyperlink.2"/>
    <w:autoRedefine/>
    <w:qFormat/>
    <w:uiPriority w:val="0"/>
    <w:rPr>
      <w:rFonts w:hint="default" w:ascii="Calibri" w:hAnsi="Calibri" w:eastAsia="Times New Roman" w:cs="Calibri"/>
      <w:color w:val="000000"/>
      <w:spacing w:val="0"/>
      <w:kern w:val="0"/>
      <w:position w:val="0"/>
      <w:sz w:val="24"/>
      <w:szCs w:val="24"/>
      <w:u w:val="none" w:color="000000"/>
      <w:vertAlign w:val="baseline"/>
      <w:lang w:val="zh-TW" w:eastAsia="zh-TW"/>
    </w:rPr>
  </w:style>
  <w:style w:type="character" w:customStyle="1" w:styleId="305">
    <w:name w:val="op_dict_text2"/>
    <w:autoRedefine/>
    <w:qFormat/>
    <w:uiPriority w:val="0"/>
  </w:style>
  <w:style w:type="character" w:customStyle="1" w:styleId="306">
    <w:name w:val="Char Char11"/>
    <w:autoRedefine/>
    <w:qFormat/>
    <w:uiPriority w:val="0"/>
    <w:rPr>
      <w:rFonts w:hint="eastAsia" w:ascii="宋体" w:hAnsi="Courier New" w:eastAsia="宋体" w:cs="Courier New"/>
      <w:szCs w:val="21"/>
    </w:rPr>
  </w:style>
  <w:style w:type="character" w:customStyle="1" w:styleId="307">
    <w:name w:val="font41"/>
    <w:autoRedefine/>
    <w:qFormat/>
    <w:uiPriority w:val="0"/>
    <w:rPr>
      <w:rFonts w:hint="default" w:ascii="Times New Roman" w:hAnsi="Times New Roman" w:eastAsia="宋体" w:cs="Times New Roman"/>
      <w:color w:val="000000"/>
      <w:sz w:val="21"/>
      <w:szCs w:val="21"/>
      <w:u w:val="none"/>
    </w:rPr>
  </w:style>
  <w:style w:type="paragraph" w:styleId="308">
    <w:name w:val="List Paragraph"/>
    <w:basedOn w:val="1"/>
    <w:autoRedefine/>
    <w:qFormat/>
    <w:uiPriority w:val="99"/>
    <w:pPr>
      <w:ind w:firstLine="420" w:firstLineChars="200"/>
    </w:pPr>
  </w:style>
  <w:style w:type="paragraph" w:customStyle="1" w:styleId="309">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d55f0043-6910-4af9-80aa-2e7ee35fb1fe</errorID>
      <errorWord xmlns="http://schemas.wps.cn/vas-ai-hub/contract-review">全区</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：全区</item>
      </candidateList>
      <explain xmlns="http://schemas.wps.cn/vas-ai-hub/contract-review"/>
      <paraID xmlns="http://schemas.wps.cn/vas-ai-hub/contract-review">677D75DD</paraID>
      <start xmlns="http://schemas.wps.cn/vas-ai-hub/contract-review">10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9f5ee29d-66a9-4fc8-9f77-e57bba447392</errorID>
      <errorWord xmlns="http://schemas.wps.cn/vas-ai-hub/contract-review">[2026]</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item>
      </candidateList>
      <explain xmlns="http://schemas.wps.cn/vas-ai-hub/contract-review"/>
      <paraID xmlns="http://schemas.wps.cn/vas-ai-hub/contract-review">475FFB62</paraID>
      <start xmlns="http://schemas.wps.cn/vas-ai-hub/contract-review">9</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4206faa2-6a99-44b1-9c7a-3c38cfbdc561</errorID>
      <errorWord xmlns="http://schemas.wps.cn/vas-ai-hub/contract-review">编程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标准</item>
      </candidateList>
      <explain xmlns="http://schemas.wps.cn/vas-ai-hub/contract-review"/>
      <paraID xmlns="http://schemas.wps.cn/vas-ai-hub/contract-review">5D99B089</paraID>
      <start xmlns="http://schemas.wps.cn/vas-ai-hub/contract-review">110</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0d3694ca-1bf5-4767-a0b7-92668a180033</errorID>
      <errorWord xmlns="http://schemas.wps.cn/vas-ai-hub/contract-review">236700平方千米</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23.67万平方千米</item>
      </candidateList>
      <explain xmlns="http://schemas.wps.cn/vas-ai-hub/contract-review">数字一致性：在描述3分标服务名称中“2026年优于1米分辨率卫星影像和0.3米分辨率立体卫星遥感影像”的数量时，出现“236700平方千米”，而在后续描述影像数据范围和数量时提到“广西全区（面积约23.67万平方千米）”，为保持数字一致性，应统一表述为“23.67万平方千米”</explain>
      <paraID xmlns="http://schemas.wps.cn/vas-ai-hub/contract-review">315CD184</paraID>
      <start xmlns="http://schemas.wps.cn/vas-ai-hub/contract-review">0</start>
      <end xmlns="http://schemas.wps.cn/vas-ai-hub/contract-review">10</end>
      <status xmlns="http://schemas.wps.cn/vas-ai-hub/contract-review">modified</status>
      <modifiedWord xmlns="http://schemas.wps.cn/vas-ai-hub/contract-review">23.67万平方千米</modifiedWord>
      <trackRevisions xmlns="http://schemas.wps.cn/vas-ai-hub/contract-review">false</trackRevisions>
    </reviewItem>
    <reviewItem xmlns="http://schemas.wps.cn/vas-ai-hub/contract-review">
      <errorID xmlns="http://schemas.wps.cn/vas-ai-hub/contract-review">1fd6a63b-6a82-410d-96a6-27cce9c72080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2002A991</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6b3f3700-3524-4ab7-8427-ccd8b2458a57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2002A991</paraID>
      <start xmlns="http://schemas.wps.cn/vas-ai-hub/contract-review">49</start>
      <end xmlns="http://schemas.wps.cn/vas-ai-hub/contract-review">50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5ef21c6f-1322-40bb-b2db-1c053543d0b5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79CE91B7</paraID>
      <start xmlns="http://schemas.wps.cn/vas-ai-hub/contract-review">93</start>
      <end xmlns="http://schemas.wps.cn/vas-ai-hub/contract-review">94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fe7aa967-5f93-415e-8430-19df4d74394e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79CE91B7</paraID>
      <start xmlns="http://schemas.wps.cn/vas-ai-hub/contract-review">98</start>
      <end xmlns="http://schemas.wps.cn/vas-ai-hub/contract-review">99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425fdd85-d808-441f-b9a0-874beeb76dcf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79CE91B7</paraID>
      <start xmlns="http://schemas.wps.cn/vas-ai-hub/contract-review">105</start>
      <end xmlns="http://schemas.wps.cn/vas-ai-hub/contract-review">106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9f79badc-09f9-41f2-8932-b4d4a3c585f8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79CE91B7</paraID>
      <start xmlns="http://schemas.wps.cn/vas-ai-hub/contract-review">111</start>
      <end xmlns="http://schemas.wps.cn/vas-ai-hub/contract-review">112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07cdf951-c403-4443-9409-9cf5bc994374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7D8FE3F4</paraID>
      <start xmlns="http://schemas.wps.cn/vas-ai-hub/contract-review">100</start>
      <end xmlns="http://schemas.wps.cn/vas-ai-hub/contract-review">101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fb457b42-785b-43be-ba39-b86c333207dc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7D8FE3F4</paraID>
      <start xmlns="http://schemas.wps.cn/vas-ai-hub/contract-review">123</start>
      <end xmlns="http://schemas.wps.cn/vas-ai-hub/contract-review">124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a57e70b3-3403-419d-82b5-39415ba38d0f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7D8FE3F4</paraID>
      <start xmlns="http://schemas.wps.cn/vas-ai-hub/contract-review">133</start>
      <end xmlns="http://schemas.wps.cn/vas-ai-hub/contract-review">134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0b8b25f9-d8f4-4389-86e4-4f69b137773d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7D8FE3F4</paraID>
      <start xmlns="http://schemas.wps.cn/vas-ai-hub/contract-review">149</start>
      <end xmlns="http://schemas.wps.cn/vas-ai-hub/contract-review">150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70a99df6-2a0c-49ba-8c77-8fe9752005a9</errorID>
      <errorWord xmlns="http://schemas.wps.cn/vas-ai-hub/contract-review">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，在</item>
      </candidateList>
      <explain xmlns="http://schemas.wps.cn/vas-ai-hub/contract-review"/>
      <paraID xmlns="http://schemas.wps.cn/vas-ai-hub/contract-review">30F9EE0E</paraID>
      <start xmlns="http://schemas.wps.cn/vas-ai-hub/contract-review">159</start>
      <end xmlns="http://schemas.wps.cn/vas-ai-hub/contract-review">160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e9b8eec0-eef7-4d5c-ae7c-99c3860dd81d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30F9EE0E</paraID>
      <start xmlns="http://schemas.wps.cn/vas-ai-hub/contract-review">183</start>
      <end xmlns="http://schemas.wps.cn/vas-ai-hub/contract-review">184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590828a2-c346-4368-adac-b0777729fdff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54247F31</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06ba266e-cabb-4403-97d8-b7fca12afa36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54247F31</paraID>
      <start xmlns="http://schemas.wps.cn/vas-ai-hub/contract-review">94</start>
      <end xmlns="http://schemas.wps.cn/vas-ai-hub/contract-review">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aa63b930-43e4-49ba-9d74-1762f8cfd27c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36E777D3</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5b5d65fe-5700-4d53-95ab-38bc58d14413</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36E777D3</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98afe900-e002-4b90-85a4-e08964204a01</errorID>
      <errorWord xmlns="http://schemas.wps.cn/vas-ai-hub/contract-review">操作合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操作台</item>
      </candidateList>
      <explain xmlns="http://schemas.wps.cn/vas-ai-hub/contract-review"/>
      <paraID xmlns="http://schemas.wps.cn/vas-ai-hub/contract-review">7B22F713</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56421205-8a14-480e-9ca7-bd3dcec8994a</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7B22F713</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d4bde822-5aa6-40b4-9b9a-05431ed610d9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49CF72C0</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efd15fa6-9cbd-4ea6-a480-fa04c4f41116</errorID>
      <errorWord xmlns="http://schemas.wps.cn/vas-ai-hub/contract-review">上传递交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上传、递交</item>
      </candidateList>
      <explain xmlns="http://schemas.wps.cn/vas-ai-hub/contract-review"/>
      <paraID xmlns="http://schemas.wps.cn/vas-ai-hub/contract-review">49CF72C0</paraID>
      <start xmlns="http://schemas.wps.cn/vas-ai-hub/contract-review">123</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3a9bff0a-d8cd-4b4b-bb5f-adb0034df578</errorID>
      <errorWord xmlns="http://schemas.wps.cn/vas-ai-hub/contract-review">现场</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，现场</item>
      </candidateList>
      <explain xmlns="http://schemas.wps.cn/vas-ai-hub/contract-review"/>
      <paraID xmlns="http://schemas.wps.cn/vas-ai-hub/contract-review">1F247BFC</paraID>
      <start xmlns="http://schemas.wps.cn/vas-ai-hub/contract-review">62</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46e5f97b-5da9-42ef-92d2-1270dc535f4e</errorID>
      <errorWord xmlns="http://schemas.wps.cn/vas-ai-hub/contract-review">帮助</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的帮助</item>
      </candidateList>
      <explain xmlns="http://schemas.wps.cn/vas-ai-hub/contract-review"/>
      <paraID xmlns="http://schemas.wps.cn/vas-ai-hub/contract-review">3D01F5BA</paraID>
      <start xmlns="http://schemas.wps.cn/vas-ai-hub/contract-review">88</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19ace015-9591-4a87-8887-70cdec84484e</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item>
      </candidateList>
      <explain xmlns="http://schemas.wps.cn/vas-ai-hub/contract-review"/>
      <paraID xmlns="http://schemas.wps.cn/vas-ai-hub/contract-review">78DF3693</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fca6a6c5-0de9-4752-8bd8-b184e695ae86</errorID>
      <errorWord xmlns="http://schemas.wps.cn/vas-ai-hub/contract-review">时相</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时限</item>
      </candidateList>
      <explain xmlns="http://schemas.wps.cn/vas-ai-hub/contract-review">存在发音相近字词的误用。</explain>
      <paraID xmlns="http://schemas.wps.cn/vas-ai-hub/contract-review">658DCEA5</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b1906b07-3f67-4438-96c1-547ac1406e96</errorID>
      <errorWord xmlns="http://schemas.wps.cn/vas-ai-hub/contract-review"/>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5949F29B</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0726f7f8-da0c-4b2b-b086-390151b41627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56A8A19A</paraID>
      <start xmlns="http://schemas.wps.cn/vas-ai-hub/contract-review">67</start>
      <end xmlns="http://schemas.wps.cn/vas-ai-hub/contract-review">68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bce52223-b812-4e03-9f02-fb1ff18884b3</errorID>
      <errorWord xmlns="http://schemas.wps.cn/vas-ai-hub/contract-review">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，以及</item>
      </candidateList>
      <explain xmlns="http://schemas.wps.cn/vas-ai-hub/contract-review"/>
      <paraID xmlns="http://schemas.wps.cn/vas-ai-hub/contract-review">5A713791</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507aca63-5e53-4901-a528-49567663ecba</errorID>
      <errorWord xmlns="http://schemas.wps.cn/vas-ai-hub/contract-review">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他</item>
      </candidateList>
      <explain xmlns="http://schemas.wps.cn/vas-ai-hub/contract-review"/>
      <paraID xmlns="http://schemas.wps.cn/vas-ai-hub/contract-review">5A713791</paraID>
      <start xmlns="http://schemas.wps.cn/vas-ai-hub/contract-review">101</start>
      <end xmlns="http://schemas.wps.cn/vas-ai-hub/contract-review">102</end>
      <status xmlns="http://schemas.wps.cn/vas-ai-hub/contract-review">modified</status>
      <modifiedWord xmlns="http://schemas.wps.cn/vas-ai-hub/contract-review">他</modifiedWord>
      <trackRevisions xmlns="http://schemas.wps.cn/vas-ai-hub/contract-review">true</trackRevisions>
    </reviewItem>
    <reviewItem xmlns="http://schemas.wps.cn/vas-ai-hub/contract-review">
      <errorID xmlns="http://schemas.wps.cn/vas-ai-hub/contract-review">a387dca7-6ae3-4244-8493-326b7094a886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5FD98EC7</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fdf2c4e5-13b6-4627-9321-f50246b3c99a</errorID>
      <errorWord xmlns="http://schemas.wps.cn/vas-ai-hub/contract-review">免受</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，免受</item>
      </candidateList>
      <explain xmlns="http://schemas.wps.cn/vas-ai-hub/contract-review"/>
      <paraID xmlns="http://schemas.wps.cn/vas-ai-hub/contract-review"> 48D2A81</paraID>
      <start xmlns="http://schemas.wps.cn/vas-ai-hub/contract-review">29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705e975c-cf52-441d-8c99-da79a362da75</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48D2A81</paraID>
      <start xmlns="http://schemas.wps.cn/vas-ai-hub/contract-review">44</start>
      <end xmlns="http://schemas.wps.cn/vas-ai-hub/contract-review">46</end>
      <status xmlns="http://schemas.wps.cn/vas-ai-hub/contract-review">modified</status>
      <modifiedWord xmlns="http://schemas.wps.cn/vas-ai-hub/contract-review">其他</modifiedWord>
      <trackRevisions xmlns="http://schemas.wps.cn/vas-ai-hub/contract-review">true</trackRevisions>
    </reviewItem>
    <reviewItem xmlns="http://schemas.wps.cn/vas-ai-hub/contract-review">
      <errorID xmlns="http://schemas.wps.cn/vas-ai-hub/contract-review">0a6e01bf-03ed-474a-9938-995d3919c6f9</errorID>
      <errorWord xmlns="http://schemas.wps.cn/vas-ai-hub/contract-review">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5BBC476A</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b5b6b651-522b-4687-aeb0-7fcf2fa4c914</errorID>
      <errorWord xmlns="http://schemas.wps.cn/vas-ai-hub/contract-review">时相</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时限</item>
      </candidateList>
      <explain xmlns="http://schemas.wps.cn/vas-ai-hub/contract-review">存在发音相近字词的误用。</explain>
      <paraID xmlns="http://schemas.wps.cn/vas-ai-hub/contract-review">6D9A8523</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ea13cf4a-d2e1-41eb-94e4-6beaab3463b0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72175DD2</paraID>
      <start xmlns="http://schemas.wps.cn/vas-ai-hub/contract-review">67</start>
      <end xmlns="http://schemas.wps.cn/vas-ai-hub/contract-review">68</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5b52cc86-b6d7-43c9-b8d1-12109909f3e1</errorID>
      <errorWord xmlns="http://schemas.wps.cn/vas-ai-hub/contract-review">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，以及</item>
      </candidateList>
      <explain xmlns="http://schemas.wps.cn/vas-ai-hub/contract-review"/>
      <paraID xmlns="http://schemas.wps.cn/vas-ai-hub/contract-review">5CA74562</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e0cbae1f-2a24-42db-940e-127d8cb881bc</errorID>
      <errorWord xmlns="http://schemas.wps.cn/vas-ai-hub/contract-review">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他</item>
      </candidateList>
      <explain xmlns="http://schemas.wps.cn/vas-ai-hub/contract-review"/>
      <paraID xmlns="http://schemas.wps.cn/vas-ai-hub/contract-review">5CA74562</paraID>
      <start xmlns="http://schemas.wps.cn/vas-ai-hub/contract-review">95</start>
      <end xmlns="http://schemas.wps.cn/vas-ai-hub/contract-review">96</end>
      <status xmlns="http://schemas.wps.cn/vas-ai-hub/contract-review">modified</status>
      <modifiedWord xmlns="http://schemas.wps.cn/vas-ai-hub/contract-review">他</modifiedWord>
      <trackRevisions xmlns="http://schemas.wps.cn/vas-ai-hub/contract-review">false</trackRevisions>
    </reviewItem>
    <reviewItem xmlns="http://schemas.wps.cn/vas-ai-hub/contract-review">
      <errorID xmlns="http://schemas.wps.cn/vas-ai-hub/contract-review">cdccf268-0b81-4ac1-a2f1-045a022c5bda</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4368E2F4</paraID>
      <start xmlns="http://schemas.wps.cn/vas-ai-hub/contract-review">44</start>
      <end xmlns="http://schemas.wps.cn/vas-ai-hub/contract-review">46</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31aaa510-d21e-42bc-ae8a-2b1cd0dbd5e5</errorID>
      <errorWord xmlns="http://schemas.wps.cn/vas-ai-hub/contract-review">分</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分</item>
      </candidateList>
      <explain xmlns="http://schemas.wps.cn/vas-ai-hub/contract-review"/>
      <paraID xmlns="http://schemas.wps.cn/vas-ai-hub/contract-review">41F9951C</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ce48a7c8-fe97-4d02-9f30-a3d69227720d</errorID>
      <errorWord xmlns="http://schemas.wps.cn/vas-ai-hub/contract-review">236700平方千米</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23.67万平方千米</item>
      </candidateList>
      <explain xmlns="http://schemas.wps.cn/vas-ai-hub/contract-review">数字一致性：在描述3分标服务名称中“2026年优于1米分辨率卫星影像和0.3米分辨率立体卫星遥感影像”的数量时，出现“236700平方千米”，而在后续描述影像数据范围和数量时提到“广西全区（面积约23.67万平方千米）”，为保持数字一致性，应统一表述为“23.67万平方千米”</explain>
      <paraID xmlns="http://schemas.wps.cn/vas-ai-hub/contract-review"> 866D113</paraID>
      <start xmlns="http://schemas.wps.cn/vas-ai-hub/contract-review">0</start>
      <end xmlns="http://schemas.wps.cn/vas-ai-hub/contract-review">10</end>
      <status xmlns="http://schemas.wps.cn/vas-ai-hub/contract-review">modified</status>
      <modifiedWord xmlns="http://schemas.wps.cn/vas-ai-hub/contract-review">23.67万平方千米</modifiedWord>
      <trackRevisions xmlns="http://schemas.wps.cn/vas-ai-hub/contract-review">false</trackRevisions>
    </reviewItem>
    <reviewItem xmlns="http://schemas.wps.cn/vas-ai-hub/contract-review">
      <errorID xmlns="http://schemas.wps.cn/vas-ai-hub/contract-review">9f21c3d6-0554-4df9-9e59-a2056d4e79a7</errorID>
      <errorWord xmlns="http://schemas.wps.cn/vas-ai-hub/contract-review">服务成果提交：202 年 月底前</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服务成果提交：2026年12月底前</item>
      </candidateList>
      <explain xmlns="http://schemas.wps.cn/vas-ai-hub/contract-review">数字一致性：在3分标商务要求中“服务成果提交”时间表述为“202 年 月底前”，与前文提到的“合同履行期限：2026年12月底前”以及1分标、2分标“服务成果提交：2026年12月底前”不一致，应统一为“2026年12月底前”</explain>
      <paraID xmlns="http://schemas.wps.cn/vas-ai-hub/contract-review">1DE8C478</paraID>
      <start xmlns="http://schemas.wps.cn/vas-ai-hub/contract-review">2</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0e604a5e-611d-4b6e-831e-1ddaec2dd400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4C2F933C</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56f33aeb-a0aa-4c1a-8670-3cade107fb65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27536EA3</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8c7f19cd-99df-4053-b638-8ee58de3d446</errorID>
      <errorWord xmlns="http://schemas.wps.cn/vas-ai-hub/contract-review">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，以及</item>
      </candidateList>
      <explain xmlns="http://schemas.wps.cn/vas-ai-hub/contract-review"/>
      <paraID xmlns="http://schemas.wps.cn/vas-ai-hub/contract-review">27536EA3</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df82cdea-0ec7-45d2-aebc-dc53de3689be</errorID>
      <errorWord xmlns="http://schemas.wps.cn/vas-ai-hub/contract-review">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他</item>
      </candidateList>
      <explain xmlns="http://schemas.wps.cn/vas-ai-hub/contract-review"/>
      <paraID xmlns="http://schemas.wps.cn/vas-ai-hub/contract-review">27536EA3</paraID>
      <start xmlns="http://schemas.wps.cn/vas-ai-hub/contract-review">95</start>
      <end xmlns="http://schemas.wps.cn/vas-ai-hub/contract-review">96</end>
      <status xmlns="http://schemas.wps.cn/vas-ai-hub/contract-review">modified</status>
      <modifiedWord xmlns="http://schemas.wps.cn/vas-ai-hub/contract-review">他</modifiedWord>
      <trackRevisions xmlns="http://schemas.wps.cn/vas-ai-hub/contract-review">false</trackRevisions>
    </reviewItem>
    <reviewItem xmlns="http://schemas.wps.cn/vas-ai-hub/contract-review">
      <errorID xmlns="http://schemas.wps.cn/vas-ai-hub/contract-review">2d6034c6-1948-4f37-b540-8b63ee99e283</errorID>
      <errorWord xmlns="http://schemas.wps.cn/vas-ai-hub/contract-review">投入到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投入</item>
      </candidateList>
      <explain xmlns="http://schemas.wps.cn/vas-ai-hub/contract-review"/>
      <paraID xmlns="http://schemas.wps.cn/vas-ai-hub/contract-review">6CC8EA9C</paraID>
      <start xmlns="http://schemas.wps.cn/vas-ai-hub/contract-review">11</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2c8d6410-9329-4fe3-ac1f-11d1d3f0c7a3</errorID>
      <errorWord xmlns="http://schemas.wps.cn/vas-ai-hub/contract-review">未经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，未经</item>
      </candidateList>
      <explain xmlns="http://schemas.wps.cn/vas-ai-hub/contract-review"/>
      <paraID xmlns="http://schemas.wps.cn/vas-ai-hub/contract-review">6CC8EA9C</paraID>
      <start xmlns="http://schemas.wps.cn/vas-ai-hub/contract-review">42</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2040865c-5120-4ceb-95ab-9c675c132e7f</errorID>
      <errorWord xmlns="http://schemas.wps.cn/vas-ai-hub/contract-review">免受</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，免受</item>
      </candidateList>
      <explain xmlns="http://schemas.wps.cn/vas-ai-hub/contract-review"/>
      <paraID xmlns="http://schemas.wps.cn/vas-ai-hub/contract-review"> AA1058A</paraID>
      <start xmlns="http://schemas.wps.cn/vas-ai-hub/contract-review">29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d7809d9a-cfd2-497d-9704-25f310987436</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AA1058A</paraID>
      <start xmlns="http://schemas.wps.cn/vas-ai-hub/contract-review">44</start>
      <end xmlns="http://schemas.wps.cn/vas-ai-hub/contract-review">46</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f60fdad5-79c5-4da4-8c7e-861f3b726df7</errorID>
      <errorWord xmlns="http://schemas.wps.cn/vas-ai-hub/contract-review">由此而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由此</item>
      </candidateList>
      <explain xmlns="http://schemas.wps.cn/vas-ai-hub/contract-review"/>
      <paraID xmlns="http://schemas.wps.cn/vas-ai-hub/contract-review"> AA1058A</paraID>
      <start xmlns="http://schemas.wps.cn/vas-ai-hub/contract-review">71</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550e47b4-0b5b-4dc2-9ec1-9ace6bf10ba8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5E420082</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a5288111-64ea-488a-8598-bd3d972781d4</errorID>
      <errorWord xmlns="http://schemas.wps.cn/vas-ai-hub/contract-review">中标人</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，中标人</item>
      </candidateList>
      <explain xmlns="http://schemas.wps.cn/vas-ai-hub/contract-review"/>
      <paraID xmlns="http://schemas.wps.cn/vas-ai-hub/contract-review">5E420082</paraID>
      <start xmlns="http://schemas.wps.cn/vas-ai-hub/contract-review">33</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69e41e40-aa98-45df-ac48-d647761d2560</errorID>
      <errorWord xmlns="http://schemas.wps.cn/vas-ai-hub/contract-review">[2011]300号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〔2011〕300号</item>
      </candidateList>
      <explain xmlns="http://schemas.wps.cn/vas-ai-hub/contract-review">发文字号格式错误。</explain>
      <paraID xmlns="http://schemas.wps.cn/vas-ai-hub/contract-review"> F2B4E53</paraID>
      <start xmlns="http://schemas.wps.cn/vas-ai-hub/contract-review">35</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93d0023a-4583-4ce3-84ea-a6a001655c8d</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 F2B4E53</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ac1baa6c-4b97-49fe-b995-a5ad53c13815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7D2B7FB5</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5ce6dc68-ba19-4970-9bc0-5e534c21d89e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7D2B7FB5</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083ed135-d17e-4013-ac51-89242468d846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70A36BAB</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fe5446e3-4b33-4c47-8618-af495933b928</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❶起：振～｜日出而～｜一鼓～气｜枪声大～。❷〈动〉从事某种活动：～孽｜～报告｜自～自受。❸〈动〉写作：著～｜～曲｜～书（写信）。❹作品：佳～｜杰～｜成功之～。❺装：～态｜装模～样。❻〈动〉当成；作为：～保｜～废｜认贼～父。❼发作：～呕｜～怪。</explain>
      <paraID xmlns="http://schemas.wps.cn/vas-ai-hub/contract-review">42A732CD</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55a1c948-a1a5-441d-b9ed-c18f4a7d7df5</errorID>
      <errorWord xmlns="http://schemas.wps.cn/vas-ai-hub/contract-review">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，以及</item>
      </candidateList>
      <explain xmlns="http://schemas.wps.cn/vas-ai-hub/contract-review"/>
      <paraID xmlns="http://schemas.wps.cn/vas-ai-hub/contract-review">55BDFEA1</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1b6c0070-fbc2-40d1-80a2-be14d3117d58</errorID>
      <errorWord xmlns="http://schemas.wps.cn/vas-ai-hub/contract-review">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他</item>
      </candidateList>
      <explain xmlns="http://schemas.wps.cn/vas-ai-hub/contract-review"/>
      <paraID xmlns="http://schemas.wps.cn/vas-ai-hub/contract-review">55BDFEA1</paraID>
      <start xmlns="http://schemas.wps.cn/vas-ai-hub/contract-review">81</start>
      <end xmlns="http://schemas.wps.cn/vas-ai-hub/contract-review">82</end>
      <status xmlns="http://schemas.wps.cn/vas-ai-hub/contract-review">modified</status>
      <modifiedWord xmlns="http://schemas.wps.cn/vas-ai-hub/contract-review">他</modifiedWord>
      <trackRevisions xmlns="http://schemas.wps.cn/vas-ai-hub/contract-review">false</trackRevisions>
    </reviewItem>
    <reviewItem xmlns="http://schemas.wps.cn/vas-ai-hub/contract-review">
      <errorID xmlns="http://schemas.wps.cn/vas-ai-hub/contract-review">12bc5658-57ac-4c2a-b6a0-a90bf3fb06fb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3AC74B9E</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31cba63e-43be-4edf-a185-a5cfd8b176dd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3AC74B9E</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8915ca66-d6e7-43c6-aa02-11e279948be3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2B71A55F</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d0a4c57e-76b8-4033-b5b1-bbc6f3a02d3e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2B71A55F</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dab5d534-d517-4ab1-9e00-a4a925886810</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269C5A85</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45632f07-b9ba-4e78-b1a3-48de3f0364fe</errorID>
      <errorWord xmlns="http://schemas.wps.cn/vas-ai-hub/contract-review">及其他</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，以及其他</item>
      </candidateList>
      <explain xmlns="http://schemas.wps.cn/vas-ai-hub/contract-review"/>
      <paraID xmlns="http://schemas.wps.cn/vas-ai-hub/contract-review">269C5A85</paraID>
      <start xmlns="http://schemas.wps.cn/vas-ai-hub/contract-review">143</start>
      <end xmlns="http://schemas.wps.cn/vas-ai-hub/contract-review">146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e2eac0f3-ab10-4551-940f-4871c1665fa1</errorID>
      <errorWord xmlns="http://schemas.wps.cn/vas-ai-hub/contract-review">及其他</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，以及其他</item>
      </candidateList>
      <explain xmlns="http://schemas.wps.cn/vas-ai-hub/contract-review"/>
      <paraID xmlns="http://schemas.wps.cn/vas-ai-hub/contract-review">269C5A85</paraID>
      <start xmlns="http://schemas.wps.cn/vas-ai-hub/contract-review">318</start>
      <end xmlns="http://schemas.wps.cn/vas-ai-hub/contract-review">321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edd9c550-d6d5-4239-9ebc-aa0d88e4364d</errorID>
      <errorWord xmlns="http://schemas.wps.cn/vas-ai-hub/contract-review">单数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奇数</item>
      </candidateList>
      <explain xmlns="http://schemas.wps.cn/vas-ai-hub/contract-review"/>
      <paraID xmlns="http://schemas.wps.cn/vas-ai-hub/contract-review">20A40FA5</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961356b9-52aa-4c8d-9f1e-7e8155f11ce2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75AE72FB</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153ec58c-5dff-42e1-ab0e-e7592f94236d</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item>
      </candidateList>
      <explain xmlns="http://schemas.wps.cn/vas-ai-hub/contract-review"/>
      <paraID xmlns="http://schemas.wps.cn/vas-ai-hub/contract-review">4AE19E35</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8f18a168-d487-4181-a4b7-d20ff463748c</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item>
      </candidateList>
      <explain xmlns="http://schemas.wps.cn/vas-ai-hub/contract-review"/>
      <paraID xmlns="http://schemas.wps.cn/vas-ai-hub/contract-review">6F75E58C</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c6a6f922-3c03-4a21-bc63-adcfd1de4ce6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3D041081</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5d25969f-a2dc-45db-bedd-a68308768993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3D041081</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aa92002c-33db-47c8-845b-0d105c4d438f</errorID>
      <errorWord xmlns="http://schemas.wps.cn/vas-ai-hub/contract-review">下午15：00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15:00</item>
      </candidateList>
      <explain xmlns="http://schemas.wps.cn/vas-ai-hub/contract-review">24小时制的时间，不需要强调“下午”，并且冒号应使用半角。</explain>
      <paraID xmlns="http://schemas.wps.cn/vas-ai-hub/contract-review">3D041081</paraID>
      <start xmlns="http://schemas.wps.cn/vas-ai-hub/contract-review">22</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895f2e38-3fc0-4f70-bd7d-545aeaec2533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3D041081</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77075284-54b3-4f05-bd08-d94454e95187</errorID>
      <errorWord xmlns="http://schemas.wps.cn/vas-ai-hub/contract-review">100～500万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100万～500万</item>
      </candidateList>
      <explain xmlns="http://schemas.wps.cn/vas-ai-hub/contract-review">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57EF57C0</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ba53df64-af07-4009-9624-1d4d8ed61ecb</errorID>
      <errorWord xmlns="http://schemas.wps.cn/vas-ai-hub/contract-review">500～1000万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500万～1000万</item>
      </candidateList>
      <explain xmlns="http://schemas.wps.cn/vas-ai-hub/contract-review">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14926506</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ab5821ea-accf-4cd2-b03a-5aa76a87287f</errorID>
      <errorWord xmlns="http://schemas.wps.cn/vas-ai-hub/contract-review">1000～5000万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1000万～5000万</item>
      </candidateList>
      <explain xmlns="http://schemas.wps.cn/vas-ai-hub/contract-review">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49CA9671</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276642ef-28bd-421d-99bd-fe3893250790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item>
      </candidateList>
      <explain xmlns="http://schemas.wps.cn/vas-ai-hub/contract-review"/>
      <paraID xmlns="http://schemas.wps.cn/vas-ai-hub/contract-review">14B265F1</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fca68630-bee3-4cae-b6e5-6789c7ab5e96</errorID>
      <errorWord xmlns="http://schemas.wps.cn/vas-ai-hub/contract-review">指印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印</item>
      </candidateList>
      <explain xmlns="http://schemas.wps.cn/vas-ai-hub/contract-review"/>
      <paraID xmlns="http://schemas.wps.cn/vas-ai-hub/contract-review">4AE67524</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8382b404-8cb2-4f53-b364-efcd768fafdf</errorID>
      <errorWord xmlns="http://schemas.wps.cn/vas-ai-hub/contract-review">[2020]46号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〔2020〕46号</item>
      </candidateList>
      <explain xmlns="http://schemas.wps.cn/vas-ai-hub/contract-review">发文字号格式错误。</explain>
      <paraID xmlns="http://schemas.wps.cn/vas-ai-hub/contract-review">351B887F</paraID>
      <start xmlns="http://schemas.wps.cn/vas-ai-hub/contract-review">26</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c7468e6b-a66f-436f-a27d-df1f5813ef79</errorID>
      <errorWord xmlns="http://schemas.wps.cn/vas-ai-hub/contract-review">4%-6%</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4%—6%</item>
      </candidateList>
      <explain xmlns="http://schemas.wps.cn/vas-ai-hub/contract-review">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351B887F</paraID>
      <start xmlns="http://schemas.wps.cn/vas-ai-hub/contract-review">175</start>
      <end xmlns="http://schemas.wps.cn/vas-ai-hub/contract-review">180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c216972f-5d06-4957-825b-98fed40193b4</errorID>
      <errorWord xmlns="http://schemas.wps.cn/vas-ai-hub/contract-review">材料的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材料</item>
      </candidateList>
      <explain xmlns="http://schemas.wps.cn/vas-ai-hub/contract-review"/>
      <paraID xmlns="http://schemas.wps.cn/vas-ai-hub/contract-review">6B7D7A03</paraID>
      <start xmlns="http://schemas.wps.cn/vas-ai-hub/contract-review">58</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5f5c3805-5130-4375-a6ae-76e07dd4a15e</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6B7D7A03</paraID>
      <start xmlns="http://schemas.wps.cn/vas-ai-hub/contract-review">93</start>
      <end xmlns="http://schemas.wps.cn/vas-ai-hub/contract-review">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5e6b7d2f-2340-443a-b6e4-9ddb839338e3</errorID>
      <errorWord xmlns="http://schemas.wps.cn/vas-ai-hub/contract-review">不同的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不同</item>
      </candidateList>
      <explain xmlns="http://schemas.wps.cn/vas-ai-hub/contract-review"/>
      <paraID xmlns="http://schemas.wps.cn/vas-ai-hub/contract-review">66DC7C8B</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c4aa74c5-29b4-4071-b3e6-b30bd2070eec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65465CF</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be9a21fa-9408-4eb5-bf6e-60020549657f</errorID>
      <errorWord xmlns="http://schemas.wps.cn/vas-ai-hub/contract-review">30</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9</item>
      </candidateList>
      <explain xmlns="http://schemas.wps.cn/vas-ai-hub/contract-review"/>
      <paraID xmlns="http://schemas.wps.cn/vas-ai-hub/contract-review"> CD2A4BC</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21ccb419-25f7-4b79-b15b-7273b426f27e</errorID>
      <errorWord xmlns="http://schemas.wps.cn/vas-ai-hub/contract-review">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置加</item>
      </candidateList>
      <explain xmlns="http://schemas.wps.cn/vas-ai-hub/contract-review"/>
      <paraID xmlns="http://schemas.wps.cn/vas-ai-hub/contract-review">4D291330</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aee2cf46-0bd0-4899-8e14-54bca5dac927</errorID>
      <errorWord xmlns="http://schemas.wps.cn/vas-ai-hub/contract-review">以后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后</item>
      </candidateList>
      <explain xmlns="http://schemas.wps.cn/vas-ai-hub/contract-review"/>
      <paraID xmlns="http://schemas.wps.cn/vas-ai-hub/contract-review">4AFC5457</paraID>
      <start xmlns="http://schemas.wps.cn/vas-ai-hub/contract-review">125</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da5be50d-fe5d-4934-b5d3-4e48749904b0</errorID>
      <errorWord xmlns="http://schemas.wps.cn/vas-ai-hub/contract-review">可登陆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可登录</item>
      </candidateList>
      <explain xmlns="http://schemas.wps.cn/vas-ai-hub/contract-review"/>
      <paraID xmlns="http://schemas.wps.cn/vas-ai-hub/contract-review">4AFC5457</paraID>
      <start xmlns="http://schemas.wps.cn/vas-ai-hub/contract-review">164</start>
      <end xmlns="http://schemas.wps.cn/vas-ai-hub/contract-review">167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09a87955-b6b8-4393-9176-ce25284aa41b</errorID>
      <errorWord xmlns="http://schemas.wps.cn/vas-ai-hub/contract-review">时间止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时间</item>
      </candidateList>
      <explain xmlns="http://schemas.wps.cn/vas-ai-hub/contract-review"/>
      <paraID xmlns="http://schemas.wps.cn/vas-ai-hub/contract-review"> 3F38962</paraID>
      <start xmlns="http://schemas.wps.cn/vas-ai-hub/contract-review">9</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aa7225cf-6c58-4ea9-a41a-fb6946c0ac4c</errorID>
      <errorWord xmlns="http://schemas.wps.cn/vas-ai-hub/contract-review">“投标人须知前附表”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《投标人须知前附表》</item>
      </candidateList>
      <explain xmlns="http://schemas.wps.cn/vas-ai-hub/contract-review"/>
      <paraID xmlns="http://schemas.wps.cn/vas-ai-hub/contract-review">12796603</paraID>
      <start xmlns="http://schemas.wps.cn/vas-ai-hub/contract-review">13</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169243af-66e5-4b53-a898-4c34d22b108a</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item>
      </candidateList>
      <explain xmlns="http://schemas.wps.cn/vas-ai-hub/contract-review"/>
      <paraID xmlns="http://schemas.wps.cn/vas-ai-hub/contract-review">4A8F929E</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590becad-44a3-423a-a7fc-bf8098bee6b4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5F16DB49</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b67c4e56-bb46-4d36-b71b-2c436cecb2f8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7A59F52</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0615b691-b5dd-414e-88a8-128492981c32</errorID>
      <errorWord xmlns="http://schemas.wps.cn/vas-ai-hub/contract-review">大会的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大会</item>
      </candidateList>
      <explain xmlns="http://schemas.wps.cn/vas-ai-hub/contract-review"/>
      <paraID xmlns="http://schemas.wps.cn/vas-ai-hub/contract-review"> 7A59F52</paraID>
      <start xmlns="http://schemas.wps.cn/vas-ai-hub/contract-review">69</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a4373d36-9c91-4d50-8984-d6e45b91c739</errorID>
      <errorWord xmlns="http://schemas.wps.cn/vas-ai-hub/contract-review">投标人</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，投标人</item>
      </candidateList>
      <explain xmlns="http://schemas.wps.cn/vas-ai-hub/contract-review"/>
      <paraID xmlns="http://schemas.wps.cn/vas-ai-hub/contract-review"> 7A59F52</paraID>
      <start xmlns="http://schemas.wps.cn/vas-ai-hub/contract-review">110</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eaa503ee-75f9-4421-8e68-205a924f5f20</errorID>
      <errorWord xmlns="http://schemas.wps.cn/vas-ai-hub/contract-review">自己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自行</item>
      </candidateList>
      <explain xmlns="http://schemas.wps.cn/vas-ai-hub/contract-review"/>
      <paraID xmlns="http://schemas.wps.cn/vas-ai-hub/contract-review"> 7A59F52</paraID>
      <start xmlns="http://schemas.wps.cn/vas-ai-hub/contract-review">143</start>
      <end xmlns="http://schemas.wps.cn/vas-ai-hub/contract-review">145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47107167-4b98-4dfe-8f75-ecb56f8df69e</errorID>
      <errorWord xmlns="http://schemas.wps.cn/vas-ai-hub/contract-review">准时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，准时</item>
      </candidateList>
      <explain xmlns="http://schemas.wps.cn/vas-ai-hub/contract-review"/>
      <paraID xmlns="http://schemas.wps.cn/vas-ai-hub/contract-review">3C3D6745</paraID>
      <start xmlns="http://schemas.wps.cn/vas-ai-hub/contract-review">119</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b676670b-2fdc-45da-b4a6-12228c44c0fb</errorID>
      <errorWord xmlns="http://schemas.wps.cn/vas-ai-hub/contract-review">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，并</item>
      </candidateList>
      <explain xmlns="http://schemas.wps.cn/vas-ai-hub/contract-review"/>
      <paraID xmlns="http://schemas.wps.cn/vas-ai-hub/contract-review">3C3D6745</paraID>
      <start xmlns="http://schemas.wps.cn/vas-ai-hub/contract-review">141</start>
      <end xmlns="http://schemas.wps.cn/vas-ai-hub/contract-review">142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ff07a8f9-ab56-4d02-8dac-d725c5ab7446</errorID>
      <errorWord xmlns="http://schemas.wps.cn/vas-ai-hub/contract-review">解密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的解密</item>
      </candidateList>
      <explain xmlns="http://schemas.wps.cn/vas-ai-hub/contract-review"/>
      <paraID xmlns="http://schemas.wps.cn/vas-ai-hub/contract-review">3C3D6745</paraID>
      <start xmlns="http://schemas.wps.cn/vas-ai-hub/contract-review">166</start>
      <end xmlns="http://schemas.wps.cn/vas-ai-hub/contract-review">168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816ebdca-1494-4ab0-af72-aa911f24aca9</errorID>
      <errorWord xmlns="http://schemas.wps.cn/vas-ai-hub/contract-review">“投标人须知前附表”；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《投标人须知前附表》。</item>
      </candidateList>
      <explain xmlns="http://schemas.wps.cn/vas-ai-hub/contract-review"/>
      <paraID xmlns="http://schemas.wps.cn/vas-ai-hub/contract-review">758D7537</paraID>
      <start xmlns="http://schemas.wps.cn/vas-ai-hub/contract-review">46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3f5d9f19-1606-42cf-b4b1-135d9c2c63f9</errorID>
      <errorWord xmlns="http://schemas.wps.cn/vas-ai-hub/contract-review">电子</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进行电子</item>
      </candidateList>
      <explain xmlns="http://schemas.wps.cn/vas-ai-hub/contract-review"/>
      <paraID xmlns="http://schemas.wps.cn/vas-ai-hub/contract-review">42118531</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107c1590-ad33-4b7d-8bbb-0a013e92d53e</errorID>
      <errorWord xmlns="http://schemas.wps.cn/vas-ai-hub/contract-review">，由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42118531</paraID>
      <start xmlns="http://schemas.wps.cn/vas-ai-hub/contract-review">24</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8a8bcf5e-3593-46e6-9f2e-619c7c419762</errorID>
      <errorWord xmlns="http://schemas.wps.cn/vas-ai-hub/contract-review">对电子开标记录</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应</item>
      </candidateList>
      <explain xmlns="http://schemas.wps.cn/vas-ai-hub/contract-review"/>
      <paraID xmlns="http://schemas.wps.cn/vas-ai-hub/contract-review">42118531</paraID>
      <start xmlns="http://schemas.wps.cn/vas-ai-hub/contract-review">39</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80e9b38b-7096-46d4-a96b-564930a06de1</errorID>
      <errorWord xmlns="http://schemas.wps.cn/vas-ai-hub/contract-review">进行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，对电子开标记录进行</item>
      </candidateList>
      <explain xmlns="http://schemas.wps.cn/vas-ai-hub/contract-review"/>
      <paraID xmlns="http://schemas.wps.cn/vas-ai-hub/contract-review">42118531</paraID>
      <start xmlns="http://schemas.wps.cn/vas-ai-hub/contract-review">59</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c6ac4302-39ea-455a-8535-af544ee2c8b4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42118531</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5995d98f-9c2f-4b95-a356-e178a727693a</errorID>
      <errorWord xmlns="http://schemas.wps.cn/vas-ai-hub/contract-review">视同</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，视同</item>
      </candidateList>
      <explain xmlns="http://schemas.wps.cn/vas-ai-hub/contract-review"/>
      <paraID xmlns="http://schemas.wps.cn/vas-ai-hub/contract-review">42118531</paraID>
      <start xmlns="http://schemas.wps.cn/vas-ai-hub/contract-review">84</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5c105f83-13f8-4313-90c1-7052b39119fb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FD0EE05</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53285795-b0f3-456a-84b2-ccb9ad8493c2</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795D2F89</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0550aca2-218c-4926-86df-2dd3bd8788c8</errorID>
      <errorWord xmlns="http://schemas.wps.cn/vas-ai-hub/contract-review">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
      <paraID xmlns="http://schemas.wps.cn/vas-ai-hub/contract-review">6A7469E4</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74bae3f1-63c0-4b09-83ee-14dce2fb102b</errorID>
      <errorWord xmlns="http://schemas.wps.cn/vas-ai-hub/contract-review">的投标人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item>
      </candidateList>
      <explain xmlns="http://schemas.wps.cn/vas-ai-hub/contract-review"/>
      <paraID xmlns="http://schemas.wps.cn/vas-ai-hub/contract-review">4414A29B</paraID>
      <start xmlns="http://schemas.wps.cn/vas-ai-hub/contract-review">21</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013c3cd6-a494-4f93-9db7-f22ca8d32d9f</errorID>
      <errorWord xmlns="http://schemas.wps.cn/vas-ai-hub/contract-review">及其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，及其</item>
      </candidateList>
      <explain xmlns="http://schemas.wps.cn/vas-ai-hub/contract-review"/>
      <paraID xmlns="http://schemas.wps.cn/vas-ai-hub/contract-review">59CE6E28</paraID>
      <start xmlns="http://schemas.wps.cn/vas-ai-hub/contract-review">135</start>
      <end xmlns="http://schemas.wps.cn/vas-ai-hub/contract-review">137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6170fc6c-2049-47e4-88d2-5be694fcc5fe</errorID>
      <errorWord xmlns="http://schemas.wps.cn/vas-ai-hub/contract-review">“投标人须知前附表”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《投标人须知前附表》</item>
      </candidateList>
      <explain xmlns="http://schemas.wps.cn/vas-ai-hub/contract-review"/>
      <paraID xmlns="http://schemas.wps.cn/vas-ai-hub/contract-review">59CE6E28</paraID>
      <start xmlns="http://schemas.wps.cn/vas-ai-hub/contract-review">177</start>
      <end xmlns="http://schemas.wps.cn/vas-ai-hub/contract-review">187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354210ec-67a2-44ef-9441-894d2896ff53</errorID>
      <errorWord xmlns="http://schemas.wps.cn/vas-ai-hub/contract-review">“投标人须知前附表”资格证明文件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《投标人须知前附表》</item>
      </candidateList>
      <explain xmlns="http://schemas.wps.cn/vas-ai-hub/contract-review"/>
      <paraID xmlns="http://schemas.wps.cn/vas-ai-hub/contract-review">1F1AAECB</paraID>
      <start xmlns="http://schemas.wps.cn/vas-ai-hub/contract-review">20</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4488b6bb-94fc-4e02-aec6-805fe311d44e</errorID>
      <errorWord xmlns="http://schemas.wps.cn/vas-ai-hub/contract-review">“投标人须知前附表”资格证明文件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《投标人须知前附表》</item>
      </candidateList>
      <explain xmlns="http://schemas.wps.cn/vas-ai-hub/contract-review"/>
      <paraID xmlns="http://schemas.wps.cn/vas-ai-hub/contract-review"> 91DB1FC</paraID>
      <start xmlns="http://schemas.wps.cn/vas-ai-hub/contract-review">23</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c8d04f06-90e6-420f-b12a-4bca28d8b1c2</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情况。</item>
      </candidateList>
      <explain xmlns="http://schemas.wps.cn/vas-ai-hub/contract-review"/>
      <paraID xmlns="http://schemas.wps.cn/vas-ai-hub/contract-review"> 91DB1FC</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db620923-0f0b-495e-b828-e1273cf135e2</errorID>
      <errorWord xmlns="http://schemas.wps.cn/vas-ai-hub/contract-review">合格</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合格</item>
      </candidateList>
      <explain xmlns="http://schemas.wps.cn/vas-ai-hub/contract-review"/>
      <paraID xmlns="http://schemas.wps.cn/vas-ai-hub/contract-review"> 8953DEA</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baa6f6a1-094b-4424-9977-6c7f424f9c5f</errorID>
      <errorWord xmlns="http://schemas.wps.cn/vas-ai-hub/contract-review">组建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组建</item>
      </candidateList>
      <explain xmlns="http://schemas.wps.cn/vas-ai-hub/contract-review"/>
      <paraID xmlns="http://schemas.wps.cn/vas-ai-hub/contract-review">31084AAA</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9684af2c-ff3b-4ac3-a78f-fc3b3d198b1c</errorID>
      <errorWord xmlns="http://schemas.wps.cn/vas-ai-hub/contract-review">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评</item>
      </candidateList>
      <explain xmlns="http://schemas.wps.cn/vas-ai-hub/contract-review"/>
      <paraID xmlns="http://schemas.wps.cn/vas-ai-hub/contract-review">1C7419E5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6e19748b-a72e-469c-8eb2-ff1764edc0ee</errorID>
      <errorWord xmlns="http://schemas.wps.cn/vas-ai-hub/contract-review">参加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参加</item>
      </candidateList>
      <explain xmlns="http://schemas.wps.cn/vas-ai-hub/contract-review"/>
      <paraID xmlns="http://schemas.wps.cn/vas-ai-hub/contract-review">574DE780</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e6d54de5-f6e8-49af-b841-b0a640e3af6b</errorID>
      <errorWord xmlns="http://schemas.wps.cn/vas-ai-hub/contract-review">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评</item>
      </candidateList>
      <explain xmlns="http://schemas.wps.cn/vas-ai-hub/contract-review"/>
      <paraID xmlns="http://schemas.wps.cn/vas-ai-hub/contract-review">58C3B1B7</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f0c4fdf0-2eae-49e4-af21-9550dae9463a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6D54AEFF</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ae041afc-48f4-405d-890f-07269ad3327c</errorID>
      <errorWord xmlns="http://schemas.wps.cn/vas-ai-hub/contract-review">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会在</item>
      </candidateList>
      <explain xmlns="http://schemas.wps.cn/vas-ai-hub/contract-review"/>
      <paraID xmlns="http://schemas.wps.cn/vas-ai-hub/contract-review">6D54AEFF</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ff3981cb-ca98-479d-a28b-e9ad00d429d1</errorID>
      <errorWord xmlns="http://schemas.wps.cn/vas-ai-hub/contract-review">评委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评委</item>
      </candidateList>
      <explain xmlns="http://schemas.wps.cn/vas-ai-hub/contract-review"/>
      <paraID xmlns="http://schemas.wps.cn/vas-ai-hub/contract-review">51A7B93A</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03722b2b-e4f3-4a5f-a290-9babcf098ffe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51A7B93A</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330e3434-73e9-48b5-b215-abb8648b9021</errorID>
      <errorWord xmlns="http://schemas.wps.cn/vas-ai-hub/contract-review">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评</item>
      </candidateList>
      <explain xmlns="http://schemas.wps.cn/vas-ai-hub/contract-review"/>
      <paraID xmlns="http://schemas.wps.cn/vas-ai-hub/contract-review">4599F5C8</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ec9c0255-4f43-48f3-9e44-42f1bc694902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4599F5C8</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e3947c03-669c-41a9-b8b6-6c33f853a8b5</errorID>
      <errorWord xmlns="http://schemas.wps.cn/vas-ai-hub/contract-review">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评</item>
      </candidateList>
      <explain xmlns="http://schemas.wps.cn/vas-ai-hub/contract-review"/>
      <paraID xmlns="http://schemas.wps.cn/vas-ai-hub/contract-review">15FC88B4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bfb7ea23-29af-4551-8301-0a0cefdb98b8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15FC88B4</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edd19597-248f-42e3-b261-0b100b0b4367</errorID>
      <errorWord xmlns="http://schemas.wps.cn/vas-ai-hub/contract-review">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本</item>
      </candidateList>
      <explain xmlns="http://schemas.wps.cn/vas-ai-hub/contract-review"/>
      <paraID xmlns="http://schemas.wps.cn/vas-ai-hub/contract-review"> F713B22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31247ba2-3fb7-460e-9138-78f0d06fb0bb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2CBEF8E2</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fcb77d46-80fc-465e-bc9c-da1fb7cc7f8b</errorID>
      <errorWord xmlns="http://schemas.wps.cn/vas-ai-hub/contract-review">出现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出现</item>
      </candidateList>
      <explain xmlns="http://schemas.wps.cn/vas-ai-hub/contract-review"/>
      <paraID xmlns="http://schemas.wps.cn/vas-ai-hub/contract-review">2C44A2AF</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48e2fa7f-c0c9-4253-9778-320c3121f2b6</errorID>
      <errorWord xmlns="http://schemas.wps.cn/vas-ai-hub/contract-review">或（并）</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或</item>
      </candidateList>
      <explain xmlns="http://schemas.wps.cn/vas-ai-hub/contract-review"/>
      <paraID xmlns="http://schemas.wps.cn/vas-ai-hub/contract-review">7748C919</paraID>
      <start xmlns="http://schemas.wps.cn/vas-ai-hub/contract-review">48</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c2026225-084e-4851-8bc7-a60e96ecd1f2</errorID>
      <errorWord xmlns="http://schemas.wps.cn/vas-ai-hub/contract-review">招标投标法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中华人民共和国招标投标法</item>
      </candidateList>
      <explain xmlns="http://schemas.wps.cn/vas-ai-hub/contract-review">当前法律法规名称使用简称，请注意是否应当使用全称。</explain>
      <paraID xmlns="http://schemas.wps.cn/vas-ai-hub/contract-review">7748C919</paraID>
      <start xmlns="http://schemas.wps.cn/vas-ai-hub/contract-review">86</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bebd320f-00a2-4344-b7ca-5e8fe7878b8d</errorID>
      <errorWord xmlns="http://schemas.wps.cn/vas-ai-hub/contract-review">发出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机构发出</item>
      </candidateList>
      <explain xmlns="http://schemas.wps.cn/vas-ai-hub/contract-review"/>
      <paraID xmlns="http://schemas.wps.cn/vas-ai-hub/contract-review">64EA7F0F</paraID>
      <start xmlns="http://schemas.wps.cn/vas-ai-hub/contract-review">80</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ed1d5ba3-18fc-476c-bc70-122f127d566b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1077D200</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3e9d328f-0a9c-40ac-b244-a8187f3e6a1f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2F785F9E</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c6eab860-810b-4a4f-afd1-d133c5be7a48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17720E43</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8930052e-81c4-4696-b61f-cdb24019256c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17720E43</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0cf9ada3-849f-45a6-a956-3769266f4491</errorID>
      <errorWord xmlns="http://schemas.wps.cn/vas-ai-hub/contract-review">帐号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账号</item>
      </candidateList>
      <explain xmlns="http://schemas.wps.cn/vas-ai-hub/contract-review">〈名〉单位或个人跟银行建立经济关系后，银行在账上给该单位或个人编的号码。</explain>
      <paraID xmlns="http://schemas.wps.cn/vas-ai-hub/contract-review">5FD960C3</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628f8f8d-176b-47c2-9db4-ecb32664dbd6</errorID>
      <errorWord xmlns="http://schemas.wps.cn/vas-ai-hub/contract-review">签订合同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签订合同</item>
      </candidateList>
      <explain xmlns="http://schemas.wps.cn/vas-ai-hub/contract-review"/>
      <paraID xmlns="http://schemas.wps.cn/vas-ai-hub/contract-review">5ECC4EE2</paraID>
      <start xmlns="http://schemas.wps.cn/vas-ai-hub/contract-review">4</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48454eb4-ac9f-4436-9b8d-720bd9d6fa31</errorID>
      <errorWord xmlns="http://schemas.wps.cn/vas-ai-hub/contract-review">中标人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中标人</item>
      </candidateList>
      <explain xmlns="http://schemas.wps.cn/vas-ai-hub/contract-review"/>
      <paraID xmlns="http://schemas.wps.cn/vas-ai-hub/contract-review">7BA4FC5A</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49252001-8d7a-4d51-b8c0-fb1c94ed07ff</errorID>
      <errorWord xmlns="http://schemas.wps.cn/vas-ai-hub/contract-review">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政府</item>
      </candidateList>
      <explain xmlns="http://schemas.wps.cn/vas-ai-hub/contract-review"/>
      <paraID xmlns="http://schemas.wps.cn/vas-ai-hub/contract-review">1DC12F47</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b8a503ba-0b33-42b1-844b-7d948a0db385</errorID>
      <errorWord xmlns="http://schemas.wps.cn/vas-ai-hub/contract-review">采购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采购</item>
      </candidateList>
      <explain xmlns="http://schemas.wps.cn/vas-ai-hub/contract-review"/>
      <paraID xmlns="http://schemas.wps.cn/vas-ai-hub/contract-review">53B235F4</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d1de6e1c-1ee8-4772-9fd9-799b9611f0e0</errorID>
      <errorWord xmlns="http://schemas.wps.cn/vas-ai-hub/contract-review">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如</item>
      </candidateList>
      <explain xmlns="http://schemas.wps.cn/vas-ai-hub/contract-review"/>
      <paraID xmlns="http://schemas.wps.cn/vas-ai-hub/contract-review">33226914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5db515be-9efd-4cf9-87cb-78a70d2a0f9d</errorID>
      <errorWord xmlns="http://schemas.wps.cn/vas-ai-hub/contract-review">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政府</item>
      </candidateList>
      <explain xmlns="http://schemas.wps.cn/vas-ai-hub/contract-review"/>
      <paraID xmlns="http://schemas.wps.cn/vas-ai-hub/contract-review">3EB56F74</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4a3f2f7b-2c34-42cb-9a6d-8b3191ae1609</errorID>
      <errorWord xmlns="http://schemas.wps.cn/vas-ai-hub/contract-review">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政府</item>
      </candidateList>
      <explain xmlns="http://schemas.wps.cn/vas-ai-hub/contract-review"/>
      <paraID xmlns="http://schemas.wps.cn/vas-ai-hub/contract-review">52B9E63A</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b8161ead-301d-413a-8317-f5fa20eea7c5</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7D35B417</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aa202d71-692d-4cab-9892-60764f14d28c</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4AF16CE3</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9d04c1a2-8b18-479e-a3ef-c8fa5e2d7034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62E951C8</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0efff0b3-09fa-4f9b-8895-743fcaa547eb</errorID>
      <errorWord xmlns="http://schemas.wps.cn/vas-ai-hub/contract-review">采购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采购</item>
      </candidateList>
      <explain xmlns="http://schemas.wps.cn/vas-ai-hub/contract-review"/>
      <paraID xmlns="http://schemas.wps.cn/vas-ai-hub/contract-review">32A34A06</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c7470a41-9573-4e03-b7f0-037b2ef1b5ad</errorID>
      <errorWord xmlns="http://schemas.wps.cn/vas-ai-hub/contract-review">.1</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15B9FD36</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d723a7d6-4a2e-4751-bc2a-45eff5177c51</errorID>
      <errorWord xmlns="http://schemas.wps.cn/vas-ai-hub/contract-review">“投标人须知前附表”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《投标人须知前附表》</item>
      </candidateList>
      <explain xmlns="http://schemas.wps.cn/vas-ai-hub/contract-review"/>
      <paraID xmlns="http://schemas.wps.cn/vas-ai-hub/contract-review">15B9FD36</paraID>
      <start xmlns="http://schemas.wps.cn/vas-ai-hub/contract-review">19</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5aa335aa-f0b9-4c13-9372-f75356cdbd22</errorID>
      <errorWord xmlns="http://schemas.wps.cn/vas-ai-hub/contract-review">100～500万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100万～500万</item>
      </candidateList>
      <explain xmlns="http://schemas.wps.cn/vas-ai-hub/contract-review">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367EDA1F</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01d83eaf-ca79-4cc8-847b-a78cff92de41</errorID>
      <errorWord xmlns="http://schemas.wps.cn/vas-ai-hub/contract-review">500～1000万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500万～1000万</item>
      </candidateList>
      <explain xmlns="http://schemas.wps.cn/vas-ai-hub/contract-review">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548C5401</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12329032-c409-43af-bfb3-e97db601bcdd</errorID>
      <errorWord xmlns="http://schemas.wps.cn/vas-ai-hub/contract-review">1000～5000万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1000万～5000万</item>
      </candidateList>
      <explain xmlns="http://schemas.wps.cn/vas-ai-hub/contract-review">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4741F7A8</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0bd2de54-27f6-482c-8bec-e294fa648586</errorID>
      <errorWord xmlns="http://schemas.wps.cn/vas-ai-hub/contract-review">“投标人须知前附表”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《投标人须知前附表》</item>
      </candidateList>
      <explain xmlns="http://schemas.wps.cn/vas-ai-hub/contract-review"/>
      <paraID xmlns="http://schemas.wps.cn/vas-ai-hub/contract-review">384D1B5D</paraID>
      <start xmlns="http://schemas.wps.cn/vas-ai-hub/contract-review">15</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9ca35744-5cfe-463b-adc2-dffc0bace4cb</errorID>
      <errorWord xmlns="http://schemas.wps.cn/vas-ai-hub/contract-review">“投标人须知前附表”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《投标人须知前附表》</item>
      </candidateList>
      <explain xmlns="http://schemas.wps.cn/vas-ai-hub/contract-review"/>
      <paraID xmlns="http://schemas.wps.cn/vas-ai-hub/contract-review">155D1E6E</paraID>
      <start xmlns="http://schemas.wps.cn/vas-ai-hub/contract-review">11</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09b65d1f-6e9d-4315-8c17-825e5e579973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E5F47B2</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b3a33d91-3385-461a-a4a7-160c6da02009</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507941F3</paraID>
      <start xmlns="http://schemas.wps.cn/vas-ai-hub/contract-review">116</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95b08cac-e288-4d4c-9afc-a1b19f48785e</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775A3AE7</paraID>
      <start xmlns="http://schemas.wps.cn/vas-ai-hub/contract-review">116</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417f233b-59a3-4ba0-b502-300d5cd22d0b</errorID>
      <errorWord xmlns="http://schemas.wps.cn/vas-ai-hub/contract-review">不未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不</item>
      </candidateList>
      <explain xmlns="http://schemas.wps.cn/vas-ai-hub/contract-review"/>
      <paraID xmlns="http://schemas.wps.cn/vas-ai-hub/contract-review">1D133CE0</paraID>
      <start xmlns="http://schemas.wps.cn/vas-ai-hub/contract-review">37</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6585df85-9fa2-4d24-8987-0f844845a15e</errorID>
      <errorWord xmlns="http://schemas.wps.cn/vas-ai-hub/contract-review">不未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不</item>
      </candidateList>
      <explain xmlns="http://schemas.wps.cn/vas-ai-hub/contract-review"/>
      <paraID xmlns="http://schemas.wps.cn/vas-ai-hub/contract-review">4BFEF594</paraID>
      <start xmlns="http://schemas.wps.cn/vas-ai-hub/contract-review">37</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ba5adc5b-ac6d-4edd-a83c-1dd7d860e31f</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58D59B6D</paraID>
      <start xmlns="http://schemas.wps.cn/vas-ai-hub/contract-review">29</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51f81428-aad5-41e2-a3a4-8f88680b95ce</errorID>
      <errorWord xmlns="http://schemas.wps.cn/vas-ai-hub/contract-review">因为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因</item>
      </candidateList>
      <explain xmlns="http://schemas.wps.cn/vas-ai-hub/contract-review"/>
      <paraID xmlns="http://schemas.wps.cn/vas-ai-hub/contract-review">796398B8</paraID>
      <start xmlns="http://schemas.wps.cn/vas-ai-hub/contract-review">118</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1cb7d7ce-ece8-41f8-af1e-5760c5bf91ae</errorID>
      <errorWord xmlns="http://schemas.wps.cn/vas-ai-hub/contract-review">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同履</item>
      </candidateList>
      <explain xmlns="http://schemas.wps.cn/vas-ai-hub/contract-review"/>
      <paraID xmlns="http://schemas.wps.cn/vas-ai-hub/contract-review">32679A6D</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b9341d2b-bd48-40f9-ae62-ce7f4675d327</errorID>
      <errorWord xmlns="http://schemas.wps.cn/vas-ai-hub/contract-review">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方在</item>
      </candidateList>
      <explain xmlns="http://schemas.wps.cn/vas-ai-hub/contract-review"/>
      <paraID xmlns="http://schemas.wps.cn/vas-ai-hub/contract-review">5A76295B</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a010e35d-02d3-473b-bf96-4458edd70337</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78E64170</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a2c2d65e-d24a-47d9-9767-63f7238490ce</errorID>
      <errorWord xmlns="http://schemas.wps.cn/vas-ai-hub/contract-review">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本次</item>
      </candidateList>
      <explain xmlns="http://schemas.wps.cn/vas-ai-hub/contract-review"/>
      <paraID xmlns="http://schemas.wps.cn/vas-ai-hub/contract-review"> 1744FB7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2b108500-c3e4-4b94-8aca-636f6554d22f</errorID>
      <errorWord xmlns="http://schemas.wps.cn/vas-ai-hub/contract-review">银行帐号</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银行账号</item>
      </candidateList>
      <explain xmlns="http://schemas.wps.cn/vas-ai-hub/contract-review">词汇[银行帐号]为不规范表述或旧称，其规范书面表述为[银行账号]。</explain>
      <paraID xmlns="http://schemas.wps.cn/vas-ai-hub/contract-review">5BE9D86A</paraID>
      <start xmlns="http://schemas.wps.cn/vas-ai-hub/contract-review">30</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6fa1abbb-4388-4c5c-b15e-e878f83309d0</errorID>
      <errorWord xmlns="http://schemas.wps.cn/vas-ai-hub/contract-review">股东大会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股东会</item>
      </candidateList>
      <explain xmlns="http://schemas.wps.cn/vas-ai-hub/contract-review"/>
      <paraID xmlns="http://schemas.wps.cn/vas-ai-hub/contract-review">4994C3A6</paraID>
      <start xmlns="http://schemas.wps.cn/vas-ai-hub/contract-review">113</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9f33c23c-fe74-4525-9fd8-621034d70605</errorID>
      <errorWord xmlns="http://schemas.wps.cn/vas-ai-hub/contract-review">〔2017〕 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〔2017〕141号</item>
      </candidateList>
      <explain xmlns="http://schemas.wps.cn/vas-ai-hub/contract-review">发文字号格式错误。</explain>
      <paraID xmlns="http://schemas.wps.cn/vas-ai-hub/contract-review"> CCA1AA9</paraID>
      <start xmlns="http://schemas.wps.cn/vas-ai-hub/contract-review">49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d1d1d900-b2e4-431e-904f-f51425a5f51f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49761586</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5da82ec7-77c4-4f3d-8c03-204673f9f11d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3D72B802</paraID>
      <start xmlns="http://schemas.wps.cn/vas-ai-hub/contract-review">36</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e7f7c678-edf2-4816-90a8-b2705ee657a0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2E6D5B10</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8b398853-b60e-4429-9d74-2da085ed5ba4</errorID>
      <errorWord xmlns="http://schemas.wps.cn/vas-ai-hub/contract-review">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者加</item>
      </candidateList>
      <explain xmlns="http://schemas.wps.cn/vas-ai-hub/contract-review"/>
      <paraID xmlns="http://schemas.wps.cn/vas-ai-hub/contract-review">546C9F6F</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1300506d-0a08-40df-943e-5e6d6c6c117d</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5DA93597</paraID>
      <start xmlns="http://schemas.wps.cn/vas-ai-hub/contract-review">53</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85e41-1d2f-47c1-91c9-430a2feacad5}">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94</Pages>
  <Words>23312</Words>
  <Characters>25367</Characters>
  <Lines>351</Lines>
  <Paragraphs>98</Paragraphs>
  <TotalTime>34</TotalTime>
  <ScaleCrop>false</ScaleCrop>
  <LinksUpToDate>false</LinksUpToDate>
  <CharactersWithSpaces>25588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2025-04-21T11:06:00Z</dcterms:created>
  <dc:creator>番茄花园</dc:creator>
  <cp:lastModifiedBy>FROM</cp:lastModifiedBy>
  <cp:lastPrinted>2026-03-27T11:29:00Z</cp:lastPrinted>
  <dcterms:modified xsi:type="dcterms:W3CDTF">2026-05-14T08:55:17Z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1E2BA4FCEBFB499E9927521ADD180301_13</vt:lpwstr>
  </property>
  <property fmtid="{D5CDD505-2E9C-101B-9397-08002B2CF9AE}" pid="4" name="KSOTemplateDocerSaveRecord">
    <vt:lpwstr>eyJoZGlkIjoiY2NmYmNhODQxOWNkODc0ZjYxNTI4MThkY2UxMGM3NzYiLCJ1c2VySWQiOiIyNDM4MzE4OSJ9</vt:lpwstr>
  </property>
</Properties>
</file>